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655937" w:rsidRPr="000B6FB7" w14:paraId="4C8DE85D" w14:textId="1DA1729E">
      <w:pPr>
        <w:rPr>
          <w:rFonts w:ascii="Arial" w:hAnsi="Arial" w:cs="Arial"/>
          <w:sz w:val="22"/>
          <w:szCs w:val="22"/>
        </w:rPr>
      </w:pPr>
      <w:r w:rsidRPr="000B6FB7">
        <w:rPr>
          <w:rFonts w:ascii="Arial" w:hAnsi="Arial" w:cs="Arial"/>
          <w:sz w:val="22"/>
          <w:szCs w:val="22"/>
        </w:rPr>
        <w:t>August 11, 2025</w:t>
      </w:r>
      <w:r w:rsidR="00EF1E4E">
        <w:rPr>
          <w:rFonts w:ascii="Arial" w:hAnsi="Arial" w:cs="Arial"/>
          <w:sz w:val="22"/>
          <w:szCs w:val="22"/>
        </w:rPr>
        <w:t xml:space="preserve"> </w:t>
      </w:r>
    </w:p>
    <w:p w:rsidR="000B6FB7" w:rsidRPr="000B6FB7" w:rsidP="00EF1E4E" w14:paraId="097B1955" w14:textId="77777777">
      <w:pPr>
        <w:spacing w:after="0" w:line="240" w:lineRule="auto"/>
        <w:rPr>
          <w:rFonts w:ascii="Arial" w:hAnsi="Arial" w:cs="Arial"/>
          <w:sz w:val="22"/>
          <w:szCs w:val="22"/>
        </w:rPr>
      </w:pPr>
    </w:p>
    <w:p w:rsidR="000B6FB7" w:rsidRPr="000B6FB7" w:rsidP="000B6FB7" w14:paraId="4579A4F5" w14:textId="77777777">
      <w:pPr>
        <w:spacing w:after="120" w:line="240" w:lineRule="auto"/>
        <w:jc w:val="center"/>
        <w:rPr>
          <w:rFonts w:ascii="Arial" w:hAnsi="Arial" w:cs="Arial"/>
          <w:b/>
          <w:bCs/>
          <w:sz w:val="22"/>
          <w:szCs w:val="22"/>
        </w:rPr>
      </w:pPr>
      <w:r w:rsidRPr="000B6FB7">
        <w:rPr>
          <w:rFonts w:ascii="Arial" w:hAnsi="Arial" w:cs="Arial"/>
          <w:b/>
          <w:bCs/>
          <w:sz w:val="22"/>
          <w:szCs w:val="22"/>
        </w:rPr>
        <w:t xml:space="preserve">Non-substantive Change Justification Statement for </w:t>
      </w:r>
    </w:p>
    <w:p w:rsidR="000B6FB7" w:rsidRPr="000B6FB7" w:rsidP="000B6FB7" w14:paraId="5053CD34" w14:textId="2C1D9DF0">
      <w:pPr>
        <w:suppressAutoHyphens/>
        <w:jc w:val="center"/>
        <w:rPr>
          <w:rFonts w:ascii="Arial" w:hAnsi="Arial" w:cs="Arial"/>
          <w:b/>
          <w:sz w:val="22"/>
          <w:szCs w:val="22"/>
        </w:rPr>
      </w:pPr>
      <w:r w:rsidRPr="003D7E05">
        <w:rPr>
          <w:rFonts w:ascii="Arial" w:hAnsi="Arial" w:cs="Arial"/>
          <w:b/>
          <w:sz w:val="22"/>
          <w:szCs w:val="22"/>
        </w:rPr>
        <w:t>OMB Control Number 1513–00</w:t>
      </w:r>
      <w:r w:rsidR="00936022">
        <w:rPr>
          <w:rFonts w:ascii="Arial" w:hAnsi="Arial" w:cs="Arial"/>
          <w:b/>
          <w:sz w:val="22"/>
          <w:szCs w:val="22"/>
        </w:rPr>
        <w:t>30, Claim—Alcohol, Tobacco, and Firearms Taxes</w:t>
      </w:r>
      <w:r w:rsidRPr="000B6FB7">
        <w:rPr>
          <w:rFonts w:ascii="Arial" w:hAnsi="Arial" w:cs="Arial"/>
          <w:b/>
          <w:sz w:val="22"/>
          <w:szCs w:val="22"/>
        </w:rPr>
        <w:t xml:space="preserve"> </w:t>
      </w:r>
    </w:p>
    <w:p w:rsidR="00EF1E4E" w:rsidP="00EF1E4E" w14:paraId="0EE5B6C6" w14:textId="77777777">
      <w:pPr>
        <w:spacing w:after="0" w:line="240" w:lineRule="auto"/>
        <w:rPr>
          <w:rFonts w:ascii="Arial" w:hAnsi="Arial" w:cs="Arial"/>
          <w:sz w:val="22"/>
          <w:szCs w:val="22"/>
        </w:rPr>
      </w:pPr>
    </w:p>
    <w:p w:rsidR="00936022" w:rsidP="00EF1E4E" w14:paraId="0EA1B0C6" w14:textId="1643CB81">
      <w:pPr>
        <w:spacing w:after="120"/>
        <w:rPr>
          <w:rFonts w:ascii="Arial" w:hAnsi="Arial" w:cs="Arial"/>
          <w:sz w:val="22"/>
          <w:szCs w:val="22"/>
        </w:rPr>
      </w:pPr>
      <w:r w:rsidRPr="00936022">
        <w:rPr>
          <w:rFonts w:ascii="Arial" w:hAnsi="Arial" w:cs="Arial"/>
          <w:sz w:val="22"/>
          <w:szCs w:val="22"/>
        </w:rPr>
        <w:t xml:space="preserve">The </w:t>
      </w:r>
      <w:r>
        <w:rPr>
          <w:rFonts w:ascii="Arial" w:hAnsi="Arial" w:cs="Arial"/>
          <w:sz w:val="22"/>
          <w:szCs w:val="22"/>
        </w:rPr>
        <w:t>Internal Revenue Code of 1986 (IRC) a</w:t>
      </w:r>
      <w:r w:rsidRPr="00936022">
        <w:rPr>
          <w:rFonts w:ascii="Arial" w:hAnsi="Arial" w:cs="Arial"/>
          <w:sz w:val="22"/>
          <w:szCs w:val="22"/>
        </w:rPr>
        <w:t xml:space="preserve">t 26 U.S.C. 5008, 5044, 5056, 5064, 5370, 5705, and 5708 authorizes claims for relief of </w:t>
      </w:r>
      <w:r>
        <w:rPr>
          <w:rFonts w:ascii="Arial" w:hAnsi="Arial" w:cs="Arial"/>
          <w:sz w:val="22"/>
          <w:szCs w:val="22"/>
        </w:rPr>
        <w:t xml:space="preserve">Federal </w:t>
      </w:r>
      <w:r w:rsidRPr="00936022">
        <w:rPr>
          <w:rFonts w:ascii="Arial" w:hAnsi="Arial" w:cs="Arial"/>
          <w:sz w:val="22"/>
          <w:szCs w:val="22"/>
        </w:rPr>
        <w:t xml:space="preserve">excise taxes on distilled spirits, wine, beer, tobacco products, and cigarette papers and tubes that were condemned, destroyed, lost or made unmarketable due to disaster, theft or vandalism, or that were voluntarily destroyed, returned to bond or withdrawn from the market.  The IRC at 26 U.S.C. 5055, 5062, and 5706 also provides for drawback (refund) of taxes paid on such products subsequently exported outside of the United States.  Additionally, the IRC at 26 U.S.C. 5111–5114, authorizes drawback </w:t>
      </w:r>
      <w:r w:rsidR="00346C97">
        <w:rPr>
          <w:rFonts w:ascii="Arial" w:hAnsi="Arial" w:cs="Arial"/>
          <w:sz w:val="22"/>
          <w:szCs w:val="22"/>
        </w:rPr>
        <w:t xml:space="preserve">(refund) </w:t>
      </w:r>
      <w:r w:rsidRPr="00936022">
        <w:rPr>
          <w:rFonts w:ascii="Arial" w:hAnsi="Arial" w:cs="Arial"/>
          <w:sz w:val="22"/>
          <w:szCs w:val="22"/>
        </w:rPr>
        <w:t xml:space="preserve">of a portion of taxes paid on distilled spirits used in the manufacture of certain nonbeverage products, while 26 U.S.C. 5373(b)(3) allows credit for excise taxes on wine spirits removed from a distilled spirits plant and used in the production of wine.  Additionally, under the IRC at 26 U.S.C. 6402–6404, taxpayers may file relief claims for erroneous, excessive, or overpaid excise or special occupational taxes, while 26 U.S.C. 6416 allows for credit or refund of overpaid firearms and ammunition taxes and 26 U.S.C. 6423 sets conditions on claims for erroneously collected alcohol and tobacco excise taxes.  Under those various IRC sections, claimants generally must submit their claims within 6 months of the relevant action in the form and manner that the Secretary </w:t>
      </w:r>
      <w:r>
        <w:rPr>
          <w:rFonts w:ascii="Arial" w:hAnsi="Arial" w:cs="Arial"/>
          <w:sz w:val="22"/>
          <w:szCs w:val="22"/>
        </w:rPr>
        <w:t xml:space="preserve">of the Treasury </w:t>
      </w:r>
      <w:r w:rsidRPr="00936022">
        <w:rPr>
          <w:rFonts w:ascii="Arial" w:hAnsi="Arial" w:cs="Arial"/>
          <w:sz w:val="22"/>
          <w:szCs w:val="22"/>
        </w:rPr>
        <w:t>prescribes by regulation.</w:t>
      </w:r>
    </w:p>
    <w:p w:rsidR="00936022" w:rsidP="00EF1E4E" w14:paraId="304EC681" w14:textId="77777777">
      <w:pPr>
        <w:spacing w:after="120"/>
        <w:rPr>
          <w:rFonts w:ascii="Arial" w:hAnsi="Arial" w:cs="Arial"/>
          <w:sz w:val="22"/>
          <w:szCs w:val="22"/>
        </w:rPr>
      </w:pPr>
      <w:r w:rsidRPr="00936022">
        <w:rPr>
          <w:rFonts w:ascii="Arial" w:hAnsi="Arial" w:cs="Arial"/>
          <w:sz w:val="22"/>
          <w:szCs w:val="22"/>
        </w:rPr>
        <w:t xml:space="preserve">The Alcohol and Tobacco Tax and Trade Bureau (TTB) administers chapter 51 (distilled spirits, wines, and beer), chapter 52 (tobacco products, processed tobacco, and cigarette papers and tubes), and sections 4181–4182 (firearms and ammunition excise taxes) of the Internal Revenue Code of 1986 (IRC), as amended (26 U.S.C.).  TTB administers those IRC provisions pursuant to section 1111(d) of the Homeland Security Act of 2002, as codified at 6 U.S.C. 531(d).  The Secretary of the Treasury also has delegated certain IRC administrative and enforcement authorities to TTB through Treasury Order 120–01. </w:t>
      </w:r>
    </w:p>
    <w:p w:rsidR="00936022" w:rsidP="00EF1E4E" w14:paraId="6DDD4D34" w14:textId="2896CC43">
      <w:pPr>
        <w:spacing w:after="120"/>
        <w:rPr>
          <w:rFonts w:ascii="Arial" w:hAnsi="Arial" w:cs="Arial"/>
          <w:sz w:val="22"/>
          <w:szCs w:val="22"/>
        </w:rPr>
      </w:pPr>
      <w:r>
        <w:rPr>
          <w:rFonts w:ascii="Arial" w:hAnsi="Arial" w:cs="Arial"/>
          <w:sz w:val="22"/>
          <w:szCs w:val="22"/>
        </w:rPr>
        <w:t xml:space="preserve">Specific to this information collection, approved under OMB control number 1513–0030, </w:t>
      </w:r>
      <w:r w:rsidRPr="00936022">
        <w:rPr>
          <w:rFonts w:ascii="Arial" w:hAnsi="Arial" w:cs="Arial"/>
          <w:sz w:val="22"/>
          <w:szCs w:val="22"/>
        </w:rPr>
        <w:t xml:space="preserve">TTB has issued </w:t>
      </w:r>
      <w:r>
        <w:rPr>
          <w:rFonts w:ascii="Arial" w:hAnsi="Arial" w:cs="Arial"/>
          <w:sz w:val="22"/>
          <w:szCs w:val="22"/>
        </w:rPr>
        <w:t xml:space="preserve">various </w:t>
      </w:r>
      <w:r w:rsidRPr="00936022">
        <w:rPr>
          <w:rFonts w:ascii="Arial" w:hAnsi="Arial" w:cs="Arial"/>
          <w:sz w:val="22"/>
          <w:szCs w:val="22"/>
        </w:rPr>
        <w:t xml:space="preserve">regulations </w:t>
      </w:r>
      <w:r>
        <w:rPr>
          <w:rFonts w:ascii="Arial" w:hAnsi="Arial" w:cs="Arial"/>
          <w:sz w:val="22"/>
          <w:szCs w:val="22"/>
        </w:rPr>
        <w:t>in 27 CFR chapter I u</w:t>
      </w:r>
      <w:r w:rsidRPr="00936022">
        <w:rPr>
          <w:rFonts w:ascii="Arial" w:hAnsi="Arial" w:cs="Arial"/>
          <w:sz w:val="22"/>
          <w:szCs w:val="22"/>
        </w:rPr>
        <w:t xml:space="preserve">nder its IRC and delegated authorities, regarding claims for relief </w:t>
      </w:r>
      <w:r>
        <w:rPr>
          <w:rFonts w:ascii="Arial" w:hAnsi="Arial" w:cs="Arial"/>
          <w:sz w:val="22"/>
          <w:szCs w:val="22"/>
        </w:rPr>
        <w:t xml:space="preserve">of the excise </w:t>
      </w:r>
      <w:r w:rsidRPr="00936022">
        <w:rPr>
          <w:rFonts w:ascii="Arial" w:hAnsi="Arial" w:cs="Arial"/>
          <w:sz w:val="22"/>
          <w:szCs w:val="22"/>
        </w:rPr>
        <w:t>taxes it collects</w:t>
      </w:r>
      <w:r>
        <w:rPr>
          <w:rFonts w:ascii="Arial" w:hAnsi="Arial" w:cs="Arial"/>
          <w:sz w:val="22"/>
          <w:szCs w:val="22"/>
        </w:rPr>
        <w:t xml:space="preserve">.  Those regulations </w:t>
      </w:r>
      <w:r w:rsidRPr="00936022">
        <w:rPr>
          <w:rFonts w:ascii="Arial" w:hAnsi="Arial" w:cs="Arial"/>
          <w:sz w:val="22"/>
          <w:szCs w:val="22"/>
        </w:rPr>
        <w:t>generally require respondents to file their claims using form TTB F 5620.8, Claim—Alcohol, Tobacco, and Firearms Taxes.  The form, and any required supporting documentation, identifies the claimant, the regulatory section the claim is made under, the type of claim and its basis, the kind and amount of tax claimed, and, if relevant, account information for the deposit of refunded tax</w:t>
      </w:r>
      <w:r>
        <w:rPr>
          <w:rFonts w:ascii="Arial" w:hAnsi="Arial" w:cs="Arial"/>
          <w:sz w:val="22"/>
          <w:szCs w:val="22"/>
        </w:rPr>
        <w:t>.</w:t>
      </w:r>
      <w:r>
        <w:rPr>
          <w:rStyle w:val="FootnoteReference"/>
          <w:rFonts w:ascii="Arial" w:hAnsi="Arial" w:cs="Arial"/>
          <w:sz w:val="22"/>
          <w:szCs w:val="22"/>
        </w:rPr>
        <w:footnoteReference w:id="2"/>
      </w:r>
      <w:r>
        <w:rPr>
          <w:rFonts w:ascii="Arial" w:hAnsi="Arial" w:cs="Arial"/>
          <w:sz w:val="22"/>
          <w:szCs w:val="22"/>
        </w:rPr>
        <w:t xml:space="preserve"> </w:t>
      </w:r>
    </w:p>
    <w:p w:rsidR="00991D9E" w:rsidRPr="00991D9E" w:rsidP="00991D9E" w14:paraId="34CDAC41" w14:textId="77777777">
      <w:pPr>
        <w:rPr>
          <w:rFonts w:ascii="Arial" w:hAnsi="Arial" w:cs="Arial"/>
          <w:sz w:val="22"/>
          <w:szCs w:val="22"/>
        </w:rPr>
      </w:pPr>
      <w:r w:rsidRPr="00991D9E">
        <w:rPr>
          <w:rFonts w:ascii="Arial" w:hAnsi="Arial" w:cs="Arial"/>
          <w:sz w:val="22"/>
          <w:szCs w:val="22"/>
        </w:rPr>
        <w:t xml:space="preserve">On March 25, 2025, the President issued an Executive Order, “Modernizing Payments </w:t>
      </w:r>
      <w:r w:rsidRPr="00991D9E">
        <w:rPr>
          <w:rFonts w:ascii="Arial" w:hAnsi="Arial" w:cs="Arial"/>
          <w:sz w:val="22"/>
          <w:szCs w:val="22"/>
        </w:rPr>
        <w:t>To</w:t>
      </w:r>
      <w:r w:rsidRPr="00991D9E">
        <w:rPr>
          <w:rFonts w:ascii="Arial" w:hAnsi="Arial" w:cs="Arial"/>
          <w:sz w:val="22"/>
          <w:szCs w:val="22"/>
        </w:rPr>
        <w:t xml:space="preserve"> and From America’s Bank Account,” which was published in the Federal Register as E.O. 14247 on March 28, 2025, at 90 FR 14001.  As a cost-saving and theft-prevention measure, the Executive </w:t>
      </w:r>
      <w:r w:rsidRPr="00991D9E">
        <w:rPr>
          <w:rFonts w:ascii="Arial" w:hAnsi="Arial" w:cs="Arial"/>
          <w:sz w:val="22"/>
          <w:szCs w:val="22"/>
        </w:rPr>
        <w:t xml:space="preserve">Order requires, in general, that the Secretary of the Treasury cease issuing paper checks for all Federal disbursements, benefit payments, vendor payments, and tax refunds, and to make such payments via direct deposit or other electronic methods, effective September 30, 2025. </w:t>
      </w:r>
    </w:p>
    <w:p w:rsidR="00346C97" w:rsidP="00EF1E4E" w14:paraId="6AC5F876" w14:textId="172D1229">
      <w:pPr>
        <w:spacing w:after="120"/>
        <w:rPr>
          <w:rFonts w:ascii="Arial" w:hAnsi="Arial" w:cs="Arial"/>
          <w:sz w:val="22"/>
          <w:szCs w:val="22"/>
        </w:rPr>
      </w:pPr>
      <w:r>
        <w:rPr>
          <w:rFonts w:ascii="Arial" w:hAnsi="Arial" w:cs="Arial"/>
          <w:sz w:val="22"/>
          <w:szCs w:val="22"/>
        </w:rPr>
        <w:t xml:space="preserve">In response to E.O. 14247, </w:t>
      </w:r>
      <w:r w:rsidR="00917DC4">
        <w:rPr>
          <w:rFonts w:ascii="Arial" w:hAnsi="Arial" w:cs="Arial"/>
          <w:sz w:val="22"/>
          <w:szCs w:val="22"/>
        </w:rPr>
        <w:t xml:space="preserve">on form TTB F 5620.8, </w:t>
      </w:r>
      <w:r>
        <w:rPr>
          <w:rFonts w:ascii="Arial" w:hAnsi="Arial" w:cs="Arial"/>
          <w:sz w:val="22"/>
          <w:szCs w:val="22"/>
        </w:rPr>
        <w:t xml:space="preserve">TTB is </w:t>
      </w:r>
      <w:r w:rsidR="006F6A87">
        <w:rPr>
          <w:rFonts w:ascii="Arial" w:hAnsi="Arial" w:cs="Arial"/>
          <w:sz w:val="22"/>
          <w:szCs w:val="22"/>
        </w:rPr>
        <w:t>making minor changes to Item 10 and its related instructions</w:t>
      </w:r>
      <w:r w:rsidR="00917DC4">
        <w:rPr>
          <w:rFonts w:ascii="Arial" w:hAnsi="Arial" w:cs="Arial"/>
          <w:sz w:val="22"/>
          <w:szCs w:val="22"/>
        </w:rPr>
        <w:t xml:space="preserve"> to require respondents to provide direct deposit information for claims made seeking payment from TTB (e.g. refund or drawback of tax)</w:t>
      </w:r>
      <w:r w:rsidR="006F6A87">
        <w:rPr>
          <w:rFonts w:ascii="Arial" w:hAnsi="Arial" w:cs="Arial"/>
          <w:sz w:val="22"/>
          <w:szCs w:val="22"/>
        </w:rPr>
        <w:t xml:space="preserve">.  For claims involving drawback </w:t>
      </w:r>
      <w:r w:rsidR="00917DC4">
        <w:rPr>
          <w:rFonts w:ascii="Arial" w:hAnsi="Arial" w:cs="Arial"/>
          <w:sz w:val="22"/>
          <w:szCs w:val="22"/>
        </w:rPr>
        <w:t xml:space="preserve">or </w:t>
      </w:r>
      <w:r w:rsidR="006F6A87">
        <w:rPr>
          <w:rFonts w:ascii="Arial" w:hAnsi="Arial" w:cs="Arial"/>
          <w:sz w:val="22"/>
          <w:szCs w:val="22"/>
        </w:rPr>
        <w:t xml:space="preserve">refund of tax, Item 10 previously </w:t>
      </w:r>
      <w:r>
        <w:rPr>
          <w:rFonts w:ascii="Arial" w:hAnsi="Arial" w:cs="Arial"/>
          <w:sz w:val="22"/>
          <w:szCs w:val="22"/>
        </w:rPr>
        <w:t xml:space="preserve">displayed a parenthetical note </w:t>
      </w:r>
      <w:r w:rsidR="006F6A87">
        <w:rPr>
          <w:rFonts w:ascii="Arial" w:hAnsi="Arial" w:cs="Arial"/>
          <w:sz w:val="22"/>
          <w:szCs w:val="22"/>
        </w:rPr>
        <w:t xml:space="preserve">that Direct Deposit was optional.  Item 10 will now </w:t>
      </w:r>
      <w:r>
        <w:rPr>
          <w:rFonts w:ascii="Arial" w:hAnsi="Arial" w:cs="Arial"/>
          <w:sz w:val="22"/>
          <w:szCs w:val="22"/>
        </w:rPr>
        <w:t xml:space="preserve">display a </w:t>
      </w:r>
      <w:r w:rsidR="006F6A87">
        <w:rPr>
          <w:rFonts w:ascii="Arial" w:hAnsi="Arial" w:cs="Arial"/>
          <w:sz w:val="22"/>
          <w:szCs w:val="22"/>
        </w:rPr>
        <w:t>note that Direct Deposit is “for refund/drawback</w:t>
      </w:r>
      <w:r w:rsidR="00917DC4">
        <w:rPr>
          <w:rFonts w:ascii="Arial" w:hAnsi="Arial" w:cs="Arial"/>
          <w:sz w:val="22"/>
          <w:szCs w:val="22"/>
        </w:rPr>
        <w:t xml:space="preserve">.”  This eliminates </w:t>
      </w:r>
      <w:r w:rsidR="006F6A87">
        <w:rPr>
          <w:rFonts w:ascii="Arial" w:hAnsi="Arial" w:cs="Arial"/>
          <w:sz w:val="22"/>
          <w:szCs w:val="22"/>
        </w:rPr>
        <w:t>the respondent’s option to receive a paper check</w:t>
      </w:r>
      <w:r w:rsidR="00917DC4">
        <w:rPr>
          <w:rFonts w:ascii="Arial" w:hAnsi="Arial" w:cs="Arial"/>
          <w:sz w:val="22"/>
          <w:szCs w:val="22"/>
        </w:rPr>
        <w:t xml:space="preserve"> for such payments</w:t>
      </w:r>
      <w:r w:rsidR="006F6A87">
        <w:rPr>
          <w:rFonts w:ascii="Arial" w:hAnsi="Arial" w:cs="Arial"/>
          <w:sz w:val="22"/>
          <w:szCs w:val="22"/>
        </w:rPr>
        <w:t xml:space="preserve">.  Items 10a, 10b, and 10c, which collect the claimant’s bank routing number, type of account (checking or savings), and their account number remain unchanged.  </w:t>
      </w:r>
      <w:r>
        <w:rPr>
          <w:rFonts w:ascii="Arial" w:hAnsi="Arial" w:cs="Arial"/>
          <w:sz w:val="22"/>
          <w:szCs w:val="22"/>
        </w:rPr>
        <w:t>TTB also is revising the instruction for Item 10 to state that the respondent must enter their direct deposit information when filing a claim seeking payment from TTB</w:t>
      </w:r>
      <w:r w:rsidR="00917DC4">
        <w:rPr>
          <w:rFonts w:ascii="Arial" w:hAnsi="Arial" w:cs="Arial"/>
          <w:sz w:val="22"/>
          <w:szCs w:val="22"/>
        </w:rPr>
        <w:t xml:space="preserve">.  </w:t>
      </w:r>
      <w:r>
        <w:rPr>
          <w:rFonts w:ascii="Arial" w:hAnsi="Arial" w:cs="Arial"/>
          <w:sz w:val="22"/>
          <w:szCs w:val="22"/>
        </w:rPr>
        <w:t>The instructions for Items 10a, 10b, and 10c remain the same as on the previous edition of the form</w:t>
      </w:r>
      <w:r w:rsidR="00917DC4">
        <w:rPr>
          <w:rFonts w:ascii="Arial" w:hAnsi="Arial" w:cs="Arial"/>
          <w:sz w:val="22"/>
          <w:szCs w:val="22"/>
        </w:rPr>
        <w:t xml:space="preserve"> but</w:t>
      </w:r>
      <w:r w:rsidR="00C764AA">
        <w:rPr>
          <w:rFonts w:ascii="Arial" w:hAnsi="Arial" w:cs="Arial"/>
          <w:sz w:val="22"/>
          <w:szCs w:val="22"/>
        </w:rPr>
        <w:t>, for clarity,</w:t>
      </w:r>
      <w:r w:rsidR="00917DC4">
        <w:rPr>
          <w:rFonts w:ascii="Arial" w:hAnsi="Arial" w:cs="Arial"/>
          <w:sz w:val="22"/>
          <w:szCs w:val="22"/>
        </w:rPr>
        <w:t xml:space="preserve"> TTB has placed the figure showing the location of bank routing and account number on a check </w:t>
      </w:r>
      <w:r w:rsidR="00C764AA">
        <w:rPr>
          <w:rFonts w:ascii="Arial" w:hAnsi="Arial" w:cs="Arial"/>
          <w:sz w:val="22"/>
          <w:szCs w:val="22"/>
        </w:rPr>
        <w:t>after the instructions for Item 10c rather than before that instruction</w:t>
      </w:r>
      <w:r>
        <w:rPr>
          <w:rFonts w:ascii="Arial" w:hAnsi="Arial" w:cs="Arial"/>
          <w:sz w:val="22"/>
          <w:szCs w:val="22"/>
        </w:rPr>
        <w:t xml:space="preserve">. </w:t>
      </w:r>
    </w:p>
    <w:p w:rsidR="004D1075" w:rsidP="00EF1E4E" w14:paraId="6F74FC33" w14:textId="606D5381">
      <w:pPr>
        <w:spacing w:after="120"/>
        <w:rPr>
          <w:rFonts w:ascii="Arial" w:hAnsi="Arial" w:cs="Arial"/>
          <w:sz w:val="22"/>
          <w:szCs w:val="22"/>
        </w:rPr>
      </w:pPr>
      <w:r w:rsidRPr="004D1075">
        <w:rPr>
          <w:rFonts w:ascii="Arial" w:hAnsi="Arial" w:cs="Arial"/>
          <w:sz w:val="22"/>
          <w:szCs w:val="22"/>
        </w:rPr>
        <w:t xml:space="preserve">TTB believes that these minor changes to </w:t>
      </w:r>
      <w:r w:rsidR="00346C97">
        <w:rPr>
          <w:rFonts w:ascii="Arial" w:hAnsi="Arial" w:cs="Arial"/>
          <w:sz w:val="22"/>
          <w:szCs w:val="22"/>
        </w:rPr>
        <w:t xml:space="preserve">Item 10 </w:t>
      </w:r>
      <w:r w:rsidR="00C764AA">
        <w:rPr>
          <w:rFonts w:ascii="Arial" w:hAnsi="Arial" w:cs="Arial"/>
          <w:sz w:val="22"/>
          <w:szCs w:val="22"/>
        </w:rPr>
        <w:t xml:space="preserve">and the related instructions </w:t>
      </w:r>
      <w:r w:rsidR="00346C97">
        <w:rPr>
          <w:rFonts w:ascii="Arial" w:hAnsi="Arial" w:cs="Arial"/>
          <w:sz w:val="22"/>
          <w:szCs w:val="22"/>
        </w:rPr>
        <w:t xml:space="preserve">on </w:t>
      </w:r>
      <w:r>
        <w:rPr>
          <w:rFonts w:ascii="Arial" w:hAnsi="Arial" w:cs="Arial"/>
          <w:sz w:val="22"/>
          <w:szCs w:val="22"/>
        </w:rPr>
        <w:t>TTB F 5</w:t>
      </w:r>
      <w:r w:rsidR="00346C97">
        <w:rPr>
          <w:rFonts w:ascii="Arial" w:hAnsi="Arial" w:cs="Arial"/>
          <w:sz w:val="22"/>
          <w:szCs w:val="22"/>
        </w:rPr>
        <w:t>620.8</w:t>
      </w:r>
      <w:r w:rsidR="004B25D2">
        <w:rPr>
          <w:rFonts w:ascii="Arial" w:hAnsi="Arial" w:cs="Arial"/>
          <w:sz w:val="22"/>
          <w:szCs w:val="22"/>
        </w:rPr>
        <w:t xml:space="preserve"> made in response to E.O. 14247</w:t>
      </w:r>
      <w:r>
        <w:rPr>
          <w:rFonts w:ascii="Arial" w:hAnsi="Arial" w:cs="Arial"/>
          <w:sz w:val="22"/>
          <w:szCs w:val="22"/>
        </w:rPr>
        <w:t xml:space="preserve"> d</w:t>
      </w:r>
      <w:r w:rsidRPr="004D1075">
        <w:rPr>
          <w:rFonts w:ascii="Arial" w:hAnsi="Arial" w:cs="Arial"/>
          <w:sz w:val="22"/>
          <w:szCs w:val="22"/>
        </w:rPr>
        <w:t xml:space="preserve">o not affect </w:t>
      </w:r>
      <w:r>
        <w:rPr>
          <w:rFonts w:ascii="Arial" w:hAnsi="Arial" w:cs="Arial"/>
          <w:sz w:val="22"/>
          <w:szCs w:val="22"/>
        </w:rPr>
        <w:t xml:space="preserve">this information collection’s </w:t>
      </w:r>
      <w:r w:rsidRPr="004D1075">
        <w:rPr>
          <w:rFonts w:ascii="Arial" w:hAnsi="Arial" w:cs="Arial"/>
          <w:sz w:val="22"/>
          <w:szCs w:val="22"/>
        </w:rPr>
        <w:t xml:space="preserve">per-respondent or total annual burden.  The </w:t>
      </w:r>
      <w:r w:rsidR="00346C97">
        <w:rPr>
          <w:rFonts w:ascii="Arial" w:hAnsi="Arial" w:cs="Arial"/>
          <w:sz w:val="22"/>
          <w:szCs w:val="22"/>
        </w:rPr>
        <w:t xml:space="preserve">only changes to the form are the </w:t>
      </w:r>
      <w:r w:rsidR="004B25D2">
        <w:rPr>
          <w:rFonts w:ascii="Arial" w:hAnsi="Arial" w:cs="Arial"/>
          <w:sz w:val="22"/>
          <w:szCs w:val="22"/>
        </w:rPr>
        <w:t xml:space="preserve">revision of </w:t>
      </w:r>
      <w:r w:rsidR="00346C97">
        <w:rPr>
          <w:rFonts w:ascii="Arial" w:hAnsi="Arial" w:cs="Arial"/>
          <w:sz w:val="22"/>
          <w:szCs w:val="22"/>
        </w:rPr>
        <w:t xml:space="preserve">the parenthetical note in </w:t>
      </w:r>
      <w:r w:rsidR="004B25D2">
        <w:rPr>
          <w:rFonts w:ascii="Arial" w:hAnsi="Arial" w:cs="Arial"/>
          <w:sz w:val="22"/>
          <w:szCs w:val="22"/>
        </w:rPr>
        <w:t>Item 1</w:t>
      </w:r>
      <w:r w:rsidR="00346C97">
        <w:rPr>
          <w:rFonts w:ascii="Arial" w:hAnsi="Arial" w:cs="Arial"/>
          <w:sz w:val="22"/>
          <w:szCs w:val="22"/>
        </w:rPr>
        <w:t>0 and revision of the instructions for that item.  These minor changes do not add any new data fields or new c</w:t>
      </w:r>
      <w:r w:rsidRPr="004D1075">
        <w:rPr>
          <w:rFonts w:ascii="Arial" w:hAnsi="Arial" w:cs="Arial"/>
          <w:sz w:val="22"/>
          <w:szCs w:val="22"/>
        </w:rPr>
        <w:t xml:space="preserve">oncepts </w:t>
      </w:r>
      <w:r w:rsidR="00346C97">
        <w:rPr>
          <w:rFonts w:ascii="Arial" w:hAnsi="Arial" w:cs="Arial"/>
          <w:sz w:val="22"/>
          <w:szCs w:val="22"/>
        </w:rPr>
        <w:t>to th</w:t>
      </w:r>
      <w:r w:rsidR="00275320">
        <w:rPr>
          <w:rFonts w:ascii="Arial" w:hAnsi="Arial" w:cs="Arial"/>
          <w:sz w:val="22"/>
          <w:szCs w:val="22"/>
        </w:rPr>
        <w:t xml:space="preserve">e form, and </w:t>
      </w:r>
      <w:r w:rsidR="00346C97">
        <w:rPr>
          <w:rFonts w:ascii="Arial" w:hAnsi="Arial" w:cs="Arial"/>
          <w:sz w:val="22"/>
          <w:szCs w:val="22"/>
        </w:rPr>
        <w:t xml:space="preserve">they </w:t>
      </w:r>
      <w:r w:rsidRPr="004D1075">
        <w:rPr>
          <w:rFonts w:ascii="Arial" w:hAnsi="Arial" w:cs="Arial"/>
          <w:sz w:val="22"/>
          <w:szCs w:val="22"/>
        </w:rPr>
        <w:t xml:space="preserve">entail no </w:t>
      </w:r>
      <w:r w:rsidR="00346C97">
        <w:rPr>
          <w:rFonts w:ascii="Arial" w:hAnsi="Arial" w:cs="Arial"/>
          <w:sz w:val="22"/>
          <w:szCs w:val="22"/>
        </w:rPr>
        <w:t xml:space="preserve">addition to its </w:t>
      </w:r>
      <w:r w:rsidRPr="004D1075">
        <w:rPr>
          <w:rFonts w:ascii="Arial" w:hAnsi="Arial" w:cs="Arial"/>
          <w:sz w:val="22"/>
          <w:szCs w:val="22"/>
        </w:rPr>
        <w:t>burden</w:t>
      </w:r>
      <w:r w:rsidR="00346C97">
        <w:rPr>
          <w:rFonts w:ascii="Arial" w:hAnsi="Arial" w:cs="Arial"/>
          <w:sz w:val="22"/>
          <w:szCs w:val="22"/>
        </w:rPr>
        <w:t xml:space="preserve"> as </w:t>
      </w:r>
      <w:r w:rsidR="00275320">
        <w:rPr>
          <w:rFonts w:ascii="Arial" w:hAnsi="Arial" w:cs="Arial"/>
          <w:sz w:val="22"/>
          <w:szCs w:val="22"/>
        </w:rPr>
        <w:t xml:space="preserve">the </w:t>
      </w:r>
      <w:r w:rsidR="00346C97">
        <w:rPr>
          <w:rFonts w:ascii="Arial" w:hAnsi="Arial" w:cs="Arial"/>
          <w:sz w:val="22"/>
          <w:szCs w:val="22"/>
        </w:rPr>
        <w:t>direct deposit</w:t>
      </w:r>
      <w:r w:rsidR="00275320">
        <w:rPr>
          <w:rFonts w:ascii="Arial" w:hAnsi="Arial" w:cs="Arial"/>
          <w:sz w:val="22"/>
          <w:szCs w:val="22"/>
        </w:rPr>
        <w:t xml:space="preserve">-related data fields have been displayed on TTB F 5620.8 for some time. </w:t>
      </w:r>
      <w:r w:rsidRPr="004D1075">
        <w:rPr>
          <w:rFonts w:ascii="Arial" w:hAnsi="Arial" w:cs="Arial"/>
          <w:sz w:val="22"/>
          <w:szCs w:val="22"/>
        </w:rPr>
        <w:t xml:space="preserve"> As such, TTB believes that the</w:t>
      </w:r>
      <w:r w:rsidR="00C764AA">
        <w:rPr>
          <w:rFonts w:ascii="Arial" w:hAnsi="Arial" w:cs="Arial"/>
          <w:sz w:val="22"/>
          <w:szCs w:val="22"/>
        </w:rPr>
        <w:t xml:space="preserve"> c</w:t>
      </w:r>
      <w:r w:rsidRPr="004D1075">
        <w:rPr>
          <w:rFonts w:ascii="Arial" w:hAnsi="Arial" w:cs="Arial"/>
          <w:sz w:val="22"/>
          <w:szCs w:val="22"/>
        </w:rPr>
        <w:t xml:space="preserve">hanges </w:t>
      </w:r>
      <w:r w:rsidR="00346C97">
        <w:rPr>
          <w:rFonts w:ascii="Arial" w:hAnsi="Arial" w:cs="Arial"/>
          <w:sz w:val="22"/>
          <w:szCs w:val="22"/>
        </w:rPr>
        <w:t xml:space="preserve">to </w:t>
      </w:r>
      <w:r w:rsidR="00275320">
        <w:rPr>
          <w:rFonts w:ascii="Arial" w:hAnsi="Arial" w:cs="Arial"/>
          <w:sz w:val="22"/>
          <w:szCs w:val="22"/>
        </w:rPr>
        <w:t xml:space="preserve">this information collection </w:t>
      </w:r>
      <w:r w:rsidRPr="004D1075">
        <w:rPr>
          <w:rFonts w:ascii="Arial" w:hAnsi="Arial" w:cs="Arial"/>
          <w:sz w:val="22"/>
          <w:szCs w:val="22"/>
        </w:rPr>
        <w:t>are non-substantive in nature</w:t>
      </w:r>
      <w:r w:rsidR="00D17C1A">
        <w:rPr>
          <w:rFonts w:ascii="Arial" w:hAnsi="Arial" w:cs="Arial"/>
          <w:sz w:val="22"/>
          <w:szCs w:val="22"/>
        </w:rPr>
        <w:t>, and we request OMB approval of the described changes to this information collection on that basis</w:t>
      </w:r>
      <w:r w:rsidRPr="004D1075">
        <w:rPr>
          <w:rFonts w:ascii="Arial" w:hAnsi="Arial" w:cs="Arial"/>
          <w:sz w:val="22"/>
          <w:szCs w:val="22"/>
        </w:rPr>
        <w:t>.</w:t>
      </w:r>
      <w:r w:rsidR="004B25D2">
        <w:rPr>
          <w:rFonts w:ascii="Arial" w:hAnsi="Arial" w:cs="Arial"/>
          <w:sz w:val="22"/>
          <w:szCs w:val="22"/>
        </w:rPr>
        <w:t xml:space="preserve"> </w:t>
      </w:r>
    </w:p>
    <w:p w:rsidR="00EB1D0B" w:rsidP="00EF1E4E" w14:paraId="60657A80" w14:textId="77777777">
      <w:pPr>
        <w:spacing w:after="120"/>
        <w:rPr>
          <w:rFonts w:ascii="Arial" w:hAnsi="Arial" w:cs="Arial"/>
          <w:sz w:val="22"/>
          <w:szCs w:val="22"/>
        </w:rPr>
      </w:pPr>
    </w:p>
    <w:p w:rsidR="00D17C1A" w:rsidP="00EF1E4E" w14:paraId="0CC35DCA" w14:textId="45CB5635">
      <w:pPr>
        <w:spacing w:after="120"/>
        <w:rPr>
          <w:rFonts w:ascii="Arial" w:hAnsi="Arial" w:cs="Arial"/>
          <w:sz w:val="22"/>
          <w:szCs w:val="22"/>
        </w:rPr>
      </w:pPr>
      <w:r>
        <w:rPr>
          <w:rFonts w:ascii="Arial" w:hAnsi="Arial" w:cs="Arial"/>
          <w:sz w:val="22"/>
          <w:szCs w:val="22"/>
        </w:rPr>
        <w:t>The figure</w:t>
      </w:r>
      <w:r w:rsidR="00C764AA">
        <w:rPr>
          <w:rFonts w:ascii="Arial" w:hAnsi="Arial" w:cs="Arial"/>
          <w:sz w:val="22"/>
          <w:szCs w:val="22"/>
        </w:rPr>
        <w:t>s</w:t>
      </w:r>
      <w:r>
        <w:rPr>
          <w:rFonts w:ascii="Arial" w:hAnsi="Arial" w:cs="Arial"/>
          <w:sz w:val="22"/>
          <w:szCs w:val="22"/>
        </w:rPr>
        <w:t xml:space="preserve"> below show the p</w:t>
      </w:r>
      <w:r w:rsidR="0071075F">
        <w:rPr>
          <w:rFonts w:ascii="Arial" w:hAnsi="Arial" w:cs="Arial"/>
          <w:sz w:val="22"/>
          <w:szCs w:val="22"/>
        </w:rPr>
        <w:t xml:space="preserve">revious version of </w:t>
      </w:r>
      <w:r>
        <w:rPr>
          <w:rFonts w:ascii="Arial" w:hAnsi="Arial" w:cs="Arial"/>
          <w:sz w:val="22"/>
          <w:szCs w:val="22"/>
        </w:rPr>
        <w:t>Item 1</w:t>
      </w:r>
      <w:r w:rsidR="00275320">
        <w:rPr>
          <w:rFonts w:ascii="Arial" w:hAnsi="Arial" w:cs="Arial"/>
          <w:sz w:val="22"/>
          <w:szCs w:val="22"/>
        </w:rPr>
        <w:t>0</w:t>
      </w:r>
      <w:r>
        <w:rPr>
          <w:rFonts w:ascii="Arial" w:hAnsi="Arial" w:cs="Arial"/>
          <w:sz w:val="22"/>
          <w:szCs w:val="22"/>
        </w:rPr>
        <w:t xml:space="preserve"> </w:t>
      </w:r>
      <w:r w:rsidR="00275320">
        <w:rPr>
          <w:rFonts w:ascii="Arial" w:hAnsi="Arial" w:cs="Arial"/>
          <w:sz w:val="22"/>
          <w:szCs w:val="22"/>
        </w:rPr>
        <w:t xml:space="preserve">and its instructions </w:t>
      </w:r>
      <w:r>
        <w:rPr>
          <w:rFonts w:ascii="Arial" w:hAnsi="Arial" w:cs="Arial"/>
          <w:sz w:val="22"/>
          <w:szCs w:val="22"/>
        </w:rPr>
        <w:t xml:space="preserve">on </w:t>
      </w:r>
      <w:r w:rsidR="0071075F">
        <w:rPr>
          <w:rFonts w:ascii="Arial" w:hAnsi="Arial" w:cs="Arial"/>
          <w:sz w:val="22"/>
          <w:szCs w:val="22"/>
        </w:rPr>
        <w:t>TTB F 5</w:t>
      </w:r>
      <w:r w:rsidR="00275320">
        <w:rPr>
          <w:rFonts w:ascii="Arial" w:hAnsi="Arial" w:cs="Arial"/>
          <w:sz w:val="22"/>
          <w:szCs w:val="22"/>
        </w:rPr>
        <w:t xml:space="preserve">620.8, </w:t>
      </w:r>
      <w:r>
        <w:rPr>
          <w:rFonts w:ascii="Arial" w:hAnsi="Arial" w:cs="Arial"/>
          <w:sz w:val="22"/>
          <w:szCs w:val="22"/>
        </w:rPr>
        <w:t xml:space="preserve">which allowed the respondent to </w:t>
      </w:r>
      <w:r w:rsidR="00275320">
        <w:rPr>
          <w:rFonts w:ascii="Arial" w:hAnsi="Arial" w:cs="Arial"/>
          <w:sz w:val="22"/>
          <w:szCs w:val="22"/>
        </w:rPr>
        <w:t xml:space="preserve">provide direct deposit information as an option for the payment of </w:t>
      </w:r>
      <w:r>
        <w:rPr>
          <w:rFonts w:ascii="Arial" w:hAnsi="Arial" w:cs="Arial"/>
          <w:sz w:val="22"/>
          <w:szCs w:val="22"/>
        </w:rPr>
        <w:t xml:space="preserve">drawback </w:t>
      </w:r>
      <w:r w:rsidR="00275320">
        <w:rPr>
          <w:rFonts w:ascii="Arial" w:hAnsi="Arial" w:cs="Arial"/>
          <w:sz w:val="22"/>
          <w:szCs w:val="22"/>
        </w:rPr>
        <w:t>or refund</w:t>
      </w:r>
      <w:r w:rsidR="00C764AA">
        <w:rPr>
          <w:rFonts w:ascii="Arial" w:hAnsi="Arial" w:cs="Arial"/>
          <w:sz w:val="22"/>
          <w:szCs w:val="22"/>
        </w:rPr>
        <w:t xml:space="preserve"> of tax</w:t>
      </w:r>
      <w:r w:rsidR="00275320">
        <w:rPr>
          <w:rFonts w:ascii="Arial" w:hAnsi="Arial" w:cs="Arial"/>
          <w:sz w:val="22"/>
          <w:szCs w:val="22"/>
        </w:rPr>
        <w:t xml:space="preserve">: </w:t>
      </w:r>
    </w:p>
    <w:p w:rsidR="00275320" w:rsidP="00EF1E4E" w14:paraId="667D5B4D" w14:textId="7FC5F0A8">
      <w:pPr>
        <w:spacing w:after="120"/>
        <w:rPr>
          <w:rFonts w:ascii="Arial" w:hAnsi="Arial" w:cs="Arial"/>
          <w:sz w:val="22"/>
          <w:szCs w:val="22"/>
        </w:rPr>
      </w:pPr>
    </w:p>
    <w:p w:rsidR="00275320" w:rsidP="00EF1E4E" w14:paraId="50DAF54A" w14:textId="67AE5870">
      <w:pPr>
        <w:spacing w:after="120"/>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172720</wp:posOffset>
                </wp:positionV>
                <wp:extent cx="1609725" cy="438150"/>
                <wp:effectExtent l="19050" t="19050" r="28575" b="19050"/>
                <wp:wrapNone/>
                <wp:docPr id="485587883" name="Oval 2"/>
                <wp:cNvGraphicFramePr/>
                <a:graphic xmlns:a="http://schemas.openxmlformats.org/drawingml/2006/main">
                  <a:graphicData uri="http://schemas.microsoft.com/office/word/2010/wordprocessingShape">
                    <wps:wsp xmlns:wps="http://schemas.microsoft.com/office/word/2010/wordprocessingShape">
                      <wps:cNvSpPr/>
                      <wps:spPr>
                        <a:xfrm>
                          <a:off x="0" y="0"/>
                          <a:ext cx="1609725" cy="438150"/>
                        </a:xfrm>
                        <a:prstGeom prst="ellipse">
                          <a:avLst/>
                        </a:prstGeom>
                        <a:noFill/>
                        <a:ln w="28575">
                          <a:solidFill>
                            <a:srgbClr val="C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2" o:spid="_x0000_s1025" style="width:126.75pt;height:34.5pt;margin-top:13.6pt;margin-left:0;mso-height-percent:0;mso-height-relative:margin;mso-width-percent:0;mso-width-relative:margin;mso-wrap-distance-bottom:0;mso-wrap-distance-left:9pt;mso-wrap-distance-right:9pt;mso-wrap-distance-top:0;mso-wrap-style:square;position:absolute;visibility:visible;v-text-anchor:middle;z-index:251659264" filled="f" strokecolor="#c00000" strokeweight="2.25pt">
                <v:stroke joinstyle="miter"/>
              </v:oval>
            </w:pict>
          </mc:Fallback>
        </mc:AlternateContent>
      </w:r>
      <w:r w:rsidRPr="00275320">
        <w:rPr>
          <w:rFonts w:ascii="Arial" w:hAnsi="Arial" w:cs="Arial"/>
          <w:noProof/>
          <w:sz w:val="22"/>
          <w:szCs w:val="22"/>
        </w:rPr>
        <w:drawing>
          <wp:inline distT="0" distB="0" distL="0" distR="0">
            <wp:extent cx="5943600" cy="1301115"/>
            <wp:effectExtent l="0" t="0" r="0" b="0"/>
            <wp:docPr id="12634524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3452491" name=""/>
                    <pic:cNvPicPr/>
                  </pic:nvPicPr>
                  <pic:blipFill>
                    <a:blip xmlns:r="http://schemas.openxmlformats.org/officeDocument/2006/relationships" r:embed="rId6"/>
                    <a:stretch>
                      <a:fillRect/>
                    </a:stretch>
                  </pic:blipFill>
                  <pic:spPr>
                    <a:xfrm>
                      <a:off x="0" y="0"/>
                      <a:ext cx="5943600" cy="1301115"/>
                    </a:xfrm>
                    <a:prstGeom prst="rect">
                      <a:avLst/>
                    </a:prstGeom>
                  </pic:spPr>
                </pic:pic>
              </a:graphicData>
            </a:graphic>
          </wp:inline>
        </w:drawing>
      </w:r>
    </w:p>
    <w:p w:rsidR="00275320" w:rsidP="00EF1E4E" w14:paraId="6D50D45C" w14:textId="17080DF2">
      <w:pPr>
        <w:spacing w:after="120"/>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-76200</wp:posOffset>
                </wp:positionV>
                <wp:extent cx="4229100" cy="514350"/>
                <wp:effectExtent l="19050" t="19050" r="19050" b="19050"/>
                <wp:wrapNone/>
                <wp:docPr id="389661757" name="Oval 2"/>
                <wp:cNvGraphicFramePr/>
                <a:graphic xmlns:a="http://schemas.openxmlformats.org/drawingml/2006/main">
                  <a:graphicData uri="http://schemas.microsoft.com/office/word/2010/wordprocessingShape">
                    <wps:wsp xmlns:wps="http://schemas.microsoft.com/office/word/2010/wordprocessingShape">
                      <wps:cNvSpPr/>
                      <wps:spPr>
                        <a:xfrm>
                          <a:off x="0" y="0"/>
                          <a:ext cx="4229100" cy="514350"/>
                        </a:xfrm>
                        <a:prstGeom prst="ellipse">
                          <a:avLst/>
                        </a:prstGeom>
                        <a:noFill/>
                        <a:ln w="28575">
                          <a:solidFill>
                            <a:srgbClr val="C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2" o:spid="_x0000_s1026" style="width:333pt;height:40.5pt;margin-top:-6pt;margin-left:0;mso-height-percent:0;mso-height-relative:margin;mso-width-percent:0;mso-width-relative:margin;mso-wrap-distance-bottom:0;mso-wrap-distance-left:9pt;mso-wrap-distance-right:9pt;mso-wrap-distance-top:0;mso-wrap-style:square;position:absolute;visibility:visible;v-text-anchor:middle;z-index:251661312" filled="f" strokecolor="#c00000" strokeweight="2.25pt">
                <v:stroke joinstyle="miter"/>
              </v:oval>
            </w:pict>
          </mc:Fallback>
        </mc:AlternateContent>
      </w:r>
      <w:r w:rsidRPr="00275320">
        <w:rPr>
          <w:rFonts w:ascii="Arial" w:hAnsi="Arial" w:cs="Arial"/>
          <w:noProof/>
          <w:sz w:val="22"/>
          <w:szCs w:val="22"/>
        </w:rPr>
        <w:drawing>
          <wp:inline distT="0" distB="0" distL="0" distR="0">
            <wp:extent cx="4229100" cy="3810002"/>
            <wp:effectExtent l="0" t="0" r="0" b="0"/>
            <wp:docPr id="4241350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4135010" name=""/>
                    <pic:cNvPicPr/>
                  </pic:nvPicPr>
                  <pic:blipFill>
                    <a:blip xmlns:r="http://schemas.openxmlformats.org/officeDocument/2006/relationships" r:embed="rId7"/>
                    <a:stretch>
                      <a:fillRect/>
                    </a:stretch>
                  </pic:blipFill>
                  <pic:spPr>
                    <a:xfrm>
                      <a:off x="0" y="0"/>
                      <a:ext cx="4238204" cy="3818204"/>
                    </a:xfrm>
                    <a:prstGeom prst="rect">
                      <a:avLst/>
                    </a:prstGeom>
                  </pic:spPr>
                </pic:pic>
              </a:graphicData>
            </a:graphic>
          </wp:inline>
        </w:drawing>
      </w:r>
    </w:p>
    <w:p w:rsidR="0071075F" w:rsidP="00EF1E4E" w14:paraId="40243064" w14:textId="1B7E0FC6">
      <w:pPr>
        <w:spacing w:after="120"/>
        <w:rPr>
          <w:rFonts w:ascii="Arial" w:hAnsi="Arial" w:cs="Arial"/>
          <w:sz w:val="22"/>
          <w:szCs w:val="22"/>
        </w:rPr>
      </w:pPr>
    </w:p>
    <w:p w:rsidR="0071075F" w:rsidP="00EF1E4E" w14:paraId="77834BAC" w14:textId="6EBC2B43">
      <w:pPr>
        <w:spacing w:after="120"/>
        <w:rPr>
          <w:rFonts w:ascii="Arial" w:hAnsi="Arial" w:cs="Arial"/>
          <w:sz w:val="22"/>
          <w:szCs w:val="22"/>
        </w:rPr>
      </w:pPr>
      <w:r>
        <w:rPr>
          <w:rFonts w:ascii="Arial" w:hAnsi="Arial" w:cs="Arial"/>
          <w:sz w:val="22"/>
          <w:szCs w:val="22"/>
        </w:rPr>
        <w:t>The figure</w:t>
      </w:r>
      <w:r w:rsidR="00C764AA">
        <w:rPr>
          <w:rFonts w:ascii="Arial" w:hAnsi="Arial" w:cs="Arial"/>
          <w:sz w:val="22"/>
          <w:szCs w:val="22"/>
        </w:rPr>
        <w:t>s</w:t>
      </w:r>
      <w:r>
        <w:rPr>
          <w:rFonts w:ascii="Arial" w:hAnsi="Arial" w:cs="Arial"/>
          <w:sz w:val="22"/>
          <w:szCs w:val="22"/>
        </w:rPr>
        <w:t xml:space="preserve"> below show the n</w:t>
      </w:r>
      <w:r>
        <w:rPr>
          <w:rFonts w:ascii="Arial" w:hAnsi="Arial" w:cs="Arial"/>
          <w:sz w:val="22"/>
          <w:szCs w:val="22"/>
        </w:rPr>
        <w:t xml:space="preserve">ew version of </w:t>
      </w:r>
      <w:r>
        <w:rPr>
          <w:rFonts w:ascii="Arial" w:hAnsi="Arial" w:cs="Arial"/>
          <w:sz w:val="22"/>
          <w:szCs w:val="22"/>
        </w:rPr>
        <w:t>Item 1</w:t>
      </w:r>
      <w:r w:rsidR="00275320">
        <w:rPr>
          <w:rFonts w:ascii="Arial" w:hAnsi="Arial" w:cs="Arial"/>
          <w:sz w:val="22"/>
          <w:szCs w:val="22"/>
        </w:rPr>
        <w:t>0 and its instructions</w:t>
      </w:r>
      <w:r>
        <w:rPr>
          <w:rFonts w:ascii="Arial" w:hAnsi="Arial" w:cs="Arial"/>
          <w:sz w:val="22"/>
          <w:szCs w:val="22"/>
        </w:rPr>
        <w:t xml:space="preserve"> on </w:t>
      </w:r>
      <w:r>
        <w:rPr>
          <w:rFonts w:ascii="Arial" w:hAnsi="Arial" w:cs="Arial"/>
          <w:sz w:val="22"/>
          <w:szCs w:val="22"/>
        </w:rPr>
        <w:t>TTB F 5</w:t>
      </w:r>
      <w:r w:rsidR="00275320">
        <w:rPr>
          <w:rFonts w:ascii="Arial" w:hAnsi="Arial" w:cs="Arial"/>
          <w:sz w:val="22"/>
          <w:szCs w:val="22"/>
        </w:rPr>
        <w:t xml:space="preserve">620.8, which </w:t>
      </w:r>
      <w:r w:rsidR="00917DC4">
        <w:rPr>
          <w:rFonts w:ascii="Arial" w:hAnsi="Arial" w:cs="Arial"/>
          <w:sz w:val="22"/>
          <w:szCs w:val="22"/>
        </w:rPr>
        <w:t xml:space="preserve">now </w:t>
      </w:r>
      <w:r w:rsidR="00275320">
        <w:rPr>
          <w:rFonts w:ascii="Arial" w:hAnsi="Arial" w:cs="Arial"/>
          <w:sz w:val="22"/>
          <w:szCs w:val="22"/>
        </w:rPr>
        <w:t xml:space="preserve">allows only for direct deposit of payments from TTB for drawback or refund of excise taxes that it collects: </w:t>
      </w:r>
    </w:p>
    <w:p w:rsidR="00275320" w:rsidP="00EF1E4E" w14:paraId="4BC9A962" w14:textId="4C0BEDE9">
      <w:pPr>
        <w:spacing w:after="120"/>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62336" behindDoc="0" locked="0" layoutInCell="1" allowOverlap="1">
                <wp:simplePos x="0" y="0"/>
                <wp:positionH relativeFrom="column">
                  <wp:posOffset>-85725</wp:posOffset>
                </wp:positionH>
                <wp:positionV relativeFrom="paragraph">
                  <wp:posOffset>144780</wp:posOffset>
                </wp:positionV>
                <wp:extent cx="2143125" cy="409575"/>
                <wp:effectExtent l="19050" t="19050" r="28575" b="28575"/>
                <wp:wrapNone/>
                <wp:docPr id="90116792" name="Oval 2"/>
                <wp:cNvGraphicFramePr/>
                <a:graphic xmlns:a="http://schemas.openxmlformats.org/drawingml/2006/main">
                  <a:graphicData uri="http://schemas.microsoft.com/office/word/2010/wordprocessingShape">
                    <wps:wsp xmlns:wps="http://schemas.microsoft.com/office/word/2010/wordprocessingShape">
                      <wps:cNvSpPr/>
                      <wps:spPr>
                        <a:xfrm>
                          <a:off x="0" y="0"/>
                          <a:ext cx="2143125" cy="409575"/>
                        </a:xfrm>
                        <a:prstGeom prst="ellipse">
                          <a:avLst/>
                        </a:prstGeom>
                        <a:noFill/>
                        <a:ln w="28575">
                          <a:solidFill>
                            <a:srgbClr val="C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2" o:spid="_x0000_s1027" style="width:168.75pt;height:32.25pt;margin-top:11.4pt;margin-left:-6.75pt;mso-height-percent:0;mso-height-relative:margin;mso-width-percent:0;mso-width-relative:margin;mso-wrap-distance-bottom:0;mso-wrap-distance-left:9pt;mso-wrap-distance-right:9pt;mso-wrap-distance-top:0;mso-wrap-style:square;position:absolute;visibility:visible;v-text-anchor:middle;z-index:251663360" filled="f" strokecolor="#c00000" strokeweight="2.25pt">
                <v:stroke joinstyle="miter"/>
              </v:oval>
            </w:pict>
          </mc:Fallback>
        </mc:AlternateContent>
      </w:r>
      <w:r w:rsidRPr="00917DC4" w:rsidR="00917DC4">
        <w:rPr>
          <w:rFonts w:ascii="Arial" w:hAnsi="Arial" w:cs="Arial"/>
          <w:noProof/>
          <w:sz w:val="22"/>
          <w:szCs w:val="22"/>
        </w:rPr>
        <w:drawing>
          <wp:inline distT="0" distB="0" distL="0" distR="0">
            <wp:extent cx="5943600" cy="1313815"/>
            <wp:effectExtent l="0" t="0" r="0" b="635"/>
            <wp:docPr id="11739935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993511" name=""/>
                    <pic:cNvPicPr/>
                  </pic:nvPicPr>
                  <pic:blipFill>
                    <a:blip xmlns:r="http://schemas.openxmlformats.org/officeDocument/2006/relationships" r:embed="rId8"/>
                    <a:stretch>
                      <a:fillRect/>
                    </a:stretch>
                  </pic:blipFill>
                  <pic:spPr>
                    <a:xfrm>
                      <a:off x="0" y="0"/>
                      <a:ext cx="5943600" cy="1313815"/>
                    </a:xfrm>
                    <a:prstGeom prst="rect">
                      <a:avLst/>
                    </a:prstGeom>
                  </pic:spPr>
                </pic:pic>
              </a:graphicData>
            </a:graphic>
          </wp:inline>
        </w:drawing>
      </w:r>
    </w:p>
    <w:p w:rsidR="00275320" w:rsidP="00EF1E4E" w14:paraId="0247B0FB" w14:textId="77777777">
      <w:pPr>
        <w:spacing w:after="120"/>
        <w:rPr>
          <w:rFonts w:ascii="Arial" w:hAnsi="Arial" w:cs="Arial"/>
          <w:sz w:val="22"/>
          <w:szCs w:val="22"/>
        </w:rPr>
      </w:pPr>
    </w:p>
    <w:p w:rsidR="00275320" w:rsidP="00EF1E4E" w14:paraId="7A5892A5" w14:textId="4F8D0D6F">
      <w:pPr>
        <w:spacing w:after="120"/>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64384" behindDoc="0" locked="0" layoutInCell="1" allowOverlap="1">
                <wp:simplePos x="0" y="0"/>
                <wp:positionH relativeFrom="column">
                  <wp:posOffset>-85725</wp:posOffset>
                </wp:positionH>
                <wp:positionV relativeFrom="paragraph">
                  <wp:posOffset>-95250</wp:posOffset>
                </wp:positionV>
                <wp:extent cx="4333875" cy="895350"/>
                <wp:effectExtent l="19050" t="19050" r="28575" b="19050"/>
                <wp:wrapNone/>
                <wp:docPr id="1864229095" name="Oval 2"/>
                <wp:cNvGraphicFramePr/>
                <a:graphic xmlns:a="http://schemas.openxmlformats.org/drawingml/2006/main">
                  <a:graphicData uri="http://schemas.microsoft.com/office/word/2010/wordprocessingShape">
                    <wps:wsp xmlns:wps="http://schemas.microsoft.com/office/word/2010/wordprocessingShape">
                      <wps:cNvSpPr/>
                      <wps:spPr>
                        <a:xfrm>
                          <a:off x="0" y="0"/>
                          <a:ext cx="4333875" cy="895350"/>
                        </a:xfrm>
                        <a:prstGeom prst="ellipse">
                          <a:avLst/>
                        </a:prstGeom>
                        <a:noFill/>
                        <a:ln w="28575">
                          <a:solidFill>
                            <a:srgbClr val="C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2" o:spid="_x0000_s1028" style="width:341.25pt;height:70.5pt;margin-top:-7.5pt;margin-left:-6.75pt;mso-height-percent:0;mso-height-relative:margin;mso-width-percent:0;mso-width-relative:margin;mso-wrap-distance-bottom:0;mso-wrap-distance-left:9pt;mso-wrap-distance-right:9pt;mso-wrap-distance-top:0;mso-wrap-style:square;position:absolute;visibility:visible;v-text-anchor:middle;z-index:251665408" filled="f" strokecolor="#c00000" strokeweight="2.25pt">
                <v:stroke joinstyle="miter"/>
              </v:oval>
            </w:pict>
          </mc:Fallback>
        </mc:AlternateContent>
      </w:r>
      <w:r w:rsidRPr="00917DC4" w:rsidR="00917DC4">
        <w:rPr>
          <w:rFonts w:ascii="Arial" w:hAnsi="Arial" w:cs="Arial"/>
          <w:noProof/>
          <w:sz w:val="22"/>
          <w:szCs w:val="22"/>
        </w:rPr>
        <w:drawing>
          <wp:inline distT="0" distB="0" distL="0" distR="0">
            <wp:extent cx="4058216" cy="3924848"/>
            <wp:effectExtent l="0" t="0" r="0" b="0"/>
            <wp:docPr id="3888093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809323" name=""/>
                    <pic:cNvPicPr/>
                  </pic:nvPicPr>
                  <pic:blipFill>
                    <a:blip xmlns:r="http://schemas.openxmlformats.org/officeDocument/2006/relationships" r:embed="rId9"/>
                    <a:stretch>
                      <a:fillRect/>
                    </a:stretch>
                  </pic:blipFill>
                  <pic:spPr>
                    <a:xfrm>
                      <a:off x="0" y="0"/>
                      <a:ext cx="4058216" cy="3924848"/>
                    </a:xfrm>
                    <a:prstGeom prst="rect">
                      <a:avLst/>
                    </a:prstGeom>
                  </pic:spPr>
                </pic:pic>
              </a:graphicData>
            </a:graphic>
          </wp:inline>
        </w:drawing>
      </w:r>
    </w:p>
    <w:p w:rsidR="00275320" w:rsidP="00EF1E4E" w14:paraId="71F419FB" w14:textId="77777777">
      <w:pPr>
        <w:spacing w:after="120"/>
        <w:rPr>
          <w:rFonts w:ascii="Arial" w:hAnsi="Arial" w:cs="Arial"/>
          <w:sz w:val="22"/>
          <w:szCs w:val="22"/>
        </w:rPr>
      </w:pPr>
    </w:p>
    <w:p w:rsidR="00D17C1A" w:rsidRPr="000B6FB7" w:rsidP="00EF1E4E" w14:paraId="7E2B4C27" w14:textId="3BF51739">
      <w:pPr>
        <w:spacing w:after="120"/>
        <w:rPr>
          <w:rFonts w:ascii="Arial" w:hAnsi="Arial" w:cs="Arial"/>
          <w:sz w:val="22"/>
          <w:szCs w:val="22"/>
        </w:rPr>
      </w:pPr>
      <w:r>
        <w:rPr>
          <w:rFonts w:ascii="Arial" w:hAnsi="Arial" w:cs="Arial"/>
          <w:sz w:val="22"/>
          <w:szCs w:val="22"/>
        </w:rPr>
        <w:t xml:space="preserve">[END]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0B6FB7" w:rsidP="000B6FB7" w14:paraId="226D1D9C" w14:textId="77777777">
      <w:pPr>
        <w:spacing w:after="0" w:line="240" w:lineRule="auto"/>
      </w:pPr>
      <w:r>
        <w:separator/>
      </w:r>
    </w:p>
  </w:footnote>
  <w:footnote w:type="continuationSeparator" w:id="1">
    <w:p w:rsidR="000B6FB7" w:rsidP="000B6FB7" w14:paraId="0C622386" w14:textId="77777777">
      <w:pPr>
        <w:spacing w:after="0" w:line="240" w:lineRule="auto"/>
      </w:pPr>
      <w:r>
        <w:continuationSeparator/>
      </w:r>
    </w:p>
  </w:footnote>
  <w:footnote w:id="2">
    <w:p w:rsidR="006F6A87" w:rsidRPr="006F6A87" w14:paraId="3C26E7C1" w14:textId="0CF68623">
      <w:pPr>
        <w:pStyle w:val="FootnoteText"/>
        <w:rPr>
          <w:rFonts w:ascii="Arial" w:hAnsi="Arial" w:cs="Arial"/>
        </w:rPr>
      </w:pPr>
      <w:r w:rsidRPr="006F6A87">
        <w:rPr>
          <w:rStyle w:val="FootnoteReference"/>
          <w:rFonts w:ascii="Arial" w:hAnsi="Arial" w:cs="Arial"/>
        </w:rPr>
        <w:footnoteRef/>
      </w:r>
      <w:r w:rsidRPr="006F6A87">
        <w:rPr>
          <w:rFonts w:ascii="Arial" w:hAnsi="Arial" w:cs="Arial"/>
        </w:rPr>
        <w:t xml:space="preserve"> The types of claims made using TTB F 5620.8 include:  Remission of Tax, Allowance of Loss, Drawback–Manufacturer of Non-beverage Products, Allowance of Credit for Tax, and Allowance of Drawback–Export.  “Drawback” is the refund of </w:t>
      </w:r>
      <w:r w:rsidR="00917DC4">
        <w:rPr>
          <w:rFonts w:ascii="Arial" w:hAnsi="Arial" w:cs="Arial"/>
        </w:rPr>
        <w:t xml:space="preserve">a collected or determined </w:t>
      </w:r>
      <w:r w:rsidRPr="006F6A87">
        <w:rPr>
          <w:rFonts w:ascii="Arial" w:hAnsi="Arial" w:cs="Arial"/>
        </w:rPr>
        <w:t xml:space="preserve">tax.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FB7"/>
    <w:rsid w:val="000B6FB7"/>
    <w:rsid w:val="00177520"/>
    <w:rsid w:val="001E77A8"/>
    <w:rsid w:val="00275320"/>
    <w:rsid w:val="00293544"/>
    <w:rsid w:val="002967B7"/>
    <w:rsid w:val="00346C97"/>
    <w:rsid w:val="003D7E05"/>
    <w:rsid w:val="00413399"/>
    <w:rsid w:val="00466FF1"/>
    <w:rsid w:val="004B25D2"/>
    <w:rsid w:val="004D1075"/>
    <w:rsid w:val="004D3B91"/>
    <w:rsid w:val="00536E86"/>
    <w:rsid w:val="00655937"/>
    <w:rsid w:val="006F6A87"/>
    <w:rsid w:val="0071075F"/>
    <w:rsid w:val="007640DD"/>
    <w:rsid w:val="00917DC4"/>
    <w:rsid w:val="00936022"/>
    <w:rsid w:val="00991D9E"/>
    <w:rsid w:val="009A3B76"/>
    <w:rsid w:val="00A37724"/>
    <w:rsid w:val="00AD3F68"/>
    <w:rsid w:val="00AD5BD7"/>
    <w:rsid w:val="00AF1215"/>
    <w:rsid w:val="00B53A53"/>
    <w:rsid w:val="00BA2ABB"/>
    <w:rsid w:val="00BA6542"/>
    <w:rsid w:val="00C764AA"/>
    <w:rsid w:val="00D17C1A"/>
    <w:rsid w:val="00D246EF"/>
    <w:rsid w:val="00D2585D"/>
    <w:rsid w:val="00DF2BF2"/>
    <w:rsid w:val="00EB1D0B"/>
    <w:rsid w:val="00EF1E4E"/>
    <w:rsid w:val="00F1491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84F2FE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6F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B6F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6FB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6F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6F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6F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6F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6F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6F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6F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6F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6F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6F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6F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6F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6F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6F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6FB7"/>
    <w:rPr>
      <w:rFonts w:eastAsiaTheme="majorEastAsia" w:cstheme="majorBidi"/>
      <w:color w:val="272727" w:themeColor="text1" w:themeTint="D8"/>
    </w:rPr>
  </w:style>
  <w:style w:type="paragraph" w:styleId="Title">
    <w:name w:val="Title"/>
    <w:basedOn w:val="Normal"/>
    <w:next w:val="Normal"/>
    <w:link w:val="TitleChar"/>
    <w:uiPriority w:val="10"/>
    <w:qFormat/>
    <w:rsid w:val="000B6F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6F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6F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6F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6FB7"/>
    <w:pPr>
      <w:spacing w:before="160"/>
      <w:jc w:val="center"/>
    </w:pPr>
    <w:rPr>
      <w:i/>
      <w:iCs/>
      <w:color w:val="404040" w:themeColor="text1" w:themeTint="BF"/>
    </w:rPr>
  </w:style>
  <w:style w:type="character" w:customStyle="1" w:styleId="QuoteChar">
    <w:name w:val="Quote Char"/>
    <w:basedOn w:val="DefaultParagraphFont"/>
    <w:link w:val="Quote"/>
    <w:uiPriority w:val="29"/>
    <w:rsid w:val="000B6FB7"/>
    <w:rPr>
      <w:i/>
      <w:iCs/>
      <w:color w:val="404040" w:themeColor="text1" w:themeTint="BF"/>
    </w:rPr>
  </w:style>
  <w:style w:type="paragraph" w:styleId="ListParagraph">
    <w:name w:val="List Paragraph"/>
    <w:basedOn w:val="Normal"/>
    <w:uiPriority w:val="34"/>
    <w:qFormat/>
    <w:rsid w:val="000B6FB7"/>
    <w:pPr>
      <w:ind w:left="720"/>
      <w:contextualSpacing/>
    </w:pPr>
  </w:style>
  <w:style w:type="character" w:styleId="IntenseEmphasis">
    <w:name w:val="Intense Emphasis"/>
    <w:basedOn w:val="DefaultParagraphFont"/>
    <w:uiPriority w:val="21"/>
    <w:qFormat/>
    <w:rsid w:val="000B6FB7"/>
    <w:rPr>
      <w:i/>
      <w:iCs/>
      <w:color w:val="0F4761" w:themeColor="accent1" w:themeShade="BF"/>
    </w:rPr>
  </w:style>
  <w:style w:type="paragraph" w:styleId="IntenseQuote">
    <w:name w:val="Intense Quote"/>
    <w:basedOn w:val="Normal"/>
    <w:next w:val="Normal"/>
    <w:link w:val="IntenseQuoteChar"/>
    <w:uiPriority w:val="30"/>
    <w:qFormat/>
    <w:rsid w:val="000B6F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6FB7"/>
    <w:rPr>
      <w:i/>
      <w:iCs/>
      <w:color w:val="0F4761" w:themeColor="accent1" w:themeShade="BF"/>
    </w:rPr>
  </w:style>
  <w:style w:type="character" w:styleId="IntenseReference">
    <w:name w:val="Intense Reference"/>
    <w:basedOn w:val="DefaultParagraphFont"/>
    <w:uiPriority w:val="32"/>
    <w:qFormat/>
    <w:rsid w:val="000B6FB7"/>
    <w:rPr>
      <w:b/>
      <w:bCs/>
      <w:smallCaps/>
      <w:color w:val="0F4761" w:themeColor="accent1" w:themeShade="BF"/>
      <w:spacing w:val="5"/>
    </w:rPr>
  </w:style>
  <w:style w:type="paragraph" w:styleId="FootnoteText">
    <w:name w:val="footnote text"/>
    <w:basedOn w:val="Normal"/>
    <w:link w:val="FootnoteTextChar"/>
    <w:rsid w:val="000B6FB7"/>
    <w:pPr>
      <w:spacing w:after="0" w:line="240" w:lineRule="auto"/>
    </w:pPr>
    <w:rPr>
      <w:rFonts w:ascii="Times New Roman" w:eastAsia="Times New Roman" w:hAnsi="Times New Roman" w:cs="Times New Roman"/>
      <w:kern w:val="0"/>
      <w:sz w:val="20"/>
      <w:szCs w:val="20"/>
      <w14:ligatures w14:val="none"/>
    </w:rPr>
  </w:style>
  <w:style w:type="character" w:customStyle="1" w:styleId="FootnoteTextChar">
    <w:name w:val="Footnote Text Char"/>
    <w:basedOn w:val="DefaultParagraphFont"/>
    <w:link w:val="FootnoteText"/>
    <w:rsid w:val="000B6FB7"/>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uiPriority w:val="99"/>
    <w:rsid w:val="000B6FB7"/>
    <w:rPr>
      <w:vertAlign w:val="superscript"/>
    </w:rPr>
  </w:style>
  <w:style w:type="paragraph" w:styleId="Header">
    <w:name w:val="header"/>
    <w:basedOn w:val="Normal"/>
    <w:link w:val="HeaderChar"/>
    <w:uiPriority w:val="99"/>
    <w:unhideWhenUsed/>
    <w:rsid w:val="00B53A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3A53"/>
  </w:style>
  <w:style w:type="paragraph" w:styleId="Footer">
    <w:name w:val="footer"/>
    <w:basedOn w:val="Normal"/>
    <w:link w:val="FooterChar"/>
    <w:uiPriority w:val="99"/>
    <w:unhideWhenUsed/>
    <w:rsid w:val="00B53A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3A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png" /><Relationship Id="rId9" Type="http://schemas.openxmlformats.org/officeDocument/2006/relationships/image" Target="media/image4.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63E2E8-96F9-4B13-9A27-2CA2BEA83E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864</Words>
  <Characters>4926</Characters>
  <Application>Microsoft Office Word</Application>
  <DocSecurity>0</DocSecurity>
  <Lines>41</Lines>
  <Paragraphs>11</Paragraphs>
  <ScaleCrop>false</ScaleCrop>
  <Company/>
  <LinksUpToDate>false</LinksUpToDate>
  <CharactersWithSpaces>5779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2025-08-12T13:24:00Z</dcterms:created>
  <dcterms:modified xsi:type="dcterms:W3CDTF">2025-08-12T13:24:00Z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9a1b251-8b9e-4059-8b96-32f7259f1931_ActionId">
    <vt:lpwstr>b0bb6907-f844-4449-9909-b20ab87bf343</vt:lpwstr>
  </property>
  <property fmtid="{D5CDD505-2E9C-101B-9397-08002B2CF9AE}" pid="3" name="MSIP_Label_c9a1b251-8b9e-4059-8b96-32f7259f1931_ContentBits">
    <vt:lpwstr>0</vt:lpwstr>
  </property>
  <property fmtid="{D5CDD505-2E9C-101B-9397-08002B2CF9AE}" pid="4" name="MSIP_Label_c9a1b251-8b9e-4059-8b96-32f7259f1931_Enabled">
    <vt:lpwstr>true</vt:lpwstr>
  </property>
  <property fmtid="{D5CDD505-2E9C-101B-9397-08002B2CF9AE}" pid="5" name="MSIP_Label_c9a1b251-8b9e-4059-8b96-32f7259f1931_Method">
    <vt:lpwstr>Standard</vt:lpwstr>
  </property>
  <property fmtid="{D5CDD505-2E9C-101B-9397-08002B2CF9AE}" pid="6" name="MSIP_Label_c9a1b251-8b9e-4059-8b96-32f7259f1931_Name">
    <vt:lpwstr>CUI Basic</vt:lpwstr>
  </property>
  <property fmtid="{D5CDD505-2E9C-101B-9397-08002B2CF9AE}" pid="7" name="MSIP_Label_c9a1b251-8b9e-4059-8b96-32f7259f1931_SetDate">
    <vt:lpwstr>2025-08-12T13:24:11Z</vt:lpwstr>
  </property>
  <property fmtid="{D5CDD505-2E9C-101B-9397-08002B2CF9AE}" pid="8" name="MSIP_Label_c9a1b251-8b9e-4059-8b96-32f7259f1931_SiteId">
    <vt:lpwstr>ab5eeca9-2540-4909-a9ee-17cb3edf5cec</vt:lpwstr>
  </property>
  <property fmtid="{D5CDD505-2E9C-101B-9397-08002B2CF9AE}" pid="9" name="MSIP_Label_c9a1b251-8b9e-4059-8b96-32f7259f1931_Tag">
    <vt:lpwstr>10, 3, 0, 1</vt:lpwstr>
  </property>
</Properties>
</file>