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0DAE" w:rsidRPr="00B70DAE" w:rsidP="008E135F" w14:paraId="6599A6A8" w14:textId="65E10C27">
      <w:pPr>
        <w:spacing w:after="0" w:line="240" w:lineRule="auto"/>
        <w:jc w:val="center"/>
        <w:outlineLvl w:val="0"/>
        <w:rPr>
          <w:rFonts w:ascii="Times New Roman" w:hAnsi="Times New Roman"/>
          <w:b/>
          <w:bCs/>
          <w:sz w:val="24"/>
          <w:szCs w:val="24"/>
        </w:rPr>
      </w:pPr>
      <w:r>
        <w:rPr>
          <w:rFonts w:ascii="Times New Roman" w:hAnsi="Times New Roman"/>
          <w:b/>
          <w:bCs/>
          <w:sz w:val="24"/>
          <w:szCs w:val="24"/>
          <w:lang w:val="en-JM"/>
        </w:rPr>
        <w:t>S</w:t>
      </w:r>
      <w:r w:rsidRPr="00B70DAE">
        <w:rPr>
          <w:rFonts w:ascii="Times New Roman" w:hAnsi="Times New Roman"/>
          <w:b/>
          <w:bCs/>
          <w:sz w:val="24"/>
          <w:szCs w:val="24"/>
          <w:lang w:val="en-JM"/>
        </w:rPr>
        <w:t>UPPORTING STATEMENT FOR</w:t>
      </w:r>
    </w:p>
    <w:p w:rsidR="00B70DAE" w:rsidRPr="00B70DAE" w:rsidP="00B70DAE" w14:paraId="529B7B3C" w14:textId="77777777">
      <w:pPr>
        <w:spacing w:after="0" w:line="240" w:lineRule="auto"/>
        <w:jc w:val="center"/>
        <w:rPr>
          <w:rFonts w:ascii="Times New Roman" w:hAnsi="Times New Roman"/>
          <w:b/>
          <w:sz w:val="24"/>
          <w:szCs w:val="24"/>
        </w:rPr>
      </w:pPr>
      <w:r w:rsidRPr="00B70DAE">
        <w:rPr>
          <w:rFonts w:ascii="Times New Roman" w:hAnsi="Times New Roman"/>
          <w:b/>
          <w:bCs/>
          <w:sz w:val="24"/>
          <w:szCs w:val="24"/>
          <w:lang w:val="en-JM"/>
        </w:rPr>
        <w:t xml:space="preserve">THE INFORMATION COLLECTION REQUIREMENTS </w:t>
      </w:r>
    </w:p>
    <w:p w:rsidR="00B70DAE" w:rsidRPr="00B70DAE" w:rsidP="00B70DAE" w14:paraId="31D37E78" w14:textId="77777777">
      <w:pPr>
        <w:spacing w:after="0" w:line="240" w:lineRule="auto"/>
        <w:jc w:val="center"/>
        <w:rPr>
          <w:rFonts w:ascii="Times New Roman" w:hAnsi="Times New Roman"/>
          <w:b/>
          <w:sz w:val="24"/>
          <w:szCs w:val="24"/>
        </w:rPr>
      </w:pPr>
      <w:r w:rsidRPr="00B70DAE">
        <w:rPr>
          <w:rFonts w:ascii="Times New Roman" w:hAnsi="Times New Roman"/>
          <w:b/>
          <w:bCs/>
          <w:sz w:val="24"/>
          <w:szCs w:val="24"/>
          <w:lang w:val="en-JM"/>
        </w:rPr>
        <w:t> IN THE HEXAVALENT CHROMIUM STANDARDS FOR</w:t>
      </w:r>
    </w:p>
    <w:p w:rsidR="00B70DAE" w:rsidRPr="00B70DAE" w:rsidP="00B70DAE" w14:paraId="19A79AFC" w14:textId="77777777">
      <w:pPr>
        <w:spacing w:after="0" w:line="240" w:lineRule="auto"/>
        <w:jc w:val="center"/>
        <w:outlineLvl w:val="0"/>
        <w:rPr>
          <w:rFonts w:ascii="Times New Roman" w:hAnsi="Times New Roman"/>
          <w:b/>
          <w:sz w:val="24"/>
          <w:szCs w:val="24"/>
        </w:rPr>
      </w:pPr>
      <w:r w:rsidRPr="00B70DAE">
        <w:rPr>
          <w:rFonts w:ascii="Times New Roman" w:hAnsi="Times New Roman"/>
          <w:b/>
          <w:bCs/>
          <w:sz w:val="24"/>
          <w:szCs w:val="24"/>
          <w:lang w:val="en-JM"/>
        </w:rPr>
        <w:t>GENERAL INDUSTRY (29 CFR 1910.1026), SHIPYARD EMPLOYMENT</w:t>
      </w:r>
    </w:p>
    <w:p w:rsidR="00B70DAE" w:rsidRPr="00B70DAE" w:rsidP="00B70DAE" w14:paraId="4DF183C6" w14:textId="77777777">
      <w:pPr>
        <w:spacing w:after="0" w:line="240" w:lineRule="auto"/>
        <w:jc w:val="center"/>
        <w:outlineLvl w:val="0"/>
        <w:rPr>
          <w:rFonts w:ascii="Times New Roman" w:hAnsi="Times New Roman"/>
          <w:b/>
          <w:sz w:val="24"/>
          <w:szCs w:val="24"/>
        </w:rPr>
      </w:pPr>
      <w:r w:rsidRPr="00B70DAE">
        <w:rPr>
          <w:rFonts w:ascii="Times New Roman" w:hAnsi="Times New Roman"/>
          <w:b/>
          <w:bCs/>
          <w:sz w:val="24"/>
          <w:szCs w:val="24"/>
          <w:lang w:val="en-JM"/>
        </w:rPr>
        <w:t>(29 CFR 1915.1026), AND CONSTRUCTION (29 CFR 1926.1126)</w:t>
      </w:r>
      <w:r>
        <w:rPr>
          <w:rFonts w:cs="Times New Roman"/>
          <w:b/>
          <w:bCs/>
          <w:vertAlign w:val="superscript"/>
          <w:lang w:val="en-JM"/>
        </w:rPr>
        <w:footnoteReference w:id="3"/>
      </w:r>
    </w:p>
    <w:p w:rsidR="00B70DAE" w:rsidRPr="00B70DAE" w:rsidP="00B70DAE" w14:paraId="45590EAF" w14:textId="77777777">
      <w:pPr>
        <w:spacing w:after="0" w:line="240" w:lineRule="auto"/>
        <w:jc w:val="center"/>
        <w:outlineLvl w:val="0"/>
        <w:rPr>
          <w:rFonts w:ascii="Times New Roman" w:hAnsi="Times New Roman"/>
          <w:b/>
          <w:bCs/>
          <w:sz w:val="24"/>
          <w:szCs w:val="24"/>
          <w:lang w:val="en-JM"/>
        </w:rPr>
      </w:pPr>
      <w:r w:rsidRPr="00B70DAE">
        <w:rPr>
          <w:rFonts w:ascii="Times New Roman" w:hAnsi="Times New Roman"/>
          <w:b/>
          <w:bCs/>
          <w:sz w:val="24"/>
          <w:szCs w:val="24"/>
          <w:lang w:val="en-JM"/>
        </w:rPr>
        <w:t>OFFICE OF MANAGEMENT AND BUDGET</w:t>
      </w:r>
    </w:p>
    <w:p w:rsidR="0043602A" w:rsidP="00B70DAE" w14:paraId="027E3A71" w14:textId="77777777">
      <w:pPr>
        <w:spacing w:after="0" w:line="240" w:lineRule="auto"/>
        <w:jc w:val="center"/>
        <w:outlineLvl w:val="0"/>
        <w:rPr>
          <w:rFonts w:ascii="Times New Roman" w:hAnsi="Times New Roman"/>
          <w:b/>
          <w:bCs/>
          <w:sz w:val="24"/>
          <w:szCs w:val="24"/>
          <w:lang w:val="en-JM"/>
        </w:rPr>
      </w:pPr>
      <w:r w:rsidRPr="00B70DAE">
        <w:rPr>
          <w:rFonts w:ascii="Times New Roman" w:hAnsi="Times New Roman"/>
          <w:b/>
          <w:bCs/>
          <w:sz w:val="24"/>
          <w:szCs w:val="24"/>
          <w:lang w:val="en-JM"/>
        </w:rPr>
        <w:t xml:space="preserve">(OMB) CONTROL NO. 1218-0252 </w:t>
      </w:r>
    </w:p>
    <w:p w:rsidR="00B70DAE" w:rsidRPr="00B70DAE" w:rsidP="00B70DAE" w14:paraId="04951B8E" w14:textId="627FA15C">
      <w:pPr>
        <w:spacing w:after="0" w:line="240" w:lineRule="auto"/>
        <w:jc w:val="center"/>
        <w:outlineLvl w:val="0"/>
        <w:rPr>
          <w:rFonts w:ascii="Times New Roman" w:hAnsi="Times New Roman"/>
          <w:b/>
          <w:bCs/>
          <w:sz w:val="24"/>
          <w:szCs w:val="24"/>
          <w:lang w:val="en-JM"/>
        </w:rPr>
      </w:pPr>
      <w:r w:rsidRPr="00B70DAE">
        <w:rPr>
          <w:rFonts w:ascii="Times New Roman" w:hAnsi="Times New Roman"/>
          <w:b/>
          <w:bCs/>
          <w:sz w:val="24"/>
          <w:szCs w:val="24"/>
          <w:lang w:val="en-JM"/>
        </w:rPr>
        <w:t>(</w:t>
      </w:r>
      <w:r w:rsidR="00B91986">
        <w:rPr>
          <w:rFonts w:ascii="Times New Roman" w:hAnsi="Times New Roman"/>
          <w:b/>
          <w:bCs/>
          <w:sz w:val="24"/>
          <w:szCs w:val="24"/>
          <w:lang w:val="en-JM"/>
        </w:rPr>
        <w:t>February</w:t>
      </w:r>
      <w:r w:rsidR="00B91986">
        <w:rPr>
          <w:rFonts w:ascii="Times New Roman" w:hAnsi="Times New Roman"/>
          <w:b/>
          <w:bCs/>
          <w:sz w:val="24"/>
          <w:szCs w:val="24"/>
          <w:lang w:val="en-JM"/>
        </w:rPr>
        <w:t xml:space="preserve"> </w:t>
      </w:r>
      <w:r w:rsidR="00FB74AB">
        <w:rPr>
          <w:rFonts w:ascii="Times New Roman" w:hAnsi="Times New Roman"/>
          <w:b/>
          <w:bCs/>
          <w:sz w:val="24"/>
          <w:szCs w:val="24"/>
          <w:lang w:val="en-JM"/>
        </w:rPr>
        <w:t>2026</w:t>
      </w:r>
      <w:r w:rsidRPr="00B70DAE">
        <w:rPr>
          <w:rFonts w:ascii="Times New Roman" w:hAnsi="Times New Roman"/>
          <w:b/>
          <w:bCs/>
          <w:sz w:val="24"/>
          <w:szCs w:val="24"/>
          <w:lang w:val="en-JM"/>
        </w:rPr>
        <w:t>)</w:t>
      </w:r>
    </w:p>
    <w:p w:rsidR="00B70DAE" w:rsidRPr="00B70DAE" w:rsidP="00B70DAE" w14:paraId="674ED11A" w14:textId="77777777">
      <w:pPr>
        <w:spacing w:after="0" w:line="240" w:lineRule="auto"/>
        <w:jc w:val="center"/>
        <w:outlineLvl w:val="0"/>
        <w:rPr>
          <w:rFonts w:ascii="Times New Roman" w:hAnsi="Times New Roman"/>
          <w:b/>
          <w:sz w:val="24"/>
          <w:szCs w:val="24"/>
        </w:rPr>
      </w:pPr>
    </w:p>
    <w:p w:rsidR="00B70DAE" w:rsidRPr="00B70DAE" w:rsidP="00B70DAE" w14:paraId="55B8CD54" w14:textId="555E4187">
      <w:pPr>
        <w:tabs>
          <w:tab w:val="left" w:pos="6580"/>
        </w:tabs>
        <w:rPr>
          <w:rFonts w:ascii="Times New Roman" w:hAnsi="Times New Roman"/>
          <w:sz w:val="24"/>
          <w:szCs w:val="24"/>
        </w:rPr>
      </w:pPr>
      <w:r>
        <w:rPr>
          <w:rFonts w:ascii="Times New Roman" w:hAnsi="Times New Roman"/>
          <w:color w:val="000000"/>
          <w:sz w:val="24"/>
          <w:szCs w:val="24"/>
          <w:bdr w:val="none" w:sz="0" w:space="0" w:color="auto" w:frame="1"/>
        </w:rPr>
        <w:t>The agency is seeking an</w:t>
      </w:r>
      <w:r w:rsidRPr="00B70DAE">
        <w:rPr>
          <w:rFonts w:ascii="Times New Roman" w:hAnsi="Times New Roman"/>
          <w:color w:val="000000"/>
          <w:sz w:val="24"/>
          <w:szCs w:val="24"/>
          <w:bdr w:val="none" w:sz="0" w:space="0" w:color="auto" w:frame="1"/>
        </w:rPr>
        <w:t xml:space="preserve"> extension </w:t>
      </w:r>
      <w:r w:rsidR="005B6037">
        <w:rPr>
          <w:rFonts w:ascii="Times New Roman" w:hAnsi="Times New Roman"/>
          <w:color w:val="000000"/>
          <w:sz w:val="24"/>
          <w:szCs w:val="24"/>
          <w:bdr w:val="none" w:sz="0" w:space="0" w:color="auto" w:frame="1"/>
        </w:rPr>
        <w:t>of</w:t>
      </w:r>
      <w:r w:rsidRPr="00B70DAE">
        <w:rPr>
          <w:rFonts w:ascii="Times New Roman" w:hAnsi="Times New Roman"/>
          <w:color w:val="000000"/>
          <w:sz w:val="24"/>
          <w:szCs w:val="24"/>
          <w:bdr w:val="none" w:sz="0" w:space="0" w:color="auto" w:frame="1"/>
        </w:rPr>
        <w:t xml:space="preserve"> </w:t>
      </w:r>
      <w:r w:rsidRPr="00B70DAE" w:rsidR="00950A4F">
        <w:rPr>
          <w:rFonts w:ascii="Times New Roman" w:hAnsi="Times New Roman"/>
          <w:color w:val="000000"/>
          <w:sz w:val="24"/>
          <w:szCs w:val="24"/>
          <w:bdr w:val="none" w:sz="0" w:space="0" w:color="auto" w:frame="1"/>
        </w:rPr>
        <w:t>the currently</w:t>
      </w:r>
      <w:r w:rsidRPr="00B70DAE">
        <w:rPr>
          <w:rFonts w:ascii="Times New Roman" w:hAnsi="Times New Roman"/>
          <w:color w:val="000000"/>
          <w:sz w:val="24"/>
          <w:szCs w:val="24"/>
          <w:bdr w:val="none" w:sz="0" w:space="0" w:color="auto" w:frame="1"/>
        </w:rPr>
        <w:t xml:space="preserve"> approved data collection.</w:t>
      </w:r>
    </w:p>
    <w:p w:rsidR="00B70DAE" w:rsidRPr="00B70DAE" w:rsidP="00B70DAE" w14:paraId="2DA9E529" w14:textId="77777777">
      <w:pPr>
        <w:spacing w:after="0" w:line="240" w:lineRule="auto"/>
        <w:outlineLvl w:val="0"/>
        <w:rPr>
          <w:rFonts w:ascii="Times New Roman" w:hAnsi="Times New Roman"/>
          <w:b/>
          <w:bCs/>
          <w:sz w:val="24"/>
          <w:szCs w:val="24"/>
          <w:lang w:val="en-JM"/>
        </w:rPr>
      </w:pPr>
      <w:r w:rsidRPr="00B70DAE">
        <w:rPr>
          <w:rFonts w:ascii="Times New Roman" w:hAnsi="Times New Roman"/>
          <w:b/>
          <w:bCs/>
          <w:sz w:val="24"/>
          <w:szCs w:val="24"/>
          <w:lang w:val="en-JM"/>
        </w:rPr>
        <w:t>A.  JUSTIFICATION</w:t>
      </w:r>
    </w:p>
    <w:p w:rsidR="00B70DAE" w:rsidRPr="00B70DAE" w:rsidP="00B70DAE" w14:paraId="69C920F8" w14:textId="77777777">
      <w:pPr>
        <w:spacing w:after="0" w:line="240" w:lineRule="auto"/>
        <w:rPr>
          <w:rFonts w:ascii="Times New Roman" w:hAnsi="Times New Roman"/>
          <w:sz w:val="24"/>
          <w:szCs w:val="24"/>
        </w:rPr>
      </w:pPr>
      <w:r w:rsidRPr="00B70DAE">
        <w:rPr>
          <w:rFonts w:ascii="Times New Roman" w:hAnsi="Times New Roman"/>
          <w:lang w:val="en-JM"/>
        </w:rPr>
        <w:t> </w:t>
      </w:r>
    </w:p>
    <w:p w:rsidR="002D72BC" w:rsidP="002D72BC" w14:paraId="5AFA48E0" w14:textId="77777777">
      <w:pPr>
        <w:widowControl w:val="0"/>
        <w:tabs>
          <w:tab w:val="left" w:pos="450"/>
        </w:tabs>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1.  </w:t>
      </w:r>
      <w:r w:rsidRPr="00B92220">
        <w:rPr>
          <w:rFonts w:ascii="Times New Roman" w:eastAsia="Times New Roman" w:hAnsi="Times New Roman" w:cs="Shruti"/>
          <w:b/>
          <w:bCs/>
          <w:sz w:val="24"/>
          <w:szCs w:val="24"/>
        </w:rPr>
        <w:t>Explain the circumstances that make the collection of information necessary.  Identify</w:t>
      </w:r>
    </w:p>
    <w:p w:rsidR="002D72BC" w:rsidRPr="000A49E9" w:rsidP="002D72BC" w14:paraId="4ECA93F7" w14:textId="77777777">
      <w:pPr>
        <w:widowControl w:val="0"/>
        <w:tabs>
          <w:tab w:val="left" w:pos="450"/>
        </w:tabs>
        <w:autoSpaceDE w:val="0"/>
        <w:autoSpaceDN w:val="0"/>
        <w:adjustRightInd w:val="0"/>
        <w:spacing w:after="0" w:line="240" w:lineRule="auto"/>
        <w:rPr>
          <w:rFonts w:ascii="Times New Roman" w:eastAsia="Times New Roman" w:hAnsi="Times New Roman" w:cs="Shruti"/>
          <w:sz w:val="24"/>
          <w:szCs w:val="24"/>
        </w:rPr>
      </w:pPr>
      <w:r w:rsidRPr="00B92220">
        <w:rPr>
          <w:rFonts w:ascii="Times New Roman" w:eastAsia="Times New Roman" w:hAnsi="Times New Roman" w:cs="Shruti"/>
          <w:b/>
          <w:bCs/>
          <w:sz w:val="24"/>
          <w:szCs w:val="24"/>
        </w:rPr>
        <w:t>any legal or administrative requirements that necessitate the collection.  Attach a copy of the appropriate section of each statute and regulation mandating or authorizing the collection of information</w:t>
      </w:r>
      <w:r w:rsidRPr="000A49E9">
        <w:rPr>
          <w:rFonts w:ascii="Times New Roman" w:eastAsia="Times New Roman" w:hAnsi="Times New Roman" w:cs="Shruti"/>
          <w:sz w:val="24"/>
          <w:szCs w:val="24"/>
        </w:rPr>
        <w:t>.</w:t>
      </w:r>
    </w:p>
    <w:p w:rsidR="00B70DAE" w:rsidRPr="00B70DAE" w:rsidP="00B70DAE" w14:paraId="5A1D5705" w14:textId="77777777">
      <w:pPr>
        <w:spacing w:after="0" w:line="240" w:lineRule="auto"/>
        <w:rPr>
          <w:rFonts w:ascii="Times New Roman" w:hAnsi="Times New Roman"/>
          <w:sz w:val="24"/>
          <w:szCs w:val="24"/>
          <w:lang w:val="en-JM"/>
        </w:rPr>
      </w:pPr>
    </w:p>
    <w:p w:rsidR="00B70DAE" w:rsidRPr="00B70DAE" w:rsidP="00B70DAE" w14:paraId="32A05254"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[they] may deem necessary to carry out [their] responsibilities under this Act, including rules and regulations dealing with the inspection of an employer’s establishment” (29 U.S.C. 651).</w:t>
      </w:r>
    </w:p>
    <w:p w:rsidR="00B70DAE" w:rsidRPr="00B70DAE" w:rsidP="00B70DAE" w14:paraId="4B832F7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2C1B97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To protect worker health, the OSH Act authorizes the Occupational Safety and Health Administration (OSHA or agency) to develop standards that provide for “monitoring or measuring employee exposure” to occupational hazards and that “prescribe the type and frequency of medical examinations and other tests which shall be made available [by the employer] to employees exposed to such hazards . . . to most effectively determine whether the health of such employees is adversely affected by such exposure” and to take action to control the risks due to exposure (29 U.S.C. 655). Moreover, the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In addition, the OSH Act mandates that “[e]ach employer shall make, keep and preserve, and make available to the Secretary [of Labor] . . . such </w:t>
      </w:r>
      <w:r w:rsidRPr="00B70DAE">
        <w:rPr>
          <w:rFonts w:ascii="Times New Roman" w:hAnsi="Times New Roman"/>
          <w:sz w:val="24"/>
          <w:szCs w:val="24"/>
          <w:lang w:val="en-JM"/>
        </w:rPr>
        <w:t>records regarding [their] activities relating to this Act as the Secretary . . . may prescribe by regulation as necessary or appropriate for the enforcement of this Act or for developing information regarding the causes and prevention of occupational accidents and illnesses” (29 U.S.C. 657).</w:t>
      </w:r>
    </w:p>
    <w:p w:rsidR="00B70DAE" w:rsidRPr="00B70DAE" w:rsidP="00B70DAE" w14:paraId="5CF5932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541C09FA" w14:textId="77777777">
      <w:pPr>
        <w:spacing w:after="0" w:line="240" w:lineRule="auto"/>
        <w:rPr>
          <w:rFonts w:ascii="Times New Roman" w:hAnsi="Times New Roman"/>
          <w:sz w:val="24"/>
          <w:szCs w:val="24"/>
        </w:rPr>
      </w:pPr>
      <w:r w:rsidRPr="00B70DAE">
        <w:rPr>
          <w:rFonts w:ascii="Times New Roman" w:hAnsi="Times New Roman"/>
          <w:sz w:val="24"/>
          <w:szCs w:val="24"/>
          <w:lang w:val="en-JM"/>
        </w:rPr>
        <w:t>Section 6(b)(7) of the Act specifies that “[a]ny standard promulgated under this subsection shall prescribe the use of labels or other appropriate forms of warning as are necessary to ensure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B70DAE" w:rsidRPr="00B70DAE" w:rsidP="00B70DAE" w14:paraId="52B7AA7D" w14:textId="77777777">
      <w:pPr>
        <w:spacing w:after="0" w:line="240" w:lineRule="auto"/>
        <w:rPr>
          <w:rFonts w:ascii="Times New Roman" w:hAnsi="Times New Roman"/>
          <w:sz w:val="24"/>
          <w:szCs w:val="24"/>
        </w:rPr>
      </w:pPr>
    </w:p>
    <w:p w:rsidR="00B70DAE" w:rsidRPr="00B70DAE" w:rsidP="00B70DAE" w14:paraId="6B14621D" w14:textId="6328C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rPr>
      </w:pPr>
      <w:r w:rsidRPr="00B70DAE">
        <w:rPr>
          <w:rFonts w:ascii="Times New Roman" w:hAnsi="Times New Roman"/>
          <w:color w:val="000000" w:themeColor="text1"/>
          <w:sz w:val="24"/>
          <w:szCs w:val="24"/>
        </w:rPr>
        <w:t xml:space="preserve">Under its statutory authority, the agency issued separate standards addressing hexavalent chromium (Cr(VI)) exposure in general industry, shipyard employment, and construction. The standard for shipyard employment, 29 CFR </w:t>
      </w:r>
      <w:r w:rsidRPr="00B70DAE" w:rsidR="008A74B6">
        <w:rPr>
          <w:rFonts w:ascii="Times New Roman" w:hAnsi="Times New Roman"/>
          <w:color w:val="000000" w:themeColor="text1"/>
          <w:sz w:val="24"/>
          <w:szCs w:val="24"/>
        </w:rPr>
        <w:t>191</w:t>
      </w:r>
      <w:r w:rsidR="008A74B6">
        <w:rPr>
          <w:rFonts w:ascii="Times New Roman" w:hAnsi="Times New Roman"/>
          <w:color w:val="000000" w:themeColor="text1"/>
          <w:sz w:val="24"/>
          <w:szCs w:val="24"/>
        </w:rPr>
        <w:t>5</w:t>
      </w:r>
      <w:r w:rsidRPr="00B70DAE">
        <w:rPr>
          <w:rFonts w:ascii="Times New Roman" w:hAnsi="Times New Roman"/>
          <w:color w:val="000000" w:themeColor="text1"/>
          <w:sz w:val="24"/>
          <w:szCs w:val="24"/>
        </w:rPr>
        <w:t xml:space="preserve">.1026, also applies to marine terminals and longshoring. The standards for construction and shipyard employment, 29 CFR 1926.1126 and 1915.1026, respectively, are similar to one another, but each </w:t>
      </w:r>
      <w:r w:rsidR="00A76797">
        <w:rPr>
          <w:rFonts w:ascii="Times New Roman" w:hAnsi="Times New Roman"/>
          <w:color w:val="000000" w:themeColor="text1"/>
          <w:sz w:val="24"/>
          <w:szCs w:val="24"/>
        </w:rPr>
        <w:t>differs</w:t>
      </w:r>
      <w:r w:rsidRPr="00B70DAE">
        <w:rPr>
          <w:rFonts w:ascii="Times New Roman" w:hAnsi="Times New Roman"/>
          <w:color w:val="000000" w:themeColor="text1"/>
          <w:sz w:val="24"/>
          <w:szCs w:val="24"/>
        </w:rPr>
        <w:t xml:space="preserve"> in some respects from the standard for general industry. OSHA believes that certain conditions in these two sectors warrant requirements that are unique from those requirements that apply to the general industry.</w:t>
      </w:r>
    </w:p>
    <w:p w:rsidR="00B70DAE" w:rsidRPr="00B70DAE" w:rsidP="00B70DAE" w14:paraId="0804D1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p>
    <w:p w:rsidR="00B70DAE" w:rsidP="00B70DAE" w14:paraId="3BD94858" w14:textId="77777777">
      <w:pPr>
        <w:spacing w:after="0" w:line="240" w:lineRule="auto"/>
        <w:rPr>
          <w:rFonts w:ascii="Times New Roman" w:hAnsi="Times New Roman"/>
          <w:sz w:val="24"/>
          <w:szCs w:val="24"/>
          <w:lang w:val="en-JM"/>
        </w:rPr>
      </w:pPr>
      <w:r w:rsidRPr="00B70DAE">
        <w:rPr>
          <w:rFonts w:ascii="Times New Roman" w:hAnsi="Times New Roman"/>
          <w:sz w:val="24"/>
          <w:szCs w:val="24"/>
          <w:lang w:val="en-JM"/>
        </w:rPr>
        <w:t>The basis for these standards is a determination by OSHA that exposure to Cr(VI) poses a significant risk of lung cancer, nasal septum ulcerations and perforations, dermatoses, and asthma to workers. OSHA established a permissible exposure limit (PEL) for occupational exposure to Cr(VI) of 5 micrograms per cubic meter of air (5 µg/m</w:t>
      </w:r>
      <w:r w:rsidRPr="00B70DAE">
        <w:rPr>
          <w:rFonts w:ascii="Times New Roman" w:hAnsi="Times New Roman"/>
          <w:sz w:val="24"/>
          <w:szCs w:val="24"/>
          <w:vertAlign w:val="superscript"/>
          <w:lang w:val="en-JM"/>
        </w:rPr>
        <w:t>3</w:t>
      </w:r>
      <w:r w:rsidRPr="00B70DAE">
        <w:rPr>
          <w:rFonts w:ascii="Times New Roman" w:hAnsi="Times New Roman"/>
          <w:sz w:val="24"/>
          <w:szCs w:val="24"/>
          <w:lang w:val="en-JM"/>
        </w:rPr>
        <w:t>), assessed using an 8-hour time-weighted average (TWA). The agency also developed an action level (AL) of 2.5 micrograms per cubic meter of air (2.5 µg/m</w:t>
      </w:r>
      <w:r w:rsidRPr="00B70DAE">
        <w:rPr>
          <w:rFonts w:ascii="Times New Roman" w:hAnsi="Times New Roman"/>
          <w:sz w:val="24"/>
          <w:szCs w:val="24"/>
          <w:vertAlign w:val="superscript"/>
          <w:lang w:val="en-JM"/>
        </w:rPr>
        <w:t>3</w:t>
      </w:r>
      <w:r w:rsidRPr="00B70DAE">
        <w:rPr>
          <w:rFonts w:ascii="Times New Roman" w:hAnsi="Times New Roman"/>
          <w:sz w:val="24"/>
          <w:szCs w:val="24"/>
          <w:lang w:val="en-JM"/>
        </w:rPr>
        <w:t>), measured as a TWA. Exposures below the AL exempt employers from some of the regulatory burdens of these standards, such as worker exposure monitoring and medical surveillance.</w:t>
      </w:r>
    </w:p>
    <w:p w:rsidR="009F28D8" w:rsidRPr="00B70DAE" w:rsidP="00B70DAE" w14:paraId="5DD1D4C6" w14:textId="77777777">
      <w:pPr>
        <w:spacing w:after="0" w:line="240" w:lineRule="auto"/>
        <w:rPr>
          <w:rFonts w:ascii="Times New Roman" w:hAnsi="Times New Roman"/>
          <w:sz w:val="24"/>
          <w:szCs w:val="24"/>
          <w:lang w:val="en-JM"/>
        </w:rPr>
      </w:pPr>
    </w:p>
    <w:p w:rsidR="009F28D8" w:rsidRPr="00B92220" w:rsidP="009F28D8" w14:paraId="55925289" w14:textId="77777777">
      <w:pPr>
        <w:widowControl w:val="0"/>
        <w:autoSpaceDE w:val="0"/>
        <w:autoSpaceDN w:val="0"/>
        <w:adjustRightInd w:val="0"/>
        <w:spacing w:after="0" w:line="240" w:lineRule="auto"/>
        <w:ind w:right="-90"/>
        <w:rPr>
          <w:rFonts w:ascii="Times New Roman" w:eastAsia="Times New Roman" w:hAnsi="Times New Roman" w:cs="Shruti"/>
          <w:sz w:val="24"/>
          <w:szCs w:val="24"/>
        </w:rPr>
      </w:pPr>
      <w:r>
        <w:rPr>
          <w:rFonts w:ascii="Times New Roman" w:eastAsia="Times New Roman" w:hAnsi="Times New Roman" w:cs="Shruti"/>
          <w:b/>
          <w:bCs/>
          <w:sz w:val="24"/>
          <w:szCs w:val="24"/>
        </w:rPr>
        <w:t xml:space="preserve">2.  </w:t>
      </w:r>
      <w:r w:rsidRPr="00B92220">
        <w:rPr>
          <w:rFonts w:ascii="Times New Roman" w:eastAsia="Times New Roman" w:hAnsi="Times New Roman" w:cs="Shruti"/>
          <w:b/>
          <w:bCs/>
          <w:sz w:val="24"/>
          <w:szCs w:val="24"/>
        </w:rPr>
        <w:t xml:space="preserve">Indicate how, by whom, and for what purpose the information is to be used.  Except for a new collection, indicate the actual use the </w:t>
      </w:r>
      <w:r>
        <w:rPr>
          <w:rFonts w:ascii="Times New Roman" w:eastAsia="Times New Roman" w:hAnsi="Times New Roman" w:cs="Shruti"/>
          <w:b/>
          <w:bCs/>
          <w:sz w:val="24"/>
          <w:szCs w:val="24"/>
        </w:rPr>
        <w:t>a</w:t>
      </w:r>
      <w:r w:rsidRPr="00B92220">
        <w:rPr>
          <w:rFonts w:ascii="Times New Roman" w:eastAsia="Times New Roman" w:hAnsi="Times New Roman" w:cs="Shruti"/>
          <w:b/>
          <w:bCs/>
          <w:sz w:val="24"/>
          <w:szCs w:val="24"/>
        </w:rPr>
        <w:t>gency has made of the information received from the current collection</w:t>
      </w:r>
      <w:r w:rsidRPr="00B92220">
        <w:rPr>
          <w:rFonts w:ascii="Times New Roman" w:eastAsia="Times New Roman" w:hAnsi="Times New Roman" w:cs="Shruti"/>
          <w:sz w:val="24"/>
          <w:szCs w:val="24"/>
        </w:rPr>
        <w:t>.</w:t>
      </w:r>
    </w:p>
    <w:p w:rsidR="00B70DAE" w:rsidRPr="00B70DAE" w:rsidP="00B70DAE" w14:paraId="39553B43" w14:textId="77777777">
      <w:pPr>
        <w:shd w:val="clear" w:color="auto" w:fill="FFFFFF" w:themeFill="background1"/>
        <w:spacing w:before="100" w:beforeAutospacing="1" w:after="100" w:afterAutospacing="1" w:line="240" w:lineRule="auto"/>
        <w:rPr>
          <w:rFonts w:ascii="Times New Roman" w:eastAsia="Times New Roman" w:hAnsi="Times New Roman" w:cs="Times New Roman"/>
          <w:b/>
          <w:bCs/>
          <w:sz w:val="24"/>
          <w:szCs w:val="24"/>
          <w:lang w:val="en-JM"/>
        </w:rPr>
      </w:pPr>
      <w:r w:rsidRPr="00B70DAE">
        <w:rPr>
          <w:rFonts w:ascii="Times New Roman" w:eastAsia="Times New Roman" w:hAnsi="Times New Roman" w:cs="Times New Roman"/>
          <w:b/>
          <w:bCs/>
          <w:sz w:val="24"/>
          <w:szCs w:val="24"/>
          <w:lang w:val="en-JM"/>
        </w:rPr>
        <w:t>A.  Scope (paragraph (a) of §§ 1910.1026, 1915.1026, and 1926.1126)</w:t>
      </w:r>
    </w:p>
    <w:p w:rsidR="00B70DAE" w:rsidRPr="00B70DAE" w:rsidP="00B70DAE" w14:paraId="15CF4A6B" w14:textId="7DA9FFEE">
      <w:pPr>
        <w:shd w:val="clear" w:color="auto" w:fill="FFFFFF" w:themeFill="background1"/>
        <w:spacing w:before="100" w:beforeAutospacing="1" w:after="100" w:afterAutospacing="1" w:line="240" w:lineRule="auto"/>
        <w:rPr>
          <w:rFonts w:ascii="Times New Roman" w:eastAsia="Calibri" w:hAnsi="Times New Roman" w:cs="Times New Roman"/>
          <w:sz w:val="24"/>
          <w:szCs w:val="24"/>
          <w:lang w:val="en-JM"/>
        </w:rPr>
      </w:pPr>
      <w:r w:rsidRPr="00B70DAE">
        <w:rPr>
          <w:rFonts w:ascii="Times New Roman" w:eastAsia="Calibri" w:hAnsi="Times New Roman" w:cs="Times New Roman"/>
          <w:sz w:val="24"/>
          <w:szCs w:val="24"/>
          <w:lang w:val="en-JM"/>
        </w:rPr>
        <w:t xml:space="preserve">Paragraph (a)(4) contains an exception to the scope of the standards: “where the employer has objective data demonstrating that a material containing chromium or a specific process, operation, or activity involving chromium cannot release dusts, fumes, or mists of chromium (VI) in concentrations at or above 0.5 µg/m3 as an 8-hour time-weighted average  under any </w:t>
      </w:r>
      <w:r w:rsidRPr="00B70DAE">
        <w:rPr>
          <w:rFonts w:ascii="Times New Roman" w:eastAsia="Calibri" w:hAnsi="Times New Roman" w:cs="Times New Roman"/>
          <w:sz w:val="24"/>
          <w:szCs w:val="24"/>
          <w:lang w:val="en-JM"/>
        </w:rPr>
        <w:t xml:space="preserve">expected conditions of use.” (Paragraph (a)(1) provides that the standards apply to occupational exposures to chromium (VI) in all forms and compounds.) </w:t>
      </w:r>
    </w:p>
    <w:p w:rsidR="00B70DAE" w:rsidRPr="00B70DAE" w:rsidP="00B70DAE" w14:paraId="4C66A384" w14:textId="77777777">
      <w:pPr>
        <w:shd w:val="clear" w:color="auto" w:fill="FFFFFF" w:themeFill="background1"/>
        <w:spacing w:before="100" w:beforeAutospacing="1" w:after="100" w:afterAutospacing="1" w:line="240" w:lineRule="auto"/>
        <w:rPr>
          <w:rFonts w:ascii="Times New Roman" w:eastAsia="Calibri" w:hAnsi="Times New Roman" w:cs="Times New Roman"/>
          <w:sz w:val="24"/>
          <w:szCs w:val="24"/>
          <w:lang w:val="en-JM"/>
        </w:rPr>
      </w:pPr>
      <w:r w:rsidRPr="00B70DAE">
        <w:rPr>
          <w:rFonts w:ascii="Times New Roman" w:eastAsia="Calibri" w:hAnsi="Times New Roman" w:cs="Times New Roman"/>
          <w:sz w:val="24"/>
          <w:szCs w:val="24"/>
          <w:lang w:val="en-JM"/>
        </w:rPr>
        <w:t xml:space="preserve"> </w:t>
      </w:r>
    </w:p>
    <w:p w:rsidR="00B70DAE" w:rsidRPr="00B70DAE" w:rsidP="00B70DAE" w14:paraId="189BE515"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B.  Exposure Determination (paragraph (d) of §§ 1910.1026, 1915.1026, and 1926.1126)</w:t>
      </w:r>
    </w:p>
    <w:p w:rsidR="00B70DAE" w:rsidRPr="00B70DAE" w:rsidP="00B70DAE" w14:paraId="2FB02036"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12D079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xml:space="preserve">Paragraph (d) of the standard requires each employer who has a workplace or work operation covered by these standards to determine the 8-hour time-weighted average (TWA) exposures for each worker exposed to </w:t>
      </w:r>
      <w:bookmarkStart w:id="0" w:name="_Int_R5qcdhnM"/>
      <w:r w:rsidRPr="00B70DAE">
        <w:rPr>
          <w:rFonts w:ascii="Times New Roman" w:hAnsi="Times New Roman"/>
          <w:sz w:val="24"/>
          <w:szCs w:val="24"/>
        </w:rPr>
        <w:t>Cr(</w:t>
      </w:r>
      <w:bookmarkEnd w:id="0"/>
      <w:r w:rsidRPr="00B70DAE">
        <w:rPr>
          <w:rFonts w:ascii="Times New Roman" w:hAnsi="Times New Roman"/>
          <w:sz w:val="24"/>
          <w:szCs w:val="24"/>
        </w:rPr>
        <w:t>VI). The purpose of requiring an assessment of worker exposures to Cr(VI) includes: determination of the extent and degree of Cr(VI) exposure at the worksite; identification and prevention of worker Cr(VI) overexposure; identification of the sources of exposure to Cr(VI); collection of exposure data so that the employer can select the proper control methods; and evaluation of the effectiveness of these control methods. Assessment enables employers to meet their legal obligation to ensure that their workers are not exposed to Cr(VI) in excess of the PEL, and to notify workers of their exposure levels as required by Section 8(c)(3) of the Act. In addition, the exposure data provides information to the physician or other licensed health care professional (PLHCP)</w:t>
      </w:r>
      <w:bookmarkStart w:id="1" w:name="_ftnref2"/>
      <w:r>
        <w:rPr>
          <w:rFonts w:cs="Times New Roman"/>
          <w:sz w:val="20"/>
          <w:szCs w:val="20"/>
          <w:vertAlign w:val="superscript"/>
        </w:rPr>
        <w:footnoteReference w:id="4"/>
      </w:r>
      <w:bookmarkEnd w:id="1"/>
      <w:r w:rsidRPr="00B70DAE">
        <w:rPr>
          <w:rFonts w:ascii="Times New Roman" w:hAnsi="Times New Roman"/>
          <w:sz w:val="24"/>
          <w:szCs w:val="24"/>
        </w:rPr>
        <w:t xml:space="preserve"> who is performing the medical examinations to use in making an accurate diagnosis of presenting conditions.</w:t>
      </w:r>
    </w:p>
    <w:p w:rsidR="00B70DAE" w:rsidRPr="00B70DAE" w:rsidP="00B70DAE" w14:paraId="62CB7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31B3F1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DAE">
        <w:rPr>
          <w:rFonts w:ascii="Times New Roman" w:hAnsi="Times New Roman"/>
          <w:sz w:val="24"/>
          <w:szCs w:val="24"/>
        </w:rPr>
        <w:t>Paragraph (d)(2) of the standards, titled “Scheduled Monitoring Option,” specifies the air monitoring requirements for Cr(VI) exposures. Employers must perform initial, semi-annual, and quarterly air monitoring, respectively, under paragraphs (d)(2)(i), (d)(2)(iii), and (d)(2)(iv) of the standards, depending on the level of Cr(VI) exposure. The AL and PEL are benchmarks to the monitoring frequency. The other provisions of paragraph (d) address the requirements for additional monitoring, and performance-oriented options. </w:t>
      </w:r>
    </w:p>
    <w:p w:rsidR="00B70DAE" w:rsidRPr="00B70DAE" w:rsidP="00B70DAE" w14:paraId="5F5599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71F23D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Additional monitoring, required under paragraph (d)(2)(vi) of the standards, is necessary to ensure that changes in working conditions have not increased worker exposure to Cr(VI). This information will enable the employer to take appropriate action to protect exposed workers, such as instituting additional engineering controls or providing appropriate respiratory protection.</w:t>
      </w:r>
    </w:p>
    <w:p w:rsidR="00B70DAE" w:rsidRPr="00B70DAE" w:rsidP="00B70DAE" w14:paraId="752A6272" w14:textId="77777777">
      <w:pPr>
        <w:spacing w:after="0" w:line="240" w:lineRule="auto"/>
        <w:rPr>
          <w:rFonts w:ascii="Times New Roman" w:hAnsi="Times New Roman"/>
          <w:sz w:val="24"/>
          <w:szCs w:val="24"/>
        </w:rPr>
      </w:pPr>
      <w:r w:rsidRPr="00B70DAE">
        <w:rPr>
          <w:rFonts w:ascii="Times New Roman" w:hAnsi="Times New Roman"/>
          <w:sz w:val="24"/>
          <w:szCs w:val="24"/>
        </w:rPr>
        <w:t> </w:t>
      </w:r>
    </w:p>
    <w:p w:rsidR="00B70DAE" w:rsidRPr="00B70DAE" w:rsidP="00B70DAE" w14:paraId="760F9AEF"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Paragraph (d)(3) (Performance-Oriented Option) is an exposure monitoring option that employers may use instead of the scheduled monitoring options specified by paragraph (d)(2). It requires the employer to determine the 8-hour TWA exposure for each worker on the basis of any combination of air monitoring data, historical monitoring data, or objective data sufficient to accurately characterize worker exposure to Cr(VI). This option allows employers flexibility in assessing the Cr(VI) exposures of their workers. When the employer elects to follow this option, the exposure determination must provide the same degree of assurance that worker exposures have been correctly characterized as the scheduled monitoring option would, and the employer </w:t>
      </w:r>
      <w:r w:rsidRPr="00B70DAE">
        <w:rPr>
          <w:rFonts w:ascii="Times New Roman" w:hAnsi="Times New Roman"/>
          <w:sz w:val="24"/>
          <w:szCs w:val="24"/>
          <w:lang w:val="en-JM"/>
        </w:rPr>
        <w:t>must also re-evaluate worker exposures when any change occurs in the production process, raw materials, equipment, personnel, work practices, or control methods that may result in new or additional exposures to Cr(VI).</w:t>
      </w:r>
    </w:p>
    <w:p w:rsidR="00B70DAE" w:rsidRPr="00B70DAE" w:rsidP="00B70DAE" w14:paraId="4FB7B5D7"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55C7CC0D" w14:textId="77777777">
      <w:pPr>
        <w:spacing w:after="0" w:line="240" w:lineRule="auto"/>
        <w:rPr>
          <w:rFonts w:ascii="Times New Roman" w:hAnsi="Times New Roman"/>
          <w:sz w:val="24"/>
          <w:szCs w:val="24"/>
          <w:lang w:val="en-JM"/>
        </w:rPr>
      </w:pPr>
      <w:r w:rsidRPr="00B70DAE">
        <w:rPr>
          <w:rFonts w:ascii="Times New Roman" w:hAnsi="Times New Roman"/>
          <w:sz w:val="24"/>
          <w:szCs w:val="24"/>
          <w:lang w:val="en-JM"/>
        </w:rPr>
        <w:t>“Historical monitoring data” means “data from Cr(VI) monitoring conducted prior to May 30, 2006, and obtained during work operations in which the processes, types of material, control methods, work practices, and environmental conditions closely resemble the employer's current workplace operations.” The term “objective data” means “information, including air monitoring data from industry-wide surveys or calculations, involving a substance that has the composition, or chemical and physical properties, of the Cr(VI)-related substance to which workers are exposed, and that is associated with a specific product, material, process, operation, or activity that is the basis of their exposure.” Therefore, objective data must resemble closely the processes, types of material, control methods, work practices, and environmental conditions in the employer's current workplace operations; objective data also must represent Cr(VI) exposure levels across the range of work operations or products encountered by workers. Employers may use data collected by a trade association from its members to determine worker exposures to Cr(VI), provided the data meets the definition of objective data in the standards.</w:t>
      </w:r>
    </w:p>
    <w:p w:rsidR="00B70DAE" w:rsidRPr="00B70DAE" w:rsidP="00B70DAE" w14:paraId="6CEBEB7B" w14:textId="77777777">
      <w:pPr>
        <w:spacing w:after="0" w:line="240" w:lineRule="auto"/>
        <w:rPr>
          <w:rFonts w:ascii="Times New Roman" w:hAnsi="Times New Roman"/>
          <w:sz w:val="24"/>
          <w:szCs w:val="24"/>
        </w:rPr>
      </w:pPr>
    </w:p>
    <w:p w:rsidR="00B70DAE" w:rsidRPr="00B70DAE" w:rsidP="00B70DAE" w14:paraId="31B5C8F1"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1.  </w:t>
      </w:r>
      <w:r w:rsidRPr="00B70DAE">
        <w:rPr>
          <w:rFonts w:ascii="Times New Roman" w:hAnsi="Times New Roman"/>
          <w:sz w:val="24"/>
          <w:szCs w:val="24"/>
          <w:u w:val="single"/>
          <w:lang w:val="en-JM"/>
        </w:rPr>
        <w:t>Scheduled Monitoring Option: Initial Exposure Monitoring (paragraph (d)(2)(i) of §§ 1910.1026, 1915.1026, and 1926.1126)</w:t>
      </w:r>
    </w:p>
    <w:p w:rsidR="00B70DAE" w:rsidRPr="00B70DAE" w:rsidP="00B70DAE" w14:paraId="25EA97C0"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33CC5E31" w14:textId="24262634">
      <w:pPr>
        <w:spacing w:after="0" w:line="240" w:lineRule="auto"/>
        <w:rPr>
          <w:rFonts w:ascii="Times New Roman" w:hAnsi="Times New Roman"/>
          <w:sz w:val="24"/>
          <w:szCs w:val="24"/>
        </w:rPr>
      </w:pPr>
      <w:r w:rsidRPr="00B70DAE">
        <w:rPr>
          <w:rFonts w:ascii="Times New Roman" w:hAnsi="Times New Roman"/>
          <w:sz w:val="24"/>
          <w:szCs w:val="24"/>
          <w:lang w:val="en-JM"/>
        </w:rPr>
        <w:t>Paragraph (d)(2)(i) of the standard requires the employer to perform initial monitoring to determine the 8-hour TWA exposure for each worker by collecting a sufficient number of personal breathing zone air samples to accurately characterize full-shift exposure for each job classification in each work area during each shift. When an employer does representative sampling instead of sampling all workers to meet this requirement, the employer must sample the worker(s) expected to have the highest Cr(VI) exposures.</w:t>
      </w:r>
    </w:p>
    <w:p w:rsidR="00B70DAE" w:rsidRPr="00B70DAE" w:rsidP="00B70DAE" w14:paraId="4246558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1F4C83E0" w14:textId="77777777">
      <w:pPr>
        <w:spacing w:after="0" w:line="240" w:lineRule="auto"/>
        <w:rPr>
          <w:rFonts w:ascii="Times New Roman" w:hAnsi="Times New Roman"/>
          <w:sz w:val="24"/>
          <w:szCs w:val="24"/>
        </w:rPr>
      </w:pPr>
      <w:r w:rsidRPr="00B70DAE">
        <w:rPr>
          <w:rFonts w:ascii="Times New Roman" w:hAnsi="Times New Roman"/>
          <w:sz w:val="24"/>
          <w:szCs w:val="24"/>
          <w:lang w:val="en-JM"/>
        </w:rPr>
        <w:t>If initial monitoring indicates that worker Cr(VI) exposures are below the AL, the employer may discontinue monitoring for those workers whose exposures are represented by the monitoring data (</w:t>
      </w:r>
      <w:r w:rsidRPr="00B70DAE">
        <w:rPr>
          <w:rFonts w:ascii="Times New Roman" w:hAnsi="Times New Roman"/>
          <w:i/>
          <w:iCs/>
          <w:sz w:val="24"/>
          <w:szCs w:val="24"/>
          <w:lang w:val="en-JM"/>
        </w:rPr>
        <w:t>See</w:t>
      </w:r>
      <w:r w:rsidRPr="00B70DAE">
        <w:rPr>
          <w:rFonts w:ascii="Times New Roman" w:hAnsi="Times New Roman"/>
          <w:sz w:val="24"/>
          <w:szCs w:val="24"/>
          <w:lang w:val="en-JM"/>
        </w:rPr>
        <w:t xml:space="preserve"> paragraph (d)(2)(ii)). However, if the initial monitoring indicates worker exposures are at or above the AL, the employer must perform periodic monitoring.</w:t>
      </w:r>
    </w:p>
    <w:p w:rsidR="00B70DAE" w:rsidRPr="00B70DAE" w:rsidP="00B70DAE" w14:paraId="556BDB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25D84C21"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2.  </w:t>
      </w:r>
      <w:r w:rsidRPr="00B70DAE">
        <w:rPr>
          <w:rFonts w:ascii="Times New Roman" w:hAnsi="Times New Roman"/>
          <w:sz w:val="24"/>
          <w:szCs w:val="24"/>
          <w:u w:val="single"/>
          <w:lang w:val="en-JM"/>
        </w:rPr>
        <w:t>Scheduled Monitoring Option: Semi-Annual Exposure Monitoring (paragraph (d)(2)(iii) of §§ 1910.1026, 1915.1026, and 1926.1126)</w:t>
      </w:r>
    </w:p>
    <w:p w:rsidR="00B70DAE" w:rsidRPr="00B70DAE" w:rsidP="00B70DAE" w14:paraId="75ED49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2B2036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DAE">
        <w:rPr>
          <w:rFonts w:ascii="Times New Roman" w:hAnsi="Times New Roman"/>
          <w:sz w:val="24"/>
          <w:szCs w:val="24"/>
        </w:rPr>
        <w:t xml:space="preserve">Because of fluctuation in exposures, OSHA believes that when initial monitoring results equal or exceed the AL and are at or below the PEL, employers must continue to monitor workers at least every 6 months to ensure that exposures remain at or below the PEL. If the employer installs or upgrades controls, semi-annual monitoring will demonstrate whether the controls are working properly. Selection of appropriate respiratory protection also depends on adequate knowledge of worker exposures. The 6-month monitoring frequency will provide intervals that protect workers </w:t>
      </w:r>
      <w:r w:rsidRPr="00B70DAE">
        <w:rPr>
          <w:rFonts w:ascii="Times New Roman" w:hAnsi="Times New Roman"/>
          <w:sz w:val="24"/>
          <w:szCs w:val="24"/>
        </w:rPr>
        <w:t>exposed to Cr(VI) at or above the AL and at or below the PEL but are practical for employers to implement.</w:t>
      </w:r>
    </w:p>
    <w:p w:rsidR="00B70DAE" w:rsidRPr="00B70DAE" w:rsidP="00B70DAE" w14:paraId="0DD5D3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rsidR="00B70DAE" w:rsidRPr="00B70DAE" w:rsidP="00B70DAE" w14:paraId="5F0FCF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If periodic monitoring indicates that employee exposures are below the action level, and the result is confirmed by the result of another monitoring taken at least seven days later, the employer may discontinue the monitoring for those employees whose exposures are represented by such monitoring. (See paragraph (d)(2)(v).)</w:t>
      </w:r>
    </w:p>
    <w:p w:rsidR="00B70DAE" w:rsidRPr="00B70DAE" w:rsidP="00B70DAE" w14:paraId="7CA1F4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6C1AC2D8"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3.  </w:t>
      </w:r>
      <w:r w:rsidRPr="00B70DAE">
        <w:rPr>
          <w:rFonts w:ascii="Times New Roman" w:hAnsi="Times New Roman"/>
          <w:sz w:val="24"/>
          <w:szCs w:val="24"/>
          <w:u w:val="single"/>
          <w:lang w:val="en-JM"/>
        </w:rPr>
        <w:t>Scheduled Monitoring Option: Quarterly Exposure Monitoring (paragraph (d)(2)(iv) of §§ 1910.1026, 1915.1026, and 1926.1126)</w:t>
      </w:r>
    </w:p>
    <w:p w:rsidR="00B70DAE" w:rsidRPr="00B70DAE" w:rsidP="00B70DAE" w14:paraId="59B1DB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lang w:val="en-JM"/>
        </w:rPr>
        <w:t> </w:t>
      </w:r>
    </w:p>
    <w:p w:rsidR="00B70DAE" w:rsidRPr="00B70DAE" w:rsidP="00B70DAE" w14:paraId="17450B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DAE">
        <w:rPr>
          <w:rFonts w:ascii="Times New Roman" w:hAnsi="Times New Roman"/>
          <w:sz w:val="24"/>
          <w:szCs w:val="24"/>
        </w:rPr>
        <w:t>When initial monitoring results exceed the PEL, periodic monitoring every three months allows the employer to maintain an accurate profile of worker exposures. If the employer installs or upgrades controls, quarterly monitoring will demonstrate whether the controls are working properly. Selection of appropriate respiratory protection also depends on adequate knowledge of worker exposures. The three-month monitoring frequency provides an interval that protects workers exposed to Cr(VI) above the PEL but are practical for employers to implement.</w:t>
      </w:r>
    </w:p>
    <w:p w:rsidR="00B70DAE" w:rsidRPr="00B70DAE" w:rsidP="00B70DAE" w14:paraId="4EC613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70DAE" w:rsidRPr="00B70DAE" w:rsidP="00B70DAE" w14:paraId="1FE3C8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DAE">
        <w:rPr>
          <w:rFonts w:ascii="Times New Roman" w:hAnsi="Times New Roman"/>
          <w:sz w:val="24"/>
          <w:szCs w:val="24"/>
        </w:rPr>
        <w:t>If periodic monitoring indicates that employee exposures are below the action level, and the result is confirmed by the result of another monitoring taken at least seven days later, the employer may discontinue the monitoring for those employees whose exposures are represented by such monitoring. (See paragraph (d)(2)(v).)</w:t>
      </w:r>
    </w:p>
    <w:p w:rsidR="00B70DAE" w:rsidRPr="00B70DAE" w:rsidP="00B70DAE" w14:paraId="00A15E16" w14:textId="77777777">
      <w:pPr>
        <w:spacing w:after="0" w:line="240" w:lineRule="auto"/>
        <w:rPr>
          <w:rFonts w:ascii="Times New Roman" w:hAnsi="Times New Roman"/>
          <w:sz w:val="24"/>
          <w:szCs w:val="24"/>
        </w:rPr>
      </w:pPr>
      <w:r w:rsidRPr="00B70DAE">
        <w:rPr>
          <w:rFonts w:ascii="Times New Roman" w:hAnsi="Times New Roman"/>
          <w:sz w:val="24"/>
          <w:szCs w:val="24"/>
        </w:rPr>
        <w:t> </w:t>
      </w:r>
    </w:p>
    <w:p w:rsidR="00B70DAE" w:rsidRPr="00B70DAE" w:rsidP="00B70DAE" w14:paraId="49A327DE"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4.  </w:t>
      </w:r>
      <w:r w:rsidRPr="00B70DAE">
        <w:rPr>
          <w:rFonts w:ascii="Times New Roman" w:hAnsi="Times New Roman"/>
          <w:sz w:val="24"/>
          <w:szCs w:val="24"/>
          <w:u w:val="single"/>
          <w:lang w:val="en-JM"/>
        </w:rPr>
        <w:t>Employee Notification of Determination Results (paragraphs (d)(4) of §§ 1910.1026, 1915.1026, and 1926.1126)</w:t>
      </w:r>
    </w:p>
    <w:p w:rsidR="00B70DAE" w:rsidRPr="00B70DAE" w:rsidP="00B70DAE" w14:paraId="133D3A22" w14:textId="77777777">
      <w:pPr>
        <w:spacing w:after="0" w:line="240" w:lineRule="auto"/>
        <w:rPr>
          <w:rFonts w:ascii="Times New Roman" w:hAnsi="Times New Roman"/>
          <w:sz w:val="24"/>
          <w:szCs w:val="24"/>
        </w:rPr>
      </w:pPr>
      <w:r w:rsidRPr="00B70DAE">
        <w:rPr>
          <w:rFonts w:ascii="Times New Roman" w:hAnsi="Times New Roman"/>
          <w:sz w:val="24"/>
          <w:szCs w:val="24"/>
        </w:rPr>
        <w:t> </w:t>
      </w:r>
    </w:p>
    <w:p w:rsidR="00B70DAE" w:rsidRPr="00B70DAE" w:rsidP="00B70DAE" w14:paraId="2EEBD80F"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Paragraph (d)(4) of the general industry standard requires the employer to notify each affected </w:t>
      </w:r>
      <w:r w:rsidRPr="00B70DAE">
        <w:rPr>
          <w:rFonts w:ascii="Times New Roman" w:hAnsi="Times New Roman"/>
          <w:sz w:val="24"/>
          <w:szCs w:val="24"/>
        </w:rPr>
        <w:t>worker</w:t>
      </w:r>
      <w:r>
        <w:rPr>
          <w:rFonts w:cs="Times New Roman"/>
          <w:vertAlign w:val="superscript"/>
        </w:rPr>
        <w:footnoteReference w:id="5"/>
      </w:r>
      <w:r w:rsidRPr="00B70DAE">
        <w:rPr>
          <w:rFonts w:ascii="Times New Roman" w:hAnsi="Times New Roman"/>
          <w:sz w:val="24"/>
          <w:szCs w:val="24"/>
          <w:vertAlign w:val="superscript"/>
        </w:rPr>
        <w:t xml:space="preserve"> </w:t>
      </w:r>
      <w:r w:rsidRPr="00B70DAE">
        <w:rPr>
          <w:rFonts w:ascii="Times New Roman" w:hAnsi="Times New Roman"/>
          <w:sz w:val="24"/>
          <w:szCs w:val="24"/>
        </w:rPr>
        <w:t>within 15 working days after making an exposure determination.</w:t>
      </w:r>
      <w:r w:rsidRPr="00B70DAE">
        <w:rPr>
          <w:rFonts w:cs="Times New Roman"/>
          <w:vertAlign w:val="superscript"/>
        </w:rPr>
        <w:t xml:space="preserve"> </w:t>
      </w:r>
      <w:r w:rsidRPr="00B70DAE">
        <w:rPr>
          <w:rFonts w:ascii="Times New Roman" w:hAnsi="Times New Roman"/>
          <w:color w:val="000000"/>
          <w:sz w:val="24"/>
          <w:szCs w:val="24"/>
          <w:shd w:val="clear" w:color="auto" w:fill="FFFFFF"/>
        </w:rPr>
        <w:t>In the shipyard and construction industries</w:t>
      </w:r>
      <w:r w:rsidRPr="00B70DAE">
        <w:rPr>
          <w:rFonts w:ascii="Times New Roman" w:hAnsi="Times New Roman"/>
          <w:color w:val="000000" w:themeColor="text1"/>
          <w:sz w:val="24"/>
          <w:szCs w:val="24"/>
        </w:rPr>
        <w:t>,</w:t>
      </w:r>
      <w:r w:rsidRPr="00B70DAE">
        <w:rPr>
          <w:rFonts w:ascii="Times New Roman" w:hAnsi="Times New Roman"/>
          <w:color w:val="000000"/>
          <w:sz w:val="24"/>
          <w:szCs w:val="24"/>
          <w:shd w:val="clear" w:color="auto" w:fill="FFFFFF"/>
        </w:rPr>
        <w:t xml:space="preserve"> employers are required to notify workers of exposure determination results</w:t>
      </w:r>
      <w:r w:rsidRPr="00B70DAE">
        <w:rPr>
          <w:rFonts w:ascii="Times New Roman" w:hAnsi="Times New Roman"/>
          <w:b/>
          <w:bCs/>
          <w:color w:val="000000"/>
          <w:sz w:val="24"/>
          <w:szCs w:val="24"/>
          <w:shd w:val="clear" w:color="auto" w:fill="FFFFFF"/>
        </w:rPr>
        <w:t xml:space="preserve"> </w:t>
      </w:r>
      <w:r w:rsidRPr="00B70DAE">
        <w:rPr>
          <w:rFonts w:ascii="Times New Roman" w:hAnsi="Times New Roman"/>
          <w:color w:val="000000"/>
          <w:sz w:val="24"/>
          <w:szCs w:val="24"/>
          <w:shd w:val="clear" w:color="auto" w:fill="FFFFFF"/>
        </w:rPr>
        <w:t>no more than 5 working days after making an exposure determination.</w:t>
      </w:r>
      <w:r w:rsidRPr="00B70DAE">
        <w:rPr>
          <w:rFonts w:ascii="Times New Roman" w:hAnsi="Times New Roman"/>
          <w:sz w:val="24"/>
          <w:szCs w:val="24"/>
        </w:rPr>
        <w:t xml:space="preserve"> The employer must either notify each affected worker in writing or by posting the monitoring results in an appropriate location accessible to all affected workers. In addition, whenever the PEL has been exceeded, the written notification must contain a description of the corrective action(s) that the employer will take to reduce the worker's exposure to or below the PEL. The purpose of this requirement is to inform workers of the corrective actions the employer is taking to reduce the exposure level to or below the PEL. It is necessary to assure workers that the employer is making efforts to furnish them with a safe and healthful work environment and is required under section 8(c)(3) of the Act.</w:t>
      </w:r>
      <w:r w:rsidRPr="00B70DAE">
        <w:rPr>
          <w:rFonts w:ascii="Times New Roman" w:hAnsi="Times New Roman"/>
          <w:color w:val="000000"/>
          <w:sz w:val="24"/>
          <w:szCs w:val="24"/>
          <w:shd w:val="clear" w:color="auto" w:fill="FFFFFF"/>
        </w:rPr>
        <w:t xml:space="preserve"> </w:t>
      </w:r>
    </w:p>
    <w:p w:rsidR="00B70DAE" w:rsidRPr="00B70DAE" w:rsidP="00B70DAE" w14:paraId="28CC89A6" w14:textId="77777777">
      <w:pPr>
        <w:spacing w:after="0" w:line="240" w:lineRule="auto"/>
        <w:rPr>
          <w:rFonts w:ascii="Times New Roman" w:hAnsi="Times New Roman"/>
          <w:sz w:val="24"/>
          <w:szCs w:val="24"/>
          <w:lang w:val="en-JM"/>
        </w:rPr>
      </w:pPr>
      <w:r w:rsidRPr="00B70DAE">
        <w:rPr>
          <w:rFonts w:ascii="Times New Roman" w:hAnsi="Times New Roman"/>
          <w:sz w:val="24"/>
          <w:szCs w:val="24"/>
          <w:lang w:val="en-JM"/>
        </w:rPr>
        <w:t> </w:t>
      </w:r>
    </w:p>
    <w:p w:rsidR="00B70DAE" w:rsidRPr="00B70DAE" w:rsidP="00B70DAE" w14:paraId="49C962BF"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C.  Regulated Areas (§ 1910.1026(e))</w:t>
      </w:r>
    </w:p>
    <w:p w:rsidR="00B70DAE" w:rsidRPr="00B70DAE" w:rsidP="00B70DAE" w14:paraId="4DDE1121"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5B43ED5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1.  </w:t>
      </w:r>
      <w:r w:rsidRPr="00B70DAE">
        <w:rPr>
          <w:rFonts w:ascii="Times New Roman" w:hAnsi="Times New Roman"/>
          <w:sz w:val="24"/>
          <w:szCs w:val="24"/>
          <w:u w:val="single"/>
          <w:lang w:val="en-JM"/>
        </w:rPr>
        <w:t>Demarcation (§ 1910.1026(e)(2))</w:t>
      </w:r>
    </w:p>
    <w:p w:rsidR="00B70DAE" w:rsidRPr="00B70DAE" w:rsidP="00B70DAE" w14:paraId="57F5E279"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EFE26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Paragraph (e)(1) of the general industry standard</w:t>
      </w:r>
      <w:bookmarkStart w:id="2" w:name="_ftnref4"/>
      <w:r>
        <w:rPr>
          <w:rFonts w:cs="Times New Roman"/>
          <w:sz w:val="20"/>
          <w:szCs w:val="20"/>
          <w:vertAlign w:val="superscript"/>
        </w:rPr>
        <w:footnoteReference w:id="6"/>
      </w:r>
      <w:bookmarkEnd w:id="2"/>
      <w:r w:rsidRPr="00B70DAE">
        <w:rPr>
          <w:sz w:val="16"/>
          <w:szCs w:val="16"/>
        </w:rPr>
        <w:t xml:space="preserve"> </w:t>
      </w:r>
      <w:r w:rsidRPr="00B70DAE">
        <w:rPr>
          <w:rFonts w:ascii="Times New Roman" w:hAnsi="Times New Roman"/>
          <w:sz w:val="24"/>
          <w:szCs w:val="24"/>
        </w:rPr>
        <w:t>requires the employer to establish regulated areas wherever a worker's exposure to airborne concentrations of Cr(VI) is, or can reasonably be expected to be, in excess of the PEL. Under paragraph (e)(2), regulated areas must be demarcated from the rest of the workplace in a manner that adequately establishes and alerts workers to the boundaries of these areas. Employers must limit access to regulated areas to individuals: authorized by the employer and required by work duties to be present in the regulated area; entering the regulated area to observe monitoring procedures; or persons authorized by the OSH Act or OSHA regulations to be in a regulated area.</w:t>
      </w:r>
    </w:p>
    <w:p w:rsidR="00B70DAE" w:rsidRPr="00B70DAE" w:rsidP="00B70DAE" w14:paraId="4706C8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6A4F08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The purpose of a regulated area is to ensure that the employer makes workers aware of the presence of Cr(VI) at levels above the PEL, and to limit Cr(VI) exposure to as few workers as possible. The establishment of a regulated area is an effective means of limiting the risk of exposure to substances at levels known to have serious health effects.</w:t>
      </w:r>
    </w:p>
    <w:p w:rsidR="00B70DAE" w:rsidRPr="00B70DAE" w:rsidP="00B70DAE" w14:paraId="74FF04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70DAE" w:rsidRPr="00B70DAE" w:rsidP="00B70DAE" w14:paraId="765FBD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DAE">
        <w:rPr>
          <w:rFonts w:ascii="Times New Roman" w:hAnsi="Times New Roman"/>
          <w:sz w:val="24"/>
          <w:szCs w:val="24"/>
        </w:rPr>
        <w:t>OSHA is not taking burden hours or costs for this provision under Items 12 and 13 of this Supporting Statement because it is performance oriented and does not require employers to post warning signs. OSHA does not specify how employers are to demarcate regulated areas. Means of demarcation can include barricades, lines and textured flooring, or signs that notify workers of Cr(VI) exposure hazards, the need to restrict access to Cr(VI)-contaminated areas, and protective measures they must implement. Permitting employers to choose how best to identify and limit access to regulated areas is consistent with OSHA's belief that employers are in the best position to make such determinations, based on their knowledge of the specific conditions of their workplaces.</w:t>
      </w:r>
    </w:p>
    <w:p w:rsidR="00B70DAE" w:rsidRPr="00B70DAE" w:rsidP="00B70DAE" w14:paraId="51EEA990" w14:textId="77777777">
      <w:pPr>
        <w:spacing w:after="0" w:line="240" w:lineRule="auto"/>
        <w:rPr>
          <w:rFonts w:ascii="Times New Roman" w:hAnsi="Times New Roman"/>
          <w:sz w:val="24"/>
          <w:szCs w:val="24"/>
        </w:rPr>
      </w:pPr>
      <w:r w:rsidRPr="00B70DAE">
        <w:rPr>
          <w:rFonts w:ascii="Times New Roman" w:hAnsi="Times New Roman"/>
          <w:sz w:val="24"/>
          <w:szCs w:val="24"/>
        </w:rPr>
        <w:t> </w:t>
      </w:r>
    </w:p>
    <w:p w:rsidR="00B70DAE" w:rsidRPr="00B70DAE" w:rsidP="00B70DAE" w14:paraId="4BEBCAC2"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D.  Respiratory Protection (§§ 1910.1026(g), 1915.1026(f), and 1926.1126(f))</w:t>
      </w:r>
    </w:p>
    <w:p w:rsidR="00B70DAE" w:rsidRPr="00B70DAE" w:rsidP="00B70DAE" w14:paraId="2FCE5F53" w14:textId="77777777">
      <w:pPr>
        <w:spacing w:after="0" w:line="240" w:lineRule="auto"/>
        <w:rPr>
          <w:rFonts w:ascii="Times New Roman" w:hAnsi="Times New Roman"/>
          <w:sz w:val="24"/>
          <w:szCs w:val="24"/>
        </w:rPr>
      </w:pPr>
      <w:r w:rsidRPr="00B70DAE">
        <w:rPr>
          <w:rFonts w:ascii="Times New Roman" w:hAnsi="Times New Roman"/>
          <w:b/>
          <w:bCs/>
          <w:sz w:val="24"/>
          <w:szCs w:val="24"/>
          <w:lang w:val="en-JM"/>
        </w:rPr>
        <w:t> </w:t>
      </w:r>
    </w:p>
    <w:p w:rsidR="00B70DAE" w:rsidRPr="00B70DAE" w:rsidP="00B70DAE" w14:paraId="1B2BCDBE" w14:textId="17E342F6">
      <w:pPr>
        <w:spacing w:after="0" w:line="240" w:lineRule="auto"/>
        <w:rPr>
          <w:rFonts w:ascii="Times New Roman" w:hAnsi="Times New Roman"/>
          <w:sz w:val="24"/>
          <w:szCs w:val="24"/>
        </w:rPr>
      </w:pPr>
      <w:r w:rsidRPr="00B70DAE">
        <w:rPr>
          <w:rFonts w:ascii="Times New Roman" w:hAnsi="Times New Roman"/>
          <w:sz w:val="24"/>
          <w:szCs w:val="24"/>
          <w:lang w:val="en-JM"/>
        </w:rPr>
        <w:t xml:space="preserve">Paragraph (g)(1) of the general industry standard, and paragraph (f)(1) of the shipyard employment and construction standards </w:t>
      </w:r>
      <w:r w:rsidR="00A2668F">
        <w:rPr>
          <w:rFonts w:ascii="Times New Roman" w:hAnsi="Times New Roman"/>
          <w:sz w:val="24"/>
          <w:szCs w:val="24"/>
          <w:lang w:val="en-JM"/>
        </w:rPr>
        <w:t xml:space="preserve">establish requirements for the </w:t>
      </w:r>
      <w:r w:rsidRPr="00B70DAE">
        <w:rPr>
          <w:rFonts w:ascii="Times New Roman" w:hAnsi="Times New Roman"/>
          <w:sz w:val="24"/>
          <w:szCs w:val="24"/>
          <w:lang w:val="en-JM"/>
        </w:rPr>
        <w:t>use of respiratory protection. Employers are required to provide each worker with respirator. The protection when engineering controls and work practices cannot reduce worker exposure to Cr(VI) to or below the PEL. Specifically, respirators are required during the installation and implementation of feasible engineering and work practice controls; during work operations for which engineering and work practice controls are not feasible; when all feasible engineering and work practice controls have been implemented, but are not sufficient to reduce exposure to or below the PEL; during work operations when workers are exposed above the PEL for fewer than 30 days per year, and the employer has elected not to implement engineering and work practice controls to achieve the PEL; and during emergencies.</w:t>
      </w:r>
    </w:p>
    <w:p w:rsidR="00B70DAE" w:rsidRPr="00B70DAE" w:rsidP="00B70DAE" w14:paraId="7A80BCA6"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37D22936" w14:textId="77777777">
      <w:pPr>
        <w:spacing w:after="0" w:line="240" w:lineRule="auto"/>
        <w:rPr>
          <w:rFonts w:ascii="Courier New" w:hAnsi="Courier New" w:cs="Courier New"/>
          <w:sz w:val="20"/>
          <w:szCs w:val="20"/>
        </w:rPr>
      </w:pPr>
      <w:r w:rsidRPr="00B70DAE">
        <w:rPr>
          <w:rFonts w:ascii="Times New Roman" w:hAnsi="Times New Roman"/>
          <w:sz w:val="24"/>
          <w:szCs w:val="24"/>
        </w:rPr>
        <w:t>Whenever respirators are used to comply with the requirements of the standards, paragraph (g)(2) of the general industry standard, and paragraph (f)(2) of the shipyard employment and construction standards, require the employer to implement a comprehensive, written respiratory protection program in accordance with the Agency's Respiratory Protection Standard (29 CFR 1910.134), which covers each worker required to use a respirator.</w:t>
      </w:r>
      <w:r>
        <w:rPr>
          <w:rFonts w:cs="Times New Roman"/>
          <w:vertAlign w:val="superscript"/>
        </w:rPr>
        <w:footnoteReference w:id="7"/>
      </w:r>
      <w:r w:rsidRPr="00B70DAE">
        <w:rPr>
          <w:rFonts w:ascii="Times New Roman" w:hAnsi="Times New Roman"/>
          <w:sz w:val="24"/>
          <w:szCs w:val="24"/>
        </w:rPr>
        <w:t xml:space="preserve"> The respiratory protection program is designed to ensure that respirators are properly used in the workplace and are effective in protecting workers. The program must include procedures for selecting respirators for use in the workplace; medical evaluation of workers required to use respirators; fit testing workers for respirator use; procedures for proper use of respirators in routine and reasonably foreseeable emergency situations; procedures and schedules for maintaining respirators; procedures to ensure adequate quality, quantity, and flow of breathing air for atmosphere-supplying respirators; training of workers in the proper use of respirators; and procedures for evaluating the effectiveness of the program. The purpose of these requirements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This provision also serves as a reminder to employers covered by the Cr(VI) rule that they must comply with the Respiratory Protection Standard when respirators are provided to workers.</w:t>
      </w:r>
    </w:p>
    <w:p w:rsidR="00B70DAE" w:rsidRPr="00B70DAE" w:rsidP="00B70DAE" w14:paraId="1483CE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1F9C25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The four principle paperwork requirements specified in the respiratory protection program are qualitative and quantitative fit testing to ensure that respirators adequately protect workers who must use them, administration of the medical questionnaire to determine the physical and psychological ability of workers to use the respirator selected for them, and the follow-up medical examination to further evaluate responses to the medical questionnaire that may indicate conditions that would prohibit a worker from using the selected respirator. The following paragraphs discuss in detail the collection of information costs associated with these respiratory protection program requirements.</w:t>
      </w:r>
    </w:p>
    <w:p w:rsidR="00B70DAE" w:rsidRPr="00B70DAE" w:rsidP="00B70DAE" w14:paraId="445C4B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23BA3ECD"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1.  </w:t>
      </w:r>
      <w:r w:rsidRPr="00B70DAE">
        <w:rPr>
          <w:rFonts w:ascii="Times New Roman" w:hAnsi="Times New Roman"/>
          <w:sz w:val="24"/>
          <w:szCs w:val="24"/>
          <w:u w:val="single"/>
          <w:lang w:val="en-JM"/>
        </w:rPr>
        <w:t>Respiratory Protection Program (§§ 1910.1026(g)(2), 1915.1026(f)(2), and 1926.1126(f)(2)): Qualitative Fit Testing for Respirator Use</w:t>
      </w:r>
    </w:p>
    <w:p w:rsidR="00B70DAE" w:rsidRPr="00B70DAE" w:rsidP="00B70DAE" w14:paraId="3B07F8D8" w14:textId="77777777">
      <w:pPr>
        <w:spacing w:after="0" w:line="240" w:lineRule="auto"/>
        <w:rPr>
          <w:rFonts w:ascii="Times New Roman" w:hAnsi="Times New Roman"/>
          <w:sz w:val="24"/>
          <w:szCs w:val="24"/>
          <w:u w:val="single"/>
          <w:lang w:val="en-JM"/>
        </w:rPr>
      </w:pPr>
    </w:p>
    <w:p w:rsidR="00B70DAE" w:rsidRPr="00B70DAE" w:rsidP="00B70DAE" w14:paraId="3BE23D0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In accordance with the Respiratory Protection Standard, 29 CFR 1910.134, workers who use respirators for protection against airborne Cr(VI) must receive either a qualitative fit test (QLFT) or a quantitative fit test (QNFT) prior to initial respirator use, and at least annually thereafter. The QLFT involves the introduction of a gas, vapor, or aerosol test agent into an area around the head of the respirator user. If the respirator user can detect the presence of the test agent through subjective means, such as odour, taste, or irritation, the respirator fit is inadequate. The QLFT record must include the date and type of fit test performed (e.g., irritant smoke, saccharin), </w:t>
      </w:r>
      <w:r w:rsidRPr="00B70DAE">
        <w:rPr>
          <w:rFonts w:ascii="Times New Roman" w:hAnsi="Times New Roman"/>
          <w:sz w:val="24"/>
          <w:szCs w:val="24"/>
          <w:lang w:val="en-JM"/>
        </w:rPr>
        <w:t>worker information, and type of respirator. Employers must maintain the fit testing records until the next fit test is administered. Both employers and OSHA need these records to determine that: each worker received a fit test, both prior to starting respirator use and at least annually thereafter; each worker passed the qualitative fit test; and the model and size of the respirator used during fit testing are the same as the model and size of the respirator used by the worker in the workplace.</w:t>
      </w:r>
    </w:p>
    <w:p w:rsidR="00B70DAE" w:rsidRPr="00B70DAE" w:rsidP="00B70DAE" w14:paraId="714CF99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3110A001"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2.  </w:t>
      </w:r>
      <w:r w:rsidRPr="00B70DAE">
        <w:rPr>
          <w:rFonts w:ascii="Times New Roman" w:hAnsi="Times New Roman"/>
          <w:sz w:val="24"/>
          <w:szCs w:val="24"/>
          <w:u w:val="single"/>
          <w:lang w:val="en-JM"/>
        </w:rPr>
        <w:t>Respiratory Protection Program (§§ 1910.1026(g)(2), 1915.1026(f)(2), and 1926.1126(f)(2)):</w:t>
      </w:r>
      <w:r w:rsidRPr="00B70DAE">
        <w:t xml:space="preserve"> </w:t>
      </w:r>
      <w:r w:rsidRPr="00B70DAE">
        <w:rPr>
          <w:rFonts w:ascii="Times New Roman" w:hAnsi="Times New Roman"/>
          <w:sz w:val="24"/>
          <w:szCs w:val="24"/>
          <w:u w:val="single"/>
          <w:lang w:val="en-JM"/>
        </w:rPr>
        <w:t>Quantitative Fit Testing for Respirator Use</w:t>
      </w:r>
    </w:p>
    <w:p w:rsidR="00B70DAE" w:rsidRPr="00B70DAE" w:rsidP="00B70DAE" w14:paraId="65D70108"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44F725E" w14:textId="77777777">
      <w:pPr>
        <w:spacing w:after="0" w:line="240" w:lineRule="auto"/>
        <w:rPr>
          <w:rFonts w:ascii="Times New Roman" w:hAnsi="Times New Roman"/>
          <w:sz w:val="24"/>
          <w:szCs w:val="24"/>
        </w:rPr>
      </w:pPr>
      <w:r w:rsidRPr="00B70DAE">
        <w:rPr>
          <w:rFonts w:ascii="Times New Roman" w:hAnsi="Times New Roman"/>
          <w:sz w:val="24"/>
          <w:szCs w:val="24"/>
          <w:lang w:val="en-JM"/>
        </w:rPr>
        <w:t>In accordance with the Respiratory Protection Standard, 29 CFR 1910.134, in a quantitative respirator fit test (QNFT), the adequacy of respirator fit is assessed by measuring the amount of leakage into the respirator, either by generating a test aerosol as a test atmosphere, using ambient aerosol as the test agent, or using controlled negative pressure to measure the volumetric leak rate. Appropriate instrumentation is required to quantify respirator fit in QNFT. The QNFT record must include the date and type of fit test performed, worker information, type of respirator, and a record of the test (e.g., strip charts, computer integration). Employers must maintain the fit testing records until the next fit test is administered. These records allow employers and OSHA to ensure that: each worker received a fit test, both prior to starting respirator use and at least annually thereafter; each worker achieved a sufficiently high fit factor to pass the QNFT for the required assigned protection factor; the QNFT was performed correctly, and the fit factor was calculated properly; and the model and size of the respirator used during fit testing are the same as the model and size of the respirator used by the worker in the workplace.</w:t>
      </w:r>
    </w:p>
    <w:p w:rsidR="00B70DAE" w:rsidRPr="00B70DAE" w:rsidP="00B70DAE" w14:paraId="76E3272F"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3632845"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3.  </w:t>
      </w:r>
      <w:r w:rsidRPr="00B70DAE">
        <w:rPr>
          <w:rFonts w:ascii="Times New Roman" w:hAnsi="Times New Roman"/>
          <w:sz w:val="24"/>
          <w:szCs w:val="24"/>
          <w:u w:val="single"/>
          <w:lang w:val="en-JM"/>
        </w:rPr>
        <w:t>Respiratory Protection Program (§§ 1910.1026(g)(2), 1915.1026(f)(2), and 1926.1126(f)(2)): Medical Questionnaires for Respirator Use</w:t>
      </w:r>
    </w:p>
    <w:p w:rsidR="00B70DAE" w:rsidRPr="00B70DAE" w:rsidP="00B70DAE" w14:paraId="0E0C8BA7"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12563C12" w14:textId="77777777">
      <w:pPr>
        <w:spacing w:after="0" w:line="240" w:lineRule="auto"/>
        <w:rPr>
          <w:rFonts w:ascii="Times New Roman" w:hAnsi="Times New Roman"/>
          <w:sz w:val="24"/>
          <w:szCs w:val="24"/>
        </w:rPr>
      </w:pPr>
      <w:r w:rsidRPr="00B70DAE">
        <w:rPr>
          <w:rFonts w:ascii="Times New Roman" w:hAnsi="Times New Roman"/>
          <w:sz w:val="24"/>
          <w:szCs w:val="24"/>
          <w:lang w:val="en-JM"/>
        </w:rPr>
        <w:t>In accordance with the Respiratory Protection Standard, 29 CFR 1910.134, workers using a respirator for the first time for protection against airborne Cr(VI) must receive a medical evaluation prior to their initial respirator fit test and prior to being required to use the respirator in the workplace. The medical evaluation must consist of either a medical questionnaire (provided in Appendix C of OSHA’s Respiratory Protection Standard), or an initial medical examination, that obtains the same information as the questionnaire. The medical evaluation ensures that workers who use respirators can tolerate: the physiological burden associated with respirator use, including the burden imposed by the respirator itself (e.g., its weight and breathing resistance during both normal operation and under conditions of filter, canister, or cartridge overload); musculoskeletal stress; limitations on auditory, visual, and odour sensations; and physical and psychological isolation. For this ICR, the agency is assuming that employers will administer only the medical questionnaire to obtain the required information.</w:t>
      </w:r>
    </w:p>
    <w:p w:rsidR="00B70DAE" w:rsidRPr="00B70DAE" w:rsidP="00B70DAE" w14:paraId="114B2D13"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C0CDDAA" w14:textId="77777777">
      <w:pPr>
        <w:spacing w:after="0" w:line="240" w:lineRule="auto"/>
        <w:ind w:left="360" w:hanging="360"/>
        <w:rPr>
          <w:rFonts w:ascii="Times New Roman" w:eastAsia="Times New Roman" w:hAnsi="Times New Roman"/>
          <w:sz w:val="24"/>
          <w:szCs w:val="24"/>
        </w:rPr>
      </w:pPr>
      <w:r w:rsidRPr="00B70DAE">
        <w:rPr>
          <w:rFonts w:ascii="Times New Roman" w:hAnsi="Times New Roman"/>
          <w:sz w:val="24"/>
          <w:szCs w:val="24"/>
          <w:lang w:val="en-JM"/>
        </w:rPr>
        <w:t>4.  </w:t>
      </w:r>
      <w:r w:rsidRPr="00B70DAE">
        <w:rPr>
          <w:rFonts w:ascii="Times New Roman" w:hAnsi="Times New Roman"/>
          <w:sz w:val="24"/>
          <w:szCs w:val="24"/>
          <w:u w:val="single"/>
          <w:lang w:val="en-JM"/>
        </w:rPr>
        <w:t xml:space="preserve">Respiratory Protection Program </w:t>
      </w:r>
      <w:r w:rsidRPr="00B70DAE">
        <w:rPr>
          <w:rFonts w:ascii="Times New Roman" w:eastAsia="Times New Roman" w:hAnsi="Times New Roman"/>
          <w:sz w:val="24"/>
          <w:szCs w:val="24"/>
          <w:u w:val="single"/>
          <w:lang w:val="en-JM"/>
        </w:rPr>
        <w:t>(§§ 1910.1026(g)(2), 1915.1026(f)(2), and 1926.1126(f)(2)): Follow-up Medical Examination for Respirator Use</w:t>
      </w:r>
    </w:p>
    <w:p w:rsidR="00B70DAE" w:rsidRPr="00B70DAE" w:rsidP="00B70DAE" w14:paraId="64A0793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B57A84B" w14:textId="77777777">
      <w:pPr>
        <w:spacing w:after="0" w:line="240" w:lineRule="auto"/>
        <w:rPr>
          <w:rFonts w:ascii="Times New Roman" w:hAnsi="Times New Roman"/>
          <w:sz w:val="24"/>
          <w:szCs w:val="24"/>
        </w:rPr>
      </w:pPr>
      <w:r w:rsidRPr="00B70DAE">
        <w:rPr>
          <w:rFonts w:ascii="Times New Roman" w:hAnsi="Times New Roman"/>
          <w:sz w:val="24"/>
          <w:szCs w:val="24"/>
          <w:lang w:val="en-JM"/>
        </w:rPr>
        <w:t>Employers must use a PLHCP to conduct the medical examination (or questionnaire), and the PLHCP determines the content of the follow-up medical examination. The follow-up medical examination allows PLHCPs to obtain additional information that may be useful in arriving at a final medical recommendation regarding respirator use, including whether a response to the questionnaire is valid. Also, the follow-up questionnaire provides the PLHCP with an opportunity to investigate through medical examination any medical conditions related to respirator use that the questionnaire or other sources of information did not address.</w:t>
      </w:r>
    </w:p>
    <w:p w:rsidR="00B70DAE" w:rsidRPr="00B70DAE" w:rsidP="00B70DAE" w14:paraId="6CE0399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10EF2F4" w14:textId="77777777">
      <w:pPr>
        <w:spacing w:after="0" w:line="240" w:lineRule="auto"/>
        <w:ind w:left="360" w:hanging="360"/>
        <w:rPr>
          <w:rFonts w:ascii="Times New Roman" w:hAnsi="Times New Roman"/>
          <w:sz w:val="24"/>
          <w:szCs w:val="24"/>
        </w:rPr>
      </w:pPr>
      <w:r w:rsidRPr="00B70DAE">
        <w:rPr>
          <w:rFonts w:ascii="Times New Roman" w:hAnsi="Times New Roman"/>
          <w:b/>
          <w:bCs/>
          <w:sz w:val="24"/>
          <w:szCs w:val="24"/>
          <w:lang w:val="en-JM"/>
        </w:rPr>
        <w:t>E.  Protective Work Clothing and Equipment (§§ 1910.1026(h), 1915.1026(g), and 1926.1126(g))</w:t>
      </w:r>
    </w:p>
    <w:p w:rsidR="00B70DAE" w:rsidRPr="00B70DAE" w:rsidP="00B70DAE" w14:paraId="658B8063" w14:textId="77777777">
      <w:pPr>
        <w:spacing w:after="0" w:line="240" w:lineRule="auto"/>
        <w:rPr>
          <w:rFonts w:ascii="Times New Roman" w:hAnsi="Times New Roman"/>
          <w:sz w:val="24"/>
          <w:szCs w:val="24"/>
        </w:rPr>
      </w:pPr>
      <w:r w:rsidRPr="00B70DAE">
        <w:rPr>
          <w:rFonts w:ascii="Times New Roman" w:hAnsi="Times New Roman"/>
          <w:b/>
          <w:bCs/>
          <w:sz w:val="24"/>
          <w:szCs w:val="24"/>
          <w:lang w:val="en-JM"/>
        </w:rPr>
        <w:t> </w:t>
      </w:r>
    </w:p>
    <w:p w:rsidR="00B70DAE" w:rsidRPr="00B70DAE" w:rsidP="00B70DAE" w14:paraId="33C938A5"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1.  </w:t>
      </w:r>
      <w:r w:rsidRPr="00B70DAE">
        <w:rPr>
          <w:rFonts w:ascii="Times New Roman" w:hAnsi="Times New Roman"/>
          <w:sz w:val="24"/>
          <w:szCs w:val="24"/>
          <w:u w:val="single"/>
          <w:lang w:val="en-JM"/>
        </w:rPr>
        <w:t>Removal and Storage (§§ 1910.1026(h)(2)(iv), 1915.1026(g)(2)(iv), and 1926.1126(g)(2)(iv))</w:t>
      </w:r>
    </w:p>
    <w:p w:rsidR="00B70DAE" w:rsidRPr="00B70DAE" w:rsidP="00B70DAE" w14:paraId="498EF43F"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C3CFAB8" w14:textId="77777777">
      <w:pPr>
        <w:spacing w:after="0" w:line="240" w:lineRule="auto"/>
        <w:rPr>
          <w:rFonts w:ascii="Times New Roman" w:hAnsi="Times New Roman"/>
          <w:sz w:val="24"/>
          <w:szCs w:val="24"/>
        </w:rPr>
      </w:pPr>
      <w:r w:rsidRPr="00B70DAE">
        <w:rPr>
          <w:rFonts w:ascii="Times New Roman" w:hAnsi="Times New Roman"/>
          <w:sz w:val="24"/>
          <w:szCs w:val="24"/>
          <w:lang w:val="en-JM"/>
        </w:rPr>
        <w:t>Paragraph (h)(2)(iv) of the general industry standard, and paragraph (g)(2)(iv) in shipyard employment and construction standards, require employers who remove bags or containers of contaminated protective clothing and equipment from change rooms for laundering, cleaning, and maintenance or disposal to label these bags and containers in accordance with the requirements of OSHA’s Hazard Communication Standard (HCS) (29 CFR 1910.1200).</w:t>
      </w:r>
    </w:p>
    <w:p w:rsidR="00B70DAE" w:rsidRPr="00B70DAE" w:rsidP="00B70DAE" w14:paraId="1A6B12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18B37D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Labels inform employers and workers who handle bags or containers contaminated by Cr(VI) of the identity of the substance and provide appropriate hazard warnings. This paragraph directs the employer’s attention to labeling requirements of the HCS. The reference to the HCS is included to remind employers of their obligation under that standard to label containers of hazardous chemicals such as Cr(VI). When employers and workers are aware of the presence of Cr(VI) and its potential hazards, appropriate measures can be implemented to protect workers.</w:t>
      </w:r>
    </w:p>
    <w:p w:rsidR="00B70DAE" w:rsidRPr="00B70DAE" w:rsidP="00B70DAE" w14:paraId="38DF55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6AE6A5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In determining the burden and costs for labels, OSHA assumes that employers will obtain labels that meet the HCS requirements from a contractor.</w:t>
      </w:r>
    </w:p>
    <w:p w:rsidR="00B70DAE" w:rsidRPr="00B70DAE" w:rsidP="00B70DAE" w14:paraId="2D6B603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B579147"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2.  </w:t>
      </w:r>
      <w:r w:rsidRPr="00B70DAE">
        <w:rPr>
          <w:rFonts w:ascii="Times New Roman" w:hAnsi="Times New Roman"/>
          <w:sz w:val="24"/>
          <w:szCs w:val="24"/>
          <w:u w:val="single"/>
          <w:lang w:val="en-JM"/>
        </w:rPr>
        <w:t>Cleaning and Replacement (§§ 1910.1026(h)(3)(iii), 1915.1026(g)(3)(iii), and 1926.1126(g)(3)(iii))</w:t>
      </w:r>
    </w:p>
    <w:p w:rsidR="00B70DAE" w:rsidRPr="00B70DAE" w:rsidP="00B70DAE" w14:paraId="396CFC1A" w14:textId="77777777">
      <w:pPr>
        <w:spacing w:after="0" w:line="240" w:lineRule="auto"/>
        <w:rPr>
          <w:rFonts w:ascii="Courier" w:hAnsi="Courier"/>
          <w:sz w:val="24"/>
          <w:szCs w:val="24"/>
        </w:rPr>
      </w:pPr>
      <w:r w:rsidRPr="00B70DAE">
        <w:rPr>
          <w:rFonts w:ascii="Times New Roman" w:hAnsi="Times New Roman"/>
          <w:sz w:val="24"/>
          <w:szCs w:val="24"/>
          <w:lang w:val="en-JM"/>
        </w:rPr>
        <w:t> </w:t>
      </w:r>
    </w:p>
    <w:p w:rsidR="00B70DAE" w:rsidRPr="00B70DAE" w:rsidP="00B70DAE" w14:paraId="25104AD6" w14:textId="77777777">
      <w:pPr>
        <w:spacing w:after="0" w:line="240" w:lineRule="auto"/>
        <w:rPr>
          <w:rFonts w:ascii="Courier" w:hAnsi="Courier"/>
          <w:sz w:val="24"/>
          <w:szCs w:val="24"/>
        </w:rPr>
      </w:pPr>
      <w:r w:rsidRPr="00B70DAE">
        <w:rPr>
          <w:rFonts w:ascii="Times New Roman" w:hAnsi="Times New Roman"/>
          <w:sz w:val="24"/>
          <w:szCs w:val="24"/>
        </w:rPr>
        <w:t>These paragraphs require employers to inform any person who launders or cleans protective clothing or equipment contaminated with Cr(VI): of the potentially harmful effects of exposure to Cr(VI); and that the clothing and equipment should be laundered or cleaned in a manner that minimizes skin or eye contact with Cr(VI) and effectively prevents the release of airborne Cr(VI) in excess of the PEL.</w:t>
      </w:r>
    </w:p>
    <w:p w:rsidR="00B70DAE" w:rsidRPr="00B70DAE" w:rsidP="00B70DAE" w14:paraId="7D13C1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Courier New" w:hAnsi="Courier New" w:cs="Courier New"/>
          <w:sz w:val="20"/>
          <w:szCs w:val="20"/>
        </w:rPr>
        <w:t> </w:t>
      </w:r>
    </w:p>
    <w:p w:rsidR="00B70DAE" w:rsidRPr="00B70DAE" w:rsidP="00B70DAE" w14:paraId="7A0512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DAE">
        <w:rPr>
          <w:rFonts w:ascii="Times New Roman" w:hAnsi="Times New Roman"/>
          <w:sz w:val="24"/>
          <w:szCs w:val="24"/>
        </w:rPr>
        <w:t xml:space="preserve">As with the provision reminding employers of their obligation for labeling under the HCS, this requirement will ensure that persons who clean or launder Cr(VI)-contaminated items are aware of the associated hazards so they can take appropriate protective measures. When laundry or cleaning services are performed by third parties, the information provided about Cr(VI) need not </w:t>
      </w:r>
      <w:r w:rsidRPr="00B70DAE">
        <w:rPr>
          <w:rFonts w:ascii="Times New Roman" w:hAnsi="Times New Roman"/>
          <w:sz w:val="24"/>
          <w:szCs w:val="24"/>
        </w:rPr>
        <w:t>be extensive to accomplish this goal. Appropriate hazard warnings, as required on labels by the HCS, will be sufficient to indicate the potentially harmful effects of exposure to Cr(VI).</w:t>
      </w:r>
    </w:p>
    <w:p w:rsidR="00B70DAE" w:rsidRPr="00B70DAE" w:rsidP="00B70DAE" w14:paraId="2FB0DA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2EC9F8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OSHA believes that employers covered by these standards will contract with industrial laundry services to launder or clean Cr(VI)-contaminated protective clothing. The agency also assumes that these services, which specialize in laundering and cleaning protective clothing contaminated with toxic chemicals, will be in compliance with HCS, label the bags and other containers used to store this clothing for subsequent removal by the service; [therefore, OSHA is not taking a burden to label these bags and containers in this supporting statement.] However, the agency is taking burden hours and burden cost for a supervisor to inform a laundry service of the Cr(VI)-contaminated clothing and the need for the required labels.</w:t>
      </w:r>
    </w:p>
    <w:p w:rsidR="00B70DAE" w:rsidRPr="00B70DAE" w:rsidP="00B70DAE" w14:paraId="153CFBEA"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5F98EB8A"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F.  Housekeeping (§ 1910.1026(j))</w:t>
      </w:r>
    </w:p>
    <w:p w:rsidR="00B70DAE" w:rsidRPr="00B70DAE" w:rsidP="00B70DAE" w14:paraId="0890FB6E" w14:textId="77777777">
      <w:pPr>
        <w:spacing w:after="0" w:line="240" w:lineRule="auto"/>
        <w:rPr>
          <w:rFonts w:ascii="Times New Roman" w:hAnsi="Times New Roman"/>
          <w:sz w:val="24"/>
          <w:szCs w:val="24"/>
        </w:rPr>
      </w:pPr>
      <w:r w:rsidRPr="00B70DAE">
        <w:rPr>
          <w:rFonts w:ascii="Times New Roman" w:hAnsi="Times New Roman"/>
          <w:b/>
          <w:bCs/>
          <w:sz w:val="24"/>
          <w:szCs w:val="24"/>
          <w:lang w:val="en-JM"/>
        </w:rPr>
        <w:t> </w:t>
      </w:r>
    </w:p>
    <w:p w:rsidR="00B70DAE" w:rsidRPr="00B70DAE" w:rsidP="00B70DAE" w14:paraId="3D0A6CD3"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1.  </w:t>
      </w:r>
      <w:r w:rsidRPr="00B70DAE">
        <w:rPr>
          <w:rFonts w:ascii="Times New Roman" w:hAnsi="Times New Roman"/>
          <w:sz w:val="24"/>
          <w:szCs w:val="24"/>
          <w:u w:val="single"/>
          <w:lang w:val="en-JM"/>
        </w:rPr>
        <w:t>Disposal (§ 1910.1026(j)(3)(ii))</w:t>
      </w:r>
    </w:p>
    <w:p w:rsidR="00B70DAE" w:rsidRPr="00B70DAE" w:rsidP="00B70DAE" w14:paraId="53FDA787"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4510CD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Paragraph (j)(3)(ii) of the general industry standard</w:t>
      </w:r>
      <w:r>
        <w:rPr>
          <w:rFonts w:cs="Times New Roman"/>
          <w:sz w:val="20"/>
          <w:szCs w:val="20"/>
          <w:vertAlign w:val="superscript"/>
        </w:rPr>
        <w:footnoteReference w:id="8"/>
      </w:r>
      <w:r w:rsidRPr="00B70DAE">
        <w:rPr>
          <w:rFonts w:ascii="Times New Roman" w:hAnsi="Times New Roman"/>
          <w:sz w:val="24"/>
          <w:szCs w:val="24"/>
        </w:rPr>
        <w:t xml:space="preserve"> requires employers to label bags or containers of waste, scrap, debris, and any other materials contaminated with Cr(VI) that are consigned for disposal in accordance with the HCS. The purpose of this provision is to inform individuals who handle these items of the potential hazards involved. OSHA believes that it is critically important that workers be made aware of the hazards associated with potential Cr(VI) exposures. By alerting employers and workers who are involved in disposing of Cr(VI)-contaminated material of the potential hazards of Cr(VI) exposure, they will be better able to implement protective measures. The agency has determined that the information required on labels by the HCS, including the chemical identity and appropriate hazard warnings, is sufficient to make workers aware of potential Cr(VI) exposure hazards. Reference to the HCS has been added to ensure that employers are aware of their obligations under the HCS for labeling of containers containing Cr(VI) contaminated waste. OSHA is not taking burden for this labeling requirement because the Resource Conservation and Recovery Act of 1976, as amended (42 U.S.C. 6901 </w:t>
      </w:r>
      <w:r w:rsidRPr="00B70DAE">
        <w:rPr>
          <w:rFonts w:ascii="Times New Roman" w:hAnsi="Times New Roman"/>
          <w:i/>
          <w:iCs/>
          <w:sz w:val="24"/>
          <w:szCs w:val="24"/>
        </w:rPr>
        <w:t>et</w:t>
      </w:r>
      <w:r w:rsidRPr="00B70DAE">
        <w:rPr>
          <w:rFonts w:ascii="Times New Roman" w:hAnsi="Times New Roman"/>
          <w:sz w:val="24"/>
          <w:szCs w:val="24"/>
        </w:rPr>
        <w:t xml:space="preserve"> </w:t>
      </w:r>
      <w:r w:rsidRPr="00B70DAE">
        <w:rPr>
          <w:rFonts w:ascii="Times New Roman" w:hAnsi="Times New Roman"/>
          <w:i/>
          <w:iCs/>
          <w:sz w:val="24"/>
          <w:szCs w:val="24"/>
        </w:rPr>
        <w:t>seq</w:t>
      </w:r>
      <w:r w:rsidRPr="00B70DAE">
        <w:rPr>
          <w:rFonts w:ascii="Times New Roman" w:hAnsi="Times New Roman"/>
          <w:sz w:val="24"/>
          <w:szCs w:val="24"/>
        </w:rPr>
        <w:t>.), specifies that employers must provide the required label on hazardous wastes, including Cr(VI), destined for disposal.</w:t>
      </w:r>
    </w:p>
    <w:p w:rsidR="00B70DAE" w:rsidRPr="00B70DAE" w:rsidP="00B70DAE" w14:paraId="30B4BA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206BFEFC"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G.  Medical Surveillance (§§ 1910.1026(k), 1915.1026(i), and 1926.1126(i))</w:t>
      </w:r>
    </w:p>
    <w:p w:rsidR="00B70DAE" w:rsidRPr="00B70DAE" w:rsidP="00B70DAE" w14:paraId="6A21D0BA" w14:textId="77777777">
      <w:pPr>
        <w:spacing w:after="0" w:line="240" w:lineRule="auto"/>
        <w:rPr>
          <w:rFonts w:ascii="Times New Roman" w:hAnsi="Times New Roman"/>
          <w:sz w:val="24"/>
          <w:szCs w:val="24"/>
        </w:rPr>
      </w:pPr>
      <w:r w:rsidRPr="00B70DAE">
        <w:rPr>
          <w:rFonts w:ascii="Times New Roman" w:hAnsi="Times New Roman"/>
          <w:b/>
          <w:bCs/>
          <w:sz w:val="24"/>
          <w:szCs w:val="24"/>
          <w:lang w:val="en-JM"/>
        </w:rPr>
        <w:t> </w:t>
      </w:r>
    </w:p>
    <w:p w:rsidR="00B70DAE" w:rsidRPr="00B70DAE" w:rsidP="00B70DAE" w14:paraId="2E515ED7"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Employers must make medical surveillance available at no cost to the worker, and at a reasonable time and place, for all workers who are or may be occupationally exposed to Cr(VI) at or above the action level for 30 or more days a year, experiencing signs or symptoms of the adverse health effects associated with Cr(VI) exposure, or exposed in an emergency. In addition, employers must provide medical examinations, and they must assure that all medical </w:t>
      </w:r>
      <w:r w:rsidRPr="00B70DAE">
        <w:rPr>
          <w:rFonts w:ascii="Times New Roman" w:hAnsi="Times New Roman"/>
          <w:sz w:val="24"/>
          <w:szCs w:val="24"/>
          <w:lang w:val="en-JM"/>
        </w:rPr>
        <w:t>examinations and procedures required by the standards are performed by or under the supervision of a PLHCP.</w:t>
      </w:r>
    </w:p>
    <w:p w:rsidR="00B70DAE" w:rsidRPr="00B70DAE" w:rsidP="00B70DAE" w14:paraId="02B02DD5" w14:textId="77777777">
      <w:pPr>
        <w:spacing w:after="0" w:line="240" w:lineRule="auto"/>
        <w:rPr>
          <w:rFonts w:ascii="Courier" w:hAnsi="Courier"/>
          <w:sz w:val="24"/>
          <w:szCs w:val="24"/>
        </w:rPr>
      </w:pPr>
      <w:r w:rsidRPr="00B70DAE">
        <w:rPr>
          <w:rFonts w:ascii="Times New Roman" w:hAnsi="Times New Roman"/>
          <w:sz w:val="24"/>
          <w:szCs w:val="24"/>
        </w:rPr>
        <w:t> </w:t>
      </w:r>
    </w:p>
    <w:p w:rsidR="00B70DAE" w:rsidRPr="00B70DAE" w:rsidP="00B70DAE" w14:paraId="3BDB020C"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 purpose of medical surveillance for Cr(VI) is to determine if a worker can be exposed to the Cr(VI) present in his or her workplace without experiencing adverse health effects, and to identify Cr(VI)-related adverse health effects so that appropriate intervention measures can be taken. With regard to periodic (i.e., annual) medical examinations, documentation and maintenance of the medical examination results required by the standards provide a continuous record of worker health. PLHCPs use these records to determine the extent to which workers, since their last examination, experience health effects related to Cr(VI) exposure. Additionally, if signs and symptoms of potential Cr(VI) overexposure appear, the PLHCP often needs information about a worker's previous medical condition to make an accurate diagnosis of the presenting condition, ascertain its apparent cause, and identify a course of treatment. Medical records also permit workers to determine whether they need treatment, or to evaluate the effectiveness of their employer's exposure reduction program.</w:t>
      </w:r>
    </w:p>
    <w:p w:rsidR="00B70DAE" w:rsidRPr="00B70DAE" w:rsidP="00B70DAE" w14:paraId="5BEA4CA5"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468B2EF5"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 medical surveillance requirements of the standards are consistent with Section 6(b)(7) of the OSH Act, which requires that, when appropriate, medical surveillance programs be included in OSHA health standards to aid in determining whether the health of workers is adversely affected by exposure to toxic substances. The following paragraphs describe the specific medical examinations in detail.</w:t>
      </w:r>
    </w:p>
    <w:p w:rsidR="00B70DAE" w:rsidRPr="00B70DAE" w:rsidP="00B70DAE" w14:paraId="64953EC0" w14:textId="77777777">
      <w:pPr>
        <w:spacing w:after="0" w:line="240" w:lineRule="auto"/>
        <w:rPr>
          <w:rFonts w:ascii="Courier" w:hAnsi="Courier"/>
          <w:sz w:val="24"/>
          <w:szCs w:val="24"/>
        </w:rPr>
      </w:pPr>
      <w:r w:rsidRPr="00B70DAE">
        <w:rPr>
          <w:rFonts w:ascii="Times New Roman" w:hAnsi="Times New Roman"/>
          <w:sz w:val="24"/>
          <w:szCs w:val="24"/>
        </w:rPr>
        <w:t> </w:t>
      </w:r>
    </w:p>
    <w:p w:rsidR="00B70DAE" w:rsidRPr="00B70DAE" w:rsidP="00B70DAE" w14:paraId="4C952C1B" w14:textId="77777777">
      <w:pPr>
        <w:spacing w:after="0" w:line="240" w:lineRule="auto"/>
        <w:rPr>
          <w:rFonts w:ascii="Times New Roman" w:eastAsia="Times New Roman" w:hAnsi="Times New Roman"/>
          <w:sz w:val="24"/>
          <w:szCs w:val="24"/>
        </w:rPr>
      </w:pPr>
      <w:r w:rsidRPr="00B70DAE">
        <w:rPr>
          <w:rFonts w:ascii="Times New Roman" w:hAnsi="Times New Roman"/>
          <w:color w:val="000000" w:themeColor="text1"/>
          <w:sz w:val="24"/>
          <w:szCs w:val="24"/>
          <w:lang w:val="en-JM"/>
        </w:rPr>
        <w:t>1.  </w:t>
      </w:r>
      <w:r w:rsidRPr="00B70DAE">
        <w:rPr>
          <w:rFonts w:ascii="Times New Roman" w:hAnsi="Times New Roman"/>
          <w:color w:val="000000" w:themeColor="text1"/>
          <w:sz w:val="24"/>
          <w:szCs w:val="24"/>
          <w:u w:val="single"/>
          <w:lang w:val="en-JM"/>
        </w:rPr>
        <w:t xml:space="preserve">Initial Medical Examination </w:t>
      </w:r>
      <w:r w:rsidRPr="00B70DAE">
        <w:rPr>
          <w:rFonts w:ascii="Times New Roman" w:eastAsia="Times New Roman" w:hAnsi="Times New Roman"/>
          <w:sz w:val="24"/>
          <w:szCs w:val="24"/>
          <w:u w:val="single"/>
          <w:lang w:val="en-JM"/>
        </w:rPr>
        <w:t>(§§ 1910.1026(k)(1)(i)(A), (k)(3)(i), and (k)(3)(ii); 1915.1026(i)(1)(i)(A), (i)(3)(i), and (i)(3)(ii); and 1926.1126(i)(1)(i)(A), (i)(3)(i), and (i)(3)(ii))</w:t>
      </w:r>
    </w:p>
    <w:p w:rsidR="00B70DAE" w:rsidRPr="00B70DAE" w:rsidP="00B70DAE" w14:paraId="11C9F847" w14:textId="77777777">
      <w:pPr>
        <w:spacing w:after="0" w:line="240" w:lineRule="auto"/>
        <w:rPr>
          <w:rFonts w:ascii="Courier" w:hAnsi="Courier"/>
          <w:sz w:val="24"/>
          <w:szCs w:val="24"/>
        </w:rPr>
      </w:pPr>
      <w:r w:rsidRPr="00B70DAE">
        <w:rPr>
          <w:rFonts w:ascii="Times New Roman" w:hAnsi="Times New Roman"/>
          <w:sz w:val="24"/>
          <w:szCs w:val="24"/>
        </w:rPr>
        <w:t> </w:t>
      </w:r>
    </w:p>
    <w:p w:rsidR="00B70DAE" w:rsidRPr="00B70DAE" w:rsidP="00B70DAE" w14:paraId="0C4687EC" w14:textId="77777777">
      <w:pPr>
        <w:spacing w:after="0" w:line="240" w:lineRule="auto"/>
        <w:rPr>
          <w:rFonts w:ascii="Times New Roman" w:hAnsi="Times New Roman"/>
          <w:sz w:val="24"/>
          <w:szCs w:val="24"/>
        </w:rPr>
      </w:pPr>
      <w:r w:rsidRPr="00B70DAE">
        <w:rPr>
          <w:rFonts w:ascii="Times New Roman" w:hAnsi="Times New Roman"/>
          <w:sz w:val="24"/>
          <w:szCs w:val="24"/>
          <w:lang w:val="en-JM"/>
        </w:rPr>
        <w:t>Under the medical surveillance requirements specified by §§ 1910.1026(k)(1)(i)(A), 1915.1026(i)(1)(i)(A), and 1926.1126(i)(1)(i)(A), employers must provide initial medical examinations to workers who are or may be occupationally exposed to Cr(VI) at or above the AL for 30 or more days a year. The content of the initial medical examinations is described by §§ 1910.1026(k)(3)(i) and (k)(3)(ii), 1915.1026(i)(3)(i) and (i)(3)(ii), and 1926.1126(i)(3)(i) and (i)(3)(ii)), and consists of: a medical and work history, with emphasis on past, present, and anticipated future exposure to Cr(VI); a history of respiratory system dysfunction; a history of asthma, dermatitis, skin ulceration, or nasal septum perforation; smoking status and history; and a physical examination of the skin and respiratory tract. The initial medical examination not only establishes a medical baseline for each worker, but also serves to identify workers who have Cr(VI)-related medical disorders or other health problems that additional Cr(VI) exposure may exacerbate. For purposes of estimating these ICR burden hours and costs, the agency assumes that: all initial monitoring is completed, existing employers will experience a 5% turnover of potentially exposed employees requiring initial medical examinations, and new employers will have no potentially exposed employees at or above the action level requiring an initial medical examination. Subsequent medical examinations for these employees are accounted for under the following item.</w:t>
      </w:r>
    </w:p>
    <w:p w:rsidR="00B70DAE" w:rsidRPr="00B70DAE" w:rsidP="00B70DAE" w14:paraId="08D93132" w14:textId="77777777">
      <w:pPr>
        <w:spacing w:after="0" w:line="240" w:lineRule="auto"/>
        <w:rPr>
          <w:rFonts w:ascii="Courier" w:hAnsi="Courier"/>
          <w:sz w:val="24"/>
          <w:szCs w:val="24"/>
        </w:rPr>
      </w:pPr>
      <w:r w:rsidRPr="00B70DAE">
        <w:rPr>
          <w:rFonts w:ascii="Times New Roman" w:hAnsi="Times New Roman"/>
          <w:sz w:val="24"/>
          <w:szCs w:val="24"/>
        </w:rPr>
        <w:t> </w:t>
      </w:r>
    </w:p>
    <w:p w:rsidR="00B70DAE" w:rsidRPr="00B70DAE" w:rsidP="00B70DAE" w14:paraId="0F40F115"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2.  </w:t>
      </w:r>
      <w:r w:rsidRPr="00B70DAE">
        <w:rPr>
          <w:rFonts w:ascii="Times New Roman" w:hAnsi="Times New Roman"/>
          <w:sz w:val="24"/>
          <w:szCs w:val="24"/>
          <w:u w:val="single"/>
          <w:lang w:val="en-JM"/>
        </w:rPr>
        <w:t>Annual Medical Examination (§§ 1910.1026(k)(2)(ii), (k)(3)(i), and (k)(3)(ii); 1915.1026(i)(2)(ii), (i)(3)(i), and (i)(3)(ii); and 1926.1126(i)(2)(ii), (i)(3)(i), and (i)(3)(ii))</w:t>
      </w:r>
    </w:p>
    <w:p w:rsidR="00B70DAE" w:rsidRPr="00B70DAE" w:rsidP="00B70DAE" w14:paraId="496D62A8"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46EB16F" w14:textId="77777777">
      <w:pPr>
        <w:spacing w:after="0" w:line="240" w:lineRule="auto"/>
        <w:rPr>
          <w:rFonts w:ascii="Times New Roman" w:hAnsi="Times New Roman"/>
          <w:sz w:val="24"/>
          <w:szCs w:val="24"/>
        </w:rPr>
      </w:pPr>
      <w:r w:rsidRPr="00B70DAE">
        <w:rPr>
          <w:rFonts w:ascii="Times New Roman" w:hAnsi="Times New Roman"/>
          <w:sz w:val="24"/>
          <w:szCs w:val="24"/>
          <w:lang w:val="en-JM"/>
        </w:rPr>
        <w:t>Employers must begin to provide annual medical examinations to the workers who received the initial medical examinations. Employers must provide these annual medical examinations in the year after the initial medical examination is completed. The content of the annual medical examinations is identical to the content of the initial medical examinations. Periodic (i.e., annual) examinations provide information to employers and PLHCPs regarding the medical effects of extended Cr(VI) exposure, as well as the effectiveness of the employer’s control equipment and procedures.</w:t>
      </w:r>
    </w:p>
    <w:p w:rsidR="00B70DAE" w:rsidRPr="00B70DAE" w:rsidP="00B70DAE" w14:paraId="2599A01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119FE8CE"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3.  </w:t>
      </w:r>
      <w:r w:rsidRPr="00B70DAE">
        <w:rPr>
          <w:rFonts w:ascii="Times New Roman" w:hAnsi="Times New Roman"/>
          <w:sz w:val="24"/>
          <w:szCs w:val="24"/>
          <w:u w:val="single"/>
          <w:lang w:val="en-JM"/>
        </w:rPr>
        <w:t>Initial Medical Examination with Additional Tests (§§ 1910.1026(k)(1)(i)(B), (k)(2)(iii), and (k)(3)(i)-(k)(3)(iii); 1915.1026(i)(1)(i)(B), (i)(2)(iii) and (i)(3)(i)-(i)(3)(iii); and 1926.1126(i)(1)(i)(B), (i)(2)(iii) and (i)(3)(i)-(i)(3)(iii))</w:t>
      </w:r>
    </w:p>
    <w:p w:rsidR="00B70DAE" w:rsidRPr="00B70DAE" w:rsidP="00B70DAE" w14:paraId="3EB2D4C4"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6D994A4D"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These initial medical examinations apply to workers who are experiencing signs or symptoms of the adverse health effects associated with Cr(VI) exposure. The PLHCP is responsible for ordering these examinations, the content of which includes the medical and work history, and physical examination of the skin and respiratory tract, described above in item 1 of this section. However, these workers, because of the signs or symptoms they are experiencing, also receive additional testing ordered by the PLHCP under §§ 1910.1026(k)(2)(iii) and (k)(3)(iii), 1915.1026(i)(2)(iii) and (i)(3)(iii), and 1926.1126(i)(2)(iii) and (i)(3)(iii).</w:t>
      </w:r>
    </w:p>
    <w:p w:rsidR="00B70DAE" w:rsidRPr="00B70DAE" w:rsidP="00B70DAE" w14:paraId="2CC469C7"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61AD03D"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4.  </w:t>
      </w:r>
      <w:r w:rsidRPr="00B70DAE">
        <w:rPr>
          <w:rFonts w:ascii="Times New Roman" w:hAnsi="Times New Roman"/>
          <w:sz w:val="24"/>
          <w:szCs w:val="24"/>
          <w:u w:val="single"/>
          <w:lang w:val="en-JM"/>
        </w:rPr>
        <w:t>Annual Medical Examination and Additional Tests (§§ 1910.1026(k)(2)(ii), (k)(2)(iii) and (k)(3)(i)-(k)(3)(iii); 1915.1026(i)(2)(ii), (i)(2)(iii) and (i)(3)(i)-(i)(3)(iii); and 1926.1126(i)(2)(ii), (i)(2)(iii) and (i)(3)(i)-(i)(3)(ii))</w:t>
      </w:r>
    </w:p>
    <w:p w:rsidR="00B70DAE" w:rsidRPr="00B70DAE" w:rsidP="00B70DAE" w14:paraId="4DB35893"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459E3E1" w14:textId="77777777">
      <w:pPr>
        <w:spacing w:after="0" w:line="240" w:lineRule="auto"/>
        <w:rPr>
          <w:rFonts w:ascii="Times New Roman" w:hAnsi="Times New Roman"/>
          <w:sz w:val="24"/>
          <w:szCs w:val="24"/>
        </w:rPr>
      </w:pPr>
      <w:r w:rsidRPr="00B70DAE">
        <w:rPr>
          <w:rFonts w:ascii="Times New Roman" w:hAnsi="Times New Roman"/>
          <w:sz w:val="24"/>
          <w:szCs w:val="24"/>
          <w:lang w:val="en-JM"/>
        </w:rPr>
        <w:t>Under these provisions, employers must provide these annual medical examinations and additional exams 30 days after the PLCP recommends them, which include additional testing, to the workers described in the previous item. Employers must provide these annual medical examinations in the year after the initial medical examination is completed or 30 days after a PLCHP recommends additional exams. The content of these annual medical examinations is identical to the content of the initial medical examinations with additional testing (see previous item).</w:t>
      </w:r>
    </w:p>
    <w:p w:rsidR="00B70DAE" w:rsidRPr="00B70DAE" w:rsidP="00B70DAE" w14:paraId="37881ED5"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C13A106"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5.  </w:t>
      </w:r>
      <w:r w:rsidRPr="00B70DAE">
        <w:rPr>
          <w:rFonts w:ascii="Times New Roman" w:hAnsi="Times New Roman"/>
          <w:sz w:val="24"/>
          <w:szCs w:val="24"/>
          <w:u w:val="single"/>
          <w:lang w:val="en-JM"/>
        </w:rPr>
        <w:t>Medical Examination After Initial Assignment (§§ 1910.1026(k)(2)(i), (k)(3)(i), and (k)(3)(ii); 1915.1026(i)(2)(i), (i)(3)(i), and (i)(3)(ii); and 1926.1126(i)(2)(i), (i)(3)(i), and (i)(3)(ii))</w:t>
      </w:r>
    </w:p>
    <w:p w:rsidR="00B70DAE" w:rsidRPr="00B70DAE" w:rsidP="00B70DAE" w14:paraId="1815669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80E12DE"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These provisions require employers to provide an initial medical examination to workers newly assigned to operations that involve exposure to Cr(VI) at or above the AL. These workers must receive the initial medical examination within 30 days of assuming this new assignment. The content of this initial medical examination consists of the same medical and work history, and </w:t>
      </w:r>
      <w:r w:rsidRPr="00B70DAE">
        <w:rPr>
          <w:rFonts w:ascii="Times New Roman" w:hAnsi="Times New Roman"/>
          <w:sz w:val="24"/>
          <w:szCs w:val="24"/>
          <w:lang w:val="en-JM"/>
        </w:rPr>
        <w:t>physical examination of the skin and respiratory tract, described for the initial medical examination provided to current workers under item 1 of this section. These initial medical examinations establish a medical baseline for each worker and identify workers who have medical conditions that may become worse under Cr(VI) exposure.</w:t>
      </w:r>
    </w:p>
    <w:p w:rsidR="00B70DAE" w:rsidRPr="00B70DAE" w:rsidP="00B70DAE" w14:paraId="1EF677D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0610903"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6.  </w:t>
      </w:r>
      <w:r w:rsidRPr="00B70DAE">
        <w:rPr>
          <w:rFonts w:ascii="Times New Roman" w:hAnsi="Times New Roman"/>
          <w:sz w:val="24"/>
          <w:szCs w:val="24"/>
          <w:u w:val="single"/>
          <w:lang w:val="en-JM"/>
        </w:rPr>
        <w:t>Medical Examination at the Termination of Employment (§§ 1910.1026(k)(2)(vi) and (k)(3)(i)-(k)(3)(iii); 1915.1026(i)(2)(vi) and (i)(3)(i)-(i)(3)(iii); and 1926.1126(i)(2)(vi) and (i)(3)(i)-(i)(3)(iii))</w:t>
      </w:r>
    </w:p>
    <w:p w:rsidR="00B70DAE" w:rsidRPr="00B70DAE" w:rsidP="00B70DAE" w14:paraId="55A3ACFA"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032FDA73"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 requirements specified by §§ 1910.1026(k)(2)(vi), 1915.1026(i)(2)(vi), and 1926.1126(i)(2)(vi) address the medical examination that employers must provide to workers exposed to Cr(VI) at or above the AL when these workers terminate their employment; employers do not have to provide this medical examination when a worker’s last medical examination satisfied the requirements of these standards and was administered to the worker less than 6 months prior to the date of termination. The content of these medical examinations is identical to the content of the medical examinations with additional testing described under §§ 1910.1026(k)(3)(i)-(k)(3)(iii), 1915.1026(i)(3)(i)-(i)(3)(iii), and 1926.1126(i)(3)(i)-(i)(3)(iii). These medical examinations assure that no worker terminates employment with an active, but undiagnosed, medical condition resulting from exposure to Cr(VI). In addition, these medical examinations provide workers and their PLHCPs with information that may be useful in diagnosing and treating latent effects of Cr(VI) exposure that may arise after termination of employment.</w:t>
      </w:r>
    </w:p>
    <w:p w:rsidR="00B70DAE" w:rsidRPr="00B70DAE" w:rsidP="00B70DAE" w14:paraId="5DDC2945"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62281E73"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7.  </w:t>
      </w:r>
      <w:r w:rsidRPr="00B70DAE">
        <w:rPr>
          <w:rFonts w:ascii="Times New Roman" w:hAnsi="Times New Roman"/>
          <w:sz w:val="24"/>
          <w:szCs w:val="24"/>
          <w:u w:val="single"/>
          <w:lang w:val="en-JM"/>
        </w:rPr>
        <w:t xml:space="preserve">Information Provided to the PLHCP (§§ 1910.1026(k)(4), 1915.1026(i)(4), and </w:t>
      </w:r>
    </w:p>
    <w:p w:rsidR="00B70DAE" w:rsidRPr="00B70DAE" w:rsidP="00B70DAE" w14:paraId="3824FF37" w14:textId="77777777">
      <w:pPr>
        <w:spacing w:after="0" w:line="240" w:lineRule="auto"/>
        <w:ind w:left="720" w:hanging="360"/>
        <w:rPr>
          <w:rFonts w:ascii="Times New Roman" w:hAnsi="Times New Roman"/>
          <w:sz w:val="24"/>
          <w:szCs w:val="24"/>
        </w:rPr>
      </w:pPr>
      <w:r w:rsidRPr="00B70DAE">
        <w:rPr>
          <w:rFonts w:ascii="Times New Roman" w:hAnsi="Times New Roman"/>
          <w:sz w:val="24"/>
          <w:szCs w:val="24"/>
          <w:u w:val="single"/>
          <w:lang w:val="en-JM"/>
        </w:rPr>
        <w:t>1926.1126(i)(4))</w:t>
      </w:r>
    </w:p>
    <w:p w:rsidR="00B70DAE" w:rsidRPr="00B70DAE" w:rsidP="00B70DAE" w14:paraId="7E5FA7DC"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36B79CAE" w14:textId="77777777">
      <w:pPr>
        <w:spacing w:after="0" w:line="240" w:lineRule="auto"/>
        <w:rPr>
          <w:rFonts w:ascii="Times New Roman" w:hAnsi="Times New Roman"/>
          <w:sz w:val="24"/>
          <w:szCs w:val="24"/>
          <w:lang w:val="en-JM"/>
        </w:rPr>
      </w:pPr>
      <w:r w:rsidRPr="00B70DAE">
        <w:rPr>
          <w:rFonts w:ascii="Times New Roman" w:hAnsi="Times New Roman"/>
          <w:sz w:val="24"/>
          <w:szCs w:val="24"/>
          <w:lang w:val="en-JM"/>
        </w:rPr>
        <w:t>Paragraph (k)(4) of the general industry standard, and paragraph (i)(4) of the shipyard employment and construction standards, require the employer to provide the PLHCP with the following information: a copy of the appropriate standard; a description of the affected worker's former, current, and anticipated duties as they relate to Cr(VI) exposure; the worker's former, current, and anticipated exposure level; a description of any personal protective equipment used or to be used by the worker, including when and for how long the worker has used that equipment; and information from records of employment-related medical examinations previously provided to the affected worker that are within the control of the employer. OSHA believes that making the required information available to the PLHCP will aid the PLHCP in evaluating the signs and symptoms of potential Cr(VI)-related health effects. Information on the worker’s exposures to Cr(VI), the worker’s use of personal protective equipment, and the results of previous examinations, when possible, will provide important information that the PLHCP can use, in conjunction with information gained from the required medical and work histories, in determining whether the observed symptoms are a result of Cr(VI) exposure. Making this information available to PLHCPs also assists them in evaluating a worker's health and fitness for specific job assignments involving Cr(VI) exposure.</w:t>
      </w:r>
    </w:p>
    <w:p w:rsidR="00B70DAE" w:rsidRPr="00B70DAE" w:rsidP="00B70DAE" w14:paraId="3D029F7F"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28AD8E46"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8.  </w:t>
      </w:r>
      <w:r w:rsidRPr="00B70DAE">
        <w:rPr>
          <w:rFonts w:ascii="Times New Roman" w:hAnsi="Times New Roman"/>
          <w:sz w:val="24"/>
          <w:szCs w:val="24"/>
          <w:u w:val="single"/>
          <w:lang w:val="en-JM"/>
        </w:rPr>
        <w:t xml:space="preserve">PLHCP’s Written Medical Opinion (§§ 1910.1026(k)(5), 1915.1026(h)(5), and </w:t>
      </w:r>
    </w:p>
    <w:p w:rsidR="00B70DAE" w:rsidRPr="00B70DAE" w:rsidP="00B70DAE" w14:paraId="2537E3AE" w14:textId="77777777">
      <w:pPr>
        <w:spacing w:after="0" w:line="240" w:lineRule="auto"/>
        <w:ind w:firstLine="360"/>
        <w:rPr>
          <w:rFonts w:ascii="Times New Roman" w:hAnsi="Times New Roman"/>
          <w:sz w:val="24"/>
          <w:szCs w:val="24"/>
        </w:rPr>
      </w:pPr>
      <w:r w:rsidRPr="00B70DAE">
        <w:rPr>
          <w:rFonts w:ascii="Times New Roman" w:hAnsi="Times New Roman"/>
          <w:sz w:val="24"/>
          <w:szCs w:val="24"/>
          <w:u w:val="single"/>
          <w:lang w:val="en-JM"/>
        </w:rPr>
        <w:t>1926.1126(i)(5))</w:t>
      </w:r>
    </w:p>
    <w:p w:rsidR="00B70DAE" w:rsidRPr="00B70DAE" w:rsidP="00B70DAE" w14:paraId="6C26524A"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152FD70C"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These paragraphs require the employer to obtain a written medical opinion from the PLHCP within 30 days for each medical examination performed on a worker. This written opinion must contain the following information: the PLHCP’s opinion as to whether the worker would be placed at increased risk of material health impairment as a result of exposure to Cr(VI); any recommended limitations on the worker’s exposure or use of personal protective equipment; and a statement that the PLHCP has explained to the worker the results of the medical examination, including any medical conditions related to Cr(VI) exposure that require further evaluation or treatment, and any special provisions for use of protective clothing or equipment. In the opinion, the PLHCP must not reveal to the employer specific findings or diagnoses unrelated to occupational exposure to Cr(VI). Employers must provide a copy of the PLHCP’s written medical opinion to the subject worker within 2 weeks after receiving the opinion.</w:t>
      </w:r>
    </w:p>
    <w:p w:rsidR="00B70DAE" w:rsidRPr="00B70DAE" w:rsidP="00B70DAE" w14:paraId="6759AC11" w14:textId="77777777">
      <w:pPr>
        <w:spacing w:after="0" w:line="240" w:lineRule="auto"/>
        <w:rPr>
          <w:rFonts w:ascii="Times New Roman" w:hAnsi="Times New Roman"/>
          <w:sz w:val="24"/>
          <w:szCs w:val="24"/>
        </w:rPr>
      </w:pPr>
      <w:r w:rsidRPr="00B70DAE">
        <w:rPr>
          <w:rFonts w:ascii="Courier New" w:hAnsi="Courier New" w:cs="Courier New"/>
          <w:sz w:val="24"/>
          <w:szCs w:val="24"/>
          <w:lang w:val="en-JM"/>
        </w:rPr>
        <w:t> </w:t>
      </w:r>
    </w:p>
    <w:p w:rsidR="00B70DAE" w:rsidRPr="00B70DAE" w:rsidP="00B70DAE" w14:paraId="762AF7AB" w14:textId="77777777">
      <w:pPr>
        <w:spacing w:after="0" w:line="240" w:lineRule="auto"/>
        <w:rPr>
          <w:rFonts w:ascii="Times New Roman" w:hAnsi="Times New Roman"/>
          <w:sz w:val="24"/>
          <w:szCs w:val="24"/>
        </w:rPr>
      </w:pPr>
      <w:r w:rsidRPr="00B70DAE">
        <w:rPr>
          <w:rFonts w:ascii="Times New Roman" w:hAnsi="Times New Roman"/>
          <w:sz w:val="24"/>
          <w:szCs w:val="24"/>
          <w:lang w:val="en-JM"/>
        </w:rPr>
        <w:t>Under the standards, the PLHCP is not be allowed to include in the written opinion provided to the employer any findings or diagnoses that are unrelated to Cr(VI) exposure. This provision reassures workers participating in medical surveillance that they will not be penalized or embarrassed by the employer obtaining information about them not directly pertinent to their Cr(VI) exposure. The worker would be informed directly by the PLHCP of all results of his or her medical examination, including conditions of a non-occupational origin, but the employer would only receive information necessary to make decisions regarding worker placement and protective equipment selection relative to Cr(VI) exposures</w:t>
      </w:r>
      <w:r w:rsidRPr="00B70DAE">
        <w:rPr>
          <w:rFonts w:ascii="Times New Roman" w:hAnsi="Times New Roman"/>
          <w:b/>
          <w:bCs/>
          <w:sz w:val="24"/>
          <w:szCs w:val="24"/>
          <w:lang w:val="en-JM"/>
        </w:rPr>
        <w:t>.</w:t>
      </w:r>
    </w:p>
    <w:p w:rsidR="00B70DAE" w:rsidRPr="00B70DAE" w:rsidP="00B70DAE" w14:paraId="696C3FBF" w14:textId="77777777">
      <w:pPr>
        <w:spacing w:after="0" w:line="240" w:lineRule="auto"/>
        <w:rPr>
          <w:rFonts w:ascii="Times New Roman" w:hAnsi="Times New Roman"/>
          <w:sz w:val="24"/>
          <w:szCs w:val="24"/>
        </w:rPr>
      </w:pPr>
      <w:r w:rsidRPr="00B70DAE">
        <w:rPr>
          <w:rFonts w:ascii="Times New Roman" w:hAnsi="Times New Roman"/>
          <w:b/>
          <w:bCs/>
          <w:sz w:val="24"/>
          <w:szCs w:val="24"/>
          <w:lang w:val="en-JM"/>
        </w:rPr>
        <w:t> </w:t>
      </w:r>
    </w:p>
    <w:p w:rsidR="00B70DAE" w:rsidRPr="00B70DAE" w:rsidP="00B70DAE" w14:paraId="78D6807D" w14:textId="77777777">
      <w:pPr>
        <w:spacing w:after="0" w:line="240" w:lineRule="auto"/>
        <w:rPr>
          <w:rFonts w:ascii="Times New Roman" w:hAnsi="Times New Roman"/>
          <w:b/>
          <w:bCs/>
          <w:sz w:val="24"/>
          <w:szCs w:val="24"/>
          <w:lang w:val="en-JM"/>
        </w:rPr>
      </w:pPr>
      <w:r w:rsidRPr="00B70DAE">
        <w:rPr>
          <w:rFonts w:ascii="Times New Roman" w:hAnsi="Times New Roman"/>
          <w:sz w:val="24"/>
          <w:szCs w:val="24"/>
          <w:lang w:val="en-JM"/>
        </w:rPr>
        <w:t>The purpose in requiring the employer to obtain a PLHCP's written opinion is to provide the employer with medical information to use in determining the worker's initial job assignments, and to assess the worker's ability to use protective clothing and equipment. The PLHCP's written opinion also informs the employer about whether the worker has a condition indicating Cr(VI) overexposure. The prohibition against providing the employer with information regarding conditions unrelated to Cr(VI) exposure ensures that discussions between the PLHCP and patient are open and candid, thereby, enhancing diagnosis and treatment. The requirement that the PLHCP's opinion be in writing ensures, among other things, that the information is available for future reference. Providing workers with a copy of the PLHCP’s written opinion informs them of the medical examination results so that they can determine the need for, and evaluate the effectiveness of, treatments and other interventions. </w:t>
      </w:r>
    </w:p>
    <w:p w:rsidR="00B70DAE" w:rsidRPr="00B70DAE" w:rsidP="00B70DAE" w14:paraId="580C3026" w14:textId="77777777">
      <w:pPr>
        <w:spacing w:after="0" w:line="240" w:lineRule="auto"/>
        <w:rPr>
          <w:rFonts w:ascii="Times New Roman" w:hAnsi="Times New Roman"/>
          <w:sz w:val="24"/>
          <w:szCs w:val="24"/>
        </w:rPr>
      </w:pPr>
    </w:p>
    <w:p w:rsidR="00B70DAE" w:rsidRPr="00B70DAE" w:rsidP="00B70DAE" w14:paraId="669FFBA4"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H.  Communication of Chromium (VI) Hazards to Employees (§§ 1910.1026(l),</w:t>
      </w:r>
    </w:p>
    <w:p w:rsidR="00B70DAE" w:rsidRPr="00B70DAE" w:rsidP="00B70DAE" w14:paraId="2285BA9E" w14:textId="77777777">
      <w:pPr>
        <w:spacing w:after="0" w:line="240" w:lineRule="auto"/>
        <w:ind w:left="360" w:hanging="360"/>
        <w:rPr>
          <w:rFonts w:ascii="Times New Roman" w:hAnsi="Times New Roman"/>
          <w:sz w:val="24"/>
          <w:szCs w:val="24"/>
        </w:rPr>
      </w:pPr>
      <w:r w:rsidRPr="00B70DAE">
        <w:rPr>
          <w:rFonts w:ascii="Times New Roman" w:hAnsi="Times New Roman"/>
          <w:b/>
          <w:bCs/>
          <w:sz w:val="24"/>
          <w:szCs w:val="24"/>
          <w:lang w:val="en-JM"/>
        </w:rPr>
        <w:tab/>
        <w:t>1915.1026(j), and 1926.1126(j))</w:t>
      </w:r>
    </w:p>
    <w:p w:rsidR="00B70DAE" w:rsidRPr="00B70DAE" w:rsidP="00B70DAE" w14:paraId="7F54F26C"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8E50D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val="x-none" w:eastAsia="x-none"/>
        </w:rPr>
      </w:pPr>
      <w:r w:rsidRPr="00B70DAE">
        <w:rPr>
          <w:rFonts w:ascii="Times New Roman" w:eastAsia="Calibri" w:hAnsi="Times New Roman" w:cs="Times New Roman"/>
          <w:sz w:val="24"/>
          <w:szCs w:val="24"/>
          <w:lang w:val="en-JM" w:eastAsia="x-none"/>
        </w:rPr>
        <w:t>1.  Paragraph (l)(1)</w:t>
      </w:r>
      <w:r w:rsidRPr="00B70DAE">
        <w:rPr>
          <w:rFonts w:ascii="Times New Roman" w:eastAsia="Times New Roman" w:hAnsi="Times New Roman" w:cs="Courier New"/>
          <w:color w:val="000000"/>
          <w:sz w:val="24"/>
          <w:szCs w:val="24"/>
        </w:rPr>
        <w:t xml:space="preserve"> of the general industry standard and paragraph (j)(1) of the shipyard and construction standards requires chemical manufacturers, </w:t>
      </w:r>
      <w:r w:rsidRPr="00B70DAE">
        <w:rPr>
          <w:rFonts w:ascii="Times New Roman" w:eastAsia="Times New Roman" w:hAnsi="Times New Roman" w:cs="Courier New"/>
          <w:color w:val="000000"/>
          <w:sz w:val="24"/>
          <w:szCs w:val="24"/>
          <w:lang w:val="x-none" w:eastAsia="x-none"/>
        </w:rPr>
        <w:t xml:space="preserve">importers, distributors and employers </w:t>
      </w:r>
      <w:r w:rsidRPr="00B70DAE">
        <w:rPr>
          <w:rFonts w:ascii="Times New Roman" w:eastAsia="Times New Roman" w:hAnsi="Times New Roman" w:cs="Courier New"/>
          <w:color w:val="000000"/>
          <w:sz w:val="24"/>
          <w:szCs w:val="24"/>
          <w:lang w:eastAsia="x-none"/>
        </w:rPr>
        <w:t xml:space="preserve">to </w:t>
      </w:r>
      <w:r w:rsidRPr="00B70DAE">
        <w:rPr>
          <w:rFonts w:ascii="Times New Roman" w:eastAsia="Times New Roman" w:hAnsi="Times New Roman" w:cs="Courier New"/>
          <w:color w:val="000000"/>
          <w:sz w:val="24"/>
          <w:szCs w:val="24"/>
          <w:lang w:val="x-none" w:eastAsia="x-none"/>
        </w:rPr>
        <w:t>comply with requirements of the Hazard Communication Standard (HCS) (Sec.</w:t>
      </w:r>
      <w:r w:rsidRPr="00B70DAE">
        <w:rPr>
          <w:rFonts w:ascii="Times New Roman" w:eastAsia="Times New Roman" w:hAnsi="Times New Roman" w:cs="Courier New"/>
          <w:color w:val="000000"/>
          <w:sz w:val="24"/>
          <w:szCs w:val="24"/>
          <w:lang w:eastAsia="x-none"/>
        </w:rPr>
        <w:t xml:space="preserve"> </w:t>
      </w:r>
      <w:r w:rsidRPr="00B70DAE">
        <w:rPr>
          <w:rFonts w:ascii="Times New Roman" w:eastAsia="Times New Roman" w:hAnsi="Times New Roman" w:cs="Courier New"/>
          <w:color w:val="000000"/>
          <w:sz w:val="24"/>
          <w:szCs w:val="24"/>
          <w:lang w:val="x-none" w:eastAsia="x-none"/>
        </w:rPr>
        <w:t>1910.1200).</w:t>
      </w:r>
      <w:r w:rsidRPr="00B70DAE">
        <w:rPr>
          <w:rFonts w:ascii="Times New Roman" w:eastAsia="Times New Roman" w:hAnsi="Times New Roman" w:cs="Courier New"/>
          <w:color w:val="000000"/>
          <w:sz w:val="24"/>
          <w:szCs w:val="24"/>
          <w:lang w:eastAsia="x-none"/>
        </w:rPr>
        <w:t xml:space="preserve"> </w:t>
      </w:r>
      <w:r w:rsidRPr="00B70DAE">
        <w:rPr>
          <w:rFonts w:ascii="Times New Roman" w:eastAsia="Times New Roman" w:hAnsi="Times New Roman" w:cs="Courier New"/>
          <w:color w:val="000000"/>
          <w:sz w:val="24"/>
          <w:szCs w:val="24"/>
          <w:lang w:val="x-none" w:eastAsia="x-none"/>
        </w:rPr>
        <w:t xml:space="preserve">In classifying the hazards of </w:t>
      </w:r>
      <w:r w:rsidRPr="00B70DAE">
        <w:rPr>
          <w:rFonts w:ascii="Times New Roman" w:eastAsia="Times New Roman" w:hAnsi="Times New Roman" w:cs="Courier New"/>
          <w:color w:val="000000"/>
          <w:sz w:val="24"/>
          <w:szCs w:val="24"/>
          <w:lang w:eastAsia="x-none"/>
        </w:rPr>
        <w:t>Cr</w:t>
      </w:r>
      <w:r w:rsidRPr="00B70DAE">
        <w:rPr>
          <w:rFonts w:ascii="Times New Roman" w:eastAsia="Times New Roman" w:hAnsi="Times New Roman" w:cs="Courier New"/>
          <w:color w:val="000000"/>
          <w:sz w:val="24"/>
          <w:szCs w:val="24"/>
          <w:lang w:val="x-none" w:eastAsia="x-none"/>
        </w:rPr>
        <w:t xml:space="preserve">(VI) at least the following hazards are to be addressed: </w:t>
      </w:r>
      <w:r w:rsidRPr="00B70DAE">
        <w:rPr>
          <w:rFonts w:ascii="Times New Roman" w:eastAsia="Times New Roman" w:hAnsi="Times New Roman" w:cs="Courier New"/>
          <w:color w:val="000000"/>
          <w:sz w:val="24"/>
          <w:szCs w:val="24"/>
          <w:lang w:eastAsia="x-none"/>
        </w:rPr>
        <w:t>c</w:t>
      </w:r>
      <w:r w:rsidRPr="00B70DAE">
        <w:rPr>
          <w:rFonts w:ascii="Times New Roman" w:eastAsia="Times New Roman" w:hAnsi="Times New Roman" w:cs="Courier New"/>
          <w:color w:val="000000"/>
          <w:sz w:val="24"/>
          <w:szCs w:val="24"/>
          <w:lang w:val="x-none" w:eastAsia="x-none"/>
        </w:rPr>
        <w:t xml:space="preserve">ancer, eye </w:t>
      </w:r>
      <w:r w:rsidRPr="00B70DAE">
        <w:rPr>
          <w:rFonts w:ascii="Times New Roman" w:eastAsia="Times New Roman" w:hAnsi="Times New Roman" w:cs="Courier New"/>
          <w:color w:val="000000"/>
          <w:sz w:val="24"/>
          <w:szCs w:val="24"/>
          <w:lang w:val="x-none" w:eastAsia="x-none"/>
        </w:rPr>
        <w:t>irritation, and skin sensitization.</w:t>
      </w:r>
      <w:r w:rsidRPr="00B70DAE">
        <w:rPr>
          <w:rFonts w:ascii="Times New Roman" w:eastAsia="Times New Roman" w:hAnsi="Times New Roman" w:cs="Courier New"/>
          <w:color w:val="000000"/>
          <w:sz w:val="24"/>
          <w:szCs w:val="24"/>
          <w:lang w:eastAsia="x-none"/>
        </w:rPr>
        <w:t xml:space="preserve"> Employers must include Cr(VI) in the hazard communication program established to comply with the HCS. Employers must ensure that each worker has access to labels on containers of Cr(VI) and to safety data </w:t>
      </w:r>
      <w:r w:rsidRPr="00B70DAE">
        <w:rPr>
          <w:rFonts w:ascii="Times New Roman" w:eastAsia="Times New Roman" w:hAnsi="Times New Roman" w:cs="Courier New"/>
          <w:color w:val="000000" w:themeColor="text1"/>
          <w:sz w:val="24"/>
          <w:szCs w:val="24"/>
          <w:lang w:eastAsia="x-none"/>
        </w:rPr>
        <w:t>sheets and</w:t>
      </w:r>
      <w:r w:rsidRPr="00B70DAE">
        <w:rPr>
          <w:rFonts w:ascii="Times New Roman" w:eastAsia="Times New Roman" w:hAnsi="Times New Roman" w:cs="Courier New"/>
          <w:color w:val="000000"/>
          <w:sz w:val="24"/>
          <w:szCs w:val="24"/>
          <w:lang w:eastAsia="x-none"/>
        </w:rPr>
        <w:t xml:space="preserve"> is trained in accordance with the requirements of HCS.</w:t>
      </w:r>
      <w:r>
        <w:rPr>
          <w:rFonts w:ascii="Courier New" w:eastAsia="Times New Roman" w:hAnsi="Courier New" w:cs="Times New Roman"/>
          <w:color w:val="000000"/>
          <w:vertAlign w:val="superscript"/>
          <w:lang w:eastAsia="x-none"/>
        </w:rPr>
        <w:footnoteReference w:id="9"/>
      </w:r>
    </w:p>
    <w:p w:rsidR="00B70DAE" w:rsidRPr="00B70DAE" w:rsidP="00B70DAE" w14:paraId="06502369" w14:textId="77777777">
      <w:pPr>
        <w:spacing w:after="0" w:line="240" w:lineRule="auto"/>
        <w:ind w:left="360" w:hanging="360"/>
        <w:rPr>
          <w:rFonts w:ascii="Times New Roman" w:hAnsi="Times New Roman"/>
          <w:sz w:val="24"/>
          <w:szCs w:val="24"/>
          <w:lang w:val="en-JM"/>
        </w:rPr>
      </w:pPr>
      <w:r w:rsidRPr="00B70DAE">
        <w:rPr>
          <w:rFonts w:ascii="Times New Roman" w:hAnsi="Times New Roman"/>
          <w:sz w:val="24"/>
          <w:szCs w:val="24"/>
          <w:lang w:val="en-JM"/>
        </w:rPr>
        <w:t xml:space="preserve"> </w:t>
      </w:r>
    </w:p>
    <w:p w:rsidR="00B70DAE" w:rsidRPr="00B70DAE" w:rsidP="00B70DAE" w14:paraId="4B6B18D5"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2.  </w:t>
      </w:r>
      <w:r w:rsidRPr="00B70DAE">
        <w:rPr>
          <w:rFonts w:ascii="Times New Roman" w:hAnsi="Times New Roman"/>
          <w:sz w:val="24"/>
          <w:szCs w:val="24"/>
          <w:u w:val="single"/>
          <w:lang w:val="en-JM"/>
        </w:rPr>
        <w:t>Employee Information and Training (§§ 1910.1026(l)(2), 1915.1026(j)(2), and 1926.1126(j)(2))</w:t>
      </w:r>
    </w:p>
    <w:p w:rsidR="00B70DAE" w:rsidRPr="00B70DAE" w:rsidP="00B70DAE" w14:paraId="66A48B3A"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517E26D5" w14:textId="77777777">
      <w:pPr>
        <w:spacing w:after="0" w:line="240" w:lineRule="auto"/>
        <w:rPr>
          <w:rFonts w:ascii="Times New Roman" w:hAnsi="Times New Roman"/>
          <w:sz w:val="24"/>
          <w:szCs w:val="24"/>
        </w:rPr>
      </w:pPr>
      <w:r w:rsidRPr="00B70DAE">
        <w:rPr>
          <w:rFonts w:ascii="Times New Roman" w:hAnsi="Times New Roman"/>
          <w:sz w:val="24"/>
          <w:szCs w:val="24"/>
          <w:lang w:val="en-JM"/>
        </w:rPr>
        <w:t>Paragraph (l)(2) of the general industry standard, and paragraphs (j)(2) in the shipyard employment and construction standards, require the employer to ensure that each worker can demonstrate knowledge of the contents of these standards, and the purpose and a description of the medical surveillance program required by these standards. The employer also must make a copy of the appropriate standard readily available without cost to all affected workers.</w:t>
      </w:r>
    </w:p>
    <w:p w:rsidR="00B70DAE" w:rsidRPr="00B70DAE" w:rsidP="00B70DAE" w14:paraId="6FA48F65" w14:textId="77777777">
      <w:pPr>
        <w:spacing w:after="0" w:line="240" w:lineRule="auto"/>
        <w:rPr>
          <w:rFonts w:ascii="Times New Roman" w:hAnsi="Times New Roman"/>
          <w:sz w:val="24"/>
          <w:szCs w:val="24"/>
        </w:rPr>
      </w:pPr>
      <w:r w:rsidRPr="00B70DAE">
        <w:rPr>
          <w:rFonts w:ascii="Courier New" w:hAnsi="Courier New" w:cs="Courier New"/>
          <w:sz w:val="24"/>
          <w:szCs w:val="24"/>
          <w:lang w:val="en-JM"/>
        </w:rPr>
        <w:t> </w:t>
      </w:r>
    </w:p>
    <w:p w:rsidR="00B70DAE" w:rsidRPr="00B70DAE" w:rsidP="00B70DAE" w14:paraId="171E039D" w14:textId="77777777">
      <w:pPr>
        <w:widowControl w:val="0"/>
        <w:tabs>
          <w:tab w:val="left" w:pos="360"/>
          <w:tab w:val="left" w:pos="960"/>
          <w:tab w:val="left" w:pos="1560"/>
          <w:tab w:val="left" w:pos="2160"/>
          <w:tab w:val="left" w:pos="2760"/>
          <w:tab w:val="left" w:pos="3360"/>
          <w:tab w:val="left" w:pos="4080"/>
          <w:tab w:val="left" w:pos="4680"/>
          <w:tab w:val="left" w:pos="5280"/>
          <w:tab w:val="left" w:pos="5880"/>
        </w:tabs>
        <w:autoSpaceDE w:val="0"/>
        <w:autoSpaceDN w:val="0"/>
        <w:adjustRightInd w:val="0"/>
        <w:spacing w:after="0" w:line="240" w:lineRule="auto"/>
        <w:rPr>
          <w:rFonts w:ascii="Times New Roman" w:hAnsi="Times New Roman"/>
          <w:sz w:val="24"/>
          <w:szCs w:val="24"/>
        </w:rPr>
      </w:pPr>
      <w:r w:rsidRPr="00B70DAE">
        <w:rPr>
          <w:rFonts w:ascii="Times New Roman" w:eastAsia="@MS Mincho" w:hAnsi="Times New Roman"/>
          <w:sz w:val="24"/>
          <w:szCs w:val="24"/>
        </w:rPr>
        <w:t>Upon further analysis, the requirement that employers provide training to workers under (l)(2) of the general industry standard and paragraphs (j)(2) in the shipyard employment and construction standards is not considered to be a collection of information.</w:t>
      </w:r>
      <w:r w:rsidRPr="00B70DAE">
        <w:rPr>
          <w:rFonts w:ascii="Times New Roman" w:hAnsi="Times New Roman"/>
          <w:sz w:val="24"/>
          <w:szCs w:val="24"/>
          <w:lang w:val="en-JM"/>
        </w:rPr>
        <w:t xml:space="preserve"> OSHA is not taking burden for them under Items 12 or 13 of this Supporting Statement.</w:t>
      </w:r>
    </w:p>
    <w:p w:rsidR="00B70DAE" w:rsidRPr="00B70DAE" w:rsidP="00B70DAE" w14:paraId="757D637E"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665EC139"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I.  Recordkeeping (§§ 1910.1026(m), 1915.1026(k), and 1926.1126(k))</w:t>
      </w:r>
    </w:p>
    <w:p w:rsidR="00B70DAE" w:rsidRPr="00B70DAE" w:rsidP="00B70DAE" w14:paraId="5C2789A3"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73D81B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The recordkeeping requirements in these standards conform to Section 8(c) of the OSH Act, which authorizes OSHA to require employers to keep and make available records as necessary or appropriate for the enforcement of the Act or for developing information regarding the causes and prevention of occupational injuries and illnesses. The recordkeeping provisions also are consistent with OSHA's standard on access to worker exposure and medical records (29 CFR 1910.1020).</w:t>
      </w:r>
    </w:p>
    <w:p w:rsidR="00B70DAE" w:rsidRPr="00B70DAE" w:rsidP="00B70DAE" w14:paraId="44A64BFD"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3ABDF94F" w14:textId="77777777">
      <w:pPr>
        <w:spacing w:after="0" w:line="240" w:lineRule="auto"/>
        <w:ind w:left="360" w:hanging="360"/>
        <w:rPr>
          <w:rFonts w:ascii="Times New Roman" w:hAnsi="Times New Roman"/>
          <w:sz w:val="24"/>
          <w:szCs w:val="24"/>
        </w:rPr>
      </w:pPr>
      <w:r w:rsidRPr="00B70DAE">
        <w:rPr>
          <w:rFonts w:ascii="Times New Roman" w:hAnsi="Times New Roman"/>
          <w:sz w:val="24"/>
          <w:szCs w:val="24"/>
          <w:lang w:val="en-JM"/>
        </w:rPr>
        <w:t xml:space="preserve">1.  </w:t>
      </w:r>
      <w:r w:rsidRPr="00B70DAE">
        <w:rPr>
          <w:rFonts w:ascii="Times New Roman" w:hAnsi="Times New Roman"/>
          <w:sz w:val="24"/>
          <w:szCs w:val="24"/>
          <w:u w:val="single"/>
          <w:lang w:val="en-JM"/>
        </w:rPr>
        <w:t>Air Monitoring Data (§§ 1910.1026(m)(1</w:t>
      </w:r>
      <w:r w:rsidRPr="00B70DAE">
        <w:rPr>
          <w:rFonts w:ascii="Times New Roman" w:hAnsi="Times New Roman"/>
          <w:b/>
          <w:bCs/>
          <w:sz w:val="24"/>
          <w:szCs w:val="24"/>
          <w:u w:val="single"/>
          <w:lang w:val="en-JM"/>
        </w:rPr>
        <w:t xml:space="preserve">), </w:t>
      </w:r>
      <w:r w:rsidRPr="00B70DAE">
        <w:rPr>
          <w:rFonts w:ascii="Times New Roman" w:hAnsi="Times New Roman"/>
          <w:sz w:val="24"/>
          <w:szCs w:val="24"/>
          <w:u w:val="single"/>
          <w:lang w:val="en-JM"/>
        </w:rPr>
        <w:t>1915.1026(k)(1), and 1926.1126(k)(1)) and Medical Surveillance (§§ 1910.1026(m)(4), 1915.1026(k)(4), and 1926.1126(k)(4))</w:t>
      </w:r>
    </w:p>
    <w:p w:rsidR="00B70DAE" w:rsidRPr="00B70DAE" w:rsidP="00B70DAE" w14:paraId="251221B8"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43A457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u w:val="single"/>
        </w:rPr>
        <w:t>Air monitoring data</w:t>
      </w:r>
      <w:r w:rsidRPr="00B70DAE">
        <w:rPr>
          <w:rFonts w:ascii="Times New Roman" w:hAnsi="Times New Roman"/>
          <w:sz w:val="24"/>
          <w:szCs w:val="24"/>
        </w:rPr>
        <w:t xml:space="preserve">. Employers who perform air monitoring to determine worker Cr(VI) exposures must keep records that identify the monitored worker and all other workers whose exposures are represented by the monitoring samples. The employer must keep accurate records for each exposure measurement taken. These records must include the following information: the date of measurement for each sample taken; the operation involving exposure to Cr(VI) that was monitored; sampling and analytical methods used and evidence of their accuracy; the number, duration, and results of samples taken; the type of personal protective equipment used by the </w:t>
      </w:r>
      <w:r w:rsidRPr="00B70DAE">
        <w:rPr>
          <w:rFonts w:ascii="Times New Roman" w:hAnsi="Times New Roman"/>
          <w:sz w:val="24"/>
          <w:szCs w:val="24"/>
        </w:rPr>
        <w:t>worker; and the name and job classification of all workers represented by the monitoring, indicating which workers were actually monitored. Also, employers must ensure that exposure records are maintained and made available in accordance with 29 CFR 1910.1020.</w:t>
      </w:r>
      <w:r>
        <w:rPr>
          <w:rFonts w:cs="Times New Roman"/>
          <w:sz w:val="20"/>
          <w:szCs w:val="20"/>
          <w:vertAlign w:val="superscript"/>
        </w:rPr>
        <w:footnoteReference w:id="10"/>
      </w:r>
      <w:r w:rsidRPr="00B70DAE">
        <w:rPr>
          <w:rFonts w:ascii="Courier New" w:hAnsi="Courier New" w:cs="Courier New"/>
          <w:sz w:val="20"/>
          <w:szCs w:val="20"/>
        </w:rPr>
        <w:t xml:space="preserve"> </w:t>
      </w:r>
    </w:p>
    <w:p w:rsidR="00B70DAE" w:rsidRPr="00B70DAE" w:rsidP="00B70DAE" w14:paraId="12B9CF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7D65CCF3" w14:textId="77777777">
      <w:pPr>
        <w:spacing w:after="0" w:line="240" w:lineRule="auto"/>
        <w:rPr>
          <w:rFonts w:ascii="Times New Roman" w:hAnsi="Times New Roman"/>
          <w:sz w:val="24"/>
          <w:szCs w:val="24"/>
        </w:rPr>
      </w:pPr>
      <w:r w:rsidRPr="00B70DAE">
        <w:rPr>
          <w:rFonts w:ascii="Times New Roman" w:hAnsi="Times New Roman"/>
          <w:sz w:val="24"/>
          <w:szCs w:val="24"/>
          <w:lang w:val="en-JM"/>
        </w:rPr>
        <w:t>Establishing and maintaining records of air monitoring data permit employers, workers, OSHA, and other interested parties (i.e., industry trade associations and worker unions, or comparable organizations) to identify the levels, durations, and extent of Cr(VI) exposure, determine if existing controls are protecting workers or whether additional controls are necessary to provide the required protection, and assess the relationship between Cr(VI) exposure and the subsequent development of medical diseases. These records also allow OSHA to ascertain whether employers are complying with the standards, thereby ensuring that workers are receiving adequate protection from Cr(VI) exposure.</w:t>
      </w:r>
    </w:p>
    <w:p w:rsidR="00B70DAE" w:rsidRPr="00B70DAE" w:rsidP="00B70DAE" w14:paraId="457492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rPr>
        <w:t> </w:t>
      </w:r>
    </w:p>
    <w:p w:rsidR="00B70DAE" w:rsidRPr="00B70DAE" w:rsidP="00B70DAE" w14:paraId="2426B9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70DAE">
        <w:rPr>
          <w:rFonts w:ascii="Times New Roman" w:hAnsi="Times New Roman"/>
          <w:sz w:val="24"/>
          <w:szCs w:val="24"/>
          <w:u w:val="single"/>
        </w:rPr>
        <w:t>Medical surveillance</w:t>
      </w:r>
      <w:r w:rsidRPr="00B70DAE">
        <w:rPr>
          <w:rFonts w:ascii="Times New Roman" w:hAnsi="Times New Roman"/>
          <w:sz w:val="24"/>
          <w:szCs w:val="24"/>
        </w:rPr>
        <w:t>. The employer must establish and maintain an accurate medical surveillance record for each worker subject to the medical surveillance requirements of the standards. Medical surveillance records must include the following information: the name and job classification of the worker; a copy of the PLHCP's written opinions; and a copy of the information provided to the PLHCP. This information includes the worker's duties as they relate to Cr(VI) exposure, Cr(VI) exposure levels, and descriptions of personal protective equipment used by the worker. Also, the employer must ensure that worker medical records are maintained in accordance with 29 CFR 1910.1020.</w:t>
      </w:r>
    </w:p>
    <w:p w:rsidR="00B70DAE" w:rsidRPr="00B70DAE" w:rsidP="00B70DAE" w14:paraId="7CA88AD7"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70DAE" w:rsidRPr="00B70DAE" w:rsidP="00B70DAE" w14:paraId="68E364A5" w14:textId="77777777">
      <w:pPr>
        <w:spacing w:after="0" w:line="240" w:lineRule="auto"/>
        <w:rPr>
          <w:rFonts w:ascii="Times New Roman" w:hAnsi="Times New Roman"/>
          <w:sz w:val="24"/>
          <w:szCs w:val="24"/>
        </w:rPr>
      </w:pPr>
      <w:r w:rsidRPr="00B70DAE">
        <w:rPr>
          <w:rFonts w:ascii="Times New Roman" w:hAnsi="Times New Roman"/>
          <w:sz w:val="24"/>
          <w:szCs w:val="24"/>
          <w:lang w:val="en-JM"/>
        </w:rPr>
        <w:t>Medical records are necessary and appropriate for the protection of worker health, the enforcement of the standards, and the development of information regarding the causes and prevention of Cr(VI)-related illnesses. Complete medical records, including the record of the examination administered upon termination of employment, are important to the worker because this information is necessary for the proper evaluation of the worker’s health, and will assist the worker and the worker’s PHLCP in making valid health care decisions. Complete medical records also will alert employers to worker health problems that are related to Cr(VI) exposure, thereby permitting the employer to modify workplace conditions causing the harmful Cr(VI) exposures. Finally, the records will be useful to the agency and others in enumerating illnesses and deaths attributable to Cr(VI), evaluating compliance programs, and assessing the efficacy of the standards.</w:t>
      </w:r>
    </w:p>
    <w:p w:rsidR="00B70DAE" w:rsidRPr="00B70DAE" w:rsidP="00B70DAE" w14:paraId="76990899"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BD4136" w:rsidRPr="00B92220" w:rsidP="00BD4136" w14:paraId="70C909D8" w14:textId="77777777">
      <w:pPr>
        <w:widowControl w:val="0"/>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3.  </w:t>
      </w:r>
      <w:r w:rsidRPr="00B92220">
        <w:rPr>
          <w:rFonts w:ascii="Times New Roman" w:eastAsia="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70DAE" w:rsidRPr="00B70DAE" w:rsidP="00B70DAE" w14:paraId="59B25D04" w14:textId="77777777">
      <w:pPr>
        <w:spacing w:after="0" w:line="240" w:lineRule="auto"/>
        <w:rPr>
          <w:rFonts w:ascii="Times New Roman" w:hAnsi="Times New Roman"/>
          <w:sz w:val="24"/>
          <w:szCs w:val="24"/>
          <w:lang w:val="en-JM"/>
        </w:rPr>
      </w:pPr>
    </w:p>
    <w:p w:rsidR="00B70DAE" w:rsidRPr="00B70DAE" w:rsidP="00B70DAE" w14:paraId="2AA73B52"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collections of information requirements of the standards in performance-oriented language (i.e., in terms of </w:t>
      </w:r>
      <w:r w:rsidRPr="00B70DAE">
        <w:rPr>
          <w:rFonts w:ascii="Times New Roman" w:hAnsi="Times New Roman"/>
          <w:sz w:val="24"/>
          <w:szCs w:val="24"/>
          <w:u w:val="single"/>
          <w:lang w:val="en-JM"/>
        </w:rPr>
        <w:t>what</w:t>
      </w:r>
      <w:r w:rsidRPr="00B70DAE">
        <w:rPr>
          <w:rFonts w:ascii="Times New Roman" w:hAnsi="Times New Roman"/>
          <w:sz w:val="24"/>
          <w:szCs w:val="24"/>
          <w:lang w:val="en-JM"/>
        </w:rPr>
        <w:t xml:space="preserve"> data to collect, not </w:t>
      </w:r>
      <w:r w:rsidRPr="00B70DAE">
        <w:rPr>
          <w:rFonts w:ascii="Times New Roman" w:hAnsi="Times New Roman"/>
          <w:sz w:val="24"/>
          <w:szCs w:val="24"/>
          <w:u w:val="single"/>
          <w:lang w:val="en-JM"/>
        </w:rPr>
        <w:t>how</w:t>
      </w:r>
      <w:r w:rsidRPr="00B70DAE">
        <w:rPr>
          <w:rFonts w:ascii="Times New Roman" w:hAnsi="Times New Roman"/>
          <w:sz w:val="24"/>
          <w:szCs w:val="24"/>
          <w:lang w:val="en-JM"/>
        </w:rPr>
        <w:t xml:space="preserve"> to record the data).</w:t>
      </w:r>
    </w:p>
    <w:p w:rsidR="009D3724" w:rsidRPr="00B70DAE" w:rsidP="00B70DAE" w14:paraId="5240B476" w14:textId="344075DB">
      <w:pPr>
        <w:spacing w:after="0" w:line="240" w:lineRule="auto"/>
        <w:rPr>
          <w:rFonts w:ascii="Times New Roman" w:hAnsi="Times New Roman"/>
          <w:sz w:val="24"/>
          <w:szCs w:val="24"/>
          <w:lang w:val="en-JM"/>
        </w:rPr>
      </w:pPr>
      <w:r w:rsidRPr="00B70DAE">
        <w:rPr>
          <w:rFonts w:ascii="Times New Roman" w:hAnsi="Times New Roman"/>
          <w:sz w:val="24"/>
          <w:szCs w:val="24"/>
          <w:lang w:val="en-JM"/>
        </w:rPr>
        <w:t> </w:t>
      </w:r>
    </w:p>
    <w:p w:rsidR="00402DB4" w:rsidRPr="00B92220" w:rsidP="003E5FFE" w14:paraId="7DF296D1" w14:textId="77777777">
      <w:pPr>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4.  </w:t>
      </w:r>
      <w:r w:rsidRPr="00B92220">
        <w:rPr>
          <w:rFonts w:ascii="Times New Roman" w:eastAsia="Times New Roman" w:hAnsi="Times New Roman" w:cs="Shruti"/>
          <w:b/>
          <w:bCs/>
          <w:sz w:val="24"/>
          <w:szCs w:val="24"/>
        </w:rPr>
        <w:t>Describe efforts to identify duplication.  Show specifically why any similar information already available cannot be used or modified for use for the purposes described in Item A.2 above.</w:t>
      </w:r>
    </w:p>
    <w:p w:rsidR="00B70DAE" w:rsidRPr="00B70DAE" w:rsidP="00B70DAE" w14:paraId="5D7CEE6D" w14:textId="77777777">
      <w:pPr>
        <w:spacing w:after="0" w:line="240" w:lineRule="auto"/>
        <w:rPr>
          <w:rFonts w:ascii="Times New Roman" w:hAnsi="Times New Roman"/>
          <w:sz w:val="24"/>
          <w:szCs w:val="24"/>
          <w:lang w:val="en-JM"/>
        </w:rPr>
      </w:pPr>
    </w:p>
    <w:p w:rsidR="00B70DAE" w:rsidRPr="00B70DAE" w:rsidP="00B70DAE" w14:paraId="1CD3C522" w14:textId="77777777">
      <w:pPr>
        <w:spacing w:after="0" w:line="240" w:lineRule="auto"/>
        <w:rPr>
          <w:rFonts w:ascii="Times New Roman" w:hAnsi="Times New Roman"/>
          <w:sz w:val="24"/>
          <w:szCs w:val="24"/>
        </w:rPr>
      </w:pPr>
      <w:r w:rsidRPr="00B70DAE">
        <w:rPr>
          <w:rFonts w:ascii="Times New Roman" w:hAnsi="Times New Roman"/>
          <w:sz w:val="24"/>
          <w:szCs w:val="24"/>
          <w:lang w:val="en-JM"/>
        </w:rPr>
        <w:t>The information collection requirements of the standards are specific to each employer and worker involved, and no other source or agency duplicates these requirements or can make the required information available to the agency (i.e., the required information is available only from employers).</w:t>
      </w:r>
    </w:p>
    <w:p w:rsidR="00B70DAE" w:rsidRPr="00B70DAE" w:rsidP="00B70DAE" w14:paraId="033E74A9"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572CB9" w:rsidRPr="00B92220" w:rsidP="003E5FFE" w14:paraId="73E718F8" w14:textId="77777777">
      <w:pPr>
        <w:widowControl w:val="0"/>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5.  </w:t>
      </w:r>
      <w:r w:rsidRPr="00B92220">
        <w:rPr>
          <w:rFonts w:ascii="Times New Roman" w:eastAsia="Times New Roman" w:hAnsi="Times New Roman" w:cs="Shruti"/>
          <w:b/>
          <w:bCs/>
          <w:sz w:val="24"/>
          <w:szCs w:val="24"/>
        </w:rPr>
        <w:t>If the collection of information impacts small businesses or other small entities, describe any methods used to minimize burden.</w:t>
      </w:r>
    </w:p>
    <w:p w:rsidR="00B70DAE" w:rsidRPr="00B70DAE" w:rsidP="00B70DAE" w14:paraId="4DF77C8F" w14:textId="77777777">
      <w:pPr>
        <w:spacing w:after="0" w:line="240" w:lineRule="auto"/>
        <w:ind w:left="60"/>
        <w:rPr>
          <w:rFonts w:ascii="Times New Roman" w:hAnsi="Times New Roman"/>
          <w:sz w:val="24"/>
          <w:szCs w:val="24"/>
        </w:rPr>
      </w:pPr>
    </w:p>
    <w:p w:rsidR="00B70DAE" w:rsidRPr="00B70DAE" w:rsidP="00B70DAE" w14:paraId="2A72633A" w14:textId="77777777">
      <w:pPr>
        <w:rPr>
          <w:rFonts w:ascii="Times New Roman" w:hAnsi="Times New Roman"/>
          <w:sz w:val="24"/>
          <w:szCs w:val="24"/>
        </w:rPr>
      </w:pPr>
      <w:r w:rsidRPr="00B70DAE">
        <w:rPr>
          <w:rFonts w:ascii="Times New Roman" w:hAnsi="Times New Roman"/>
          <w:sz w:val="24"/>
          <w:szCs w:val="24"/>
        </w:rPr>
        <w:t>The information collection requirements of the standards do not have a significant impact on a substantial number of small entities.</w:t>
      </w:r>
    </w:p>
    <w:p w:rsidR="0048692F" w:rsidRPr="00B92220" w:rsidP="003E5FFE" w14:paraId="6341FEB2" w14:textId="77777777">
      <w:pPr>
        <w:widowControl w:val="0"/>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6.  </w:t>
      </w:r>
      <w:r w:rsidRPr="00B92220">
        <w:rPr>
          <w:rFonts w:ascii="Times New Roman" w:eastAsia="Times New Roman" w:hAnsi="Times New Roman" w:cs="Shruti"/>
          <w:b/>
          <w:bCs/>
          <w:sz w:val="24"/>
          <w:szCs w:val="24"/>
        </w:rPr>
        <w:t>Describe the consequence to Federal program or policy activities if the collection is not conducted or is conducted less frequently, as well as any technical or legal obstacles to reducing burden.</w:t>
      </w:r>
    </w:p>
    <w:p w:rsidR="00B70DAE" w:rsidRPr="00B70DAE" w:rsidP="00B70DAE" w14:paraId="43D3ADF4" w14:textId="77777777">
      <w:pPr>
        <w:spacing w:after="0" w:line="240" w:lineRule="auto"/>
        <w:rPr>
          <w:rFonts w:ascii="Times New Roman" w:hAnsi="Times New Roman"/>
          <w:sz w:val="24"/>
          <w:szCs w:val="24"/>
          <w:lang w:val="en-JM"/>
        </w:rPr>
      </w:pPr>
    </w:p>
    <w:p w:rsidR="00B70DAE" w:rsidRPr="00B70DAE" w:rsidP="00B70DAE" w14:paraId="2AC53851" w14:textId="77777777">
      <w:pPr>
        <w:spacing w:after="0" w:line="240" w:lineRule="auto"/>
        <w:rPr>
          <w:rFonts w:ascii="Times New Roman" w:hAnsi="Times New Roman"/>
          <w:sz w:val="24"/>
          <w:szCs w:val="24"/>
        </w:rPr>
      </w:pPr>
      <w:r w:rsidRPr="00B70DAE">
        <w:rPr>
          <w:rFonts w:ascii="Times New Roman" w:hAnsi="Times New Roman"/>
          <w:sz w:val="24"/>
          <w:szCs w:val="24"/>
          <w:lang w:val="en-JM"/>
        </w:rPr>
        <w:t xml:space="preserve">The information collection frequencies specified by the standards are the minimum frequencies that the agency believes are necessary to ensure that employers and OSHA can effectively monitor the exposure and health status of workers working with or exposed to Cr(VI), and thereby, preventing serious illness or death resulting from hazardous exposure and fulfilling its mandate </w:t>
      </w:r>
      <w:r w:rsidRPr="00B70DAE">
        <w:rPr>
          <w:rFonts w:ascii="Times New Roman" w:eastAsia="Times New Roman" w:hAnsi="Times New Roman"/>
          <w:color w:val="000000" w:themeColor="text1"/>
          <w:sz w:val="24"/>
          <w:szCs w:val="24"/>
          <w:lang w:val="en-JM"/>
        </w:rPr>
        <w:t>"to assure so far as possible every working man and woman in the Nation safe and healthful working conditions and to preserve our human resources" as specified by the OSH Act at 29 U.S.C. 651.</w:t>
      </w:r>
    </w:p>
    <w:p w:rsidR="00B70DAE" w:rsidRPr="00B70DAE" w:rsidP="00B70DAE" w14:paraId="6B0E5616" w14:textId="77777777">
      <w:pPr>
        <w:spacing w:after="0" w:line="240" w:lineRule="auto"/>
        <w:rPr>
          <w:rFonts w:ascii="Times New Roman" w:hAnsi="Times New Roman"/>
          <w:sz w:val="24"/>
          <w:szCs w:val="24"/>
          <w:lang w:val="en-JM"/>
        </w:rPr>
      </w:pPr>
    </w:p>
    <w:p w:rsidR="00B70DAE" w:rsidRPr="00B70DAE" w:rsidP="00B70DAE" w14:paraId="200981F4" w14:textId="1DBA5D1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hAnsi="Times New Roman"/>
          <w:sz w:val="24"/>
          <w:szCs w:val="24"/>
          <w:lang w:val="en-JM"/>
        </w:rPr>
      </w:pPr>
      <w:r w:rsidRPr="00B70DAE">
        <w:rPr>
          <w:rFonts w:ascii="Times New Roman" w:eastAsia="Times New Roman" w:hAnsi="Times New Roman"/>
          <w:color w:val="000000" w:themeColor="text1"/>
          <w:sz w:val="24"/>
          <w:szCs w:val="24"/>
        </w:rPr>
        <w:t xml:space="preserve">OSHA's recordkeeping requirements are designed to ensure that employers are complying with applicable standards and that protection of workers exposed to Cr(VI) is provided to the full extent required. OSHA compliance officers </w:t>
      </w:r>
      <w:r w:rsidR="00ED77F6">
        <w:rPr>
          <w:rFonts w:ascii="Times New Roman" w:eastAsia="Times New Roman" w:hAnsi="Times New Roman"/>
          <w:color w:val="000000" w:themeColor="text1"/>
          <w:sz w:val="24"/>
          <w:szCs w:val="24"/>
        </w:rPr>
        <w:t>review records for this purpose during</w:t>
      </w:r>
      <w:r w:rsidRPr="00B70DAE">
        <w:rPr>
          <w:rFonts w:ascii="Times New Roman" w:eastAsia="Times New Roman" w:hAnsi="Times New Roman"/>
          <w:color w:val="000000" w:themeColor="text1"/>
          <w:sz w:val="24"/>
          <w:szCs w:val="24"/>
        </w:rPr>
        <w:t xml:space="preserve"> inspections. Additionally, the data contained in exposure-measurement records are useful to employers in pinpointing areas of their operations that may require additional efforts to reduce occupational exposure.</w:t>
      </w:r>
    </w:p>
    <w:p w:rsidR="00CE4A46" w:rsidRPr="003E5FFE" w:rsidP="00B70DAE" w14:paraId="77406DEE" w14:textId="11923245">
      <w:pPr>
        <w:rPr>
          <w:rFonts w:ascii="Times New Roman" w:eastAsia="Times New Roman" w:hAnsi="Times New Roman"/>
          <w:color w:val="000000" w:themeColor="text1"/>
          <w:sz w:val="24"/>
          <w:szCs w:val="24"/>
        </w:rPr>
      </w:pPr>
      <w:r w:rsidRPr="00B70DAE">
        <w:rPr>
          <w:rFonts w:ascii="Times New Roman" w:eastAsia="Times New Roman" w:hAnsi="Times New Roman"/>
          <w:color w:val="000000" w:themeColor="text1"/>
          <w:sz w:val="24"/>
          <w:szCs w:val="24"/>
        </w:rPr>
        <w:t xml:space="preserve">Records of previous medical examinations are used by physicians who must periodically examine workers exposed to Cr(VI). Without records of previous medical examinations, the </w:t>
      </w:r>
      <w:r w:rsidRPr="00B70DAE">
        <w:rPr>
          <w:rFonts w:ascii="Times New Roman" w:eastAsia="Times New Roman" w:hAnsi="Times New Roman"/>
          <w:color w:val="000000" w:themeColor="text1"/>
          <w:sz w:val="24"/>
          <w:szCs w:val="24"/>
        </w:rPr>
        <w:t xml:space="preserve">physician may not be able to determine whether a worker has suffered an adverse health effect since their last examination. </w:t>
      </w:r>
      <w:r w:rsidR="0006192F">
        <w:rPr>
          <w:rFonts w:ascii="Times New Roman" w:eastAsia="Times New Roman" w:hAnsi="Times New Roman"/>
          <w:color w:val="000000" w:themeColor="text1"/>
          <w:sz w:val="24"/>
          <w:szCs w:val="24"/>
        </w:rPr>
        <w:t>Furthermore, when symptoms of organic damage appear, the physician often requires information about</w:t>
      </w:r>
      <w:r w:rsidRPr="00B70DAE">
        <w:rPr>
          <w:rFonts w:ascii="Times New Roman" w:eastAsia="Times New Roman" w:hAnsi="Times New Roman"/>
          <w:color w:val="000000" w:themeColor="text1"/>
          <w:sz w:val="24"/>
          <w:szCs w:val="24"/>
        </w:rPr>
        <w:t xml:space="preserve"> the patient's previous medical condition to make an accurate diagnosis of the new problem, its apparent cause, and the course of treatment required.</w:t>
      </w:r>
    </w:p>
    <w:p w:rsidR="00B07708" w:rsidRPr="00B92220" w:rsidP="00B07708" w14:paraId="140F1235" w14:textId="77777777">
      <w:pPr>
        <w:widowControl w:val="0"/>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7.  </w:t>
      </w:r>
      <w:r w:rsidRPr="00B92220">
        <w:rPr>
          <w:rFonts w:ascii="Times New Roman" w:eastAsia="Times New Roman" w:hAnsi="Times New Roman" w:cs="Shruti"/>
          <w:b/>
          <w:bCs/>
          <w:sz w:val="24"/>
          <w:szCs w:val="24"/>
        </w:rPr>
        <w:t>Explain any special circumstances that would cause an information collection to be conducted in a manner:</w:t>
      </w:r>
    </w:p>
    <w:p w:rsidR="00B07708" w:rsidRPr="00B92220" w:rsidP="00B07708" w14:paraId="213A4536" w14:textId="77777777">
      <w:pPr>
        <w:widowControl w:val="0"/>
        <w:autoSpaceDE w:val="0"/>
        <w:autoSpaceDN w:val="0"/>
        <w:adjustRightInd w:val="0"/>
        <w:spacing w:after="0" w:line="240" w:lineRule="auto"/>
        <w:ind w:left="360"/>
        <w:rPr>
          <w:rFonts w:ascii="Times New Roman" w:eastAsia="Times New Roman" w:hAnsi="Times New Roman"/>
          <w:b/>
          <w:bCs/>
          <w:sz w:val="24"/>
          <w:szCs w:val="24"/>
        </w:rPr>
      </w:pPr>
    </w:p>
    <w:p w:rsidR="00B07708" w:rsidRPr="00B92220" w:rsidP="00B07708" w14:paraId="537DE6CF" w14:textId="77777777">
      <w:pPr>
        <w:tabs>
          <w:tab w:val="left" w:pos="-1440"/>
        </w:tabs>
        <w:autoSpaceDE w:val="0"/>
        <w:autoSpaceDN w:val="0"/>
        <w:adjustRightInd w:val="0"/>
        <w:spacing w:after="0" w:line="240" w:lineRule="auto"/>
        <w:ind w:left="882"/>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r</w:t>
      </w:r>
      <w:r w:rsidRPr="00B92220">
        <w:rPr>
          <w:rFonts w:ascii="Times New Roman" w:eastAsia="Times New Roman" w:hAnsi="Times New Roman"/>
          <w:b/>
          <w:bCs/>
          <w:sz w:val="24"/>
          <w:szCs w:val="24"/>
        </w:rPr>
        <w:t>equiring respondents to report information to the agency more often than quarterly;</w:t>
      </w:r>
    </w:p>
    <w:p w:rsidR="00B07708" w:rsidRPr="00B92220" w:rsidP="00B07708" w14:paraId="200C63E6" w14:textId="77777777">
      <w:pPr>
        <w:autoSpaceDE w:val="0"/>
        <w:autoSpaceDN w:val="0"/>
        <w:adjustRightInd w:val="0"/>
        <w:spacing w:after="0" w:line="240" w:lineRule="auto"/>
        <w:ind w:left="594"/>
        <w:rPr>
          <w:rFonts w:ascii="Times New Roman" w:eastAsia="Times New Roman" w:hAnsi="Times New Roman"/>
          <w:b/>
          <w:bCs/>
          <w:sz w:val="24"/>
          <w:szCs w:val="24"/>
        </w:rPr>
      </w:pPr>
    </w:p>
    <w:p w:rsidR="00B07708" w:rsidRPr="00B92220" w:rsidP="00B07708" w14:paraId="16613A16" w14:textId="77777777">
      <w:pPr>
        <w:tabs>
          <w:tab w:val="left" w:pos="-1440"/>
        </w:tabs>
        <w:autoSpaceDE w:val="0"/>
        <w:autoSpaceDN w:val="0"/>
        <w:adjustRightInd w:val="0"/>
        <w:spacing w:after="0" w:line="240" w:lineRule="auto"/>
        <w:ind w:left="1044" w:hanging="162"/>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r</w:t>
      </w:r>
      <w:r w:rsidRPr="00B92220">
        <w:rPr>
          <w:rFonts w:ascii="Times New Roman" w:eastAsia="Times New Roman" w:hAnsi="Times New Roman"/>
          <w:b/>
          <w:bCs/>
          <w:sz w:val="24"/>
          <w:szCs w:val="24"/>
        </w:rPr>
        <w:t>equiring respondents to prepare a written response to a collection of information in fewer than 30 days after receipt of it;</w:t>
      </w:r>
    </w:p>
    <w:p w:rsidR="00B07708" w:rsidRPr="00B92220" w:rsidP="00B07708" w14:paraId="2AFE1511" w14:textId="77777777">
      <w:pPr>
        <w:autoSpaceDE w:val="0"/>
        <w:autoSpaceDN w:val="0"/>
        <w:adjustRightInd w:val="0"/>
        <w:spacing w:after="0" w:line="240" w:lineRule="auto"/>
        <w:ind w:left="594"/>
        <w:rPr>
          <w:rFonts w:ascii="Times New Roman" w:eastAsia="Times New Roman" w:hAnsi="Times New Roman"/>
          <w:b/>
          <w:bCs/>
          <w:sz w:val="24"/>
          <w:szCs w:val="24"/>
        </w:rPr>
      </w:pPr>
    </w:p>
    <w:p w:rsidR="00B07708" w:rsidRPr="00B92220" w:rsidP="00B07708" w14:paraId="707AF40E" w14:textId="77777777">
      <w:pPr>
        <w:tabs>
          <w:tab w:val="left" w:pos="-1440"/>
        </w:tabs>
        <w:autoSpaceDE w:val="0"/>
        <w:autoSpaceDN w:val="0"/>
        <w:adjustRightInd w:val="0"/>
        <w:spacing w:after="0" w:line="240" w:lineRule="auto"/>
        <w:ind w:left="882"/>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r</w:t>
      </w:r>
      <w:r w:rsidRPr="00B92220">
        <w:rPr>
          <w:rFonts w:ascii="Times New Roman" w:eastAsia="Times New Roman" w:hAnsi="Times New Roman"/>
          <w:b/>
          <w:bCs/>
          <w:sz w:val="24"/>
          <w:szCs w:val="24"/>
        </w:rPr>
        <w:t>equiring respondents to submit more than an original and two copies of any document;</w:t>
      </w:r>
    </w:p>
    <w:p w:rsidR="00B07708" w:rsidRPr="00B92220" w:rsidP="00B07708" w14:paraId="37F1B6D8" w14:textId="77777777">
      <w:pPr>
        <w:autoSpaceDE w:val="0"/>
        <w:autoSpaceDN w:val="0"/>
        <w:adjustRightInd w:val="0"/>
        <w:spacing w:after="0" w:line="240" w:lineRule="auto"/>
        <w:ind w:left="594"/>
        <w:rPr>
          <w:rFonts w:ascii="Times New Roman" w:eastAsia="Times New Roman" w:hAnsi="Times New Roman"/>
          <w:b/>
          <w:bCs/>
          <w:sz w:val="24"/>
          <w:szCs w:val="24"/>
        </w:rPr>
      </w:pPr>
    </w:p>
    <w:p w:rsidR="00B07708" w:rsidRPr="00B92220" w:rsidP="00B07708" w14:paraId="4F005CC0"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r</w:t>
      </w:r>
      <w:r w:rsidRPr="00B92220">
        <w:rPr>
          <w:rFonts w:ascii="Times New Roman" w:eastAsia="Times New Roman" w:hAnsi="Times New Roman"/>
          <w:b/>
          <w:bCs/>
          <w:sz w:val="24"/>
          <w:szCs w:val="24"/>
        </w:rPr>
        <w:t>equiring respondents to retain records, other than health, medical, government contract, grant-in-aid, or tax records, for more than three years;</w:t>
      </w:r>
    </w:p>
    <w:p w:rsidR="00B07708" w:rsidRPr="00B92220" w:rsidP="00B07708" w14:paraId="5BF31B3F" w14:textId="77777777">
      <w:pPr>
        <w:autoSpaceDE w:val="0"/>
        <w:autoSpaceDN w:val="0"/>
        <w:adjustRightInd w:val="0"/>
        <w:spacing w:after="0" w:line="240" w:lineRule="auto"/>
        <w:ind w:left="594"/>
        <w:rPr>
          <w:rFonts w:ascii="Times New Roman" w:eastAsia="Times New Roman" w:hAnsi="Times New Roman"/>
          <w:b/>
          <w:bCs/>
          <w:sz w:val="24"/>
          <w:szCs w:val="24"/>
        </w:rPr>
      </w:pPr>
    </w:p>
    <w:p w:rsidR="00B07708" w:rsidRPr="00B92220" w:rsidP="00B07708" w14:paraId="18693680"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i</w:t>
      </w:r>
      <w:r w:rsidRPr="00B92220">
        <w:rPr>
          <w:rFonts w:ascii="Times New Roman" w:eastAsia="Times New Roman" w:hAnsi="Times New Roman"/>
          <w:b/>
          <w:bCs/>
          <w:sz w:val="24"/>
          <w:szCs w:val="24"/>
        </w:rPr>
        <w:t>n connection with a statistical survey that is not designed to produce valid and reliable results that can be generalized to the universe of study;</w:t>
      </w:r>
    </w:p>
    <w:p w:rsidR="00B07708" w:rsidRPr="00B92220" w:rsidP="00B07708" w14:paraId="175C9495" w14:textId="77777777">
      <w:pPr>
        <w:tabs>
          <w:tab w:val="left" w:pos="-1440"/>
        </w:tabs>
        <w:autoSpaceDE w:val="0"/>
        <w:autoSpaceDN w:val="0"/>
        <w:adjustRightInd w:val="0"/>
        <w:spacing w:after="0" w:line="240" w:lineRule="auto"/>
        <w:ind w:left="1314"/>
        <w:rPr>
          <w:rFonts w:ascii="Times New Roman" w:eastAsia="Times New Roman" w:hAnsi="Times New Roman"/>
          <w:b/>
          <w:bCs/>
          <w:sz w:val="24"/>
          <w:szCs w:val="24"/>
        </w:rPr>
      </w:pPr>
    </w:p>
    <w:p w:rsidR="00B07708" w:rsidRPr="00B92220" w:rsidP="00B07708" w14:paraId="55BCE7ED"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r</w:t>
      </w:r>
      <w:r w:rsidRPr="00B92220">
        <w:rPr>
          <w:rFonts w:ascii="Times New Roman" w:eastAsia="Times New Roman" w:hAnsi="Times New Roman"/>
          <w:b/>
          <w:bCs/>
          <w:sz w:val="24"/>
          <w:szCs w:val="24"/>
        </w:rPr>
        <w:t>equiring the use of a statistical data classification that has not been reviewed and approved by OMB;</w:t>
      </w:r>
    </w:p>
    <w:p w:rsidR="00B07708" w:rsidRPr="00B92220" w:rsidP="00B07708" w14:paraId="4B1A5A18"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r w:rsidRPr="00B92220">
        <w:rPr>
          <w:rFonts w:ascii="Times New Roman" w:eastAsia="Times New Roman" w:hAnsi="Times New Roman"/>
          <w:b/>
          <w:bCs/>
          <w:sz w:val="24"/>
          <w:szCs w:val="24"/>
        </w:rPr>
        <w:t xml:space="preserve"> </w:t>
      </w:r>
    </w:p>
    <w:p w:rsidR="00B07708" w:rsidRPr="00B92220" w:rsidP="00B07708" w14:paraId="4CFF333E"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r w:rsidRPr="00B92220">
        <w:rPr>
          <w:rFonts w:ascii="Times New Roman" w:eastAsia="Times New Roman" w:hAnsi="Times New Roman"/>
          <w:sz w:val="24"/>
          <w:szCs w:val="24"/>
        </w:rPr>
        <w:t>·</w:t>
      </w:r>
      <w:r w:rsidRPr="00B92220">
        <w:rPr>
          <w:rFonts w:ascii="Times New Roman" w:eastAsia="Times New Roman" w:hAnsi="Times New Roman"/>
          <w:b/>
          <w:bCs/>
          <w:sz w:val="24"/>
          <w:szCs w:val="24"/>
        </w:rPr>
        <w:t xml:space="preserve">  </w:t>
      </w:r>
      <w:r>
        <w:rPr>
          <w:rFonts w:ascii="Times New Roman" w:eastAsia="Times New Roman" w:hAnsi="Times New Roman"/>
          <w:b/>
          <w:bCs/>
          <w:sz w:val="24"/>
          <w:szCs w:val="24"/>
        </w:rPr>
        <w:t>t</w:t>
      </w:r>
      <w:r w:rsidRPr="00B92220">
        <w:rPr>
          <w:rFonts w:ascii="Times New Roman" w:eastAsia="Times New Roman" w:hAnsi="Times New Roman"/>
          <w:b/>
          <w:b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07708" w:rsidRPr="00B92220" w:rsidP="00B07708" w14:paraId="755DBA45" w14:textId="77777777">
      <w:pPr>
        <w:autoSpaceDE w:val="0"/>
        <w:autoSpaceDN w:val="0"/>
        <w:adjustRightInd w:val="0"/>
        <w:spacing w:after="0" w:line="240" w:lineRule="auto"/>
        <w:ind w:left="594"/>
        <w:rPr>
          <w:rFonts w:ascii="Times New Roman" w:eastAsia="Times New Roman" w:hAnsi="Times New Roman"/>
          <w:b/>
          <w:bCs/>
          <w:sz w:val="24"/>
          <w:szCs w:val="24"/>
        </w:rPr>
      </w:pPr>
    </w:p>
    <w:p w:rsidR="00B07708" w:rsidP="00B07708" w14:paraId="27BFE6B9"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r w:rsidRPr="00B92220">
        <w:rPr>
          <w:rFonts w:ascii="Times New Roman" w:eastAsia="Times New Roman" w:hAnsi="Times New Roman"/>
          <w:sz w:val="24"/>
          <w:szCs w:val="24"/>
        </w:rPr>
        <w:t xml:space="preserve">·  </w:t>
      </w:r>
      <w:r>
        <w:rPr>
          <w:rFonts w:ascii="Times New Roman" w:eastAsia="Times New Roman" w:hAnsi="Times New Roman"/>
          <w:b/>
          <w:bCs/>
          <w:sz w:val="24"/>
          <w:szCs w:val="24"/>
        </w:rPr>
        <w:t>r</w:t>
      </w:r>
      <w:r w:rsidRPr="00B92220">
        <w:rPr>
          <w:rFonts w:ascii="Times New Roman" w:eastAsia="Times New Roman" w:hAnsi="Times New Roman"/>
          <w:b/>
          <w:bCs/>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B07708" w:rsidRPr="00B92220" w:rsidP="00B07708" w14:paraId="4A7E93F6" w14:textId="77777777">
      <w:pPr>
        <w:tabs>
          <w:tab w:val="left" w:pos="-1440"/>
        </w:tabs>
        <w:autoSpaceDE w:val="0"/>
        <w:autoSpaceDN w:val="0"/>
        <w:adjustRightInd w:val="0"/>
        <w:spacing w:after="0" w:line="240" w:lineRule="auto"/>
        <w:ind w:left="1026" w:hanging="144"/>
        <w:rPr>
          <w:rFonts w:ascii="Times New Roman" w:eastAsia="Times New Roman" w:hAnsi="Times New Roman"/>
          <w:b/>
          <w:bCs/>
          <w:sz w:val="24"/>
          <w:szCs w:val="24"/>
        </w:rPr>
      </w:pPr>
    </w:p>
    <w:p w:rsidR="00B70DAE" w:rsidRPr="00B70DAE" w:rsidP="00B70DAE" w14:paraId="6A9874D0" w14:textId="07D29D39">
      <w:pPr>
        <w:spacing w:after="0" w:line="240" w:lineRule="auto"/>
        <w:rPr>
          <w:rFonts w:ascii="Times New Roman" w:hAnsi="Times New Roman"/>
          <w:sz w:val="24"/>
          <w:szCs w:val="24"/>
          <w:lang w:val="en-JM"/>
        </w:rPr>
      </w:pPr>
      <w:r w:rsidRPr="00B70DAE">
        <w:rPr>
          <w:rFonts w:ascii="Times New Roman" w:hAnsi="Times New Roman"/>
          <w:sz w:val="24"/>
          <w:szCs w:val="24"/>
          <w:lang w:val="en-JM"/>
        </w:rPr>
        <w:t>Under paragraph (d)(4) of the standards, employers must inform workers, in writing or by posting, of the exposure assessment results. After obtaining the results, postings must occur no later than 15 working days for general industry and no later than five working days for maritime and construction industries. If these results indicate that a worker’s exposures are above the PEL, the notification must state that fact and what corrective actions the employer is taking to reduce the employee’s exposure to or below the PEL. </w:t>
      </w:r>
    </w:p>
    <w:p w:rsidR="00B70DAE" w:rsidRPr="00B70DAE" w:rsidP="00B70DAE" w14:paraId="75C641D3" w14:textId="77777777">
      <w:pPr>
        <w:spacing w:after="0" w:line="240" w:lineRule="auto"/>
        <w:rPr>
          <w:rFonts w:ascii="Times New Roman" w:hAnsi="Times New Roman"/>
          <w:sz w:val="24"/>
          <w:szCs w:val="24"/>
          <w:lang w:val="en-JM"/>
        </w:rPr>
      </w:pPr>
    </w:p>
    <w:p w:rsidR="00B70DAE" w:rsidRPr="00B70DAE" w:rsidP="00B70DAE" w14:paraId="51D83BEE" w14:textId="7B3C3E5D">
      <w:pPr>
        <w:spacing w:after="0" w:line="240" w:lineRule="auto"/>
        <w:rPr>
          <w:rFonts w:ascii="Times New Roman" w:hAnsi="Times New Roman"/>
          <w:sz w:val="24"/>
          <w:szCs w:val="24"/>
          <w:lang w:val="en-JM"/>
        </w:rPr>
      </w:pPr>
      <w:r w:rsidRPr="00B70DAE">
        <w:rPr>
          <w:rFonts w:ascii="Times New Roman" w:hAnsi="Times New Roman"/>
          <w:sz w:val="24"/>
          <w:szCs w:val="24"/>
          <w:lang w:val="en-JM"/>
        </w:rPr>
        <w:t>Additionally, paragraph (k)(5) of the general industry standard, and paragraphs (</w:t>
      </w:r>
      <w:r w:rsidR="00DC407A">
        <w:rPr>
          <w:rFonts w:ascii="Times New Roman" w:hAnsi="Times New Roman"/>
          <w:sz w:val="24"/>
          <w:szCs w:val="24"/>
          <w:lang w:val="en-JM"/>
        </w:rPr>
        <w:t>i</w:t>
      </w:r>
      <w:r w:rsidRPr="00B70DAE">
        <w:rPr>
          <w:rFonts w:ascii="Times New Roman" w:hAnsi="Times New Roman"/>
          <w:sz w:val="24"/>
          <w:szCs w:val="24"/>
          <w:lang w:val="en-JM"/>
        </w:rPr>
        <w:t>)(5) and (i)(5) of the shipyard employment and construction standards, respectively, require employers to provide employees with a copy of the PLHCP’s written opinion regarding their medical examination within two weeks after receipt.</w:t>
      </w:r>
    </w:p>
    <w:p w:rsidR="00B70DAE" w:rsidRPr="00B70DAE" w:rsidP="00B70DAE" w14:paraId="6F7FF219" w14:textId="77777777">
      <w:pPr>
        <w:spacing w:after="0" w:line="240" w:lineRule="auto"/>
        <w:rPr>
          <w:rFonts w:ascii="Times New Roman" w:hAnsi="Times New Roman"/>
          <w:sz w:val="24"/>
          <w:szCs w:val="24"/>
          <w:lang w:val="en-JM"/>
        </w:rPr>
      </w:pPr>
    </w:p>
    <w:p w:rsidR="00B70DAE" w:rsidRPr="00B70DAE" w:rsidP="00B70DAE" w14:paraId="1A77A4B7" w14:textId="4A7EE038">
      <w:pPr>
        <w:widowControl w:val="0"/>
        <w:autoSpaceDE w:val="0"/>
        <w:autoSpaceDN w:val="0"/>
        <w:adjustRightInd w:val="0"/>
        <w:spacing w:after="0" w:line="240" w:lineRule="auto"/>
        <w:rPr>
          <w:rFonts w:ascii="Times New Roman" w:eastAsia="Times New Roman" w:hAnsi="Times New Roman"/>
          <w:sz w:val="24"/>
          <w:szCs w:val="24"/>
        </w:rPr>
      </w:pPr>
      <w:r w:rsidRPr="00B70DAE">
        <w:rPr>
          <w:rFonts w:ascii="Times New Roman" w:eastAsia="Times New Roman" w:hAnsi="Times New Roman"/>
          <w:sz w:val="24"/>
          <w:szCs w:val="24"/>
        </w:rPr>
        <w:t xml:space="preserve">Finally, under OSHA’s Access to Employee Exposure and Medical Records Standard (§ 1910.1020), employers must maintain exposure monitoring results for 30 years. </w:t>
      </w:r>
      <w:r w:rsidRPr="00B70DAE">
        <w:rPr>
          <w:rFonts w:ascii="Times New Roman" w:eastAsia="Times New Roman" w:hAnsi="Times New Roman"/>
          <w:color w:val="000000" w:themeColor="text1"/>
          <w:sz w:val="24"/>
          <w:szCs w:val="24"/>
        </w:rPr>
        <w:t xml:space="preserve">OSHA accounts for the burden hours and costs related to the retention of these records under OMB Control </w:t>
      </w:r>
      <w:r w:rsidRPr="00B70DAE" w:rsidR="00D06E10">
        <w:rPr>
          <w:rFonts w:ascii="Times New Roman" w:eastAsia="Times New Roman" w:hAnsi="Times New Roman"/>
          <w:color w:val="000000" w:themeColor="text1"/>
          <w:sz w:val="24"/>
          <w:szCs w:val="24"/>
        </w:rPr>
        <w:t>N</w:t>
      </w:r>
      <w:r w:rsidR="00D06E10">
        <w:rPr>
          <w:rFonts w:ascii="Times New Roman" w:eastAsia="Times New Roman" w:hAnsi="Times New Roman"/>
          <w:color w:val="000000" w:themeColor="text1"/>
          <w:sz w:val="24"/>
          <w:szCs w:val="24"/>
        </w:rPr>
        <w:t>umber</w:t>
      </w:r>
      <w:r w:rsidRPr="00B70DAE">
        <w:rPr>
          <w:rFonts w:ascii="Times New Roman" w:eastAsia="Times New Roman" w:hAnsi="Times New Roman"/>
          <w:color w:val="000000" w:themeColor="text1"/>
          <w:sz w:val="24"/>
          <w:szCs w:val="24"/>
        </w:rPr>
        <w:t xml:space="preserve"> 1218-0065.</w:t>
      </w:r>
      <w:r w:rsidRPr="00B70DAE">
        <w:rPr>
          <w:rFonts w:ascii="Times New Roman" w:eastAsia="Times New Roman" w:hAnsi="Times New Roman"/>
          <w:sz w:val="24"/>
          <w:szCs w:val="24"/>
        </w:rPr>
        <w:t xml:space="preserve"> </w:t>
      </w:r>
    </w:p>
    <w:p w:rsidR="00B70DAE" w:rsidRPr="00B70DAE" w:rsidP="00B70DAE" w14:paraId="7AF6CF3A" w14:textId="77777777">
      <w:pPr>
        <w:widowControl w:val="0"/>
        <w:autoSpaceDE w:val="0"/>
        <w:autoSpaceDN w:val="0"/>
        <w:adjustRightInd w:val="0"/>
        <w:spacing w:after="0" w:line="240" w:lineRule="auto"/>
        <w:rPr>
          <w:rFonts w:ascii="Times New Roman" w:eastAsia="Times New Roman" w:hAnsi="Times New Roman" w:cs="Shruti"/>
          <w:sz w:val="24"/>
          <w:szCs w:val="24"/>
        </w:rPr>
      </w:pPr>
      <w:r w:rsidRPr="00B70DAE">
        <w:rPr>
          <w:rFonts w:ascii="Times New Roman" w:hAnsi="Times New Roman"/>
          <w:b/>
          <w:bCs/>
          <w:sz w:val="20"/>
          <w:szCs w:val="20"/>
          <w:lang w:val="en-JM"/>
        </w:rPr>
        <w:t> </w:t>
      </w:r>
    </w:p>
    <w:p w:rsidR="00D13706" w:rsidRPr="00B92220" w:rsidP="00D13706" w14:paraId="40B0162C" w14:textId="77777777">
      <w:pPr>
        <w:widowControl w:val="0"/>
        <w:tabs>
          <w:tab w:val="left" w:pos="360"/>
          <w:tab w:val="left" w:pos="630"/>
        </w:tabs>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8.  </w:t>
      </w:r>
      <w:r w:rsidRPr="00B92220">
        <w:rPr>
          <w:rFonts w:ascii="Times New Roman" w:eastAsia="Times New Roman" w:hAnsi="Times New Roman" w:cs="Shruti"/>
          <w:b/>
          <w:bCs/>
          <w:sz w:val="24"/>
          <w:szCs w:val="24"/>
        </w:rPr>
        <w:t xml:space="preserve">If applicable, provide a copy and identify the date and page number of publication in the </w:t>
      </w:r>
      <w:r w:rsidRPr="00B92220">
        <w:rPr>
          <w:rFonts w:ascii="Times New Roman" w:eastAsia="Times New Roman" w:hAnsi="Times New Roman" w:cs="Shruti"/>
          <w:b/>
          <w:bCs/>
          <w:i/>
          <w:iCs/>
          <w:sz w:val="24"/>
          <w:szCs w:val="24"/>
        </w:rPr>
        <w:t>Federal Register</w:t>
      </w:r>
      <w:r w:rsidRPr="00B92220">
        <w:rPr>
          <w:rFonts w:ascii="Times New Roman" w:eastAsia="Times New Roman" w:hAnsi="Times New Roman" w:cs="Shruti"/>
          <w:b/>
          <w:bCs/>
          <w:sz w:val="24"/>
          <w:szCs w:val="24"/>
        </w:rPr>
        <w:t xml:space="preserve"> of the </w:t>
      </w:r>
      <w:r>
        <w:rPr>
          <w:rFonts w:ascii="Times New Roman" w:eastAsia="Times New Roman" w:hAnsi="Times New Roman" w:cs="Shruti"/>
          <w:b/>
          <w:bCs/>
          <w:sz w:val="24"/>
          <w:szCs w:val="24"/>
        </w:rPr>
        <w:t>a</w:t>
      </w:r>
      <w:r w:rsidRPr="00B92220">
        <w:rPr>
          <w:rFonts w:ascii="Times New Roman" w:eastAsia="Times New Roman" w:hAnsi="Times New Roman" w:cs="Shruti"/>
          <w:b/>
          <w:bCs/>
          <w:sz w:val="24"/>
          <w:szCs w:val="24"/>
        </w:rPr>
        <w:t xml:space="preserve">gency's notice, required by 5 CFR 1320.8(d), soliciting comments on the information collection prior to submission to OMB.  Summarize public comments received in response to that notice and describe actions taken by the </w:t>
      </w:r>
      <w:r>
        <w:rPr>
          <w:rFonts w:ascii="Times New Roman" w:eastAsia="Times New Roman" w:hAnsi="Times New Roman" w:cs="Shruti"/>
          <w:b/>
          <w:bCs/>
          <w:sz w:val="24"/>
          <w:szCs w:val="24"/>
        </w:rPr>
        <w:t>a</w:t>
      </w:r>
      <w:r w:rsidRPr="00B92220">
        <w:rPr>
          <w:rFonts w:ascii="Times New Roman" w:eastAsia="Times New Roman" w:hAnsi="Times New Roman" w:cs="Shruti"/>
          <w:b/>
          <w:bCs/>
          <w:sz w:val="24"/>
          <w:szCs w:val="24"/>
        </w:rPr>
        <w:t>gency in response to these comments.  Specifically address comments received on cost and hour burden.</w:t>
      </w:r>
    </w:p>
    <w:p w:rsidR="00D13706" w:rsidRPr="005D1CEF" w:rsidP="00D13706" w14:paraId="3E4F731F" w14:textId="77777777">
      <w:pPr>
        <w:widowControl w:val="0"/>
        <w:autoSpaceDE w:val="0"/>
        <w:autoSpaceDN w:val="0"/>
        <w:adjustRightInd w:val="0"/>
        <w:spacing w:after="0" w:line="240" w:lineRule="auto"/>
        <w:ind w:left="720" w:hanging="720"/>
        <w:rPr>
          <w:rFonts w:ascii="Times New Roman" w:eastAsia="Times New Roman" w:hAnsi="Times New Roman" w:cs="Shruti"/>
          <w:sz w:val="24"/>
          <w:szCs w:val="24"/>
        </w:rPr>
      </w:pPr>
    </w:p>
    <w:p w:rsidR="00D13706" w:rsidRPr="00B92220" w:rsidP="00D13706" w14:paraId="09003DA3" w14:textId="77777777">
      <w:pPr>
        <w:widowControl w:val="0"/>
        <w:autoSpaceDE w:val="0"/>
        <w:autoSpaceDN w:val="0"/>
        <w:adjustRightInd w:val="0"/>
        <w:spacing w:after="0" w:line="240" w:lineRule="auto"/>
        <w:rPr>
          <w:rFonts w:ascii="Times New Roman" w:eastAsia="Times New Roman" w:hAnsi="Times New Roman" w:cs="Shruti"/>
          <w:sz w:val="24"/>
          <w:szCs w:val="24"/>
        </w:rPr>
      </w:pPr>
      <w:r w:rsidRPr="00B92220">
        <w:rPr>
          <w:rFonts w:ascii="Times New Roman" w:eastAsia="Times New Roman" w:hAnsi="Times New Roman" w:cs="Shruti"/>
          <w:b/>
          <w:bCs/>
          <w:sz w:val="24"/>
          <w:szCs w:val="24"/>
        </w:rPr>
        <w:t xml:space="preserve">Describe efforts to consult with persons outside the </w:t>
      </w:r>
      <w:r>
        <w:rPr>
          <w:rFonts w:ascii="Times New Roman" w:eastAsia="Times New Roman" w:hAnsi="Times New Roman" w:cs="Shruti"/>
          <w:b/>
          <w:bCs/>
          <w:sz w:val="24"/>
          <w:szCs w:val="24"/>
        </w:rPr>
        <w:t>a</w:t>
      </w:r>
      <w:r w:rsidRPr="00B92220">
        <w:rPr>
          <w:rFonts w:ascii="Times New Roman" w:eastAsia="Times New Roman" w:hAnsi="Times New Roman" w:cs="Shruti"/>
          <w:b/>
          <w:bCs/>
          <w:sz w:val="24"/>
          <w:szCs w:val="24"/>
        </w:rPr>
        <w:t>gency to obtain their views on the availability of data, frequency of collection, the clarity of instructions and recordkeeping, disclosure, or reporting format (if any), and on the data elements to be recorded, disclosed, or reported</w:t>
      </w:r>
      <w:r w:rsidRPr="00B92220">
        <w:rPr>
          <w:rFonts w:ascii="Times New Roman" w:eastAsia="Times New Roman" w:hAnsi="Times New Roman" w:cs="Shruti"/>
          <w:sz w:val="24"/>
          <w:szCs w:val="24"/>
        </w:rPr>
        <w:t>.</w:t>
      </w:r>
    </w:p>
    <w:p w:rsidR="00D13706" w:rsidRPr="00B92220" w:rsidP="00D13706" w14:paraId="694953BB" w14:textId="77777777">
      <w:pPr>
        <w:widowControl w:val="0"/>
        <w:autoSpaceDE w:val="0"/>
        <w:autoSpaceDN w:val="0"/>
        <w:adjustRightInd w:val="0"/>
        <w:spacing w:after="0" w:line="240" w:lineRule="auto"/>
        <w:ind w:left="360" w:hanging="720"/>
        <w:rPr>
          <w:rFonts w:ascii="Times New Roman" w:eastAsia="Times New Roman" w:hAnsi="Times New Roman" w:cs="Shruti"/>
          <w:sz w:val="24"/>
          <w:szCs w:val="24"/>
        </w:rPr>
      </w:pPr>
    </w:p>
    <w:p w:rsidR="00D13706" w:rsidRPr="00B92220" w:rsidP="00D13706" w14:paraId="3D1E0BA5" w14:textId="77777777">
      <w:pPr>
        <w:widowControl w:val="0"/>
        <w:autoSpaceDE w:val="0"/>
        <w:autoSpaceDN w:val="0"/>
        <w:adjustRightInd w:val="0"/>
        <w:spacing w:after="0" w:line="240" w:lineRule="auto"/>
        <w:rPr>
          <w:rFonts w:ascii="Times New Roman" w:eastAsia="Times New Roman" w:hAnsi="Times New Roman" w:cs="Shruti"/>
          <w:b/>
          <w:bCs/>
          <w:sz w:val="24"/>
          <w:szCs w:val="24"/>
        </w:rPr>
      </w:pPr>
      <w:r w:rsidRPr="00B92220">
        <w:rPr>
          <w:rFonts w:ascii="Times New Roman" w:eastAsia="Times New Roman" w:hAnsi="Times New Roman" w:cs="Shruti"/>
          <w:b/>
          <w:bCs/>
          <w:sz w:val="24"/>
          <w:szCs w:val="24"/>
        </w:rPr>
        <w:t>Consultation with representatives of those from whom information is to be obtained or those who must compile records should occur at least once every 3 years</w:t>
      </w:r>
      <w:r w:rsidRPr="00B92220">
        <w:rPr>
          <w:rFonts w:ascii="Times New Roman" w:eastAsia="Times New Roman" w:hAnsi="Times New Roman"/>
          <w:b/>
          <w:bCs/>
          <w:sz w:val="24"/>
          <w:szCs w:val="24"/>
        </w:rPr>
        <w:t>-</w:t>
      </w:r>
      <w:r w:rsidRPr="00B92220">
        <w:rPr>
          <w:rFonts w:ascii="Times New Roman" w:eastAsia="Times New Roman" w:hAnsi="Times New Roman" w:cs="Shruti"/>
          <w:b/>
          <w:bCs/>
          <w:sz w:val="24"/>
          <w:szCs w:val="24"/>
        </w:rPr>
        <w:t>even if the collection of information activity is the same as in prior periods.  There may be circumstances that may preclude consultation in a specific situation.  These circumstances should be explained.</w:t>
      </w:r>
    </w:p>
    <w:p w:rsidR="00B70DAE" w:rsidRPr="00B70DAE" w:rsidP="00B70DAE" w14:paraId="69307200" w14:textId="77777777">
      <w:pPr>
        <w:widowControl w:val="0"/>
        <w:autoSpaceDE w:val="0"/>
        <w:autoSpaceDN w:val="0"/>
        <w:adjustRightInd w:val="0"/>
        <w:spacing w:after="0" w:line="240" w:lineRule="auto"/>
        <w:rPr>
          <w:rFonts w:ascii="Times New Roman" w:eastAsia="Times New Roman" w:hAnsi="Times New Roman" w:cs="Shruti"/>
          <w:b/>
          <w:bCs/>
          <w:sz w:val="20"/>
          <w:szCs w:val="20"/>
        </w:rPr>
      </w:pPr>
    </w:p>
    <w:p w:rsidR="009202C6" w:rsidRPr="00EF61B2" w:rsidP="009202C6" w14:paraId="672D8D0A" w14:textId="448F3476">
      <w:pPr>
        <w:spacing w:line="240" w:lineRule="auto"/>
        <w:rPr>
          <w:rFonts w:ascii="Times New Roman" w:hAnsi="Times New Roman"/>
          <w:sz w:val="24"/>
          <w:szCs w:val="24"/>
        </w:rPr>
      </w:pPr>
      <w:r w:rsidRPr="00EF61B2">
        <w:rPr>
          <w:rFonts w:ascii="Times New Roman" w:hAnsi="Times New Roman"/>
          <w:sz w:val="24"/>
          <w:szCs w:val="24"/>
        </w:rPr>
        <w:t xml:space="preserve">As required by the Paperwork Reduction Act of 1995 (44 U.S.C. 3506(c)(2)(A)), OSHA published a notice in the </w:t>
      </w:r>
      <w:r w:rsidRPr="00EF61B2">
        <w:rPr>
          <w:rFonts w:ascii="Times New Roman" w:hAnsi="Times New Roman"/>
          <w:i/>
          <w:iCs/>
          <w:sz w:val="24"/>
          <w:szCs w:val="24"/>
        </w:rPr>
        <w:t>Federal Register</w:t>
      </w:r>
      <w:r w:rsidRPr="00EF61B2">
        <w:rPr>
          <w:rFonts w:ascii="Times New Roman" w:hAnsi="Times New Roman"/>
          <w:sz w:val="24"/>
          <w:szCs w:val="24"/>
        </w:rPr>
        <w:t xml:space="preserve"> on </w:t>
      </w:r>
      <w:r w:rsidRPr="00EF61B2" w:rsidR="00DB7111">
        <w:rPr>
          <w:rFonts w:ascii="Times New Roman" w:hAnsi="Times New Roman"/>
          <w:sz w:val="24"/>
          <w:szCs w:val="24"/>
        </w:rPr>
        <w:t>July 9, 2025</w:t>
      </w:r>
      <w:r w:rsidRPr="00EF61B2">
        <w:rPr>
          <w:rFonts w:ascii="Times New Roman" w:hAnsi="Times New Roman"/>
          <w:sz w:val="24"/>
          <w:szCs w:val="24"/>
        </w:rPr>
        <w:t xml:space="preserve"> (</w:t>
      </w:r>
      <w:r w:rsidRPr="00EF61B2" w:rsidR="00DB7111">
        <w:rPr>
          <w:rFonts w:ascii="Times New Roman" w:hAnsi="Times New Roman"/>
          <w:sz w:val="24"/>
          <w:szCs w:val="24"/>
        </w:rPr>
        <w:t>90</w:t>
      </w:r>
      <w:r w:rsidRPr="00EF61B2">
        <w:rPr>
          <w:rFonts w:ascii="Times New Roman" w:hAnsi="Times New Roman"/>
          <w:sz w:val="24"/>
          <w:szCs w:val="24"/>
        </w:rPr>
        <w:t xml:space="preserve"> FR </w:t>
      </w:r>
      <w:r w:rsidRPr="00EF61B2" w:rsidR="00DB7111">
        <w:rPr>
          <w:rFonts w:ascii="Times New Roman" w:hAnsi="Times New Roman"/>
          <w:sz w:val="24"/>
          <w:szCs w:val="24"/>
        </w:rPr>
        <w:t>30268</w:t>
      </w:r>
      <w:r w:rsidRPr="00EF61B2">
        <w:rPr>
          <w:rFonts w:ascii="Times New Roman" w:hAnsi="Times New Roman"/>
          <w:sz w:val="24"/>
          <w:szCs w:val="24"/>
        </w:rPr>
        <w:t xml:space="preserve">) requesting public comments on its proposed extension of the information collection requirements contained in the </w:t>
      </w:r>
      <w:r w:rsidRPr="00EF61B2">
        <w:rPr>
          <w:rFonts w:ascii="Times New Roman" w:eastAsia="Times New Roman" w:hAnsi="Times New Roman"/>
          <w:sz w:val="24"/>
          <w:szCs w:val="24"/>
        </w:rPr>
        <w:t>Hexavalent Chromium Standards for General Industry (29 CFR 1910.1026), Shipyard Employment (29 CFR 1915.1026), and Construction (29 CFR 1926.1126)</w:t>
      </w:r>
      <w:r w:rsidRPr="00EF61B2" w:rsidR="00FD15CC">
        <w:rPr>
          <w:rFonts w:ascii="Times New Roman" w:eastAsia="Times New Roman" w:hAnsi="Times New Roman"/>
          <w:sz w:val="24"/>
          <w:szCs w:val="24"/>
        </w:rPr>
        <w:t>,</w:t>
      </w:r>
      <w:r w:rsidRPr="00EF61B2" w:rsidR="009E7E0A">
        <w:rPr>
          <w:rFonts w:ascii="Times New Roman" w:eastAsia="Times New Roman" w:hAnsi="Times New Roman"/>
          <w:sz w:val="24"/>
          <w:szCs w:val="24"/>
        </w:rPr>
        <w:t xml:space="preserve"> under OSHA Docket No. OSHA-</w:t>
      </w:r>
      <w:r w:rsidRPr="00EF61B2" w:rsidR="0098089B">
        <w:rPr>
          <w:rFonts w:ascii="Times New Roman" w:eastAsia="Times New Roman" w:hAnsi="Times New Roman"/>
          <w:sz w:val="24"/>
          <w:szCs w:val="24"/>
        </w:rPr>
        <w:t>2012-0034</w:t>
      </w:r>
      <w:r w:rsidRPr="00EF61B2">
        <w:rPr>
          <w:rFonts w:ascii="Times New Roman" w:hAnsi="Times New Roman"/>
          <w:sz w:val="24"/>
          <w:szCs w:val="24"/>
        </w:rPr>
        <w:t xml:space="preserve">.  This notice </w:t>
      </w:r>
      <w:r w:rsidRPr="00EF61B2" w:rsidR="0003412A">
        <w:rPr>
          <w:rFonts w:ascii="Times New Roman" w:hAnsi="Times New Roman"/>
          <w:sz w:val="24"/>
          <w:szCs w:val="24"/>
        </w:rPr>
        <w:t>was</w:t>
      </w:r>
      <w:r w:rsidRPr="00EF61B2">
        <w:rPr>
          <w:rFonts w:ascii="Times New Roman" w:hAnsi="Times New Roman"/>
          <w:sz w:val="24"/>
          <w:szCs w:val="24"/>
        </w:rPr>
        <w:t xml:space="preserve"> part of a preclearance consultation program intended to provide those interested parties </w:t>
      </w:r>
      <w:r w:rsidRPr="00EF61B2" w:rsidR="001D7611">
        <w:rPr>
          <w:rFonts w:ascii="Times New Roman" w:hAnsi="Times New Roman"/>
          <w:sz w:val="24"/>
          <w:szCs w:val="24"/>
        </w:rPr>
        <w:t xml:space="preserve">with </w:t>
      </w:r>
      <w:r w:rsidRPr="00EF61B2">
        <w:rPr>
          <w:rFonts w:ascii="Times New Roman" w:hAnsi="Times New Roman"/>
          <w:sz w:val="24"/>
          <w:szCs w:val="24"/>
        </w:rPr>
        <w:t>the opportunity to comment on OSHA’s request for an extension by the Office of Management and Budget (OMB) of a previous approval of the information collection requirements contained in the</w:t>
      </w:r>
      <w:r w:rsidRPr="00EF61B2" w:rsidR="001D7611">
        <w:rPr>
          <w:rFonts w:ascii="Times New Roman" w:hAnsi="Times New Roman"/>
          <w:sz w:val="24"/>
          <w:szCs w:val="24"/>
        </w:rPr>
        <w:t>se</w:t>
      </w:r>
      <w:r w:rsidRPr="00EF61B2">
        <w:rPr>
          <w:rFonts w:ascii="Times New Roman" w:hAnsi="Times New Roman"/>
          <w:sz w:val="24"/>
          <w:szCs w:val="24"/>
        </w:rPr>
        <w:t xml:space="preserve"> </w:t>
      </w:r>
      <w:r w:rsidRPr="00EF61B2" w:rsidR="001D7611">
        <w:rPr>
          <w:rFonts w:ascii="Times New Roman" w:hAnsi="Times New Roman"/>
          <w:sz w:val="24"/>
          <w:szCs w:val="24"/>
        </w:rPr>
        <w:t>s</w:t>
      </w:r>
      <w:r w:rsidRPr="00EF61B2">
        <w:rPr>
          <w:rFonts w:ascii="Times New Roman" w:hAnsi="Times New Roman"/>
          <w:sz w:val="24"/>
          <w:szCs w:val="24"/>
        </w:rPr>
        <w:t>tandard</w:t>
      </w:r>
      <w:r w:rsidRPr="00EF61B2" w:rsidR="001D7611">
        <w:rPr>
          <w:rFonts w:ascii="Times New Roman" w:hAnsi="Times New Roman"/>
          <w:sz w:val="24"/>
          <w:szCs w:val="24"/>
        </w:rPr>
        <w:t>s</w:t>
      </w:r>
      <w:r w:rsidRPr="00EF61B2">
        <w:rPr>
          <w:rFonts w:ascii="Times New Roman" w:hAnsi="Times New Roman"/>
          <w:sz w:val="24"/>
          <w:szCs w:val="24"/>
        </w:rPr>
        <w:t xml:space="preserve">.  </w:t>
      </w:r>
    </w:p>
    <w:p w:rsidR="00F83342" w:rsidRPr="00EF61B2" w:rsidP="00F83342" w14:paraId="123340C1" w14:textId="28F3FBC3">
      <w:pPr>
        <w:rPr>
          <w:rFonts w:ascii="Times New Roman" w:hAnsi="Times New Roman" w:cs="Times New Roman"/>
          <w:sz w:val="24"/>
          <w:szCs w:val="24"/>
        </w:rPr>
      </w:pPr>
      <w:r w:rsidRPr="00460067">
        <w:rPr>
          <w:rFonts w:ascii="Times New Roman" w:hAnsi="Times New Roman" w:cs="Times New Roman"/>
          <w:sz w:val="24"/>
          <w:szCs w:val="24"/>
        </w:rPr>
        <w:t xml:space="preserve">OSHA received </w:t>
      </w:r>
      <w:r w:rsidRPr="00460067" w:rsidR="00460067">
        <w:rPr>
          <w:rFonts w:ascii="Times New Roman" w:hAnsi="Times New Roman" w:cs="Times New Roman"/>
          <w:sz w:val="24"/>
          <w:szCs w:val="24"/>
        </w:rPr>
        <w:t xml:space="preserve">an anonymous public comment in response to this notice, </w:t>
      </w:r>
      <w:r w:rsidRPr="00460067">
        <w:rPr>
          <w:rFonts w:ascii="Times New Roman" w:hAnsi="Times New Roman" w:cs="Times New Roman"/>
          <w:sz w:val="24"/>
          <w:szCs w:val="24"/>
        </w:rPr>
        <w:t xml:space="preserve">under docket </w:t>
      </w:r>
      <w:r w:rsidR="00A362F0">
        <w:rPr>
          <w:rFonts w:ascii="Times New Roman" w:hAnsi="Times New Roman" w:cs="Times New Roman"/>
          <w:sz w:val="24"/>
          <w:szCs w:val="24"/>
        </w:rPr>
        <w:t xml:space="preserve">ID </w:t>
      </w:r>
      <w:r w:rsidRPr="00460067">
        <w:rPr>
          <w:rFonts w:ascii="Times New Roman" w:hAnsi="Times New Roman" w:cs="Times New Roman"/>
          <w:sz w:val="24"/>
          <w:szCs w:val="24"/>
        </w:rPr>
        <w:t>number OSHA-2012-0034-0015. The commenter supports these standards to protect workers from exposure to hexavalent chromium and urges OSHA to ensure that the burden of compliance does not fall disproportionately on small businesses. The clear</w:t>
      </w:r>
      <w:r w:rsidRPr="00EF61B2">
        <w:rPr>
          <w:rFonts w:ascii="Times New Roman" w:hAnsi="Times New Roman" w:cs="Times New Roman"/>
          <w:sz w:val="24"/>
          <w:szCs w:val="24"/>
        </w:rPr>
        <w:t xml:space="preserve">, accessible guidance and streamlined digital reporting tools would help reduce costs while maintaining protection. OSHA </w:t>
      </w:r>
      <w:r w:rsidRPr="00EF61B2">
        <w:rPr>
          <w:rFonts w:ascii="Times New Roman" w:hAnsi="Times New Roman" w:cs="Times New Roman"/>
          <w:sz w:val="24"/>
          <w:szCs w:val="24"/>
        </w:rPr>
        <w:t>should regularly update its exposure risk assessments based on new scientific evidence and workplace trends.</w:t>
      </w:r>
    </w:p>
    <w:p w:rsidR="00F83342" w:rsidP="0094051F" w14:paraId="5211DC0A" w14:textId="048C976F">
      <w:pPr>
        <w:pStyle w:val="Default"/>
        <w:rPr>
          <w:rFonts w:ascii="Times New Roman" w:hAnsi="Times New Roman" w:cs="Times New Roman"/>
          <w:color w:val="auto"/>
        </w:rPr>
      </w:pPr>
      <w:r w:rsidRPr="00EF61B2">
        <w:rPr>
          <w:rFonts w:ascii="Times New Roman" w:hAnsi="Times New Roman" w:cs="Times New Roman"/>
          <w:color w:val="auto"/>
        </w:rPr>
        <w:t>OSHA appreciates the comment regarding these standards.</w:t>
      </w:r>
      <w:bookmarkStart w:id="3" w:name="Section5(a)(2)"/>
      <w:bookmarkEnd w:id="3"/>
      <w:r w:rsidRPr="00EF61B2">
        <w:rPr>
          <w:rFonts w:ascii="Times New Roman" w:hAnsi="Times New Roman" w:cs="Times New Roman"/>
          <w:color w:val="auto"/>
        </w:rPr>
        <w:t xml:space="preserve"> The collection of information requirements contained in the Information Collection Request (ICR) for the </w:t>
      </w:r>
      <w:r w:rsidRPr="00EF61B2">
        <w:rPr>
          <w:rFonts w:ascii="Times New Roman" w:hAnsi="Times New Roman" w:cs="Times New Roman"/>
        </w:rPr>
        <w:t>Hexavalent Chromium Standards for General Industry, Shipyard Employment, and Construction</w:t>
      </w:r>
      <w:r w:rsidRPr="00EF61B2">
        <w:rPr>
          <w:rFonts w:ascii="Times New Roman" w:hAnsi="Times New Roman" w:cs="Times New Roman"/>
          <w:color w:val="auto"/>
        </w:rPr>
        <w:t xml:space="preserve"> are to extend the regulations currently in place and approved by OMB. </w:t>
      </w:r>
      <w:r w:rsidRPr="00EF61B2">
        <w:rPr>
          <w:rFonts w:ascii="Times New Roman" w:hAnsi="Times New Roman" w:cs="Times New Roman"/>
        </w:rPr>
        <w:t xml:space="preserve">This process is necessary to meet the requirements of the Office Information and Regulatory Affairs, as set forth by 5 CFR §1320. The purpose of this ICR is to analyze and describe the burden hours and cost associated with the provisions of these standards that contain paperwork requirements. The promulgation of these standards is implemented through the rulemaking process and not through the extension of the information collection requirements. </w:t>
      </w:r>
      <w:r w:rsidRPr="00EF61B2">
        <w:rPr>
          <w:rFonts w:ascii="Times New Roman" w:hAnsi="Times New Roman" w:cs="Times New Roman"/>
          <w:color w:val="auto"/>
        </w:rPr>
        <w:t xml:space="preserve">The introduction of new practices, procedures, and requirements to these standards are outside of the scope of this notice, which is meant to extend the existing collection of information requirements for a further three years. </w:t>
      </w:r>
    </w:p>
    <w:p w:rsidR="0094051F" w:rsidRPr="0094051F" w:rsidP="0094051F" w14:paraId="2F64ACF6" w14:textId="77777777">
      <w:pPr>
        <w:pStyle w:val="Default"/>
        <w:rPr>
          <w:rFonts w:ascii="Times New Roman" w:hAnsi="Times New Roman" w:cs="Times New Roman"/>
          <w:color w:val="auto"/>
        </w:rPr>
      </w:pPr>
    </w:p>
    <w:p w:rsidR="00C252B3" w:rsidP="00C252B3" w14:paraId="76525C37" w14:textId="209A3C6B">
      <w:pPr>
        <w:spacing w:after="0" w:line="240" w:lineRule="auto"/>
        <w:rPr>
          <w:rFonts w:ascii="Times New Roman" w:eastAsia="Times New Roman" w:hAnsi="Times New Roman"/>
          <w:b/>
          <w:sz w:val="24"/>
          <w:szCs w:val="24"/>
        </w:rPr>
      </w:pPr>
      <w:r w:rsidRPr="00B92220">
        <w:rPr>
          <w:rFonts w:ascii="Times New Roman" w:hAnsi="Times New Roman"/>
          <w:b/>
          <w:bCs/>
          <w:sz w:val="24"/>
          <w:szCs w:val="24"/>
          <w:lang w:val="en-JM"/>
        </w:rPr>
        <w:t>9.</w:t>
      </w:r>
      <w:r>
        <w:rPr>
          <w:rFonts w:ascii="Times New Roman" w:hAnsi="Times New Roman"/>
          <w:b/>
          <w:bCs/>
          <w:sz w:val="24"/>
          <w:szCs w:val="24"/>
          <w:lang w:val="en-JM"/>
        </w:rPr>
        <w:t xml:space="preserve">  </w:t>
      </w:r>
      <w:r w:rsidRPr="00B92220">
        <w:rPr>
          <w:rFonts w:ascii="Times New Roman" w:eastAsia="Times New Roman" w:hAnsi="Times New Roman"/>
          <w:b/>
          <w:bCs/>
          <w:sz w:val="24"/>
          <w:szCs w:val="24"/>
        </w:rPr>
        <w:t>Ex</w:t>
      </w:r>
      <w:r>
        <w:rPr>
          <w:rFonts w:ascii="Times New Roman" w:eastAsia="Times New Roman" w:hAnsi="Times New Roman"/>
          <w:b/>
          <w:bCs/>
          <w:sz w:val="24"/>
          <w:szCs w:val="24"/>
        </w:rPr>
        <w:t>p</w:t>
      </w:r>
      <w:r w:rsidRPr="00B92220">
        <w:rPr>
          <w:rFonts w:ascii="Times New Roman" w:eastAsia="Times New Roman" w:hAnsi="Times New Roman"/>
          <w:b/>
          <w:bCs/>
          <w:sz w:val="24"/>
          <w:szCs w:val="24"/>
        </w:rPr>
        <w:t>lain</w:t>
      </w:r>
      <w:r w:rsidRPr="00B92220">
        <w:rPr>
          <w:rFonts w:ascii="Times New Roman" w:eastAsia="Times New Roman" w:hAnsi="Times New Roman"/>
          <w:b/>
          <w:sz w:val="24"/>
          <w:szCs w:val="24"/>
        </w:rPr>
        <w:t xml:space="preserve"> any decision to provide any payment or gift to respondents, other than remuneration of  contractors or grantees.</w:t>
      </w:r>
    </w:p>
    <w:p w:rsidR="00B70DAE" w:rsidRPr="00B70DAE" w:rsidP="00BE7338" w14:paraId="23DB4C17" w14:textId="77777777">
      <w:pPr>
        <w:spacing w:after="0" w:line="240" w:lineRule="auto"/>
        <w:rPr>
          <w:rFonts w:ascii="Times New Roman" w:eastAsia="Times New Roman" w:hAnsi="Times New Roman" w:cs="Times New Roman"/>
          <w:b/>
          <w:bCs/>
          <w:sz w:val="24"/>
          <w:szCs w:val="24"/>
        </w:rPr>
      </w:pPr>
    </w:p>
    <w:p w:rsidR="00B70DAE" w:rsidRPr="00B70DAE" w:rsidP="00BE7338" w14:paraId="2F02DD1B" w14:textId="77777777">
      <w:pPr>
        <w:spacing w:after="0" w:line="240" w:lineRule="auto"/>
        <w:outlineLvl w:val="0"/>
        <w:rPr>
          <w:rFonts w:ascii="Times New Roman" w:hAnsi="Times New Roman"/>
          <w:sz w:val="24"/>
          <w:szCs w:val="24"/>
        </w:rPr>
      </w:pPr>
      <w:r w:rsidRPr="00B70DAE">
        <w:rPr>
          <w:rFonts w:ascii="Times New Roman" w:hAnsi="Times New Roman"/>
          <w:sz w:val="24"/>
          <w:szCs w:val="24"/>
          <w:lang w:val="en-JM"/>
        </w:rPr>
        <w:t xml:space="preserve">The agency will </w:t>
      </w:r>
      <w:r w:rsidRPr="00B70DAE">
        <w:rPr>
          <w:rFonts w:ascii="Times New Roman" w:hAnsi="Times New Roman"/>
          <w:sz w:val="24"/>
          <w:szCs w:val="24"/>
          <w:u w:val="single"/>
          <w:lang w:val="en-JM"/>
        </w:rPr>
        <w:t>not</w:t>
      </w:r>
      <w:r w:rsidRPr="00B70DAE">
        <w:rPr>
          <w:rFonts w:ascii="Times New Roman" w:hAnsi="Times New Roman"/>
          <w:sz w:val="24"/>
          <w:szCs w:val="24"/>
          <w:lang w:val="en-JM"/>
        </w:rPr>
        <w:t xml:space="preserve"> provide payments or gifts to the respondents.</w:t>
      </w:r>
    </w:p>
    <w:p w:rsidR="00B70DAE" w:rsidRPr="00B70DAE" w:rsidP="00BE7338" w14:paraId="1BE92AFB" w14:textId="77777777">
      <w:pPr>
        <w:spacing w:after="0" w:line="240" w:lineRule="auto"/>
        <w:rPr>
          <w:rFonts w:ascii="Times New Roman" w:hAnsi="Times New Roman"/>
          <w:sz w:val="24"/>
          <w:szCs w:val="24"/>
        </w:rPr>
      </w:pPr>
      <w:r w:rsidRPr="00B70DAE">
        <w:rPr>
          <w:rFonts w:ascii="Times New Roman" w:hAnsi="Times New Roman"/>
          <w:sz w:val="24"/>
          <w:szCs w:val="24"/>
          <w:lang w:val="en-JM"/>
        </w:rPr>
        <w:t> </w:t>
      </w:r>
    </w:p>
    <w:p w:rsidR="008368D1" w:rsidRPr="00B92220" w:rsidP="008368D1" w14:paraId="186092C3" w14:textId="77777777">
      <w:pPr>
        <w:widowControl w:val="0"/>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10.  </w:t>
      </w:r>
      <w:r w:rsidRPr="00B92220">
        <w:rPr>
          <w:rFonts w:ascii="Times New Roman" w:eastAsia="Times New Roman" w:hAnsi="Times New Roman" w:cs="Shruti"/>
          <w:b/>
          <w:bCs/>
          <w:sz w:val="24"/>
          <w:szCs w:val="24"/>
        </w:rPr>
        <w:t>Describe any assurance of confidentiality provided to respondents and the basis for the assurance in statute, regulation, or agency policy.</w:t>
      </w:r>
    </w:p>
    <w:p w:rsidR="00B70DAE" w:rsidRPr="00B70DAE" w:rsidP="00B70DAE" w14:paraId="57BA7691" w14:textId="77777777">
      <w:pPr>
        <w:spacing w:after="0" w:line="240" w:lineRule="auto"/>
        <w:rPr>
          <w:rFonts w:ascii="Times New Roman" w:hAnsi="Times New Roman"/>
          <w:sz w:val="24"/>
          <w:szCs w:val="24"/>
          <w:lang w:val="en-JM"/>
        </w:rPr>
      </w:pPr>
    </w:p>
    <w:p w:rsidR="00B70DAE" w:rsidRPr="00B70DAE" w:rsidP="00B70DAE" w14:paraId="27637AE9"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B70DAE">
        <w:rPr>
          <w:rFonts w:ascii="Times New Roman" w:hAnsi="Times New Roman"/>
          <w:sz w:val="24"/>
          <w:szCs w:val="24"/>
        </w:rPr>
        <w:t xml:space="preserve">Since employee medical records contain information that may be considered private, OSHA has taken steps to ensure that the data are protected to the extent allowed by law. The agency developed and implemented the “Rules of agency practice and procedure governing OSHA access to worker medical records” (29 CFR 1913.10) to regulate access to these records. </w:t>
      </w:r>
    </w:p>
    <w:p w:rsidR="00B70DAE" w:rsidRPr="00B70DAE" w:rsidP="00B70DAE" w14:paraId="2E6EF524"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B70DAE" w:rsidRPr="00B70DAE" w:rsidP="00B70DAE" w14:paraId="71BF3E44"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B70DAE">
        <w:rPr>
          <w:rFonts w:ascii="Times New Roman" w:hAnsi="Times New Roman"/>
          <w:sz w:val="24"/>
          <w:szCs w:val="24"/>
        </w:rPr>
        <w:t>The legal authority for these procedural regulations can be found in sections 8(c)(1) and 8(g)(2) of the Occupational Safety and Health Act (29 U.S.C. 657), in section (e) of the Privacy Act (5 U.S.C. 552(a)), in 29 CFR Part 70(a), and in 5 U.S.C. 301.</w:t>
      </w:r>
    </w:p>
    <w:p w:rsidR="00B70DAE" w:rsidRPr="00B70DAE" w:rsidP="00B70DAE" w14:paraId="50C4AEE3"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 w:val="24"/>
          <w:szCs w:val="24"/>
        </w:rPr>
      </w:pPr>
      <w:r w:rsidRPr="00B70DAE">
        <w:rPr>
          <w:rFonts w:ascii="Times New Roman" w:hAnsi="Times New Roman"/>
          <w:sz w:val="24"/>
          <w:szCs w:val="24"/>
        </w:rPr>
        <w:t> </w:t>
      </w:r>
    </w:p>
    <w:p w:rsidR="002126E6" w:rsidRPr="00B92220" w:rsidP="002126E6" w14:paraId="2B798D7A" w14:textId="77777777">
      <w:pPr>
        <w:widowControl w:val="0"/>
        <w:autoSpaceDE w:val="0"/>
        <w:autoSpaceDN w:val="0"/>
        <w:adjustRightInd w:val="0"/>
        <w:spacing w:after="0" w:line="240" w:lineRule="auto"/>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11.  </w:t>
      </w:r>
      <w:r w:rsidRPr="00B92220">
        <w:rPr>
          <w:rFonts w:ascii="Times New Roman" w:eastAsia="Times New Roman" w:hAnsi="Times New Roman" w:cs="Shruti"/>
          <w:b/>
          <w:bCs/>
          <w:sz w:val="24"/>
          <w:szCs w:val="24"/>
        </w:rPr>
        <w:t>Provide additional justification for any questions of a sensitive nature, such as sexual behavior and attitudes, religious beliefs, and other matters that are commonly considered private.  This justification should include the reason</w:t>
      </w:r>
      <w:r>
        <w:rPr>
          <w:rFonts w:ascii="Times New Roman" w:eastAsia="Times New Roman" w:hAnsi="Times New Roman" w:cs="Shruti"/>
          <w:b/>
          <w:bCs/>
          <w:sz w:val="24"/>
          <w:szCs w:val="24"/>
        </w:rPr>
        <w:t>s</w:t>
      </w:r>
      <w:r w:rsidRPr="00B92220">
        <w:rPr>
          <w:rFonts w:ascii="Times New Roman" w:eastAsia="Times New Roman" w:hAnsi="Times New Roman" w:cs="Shruti"/>
          <w:b/>
          <w:bCs/>
          <w:sz w:val="24"/>
          <w:szCs w:val="24"/>
        </w:rPr>
        <w:t xml:space="preserve"> why the agency considers the questions necessary, the specific uses to be made of the information, the explanation to be given to persons from whom the information is requested, and any steps to be taken to obtain their consent.</w:t>
      </w:r>
    </w:p>
    <w:p w:rsidR="002126E6" w:rsidRPr="00B70DAE" w:rsidP="003E5FFE" w14:paraId="4F54459B" w14:textId="77777777">
      <w:pPr>
        <w:widowControl w:val="0"/>
        <w:autoSpaceDE w:val="0"/>
        <w:autoSpaceDN w:val="0"/>
        <w:adjustRightInd w:val="0"/>
        <w:spacing w:after="0" w:line="240" w:lineRule="auto"/>
        <w:ind w:left="720"/>
        <w:contextualSpacing/>
        <w:rPr>
          <w:rFonts w:ascii="Times New Roman" w:eastAsia="Times New Roman" w:hAnsi="Times New Roman" w:cs="Shruti"/>
          <w:b/>
          <w:bCs/>
          <w:sz w:val="24"/>
          <w:szCs w:val="24"/>
        </w:rPr>
      </w:pPr>
    </w:p>
    <w:p w:rsidR="00B70DAE" w:rsidRPr="00B70DAE" w:rsidP="00B70DAE" w14:paraId="593C886F" w14:textId="309F3EA9">
      <w:pPr>
        <w:spacing w:after="0" w:line="240" w:lineRule="auto"/>
        <w:rPr>
          <w:rFonts w:ascii="Times New Roman" w:eastAsia="Times New Roman" w:hAnsi="Times New Roman"/>
          <w:sz w:val="24"/>
          <w:szCs w:val="24"/>
          <w:lang w:val="en-JM"/>
        </w:rPr>
      </w:pPr>
      <w:r w:rsidRPr="00B70DAE">
        <w:rPr>
          <w:rFonts w:ascii="Times New Roman" w:eastAsia="Times New Roman" w:hAnsi="Times New Roman"/>
          <w:color w:val="000000" w:themeColor="text1"/>
          <w:sz w:val="24"/>
          <w:szCs w:val="24"/>
        </w:rPr>
        <w:t>While there are no provisions in this standard requiring questions of a sensitive nature, questions perceived as such may be included in medical questionnaires. Information from medical questionnaires is necessary for the PLHCP</w:t>
      </w:r>
      <w:r w:rsidR="003418FD">
        <w:rPr>
          <w:rFonts w:ascii="Times New Roman" w:eastAsia="Times New Roman" w:hAnsi="Times New Roman"/>
          <w:color w:val="000000" w:themeColor="text1"/>
          <w:sz w:val="24"/>
          <w:szCs w:val="24"/>
        </w:rPr>
        <w:t xml:space="preserve"> or employer</w:t>
      </w:r>
      <w:r w:rsidRPr="00B70DAE">
        <w:rPr>
          <w:rFonts w:ascii="Times New Roman" w:eastAsia="Times New Roman" w:hAnsi="Times New Roman"/>
          <w:color w:val="000000" w:themeColor="text1"/>
          <w:sz w:val="24"/>
          <w:szCs w:val="24"/>
        </w:rPr>
        <w:t xml:space="preserve"> to determine what protections an </w:t>
      </w:r>
      <w:r w:rsidRPr="00B70DAE">
        <w:rPr>
          <w:rFonts w:ascii="Times New Roman" w:eastAsia="Times New Roman" w:hAnsi="Times New Roman"/>
          <w:color w:val="000000" w:themeColor="text1"/>
          <w:sz w:val="24"/>
          <w:szCs w:val="24"/>
        </w:rPr>
        <w:t>employer must take to ensure that the employee will have minimal occupational exposure to hazards.</w:t>
      </w:r>
    </w:p>
    <w:p w:rsidR="00B70DAE" w:rsidRPr="00B70DAE" w:rsidP="00B70DAE" w14:paraId="024AF5A0" w14:textId="77777777">
      <w:pPr>
        <w:widowControl w:val="0"/>
        <w:autoSpaceDE w:val="0"/>
        <w:autoSpaceDN w:val="0"/>
        <w:adjustRightInd w:val="0"/>
        <w:spacing w:after="0" w:line="240" w:lineRule="auto"/>
        <w:ind w:left="450" w:hanging="450"/>
        <w:rPr>
          <w:rFonts w:ascii="Times New Roman" w:eastAsia="Times New Roman" w:hAnsi="Times New Roman" w:cs="Shruti"/>
          <w:b/>
          <w:bCs/>
          <w:sz w:val="20"/>
          <w:szCs w:val="20"/>
        </w:rPr>
      </w:pPr>
    </w:p>
    <w:p w:rsidR="00DD6743" w:rsidP="00DD6743" w14:paraId="1D2AC1DE" w14:textId="77777777">
      <w:pPr>
        <w:widowControl w:val="0"/>
        <w:autoSpaceDE w:val="0"/>
        <w:autoSpaceDN w:val="0"/>
        <w:adjustRightInd w:val="0"/>
        <w:spacing w:after="0" w:line="240" w:lineRule="auto"/>
        <w:ind w:left="450" w:hanging="450"/>
        <w:rPr>
          <w:rFonts w:ascii="Times New Roman" w:eastAsia="Times New Roman" w:hAnsi="Times New Roman" w:cs="Shruti"/>
          <w:b/>
          <w:bCs/>
          <w:sz w:val="24"/>
          <w:szCs w:val="24"/>
        </w:rPr>
      </w:pPr>
      <w:r w:rsidRPr="00B92220">
        <w:rPr>
          <w:rFonts w:ascii="Times New Roman" w:eastAsia="Times New Roman" w:hAnsi="Times New Roman" w:cs="Shruti"/>
          <w:b/>
          <w:bCs/>
          <w:sz w:val="24"/>
          <w:szCs w:val="24"/>
        </w:rPr>
        <w:t>12.</w:t>
      </w:r>
      <w:r>
        <w:rPr>
          <w:rFonts w:ascii="Times New Roman" w:eastAsia="Times New Roman" w:hAnsi="Times New Roman" w:cs="Shruti"/>
          <w:b/>
          <w:bCs/>
          <w:sz w:val="24"/>
          <w:szCs w:val="24"/>
        </w:rPr>
        <w:t xml:space="preserve">  </w:t>
      </w:r>
      <w:r w:rsidRPr="00B92220">
        <w:rPr>
          <w:rFonts w:ascii="Times New Roman" w:eastAsia="Times New Roman" w:hAnsi="Times New Roman" w:cs="Shruti"/>
          <w:b/>
          <w:bCs/>
          <w:sz w:val="24"/>
          <w:szCs w:val="24"/>
        </w:rPr>
        <w:t>Provide estimates of the hour burden of the collection of information.  The statement</w:t>
      </w:r>
    </w:p>
    <w:p w:rsidR="00DD6743" w:rsidRPr="00B92220" w:rsidP="00DD6743" w14:paraId="0C5C216A" w14:textId="77777777">
      <w:pPr>
        <w:widowControl w:val="0"/>
        <w:autoSpaceDE w:val="0"/>
        <w:autoSpaceDN w:val="0"/>
        <w:adjustRightInd w:val="0"/>
        <w:spacing w:after="0" w:line="240" w:lineRule="auto"/>
        <w:ind w:left="450" w:hanging="450"/>
        <w:rPr>
          <w:rFonts w:ascii="Times New Roman" w:eastAsia="Times New Roman" w:hAnsi="Times New Roman" w:cs="Shruti"/>
          <w:b/>
          <w:bCs/>
          <w:sz w:val="24"/>
          <w:szCs w:val="24"/>
        </w:rPr>
      </w:pPr>
      <w:r w:rsidRPr="00B92220">
        <w:rPr>
          <w:rFonts w:ascii="Times New Roman" w:eastAsia="Times New Roman" w:hAnsi="Times New Roman" w:cs="Shruti"/>
          <w:b/>
          <w:bCs/>
          <w:sz w:val="24"/>
          <w:szCs w:val="24"/>
        </w:rPr>
        <w:t>should:</w:t>
      </w:r>
    </w:p>
    <w:p w:rsidR="00B70DAE" w:rsidRPr="00B70DAE" w:rsidP="00B70DAE" w14:paraId="58811460" w14:textId="77777777">
      <w:pPr>
        <w:widowControl w:val="0"/>
        <w:autoSpaceDE w:val="0"/>
        <w:autoSpaceDN w:val="0"/>
        <w:adjustRightInd w:val="0"/>
        <w:spacing w:after="0" w:line="240" w:lineRule="auto"/>
        <w:ind w:left="720" w:hanging="720"/>
        <w:rPr>
          <w:rFonts w:ascii="Times New Roman" w:eastAsia="Times New Roman" w:hAnsi="Times New Roman" w:cs="Shruti"/>
          <w:b/>
          <w:bCs/>
          <w:sz w:val="24"/>
          <w:szCs w:val="24"/>
        </w:rPr>
      </w:pPr>
    </w:p>
    <w:p w:rsidR="00B70DAE" w:rsidRPr="00B70DAE" w:rsidP="00B70DAE" w14:paraId="6AF796AA" w14:textId="77777777">
      <w:pPr>
        <w:widowControl w:val="0"/>
        <w:numPr>
          <w:ilvl w:val="0"/>
          <w:numId w:val="4"/>
        </w:numPr>
        <w:autoSpaceDE w:val="0"/>
        <w:autoSpaceDN w:val="0"/>
        <w:adjustRightInd w:val="0"/>
        <w:spacing w:after="0" w:line="240" w:lineRule="auto"/>
        <w:contextualSpacing/>
        <w:rPr>
          <w:rFonts w:ascii="Times New Roman" w:eastAsia="Times New Roman" w:hAnsi="Times New Roman" w:cs="Shruti"/>
          <w:b/>
          <w:bCs/>
          <w:sz w:val="24"/>
          <w:szCs w:val="24"/>
        </w:rPr>
      </w:pPr>
      <w:r w:rsidRPr="00B70DAE">
        <w:rPr>
          <w:rFonts w:ascii="Times New Roman" w:eastAsia="Times New Roman" w:hAnsi="Times New Roman" w:cs="Shruti"/>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70DAE" w:rsidRPr="00B70DAE" w:rsidP="00B70DAE" w14:paraId="375BF843" w14:textId="77777777">
      <w:pPr>
        <w:widowControl w:val="0"/>
        <w:autoSpaceDE w:val="0"/>
        <w:autoSpaceDN w:val="0"/>
        <w:adjustRightInd w:val="0"/>
        <w:spacing w:after="0" w:line="240" w:lineRule="auto"/>
        <w:ind w:left="720" w:hanging="720"/>
        <w:rPr>
          <w:rFonts w:ascii="Times New Roman" w:eastAsia="Times New Roman" w:hAnsi="Times New Roman" w:cs="Shruti"/>
          <w:b/>
          <w:bCs/>
          <w:sz w:val="24"/>
          <w:szCs w:val="24"/>
        </w:rPr>
      </w:pPr>
    </w:p>
    <w:p w:rsidR="00B70DAE" w:rsidRPr="00B70DAE" w:rsidP="00B70DAE" w14:paraId="5E4FE998"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Shruti"/>
          <w:b/>
          <w:bCs/>
          <w:sz w:val="24"/>
          <w:szCs w:val="24"/>
        </w:rPr>
      </w:pPr>
      <w:r w:rsidRPr="00B70DAE">
        <w:rPr>
          <w:rFonts w:ascii="Times New Roman" w:eastAsia="Times New Roman" w:hAnsi="Times New Roman" w:cs="Shruti"/>
          <w:b/>
          <w:bCs/>
          <w:sz w:val="24"/>
          <w:szCs w:val="24"/>
        </w:rPr>
        <w:t>If this request for approval covers more than one form, provide separate hour burden estimates for each form and aggregate the hour burdens.</w:t>
      </w:r>
    </w:p>
    <w:p w:rsidR="00B70DAE" w:rsidRPr="00B70DAE" w:rsidP="00B70DAE" w14:paraId="3AC16275" w14:textId="77777777">
      <w:pPr>
        <w:widowControl w:val="0"/>
        <w:autoSpaceDE w:val="0"/>
        <w:autoSpaceDN w:val="0"/>
        <w:adjustRightInd w:val="0"/>
        <w:spacing w:after="0" w:line="240" w:lineRule="auto"/>
        <w:ind w:left="720" w:hanging="720"/>
        <w:rPr>
          <w:rFonts w:ascii="Times New Roman" w:eastAsia="Times New Roman" w:hAnsi="Times New Roman" w:cs="Shruti"/>
          <w:b/>
          <w:bCs/>
          <w:sz w:val="24"/>
          <w:szCs w:val="24"/>
        </w:rPr>
      </w:pPr>
    </w:p>
    <w:p w:rsidR="00B70DAE" w:rsidRPr="00B70DAE" w:rsidP="00B70DAE" w14:paraId="27EAEE1C"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Shruti"/>
          <w:b/>
          <w:bCs/>
          <w:sz w:val="24"/>
          <w:szCs w:val="24"/>
        </w:rPr>
      </w:pPr>
      <w:r w:rsidRPr="00B70DAE">
        <w:rPr>
          <w:rFonts w:ascii="Times New Roman" w:eastAsia="Times New Roman" w:hAnsi="Times New Roman" w:cs="Shruti"/>
          <w:b/>
          <w:bCs/>
          <w:sz w:val="24"/>
          <w:szCs w:val="24"/>
        </w:rPr>
        <w:t>Provide estimates of annualized cost to respondents for the hour burdens for collections of information, identifying and using appropriate wage rate categories.</w:t>
      </w:r>
    </w:p>
    <w:p w:rsidR="00B70DAE" w:rsidRPr="00B70DAE" w:rsidP="00B70DAE" w14:paraId="7ABD6636" w14:textId="77777777">
      <w:pPr>
        <w:spacing w:after="0" w:line="240" w:lineRule="auto"/>
        <w:rPr>
          <w:rFonts w:ascii="Times New Roman" w:hAnsi="Times New Roman"/>
          <w:sz w:val="24"/>
          <w:szCs w:val="24"/>
        </w:rPr>
      </w:pPr>
      <w:r w:rsidRPr="00B70DAE">
        <w:rPr>
          <w:rFonts w:ascii="Times New Roman" w:hAnsi="Times New Roman"/>
          <w:b/>
          <w:bCs/>
          <w:sz w:val="20"/>
          <w:szCs w:val="20"/>
        </w:rPr>
        <w:t> </w:t>
      </w:r>
    </w:p>
    <w:p w:rsidR="00B70DAE" w:rsidRPr="00B70DAE" w:rsidP="00B70DAE" w14:paraId="4F070EBE" w14:textId="77777777">
      <w:pPr>
        <w:spacing w:after="0" w:line="240" w:lineRule="auto"/>
        <w:outlineLvl w:val="0"/>
        <w:rPr>
          <w:rFonts w:ascii="Times New Roman" w:hAnsi="Times New Roman"/>
          <w:sz w:val="24"/>
          <w:szCs w:val="24"/>
        </w:rPr>
      </w:pPr>
      <w:r w:rsidRPr="00B70DAE">
        <w:rPr>
          <w:rFonts w:ascii="Times New Roman" w:hAnsi="Times New Roman"/>
          <w:b/>
          <w:bCs/>
          <w:sz w:val="24"/>
          <w:szCs w:val="24"/>
          <w:lang w:val="en-JM"/>
        </w:rPr>
        <w:t>Respondent Burden Hour and Cost Determinations</w:t>
      </w:r>
    </w:p>
    <w:p w:rsidR="00B70DAE" w:rsidRPr="00B70DAE" w:rsidP="00B70DAE" w14:paraId="5CCD62DE" w14:textId="77777777">
      <w:pPr>
        <w:spacing w:after="0" w:line="240" w:lineRule="auto"/>
        <w:rPr>
          <w:rFonts w:ascii="Times New Roman" w:hAnsi="Times New Roman"/>
          <w:sz w:val="24"/>
          <w:szCs w:val="24"/>
          <w:lang w:val="en-JM"/>
        </w:rPr>
      </w:pPr>
      <w:r w:rsidRPr="00B70DAE">
        <w:rPr>
          <w:rFonts w:ascii="Times New Roman" w:hAnsi="Times New Roman"/>
          <w:sz w:val="24"/>
          <w:szCs w:val="24"/>
          <w:lang w:val="en-JM"/>
        </w:rPr>
        <w:t> </w:t>
      </w:r>
    </w:p>
    <w:p w:rsidR="00B70DAE" w:rsidRPr="00B70DAE" w:rsidP="00B70DAE" w14:paraId="4E56C24D" w14:textId="0CCBF03F">
      <w:pPr>
        <w:spacing w:after="0" w:line="240" w:lineRule="auto"/>
        <w:rPr>
          <w:rFonts w:ascii="Times New Roman" w:hAnsi="Times New Roman"/>
          <w:sz w:val="24"/>
          <w:szCs w:val="24"/>
          <w:lang w:val="en-JM"/>
        </w:rPr>
      </w:pPr>
      <w:r w:rsidRPr="00B70DAE">
        <w:rPr>
          <w:rFonts w:ascii="Times New Roman" w:hAnsi="Times New Roman"/>
          <w:sz w:val="24"/>
          <w:szCs w:val="24"/>
          <w:lang w:val="en-JM"/>
        </w:rPr>
        <w:t>OSHA based these determinations on its Final Economic Analysis (FEA) and the Cost and Economic Impact Analysis of a Revised OSHA Standard for Hexavalent Chromium, Volumes I and II, prepared by Shaw Environmental, Inc. (Shaw Report) (Exs. 49 and 50 in the rulemaking docket, H-054A). Tables 1-33</w:t>
      </w:r>
      <w:r>
        <w:rPr>
          <w:rFonts w:cs="Times New Roman"/>
          <w:vertAlign w:val="superscript"/>
          <w:lang w:val="en-JM"/>
        </w:rPr>
        <w:footnoteReference w:id="11"/>
      </w:r>
      <w:r w:rsidRPr="00B70DAE">
        <w:rPr>
          <w:rFonts w:ascii="Times New Roman" w:hAnsi="Times New Roman"/>
          <w:sz w:val="24"/>
          <w:szCs w:val="24"/>
          <w:lang w:val="en-JM"/>
        </w:rPr>
        <w:t xml:space="preserve"> list the detailed spreadsheet data, based on assumptions from the FEA and Shaw Report, OSHA used to make these determinations; these data include, as appropriate, affected industrial sectors, number of affected establishments, number of affected workers, time to perform the activity, and wage rates for in-house workers performing the specified activities. </w:t>
      </w:r>
      <w:r w:rsidRPr="00B70DAE">
        <w:rPr>
          <w:rFonts w:ascii="Times New Roman" w:eastAsia="Times New Roman" w:hAnsi="Times New Roman"/>
          <w:sz w:val="24"/>
          <w:szCs w:val="24"/>
        </w:rPr>
        <w:t>The agency was able to inflate the industry profile data</w:t>
      </w:r>
      <w:r w:rsidRPr="00B70DAE">
        <w:rPr>
          <w:rFonts w:ascii="Times New Roman" w:hAnsi="Times New Roman"/>
          <w:sz w:val="24"/>
          <w:szCs w:val="24"/>
          <w:lang w:val="en-JM"/>
        </w:rPr>
        <w:t xml:space="preserve"> by the same percentage as the change in the number of establishments in </w:t>
      </w:r>
      <w:r w:rsidR="008533D0">
        <w:rPr>
          <w:rFonts w:ascii="Times New Roman" w:hAnsi="Times New Roman"/>
          <w:sz w:val="24"/>
          <w:szCs w:val="24"/>
          <w:lang w:val="en-JM"/>
        </w:rPr>
        <w:t xml:space="preserve">the County Business Patterns data from the </w:t>
      </w:r>
      <w:r w:rsidRPr="00B70DAE">
        <w:rPr>
          <w:rFonts w:ascii="Times New Roman" w:hAnsi="Times New Roman"/>
          <w:sz w:val="24"/>
          <w:szCs w:val="24"/>
          <w:lang w:val="en-JM"/>
        </w:rPr>
        <w:t>U.S. Census Bureau from 201</w:t>
      </w:r>
      <w:r w:rsidR="00D349E0">
        <w:rPr>
          <w:rFonts w:ascii="Times New Roman" w:hAnsi="Times New Roman"/>
          <w:sz w:val="24"/>
          <w:szCs w:val="24"/>
          <w:lang w:val="en-JM"/>
        </w:rPr>
        <w:t>9</w:t>
      </w:r>
      <w:r w:rsidRPr="00B70DAE">
        <w:rPr>
          <w:rFonts w:ascii="Times New Roman" w:hAnsi="Times New Roman"/>
          <w:sz w:val="24"/>
          <w:szCs w:val="24"/>
          <w:lang w:val="en-JM"/>
        </w:rPr>
        <w:t xml:space="preserve"> to 20</w:t>
      </w:r>
      <w:r w:rsidR="002F0A80">
        <w:rPr>
          <w:rFonts w:ascii="Times New Roman" w:hAnsi="Times New Roman"/>
          <w:sz w:val="24"/>
          <w:szCs w:val="24"/>
          <w:lang w:val="en-JM"/>
        </w:rPr>
        <w:t>22</w:t>
      </w:r>
      <w:r w:rsidRPr="00B70DAE">
        <w:rPr>
          <w:rFonts w:ascii="Times New Roman" w:hAnsi="Times New Roman"/>
          <w:sz w:val="24"/>
          <w:szCs w:val="24"/>
          <w:lang w:val="en-JM"/>
        </w:rPr>
        <w:t>.</w:t>
      </w:r>
      <w:r>
        <w:rPr>
          <w:rFonts w:cs="Times New Roman"/>
          <w:vertAlign w:val="superscript"/>
          <w:lang w:val="en-JM"/>
        </w:rPr>
        <w:footnoteReference w:id="12"/>
      </w:r>
      <w:r w:rsidRPr="00B70DAE">
        <w:rPr>
          <w:rFonts w:ascii="Times New Roman" w:hAnsi="Times New Roman"/>
          <w:sz w:val="24"/>
          <w:szCs w:val="24"/>
          <w:lang w:val="en-JM"/>
        </w:rPr>
        <w:t xml:space="preserve"> Using this methodology, the agency estimates there are </w:t>
      </w:r>
      <w:r w:rsidR="003F5723">
        <w:rPr>
          <w:rFonts w:ascii="Times New Roman" w:hAnsi="Times New Roman"/>
          <w:sz w:val="24"/>
          <w:szCs w:val="24"/>
          <w:lang w:val="en-JM"/>
        </w:rPr>
        <w:t>83,780</w:t>
      </w:r>
      <w:r w:rsidRPr="00B70DAE">
        <w:rPr>
          <w:rFonts w:ascii="Times New Roman" w:hAnsi="Times New Roman"/>
          <w:sz w:val="24"/>
          <w:szCs w:val="24"/>
          <w:lang w:val="en-JM"/>
        </w:rPr>
        <w:t xml:space="preserve"> establishments affected by the standards; this is the number of PRA respondents.</w:t>
      </w:r>
    </w:p>
    <w:p w:rsidR="00B70DAE" w:rsidRPr="00B70DAE" w:rsidP="00B70DAE" w14:paraId="7168F423" w14:textId="77777777">
      <w:pPr>
        <w:spacing w:after="0" w:line="240" w:lineRule="auto"/>
        <w:rPr>
          <w:rFonts w:ascii="Times New Roman" w:hAnsi="Times New Roman"/>
          <w:sz w:val="24"/>
          <w:szCs w:val="24"/>
          <w:lang w:val="en-JM"/>
        </w:rPr>
      </w:pPr>
    </w:p>
    <w:p w:rsidR="00B70DAE" w:rsidP="00B70DAE" w14:paraId="626ADFB2" w14:textId="77777777">
      <w:pPr>
        <w:spacing w:after="0" w:line="240" w:lineRule="auto"/>
        <w:rPr>
          <w:rFonts w:ascii="Times New Roman" w:eastAsia="Times New Roman" w:hAnsi="Times New Roman"/>
          <w:b/>
          <w:bCs/>
          <w:color w:val="000000"/>
          <w:sz w:val="24"/>
          <w:szCs w:val="24"/>
          <w:shd w:val="clear" w:color="auto" w:fill="FFFFFF"/>
        </w:rPr>
      </w:pPr>
      <w:r w:rsidRPr="00B70DAE">
        <w:rPr>
          <w:rFonts w:ascii="Times New Roman" w:eastAsia="Times New Roman" w:hAnsi="Times New Roman"/>
          <w:b/>
          <w:bCs/>
          <w:color w:val="000000"/>
          <w:sz w:val="24"/>
          <w:szCs w:val="24"/>
          <w:shd w:val="clear" w:color="auto" w:fill="FFFFFF"/>
        </w:rPr>
        <w:t>Wage Rates</w:t>
      </w:r>
    </w:p>
    <w:p w:rsidR="003F5723" w:rsidRPr="00B70DAE" w:rsidP="00B70DAE" w14:paraId="48A85CDE" w14:textId="77777777">
      <w:pPr>
        <w:spacing w:after="0" w:line="240" w:lineRule="auto"/>
        <w:rPr>
          <w:b/>
          <w:bCs/>
          <w:color w:val="000000" w:themeColor="text1"/>
        </w:rPr>
      </w:pPr>
    </w:p>
    <w:p w:rsidR="001839FC" w:rsidRPr="00B2505C" w:rsidP="003E5FFE" w14:paraId="3236E679" w14:textId="4E6FB6D8">
      <w:pPr>
        <w:tabs>
          <w:tab w:val="left" w:pos="-1440"/>
        </w:tabs>
        <w:spacing w:line="240" w:lineRule="auto"/>
        <w:rPr>
          <w:rFonts w:ascii="Times New Roman" w:hAnsi="Times New Roman" w:cs="Times New Roman"/>
          <w:sz w:val="24"/>
          <w:szCs w:val="24"/>
        </w:rPr>
      </w:pPr>
      <w:r w:rsidRPr="00B2505C">
        <w:rPr>
          <w:rFonts w:ascii="Times New Roman" w:hAnsi="Times New Roman" w:cs="Times New Roman"/>
          <w:sz w:val="24"/>
          <w:szCs w:val="24"/>
        </w:rPr>
        <w:t xml:space="preserve">The agency determined the wage rate from </w:t>
      </w:r>
      <w:r w:rsidRPr="00B2505C" w:rsidR="008533D0">
        <w:rPr>
          <w:rFonts w:ascii="Times New Roman" w:hAnsi="Times New Roman" w:cs="Times New Roman"/>
          <w:sz w:val="24"/>
          <w:szCs w:val="24"/>
        </w:rPr>
        <w:t xml:space="preserve">the </w:t>
      </w:r>
      <w:r w:rsidRPr="00B2505C">
        <w:rPr>
          <w:rFonts w:ascii="Times New Roman" w:hAnsi="Times New Roman" w:cs="Times New Roman"/>
          <w:sz w:val="24"/>
          <w:szCs w:val="24"/>
        </w:rPr>
        <w:t xml:space="preserve">mean hourly wage earnings to represent the cost of employee time.  For the relevant Standard Occupational Classification (SOC) category, OSHA used the wage rates reported in the Bureau of Labor Statistics, U.S. Department of Labor, </w:t>
      </w:r>
      <w:r w:rsidRPr="00B2505C">
        <w:rPr>
          <w:rFonts w:ascii="Times New Roman" w:hAnsi="Times New Roman" w:cs="Times New Roman"/>
          <w:i/>
          <w:sz w:val="24"/>
          <w:szCs w:val="24"/>
        </w:rPr>
        <w:t>Occupational Employment and Wage Statistics (OEWS), May 202</w:t>
      </w:r>
      <w:r w:rsidRPr="00B2505C" w:rsidR="008644F5">
        <w:rPr>
          <w:rFonts w:ascii="Times New Roman" w:hAnsi="Times New Roman" w:cs="Times New Roman"/>
          <w:i/>
          <w:sz w:val="24"/>
          <w:szCs w:val="24"/>
        </w:rPr>
        <w:t>3</w:t>
      </w:r>
      <w:r w:rsidRPr="00B2505C">
        <w:rPr>
          <w:rFonts w:ascii="Times New Roman" w:hAnsi="Times New Roman" w:cs="Times New Roman"/>
          <w:sz w:val="24"/>
          <w:szCs w:val="24"/>
        </w:rPr>
        <w:t xml:space="preserve"> [date accessed: May 9, 2025].  (OEWS data is available at </w:t>
      </w:r>
      <w:hyperlink r:id="rId9" w:history="1">
        <w:r w:rsidRPr="00B2505C" w:rsidR="00580451">
          <w:rPr>
            <w:rStyle w:val="Hyperlink"/>
            <w:rFonts w:ascii="Times New Roman" w:hAnsi="Times New Roman" w:cs="Times New Roman"/>
            <w:sz w:val="24"/>
            <w:szCs w:val="24"/>
          </w:rPr>
          <w:t>https://www.bls.gov/oes/2023/may/oes_nat.htm</w:t>
        </w:r>
      </w:hyperlink>
      <w:r w:rsidRPr="00B2505C">
        <w:rPr>
          <w:rFonts w:ascii="Times New Roman" w:hAnsi="Times New Roman" w:cs="Times New Roman"/>
          <w:sz w:val="24"/>
          <w:szCs w:val="24"/>
        </w:rPr>
        <w:t>.  To access a wage rate, select the year, “Occupation profiles,” and the SOC code.)</w:t>
      </w:r>
    </w:p>
    <w:p w:rsidR="003F5723" w:rsidRPr="00B2505C" w:rsidP="003F5723" w14:paraId="75B31E19" w14:textId="52A4B2FC">
      <w:pPr>
        <w:spacing w:after="0" w:line="240" w:lineRule="auto"/>
        <w:textAlignment w:val="baseline"/>
        <w:rPr>
          <w:rFonts w:ascii="Times New Roman" w:eastAsia="Times New Roman" w:hAnsi="Times New Roman" w:cs="Times New Roman"/>
          <w:sz w:val="24"/>
          <w:szCs w:val="24"/>
        </w:rPr>
      </w:pPr>
      <w:r w:rsidRPr="00B2505C">
        <w:rPr>
          <w:rFonts w:ascii="Times New Roman" w:hAnsi="Times New Roman" w:cs="Times New Roman"/>
          <w:sz w:val="24"/>
          <w:szCs w:val="24"/>
        </w:rPr>
        <w:t>To account for fringe benefits markup, the agency used the BLS 10:00 AM (ET), March 14, 2025</w:t>
      </w:r>
      <w:r w:rsidRPr="00B2505C" w:rsidR="004A5851">
        <w:rPr>
          <w:rFonts w:ascii="Times New Roman" w:hAnsi="Times New Roman" w:cs="Times New Roman"/>
          <w:sz w:val="24"/>
          <w:szCs w:val="24"/>
        </w:rPr>
        <w:t>,</w:t>
      </w:r>
      <w:r w:rsidRPr="00B2505C">
        <w:rPr>
          <w:rFonts w:ascii="Times New Roman" w:hAnsi="Times New Roman" w:cs="Times New Roman"/>
          <w:sz w:val="24"/>
          <w:szCs w:val="24"/>
        </w:rPr>
        <w:t xml:space="preserve"> news release: </w:t>
      </w:r>
      <w:r w:rsidRPr="00B2505C">
        <w:rPr>
          <w:rFonts w:ascii="Times New Roman" w:hAnsi="Times New Roman" w:cs="Times New Roman"/>
          <w:i/>
          <w:sz w:val="24"/>
          <w:szCs w:val="24"/>
        </w:rPr>
        <w:t>Employer Costs for Employee Compensation – December 2024</w:t>
      </w:r>
      <w:r w:rsidRPr="00B2505C">
        <w:rPr>
          <w:rFonts w:ascii="Times New Roman" w:hAnsi="Times New Roman" w:cs="Times New Roman"/>
          <w:sz w:val="24"/>
          <w:szCs w:val="24"/>
        </w:rPr>
        <w:t xml:space="preserve"> news release text; </w:t>
      </w:r>
      <w:r w:rsidRPr="00B2505C">
        <w:rPr>
          <w:rFonts w:ascii="Times New Roman" w:eastAsia="Times New Roman" w:hAnsi="Times New Roman" w:cs="Times New Roman"/>
          <w:sz w:val="24"/>
          <w:szCs w:val="24"/>
        </w:rPr>
        <w:t>(</w:t>
      </w:r>
      <w:hyperlink r:id="rId10" w:history="1">
        <w:r w:rsidRPr="00B2505C">
          <w:rPr>
            <w:rFonts w:ascii="Times New Roman" w:eastAsia="Times New Roman" w:hAnsi="Times New Roman" w:cs="Times New Roman"/>
            <w:color w:val="003399"/>
            <w:sz w:val="24"/>
            <w:szCs w:val="24"/>
            <w:u w:val="single"/>
          </w:rPr>
          <w:t>https://www.bls.gov/news.release/archives/ecec_03142025.pdf</w:t>
        </w:r>
      </w:hyperlink>
      <w:r w:rsidRPr="00B2505C">
        <w:rPr>
          <w:rFonts w:ascii="Times New Roman" w:hAnsi="Times New Roman" w:cs="Times New Roman"/>
          <w:sz w:val="24"/>
          <w:szCs w:val="24"/>
        </w:rPr>
        <w:t>).  BLS reported that for private industry workers, fringe benefits accounted for 29.5 percent of total compensation</w:t>
      </w:r>
      <w:r w:rsidRPr="00B2505C" w:rsidR="004A5851">
        <w:rPr>
          <w:rFonts w:ascii="Times New Roman" w:hAnsi="Times New Roman" w:cs="Times New Roman"/>
          <w:sz w:val="24"/>
          <w:szCs w:val="24"/>
        </w:rPr>
        <w:t>,</w:t>
      </w:r>
      <w:r w:rsidRPr="00B2505C">
        <w:rPr>
          <w:rFonts w:ascii="Times New Roman" w:hAnsi="Times New Roman" w:cs="Times New Roman"/>
          <w:sz w:val="24"/>
          <w:szCs w:val="24"/>
        </w:rPr>
        <w:t xml:space="preserve"> and wages accounted for the remaining 70.5 percent.  To calculate the loaded hourly wage for each occupation, the agency multiplied the mean hourly wage by one over one minus the fringe benefits.</w:t>
      </w:r>
    </w:p>
    <w:p w:rsidR="00B70DAE" w:rsidRPr="00691050" w:rsidP="003F5723" w14:paraId="38BFF0B0" w14:textId="77777777">
      <w:pPr>
        <w:spacing w:after="0" w:line="240" w:lineRule="auto"/>
        <w:rPr>
          <w:rFonts w:ascii="Times New Roman" w:hAnsi="Times New Roman" w:cs="Times New Roman"/>
          <w:sz w:val="24"/>
          <w:szCs w:val="24"/>
          <w:lang w:val="en-JM"/>
        </w:rPr>
      </w:pPr>
    </w:p>
    <w:p w:rsidR="00B70DAE" w:rsidRPr="00691050" w:rsidP="00B70DAE" w14:paraId="36815F96" w14:textId="2EC66632">
      <w:pPr>
        <w:spacing w:after="0" w:line="240" w:lineRule="auto"/>
        <w:rPr>
          <w:rFonts w:ascii="Times New Roman" w:hAnsi="Times New Roman" w:cs="Times New Roman"/>
          <w:sz w:val="24"/>
          <w:szCs w:val="24"/>
          <w:lang w:val="en-JM"/>
        </w:rPr>
      </w:pPr>
      <w:r w:rsidRPr="00691050">
        <w:rPr>
          <w:rFonts w:ascii="Times New Roman" w:hAnsi="Times New Roman" w:cs="Times New Roman"/>
          <w:sz w:val="24"/>
          <w:szCs w:val="24"/>
          <w:lang w:val="en-JM"/>
        </w:rPr>
        <w:t xml:space="preserve">Table 1, below, is a summary of how the wage rate estimates were derived for the information collection requirements specified. The table also identifies an average loaded hourly wage rate for occupational groupings, which the agency used for </w:t>
      </w:r>
      <w:r w:rsidR="00B65311">
        <w:rPr>
          <w:rFonts w:ascii="Times New Roman" w:hAnsi="Times New Roman" w:cs="Times New Roman"/>
          <w:sz w:val="24"/>
          <w:szCs w:val="24"/>
          <w:lang w:val="en-JM"/>
        </w:rPr>
        <w:t>the cost</w:t>
      </w:r>
      <w:r w:rsidRPr="00691050">
        <w:rPr>
          <w:rFonts w:ascii="Times New Roman" w:hAnsi="Times New Roman" w:cs="Times New Roman"/>
          <w:sz w:val="24"/>
          <w:szCs w:val="24"/>
          <w:lang w:val="en-JM"/>
        </w:rPr>
        <w:t xml:space="preserve"> burden determinations.</w:t>
      </w:r>
    </w:p>
    <w:p w:rsidR="00B70DAE" w:rsidRPr="00B70DAE" w:rsidP="00B70DAE" w14:paraId="1C3CDA8E" w14:textId="77777777">
      <w:pPr>
        <w:spacing w:after="0" w:line="240" w:lineRule="auto"/>
        <w:rPr>
          <w:rFonts w:ascii="Times New Roman" w:hAnsi="Times New Roman"/>
          <w:sz w:val="24"/>
          <w:szCs w:val="24"/>
          <w:lang w:val="en-JM"/>
        </w:rPr>
      </w:pPr>
    </w:p>
    <w:p w:rsidR="00B70DAE" w:rsidRPr="00B70DAE" w:rsidP="00B70DAE" w14:paraId="310FF1DB" w14:textId="77777777">
      <w:pPr>
        <w:spacing w:after="0" w:line="240" w:lineRule="auto"/>
        <w:rPr>
          <w:rFonts w:ascii="Times New Roman" w:hAnsi="Times New Roman"/>
          <w:sz w:val="24"/>
          <w:szCs w:val="24"/>
          <w:lang w:val="en-JM"/>
        </w:rPr>
      </w:pPr>
    </w:p>
    <w:tbl>
      <w:tblPr>
        <w:tblW w:w="4828" w:type="pct"/>
        <w:tblLook w:val="04A0"/>
      </w:tblPr>
      <w:tblGrid>
        <w:gridCol w:w="1075"/>
        <w:gridCol w:w="3875"/>
        <w:gridCol w:w="1215"/>
        <w:gridCol w:w="1083"/>
        <w:gridCol w:w="1780"/>
      </w:tblGrid>
      <w:tr w14:paraId="34598138" w14:textId="77777777" w:rsidTr="00AB7575">
        <w:tblPrEx>
          <w:tblW w:w="4828" w:type="pct"/>
          <w:tblLook w:val="04A0"/>
        </w:tblPrEx>
        <w:trPr>
          <w:trHeight w:val="242"/>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761031" w:rsidRPr="00173006" w:rsidP="008A04CC" w14:paraId="18133809" w14:textId="7845644D">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T</w:t>
            </w:r>
            <w:r w:rsidR="0047763F">
              <w:rPr>
                <w:rFonts w:ascii="Times New Roman" w:eastAsia="Times New Roman" w:hAnsi="Times New Roman"/>
                <w:b/>
                <w:bCs/>
                <w:sz w:val="20"/>
                <w:szCs w:val="20"/>
              </w:rPr>
              <w:t xml:space="preserve">ABLE 1 - </w:t>
            </w:r>
            <w:r>
              <w:rPr>
                <w:rFonts w:ascii="Times New Roman" w:eastAsia="Times New Roman" w:hAnsi="Times New Roman"/>
                <w:b/>
                <w:bCs/>
                <w:sz w:val="20"/>
                <w:szCs w:val="20"/>
              </w:rPr>
              <w:t>WAGE HOUR ESTIMATES</w:t>
            </w:r>
          </w:p>
        </w:tc>
      </w:tr>
      <w:tr w14:paraId="764E7297" w14:textId="77777777" w:rsidTr="00372867">
        <w:tblPrEx>
          <w:tblW w:w="4828" w:type="pct"/>
          <w:tblLook w:val="04A0"/>
        </w:tblPrEx>
        <w:trPr>
          <w:cantSplit/>
          <w:tblHeader/>
        </w:trPr>
        <w:tc>
          <w:tcPr>
            <w:tcW w:w="595" w:type="pct"/>
            <w:tcBorders>
              <w:top w:val="single" w:sz="4" w:space="0" w:color="auto"/>
              <w:left w:val="single" w:sz="4" w:space="0" w:color="auto"/>
              <w:bottom w:val="single" w:sz="4" w:space="0" w:color="auto"/>
              <w:right w:val="single" w:sz="4" w:space="0" w:color="auto"/>
            </w:tcBorders>
            <w:shd w:val="clear" w:color="auto" w:fill="A8D9F2"/>
            <w:vAlign w:val="center"/>
            <w:hideMark/>
          </w:tcPr>
          <w:p w:rsidR="00761031" w:rsidRPr="00173006" w:rsidP="00B62824" w14:paraId="68BF13EA" w14:textId="57A16412">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SOC</w:t>
            </w:r>
            <w:r w:rsidR="00567ACA">
              <w:rPr>
                <w:rFonts w:ascii="Times New Roman" w:eastAsia="Times New Roman" w:hAnsi="Times New Roman"/>
                <w:b/>
                <w:bCs/>
                <w:sz w:val="20"/>
                <w:szCs w:val="20"/>
              </w:rPr>
              <w:t xml:space="preserve"> Code</w:t>
            </w:r>
          </w:p>
        </w:tc>
        <w:tc>
          <w:tcPr>
            <w:tcW w:w="2146" w:type="pct"/>
            <w:tcBorders>
              <w:top w:val="single" w:sz="4" w:space="0" w:color="auto"/>
              <w:left w:val="single" w:sz="4" w:space="0" w:color="auto"/>
              <w:bottom w:val="single" w:sz="4" w:space="0" w:color="auto"/>
              <w:right w:val="single" w:sz="4" w:space="0" w:color="auto"/>
            </w:tcBorders>
            <w:shd w:val="clear" w:color="auto" w:fill="A8D9F2"/>
            <w:vAlign w:val="center"/>
            <w:hideMark/>
          </w:tcPr>
          <w:p w:rsidR="00761031" w:rsidRPr="00173006" w:rsidP="00B62824" w14:paraId="056BD84B" w14:textId="77777777">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Occupational Title</w:t>
            </w:r>
          </w:p>
        </w:tc>
        <w:tc>
          <w:tcPr>
            <w:tcW w:w="673" w:type="pct"/>
            <w:tcBorders>
              <w:top w:val="single" w:sz="4" w:space="0" w:color="auto"/>
              <w:left w:val="nil"/>
              <w:bottom w:val="single" w:sz="4" w:space="0" w:color="auto"/>
              <w:right w:val="single" w:sz="4" w:space="0" w:color="auto"/>
            </w:tcBorders>
            <w:shd w:val="clear" w:color="auto" w:fill="A8D9F2"/>
            <w:hideMark/>
          </w:tcPr>
          <w:p w:rsidR="00761031" w:rsidRPr="00173006" w:rsidP="0071340D" w14:paraId="15557863" w14:textId="77777777">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Mean Hour Wage Rate</w:t>
            </w:r>
          </w:p>
          <w:p w:rsidR="00761031" w:rsidRPr="00173006" w:rsidP="0071340D" w14:paraId="0AF817DA" w14:textId="77777777">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(A)</w:t>
            </w:r>
          </w:p>
        </w:tc>
        <w:tc>
          <w:tcPr>
            <w:tcW w:w="600" w:type="pct"/>
            <w:tcBorders>
              <w:top w:val="single" w:sz="4" w:space="0" w:color="auto"/>
              <w:left w:val="nil"/>
              <w:bottom w:val="single" w:sz="4" w:space="0" w:color="auto"/>
              <w:right w:val="single" w:sz="4" w:space="0" w:color="auto"/>
            </w:tcBorders>
            <w:shd w:val="clear" w:color="auto" w:fill="A8D9F2"/>
            <w:hideMark/>
          </w:tcPr>
          <w:p w:rsidR="00761031" w:rsidRPr="00173006" w:rsidP="0071340D" w14:paraId="6AB7CE46" w14:textId="77777777">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Fringe Benefits</w:t>
            </w:r>
          </w:p>
          <w:p w:rsidR="00761031" w:rsidRPr="00173006" w:rsidP="0071340D" w14:paraId="28714998" w14:textId="12B8658F">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(B)</w:t>
            </w:r>
          </w:p>
        </w:tc>
        <w:tc>
          <w:tcPr>
            <w:tcW w:w="986" w:type="pct"/>
            <w:tcBorders>
              <w:top w:val="single" w:sz="4" w:space="0" w:color="auto"/>
              <w:left w:val="nil"/>
              <w:bottom w:val="single" w:sz="4" w:space="0" w:color="auto"/>
              <w:right w:val="single" w:sz="4" w:space="0" w:color="auto"/>
            </w:tcBorders>
            <w:shd w:val="clear" w:color="auto" w:fill="A8D9F2"/>
            <w:hideMark/>
          </w:tcPr>
          <w:p w:rsidR="00761031" w:rsidRPr="00173006" w:rsidP="0071340D" w14:paraId="1D2110DB" w14:textId="471CE23C">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Loaded Hourly Wage Rate</w:t>
            </w:r>
          </w:p>
          <w:p w:rsidR="00761031" w:rsidRPr="00173006" w:rsidP="0071340D" w14:paraId="189063B9" w14:textId="0C4B4AF5">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 xml:space="preserve">(C) = </w:t>
            </w:r>
            <w:r w:rsidR="000E78BB">
              <w:rPr>
                <w:rFonts w:ascii="Times New Roman" w:eastAsia="Times New Roman" w:hAnsi="Times New Roman"/>
                <w:b/>
                <w:bCs/>
                <w:sz w:val="20"/>
                <w:szCs w:val="20"/>
              </w:rPr>
              <w:t>(</w:t>
            </w:r>
            <w:r w:rsidRPr="00173006">
              <w:rPr>
                <w:rFonts w:ascii="Times New Roman" w:eastAsia="Times New Roman" w:hAnsi="Times New Roman"/>
                <w:b/>
                <w:bCs/>
                <w:sz w:val="20"/>
                <w:szCs w:val="20"/>
              </w:rPr>
              <w:t>(A)/(1-(B))</w:t>
            </w:r>
          </w:p>
        </w:tc>
      </w:tr>
      <w:tr w14:paraId="6FDF1499" w14:textId="77777777" w:rsidTr="00AB7575">
        <w:tblPrEx>
          <w:tblW w:w="4828" w:type="pct"/>
          <w:tblLook w:val="04A0"/>
        </w:tblPrEx>
        <w:trPr>
          <w:trHeight w:val="255"/>
        </w:trPr>
        <w:tc>
          <w:tcPr>
            <w:tcW w:w="2741"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61031" w:rsidRPr="00173006" w:rsidP="008A04CC" w14:paraId="3A8F0883" w14:textId="77777777">
            <w:pPr>
              <w:spacing w:after="0" w:line="240" w:lineRule="auto"/>
              <w:rPr>
                <w:rFonts w:ascii="Times New Roman" w:eastAsia="Times New Roman" w:hAnsi="Times New Roman"/>
                <w:b/>
                <w:bCs/>
                <w:sz w:val="20"/>
                <w:szCs w:val="20"/>
              </w:rPr>
            </w:pPr>
            <w:r w:rsidRPr="00173006">
              <w:rPr>
                <w:rFonts w:ascii="Times New Roman" w:eastAsia="Times New Roman" w:hAnsi="Times New Roman"/>
                <w:b/>
                <w:bCs/>
                <w:sz w:val="20"/>
                <w:szCs w:val="20"/>
              </w:rPr>
              <w:t xml:space="preserve">Supervisory Wage Rate (per hour) </w:t>
            </w:r>
            <w:r>
              <w:rPr>
                <w:rFonts w:ascii="Times New Roman" w:eastAsia="Times New Roman" w:hAnsi="Times New Roman"/>
                <w:b/>
                <w:bCs/>
                <w:sz w:val="20"/>
                <w:szCs w:val="20"/>
              </w:rPr>
              <w:t>–</w:t>
            </w:r>
            <w:r w:rsidRPr="00173006">
              <w:rPr>
                <w:rFonts w:ascii="Times New Roman" w:eastAsia="Times New Roman" w:hAnsi="Times New Roman"/>
                <w:b/>
                <w:bCs/>
                <w:sz w:val="20"/>
                <w:szCs w:val="20"/>
              </w:rPr>
              <w:t xml:space="preserve"> SUPWAGE</w:t>
            </w:r>
            <w:r>
              <w:rPr>
                <w:rFonts w:ascii="Times New Roman" w:eastAsia="Times New Roman" w:hAnsi="Times New Roman"/>
                <w:b/>
                <w:bCs/>
                <w:sz w:val="20"/>
                <w:szCs w:val="20"/>
              </w:rPr>
              <w:t xml:space="preserve"> </w:t>
            </w:r>
          </w:p>
        </w:tc>
        <w:tc>
          <w:tcPr>
            <w:tcW w:w="673"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61031" w:rsidRPr="00173006" w:rsidP="008A04CC" w14:paraId="1C465498" w14:textId="77777777">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 </w:t>
            </w:r>
          </w:p>
        </w:tc>
        <w:tc>
          <w:tcPr>
            <w:tcW w:w="60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61031" w:rsidRPr="00173006" w:rsidP="008A04CC" w14:paraId="51281E3D" w14:textId="77777777">
            <w:pPr>
              <w:spacing w:after="0" w:line="240" w:lineRule="auto"/>
              <w:jc w:val="center"/>
              <w:rPr>
                <w:rFonts w:ascii="Times New Roman" w:eastAsia="Times New Roman" w:hAnsi="Times New Roman"/>
                <w:b/>
                <w:bCs/>
                <w:sz w:val="20"/>
                <w:szCs w:val="20"/>
              </w:rPr>
            </w:pPr>
            <w:r w:rsidRPr="00173006">
              <w:rPr>
                <w:rFonts w:ascii="Times New Roman" w:eastAsia="Times New Roman" w:hAnsi="Times New Roman"/>
                <w:b/>
                <w:bCs/>
                <w:sz w:val="20"/>
                <w:szCs w:val="20"/>
              </w:rPr>
              <w:t> </w:t>
            </w:r>
          </w:p>
        </w:tc>
        <w:tc>
          <w:tcPr>
            <w:tcW w:w="986"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61031" w:rsidRPr="00173006" w:rsidP="008A04CC" w14:paraId="0B1CEDE5" w14:textId="77777777">
            <w:pPr>
              <w:spacing w:after="0" w:line="240" w:lineRule="auto"/>
              <w:rPr>
                <w:rFonts w:ascii="Times New Roman" w:eastAsia="Times New Roman" w:hAnsi="Times New Roman"/>
                <w:b/>
                <w:bCs/>
                <w:sz w:val="20"/>
                <w:szCs w:val="20"/>
              </w:rPr>
            </w:pPr>
            <w:r w:rsidRPr="00450204">
              <w:rPr>
                <w:rFonts w:ascii="Times New Roman" w:eastAsia="Times New Roman" w:hAnsi="Times New Roman"/>
                <w:b/>
                <w:bCs/>
                <w:sz w:val="20"/>
                <w:szCs w:val="20"/>
              </w:rPr>
              <w:t>$</w:t>
            </w:r>
            <w:r>
              <w:rPr>
                <w:rFonts w:ascii="Times New Roman" w:eastAsia="Times New Roman" w:hAnsi="Times New Roman"/>
                <w:b/>
                <w:bCs/>
                <w:sz w:val="20"/>
                <w:szCs w:val="20"/>
              </w:rPr>
              <w:t>48.74</w:t>
            </w:r>
            <w:r w:rsidRPr="00450204">
              <w:rPr>
                <w:rFonts w:ascii="Times New Roman" w:eastAsia="Times New Roman" w:hAnsi="Times New Roman"/>
                <w:b/>
                <w:bCs/>
                <w:sz w:val="20"/>
                <w:szCs w:val="20"/>
              </w:rPr>
              <w:t xml:space="preserve"> </w:t>
            </w:r>
            <w:r w:rsidRPr="00B92220">
              <w:rPr>
                <w:rFonts w:ascii="Times New Roman" w:eastAsia="Times New Roman" w:hAnsi="Times New Roman"/>
                <w:sz w:val="20"/>
                <w:szCs w:val="20"/>
              </w:rPr>
              <w:t>(</w:t>
            </w:r>
            <w:r w:rsidRPr="00FB3FA9">
              <w:rPr>
                <w:rFonts w:ascii="Times New Roman" w:eastAsia="Times New Roman" w:hAnsi="Times New Roman"/>
                <w:i/>
                <w:sz w:val="20"/>
                <w:szCs w:val="20"/>
              </w:rPr>
              <w:t>Average)</w:t>
            </w:r>
          </w:p>
        </w:tc>
      </w:tr>
      <w:tr w14:paraId="6860E29F"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5C262A71"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37-1010</w:t>
            </w:r>
          </w:p>
        </w:tc>
        <w:tc>
          <w:tcPr>
            <w:tcW w:w="2146" w:type="pct"/>
            <w:tcBorders>
              <w:top w:val="nil"/>
              <w:left w:val="nil"/>
              <w:bottom w:val="single" w:sz="4" w:space="0" w:color="auto"/>
              <w:right w:val="single" w:sz="4" w:space="0" w:color="auto"/>
            </w:tcBorders>
            <w:vAlign w:val="center"/>
            <w:hideMark/>
          </w:tcPr>
          <w:p w:rsidR="00761031" w:rsidRPr="00173006" w:rsidP="008A04CC" w14:paraId="3F370A71"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First</w:t>
            </w:r>
            <w:r>
              <w:rPr>
                <w:rFonts w:ascii="Times New Roman" w:eastAsia="Times New Roman" w:hAnsi="Times New Roman"/>
                <w:sz w:val="20"/>
                <w:szCs w:val="20"/>
              </w:rPr>
              <w:t xml:space="preserve"> </w:t>
            </w:r>
            <w:r w:rsidRPr="00173006">
              <w:rPr>
                <w:rFonts w:ascii="Times New Roman" w:eastAsia="Times New Roman" w:hAnsi="Times New Roman"/>
                <w:sz w:val="20"/>
                <w:szCs w:val="20"/>
              </w:rPr>
              <w:t>Line Supervisors of Building and Grounds Cleaning and Maintenance Workers</w:t>
            </w:r>
          </w:p>
        </w:tc>
        <w:tc>
          <w:tcPr>
            <w:tcW w:w="673" w:type="pct"/>
            <w:tcBorders>
              <w:top w:val="nil"/>
              <w:left w:val="nil"/>
              <w:bottom w:val="single" w:sz="4" w:space="0" w:color="auto"/>
              <w:right w:val="single" w:sz="4" w:space="0" w:color="auto"/>
            </w:tcBorders>
            <w:vAlign w:val="center"/>
            <w:hideMark/>
          </w:tcPr>
          <w:p w:rsidR="00761031" w:rsidRPr="00173006" w:rsidP="008A04CC" w14:paraId="3D985F47"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25.85</w:t>
            </w:r>
          </w:p>
        </w:tc>
        <w:tc>
          <w:tcPr>
            <w:tcW w:w="600" w:type="pct"/>
            <w:tcBorders>
              <w:top w:val="nil"/>
              <w:left w:val="nil"/>
              <w:bottom w:val="single" w:sz="4" w:space="0" w:color="auto"/>
              <w:right w:val="single" w:sz="4" w:space="0" w:color="auto"/>
            </w:tcBorders>
            <w:vAlign w:val="center"/>
            <w:hideMark/>
          </w:tcPr>
          <w:p w:rsidR="00761031" w:rsidRPr="00173006" w:rsidP="008A04CC" w14:paraId="198BF28C" w14:textId="2F59515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28E4B0D7" w14:textId="77777777">
            <w:pPr>
              <w:spacing w:after="0" w:line="240" w:lineRule="auto"/>
              <w:jc w:val="center"/>
              <w:rPr>
                <w:rFonts w:ascii="Times New Roman" w:eastAsia="Times New Roman" w:hAnsi="Times New Roman"/>
                <w:sz w:val="20"/>
                <w:szCs w:val="20"/>
              </w:rPr>
            </w:pPr>
            <w:r w:rsidRPr="000B2264">
              <w:rPr>
                <w:rFonts w:ascii="Times New Roman" w:eastAsia="Times New Roman" w:hAnsi="Times New Roman"/>
                <w:sz w:val="20"/>
                <w:szCs w:val="20"/>
              </w:rPr>
              <w:t>$</w:t>
            </w:r>
            <w:r>
              <w:rPr>
                <w:rFonts w:ascii="Times New Roman" w:eastAsia="Times New Roman" w:hAnsi="Times New Roman"/>
                <w:sz w:val="20"/>
                <w:szCs w:val="20"/>
              </w:rPr>
              <w:t>36.67</w:t>
            </w:r>
          </w:p>
        </w:tc>
      </w:tr>
      <w:tr w14:paraId="11B91852"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67E2E8A4"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47-1011</w:t>
            </w:r>
          </w:p>
        </w:tc>
        <w:tc>
          <w:tcPr>
            <w:tcW w:w="2146" w:type="pct"/>
            <w:tcBorders>
              <w:top w:val="nil"/>
              <w:left w:val="nil"/>
              <w:bottom w:val="single" w:sz="4" w:space="0" w:color="auto"/>
              <w:right w:val="single" w:sz="4" w:space="0" w:color="auto"/>
            </w:tcBorders>
            <w:vAlign w:val="center"/>
            <w:hideMark/>
          </w:tcPr>
          <w:p w:rsidR="00761031" w:rsidRPr="00173006" w:rsidP="008A04CC" w14:paraId="0703D797"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First</w:t>
            </w:r>
            <w:r>
              <w:rPr>
                <w:rFonts w:ascii="Times New Roman" w:eastAsia="Times New Roman" w:hAnsi="Times New Roman"/>
                <w:sz w:val="20"/>
                <w:szCs w:val="20"/>
              </w:rPr>
              <w:t xml:space="preserve"> </w:t>
            </w:r>
            <w:r w:rsidRPr="00173006">
              <w:rPr>
                <w:rFonts w:ascii="Times New Roman" w:eastAsia="Times New Roman" w:hAnsi="Times New Roman"/>
                <w:sz w:val="20"/>
                <w:szCs w:val="20"/>
              </w:rPr>
              <w:t>Line Supervisors of Construction Trades and Extraction Workers</w:t>
            </w:r>
          </w:p>
        </w:tc>
        <w:tc>
          <w:tcPr>
            <w:tcW w:w="673" w:type="pct"/>
            <w:tcBorders>
              <w:top w:val="nil"/>
              <w:left w:val="nil"/>
              <w:bottom w:val="single" w:sz="4" w:space="0" w:color="auto"/>
              <w:right w:val="single" w:sz="4" w:space="0" w:color="auto"/>
            </w:tcBorders>
            <w:vAlign w:val="center"/>
            <w:hideMark/>
          </w:tcPr>
          <w:p w:rsidR="00761031" w:rsidRPr="00173006" w:rsidP="008A04CC" w14:paraId="39726092"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39.11</w:t>
            </w:r>
          </w:p>
        </w:tc>
        <w:tc>
          <w:tcPr>
            <w:tcW w:w="600" w:type="pct"/>
            <w:tcBorders>
              <w:top w:val="nil"/>
              <w:left w:val="nil"/>
              <w:bottom w:val="single" w:sz="4" w:space="0" w:color="auto"/>
              <w:right w:val="single" w:sz="4" w:space="0" w:color="auto"/>
            </w:tcBorders>
            <w:vAlign w:val="center"/>
            <w:hideMark/>
          </w:tcPr>
          <w:p w:rsidR="00761031" w:rsidRPr="00173006" w:rsidP="008A04CC" w14:paraId="73EF9B06" w14:textId="7179774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4A1B3B27"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55.48</w:t>
            </w:r>
          </w:p>
        </w:tc>
      </w:tr>
      <w:tr w14:paraId="4A5BCF86"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04E6AA67"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49-1011</w:t>
            </w:r>
          </w:p>
        </w:tc>
        <w:tc>
          <w:tcPr>
            <w:tcW w:w="2146" w:type="pct"/>
            <w:tcBorders>
              <w:top w:val="nil"/>
              <w:left w:val="nil"/>
              <w:bottom w:val="single" w:sz="4" w:space="0" w:color="auto"/>
              <w:right w:val="single" w:sz="4" w:space="0" w:color="auto"/>
            </w:tcBorders>
            <w:vAlign w:val="center"/>
            <w:hideMark/>
          </w:tcPr>
          <w:p w:rsidR="00761031" w:rsidRPr="00173006" w:rsidP="008A04CC" w14:paraId="2023F621"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First</w:t>
            </w:r>
            <w:r>
              <w:rPr>
                <w:rFonts w:ascii="Times New Roman" w:eastAsia="Times New Roman" w:hAnsi="Times New Roman"/>
                <w:sz w:val="20"/>
                <w:szCs w:val="20"/>
              </w:rPr>
              <w:t xml:space="preserve"> </w:t>
            </w:r>
            <w:r w:rsidRPr="00173006">
              <w:rPr>
                <w:rFonts w:ascii="Times New Roman" w:eastAsia="Times New Roman" w:hAnsi="Times New Roman"/>
                <w:sz w:val="20"/>
                <w:szCs w:val="20"/>
              </w:rPr>
              <w:t>Line Supervisors of Mechanics, Installers, and Repairers</w:t>
            </w:r>
          </w:p>
        </w:tc>
        <w:tc>
          <w:tcPr>
            <w:tcW w:w="673" w:type="pct"/>
            <w:tcBorders>
              <w:top w:val="nil"/>
              <w:left w:val="nil"/>
              <w:bottom w:val="single" w:sz="4" w:space="0" w:color="auto"/>
              <w:right w:val="single" w:sz="4" w:space="0" w:color="auto"/>
            </w:tcBorders>
            <w:vAlign w:val="center"/>
            <w:hideMark/>
          </w:tcPr>
          <w:p w:rsidR="00761031" w:rsidRPr="00173006" w:rsidP="008A04CC" w14:paraId="1EA6191F"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37.99</w:t>
            </w:r>
          </w:p>
        </w:tc>
        <w:tc>
          <w:tcPr>
            <w:tcW w:w="600" w:type="pct"/>
            <w:tcBorders>
              <w:top w:val="nil"/>
              <w:left w:val="nil"/>
              <w:bottom w:val="single" w:sz="4" w:space="0" w:color="auto"/>
              <w:right w:val="single" w:sz="4" w:space="0" w:color="auto"/>
            </w:tcBorders>
            <w:vAlign w:val="center"/>
            <w:hideMark/>
          </w:tcPr>
          <w:p w:rsidR="00761031" w:rsidRPr="00173006" w:rsidP="008A04CC" w14:paraId="651E7886" w14:textId="7B4DFF2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5D02AAB5" w14:textId="77777777">
            <w:pPr>
              <w:spacing w:after="0" w:line="240" w:lineRule="auto"/>
              <w:jc w:val="center"/>
              <w:rPr>
                <w:rFonts w:ascii="Times New Roman" w:eastAsia="Times New Roman" w:hAnsi="Times New Roman"/>
                <w:sz w:val="20"/>
                <w:szCs w:val="20"/>
              </w:rPr>
            </w:pPr>
            <w:r w:rsidRPr="000B2264">
              <w:rPr>
                <w:rFonts w:ascii="Times New Roman" w:eastAsia="Times New Roman" w:hAnsi="Times New Roman"/>
                <w:sz w:val="20"/>
                <w:szCs w:val="20"/>
              </w:rPr>
              <w:t>$</w:t>
            </w:r>
            <w:r>
              <w:rPr>
                <w:rFonts w:ascii="Times New Roman" w:eastAsia="Times New Roman" w:hAnsi="Times New Roman"/>
                <w:sz w:val="20"/>
                <w:szCs w:val="20"/>
              </w:rPr>
              <w:t>53.89</w:t>
            </w:r>
          </w:p>
        </w:tc>
      </w:tr>
      <w:tr w14:paraId="4D4856F5"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3F35257E"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51-1011</w:t>
            </w:r>
          </w:p>
        </w:tc>
        <w:tc>
          <w:tcPr>
            <w:tcW w:w="2146" w:type="pct"/>
            <w:tcBorders>
              <w:top w:val="nil"/>
              <w:left w:val="nil"/>
              <w:bottom w:val="single" w:sz="4" w:space="0" w:color="auto"/>
              <w:right w:val="single" w:sz="4" w:space="0" w:color="auto"/>
            </w:tcBorders>
            <w:vAlign w:val="center"/>
            <w:hideMark/>
          </w:tcPr>
          <w:p w:rsidR="00761031" w:rsidRPr="00173006" w:rsidP="008A04CC" w14:paraId="74EC1622"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First</w:t>
            </w:r>
            <w:r>
              <w:rPr>
                <w:rFonts w:ascii="Times New Roman" w:eastAsia="Times New Roman" w:hAnsi="Times New Roman"/>
                <w:sz w:val="20"/>
                <w:szCs w:val="20"/>
              </w:rPr>
              <w:t xml:space="preserve"> </w:t>
            </w:r>
            <w:r w:rsidRPr="00173006">
              <w:rPr>
                <w:rFonts w:ascii="Times New Roman" w:eastAsia="Times New Roman" w:hAnsi="Times New Roman"/>
                <w:sz w:val="20"/>
                <w:szCs w:val="20"/>
              </w:rPr>
              <w:t>Line Supervisors of Production and Operating Workers</w:t>
            </w:r>
          </w:p>
        </w:tc>
        <w:tc>
          <w:tcPr>
            <w:tcW w:w="673" w:type="pct"/>
            <w:tcBorders>
              <w:top w:val="nil"/>
              <w:left w:val="nil"/>
              <w:bottom w:val="single" w:sz="4" w:space="0" w:color="auto"/>
              <w:right w:val="single" w:sz="4" w:space="0" w:color="auto"/>
            </w:tcBorders>
            <w:vAlign w:val="center"/>
            <w:hideMark/>
          </w:tcPr>
          <w:p w:rsidR="00761031" w:rsidRPr="00173006" w:rsidP="008A04CC" w14:paraId="2019FB82"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34.48</w:t>
            </w:r>
          </w:p>
        </w:tc>
        <w:tc>
          <w:tcPr>
            <w:tcW w:w="600" w:type="pct"/>
            <w:tcBorders>
              <w:top w:val="nil"/>
              <w:left w:val="nil"/>
              <w:bottom w:val="single" w:sz="4" w:space="0" w:color="auto"/>
              <w:right w:val="single" w:sz="4" w:space="0" w:color="auto"/>
            </w:tcBorders>
            <w:vAlign w:val="center"/>
            <w:hideMark/>
          </w:tcPr>
          <w:p w:rsidR="00761031" w:rsidRPr="00173006" w:rsidP="008A04CC" w14:paraId="1FD26619" w14:textId="1E28E5E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65A38593" w14:textId="7777777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$48.91</w:t>
            </w:r>
          </w:p>
        </w:tc>
      </w:tr>
      <w:tr w14:paraId="025E2BC7" w14:textId="77777777" w:rsidTr="00AB7575">
        <w:tblPrEx>
          <w:tblW w:w="4828" w:type="pct"/>
          <w:tblLook w:val="04A0"/>
        </w:tblPrEx>
        <w:trPr>
          <w:trHeight w:val="255"/>
        </w:trPr>
        <w:tc>
          <w:tcPr>
            <w:tcW w:w="2741"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61031" w:rsidRPr="00173006" w:rsidP="008A04CC" w14:paraId="37FF422F" w14:textId="77777777">
            <w:pPr>
              <w:spacing w:after="0" w:line="240" w:lineRule="auto"/>
              <w:rPr>
                <w:rFonts w:ascii="Times New Roman" w:eastAsia="Times New Roman" w:hAnsi="Times New Roman"/>
                <w:b/>
                <w:bCs/>
                <w:sz w:val="20"/>
                <w:szCs w:val="20"/>
              </w:rPr>
            </w:pPr>
            <w:r w:rsidRPr="00173006">
              <w:rPr>
                <w:rFonts w:ascii="Times New Roman" w:eastAsia="Times New Roman" w:hAnsi="Times New Roman"/>
                <w:b/>
                <w:bCs/>
                <w:sz w:val="20"/>
                <w:szCs w:val="20"/>
              </w:rPr>
              <w:t>Clerical Wage Rate (per hour) - CLWAGE</w:t>
            </w:r>
          </w:p>
        </w:tc>
        <w:tc>
          <w:tcPr>
            <w:tcW w:w="673" w:type="pct"/>
            <w:tcBorders>
              <w:top w:val="nil"/>
              <w:left w:val="nil"/>
              <w:bottom w:val="single" w:sz="4" w:space="0" w:color="auto"/>
              <w:right w:val="single" w:sz="4" w:space="0" w:color="auto"/>
            </w:tcBorders>
            <w:shd w:val="clear" w:color="auto" w:fill="C5E0B3" w:themeFill="accent6" w:themeFillTint="66"/>
            <w:vAlign w:val="center"/>
            <w:hideMark/>
          </w:tcPr>
          <w:p w:rsidR="00761031" w:rsidRPr="00173006" w:rsidP="008A04CC" w14:paraId="569AC955" w14:textId="77777777">
            <w:pPr>
              <w:spacing w:after="0" w:line="240" w:lineRule="auto"/>
              <w:jc w:val="center"/>
              <w:rPr>
                <w:rFonts w:ascii="Times New Roman" w:eastAsia="Times New Roman" w:hAnsi="Times New Roman"/>
                <w:b/>
                <w:bCs/>
                <w:sz w:val="20"/>
                <w:szCs w:val="20"/>
              </w:rPr>
            </w:pPr>
          </w:p>
        </w:tc>
        <w:tc>
          <w:tcPr>
            <w:tcW w:w="600" w:type="pct"/>
            <w:tcBorders>
              <w:top w:val="nil"/>
              <w:left w:val="nil"/>
              <w:bottom w:val="single" w:sz="4" w:space="0" w:color="auto"/>
              <w:right w:val="single" w:sz="4" w:space="0" w:color="auto"/>
            </w:tcBorders>
            <w:shd w:val="clear" w:color="auto" w:fill="C5E0B3" w:themeFill="accent6" w:themeFillTint="66"/>
            <w:vAlign w:val="center"/>
            <w:hideMark/>
          </w:tcPr>
          <w:p w:rsidR="00761031" w:rsidRPr="00173006" w:rsidP="008A04CC" w14:paraId="0B2AADEE" w14:textId="77777777">
            <w:pPr>
              <w:spacing w:after="0" w:line="240" w:lineRule="auto"/>
              <w:jc w:val="center"/>
              <w:rPr>
                <w:rFonts w:ascii="Times New Roman" w:eastAsia="Times New Roman" w:hAnsi="Times New Roman"/>
                <w:b/>
                <w:bCs/>
                <w:sz w:val="20"/>
                <w:szCs w:val="20"/>
              </w:rPr>
            </w:pPr>
          </w:p>
        </w:tc>
        <w:tc>
          <w:tcPr>
            <w:tcW w:w="986" w:type="pct"/>
            <w:tcBorders>
              <w:top w:val="nil"/>
              <w:left w:val="nil"/>
              <w:bottom w:val="single" w:sz="4" w:space="0" w:color="auto"/>
              <w:right w:val="single" w:sz="4" w:space="0" w:color="auto"/>
            </w:tcBorders>
            <w:shd w:val="clear" w:color="auto" w:fill="C5E0B3" w:themeFill="accent6" w:themeFillTint="66"/>
            <w:vAlign w:val="center"/>
            <w:hideMark/>
          </w:tcPr>
          <w:p w:rsidR="00761031" w:rsidRPr="00173006" w:rsidP="008A04CC" w14:paraId="7F5F3416" w14:textId="77777777">
            <w:pPr>
              <w:spacing w:after="0" w:line="240" w:lineRule="auto"/>
              <w:jc w:val="center"/>
              <w:rPr>
                <w:rFonts w:ascii="Times New Roman" w:eastAsia="Times New Roman" w:hAnsi="Times New Roman"/>
                <w:b/>
                <w:bCs/>
                <w:sz w:val="20"/>
                <w:szCs w:val="20"/>
              </w:rPr>
            </w:pPr>
            <w:r w:rsidRPr="00FB3FA9">
              <w:rPr>
                <w:rFonts w:ascii="Times New Roman" w:eastAsia="Times New Roman" w:hAnsi="Times New Roman"/>
                <w:b/>
                <w:bCs/>
                <w:sz w:val="20"/>
                <w:szCs w:val="20"/>
              </w:rPr>
              <w:t>$</w:t>
            </w:r>
            <w:r>
              <w:rPr>
                <w:rFonts w:ascii="Times New Roman" w:eastAsia="Times New Roman" w:hAnsi="Times New Roman"/>
                <w:b/>
                <w:bCs/>
                <w:sz w:val="20"/>
                <w:szCs w:val="20"/>
              </w:rPr>
              <w:t>31.02</w:t>
            </w:r>
            <w:r w:rsidRPr="00FB3FA9">
              <w:rPr>
                <w:rFonts w:ascii="Times New Roman" w:eastAsia="Times New Roman" w:hAnsi="Times New Roman"/>
                <w:b/>
                <w:bCs/>
                <w:sz w:val="20"/>
                <w:szCs w:val="20"/>
              </w:rPr>
              <w:t xml:space="preserve"> </w:t>
            </w:r>
            <w:r w:rsidRPr="00FB3FA9">
              <w:rPr>
                <w:rFonts w:ascii="Times New Roman" w:eastAsia="Times New Roman" w:hAnsi="Times New Roman"/>
                <w:bCs/>
                <w:i/>
                <w:sz w:val="20"/>
                <w:szCs w:val="20"/>
              </w:rPr>
              <w:t>(Average)</w:t>
            </w:r>
          </w:p>
        </w:tc>
      </w:tr>
      <w:tr w14:paraId="6A309277"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71C22777"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43-6014</w:t>
            </w:r>
          </w:p>
        </w:tc>
        <w:tc>
          <w:tcPr>
            <w:tcW w:w="2146" w:type="pct"/>
            <w:tcBorders>
              <w:top w:val="nil"/>
              <w:left w:val="nil"/>
              <w:bottom w:val="single" w:sz="4" w:space="0" w:color="auto"/>
              <w:right w:val="single" w:sz="4" w:space="0" w:color="auto"/>
            </w:tcBorders>
            <w:vAlign w:val="center"/>
            <w:hideMark/>
          </w:tcPr>
          <w:p w:rsidR="00761031" w:rsidRPr="00173006" w:rsidP="008A04CC" w14:paraId="4070E696" w14:textId="77777777">
            <w:pPr>
              <w:spacing w:after="0" w:line="240" w:lineRule="auto"/>
              <w:rPr>
                <w:rFonts w:ascii="Times New Roman" w:eastAsia="Times New Roman" w:hAnsi="Times New Roman"/>
                <w:sz w:val="20"/>
                <w:szCs w:val="20"/>
              </w:rPr>
            </w:pPr>
            <w:r>
              <w:rPr>
                <w:rFonts w:ascii="Times New Roman" w:eastAsia="Times New Roman" w:hAnsi="Times New Roman"/>
                <w:sz w:val="20"/>
                <w:szCs w:val="20"/>
              </w:rPr>
              <w:t>Secretaries and Administrative Assistants, Except Legal, Medical, and Executive (</w:t>
            </w:r>
            <w:r w:rsidRPr="00B92220">
              <w:rPr>
                <w:rFonts w:ascii="Times New Roman" w:eastAsia="Times New Roman" w:hAnsi="Times New Roman"/>
                <w:i/>
                <w:iCs/>
                <w:sz w:val="20"/>
                <w:szCs w:val="20"/>
              </w:rPr>
              <w:t>Clerical/Secretary</w:t>
            </w:r>
            <w:r>
              <w:rPr>
                <w:rFonts w:ascii="Times New Roman" w:eastAsia="Times New Roman" w:hAnsi="Times New Roman"/>
                <w:sz w:val="20"/>
                <w:szCs w:val="20"/>
              </w:rPr>
              <w:t>)</w:t>
            </w:r>
          </w:p>
        </w:tc>
        <w:tc>
          <w:tcPr>
            <w:tcW w:w="673" w:type="pct"/>
            <w:tcBorders>
              <w:top w:val="nil"/>
              <w:left w:val="nil"/>
              <w:bottom w:val="single" w:sz="4" w:space="0" w:color="auto"/>
              <w:right w:val="single" w:sz="4" w:space="0" w:color="auto"/>
            </w:tcBorders>
            <w:vAlign w:val="center"/>
            <w:hideMark/>
          </w:tcPr>
          <w:p w:rsidR="00761031" w:rsidRPr="00173006" w:rsidP="008A04CC" w14:paraId="464AD7B1" w14:textId="77777777">
            <w:pPr>
              <w:spacing w:after="0" w:line="240" w:lineRule="auto"/>
              <w:jc w:val="center"/>
              <w:rPr>
                <w:rFonts w:ascii="Times New Roman" w:eastAsia="Times New Roman" w:hAnsi="Times New Roman"/>
                <w:sz w:val="20"/>
                <w:szCs w:val="20"/>
              </w:rPr>
            </w:pPr>
            <w:r w:rsidRPr="00173006">
              <w:rPr>
                <w:rFonts w:ascii="Times New Roman" w:eastAsia="Times New Roman" w:hAnsi="Times New Roman"/>
                <w:sz w:val="20"/>
                <w:szCs w:val="20"/>
              </w:rPr>
              <w:t>$</w:t>
            </w:r>
            <w:r>
              <w:rPr>
                <w:rFonts w:ascii="Times New Roman" w:eastAsia="Times New Roman" w:hAnsi="Times New Roman"/>
                <w:sz w:val="20"/>
                <w:szCs w:val="20"/>
              </w:rPr>
              <w:t>21.87</w:t>
            </w:r>
          </w:p>
        </w:tc>
        <w:tc>
          <w:tcPr>
            <w:tcW w:w="600" w:type="pct"/>
            <w:tcBorders>
              <w:top w:val="nil"/>
              <w:left w:val="nil"/>
              <w:bottom w:val="single" w:sz="4" w:space="0" w:color="auto"/>
              <w:right w:val="single" w:sz="4" w:space="0" w:color="auto"/>
            </w:tcBorders>
            <w:vAlign w:val="center"/>
            <w:hideMark/>
          </w:tcPr>
          <w:p w:rsidR="00761031" w:rsidRPr="00173006" w:rsidP="008A04CC" w14:paraId="40417AEA" w14:textId="23986FD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2B154624" w14:textId="77777777">
            <w:pPr>
              <w:spacing w:after="0" w:line="240" w:lineRule="auto"/>
              <w:jc w:val="center"/>
              <w:rPr>
                <w:rFonts w:ascii="Times New Roman" w:eastAsia="Times New Roman" w:hAnsi="Times New Roman"/>
                <w:sz w:val="20"/>
                <w:szCs w:val="20"/>
              </w:rPr>
            </w:pPr>
            <w:r w:rsidRPr="00173006">
              <w:rPr>
                <w:rFonts w:ascii="Times New Roman" w:eastAsia="Times New Roman" w:hAnsi="Times New Roman"/>
                <w:sz w:val="20"/>
                <w:szCs w:val="20"/>
              </w:rPr>
              <w:t>$</w:t>
            </w:r>
            <w:r>
              <w:rPr>
                <w:rFonts w:ascii="Times New Roman" w:eastAsia="Times New Roman" w:hAnsi="Times New Roman"/>
                <w:sz w:val="20"/>
                <w:szCs w:val="20"/>
              </w:rPr>
              <w:t>31.02</w:t>
            </w:r>
          </w:p>
        </w:tc>
      </w:tr>
      <w:tr w14:paraId="33E101E8" w14:textId="77777777" w:rsidTr="00AB7575">
        <w:tblPrEx>
          <w:tblW w:w="4828" w:type="pct"/>
          <w:tblLook w:val="04A0"/>
        </w:tblPrEx>
        <w:trPr>
          <w:trHeight w:val="255"/>
        </w:trPr>
        <w:tc>
          <w:tcPr>
            <w:tcW w:w="2741"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61031" w:rsidRPr="00173006" w:rsidP="008A04CC" w14:paraId="09BA439D" w14:textId="723B297A">
            <w:pPr>
              <w:spacing w:after="0" w:line="240" w:lineRule="auto"/>
              <w:rPr>
                <w:rFonts w:ascii="Times New Roman" w:eastAsia="Times New Roman" w:hAnsi="Times New Roman"/>
                <w:b/>
                <w:bCs/>
                <w:sz w:val="20"/>
                <w:szCs w:val="20"/>
              </w:rPr>
            </w:pPr>
            <w:r w:rsidRPr="00173006">
              <w:rPr>
                <w:rFonts w:ascii="Times New Roman" w:eastAsia="Times New Roman" w:hAnsi="Times New Roman"/>
                <w:b/>
                <w:bCs/>
                <w:sz w:val="20"/>
                <w:szCs w:val="20"/>
              </w:rPr>
              <w:t xml:space="preserve">Non-Supervisory Wage Rate (per hour) </w:t>
            </w:r>
            <w:r w:rsidR="0008248A">
              <w:rPr>
                <w:rFonts w:ascii="Times New Roman" w:eastAsia="Times New Roman" w:hAnsi="Times New Roman"/>
                <w:b/>
                <w:bCs/>
                <w:sz w:val="20"/>
                <w:szCs w:val="20"/>
              </w:rPr>
              <w:t>–</w:t>
            </w:r>
            <w:r w:rsidRPr="00173006">
              <w:rPr>
                <w:rFonts w:ascii="Times New Roman" w:eastAsia="Times New Roman" w:hAnsi="Times New Roman"/>
                <w:b/>
                <w:bCs/>
                <w:sz w:val="20"/>
                <w:szCs w:val="20"/>
              </w:rPr>
              <w:t xml:space="preserve"> NONSUPEWAGE</w:t>
            </w:r>
          </w:p>
        </w:tc>
        <w:tc>
          <w:tcPr>
            <w:tcW w:w="673" w:type="pct"/>
            <w:tcBorders>
              <w:top w:val="nil"/>
              <w:left w:val="nil"/>
              <w:bottom w:val="single" w:sz="4" w:space="0" w:color="auto"/>
              <w:right w:val="single" w:sz="4" w:space="0" w:color="auto"/>
            </w:tcBorders>
            <w:shd w:val="clear" w:color="auto" w:fill="C5E0B3" w:themeFill="accent6" w:themeFillTint="66"/>
            <w:vAlign w:val="center"/>
            <w:hideMark/>
          </w:tcPr>
          <w:p w:rsidR="00761031" w:rsidRPr="00173006" w:rsidP="008A04CC" w14:paraId="49C08E10" w14:textId="77777777">
            <w:pPr>
              <w:spacing w:after="0" w:line="240" w:lineRule="auto"/>
              <w:jc w:val="center"/>
              <w:rPr>
                <w:rFonts w:ascii="Times New Roman" w:eastAsia="Times New Roman" w:hAnsi="Times New Roman"/>
                <w:b/>
                <w:bCs/>
                <w:sz w:val="20"/>
                <w:szCs w:val="20"/>
              </w:rPr>
            </w:pPr>
          </w:p>
        </w:tc>
        <w:tc>
          <w:tcPr>
            <w:tcW w:w="600" w:type="pct"/>
            <w:tcBorders>
              <w:top w:val="nil"/>
              <w:left w:val="nil"/>
              <w:bottom w:val="single" w:sz="4" w:space="0" w:color="auto"/>
              <w:right w:val="single" w:sz="4" w:space="0" w:color="auto"/>
            </w:tcBorders>
            <w:shd w:val="clear" w:color="auto" w:fill="C5E0B3" w:themeFill="accent6" w:themeFillTint="66"/>
            <w:vAlign w:val="center"/>
            <w:hideMark/>
          </w:tcPr>
          <w:p w:rsidR="00761031" w:rsidRPr="00173006" w:rsidP="008A04CC" w14:paraId="7B16E635" w14:textId="77777777">
            <w:pPr>
              <w:spacing w:after="0" w:line="240" w:lineRule="auto"/>
              <w:jc w:val="center"/>
              <w:rPr>
                <w:rFonts w:ascii="Times New Roman" w:eastAsia="Times New Roman" w:hAnsi="Times New Roman"/>
                <w:b/>
                <w:bCs/>
                <w:sz w:val="20"/>
                <w:szCs w:val="20"/>
              </w:rPr>
            </w:pPr>
          </w:p>
        </w:tc>
        <w:tc>
          <w:tcPr>
            <w:tcW w:w="986" w:type="pct"/>
            <w:tcBorders>
              <w:top w:val="nil"/>
              <w:left w:val="nil"/>
              <w:bottom w:val="single" w:sz="4" w:space="0" w:color="auto"/>
              <w:right w:val="single" w:sz="4" w:space="0" w:color="auto"/>
            </w:tcBorders>
            <w:shd w:val="clear" w:color="auto" w:fill="C5E0B3" w:themeFill="accent6" w:themeFillTint="66"/>
            <w:vAlign w:val="center"/>
            <w:hideMark/>
          </w:tcPr>
          <w:p w:rsidR="00761031" w:rsidRPr="00173006" w:rsidP="008A04CC" w14:paraId="388A7CC2" w14:textId="77777777">
            <w:pPr>
              <w:spacing w:after="0" w:line="240" w:lineRule="auto"/>
              <w:jc w:val="center"/>
              <w:rPr>
                <w:rFonts w:ascii="Times New Roman" w:eastAsia="Times New Roman" w:hAnsi="Times New Roman"/>
                <w:b/>
                <w:bCs/>
                <w:sz w:val="20"/>
                <w:szCs w:val="20"/>
              </w:rPr>
            </w:pPr>
            <w:r w:rsidRPr="0039461D">
              <w:rPr>
                <w:rFonts w:ascii="Times New Roman" w:eastAsia="Times New Roman" w:hAnsi="Times New Roman"/>
                <w:b/>
                <w:bCs/>
                <w:sz w:val="20"/>
                <w:szCs w:val="20"/>
              </w:rPr>
              <w:t>$</w:t>
            </w:r>
            <w:r w:rsidRPr="00B92220">
              <w:rPr>
                <w:rFonts w:ascii="Times New Roman" w:eastAsia="Times New Roman" w:hAnsi="Times New Roman"/>
                <w:b/>
                <w:bCs/>
                <w:sz w:val="20"/>
                <w:szCs w:val="20"/>
              </w:rPr>
              <w:t>37.27</w:t>
            </w:r>
            <w:r w:rsidRPr="0039461D">
              <w:rPr>
                <w:rFonts w:ascii="Times New Roman" w:eastAsia="Times New Roman" w:hAnsi="Times New Roman"/>
                <w:b/>
                <w:bCs/>
                <w:sz w:val="20"/>
                <w:szCs w:val="20"/>
              </w:rPr>
              <w:t xml:space="preserve"> </w:t>
            </w:r>
            <w:r w:rsidRPr="0039461D">
              <w:rPr>
                <w:rFonts w:ascii="Times New Roman" w:eastAsia="Times New Roman" w:hAnsi="Times New Roman"/>
                <w:bCs/>
                <w:i/>
                <w:sz w:val="20"/>
                <w:szCs w:val="20"/>
              </w:rPr>
              <w:t>(Average)</w:t>
            </w:r>
          </w:p>
        </w:tc>
      </w:tr>
      <w:tr w14:paraId="1F022BEE"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5A12FC8B" w14:textId="77777777">
            <w:pPr>
              <w:spacing w:after="0" w:line="240" w:lineRule="auto"/>
              <w:rPr>
                <w:rFonts w:ascii="Times New Roman" w:eastAsia="Times New Roman" w:hAnsi="Times New Roman"/>
                <w:sz w:val="20"/>
                <w:szCs w:val="20"/>
              </w:rPr>
            </w:pPr>
            <w:r w:rsidRPr="00075A30">
              <w:rPr>
                <w:rFonts w:ascii="Times New Roman" w:eastAsia="Times New Roman" w:hAnsi="Times New Roman"/>
                <w:sz w:val="20"/>
                <w:szCs w:val="20"/>
              </w:rPr>
              <w:t>17-2070</w:t>
            </w:r>
          </w:p>
        </w:tc>
        <w:tc>
          <w:tcPr>
            <w:tcW w:w="2146" w:type="pct"/>
            <w:tcBorders>
              <w:top w:val="nil"/>
              <w:left w:val="nil"/>
              <w:bottom w:val="single" w:sz="4" w:space="0" w:color="auto"/>
              <w:right w:val="single" w:sz="4" w:space="0" w:color="auto"/>
            </w:tcBorders>
            <w:vAlign w:val="center"/>
            <w:hideMark/>
          </w:tcPr>
          <w:p w:rsidR="00761031" w:rsidRPr="00173006" w:rsidP="008A04CC" w14:paraId="256F437A"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Electrical and Electronics Engineers</w:t>
            </w:r>
          </w:p>
        </w:tc>
        <w:tc>
          <w:tcPr>
            <w:tcW w:w="673" w:type="pct"/>
            <w:tcBorders>
              <w:top w:val="nil"/>
              <w:left w:val="nil"/>
              <w:bottom w:val="single" w:sz="4" w:space="0" w:color="auto"/>
              <w:right w:val="single" w:sz="4" w:space="0" w:color="auto"/>
            </w:tcBorders>
            <w:vAlign w:val="center"/>
            <w:hideMark/>
          </w:tcPr>
          <w:p w:rsidR="00761031" w:rsidRPr="00173006" w:rsidP="008A04CC" w14:paraId="387C7723"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57.65</w:t>
            </w:r>
          </w:p>
        </w:tc>
        <w:tc>
          <w:tcPr>
            <w:tcW w:w="600" w:type="pct"/>
            <w:tcBorders>
              <w:top w:val="nil"/>
              <w:left w:val="nil"/>
              <w:bottom w:val="single" w:sz="4" w:space="0" w:color="auto"/>
              <w:right w:val="single" w:sz="4" w:space="0" w:color="auto"/>
            </w:tcBorders>
            <w:vAlign w:val="center"/>
            <w:hideMark/>
          </w:tcPr>
          <w:p w:rsidR="00761031" w:rsidRPr="00173006" w:rsidP="008A04CC" w14:paraId="19F34F10" w14:textId="507BB0D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262CC805"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81.77</w:t>
            </w:r>
          </w:p>
        </w:tc>
      </w:tr>
      <w:tr w14:paraId="172D24BC"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315C0135" w14:textId="77777777">
            <w:pPr>
              <w:spacing w:after="0" w:line="240" w:lineRule="auto"/>
              <w:rPr>
                <w:rFonts w:ascii="Times New Roman" w:eastAsia="Times New Roman" w:hAnsi="Times New Roman"/>
                <w:sz w:val="20"/>
                <w:szCs w:val="20"/>
              </w:rPr>
            </w:pPr>
            <w:r w:rsidRPr="00075A30">
              <w:rPr>
                <w:rFonts w:ascii="Times New Roman" w:eastAsia="Times New Roman" w:hAnsi="Times New Roman"/>
                <w:sz w:val="20"/>
                <w:szCs w:val="20"/>
              </w:rPr>
              <w:t>47-2000</w:t>
            </w:r>
          </w:p>
        </w:tc>
        <w:tc>
          <w:tcPr>
            <w:tcW w:w="2146" w:type="pct"/>
            <w:tcBorders>
              <w:top w:val="nil"/>
              <w:left w:val="nil"/>
              <w:bottom w:val="single" w:sz="4" w:space="0" w:color="auto"/>
              <w:right w:val="single" w:sz="4" w:space="0" w:color="auto"/>
            </w:tcBorders>
            <w:vAlign w:val="center"/>
            <w:hideMark/>
          </w:tcPr>
          <w:p w:rsidR="00761031" w:rsidRPr="00173006" w:rsidP="008A04CC" w14:paraId="31A72D7D"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Construction Trades Workers</w:t>
            </w:r>
          </w:p>
        </w:tc>
        <w:tc>
          <w:tcPr>
            <w:tcW w:w="673" w:type="pct"/>
            <w:tcBorders>
              <w:top w:val="nil"/>
              <w:left w:val="nil"/>
              <w:bottom w:val="single" w:sz="4" w:space="0" w:color="auto"/>
              <w:right w:val="single" w:sz="4" w:space="0" w:color="auto"/>
            </w:tcBorders>
            <w:vAlign w:val="center"/>
            <w:hideMark/>
          </w:tcPr>
          <w:p w:rsidR="00761031" w:rsidRPr="00173006" w:rsidP="008A04CC" w14:paraId="7588E914"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28.53</w:t>
            </w:r>
          </w:p>
        </w:tc>
        <w:tc>
          <w:tcPr>
            <w:tcW w:w="600" w:type="pct"/>
            <w:tcBorders>
              <w:top w:val="nil"/>
              <w:left w:val="nil"/>
              <w:bottom w:val="single" w:sz="4" w:space="0" w:color="auto"/>
              <w:right w:val="single" w:sz="4" w:space="0" w:color="auto"/>
            </w:tcBorders>
            <w:vAlign w:val="center"/>
            <w:hideMark/>
          </w:tcPr>
          <w:p w:rsidR="00761031" w:rsidRPr="00173006" w:rsidP="008A04CC" w14:paraId="206287D9" w14:textId="59554C3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7F0252BD"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40.47</w:t>
            </w:r>
          </w:p>
        </w:tc>
      </w:tr>
      <w:tr w14:paraId="1B48A3F0"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39E6EE61" w14:textId="77777777">
            <w:pPr>
              <w:spacing w:after="0" w:line="240" w:lineRule="auto"/>
              <w:rPr>
                <w:rFonts w:ascii="Times New Roman" w:eastAsia="Times New Roman" w:hAnsi="Times New Roman"/>
                <w:sz w:val="20"/>
                <w:szCs w:val="20"/>
              </w:rPr>
            </w:pPr>
            <w:r w:rsidRPr="00DF43B0">
              <w:rPr>
                <w:rFonts w:ascii="Times New Roman" w:eastAsia="Times New Roman" w:hAnsi="Times New Roman"/>
                <w:sz w:val="20"/>
                <w:szCs w:val="20"/>
              </w:rPr>
              <w:t>47-3010</w:t>
            </w:r>
          </w:p>
        </w:tc>
        <w:tc>
          <w:tcPr>
            <w:tcW w:w="2146" w:type="pct"/>
            <w:tcBorders>
              <w:top w:val="nil"/>
              <w:left w:val="nil"/>
              <w:bottom w:val="single" w:sz="4" w:space="0" w:color="auto"/>
              <w:right w:val="single" w:sz="4" w:space="0" w:color="auto"/>
            </w:tcBorders>
            <w:vAlign w:val="center"/>
            <w:hideMark/>
          </w:tcPr>
          <w:p w:rsidR="00761031" w:rsidRPr="00173006" w:rsidP="008A04CC" w14:paraId="6B53CDE9"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Helpers, Construction Trades</w:t>
            </w:r>
          </w:p>
        </w:tc>
        <w:tc>
          <w:tcPr>
            <w:tcW w:w="673" w:type="pct"/>
            <w:tcBorders>
              <w:top w:val="nil"/>
              <w:left w:val="nil"/>
              <w:bottom w:val="single" w:sz="4" w:space="0" w:color="auto"/>
              <w:right w:val="single" w:sz="4" w:space="0" w:color="auto"/>
            </w:tcBorders>
            <w:vAlign w:val="center"/>
            <w:hideMark/>
          </w:tcPr>
          <w:p w:rsidR="00761031" w:rsidRPr="00173006" w:rsidP="008A04CC" w14:paraId="090F5936"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19.87</w:t>
            </w:r>
          </w:p>
        </w:tc>
        <w:tc>
          <w:tcPr>
            <w:tcW w:w="600" w:type="pct"/>
            <w:tcBorders>
              <w:top w:val="nil"/>
              <w:left w:val="nil"/>
              <w:bottom w:val="single" w:sz="4" w:space="0" w:color="auto"/>
              <w:right w:val="single" w:sz="4" w:space="0" w:color="auto"/>
            </w:tcBorders>
            <w:vAlign w:val="center"/>
            <w:hideMark/>
          </w:tcPr>
          <w:p w:rsidR="00761031" w:rsidRPr="00173006" w:rsidP="008A04CC" w14:paraId="2CDE1FF2" w14:textId="125EB40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607C4AA6"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28.18</w:t>
            </w:r>
          </w:p>
        </w:tc>
      </w:tr>
      <w:tr w14:paraId="706F67EB"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4CC5FBAA"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49-9045</w:t>
            </w:r>
          </w:p>
        </w:tc>
        <w:tc>
          <w:tcPr>
            <w:tcW w:w="2146" w:type="pct"/>
            <w:tcBorders>
              <w:top w:val="nil"/>
              <w:left w:val="nil"/>
              <w:bottom w:val="single" w:sz="4" w:space="0" w:color="auto"/>
              <w:right w:val="single" w:sz="4" w:space="0" w:color="auto"/>
            </w:tcBorders>
            <w:vAlign w:val="center"/>
            <w:hideMark/>
          </w:tcPr>
          <w:p w:rsidR="00761031" w:rsidRPr="00173006" w:rsidP="008A04CC" w14:paraId="62547B8D"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Refractory Materials Repairers, Except Brick masons</w:t>
            </w:r>
          </w:p>
        </w:tc>
        <w:tc>
          <w:tcPr>
            <w:tcW w:w="673" w:type="pct"/>
            <w:tcBorders>
              <w:top w:val="nil"/>
              <w:left w:val="nil"/>
              <w:bottom w:val="single" w:sz="4" w:space="0" w:color="auto"/>
              <w:right w:val="single" w:sz="4" w:space="0" w:color="auto"/>
            </w:tcBorders>
            <w:vAlign w:val="center"/>
            <w:hideMark/>
          </w:tcPr>
          <w:p w:rsidR="00761031" w:rsidRPr="00173006" w:rsidP="008A04CC" w14:paraId="5E14C569"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23.99</w:t>
            </w:r>
          </w:p>
        </w:tc>
        <w:tc>
          <w:tcPr>
            <w:tcW w:w="600" w:type="pct"/>
            <w:tcBorders>
              <w:top w:val="nil"/>
              <w:left w:val="nil"/>
              <w:bottom w:val="single" w:sz="4" w:space="0" w:color="auto"/>
              <w:right w:val="single" w:sz="4" w:space="0" w:color="auto"/>
            </w:tcBorders>
            <w:vAlign w:val="center"/>
            <w:hideMark/>
          </w:tcPr>
          <w:p w:rsidR="00761031" w:rsidRPr="00173006" w:rsidP="008A04CC" w14:paraId="5DE62A47" w14:textId="20F587A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61F0DD87"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34.03</w:t>
            </w:r>
          </w:p>
        </w:tc>
      </w:tr>
      <w:tr w14:paraId="718DB837"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7CF2A771" w14:textId="77777777">
            <w:pPr>
              <w:spacing w:after="0" w:line="240" w:lineRule="auto"/>
              <w:rPr>
                <w:rFonts w:ascii="Times New Roman" w:eastAsia="Times New Roman" w:hAnsi="Times New Roman"/>
                <w:sz w:val="20"/>
                <w:szCs w:val="20"/>
              </w:rPr>
            </w:pPr>
            <w:r w:rsidRPr="00075A30">
              <w:rPr>
                <w:rFonts w:ascii="Times New Roman" w:eastAsia="Times New Roman" w:hAnsi="Times New Roman"/>
                <w:sz w:val="20"/>
                <w:szCs w:val="20"/>
              </w:rPr>
              <w:t>51-4000</w:t>
            </w:r>
          </w:p>
        </w:tc>
        <w:tc>
          <w:tcPr>
            <w:tcW w:w="2146" w:type="pct"/>
            <w:tcBorders>
              <w:top w:val="nil"/>
              <w:left w:val="nil"/>
              <w:bottom w:val="single" w:sz="4" w:space="0" w:color="auto"/>
              <w:right w:val="single" w:sz="4" w:space="0" w:color="auto"/>
            </w:tcBorders>
            <w:vAlign w:val="center"/>
            <w:hideMark/>
          </w:tcPr>
          <w:p w:rsidR="00761031" w:rsidRPr="00173006" w:rsidP="008A04CC" w14:paraId="040E8AAC"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Metal Workers and Plastic Workers</w:t>
            </w:r>
          </w:p>
        </w:tc>
        <w:tc>
          <w:tcPr>
            <w:tcW w:w="673" w:type="pct"/>
            <w:tcBorders>
              <w:top w:val="nil"/>
              <w:left w:val="nil"/>
              <w:bottom w:val="single" w:sz="4" w:space="0" w:color="auto"/>
              <w:right w:val="single" w:sz="4" w:space="0" w:color="auto"/>
            </w:tcBorders>
            <w:vAlign w:val="center"/>
            <w:hideMark/>
          </w:tcPr>
          <w:p w:rsidR="00761031" w:rsidRPr="00173006" w:rsidP="008A04CC" w14:paraId="3CEA9C43"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23.73</w:t>
            </w:r>
          </w:p>
        </w:tc>
        <w:tc>
          <w:tcPr>
            <w:tcW w:w="600" w:type="pct"/>
            <w:tcBorders>
              <w:top w:val="nil"/>
              <w:left w:val="nil"/>
              <w:bottom w:val="single" w:sz="4" w:space="0" w:color="auto"/>
              <w:right w:val="single" w:sz="4" w:space="0" w:color="auto"/>
            </w:tcBorders>
            <w:vAlign w:val="center"/>
            <w:hideMark/>
          </w:tcPr>
          <w:p w:rsidR="00761031" w:rsidRPr="00173006" w:rsidP="008A04CC" w14:paraId="0F797D86" w14:textId="4E8388E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42D14696"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33.66</w:t>
            </w:r>
          </w:p>
        </w:tc>
      </w:tr>
      <w:tr w14:paraId="41689510"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64E0FA02"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51-5110</w:t>
            </w:r>
          </w:p>
        </w:tc>
        <w:tc>
          <w:tcPr>
            <w:tcW w:w="2146" w:type="pct"/>
            <w:tcBorders>
              <w:top w:val="nil"/>
              <w:left w:val="nil"/>
              <w:bottom w:val="single" w:sz="4" w:space="0" w:color="auto"/>
              <w:right w:val="single" w:sz="4" w:space="0" w:color="auto"/>
            </w:tcBorders>
            <w:vAlign w:val="center"/>
            <w:hideMark/>
          </w:tcPr>
          <w:p w:rsidR="00761031" w:rsidRPr="00173006" w:rsidP="008A04CC" w14:paraId="25E40B73"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Printing Workers</w:t>
            </w:r>
          </w:p>
        </w:tc>
        <w:tc>
          <w:tcPr>
            <w:tcW w:w="673" w:type="pct"/>
            <w:tcBorders>
              <w:top w:val="nil"/>
              <w:left w:val="nil"/>
              <w:bottom w:val="single" w:sz="4" w:space="0" w:color="auto"/>
              <w:right w:val="single" w:sz="4" w:space="0" w:color="auto"/>
            </w:tcBorders>
            <w:vAlign w:val="center"/>
            <w:hideMark/>
          </w:tcPr>
          <w:p w:rsidR="00761031" w:rsidRPr="00173006" w:rsidP="008A04CC" w14:paraId="389803C2"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21.17</w:t>
            </w:r>
          </w:p>
        </w:tc>
        <w:tc>
          <w:tcPr>
            <w:tcW w:w="600" w:type="pct"/>
            <w:tcBorders>
              <w:top w:val="nil"/>
              <w:left w:val="nil"/>
              <w:bottom w:val="single" w:sz="4" w:space="0" w:color="auto"/>
              <w:right w:val="single" w:sz="4" w:space="0" w:color="auto"/>
            </w:tcBorders>
            <w:vAlign w:val="center"/>
            <w:hideMark/>
          </w:tcPr>
          <w:p w:rsidR="00761031" w:rsidRPr="00173006" w:rsidP="008A04CC" w14:paraId="3AD5002B" w14:textId="3A28AE0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18745188"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30.03</w:t>
            </w:r>
          </w:p>
        </w:tc>
      </w:tr>
      <w:tr w14:paraId="1FB97EDC"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642B6BAA"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51-6061</w:t>
            </w:r>
          </w:p>
        </w:tc>
        <w:tc>
          <w:tcPr>
            <w:tcW w:w="2146" w:type="pct"/>
            <w:tcBorders>
              <w:top w:val="nil"/>
              <w:left w:val="nil"/>
              <w:bottom w:val="single" w:sz="4" w:space="0" w:color="auto"/>
              <w:right w:val="single" w:sz="4" w:space="0" w:color="auto"/>
            </w:tcBorders>
            <w:vAlign w:val="center"/>
            <w:hideMark/>
          </w:tcPr>
          <w:p w:rsidR="00761031" w:rsidRPr="00173006" w:rsidP="008A04CC" w14:paraId="70CE4554"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Textile Bleaching and Dyeing Machine Operators and Tenders</w:t>
            </w:r>
          </w:p>
        </w:tc>
        <w:tc>
          <w:tcPr>
            <w:tcW w:w="673" w:type="pct"/>
            <w:tcBorders>
              <w:top w:val="nil"/>
              <w:left w:val="nil"/>
              <w:bottom w:val="single" w:sz="4" w:space="0" w:color="auto"/>
              <w:right w:val="single" w:sz="4" w:space="0" w:color="auto"/>
            </w:tcBorders>
            <w:vAlign w:val="center"/>
            <w:hideMark/>
          </w:tcPr>
          <w:p w:rsidR="00761031" w:rsidRPr="00173006" w:rsidP="008A04CC" w14:paraId="344688EC"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18.06</w:t>
            </w:r>
          </w:p>
        </w:tc>
        <w:tc>
          <w:tcPr>
            <w:tcW w:w="600" w:type="pct"/>
            <w:tcBorders>
              <w:top w:val="nil"/>
              <w:left w:val="nil"/>
              <w:bottom w:val="single" w:sz="4" w:space="0" w:color="auto"/>
              <w:right w:val="single" w:sz="4" w:space="0" w:color="auto"/>
            </w:tcBorders>
            <w:vAlign w:val="center"/>
            <w:hideMark/>
          </w:tcPr>
          <w:p w:rsidR="00761031" w:rsidRPr="00173006" w:rsidP="008A04CC" w14:paraId="10FFA4AC" w14:textId="3723A11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3A5D1348"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25.62</w:t>
            </w:r>
          </w:p>
        </w:tc>
      </w:tr>
      <w:tr w14:paraId="0D3A3221"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2A447F43"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51-7000</w:t>
            </w:r>
          </w:p>
        </w:tc>
        <w:tc>
          <w:tcPr>
            <w:tcW w:w="2146" w:type="pct"/>
            <w:tcBorders>
              <w:top w:val="nil"/>
              <w:left w:val="nil"/>
              <w:bottom w:val="single" w:sz="4" w:space="0" w:color="auto"/>
              <w:right w:val="single" w:sz="4" w:space="0" w:color="auto"/>
            </w:tcBorders>
            <w:vAlign w:val="center"/>
            <w:hideMark/>
          </w:tcPr>
          <w:p w:rsidR="00761031" w:rsidRPr="00173006" w:rsidP="008A04CC" w14:paraId="20D2EFCE"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Woodworkers</w:t>
            </w:r>
          </w:p>
        </w:tc>
        <w:tc>
          <w:tcPr>
            <w:tcW w:w="673" w:type="pct"/>
            <w:tcBorders>
              <w:top w:val="nil"/>
              <w:left w:val="nil"/>
              <w:bottom w:val="single" w:sz="4" w:space="0" w:color="auto"/>
              <w:right w:val="single" w:sz="4" w:space="0" w:color="auto"/>
            </w:tcBorders>
            <w:vAlign w:val="center"/>
            <w:hideMark/>
          </w:tcPr>
          <w:p w:rsidR="00761031" w:rsidRPr="00173006" w:rsidP="008A04CC" w14:paraId="574669BB"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20.30</w:t>
            </w:r>
          </w:p>
        </w:tc>
        <w:tc>
          <w:tcPr>
            <w:tcW w:w="600" w:type="pct"/>
            <w:tcBorders>
              <w:top w:val="nil"/>
              <w:left w:val="nil"/>
              <w:bottom w:val="single" w:sz="4" w:space="0" w:color="auto"/>
              <w:right w:val="single" w:sz="4" w:space="0" w:color="auto"/>
            </w:tcBorders>
            <w:vAlign w:val="center"/>
            <w:hideMark/>
          </w:tcPr>
          <w:p w:rsidR="00761031" w:rsidRPr="00173006" w:rsidP="008A04CC" w14:paraId="4353181B" w14:textId="434B8EF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nil"/>
              <w:left w:val="nil"/>
              <w:bottom w:val="single" w:sz="4" w:space="0" w:color="auto"/>
              <w:right w:val="single" w:sz="4" w:space="0" w:color="auto"/>
            </w:tcBorders>
            <w:vAlign w:val="center"/>
            <w:hideMark/>
          </w:tcPr>
          <w:p w:rsidR="00761031" w:rsidRPr="00173006" w:rsidP="008A04CC" w14:paraId="65D0903C"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28.79</w:t>
            </w:r>
          </w:p>
        </w:tc>
      </w:tr>
      <w:tr w14:paraId="01BD6CCB"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0CA1D7C9"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51-9120</w:t>
            </w:r>
          </w:p>
        </w:tc>
        <w:tc>
          <w:tcPr>
            <w:tcW w:w="2146" w:type="pct"/>
            <w:tcBorders>
              <w:top w:val="nil"/>
              <w:left w:val="nil"/>
              <w:bottom w:val="single" w:sz="4" w:space="0" w:color="auto"/>
              <w:right w:val="single" w:sz="4" w:space="0" w:color="auto"/>
            </w:tcBorders>
            <w:vAlign w:val="center"/>
            <w:hideMark/>
          </w:tcPr>
          <w:p w:rsidR="00761031" w:rsidRPr="00173006" w:rsidP="008A04CC" w14:paraId="37DFEB8C"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Painting Workers</w:t>
            </w:r>
          </w:p>
        </w:tc>
        <w:tc>
          <w:tcPr>
            <w:tcW w:w="673" w:type="pct"/>
            <w:tcBorders>
              <w:top w:val="single" w:sz="4" w:space="0" w:color="auto"/>
              <w:left w:val="nil"/>
              <w:bottom w:val="single" w:sz="4" w:space="0" w:color="auto"/>
              <w:right w:val="single" w:sz="4" w:space="0" w:color="auto"/>
            </w:tcBorders>
            <w:vAlign w:val="center"/>
            <w:hideMark/>
          </w:tcPr>
          <w:p w:rsidR="00761031" w:rsidRPr="00173006" w:rsidP="008A04CC" w14:paraId="245C362C"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23.17</w:t>
            </w:r>
          </w:p>
        </w:tc>
        <w:tc>
          <w:tcPr>
            <w:tcW w:w="600" w:type="pct"/>
            <w:tcBorders>
              <w:top w:val="single" w:sz="4" w:space="0" w:color="auto"/>
              <w:left w:val="nil"/>
              <w:bottom w:val="single" w:sz="4" w:space="0" w:color="auto"/>
              <w:right w:val="single" w:sz="4" w:space="0" w:color="auto"/>
            </w:tcBorders>
            <w:vAlign w:val="center"/>
            <w:hideMark/>
          </w:tcPr>
          <w:p w:rsidR="00761031" w:rsidRPr="00173006" w:rsidP="008A04CC" w14:paraId="00970770" w14:textId="43C307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single" w:sz="4" w:space="0" w:color="auto"/>
              <w:left w:val="nil"/>
              <w:bottom w:val="single" w:sz="4" w:space="0" w:color="auto"/>
              <w:right w:val="single" w:sz="4" w:space="0" w:color="auto"/>
            </w:tcBorders>
            <w:vAlign w:val="center"/>
            <w:hideMark/>
          </w:tcPr>
          <w:p w:rsidR="00761031" w:rsidRPr="00173006" w:rsidP="008A04CC" w14:paraId="3D04F1CF" w14:textId="77777777">
            <w:pPr>
              <w:spacing w:after="0" w:line="240" w:lineRule="auto"/>
              <w:jc w:val="center"/>
              <w:rPr>
                <w:rFonts w:ascii="Times New Roman" w:eastAsia="Times New Roman" w:hAnsi="Times New Roman"/>
                <w:sz w:val="20"/>
                <w:szCs w:val="20"/>
              </w:rPr>
            </w:pPr>
            <w:r w:rsidRPr="008645D2">
              <w:rPr>
                <w:rFonts w:ascii="Times New Roman" w:eastAsia="Times New Roman" w:hAnsi="Times New Roman"/>
                <w:sz w:val="20"/>
                <w:szCs w:val="20"/>
              </w:rPr>
              <w:t>$</w:t>
            </w:r>
            <w:r>
              <w:rPr>
                <w:rFonts w:ascii="Times New Roman" w:eastAsia="Times New Roman" w:hAnsi="Times New Roman"/>
                <w:sz w:val="20"/>
                <w:szCs w:val="20"/>
              </w:rPr>
              <w:t>32.87</w:t>
            </w:r>
          </w:p>
        </w:tc>
      </w:tr>
      <w:tr w14:paraId="166CA338" w14:textId="77777777" w:rsidTr="00AB7575">
        <w:tblPrEx>
          <w:tblW w:w="4828" w:type="pct"/>
          <w:tblLook w:val="04A0"/>
        </w:tblPrEx>
        <w:trPr>
          <w:trHeight w:val="255"/>
        </w:trPr>
        <w:tc>
          <w:tcPr>
            <w:tcW w:w="2741"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61031" w:rsidRPr="00173006" w:rsidP="008A04CC" w14:paraId="5B035779" w14:textId="0C625C66">
            <w:pPr>
              <w:spacing w:after="0" w:line="240" w:lineRule="auto"/>
              <w:rPr>
                <w:rFonts w:ascii="Times New Roman" w:eastAsia="Times New Roman" w:hAnsi="Times New Roman"/>
                <w:b/>
                <w:bCs/>
                <w:sz w:val="20"/>
                <w:szCs w:val="20"/>
              </w:rPr>
            </w:pPr>
            <w:r w:rsidRPr="00173006">
              <w:rPr>
                <w:rFonts w:ascii="Times New Roman" w:eastAsia="Times New Roman" w:hAnsi="Times New Roman"/>
                <w:b/>
                <w:bCs/>
                <w:sz w:val="20"/>
                <w:szCs w:val="20"/>
              </w:rPr>
              <w:t xml:space="preserve">Industrial Hygiene Contractor Wage Rate (per Hour) </w:t>
            </w:r>
            <w:r w:rsidR="0008248A">
              <w:rPr>
                <w:rFonts w:ascii="Times New Roman" w:eastAsia="Times New Roman" w:hAnsi="Times New Roman"/>
                <w:b/>
                <w:bCs/>
                <w:sz w:val="20"/>
                <w:szCs w:val="20"/>
              </w:rPr>
              <w:t>–</w:t>
            </w:r>
            <w:r w:rsidRPr="00173006">
              <w:rPr>
                <w:rFonts w:ascii="Times New Roman" w:eastAsia="Times New Roman" w:hAnsi="Times New Roman"/>
                <w:b/>
                <w:bCs/>
                <w:sz w:val="20"/>
                <w:szCs w:val="20"/>
              </w:rPr>
              <w:t xml:space="preserve"> CONTCOST</w:t>
            </w:r>
          </w:p>
        </w:tc>
        <w:tc>
          <w:tcPr>
            <w:tcW w:w="673"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61031" w:rsidRPr="00173006" w:rsidP="008A04CC" w14:paraId="2A3FB1D9" w14:textId="77777777">
            <w:pPr>
              <w:spacing w:after="0" w:line="240" w:lineRule="auto"/>
              <w:jc w:val="center"/>
              <w:rPr>
                <w:rFonts w:ascii="Times New Roman" w:eastAsia="Times New Roman" w:hAnsi="Times New Roman"/>
                <w:b/>
                <w:bCs/>
                <w:sz w:val="20"/>
                <w:szCs w:val="20"/>
              </w:rPr>
            </w:pPr>
          </w:p>
        </w:tc>
        <w:tc>
          <w:tcPr>
            <w:tcW w:w="60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61031" w:rsidRPr="00173006" w:rsidP="008A04CC" w14:paraId="6896AA18" w14:textId="77777777">
            <w:pPr>
              <w:spacing w:after="0" w:line="240" w:lineRule="auto"/>
              <w:jc w:val="center"/>
              <w:rPr>
                <w:rFonts w:ascii="Times New Roman" w:eastAsia="Times New Roman" w:hAnsi="Times New Roman"/>
                <w:b/>
                <w:bCs/>
                <w:sz w:val="20"/>
                <w:szCs w:val="20"/>
              </w:rPr>
            </w:pPr>
          </w:p>
        </w:tc>
        <w:tc>
          <w:tcPr>
            <w:tcW w:w="986"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61031" w:rsidRPr="00173006" w:rsidP="008A04CC" w14:paraId="770859DE" w14:textId="77777777">
            <w:pPr>
              <w:spacing w:after="0" w:line="240" w:lineRule="auto"/>
              <w:jc w:val="center"/>
              <w:rPr>
                <w:rFonts w:ascii="Times New Roman" w:eastAsia="Times New Roman" w:hAnsi="Times New Roman"/>
                <w:b/>
                <w:bCs/>
                <w:sz w:val="20"/>
                <w:szCs w:val="20"/>
              </w:rPr>
            </w:pPr>
            <w:r w:rsidRPr="00F07234">
              <w:rPr>
                <w:rFonts w:ascii="Times New Roman" w:eastAsia="Times New Roman" w:hAnsi="Times New Roman"/>
                <w:b/>
                <w:bCs/>
                <w:sz w:val="20"/>
                <w:szCs w:val="20"/>
              </w:rPr>
              <w:t>$</w:t>
            </w:r>
            <w:r>
              <w:rPr>
                <w:rFonts w:ascii="Times New Roman" w:eastAsia="Times New Roman" w:hAnsi="Times New Roman"/>
                <w:b/>
                <w:bCs/>
                <w:sz w:val="20"/>
                <w:szCs w:val="20"/>
              </w:rPr>
              <w:t>58.35</w:t>
            </w:r>
            <w:r w:rsidRPr="00F07234">
              <w:rPr>
                <w:rFonts w:ascii="Times New Roman" w:eastAsia="Times New Roman" w:hAnsi="Times New Roman"/>
                <w:b/>
                <w:bCs/>
                <w:sz w:val="20"/>
                <w:szCs w:val="20"/>
              </w:rPr>
              <w:t xml:space="preserve"> </w:t>
            </w:r>
            <w:r w:rsidRPr="00F07234">
              <w:rPr>
                <w:rFonts w:ascii="Times New Roman" w:eastAsia="Times New Roman" w:hAnsi="Times New Roman"/>
                <w:bCs/>
                <w:i/>
                <w:sz w:val="20"/>
                <w:szCs w:val="20"/>
              </w:rPr>
              <w:t>(Average)</w:t>
            </w:r>
          </w:p>
        </w:tc>
      </w:tr>
      <w:tr w14:paraId="5C457A4A" w14:textId="77777777" w:rsidTr="00761031">
        <w:tblPrEx>
          <w:tblW w:w="4828" w:type="pct"/>
          <w:tblLook w:val="04A0"/>
        </w:tblPrEx>
        <w:trPr>
          <w:trHeight w:val="255"/>
        </w:trPr>
        <w:tc>
          <w:tcPr>
            <w:tcW w:w="595" w:type="pct"/>
            <w:tcBorders>
              <w:top w:val="nil"/>
              <w:left w:val="single" w:sz="4" w:space="0" w:color="auto"/>
              <w:bottom w:val="single" w:sz="4" w:space="0" w:color="auto"/>
              <w:right w:val="single" w:sz="4" w:space="0" w:color="auto"/>
            </w:tcBorders>
            <w:vAlign w:val="center"/>
            <w:hideMark/>
          </w:tcPr>
          <w:p w:rsidR="00761031" w:rsidRPr="00173006" w:rsidP="008A04CC" w14:paraId="60BE61B3" w14:textId="77777777">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r w:rsidRPr="00173006">
              <w:rPr>
                <w:rFonts w:ascii="Times New Roman" w:eastAsia="Times New Roman" w:hAnsi="Times New Roman"/>
                <w:sz w:val="20"/>
                <w:szCs w:val="20"/>
              </w:rPr>
              <w:t>9-</w:t>
            </w:r>
            <w:r>
              <w:rPr>
                <w:rFonts w:ascii="Times New Roman" w:eastAsia="Times New Roman" w:hAnsi="Times New Roman"/>
                <w:sz w:val="20"/>
                <w:szCs w:val="20"/>
              </w:rPr>
              <w:t>5</w:t>
            </w:r>
            <w:r w:rsidRPr="00173006">
              <w:rPr>
                <w:rFonts w:ascii="Times New Roman" w:eastAsia="Times New Roman" w:hAnsi="Times New Roman"/>
                <w:sz w:val="20"/>
                <w:szCs w:val="20"/>
              </w:rPr>
              <w:t>011</w:t>
            </w:r>
          </w:p>
        </w:tc>
        <w:tc>
          <w:tcPr>
            <w:tcW w:w="2146" w:type="pct"/>
            <w:tcBorders>
              <w:top w:val="nil"/>
              <w:left w:val="nil"/>
              <w:bottom w:val="single" w:sz="4" w:space="0" w:color="auto"/>
              <w:right w:val="single" w:sz="4" w:space="0" w:color="auto"/>
            </w:tcBorders>
            <w:vAlign w:val="center"/>
            <w:hideMark/>
          </w:tcPr>
          <w:p w:rsidR="00761031" w:rsidRPr="00173006" w:rsidP="008A04CC" w14:paraId="02B6FF60" w14:textId="77777777">
            <w:pPr>
              <w:spacing w:after="0" w:line="240" w:lineRule="auto"/>
              <w:rPr>
                <w:rFonts w:ascii="Times New Roman" w:eastAsia="Times New Roman" w:hAnsi="Times New Roman"/>
                <w:sz w:val="20"/>
                <w:szCs w:val="20"/>
              </w:rPr>
            </w:pPr>
            <w:r w:rsidRPr="00173006">
              <w:rPr>
                <w:rFonts w:ascii="Times New Roman" w:eastAsia="Times New Roman" w:hAnsi="Times New Roman"/>
                <w:sz w:val="20"/>
                <w:szCs w:val="20"/>
              </w:rPr>
              <w:t>Occupational Health and Safety Specialists</w:t>
            </w:r>
          </w:p>
        </w:tc>
        <w:tc>
          <w:tcPr>
            <w:tcW w:w="673" w:type="pct"/>
            <w:tcBorders>
              <w:top w:val="nil"/>
              <w:left w:val="nil"/>
              <w:bottom w:val="single" w:sz="4" w:space="0" w:color="auto"/>
              <w:right w:val="single" w:sz="4" w:space="0" w:color="auto"/>
            </w:tcBorders>
            <w:vAlign w:val="center"/>
            <w:hideMark/>
          </w:tcPr>
          <w:p w:rsidR="00761031" w:rsidRPr="00173006" w:rsidP="008A04CC" w14:paraId="416FB634" w14:textId="7777777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$41.14</w:t>
            </w:r>
          </w:p>
        </w:tc>
        <w:tc>
          <w:tcPr>
            <w:tcW w:w="600" w:type="pct"/>
            <w:tcBorders>
              <w:top w:val="single" w:sz="4" w:space="0" w:color="auto"/>
              <w:left w:val="nil"/>
              <w:bottom w:val="single" w:sz="4" w:space="0" w:color="auto"/>
              <w:right w:val="single" w:sz="4" w:space="0" w:color="auto"/>
            </w:tcBorders>
            <w:vAlign w:val="center"/>
            <w:hideMark/>
          </w:tcPr>
          <w:p w:rsidR="00761031" w:rsidRPr="00173006" w:rsidP="008A04CC" w14:paraId="75ADC8CC" w14:textId="49F8154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r w:rsidR="00372867">
              <w:rPr>
                <w:rFonts w:ascii="Times New Roman" w:eastAsia="Times New Roman" w:hAnsi="Times New Roman"/>
                <w:sz w:val="20"/>
                <w:szCs w:val="20"/>
              </w:rPr>
              <w:t>.295</w:t>
            </w:r>
          </w:p>
        </w:tc>
        <w:tc>
          <w:tcPr>
            <w:tcW w:w="986" w:type="pct"/>
            <w:tcBorders>
              <w:top w:val="single" w:sz="4" w:space="0" w:color="auto"/>
              <w:left w:val="nil"/>
              <w:bottom w:val="single" w:sz="4" w:space="0" w:color="auto"/>
              <w:right w:val="single" w:sz="4" w:space="0" w:color="auto"/>
            </w:tcBorders>
            <w:vAlign w:val="center"/>
            <w:hideMark/>
          </w:tcPr>
          <w:p w:rsidR="00761031" w:rsidRPr="00173006" w:rsidP="008A04CC" w14:paraId="26FD3E23" w14:textId="7777777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$58.35</w:t>
            </w:r>
          </w:p>
        </w:tc>
      </w:tr>
    </w:tbl>
    <w:p w:rsidR="00B70DAE" w:rsidRPr="00B70DAE" w:rsidP="00B70DAE" w14:paraId="11423FB3" w14:textId="77777777">
      <w:pPr>
        <w:spacing w:after="0" w:line="240" w:lineRule="auto"/>
        <w:rPr>
          <w:rFonts w:ascii="Times New Roman" w:hAnsi="Times New Roman"/>
          <w:sz w:val="24"/>
          <w:szCs w:val="24"/>
          <w:lang w:val="en-JM"/>
        </w:rPr>
      </w:pPr>
    </w:p>
    <w:p w:rsidR="00A219C9" w:rsidRPr="00B81B20" w:rsidP="00B70DAE" w14:paraId="0FA2C606" w14:textId="77777777">
      <w:pPr>
        <w:spacing w:after="0" w:line="240" w:lineRule="auto"/>
        <w:rPr>
          <w:rFonts w:ascii="Times New Roman" w:hAnsi="Times New Roman"/>
          <w:b/>
          <w:bCs/>
          <w:sz w:val="24"/>
          <w:szCs w:val="24"/>
          <w:lang w:val="en-JM"/>
        </w:rPr>
      </w:pPr>
      <w:r w:rsidRPr="00B70DAE">
        <w:rPr>
          <w:rFonts w:ascii="Times New Roman" w:hAnsi="Times New Roman"/>
          <w:sz w:val="24"/>
          <w:szCs w:val="24"/>
          <w:lang w:val="en-JM"/>
        </w:rPr>
        <w:br w:type="page"/>
      </w:r>
      <w:r w:rsidRPr="00B81B20" w:rsidR="00DF52C9">
        <w:rPr>
          <w:rFonts w:ascii="Times New Roman" w:hAnsi="Times New Roman"/>
          <w:b/>
          <w:bCs/>
          <w:sz w:val="24"/>
          <w:szCs w:val="24"/>
          <w:lang w:val="en-JM"/>
        </w:rPr>
        <w:t>E</w:t>
      </w:r>
      <w:r w:rsidRPr="00B81B20">
        <w:rPr>
          <w:rFonts w:ascii="Times New Roman" w:hAnsi="Times New Roman"/>
          <w:b/>
          <w:bCs/>
          <w:sz w:val="24"/>
          <w:szCs w:val="24"/>
          <w:lang w:val="en-JM"/>
        </w:rPr>
        <w:t>stimated Burden Hours and Cost:</w:t>
      </w:r>
    </w:p>
    <w:p w:rsidR="00A219C9" w:rsidP="00B70DAE" w14:paraId="46915E34" w14:textId="77777777">
      <w:pPr>
        <w:spacing w:after="0" w:line="240" w:lineRule="auto"/>
        <w:rPr>
          <w:rFonts w:ascii="Times New Roman" w:hAnsi="Times New Roman"/>
          <w:sz w:val="24"/>
          <w:szCs w:val="24"/>
          <w:lang w:val="en-JM"/>
        </w:rPr>
      </w:pPr>
    </w:p>
    <w:p w:rsidR="006777F1" w:rsidP="00B70DAE" w14:paraId="49A7AE88" w14:textId="6E1213E0">
      <w:pPr>
        <w:spacing w:after="0" w:line="240" w:lineRule="auto"/>
        <w:rPr>
          <w:rFonts w:ascii="Times New Roman" w:hAnsi="Times New Roman"/>
          <w:sz w:val="24"/>
          <w:szCs w:val="24"/>
          <w:lang w:val="en-JM"/>
        </w:rPr>
      </w:pPr>
      <w:r w:rsidRPr="00B70DAE">
        <w:rPr>
          <w:rFonts w:ascii="Times New Roman" w:hAnsi="Times New Roman"/>
          <w:sz w:val="24"/>
          <w:szCs w:val="24"/>
          <w:lang w:val="en-JM"/>
        </w:rPr>
        <w:t xml:space="preserve">Table 2, below, provides the agency’s estimates for annualized respondent </w:t>
      </w:r>
      <w:r w:rsidR="0084519C">
        <w:rPr>
          <w:rFonts w:ascii="Times New Roman" w:hAnsi="Times New Roman"/>
          <w:sz w:val="24"/>
          <w:szCs w:val="24"/>
          <w:lang w:val="en-JM"/>
        </w:rPr>
        <w:t>hours</w:t>
      </w:r>
      <w:r w:rsidRPr="00B70DAE" w:rsidR="0084519C">
        <w:rPr>
          <w:rFonts w:ascii="Times New Roman" w:hAnsi="Times New Roman"/>
          <w:sz w:val="24"/>
          <w:szCs w:val="24"/>
          <w:lang w:val="en-JM"/>
        </w:rPr>
        <w:t xml:space="preserve"> </w:t>
      </w:r>
      <w:r w:rsidRPr="00B70DAE">
        <w:rPr>
          <w:rFonts w:ascii="Times New Roman" w:hAnsi="Times New Roman"/>
          <w:sz w:val="24"/>
          <w:szCs w:val="24"/>
          <w:lang w:val="en-JM"/>
        </w:rPr>
        <w:t xml:space="preserve">and cost burdens. ICR Spreadsheet Tables 1-33, included with this statement, </w:t>
      </w:r>
      <w:r w:rsidR="0084519C">
        <w:rPr>
          <w:rFonts w:ascii="Times New Roman" w:hAnsi="Times New Roman"/>
          <w:sz w:val="24"/>
          <w:szCs w:val="24"/>
          <w:lang w:val="en-JM"/>
        </w:rPr>
        <w:t>give</w:t>
      </w:r>
      <w:r w:rsidRPr="00B70DAE" w:rsidR="0084519C">
        <w:rPr>
          <w:rFonts w:ascii="Times New Roman" w:hAnsi="Times New Roman"/>
          <w:sz w:val="24"/>
          <w:szCs w:val="24"/>
          <w:lang w:val="en-JM"/>
        </w:rPr>
        <w:t xml:space="preserve"> </w:t>
      </w:r>
      <w:r w:rsidRPr="00B70DAE">
        <w:rPr>
          <w:rFonts w:ascii="Times New Roman" w:hAnsi="Times New Roman"/>
          <w:sz w:val="24"/>
          <w:szCs w:val="24"/>
          <w:lang w:val="en-JM"/>
        </w:rPr>
        <w:t>a more detailed explanation of the underlying assumptions for these estimates.</w:t>
      </w:r>
    </w:p>
    <w:p w:rsidR="00156AC4" w:rsidP="00B70DAE" w14:paraId="53E1636B" w14:textId="77777777">
      <w:pPr>
        <w:spacing w:after="0" w:line="240" w:lineRule="auto"/>
        <w:rPr>
          <w:rFonts w:ascii="Times New Roman" w:hAnsi="Times New Roman"/>
          <w:sz w:val="24"/>
          <w:szCs w:val="24"/>
          <w:lang w:val="en-JM"/>
        </w:rPr>
      </w:pPr>
    </w:p>
    <w:p w:rsidR="00156AC4" w:rsidRPr="00154FD8" w:rsidP="00156AC4" w14:paraId="31A5A4B4" w14:textId="2428142A">
      <w:pPr>
        <w:spacing w:after="0" w:line="240" w:lineRule="auto"/>
        <w:jc w:val="center"/>
        <w:rPr>
          <w:rFonts w:ascii="Times New Roman" w:hAnsi="Times New Roman"/>
          <w:b/>
          <w:sz w:val="24"/>
          <w:szCs w:val="24"/>
          <w:lang w:val="en-JM"/>
        </w:rPr>
      </w:pPr>
    </w:p>
    <w:p w:rsidR="00156AC4" w:rsidP="00B70DAE" w14:paraId="23B3035C" w14:textId="77777777">
      <w:pPr>
        <w:spacing w:after="0" w:line="240" w:lineRule="auto"/>
        <w:rPr>
          <w:rFonts w:ascii="Times New Roman" w:hAnsi="Times New Roman"/>
          <w:sz w:val="24"/>
          <w:szCs w:val="24"/>
          <w:lang w:val="en-JM"/>
        </w:rPr>
      </w:pPr>
    </w:p>
    <w:tbl>
      <w:tblPr>
        <w:tblW w:w="12830" w:type="dxa"/>
        <w:tblInd w:w="-1000" w:type="dxa"/>
        <w:tblLayout w:type="fixed"/>
        <w:tblLook w:val="04A0"/>
      </w:tblPr>
      <w:tblGrid>
        <w:gridCol w:w="2638"/>
        <w:gridCol w:w="1170"/>
        <w:gridCol w:w="1260"/>
        <w:gridCol w:w="1170"/>
        <w:gridCol w:w="1080"/>
        <w:gridCol w:w="1260"/>
        <w:gridCol w:w="900"/>
        <w:gridCol w:w="900"/>
        <w:gridCol w:w="1260"/>
        <w:gridCol w:w="956"/>
        <w:gridCol w:w="236"/>
      </w:tblGrid>
      <w:tr w14:paraId="629F83C9" w14:textId="77777777" w:rsidTr="00372867">
        <w:tblPrEx>
          <w:tblW w:w="12830" w:type="dxa"/>
          <w:tblInd w:w="-1000" w:type="dxa"/>
          <w:tblLayout w:type="fixed"/>
          <w:tblLook w:val="04A0"/>
        </w:tblPrEx>
        <w:trPr>
          <w:gridAfter w:val="2"/>
          <w:wAfter w:w="1192" w:type="dxa"/>
          <w:cantSplit/>
          <w:trHeight w:val="430"/>
          <w:tblHeader/>
        </w:trPr>
        <w:tc>
          <w:tcPr>
            <w:tcW w:w="11638" w:type="dxa"/>
            <w:gridSpan w:val="9"/>
            <w:tcBorders>
              <w:top w:val="single" w:sz="8" w:space="0" w:color="000000"/>
              <w:left w:val="single" w:sz="8" w:space="0" w:color="000000"/>
              <w:bottom w:val="nil"/>
              <w:right w:val="single" w:sz="8" w:space="0" w:color="000000"/>
            </w:tcBorders>
            <w:shd w:val="clear" w:color="auto" w:fill="EAF4E4"/>
          </w:tcPr>
          <w:p w:rsidR="00EE052B" w:rsidRPr="004B214B" w:rsidP="008A04CC" w14:paraId="0D2514E6" w14:textId="346A6B1B">
            <w:pPr>
              <w:spacing w:after="0" w:line="240" w:lineRule="auto"/>
              <w:jc w:val="center"/>
              <w:rPr>
                <w:rFonts w:ascii="Times New Roman" w:eastAsia="Times New Roman" w:hAnsi="Times New Roman"/>
                <w:b/>
                <w:bCs/>
                <w:color w:val="000000"/>
                <w:sz w:val="18"/>
                <w:szCs w:val="18"/>
              </w:rPr>
            </w:pPr>
            <w:r w:rsidRPr="00154FD8">
              <w:rPr>
                <w:rFonts w:ascii="Times New Roman" w:hAnsi="Times New Roman"/>
                <w:b/>
                <w:sz w:val="24"/>
                <w:szCs w:val="24"/>
                <w:lang w:val="en-JM"/>
              </w:rPr>
              <w:t xml:space="preserve">Table </w:t>
            </w:r>
            <w:r>
              <w:rPr>
                <w:rFonts w:ascii="Times New Roman" w:hAnsi="Times New Roman"/>
                <w:b/>
                <w:sz w:val="24"/>
                <w:szCs w:val="24"/>
                <w:lang w:val="en-JM"/>
              </w:rPr>
              <w:t>2</w:t>
            </w:r>
            <w:r w:rsidRPr="00154FD8">
              <w:rPr>
                <w:rFonts w:ascii="Times New Roman" w:hAnsi="Times New Roman"/>
                <w:b/>
                <w:sz w:val="24"/>
                <w:szCs w:val="24"/>
                <w:lang w:val="en-JM"/>
              </w:rPr>
              <w:t xml:space="preserve"> –</w:t>
            </w:r>
            <w:r>
              <w:rPr>
                <w:rFonts w:ascii="Times New Roman" w:hAnsi="Times New Roman"/>
                <w:b/>
                <w:sz w:val="24"/>
                <w:szCs w:val="24"/>
                <w:lang w:val="en-JM"/>
              </w:rPr>
              <w:t xml:space="preserve"> </w:t>
            </w:r>
            <w:r w:rsidRPr="000323F7">
              <w:rPr>
                <w:rFonts w:ascii="Times New Roman" w:eastAsia="Times New Roman"/>
                <w:b/>
              </w:rPr>
              <w:t xml:space="preserve">Estimated Annualized Respondent </w:t>
            </w:r>
            <w:r>
              <w:rPr>
                <w:rFonts w:ascii="Times New Roman" w:eastAsia="Times New Roman"/>
                <w:b/>
              </w:rPr>
              <w:t>Hours</w:t>
            </w:r>
            <w:r w:rsidRPr="000323F7">
              <w:rPr>
                <w:rFonts w:ascii="Times New Roman" w:eastAsia="Times New Roman"/>
                <w:b/>
              </w:rPr>
              <w:t xml:space="preserve"> and Cost Burden</w:t>
            </w:r>
          </w:p>
        </w:tc>
      </w:tr>
      <w:tr w14:paraId="0CFD76BF" w14:textId="77777777" w:rsidTr="00372867">
        <w:tblPrEx>
          <w:tblW w:w="12830" w:type="dxa"/>
          <w:tblInd w:w="-1000" w:type="dxa"/>
          <w:tblLayout w:type="fixed"/>
          <w:tblLook w:val="04A0"/>
        </w:tblPrEx>
        <w:trPr>
          <w:gridAfter w:val="2"/>
          <w:wAfter w:w="1192" w:type="dxa"/>
          <w:cantSplit/>
          <w:trHeight w:val="430"/>
          <w:tblHeader/>
        </w:trPr>
        <w:tc>
          <w:tcPr>
            <w:tcW w:w="2638" w:type="dxa"/>
            <w:tcBorders>
              <w:top w:val="single" w:sz="8" w:space="0" w:color="000000"/>
              <w:left w:val="single" w:sz="8" w:space="0" w:color="000000"/>
              <w:bottom w:val="nil"/>
              <w:right w:val="single" w:sz="8" w:space="0" w:color="000000"/>
            </w:tcBorders>
            <w:shd w:val="clear" w:color="auto" w:fill="A8D08D" w:themeFill="accent6" w:themeFillTint="99"/>
            <w:hideMark/>
          </w:tcPr>
          <w:p w:rsidR="006777F1" w:rsidRPr="004B214B" w:rsidP="008A04CC" w14:paraId="0EAF3B2F" w14:textId="77777777">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Information Collection Requirements</w:t>
            </w:r>
          </w:p>
        </w:tc>
        <w:tc>
          <w:tcPr>
            <w:tcW w:w="117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737E3BC9" w14:textId="77777777">
            <w:pPr>
              <w:spacing w:after="0" w:line="240" w:lineRule="auto"/>
              <w:jc w:val="center"/>
              <w:rPr>
                <w:rFonts w:ascii="Times New Roman" w:eastAsia="Times New Roman" w:hAnsi="Times New Roman"/>
                <w:b/>
                <w:bCs/>
                <w:color w:val="000000"/>
                <w:sz w:val="18"/>
                <w:szCs w:val="18"/>
              </w:rPr>
            </w:pPr>
            <w:r w:rsidRPr="004B214B">
              <w:rPr>
                <w:rFonts w:ascii="Times New Roman" w:eastAsia="Times New Roman" w:hAnsi="Times New Roman"/>
                <w:b/>
                <w:bCs/>
                <w:color w:val="000000"/>
                <w:sz w:val="18"/>
                <w:szCs w:val="18"/>
              </w:rPr>
              <w:t>Type of Respondent</w:t>
            </w:r>
            <w:r>
              <w:rPr>
                <w:rFonts w:ascii="Times New Roman" w:eastAsia="Times New Roman" w:hAnsi="Times New Roman"/>
                <w:b/>
                <w:bCs/>
                <w:color w:val="000000"/>
                <w:sz w:val="18"/>
                <w:szCs w:val="18"/>
              </w:rPr>
              <w:t xml:space="preserve"> (Employer)</w:t>
            </w:r>
          </w:p>
        </w:tc>
        <w:tc>
          <w:tcPr>
            <w:tcW w:w="126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4CC87352" w14:textId="77777777">
            <w:pPr>
              <w:spacing w:after="0" w:line="240" w:lineRule="auto"/>
              <w:jc w:val="center"/>
              <w:rPr>
                <w:rFonts w:ascii="Times New Roman" w:eastAsia="Times New Roman" w:hAnsi="Times New Roman"/>
                <w:b/>
                <w:bCs/>
                <w:color w:val="000000"/>
                <w:sz w:val="18"/>
                <w:szCs w:val="18"/>
              </w:rPr>
            </w:pPr>
            <w:r w:rsidRPr="004B214B">
              <w:rPr>
                <w:rFonts w:ascii="Times New Roman" w:eastAsia="Times New Roman" w:hAnsi="Times New Roman"/>
                <w:b/>
                <w:bCs/>
                <w:color w:val="000000"/>
                <w:sz w:val="18"/>
                <w:szCs w:val="18"/>
              </w:rPr>
              <w:t>No. of Respondents</w:t>
            </w:r>
          </w:p>
        </w:tc>
        <w:tc>
          <w:tcPr>
            <w:tcW w:w="117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40FD00CF" w14:textId="77777777">
            <w:pPr>
              <w:spacing w:after="0" w:line="240" w:lineRule="auto"/>
              <w:jc w:val="center"/>
              <w:rPr>
                <w:rFonts w:ascii="Times New Roman" w:eastAsia="Times New Roman" w:hAnsi="Times New Roman"/>
                <w:b/>
                <w:bCs/>
                <w:color w:val="000000"/>
                <w:sz w:val="18"/>
                <w:szCs w:val="18"/>
              </w:rPr>
            </w:pPr>
            <w:r w:rsidRPr="004B214B">
              <w:rPr>
                <w:rFonts w:ascii="Times New Roman" w:eastAsia="Times New Roman" w:hAnsi="Times New Roman"/>
                <w:b/>
                <w:bCs/>
                <w:color w:val="000000"/>
                <w:sz w:val="18"/>
                <w:szCs w:val="18"/>
              </w:rPr>
              <w:t>Responses per Respondent</w:t>
            </w:r>
          </w:p>
        </w:tc>
        <w:tc>
          <w:tcPr>
            <w:tcW w:w="108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4514CDE1" w14:textId="77777777">
            <w:pPr>
              <w:spacing w:after="0" w:line="240" w:lineRule="auto"/>
              <w:jc w:val="center"/>
              <w:rPr>
                <w:rFonts w:ascii="Times New Roman" w:eastAsia="Times New Roman" w:hAnsi="Times New Roman"/>
                <w:b/>
                <w:bCs/>
                <w:color w:val="000000"/>
                <w:sz w:val="18"/>
                <w:szCs w:val="18"/>
              </w:rPr>
            </w:pPr>
            <w:r w:rsidRPr="004B214B">
              <w:rPr>
                <w:rFonts w:ascii="Times New Roman" w:eastAsia="Times New Roman" w:hAnsi="Times New Roman"/>
                <w:b/>
                <w:bCs/>
                <w:color w:val="000000"/>
                <w:sz w:val="18"/>
                <w:szCs w:val="18"/>
              </w:rPr>
              <w:t>Total</w:t>
            </w:r>
            <w:r>
              <w:rPr>
                <w:rFonts w:ascii="Times New Roman" w:eastAsia="Times New Roman" w:hAnsi="Times New Roman"/>
                <w:b/>
                <w:bCs/>
                <w:color w:val="000000"/>
                <w:sz w:val="18"/>
                <w:szCs w:val="18"/>
              </w:rPr>
              <w:t xml:space="preserve"> </w:t>
            </w:r>
            <w:r w:rsidRPr="004B214B">
              <w:rPr>
                <w:rFonts w:ascii="Times New Roman" w:eastAsia="Times New Roman" w:hAnsi="Times New Roman"/>
                <w:b/>
                <w:bCs/>
                <w:color w:val="000000"/>
                <w:sz w:val="18"/>
                <w:szCs w:val="18"/>
              </w:rPr>
              <w:t>Responses</w:t>
            </w:r>
          </w:p>
        </w:tc>
        <w:tc>
          <w:tcPr>
            <w:tcW w:w="126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P="008A04CC" w14:paraId="4A2B11EC" w14:textId="77777777">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Time</w:t>
            </w:r>
            <w:r w:rsidRPr="004B214B">
              <w:rPr>
                <w:rFonts w:ascii="Times New Roman" w:eastAsia="Times New Roman" w:hAnsi="Times New Roman"/>
                <w:b/>
                <w:bCs/>
                <w:color w:val="000000"/>
                <w:sz w:val="18"/>
                <w:szCs w:val="18"/>
              </w:rPr>
              <w:t xml:space="preserve"> per Response</w:t>
            </w:r>
          </w:p>
          <w:p w:rsidR="006777F1" w:rsidRPr="004B214B" w:rsidP="008A04CC" w14:paraId="715B54C3" w14:textId="77777777">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(Hours)</w:t>
            </w:r>
          </w:p>
        </w:tc>
        <w:tc>
          <w:tcPr>
            <w:tcW w:w="90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57CFA85C" w14:textId="77777777">
            <w:pPr>
              <w:spacing w:after="0" w:line="240" w:lineRule="auto"/>
              <w:jc w:val="center"/>
              <w:rPr>
                <w:rFonts w:ascii="Times New Roman" w:eastAsia="Times New Roman" w:hAnsi="Times New Roman"/>
                <w:b/>
                <w:bCs/>
                <w:color w:val="000000"/>
                <w:sz w:val="18"/>
                <w:szCs w:val="18"/>
              </w:rPr>
            </w:pPr>
            <w:r w:rsidRPr="004B214B">
              <w:rPr>
                <w:rFonts w:ascii="Times New Roman" w:eastAsia="Times New Roman" w:hAnsi="Times New Roman"/>
                <w:b/>
                <w:bCs/>
                <w:color w:val="000000"/>
                <w:sz w:val="18"/>
                <w:szCs w:val="18"/>
              </w:rPr>
              <w:t>Burden Hours</w:t>
            </w:r>
          </w:p>
        </w:tc>
        <w:tc>
          <w:tcPr>
            <w:tcW w:w="90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547AC470" w14:textId="77777777">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Loaded</w:t>
            </w:r>
            <w:r w:rsidRPr="004B214B">
              <w:rPr>
                <w:rFonts w:ascii="Times New Roman" w:eastAsia="Times New Roman" w:hAnsi="Times New Roman"/>
                <w:b/>
                <w:bCs/>
                <w:color w:val="000000"/>
                <w:sz w:val="18"/>
                <w:szCs w:val="18"/>
              </w:rPr>
              <w:t xml:space="preserve"> Hourly Wage </w:t>
            </w:r>
          </w:p>
        </w:tc>
        <w:tc>
          <w:tcPr>
            <w:tcW w:w="1260" w:type="dxa"/>
            <w:tcBorders>
              <w:top w:val="single" w:sz="8" w:space="0" w:color="000000"/>
              <w:left w:val="nil"/>
              <w:bottom w:val="single" w:sz="8" w:space="0" w:color="000000"/>
              <w:right w:val="single" w:sz="8" w:space="0" w:color="000000"/>
            </w:tcBorders>
            <w:shd w:val="clear" w:color="auto" w:fill="A8D08D" w:themeFill="accent6" w:themeFillTint="99"/>
            <w:hideMark/>
          </w:tcPr>
          <w:p w:rsidR="006777F1" w:rsidRPr="004B214B" w:rsidP="008A04CC" w14:paraId="04CECF90" w14:textId="47119E05">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Monetized Value of Time</w:t>
            </w:r>
          </w:p>
        </w:tc>
      </w:tr>
      <w:tr w14:paraId="197386AC" w14:textId="77777777" w:rsidTr="00372867">
        <w:tblPrEx>
          <w:tblW w:w="12830" w:type="dxa"/>
          <w:tblInd w:w="-1000" w:type="dxa"/>
          <w:tblLayout w:type="fixed"/>
          <w:tblLook w:val="04A0"/>
        </w:tblPrEx>
        <w:trPr>
          <w:gridAfter w:val="2"/>
          <w:wAfter w:w="1192" w:type="dxa"/>
          <w:cantSplit/>
          <w:trHeight w:val="286"/>
        </w:trPr>
        <w:tc>
          <w:tcPr>
            <w:tcW w:w="11638" w:type="dxa"/>
            <w:gridSpan w:val="9"/>
            <w:tcBorders>
              <w:top w:val="single" w:sz="8" w:space="0" w:color="000000"/>
              <w:left w:val="single" w:sz="8" w:space="0" w:color="000000"/>
              <w:bottom w:val="single" w:sz="8" w:space="0" w:color="000000"/>
              <w:right w:val="single" w:sz="8" w:space="0" w:color="000000"/>
            </w:tcBorders>
            <w:shd w:val="clear" w:color="auto" w:fill="FEF2CC" w:themeFill="accent4" w:themeFillTint="33"/>
            <w:noWrap/>
            <w:hideMark/>
          </w:tcPr>
          <w:p w:rsidR="006777F1" w:rsidRPr="005B39D8" w:rsidP="008A04CC" w14:paraId="72C13009" w14:textId="77777777">
            <w:pPr>
              <w:spacing w:after="0" w:line="240" w:lineRule="auto"/>
              <w:rPr>
                <w:rFonts w:ascii="Times New Roman" w:eastAsia="Times New Roman" w:hAnsi="Times New Roman"/>
                <w:b/>
                <w:bCs/>
                <w:color w:val="000000"/>
                <w:sz w:val="20"/>
                <w:szCs w:val="20"/>
              </w:rPr>
            </w:pPr>
            <w:r w:rsidRPr="009301A0">
              <w:rPr>
                <w:rFonts w:ascii="Times New Roman" w:eastAsia="Times New Roman" w:hAnsi="Times New Roman"/>
                <w:b/>
                <w:bCs/>
                <w:color w:val="000000"/>
                <w:sz w:val="20"/>
                <w:szCs w:val="20"/>
              </w:rPr>
              <w:t>A. Exposure Determination (paragraph (d) of §§ 1910.1026, 1915.1026, and 1926.1126)</w:t>
            </w:r>
          </w:p>
          <w:p w:rsidR="006777F1" w:rsidRPr="009301A0" w:rsidP="008A04CC" w14:paraId="785CC160" w14:textId="77777777">
            <w:pPr>
              <w:spacing w:after="0" w:line="240" w:lineRule="auto"/>
              <w:rPr>
                <w:rFonts w:ascii="Times New Roman" w:eastAsia="Times New Roman" w:hAnsi="Times New Roman"/>
                <w:b/>
                <w:bCs/>
                <w:color w:val="000000"/>
                <w:sz w:val="20"/>
                <w:szCs w:val="20"/>
              </w:rPr>
            </w:pPr>
          </w:p>
        </w:tc>
      </w:tr>
      <w:tr w14:paraId="173E5191" w14:textId="77777777" w:rsidTr="00372867">
        <w:tblPrEx>
          <w:tblW w:w="12830" w:type="dxa"/>
          <w:tblInd w:w="-1000" w:type="dxa"/>
          <w:tblLayout w:type="fixed"/>
          <w:tblLook w:val="04A0"/>
        </w:tblPrEx>
        <w:trPr>
          <w:cantSplit/>
          <w:trHeight w:val="22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tcPr>
          <w:p w:rsidR="006777F1" w:rsidRPr="005B39D8" w:rsidP="008A04CC" w14:paraId="000245A3" w14:textId="77777777">
            <w:pPr>
              <w:spacing w:after="0" w:line="240" w:lineRule="auto"/>
              <w:rPr>
                <w:rFonts w:ascii="Times New Roman" w:eastAsia="Times New Roman" w:hAnsi="Times New Roman"/>
                <w:sz w:val="20"/>
                <w:szCs w:val="20"/>
              </w:rPr>
            </w:pPr>
            <w:r w:rsidRPr="009301A0">
              <w:rPr>
                <w:rFonts w:ascii="Times New Roman" w:eastAsia="Times New Roman" w:hAnsi="Times New Roman"/>
                <w:b/>
                <w:bCs/>
                <w:color w:val="000000"/>
                <w:sz w:val="20"/>
                <w:szCs w:val="20"/>
              </w:rPr>
              <w:t>1. Scheduled Monitoring Option:  Semi-Annual Exposure Monitoring (paragraph (d)(2)(iii) of §§ 1910.1026, 1915.1026, and 1926.1126)</w:t>
            </w:r>
          </w:p>
        </w:tc>
        <w:tc>
          <w:tcPr>
            <w:tcW w:w="956" w:type="dxa"/>
            <w:vAlign w:val="center"/>
          </w:tcPr>
          <w:p w:rsidR="006777F1" w:rsidRPr="009301A0" w:rsidP="008A04CC" w14:paraId="723626D3"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227C57BA" w14:textId="77777777">
            <w:pPr>
              <w:spacing w:after="0" w:line="240" w:lineRule="auto"/>
              <w:rPr>
                <w:rFonts w:ascii="Times New Roman" w:eastAsia="Times New Roman" w:hAnsi="Times New Roman"/>
                <w:sz w:val="20"/>
                <w:szCs w:val="20"/>
              </w:rPr>
            </w:pPr>
          </w:p>
        </w:tc>
      </w:tr>
      <w:tr w14:paraId="4BA02431" w14:textId="77777777" w:rsidTr="00372867">
        <w:tblPrEx>
          <w:tblW w:w="12830" w:type="dxa"/>
          <w:tblInd w:w="-1000" w:type="dxa"/>
          <w:tblLayout w:type="fixed"/>
          <w:tblLook w:val="04A0"/>
        </w:tblPrEx>
        <w:trPr>
          <w:cantSplit/>
          <w:trHeight w:val="22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4CCBD6BB"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Conduct Semi-Annual Exposure Monitoring (Table 3)</w:t>
            </w:r>
          </w:p>
        </w:tc>
        <w:tc>
          <w:tcPr>
            <w:tcW w:w="1170" w:type="dxa"/>
            <w:tcBorders>
              <w:top w:val="nil"/>
              <w:left w:val="nil"/>
              <w:bottom w:val="single" w:sz="8" w:space="0" w:color="000000"/>
              <w:right w:val="single" w:sz="8" w:space="0" w:color="000000"/>
            </w:tcBorders>
            <w:vAlign w:val="center"/>
            <w:hideMark/>
          </w:tcPr>
          <w:p w:rsidR="006777F1" w:rsidRPr="009301A0" w:rsidP="008A04CC" w14:paraId="42F9A078"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7D8E01F1"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4,324</w:t>
            </w:r>
          </w:p>
        </w:tc>
        <w:tc>
          <w:tcPr>
            <w:tcW w:w="1170" w:type="dxa"/>
            <w:tcBorders>
              <w:top w:val="nil"/>
              <w:left w:val="nil"/>
              <w:bottom w:val="single" w:sz="8" w:space="0" w:color="000000"/>
              <w:right w:val="single" w:sz="8" w:space="0" w:color="000000"/>
            </w:tcBorders>
            <w:vAlign w:val="center"/>
            <w:hideMark/>
          </w:tcPr>
          <w:p w:rsidR="006777F1" w:rsidRPr="009301A0" w:rsidP="008A04CC" w14:paraId="4BED7F66"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2</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8F202A" w:rsidP="008A04CC" w14:paraId="713D47D7" w14:textId="77777777">
            <w:pPr>
              <w:spacing w:after="0" w:line="240" w:lineRule="auto"/>
              <w:jc w:val="center"/>
              <w:rPr>
                <w:rFonts w:ascii="Times New Roman" w:eastAsia="Times New Roman" w:hAnsi="Times New Roman"/>
                <w:color w:val="000000"/>
                <w:sz w:val="20"/>
                <w:szCs w:val="20"/>
              </w:rPr>
            </w:pPr>
            <w:r w:rsidRPr="008F202A">
              <w:rPr>
                <w:rFonts w:ascii="Times New Roman" w:eastAsia="Times New Roman" w:hAnsi="Times New Roman"/>
                <w:color w:val="000000"/>
                <w:sz w:val="20"/>
                <w:szCs w:val="20"/>
              </w:rPr>
              <w:t>8,64</w:t>
            </w:r>
            <w:r w:rsidRPr="00B92220">
              <w:rPr>
                <w:rFonts w:ascii="Times New Roman" w:eastAsia="Times New Roman" w:hAnsi="Times New Roman"/>
                <w:color w:val="000000"/>
                <w:sz w:val="20"/>
                <w:szCs w:val="20"/>
              </w:rPr>
              <w:t>8</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8F202A" w:rsidP="008A04CC" w14:paraId="56F9F080" w14:textId="60A8784C">
            <w:pPr>
              <w:spacing w:after="0" w:line="240" w:lineRule="auto"/>
              <w:jc w:val="center"/>
              <w:rPr>
                <w:rFonts w:ascii="Times New Roman" w:eastAsia="Times New Roman" w:hAnsi="Times New Roman"/>
                <w:color w:val="000000"/>
                <w:sz w:val="20"/>
                <w:szCs w:val="20"/>
              </w:rPr>
            </w:pPr>
            <w:r w:rsidRPr="008F202A">
              <w:rPr>
                <w:rFonts w:ascii="Times New Roman" w:eastAsia="Times New Roman" w:hAnsi="Times New Roman"/>
                <w:color w:val="000000"/>
                <w:sz w:val="20"/>
                <w:szCs w:val="20"/>
              </w:rPr>
              <w:t>37/60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8F202A" w:rsidP="008A04CC" w14:paraId="4D8C3FD5" w14:textId="3A1BE87B">
            <w:pPr>
              <w:spacing w:after="0" w:line="240" w:lineRule="auto"/>
              <w:jc w:val="center"/>
              <w:rPr>
                <w:rFonts w:ascii="Times New Roman" w:eastAsia="Times New Roman" w:hAnsi="Times New Roman"/>
                <w:color w:val="000000"/>
                <w:sz w:val="20"/>
                <w:szCs w:val="20"/>
              </w:rPr>
            </w:pPr>
            <w:r w:rsidRPr="008F202A">
              <w:rPr>
                <w:rFonts w:ascii="Times New Roman" w:eastAsia="Times New Roman" w:hAnsi="Times New Roman"/>
                <w:color w:val="000000"/>
                <w:sz w:val="20"/>
                <w:szCs w:val="20"/>
              </w:rPr>
              <w:t>5,</w:t>
            </w:r>
            <w:r w:rsidRPr="00B92220" w:rsidR="00DB4531">
              <w:rPr>
                <w:rFonts w:ascii="Times New Roman" w:eastAsia="Times New Roman" w:hAnsi="Times New Roman"/>
                <w:color w:val="000000"/>
                <w:sz w:val="20"/>
                <w:szCs w:val="20"/>
              </w:rPr>
              <w:t>3</w:t>
            </w:r>
            <w:r w:rsidR="00DB4531">
              <w:rPr>
                <w:rFonts w:ascii="Times New Roman" w:eastAsia="Times New Roman" w:hAnsi="Times New Roman"/>
                <w:color w:val="000000"/>
                <w:sz w:val="20"/>
                <w:szCs w:val="20"/>
              </w:rPr>
              <w:t>33</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1879A659" w14:textId="4384FFC6">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37.2</w:t>
            </w:r>
            <w:r w:rsidR="00AB2A43">
              <w:rPr>
                <w:rFonts w:ascii="Times New Roman" w:eastAsia="Times New Roman" w:hAnsi="Times New Roman"/>
                <w:color w:val="000000"/>
                <w:sz w:val="20"/>
                <w:szCs w:val="20"/>
              </w:rPr>
              <w:t>7</w:t>
            </w:r>
          </w:p>
        </w:tc>
        <w:tc>
          <w:tcPr>
            <w:tcW w:w="1260" w:type="dxa"/>
            <w:tcBorders>
              <w:top w:val="nil"/>
              <w:left w:val="nil"/>
              <w:bottom w:val="single" w:sz="8" w:space="0" w:color="000000"/>
              <w:right w:val="single" w:sz="8" w:space="0" w:color="000000"/>
            </w:tcBorders>
            <w:shd w:val="clear" w:color="auto" w:fill="FFFFFF" w:themeFill="background1"/>
            <w:vAlign w:val="center"/>
            <w:hideMark/>
          </w:tcPr>
          <w:p w:rsidR="006777F1" w:rsidRPr="005746CA" w:rsidP="008A04CC" w14:paraId="0DEF6141" w14:textId="6BEF1B65">
            <w:pPr>
              <w:spacing w:after="0" w:line="240" w:lineRule="auto"/>
              <w:jc w:val="center"/>
              <w:rPr>
                <w:rFonts w:ascii="Times New Roman" w:eastAsia="Times New Roman" w:hAnsi="Times New Roman"/>
                <w:color w:val="000000"/>
                <w:sz w:val="20"/>
                <w:szCs w:val="20"/>
              </w:rPr>
            </w:pPr>
            <w:r w:rsidRPr="00B3158D">
              <w:rPr>
                <w:rFonts w:ascii="Times New Roman" w:eastAsia="Times New Roman" w:hAnsi="Times New Roman"/>
                <w:color w:val="000000"/>
                <w:sz w:val="20"/>
                <w:szCs w:val="20"/>
              </w:rPr>
              <w:t>$</w:t>
            </w:r>
            <w:r w:rsidR="00CE193B">
              <w:rPr>
                <w:rFonts w:ascii="Times New Roman" w:eastAsia="Times New Roman" w:hAnsi="Times New Roman"/>
                <w:color w:val="000000"/>
                <w:sz w:val="20"/>
                <w:szCs w:val="20"/>
              </w:rPr>
              <w:t>198</w:t>
            </w:r>
            <w:r w:rsidR="00181758">
              <w:rPr>
                <w:rFonts w:ascii="Times New Roman" w:eastAsia="Times New Roman" w:hAnsi="Times New Roman"/>
                <w:color w:val="000000"/>
                <w:sz w:val="20"/>
                <w:szCs w:val="20"/>
              </w:rPr>
              <w:t>,761</w:t>
            </w:r>
          </w:p>
        </w:tc>
        <w:tc>
          <w:tcPr>
            <w:tcW w:w="956" w:type="dxa"/>
            <w:vAlign w:val="center"/>
            <w:hideMark/>
          </w:tcPr>
          <w:p w:rsidR="006777F1" w:rsidRPr="009301A0" w:rsidP="008A04CC" w14:paraId="3372A194"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4FAD6FA0" w14:textId="77777777">
            <w:pPr>
              <w:spacing w:after="0" w:line="240" w:lineRule="auto"/>
              <w:rPr>
                <w:rFonts w:ascii="Times New Roman" w:eastAsia="Times New Roman" w:hAnsi="Times New Roman"/>
                <w:sz w:val="20"/>
                <w:szCs w:val="20"/>
              </w:rPr>
            </w:pPr>
          </w:p>
        </w:tc>
      </w:tr>
      <w:tr w14:paraId="5AE25EB2" w14:textId="77777777" w:rsidTr="00372867">
        <w:tblPrEx>
          <w:tblW w:w="12830" w:type="dxa"/>
          <w:tblInd w:w="-1000" w:type="dxa"/>
          <w:tblLayout w:type="fixed"/>
          <w:tblLook w:val="04A0"/>
        </w:tblPrEx>
        <w:trPr>
          <w:cantSplit/>
          <w:trHeight w:val="220"/>
        </w:trPr>
        <w:tc>
          <w:tcPr>
            <w:tcW w:w="11638" w:type="dxa"/>
            <w:gridSpan w:val="9"/>
            <w:tcBorders>
              <w:top w:val="single" w:sz="8" w:space="0" w:color="000000"/>
              <w:left w:val="single" w:sz="8" w:space="0" w:color="000000"/>
              <w:bottom w:val="single" w:sz="8" w:space="0" w:color="000000"/>
              <w:right w:val="single" w:sz="8" w:space="0" w:color="000000"/>
            </w:tcBorders>
            <w:shd w:val="clear" w:color="auto" w:fill="E2EFD9" w:themeFill="accent6" w:themeFillTint="33"/>
            <w:noWrap/>
            <w:hideMark/>
          </w:tcPr>
          <w:p w:rsidR="006777F1" w:rsidRPr="008F202A" w:rsidP="008A04CC" w14:paraId="59994830" w14:textId="77777777">
            <w:pPr>
              <w:shd w:val="clear" w:color="auto" w:fill="E2EFD9" w:themeFill="accent6" w:themeFillTint="33"/>
              <w:spacing w:after="0" w:line="240" w:lineRule="auto"/>
              <w:rPr>
                <w:rFonts w:ascii="Times New Roman" w:eastAsia="Times New Roman" w:hAnsi="Times New Roman"/>
                <w:b/>
                <w:bCs/>
                <w:color w:val="000000"/>
                <w:sz w:val="20"/>
                <w:szCs w:val="20"/>
              </w:rPr>
            </w:pPr>
            <w:r w:rsidRPr="008F202A">
              <w:rPr>
                <w:rFonts w:ascii="Times New Roman" w:eastAsia="Times New Roman" w:hAnsi="Times New Roman"/>
                <w:b/>
                <w:bCs/>
                <w:color w:val="000000"/>
                <w:sz w:val="20"/>
                <w:szCs w:val="20"/>
              </w:rPr>
              <w:t>2. Scheduled Monitoring Option:  Quarterly Exposure Monitoring (paragraph (d)(2)(iv) of §§ 1910.1026, 1915.1026, and 1926.1126)</w:t>
            </w:r>
          </w:p>
        </w:tc>
        <w:tc>
          <w:tcPr>
            <w:tcW w:w="956" w:type="dxa"/>
            <w:vAlign w:val="center"/>
            <w:hideMark/>
          </w:tcPr>
          <w:p w:rsidR="006777F1" w:rsidRPr="009301A0" w:rsidP="008A04CC" w14:paraId="687331DA"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264C5EED" w14:textId="77777777">
            <w:pPr>
              <w:spacing w:after="0" w:line="240" w:lineRule="auto"/>
              <w:rPr>
                <w:rFonts w:ascii="Times New Roman" w:eastAsia="Times New Roman" w:hAnsi="Times New Roman"/>
                <w:sz w:val="20"/>
                <w:szCs w:val="20"/>
              </w:rPr>
            </w:pPr>
          </w:p>
        </w:tc>
      </w:tr>
      <w:tr w14:paraId="4AFDE3EB" w14:textId="77777777" w:rsidTr="00372867">
        <w:tblPrEx>
          <w:tblW w:w="12830" w:type="dxa"/>
          <w:tblInd w:w="-1000" w:type="dxa"/>
          <w:tblLayout w:type="fixed"/>
          <w:tblLook w:val="04A0"/>
        </w:tblPrEx>
        <w:trPr>
          <w:cantSplit/>
          <w:trHeight w:val="22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3957C023"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Conduct Quarterly Exposure Monitoring (Table 6)</w:t>
            </w:r>
          </w:p>
        </w:tc>
        <w:tc>
          <w:tcPr>
            <w:tcW w:w="1170" w:type="dxa"/>
            <w:tcBorders>
              <w:top w:val="nil"/>
              <w:left w:val="nil"/>
              <w:bottom w:val="single" w:sz="8" w:space="0" w:color="000000"/>
              <w:right w:val="single" w:sz="8" w:space="0" w:color="000000"/>
            </w:tcBorders>
            <w:vAlign w:val="center"/>
            <w:hideMark/>
          </w:tcPr>
          <w:p w:rsidR="006777F1" w:rsidRPr="009301A0" w:rsidP="008A04CC" w14:paraId="7672C0A6"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2B559A84"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2,218</w:t>
            </w:r>
          </w:p>
        </w:tc>
        <w:tc>
          <w:tcPr>
            <w:tcW w:w="1170" w:type="dxa"/>
            <w:tcBorders>
              <w:top w:val="nil"/>
              <w:left w:val="nil"/>
              <w:bottom w:val="single" w:sz="8" w:space="0" w:color="000000"/>
              <w:right w:val="single" w:sz="8" w:space="0" w:color="000000"/>
            </w:tcBorders>
            <w:vAlign w:val="center"/>
            <w:hideMark/>
          </w:tcPr>
          <w:p w:rsidR="006777F1" w:rsidRPr="009301A0" w:rsidP="008A04CC" w14:paraId="0E157753"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4</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8F202A" w:rsidP="008A04CC" w14:paraId="688F558F" w14:textId="77777777">
            <w:pPr>
              <w:spacing w:after="0" w:line="240" w:lineRule="auto"/>
              <w:jc w:val="center"/>
              <w:rPr>
                <w:rFonts w:ascii="Times New Roman" w:eastAsia="Times New Roman" w:hAnsi="Times New Roman"/>
                <w:color w:val="000000"/>
                <w:sz w:val="20"/>
                <w:szCs w:val="20"/>
              </w:rPr>
            </w:pPr>
            <w:r w:rsidRPr="008F202A">
              <w:rPr>
                <w:rFonts w:ascii="Times New Roman" w:eastAsia="Times New Roman" w:hAnsi="Times New Roman"/>
                <w:color w:val="000000"/>
                <w:sz w:val="20"/>
                <w:szCs w:val="20"/>
              </w:rPr>
              <w:t>8,872</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8F202A" w:rsidP="008A04CC" w14:paraId="5DD247CF" w14:textId="77777777">
            <w:pPr>
              <w:spacing w:after="0" w:line="240" w:lineRule="auto"/>
              <w:jc w:val="center"/>
              <w:rPr>
                <w:rFonts w:ascii="Times New Roman" w:eastAsia="Times New Roman" w:hAnsi="Times New Roman"/>
                <w:color w:val="000000"/>
                <w:sz w:val="20"/>
                <w:szCs w:val="20"/>
              </w:rPr>
            </w:pPr>
            <w:r w:rsidRPr="008F202A">
              <w:rPr>
                <w:rFonts w:ascii="Times New Roman" w:eastAsia="Times New Roman" w:hAnsi="Times New Roman"/>
                <w:color w:val="000000"/>
                <w:sz w:val="20"/>
                <w:szCs w:val="20"/>
              </w:rPr>
              <w:t>42/60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8F202A" w:rsidP="008A04CC" w14:paraId="6719A983" w14:textId="77777777">
            <w:pPr>
              <w:spacing w:after="0" w:line="240" w:lineRule="auto"/>
              <w:jc w:val="center"/>
              <w:rPr>
                <w:rFonts w:ascii="Times New Roman" w:eastAsia="Times New Roman" w:hAnsi="Times New Roman"/>
                <w:color w:val="000000"/>
                <w:sz w:val="20"/>
                <w:szCs w:val="20"/>
              </w:rPr>
            </w:pPr>
            <w:r w:rsidRPr="008F202A">
              <w:rPr>
                <w:rFonts w:ascii="Times New Roman" w:eastAsia="Times New Roman" w:hAnsi="Times New Roman"/>
                <w:color w:val="000000"/>
                <w:sz w:val="20"/>
                <w:szCs w:val="20"/>
              </w:rPr>
              <w:t>6,</w:t>
            </w:r>
            <w:r w:rsidRPr="00B92220">
              <w:rPr>
                <w:rFonts w:ascii="Times New Roman" w:eastAsia="Times New Roman" w:hAnsi="Times New Roman"/>
                <w:color w:val="000000"/>
                <w:sz w:val="20"/>
                <w:szCs w:val="20"/>
              </w:rPr>
              <w:t>210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5E88F435" w14:textId="0A8970A5">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37.2</w:t>
            </w:r>
            <w:r w:rsidR="00AB2A43">
              <w:rPr>
                <w:rFonts w:ascii="Times New Roman" w:eastAsia="Times New Roman" w:hAnsi="Times New Roman"/>
                <w:color w:val="000000"/>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470D8B7E" w14:textId="5F6F338E">
            <w:pPr>
              <w:spacing w:after="0" w:line="240" w:lineRule="auto"/>
              <w:jc w:val="center"/>
              <w:rPr>
                <w:rFonts w:ascii="Times New Roman" w:eastAsia="Times New Roman" w:hAnsi="Times New Roman"/>
                <w:color w:val="000000"/>
                <w:sz w:val="20"/>
                <w:szCs w:val="20"/>
              </w:rPr>
            </w:pPr>
            <w:r w:rsidRPr="008E7C3F">
              <w:rPr>
                <w:rFonts w:ascii="Times New Roman" w:eastAsia="Times New Roman" w:hAnsi="Times New Roman"/>
                <w:color w:val="000000"/>
                <w:sz w:val="20"/>
                <w:szCs w:val="20"/>
              </w:rPr>
              <w:t>$231,</w:t>
            </w:r>
            <w:r w:rsidRPr="008E7C3F" w:rsidR="008E7C3F">
              <w:rPr>
                <w:rFonts w:ascii="Times New Roman" w:eastAsia="Times New Roman" w:hAnsi="Times New Roman"/>
                <w:color w:val="000000"/>
                <w:sz w:val="20"/>
                <w:szCs w:val="20"/>
              </w:rPr>
              <w:t>447</w:t>
            </w:r>
          </w:p>
        </w:tc>
        <w:tc>
          <w:tcPr>
            <w:tcW w:w="956" w:type="dxa"/>
            <w:vAlign w:val="center"/>
            <w:hideMark/>
          </w:tcPr>
          <w:p w:rsidR="006777F1" w:rsidRPr="009301A0" w:rsidP="008A04CC" w14:paraId="6DAD2C60"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278C4348" w14:textId="77777777">
            <w:pPr>
              <w:spacing w:after="0" w:line="240" w:lineRule="auto"/>
              <w:rPr>
                <w:rFonts w:ascii="Times New Roman" w:eastAsia="Times New Roman" w:hAnsi="Times New Roman"/>
                <w:sz w:val="20"/>
                <w:szCs w:val="20"/>
              </w:rPr>
            </w:pPr>
          </w:p>
        </w:tc>
      </w:tr>
      <w:tr w14:paraId="5787B43B" w14:textId="77777777" w:rsidTr="00372867">
        <w:tblPrEx>
          <w:tblW w:w="12830" w:type="dxa"/>
          <w:tblInd w:w="-1000" w:type="dxa"/>
          <w:tblLayout w:type="fixed"/>
          <w:tblLook w:val="04A0"/>
        </w:tblPrEx>
        <w:trPr>
          <w:cantSplit/>
          <w:trHeight w:val="43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tcPr>
          <w:p w:rsidR="006777F1" w:rsidRPr="005B39D8" w:rsidP="008A04CC" w14:paraId="091D8225" w14:textId="77777777">
            <w:pPr>
              <w:spacing w:after="0" w:line="240" w:lineRule="auto"/>
              <w:rPr>
                <w:rFonts w:ascii="Times New Roman" w:eastAsia="Times New Roman" w:hAnsi="Times New Roman"/>
                <w:sz w:val="20"/>
                <w:szCs w:val="20"/>
              </w:rPr>
            </w:pPr>
            <w:r w:rsidRPr="009301A0">
              <w:rPr>
                <w:rFonts w:ascii="Times New Roman" w:eastAsia="Times New Roman" w:hAnsi="Times New Roman"/>
                <w:b/>
                <w:bCs/>
                <w:color w:val="000000"/>
                <w:sz w:val="20"/>
                <w:szCs w:val="20"/>
              </w:rPr>
              <w:t>3. Employee Notification of Determination Results (paragraph (d)(4) of §§ 1910.1026, 1915.1026, and</w:t>
            </w:r>
            <w:r>
              <w:rPr>
                <w:rFonts w:ascii="Times New Roman" w:eastAsia="Times New Roman" w:hAnsi="Times New Roman"/>
                <w:b/>
                <w:bCs/>
                <w:color w:val="000000"/>
                <w:sz w:val="20"/>
                <w:szCs w:val="20"/>
              </w:rPr>
              <w:t xml:space="preserve"> </w:t>
            </w:r>
            <w:r w:rsidRPr="009301A0">
              <w:rPr>
                <w:rFonts w:ascii="Times New Roman" w:eastAsia="Times New Roman" w:hAnsi="Times New Roman"/>
                <w:b/>
                <w:bCs/>
                <w:color w:val="000000"/>
                <w:sz w:val="20"/>
                <w:szCs w:val="20"/>
              </w:rPr>
              <w:t>1926.1126)</w:t>
            </w:r>
          </w:p>
        </w:tc>
        <w:tc>
          <w:tcPr>
            <w:tcW w:w="956" w:type="dxa"/>
            <w:vAlign w:val="center"/>
          </w:tcPr>
          <w:p w:rsidR="006777F1" w:rsidRPr="009301A0" w:rsidP="008A04CC" w14:paraId="4C167BC4"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1596DC22" w14:textId="77777777">
            <w:pPr>
              <w:spacing w:after="0" w:line="240" w:lineRule="auto"/>
              <w:rPr>
                <w:rFonts w:ascii="Times New Roman" w:eastAsia="Times New Roman" w:hAnsi="Times New Roman"/>
                <w:sz w:val="20"/>
                <w:szCs w:val="20"/>
              </w:rPr>
            </w:pPr>
          </w:p>
        </w:tc>
      </w:tr>
      <w:tr w14:paraId="702E62DC" w14:textId="77777777" w:rsidTr="00372867">
        <w:tblPrEx>
          <w:tblW w:w="12830" w:type="dxa"/>
          <w:tblInd w:w="-1000" w:type="dxa"/>
          <w:tblLayout w:type="fixed"/>
          <w:tblLook w:val="04A0"/>
        </w:tblPrEx>
        <w:trPr>
          <w:cantSplit/>
          <w:trHeight w:val="43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0C1A17E6"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Supervisor Time and Cost to Notify Employees of quarterly monitoring results (Table 9)</w:t>
            </w:r>
          </w:p>
        </w:tc>
        <w:tc>
          <w:tcPr>
            <w:tcW w:w="1170" w:type="dxa"/>
            <w:tcBorders>
              <w:top w:val="nil"/>
              <w:left w:val="nil"/>
              <w:bottom w:val="single" w:sz="8" w:space="0" w:color="000000"/>
              <w:right w:val="single" w:sz="8" w:space="0" w:color="000000"/>
            </w:tcBorders>
            <w:vAlign w:val="center"/>
            <w:hideMark/>
          </w:tcPr>
          <w:p w:rsidR="006777F1" w:rsidRPr="009301A0" w:rsidP="008A04CC" w14:paraId="60138B93"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68DE6901"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15,349</w:t>
            </w:r>
          </w:p>
        </w:tc>
        <w:tc>
          <w:tcPr>
            <w:tcW w:w="1170" w:type="dxa"/>
            <w:tcBorders>
              <w:top w:val="nil"/>
              <w:left w:val="nil"/>
              <w:bottom w:val="single" w:sz="8" w:space="0" w:color="000000"/>
              <w:right w:val="single" w:sz="8" w:space="0" w:color="000000"/>
            </w:tcBorders>
            <w:vAlign w:val="center"/>
            <w:hideMark/>
          </w:tcPr>
          <w:p w:rsidR="006777F1" w:rsidRPr="009301A0" w:rsidP="008A04CC" w14:paraId="376F4D11"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4</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43EC48C3"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61,396</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786A7A" w:rsidP="008A04CC" w14:paraId="5AB03489" w14:textId="77777777">
            <w:pPr>
              <w:spacing w:after="0" w:line="240" w:lineRule="auto"/>
              <w:jc w:val="center"/>
              <w:rPr>
                <w:rFonts w:ascii="Times New Roman" w:eastAsia="Times New Roman" w:hAnsi="Times New Roman"/>
                <w:color w:val="000000"/>
                <w:sz w:val="20"/>
                <w:szCs w:val="20"/>
              </w:rPr>
            </w:pPr>
            <w:r w:rsidRPr="00786A7A">
              <w:rPr>
                <w:rFonts w:ascii="Times New Roman" w:eastAsia="Times New Roman" w:hAnsi="Times New Roman"/>
                <w:color w:val="000000"/>
                <w:sz w:val="20"/>
                <w:szCs w:val="20"/>
              </w:rPr>
              <w:t>15/60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786A7A" w:rsidP="008A04CC" w14:paraId="34DC417D"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15,349</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00C92A76" w14:textId="77777777">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48.74</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406EA05F" w14:textId="77777777">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748,110</w:t>
            </w:r>
          </w:p>
        </w:tc>
        <w:tc>
          <w:tcPr>
            <w:tcW w:w="956" w:type="dxa"/>
            <w:vAlign w:val="center"/>
            <w:hideMark/>
          </w:tcPr>
          <w:p w:rsidR="006777F1" w:rsidRPr="009301A0" w:rsidP="008A04CC" w14:paraId="6F0B3C7E"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1D1CAD3B" w14:textId="77777777">
            <w:pPr>
              <w:spacing w:after="0" w:line="240" w:lineRule="auto"/>
              <w:rPr>
                <w:rFonts w:ascii="Times New Roman" w:eastAsia="Times New Roman" w:hAnsi="Times New Roman"/>
                <w:sz w:val="20"/>
                <w:szCs w:val="20"/>
              </w:rPr>
            </w:pPr>
          </w:p>
        </w:tc>
      </w:tr>
      <w:tr w14:paraId="3CD2A431" w14:textId="77777777" w:rsidTr="00372867">
        <w:tblPrEx>
          <w:tblW w:w="12830" w:type="dxa"/>
          <w:tblInd w:w="-1000" w:type="dxa"/>
          <w:tblLayout w:type="fixed"/>
          <w:tblLook w:val="04A0"/>
        </w:tblPrEx>
        <w:trPr>
          <w:cantSplit/>
          <w:trHeight w:val="43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3E937521"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b. Supervisor Time and Cost to Notify Employees of Initial Monitoring Results (Table 9a - Remand)</w:t>
            </w:r>
          </w:p>
        </w:tc>
        <w:tc>
          <w:tcPr>
            <w:tcW w:w="1170" w:type="dxa"/>
            <w:tcBorders>
              <w:top w:val="nil"/>
              <w:left w:val="nil"/>
              <w:bottom w:val="single" w:sz="8" w:space="0" w:color="000000"/>
              <w:right w:val="single" w:sz="8" w:space="0" w:color="000000"/>
            </w:tcBorders>
            <w:vAlign w:val="center"/>
            <w:hideMark/>
          </w:tcPr>
          <w:p w:rsidR="006777F1" w:rsidRPr="009301A0" w:rsidP="008A04CC" w14:paraId="3A013959"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5C01D450"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55,092</w:t>
            </w:r>
          </w:p>
        </w:tc>
        <w:tc>
          <w:tcPr>
            <w:tcW w:w="1170" w:type="dxa"/>
            <w:tcBorders>
              <w:top w:val="nil"/>
              <w:left w:val="nil"/>
              <w:bottom w:val="single" w:sz="8" w:space="0" w:color="000000"/>
              <w:right w:val="single" w:sz="8" w:space="0" w:color="000000"/>
            </w:tcBorders>
            <w:vAlign w:val="center"/>
            <w:hideMark/>
          </w:tcPr>
          <w:p w:rsidR="006777F1" w:rsidRPr="009301A0" w:rsidP="008A04CC" w14:paraId="4D3AD7C1"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2</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6573E705"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110,184</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B92220" w:rsidP="008A04CC" w14:paraId="2A7297D7" w14:textId="77777777">
            <w:pPr>
              <w:spacing w:after="0" w:line="240" w:lineRule="auto"/>
              <w:jc w:val="center"/>
              <w:rPr>
                <w:rFonts w:ascii="Times New Roman" w:eastAsia="Times New Roman" w:hAnsi="Times New Roman"/>
                <w:color w:val="000000"/>
                <w:sz w:val="20"/>
                <w:szCs w:val="20"/>
                <w:highlight w:val="yellow"/>
              </w:rPr>
            </w:pPr>
            <w:r w:rsidRPr="00F83EA7">
              <w:rPr>
                <w:rFonts w:ascii="Times New Roman" w:eastAsia="Times New Roman" w:hAnsi="Times New Roman"/>
                <w:color w:val="000000"/>
                <w:sz w:val="20"/>
                <w:szCs w:val="20"/>
              </w:rPr>
              <w:t>15/60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B92220" w:rsidP="008A04CC" w14:paraId="0937D199" w14:textId="77777777">
            <w:pPr>
              <w:spacing w:after="0" w:line="240" w:lineRule="auto"/>
              <w:jc w:val="center"/>
              <w:rPr>
                <w:rFonts w:ascii="Times New Roman" w:eastAsia="Times New Roman" w:hAnsi="Times New Roman"/>
                <w:color w:val="000000"/>
                <w:sz w:val="20"/>
                <w:szCs w:val="20"/>
                <w:highlight w:val="yellow"/>
              </w:rPr>
            </w:pPr>
            <w:r w:rsidRPr="00B92220">
              <w:rPr>
                <w:rFonts w:ascii="Times New Roman" w:eastAsia="Times New Roman" w:hAnsi="Times New Roman"/>
                <w:color w:val="000000"/>
                <w:sz w:val="20"/>
                <w:szCs w:val="20"/>
              </w:rPr>
              <w:t>27,546</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3D70A0CA" w14:textId="20911088">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1A21D9">
              <w:rPr>
                <w:rFonts w:ascii="Times New Roman" w:eastAsia="Times New Roman" w:hAnsi="Times New Roman"/>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24D546CB" w14:textId="3C4FFFBF">
            <w:pPr>
              <w:spacing w:after="0" w:line="240" w:lineRule="auto"/>
              <w:jc w:val="center"/>
              <w:rPr>
                <w:rFonts w:ascii="Times New Roman" w:eastAsia="Times New Roman" w:hAnsi="Times New Roman"/>
                <w:sz w:val="20"/>
                <w:szCs w:val="20"/>
              </w:rPr>
            </w:pPr>
            <w:r w:rsidRPr="00BA464F">
              <w:rPr>
                <w:rFonts w:ascii="Times New Roman" w:eastAsia="Times New Roman" w:hAnsi="Times New Roman"/>
                <w:sz w:val="20"/>
                <w:szCs w:val="20"/>
              </w:rPr>
              <w:t>$1,026,</w:t>
            </w:r>
            <w:r w:rsidRPr="00BA464F" w:rsidR="00BA464F">
              <w:rPr>
                <w:rFonts w:ascii="Times New Roman" w:eastAsia="Times New Roman" w:hAnsi="Times New Roman"/>
                <w:sz w:val="20"/>
                <w:szCs w:val="20"/>
              </w:rPr>
              <w:t>639</w:t>
            </w:r>
          </w:p>
        </w:tc>
        <w:tc>
          <w:tcPr>
            <w:tcW w:w="956" w:type="dxa"/>
            <w:vAlign w:val="center"/>
            <w:hideMark/>
          </w:tcPr>
          <w:p w:rsidR="006777F1" w:rsidRPr="009301A0" w:rsidP="008A04CC" w14:paraId="25099252"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7B3F0C95" w14:textId="77777777">
            <w:pPr>
              <w:spacing w:after="0" w:line="240" w:lineRule="auto"/>
              <w:rPr>
                <w:rFonts w:ascii="Times New Roman" w:eastAsia="Times New Roman" w:hAnsi="Times New Roman"/>
                <w:sz w:val="20"/>
                <w:szCs w:val="20"/>
              </w:rPr>
            </w:pPr>
          </w:p>
        </w:tc>
      </w:tr>
      <w:tr w14:paraId="716CE079" w14:textId="77777777" w:rsidTr="00372867">
        <w:tblPrEx>
          <w:tblW w:w="12830" w:type="dxa"/>
          <w:tblInd w:w="-1000" w:type="dxa"/>
          <w:tblLayout w:type="fixed"/>
          <w:tblLook w:val="04A0"/>
        </w:tblPrEx>
        <w:trPr>
          <w:cantSplit/>
          <w:trHeight w:val="430"/>
        </w:trPr>
        <w:tc>
          <w:tcPr>
            <w:tcW w:w="2638" w:type="dxa"/>
            <w:tcBorders>
              <w:top w:val="single" w:sz="8" w:space="0" w:color="000000"/>
              <w:left w:val="single" w:sz="8" w:space="0" w:color="000000"/>
              <w:bottom w:val="single" w:sz="8" w:space="0" w:color="000000"/>
              <w:right w:val="single" w:sz="8" w:space="0" w:color="000000"/>
            </w:tcBorders>
            <w:vAlign w:val="bottom"/>
            <w:hideMark/>
          </w:tcPr>
          <w:p w:rsidR="006777F1" w:rsidP="008A04CC" w14:paraId="77F1D393"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 xml:space="preserve">c. Supervisor Time and Cost to Notify Employees of semi-annual monitoring results </w:t>
            </w:r>
          </w:p>
          <w:p w:rsidR="006777F1" w:rsidRPr="009301A0" w:rsidP="008A04CC" w14:paraId="134E9E33"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 xml:space="preserve"> (Table 9b - Remand)</w:t>
            </w:r>
          </w:p>
        </w:tc>
        <w:tc>
          <w:tcPr>
            <w:tcW w:w="1170" w:type="dxa"/>
            <w:tcBorders>
              <w:top w:val="single" w:sz="8" w:space="0" w:color="000000"/>
              <w:left w:val="nil"/>
              <w:bottom w:val="single" w:sz="8" w:space="0" w:color="000000"/>
              <w:right w:val="single" w:sz="8" w:space="0" w:color="000000"/>
            </w:tcBorders>
            <w:vAlign w:val="center"/>
            <w:hideMark/>
          </w:tcPr>
          <w:p w:rsidR="006777F1" w:rsidRPr="009301A0" w:rsidP="008A04CC" w14:paraId="4A17BE4D"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single" w:sz="8" w:space="0" w:color="000000"/>
              <w:left w:val="nil"/>
              <w:bottom w:val="single" w:sz="8" w:space="0" w:color="000000"/>
              <w:right w:val="single" w:sz="8" w:space="0" w:color="000000"/>
            </w:tcBorders>
            <w:vAlign w:val="center"/>
            <w:hideMark/>
          </w:tcPr>
          <w:p w:rsidR="006777F1" w:rsidRPr="009301A0" w:rsidP="008A04CC" w14:paraId="0BEC7D85"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29,526</w:t>
            </w:r>
          </w:p>
        </w:tc>
        <w:tc>
          <w:tcPr>
            <w:tcW w:w="1170" w:type="dxa"/>
            <w:tcBorders>
              <w:top w:val="single" w:sz="8" w:space="0" w:color="000000"/>
              <w:left w:val="nil"/>
              <w:bottom w:val="single" w:sz="8" w:space="0" w:color="000000"/>
              <w:right w:val="single" w:sz="8" w:space="0" w:color="000000"/>
            </w:tcBorders>
            <w:vAlign w:val="center"/>
            <w:hideMark/>
          </w:tcPr>
          <w:p w:rsidR="006777F1" w:rsidRPr="009301A0" w:rsidP="008A04CC" w14:paraId="0A98203A"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2</w:t>
            </w:r>
          </w:p>
        </w:tc>
        <w:tc>
          <w:tcPr>
            <w:tcW w:w="108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9301A0" w:rsidP="008A04CC" w14:paraId="0918FA6F"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59,052</w:t>
            </w:r>
          </w:p>
        </w:tc>
        <w:tc>
          <w:tcPr>
            <w:tcW w:w="126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9301A0" w:rsidP="008A04CC" w14:paraId="1E4C31FE" w14:textId="77777777">
            <w:pPr>
              <w:spacing w:after="0" w:line="240" w:lineRule="auto"/>
              <w:jc w:val="center"/>
              <w:rPr>
                <w:rFonts w:ascii="Times New Roman" w:eastAsia="Times New Roman" w:hAnsi="Times New Roman"/>
                <w:color w:val="000000"/>
                <w:sz w:val="20"/>
                <w:szCs w:val="20"/>
              </w:rPr>
            </w:pPr>
            <w:r w:rsidRPr="008E36DC">
              <w:rPr>
                <w:rFonts w:ascii="Times New Roman" w:eastAsia="Times New Roman" w:hAnsi="Times New Roman"/>
                <w:color w:val="000000"/>
                <w:sz w:val="20"/>
                <w:szCs w:val="20"/>
              </w:rPr>
              <w:t>15/60</w:t>
            </w:r>
          </w:p>
        </w:tc>
        <w:tc>
          <w:tcPr>
            <w:tcW w:w="90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9301A0" w:rsidP="008A04CC" w14:paraId="6C26A38E"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14,763</w:t>
            </w:r>
          </w:p>
        </w:tc>
        <w:tc>
          <w:tcPr>
            <w:tcW w:w="90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9301A0" w:rsidP="008A04CC" w14:paraId="215D66F7" w14:textId="1492F4D8">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1A21D9">
              <w:rPr>
                <w:rFonts w:ascii="Times New Roman" w:eastAsia="Times New Roman" w:hAnsi="Times New Roman"/>
                <w:sz w:val="20"/>
                <w:szCs w:val="20"/>
              </w:rPr>
              <w:t>7</w:t>
            </w:r>
          </w:p>
        </w:tc>
        <w:tc>
          <w:tcPr>
            <w:tcW w:w="126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9301A0" w:rsidP="008A04CC" w14:paraId="1743C642" w14:textId="786C6494">
            <w:pPr>
              <w:spacing w:after="0" w:line="240" w:lineRule="auto"/>
              <w:jc w:val="center"/>
              <w:rPr>
                <w:rFonts w:ascii="Times New Roman" w:eastAsia="Times New Roman" w:hAnsi="Times New Roman"/>
                <w:sz w:val="20"/>
                <w:szCs w:val="20"/>
              </w:rPr>
            </w:pPr>
            <w:r w:rsidRPr="00283E4D">
              <w:rPr>
                <w:rFonts w:ascii="Times New Roman" w:eastAsia="Times New Roman" w:hAnsi="Times New Roman"/>
                <w:sz w:val="20"/>
                <w:szCs w:val="20"/>
              </w:rPr>
              <w:t>$5</w:t>
            </w:r>
            <w:r w:rsidRPr="00283E4D" w:rsidR="00283E4D">
              <w:rPr>
                <w:rFonts w:ascii="Times New Roman" w:eastAsia="Times New Roman" w:hAnsi="Times New Roman"/>
                <w:sz w:val="20"/>
                <w:szCs w:val="20"/>
              </w:rPr>
              <w:t>50,217</w:t>
            </w:r>
          </w:p>
        </w:tc>
        <w:tc>
          <w:tcPr>
            <w:tcW w:w="956" w:type="dxa"/>
            <w:vAlign w:val="center"/>
            <w:hideMark/>
          </w:tcPr>
          <w:p w:rsidR="006777F1" w:rsidRPr="009301A0" w:rsidP="008A04CC" w14:paraId="1E19921E"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56074EF5" w14:textId="77777777">
            <w:pPr>
              <w:spacing w:after="0" w:line="240" w:lineRule="auto"/>
              <w:rPr>
                <w:rFonts w:ascii="Times New Roman" w:eastAsia="Times New Roman" w:hAnsi="Times New Roman"/>
                <w:sz w:val="20"/>
                <w:szCs w:val="20"/>
              </w:rPr>
            </w:pPr>
          </w:p>
        </w:tc>
      </w:tr>
      <w:tr w14:paraId="34AEC01E" w14:textId="77777777" w:rsidTr="00372867">
        <w:tblPrEx>
          <w:tblW w:w="12830" w:type="dxa"/>
          <w:tblInd w:w="-1000" w:type="dxa"/>
          <w:tblLayout w:type="fixed"/>
          <w:tblLook w:val="04A0"/>
        </w:tblPrEx>
        <w:trPr>
          <w:cantSplit/>
          <w:trHeight w:val="220"/>
        </w:trPr>
        <w:tc>
          <w:tcPr>
            <w:tcW w:w="11638" w:type="dxa"/>
            <w:gridSpan w:val="9"/>
            <w:tcBorders>
              <w:top w:val="single" w:sz="8" w:space="0" w:color="000000"/>
              <w:left w:val="single" w:sz="8" w:space="0" w:color="000000"/>
              <w:bottom w:val="single" w:sz="8" w:space="0" w:color="000000"/>
              <w:right w:val="single" w:sz="8" w:space="0" w:color="000000"/>
            </w:tcBorders>
            <w:shd w:val="clear" w:color="auto" w:fill="FEF2CC" w:themeFill="accent4" w:themeFillTint="33"/>
            <w:noWrap/>
            <w:hideMark/>
          </w:tcPr>
          <w:p w:rsidR="00E004FB" w:rsidRPr="009301A0" w:rsidP="008A04CC" w14:paraId="1033A680" w14:textId="77777777">
            <w:pPr>
              <w:spacing w:after="0" w:line="240" w:lineRule="auto"/>
              <w:rPr>
                <w:rFonts w:ascii="Times New Roman" w:eastAsia="Times New Roman" w:hAnsi="Times New Roman"/>
                <w:b/>
                <w:bCs/>
                <w:color w:val="000000"/>
                <w:sz w:val="20"/>
                <w:szCs w:val="20"/>
              </w:rPr>
            </w:pPr>
            <w:r w:rsidRPr="009301A0">
              <w:rPr>
                <w:rFonts w:ascii="Times New Roman" w:eastAsia="Times New Roman" w:hAnsi="Times New Roman"/>
                <w:b/>
                <w:bCs/>
                <w:color w:val="000000"/>
                <w:sz w:val="20"/>
                <w:szCs w:val="20"/>
              </w:rPr>
              <w:t>B. Respiratory Protection (§§ 1910.1026(g), 1915.1026(f), and 1926.1126(f))</w:t>
            </w:r>
          </w:p>
          <w:p w:rsidR="00E004FB" w:rsidRPr="009301A0" w:rsidP="008A04CC" w14:paraId="7F22CE04" w14:textId="38774193">
            <w:pPr>
              <w:spacing w:after="0" w:line="240" w:lineRule="auto"/>
              <w:rPr>
                <w:rFonts w:ascii="Times New Roman" w:eastAsia="Times New Roman" w:hAnsi="Times New Roman"/>
                <w:b/>
                <w:bCs/>
                <w:color w:val="000000"/>
                <w:sz w:val="20"/>
                <w:szCs w:val="20"/>
              </w:rPr>
            </w:pPr>
            <w:r w:rsidRPr="009301A0">
              <w:rPr>
                <w:rFonts w:ascii="Times New Roman" w:eastAsia="Times New Roman" w:hAnsi="Times New Roman"/>
                <w:b/>
                <w:bCs/>
                <w:color w:val="000000"/>
                <w:sz w:val="20"/>
                <w:szCs w:val="20"/>
              </w:rPr>
              <w:t> </w:t>
            </w:r>
          </w:p>
        </w:tc>
        <w:tc>
          <w:tcPr>
            <w:tcW w:w="956" w:type="dxa"/>
            <w:vAlign w:val="center"/>
            <w:hideMark/>
          </w:tcPr>
          <w:p w:rsidR="00E004FB" w:rsidRPr="009301A0" w:rsidP="008A04CC" w14:paraId="75466DC8" w14:textId="77777777">
            <w:pPr>
              <w:spacing w:after="0" w:line="240" w:lineRule="auto"/>
              <w:rPr>
                <w:rFonts w:ascii="Times New Roman" w:eastAsia="Times New Roman" w:hAnsi="Times New Roman"/>
                <w:sz w:val="20"/>
                <w:szCs w:val="20"/>
              </w:rPr>
            </w:pPr>
          </w:p>
        </w:tc>
        <w:tc>
          <w:tcPr>
            <w:tcW w:w="236" w:type="dxa"/>
            <w:vAlign w:val="center"/>
            <w:hideMark/>
          </w:tcPr>
          <w:p w:rsidR="00E004FB" w:rsidRPr="009301A0" w:rsidP="008A04CC" w14:paraId="29EE7516" w14:textId="77777777">
            <w:pPr>
              <w:spacing w:after="0" w:line="240" w:lineRule="auto"/>
              <w:rPr>
                <w:rFonts w:ascii="Times New Roman" w:eastAsia="Times New Roman" w:hAnsi="Times New Roman"/>
                <w:sz w:val="20"/>
                <w:szCs w:val="20"/>
              </w:rPr>
            </w:pPr>
          </w:p>
        </w:tc>
      </w:tr>
      <w:tr w14:paraId="4F1B08F9" w14:textId="77777777" w:rsidTr="00372867">
        <w:tblPrEx>
          <w:tblW w:w="12830" w:type="dxa"/>
          <w:tblInd w:w="-1000" w:type="dxa"/>
          <w:tblLayout w:type="fixed"/>
          <w:tblLook w:val="04A0"/>
        </w:tblPrEx>
        <w:trPr>
          <w:cantSplit/>
          <w:trHeight w:val="220"/>
        </w:trPr>
        <w:tc>
          <w:tcPr>
            <w:tcW w:w="11638" w:type="dxa"/>
            <w:gridSpan w:val="9"/>
            <w:tcBorders>
              <w:top w:val="single" w:sz="8" w:space="0" w:color="000000"/>
              <w:left w:val="single" w:sz="8" w:space="0" w:color="000000"/>
              <w:bottom w:val="single" w:sz="8" w:space="0" w:color="000000"/>
              <w:right w:val="single" w:sz="8" w:space="0" w:color="000000"/>
            </w:tcBorders>
            <w:shd w:val="clear" w:color="auto" w:fill="E2EFD9" w:themeFill="accent6" w:themeFillTint="33"/>
            <w:noWrap/>
          </w:tcPr>
          <w:p w:rsidR="006777F1" w:rsidRPr="005B39D8" w:rsidP="008A04CC" w14:paraId="195C8878"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 xml:space="preserve">1. </w:t>
            </w:r>
            <w:r w:rsidRPr="00B92220">
              <w:rPr>
                <w:rFonts w:ascii="Times New Roman" w:eastAsia="Times New Roman" w:hAnsi="Times New Roman"/>
                <w:b/>
                <w:bCs/>
                <w:color w:val="000000"/>
                <w:sz w:val="20"/>
                <w:szCs w:val="20"/>
                <w:shd w:val="clear" w:color="auto" w:fill="E2EFD9" w:themeFill="accent6" w:themeFillTint="33"/>
              </w:rPr>
              <w:t>Respiratory-Protection Program:  Qualitative Fit Testing for Respirator Use (§§ 1910.1026(g)(2), 1915.1026(f)(2), and 1926.1126(f)(2))</w:t>
            </w:r>
          </w:p>
        </w:tc>
        <w:tc>
          <w:tcPr>
            <w:tcW w:w="956" w:type="dxa"/>
            <w:shd w:val="clear" w:color="auto" w:fill="FFFFFF"/>
            <w:vAlign w:val="center"/>
          </w:tcPr>
          <w:p w:rsidR="006777F1" w:rsidRPr="009301A0" w:rsidP="008A04CC" w14:paraId="0DEC10EE" w14:textId="77777777">
            <w:pPr>
              <w:spacing w:after="0" w:line="240" w:lineRule="auto"/>
              <w:rPr>
                <w:rFonts w:ascii="Times New Roman" w:eastAsia="Times New Roman" w:hAnsi="Times New Roman"/>
                <w:sz w:val="20"/>
                <w:szCs w:val="20"/>
              </w:rPr>
            </w:pPr>
          </w:p>
        </w:tc>
        <w:tc>
          <w:tcPr>
            <w:tcW w:w="236" w:type="dxa"/>
            <w:shd w:val="clear" w:color="auto" w:fill="FFFFFF"/>
            <w:vAlign w:val="center"/>
          </w:tcPr>
          <w:p w:rsidR="006777F1" w:rsidRPr="009301A0" w:rsidP="008A04CC" w14:paraId="345229D1" w14:textId="77777777">
            <w:pPr>
              <w:spacing w:after="0" w:line="240" w:lineRule="auto"/>
              <w:rPr>
                <w:rFonts w:ascii="Times New Roman" w:eastAsia="Times New Roman" w:hAnsi="Times New Roman"/>
                <w:sz w:val="20"/>
                <w:szCs w:val="20"/>
              </w:rPr>
            </w:pPr>
          </w:p>
        </w:tc>
      </w:tr>
      <w:tr w14:paraId="147D96BA" w14:textId="77777777" w:rsidTr="00372867">
        <w:tblPrEx>
          <w:tblW w:w="12830" w:type="dxa"/>
          <w:tblInd w:w="-1000" w:type="dxa"/>
          <w:tblLayout w:type="fixed"/>
          <w:tblLook w:val="04A0"/>
        </w:tblPrEx>
        <w:trPr>
          <w:cantSplit/>
          <w:trHeight w:val="43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5B340E53"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and Industrial Hygiene Technician Time and Cost to Conduct Qualitative Fit Testing (Table 10)</w:t>
            </w:r>
          </w:p>
        </w:tc>
        <w:tc>
          <w:tcPr>
            <w:tcW w:w="1170" w:type="dxa"/>
            <w:tcBorders>
              <w:top w:val="nil"/>
              <w:left w:val="nil"/>
              <w:bottom w:val="single" w:sz="8" w:space="0" w:color="000000"/>
              <w:right w:val="single" w:sz="8" w:space="0" w:color="000000"/>
            </w:tcBorders>
            <w:vAlign w:val="center"/>
            <w:hideMark/>
          </w:tcPr>
          <w:p w:rsidR="006777F1" w:rsidRPr="009301A0" w:rsidP="008A04CC" w14:paraId="77166622"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31591A57"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31,870</w:t>
            </w:r>
          </w:p>
        </w:tc>
        <w:tc>
          <w:tcPr>
            <w:tcW w:w="1170" w:type="dxa"/>
            <w:tcBorders>
              <w:top w:val="nil"/>
              <w:left w:val="nil"/>
              <w:bottom w:val="single" w:sz="8" w:space="0" w:color="000000"/>
              <w:right w:val="single" w:sz="8" w:space="0" w:color="000000"/>
            </w:tcBorders>
            <w:vAlign w:val="center"/>
            <w:hideMark/>
          </w:tcPr>
          <w:p w:rsidR="006777F1" w:rsidRPr="009301A0" w:rsidP="008A04CC" w14:paraId="42545C57"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39673C30"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31,870</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487CDB53" w14:textId="77777777">
            <w:pPr>
              <w:spacing w:after="0" w:line="240" w:lineRule="auto"/>
              <w:jc w:val="center"/>
              <w:rPr>
                <w:rFonts w:ascii="Times New Roman" w:eastAsia="Times New Roman" w:hAnsi="Times New Roman"/>
                <w:color w:val="000000"/>
                <w:sz w:val="20"/>
                <w:szCs w:val="20"/>
              </w:rPr>
            </w:pPr>
            <w:r w:rsidRPr="008E36DC">
              <w:rPr>
                <w:rFonts w:ascii="Times New Roman" w:eastAsia="Times New Roman" w:hAnsi="Times New Roman"/>
                <w:color w:val="000000"/>
                <w:sz w:val="20"/>
                <w:szCs w:val="20"/>
              </w:rPr>
              <w:t>30/60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78F6C97A"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15,935</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2E9C54B8" w14:textId="76E6B66D">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1A21D9">
              <w:rPr>
                <w:rFonts w:ascii="Times New Roman" w:eastAsia="Times New Roman" w:hAnsi="Times New Roman"/>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3E6AD303" w14:textId="603EA8CE">
            <w:pPr>
              <w:spacing w:after="0" w:line="240" w:lineRule="auto"/>
              <w:jc w:val="center"/>
              <w:rPr>
                <w:rFonts w:ascii="Times New Roman" w:eastAsia="Times New Roman" w:hAnsi="Times New Roman"/>
                <w:sz w:val="20"/>
                <w:szCs w:val="20"/>
              </w:rPr>
            </w:pPr>
            <w:r w:rsidRPr="00322B59">
              <w:rPr>
                <w:rFonts w:ascii="Times New Roman" w:eastAsia="Times New Roman" w:hAnsi="Times New Roman"/>
                <w:sz w:val="20"/>
                <w:szCs w:val="20"/>
              </w:rPr>
              <w:t>$593,</w:t>
            </w:r>
            <w:r w:rsidRPr="003E5FFE" w:rsidR="00322B59">
              <w:rPr>
                <w:rFonts w:ascii="Times New Roman" w:eastAsia="Times New Roman" w:hAnsi="Times New Roman"/>
                <w:sz w:val="20"/>
                <w:szCs w:val="20"/>
              </w:rPr>
              <w:t>8</w:t>
            </w:r>
            <w:r w:rsidRPr="00322B59">
              <w:rPr>
                <w:rFonts w:ascii="Times New Roman" w:eastAsia="Times New Roman" w:hAnsi="Times New Roman"/>
                <w:sz w:val="20"/>
                <w:szCs w:val="20"/>
              </w:rPr>
              <w:t>9</w:t>
            </w:r>
            <w:r w:rsidRPr="00322B59" w:rsidR="00322B59">
              <w:rPr>
                <w:rFonts w:ascii="Times New Roman" w:eastAsia="Times New Roman" w:hAnsi="Times New Roman"/>
                <w:sz w:val="20"/>
                <w:szCs w:val="20"/>
              </w:rPr>
              <w:t>7</w:t>
            </w:r>
          </w:p>
        </w:tc>
        <w:tc>
          <w:tcPr>
            <w:tcW w:w="956" w:type="dxa"/>
            <w:vAlign w:val="center"/>
            <w:hideMark/>
          </w:tcPr>
          <w:p w:rsidR="006777F1" w:rsidRPr="009301A0" w:rsidP="008A04CC" w14:paraId="232DEE76"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3421EC93" w14:textId="77777777">
            <w:pPr>
              <w:spacing w:after="0" w:line="240" w:lineRule="auto"/>
              <w:rPr>
                <w:rFonts w:ascii="Times New Roman" w:eastAsia="Times New Roman" w:hAnsi="Times New Roman"/>
                <w:sz w:val="20"/>
                <w:szCs w:val="20"/>
              </w:rPr>
            </w:pPr>
          </w:p>
        </w:tc>
      </w:tr>
      <w:tr w14:paraId="3B3C6F37" w14:textId="77777777" w:rsidTr="00372867">
        <w:tblPrEx>
          <w:tblW w:w="12830" w:type="dxa"/>
          <w:tblInd w:w="-1000" w:type="dxa"/>
          <w:tblLayout w:type="fixed"/>
          <w:tblLook w:val="04A0"/>
        </w:tblPrEx>
        <w:trPr>
          <w:cantSplit/>
          <w:trHeight w:val="43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tcPr>
          <w:p w:rsidR="006777F1" w:rsidRPr="005B39D8" w:rsidP="008A04CC" w14:paraId="310C1073" w14:textId="77777777">
            <w:pPr>
              <w:spacing w:after="0" w:line="240" w:lineRule="auto"/>
              <w:rPr>
                <w:rFonts w:ascii="Times New Roman" w:eastAsia="Times New Roman" w:hAnsi="Times New Roman"/>
                <w:sz w:val="20"/>
                <w:szCs w:val="20"/>
              </w:rPr>
            </w:pPr>
            <w:r w:rsidRPr="005B39D8">
              <w:rPr>
                <w:rFonts w:ascii="Times New Roman" w:eastAsia="Times New Roman" w:hAnsi="Times New Roman"/>
                <w:b/>
                <w:bCs/>
                <w:color w:val="000000"/>
                <w:sz w:val="20"/>
                <w:szCs w:val="20"/>
              </w:rPr>
              <w:t>2. Respiratory-Protection Program:  Quantitative Fit Testing for Respirator Use (§§ 1910.1026(g)(2), 1915.1026(f)(2), and 1926.1126(f)(2))</w:t>
            </w:r>
          </w:p>
        </w:tc>
        <w:tc>
          <w:tcPr>
            <w:tcW w:w="956" w:type="dxa"/>
            <w:vAlign w:val="center"/>
          </w:tcPr>
          <w:p w:rsidR="006777F1" w:rsidRPr="009301A0" w:rsidP="008A04CC" w14:paraId="36DFCC11"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42A47C2C" w14:textId="77777777">
            <w:pPr>
              <w:spacing w:after="0" w:line="240" w:lineRule="auto"/>
              <w:rPr>
                <w:rFonts w:ascii="Times New Roman" w:eastAsia="Times New Roman" w:hAnsi="Times New Roman"/>
                <w:sz w:val="20"/>
                <w:szCs w:val="20"/>
              </w:rPr>
            </w:pPr>
          </w:p>
        </w:tc>
      </w:tr>
      <w:tr w14:paraId="5AB30803" w14:textId="77777777" w:rsidTr="00372867">
        <w:tblPrEx>
          <w:tblW w:w="12830" w:type="dxa"/>
          <w:tblInd w:w="-1000" w:type="dxa"/>
          <w:tblLayout w:type="fixed"/>
          <w:tblLook w:val="04A0"/>
        </w:tblPrEx>
        <w:trPr>
          <w:cantSplit/>
          <w:trHeight w:val="220"/>
        </w:trPr>
        <w:tc>
          <w:tcPr>
            <w:tcW w:w="2638" w:type="dxa"/>
            <w:tcBorders>
              <w:top w:val="single" w:sz="4" w:space="0" w:color="auto"/>
              <w:left w:val="single" w:sz="8" w:space="0" w:color="000000"/>
              <w:bottom w:val="single" w:sz="8" w:space="0" w:color="000000"/>
              <w:right w:val="single" w:sz="8" w:space="0" w:color="000000"/>
            </w:tcBorders>
            <w:vAlign w:val="bottom"/>
            <w:hideMark/>
          </w:tcPr>
          <w:p w:rsidR="006777F1" w:rsidRPr="009301A0" w:rsidP="008A04CC" w14:paraId="1883528C"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Conduct Quantitative Fit Testing (Table 12)</w:t>
            </w:r>
          </w:p>
        </w:tc>
        <w:tc>
          <w:tcPr>
            <w:tcW w:w="1170" w:type="dxa"/>
            <w:tcBorders>
              <w:top w:val="single" w:sz="4" w:space="0" w:color="auto"/>
              <w:left w:val="nil"/>
              <w:bottom w:val="single" w:sz="8" w:space="0" w:color="000000"/>
              <w:right w:val="single" w:sz="8" w:space="0" w:color="000000"/>
            </w:tcBorders>
            <w:vAlign w:val="center"/>
            <w:hideMark/>
          </w:tcPr>
          <w:p w:rsidR="006777F1" w:rsidRPr="009301A0" w:rsidP="008A04CC" w14:paraId="010275DE"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single" w:sz="4" w:space="0" w:color="auto"/>
              <w:left w:val="nil"/>
              <w:bottom w:val="single" w:sz="8" w:space="0" w:color="000000"/>
              <w:right w:val="single" w:sz="8" w:space="0" w:color="000000"/>
            </w:tcBorders>
            <w:vAlign w:val="center"/>
            <w:hideMark/>
          </w:tcPr>
          <w:p w:rsidR="006777F1" w:rsidRPr="009301A0" w:rsidP="008A04CC" w14:paraId="5670712E"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97</w:t>
            </w:r>
          </w:p>
        </w:tc>
        <w:tc>
          <w:tcPr>
            <w:tcW w:w="1170" w:type="dxa"/>
            <w:tcBorders>
              <w:top w:val="single" w:sz="4" w:space="0" w:color="auto"/>
              <w:left w:val="nil"/>
              <w:bottom w:val="single" w:sz="8" w:space="0" w:color="000000"/>
              <w:right w:val="single" w:sz="8" w:space="0" w:color="000000"/>
            </w:tcBorders>
            <w:vAlign w:val="center"/>
            <w:hideMark/>
          </w:tcPr>
          <w:p w:rsidR="006777F1" w:rsidRPr="009301A0" w:rsidP="008A04CC" w14:paraId="32B2E002"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single" w:sz="4" w:space="0" w:color="auto"/>
              <w:left w:val="nil"/>
              <w:bottom w:val="single" w:sz="8" w:space="0" w:color="000000"/>
              <w:right w:val="single" w:sz="8" w:space="0" w:color="000000"/>
            </w:tcBorders>
            <w:shd w:val="clear" w:color="000000" w:fill="FFFFFF"/>
            <w:vAlign w:val="center"/>
            <w:hideMark/>
          </w:tcPr>
          <w:p w:rsidR="006777F1" w:rsidRPr="009301A0" w:rsidP="008A04CC" w14:paraId="13487A0E"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97</w:t>
            </w:r>
          </w:p>
        </w:tc>
        <w:tc>
          <w:tcPr>
            <w:tcW w:w="1260" w:type="dxa"/>
            <w:tcBorders>
              <w:top w:val="single" w:sz="4" w:space="0" w:color="auto"/>
              <w:left w:val="nil"/>
              <w:bottom w:val="single" w:sz="8" w:space="0" w:color="000000"/>
              <w:right w:val="single" w:sz="8" w:space="0" w:color="000000"/>
            </w:tcBorders>
            <w:shd w:val="clear" w:color="000000" w:fill="FFFFFF"/>
            <w:vAlign w:val="center"/>
            <w:hideMark/>
          </w:tcPr>
          <w:p w:rsidR="006777F1" w:rsidRPr="009301A0" w:rsidP="008A04CC" w14:paraId="5E7F2FF2" w14:textId="77777777">
            <w:pPr>
              <w:spacing w:after="0" w:line="240" w:lineRule="auto"/>
              <w:jc w:val="center"/>
              <w:rPr>
                <w:rFonts w:ascii="Times New Roman" w:eastAsia="Times New Roman" w:hAnsi="Times New Roman"/>
                <w:color w:val="000000"/>
                <w:sz w:val="20"/>
                <w:szCs w:val="20"/>
              </w:rPr>
            </w:pPr>
            <w:r w:rsidRPr="008E36DC">
              <w:rPr>
                <w:rFonts w:ascii="Times New Roman" w:eastAsia="Times New Roman" w:hAnsi="Times New Roman"/>
                <w:color w:val="000000"/>
                <w:sz w:val="20"/>
                <w:szCs w:val="20"/>
              </w:rPr>
              <w:t>30/60</w:t>
            </w:r>
          </w:p>
        </w:tc>
        <w:tc>
          <w:tcPr>
            <w:tcW w:w="900" w:type="dxa"/>
            <w:tcBorders>
              <w:top w:val="single" w:sz="4" w:space="0" w:color="auto"/>
              <w:left w:val="nil"/>
              <w:bottom w:val="single" w:sz="8" w:space="0" w:color="000000"/>
              <w:right w:val="single" w:sz="8" w:space="0" w:color="000000"/>
            </w:tcBorders>
            <w:shd w:val="clear" w:color="000000" w:fill="FFFFFF"/>
            <w:vAlign w:val="center"/>
            <w:hideMark/>
          </w:tcPr>
          <w:p w:rsidR="006777F1" w:rsidRPr="009301A0" w:rsidP="008A04CC" w14:paraId="505F2DFB"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49</w:t>
            </w:r>
          </w:p>
        </w:tc>
        <w:tc>
          <w:tcPr>
            <w:tcW w:w="900" w:type="dxa"/>
            <w:tcBorders>
              <w:top w:val="single" w:sz="4" w:space="0" w:color="auto"/>
              <w:left w:val="nil"/>
              <w:bottom w:val="single" w:sz="8" w:space="0" w:color="000000"/>
              <w:right w:val="single" w:sz="8" w:space="0" w:color="000000"/>
            </w:tcBorders>
            <w:shd w:val="clear" w:color="000000" w:fill="FFFFFF"/>
            <w:vAlign w:val="center"/>
            <w:hideMark/>
          </w:tcPr>
          <w:p w:rsidR="006777F1" w:rsidRPr="009301A0" w:rsidP="008A04CC" w14:paraId="6E73D291" w14:textId="1923D95F">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1A21D9">
              <w:rPr>
                <w:rFonts w:ascii="Times New Roman" w:eastAsia="Times New Roman" w:hAnsi="Times New Roman"/>
                <w:sz w:val="20"/>
                <w:szCs w:val="20"/>
              </w:rPr>
              <w:t>7</w:t>
            </w:r>
          </w:p>
        </w:tc>
        <w:tc>
          <w:tcPr>
            <w:tcW w:w="1260" w:type="dxa"/>
            <w:tcBorders>
              <w:top w:val="single" w:sz="4" w:space="0" w:color="auto"/>
              <w:left w:val="nil"/>
              <w:bottom w:val="single" w:sz="8" w:space="0" w:color="000000"/>
              <w:right w:val="single" w:sz="8" w:space="0" w:color="000000"/>
            </w:tcBorders>
            <w:shd w:val="clear" w:color="000000" w:fill="FFFFFF"/>
            <w:vAlign w:val="center"/>
            <w:hideMark/>
          </w:tcPr>
          <w:p w:rsidR="006777F1" w:rsidRPr="009301A0" w:rsidP="008A04CC" w14:paraId="6C620374" w14:textId="33D68EC2">
            <w:pPr>
              <w:spacing w:after="0" w:line="240" w:lineRule="auto"/>
              <w:jc w:val="center"/>
              <w:rPr>
                <w:rFonts w:ascii="Times New Roman" w:eastAsia="Times New Roman" w:hAnsi="Times New Roman"/>
                <w:sz w:val="20"/>
                <w:szCs w:val="20"/>
              </w:rPr>
            </w:pPr>
            <w:r w:rsidRPr="0089326E">
              <w:rPr>
                <w:rFonts w:ascii="Times New Roman" w:eastAsia="Times New Roman" w:hAnsi="Times New Roman"/>
                <w:sz w:val="20"/>
                <w:szCs w:val="20"/>
              </w:rPr>
              <w:t>$1,82</w:t>
            </w:r>
            <w:r w:rsidRPr="0089326E" w:rsidR="0089326E">
              <w:rPr>
                <w:rFonts w:ascii="Times New Roman" w:eastAsia="Times New Roman" w:hAnsi="Times New Roman"/>
                <w:sz w:val="20"/>
                <w:szCs w:val="20"/>
              </w:rPr>
              <w:t>6</w:t>
            </w:r>
          </w:p>
        </w:tc>
        <w:tc>
          <w:tcPr>
            <w:tcW w:w="956" w:type="dxa"/>
            <w:vAlign w:val="center"/>
            <w:hideMark/>
          </w:tcPr>
          <w:p w:rsidR="006777F1" w:rsidRPr="009301A0" w:rsidP="008A04CC" w14:paraId="072B5FDF"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2609A2B0" w14:textId="77777777">
            <w:pPr>
              <w:spacing w:after="0" w:line="240" w:lineRule="auto"/>
              <w:rPr>
                <w:rFonts w:ascii="Times New Roman" w:eastAsia="Times New Roman" w:hAnsi="Times New Roman"/>
                <w:sz w:val="20"/>
                <w:szCs w:val="20"/>
              </w:rPr>
            </w:pPr>
          </w:p>
        </w:tc>
      </w:tr>
      <w:tr w14:paraId="2D38703B" w14:textId="77777777" w:rsidTr="00372867">
        <w:tblPrEx>
          <w:tblW w:w="12830" w:type="dxa"/>
          <w:tblInd w:w="-1000" w:type="dxa"/>
          <w:tblLayout w:type="fixed"/>
          <w:tblLook w:val="04A0"/>
        </w:tblPrEx>
        <w:trPr>
          <w:cantSplit/>
          <w:trHeight w:val="220"/>
        </w:trPr>
        <w:tc>
          <w:tcPr>
            <w:tcW w:w="11638" w:type="dxa"/>
            <w:gridSpan w:val="9"/>
            <w:tcBorders>
              <w:top w:val="single" w:sz="4" w:space="0" w:color="auto"/>
              <w:left w:val="single" w:sz="8" w:space="0" w:color="000000"/>
              <w:bottom w:val="single" w:sz="8" w:space="0" w:color="000000"/>
              <w:right w:val="single" w:sz="8" w:space="0" w:color="000000"/>
            </w:tcBorders>
            <w:shd w:val="clear" w:color="auto" w:fill="E2EFD9" w:themeFill="accent6" w:themeFillTint="33"/>
            <w:vAlign w:val="bottom"/>
          </w:tcPr>
          <w:p w:rsidR="006777F1" w:rsidRPr="005B39D8" w:rsidP="008A04CC" w14:paraId="21473F45"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3. Respiratory-Protection Program:  Medical Questionnaire for Respirator Use (§§ 1910.1026(g)(2), 1915.1026(f)(2), and 1926.1126(f)(2))</w:t>
            </w:r>
          </w:p>
        </w:tc>
        <w:tc>
          <w:tcPr>
            <w:tcW w:w="956" w:type="dxa"/>
            <w:vAlign w:val="center"/>
          </w:tcPr>
          <w:p w:rsidR="006777F1" w:rsidRPr="009301A0" w:rsidP="008A04CC" w14:paraId="45530E49"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1E57E6A8" w14:textId="77777777">
            <w:pPr>
              <w:spacing w:after="0" w:line="240" w:lineRule="auto"/>
              <w:rPr>
                <w:rFonts w:ascii="Times New Roman" w:eastAsia="Times New Roman" w:hAnsi="Times New Roman"/>
                <w:sz w:val="20"/>
                <w:szCs w:val="20"/>
              </w:rPr>
            </w:pPr>
          </w:p>
        </w:tc>
      </w:tr>
      <w:tr w14:paraId="4F2E6BC8" w14:textId="77777777" w:rsidTr="00372867">
        <w:tblPrEx>
          <w:tblW w:w="12830" w:type="dxa"/>
          <w:tblInd w:w="-1000" w:type="dxa"/>
          <w:tblLayout w:type="fixed"/>
          <w:tblLook w:val="04A0"/>
        </w:tblPrEx>
        <w:trPr>
          <w:cantSplit/>
          <w:trHeight w:val="43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69365FEC"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Medical Questionnaire for Respirator Use (Table 14)</w:t>
            </w:r>
          </w:p>
        </w:tc>
        <w:tc>
          <w:tcPr>
            <w:tcW w:w="1170" w:type="dxa"/>
            <w:tcBorders>
              <w:top w:val="nil"/>
              <w:left w:val="nil"/>
              <w:bottom w:val="single" w:sz="8" w:space="0" w:color="000000"/>
              <w:right w:val="single" w:sz="8" w:space="0" w:color="000000"/>
            </w:tcBorders>
            <w:vAlign w:val="center"/>
            <w:hideMark/>
          </w:tcPr>
          <w:p w:rsidR="006777F1" w:rsidRPr="009301A0" w:rsidP="008A04CC" w14:paraId="660ACE6D"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479E28CD"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21,259</w:t>
            </w:r>
          </w:p>
        </w:tc>
        <w:tc>
          <w:tcPr>
            <w:tcW w:w="1170" w:type="dxa"/>
            <w:tcBorders>
              <w:top w:val="nil"/>
              <w:left w:val="nil"/>
              <w:bottom w:val="single" w:sz="8" w:space="0" w:color="000000"/>
              <w:right w:val="single" w:sz="8" w:space="0" w:color="000000"/>
            </w:tcBorders>
            <w:vAlign w:val="center"/>
            <w:hideMark/>
          </w:tcPr>
          <w:p w:rsidR="006777F1" w:rsidRPr="009301A0" w:rsidP="008A04CC" w14:paraId="19902E52"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4B4DBE34"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21,259</w:t>
            </w:r>
          </w:p>
        </w:tc>
        <w:tc>
          <w:tcPr>
            <w:tcW w:w="1260" w:type="dxa"/>
            <w:tcBorders>
              <w:top w:val="nil"/>
              <w:left w:val="nil"/>
              <w:bottom w:val="single" w:sz="8" w:space="0" w:color="000000"/>
              <w:right w:val="single" w:sz="8" w:space="0" w:color="000000"/>
            </w:tcBorders>
            <w:vAlign w:val="center"/>
            <w:hideMark/>
          </w:tcPr>
          <w:p w:rsidR="006777F1" w:rsidRPr="009301A0" w:rsidP="008A04CC" w14:paraId="0086B67F" w14:textId="77777777">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10/60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4B13E54D"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3,543</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55509988" w14:textId="65CA376B">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37.2</w:t>
            </w:r>
            <w:r w:rsidR="001A21D9">
              <w:rPr>
                <w:rFonts w:ascii="Times New Roman" w:eastAsia="Times New Roman" w:hAnsi="Times New Roman"/>
                <w:color w:val="000000"/>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101EE48E" w14:textId="1A16548F">
            <w:pPr>
              <w:spacing w:after="0" w:line="240" w:lineRule="auto"/>
              <w:jc w:val="center"/>
              <w:rPr>
                <w:rFonts w:ascii="Times New Roman" w:eastAsia="Times New Roman" w:hAnsi="Times New Roman"/>
                <w:color w:val="000000"/>
                <w:sz w:val="20"/>
                <w:szCs w:val="20"/>
              </w:rPr>
            </w:pPr>
            <w:r w:rsidRPr="00A405A2">
              <w:rPr>
                <w:rFonts w:ascii="Times New Roman" w:eastAsia="Times New Roman" w:hAnsi="Times New Roman"/>
                <w:color w:val="000000"/>
                <w:sz w:val="20"/>
                <w:szCs w:val="20"/>
              </w:rPr>
              <w:t>$13</w:t>
            </w:r>
            <w:r w:rsidRPr="00A405A2" w:rsidR="00A405A2">
              <w:rPr>
                <w:rFonts w:ascii="Times New Roman" w:eastAsia="Times New Roman" w:hAnsi="Times New Roman"/>
                <w:color w:val="000000"/>
                <w:sz w:val="20"/>
                <w:szCs w:val="20"/>
              </w:rPr>
              <w:t>2,048</w:t>
            </w:r>
          </w:p>
        </w:tc>
        <w:tc>
          <w:tcPr>
            <w:tcW w:w="956" w:type="dxa"/>
            <w:vAlign w:val="center"/>
            <w:hideMark/>
          </w:tcPr>
          <w:p w:rsidR="006777F1" w:rsidRPr="009301A0" w:rsidP="008A04CC" w14:paraId="0C32CF84"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144FA9B6" w14:textId="77777777">
            <w:pPr>
              <w:spacing w:after="0" w:line="240" w:lineRule="auto"/>
              <w:rPr>
                <w:rFonts w:ascii="Times New Roman" w:eastAsia="Times New Roman" w:hAnsi="Times New Roman"/>
                <w:sz w:val="20"/>
                <w:szCs w:val="20"/>
              </w:rPr>
            </w:pPr>
          </w:p>
        </w:tc>
      </w:tr>
      <w:tr w14:paraId="5AD2C1BC" w14:textId="77777777" w:rsidTr="00372867">
        <w:tblPrEx>
          <w:tblW w:w="12830" w:type="dxa"/>
          <w:tblInd w:w="-1000" w:type="dxa"/>
          <w:tblLayout w:type="fixed"/>
          <w:tblLook w:val="04A0"/>
        </w:tblPrEx>
        <w:trPr>
          <w:cantSplit/>
          <w:trHeight w:val="43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tcPr>
          <w:p w:rsidR="006777F1" w:rsidRPr="005B39D8" w:rsidP="008A04CC" w14:paraId="42E9A821" w14:textId="77777777">
            <w:pPr>
              <w:spacing w:after="0" w:line="240" w:lineRule="auto"/>
              <w:rPr>
                <w:rFonts w:ascii="Times New Roman" w:eastAsia="Times New Roman" w:hAnsi="Times New Roman"/>
                <w:sz w:val="20"/>
                <w:szCs w:val="20"/>
              </w:rPr>
            </w:pPr>
            <w:r w:rsidRPr="005B39D8">
              <w:rPr>
                <w:rFonts w:ascii="Times New Roman" w:eastAsia="Times New Roman" w:hAnsi="Times New Roman"/>
                <w:b/>
                <w:bCs/>
                <w:color w:val="000000"/>
                <w:sz w:val="20"/>
                <w:szCs w:val="20"/>
              </w:rPr>
              <w:t>4. Respiratory-Protection Program:  Follow-up Medical Examination for Respirator Use (§§ 1910.1026(g)(2), 1915.1026(f)(2), and 1926.1126(f)(2))</w:t>
            </w:r>
          </w:p>
        </w:tc>
        <w:tc>
          <w:tcPr>
            <w:tcW w:w="956" w:type="dxa"/>
            <w:vAlign w:val="center"/>
          </w:tcPr>
          <w:p w:rsidR="006777F1" w:rsidRPr="009301A0" w:rsidP="008A04CC" w14:paraId="18E3D6FA"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77BAF841" w14:textId="77777777">
            <w:pPr>
              <w:spacing w:after="0" w:line="240" w:lineRule="auto"/>
              <w:rPr>
                <w:rFonts w:ascii="Times New Roman" w:eastAsia="Times New Roman" w:hAnsi="Times New Roman"/>
                <w:sz w:val="20"/>
                <w:szCs w:val="20"/>
              </w:rPr>
            </w:pPr>
          </w:p>
        </w:tc>
      </w:tr>
      <w:tr w14:paraId="1DCEFFFA" w14:textId="77777777" w:rsidTr="00372867">
        <w:tblPrEx>
          <w:tblW w:w="12830" w:type="dxa"/>
          <w:tblInd w:w="-1000" w:type="dxa"/>
          <w:tblLayout w:type="fixed"/>
          <w:tblLook w:val="04A0"/>
        </w:tblPrEx>
        <w:trPr>
          <w:cantSplit/>
          <w:trHeight w:val="43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625F2755"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Medical Examination for Respirator Use (Table 16)</w:t>
            </w:r>
          </w:p>
        </w:tc>
        <w:tc>
          <w:tcPr>
            <w:tcW w:w="1170" w:type="dxa"/>
            <w:tcBorders>
              <w:top w:val="nil"/>
              <w:left w:val="nil"/>
              <w:bottom w:val="single" w:sz="8" w:space="0" w:color="000000"/>
              <w:right w:val="single" w:sz="8" w:space="0" w:color="000000"/>
            </w:tcBorders>
            <w:vAlign w:val="center"/>
            <w:hideMark/>
          </w:tcPr>
          <w:p w:rsidR="006777F1" w:rsidRPr="009301A0" w:rsidP="008A04CC" w14:paraId="7774C024"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54FC243B"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4,888</w:t>
            </w:r>
          </w:p>
        </w:tc>
        <w:tc>
          <w:tcPr>
            <w:tcW w:w="1170" w:type="dxa"/>
            <w:tcBorders>
              <w:top w:val="nil"/>
              <w:left w:val="nil"/>
              <w:bottom w:val="single" w:sz="8" w:space="0" w:color="000000"/>
              <w:right w:val="single" w:sz="8" w:space="0" w:color="000000"/>
            </w:tcBorders>
            <w:vAlign w:val="center"/>
            <w:hideMark/>
          </w:tcPr>
          <w:p w:rsidR="006777F1" w:rsidRPr="009301A0" w:rsidP="008A04CC" w14:paraId="6806CEB6"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68350FCE"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4,888</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56AC3D0F"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3.00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28AF3F85"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14,664</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66248756" w14:textId="679E66A3">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1A21D9">
              <w:rPr>
                <w:rFonts w:ascii="Times New Roman" w:eastAsia="Times New Roman" w:hAnsi="Times New Roman"/>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2268ED06" w14:textId="665DEB7D">
            <w:pPr>
              <w:spacing w:after="0" w:line="240" w:lineRule="auto"/>
              <w:jc w:val="center"/>
              <w:rPr>
                <w:rFonts w:ascii="Times New Roman" w:eastAsia="Times New Roman" w:hAnsi="Times New Roman"/>
                <w:sz w:val="20"/>
                <w:szCs w:val="20"/>
              </w:rPr>
            </w:pPr>
            <w:r w:rsidRPr="00FF3575">
              <w:rPr>
                <w:rFonts w:ascii="Times New Roman" w:eastAsia="Times New Roman" w:hAnsi="Times New Roman"/>
                <w:sz w:val="20"/>
                <w:szCs w:val="20"/>
              </w:rPr>
              <w:t>$546,</w:t>
            </w:r>
            <w:r w:rsidRPr="00FF3575" w:rsidR="00FF3575">
              <w:rPr>
                <w:rFonts w:ascii="Times New Roman" w:eastAsia="Times New Roman" w:hAnsi="Times New Roman"/>
                <w:sz w:val="20"/>
                <w:szCs w:val="20"/>
              </w:rPr>
              <w:t>527</w:t>
            </w:r>
          </w:p>
        </w:tc>
        <w:tc>
          <w:tcPr>
            <w:tcW w:w="956" w:type="dxa"/>
            <w:vAlign w:val="center"/>
            <w:hideMark/>
          </w:tcPr>
          <w:p w:rsidR="006777F1" w:rsidRPr="009301A0" w:rsidP="008A04CC" w14:paraId="2E59BF8B"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44161276" w14:textId="77777777">
            <w:pPr>
              <w:spacing w:after="0" w:line="240" w:lineRule="auto"/>
              <w:rPr>
                <w:rFonts w:ascii="Times New Roman" w:eastAsia="Times New Roman" w:hAnsi="Times New Roman"/>
                <w:sz w:val="20"/>
                <w:szCs w:val="20"/>
              </w:rPr>
            </w:pPr>
          </w:p>
        </w:tc>
      </w:tr>
      <w:tr w14:paraId="76F7155E" w14:textId="77777777" w:rsidTr="00372867">
        <w:tblPrEx>
          <w:tblW w:w="12830" w:type="dxa"/>
          <w:tblInd w:w="-1000" w:type="dxa"/>
          <w:tblLayout w:type="fixed"/>
          <w:tblLook w:val="04A0"/>
        </w:tblPrEx>
        <w:trPr>
          <w:cantSplit/>
          <w:trHeight w:val="430"/>
        </w:trPr>
        <w:tc>
          <w:tcPr>
            <w:tcW w:w="11638" w:type="dxa"/>
            <w:gridSpan w:val="9"/>
            <w:tcBorders>
              <w:top w:val="nil"/>
              <w:left w:val="single" w:sz="8" w:space="0" w:color="000000"/>
              <w:bottom w:val="single" w:sz="8" w:space="0" w:color="000000"/>
              <w:right w:val="single" w:sz="8" w:space="0" w:color="000000"/>
            </w:tcBorders>
            <w:shd w:val="clear" w:color="auto" w:fill="FEF2CC" w:themeFill="accent4" w:themeFillTint="33"/>
          </w:tcPr>
          <w:p w:rsidR="006777F1" w:rsidRPr="005B39D8" w:rsidP="008A04CC" w14:paraId="293EDBC2" w14:textId="77777777">
            <w:pPr>
              <w:spacing w:after="0" w:line="240" w:lineRule="auto"/>
              <w:rPr>
                <w:rFonts w:ascii="Times New Roman" w:eastAsia="Times New Roman" w:hAnsi="Times New Roman"/>
                <w:sz w:val="20"/>
                <w:szCs w:val="20"/>
              </w:rPr>
            </w:pPr>
            <w:r w:rsidRPr="005B39D8">
              <w:rPr>
                <w:rFonts w:ascii="Times New Roman" w:eastAsia="Times New Roman" w:hAnsi="Times New Roman"/>
                <w:b/>
                <w:bCs/>
                <w:color w:val="000000"/>
                <w:sz w:val="20"/>
                <w:szCs w:val="20"/>
              </w:rPr>
              <w:t>C. Protective Work Clothing and Equipment (§§1910.1026(h), 1915.1026(g), and 1926.1126(g))</w:t>
            </w:r>
          </w:p>
        </w:tc>
        <w:tc>
          <w:tcPr>
            <w:tcW w:w="956" w:type="dxa"/>
            <w:vAlign w:val="center"/>
          </w:tcPr>
          <w:p w:rsidR="006777F1" w:rsidRPr="009301A0" w:rsidP="008A04CC" w14:paraId="6B817552"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607EAE71" w14:textId="77777777">
            <w:pPr>
              <w:spacing w:after="0" w:line="240" w:lineRule="auto"/>
              <w:rPr>
                <w:rFonts w:ascii="Times New Roman" w:eastAsia="Times New Roman" w:hAnsi="Times New Roman"/>
                <w:sz w:val="20"/>
                <w:szCs w:val="20"/>
              </w:rPr>
            </w:pPr>
          </w:p>
        </w:tc>
      </w:tr>
      <w:tr w14:paraId="70143943" w14:textId="77777777" w:rsidTr="00372867">
        <w:tblPrEx>
          <w:tblW w:w="12830" w:type="dxa"/>
          <w:tblInd w:w="-1000" w:type="dxa"/>
          <w:tblLayout w:type="fixed"/>
          <w:tblLook w:val="04A0"/>
        </w:tblPrEx>
        <w:trPr>
          <w:cantSplit/>
          <w:trHeight w:val="232"/>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tcPr>
          <w:p w:rsidR="006777F1" w:rsidRPr="005B39D8" w:rsidP="008A04CC" w14:paraId="7FFB9BB3" w14:textId="77777777">
            <w:pPr>
              <w:spacing w:after="0" w:line="240" w:lineRule="auto"/>
              <w:rPr>
                <w:rFonts w:ascii="Times New Roman" w:eastAsia="Times New Roman" w:hAnsi="Times New Roman"/>
                <w:sz w:val="20"/>
                <w:szCs w:val="20"/>
              </w:rPr>
            </w:pPr>
            <w:r w:rsidRPr="00B92220">
              <w:rPr>
                <w:rFonts w:ascii="Times New Roman" w:eastAsia="Times New Roman" w:hAnsi="Times New Roman"/>
                <w:b/>
                <w:bCs/>
                <w:color w:val="000000"/>
                <w:sz w:val="20"/>
                <w:szCs w:val="20"/>
                <w:shd w:val="clear" w:color="auto" w:fill="E2EFD9" w:themeFill="accent6" w:themeFillTint="33"/>
              </w:rPr>
              <w:t>1. Removal and Storage (§§ 1910.1026(h)(2)(iv), 1915.1026(g)(2)(iv), and 1926.1126(g)(2</w:t>
            </w:r>
            <w:r w:rsidRPr="005B39D8">
              <w:rPr>
                <w:rFonts w:ascii="Times New Roman" w:eastAsia="Times New Roman" w:hAnsi="Times New Roman"/>
                <w:b/>
                <w:bCs/>
                <w:color w:val="000000"/>
                <w:sz w:val="20"/>
                <w:szCs w:val="20"/>
              </w:rPr>
              <w:t>)(iv))</w:t>
            </w:r>
          </w:p>
        </w:tc>
        <w:tc>
          <w:tcPr>
            <w:tcW w:w="956" w:type="dxa"/>
            <w:vAlign w:val="center"/>
          </w:tcPr>
          <w:p w:rsidR="006777F1" w:rsidRPr="009301A0" w:rsidP="008A04CC" w14:paraId="7291193C"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438212B3" w14:textId="77777777">
            <w:pPr>
              <w:spacing w:after="0" w:line="240" w:lineRule="auto"/>
              <w:rPr>
                <w:rFonts w:ascii="Times New Roman" w:eastAsia="Times New Roman" w:hAnsi="Times New Roman"/>
                <w:sz w:val="20"/>
                <w:szCs w:val="20"/>
              </w:rPr>
            </w:pPr>
          </w:p>
        </w:tc>
      </w:tr>
      <w:tr w14:paraId="2D8D776A" w14:textId="77777777" w:rsidTr="00372867">
        <w:tblPrEx>
          <w:tblW w:w="12830" w:type="dxa"/>
          <w:tblInd w:w="-1000" w:type="dxa"/>
          <w:tblLayout w:type="fixed"/>
          <w:tblLook w:val="04A0"/>
        </w:tblPrEx>
        <w:trPr>
          <w:cantSplit/>
          <w:trHeight w:val="640"/>
        </w:trPr>
        <w:tc>
          <w:tcPr>
            <w:tcW w:w="2638" w:type="dxa"/>
            <w:tcBorders>
              <w:top w:val="single" w:sz="8" w:space="0" w:color="000000"/>
              <w:left w:val="single" w:sz="8" w:space="0" w:color="000000"/>
              <w:bottom w:val="single" w:sz="8" w:space="0" w:color="000000"/>
              <w:right w:val="single" w:sz="8" w:space="0" w:color="000000"/>
            </w:tcBorders>
            <w:hideMark/>
          </w:tcPr>
          <w:p w:rsidR="006777F1" w:rsidRPr="00B92220" w:rsidP="008A04CC" w14:paraId="52E5B02E" w14:textId="39975F6D">
            <w:pPr>
              <w:spacing w:after="0" w:line="240" w:lineRule="auto"/>
              <w:rPr>
                <w:rFonts w:ascii="Times New Roman" w:eastAsia="Times New Roman" w:hAnsi="Times New Roman"/>
                <w:sz w:val="20"/>
                <w:szCs w:val="20"/>
              </w:rPr>
            </w:pPr>
            <w:r w:rsidRPr="00B92220">
              <w:rPr>
                <w:rFonts w:ascii="Times New Roman" w:eastAsia="Times New Roman" w:hAnsi="Times New Roman"/>
                <w:sz w:val="20"/>
                <w:szCs w:val="20"/>
              </w:rPr>
              <w:t xml:space="preserve">Employer Cost to Affix Cr(VI) Hazard-Warning Labels for Bags or Containers Used to Store Cr(VI)-Contaminated Protective Clothing or Equipment </w:t>
            </w:r>
            <w:r>
              <w:rPr>
                <w:rFonts w:ascii="Times New Roman" w:eastAsia="Times New Roman" w:hAnsi="Times New Roman"/>
                <w:sz w:val="20"/>
                <w:szCs w:val="20"/>
              </w:rPr>
              <w:t xml:space="preserve">       </w:t>
            </w:r>
            <w:r w:rsidRPr="00B92220">
              <w:rPr>
                <w:rFonts w:ascii="Times New Roman" w:eastAsia="Times New Roman" w:hAnsi="Times New Roman"/>
                <w:sz w:val="20"/>
                <w:szCs w:val="20"/>
              </w:rPr>
              <w:t>(Table 18 (a))</w:t>
            </w:r>
          </w:p>
        </w:tc>
        <w:tc>
          <w:tcPr>
            <w:tcW w:w="1170" w:type="dxa"/>
            <w:tcBorders>
              <w:top w:val="single" w:sz="8" w:space="0" w:color="000000"/>
              <w:left w:val="nil"/>
              <w:bottom w:val="single" w:sz="8" w:space="0" w:color="000000"/>
              <w:right w:val="single" w:sz="8" w:space="0" w:color="000000"/>
            </w:tcBorders>
            <w:vAlign w:val="center"/>
            <w:hideMark/>
          </w:tcPr>
          <w:p w:rsidR="006777F1" w:rsidRPr="009301A0" w:rsidP="008A04CC" w14:paraId="50A4C3D4"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Clerical</w:t>
            </w:r>
          </w:p>
        </w:tc>
        <w:tc>
          <w:tcPr>
            <w:tcW w:w="1260" w:type="dxa"/>
            <w:tcBorders>
              <w:top w:val="single" w:sz="8" w:space="0" w:color="000000"/>
              <w:left w:val="nil"/>
              <w:bottom w:val="single" w:sz="8" w:space="0" w:color="000000"/>
              <w:right w:val="single" w:sz="8" w:space="0" w:color="000000"/>
            </w:tcBorders>
            <w:vAlign w:val="center"/>
            <w:hideMark/>
          </w:tcPr>
          <w:p w:rsidR="006777F1" w:rsidRPr="009301A0" w:rsidP="008A04CC" w14:paraId="5BF9842A"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10,512</w:t>
            </w:r>
          </w:p>
        </w:tc>
        <w:tc>
          <w:tcPr>
            <w:tcW w:w="1170" w:type="dxa"/>
            <w:tcBorders>
              <w:top w:val="single" w:sz="8" w:space="0" w:color="000000"/>
              <w:left w:val="nil"/>
              <w:bottom w:val="single" w:sz="8" w:space="0" w:color="000000"/>
              <w:right w:val="single" w:sz="8" w:space="0" w:color="000000"/>
            </w:tcBorders>
            <w:vAlign w:val="center"/>
            <w:hideMark/>
          </w:tcPr>
          <w:p w:rsidR="006777F1" w:rsidRPr="009301A0" w:rsidP="008A04CC" w14:paraId="0E502B88"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9301A0" w:rsidP="008A04CC" w14:paraId="34A2C5F1"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10,512</w:t>
            </w:r>
          </w:p>
        </w:tc>
        <w:tc>
          <w:tcPr>
            <w:tcW w:w="126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2E346C" w:rsidP="008A04CC" w14:paraId="6390779B" w14:textId="77777777">
            <w:pPr>
              <w:spacing w:after="0" w:line="240" w:lineRule="auto"/>
              <w:jc w:val="center"/>
              <w:rPr>
                <w:rFonts w:ascii="Times New Roman" w:eastAsia="Times New Roman" w:hAnsi="Times New Roman"/>
                <w:color w:val="000000"/>
                <w:sz w:val="20"/>
                <w:szCs w:val="20"/>
              </w:rPr>
            </w:pPr>
            <w:r w:rsidRPr="002E346C">
              <w:rPr>
                <w:rFonts w:ascii="Times New Roman" w:eastAsia="Times New Roman" w:hAnsi="Times New Roman"/>
                <w:color w:val="000000"/>
                <w:sz w:val="20"/>
                <w:szCs w:val="20"/>
              </w:rPr>
              <w:t>1/60</w:t>
            </w:r>
          </w:p>
        </w:tc>
        <w:tc>
          <w:tcPr>
            <w:tcW w:w="90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2E346C" w:rsidP="008A04CC" w14:paraId="384952F8"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175</w:t>
            </w:r>
          </w:p>
        </w:tc>
        <w:tc>
          <w:tcPr>
            <w:tcW w:w="90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5746CA" w:rsidP="008A04CC" w14:paraId="7000CFE1" w14:textId="77777777">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31.02</w:t>
            </w:r>
          </w:p>
        </w:tc>
        <w:tc>
          <w:tcPr>
            <w:tcW w:w="1260" w:type="dxa"/>
            <w:tcBorders>
              <w:top w:val="single" w:sz="8" w:space="0" w:color="000000"/>
              <w:left w:val="nil"/>
              <w:bottom w:val="single" w:sz="8" w:space="0" w:color="000000"/>
              <w:right w:val="single" w:sz="8" w:space="0" w:color="000000"/>
            </w:tcBorders>
            <w:shd w:val="clear" w:color="000000" w:fill="FFFFFF"/>
            <w:vAlign w:val="center"/>
            <w:hideMark/>
          </w:tcPr>
          <w:p w:rsidR="006777F1" w:rsidRPr="005746CA" w:rsidP="008A04CC" w14:paraId="6A33D822" w14:textId="77777777">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5,429</w:t>
            </w:r>
          </w:p>
        </w:tc>
        <w:tc>
          <w:tcPr>
            <w:tcW w:w="956" w:type="dxa"/>
            <w:vAlign w:val="center"/>
            <w:hideMark/>
          </w:tcPr>
          <w:p w:rsidR="006777F1" w:rsidRPr="009301A0" w:rsidP="008A04CC" w14:paraId="61F771AF"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6CD11E8A" w14:textId="77777777">
            <w:pPr>
              <w:spacing w:after="0" w:line="240" w:lineRule="auto"/>
              <w:rPr>
                <w:rFonts w:ascii="Times New Roman" w:eastAsia="Times New Roman" w:hAnsi="Times New Roman"/>
                <w:sz w:val="20"/>
                <w:szCs w:val="20"/>
              </w:rPr>
            </w:pPr>
          </w:p>
        </w:tc>
      </w:tr>
      <w:tr w14:paraId="122096AF" w14:textId="77777777" w:rsidTr="00372867">
        <w:tblPrEx>
          <w:tblW w:w="12830" w:type="dxa"/>
          <w:tblInd w:w="-1000" w:type="dxa"/>
          <w:tblLayout w:type="fixed"/>
          <w:tblLook w:val="04A0"/>
        </w:tblPrEx>
        <w:trPr>
          <w:cantSplit/>
          <w:trHeight w:val="376"/>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noWrap/>
            <w:hideMark/>
          </w:tcPr>
          <w:p w:rsidR="006777F1" w:rsidRPr="009301A0" w:rsidP="008A04CC" w14:paraId="272AEAE9" w14:textId="77777777">
            <w:pPr>
              <w:shd w:val="clear" w:color="auto" w:fill="E2EFD9" w:themeFill="accent6" w:themeFillTint="33"/>
              <w:spacing w:after="0" w:line="240" w:lineRule="auto"/>
              <w:rPr>
                <w:rFonts w:ascii="Times New Roman" w:eastAsia="Times New Roman" w:hAnsi="Times New Roman"/>
                <w:b/>
                <w:bCs/>
                <w:color w:val="000000"/>
                <w:sz w:val="20"/>
                <w:szCs w:val="20"/>
              </w:rPr>
            </w:pPr>
            <w:r w:rsidRPr="009301A0">
              <w:rPr>
                <w:rFonts w:ascii="Times New Roman" w:eastAsia="Times New Roman" w:hAnsi="Times New Roman"/>
                <w:b/>
                <w:bCs/>
                <w:color w:val="000000"/>
                <w:sz w:val="20"/>
                <w:szCs w:val="20"/>
              </w:rPr>
              <w:t>2. Cleaning and Replacement (§§ 1910.1026(h)(3)(iii), 1915.1026(g)(3)(iii), and 1926.1126(g)(3)(iii))  </w:t>
            </w:r>
          </w:p>
        </w:tc>
        <w:tc>
          <w:tcPr>
            <w:tcW w:w="956" w:type="dxa"/>
            <w:shd w:val="clear" w:color="auto" w:fill="FFFFFF"/>
            <w:vAlign w:val="center"/>
            <w:hideMark/>
          </w:tcPr>
          <w:p w:rsidR="006777F1" w:rsidRPr="009301A0" w:rsidP="008A04CC" w14:paraId="3482B879" w14:textId="77777777">
            <w:pPr>
              <w:spacing w:after="0" w:line="240" w:lineRule="auto"/>
              <w:rPr>
                <w:rFonts w:ascii="Times New Roman" w:eastAsia="Times New Roman" w:hAnsi="Times New Roman"/>
                <w:sz w:val="20"/>
                <w:szCs w:val="20"/>
              </w:rPr>
            </w:pPr>
          </w:p>
        </w:tc>
        <w:tc>
          <w:tcPr>
            <w:tcW w:w="236" w:type="dxa"/>
            <w:shd w:val="clear" w:color="auto" w:fill="FFFFFF"/>
            <w:vAlign w:val="center"/>
            <w:hideMark/>
          </w:tcPr>
          <w:p w:rsidR="006777F1" w:rsidRPr="009301A0" w:rsidP="008A04CC" w14:paraId="15EBCCE8" w14:textId="77777777">
            <w:pPr>
              <w:spacing w:after="0" w:line="240" w:lineRule="auto"/>
              <w:rPr>
                <w:rFonts w:ascii="Times New Roman" w:eastAsia="Times New Roman" w:hAnsi="Times New Roman"/>
                <w:sz w:val="20"/>
                <w:szCs w:val="20"/>
              </w:rPr>
            </w:pPr>
          </w:p>
        </w:tc>
      </w:tr>
      <w:tr w14:paraId="147AC1F6" w14:textId="77777777" w:rsidTr="00372867">
        <w:tblPrEx>
          <w:tblW w:w="12830" w:type="dxa"/>
          <w:tblInd w:w="-1000" w:type="dxa"/>
          <w:tblLayout w:type="fixed"/>
          <w:tblLook w:val="04A0"/>
        </w:tblPrEx>
        <w:trPr>
          <w:cantSplit/>
          <w:trHeight w:val="430"/>
        </w:trPr>
        <w:tc>
          <w:tcPr>
            <w:tcW w:w="2638" w:type="dxa"/>
            <w:tcBorders>
              <w:top w:val="nil"/>
              <w:left w:val="single" w:sz="8" w:space="0" w:color="000000"/>
              <w:bottom w:val="single" w:sz="8" w:space="0" w:color="000000"/>
              <w:right w:val="single" w:sz="8" w:space="0" w:color="000000"/>
            </w:tcBorders>
            <w:hideMark/>
          </w:tcPr>
          <w:p w:rsidR="006777F1" w:rsidRPr="009301A0" w:rsidP="008A04CC" w14:paraId="0741661C"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Supervisor Time and Cost to Inform Laundry Contractor About Cr(VI)-Contaminated Protective Clothing or Equipment (Table 19)</w:t>
            </w:r>
          </w:p>
        </w:tc>
        <w:tc>
          <w:tcPr>
            <w:tcW w:w="1170" w:type="dxa"/>
            <w:tcBorders>
              <w:top w:val="nil"/>
              <w:left w:val="nil"/>
              <w:bottom w:val="single" w:sz="8" w:space="0" w:color="000000"/>
              <w:right w:val="single" w:sz="8" w:space="0" w:color="000000"/>
            </w:tcBorders>
            <w:vAlign w:val="center"/>
            <w:hideMark/>
          </w:tcPr>
          <w:p w:rsidR="006777F1" w:rsidRPr="009301A0" w:rsidP="008A04CC" w14:paraId="72F6EBED"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05C5E64D"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20,422</w:t>
            </w:r>
          </w:p>
        </w:tc>
        <w:tc>
          <w:tcPr>
            <w:tcW w:w="1170" w:type="dxa"/>
            <w:tcBorders>
              <w:top w:val="nil"/>
              <w:left w:val="nil"/>
              <w:bottom w:val="single" w:sz="8" w:space="0" w:color="000000"/>
              <w:right w:val="single" w:sz="8" w:space="0" w:color="000000"/>
            </w:tcBorders>
            <w:vAlign w:val="center"/>
            <w:hideMark/>
          </w:tcPr>
          <w:p w:rsidR="006777F1" w:rsidRPr="009301A0" w:rsidP="008A04CC" w14:paraId="1420CD8D"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497A48D4"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20,422</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FF3CDB" w:rsidP="008A04CC" w14:paraId="7348C61A" w14:textId="77777777">
            <w:pPr>
              <w:spacing w:after="0" w:line="240" w:lineRule="auto"/>
              <w:jc w:val="center"/>
              <w:rPr>
                <w:rFonts w:ascii="Times New Roman" w:eastAsia="Times New Roman" w:hAnsi="Times New Roman"/>
                <w:color w:val="000000"/>
                <w:sz w:val="20"/>
                <w:szCs w:val="20"/>
              </w:rPr>
            </w:pPr>
            <w:r w:rsidRPr="00FF3CDB">
              <w:rPr>
                <w:rFonts w:ascii="Times New Roman" w:eastAsia="Times New Roman" w:hAnsi="Times New Roman"/>
                <w:color w:val="000000"/>
                <w:sz w:val="20"/>
                <w:szCs w:val="20"/>
              </w:rPr>
              <w:t>5/60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FF3CDB" w:rsidP="008A04CC" w14:paraId="49E4D286"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1,702</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6A6D3AEA" w14:textId="77777777">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48.74</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5746CA" w:rsidP="008A04CC" w14:paraId="7B7A13D9" w14:textId="77777777">
            <w:pPr>
              <w:spacing w:after="0" w:line="240" w:lineRule="auto"/>
              <w:jc w:val="center"/>
              <w:rPr>
                <w:rFonts w:ascii="Times New Roman" w:eastAsia="Times New Roman" w:hAnsi="Times New Roman"/>
                <w:color w:val="000000"/>
                <w:sz w:val="20"/>
                <w:szCs w:val="20"/>
              </w:rPr>
            </w:pPr>
            <w:r w:rsidRPr="005746CA">
              <w:rPr>
                <w:rFonts w:ascii="Times New Roman" w:eastAsia="Times New Roman" w:hAnsi="Times New Roman"/>
                <w:color w:val="000000"/>
                <w:sz w:val="20"/>
                <w:szCs w:val="20"/>
              </w:rPr>
              <w:t>$</w:t>
            </w:r>
            <w:r>
              <w:rPr>
                <w:rFonts w:ascii="Times New Roman" w:eastAsia="Times New Roman" w:hAnsi="Times New Roman"/>
                <w:color w:val="000000"/>
                <w:sz w:val="20"/>
                <w:szCs w:val="20"/>
              </w:rPr>
              <w:t>82,955</w:t>
            </w:r>
          </w:p>
        </w:tc>
        <w:tc>
          <w:tcPr>
            <w:tcW w:w="956" w:type="dxa"/>
            <w:vAlign w:val="center"/>
            <w:hideMark/>
          </w:tcPr>
          <w:p w:rsidR="006777F1" w:rsidRPr="009301A0" w:rsidP="008A04CC" w14:paraId="15585ACE"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79A044C2" w14:textId="77777777">
            <w:pPr>
              <w:spacing w:after="0" w:line="240" w:lineRule="auto"/>
              <w:rPr>
                <w:rFonts w:ascii="Times New Roman" w:eastAsia="Times New Roman" w:hAnsi="Times New Roman"/>
                <w:sz w:val="20"/>
                <w:szCs w:val="20"/>
              </w:rPr>
            </w:pPr>
          </w:p>
        </w:tc>
      </w:tr>
      <w:tr w14:paraId="7A82B63C" w14:textId="77777777" w:rsidTr="00372867">
        <w:tblPrEx>
          <w:tblW w:w="12830" w:type="dxa"/>
          <w:tblInd w:w="-1000" w:type="dxa"/>
          <w:tblLayout w:type="fixed"/>
          <w:tblLook w:val="04A0"/>
        </w:tblPrEx>
        <w:trPr>
          <w:cantSplit/>
          <w:trHeight w:val="220"/>
        </w:trPr>
        <w:tc>
          <w:tcPr>
            <w:tcW w:w="11638" w:type="dxa"/>
            <w:gridSpan w:val="9"/>
            <w:tcBorders>
              <w:top w:val="single" w:sz="8" w:space="0" w:color="000000"/>
              <w:left w:val="single" w:sz="8" w:space="0" w:color="000000"/>
              <w:bottom w:val="single" w:sz="8" w:space="0" w:color="000000"/>
              <w:right w:val="single" w:sz="8" w:space="0" w:color="000000"/>
            </w:tcBorders>
            <w:shd w:val="clear" w:color="auto" w:fill="FEF2CC" w:themeFill="accent4" w:themeFillTint="33"/>
            <w:noWrap/>
            <w:hideMark/>
          </w:tcPr>
          <w:p w:rsidR="00397658" w:rsidRPr="009301A0" w:rsidP="008A04CC" w14:paraId="7E695D72" w14:textId="7CD86268">
            <w:pPr>
              <w:spacing w:after="0" w:line="240" w:lineRule="auto"/>
              <w:rPr>
                <w:rFonts w:ascii="Times New Roman" w:eastAsia="Times New Roman" w:hAnsi="Times New Roman"/>
                <w:b/>
                <w:bCs/>
                <w:color w:val="000000"/>
                <w:sz w:val="20"/>
                <w:szCs w:val="20"/>
              </w:rPr>
            </w:pPr>
            <w:r w:rsidRPr="009301A0">
              <w:rPr>
                <w:rFonts w:ascii="Times New Roman" w:eastAsia="Times New Roman" w:hAnsi="Times New Roman"/>
                <w:b/>
                <w:bCs/>
                <w:color w:val="000000"/>
                <w:sz w:val="20"/>
                <w:szCs w:val="20"/>
              </w:rPr>
              <w:t>D. Medical Surveillance (§§ 1910.1026(k), 1915.1026(i), and 1926.1126(i))</w:t>
            </w:r>
          </w:p>
          <w:p w:rsidR="00397658" w:rsidRPr="009301A0" w:rsidP="008A04CC" w14:paraId="640734FC" w14:textId="44D0195A">
            <w:pPr>
              <w:spacing w:after="0" w:line="240" w:lineRule="auto"/>
              <w:rPr>
                <w:rFonts w:ascii="Times New Roman" w:eastAsia="Times New Roman" w:hAnsi="Times New Roman"/>
                <w:b/>
                <w:bCs/>
                <w:color w:val="000000"/>
                <w:sz w:val="20"/>
                <w:szCs w:val="20"/>
              </w:rPr>
            </w:pPr>
            <w:r w:rsidRPr="009301A0">
              <w:rPr>
                <w:rFonts w:ascii="Times New Roman" w:eastAsia="Times New Roman" w:hAnsi="Times New Roman"/>
                <w:b/>
                <w:bCs/>
                <w:color w:val="000000"/>
                <w:sz w:val="20"/>
                <w:szCs w:val="20"/>
              </w:rPr>
              <w:t> </w:t>
            </w:r>
          </w:p>
        </w:tc>
        <w:tc>
          <w:tcPr>
            <w:tcW w:w="956" w:type="dxa"/>
            <w:vAlign w:val="center"/>
            <w:hideMark/>
          </w:tcPr>
          <w:p w:rsidR="00397658" w:rsidRPr="009301A0" w:rsidP="008A04CC" w14:paraId="03888583" w14:textId="77777777">
            <w:pPr>
              <w:spacing w:after="0" w:line="240" w:lineRule="auto"/>
              <w:rPr>
                <w:rFonts w:ascii="Times New Roman" w:eastAsia="Times New Roman" w:hAnsi="Times New Roman"/>
                <w:sz w:val="20"/>
                <w:szCs w:val="20"/>
              </w:rPr>
            </w:pPr>
          </w:p>
        </w:tc>
        <w:tc>
          <w:tcPr>
            <w:tcW w:w="236" w:type="dxa"/>
            <w:vAlign w:val="center"/>
            <w:hideMark/>
          </w:tcPr>
          <w:p w:rsidR="00397658" w:rsidRPr="009301A0" w:rsidP="008A04CC" w14:paraId="27769D87" w14:textId="77777777">
            <w:pPr>
              <w:spacing w:after="0" w:line="240" w:lineRule="auto"/>
              <w:rPr>
                <w:rFonts w:ascii="Times New Roman" w:eastAsia="Times New Roman" w:hAnsi="Times New Roman"/>
                <w:sz w:val="20"/>
                <w:szCs w:val="20"/>
              </w:rPr>
            </w:pPr>
          </w:p>
        </w:tc>
      </w:tr>
      <w:tr w14:paraId="7B2C6368" w14:textId="77777777" w:rsidTr="00372867">
        <w:tblPrEx>
          <w:tblW w:w="12830" w:type="dxa"/>
          <w:tblInd w:w="-1000" w:type="dxa"/>
          <w:tblLayout w:type="fixed"/>
          <w:tblLook w:val="04A0"/>
        </w:tblPrEx>
        <w:trPr>
          <w:cantSplit/>
          <w:trHeight w:val="22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vAlign w:val="bottom"/>
          </w:tcPr>
          <w:p w:rsidR="006777F1" w:rsidRPr="005B39D8" w:rsidP="008A04CC" w14:paraId="0AEB55B0" w14:textId="77777777">
            <w:pPr>
              <w:spacing w:after="0" w:line="240" w:lineRule="auto"/>
              <w:rPr>
                <w:rFonts w:ascii="Times New Roman" w:eastAsia="Times New Roman" w:hAnsi="Times New Roman"/>
                <w:sz w:val="20"/>
                <w:szCs w:val="20"/>
              </w:rPr>
            </w:pPr>
            <w:r w:rsidRPr="005B39D8">
              <w:rPr>
                <w:rFonts w:ascii="Times New Roman" w:eastAsia="Times New Roman" w:hAnsi="Times New Roman"/>
                <w:b/>
                <w:bCs/>
                <w:color w:val="000000"/>
                <w:sz w:val="20"/>
                <w:szCs w:val="20"/>
              </w:rPr>
              <w:t>1. Initial Medical Examination (§§ 1910.1026(k)(1)(i)(A), (k)(3)(i), and (k)(3)(ii); 1915.1026(i)(1)(i)(A), (i)(3)(i), and (i)(3)(ii); and 1926.1126(i)(1)(i)(A), (i)(3)(i), and (i)(3)(ii))</w:t>
            </w:r>
          </w:p>
        </w:tc>
        <w:tc>
          <w:tcPr>
            <w:tcW w:w="956" w:type="dxa"/>
            <w:vAlign w:val="center"/>
          </w:tcPr>
          <w:p w:rsidR="006777F1" w:rsidRPr="009301A0" w:rsidP="008A04CC" w14:paraId="01430AD2"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0402D184" w14:textId="77777777">
            <w:pPr>
              <w:spacing w:after="0" w:line="240" w:lineRule="auto"/>
              <w:rPr>
                <w:rFonts w:ascii="Times New Roman" w:eastAsia="Times New Roman" w:hAnsi="Times New Roman"/>
                <w:sz w:val="20"/>
                <w:szCs w:val="20"/>
              </w:rPr>
            </w:pPr>
          </w:p>
        </w:tc>
      </w:tr>
      <w:tr w14:paraId="3B8CE001" w14:textId="77777777" w:rsidTr="00372867">
        <w:tblPrEx>
          <w:tblW w:w="12830" w:type="dxa"/>
          <w:tblInd w:w="-1000" w:type="dxa"/>
          <w:tblLayout w:type="fixed"/>
          <w:tblLook w:val="04A0"/>
        </w:tblPrEx>
        <w:trPr>
          <w:cantSplit/>
          <w:trHeight w:val="22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70EE89CB"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Initial Medical Examination (Table 20)</w:t>
            </w:r>
          </w:p>
        </w:tc>
        <w:tc>
          <w:tcPr>
            <w:tcW w:w="1170" w:type="dxa"/>
            <w:tcBorders>
              <w:top w:val="nil"/>
              <w:left w:val="nil"/>
              <w:bottom w:val="single" w:sz="8" w:space="0" w:color="000000"/>
              <w:right w:val="single" w:sz="8" w:space="0" w:color="000000"/>
            </w:tcBorders>
            <w:vAlign w:val="center"/>
            <w:hideMark/>
          </w:tcPr>
          <w:p w:rsidR="006777F1" w:rsidRPr="009301A0" w:rsidP="008A04CC" w14:paraId="0A2918D3"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8" w:space="0" w:color="000000"/>
            </w:tcBorders>
            <w:vAlign w:val="center"/>
            <w:hideMark/>
          </w:tcPr>
          <w:p w:rsidR="006777F1" w:rsidRPr="009301A0" w:rsidP="008A04CC" w14:paraId="65AA15AA"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6,688</w:t>
            </w:r>
          </w:p>
        </w:tc>
        <w:tc>
          <w:tcPr>
            <w:tcW w:w="1170" w:type="dxa"/>
            <w:tcBorders>
              <w:top w:val="nil"/>
              <w:left w:val="nil"/>
              <w:bottom w:val="single" w:sz="8" w:space="0" w:color="000000"/>
              <w:right w:val="single" w:sz="8" w:space="0" w:color="000000"/>
            </w:tcBorders>
            <w:vAlign w:val="center"/>
            <w:hideMark/>
          </w:tcPr>
          <w:p w:rsidR="006777F1" w:rsidRPr="009301A0" w:rsidP="008A04CC" w14:paraId="490E11BE"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3BCB90F2"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6,688</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0B847579"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3.00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739B6976"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20,064</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2C29D126" w14:textId="74AEDB33">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373EBC">
              <w:rPr>
                <w:rFonts w:ascii="Times New Roman" w:eastAsia="Times New Roman" w:hAnsi="Times New Roman"/>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9301A0" w:rsidP="008A04CC" w14:paraId="5B496D41" w14:textId="78C4346B">
            <w:pPr>
              <w:spacing w:after="0" w:line="240" w:lineRule="auto"/>
              <w:jc w:val="center"/>
              <w:rPr>
                <w:rFonts w:ascii="Times New Roman" w:eastAsia="Times New Roman" w:hAnsi="Times New Roman"/>
                <w:sz w:val="20"/>
                <w:szCs w:val="20"/>
              </w:rPr>
            </w:pPr>
            <w:r w:rsidRPr="00710F7F">
              <w:rPr>
                <w:rFonts w:ascii="Times New Roman" w:eastAsia="Times New Roman" w:hAnsi="Times New Roman"/>
                <w:sz w:val="20"/>
                <w:szCs w:val="20"/>
              </w:rPr>
              <w:t>$</w:t>
            </w:r>
            <w:r w:rsidRPr="00710F7F" w:rsidR="00710F7F">
              <w:rPr>
                <w:rFonts w:ascii="Times New Roman" w:eastAsia="Times New Roman" w:hAnsi="Times New Roman"/>
                <w:sz w:val="20"/>
                <w:szCs w:val="20"/>
              </w:rPr>
              <w:t>7</w:t>
            </w:r>
            <w:r w:rsidR="00710F7F">
              <w:rPr>
                <w:rFonts w:ascii="Times New Roman" w:eastAsia="Times New Roman" w:hAnsi="Times New Roman"/>
                <w:sz w:val="20"/>
                <w:szCs w:val="20"/>
              </w:rPr>
              <w:t>47,785</w:t>
            </w:r>
          </w:p>
        </w:tc>
        <w:tc>
          <w:tcPr>
            <w:tcW w:w="956" w:type="dxa"/>
            <w:vAlign w:val="center"/>
            <w:hideMark/>
          </w:tcPr>
          <w:p w:rsidR="006777F1" w:rsidRPr="009301A0" w:rsidP="008A04CC" w14:paraId="2AF13746"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02E2380C" w14:textId="77777777">
            <w:pPr>
              <w:spacing w:after="0" w:line="240" w:lineRule="auto"/>
              <w:rPr>
                <w:rFonts w:ascii="Times New Roman" w:eastAsia="Times New Roman" w:hAnsi="Times New Roman"/>
                <w:sz w:val="20"/>
                <w:szCs w:val="20"/>
              </w:rPr>
            </w:pPr>
          </w:p>
        </w:tc>
      </w:tr>
      <w:tr w14:paraId="6FD44E0F" w14:textId="77777777" w:rsidTr="00372867">
        <w:tblPrEx>
          <w:tblW w:w="12830" w:type="dxa"/>
          <w:tblInd w:w="-1000" w:type="dxa"/>
          <w:tblLayout w:type="fixed"/>
          <w:tblLook w:val="04A0"/>
        </w:tblPrEx>
        <w:trPr>
          <w:cantSplit/>
          <w:trHeight w:val="22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vAlign w:val="bottom"/>
          </w:tcPr>
          <w:p w:rsidR="006777F1" w:rsidRPr="005B39D8" w:rsidP="008A04CC" w14:paraId="267A5052"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2. Annual Medical Examination (§§ 1910.1026(k)(2)(ii), (k)(3)(i), and (k)(3)(ii); 1915.1026(i)(2)(ii), (i)(3)(i), and (i)(3)(ii); and 1926.1126(i)(2)(ii), (i)(3)(i), and (i)(3)(ii))</w:t>
            </w:r>
          </w:p>
        </w:tc>
        <w:tc>
          <w:tcPr>
            <w:tcW w:w="956" w:type="dxa"/>
            <w:vAlign w:val="center"/>
          </w:tcPr>
          <w:p w:rsidR="006777F1" w:rsidRPr="009301A0" w:rsidP="008A04CC" w14:paraId="3D682EFC"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60DF412D" w14:textId="77777777">
            <w:pPr>
              <w:spacing w:after="0" w:line="240" w:lineRule="auto"/>
              <w:rPr>
                <w:rFonts w:ascii="Times New Roman" w:eastAsia="Times New Roman" w:hAnsi="Times New Roman"/>
                <w:sz w:val="20"/>
                <w:szCs w:val="20"/>
              </w:rPr>
            </w:pPr>
          </w:p>
        </w:tc>
      </w:tr>
      <w:tr w14:paraId="45E42362" w14:textId="77777777" w:rsidTr="00372867">
        <w:tblPrEx>
          <w:tblW w:w="12830" w:type="dxa"/>
          <w:tblInd w:w="-1000" w:type="dxa"/>
          <w:tblLayout w:type="fixed"/>
          <w:tblLook w:val="04A0"/>
        </w:tblPrEx>
        <w:trPr>
          <w:cantSplit/>
          <w:trHeight w:val="220"/>
        </w:trPr>
        <w:tc>
          <w:tcPr>
            <w:tcW w:w="2638" w:type="dxa"/>
            <w:tcBorders>
              <w:top w:val="single" w:sz="8" w:space="0" w:color="000000"/>
              <w:left w:val="single" w:sz="8" w:space="0" w:color="000000"/>
              <w:bottom w:val="single" w:sz="4" w:space="0" w:color="auto"/>
              <w:right w:val="single" w:sz="8" w:space="0" w:color="000000"/>
            </w:tcBorders>
            <w:shd w:val="clear" w:color="000000" w:fill="FFFFFF"/>
            <w:vAlign w:val="bottom"/>
            <w:hideMark/>
          </w:tcPr>
          <w:p w:rsidR="006777F1" w:rsidRPr="009301A0" w:rsidP="008A04CC" w14:paraId="3EC3992C"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Annual Medical Examination (Table 22)</w:t>
            </w:r>
          </w:p>
        </w:tc>
        <w:tc>
          <w:tcPr>
            <w:tcW w:w="1170" w:type="dxa"/>
            <w:tcBorders>
              <w:top w:val="single" w:sz="8" w:space="0" w:color="000000"/>
              <w:left w:val="nil"/>
              <w:bottom w:val="single" w:sz="4" w:space="0" w:color="auto"/>
              <w:right w:val="single" w:sz="8" w:space="0" w:color="000000"/>
            </w:tcBorders>
            <w:vAlign w:val="center"/>
            <w:hideMark/>
          </w:tcPr>
          <w:p w:rsidR="006777F1" w:rsidRPr="009301A0" w:rsidP="008A04CC" w14:paraId="70D81369"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single" w:sz="8" w:space="0" w:color="000000"/>
              <w:left w:val="nil"/>
              <w:bottom w:val="single" w:sz="4" w:space="0" w:color="auto"/>
              <w:right w:val="single" w:sz="8" w:space="0" w:color="000000"/>
            </w:tcBorders>
            <w:vAlign w:val="center"/>
            <w:hideMark/>
          </w:tcPr>
          <w:p w:rsidR="006777F1" w:rsidRPr="00B92220" w:rsidP="008A04CC" w14:paraId="2C6D8899" w14:textId="77777777">
            <w:pPr>
              <w:spacing w:after="0" w:line="240" w:lineRule="auto"/>
              <w:jc w:val="center"/>
              <w:rPr>
                <w:rFonts w:ascii="Times New Roman" w:eastAsia="Times New Roman" w:hAnsi="Times New Roman"/>
                <w:color w:val="000000"/>
                <w:sz w:val="20"/>
                <w:szCs w:val="20"/>
                <w:highlight w:val="yellow"/>
              </w:rPr>
            </w:pPr>
            <w:r w:rsidRPr="00896162">
              <w:rPr>
                <w:rFonts w:ascii="Times New Roman" w:eastAsia="Times New Roman" w:hAnsi="Times New Roman"/>
                <w:color w:val="000000"/>
                <w:sz w:val="20"/>
                <w:szCs w:val="20"/>
              </w:rPr>
              <w:t>71,730</w:t>
            </w:r>
          </w:p>
        </w:tc>
        <w:tc>
          <w:tcPr>
            <w:tcW w:w="1170" w:type="dxa"/>
            <w:tcBorders>
              <w:top w:val="single" w:sz="8" w:space="0" w:color="000000"/>
              <w:left w:val="nil"/>
              <w:bottom w:val="single" w:sz="4" w:space="0" w:color="auto"/>
              <w:right w:val="single" w:sz="8" w:space="0" w:color="000000"/>
            </w:tcBorders>
            <w:vAlign w:val="center"/>
            <w:hideMark/>
          </w:tcPr>
          <w:p w:rsidR="006777F1" w:rsidRPr="00563833" w:rsidP="008A04CC" w14:paraId="011E2D54" w14:textId="77777777">
            <w:pPr>
              <w:spacing w:after="0" w:line="240" w:lineRule="auto"/>
              <w:jc w:val="center"/>
              <w:rPr>
                <w:rFonts w:ascii="Times New Roman" w:eastAsia="Times New Roman" w:hAnsi="Times New Roman"/>
                <w:color w:val="000000"/>
                <w:sz w:val="20"/>
                <w:szCs w:val="20"/>
              </w:rPr>
            </w:pPr>
            <w:r w:rsidRPr="00563833">
              <w:rPr>
                <w:rFonts w:ascii="Times New Roman" w:eastAsia="Times New Roman" w:hAnsi="Times New Roman"/>
                <w:color w:val="000000"/>
                <w:sz w:val="20"/>
                <w:szCs w:val="20"/>
              </w:rPr>
              <w:t>1</w:t>
            </w:r>
          </w:p>
        </w:tc>
        <w:tc>
          <w:tcPr>
            <w:tcW w:w="1080" w:type="dxa"/>
            <w:tcBorders>
              <w:top w:val="single" w:sz="8" w:space="0" w:color="000000"/>
              <w:left w:val="nil"/>
              <w:bottom w:val="single" w:sz="4" w:space="0" w:color="auto"/>
              <w:right w:val="single" w:sz="8" w:space="0" w:color="000000"/>
            </w:tcBorders>
            <w:vAlign w:val="center"/>
            <w:hideMark/>
          </w:tcPr>
          <w:p w:rsidR="006777F1" w:rsidRPr="00563833" w:rsidP="008A04CC" w14:paraId="7DBD9786"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71,730</w:t>
            </w:r>
          </w:p>
        </w:tc>
        <w:tc>
          <w:tcPr>
            <w:tcW w:w="1260" w:type="dxa"/>
            <w:tcBorders>
              <w:top w:val="single" w:sz="8" w:space="0" w:color="000000"/>
              <w:left w:val="nil"/>
              <w:bottom w:val="single" w:sz="4" w:space="0" w:color="auto"/>
              <w:right w:val="single" w:sz="8" w:space="0" w:color="000000"/>
            </w:tcBorders>
            <w:shd w:val="clear" w:color="000000" w:fill="FFFFFF"/>
            <w:vAlign w:val="center"/>
            <w:hideMark/>
          </w:tcPr>
          <w:p w:rsidR="006777F1" w:rsidRPr="00B92220" w:rsidP="008A04CC" w14:paraId="6D6AEFBB" w14:textId="77777777">
            <w:pPr>
              <w:spacing w:after="0" w:line="240" w:lineRule="auto"/>
              <w:jc w:val="center"/>
              <w:rPr>
                <w:rFonts w:ascii="Times New Roman" w:eastAsia="Times New Roman" w:hAnsi="Times New Roman"/>
                <w:color w:val="000000"/>
                <w:sz w:val="20"/>
                <w:szCs w:val="20"/>
                <w:highlight w:val="yellow"/>
              </w:rPr>
            </w:pPr>
            <w:r w:rsidRPr="00482462">
              <w:rPr>
                <w:rFonts w:ascii="Times New Roman" w:eastAsia="Times New Roman" w:hAnsi="Times New Roman"/>
                <w:color w:val="000000"/>
                <w:sz w:val="20"/>
                <w:szCs w:val="20"/>
              </w:rPr>
              <w:t>3.00</w:t>
            </w:r>
          </w:p>
        </w:tc>
        <w:tc>
          <w:tcPr>
            <w:tcW w:w="900" w:type="dxa"/>
            <w:tcBorders>
              <w:top w:val="single" w:sz="8" w:space="0" w:color="000000"/>
              <w:left w:val="nil"/>
              <w:bottom w:val="single" w:sz="4" w:space="0" w:color="auto"/>
              <w:right w:val="single" w:sz="8" w:space="0" w:color="000000"/>
            </w:tcBorders>
            <w:shd w:val="clear" w:color="000000" w:fill="FFFFFF"/>
            <w:vAlign w:val="center"/>
            <w:hideMark/>
          </w:tcPr>
          <w:p w:rsidR="006777F1" w:rsidRPr="00B92220" w:rsidP="008A04CC" w14:paraId="3A7BCEA6" w14:textId="77777777">
            <w:pPr>
              <w:spacing w:after="0" w:line="240" w:lineRule="auto"/>
              <w:jc w:val="center"/>
              <w:rPr>
                <w:rFonts w:ascii="Times New Roman" w:eastAsia="Times New Roman" w:hAnsi="Times New Roman"/>
                <w:color w:val="000000"/>
                <w:sz w:val="20"/>
                <w:szCs w:val="20"/>
                <w:highlight w:val="yellow"/>
              </w:rPr>
            </w:pPr>
            <w:r w:rsidRPr="00482462">
              <w:rPr>
                <w:rFonts w:ascii="Times New Roman" w:eastAsia="Times New Roman" w:hAnsi="Times New Roman"/>
                <w:color w:val="000000"/>
                <w:sz w:val="20"/>
                <w:szCs w:val="20"/>
              </w:rPr>
              <w:t>2</w:t>
            </w:r>
            <w:r w:rsidRPr="00B92220">
              <w:rPr>
                <w:rFonts w:ascii="Times New Roman" w:eastAsia="Times New Roman" w:hAnsi="Times New Roman"/>
                <w:color w:val="000000"/>
                <w:sz w:val="20"/>
                <w:szCs w:val="20"/>
              </w:rPr>
              <w:t>15,190</w:t>
            </w:r>
          </w:p>
        </w:tc>
        <w:tc>
          <w:tcPr>
            <w:tcW w:w="900" w:type="dxa"/>
            <w:tcBorders>
              <w:top w:val="single" w:sz="8" w:space="0" w:color="000000"/>
              <w:left w:val="nil"/>
              <w:bottom w:val="single" w:sz="4" w:space="0" w:color="auto"/>
              <w:right w:val="single" w:sz="8" w:space="0" w:color="000000"/>
            </w:tcBorders>
            <w:shd w:val="clear" w:color="000000" w:fill="FFFFFF"/>
            <w:vAlign w:val="center"/>
            <w:hideMark/>
          </w:tcPr>
          <w:p w:rsidR="006777F1" w:rsidRPr="00194D0D" w:rsidP="008A04CC" w14:paraId="3AB37791" w14:textId="48FFE0EE">
            <w:pPr>
              <w:spacing w:after="0" w:line="240" w:lineRule="auto"/>
              <w:jc w:val="center"/>
              <w:rPr>
                <w:rFonts w:ascii="Times New Roman" w:eastAsia="Times New Roman" w:hAnsi="Times New Roman"/>
                <w:sz w:val="20"/>
                <w:szCs w:val="20"/>
              </w:rPr>
            </w:pPr>
            <w:r w:rsidRPr="00194D0D">
              <w:rPr>
                <w:rFonts w:ascii="Times New Roman" w:eastAsia="Times New Roman" w:hAnsi="Times New Roman"/>
                <w:sz w:val="20"/>
                <w:szCs w:val="20"/>
              </w:rPr>
              <w:t>$37.2</w:t>
            </w:r>
            <w:r w:rsidR="00373EBC">
              <w:rPr>
                <w:rFonts w:ascii="Times New Roman" w:eastAsia="Times New Roman" w:hAnsi="Times New Roman"/>
                <w:sz w:val="20"/>
                <w:szCs w:val="20"/>
              </w:rPr>
              <w:t>7</w:t>
            </w:r>
          </w:p>
        </w:tc>
        <w:tc>
          <w:tcPr>
            <w:tcW w:w="1260" w:type="dxa"/>
            <w:tcBorders>
              <w:top w:val="single" w:sz="8" w:space="0" w:color="000000"/>
              <w:left w:val="nil"/>
              <w:bottom w:val="single" w:sz="4" w:space="0" w:color="auto"/>
              <w:right w:val="single" w:sz="8" w:space="0" w:color="000000"/>
            </w:tcBorders>
            <w:shd w:val="clear" w:color="000000" w:fill="FFFFFF"/>
            <w:vAlign w:val="center"/>
            <w:hideMark/>
          </w:tcPr>
          <w:p w:rsidR="006777F1" w:rsidRPr="00194D0D" w:rsidP="008A04CC" w14:paraId="11FED789" w14:textId="34FB882D">
            <w:pPr>
              <w:spacing w:after="0" w:line="240" w:lineRule="auto"/>
              <w:jc w:val="center"/>
              <w:rPr>
                <w:rFonts w:ascii="Times New Roman" w:eastAsia="Times New Roman" w:hAnsi="Times New Roman"/>
                <w:sz w:val="20"/>
                <w:szCs w:val="20"/>
              </w:rPr>
            </w:pPr>
            <w:r w:rsidRPr="00DD4745">
              <w:rPr>
                <w:rFonts w:ascii="Times New Roman" w:eastAsia="Times New Roman" w:hAnsi="Times New Roman"/>
                <w:sz w:val="20"/>
                <w:szCs w:val="20"/>
              </w:rPr>
              <w:t>$8,0</w:t>
            </w:r>
            <w:r w:rsidRPr="00DD4745" w:rsidR="00DD4745">
              <w:rPr>
                <w:rFonts w:ascii="Times New Roman" w:eastAsia="Times New Roman" w:hAnsi="Times New Roman"/>
                <w:sz w:val="20"/>
                <w:szCs w:val="20"/>
              </w:rPr>
              <w:t>20,131</w:t>
            </w:r>
          </w:p>
        </w:tc>
        <w:tc>
          <w:tcPr>
            <w:tcW w:w="956" w:type="dxa"/>
            <w:vAlign w:val="center"/>
            <w:hideMark/>
          </w:tcPr>
          <w:p w:rsidR="006777F1" w:rsidRPr="009301A0" w:rsidP="008A04CC" w14:paraId="789F5EC9"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150431D1" w14:textId="77777777">
            <w:pPr>
              <w:spacing w:after="0" w:line="240" w:lineRule="auto"/>
              <w:rPr>
                <w:rFonts w:ascii="Times New Roman" w:eastAsia="Times New Roman" w:hAnsi="Times New Roman"/>
                <w:sz w:val="20"/>
                <w:szCs w:val="20"/>
              </w:rPr>
            </w:pPr>
          </w:p>
        </w:tc>
      </w:tr>
      <w:tr w14:paraId="3B6E3602" w14:textId="77777777" w:rsidTr="00372867">
        <w:tblPrEx>
          <w:tblW w:w="12830" w:type="dxa"/>
          <w:tblInd w:w="-1000" w:type="dxa"/>
          <w:tblLayout w:type="fixed"/>
          <w:tblLook w:val="04A0"/>
        </w:tblPrEx>
        <w:trPr>
          <w:cantSplit/>
          <w:trHeight w:val="430"/>
        </w:trPr>
        <w:tc>
          <w:tcPr>
            <w:tcW w:w="11638"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6777F1" w:rsidRPr="005B39D8" w:rsidP="008A04CC" w14:paraId="2E93D9F3"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3. Initial Medical Examination with Additional Tests (§§1910.1026(k)(1)(i)(B) and (k)(3)(i)-(k)(3)(iii); 1915.1026(i)(1)(i)(B) and (i)(3)(i)-(i)(3)(iii); and  1926.1126(i)(1)(i)(B) and (i)(3)(i)-(i)(3)(iii))</w:t>
            </w:r>
          </w:p>
        </w:tc>
        <w:tc>
          <w:tcPr>
            <w:tcW w:w="956" w:type="dxa"/>
            <w:tcBorders>
              <w:left w:val="single" w:sz="4" w:space="0" w:color="auto"/>
            </w:tcBorders>
            <w:vAlign w:val="center"/>
          </w:tcPr>
          <w:p w:rsidR="006777F1" w:rsidRPr="009301A0" w:rsidP="008A04CC" w14:paraId="791CF932"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6790DCA9" w14:textId="77777777">
            <w:pPr>
              <w:spacing w:after="0" w:line="240" w:lineRule="auto"/>
              <w:rPr>
                <w:rFonts w:ascii="Times New Roman" w:eastAsia="Times New Roman" w:hAnsi="Times New Roman"/>
                <w:sz w:val="20"/>
                <w:szCs w:val="20"/>
              </w:rPr>
            </w:pPr>
          </w:p>
        </w:tc>
      </w:tr>
      <w:tr w14:paraId="5359671D" w14:textId="77777777" w:rsidTr="00372867">
        <w:tblPrEx>
          <w:tblW w:w="12830" w:type="dxa"/>
          <w:tblInd w:w="-1000" w:type="dxa"/>
          <w:tblLayout w:type="fixed"/>
          <w:tblLook w:val="04A0"/>
        </w:tblPrEx>
        <w:trPr>
          <w:cantSplit/>
          <w:trHeight w:val="430"/>
        </w:trPr>
        <w:tc>
          <w:tcPr>
            <w:tcW w:w="2638" w:type="dxa"/>
            <w:tcBorders>
              <w:top w:val="single" w:sz="4" w:space="0" w:color="auto"/>
              <w:left w:val="single" w:sz="8" w:space="0" w:color="000000"/>
              <w:bottom w:val="single" w:sz="4" w:space="0" w:color="auto"/>
              <w:right w:val="single" w:sz="8" w:space="0" w:color="000000"/>
            </w:tcBorders>
            <w:vAlign w:val="bottom"/>
            <w:hideMark/>
          </w:tcPr>
          <w:p w:rsidR="006777F1" w:rsidRPr="009301A0" w:rsidP="008A04CC" w14:paraId="0E1AB2D0" w14:textId="36872673">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 xml:space="preserve">a. Employee Time and Cost to Complete the Initial Medical Examination with Additional </w:t>
            </w:r>
            <w:r w:rsidRPr="009301A0" w:rsidR="002B36C3">
              <w:rPr>
                <w:rFonts w:ascii="Times New Roman" w:eastAsia="Times New Roman" w:hAnsi="Times New Roman"/>
                <w:color w:val="000000"/>
                <w:sz w:val="20"/>
                <w:szCs w:val="20"/>
              </w:rPr>
              <w:t>Tests</w:t>
            </w:r>
            <w:r w:rsidR="002B36C3">
              <w:rPr>
                <w:rFonts w:ascii="Times New Roman" w:eastAsia="Times New Roman" w:hAnsi="Times New Roman"/>
                <w:color w:val="000000"/>
                <w:sz w:val="20"/>
                <w:szCs w:val="20"/>
              </w:rPr>
              <w:t xml:space="preserve"> </w:t>
            </w:r>
            <w:r w:rsidRPr="009301A0" w:rsidR="002B36C3">
              <w:rPr>
                <w:rFonts w:ascii="Times New Roman" w:eastAsia="Times New Roman" w:hAnsi="Times New Roman"/>
                <w:color w:val="000000"/>
                <w:sz w:val="20"/>
                <w:szCs w:val="20"/>
              </w:rPr>
              <w:t>(</w:t>
            </w:r>
            <w:r w:rsidRPr="009301A0">
              <w:rPr>
                <w:rFonts w:ascii="Times New Roman" w:eastAsia="Times New Roman" w:hAnsi="Times New Roman"/>
                <w:color w:val="000000"/>
                <w:sz w:val="20"/>
                <w:szCs w:val="20"/>
              </w:rPr>
              <w:t>Table 24)</w:t>
            </w:r>
          </w:p>
        </w:tc>
        <w:tc>
          <w:tcPr>
            <w:tcW w:w="1170" w:type="dxa"/>
            <w:tcBorders>
              <w:top w:val="single" w:sz="4" w:space="0" w:color="auto"/>
              <w:left w:val="nil"/>
              <w:bottom w:val="single" w:sz="4" w:space="0" w:color="auto"/>
              <w:right w:val="single" w:sz="8" w:space="0" w:color="000000"/>
            </w:tcBorders>
            <w:vAlign w:val="center"/>
            <w:hideMark/>
          </w:tcPr>
          <w:p w:rsidR="006777F1" w:rsidRPr="009301A0" w:rsidP="008A04CC" w14:paraId="314A7F00"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single" w:sz="4" w:space="0" w:color="auto"/>
              <w:left w:val="nil"/>
              <w:bottom w:val="single" w:sz="4" w:space="0" w:color="auto"/>
              <w:right w:val="single" w:sz="8" w:space="0" w:color="000000"/>
            </w:tcBorders>
            <w:vAlign w:val="center"/>
            <w:hideMark/>
          </w:tcPr>
          <w:p w:rsidR="006777F1" w:rsidRPr="009301A0" w:rsidP="008A04CC" w14:paraId="11F6E7A3"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1170" w:type="dxa"/>
            <w:tcBorders>
              <w:top w:val="single" w:sz="4" w:space="0" w:color="auto"/>
              <w:left w:val="nil"/>
              <w:bottom w:val="single" w:sz="4" w:space="0" w:color="auto"/>
              <w:right w:val="single" w:sz="8" w:space="0" w:color="000000"/>
            </w:tcBorders>
            <w:vAlign w:val="center"/>
            <w:hideMark/>
          </w:tcPr>
          <w:p w:rsidR="006777F1" w:rsidRPr="009301A0" w:rsidP="008A04CC" w14:paraId="48211A60"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single" w:sz="4" w:space="0" w:color="auto"/>
              <w:left w:val="nil"/>
              <w:bottom w:val="single" w:sz="4" w:space="0" w:color="auto"/>
              <w:right w:val="single" w:sz="8" w:space="0" w:color="000000"/>
            </w:tcBorders>
            <w:shd w:val="clear" w:color="000000" w:fill="FFFFFF"/>
            <w:vAlign w:val="center"/>
            <w:hideMark/>
          </w:tcPr>
          <w:p w:rsidR="006777F1" w:rsidRPr="009301A0" w:rsidP="008A04CC" w14:paraId="38FDBDA0"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1260" w:type="dxa"/>
            <w:tcBorders>
              <w:top w:val="single" w:sz="4" w:space="0" w:color="auto"/>
              <w:left w:val="nil"/>
              <w:bottom w:val="single" w:sz="4" w:space="0" w:color="auto"/>
              <w:right w:val="single" w:sz="8" w:space="0" w:color="000000"/>
            </w:tcBorders>
            <w:shd w:val="clear" w:color="000000" w:fill="FFFFFF"/>
            <w:vAlign w:val="center"/>
            <w:hideMark/>
          </w:tcPr>
          <w:p w:rsidR="006777F1" w:rsidRPr="00B92220" w:rsidP="008A04CC" w14:paraId="79607A6A" w14:textId="77777777">
            <w:pPr>
              <w:spacing w:after="0" w:line="240" w:lineRule="auto"/>
              <w:jc w:val="center"/>
              <w:rPr>
                <w:rFonts w:ascii="Times New Roman" w:eastAsia="Times New Roman" w:hAnsi="Times New Roman"/>
                <w:color w:val="000000"/>
                <w:sz w:val="20"/>
                <w:szCs w:val="20"/>
                <w:highlight w:val="yellow"/>
              </w:rPr>
            </w:pPr>
            <w:r w:rsidRPr="00C646B9">
              <w:rPr>
                <w:rFonts w:ascii="Times New Roman" w:eastAsia="Times New Roman" w:hAnsi="Times New Roman"/>
                <w:color w:val="000000"/>
                <w:sz w:val="20"/>
                <w:szCs w:val="20"/>
              </w:rPr>
              <w:t>4.00</w:t>
            </w:r>
          </w:p>
        </w:tc>
        <w:tc>
          <w:tcPr>
            <w:tcW w:w="900" w:type="dxa"/>
            <w:tcBorders>
              <w:top w:val="single" w:sz="4" w:space="0" w:color="auto"/>
              <w:left w:val="nil"/>
              <w:bottom w:val="single" w:sz="4" w:space="0" w:color="auto"/>
              <w:right w:val="single" w:sz="8" w:space="0" w:color="000000"/>
            </w:tcBorders>
            <w:shd w:val="clear" w:color="000000" w:fill="FFFFFF"/>
            <w:vAlign w:val="center"/>
            <w:hideMark/>
          </w:tcPr>
          <w:p w:rsidR="006777F1" w:rsidRPr="00B92220" w:rsidP="008A04CC" w14:paraId="054525CE" w14:textId="77777777">
            <w:pPr>
              <w:spacing w:after="0" w:line="240" w:lineRule="auto"/>
              <w:jc w:val="center"/>
              <w:rPr>
                <w:rFonts w:ascii="Times New Roman" w:eastAsia="Times New Roman" w:hAnsi="Times New Roman"/>
                <w:color w:val="000000"/>
                <w:sz w:val="20"/>
                <w:szCs w:val="20"/>
                <w:highlight w:val="yellow"/>
              </w:rPr>
            </w:pPr>
            <w:r>
              <w:rPr>
                <w:rFonts w:ascii="Times New Roman" w:eastAsia="Times New Roman" w:hAnsi="Times New Roman"/>
                <w:color w:val="000000"/>
                <w:sz w:val="20"/>
                <w:szCs w:val="20"/>
              </w:rPr>
              <w:t>132</w:t>
            </w:r>
          </w:p>
        </w:tc>
        <w:tc>
          <w:tcPr>
            <w:tcW w:w="900" w:type="dxa"/>
            <w:tcBorders>
              <w:top w:val="single" w:sz="4" w:space="0" w:color="auto"/>
              <w:left w:val="nil"/>
              <w:bottom w:val="single" w:sz="4" w:space="0" w:color="auto"/>
              <w:right w:val="single" w:sz="8" w:space="0" w:color="000000"/>
            </w:tcBorders>
            <w:shd w:val="clear" w:color="000000" w:fill="FFFFFF"/>
            <w:vAlign w:val="center"/>
            <w:hideMark/>
          </w:tcPr>
          <w:p w:rsidR="006777F1" w:rsidRPr="009301A0" w:rsidP="008A04CC" w14:paraId="48C7F586" w14:textId="7C8A390E">
            <w:pPr>
              <w:spacing w:after="0" w:line="240" w:lineRule="auto"/>
              <w:jc w:val="center"/>
              <w:rPr>
                <w:rFonts w:ascii="Times New Roman" w:eastAsia="Times New Roman" w:hAnsi="Times New Roman"/>
                <w:sz w:val="20"/>
                <w:szCs w:val="20"/>
              </w:rPr>
            </w:pPr>
            <w:r w:rsidRPr="009301A0">
              <w:rPr>
                <w:rFonts w:ascii="Times New Roman" w:eastAsia="Times New Roman" w:hAnsi="Times New Roman"/>
                <w:sz w:val="20"/>
                <w:szCs w:val="20"/>
              </w:rPr>
              <w:t>$</w:t>
            </w:r>
            <w:r>
              <w:rPr>
                <w:rFonts w:ascii="Times New Roman" w:eastAsia="Times New Roman" w:hAnsi="Times New Roman"/>
                <w:sz w:val="20"/>
                <w:szCs w:val="20"/>
              </w:rPr>
              <w:t>37.2</w:t>
            </w:r>
            <w:r w:rsidR="00373EBC">
              <w:rPr>
                <w:rFonts w:ascii="Times New Roman" w:eastAsia="Times New Roman" w:hAnsi="Times New Roman"/>
                <w:sz w:val="20"/>
                <w:szCs w:val="20"/>
              </w:rPr>
              <w:t>7</w:t>
            </w:r>
          </w:p>
        </w:tc>
        <w:tc>
          <w:tcPr>
            <w:tcW w:w="1260" w:type="dxa"/>
            <w:tcBorders>
              <w:top w:val="single" w:sz="4" w:space="0" w:color="auto"/>
              <w:left w:val="nil"/>
              <w:bottom w:val="single" w:sz="4" w:space="0" w:color="auto"/>
              <w:right w:val="single" w:sz="8" w:space="0" w:color="000000"/>
            </w:tcBorders>
            <w:shd w:val="clear" w:color="000000" w:fill="FFFFFF"/>
            <w:vAlign w:val="center"/>
            <w:hideMark/>
          </w:tcPr>
          <w:p w:rsidR="006777F1" w:rsidRPr="009301A0" w:rsidP="008A04CC" w14:paraId="3A22FD88" w14:textId="1FD58038">
            <w:pPr>
              <w:spacing w:after="0" w:line="240" w:lineRule="auto"/>
              <w:jc w:val="center"/>
              <w:rPr>
                <w:rFonts w:ascii="Times New Roman" w:eastAsia="Times New Roman" w:hAnsi="Times New Roman"/>
                <w:sz w:val="20"/>
                <w:szCs w:val="20"/>
              </w:rPr>
            </w:pPr>
            <w:r w:rsidRPr="006D1229">
              <w:rPr>
                <w:rFonts w:ascii="Times New Roman" w:eastAsia="Times New Roman" w:hAnsi="Times New Roman"/>
                <w:sz w:val="20"/>
                <w:szCs w:val="20"/>
              </w:rPr>
              <w:t>$4,9</w:t>
            </w:r>
            <w:r w:rsidRPr="006D1229" w:rsidR="006D1229">
              <w:rPr>
                <w:rFonts w:ascii="Times New Roman" w:eastAsia="Times New Roman" w:hAnsi="Times New Roman"/>
                <w:sz w:val="20"/>
                <w:szCs w:val="20"/>
              </w:rPr>
              <w:t>20</w:t>
            </w:r>
          </w:p>
        </w:tc>
        <w:tc>
          <w:tcPr>
            <w:tcW w:w="956" w:type="dxa"/>
            <w:vAlign w:val="center"/>
            <w:hideMark/>
          </w:tcPr>
          <w:p w:rsidR="006777F1" w:rsidRPr="009301A0" w:rsidP="008A04CC" w14:paraId="6B651ACD"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20C226DB" w14:textId="77777777">
            <w:pPr>
              <w:spacing w:after="0" w:line="240" w:lineRule="auto"/>
              <w:rPr>
                <w:rFonts w:ascii="Times New Roman" w:eastAsia="Times New Roman" w:hAnsi="Times New Roman"/>
                <w:sz w:val="20"/>
                <w:szCs w:val="20"/>
              </w:rPr>
            </w:pPr>
          </w:p>
        </w:tc>
      </w:tr>
      <w:tr w14:paraId="4AAB2EF0" w14:textId="77777777" w:rsidTr="00372867">
        <w:tblPrEx>
          <w:tblW w:w="12830" w:type="dxa"/>
          <w:tblInd w:w="-1000" w:type="dxa"/>
          <w:tblLayout w:type="fixed"/>
          <w:tblLook w:val="04A0"/>
        </w:tblPrEx>
        <w:trPr>
          <w:cantSplit/>
          <w:trHeight w:val="430"/>
        </w:trPr>
        <w:tc>
          <w:tcPr>
            <w:tcW w:w="11638"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6777F1" w:rsidRPr="005B39D8" w:rsidP="008A04CC" w14:paraId="27D5AF49"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4. Annual Medical Examination with Additional Tests (§§ 1910.1026(k)(2)(ii) and (k)(3)(i)-(k)(3)(iii); 1915.1026(i)(2)(ii) and (i)(3)(i)-(i)(3)(iii); and 1926.1126(i)(2)(ii) and (i)(3)(i)-(i)(3)(ii))</w:t>
            </w:r>
          </w:p>
        </w:tc>
        <w:tc>
          <w:tcPr>
            <w:tcW w:w="956" w:type="dxa"/>
            <w:tcBorders>
              <w:left w:val="single" w:sz="4" w:space="0" w:color="auto"/>
            </w:tcBorders>
            <w:vAlign w:val="center"/>
          </w:tcPr>
          <w:p w:rsidR="006777F1" w:rsidRPr="009301A0" w:rsidP="008A04CC" w14:paraId="4BB23EA3"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1019D91F" w14:textId="77777777">
            <w:pPr>
              <w:spacing w:after="0" w:line="240" w:lineRule="auto"/>
              <w:rPr>
                <w:rFonts w:ascii="Times New Roman" w:eastAsia="Times New Roman" w:hAnsi="Times New Roman"/>
                <w:sz w:val="20"/>
                <w:szCs w:val="20"/>
              </w:rPr>
            </w:pPr>
          </w:p>
        </w:tc>
      </w:tr>
      <w:tr w14:paraId="11A34D8E" w14:textId="77777777" w:rsidTr="00372867">
        <w:tblPrEx>
          <w:tblW w:w="12830" w:type="dxa"/>
          <w:tblInd w:w="-1000" w:type="dxa"/>
          <w:tblLayout w:type="fixed"/>
          <w:tblLook w:val="04A0"/>
        </w:tblPrEx>
        <w:trPr>
          <w:cantSplit/>
          <w:trHeight w:val="430"/>
        </w:trPr>
        <w:tc>
          <w:tcPr>
            <w:tcW w:w="2638" w:type="dxa"/>
            <w:tcBorders>
              <w:top w:val="single" w:sz="4" w:space="0" w:color="auto"/>
              <w:left w:val="single" w:sz="8" w:space="0" w:color="000000"/>
              <w:bottom w:val="single" w:sz="4" w:space="0" w:color="auto"/>
              <w:right w:val="single" w:sz="8" w:space="0" w:color="000000"/>
            </w:tcBorders>
            <w:vAlign w:val="bottom"/>
            <w:hideMark/>
          </w:tcPr>
          <w:p w:rsidR="006777F1" w:rsidRPr="009301A0" w:rsidP="008A04CC" w14:paraId="24347B44" w14:textId="1F728355">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Annual Medical Examination with Additional Tests (Table 26)</w:t>
            </w:r>
          </w:p>
        </w:tc>
        <w:tc>
          <w:tcPr>
            <w:tcW w:w="1170" w:type="dxa"/>
            <w:tcBorders>
              <w:top w:val="single" w:sz="4" w:space="0" w:color="auto"/>
              <w:left w:val="nil"/>
              <w:bottom w:val="single" w:sz="4" w:space="0" w:color="auto"/>
              <w:right w:val="single" w:sz="8" w:space="0" w:color="000000"/>
            </w:tcBorders>
            <w:vAlign w:val="center"/>
            <w:hideMark/>
          </w:tcPr>
          <w:p w:rsidR="006777F1" w:rsidRPr="009301A0" w:rsidP="008A04CC" w14:paraId="0C699D86"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single" w:sz="4" w:space="0" w:color="auto"/>
              <w:left w:val="nil"/>
              <w:bottom w:val="single" w:sz="4" w:space="0" w:color="auto"/>
              <w:right w:val="single" w:sz="8" w:space="0" w:color="000000"/>
            </w:tcBorders>
            <w:vAlign w:val="center"/>
            <w:hideMark/>
          </w:tcPr>
          <w:p w:rsidR="006777F1" w:rsidRPr="009301A0" w:rsidP="008A04CC" w14:paraId="4ACCCB89"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359</w:t>
            </w:r>
          </w:p>
        </w:tc>
        <w:tc>
          <w:tcPr>
            <w:tcW w:w="1170" w:type="dxa"/>
            <w:tcBorders>
              <w:top w:val="single" w:sz="4" w:space="0" w:color="auto"/>
              <w:left w:val="nil"/>
              <w:bottom w:val="single" w:sz="4" w:space="0" w:color="auto"/>
              <w:right w:val="single" w:sz="8" w:space="0" w:color="000000"/>
            </w:tcBorders>
            <w:vAlign w:val="center"/>
            <w:hideMark/>
          </w:tcPr>
          <w:p w:rsidR="006777F1" w:rsidRPr="009301A0" w:rsidP="008A04CC" w14:paraId="2DA926E7"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single" w:sz="4" w:space="0" w:color="auto"/>
              <w:left w:val="nil"/>
              <w:bottom w:val="single" w:sz="4" w:space="0" w:color="auto"/>
              <w:right w:val="single" w:sz="8" w:space="0" w:color="000000"/>
            </w:tcBorders>
            <w:shd w:val="clear" w:color="000000" w:fill="FFFFFF"/>
            <w:vAlign w:val="center"/>
            <w:hideMark/>
          </w:tcPr>
          <w:p w:rsidR="006777F1" w:rsidRPr="00094350" w:rsidP="008A04CC" w14:paraId="4D46477B" w14:textId="77777777">
            <w:pPr>
              <w:spacing w:after="0" w:line="240" w:lineRule="auto"/>
              <w:jc w:val="center"/>
              <w:rPr>
                <w:rFonts w:ascii="Times New Roman" w:eastAsia="Times New Roman" w:hAnsi="Times New Roman"/>
                <w:color w:val="000000"/>
                <w:sz w:val="20"/>
                <w:szCs w:val="20"/>
              </w:rPr>
            </w:pPr>
            <w:r w:rsidRPr="00094350">
              <w:rPr>
                <w:rFonts w:ascii="Times New Roman" w:eastAsia="Times New Roman" w:hAnsi="Times New Roman"/>
                <w:color w:val="000000"/>
                <w:sz w:val="20"/>
                <w:szCs w:val="20"/>
              </w:rPr>
              <w:t>359</w:t>
            </w:r>
          </w:p>
        </w:tc>
        <w:tc>
          <w:tcPr>
            <w:tcW w:w="1260" w:type="dxa"/>
            <w:tcBorders>
              <w:top w:val="single" w:sz="4" w:space="0" w:color="auto"/>
              <w:left w:val="nil"/>
              <w:bottom w:val="single" w:sz="4" w:space="0" w:color="auto"/>
              <w:right w:val="single" w:sz="8" w:space="0" w:color="000000"/>
            </w:tcBorders>
            <w:shd w:val="clear" w:color="000000" w:fill="FFFFFF"/>
            <w:vAlign w:val="center"/>
            <w:hideMark/>
          </w:tcPr>
          <w:p w:rsidR="006777F1" w:rsidRPr="00094350" w:rsidP="008A04CC" w14:paraId="1C31122D" w14:textId="77777777">
            <w:pPr>
              <w:spacing w:after="0" w:line="240" w:lineRule="auto"/>
              <w:jc w:val="center"/>
              <w:rPr>
                <w:rFonts w:ascii="Times New Roman" w:eastAsia="Times New Roman" w:hAnsi="Times New Roman"/>
                <w:color w:val="000000"/>
                <w:sz w:val="20"/>
                <w:szCs w:val="20"/>
              </w:rPr>
            </w:pPr>
            <w:r w:rsidRPr="00094350">
              <w:rPr>
                <w:rFonts w:ascii="Times New Roman" w:eastAsia="Times New Roman" w:hAnsi="Times New Roman"/>
                <w:color w:val="000000"/>
                <w:sz w:val="20"/>
                <w:szCs w:val="20"/>
              </w:rPr>
              <w:t>3.00</w:t>
            </w:r>
          </w:p>
        </w:tc>
        <w:tc>
          <w:tcPr>
            <w:tcW w:w="900" w:type="dxa"/>
            <w:tcBorders>
              <w:top w:val="single" w:sz="4" w:space="0" w:color="auto"/>
              <w:left w:val="nil"/>
              <w:bottom w:val="single" w:sz="4" w:space="0" w:color="auto"/>
              <w:right w:val="single" w:sz="8" w:space="0" w:color="000000"/>
            </w:tcBorders>
            <w:shd w:val="clear" w:color="000000" w:fill="FFFFFF"/>
            <w:vAlign w:val="center"/>
            <w:hideMark/>
          </w:tcPr>
          <w:p w:rsidR="006777F1" w:rsidRPr="00094350" w:rsidP="008A04CC" w14:paraId="21930FAE" w14:textId="77777777">
            <w:pPr>
              <w:spacing w:after="0" w:line="240" w:lineRule="auto"/>
              <w:jc w:val="center"/>
              <w:rPr>
                <w:rFonts w:ascii="Times New Roman" w:eastAsia="Times New Roman" w:hAnsi="Times New Roman"/>
                <w:color w:val="000000"/>
                <w:sz w:val="20"/>
                <w:szCs w:val="20"/>
              </w:rPr>
            </w:pPr>
            <w:r w:rsidRPr="00094350">
              <w:rPr>
                <w:rFonts w:ascii="Times New Roman" w:eastAsia="Times New Roman" w:hAnsi="Times New Roman"/>
                <w:color w:val="000000"/>
                <w:sz w:val="20"/>
                <w:szCs w:val="20"/>
              </w:rPr>
              <w:t>1,</w:t>
            </w:r>
            <w:r w:rsidRPr="00B92220">
              <w:rPr>
                <w:rFonts w:ascii="Times New Roman" w:eastAsia="Times New Roman" w:hAnsi="Times New Roman"/>
                <w:color w:val="000000"/>
                <w:sz w:val="20"/>
                <w:szCs w:val="20"/>
              </w:rPr>
              <w:t>077</w:t>
            </w:r>
          </w:p>
        </w:tc>
        <w:tc>
          <w:tcPr>
            <w:tcW w:w="900" w:type="dxa"/>
            <w:tcBorders>
              <w:top w:val="single" w:sz="4" w:space="0" w:color="auto"/>
              <w:left w:val="nil"/>
              <w:bottom w:val="single" w:sz="4" w:space="0" w:color="auto"/>
              <w:right w:val="single" w:sz="8" w:space="0" w:color="000000"/>
            </w:tcBorders>
            <w:shd w:val="clear" w:color="000000" w:fill="FFFFFF"/>
            <w:vAlign w:val="center"/>
            <w:hideMark/>
          </w:tcPr>
          <w:p w:rsidR="006777F1" w:rsidRPr="00DA1CEB" w:rsidP="008A04CC" w14:paraId="21CD5D0E" w14:textId="36E59D99">
            <w:pPr>
              <w:spacing w:after="0" w:line="240" w:lineRule="auto"/>
              <w:jc w:val="center"/>
              <w:rPr>
                <w:rFonts w:ascii="Times New Roman" w:eastAsia="Times New Roman" w:hAnsi="Times New Roman"/>
                <w:sz w:val="20"/>
                <w:szCs w:val="20"/>
              </w:rPr>
            </w:pPr>
            <w:r w:rsidRPr="00DA1CEB">
              <w:rPr>
                <w:rFonts w:ascii="Times New Roman" w:eastAsia="Times New Roman" w:hAnsi="Times New Roman"/>
                <w:sz w:val="20"/>
                <w:szCs w:val="20"/>
              </w:rPr>
              <w:t>$37.2</w:t>
            </w:r>
            <w:r w:rsidR="00373EBC">
              <w:rPr>
                <w:rFonts w:ascii="Times New Roman" w:eastAsia="Times New Roman" w:hAnsi="Times New Roman"/>
                <w:sz w:val="20"/>
                <w:szCs w:val="20"/>
              </w:rPr>
              <w:t>7</w:t>
            </w:r>
          </w:p>
        </w:tc>
        <w:tc>
          <w:tcPr>
            <w:tcW w:w="1260" w:type="dxa"/>
            <w:tcBorders>
              <w:top w:val="single" w:sz="4" w:space="0" w:color="auto"/>
              <w:left w:val="nil"/>
              <w:bottom w:val="single" w:sz="4" w:space="0" w:color="auto"/>
              <w:right w:val="single" w:sz="8" w:space="0" w:color="000000"/>
            </w:tcBorders>
            <w:shd w:val="clear" w:color="000000" w:fill="FFFFFF"/>
            <w:vAlign w:val="center"/>
            <w:hideMark/>
          </w:tcPr>
          <w:p w:rsidR="006777F1" w:rsidRPr="00DA1CEB" w:rsidP="008A04CC" w14:paraId="5E77A991" w14:textId="6750CEB0">
            <w:pPr>
              <w:spacing w:after="0" w:line="240" w:lineRule="auto"/>
              <w:jc w:val="center"/>
              <w:rPr>
                <w:rFonts w:ascii="Times New Roman" w:eastAsia="Times New Roman" w:hAnsi="Times New Roman"/>
                <w:sz w:val="20"/>
                <w:szCs w:val="20"/>
              </w:rPr>
            </w:pPr>
            <w:r w:rsidRPr="008B09CE">
              <w:rPr>
                <w:rFonts w:ascii="Times New Roman" w:eastAsia="Times New Roman" w:hAnsi="Times New Roman"/>
                <w:sz w:val="20"/>
                <w:szCs w:val="20"/>
              </w:rPr>
              <w:t>$40,1</w:t>
            </w:r>
            <w:r w:rsidRPr="008B09CE" w:rsidR="008B09CE">
              <w:rPr>
                <w:rFonts w:ascii="Times New Roman" w:eastAsia="Times New Roman" w:hAnsi="Times New Roman"/>
                <w:sz w:val="20"/>
                <w:szCs w:val="20"/>
              </w:rPr>
              <w:t>40</w:t>
            </w:r>
          </w:p>
        </w:tc>
        <w:tc>
          <w:tcPr>
            <w:tcW w:w="956" w:type="dxa"/>
            <w:vAlign w:val="center"/>
            <w:hideMark/>
          </w:tcPr>
          <w:p w:rsidR="006777F1" w:rsidRPr="009301A0" w:rsidP="008A04CC" w14:paraId="2FB10475"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3504BBBF" w14:textId="77777777">
            <w:pPr>
              <w:spacing w:after="0" w:line="240" w:lineRule="auto"/>
              <w:rPr>
                <w:rFonts w:ascii="Times New Roman" w:eastAsia="Times New Roman" w:hAnsi="Times New Roman"/>
                <w:sz w:val="20"/>
                <w:szCs w:val="20"/>
              </w:rPr>
            </w:pPr>
          </w:p>
        </w:tc>
      </w:tr>
      <w:tr w14:paraId="22403CB0" w14:textId="77777777" w:rsidTr="00372867">
        <w:tblPrEx>
          <w:tblW w:w="12830" w:type="dxa"/>
          <w:tblInd w:w="-1000" w:type="dxa"/>
          <w:tblLayout w:type="fixed"/>
          <w:tblLook w:val="04A0"/>
        </w:tblPrEx>
        <w:trPr>
          <w:cantSplit/>
          <w:trHeight w:val="430"/>
        </w:trPr>
        <w:tc>
          <w:tcPr>
            <w:tcW w:w="11638"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6777F1" w:rsidRPr="005B39D8" w:rsidP="008A04CC" w14:paraId="40E2F8C8"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5. Medical Examination After Initial Assignment (§§1910.1026(k)(2)(i), (k)(3)(i), and (k)(3)(ii);1915.1026(i)(2)(i), (i)(3)(i), and (i)(3)(ii); and  1926.1126(i)(2)(i), (i)(3)(i), and (i)(3)(ii))</w:t>
            </w:r>
          </w:p>
        </w:tc>
        <w:tc>
          <w:tcPr>
            <w:tcW w:w="956" w:type="dxa"/>
            <w:tcBorders>
              <w:left w:val="single" w:sz="4" w:space="0" w:color="auto"/>
            </w:tcBorders>
            <w:vAlign w:val="center"/>
          </w:tcPr>
          <w:p w:rsidR="006777F1" w:rsidRPr="009301A0" w:rsidP="008A04CC" w14:paraId="5E6EF356"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617A0C8C" w14:textId="77777777">
            <w:pPr>
              <w:spacing w:after="0" w:line="240" w:lineRule="auto"/>
              <w:rPr>
                <w:rFonts w:ascii="Times New Roman" w:eastAsia="Times New Roman" w:hAnsi="Times New Roman"/>
                <w:sz w:val="20"/>
                <w:szCs w:val="20"/>
              </w:rPr>
            </w:pPr>
          </w:p>
        </w:tc>
      </w:tr>
      <w:tr w14:paraId="34F73FDC" w14:textId="77777777" w:rsidTr="00372867">
        <w:tblPrEx>
          <w:tblW w:w="12830" w:type="dxa"/>
          <w:tblInd w:w="-1000" w:type="dxa"/>
          <w:tblLayout w:type="fixed"/>
          <w:tblLook w:val="04A0"/>
        </w:tblPrEx>
        <w:trPr>
          <w:cantSplit/>
          <w:trHeight w:val="430"/>
        </w:trPr>
        <w:tc>
          <w:tcPr>
            <w:tcW w:w="2638" w:type="dxa"/>
            <w:tcBorders>
              <w:top w:val="single" w:sz="4" w:space="0" w:color="auto"/>
              <w:left w:val="single" w:sz="4" w:space="0" w:color="auto"/>
              <w:bottom w:val="single" w:sz="4" w:space="0" w:color="auto"/>
              <w:right w:val="single" w:sz="4" w:space="0" w:color="auto"/>
            </w:tcBorders>
            <w:vAlign w:val="bottom"/>
            <w:hideMark/>
          </w:tcPr>
          <w:p w:rsidR="006777F1" w:rsidRPr="009301A0" w:rsidP="008A04CC" w14:paraId="15650003"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Medical Examination After Initial Assignment (Table 28)</w:t>
            </w:r>
          </w:p>
        </w:tc>
        <w:tc>
          <w:tcPr>
            <w:tcW w:w="1170" w:type="dxa"/>
            <w:tcBorders>
              <w:top w:val="nil"/>
              <w:left w:val="single" w:sz="4" w:space="0" w:color="auto"/>
              <w:bottom w:val="single" w:sz="8" w:space="0" w:color="000000"/>
              <w:right w:val="single" w:sz="8" w:space="0" w:color="000000"/>
            </w:tcBorders>
            <w:vAlign w:val="center"/>
            <w:hideMark/>
          </w:tcPr>
          <w:p w:rsidR="006777F1" w:rsidRPr="009301A0" w:rsidP="008A04CC" w14:paraId="5EBE1EEC"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nil"/>
              <w:left w:val="nil"/>
              <w:bottom w:val="single" w:sz="8" w:space="0" w:color="000000"/>
              <w:right w:val="single" w:sz="4" w:space="0" w:color="auto"/>
            </w:tcBorders>
            <w:vAlign w:val="center"/>
            <w:hideMark/>
          </w:tcPr>
          <w:p w:rsidR="006777F1" w:rsidRPr="009301A0" w:rsidP="008A04CC" w14:paraId="3EB5278A"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14,153</w:t>
            </w:r>
          </w:p>
        </w:tc>
        <w:tc>
          <w:tcPr>
            <w:tcW w:w="1170" w:type="dxa"/>
            <w:tcBorders>
              <w:top w:val="single" w:sz="4" w:space="0" w:color="auto"/>
              <w:left w:val="single" w:sz="4" w:space="0" w:color="auto"/>
              <w:bottom w:val="single" w:sz="4" w:space="0" w:color="auto"/>
              <w:right w:val="single" w:sz="4" w:space="0" w:color="auto"/>
            </w:tcBorders>
            <w:vAlign w:val="center"/>
            <w:hideMark/>
          </w:tcPr>
          <w:p w:rsidR="006777F1" w:rsidRPr="009301A0" w:rsidP="008A04CC" w14:paraId="46BAB0E0"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77F1" w:rsidRPr="003315E1" w:rsidP="008A04CC" w14:paraId="03204FC1" w14:textId="77777777">
            <w:pPr>
              <w:spacing w:after="0" w:line="240" w:lineRule="auto"/>
              <w:jc w:val="center"/>
              <w:rPr>
                <w:rFonts w:ascii="Times New Roman" w:eastAsia="Times New Roman" w:hAnsi="Times New Roman"/>
                <w:color w:val="000000"/>
                <w:sz w:val="20"/>
                <w:szCs w:val="20"/>
              </w:rPr>
            </w:pPr>
            <w:r w:rsidRPr="003315E1">
              <w:rPr>
                <w:rFonts w:ascii="Times New Roman" w:eastAsia="Times New Roman" w:hAnsi="Times New Roman"/>
                <w:color w:val="000000"/>
                <w:sz w:val="20"/>
                <w:szCs w:val="20"/>
              </w:rPr>
              <w:t>14,153</w:t>
            </w:r>
          </w:p>
        </w:tc>
        <w:tc>
          <w:tcPr>
            <w:tcW w:w="1260" w:type="dxa"/>
            <w:tcBorders>
              <w:top w:val="nil"/>
              <w:left w:val="single" w:sz="4" w:space="0" w:color="auto"/>
              <w:bottom w:val="single" w:sz="8" w:space="0" w:color="000000"/>
              <w:right w:val="single" w:sz="8" w:space="0" w:color="000000"/>
            </w:tcBorders>
            <w:shd w:val="clear" w:color="000000" w:fill="FFFFFF"/>
            <w:vAlign w:val="center"/>
            <w:hideMark/>
          </w:tcPr>
          <w:p w:rsidR="006777F1" w:rsidRPr="003315E1" w:rsidP="008A04CC" w14:paraId="09A05271" w14:textId="77777777">
            <w:pPr>
              <w:spacing w:after="0" w:line="240" w:lineRule="auto"/>
              <w:jc w:val="center"/>
              <w:rPr>
                <w:rFonts w:ascii="Times New Roman" w:eastAsia="Times New Roman" w:hAnsi="Times New Roman"/>
                <w:color w:val="000000"/>
                <w:sz w:val="20"/>
                <w:szCs w:val="20"/>
              </w:rPr>
            </w:pPr>
            <w:r w:rsidRPr="003315E1">
              <w:rPr>
                <w:rFonts w:ascii="Times New Roman" w:eastAsia="Times New Roman" w:hAnsi="Times New Roman"/>
                <w:color w:val="000000"/>
                <w:sz w:val="20"/>
                <w:szCs w:val="20"/>
              </w:rPr>
              <w:t>4.00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3315E1" w:rsidP="008A04CC" w14:paraId="66877CC9"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56,612</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2837C6" w:rsidP="008A04CC" w14:paraId="76CB23A4" w14:textId="5A82EDAC">
            <w:pPr>
              <w:spacing w:after="0" w:line="240" w:lineRule="auto"/>
              <w:jc w:val="center"/>
              <w:rPr>
                <w:rFonts w:ascii="Times New Roman" w:eastAsia="Times New Roman" w:hAnsi="Times New Roman"/>
                <w:sz w:val="20"/>
                <w:szCs w:val="20"/>
              </w:rPr>
            </w:pPr>
            <w:r w:rsidRPr="002837C6">
              <w:rPr>
                <w:rFonts w:ascii="Times New Roman" w:eastAsia="Times New Roman" w:hAnsi="Times New Roman"/>
                <w:sz w:val="20"/>
                <w:szCs w:val="20"/>
              </w:rPr>
              <w:t>$37.2</w:t>
            </w:r>
            <w:r w:rsidR="00373EBC">
              <w:rPr>
                <w:rFonts w:ascii="Times New Roman" w:eastAsia="Times New Roman" w:hAnsi="Times New Roman"/>
                <w:sz w:val="20"/>
                <w:szCs w:val="20"/>
              </w:rPr>
              <w:t>7</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72649F" w:rsidP="008A04CC" w14:paraId="6A234C6D" w14:textId="66FD8BFE">
            <w:pPr>
              <w:spacing w:after="0" w:line="240" w:lineRule="auto"/>
              <w:jc w:val="center"/>
              <w:rPr>
                <w:rFonts w:ascii="Times New Roman" w:eastAsia="Times New Roman" w:hAnsi="Times New Roman"/>
                <w:sz w:val="20"/>
                <w:szCs w:val="20"/>
              </w:rPr>
            </w:pPr>
            <w:r w:rsidRPr="0072649F">
              <w:rPr>
                <w:rFonts w:ascii="Times New Roman" w:eastAsia="Times New Roman" w:hAnsi="Times New Roman"/>
                <w:sz w:val="20"/>
                <w:szCs w:val="20"/>
              </w:rPr>
              <w:t>$2,10</w:t>
            </w:r>
            <w:r w:rsidRPr="0072649F" w:rsidR="0072649F">
              <w:rPr>
                <w:rFonts w:ascii="Times New Roman" w:eastAsia="Times New Roman" w:hAnsi="Times New Roman"/>
                <w:sz w:val="20"/>
                <w:szCs w:val="20"/>
              </w:rPr>
              <w:t>9,929</w:t>
            </w:r>
          </w:p>
        </w:tc>
        <w:tc>
          <w:tcPr>
            <w:tcW w:w="956" w:type="dxa"/>
            <w:vAlign w:val="center"/>
            <w:hideMark/>
          </w:tcPr>
          <w:p w:rsidR="006777F1" w:rsidRPr="0072649F" w:rsidP="008A04CC" w14:paraId="6737E98E"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6707E55E" w14:textId="77777777">
            <w:pPr>
              <w:spacing w:after="0" w:line="240" w:lineRule="auto"/>
              <w:rPr>
                <w:rFonts w:ascii="Times New Roman" w:eastAsia="Times New Roman" w:hAnsi="Times New Roman"/>
                <w:sz w:val="20"/>
                <w:szCs w:val="20"/>
              </w:rPr>
            </w:pPr>
          </w:p>
        </w:tc>
      </w:tr>
      <w:tr w14:paraId="4D56A446" w14:textId="77777777" w:rsidTr="00372867">
        <w:tblPrEx>
          <w:tblW w:w="12830" w:type="dxa"/>
          <w:tblInd w:w="-1000" w:type="dxa"/>
          <w:tblLayout w:type="fixed"/>
          <w:tblLook w:val="04A0"/>
        </w:tblPrEx>
        <w:trPr>
          <w:cantSplit/>
          <w:trHeight w:val="430"/>
        </w:trPr>
        <w:tc>
          <w:tcPr>
            <w:tcW w:w="11638"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6777F1" w:rsidRPr="005B39D8" w:rsidP="008A04CC" w14:paraId="0C59A64E" w14:textId="77777777">
            <w:pPr>
              <w:spacing w:after="0" w:line="240" w:lineRule="auto"/>
              <w:rPr>
                <w:rFonts w:ascii="Times New Roman" w:eastAsia="Times New Roman" w:hAnsi="Times New Roman"/>
                <w:b/>
                <w:bCs/>
                <w:color w:val="000000"/>
                <w:sz w:val="20"/>
                <w:szCs w:val="20"/>
              </w:rPr>
            </w:pPr>
            <w:r w:rsidRPr="005B39D8">
              <w:rPr>
                <w:rFonts w:ascii="Times New Roman" w:eastAsia="Times New Roman" w:hAnsi="Times New Roman"/>
                <w:b/>
                <w:bCs/>
                <w:color w:val="000000"/>
                <w:sz w:val="20"/>
                <w:szCs w:val="20"/>
              </w:rPr>
              <w:t>6. Medical Examination at the Termination of Employment (§§ 1910.1026(k)(2)(vi) and (k)(3)(i)-(k)(3)(iii); 1915.1026(i)(2)(vi) and (i)(3)(i)-(i)(3)(iii); and 1926.1126(i)(2)(vi) and (i)(3)(i)-(i)(3)(ii))</w:t>
            </w:r>
          </w:p>
        </w:tc>
        <w:tc>
          <w:tcPr>
            <w:tcW w:w="956" w:type="dxa"/>
            <w:tcBorders>
              <w:left w:val="single" w:sz="4" w:space="0" w:color="auto"/>
            </w:tcBorders>
            <w:vAlign w:val="center"/>
          </w:tcPr>
          <w:p w:rsidR="006777F1" w:rsidRPr="009301A0" w:rsidP="008A04CC" w14:paraId="664DA778"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4C1E9C15" w14:textId="77777777">
            <w:pPr>
              <w:spacing w:after="0" w:line="240" w:lineRule="auto"/>
              <w:rPr>
                <w:rFonts w:ascii="Times New Roman" w:eastAsia="Times New Roman" w:hAnsi="Times New Roman"/>
                <w:sz w:val="20"/>
                <w:szCs w:val="20"/>
              </w:rPr>
            </w:pPr>
          </w:p>
        </w:tc>
      </w:tr>
      <w:tr w14:paraId="52338205" w14:textId="77777777" w:rsidTr="00372867">
        <w:tblPrEx>
          <w:tblW w:w="12830" w:type="dxa"/>
          <w:tblInd w:w="-1000" w:type="dxa"/>
          <w:tblLayout w:type="fixed"/>
          <w:tblLook w:val="04A0"/>
        </w:tblPrEx>
        <w:trPr>
          <w:cantSplit/>
          <w:trHeight w:val="430"/>
        </w:trPr>
        <w:tc>
          <w:tcPr>
            <w:tcW w:w="2638" w:type="dxa"/>
            <w:tcBorders>
              <w:top w:val="single" w:sz="4" w:space="0" w:color="auto"/>
              <w:left w:val="single" w:sz="8" w:space="0" w:color="000000"/>
              <w:bottom w:val="single" w:sz="8" w:space="0" w:color="000000"/>
              <w:right w:val="single" w:sz="8" w:space="0" w:color="000000"/>
            </w:tcBorders>
            <w:shd w:val="clear" w:color="000000" w:fill="FFFFFF"/>
            <w:vAlign w:val="bottom"/>
            <w:hideMark/>
          </w:tcPr>
          <w:p w:rsidR="006777F1" w:rsidRPr="009301A0" w:rsidP="008A04CC" w14:paraId="0FE8F8AF"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Employee Time and Cost to Complete the Medical Examination at the Termination of Employment (Table 30)</w:t>
            </w:r>
          </w:p>
        </w:tc>
        <w:tc>
          <w:tcPr>
            <w:tcW w:w="1170" w:type="dxa"/>
            <w:tcBorders>
              <w:top w:val="single" w:sz="4" w:space="0" w:color="auto"/>
              <w:left w:val="nil"/>
              <w:bottom w:val="single" w:sz="8" w:space="0" w:color="000000"/>
              <w:right w:val="single" w:sz="8" w:space="0" w:color="000000"/>
            </w:tcBorders>
            <w:vAlign w:val="center"/>
            <w:hideMark/>
          </w:tcPr>
          <w:p w:rsidR="006777F1" w:rsidRPr="009301A0" w:rsidP="008A04CC" w14:paraId="77991096"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Non-Supervisor</w:t>
            </w:r>
          </w:p>
        </w:tc>
        <w:tc>
          <w:tcPr>
            <w:tcW w:w="1260" w:type="dxa"/>
            <w:tcBorders>
              <w:top w:val="single" w:sz="4" w:space="0" w:color="auto"/>
              <w:left w:val="nil"/>
              <w:bottom w:val="single" w:sz="8" w:space="0" w:color="000000"/>
              <w:right w:val="single" w:sz="8" w:space="0" w:color="000000"/>
            </w:tcBorders>
            <w:vAlign w:val="center"/>
            <w:hideMark/>
          </w:tcPr>
          <w:p w:rsidR="006777F1" w:rsidRPr="00B92220" w:rsidP="008A04CC" w14:paraId="461E417A" w14:textId="77777777">
            <w:pPr>
              <w:spacing w:after="0" w:line="240" w:lineRule="auto"/>
              <w:jc w:val="center"/>
              <w:rPr>
                <w:rFonts w:ascii="Times New Roman" w:eastAsia="Times New Roman" w:hAnsi="Times New Roman"/>
                <w:color w:val="000000"/>
                <w:sz w:val="20"/>
                <w:szCs w:val="20"/>
                <w:highlight w:val="yellow"/>
              </w:rPr>
            </w:pPr>
            <w:r w:rsidRPr="00B92220">
              <w:rPr>
                <w:rFonts w:ascii="Times New Roman" w:eastAsia="Times New Roman" w:hAnsi="Times New Roman"/>
                <w:color w:val="000000"/>
                <w:sz w:val="20"/>
                <w:szCs w:val="20"/>
              </w:rPr>
              <w:t>14,418</w:t>
            </w:r>
          </w:p>
        </w:tc>
        <w:tc>
          <w:tcPr>
            <w:tcW w:w="1170" w:type="dxa"/>
            <w:tcBorders>
              <w:top w:val="single" w:sz="4" w:space="0" w:color="auto"/>
              <w:left w:val="nil"/>
              <w:bottom w:val="single" w:sz="8" w:space="0" w:color="000000"/>
              <w:right w:val="single" w:sz="8" w:space="0" w:color="000000"/>
            </w:tcBorders>
            <w:vAlign w:val="center"/>
            <w:hideMark/>
          </w:tcPr>
          <w:p w:rsidR="006777F1" w:rsidRPr="00BB2A33" w:rsidP="008A04CC" w14:paraId="11C2D03F" w14:textId="77777777">
            <w:pPr>
              <w:spacing w:after="0" w:line="240" w:lineRule="auto"/>
              <w:jc w:val="center"/>
              <w:rPr>
                <w:rFonts w:ascii="Times New Roman" w:eastAsia="Times New Roman" w:hAnsi="Times New Roman"/>
                <w:color w:val="000000"/>
                <w:sz w:val="20"/>
                <w:szCs w:val="20"/>
              </w:rPr>
            </w:pPr>
            <w:r w:rsidRPr="00BB2A33">
              <w:rPr>
                <w:rFonts w:ascii="Times New Roman" w:eastAsia="Times New Roman" w:hAnsi="Times New Roman"/>
                <w:color w:val="000000"/>
                <w:sz w:val="20"/>
                <w:szCs w:val="20"/>
              </w:rPr>
              <w:t>1</w:t>
            </w:r>
          </w:p>
        </w:tc>
        <w:tc>
          <w:tcPr>
            <w:tcW w:w="1080" w:type="dxa"/>
            <w:tcBorders>
              <w:top w:val="single" w:sz="4" w:space="0" w:color="auto"/>
              <w:left w:val="nil"/>
              <w:bottom w:val="single" w:sz="8" w:space="0" w:color="000000"/>
              <w:right w:val="single" w:sz="8" w:space="0" w:color="000000"/>
            </w:tcBorders>
            <w:shd w:val="clear" w:color="000000" w:fill="FFFFFF"/>
            <w:vAlign w:val="center"/>
            <w:hideMark/>
          </w:tcPr>
          <w:p w:rsidR="006777F1" w:rsidRPr="00BB2A33" w:rsidP="008A04CC" w14:paraId="79BBBC14"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14,418</w:t>
            </w:r>
          </w:p>
        </w:tc>
        <w:tc>
          <w:tcPr>
            <w:tcW w:w="1260" w:type="dxa"/>
            <w:tcBorders>
              <w:top w:val="single" w:sz="4" w:space="0" w:color="auto"/>
              <w:left w:val="nil"/>
              <w:bottom w:val="single" w:sz="8" w:space="0" w:color="000000"/>
              <w:right w:val="single" w:sz="8" w:space="0" w:color="000000"/>
            </w:tcBorders>
            <w:shd w:val="clear" w:color="000000" w:fill="FFFFFF"/>
            <w:vAlign w:val="center"/>
            <w:hideMark/>
          </w:tcPr>
          <w:p w:rsidR="006777F1" w:rsidRPr="00BB2A33" w:rsidP="008A04CC" w14:paraId="322B3823" w14:textId="77777777">
            <w:pPr>
              <w:spacing w:after="0" w:line="240" w:lineRule="auto"/>
              <w:jc w:val="center"/>
              <w:rPr>
                <w:rFonts w:ascii="Times New Roman" w:eastAsia="Times New Roman" w:hAnsi="Times New Roman"/>
                <w:color w:val="000000"/>
                <w:sz w:val="20"/>
                <w:szCs w:val="20"/>
              </w:rPr>
            </w:pPr>
            <w:r w:rsidRPr="00BB2A33">
              <w:rPr>
                <w:rFonts w:ascii="Times New Roman" w:eastAsia="Times New Roman" w:hAnsi="Times New Roman"/>
                <w:color w:val="000000"/>
                <w:sz w:val="20"/>
                <w:szCs w:val="20"/>
              </w:rPr>
              <w:t>4.00</w:t>
            </w:r>
          </w:p>
        </w:tc>
        <w:tc>
          <w:tcPr>
            <w:tcW w:w="900" w:type="dxa"/>
            <w:tcBorders>
              <w:top w:val="single" w:sz="4" w:space="0" w:color="auto"/>
              <w:left w:val="nil"/>
              <w:bottom w:val="single" w:sz="8" w:space="0" w:color="000000"/>
              <w:right w:val="single" w:sz="8" w:space="0" w:color="000000"/>
            </w:tcBorders>
            <w:shd w:val="clear" w:color="000000" w:fill="FFFFFF"/>
            <w:vAlign w:val="center"/>
            <w:hideMark/>
          </w:tcPr>
          <w:p w:rsidR="006777F1" w:rsidRPr="00BB2A33" w:rsidP="008A04CC" w14:paraId="3F156DB5" w14:textId="77777777">
            <w:pPr>
              <w:spacing w:after="0" w:line="240" w:lineRule="auto"/>
              <w:jc w:val="center"/>
              <w:rPr>
                <w:rFonts w:ascii="Times New Roman" w:eastAsia="Times New Roman" w:hAnsi="Times New Roman"/>
                <w:color w:val="000000"/>
                <w:sz w:val="20"/>
                <w:szCs w:val="20"/>
              </w:rPr>
            </w:pPr>
            <w:r w:rsidRPr="00B92220">
              <w:rPr>
                <w:rFonts w:ascii="Times New Roman" w:eastAsia="Times New Roman" w:hAnsi="Times New Roman"/>
                <w:color w:val="000000"/>
                <w:sz w:val="20"/>
                <w:szCs w:val="20"/>
              </w:rPr>
              <w:t>57,672</w:t>
            </w:r>
          </w:p>
        </w:tc>
        <w:tc>
          <w:tcPr>
            <w:tcW w:w="900" w:type="dxa"/>
            <w:tcBorders>
              <w:top w:val="single" w:sz="4" w:space="0" w:color="auto"/>
              <w:left w:val="nil"/>
              <w:bottom w:val="single" w:sz="8" w:space="0" w:color="000000"/>
              <w:right w:val="single" w:sz="8" w:space="0" w:color="000000"/>
            </w:tcBorders>
            <w:shd w:val="clear" w:color="000000" w:fill="FFFFFF"/>
            <w:vAlign w:val="center"/>
            <w:hideMark/>
          </w:tcPr>
          <w:p w:rsidR="006777F1" w:rsidRPr="0088123A" w:rsidP="008A04CC" w14:paraId="341E8E2C" w14:textId="2989273D">
            <w:pPr>
              <w:spacing w:after="0" w:line="240" w:lineRule="auto"/>
              <w:jc w:val="center"/>
              <w:rPr>
                <w:rFonts w:ascii="Times New Roman" w:eastAsia="Times New Roman" w:hAnsi="Times New Roman"/>
                <w:color w:val="000000"/>
                <w:sz w:val="20"/>
                <w:szCs w:val="20"/>
              </w:rPr>
            </w:pPr>
            <w:r w:rsidRPr="0088123A">
              <w:rPr>
                <w:rFonts w:ascii="Times New Roman" w:eastAsia="Times New Roman" w:hAnsi="Times New Roman"/>
                <w:color w:val="000000"/>
                <w:sz w:val="20"/>
                <w:szCs w:val="20"/>
              </w:rPr>
              <w:t>$37.2</w:t>
            </w:r>
            <w:r w:rsidR="00373EBC">
              <w:rPr>
                <w:rFonts w:ascii="Times New Roman" w:eastAsia="Times New Roman" w:hAnsi="Times New Roman"/>
                <w:color w:val="000000"/>
                <w:sz w:val="20"/>
                <w:szCs w:val="20"/>
              </w:rPr>
              <w:t>7</w:t>
            </w:r>
          </w:p>
        </w:tc>
        <w:tc>
          <w:tcPr>
            <w:tcW w:w="1260" w:type="dxa"/>
            <w:tcBorders>
              <w:top w:val="single" w:sz="4" w:space="0" w:color="auto"/>
              <w:left w:val="nil"/>
              <w:bottom w:val="single" w:sz="8" w:space="0" w:color="000000"/>
              <w:right w:val="single" w:sz="8" w:space="0" w:color="000000"/>
            </w:tcBorders>
            <w:shd w:val="clear" w:color="000000" w:fill="FFFFFF"/>
            <w:vAlign w:val="center"/>
            <w:hideMark/>
          </w:tcPr>
          <w:p w:rsidR="006777F1" w:rsidRPr="0088123A" w:rsidP="008A04CC" w14:paraId="13410A86" w14:textId="1FC80F21">
            <w:pPr>
              <w:spacing w:after="0" w:line="240" w:lineRule="auto"/>
              <w:jc w:val="center"/>
              <w:rPr>
                <w:rFonts w:ascii="Times New Roman" w:eastAsia="Times New Roman" w:hAnsi="Times New Roman"/>
                <w:color w:val="000000"/>
                <w:sz w:val="20"/>
                <w:szCs w:val="20"/>
              </w:rPr>
            </w:pPr>
            <w:r w:rsidRPr="00572D54">
              <w:rPr>
                <w:rFonts w:ascii="Times New Roman" w:eastAsia="Times New Roman" w:hAnsi="Times New Roman"/>
                <w:color w:val="000000"/>
                <w:sz w:val="20"/>
                <w:szCs w:val="20"/>
              </w:rPr>
              <w:t>$2,14</w:t>
            </w:r>
            <w:r w:rsidRPr="00572D54" w:rsidR="00572D54">
              <w:rPr>
                <w:rFonts w:ascii="Times New Roman" w:eastAsia="Times New Roman" w:hAnsi="Times New Roman"/>
                <w:color w:val="000000"/>
                <w:sz w:val="20"/>
                <w:szCs w:val="20"/>
              </w:rPr>
              <w:t>9,435</w:t>
            </w:r>
          </w:p>
        </w:tc>
        <w:tc>
          <w:tcPr>
            <w:tcW w:w="956" w:type="dxa"/>
            <w:vAlign w:val="center"/>
            <w:hideMark/>
          </w:tcPr>
          <w:p w:rsidR="006777F1" w:rsidRPr="009301A0" w:rsidP="008A04CC" w14:paraId="413D76AB"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6DFE5C9A" w14:textId="77777777">
            <w:pPr>
              <w:spacing w:after="0" w:line="240" w:lineRule="auto"/>
              <w:rPr>
                <w:rFonts w:ascii="Times New Roman" w:eastAsia="Times New Roman" w:hAnsi="Times New Roman"/>
                <w:sz w:val="20"/>
                <w:szCs w:val="20"/>
              </w:rPr>
            </w:pPr>
          </w:p>
        </w:tc>
      </w:tr>
      <w:tr w14:paraId="42643FF2" w14:textId="77777777" w:rsidTr="00372867">
        <w:tblPrEx>
          <w:tblW w:w="12830" w:type="dxa"/>
          <w:tblInd w:w="-1000" w:type="dxa"/>
          <w:tblLayout w:type="fixed"/>
          <w:tblLook w:val="04A0"/>
        </w:tblPrEx>
        <w:trPr>
          <w:cantSplit/>
          <w:trHeight w:val="22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vAlign w:val="bottom"/>
          </w:tcPr>
          <w:p w:rsidR="006777F1" w:rsidRPr="00391F72" w:rsidP="008A04CC" w14:paraId="1D0FE03F" w14:textId="77777777">
            <w:pPr>
              <w:spacing w:after="0" w:line="240" w:lineRule="auto"/>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7. Information Provided to the PLHCP (§§ 1910.1026(k)(4), 1915.1026(i)(4), and 1926.1126(i)(4))</w:t>
            </w:r>
          </w:p>
        </w:tc>
        <w:tc>
          <w:tcPr>
            <w:tcW w:w="956" w:type="dxa"/>
            <w:vAlign w:val="center"/>
          </w:tcPr>
          <w:p w:rsidR="006777F1" w:rsidRPr="009301A0" w:rsidP="008A04CC" w14:paraId="051A8FFB"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67124169" w14:textId="77777777">
            <w:pPr>
              <w:spacing w:after="0" w:line="240" w:lineRule="auto"/>
              <w:rPr>
                <w:rFonts w:ascii="Times New Roman" w:eastAsia="Times New Roman" w:hAnsi="Times New Roman"/>
                <w:sz w:val="20"/>
                <w:szCs w:val="20"/>
              </w:rPr>
            </w:pPr>
          </w:p>
        </w:tc>
      </w:tr>
      <w:tr w14:paraId="2750BE62" w14:textId="77777777" w:rsidTr="00372867">
        <w:tblPrEx>
          <w:tblW w:w="12830" w:type="dxa"/>
          <w:tblInd w:w="-1000" w:type="dxa"/>
          <w:tblLayout w:type="fixed"/>
          <w:tblLook w:val="04A0"/>
        </w:tblPrEx>
        <w:trPr>
          <w:cantSplit/>
          <w:trHeight w:val="220"/>
        </w:trPr>
        <w:tc>
          <w:tcPr>
            <w:tcW w:w="2638" w:type="dxa"/>
            <w:tcBorders>
              <w:top w:val="nil"/>
              <w:left w:val="single" w:sz="8" w:space="0" w:color="000000"/>
              <w:bottom w:val="single" w:sz="8" w:space="0" w:color="000000"/>
              <w:right w:val="single" w:sz="8" w:space="0" w:color="000000"/>
            </w:tcBorders>
            <w:vAlign w:val="bottom"/>
            <w:hideMark/>
          </w:tcPr>
          <w:p w:rsidR="006777F1" w:rsidRPr="009301A0" w:rsidP="008A04CC" w14:paraId="1AF608D9"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Clerical Time and Cost to Provide Information to the PLHCP (Table 32)</w:t>
            </w:r>
          </w:p>
        </w:tc>
        <w:tc>
          <w:tcPr>
            <w:tcW w:w="1170" w:type="dxa"/>
            <w:tcBorders>
              <w:top w:val="single" w:sz="8" w:space="0" w:color="auto"/>
              <w:left w:val="nil"/>
              <w:bottom w:val="single" w:sz="8" w:space="0" w:color="auto"/>
              <w:right w:val="single" w:sz="8" w:space="0" w:color="000000"/>
            </w:tcBorders>
            <w:vAlign w:val="center"/>
            <w:hideMark/>
          </w:tcPr>
          <w:p w:rsidR="006777F1" w:rsidRPr="009301A0" w:rsidP="008A04CC" w14:paraId="6BBE2FD1"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Clerical</w:t>
            </w:r>
          </w:p>
        </w:tc>
        <w:tc>
          <w:tcPr>
            <w:tcW w:w="1260" w:type="dxa"/>
            <w:tcBorders>
              <w:top w:val="nil"/>
              <w:left w:val="nil"/>
              <w:bottom w:val="single" w:sz="8" w:space="0" w:color="auto"/>
              <w:right w:val="single" w:sz="8" w:space="0" w:color="000000"/>
            </w:tcBorders>
            <w:vAlign w:val="center"/>
            <w:hideMark/>
          </w:tcPr>
          <w:p w:rsidR="006777F1" w:rsidRPr="00391F72" w:rsidP="008A04CC" w14:paraId="7A3D4D99"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133,768</w:t>
            </w:r>
          </w:p>
        </w:tc>
        <w:tc>
          <w:tcPr>
            <w:tcW w:w="1170" w:type="dxa"/>
            <w:tcBorders>
              <w:top w:val="nil"/>
              <w:left w:val="nil"/>
              <w:bottom w:val="single" w:sz="8" w:space="0" w:color="auto"/>
              <w:right w:val="single" w:sz="8" w:space="0" w:color="000000"/>
            </w:tcBorders>
            <w:vAlign w:val="center"/>
            <w:hideMark/>
          </w:tcPr>
          <w:p w:rsidR="006777F1" w:rsidRPr="00391F72" w:rsidP="008A04CC" w14:paraId="1CD6DD59"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1</w:t>
            </w:r>
          </w:p>
        </w:tc>
        <w:tc>
          <w:tcPr>
            <w:tcW w:w="1080" w:type="dxa"/>
            <w:tcBorders>
              <w:top w:val="nil"/>
              <w:left w:val="nil"/>
              <w:bottom w:val="single" w:sz="8" w:space="0" w:color="000000"/>
              <w:right w:val="single" w:sz="8" w:space="0" w:color="000000"/>
            </w:tcBorders>
            <w:shd w:val="clear" w:color="000000" w:fill="FFFFFF"/>
            <w:vAlign w:val="center"/>
            <w:hideMark/>
          </w:tcPr>
          <w:p w:rsidR="006777F1" w:rsidRPr="00391F72" w:rsidP="008A04CC" w14:paraId="79F64F0F"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133,768</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391F72" w:rsidP="008A04CC" w14:paraId="7943E756"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5/60</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391F72" w:rsidP="008A04CC" w14:paraId="3D0EB5DE"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11,147</w:t>
            </w:r>
          </w:p>
        </w:tc>
        <w:tc>
          <w:tcPr>
            <w:tcW w:w="900" w:type="dxa"/>
            <w:tcBorders>
              <w:top w:val="nil"/>
              <w:left w:val="nil"/>
              <w:bottom w:val="single" w:sz="8" w:space="0" w:color="000000"/>
              <w:right w:val="single" w:sz="8" w:space="0" w:color="000000"/>
            </w:tcBorders>
            <w:shd w:val="clear" w:color="000000" w:fill="FFFFFF"/>
            <w:vAlign w:val="center"/>
            <w:hideMark/>
          </w:tcPr>
          <w:p w:rsidR="006777F1" w:rsidRPr="00391F72" w:rsidP="008A04CC" w14:paraId="7863E794"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$31.02</w:t>
            </w:r>
          </w:p>
        </w:tc>
        <w:tc>
          <w:tcPr>
            <w:tcW w:w="1260" w:type="dxa"/>
            <w:tcBorders>
              <w:top w:val="nil"/>
              <w:left w:val="nil"/>
              <w:bottom w:val="single" w:sz="8" w:space="0" w:color="000000"/>
              <w:right w:val="single" w:sz="8" w:space="0" w:color="000000"/>
            </w:tcBorders>
            <w:shd w:val="clear" w:color="000000" w:fill="FFFFFF"/>
            <w:vAlign w:val="center"/>
            <w:hideMark/>
          </w:tcPr>
          <w:p w:rsidR="006777F1" w:rsidRPr="00391F72" w:rsidP="008A04CC" w14:paraId="2BB8021E" w14:textId="77777777">
            <w:pPr>
              <w:spacing w:after="0" w:line="240" w:lineRule="auto"/>
              <w:jc w:val="center"/>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$345,780</w:t>
            </w:r>
          </w:p>
        </w:tc>
        <w:tc>
          <w:tcPr>
            <w:tcW w:w="956" w:type="dxa"/>
            <w:vAlign w:val="center"/>
            <w:hideMark/>
          </w:tcPr>
          <w:p w:rsidR="006777F1" w:rsidRPr="009301A0" w:rsidP="008A04CC" w14:paraId="4D35FB5C"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2AF8D6AF" w14:textId="77777777">
            <w:pPr>
              <w:spacing w:after="0" w:line="240" w:lineRule="auto"/>
              <w:rPr>
                <w:rFonts w:ascii="Times New Roman" w:eastAsia="Times New Roman" w:hAnsi="Times New Roman"/>
                <w:sz w:val="20"/>
                <w:szCs w:val="20"/>
              </w:rPr>
            </w:pPr>
          </w:p>
        </w:tc>
      </w:tr>
      <w:tr w14:paraId="7C3B3C82" w14:textId="77777777" w:rsidTr="00372867">
        <w:tblPrEx>
          <w:tblW w:w="12830" w:type="dxa"/>
          <w:tblInd w:w="-1000" w:type="dxa"/>
          <w:tblLayout w:type="fixed"/>
          <w:tblLook w:val="04A0"/>
        </w:tblPrEx>
        <w:trPr>
          <w:cantSplit/>
          <w:trHeight w:val="220"/>
        </w:trPr>
        <w:tc>
          <w:tcPr>
            <w:tcW w:w="11638" w:type="dxa"/>
            <w:gridSpan w:val="9"/>
            <w:tcBorders>
              <w:top w:val="nil"/>
              <w:left w:val="single" w:sz="8" w:space="0" w:color="000000"/>
              <w:bottom w:val="single" w:sz="8" w:space="0" w:color="000000"/>
              <w:right w:val="single" w:sz="8" w:space="0" w:color="000000"/>
            </w:tcBorders>
            <w:shd w:val="clear" w:color="auto" w:fill="E2EFD9" w:themeFill="accent6" w:themeFillTint="33"/>
            <w:vAlign w:val="bottom"/>
          </w:tcPr>
          <w:p w:rsidR="006777F1" w:rsidRPr="00391F72" w:rsidP="008A04CC" w14:paraId="5FA48207" w14:textId="77777777">
            <w:pPr>
              <w:spacing w:after="0" w:line="240" w:lineRule="auto"/>
              <w:rPr>
                <w:rFonts w:ascii="Times New Roman" w:eastAsia="Times New Roman" w:hAnsi="Times New Roman"/>
                <w:sz w:val="20"/>
                <w:szCs w:val="20"/>
              </w:rPr>
            </w:pPr>
            <w:r w:rsidRPr="00391F72">
              <w:rPr>
                <w:rFonts w:ascii="Times New Roman" w:eastAsia="Times New Roman" w:hAnsi="Times New Roman"/>
                <w:b/>
                <w:bCs/>
                <w:color w:val="000000"/>
                <w:sz w:val="20"/>
                <w:szCs w:val="20"/>
              </w:rPr>
              <w:t>8. PLHCP’s Written Medical Opinion</w:t>
            </w:r>
          </w:p>
        </w:tc>
        <w:tc>
          <w:tcPr>
            <w:tcW w:w="956" w:type="dxa"/>
            <w:vAlign w:val="center"/>
          </w:tcPr>
          <w:p w:rsidR="006777F1" w:rsidRPr="009301A0" w:rsidP="008A04CC" w14:paraId="451D2ADF" w14:textId="77777777">
            <w:pPr>
              <w:spacing w:after="0" w:line="240" w:lineRule="auto"/>
              <w:rPr>
                <w:rFonts w:ascii="Times New Roman" w:eastAsia="Times New Roman" w:hAnsi="Times New Roman"/>
                <w:sz w:val="20"/>
                <w:szCs w:val="20"/>
              </w:rPr>
            </w:pPr>
          </w:p>
        </w:tc>
        <w:tc>
          <w:tcPr>
            <w:tcW w:w="236" w:type="dxa"/>
            <w:vAlign w:val="center"/>
          </w:tcPr>
          <w:p w:rsidR="006777F1" w:rsidRPr="009301A0" w:rsidP="008A04CC" w14:paraId="0B028F2C" w14:textId="77777777">
            <w:pPr>
              <w:spacing w:after="0" w:line="240" w:lineRule="auto"/>
              <w:rPr>
                <w:rFonts w:ascii="Times New Roman" w:eastAsia="Times New Roman" w:hAnsi="Times New Roman"/>
                <w:sz w:val="20"/>
                <w:szCs w:val="20"/>
              </w:rPr>
            </w:pPr>
          </w:p>
        </w:tc>
      </w:tr>
      <w:tr w14:paraId="04CF4600" w14:textId="77777777" w:rsidTr="00372867">
        <w:tblPrEx>
          <w:tblW w:w="12830" w:type="dxa"/>
          <w:tblInd w:w="-1000" w:type="dxa"/>
          <w:tblLayout w:type="fixed"/>
          <w:tblLook w:val="04A0"/>
        </w:tblPrEx>
        <w:trPr>
          <w:cantSplit/>
          <w:trHeight w:val="430"/>
        </w:trPr>
        <w:tc>
          <w:tcPr>
            <w:tcW w:w="2638" w:type="dxa"/>
            <w:tcBorders>
              <w:top w:val="single" w:sz="8" w:space="0" w:color="000000"/>
              <w:left w:val="single" w:sz="8" w:space="0" w:color="000000"/>
              <w:right w:val="single" w:sz="8" w:space="0" w:color="000000"/>
            </w:tcBorders>
            <w:vAlign w:val="bottom"/>
            <w:hideMark/>
          </w:tcPr>
          <w:p w:rsidR="006777F1" w:rsidRPr="00391F72" w:rsidP="008A04CC" w14:paraId="078D49E8" w14:textId="77777777">
            <w:pPr>
              <w:spacing w:after="0" w:line="240" w:lineRule="auto"/>
              <w:rPr>
                <w:rFonts w:ascii="Times New Roman" w:eastAsia="Times New Roman" w:hAnsi="Times New Roman"/>
                <w:color w:val="000000"/>
                <w:sz w:val="20"/>
                <w:szCs w:val="20"/>
              </w:rPr>
            </w:pPr>
            <w:r w:rsidRPr="00391F72">
              <w:rPr>
                <w:rFonts w:ascii="Times New Roman" w:eastAsia="Times New Roman" w:hAnsi="Times New Roman"/>
                <w:color w:val="000000"/>
                <w:sz w:val="20"/>
                <w:szCs w:val="20"/>
              </w:rPr>
              <w:t>a. Employee and Clerical Time and Cost to Provide the PLHCP’s Written Medical Opinion to Employee (</w:t>
            </w:r>
            <w:r>
              <w:rPr>
                <w:rFonts w:ascii="Times New Roman" w:eastAsia="Times New Roman" w:hAnsi="Times New Roman"/>
                <w:color w:val="000000"/>
                <w:sz w:val="20"/>
                <w:szCs w:val="20"/>
              </w:rPr>
              <w:t>B</w:t>
            </w:r>
            <w:r w:rsidRPr="00391F72">
              <w:rPr>
                <w:rFonts w:ascii="Times New Roman" w:eastAsia="Times New Roman" w:hAnsi="Times New Roman"/>
                <w:color w:val="000000"/>
                <w:sz w:val="20"/>
                <w:szCs w:val="20"/>
              </w:rPr>
              <w:t>urden taken in Table 33)</w:t>
            </w:r>
          </w:p>
        </w:tc>
        <w:tc>
          <w:tcPr>
            <w:tcW w:w="1170" w:type="dxa"/>
            <w:tcBorders>
              <w:top w:val="single" w:sz="8" w:space="0" w:color="auto"/>
              <w:left w:val="nil"/>
              <w:bottom w:val="single" w:sz="8" w:space="0" w:color="000000"/>
              <w:right w:val="single" w:sz="8" w:space="0" w:color="000000"/>
            </w:tcBorders>
            <w:vAlign w:val="center"/>
            <w:hideMark/>
          </w:tcPr>
          <w:p w:rsidR="006777F1" w:rsidRPr="00391F72" w:rsidP="008A04CC" w14:paraId="5258F45D"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w:t>
            </w:r>
          </w:p>
        </w:tc>
        <w:tc>
          <w:tcPr>
            <w:tcW w:w="1260" w:type="dxa"/>
            <w:tcBorders>
              <w:top w:val="single" w:sz="8" w:space="0" w:color="auto"/>
              <w:left w:val="nil"/>
              <w:bottom w:val="single" w:sz="8" w:space="0" w:color="000000"/>
              <w:right w:val="single" w:sz="8" w:space="0" w:color="000000"/>
            </w:tcBorders>
            <w:vAlign w:val="center"/>
            <w:hideMark/>
          </w:tcPr>
          <w:p w:rsidR="006777F1" w:rsidRPr="00391F72" w:rsidP="008A04CC" w14:paraId="39A37EA2"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w:t>
            </w:r>
          </w:p>
        </w:tc>
        <w:tc>
          <w:tcPr>
            <w:tcW w:w="1170" w:type="dxa"/>
            <w:tcBorders>
              <w:top w:val="single" w:sz="8" w:space="0" w:color="auto"/>
              <w:left w:val="nil"/>
              <w:bottom w:val="single" w:sz="8" w:space="0" w:color="000000"/>
              <w:right w:val="single" w:sz="8" w:space="0" w:color="000000"/>
            </w:tcBorders>
            <w:vAlign w:val="center"/>
            <w:hideMark/>
          </w:tcPr>
          <w:p w:rsidR="006777F1" w:rsidRPr="00391F72" w:rsidP="008A04CC" w14:paraId="503DE770"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w:t>
            </w:r>
          </w:p>
        </w:tc>
        <w:tc>
          <w:tcPr>
            <w:tcW w:w="1080" w:type="dxa"/>
            <w:tcBorders>
              <w:top w:val="single" w:sz="8" w:space="0" w:color="auto"/>
              <w:left w:val="nil"/>
              <w:bottom w:val="single" w:sz="8" w:space="0" w:color="000000"/>
              <w:right w:val="single" w:sz="8" w:space="0" w:color="000000"/>
            </w:tcBorders>
            <w:vAlign w:val="center"/>
            <w:hideMark/>
          </w:tcPr>
          <w:p w:rsidR="006777F1" w:rsidRPr="00391F72" w:rsidP="008A04CC" w14:paraId="71E4A4AD"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 </w:t>
            </w:r>
          </w:p>
        </w:tc>
        <w:tc>
          <w:tcPr>
            <w:tcW w:w="1260" w:type="dxa"/>
            <w:tcBorders>
              <w:top w:val="single" w:sz="8" w:space="0" w:color="auto"/>
              <w:left w:val="nil"/>
              <w:bottom w:val="single" w:sz="8" w:space="0" w:color="000000"/>
              <w:right w:val="single" w:sz="8" w:space="0" w:color="000000"/>
            </w:tcBorders>
            <w:vAlign w:val="center"/>
            <w:hideMark/>
          </w:tcPr>
          <w:p w:rsidR="006777F1" w:rsidRPr="00391F72" w:rsidP="008A04CC" w14:paraId="6B8E7DC0"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w:t>
            </w:r>
          </w:p>
        </w:tc>
        <w:tc>
          <w:tcPr>
            <w:tcW w:w="900" w:type="dxa"/>
            <w:tcBorders>
              <w:top w:val="single" w:sz="8" w:space="0" w:color="auto"/>
              <w:left w:val="nil"/>
              <w:bottom w:val="single" w:sz="8" w:space="0" w:color="000000"/>
              <w:right w:val="single" w:sz="8" w:space="0" w:color="000000"/>
            </w:tcBorders>
            <w:vAlign w:val="center"/>
            <w:hideMark/>
          </w:tcPr>
          <w:p w:rsidR="006777F1" w:rsidRPr="00391F72" w:rsidP="008A04CC" w14:paraId="547B2729"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 </w:t>
            </w:r>
          </w:p>
        </w:tc>
        <w:tc>
          <w:tcPr>
            <w:tcW w:w="900" w:type="dxa"/>
            <w:tcBorders>
              <w:top w:val="single" w:sz="8" w:space="0" w:color="auto"/>
              <w:left w:val="nil"/>
              <w:bottom w:val="single" w:sz="8" w:space="0" w:color="000000"/>
              <w:right w:val="single" w:sz="8" w:space="0" w:color="000000"/>
            </w:tcBorders>
            <w:vAlign w:val="center"/>
            <w:hideMark/>
          </w:tcPr>
          <w:p w:rsidR="006777F1" w:rsidRPr="00391F72" w:rsidP="008A04CC" w14:paraId="139A25D7"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w:t>
            </w:r>
          </w:p>
        </w:tc>
        <w:tc>
          <w:tcPr>
            <w:tcW w:w="1260" w:type="dxa"/>
            <w:tcBorders>
              <w:top w:val="single" w:sz="8" w:space="0" w:color="auto"/>
              <w:left w:val="nil"/>
              <w:bottom w:val="single" w:sz="8" w:space="0" w:color="000000"/>
              <w:right w:val="single" w:sz="8" w:space="0" w:color="000000"/>
            </w:tcBorders>
            <w:vAlign w:val="center"/>
            <w:hideMark/>
          </w:tcPr>
          <w:p w:rsidR="006777F1" w:rsidRPr="00391F72" w:rsidP="008A04CC" w14:paraId="1BAA69B2" w14:textId="77777777">
            <w:pPr>
              <w:spacing w:after="0" w:line="240" w:lineRule="auto"/>
              <w:jc w:val="center"/>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w:t>
            </w:r>
          </w:p>
        </w:tc>
        <w:tc>
          <w:tcPr>
            <w:tcW w:w="956" w:type="dxa"/>
            <w:vAlign w:val="center"/>
            <w:hideMark/>
          </w:tcPr>
          <w:p w:rsidR="006777F1" w:rsidRPr="009301A0" w:rsidP="008A04CC" w14:paraId="73A59B2A"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333EA1BB" w14:textId="77777777">
            <w:pPr>
              <w:spacing w:after="0" w:line="240" w:lineRule="auto"/>
              <w:rPr>
                <w:rFonts w:ascii="Times New Roman" w:eastAsia="Times New Roman" w:hAnsi="Times New Roman"/>
                <w:sz w:val="20"/>
                <w:szCs w:val="20"/>
              </w:rPr>
            </w:pPr>
          </w:p>
        </w:tc>
      </w:tr>
      <w:tr w14:paraId="49A733B6" w14:textId="77777777" w:rsidTr="00372867">
        <w:tblPrEx>
          <w:tblW w:w="12830" w:type="dxa"/>
          <w:tblInd w:w="-1000" w:type="dxa"/>
          <w:tblLayout w:type="fixed"/>
          <w:tblLook w:val="04A0"/>
        </w:tblPrEx>
        <w:trPr>
          <w:cantSplit/>
          <w:trHeight w:val="220"/>
        </w:trPr>
        <w:tc>
          <w:tcPr>
            <w:tcW w:w="11638" w:type="dxa"/>
            <w:gridSpan w:val="9"/>
            <w:tcBorders>
              <w:top w:val="single" w:sz="8" w:space="0" w:color="000000"/>
              <w:left w:val="single" w:sz="8" w:space="0" w:color="000000"/>
              <w:bottom w:val="single" w:sz="8" w:space="0" w:color="000000"/>
              <w:right w:val="single" w:sz="8" w:space="0" w:color="000000"/>
            </w:tcBorders>
            <w:shd w:val="clear" w:color="auto" w:fill="FEF2CC" w:themeFill="accent4" w:themeFillTint="33"/>
            <w:noWrap/>
            <w:hideMark/>
          </w:tcPr>
          <w:p w:rsidR="00A6394A" w:rsidP="00A6394A" w14:paraId="6E831382" w14:textId="77777777">
            <w:pPr>
              <w:spacing w:after="0" w:line="240" w:lineRule="auto"/>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E. Recordkeeping (§§ 1910.1026(m), 1915.1026(k), and 1926.1126(k))</w:t>
            </w:r>
          </w:p>
          <w:p w:rsidR="00397658" w:rsidRPr="00391F72" w:rsidP="00A6394A" w14:paraId="749ACCC0" w14:textId="42200AEF">
            <w:pPr>
              <w:spacing w:after="0" w:line="240" w:lineRule="auto"/>
              <w:rPr>
                <w:rFonts w:ascii="Times New Roman" w:eastAsia="Times New Roman" w:hAnsi="Times New Roman"/>
                <w:b/>
                <w:bCs/>
                <w:color w:val="000000"/>
                <w:sz w:val="20"/>
                <w:szCs w:val="20"/>
              </w:rPr>
            </w:pPr>
            <w:r w:rsidRPr="00391F72">
              <w:rPr>
                <w:rFonts w:ascii="Times New Roman" w:eastAsia="Times New Roman" w:hAnsi="Times New Roman"/>
                <w:b/>
                <w:bCs/>
                <w:color w:val="000000"/>
                <w:sz w:val="20"/>
                <w:szCs w:val="20"/>
              </w:rPr>
              <w:t> </w:t>
            </w:r>
          </w:p>
        </w:tc>
        <w:tc>
          <w:tcPr>
            <w:tcW w:w="956" w:type="dxa"/>
            <w:vAlign w:val="center"/>
            <w:hideMark/>
          </w:tcPr>
          <w:p w:rsidR="00397658" w:rsidRPr="009301A0" w:rsidP="008A04CC" w14:paraId="71ADC8A0" w14:textId="77777777">
            <w:pPr>
              <w:spacing w:after="0" w:line="240" w:lineRule="auto"/>
              <w:rPr>
                <w:rFonts w:ascii="Times New Roman" w:eastAsia="Times New Roman" w:hAnsi="Times New Roman"/>
                <w:sz w:val="20"/>
                <w:szCs w:val="20"/>
              </w:rPr>
            </w:pPr>
          </w:p>
        </w:tc>
        <w:tc>
          <w:tcPr>
            <w:tcW w:w="236" w:type="dxa"/>
            <w:vAlign w:val="center"/>
            <w:hideMark/>
          </w:tcPr>
          <w:p w:rsidR="00397658" w:rsidRPr="009301A0" w:rsidP="008A04CC" w14:paraId="32F68B1A" w14:textId="77777777">
            <w:pPr>
              <w:spacing w:after="0" w:line="240" w:lineRule="auto"/>
              <w:rPr>
                <w:rFonts w:ascii="Times New Roman" w:eastAsia="Times New Roman" w:hAnsi="Times New Roman"/>
                <w:sz w:val="20"/>
                <w:szCs w:val="20"/>
              </w:rPr>
            </w:pPr>
          </w:p>
        </w:tc>
      </w:tr>
      <w:tr w14:paraId="63AA97D0" w14:textId="77777777" w:rsidTr="00372867">
        <w:tblPrEx>
          <w:tblW w:w="12830" w:type="dxa"/>
          <w:tblInd w:w="-1000" w:type="dxa"/>
          <w:tblLayout w:type="fixed"/>
          <w:tblLook w:val="04A0"/>
        </w:tblPrEx>
        <w:trPr>
          <w:cantSplit/>
          <w:trHeight w:val="430"/>
        </w:trPr>
        <w:tc>
          <w:tcPr>
            <w:tcW w:w="2638" w:type="dxa"/>
            <w:tcBorders>
              <w:top w:val="single" w:sz="8" w:space="0" w:color="000000"/>
              <w:left w:val="single" w:sz="8" w:space="0" w:color="000000"/>
              <w:bottom w:val="single" w:sz="4" w:space="0" w:color="auto"/>
              <w:right w:val="single" w:sz="8" w:space="0" w:color="000000"/>
            </w:tcBorders>
            <w:vAlign w:val="bottom"/>
            <w:hideMark/>
          </w:tcPr>
          <w:p w:rsidR="006777F1" w:rsidRPr="009301A0" w:rsidP="008A04CC" w14:paraId="26BCAA98" w14:textId="77777777">
            <w:pPr>
              <w:spacing w:after="0" w:line="240" w:lineRule="auto"/>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a. Clerical Time and Cost to Establish and Maintain Record for Air Monitoring Data and Medical Surveillance (Table 33)</w:t>
            </w:r>
          </w:p>
        </w:tc>
        <w:tc>
          <w:tcPr>
            <w:tcW w:w="1170" w:type="dxa"/>
            <w:tcBorders>
              <w:top w:val="single" w:sz="8" w:space="0" w:color="000000"/>
              <w:left w:val="nil"/>
              <w:bottom w:val="single" w:sz="4" w:space="0" w:color="auto"/>
              <w:right w:val="single" w:sz="8" w:space="0" w:color="000000"/>
            </w:tcBorders>
            <w:vAlign w:val="center"/>
            <w:hideMark/>
          </w:tcPr>
          <w:p w:rsidR="006777F1" w:rsidRPr="009301A0" w:rsidP="008A04CC" w14:paraId="2EE95246" w14:textId="77777777">
            <w:pPr>
              <w:spacing w:after="0" w:line="240" w:lineRule="auto"/>
              <w:jc w:val="center"/>
              <w:rPr>
                <w:rFonts w:ascii="Times New Roman" w:eastAsia="Times New Roman" w:hAnsi="Times New Roman"/>
                <w:color w:val="000000"/>
                <w:sz w:val="20"/>
                <w:szCs w:val="20"/>
              </w:rPr>
            </w:pPr>
            <w:r w:rsidRPr="009301A0">
              <w:rPr>
                <w:rFonts w:ascii="Times New Roman" w:eastAsia="Times New Roman" w:hAnsi="Times New Roman"/>
                <w:color w:val="000000"/>
                <w:sz w:val="20"/>
                <w:szCs w:val="20"/>
              </w:rPr>
              <w:t>Clerical</w:t>
            </w:r>
          </w:p>
        </w:tc>
        <w:tc>
          <w:tcPr>
            <w:tcW w:w="1260" w:type="dxa"/>
            <w:tcBorders>
              <w:top w:val="single" w:sz="8" w:space="0" w:color="000000"/>
              <w:left w:val="nil"/>
              <w:bottom w:val="single" w:sz="4" w:space="0" w:color="auto"/>
              <w:right w:val="single" w:sz="8" w:space="0" w:color="000000"/>
            </w:tcBorders>
            <w:vAlign w:val="center"/>
            <w:hideMark/>
          </w:tcPr>
          <w:p w:rsidR="006777F1" w:rsidRPr="00B92220" w:rsidP="008A04CC" w14:paraId="48062517" w14:textId="77777777">
            <w:pPr>
              <w:spacing w:after="0" w:line="240" w:lineRule="auto"/>
              <w:jc w:val="center"/>
              <w:rPr>
                <w:rFonts w:ascii="Times New Roman" w:eastAsia="Times New Roman" w:hAnsi="Times New Roman"/>
                <w:color w:val="000000"/>
                <w:sz w:val="20"/>
                <w:szCs w:val="20"/>
                <w:highlight w:val="yellow"/>
              </w:rPr>
            </w:pPr>
            <w:r w:rsidRPr="009C375D">
              <w:rPr>
                <w:rFonts w:ascii="Times New Roman" w:eastAsia="Times New Roman" w:hAnsi="Times New Roman"/>
                <w:color w:val="000000"/>
                <w:sz w:val="20"/>
                <w:szCs w:val="20"/>
              </w:rPr>
              <w:t>474,268</w:t>
            </w:r>
          </w:p>
        </w:tc>
        <w:tc>
          <w:tcPr>
            <w:tcW w:w="1170" w:type="dxa"/>
            <w:tcBorders>
              <w:top w:val="single" w:sz="8" w:space="0" w:color="000000"/>
              <w:left w:val="nil"/>
              <w:bottom w:val="single" w:sz="4" w:space="0" w:color="auto"/>
              <w:right w:val="single" w:sz="8" w:space="0" w:color="000000"/>
            </w:tcBorders>
            <w:vAlign w:val="center"/>
            <w:hideMark/>
          </w:tcPr>
          <w:p w:rsidR="006777F1" w:rsidRPr="00B92220" w:rsidP="008A04CC" w14:paraId="2EC9BF25" w14:textId="77777777">
            <w:pPr>
              <w:spacing w:after="0" w:line="240" w:lineRule="auto"/>
              <w:jc w:val="center"/>
              <w:rPr>
                <w:rFonts w:ascii="Times New Roman" w:eastAsia="Times New Roman" w:hAnsi="Times New Roman"/>
                <w:color w:val="000000"/>
                <w:sz w:val="20"/>
                <w:szCs w:val="20"/>
                <w:highlight w:val="yellow"/>
              </w:rPr>
            </w:pPr>
            <w:r w:rsidRPr="009C375D">
              <w:rPr>
                <w:rFonts w:ascii="Times New Roman" w:eastAsia="Times New Roman" w:hAnsi="Times New Roman"/>
                <w:color w:val="000000"/>
                <w:sz w:val="20"/>
                <w:szCs w:val="20"/>
              </w:rPr>
              <w:t>1</w:t>
            </w:r>
          </w:p>
        </w:tc>
        <w:tc>
          <w:tcPr>
            <w:tcW w:w="1080" w:type="dxa"/>
            <w:tcBorders>
              <w:top w:val="single" w:sz="8" w:space="0" w:color="000000"/>
              <w:left w:val="nil"/>
              <w:bottom w:val="single" w:sz="4" w:space="0" w:color="auto"/>
              <w:right w:val="single" w:sz="8" w:space="0" w:color="000000"/>
            </w:tcBorders>
            <w:shd w:val="clear" w:color="000000" w:fill="FFFFFF"/>
            <w:vAlign w:val="center"/>
            <w:hideMark/>
          </w:tcPr>
          <w:p w:rsidR="006777F1" w:rsidRPr="000531C6" w:rsidP="008A04CC" w14:paraId="0CB6B57A" w14:textId="77777777">
            <w:pPr>
              <w:spacing w:after="0" w:line="240" w:lineRule="auto"/>
              <w:jc w:val="center"/>
              <w:rPr>
                <w:rFonts w:ascii="Times New Roman" w:eastAsia="Times New Roman" w:hAnsi="Times New Roman"/>
                <w:color w:val="000000"/>
                <w:sz w:val="20"/>
                <w:szCs w:val="20"/>
              </w:rPr>
            </w:pPr>
            <w:r w:rsidRPr="000531C6">
              <w:rPr>
                <w:rFonts w:ascii="Times New Roman" w:eastAsia="Times New Roman" w:hAnsi="Times New Roman"/>
                <w:color w:val="000000"/>
                <w:sz w:val="20"/>
                <w:szCs w:val="20"/>
              </w:rPr>
              <w:t>474,268</w:t>
            </w:r>
          </w:p>
        </w:tc>
        <w:tc>
          <w:tcPr>
            <w:tcW w:w="1260" w:type="dxa"/>
            <w:tcBorders>
              <w:top w:val="single" w:sz="8" w:space="0" w:color="000000"/>
              <w:left w:val="nil"/>
              <w:bottom w:val="single" w:sz="4" w:space="0" w:color="auto"/>
              <w:right w:val="single" w:sz="8" w:space="0" w:color="000000"/>
            </w:tcBorders>
            <w:shd w:val="clear" w:color="000000" w:fill="FFFFFF"/>
            <w:vAlign w:val="center"/>
            <w:hideMark/>
          </w:tcPr>
          <w:p w:rsidR="006777F1" w:rsidRPr="000531C6" w:rsidP="008A04CC" w14:paraId="585CC44A" w14:textId="77777777">
            <w:pPr>
              <w:spacing w:after="0" w:line="240" w:lineRule="auto"/>
              <w:jc w:val="center"/>
              <w:rPr>
                <w:rFonts w:ascii="Times New Roman" w:eastAsia="Times New Roman" w:hAnsi="Times New Roman"/>
                <w:color w:val="000000"/>
                <w:sz w:val="20"/>
                <w:szCs w:val="20"/>
              </w:rPr>
            </w:pPr>
            <w:r w:rsidRPr="000531C6">
              <w:rPr>
                <w:rFonts w:ascii="Times New Roman" w:eastAsia="Times New Roman" w:hAnsi="Times New Roman"/>
                <w:color w:val="000000"/>
                <w:sz w:val="20"/>
                <w:szCs w:val="20"/>
              </w:rPr>
              <w:t>5/60</w:t>
            </w:r>
          </w:p>
        </w:tc>
        <w:tc>
          <w:tcPr>
            <w:tcW w:w="900" w:type="dxa"/>
            <w:tcBorders>
              <w:top w:val="single" w:sz="8" w:space="0" w:color="000000"/>
              <w:left w:val="nil"/>
              <w:bottom w:val="single" w:sz="4" w:space="0" w:color="auto"/>
              <w:right w:val="single" w:sz="8" w:space="0" w:color="000000"/>
            </w:tcBorders>
            <w:shd w:val="clear" w:color="000000" w:fill="FFFFFF"/>
            <w:vAlign w:val="center"/>
            <w:hideMark/>
          </w:tcPr>
          <w:p w:rsidR="006777F1" w:rsidRPr="000531C6" w:rsidP="008A04CC" w14:paraId="79E322D8" w14:textId="77777777">
            <w:pPr>
              <w:spacing w:after="0" w:line="240" w:lineRule="auto"/>
              <w:jc w:val="center"/>
              <w:rPr>
                <w:rFonts w:ascii="Times New Roman" w:eastAsia="Times New Roman" w:hAnsi="Times New Roman"/>
                <w:color w:val="000000"/>
                <w:sz w:val="20"/>
                <w:szCs w:val="20"/>
              </w:rPr>
            </w:pPr>
            <w:r w:rsidRPr="000531C6">
              <w:rPr>
                <w:rFonts w:ascii="Times New Roman" w:eastAsia="Times New Roman" w:hAnsi="Times New Roman"/>
                <w:color w:val="000000"/>
                <w:sz w:val="20"/>
                <w:szCs w:val="20"/>
              </w:rPr>
              <w:t>39,522</w:t>
            </w:r>
          </w:p>
        </w:tc>
        <w:tc>
          <w:tcPr>
            <w:tcW w:w="900" w:type="dxa"/>
            <w:tcBorders>
              <w:top w:val="single" w:sz="8" w:space="0" w:color="000000"/>
              <w:left w:val="nil"/>
              <w:bottom w:val="single" w:sz="4" w:space="0" w:color="auto"/>
              <w:right w:val="single" w:sz="8" w:space="0" w:color="000000"/>
            </w:tcBorders>
            <w:shd w:val="clear" w:color="000000" w:fill="FFFFFF"/>
            <w:vAlign w:val="center"/>
            <w:hideMark/>
          </w:tcPr>
          <w:p w:rsidR="006777F1" w:rsidRPr="000531C6" w:rsidP="008A04CC" w14:paraId="19BCC21D" w14:textId="77777777">
            <w:pPr>
              <w:spacing w:after="0" w:line="240" w:lineRule="auto"/>
              <w:jc w:val="center"/>
              <w:rPr>
                <w:rFonts w:ascii="Times New Roman" w:eastAsia="Times New Roman" w:hAnsi="Times New Roman"/>
                <w:color w:val="000000"/>
                <w:sz w:val="20"/>
                <w:szCs w:val="20"/>
              </w:rPr>
            </w:pPr>
            <w:r w:rsidRPr="000531C6">
              <w:rPr>
                <w:rFonts w:ascii="Times New Roman" w:eastAsia="Times New Roman" w:hAnsi="Times New Roman"/>
                <w:color w:val="000000"/>
                <w:sz w:val="20"/>
                <w:szCs w:val="20"/>
              </w:rPr>
              <w:t>$31.02</w:t>
            </w:r>
          </w:p>
        </w:tc>
        <w:tc>
          <w:tcPr>
            <w:tcW w:w="1260" w:type="dxa"/>
            <w:tcBorders>
              <w:top w:val="single" w:sz="8" w:space="0" w:color="000000"/>
              <w:left w:val="nil"/>
              <w:bottom w:val="single" w:sz="4" w:space="0" w:color="auto"/>
              <w:right w:val="single" w:sz="8" w:space="0" w:color="000000"/>
            </w:tcBorders>
            <w:shd w:val="clear" w:color="000000" w:fill="FFFFFF"/>
            <w:vAlign w:val="center"/>
            <w:hideMark/>
          </w:tcPr>
          <w:p w:rsidR="006777F1" w:rsidRPr="000531C6" w:rsidP="008A04CC" w14:paraId="796F9FEF" w14:textId="77777777">
            <w:pPr>
              <w:spacing w:after="0" w:line="240" w:lineRule="auto"/>
              <w:jc w:val="center"/>
              <w:rPr>
                <w:rFonts w:ascii="Times New Roman" w:eastAsia="Times New Roman" w:hAnsi="Times New Roman"/>
                <w:color w:val="000000"/>
                <w:sz w:val="20"/>
                <w:szCs w:val="20"/>
              </w:rPr>
            </w:pPr>
            <w:r w:rsidRPr="000531C6">
              <w:rPr>
                <w:rFonts w:ascii="Times New Roman" w:eastAsia="Times New Roman" w:hAnsi="Times New Roman"/>
                <w:color w:val="000000"/>
                <w:sz w:val="20"/>
                <w:szCs w:val="20"/>
              </w:rPr>
              <w:t>$1,225,972</w:t>
            </w:r>
          </w:p>
        </w:tc>
        <w:tc>
          <w:tcPr>
            <w:tcW w:w="956" w:type="dxa"/>
            <w:vAlign w:val="center"/>
            <w:hideMark/>
          </w:tcPr>
          <w:p w:rsidR="006777F1" w:rsidRPr="009301A0" w:rsidP="008A04CC" w14:paraId="4A578604"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1ABD1A67" w14:textId="77777777">
            <w:pPr>
              <w:spacing w:after="0" w:line="240" w:lineRule="auto"/>
              <w:rPr>
                <w:rFonts w:ascii="Times New Roman" w:eastAsia="Times New Roman" w:hAnsi="Times New Roman"/>
                <w:sz w:val="20"/>
                <w:szCs w:val="20"/>
              </w:rPr>
            </w:pPr>
          </w:p>
        </w:tc>
      </w:tr>
      <w:tr w14:paraId="20461229" w14:textId="77777777" w:rsidTr="00AB7575">
        <w:tblPrEx>
          <w:tblW w:w="12830" w:type="dxa"/>
          <w:tblInd w:w="-1000" w:type="dxa"/>
          <w:tblLayout w:type="fixed"/>
          <w:tblLook w:val="04A0"/>
        </w:tblPrEx>
        <w:trPr>
          <w:cantSplit/>
          <w:trHeight w:val="220"/>
        </w:trPr>
        <w:tc>
          <w:tcPr>
            <w:tcW w:w="2638" w:type="dxa"/>
            <w:tcBorders>
              <w:top w:val="single" w:sz="4" w:space="0" w:color="auto"/>
              <w:left w:val="single" w:sz="8" w:space="0" w:color="000000"/>
              <w:bottom w:val="single" w:sz="8" w:space="0" w:color="000000"/>
              <w:right w:val="single" w:sz="8" w:space="0" w:color="000000"/>
            </w:tcBorders>
            <w:shd w:val="clear" w:color="auto" w:fill="F7CBAC" w:themeFill="accent2" w:themeFillTint="66"/>
            <w:vAlign w:val="bottom"/>
            <w:hideMark/>
          </w:tcPr>
          <w:p w:rsidR="006777F1" w:rsidRPr="009301A0" w:rsidP="008A04CC" w14:paraId="228F01D2" w14:textId="77777777">
            <w:pPr>
              <w:spacing w:after="0" w:line="240" w:lineRule="auto"/>
              <w:rPr>
                <w:rFonts w:ascii="Times New Roman" w:eastAsia="Times New Roman" w:hAnsi="Times New Roman"/>
                <w:b/>
                <w:bCs/>
                <w:sz w:val="20"/>
                <w:szCs w:val="20"/>
              </w:rPr>
            </w:pPr>
            <w:r w:rsidRPr="009301A0">
              <w:rPr>
                <w:rFonts w:ascii="Times New Roman" w:eastAsia="Times New Roman" w:hAnsi="Times New Roman"/>
                <w:b/>
                <w:bCs/>
                <w:sz w:val="20"/>
                <w:szCs w:val="20"/>
              </w:rPr>
              <w:t xml:space="preserve">TOTAL </w:t>
            </w:r>
          </w:p>
        </w:tc>
        <w:tc>
          <w:tcPr>
            <w:tcW w:w="1170" w:type="dxa"/>
            <w:tcBorders>
              <w:top w:val="single" w:sz="4" w:space="0" w:color="auto"/>
              <w:left w:val="nil"/>
              <w:bottom w:val="single" w:sz="8" w:space="0" w:color="000000"/>
              <w:right w:val="single" w:sz="8" w:space="0" w:color="000000"/>
            </w:tcBorders>
            <w:shd w:val="clear" w:color="auto" w:fill="000000" w:themeFill="text1"/>
            <w:vAlign w:val="bottom"/>
            <w:hideMark/>
          </w:tcPr>
          <w:p w:rsidR="006777F1" w:rsidRPr="009301A0" w:rsidP="008A04CC" w14:paraId="6345A769" w14:textId="77777777">
            <w:pPr>
              <w:spacing w:after="0" w:line="240" w:lineRule="auto"/>
              <w:rPr>
                <w:rFonts w:ascii="Times New Roman" w:eastAsia="Times New Roman" w:hAnsi="Times New Roman"/>
                <w:b/>
                <w:bCs/>
                <w:sz w:val="20"/>
                <w:szCs w:val="20"/>
              </w:rPr>
            </w:pPr>
            <w:r w:rsidRPr="009301A0">
              <w:rPr>
                <w:rFonts w:ascii="Times New Roman" w:eastAsia="Times New Roman" w:hAnsi="Times New Roman"/>
                <w:b/>
                <w:bCs/>
                <w:sz w:val="20"/>
                <w:szCs w:val="20"/>
              </w:rPr>
              <w:t> </w:t>
            </w:r>
          </w:p>
        </w:tc>
        <w:tc>
          <w:tcPr>
            <w:tcW w:w="1260" w:type="dxa"/>
            <w:tcBorders>
              <w:top w:val="single" w:sz="4" w:space="0" w:color="auto"/>
              <w:left w:val="nil"/>
              <w:bottom w:val="single" w:sz="8" w:space="0" w:color="000000"/>
              <w:right w:val="single" w:sz="8" w:space="0" w:color="000000"/>
            </w:tcBorders>
            <w:shd w:val="clear" w:color="auto" w:fill="F7CBAC" w:themeFill="accent2" w:themeFillTint="66"/>
            <w:vAlign w:val="center"/>
            <w:hideMark/>
          </w:tcPr>
          <w:p w:rsidR="006777F1" w:rsidRPr="00B92220" w:rsidP="008A04CC" w14:paraId="023443FC" w14:textId="77777777">
            <w:pPr>
              <w:spacing w:after="0" w:line="240" w:lineRule="auto"/>
              <w:jc w:val="center"/>
              <w:rPr>
                <w:rFonts w:ascii="Times New Roman" w:eastAsia="Times New Roman" w:hAnsi="Times New Roman"/>
                <w:b/>
                <w:bCs/>
                <w:color w:val="000000"/>
                <w:sz w:val="20"/>
                <w:szCs w:val="20"/>
                <w:highlight w:val="yellow"/>
              </w:rPr>
            </w:pPr>
            <w:r w:rsidRPr="00B92220">
              <w:rPr>
                <w:rFonts w:ascii="Times New Roman" w:eastAsia="Times New Roman" w:hAnsi="Times New Roman"/>
                <w:b/>
                <w:bCs/>
                <w:color w:val="000000"/>
                <w:sz w:val="20"/>
                <w:szCs w:val="20"/>
              </w:rPr>
              <w:t>83,780</w:t>
            </w:r>
            <w:r w:rsidRPr="003B691B">
              <w:rPr>
                <w:rFonts w:ascii="Times New Roman" w:eastAsia="Times New Roman" w:hAnsi="Times New Roman"/>
                <w:b/>
                <w:bCs/>
                <w:color w:val="000000"/>
                <w:sz w:val="20"/>
                <w:szCs w:val="20"/>
              </w:rPr>
              <w:t xml:space="preserve"> </w:t>
            </w:r>
            <w:r>
              <w:rPr>
                <w:rStyle w:val="FootnoteReference"/>
                <w:rFonts w:ascii="Times New Roman Bold" w:eastAsia="Times New Roman" w:hAnsi="Times New Roman Bold"/>
                <w:b/>
                <w:bCs/>
                <w:color w:val="000000"/>
                <w:szCs w:val="20"/>
                <w:vertAlign w:val="superscript"/>
              </w:rPr>
              <w:footnoteReference w:id="13"/>
            </w:r>
          </w:p>
        </w:tc>
        <w:tc>
          <w:tcPr>
            <w:tcW w:w="1170" w:type="dxa"/>
            <w:tcBorders>
              <w:top w:val="single" w:sz="4" w:space="0" w:color="auto"/>
              <w:left w:val="nil"/>
              <w:bottom w:val="single" w:sz="8" w:space="0" w:color="000000"/>
              <w:right w:val="single" w:sz="8" w:space="0" w:color="000000"/>
            </w:tcBorders>
            <w:shd w:val="clear" w:color="auto" w:fill="000000" w:themeFill="text1"/>
            <w:vAlign w:val="center"/>
            <w:hideMark/>
          </w:tcPr>
          <w:p w:rsidR="006777F1" w:rsidRPr="00B92220" w:rsidP="008A04CC" w14:paraId="2A20D00C" w14:textId="77777777">
            <w:pPr>
              <w:spacing w:after="0" w:line="240" w:lineRule="auto"/>
              <w:jc w:val="center"/>
              <w:rPr>
                <w:rFonts w:ascii="Times New Roman" w:eastAsia="Times New Roman" w:hAnsi="Times New Roman"/>
                <w:color w:val="000000"/>
                <w:sz w:val="20"/>
                <w:szCs w:val="20"/>
                <w:highlight w:val="yellow"/>
              </w:rPr>
            </w:pPr>
            <w:r w:rsidRPr="009C375D">
              <w:rPr>
                <w:rFonts w:ascii="Times New Roman" w:eastAsia="Times New Roman" w:hAnsi="Times New Roman"/>
                <w:color w:val="000000"/>
                <w:sz w:val="20"/>
                <w:szCs w:val="20"/>
              </w:rPr>
              <w:t> </w:t>
            </w:r>
          </w:p>
        </w:tc>
        <w:tc>
          <w:tcPr>
            <w:tcW w:w="1080" w:type="dxa"/>
            <w:tcBorders>
              <w:top w:val="single" w:sz="4" w:space="0" w:color="auto"/>
              <w:left w:val="nil"/>
              <w:bottom w:val="single" w:sz="8" w:space="0" w:color="000000"/>
              <w:right w:val="single" w:sz="8" w:space="0" w:color="000000"/>
            </w:tcBorders>
            <w:shd w:val="clear" w:color="auto" w:fill="F7CBAC" w:themeFill="accent2" w:themeFillTint="66"/>
            <w:vAlign w:val="center"/>
            <w:hideMark/>
          </w:tcPr>
          <w:p w:rsidR="006777F1" w:rsidRPr="000531C6" w:rsidP="008A04CC" w14:paraId="47DA2A5D" w14:textId="77777777">
            <w:pPr>
              <w:spacing w:after="0" w:line="240" w:lineRule="auto"/>
              <w:jc w:val="center"/>
              <w:rPr>
                <w:rFonts w:ascii="Times New Roman" w:eastAsia="Times New Roman" w:hAnsi="Times New Roman"/>
                <w:b/>
                <w:color w:val="000000"/>
                <w:sz w:val="20"/>
                <w:szCs w:val="20"/>
              </w:rPr>
            </w:pPr>
            <w:r w:rsidRPr="00B92220">
              <w:rPr>
                <w:rFonts w:ascii="Times New Roman" w:eastAsia="Times New Roman" w:hAnsi="Times New Roman"/>
                <w:b/>
                <w:color w:val="000000"/>
                <w:sz w:val="20"/>
                <w:szCs w:val="20"/>
              </w:rPr>
              <w:t>1,052,617</w:t>
            </w:r>
          </w:p>
        </w:tc>
        <w:tc>
          <w:tcPr>
            <w:tcW w:w="1260" w:type="dxa"/>
            <w:tcBorders>
              <w:top w:val="single" w:sz="4" w:space="0" w:color="auto"/>
              <w:left w:val="nil"/>
              <w:bottom w:val="single" w:sz="8" w:space="0" w:color="000000"/>
              <w:right w:val="single" w:sz="8" w:space="0" w:color="000000"/>
            </w:tcBorders>
            <w:shd w:val="clear" w:color="auto" w:fill="000000" w:themeFill="text1"/>
            <w:vAlign w:val="center"/>
            <w:hideMark/>
          </w:tcPr>
          <w:p w:rsidR="006777F1" w:rsidRPr="000531C6" w:rsidP="008A04CC" w14:paraId="1797FFA3" w14:textId="77777777">
            <w:pPr>
              <w:spacing w:after="0" w:line="240" w:lineRule="auto"/>
              <w:jc w:val="center"/>
              <w:rPr>
                <w:rFonts w:ascii="Times New Roman" w:eastAsia="Times New Roman" w:hAnsi="Times New Roman"/>
                <w:color w:val="000000"/>
                <w:sz w:val="20"/>
                <w:szCs w:val="20"/>
              </w:rPr>
            </w:pPr>
            <w:r w:rsidRPr="000531C6">
              <w:rPr>
                <w:rFonts w:ascii="Times New Roman" w:eastAsia="Times New Roman" w:hAnsi="Times New Roman"/>
                <w:color w:val="000000"/>
                <w:sz w:val="20"/>
                <w:szCs w:val="20"/>
              </w:rPr>
              <w:t> </w:t>
            </w:r>
          </w:p>
        </w:tc>
        <w:tc>
          <w:tcPr>
            <w:tcW w:w="900" w:type="dxa"/>
            <w:tcBorders>
              <w:top w:val="single" w:sz="4" w:space="0" w:color="auto"/>
              <w:left w:val="nil"/>
              <w:bottom w:val="single" w:sz="8" w:space="0" w:color="000000"/>
              <w:right w:val="single" w:sz="8" w:space="0" w:color="000000"/>
            </w:tcBorders>
            <w:shd w:val="clear" w:color="auto" w:fill="F7CBAC" w:themeFill="accent2" w:themeFillTint="66"/>
            <w:hideMark/>
          </w:tcPr>
          <w:p w:rsidR="006777F1" w:rsidRPr="000531C6" w:rsidP="008A04CC" w14:paraId="3D36DF7D" w14:textId="7725112D">
            <w:pPr>
              <w:spacing w:after="0" w:line="240" w:lineRule="auto"/>
              <w:jc w:val="center"/>
              <w:rPr>
                <w:rFonts w:ascii="Times New Roman" w:eastAsia="Times New Roman" w:hAnsi="Times New Roman"/>
                <w:b/>
                <w:color w:val="000000"/>
                <w:sz w:val="20"/>
                <w:szCs w:val="20"/>
              </w:rPr>
            </w:pPr>
            <w:r w:rsidRPr="00B92220">
              <w:rPr>
                <w:rFonts w:ascii="Times New Roman" w:eastAsia="Times New Roman" w:hAnsi="Times New Roman"/>
                <w:b/>
                <w:color w:val="000000"/>
                <w:sz w:val="20"/>
                <w:szCs w:val="20"/>
              </w:rPr>
              <w:t>506,</w:t>
            </w:r>
            <w:r w:rsidR="004862B3">
              <w:rPr>
                <w:rFonts w:ascii="Times New Roman" w:eastAsia="Times New Roman" w:hAnsi="Times New Roman"/>
                <w:b/>
                <w:color w:val="000000"/>
                <w:sz w:val="20"/>
                <w:szCs w:val="20"/>
              </w:rPr>
              <w:t>685</w:t>
            </w:r>
          </w:p>
        </w:tc>
        <w:tc>
          <w:tcPr>
            <w:tcW w:w="900" w:type="dxa"/>
            <w:tcBorders>
              <w:top w:val="single" w:sz="4" w:space="0" w:color="auto"/>
              <w:left w:val="nil"/>
              <w:bottom w:val="single" w:sz="8" w:space="0" w:color="000000"/>
              <w:right w:val="single" w:sz="8" w:space="0" w:color="000000"/>
            </w:tcBorders>
            <w:shd w:val="clear" w:color="auto" w:fill="000000" w:themeFill="text1"/>
            <w:hideMark/>
          </w:tcPr>
          <w:p w:rsidR="006777F1" w:rsidRPr="000531C6" w:rsidP="008A04CC" w14:paraId="7D289EFD" w14:textId="77777777">
            <w:pPr>
              <w:spacing w:after="0" w:line="240" w:lineRule="auto"/>
              <w:jc w:val="center"/>
              <w:rPr>
                <w:rFonts w:ascii="Times New Roman" w:eastAsia="Times New Roman" w:hAnsi="Times New Roman"/>
                <w:b/>
                <w:color w:val="000000"/>
                <w:sz w:val="20"/>
                <w:szCs w:val="20"/>
              </w:rPr>
            </w:pPr>
          </w:p>
        </w:tc>
        <w:tc>
          <w:tcPr>
            <w:tcW w:w="1260" w:type="dxa"/>
            <w:tcBorders>
              <w:top w:val="single" w:sz="4" w:space="0" w:color="auto"/>
              <w:left w:val="nil"/>
              <w:bottom w:val="single" w:sz="8" w:space="0" w:color="000000"/>
              <w:right w:val="single" w:sz="8" w:space="0" w:color="000000"/>
            </w:tcBorders>
            <w:shd w:val="clear" w:color="auto" w:fill="F7CBAC" w:themeFill="accent2" w:themeFillTint="66"/>
            <w:hideMark/>
          </w:tcPr>
          <w:p w:rsidR="006777F1" w:rsidRPr="006E1F32" w:rsidP="008A04CC" w14:paraId="1A685549" w14:textId="6410EAB9">
            <w:pPr>
              <w:spacing w:after="0" w:line="240" w:lineRule="auto"/>
              <w:jc w:val="center"/>
              <w:rPr>
                <w:rFonts w:ascii="Times New Roman" w:eastAsia="Times New Roman" w:hAnsi="Times New Roman"/>
                <w:b/>
                <w:color w:val="000000"/>
                <w:sz w:val="20"/>
                <w:szCs w:val="20"/>
              </w:rPr>
            </w:pPr>
            <w:r w:rsidRPr="006E1F32">
              <w:rPr>
                <w:rFonts w:ascii="Times New Roman" w:eastAsia="Times New Roman" w:hAnsi="Times New Roman"/>
                <w:b/>
                <w:color w:val="000000"/>
                <w:sz w:val="20"/>
                <w:szCs w:val="20"/>
              </w:rPr>
              <w:t>$18,</w:t>
            </w:r>
            <w:r w:rsidRPr="006E1F32" w:rsidR="006E1F32">
              <w:rPr>
                <w:rFonts w:ascii="Times New Roman" w:eastAsia="Times New Roman" w:hAnsi="Times New Roman"/>
                <w:b/>
                <w:color w:val="000000"/>
                <w:sz w:val="20"/>
                <w:szCs w:val="20"/>
              </w:rPr>
              <w:t>7</w:t>
            </w:r>
            <w:r w:rsidR="007F7E38">
              <w:rPr>
                <w:rFonts w:ascii="Times New Roman" w:eastAsia="Times New Roman" w:hAnsi="Times New Roman"/>
                <w:b/>
                <w:color w:val="000000"/>
                <w:sz w:val="20"/>
                <w:szCs w:val="20"/>
              </w:rPr>
              <w:t>61</w:t>
            </w:r>
            <w:r w:rsidR="004370D3">
              <w:rPr>
                <w:rFonts w:ascii="Times New Roman" w:eastAsia="Times New Roman" w:hAnsi="Times New Roman"/>
                <w:b/>
                <w:color w:val="000000"/>
                <w:sz w:val="20"/>
                <w:szCs w:val="20"/>
              </w:rPr>
              <w:t>,948</w:t>
            </w:r>
            <w:r w:rsidRPr="006E1F32">
              <w:rPr>
                <w:rFonts w:ascii="Times New Roman" w:eastAsia="Times New Roman" w:hAnsi="Times New Roman"/>
                <w:b/>
                <w:color w:val="000000"/>
                <w:sz w:val="20"/>
                <w:szCs w:val="20"/>
              </w:rPr>
              <w:t xml:space="preserve"> </w:t>
            </w:r>
          </w:p>
        </w:tc>
        <w:tc>
          <w:tcPr>
            <w:tcW w:w="956" w:type="dxa"/>
            <w:vAlign w:val="center"/>
            <w:hideMark/>
          </w:tcPr>
          <w:p w:rsidR="006777F1" w:rsidRPr="009301A0" w:rsidP="008A04CC" w14:paraId="2F9C9149" w14:textId="77777777">
            <w:pPr>
              <w:spacing w:after="0" w:line="240" w:lineRule="auto"/>
              <w:rPr>
                <w:rFonts w:ascii="Times New Roman" w:eastAsia="Times New Roman" w:hAnsi="Times New Roman"/>
                <w:sz w:val="20"/>
                <w:szCs w:val="20"/>
              </w:rPr>
            </w:pPr>
          </w:p>
        </w:tc>
        <w:tc>
          <w:tcPr>
            <w:tcW w:w="236" w:type="dxa"/>
            <w:vAlign w:val="center"/>
            <w:hideMark/>
          </w:tcPr>
          <w:p w:rsidR="006777F1" w:rsidRPr="009301A0" w:rsidP="008A04CC" w14:paraId="247E671A" w14:textId="77777777">
            <w:pPr>
              <w:spacing w:after="0" w:line="240" w:lineRule="auto"/>
              <w:rPr>
                <w:rFonts w:ascii="Times New Roman" w:eastAsia="Times New Roman" w:hAnsi="Times New Roman"/>
                <w:sz w:val="20"/>
                <w:szCs w:val="20"/>
              </w:rPr>
            </w:pPr>
          </w:p>
        </w:tc>
      </w:tr>
    </w:tbl>
    <w:p w:rsidR="006777F1" w:rsidRPr="00B70DAE" w:rsidP="00B70DAE" w14:paraId="23FEB043" w14:textId="77777777">
      <w:pPr>
        <w:spacing w:after="0" w:line="240" w:lineRule="auto"/>
        <w:rPr>
          <w:rFonts w:ascii="Times New Roman" w:hAnsi="Times New Roman"/>
          <w:sz w:val="24"/>
          <w:szCs w:val="24"/>
          <w:lang w:val="en-JM"/>
        </w:rPr>
      </w:pPr>
    </w:p>
    <w:p w:rsidR="00B70DAE" w:rsidRPr="00B70DAE" w:rsidP="003E5FFE" w14:paraId="5DF702A0" w14:textId="316E97B8">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sidRPr="00B70DAE">
        <w:rPr>
          <w:rFonts w:ascii="Times New Roman" w:eastAsia="Times New Roman" w:hAnsi="Times New Roman" w:cs="Times New Roman"/>
          <w:b/>
          <w:bCs/>
          <w:sz w:val="24"/>
          <w:szCs w:val="24"/>
        </w:rPr>
        <w:t xml:space="preserve">Provide an estimate of the total annual cost burden to respondents or recordkeepers resulting from the collection of information. (Do not include the cost of any hour burden shown in Items 12 and 14). </w:t>
      </w:r>
    </w:p>
    <w:p w:rsidR="00B70DAE" w:rsidRPr="00B70DAE" w:rsidP="00B70DAE" w14:paraId="682CAFC1" w14:textId="77777777">
      <w:pPr>
        <w:widowControl w:val="0"/>
        <w:autoSpaceDE w:val="0"/>
        <w:autoSpaceDN w:val="0"/>
        <w:adjustRightInd w:val="0"/>
        <w:spacing w:after="0" w:line="240" w:lineRule="auto"/>
        <w:ind w:left="720" w:hanging="720"/>
        <w:rPr>
          <w:rFonts w:ascii="Times New Roman" w:eastAsia="Times New Roman" w:hAnsi="Times New Roman"/>
          <w:sz w:val="24"/>
          <w:szCs w:val="24"/>
        </w:rPr>
      </w:pPr>
    </w:p>
    <w:p w:rsidR="00B70DAE" w:rsidRPr="00B70DAE" w:rsidP="00B70DAE" w14:paraId="155F7414" w14:textId="77777777">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b/>
          <w:bCs/>
          <w:sz w:val="24"/>
          <w:szCs w:val="24"/>
        </w:rPr>
      </w:pPr>
      <w:r w:rsidRPr="00B70DAE">
        <w:rPr>
          <w:rFonts w:ascii="Times New Roman" w:eastAsia="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0DAE" w:rsidRPr="00B70DAE" w:rsidP="00B70DAE" w14:paraId="09F4EB80" w14:textId="77777777">
      <w:pPr>
        <w:widowControl w:val="0"/>
        <w:autoSpaceDE w:val="0"/>
        <w:autoSpaceDN w:val="0"/>
        <w:adjustRightInd w:val="0"/>
        <w:spacing w:after="0" w:line="240" w:lineRule="auto"/>
        <w:ind w:left="720" w:hanging="720"/>
        <w:rPr>
          <w:rFonts w:ascii="Times New Roman" w:eastAsia="Times New Roman" w:hAnsi="Times New Roman"/>
          <w:sz w:val="20"/>
          <w:szCs w:val="20"/>
        </w:rPr>
      </w:pPr>
    </w:p>
    <w:p w:rsidR="00B70DAE" w:rsidRPr="00B70DAE" w:rsidP="00B70DAE" w14:paraId="13FB44E0" w14:textId="77777777">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B70DAE">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B70DAE">
        <w:rPr>
          <w:rFonts w:ascii="Times New Roman" w:eastAsia="Times New Roman" w:hAnsi="Times New Roman" w:cs="Times New Roman"/>
          <w:sz w:val="24"/>
          <w:szCs w:val="24"/>
        </w:rPr>
        <w:t>.</w:t>
      </w:r>
    </w:p>
    <w:p w:rsidR="00B70DAE" w:rsidRPr="00B70DAE" w:rsidP="00B70DAE" w14:paraId="298E01C5" w14:textId="77777777">
      <w:pPr>
        <w:widowControl w:val="0"/>
        <w:autoSpaceDE w:val="0"/>
        <w:autoSpaceDN w:val="0"/>
        <w:adjustRightInd w:val="0"/>
        <w:spacing w:after="0" w:line="240" w:lineRule="auto"/>
        <w:ind w:left="720" w:hanging="720"/>
        <w:rPr>
          <w:rFonts w:ascii="Times New Roman" w:eastAsia="Times New Roman" w:hAnsi="Times New Roman"/>
          <w:sz w:val="24"/>
          <w:szCs w:val="24"/>
        </w:rPr>
      </w:pPr>
    </w:p>
    <w:p w:rsidR="00B70DAE" w:rsidRPr="00B70DAE" w:rsidP="00B70DAE" w14:paraId="47E6A57A" w14:textId="77777777">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B70DAE">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0DAE" w:rsidP="00B70DAE" w14:paraId="76671B06" w14:textId="0CC42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sz w:val="24"/>
          <w:szCs w:val="24"/>
        </w:rPr>
      </w:pPr>
    </w:p>
    <w:p w:rsidR="00E220C5" w:rsidP="00B70DAE" w14:paraId="44609C74" w14:textId="1AA8F7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b/>
          <w:bCs/>
          <w:sz w:val="24"/>
          <w:szCs w:val="24"/>
        </w:rPr>
      </w:pPr>
      <w:r>
        <w:rPr>
          <w:rFonts w:ascii="Times New Roman" w:eastAsia="Times New Roman" w:hAnsi="Times New Roman"/>
          <w:b/>
          <w:bCs/>
          <w:sz w:val="24"/>
          <w:szCs w:val="24"/>
        </w:rPr>
        <w:t xml:space="preserve">Capital </w:t>
      </w:r>
      <w:r w:rsidR="00816E90">
        <w:rPr>
          <w:rFonts w:ascii="Times New Roman" w:eastAsia="Times New Roman" w:hAnsi="Times New Roman"/>
          <w:b/>
          <w:bCs/>
          <w:sz w:val="24"/>
          <w:szCs w:val="24"/>
        </w:rPr>
        <w:t>Cost Determinations</w:t>
      </w:r>
    </w:p>
    <w:p w:rsidR="00816E90" w:rsidRPr="00B81B20" w:rsidP="00B70DAE" w14:paraId="5F4874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b/>
          <w:bCs/>
          <w:sz w:val="24"/>
          <w:szCs w:val="24"/>
        </w:rPr>
      </w:pPr>
    </w:p>
    <w:p w:rsidR="00B70DAE" w:rsidP="00B70DAE" w14:paraId="3B1211AD" w14:textId="1B5B9A77">
      <w:pPr>
        <w:spacing w:after="0" w:line="240" w:lineRule="auto"/>
        <w:rPr>
          <w:rFonts w:ascii="Times New Roman" w:hAnsi="Times New Roman"/>
          <w:sz w:val="24"/>
          <w:szCs w:val="24"/>
          <w:lang w:val="en-JM"/>
        </w:rPr>
      </w:pPr>
      <w:r w:rsidRPr="00B70DAE">
        <w:rPr>
          <w:rFonts w:ascii="Times New Roman" w:hAnsi="Times New Roman"/>
          <w:sz w:val="24"/>
          <w:szCs w:val="24"/>
          <w:lang w:val="en-JM"/>
        </w:rPr>
        <w:t xml:space="preserve">Specific and total capital </w:t>
      </w:r>
      <w:r w:rsidR="000319AD">
        <w:rPr>
          <w:rFonts w:ascii="Times New Roman" w:hAnsi="Times New Roman"/>
          <w:sz w:val="24"/>
          <w:szCs w:val="24"/>
          <w:lang w:val="en-JM"/>
        </w:rPr>
        <w:t>costs</w:t>
      </w:r>
      <w:r w:rsidRPr="00B70DAE" w:rsidR="000319AD">
        <w:rPr>
          <w:rFonts w:ascii="Times New Roman" w:hAnsi="Times New Roman"/>
          <w:sz w:val="24"/>
          <w:szCs w:val="24"/>
          <w:lang w:val="en-JM"/>
        </w:rPr>
        <w:t xml:space="preserve"> </w:t>
      </w:r>
      <w:r w:rsidRPr="00B70DAE">
        <w:rPr>
          <w:rFonts w:ascii="Times New Roman" w:hAnsi="Times New Roman"/>
          <w:sz w:val="24"/>
          <w:szCs w:val="24"/>
          <w:lang w:val="en-JM"/>
        </w:rPr>
        <w:t xml:space="preserve">for the paperwork requirements contained in this standard are identified and provided in the column “Requested Capital Cost” of Table </w:t>
      </w:r>
      <w:r w:rsidR="001E6EBB">
        <w:rPr>
          <w:rFonts w:ascii="Times New Roman" w:hAnsi="Times New Roman"/>
          <w:sz w:val="24"/>
          <w:szCs w:val="24"/>
          <w:lang w:val="en-JM"/>
        </w:rPr>
        <w:t>3</w:t>
      </w:r>
      <w:r w:rsidRPr="00B70DAE">
        <w:rPr>
          <w:rFonts w:ascii="Times New Roman" w:hAnsi="Times New Roman"/>
          <w:sz w:val="24"/>
          <w:szCs w:val="24"/>
          <w:lang w:val="en-JM"/>
        </w:rPr>
        <w:t xml:space="preserve"> below. ICR Spreadsheet Tables 1-33 </w:t>
      </w:r>
      <w:r w:rsidR="000319AD">
        <w:rPr>
          <w:rFonts w:ascii="Times New Roman" w:hAnsi="Times New Roman"/>
          <w:sz w:val="24"/>
          <w:szCs w:val="24"/>
          <w:lang w:val="en-JM"/>
        </w:rPr>
        <w:t>give</w:t>
      </w:r>
      <w:r w:rsidRPr="00B70DAE" w:rsidR="000319AD">
        <w:rPr>
          <w:rFonts w:ascii="Times New Roman" w:hAnsi="Times New Roman"/>
          <w:sz w:val="24"/>
          <w:szCs w:val="24"/>
          <w:lang w:val="en-JM"/>
        </w:rPr>
        <w:t xml:space="preserve"> </w:t>
      </w:r>
      <w:r w:rsidRPr="00B70DAE">
        <w:rPr>
          <w:rFonts w:ascii="Times New Roman" w:hAnsi="Times New Roman"/>
          <w:sz w:val="24"/>
          <w:szCs w:val="24"/>
          <w:lang w:val="en-JM"/>
        </w:rPr>
        <w:t>a more detailed explanation of the underlying assumptions for these estimates.</w:t>
      </w:r>
    </w:p>
    <w:p w:rsidR="00FE2C20" w:rsidP="00B70DAE" w14:paraId="26B6B77D" w14:textId="77777777">
      <w:pPr>
        <w:spacing w:after="0" w:line="240" w:lineRule="auto"/>
        <w:rPr>
          <w:rFonts w:ascii="Times New Roman" w:hAnsi="Times New Roman"/>
          <w:sz w:val="24"/>
          <w:szCs w:val="24"/>
          <w:lang w:val="en-JM"/>
        </w:rPr>
      </w:pPr>
    </w:p>
    <w:p w:rsidR="00FE2C20" w:rsidP="00FE2C20" w14:paraId="5C04D908" w14:textId="16843C66">
      <w:pPr>
        <w:spacing w:after="0" w:line="240" w:lineRule="auto"/>
        <w:jc w:val="center"/>
        <w:rPr>
          <w:rFonts w:ascii="Times New Roman" w:hAnsi="Times New Roman"/>
          <w:b/>
          <w:sz w:val="24"/>
          <w:szCs w:val="24"/>
          <w:lang w:val="en-JM"/>
        </w:rPr>
      </w:pPr>
      <w:r w:rsidRPr="001E6EBB">
        <w:rPr>
          <w:rFonts w:ascii="Times New Roman" w:hAnsi="Times New Roman"/>
          <w:b/>
          <w:sz w:val="24"/>
          <w:szCs w:val="24"/>
          <w:lang w:val="en-JM"/>
        </w:rPr>
        <w:t xml:space="preserve">Table </w:t>
      </w:r>
      <w:r w:rsidRPr="003E5FFE" w:rsidR="0032578F">
        <w:rPr>
          <w:rFonts w:ascii="Times New Roman" w:hAnsi="Times New Roman"/>
          <w:b/>
          <w:sz w:val="24"/>
          <w:szCs w:val="24"/>
          <w:lang w:val="en-JM"/>
        </w:rPr>
        <w:t>3</w:t>
      </w:r>
      <w:r w:rsidRPr="001E6EBB" w:rsidR="0032578F">
        <w:rPr>
          <w:rFonts w:ascii="Times New Roman" w:hAnsi="Times New Roman"/>
          <w:b/>
          <w:sz w:val="24"/>
          <w:szCs w:val="24"/>
          <w:lang w:val="en-JM"/>
        </w:rPr>
        <w:t xml:space="preserve"> –</w:t>
      </w:r>
      <w:r w:rsidRPr="001E6EBB">
        <w:rPr>
          <w:rFonts w:ascii="Times New Roman" w:hAnsi="Times New Roman"/>
          <w:b/>
          <w:sz w:val="24"/>
          <w:szCs w:val="24"/>
          <w:lang w:val="en-JM"/>
        </w:rPr>
        <w:t xml:space="preserve"> </w:t>
      </w:r>
      <w:r w:rsidR="0004567F">
        <w:rPr>
          <w:rFonts w:ascii="Times New Roman" w:hAnsi="Times New Roman"/>
          <w:b/>
          <w:sz w:val="24"/>
          <w:szCs w:val="24"/>
          <w:lang w:val="en-JM"/>
        </w:rPr>
        <w:t xml:space="preserve">Estimated </w:t>
      </w:r>
      <w:r w:rsidRPr="001E6EBB">
        <w:rPr>
          <w:rFonts w:ascii="Times New Roman" w:hAnsi="Times New Roman"/>
          <w:b/>
          <w:sz w:val="24"/>
          <w:szCs w:val="24"/>
          <w:lang w:val="en-JM"/>
        </w:rPr>
        <w:t>Capital Cost</w:t>
      </w:r>
    </w:p>
    <w:p w:rsidR="00FE2C20" w:rsidRPr="00B70DAE" w:rsidP="003E5FFE" w14:paraId="03536D99" w14:textId="77777777">
      <w:pPr>
        <w:spacing w:after="0" w:line="240" w:lineRule="auto"/>
        <w:jc w:val="center"/>
        <w:rPr>
          <w:rFonts w:ascii="Times New Roman" w:hAnsi="Times New Roman"/>
          <w:sz w:val="24"/>
          <w:szCs w:val="24"/>
          <w:lang w:val="en-JM"/>
        </w:rPr>
      </w:pPr>
    </w:p>
    <w:tbl>
      <w:tblPr>
        <w:tblW w:w="0" w:type="auto"/>
        <w:tblInd w:w="108" w:type="dxa"/>
        <w:tblLook w:val="04A0"/>
      </w:tblPr>
      <w:tblGrid>
        <w:gridCol w:w="3248"/>
        <w:gridCol w:w="2416"/>
        <w:gridCol w:w="2232"/>
        <w:gridCol w:w="1336"/>
      </w:tblGrid>
      <w:tr w14:paraId="7D6F257D" w14:textId="77777777" w:rsidTr="008A04CC">
        <w:tblPrEx>
          <w:tblW w:w="0" w:type="auto"/>
          <w:tblInd w:w="108" w:type="dxa"/>
          <w:tblLook w:val="04A0"/>
        </w:tblPrEx>
        <w:trPr>
          <w:trHeight w:val="660"/>
          <w:tblHeader/>
        </w:trPr>
        <w:tc>
          <w:tcPr>
            <w:tcW w:w="3248" w:type="dxa"/>
            <w:tcBorders>
              <w:top w:val="single" w:sz="8" w:space="0" w:color="000000"/>
              <w:left w:val="single" w:sz="8" w:space="0" w:color="000000"/>
              <w:bottom w:val="nil"/>
              <w:right w:val="single" w:sz="8" w:space="0" w:color="000000"/>
            </w:tcBorders>
            <w:shd w:val="clear" w:color="auto" w:fill="9CC2E5" w:themeFill="accent5" w:themeFillTint="99"/>
            <w:vAlign w:val="bottom"/>
            <w:hideMark/>
          </w:tcPr>
          <w:p w:rsidR="004D19E1" w:rsidRPr="00795992" w:rsidP="008A04CC" w14:paraId="71E6A501"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 xml:space="preserve">Collection of Information </w:t>
            </w:r>
          </w:p>
        </w:tc>
        <w:tc>
          <w:tcPr>
            <w:tcW w:w="2416" w:type="dxa"/>
            <w:tcBorders>
              <w:top w:val="single" w:sz="8" w:space="0" w:color="000000"/>
              <w:left w:val="nil"/>
              <w:bottom w:val="nil"/>
              <w:right w:val="single" w:sz="8" w:space="0" w:color="000000"/>
            </w:tcBorders>
            <w:shd w:val="clear" w:color="auto" w:fill="9CC2E5" w:themeFill="accent5" w:themeFillTint="99"/>
            <w:vAlign w:val="bottom"/>
            <w:hideMark/>
          </w:tcPr>
          <w:p w:rsidR="004D19E1" w:rsidRPr="00795992" w:rsidP="008A04CC" w14:paraId="38550ECD" w14:textId="77777777">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Current </w:t>
            </w:r>
            <w:r w:rsidRPr="00795992">
              <w:rPr>
                <w:rFonts w:ascii="Times New Roman" w:eastAsia="Times New Roman" w:hAnsi="Times New Roman"/>
                <w:b/>
                <w:bCs/>
                <w:color w:val="000000"/>
                <w:sz w:val="20"/>
                <w:szCs w:val="20"/>
              </w:rPr>
              <w:t>Capital Cost</w:t>
            </w:r>
          </w:p>
        </w:tc>
        <w:tc>
          <w:tcPr>
            <w:tcW w:w="2232" w:type="dxa"/>
            <w:tcBorders>
              <w:top w:val="single" w:sz="8" w:space="0" w:color="000000"/>
              <w:left w:val="nil"/>
              <w:bottom w:val="nil"/>
              <w:right w:val="single" w:sz="8" w:space="0" w:color="000000"/>
            </w:tcBorders>
            <w:shd w:val="clear" w:color="auto" w:fill="9CC2E5" w:themeFill="accent5" w:themeFillTint="99"/>
            <w:vAlign w:val="bottom"/>
            <w:hideMark/>
          </w:tcPr>
          <w:p w:rsidR="004D19E1" w:rsidRPr="00795992" w:rsidP="008A04CC" w14:paraId="322596A1" w14:textId="77777777">
            <w:pPr>
              <w:spacing w:after="0" w:line="240" w:lineRule="auto"/>
              <w:jc w:val="center"/>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Requested Capital Cost</w:t>
            </w:r>
          </w:p>
        </w:tc>
        <w:tc>
          <w:tcPr>
            <w:tcW w:w="1336" w:type="dxa"/>
            <w:tcBorders>
              <w:top w:val="single" w:sz="8" w:space="0" w:color="000000"/>
              <w:left w:val="nil"/>
              <w:bottom w:val="nil"/>
              <w:right w:val="single" w:sz="8" w:space="0" w:color="000000"/>
            </w:tcBorders>
            <w:shd w:val="clear" w:color="auto" w:fill="9CC2E5" w:themeFill="accent5" w:themeFillTint="99"/>
            <w:vAlign w:val="bottom"/>
            <w:hideMark/>
          </w:tcPr>
          <w:p w:rsidR="004D19E1" w:rsidRPr="00795992" w:rsidP="008A04CC" w14:paraId="67107541" w14:textId="6A0DCFD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Difference</w:t>
            </w:r>
          </w:p>
        </w:tc>
      </w:tr>
      <w:tr w14:paraId="4D845CED"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BDD6EE" w:themeFill="accent5" w:themeFillTint="66"/>
            <w:hideMark/>
          </w:tcPr>
          <w:p w:rsidR="004D19E1" w:rsidRPr="00795992" w:rsidP="008A04CC" w14:paraId="2BFE1550"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A. Exposure Determination (paragraph (d) of §§ 1910.1026, 1915.1026, and 1926.1126)</w:t>
            </w:r>
          </w:p>
        </w:tc>
      </w:tr>
      <w:tr w14:paraId="64B0539B"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69EDD925"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1. Scheduled Monitoring Option:  Initial Exposure Monitoring (paragraph (d)(2)(i) of §§ 1910.1026, 1915.1026, and 1926.1126)</w:t>
            </w:r>
            <w:r w:rsidRPr="00795992">
              <w:rPr>
                <w:rFonts w:ascii="Times New Roman" w:eastAsia="Times New Roman" w:hAnsi="Times New Roman"/>
                <w:color w:val="000000"/>
                <w:sz w:val="20"/>
                <w:szCs w:val="20"/>
              </w:rPr>
              <w:t> </w:t>
            </w:r>
          </w:p>
        </w:tc>
      </w:tr>
      <w:tr w14:paraId="7B48DFC7" w14:textId="77777777" w:rsidTr="00277B9F">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hideMark/>
          </w:tcPr>
          <w:p w:rsidR="004D19E1" w:rsidRPr="00795992" w:rsidP="008A04CC" w14:paraId="5B84421D" w14:textId="58802939">
            <w:pPr>
              <w:spacing w:after="0" w:line="240" w:lineRule="auto"/>
              <w:rPr>
                <w:rFonts w:ascii="Times New Roman" w:eastAsia="Times New Roman" w:hAnsi="Times New Roman"/>
                <w:sz w:val="20"/>
                <w:szCs w:val="20"/>
              </w:rPr>
            </w:pPr>
            <w:hyperlink r:id="rId11" w:anchor="RANGE!_ftn1" w:history="1">
              <w:r w:rsidRPr="00795992">
                <w:rPr>
                  <w:rFonts w:ascii="Times New Roman" w:eastAsia="Times New Roman" w:hAnsi="Times New Roman"/>
                  <w:sz w:val="20"/>
                  <w:szCs w:val="20"/>
                </w:rPr>
                <w:t xml:space="preserve">Contract Cost for an Industrial Hygiene Technician to Perform Initial Exposure Monitoring </w:t>
              </w:r>
              <w:r>
                <w:rPr>
                  <w:rFonts w:ascii="Times New Roman" w:eastAsia="Times New Roman" w:hAnsi="Times New Roman"/>
                  <w:sz w:val="20"/>
                  <w:szCs w:val="20"/>
                </w:rPr>
                <w:t xml:space="preserve">     </w:t>
              </w:r>
              <w:r w:rsidRPr="00795992">
                <w:rPr>
                  <w:rFonts w:ascii="Times New Roman" w:eastAsia="Times New Roman" w:hAnsi="Times New Roman"/>
                  <w:sz w:val="20"/>
                  <w:szCs w:val="20"/>
                </w:rPr>
                <w:t>(Table 1)</w:t>
              </w:r>
            </w:hyperlink>
          </w:p>
        </w:tc>
        <w:tc>
          <w:tcPr>
            <w:tcW w:w="2416" w:type="dxa"/>
            <w:tcBorders>
              <w:top w:val="nil"/>
              <w:left w:val="nil"/>
              <w:bottom w:val="single" w:sz="8" w:space="0" w:color="000000"/>
              <w:right w:val="single" w:sz="8" w:space="0" w:color="000000"/>
            </w:tcBorders>
            <w:vAlign w:val="center"/>
            <w:hideMark/>
          </w:tcPr>
          <w:p w:rsidR="004D19E1" w:rsidRPr="00795992" w:rsidP="008A04CC" w14:paraId="7BE94672"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1,493,924</w:t>
            </w:r>
          </w:p>
        </w:tc>
        <w:tc>
          <w:tcPr>
            <w:tcW w:w="2232" w:type="dxa"/>
            <w:tcBorders>
              <w:top w:val="nil"/>
              <w:left w:val="nil"/>
              <w:bottom w:val="single" w:sz="8" w:space="0" w:color="000000"/>
              <w:right w:val="single" w:sz="8" w:space="0" w:color="000000"/>
            </w:tcBorders>
            <w:vAlign w:val="center"/>
            <w:hideMark/>
          </w:tcPr>
          <w:p w:rsidR="004D19E1" w:rsidRPr="00795992" w:rsidP="008A04CC" w14:paraId="3F40838B" w14:textId="2EEC8E68">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sidR="00DB1AC3">
              <w:rPr>
                <w:rFonts w:ascii="Times New Roman" w:eastAsia="Times New Roman" w:hAnsi="Times New Roman"/>
                <w:sz w:val="20"/>
                <w:szCs w:val="20"/>
              </w:rPr>
              <w:t>1,473,045</w:t>
            </w:r>
          </w:p>
        </w:tc>
        <w:tc>
          <w:tcPr>
            <w:tcW w:w="1336" w:type="dxa"/>
            <w:tcBorders>
              <w:top w:val="nil"/>
              <w:left w:val="nil"/>
              <w:bottom w:val="single" w:sz="8" w:space="0" w:color="000000"/>
              <w:right w:val="single" w:sz="8" w:space="0" w:color="000000"/>
            </w:tcBorders>
            <w:vAlign w:val="center"/>
            <w:hideMark/>
          </w:tcPr>
          <w:p w:rsidR="004D19E1" w:rsidRPr="00795992" w:rsidP="008A04CC" w14:paraId="2903365A" w14:textId="441FF0F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r w:rsidRPr="00795992">
              <w:rPr>
                <w:rFonts w:ascii="Times New Roman" w:eastAsia="Times New Roman" w:hAnsi="Times New Roman"/>
                <w:sz w:val="20"/>
                <w:szCs w:val="20"/>
              </w:rPr>
              <w:t>$</w:t>
            </w:r>
            <w:r w:rsidR="00382393">
              <w:rPr>
                <w:rFonts w:ascii="Times New Roman" w:eastAsia="Times New Roman" w:hAnsi="Times New Roman"/>
                <w:sz w:val="20"/>
                <w:szCs w:val="20"/>
              </w:rPr>
              <w:t>20</w:t>
            </w:r>
            <w:r w:rsidR="008D5049">
              <w:rPr>
                <w:rFonts w:ascii="Times New Roman" w:eastAsia="Times New Roman" w:hAnsi="Times New Roman"/>
                <w:sz w:val="20"/>
                <w:szCs w:val="20"/>
              </w:rPr>
              <w:t>,879</w:t>
            </w:r>
          </w:p>
        </w:tc>
      </w:tr>
      <w:tr w14:paraId="3E3EDEF5" w14:textId="77777777" w:rsidTr="00277B9F">
        <w:tblPrEx>
          <w:tblW w:w="0" w:type="auto"/>
          <w:tblInd w:w="108" w:type="dxa"/>
          <w:tblLook w:val="04A0"/>
        </w:tblPrEx>
        <w:trPr>
          <w:trHeight w:val="530"/>
        </w:trPr>
        <w:tc>
          <w:tcPr>
            <w:tcW w:w="3248" w:type="dxa"/>
            <w:tcBorders>
              <w:top w:val="single" w:sz="8" w:space="0" w:color="000000"/>
              <w:left w:val="single" w:sz="8" w:space="0" w:color="000000"/>
              <w:bottom w:val="single" w:sz="4" w:space="0" w:color="auto"/>
              <w:right w:val="single" w:sz="8" w:space="0" w:color="000000"/>
            </w:tcBorders>
            <w:hideMark/>
          </w:tcPr>
          <w:p w:rsidR="004D19E1" w:rsidRPr="00795992" w:rsidP="008A04CC" w14:paraId="35BDC144"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Laboratory to Conduct Analysis of Initial Exposure-Monitoring Air Samples (Table 2)</w:t>
            </w:r>
          </w:p>
        </w:tc>
        <w:tc>
          <w:tcPr>
            <w:tcW w:w="2416" w:type="dxa"/>
            <w:tcBorders>
              <w:top w:val="nil"/>
              <w:left w:val="nil"/>
              <w:bottom w:val="single" w:sz="8" w:space="0" w:color="000000"/>
              <w:right w:val="single" w:sz="8" w:space="0" w:color="000000"/>
            </w:tcBorders>
            <w:vAlign w:val="center"/>
            <w:hideMark/>
          </w:tcPr>
          <w:p w:rsidR="004D19E1" w:rsidRPr="00795992" w:rsidP="008A04CC" w14:paraId="4BAC1DCD"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1,113,483</w:t>
            </w:r>
          </w:p>
        </w:tc>
        <w:tc>
          <w:tcPr>
            <w:tcW w:w="2232" w:type="dxa"/>
            <w:tcBorders>
              <w:top w:val="nil"/>
              <w:left w:val="nil"/>
              <w:bottom w:val="single" w:sz="8" w:space="0" w:color="000000"/>
              <w:right w:val="single" w:sz="8" w:space="0" w:color="000000"/>
            </w:tcBorders>
            <w:vAlign w:val="center"/>
            <w:hideMark/>
          </w:tcPr>
          <w:p w:rsidR="004D19E1" w:rsidRPr="00795992" w:rsidP="008A04CC" w14:paraId="250021FB"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1,345,812</w:t>
            </w:r>
          </w:p>
        </w:tc>
        <w:tc>
          <w:tcPr>
            <w:tcW w:w="1336" w:type="dxa"/>
            <w:tcBorders>
              <w:top w:val="nil"/>
              <w:left w:val="nil"/>
              <w:bottom w:val="single" w:sz="8" w:space="0" w:color="000000"/>
              <w:right w:val="single" w:sz="8" w:space="0" w:color="000000"/>
            </w:tcBorders>
            <w:vAlign w:val="center"/>
            <w:hideMark/>
          </w:tcPr>
          <w:p w:rsidR="004D19E1" w:rsidRPr="00795992" w:rsidP="008A04CC" w14:paraId="1124723A"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232,329</w:t>
            </w:r>
          </w:p>
        </w:tc>
      </w:tr>
      <w:tr w14:paraId="4052AADA"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0CFC2636"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2. Scheduled Monitoring Option:  Semi-Annual Exposure Monitoring (paragraph (d)(2)(iii) of §§ 1910.1026, 1915.1026, and 1926.1126)</w:t>
            </w:r>
          </w:p>
        </w:tc>
      </w:tr>
      <w:tr w14:paraId="3F3D410D"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3E7140BE"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an Industrial Hygiene Technician to Perform Semi-Annual Exposure Monitoring (Table 4)</w:t>
            </w:r>
          </w:p>
        </w:tc>
        <w:tc>
          <w:tcPr>
            <w:tcW w:w="2416" w:type="dxa"/>
            <w:tcBorders>
              <w:top w:val="nil"/>
              <w:left w:val="nil"/>
              <w:bottom w:val="single" w:sz="8" w:space="0" w:color="000000"/>
              <w:right w:val="single" w:sz="8" w:space="0" w:color="000000"/>
            </w:tcBorders>
            <w:vAlign w:val="center"/>
            <w:hideMark/>
          </w:tcPr>
          <w:p w:rsidR="004D19E1" w:rsidRPr="00795992" w:rsidP="008A04CC" w14:paraId="19CD80CF"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6,281,224</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7BD3391F" w14:textId="186B1A21">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sidR="004231E0">
              <w:rPr>
                <w:rFonts w:ascii="Times New Roman" w:eastAsia="Times New Roman" w:hAnsi="Times New Roman"/>
                <w:sz w:val="20"/>
                <w:szCs w:val="20"/>
              </w:rPr>
              <w:t>5</w:t>
            </w:r>
            <w:r w:rsidR="00C86805">
              <w:rPr>
                <w:rFonts w:ascii="Times New Roman" w:eastAsia="Times New Roman" w:hAnsi="Times New Roman"/>
                <w:sz w:val="20"/>
                <w:szCs w:val="20"/>
              </w:rPr>
              <w:t>,783,790</w:t>
            </w:r>
          </w:p>
        </w:tc>
        <w:tc>
          <w:tcPr>
            <w:tcW w:w="1336" w:type="dxa"/>
            <w:tcBorders>
              <w:top w:val="nil"/>
              <w:left w:val="nil"/>
              <w:bottom w:val="single" w:sz="8" w:space="0" w:color="000000"/>
              <w:right w:val="single" w:sz="8" w:space="0" w:color="000000"/>
            </w:tcBorders>
            <w:vAlign w:val="center"/>
            <w:hideMark/>
          </w:tcPr>
          <w:p w:rsidR="004D19E1" w:rsidRPr="00795992" w:rsidP="008A04CC" w14:paraId="714355BE" w14:textId="5FD62F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r w:rsidRPr="00795992">
              <w:rPr>
                <w:rFonts w:ascii="Times New Roman" w:eastAsia="Times New Roman" w:hAnsi="Times New Roman"/>
                <w:sz w:val="20"/>
                <w:szCs w:val="20"/>
              </w:rPr>
              <w:t>$</w:t>
            </w:r>
            <w:r w:rsidR="00A93CFD">
              <w:rPr>
                <w:rFonts w:ascii="Times New Roman" w:eastAsia="Times New Roman" w:hAnsi="Times New Roman"/>
                <w:sz w:val="20"/>
                <w:szCs w:val="20"/>
              </w:rPr>
              <w:t>497,434</w:t>
            </w:r>
          </w:p>
        </w:tc>
      </w:tr>
      <w:tr w14:paraId="0542FB61"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2BF56046"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Laboratory to Conduct Analysis of Semi-Annual Exposure-Monitoring Air Samples (Table 5)</w:t>
            </w:r>
          </w:p>
        </w:tc>
        <w:tc>
          <w:tcPr>
            <w:tcW w:w="2416" w:type="dxa"/>
            <w:tcBorders>
              <w:top w:val="nil"/>
              <w:left w:val="nil"/>
              <w:bottom w:val="single" w:sz="8" w:space="0" w:color="000000"/>
              <w:right w:val="single" w:sz="8" w:space="0" w:color="000000"/>
            </w:tcBorders>
            <w:vAlign w:val="center"/>
            <w:hideMark/>
          </w:tcPr>
          <w:p w:rsidR="004D19E1" w:rsidRPr="00795992" w:rsidP="008A04CC" w14:paraId="7F7B1B04" w14:textId="36F817B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$5,460,45</w:t>
            </w:r>
            <w:r w:rsidR="004E1384">
              <w:rPr>
                <w:rFonts w:ascii="Times New Roman" w:eastAsia="Times New Roman" w:hAnsi="Times New Roman"/>
                <w:sz w:val="20"/>
                <w:szCs w:val="20"/>
              </w:rPr>
              <w:t>3</w:t>
            </w:r>
          </w:p>
        </w:tc>
        <w:tc>
          <w:tcPr>
            <w:tcW w:w="2232" w:type="dxa"/>
            <w:tcBorders>
              <w:top w:val="nil"/>
              <w:left w:val="nil"/>
              <w:bottom w:val="single" w:sz="8" w:space="0" w:color="000000"/>
              <w:right w:val="single" w:sz="8" w:space="0" w:color="000000"/>
            </w:tcBorders>
            <w:vAlign w:val="center"/>
            <w:hideMark/>
          </w:tcPr>
          <w:p w:rsidR="004D19E1" w:rsidRPr="00795992" w:rsidP="008A04CC" w14:paraId="30C8747F"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$5,843,222</w:t>
            </w:r>
          </w:p>
        </w:tc>
        <w:tc>
          <w:tcPr>
            <w:tcW w:w="1336" w:type="dxa"/>
            <w:tcBorders>
              <w:top w:val="nil"/>
              <w:left w:val="nil"/>
              <w:bottom w:val="single" w:sz="8" w:space="0" w:color="000000"/>
              <w:right w:val="single" w:sz="8" w:space="0" w:color="000000"/>
            </w:tcBorders>
            <w:vAlign w:val="center"/>
            <w:hideMark/>
          </w:tcPr>
          <w:p w:rsidR="004D19E1" w:rsidRPr="00795992" w:rsidP="008A04CC" w14:paraId="1529F259" w14:textId="66B3ACA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$382,</w:t>
            </w:r>
            <w:r w:rsidR="00A26D4B">
              <w:rPr>
                <w:rFonts w:ascii="Times New Roman" w:eastAsia="Times New Roman" w:hAnsi="Times New Roman"/>
                <w:color w:val="000000"/>
                <w:sz w:val="20"/>
                <w:szCs w:val="20"/>
              </w:rPr>
              <w:t>769</w:t>
            </w:r>
          </w:p>
        </w:tc>
      </w:tr>
      <w:tr w14:paraId="599E945B"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75B270CE"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3. Scheduled Monitoring Option:  Quarterly Exposure Monitoring (paragraph (d)(2)(iv) of §§ 1910.1026,  1915.1026, and 1926.1126)</w:t>
            </w:r>
          </w:p>
        </w:tc>
      </w:tr>
      <w:tr w14:paraId="2A9BF65C"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33AE5B46"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an Industrial Hygiene Technician to Perform Quarterly Exposure Monitoring (Table 7)</w:t>
            </w:r>
          </w:p>
        </w:tc>
        <w:tc>
          <w:tcPr>
            <w:tcW w:w="2416" w:type="dxa"/>
            <w:tcBorders>
              <w:top w:val="nil"/>
              <w:left w:val="nil"/>
              <w:bottom w:val="single" w:sz="8" w:space="0" w:color="000000"/>
              <w:right w:val="single" w:sz="8" w:space="0" w:color="000000"/>
            </w:tcBorders>
            <w:vAlign w:val="center"/>
            <w:hideMark/>
          </w:tcPr>
          <w:p w:rsidR="004D19E1" w:rsidRPr="00795992" w:rsidP="008A04CC" w14:paraId="42F05BB4"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2,747,724</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19FAE8FA" w14:textId="15F3CB0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sidR="00947736">
              <w:rPr>
                <w:rFonts w:ascii="Times New Roman" w:eastAsia="Times New Roman" w:hAnsi="Times New Roman"/>
                <w:sz w:val="20"/>
                <w:szCs w:val="20"/>
              </w:rPr>
              <w:t>3</w:t>
            </w:r>
            <w:r w:rsidR="00671C72">
              <w:rPr>
                <w:rFonts w:ascii="Times New Roman" w:eastAsia="Times New Roman" w:hAnsi="Times New Roman"/>
                <w:sz w:val="20"/>
                <w:szCs w:val="20"/>
              </w:rPr>
              <w:t>,565,108</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49C87777" w14:textId="44C09A25">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sidR="00B02CE8">
              <w:rPr>
                <w:rFonts w:ascii="Times New Roman" w:eastAsia="Times New Roman" w:hAnsi="Times New Roman"/>
                <w:sz w:val="20"/>
                <w:szCs w:val="20"/>
              </w:rPr>
              <w:t>8</w:t>
            </w:r>
            <w:r w:rsidR="00310DFD">
              <w:rPr>
                <w:rFonts w:ascii="Times New Roman" w:eastAsia="Times New Roman" w:hAnsi="Times New Roman"/>
                <w:sz w:val="20"/>
                <w:szCs w:val="20"/>
              </w:rPr>
              <w:t>17,384</w:t>
            </w:r>
          </w:p>
        </w:tc>
      </w:tr>
      <w:tr w14:paraId="5B57BC53"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3C46F101"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Laboratory to Conduct Analysis of Quarterly Exposure-Monitoring Air Samples (Table 8)</w:t>
            </w:r>
          </w:p>
        </w:tc>
        <w:tc>
          <w:tcPr>
            <w:tcW w:w="2416" w:type="dxa"/>
            <w:tcBorders>
              <w:top w:val="nil"/>
              <w:left w:val="nil"/>
              <w:bottom w:val="single" w:sz="8" w:space="0" w:color="000000"/>
              <w:right w:val="single" w:sz="8" w:space="0" w:color="000000"/>
            </w:tcBorders>
            <w:vAlign w:val="center"/>
            <w:hideMark/>
          </w:tcPr>
          <w:p w:rsidR="004D19E1" w:rsidRPr="00795992" w:rsidP="008A04CC" w14:paraId="08987514"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1,790,224</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5BD03F34"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2,700,421</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5F159DE8"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910,197</w:t>
            </w:r>
            <w:r w:rsidRPr="00795992">
              <w:rPr>
                <w:rFonts w:ascii="Times New Roman" w:eastAsia="Times New Roman" w:hAnsi="Times New Roman"/>
                <w:sz w:val="20"/>
                <w:szCs w:val="20"/>
              </w:rPr>
              <w:t xml:space="preserve"> </w:t>
            </w:r>
          </w:p>
        </w:tc>
      </w:tr>
      <w:tr w14:paraId="7700B645"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BDD6EE" w:themeFill="accent5" w:themeFillTint="66"/>
            <w:hideMark/>
          </w:tcPr>
          <w:p w:rsidR="004D19E1" w:rsidRPr="00795992" w:rsidP="008A04CC" w14:paraId="4FE09D55"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B. Respiratory Protection (§§ 1910.1026(g), 1915.1026(f), and 1926.1126(f))</w:t>
            </w:r>
          </w:p>
        </w:tc>
      </w:tr>
      <w:tr w14:paraId="264F4D82" w14:textId="77777777" w:rsidTr="008A04CC">
        <w:tblPrEx>
          <w:tblW w:w="0" w:type="auto"/>
          <w:tblInd w:w="108" w:type="dxa"/>
          <w:tblLook w:val="04A0"/>
        </w:tblPrEx>
        <w:trPr>
          <w:trHeight w:val="51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715D6096"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1. Respiratory-Protection Program:  Qualitative Fit Testing for Respirator Use (§§ 1910.1026(g)(2), 1915.1026(f)(2), and 1926.1126(f)(2)) </w:t>
            </w:r>
          </w:p>
        </w:tc>
      </w:tr>
      <w:tr w14:paraId="32BC7BA1" w14:textId="77777777" w:rsidTr="008A04CC">
        <w:tblPrEx>
          <w:tblW w:w="0" w:type="auto"/>
          <w:tblInd w:w="108" w:type="dxa"/>
          <w:tblLook w:val="04A0"/>
        </w:tblPrEx>
        <w:trPr>
          <w:trHeight w:val="270"/>
        </w:trPr>
        <w:tc>
          <w:tcPr>
            <w:tcW w:w="3248" w:type="dxa"/>
            <w:tcBorders>
              <w:top w:val="nil"/>
              <w:left w:val="single" w:sz="8" w:space="0" w:color="000000"/>
              <w:bottom w:val="single" w:sz="8" w:space="0" w:color="000000"/>
              <w:right w:val="single" w:sz="8" w:space="0" w:color="000000"/>
            </w:tcBorders>
            <w:shd w:val="clear" w:color="000000" w:fill="FFFFFF"/>
            <w:vAlign w:val="bottom"/>
            <w:hideMark/>
          </w:tcPr>
          <w:p w:rsidR="004D19E1" w:rsidRPr="00795992" w:rsidP="008A04CC" w14:paraId="4B5D472C"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 xml:space="preserve">Cost of Materials for Qualitative Fit Testing </w:t>
            </w:r>
            <w:r>
              <w:rPr>
                <w:rFonts w:ascii="Times New Roman" w:eastAsia="Times New Roman" w:hAnsi="Times New Roman"/>
                <w:color w:val="000000"/>
                <w:sz w:val="20"/>
                <w:szCs w:val="20"/>
              </w:rPr>
              <w:t xml:space="preserve"> </w:t>
            </w:r>
            <w:r w:rsidRPr="00795992">
              <w:rPr>
                <w:rFonts w:ascii="Times New Roman" w:eastAsia="Times New Roman" w:hAnsi="Times New Roman"/>
                <w:color w:val="000000"/>
                <w:sz w:val="20"/>
                <w:szCs w:val="20"/>
              </w:rPr>
              <w:t>(Table 11)</w:t>
            </w:r>
          </w:p>
        </w:tc>
        <w:tc>
          <w:tcPr>
            <w:tcW w:w="2416"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54803FBF"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2,714</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571A5748"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3,679</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28933748"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965</w:t>
            </w:r>
          </w:p>
        </w:tc>
      </w:tr>
      <w:tr w14:paraId="36BD69B2" w14:textId="77777777" w:rsidTr="008A04CC">
        <w:tblPrEx>
          <w:tblW w:w="0" w:type="auto"/>
          <w:tblInd w:w="108" w:type="dxa"/>
          <w:tblLook w:val="04A0"/>
        </w:tblPrEx>
        <w:trPr>
          <w:trHeight w:val="56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03DFAB5B"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2. Respiratory-Protection Program:  Quantitative Fit Testing for Respirator Use (§§ 1910.1026(g)(2), 1915.1026(f)(2), and 1926.1126(f)(2)) </w:t>
            </w:r>
          </w:p>
        </w:tc>
      </w:tr>
      <w:tr w14:paraId="2A18D55D"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shd w:val="clear" w:color="000000" w:fill="FFFFFF"/>
            <w:vAlign w:val="bottom"/>
            <w:hideMark/>
          </w:tcPr>
          <w:p w:rsidR="004D19E1" w:rsidRPr="00795992" w:rsidP="008A04CC" w14:paraId="1B8CAEE1"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an Industrial Hygienist to Conduct Quantitative Fit Testing for Respirators (Table 13)</w:t>
            </w:r>
          </w:p>
        </w:tc>
        <w:tc>
          <w:tcPr>
            <w:tcW w:w="2416"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7F1D9FB6"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5,846</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2E850F3D"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6,896</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41A67665"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1,050</w:t>
            </w:r>
          </w:p>
        </w:tc>
      </w:tr>
      <w:tr w14:paraId="372BFF33" w14:textId="77777777" w:rsidTr="008A04CC">
        <w:tblPrEx>
          <w:tblW w:w="0" w:type="auto"/>
          <w:tblInd w:w="108" w:type="dxa"/>
          <w:tblLook w:val="04A0"/>
        </w:tblPrEx>
        <w:trPr>
          <w:trHeight w:val="55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15BE0E01"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3. Respiratory-Protection Program:  Medical Questionnaire for Respirator Use (§§ 1910.1026(g)(2), 1915.1026(f)(2), and 1926.1126(f)(2)) </w:t>
            </w:r>
          </w:p>
        </w:tc>
      </w:tr>
      <w:tr w14:paraId="4A3076DE"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shd w:val="clear" w:color="000000" w:fill="FFFFFF"/>
            <w:vAlign w:val="bottom"/>
            <w:hideMark/>
          </w:tcPr>
          <w:p w:rsidR="004D19E1" w:rsidRPr="00795992" w:rsidP="008A04CC" w14:paraId="2DEA2244"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Review the Medical Questionnaire for Respirator Use (Table 15)</w:t>
            </w:r>
          </w:p>
        </w:tc>
        <w:tc>
          <w:tcPr>
            <w:tcW w:w="2416"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0A316346"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937,112</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23BA1C5E"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1,245,326</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shd w:val="clear" w:color="000000" w:fill="FFFFFF"/>
            <w:vAlign w:val="center"/>
            <w:hideMark/>
          </w:tcPr>
          <w:p w:rsidR="004D19E1" w:rsidRPr="00795992" w:rsidP="008A04CC" w14:paraId="35DF14DF"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308,214</w:t>
            </w:r>
          </w:p>
        </w:tc>
      </w:tr>
      <w:tr w14:paraId="659BAC47" w14:textId="77777777" w:rsidTr="008A04CC">
        <w:tblPrEx>
          <w:tblW w:w="0" w:type="auto"/>
          <w:tblInd w:w="108" w:type="dxa"/>
          <w:tblLook w:val="04A0"/>
        </w:tblPrEx>
        <w:trPr>
          <w:trHeight w:val="54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404D03E8"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4. Respiratory-Protection Program:  Follow-up Medical Examination for Respirator Use (§§ 1910.1026(g)(2), 1915.1026(f)(2), and 1926.1126(f)(2))</w:t>
            </w:r>
          </w:p>
        </w:tc>
      </w:tr>
      <w:tr w14:paraId="627A4F7C"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202D0732"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Conduct the Medical Examination for Respirator Use (Table 17)</w:t>
            </w:r>
          </w:p>
        </w:tc>
        <w:tc>
          <w:tcPr>
            <w:tcW w:w="2416" w:type="dxa"/>
            <w:tcBorders>
              <w:top w:val="nil"/>
              <w:left w:val="nil"/>
              <w:bottom w:val="single" w:sz="8" w:space="0" w:color="000000"/>
              <w:right w:val="single" w:sz="8" w:space="0" w:color="000000"/>
            </w:tcBorders>
            <w:vAlign w:val="center"/>
            <w:hideMark/>
          </w:tcPr>
          <w:p w:rsidR="004D19E1" w:rsidRPr="00795992" w:rsidP="008A04CC" w14:paraId="7A79D61D"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646,546</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2F180548"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859,195</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478F609D"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212,649</w:t>
            </w:r>
            <w:r w:rsidRPr="00795992">
              <w:rPr>
                <w:rFonts w:ascii="Times New Roman" w:eastAsia="Times New Roman" w:hAnsi="Times New Roman"/>
                <w:sz w:val="20"/>
                <w:szCs w:val="20"/>
              </w:rPr>
              <w:t xml:space="preserve"> </w:t>
            </w:r>
          </w:p>
        </w:tc>
      </w:tr>
      <w:tr w14:paraId="3079856E"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BDD6EE" w:themeFill="accent5" w:themeFillTint="66"/>
            <w:hideMark/>
          </w:tcPr>
          <w:p w:rsidR="004D19E1" w:rsidRPr="00795992" w:rsidP="008A04CC" w14:paraId="094829D5"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C. Protective Work Clothing and Equipment (§§1910.1026(h), 1915.1026(g), and 1926.1126(g))</w:t>
            </w:r>
          </w:p>
        </w:tc>
      </w:tr>
      <w:tr w14:paraId="4EC17287" w14:textId="77777777" w:rsidTr="008A04CC">
        <w:tblPrEx>
          <w:tblW w:w="0" w:type="auto"/>
          <w:tblInd w:w="108" w:type="dxa"/>
          <w:tblLook w:val="04A0"/>
        </w:tblPrEx>
        <w:trPr>
          <w:trHeight w:val="27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41009784"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1. Removal and Storage (§§ 1910.1026(h)(2)(iv), 1915.1026(g)(2)(iv), and 1926.1126(g)(2)(iv))</w:t>
            </w:r>
          </w:p>
        </w:tc>
      </w:tr>
      <w:tr w14:paraId="7C61C2C1" w14:textId="77777777" w:rsidTr="00277B9F">
        <w:tblPrEx>
          <w:tblW w:w="0" w:type="auto"/>
          <w:tblInd w:w="108" w:type="dxa"/>
          <w:tblLook w:val="04A0"/>
        </w:tblPrEx>
        <w:trPr>
          <w:trHeight w:val="790"/>
        </w:trPr>
        <w:tc>
          <w:tcPr>
            <w:tcW w:w="3248" w:type="dxa"/>
            <w:tcBorders>
              <w:top w:val="nil"/>
              <w:left w:val="single" w:sz="8" w:space="0" w:color="000000"/>
              <w:bottom w:val="single" w:sz="4" w:space="0" w:color="auto"/>
              <w:right w:val="single" w:sz="8" w:space="0" w:color="000000"/>
            </w:tcBorders>
            <w:hideMark/>
          </w:tcPr>
          <w:p w:rsidR="004D19E1" w:rsidRPr="00795992" w:rsidP="008A04CC" w14:paraId="6E537B22" w14:textId="24417AB5">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 xml:space="preserve">Contract Cost to Obtain Cr(VI) Hazard-Warning Labels for Bags or Containers Used to Store Cr(VI)-Contaminated Protective Clothing or </w:t>
            </w:r>
            <w:r w:rsidRPr="00795992" w:rsidR="000319AD">
              <w:rPr>
                <w:rFonts w:ascii="Times New Roman" w:eastAsia="Times New Roman" w:hAnsi="Times New Roman"/>
                <w:color w:val="000000"/>
                <w:sz w:val="20"/>
                <w:szCs w:val="20"/>
              </w:rPr>
              <w:t>Equipment (</w:t>
            </w:r>
            <w:r w:rsidRPr="00795992">
              <w:rPr>
                <w:rFonts w:ascii="Times New Roman" w:eastAsia="Times New Roman" w:hAnsi="Times New Roman"/>
                <w:color w:val="000000"/>
                <w:sz w:val="20"/>
                <w:szCs w:val="20"/>
              </w:rPr>
              <w:t>Table 18)</w:t>
            </w:r>
          </w:p>
        </w:tc>
        <w:tc>
          <w:tcPr>
            <w:tcW w:w="2416" w:type="dxa"/>
            <w:tcBorders>
              <w:top w:val="nil"/>
              <w:left w:val="nil"/>
              <w:bottom w:val="single" w:sz="4" w:space="0" w:color="auto"/>
              <w:right w:val="single" w:sz="8" w:space="0" w:color="000000"/>
            </w:tcBorders>
            <w:vAlign w:val="center"/>
            <w:hideMark/>
          </w:tcPr>
          <w:p w:rsidR="004D19E1" w:rsidRPr="00795992" w:rsidP="008A04CC" w14:paraId="13A7BC3E"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2,816</w:t>
            </w:r>
            <w:r w:rsidRPr="00795992">
              <w:rPr>
                <w:rFonts w:ascii="Times New Roman" w:eastAsia="Times New Roman" w:hAnsi="Times New Roman"/>
                <w:sz w:val="20"/>
                <w:szCs w:val="20"/>
              </w:rPr>
              <w:t xml:space="preserve"> </w:t>
            </w:r>
          </w:p>
        </w:tc>
        <w:tc>
          <w:tcPr>
            <w:tcW w:w="2232" w:type="dxa"/>
            <w:tcBorders>
              <w:top w:val="nil"/>
              <w:left w:val="nil"/>
              <w:bottom w:val="single" w:sz="4" w:space="0" w:color="auto"/>
              <w:right w:val="single" w:sz="8" w:space="0" w:color="000000"/>
            </w:tcBorders>
            <w:vAlign w:val="center"/>
            <w:hideMark/>
          </w:tcPr>
          <w:p w:rsidR="004D19E1" w:rsidRPr="00795992" w:rsidP="008A04CC" w14:paraId="24ED57CA"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5,548</w:t>
            </w:r>
          </w:p>
        </w:tc>
        <w:tc>
          <w:tcPr>
            <w:tcW w:w="1336" w:type="dxa"/>
            <w:tcBorders>
              <w:top w:val="nil"/>
              <w:left w:val="nil"/>
              <w:bottom w:val="single" w:sz="4" w:space="0" w:color="auto"/>
              <w:right w:val="single" w:sz="8" w:space="0" w:color="000000"/>
            </w:tcBorders>
            <w:vAlign w:val="center"/>
            <w:hideMark/>
          </w:tcPr>
          <w:p w:rsidR="004D19E1" w:rsidRPr="00795992" w:rsidP="008A04CC" w14:paraId="404D9BE0"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2,732</w:t>
            </w:r>
            <w:r w:rsidRPr="00795992">
              <w:rPr>
                <w:rFonts w:ascii="Times New Roman" w:eastAsia="Times New Roman" w:hAnsi="Times New Roman"/>
                <w:sz w:val="20"/>
                <w:szCs w:val="20"/>
              </w:rPr>
              <w:t xml:space="preserve"> </w:t>
            </w:r>
          </w:p>
        </w:tc>
      </w:tr>
      <w:tr w14:paraId="426E8498" w14:textId="77777777" w:rsidTr="006236DA">
        <w:tblPrEx>
          <w:tblW w:w="0" w:type="auto"/>
          <w:tblInd w:w="108" w:type="dxa"/>
          <w:tblLook w:val="04A0"/>
        </w:tblPrEx>
        <w:trPr>
          <w:trHeight w:val="270"/>
        </w:trPr>
        <w:tc>
          <w:tcPr>
            <w:tcW w:w="9232"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4D19E1" w:rsidRPr="00795992" w:rsidP="008A04CC" w14:paraId="4D7952E9"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D. Medical Surveillance (§§1910.1026(k), 1915.1026(i), and 1926.1126(i)) </w:t>
            </w:r>
          </w:p>
        </w:tc>
      </w:tr>
      <w:tr w14:paraId="7C095EAA" w14:textId="77777777" w:rsidTr="006236DA">
        <w:tblPrEx>
          <w:tblW w:w="0" w:type="auto"/>
          <w:tblInd w:w="108" w:type="dxa"/>
          <w:tblLook w:val="04A0"/>
        </w:tblPrEx>
        <w:trPr>
          <w:trHeight w:val="600"/>
        </w:trPr>
        <w:tc>
          <w:tcPr>
            <w:tcW w:w="9232" w:type="dxa"/>
            <w:gridSpan w:val="4"/>
            <w:tcBorders>
              <w:top w:val="single" w:sz="4" w:space="0" w:color="auto"/>
              <w:left w:val="single" w:sz="8" w:space="0" w:color="000000"/>
              <w:bottom w:val="single" w:sz="8" w:space="0" w:color="000000"/>
              <w:right w:val="single" w:sz="8" w:space="0" w:color="000000"/>
            </w:tcBorders>
            <w:shd w:val="clear" w:color="auto" w:fill="F5DFF2"/>
            <w:hideMark/>
          </w:tcPr>
          <w:p w:rsidR="004D19E1" w:rsidRPr="00795992" w:rsidP="008A04CC" w14:paraId="24E18DCB"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1. Initial Medical Examination (§§ 1910.1026(k)(1)(i)(A), (k)(3)(i), and (k)(3)(ii); 1915.1026(i)(1)(i)(A), (i)(3)(i), and (i)(3)(ii); and 1926.1126(i)(1)(i)(A), (i)(3)(i), and (i)(3)(ii))</w:t>
            </w:r>
          </w:p>
        </w:tc>
      </w:tr>
      <w:tr w14:paraId="50E4F7BA" w14:textId="77777777" w:rsidTr="008A04CC">
        <w:tblPrEx>
          <w:tblW w:w="0" w:type="auto"/>
          <w:tblInd w:w="108" w:type="dxa"/>
          <w:tblLook w:val="04A0"/>
        </w:tblPrEx>
        <w:trPr>
          <w:trHeight w:val="530"/>
        </w:trPr>
        <w:tc>
          <w:tcPr>
            <w:tcW w:w="3248" w:type="dxa"/>
            <w:tcBorders>
              <w:top w:val="nil"/>
              <w:left w:val="single" w:sz="8" w:space="0" w:color="000000"/>
              <w:bottom w:val="nil"/>
              <w:right w:val="single" w:sz="8" w:space="0" w:color="000000"/>
            </w:tcBorders>
            <w:vAlign w:val="bottom"/>
            <w:hideMark/>
          </w:tcPr>
          <w:p w:rsidR="004D19E1" w:rsidRPr="00795992" w:rsidP="008A04CC" w14:paraId="0E818943"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 xml:space="preserve">Contract Cost for a PLHCP to Conduct the Initial Medical Examination </w:t>
            </w:r>
            <w:r>
              <w:rPr>
                <w:rFonts w:ascii="Times New Roman" w:eastAsia="Times New Roman" w:hAnsi="Times New Roman"/>
                <w:color w:val="000000"/>
                <w:sz w:val="20"/>
                <w:szCs w:val="20"/>
              </w:rPr>
              <w:t xml:space="preserve">   </w:t>
            </w:r>
            <w:r w:rsidRPr="00795992">
              <w:rPr>
                <w:rFonts w:ascii="Times New Roman" w:eastAsia="Times New Roman" w:hAnsi="Times New Roman"/>
                <w:color w:val="000000"/>
                <w:sz w:val="20"/>
                <w:szCs w:val="20"/>
              </w:rPr>
              <w:t>(Table 21)</w:t>
            </w:r>
          </w:p>
        </w:tc>
        <w:tc>
          <w:tcPr>
            <w:tcW w:w="2416" w:type="dxa"/>
            <w:tcBorders>
              <w:top w:val="nil"/>
              <w:left w:val="nil"/>
              <w:bottom w:val="single" w:sz="8" w:space="0" w:color="000000"/>
              <w:right w:val="single" w:sz="8" w:space="0" w:color="000000"/>
            </w:tcBorders>
            <w:vAlign w:val="center"/>
            <w:hideMark/>
          </w:tcPr>
          <w:p w:rsidR="004D19E1" w:rsidRPr="00795992" w:rsidP="008A04CC" w14:paraId="1A7B793A"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1,015,299</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0DE66E28"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1,378,812</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5C1C9DF7"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363,513</w:t>
            </w:r>
            <w:r w:rsidRPr="00795992">
              <w:rPr>
                <w:rFonts w:ascii="Times New Roman" w:eastAsia="Times New Roman" w:hAnsi="Times New Roman"/>
                <w:sz w:val="20"/>
                <w:szCs w:val="20"/>
              </w:rPr>
              <w:t xml:space="preserve"> </w:t>
            </w:r>
          </w:p>
        </w:tc>
      </w:tr>
      <w:tr w14:paraId="5DB21878" w14:textId="77777777" w:rsidTr="008A04CC">
        <w:tblPrEx>
          <w:tblW w:w="0" w:type="auto"/>
          <w:tblInd w:w="108" w:type="dxa"/>
          <w:tblLook w:val="04A0"/>
        </w:tblPrEx>
        <w:trPr>
          <w:trHeight w:val="54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7B008318"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2. Annual Medical Examination (§§ 1910.1026(k)(2)(ii), (k)(3)(i), and (k)(3)(ii); 1915.1026(i)(2)(ii), (i)(3)(i), and (i)(3)(ii); and 1926.1126(i)(2)(ii), (i)(3)(i), and (i)(3)(ii))</w:t>
            </w:r>
          </w:p>
        </w:tc>
      </w:tr>
      <w:tr w14:paraId="7D286361" w14:textId="77777777" w:rsidTr="008A04CC">
        <w:tblPrEx>
          <w:tblW w:w="0" w:type="auto"/>
          <w:tblInd w:w="108" w:type="dxa"/>
          <w:tblLook w:val="04A0"/>
        </w:tblPrEx>
        <w:trPr>
          <w:trHeight w:val="27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14618B0A"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Conduct the Medical Examination (Table 23)</w:t>
            </w:r>
          </w:p>
        </w:tc>
        <w:tc>
          <w:tcPr>
            <w:tcW w:w="2416" w:type="dxa"/>
            <w:tcBorders>
              <w:top w:val="nil"/>
              <w:left w:val="nil"/>
              <w:bottom w:val="single" w:sz="8" w:space="0" w:color="000000"/>
              <w:right w:val="single" w:sz="8" w:space="0" w:color="000000"/>
            </w:tcBorders>
            <w:vAlign w:val="center"/>
            <w:hideMark/>
          </w:tcPr>
          <w:p w:rsidR="004D19E1" w:rsidRPr="00795992" w:rsidP="008A04CC" w14:paraId="7D1FB122"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9,237,718</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43DB4F86" w14:textId="77777777">
            <w:pPr>
              <w:spacing w:after="0" w:line="240" w:lineRule="auto"/>
              <w:jc w:val="center"/>
              <w:rPr>
                <w:rFonts w:ascii="Times New Roman" w:eastAsia="Times New Roman" w:hAnsi="Times New Roman"/>
                <w:sz w:val="20"/>
                <w:szCs w:val="20"/>
              </w:rPr>
            </w:pPr>
            <w:r w:rsidRPr="00B92220">
              <w:rPr>
                <w:rFonts w:ascii="Times New Roman" w:eastAsia="Times New Roman" w:hAnsi="Times New Roman"/>
                <w:sz w:val="20"/>
                <w:szCs w:val="20"/>
              </w:rPr>
              <w:t>$13,677,838</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4F86B05B" w14:textId="77777777">
            <w:pPr>
              <w:spacing w:after="0" w:line="240" w:lineRule="auto"/>
              <w:jc w:val="center"/>
              <w:rPr>
                <w:rFonts w:ascii="Times New Roman" w:eastAsia="Times New Roman" w:hAnsi="Times New Roman"/>
                <w:sz w:val="20"/>
                <w:szCs w:val="20"/>
              </w:rPr>
            </w:pPr>
            <w:r w:rsidRPr="00B32044">
              <w:rPr>
                <w:rFonts w:ascii="Times New Roman" w:eastAsia="Times New Roman" w:hAnsi="Times New Roman"/>
                <w:sz w:val="20"/>
                <w:szCs w:val="20"/>
              </w:rPr>
              <w:t>$</w:t>
            </w:r>
            <w:r w:rsidRPr="00B92220">
              <w:rPr>
                <w:rFonts w:ascii="Times New Roman" w:eastAsia="Times New Roman" w:hAnsi="Times New Roman"/>
                <w:sz w:val="20"/>
                <w:szCs w:val="20"/>
              </w:rPr>
              <w:t>4,440,120</w:t>
            </w:r>
            <w:r w:rsidRPr="00795992">
              <w:rPr>
                <w:rFonts w:ascii="Times New Roman" w:eastAsia="Times New Roman" w:hAnsi="Times New Roman"/>
                <w:sz w:val="20"/>
                <w:szCs w:val="20"/>
              </w:rPr>
              <w:t xml:space="preserve"> </w:t>
            </w:r>
          </w:p>
        </w:tc>
      </w:tr>
      <w:tr w14:paraId="7BA3536B" w14:textId="77777777" w:rsidTr="008A04CC">
        <w:tblPrEx>
          <w:tblW w:w="0" w:type="auto"/>
          <w:tblInd w:w="108" w:type="dxa"/>
          <w:tblLook w:val="04A0"/>
        </w:tblPrEx>
        <w:trPr>
          <w:trHeight w:val="54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117975A7"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3. Initial Medical Examination with Additional Tests (§§1910.1026(k)(1)(i)(B) and (k)(3)(i)-(k)(3)(iii); 1915.1026(i)(1)(i)(B) and (i)(3)(i)-(i)(3)(iii); and  1926.1126(i)(1)(i)(B) and (i)(3)(i)-(i)(3)(iii))</w:t>
            </w:r>
          </w:p>
        </w:tc>
      </w:tr>
      <w:tr w14:paraId="7314306C"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43C42236"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Conduct the Initial Medical Examination with Additional Tests (Table 25)</w:t>
            </w:r>
          </w:p>
        </w:tc>
        <w:tc>
          <w:tcPr>
            <w:tcW w:w="2416" w:type="dxa"/>
            <w:tcBorders>
              <w:top w:val="nil"/>
              <w:left w:val="nil"/>
              <w:bottom w:val="single" w:sz="8" w:space="0" w:color="000000"/>
              <w:right w:val="single" w:sz="8" w:space="0" w:color="000000"/>
            </w:tcBorders>
            <w:vAlign w:val="center"/>
            <w:hideMark/>
          </w:tcPr>
          <w:p w:rsidR="004D19E1" w:rsidRPr="00795992" w:rsidP="008A04CC" w14:paraId="566152A6"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8,657</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6EAC8CC2"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11,757</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6CA0E23D" w14:textId="77777777">
            <w:pPr>
              <w:spacing w:after="0" w:line="240" w:lineRule="auto"/>
              <w:jc w:val="center"/>
              <w:rPr>
                <w:rFonts w:ascii="Times New Roman" w:eastAsia="Times New Roman" w:hAnsi="Times New Roman"/>
                <w:sz w:val="20"/>
                <w:szCs w:val="20"/>
              </w:rPr>
            </w:pPr>
            <w:r w:rsidRPr="00E112FB">
              <w:rPr>
                <w:rFonts w:ascii="Times New Roman" w:eastAsia="Times New Roman" w:hAnsi="Times New Roman"/>
                <w:sz w:val="20"/>
                <w:szCs w:val="20"/>
              </w:rPr>
              <w:t>$3,100</w:t>
            </w:r>
            <w:r w:rsidRPr="00795992">
              <w:rPr>
                <w:rFonts w:ascii="Times New Roman" w:eastAsia="Times New Roman" w:hAnsi="Times New Roman"/>
                <w:sz w:val="20"/>
                <w:szCs w:val="20"/>
              </w:rPr>
              <w:t xml:space="preserve"> </w:t>
            </w:r>
          </w:p>
        </w:tc>
      </w:tr>
      <w:tr w14:paraId="5C011D2D" w14:textId="77777777" w:rsidTr="008A04CC">
        <w:tblPrEx>
          <w:tblW w:w="0" w:type="auto"/>
          <w:tblInd w:w="108" w:type="dxa"/>
          <w:tblLook w:val="04A0"/>
        </w:tblPrEx>
        <w:trPr>
          <w:trHeight w:val="54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68929F96"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4. Annual Medical Examination with Additional Tests (§§ 1910.1026(k)(2)(ii) and (k)(3)(i)-(k)(3)(iii); 1915.1026(i)(2)(ii) and (i)(3)(i)-(i)(3)(iii); and 1926.1126(i)(2)(ii) and (i)(3)(i)-(i)(3)(ii))</w:t>
            </w:r>
          </w:p>
        </w:tc>
      </w:tr>
      <w:tr w14:paraId="576F5D66"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31C91F77" w14:textId="3AE085FD">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Conduct the Annual Medical Examination with Additional Tests</w:t>
            </w:r>
            <w:r w:rsidR="000319AD">
              <w:rPr>
                <w:rFonts w:ascii="Times New Roman" w:eastAsia="Times New Roman" w:hAnsi="Times New Roman"/>
                <w:color w:val="000000"/>
                <w:sz w:val="20"/>
                <w:szCs w:val="20"/>
              </w:rPr>
              <w:t xml:space="preserve">  </w:t>
            </w:r>
            <w:r w:rsidRPr="00795992" w:rsidR="000319AD">
              <w:rPr>
                <w:rFonts w:ascii="Times New Roman" w:eastAsia="Times New Roman" w:hAnsi="Times New Roman"/>
                <w:color w:val="000000"/>
                <w:sz w:val="20"/>
                <w:szCs w:val="20"/>
              </w:rPr>
              <w:t>(</w:t>
            </w:r>
            <w:r w:rsidRPr="00795992">
              <w:rPr>
                <w:rFonts w:ascii="Times New Roman" w:eastAsia="Times New Roman" w:hAnsi="Times New Roman"/>
                <w:color w:val="000000"/>
                <w:sz w:val="20"/>
                <w:szCs w:val="20"/>
              </w:rPr>
              <w:t>Table 27)</w:t>
            </w:r>
          </w:p>
        </w:tc>
        <w:tc>
          <w:tcPr>
            <w:tcW w:w="2416" w:type="dxa"/>
            <w:tcBorders>
              <w:top w:val="nil"/>
              <w:left w:val="nil"/>
              <w:bottom w:val="single" w:sz="8" w:space="0" w:color="000000"/>
              <w:right w:val="single" w:sz="8" w:space="0" w:color="000000"/>
            </w:tcBorders>
            <w:vAlign w:val="center"/>
            <w:hideMark/>
          </w:tcPr>
          <w:p w:rsidR="004D19E1" w:rsidRPr="00795992" w:rsidP="008A04CC" w14:paraId="0BC8E316"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84,199</w:t>
            </w:r>
            <w:r w:rsidRPr="00795992">
              <w:rPr>
                <w:rFonts w:ascii="Times New Roman" w:eastAsia="Times New Roman" w:hAnsi="Times New Roman"/>
                <w:sz w:val="20"/>
                <w:szCs w:val="20"/>
              </w:rPr>
              <w:t xml:space="preserve"> </w:t>
            </w:r>
          </w:p>
        </w:tc>
        <w:tc>
          <w:tcPr>
            <w:tcW w:w="2232" w:type="dxa"/>
            <w:tcBorders>
              <w:top w:val="nil"/>
              <w:left w:val="nil"/>
              <w:bottom w:val="single" w:sz="8" w:space="0" w:color="000000"/>
              <w:right w:val="single" w:sz="8" w:space="0" w:color="000000"/>
            </w:tcBorders>
            <w:vAlign w:val="center"/>
            <w:hideMark/>
          </w:tcPr>
          <w:p w:rsidR="004D19E1" w:rsidRPr="00795992" w:rsidP="008A04CC" w14:paraId="34BC8814"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125,723</w:t>
            </w:r>
            <w:r w:rsidRPr="00795992">
              <w:rPr>
                <w:rFonts w:ascii="Times New Roman" w:eastAsia="Times New Roman" w:hAnsi="Times New Roman"/>
                <w:sz w:val="20"/>
                <w:szCs w:val="20"/>
              </w:rPr>
              <w:t xml:space="preserve"> </w:t>
            </w:r>
          </w:p>
        </w:tc>
        <w:tc>
          <w:tcPr>
            <w:tcW w:w="1336" w:type="dxa"/>
            <w:tcBorders>
              <w:top w:val="nil"/>
              <w:left w:val="nil"/>
              <w:bottom w:val="single" w:sz="8" w:space="0" w:color="000000"/>
              <w:right w:val="single" w:sz="8" w:space="0" w:color="000000"/>
            </w:tcBorders>
            <w:vAlign w:val="center"/>
            <w:hideMark/>
          </w:tcPr>
          <w:p w:rsidR="004D19E1" w:rsidRPr="00795992" w:rsidP="008A04CC" w14:paraId="3FBD2CE0" w14:textId="77777777">
            <w:pPr>
              <w:spacing w:after="0" w:line="240" w:lineRule="auto"/>
              <w:jc w:val="center"/>
              <w:rPr>
                <w:rFonts w:ascii="Times New Roman" w:eastAsia="Times New Roman" w:hAnsi="Times New Roman"/>
                <w:sz w:val="20"/>
                <w:szCs w:val="20"/>
              </w:rPr>
            </w:pPr>
            <w:r w:rsidRPr="00795992">
              <w:rPr>
                <w:rFonts w:ascii="Times New Roman" w:eastAsia="Times New Roman" w:hAnsi="Times New Roman"/>
                <w:sz w:val="20"/>
                <w:szCs w:val="20"/>
              </w:rPr>
              <w:t>$</w:t>
            </w:r>
            <w:r>
              <w:rPr>
                <w:rFonts w:ascii="Times New Roman" w:eastAsia="Times New Roman" w:hAnsi="Times New Roman"/>
                <w:sz w:val="20"/>
                <w:szCs w:val="20"/>
              </w:rPr>
              <w:t>41,524</w:t>
            </w:r>
          </w:p>
        </w:tc>
      </w:tr>
      <w:tr w14:paraId="62810261" w14:textId="77777777" w:rsidTr="008A04CC">
        <w:tblPrEx>
          <w:tblW w:w="0" w:type="auto"/>
          <w:tblInd w:w="108" w:type="dxa"/>
          <w:tblLook w:val="04A0"/>
        </w:tblPrEx>
        <w:trPr>
          <w:trHeight w:val="54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795992" w:rsidP="008A04CC" w14:paraId="665EEB98" w14:textId="77777777">
            <w:pPr>
              <w:spacing w:after="0" w:line="240" w:lineRule="auto"/>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5. Medical Examination After Initial Assignment (§§1910.1026(k)(2)(i), (k)(3)(i), and (k)(3)(ii);1915.1026(i)(2)(i), (i)(3)(i), and (i)(3)(ii); and  1926.1126(i)(2)(i), (i)(3)(i), and (i)(3)(ii))</w:t>
            </w:r>
          </w:p>
        </w:tc>
      </w:tr>
      <w:tr w14:paraId="686820FD" w14:textId="77777777" w:rsidTr="008A04CC">
        <w:tblPrEx>
          <w:tblW w:w="0" w:type="auto"/>
          <w:tblInd w:w="108" w:type="dxa"/>
          <w:tblLook w:val="04A0"/>
        </w:tblPrEx>
        <w:trPr>
          <w:trHeight w:val="530"/>
        </w:trPr>
        <w:tc>
          <w:tcPr>
            <w:tcW w:w="3248" w:type="dxa"/>
            <w:tcBorders>
              <w:top w:val="nil"/>
              <w:left w:val="single" w:sz="8" w:space="0" w:color="000000"/>
              <w:bottom w:val="nil"/>
              <w:right w:val="single" w:sz="8" w:space="0" w:color="000000"/>
            </w:tcBorders>
            <w:vAlign w:val="bottom"/>
            <w:hideMark/>
          </w:tcPr>
          <w:p w:rsidR="004D19E1" w:rsidRPr="00795992" w:rsidP="008A04CC" w14:paraId="0A452D1E"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Conduct the Medical Examination After Initial Assignment (Table 29)</w:t>
            </w:r>
          </w:p>
        </w:tc>
        <w:tc>
          <w:tcPr>
            <w:tcW w:w="2416" w:type="dxa"/>
            <w:tcBorders>
              <w:top w:val="nil"/>
              <w:left w:val="nil"/>
              <w:bottom w:val="single" w:sz="8" w:space="0" w:color="000000"/>
              <w:right w:val="single" w:sz="8" w:space="0" w:color="000000"/>
            </w:tcBorders>
            <w:vAlign w:val="center"/>
            <w:hideMark/>
          </w:tcPr>
          <w:p w:rsidR="004D19E1" w:rsidRPr="000531C6" w:rsidP="008A04CC" w14:paraId="1AE07E44" w14:textId="77777777">
            <w:pPr>
              <w:spacing w:after="0" w:line="240" w:lineRule="auto"/>
              <w:jc w:val="center"/>
              <w:rPr>
                <w:rFonts w:ascii="Times New Roman" w:eastAsia="Times New Roman" w:hAnsi="Times New Roman"/>
                <w:sz w:val="20"/>
                <w:szCs w:val="20"/>
              </w:rPr>
            </w:pPr>
            <w:r w:rsidRPr="000531C6">
              <w:rPr>
                <w:rFonts w:ascii="Times New Roman" w:eastAsia="Times New Roman" w:hAnsi="Times New Roman"/>
                <w:sz w:val="20"/>
                <w:szCs w:val="20"/>
              </w:rPr>
              <w:t xml:space="preserve">$7,364,507 </w:t>
            </w:r>
          </w:p>
        </w:tc>
        <w:tc>
          <w:tcPr>
            <w:tcW w:w="2232" w:type="dxa"/>
            <w:tcBorders>
              <w:top w:val="nil"/>
              <w:left w:val="nil"/>
              <w:bottom w:val="single" w:sz="8" w:space="0" w:color="000000"/>
              <w:right w:val="single" w:sz="8" w:space="0" w:color="000000"/>
            </w:tcBorders>
            <w:vAlign w:val="center"/>
            <w:hideMark/>
          </w:tcPr>
          <w:p w:rsidR="004D19E1" w:rsidRPr="000531C6" w:rsidP="008A04CC" w14:paraId="3158AA2E" w14:textId="77777777">
            <w:pPr>
              <w:spacing w:after="0" w:line="240" w:lineRule="auto"/>
              <w:jc w:val="center"/>
              <w:rPr>
                <w:rFonts w:ascii="Times New Roman" w:eastAsia="Times New Roman" w:hAnsi="Times New Roman"/>
                <w:sz w:val="20"/>
                <w:szCs w:val="20"/>
              </w:rPr>
            </w:pPr>
            <w:r w:rsidRPr="000531C6">
              <w:rPr>
                <w:rFonts w:ascii="Times New Roman" w:eastAsia="Times New Roman" w:hAnsi="Times New Roman"/>
                <w:sz w:val="20"/>
                <w:szCs w:val="20"/>
              </w:rPr>
              <w:t xml:space="preserve">$9,354,062 </w:t>
            </w:r>
          </w:p>
        </w:tc>
        <w:tc>
          <w:tcPr>
            <w:tcW w:w="1336" w:type="dxa"/>
            <w:tcBorders>
              <w:top w:val="nil"/>
              <w:left w:val="nil"/>
              <w:bottom w:val="single" w:sz="8" w:space="0" w:color="000000"/>
              <w:right w:val="single" w:sz="8" w:space="0" w:color="000000"/>
            </w:tcBorders>
            <w:vAlign w:val="center"/>
            <w:hideMark/>
          </w:tcPr>
          <w:p w:rsidR="004D19E1" w:rsidRPr="000531C6" w:rsidP="008A04CC" w14:paraId="31857862" w14:textId="77777777">
            <w:pPr>
              <w:spacing w:after="0" w:line="240" w:lineRule="auto"/>
              <w:jc w:val="center"/>
              <w:rPr>
                <w:rFonts w:ascii="Times New Roman" w:eastAsia="Times New Roman" w:hAnsi="Times New Roman"/>
                <w:sz w:val="20"/>
                <w:szCs w:val="20"/>
              </w:rPr>
            </w:pPr>
            <w:r w:rsidRPr="000531C6">
              <w:rPr>
                <w:rFonts w:ascii="Times New Roman" w:eastAsia="Times New Roman" w:hAnsi="Times New Roman"/>
                <w:sz w:val="20"/>
                <w:szCs w:val="20"/>
              </w:rPr>
              <w:t xml:space="preserve">$1,989,555 </w:t>
            </w:r>
          </w:p>
        </w:tc>
      </w:tr>
      <w:tr w14:paraId="42EFC041" w14:textId="77777777" w:rsidTr="008A04CC">
        <w:tblPrEx>
          <w:tblW w:w="0" w:type="auto"/>
          <w:tblInd w:w="108" w:type="dxa"/>
          <w:tblLook w:val="04A0"/>
        </w:tblPrEx>
        <w:trPr>
          <w:trHeight w:val="540"/>
        </w:trPr>
        <w:tc>
          <w:tcPr>
            <w:tcW w:w="9232" w:type="dxa"/>
            <w:gridSpan w:val="4"/>
            <w:tcBorders>
              <w:top w:val="single" w:sz="8" w:space="0" w:color="000000"/>
              <w:left w:val="single" w:sz="8" w:space="0" w:color="000000"/>
              <w:bottom w:val="single" w:sz="8" w:space="0" w:color="000000"/>
              <w:right w:val="single" w:sz="8" w:space="0" w:color="000000"/>
            </w:tcBorders>
            <w:shd w:val="clear" w:color="auto" w:fill="F5DFF2"/>
            <w:hideMark/>
          </w:tcPr>
          <w:p w:rsidR="004D19E1" w:rsidRPr="000531C6" w:rsidP="008A04CC" w14:paraId="7DC67E7F" w14:textId="77777777">
            <w:pPr>
              <w:spacing w:after="0" w:line="240" w:lineRule="auto"/>
              <w:rPr>
                <w:rFonts w:ascii="Times New Roman" w:eastAsia="Times New Roman" w:hAnsi="Times New Roman"/>
                <w:b/>
                <w:bCs/>
                <w:color w:val="000000"/>
                <w:sz w:val="20"/>
                <w:szCs w:val="20"/>
              </w:rPr>
            </w:pPr>
            <w:r w:rsidRPr="000531C6">
              <w:rPr>
                <w:rFonts w:ascii="Times New Roman" w:eastAsia="Times New Roman" w:hAnsi="Times New Roman"/>
                <w:b/>
                <w:bCs/>
                <w:color w:val="000000"/>
                <w:sz w:val="20"/>
                <w:szCs w:val="20"/>
              </w:rPr>
              <w:t>6. Medical Examination at the Termination of Employment (§§ 1910.1026(k)(2)(vi) and (k)(3)(i)-(k)(3)(iii); 1915.1026(i)(2)(vi) and (i)(3)(i)-(i)(3)(iii); and 1926.1126(i)(2)(vi) and (i)(3)(i)-(i)(3)(ii))</w:t>
            </w:r>
          </w:p>
        </w:tc>
      </w:tr>
      <w:tr w14:paraId="26020CCE" w14:textId="77777777" w:rsidTr="008A04CC">
        <w:tblPrEx>
          <w:tblW w:w="0" w:type="auto"/>
          <w:tblInd w:w="108" w:type="dxa"/>
          <w:tblLook w:val="04A0"/>
        </w:tblPrEx>
        <w:trPr>
          <w:trHeight w:val="530"/>
        </w:trPr>
        <w:tc>
          <w:tcPr>
            <w:tcW w:w="3248" w:type="dxa"/>
            <w:tcBorders>
              <w:top w:val="nil"/>
              <w:left w:val="single" w:sz="8" w:space="0" w:color="000000"/>
              <w:bottom w:val="single" w:sz="8" w:space="0" w:color="000000"/>
              <w:right w:val="single" w:sz="8" w:space="0" w:color="000000"/>
            </w:tcBorders>
            <w:vAlign w:val="bottom"/>
            <w:hideMark/>
          </w:tcPr>
          <w:p w:rsidR="004D19E1" w:rsidRPr="00795992" w:rsidP="008A04CC" w14:paraId="02AF49AB" w14:textId="77777777">
            <w:pPr>
              <w:spacing w:after="0" w:line="240" w:lineRule="auto"/>
              <w:rPr>
                <w:rFonts w:ascii="Times New Roman" w:eastAsia="Times New Roman" w:hAnsi="Times New Roman"/>
                <w:color w:val="000000"/>
                <w:sz w:val="20"/>
                <w:szCs w:val="20"/>
              </w:rPr>
            </w:pPr>
            <w:r w:rsidRPr="00795992">
              <w:rPr>
                <w:rFonts w:ascii="Times New Roman" w:eastAsia="Times New Roman" w:hAnsi="Times New Roman"/>
                <w:color w:val="000000"/>
                <w:sz w:val="20"/>
                <w:szCs w:val="20"/>
              </w:rPr>
              <w:t>Contract Cost for a PLHCP to Conduct the Medical Examination at the Termination of Employment (Table 31)</w:t>
            </w:r>
          </w:p>
        </w:tc>
        <w:tc>
          <w:tcPr>
            <w:tcW w:w="2416" w:type="dxa"/>
            <w:tcBorders>
              <w:top w:val="nil"/>
              <w:left w:val="nil"/>
              <w:bottom w:val="single" w:sz="8" w:space="0" w:color="000000"/>
              <w:right w:val="single" w:sz="8" w:space="0" w:color="000000"/>
            </w:tcBorders>
            <w:vAlign w:val="center"/>
            <w:hideMark/>
          </w:tcPr>
          <w:p w:rsidR="004D19E1" w:rsidRPr="000531C6" w:rsidP="008A04CC" w14:paraId="19A9E69C" w14:textId="77777777">
            <w:pPr>
              <w:spacing w:after="0" w:line="240" w:lineRule="auto"/>
              <w:jc w:val="center"/>
              <w:rPr>
                <w:rFonts w:ascii="Times New Roman" w:eastAsia="Times New Roman" w:hAnsi="Times New Roman"/>
                <w:sz w:val="20"/>
                <w:szCs w:val="20"/>
              </w:rPr>
            </w:pPr>
            <w:r w:rsidRPr="000531C6">
              <w:rPr>
                <w:rFonts w:ascii="Times New Roman" w:eastAsia="Times New Roman" w:hAnsi="Times New Roman"/>
                <w:sz w:val="20"/>
                <w:szCs w:val="20"/>
              </w:rPr>
              <w:t xml:space="preserve">$5,247,456 </w:t>
            </w:r>
          </w:p>
        </w:tc>
        <w:tc>
          <w:tcPr>
            <w:tcW w:w="2232" w:type="dxa"/>
            <w:tcBorders>
              <w:top w:val="nil"/>
              <w:left w:val="nil"/>
              <w:bottom w:val="single" w:sz="8" w:space="0" w:color="000000"/>
              <w:right w:val="single" w:sz="8" w:space="0" w:color="000000"/>
            </w:tcBorders>
            <w:vAlign w:val="center"/>
            <w:hideMark/>
          </w:tcPr>
          <w:p w:rsidR="004D19E1" w:rsidRPr="000531C6" w:rsidP="008A04CC" w14:paraId="2600BF13" w14:textId="77777777">
            <w:pPr>
              <w:spacing w:after="0" w:line="240" w:lineRule="auto"/>
              <w:jc w:val="center"/>
              <w:rPr>
                <w:rFonts w:ascii="Times New Roman" w:eastAsia="Times New Roman" w:hAnsi="Times New Roman"/>
                <w:sz w:val="20"/>
                <w:szCs w:val="20"/>
              </w:rPr>
            </w:pPr>
            <w:r w:rsidRPr="000531C6">
              <w:rPr>
                <w:rFonts w:ascii="Times New Roman" w:eastAsia="Times New Roman" w:hAnsi="Times New Roman"/>
                <w:sz w:val="20"/>
                <w:szCs w:val="20"/>
              </w:rPr>
              <w:t xml:space="preserve">$7,090,192 </w:t>
            </w:r>
          </w:p>
        </w:tc>
        <w:tc>
          <w:tcPr>
            <w:tcW w:w="1336" w:type="dxa"/>
            <w:tcBorders>
              <w:top w:val="nil"/>
              <w:left w:val="nil"/>
              <w:bottom w:val="single" w:sz="8" w:space="0" w:color="000000"/>
              <w:right w:val="single" w:sz="8" w:space="0" w:color="000000"/>
            </w:tcBorders>
            <w:vAlign w:val="center"/>
            <w:hideMark/>
          </w:tcPr>
          <w:p w:rsidR="004D19E1" w:rsidRPr="000531C6" w:rsidP="008A04CC" w14:paraId="05AF0290" w14:textId="77777777">
            <w:pPr>
              <w:spacing w:after="0" w:line="240" w:lineRule="auto"/>
              <w:jc w:val="center"/>
              <w:rPr>
                <w:rFonts w:ascii="Times New Roman" w:eastAsia="Times New Roman" w:hAnsi="Times New Roman"/>
                <w:sz w:val="20"/>
                <w:szCs w:val="20"/>
              </w:rPr>
            </w:pPr>
            <w:r w:rsidRPr="000531C6">
              <w:rPr>
                <w:rFonts w:ascii="Times New Roman" w:eastAsia="Times New Roman" w:hAnsi="Times New Roman"/>
                <w:sz w:val="20"/>
                <w:szCs w:val="20"/>
              </w:rPr>
              <w:t xml:space="preserve">$1,842,736 </w:t>
            </w:r>
          </w:p>
        </w:tc>
      </w:tr>
      <w:tr w14:paraId="1A8C6069" w14:textId="77777777" w:rsidTr="008A04CC">
        <w:tblPrEx>
          <w:tblW w:w="0" w:type="auto"/>
          <w:tblInd w:w="108" w:type="dxa"/>
          <w:tblLook w:val="04A0"/>
        </w:tblPrEx>
        <w:trPr>
          <w:trHeight w:val="270"/>
        </w:trPr>
        <w:tc>
          <w:tcPr>
            <w:tcW w:w="3248" w:type="dxa"/>
            <w:tcBorders>
              <w:top w:val="nil"/>
              <w:left w:val="single" w:sz="8" w:space="0" w:color="000000"/>
              <w:bottom w:val="single" w:sz="8" w:space="0" w:color="000000"/>
              <w:right w:val="single" w:sz="8" w:space="0" w:color="000000"/>
            </w:tcBorders>
            <w:shd w:val="clear" w:color="auto" w:fill="9CC2E5" w:themeFill="accent5" w:themeFillTint="99"/>
            <w:vAlign w:val="center"/>
            <w:hideMark/>
          </w:tcPr>
          <w:p w:rsidR="004D19E1" w:rsidRPr="00795992" w:rsidP="008A04CC" w14:paraId="37B2010B" w14:textId="77777777">
            <w:pPr>
              <w:spacing w:after="0" w:line="240" w:lineRule="auto"/>
              <w:jc w:val="center"/>
              <w:rPr>
                <w:rFonts w:ascii="Times New Roman" w:eastAsia="Times New Roman" w:hAnsi="Times New Roman"/>
                <w:b/>
                <w:bCs/>
                <w:color w:val="000000"/>
                <w:sz w:val="20"/>
                <w:szCs w:val="20"/>
              </w:rPr>
            </w:pPr>
            <w:r w:rsidRPr="00795992">
              <w:rPr>
                <w:rFonts w:ascii="Times New Roman" w:eastAsia="Times New Roman" w:hAnsi="Times New Roman"/>
                <w:b/>
                <w:bCs/>
                <w:color w:val="000000"/>
                <w:sz w:val="20"/>
                <w:szCs w:val="20"/>
              </w:rPr>
              <w:t>TOTAL</w:t>
            </w:r>
          </w:p>
        </w:tc>
        <w:tc>
          <w:tcPr>
            <w:tcW w:w="2416" w:type="dxa"/>
            <w:tcBorders>
              <w:top w:val="nil"/>
              <w:left w:val="nil"/>
              <w:bottom w:val="single" w:sz="8" w:space="0" w:color="000000"/>
              <w:right w:val="single" w:sz="8" w:space="0" w:color="000000"/>
            </w:tcBorders>
            <w:shd w:val="clear" w:color="auto" w:fill="9CC2E5" w:themeFill="accent5" w:themeFillTint="99"/>
            <w:vAlign w:val="center"/>
            <w:hideMark/>
          </w:tcPr>
          <w:p w:rsidR="004D19E1" w:rsidRPr="000531C6" w:rsidP="008A04CC" w14:paraId="42DEE467" w14:textId="77777777">
            <w:pPr>
              <w:spacing w:after="0" w:line="240" w:lineRule="auto"/>
              <w:jc w:val="center"/>
              <w:rPr>
                <w:rFonts w:ascii="Times New Roman" w:eastAsia="Times New Roman" w:hAnsi="Times New Roman"/>
                <w:b/>
                <w:bCs/>
                <w:sz w:val="20"/>
                <w:szCs w:val="20"/>
              </w:rPr>
            </w:pPr>
            <w:r w:rsidRPr="000531C6">
              <w:rPr>
                <w:rFonts w:ascii="Times New Roman" w:eastAsia="Times New Roman" w:hAnsi="Times New Roman"/>
                <w:b/>
                <w:bCs/>
                <w:sz w:val="20"/>
                <w:szCs w:val="20"/>
              </w:rPr>
              <w:t>$43,439,901</w:t>
            </w:r>
          </w:p>
        </w:tc>
        <w:tc>
          <w:tcPr>
            <w:tcW w:w="2232" w:type="dxa"/>
            <w:tcBorders>
              <w:top w:val="nil"/>
              <w:left w:val="nil"/>
              <w:bottom w:val="single" w:sz="8" w:space="0" w:color="000000"/>
              <w:right w:val="single" w:sz="8" w:space="0" w:color="000000"/>
            </w:tcBorders>
            <w:shd w:val="clear" w:color="auto" w:fill="9CC2E5" w:themeFill="accent5" w:themeFillTint="99"/>
            <w:vAlign w:val="center"/>
            <w:hideMark/>
          </w:tcPr>
          <w:p w:rsidR="004D19E1" w:rsidRPr="000531C6" w:rsidP="008A04CC" w14:paraId="7BED2259" w14:textId="7809B350">
            <w:pPr>
              <w:spacing w:after="0" w:line="240" w:lineRule="auto"/>
              <w:jc w:val="center"/>
              <w:rPr>
                <w:rFonts w:ascii="Times New Roman" w:eastAsia="Times New Roman" w:hAnsi="Times New Roman"/>
                <w:b/>
                <w:bCs/>
                <w:sz w:val="20"/>
                <w:szCs w:val="20"/>
              </w:rPr>
            </w:pPr>
            <w:r w:rsidRPr="000531C6">
              <w:rPr>
                <w:rFonts w:ascii="Times New Roman" w:eastAsia="Times New Roman" w:hAnsi="Times New Roman"/>
                <w:b/>
                <w:bCs/>
                <w:sz w:val="20"/>
                <w:szCs w:val="20"/>
              </w:rPr>
              <w:t>$</w:t>
            </w:r>
            <w:r w:rsidR="00A61B44">
              <w:rPr>
                <w:rFonts w:ascii="Times New Roman" w:eastAsia="Times New Roman" w:hAnsi="Times New Roman"/>
                <w:b/>
                <w:bCs/>
                <w:sz w:val="20"/>
                <w:szCs w:val="20"/>
              </w:rPr>
              <w:t>54,470,426</w:t>
            </w:r>
            <w:r w:rsidRPr="000531C6">
              <w:rPr>
                <w:rFonts w:ascii="Times New Roman" w:eastAsia="Times New Roman" w:hAnsi="Times New Roman"/>
                <w:b/>
                <w:bCs/>
                <w:sz w:val="20"/>
                <w:szCs w:val="20"/>
              </w:rPr>
              <w:t xml:space="preserve"> </w:t>
            </w:r>
          </w:p>
        </w:tc>
        <w:tc>
          <w:tcPr>
            <w:tcW w:w="1336" w:type="dxa"/>
            <w:tcBorders>
              <w:top w:val="nil"/>
              <w:left w:val="nil"/>
              <w:bottom w:val="single" w:sz="8" w:space="0" w:color="000000"/>
              <w:right w:val="single" w:sz="8" w:space="0" w:color="000000"/>
            </w:tcBorders>
            <w:shd w:val="clear" w:color="auto" w:fill="9CC2E5" w:themeFill="accent5" w:themeFillTint="99"/>
            <w:vAlign w:val="center"/>
            <w:hideMark/>
          </w:tcPr>
          <w:p w:rsidR="004D19E1" w:rsidRPr="000531C6" w:rsidP="008A04CC" w14:paraId="534BB5DA" w14:textId="7A9A0F5C">
            <w:pPr>
              <w:spacing w:after="0" w:line="240" w:lineRule="auto"/>
              <w:jc w:val="center"/>
              <w:rPr>
                <w:rFonts w:ascii="Times New Roman" w:eastAsia="Times New Roman" w:hAnsi="Times New Roman"/>
                <w:b/>
                <w:bCs/>
                <w:sz w:val="20"/>
                <w:szCs w:val="20"/>
              </w:rPr>
            </w:pPr>
            <w:r w:rsidRPr="000531C6">
              <w:rPr>
                <w:rFonts w:ascii="Times New Roman" w:eastAsia="Times New Roman" w:hAnsi="Times New Roman"/>
                <w:b/>
                <w:bCs/>
                <w:sz w:val="20"/>
                <w:szCs w:val="20"/>
              </w:rPr>
              <w:t>$</w:t>
            </w:r>
            <w:r w:rsidR="00BB5422">
              <w:rPr>
                <w:rFonts w:ascii="Times New Roman" w:eastAsia="Times New Roman" w:hAnsi="Times New Roman"/>
                <w:b/>
                <w:bCs/>
                <w:sz w:val="20"/>
                <w:szCs w:val="20"/>
              </w:rPr>
              <w:t>11,030</w:t>
            </w:r>
            <w:r w:rsidR="001021DB">
              <w:rPr>
                <w:rFonts w:ascii="Times New Roman" w:eastAsia="Times New Roman" w:hAnsi="Times New Roman"/>
                <w:b/>
                <w:bCs/>
                <w:sz w:val="20"/>
                <w:szCs w:val="20"/>
              </w:rPr>
              <w:t>,</w:t>
            </w:r>
            <w:r w:rsidR="00BB5422">
              <w:rPr>
                <w:rFonts w:ascii="Times New Roman" w:eastAsia="Times New Roman" w:hAnsi="Times New Roman"/>
                <w:b/>
                <w:bCs/>
                <w:sz w:val="20"/>
                <w:szCs w:val="20"/>
              </w:rPr>
              <w:t>52</w:t>
            </w:r>
            <w:r w:rsidR="0089688C">
              <w:rPr>
                <w:rFonts w:ascii="Times New Roman" w:eastAsia="Times New Roman" w:hAnsi="Times New Roman"/>
                <w:b/>
                <w:bCs/>
                <w:sz w:val="20"/>
                <w:szCs w:val="20"/>
              </w:rPr>
              <w:t>5</w:t>
            </w:r>
          </w:p>
        </w:tc>
      </w:tr>
    </w:tbl>
    <w:p w:rsidR="00B70DAE" w:rsidRPr="00B70DAE" w:rsidP="00B70DAE" w14:paraId="4D355FDD" w14:textId="77777777">
      <w:pPr>
        <w:spacing w:after="0" w:line="240" w:lineRule="auto"/>
        <w:rPr>
          <w:rFonts w:ascii="Times New Roman" w:hAnsi="Times New Roman"/>
          <w:sz w:val="24"/>
          <w:szCs w:val="24"/>
          <w:lang w:val="en-JM"/>
        </w:rPr>
      </w:pPr>
    </w:p>
    <w:p w:rsidR="00B70DAE" w:rsidRPr="00B70DAE" w:rsidP="00B70DAE" w14:paraId="13AB773B" w14:textId="77777777">
      <w:pPr>
        <w:spacing w:after="0" w:line="240" w:lineRule="auto"/>
        <w:rPr>
          <w:rFonts w:ascii="Times New Roman" w:hAnsi="Times New Roman"/>
          <w:sz w:val="24"/>
          <w:szCs w:val="24"/>
          <w:highlight w:val="yellow"/>
          <w:lang w:val="en-JM"/>
        </w:rPr>
      </w:pPr>
    </w:p>
    <w:p w:rsidR="00B70DAE" w:rsidRPr="00B70DAE" w:rsidP="003E5FFE" w14:paraId="7F75F62D" w14:textId="356D8A9F">
      <w:pPr>
        <w:widowControl w:val="0"/>
        <w:autoSpaceDE w:val="0"/>
        <w:autoSpaceDN w:val="0"/>
        <w:adjustRightInd w:val="0"/>
        <w:spacing w:after="0" w:line="240" w:lineRule="auto"/>
        <w:contextualSpacing/>
        <w:rPr>
          <w:rFonts w:ascii="Times New Roman" w:eastAsia="Times New Roman" w:hAnsi="Times New Roman" w:cs="Shruti"/>
          <w:b/>
          <w:bCs/>
          <w:sz w:val="24"/>
          <w:szCs w:val="24"/>
        </w:rPr>
      </w:pPr>
      <w:r>
        <w:rPr>
          <w:rFonts w:ascii="Times New Roman" w:eastAsia="Times New Roman" w:hAnsi="Times New Roman" w:cs="Shruti"/>
          <w:b/>
          <w:bCs/>
          <w:sz w:val="24"/>
          <w:szCs w:val="24"/>
        </w:rPr>
        <w:t xml:space="preserve">14. </w:t>
      </w:r>
      <w:r w:rsidRPr="00B70DAE">
        <w:rPr>
          <w:rFonts w:ascii="Times New Roman" w:eastAsia="Times New Roman" w:hAnsi="Times New Roman" w:cs="Shruti"/>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70DAE" w:rsidRPr="00B70DAE" w:rsidP="00B70DAE" w14:paraId="6B7229BC" w14:textId="77777777">
      <w:pPr>
        <w:spacing w:after="0" w:line="240" w:lineRule="auto"/>
        <w:rPr>
          <w:rFonts w:ascii="Times New Roman" w:hAnsi="Times New Roman"/>
          <w:color w:val="000000"/>
          <w:sz w:val="24"/>
          <w:szCs w:val="24"/>
          <w:lang w:val="en-JM"/>
        </w:rPr>
      </w:pPr>
    </w:p>
    <w:p w:rsidR="00B70DAE" w:rsidRPr="00B70DAE" w:rsidP="003E5FFE" w14:paraId="15B80836" w14:textId="52810936">
      <w:pPr>
        <w:spacing w:after="0" w:afterAutospacing="1" w:line="240" w:lineRule="auto"/>
        <w:rPr>
          <w:rFonts w:ascii="Times New Roman" w:hAnsi="Times New Roman"/>
          <w:sz w:val="24"/>
          <w:szCs w:val="24"/>
        </w:rPr>
      </w:pPr>
      <w:r w:rsidRPr="00B70DAE">
        <w:rPr>
          <w:rFonts w:ascii="Times New Roman" w:hAnsi="Times New Roman"/>
          <w:sz w:val="24"/>
          <w:szCs w:val="24"/>
        </w:rPr>
        <w:t xml:space="preserve">There is no cost to the Federal government associated with this information collection request. The agency has no annualized cost associated with enforcing the Standard. OSHA would only review records in the context of an investigation </w:t>
      </w:r>
      <w:r w:rsidR="000319AD">
        <w:rPr>
          <w:rFonts w:ascii="Times New Roman" w:hAnsi="Times New Roman"/>
          <w:sz w:val="24"/>
          <w:szCs w:val="24"/>
        </w:rPr>
        <w:t>into a particular employer's</w:t>
      </w:r>
      <w:r w:rsidRPr="00B70DAE">
        <w:rPr>
          <w:rFonts w:ascii="Times New Roman" w:hAnsi="Times New Roman"/>
          <w:sz w:val="24"/>
          <w:szCs w:val="24"/>
        </w:rPr>
        <w:t xml:space="preserve"> compliance with the standard. These activities are outside the scope of the PRA (</w:t>
      </w:r>
      <w:r w:rsidRPr="00B70DAE">
        <w:rPr>
          <w:rFonts w:ascii="Times New Roman" w:hAnsi="Times New Roman"/>
          <w:i/>
          <w:iCs/>
          <w:sz w:val="24"/>
          <w:szCs w:val="24"/>
        </w:rPr>
        <w:t>See</w:t>
      </w:r>
      <w:r w:rsidRPr="00B70DAE">
        <w:rPr>
          <w:rFonts w:ascii="Times New Roman" w:hAnsi="Times New Roman"/>
          <w:sz w:val="24"/>
          <w:szCs w:val="24"/>
        </w:rPr>
        <w:t xml:space="preserve"> 5 CFR 1320.4(a)(2)).</w:t>
      </w:r>
    </w:p>
    <w:p w:rsidR="00B70DAE" w:rsidRPr="00B70DAE" w:rsidP="003E5FFE" w14:paraId="501FBD48" w14:textId="3B4B2F57">
      <w:pPr>
        <w:tabs>
          <w:tab w:val="left" w:pos="360"/>
          <w:tab w:val="left" w:pos="960"/>
          <w:tab w:val="left" w:pos="1560"/>
          <w:tab w:val="left" w:pos="2160"/>
          <w:tab w:val="left" w:pos="2760"/>
          <w:tab w:val="left" w:pos="3360"/>
          <w:tab w:val="left" w:pos="4080"/>
          <w:tab w:val="left" w:pos="4680"/>
          <w:tab w:val="left" w:pos="5280"/>
          <w:tab w:val="left" w:pos="5880"/>
        </w:tabs>
        <w:spacing w:line="240" w:lineRule="auto"/>
        <w:rPr>
          <w:rFonts w:ascii="Times New Roman" w:eastAsia="Times New Roman" w:hAnsi="Times New Roman"/>
          <w:sz w:val="24"/>
          <w:szCs w:val="24"/>
        </w:rPr>
      </w:pPr>
      <w:r w:rsidRPr="00B70DAE">
        <w:rPr>
          <w:rFonts w:ascii="Times New Roman" w:eastAsia="Times New Roman" w:hAnsi="Times New Roman"/>
          <w:color w:val="000000" w:themeColor="text1"/>
          <w:sz w:val="24"/>
          <w:szCs w:val="24"/>
        </w:rPr>
        <w:t xml:space="preserve">Furthermore, while NIOSH may use information collected from employers for research purposes, the agency does not anticipate that </w:t>
      </w:r>
      <w:r w:rsidR="009E4706">
        <w:rPr>
          <w:rFonts w:ascii="Times New Roman" w:eastAsia="Times New Roman" w:hAnsi="Times New Roman"/>
          <w:color w:val="000000" w:themeColor="text1"/>
          <w:sz w:val="24"/>
          <w:szCs w:val="24"/>
        </w:rPr>
        <w:t xml:space="preserve">it will request employers to make information available </w:t>
      </w:r>
      <w:r w:rsidRPr="00B70DAE">
        <w:rPr>
          <w:rFonts w:ascii="Times New Roman" w:eastAsia="Times New Roman" w:hAnsi="Times New Roman"/>
          <w:color w:val="000000" w:themeColor="text1"/>
          <w:sz w:val="24"/>
          <w:szCs w:val="24"/>
        </w:rPr>
        <w:t>during the approval period. Therefore, the burden for the employer is zero.</w:t>
      </w:r>
    </w:p>
    <w:p w:rsidR="00B70DAE" w:rsidP="003E5FFE" w14:paraId="6CAD5FCD" w14:textId="0D9433DA">
      <w:pPr>
        <w:spacing w:after="20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15. </w:t>
      </w:r>
      <w:r w:rsidRPr="00B70DAE">
        <w:rPr>
          <w:rFonts w:ascii="Times New Roman" w:eastAsia="Calibri" w:hAnsi="Times New Roman" w:cs="Times New Roman"/>
          <w:b/>
          <w:bCs/>
          <w:sz w:val="24"/>
          <w:szCs w:val="24"/>
        </w:rPr>
        <w:t>Explain the reasons for any program changes or adjustments.</w:t>
      </w:r>
    </w:p>
    <w:p w:rsidR="007D5F9F" w:rsidRPr="00B70DAE" w:rsidP="003E5FFE" w14:paraId="386135C7" w14:textId="77777777">
      <w:pPr>
        <w:spacing w:after="200" w:line="240" w:lineRule="auto"/>
        <w:contextualSpacing/>
        <w:rPr>
          <w:rFonts w:ascii="Times New Roman" w:eastAsia="Calibri" w:hAnsi="Times New Roman" w:cs="Times New Roman"/>
          <w:b/>
          <w:bCs/>
          <w:sz w:val="24"/>
          <w:szCs w:val="24"/>
        </w:rPr>
      </w:pPr>
    </w:p>
    <w:p w:rsidR="007D5F9F" w:rsidP="007D5F9F" w14:paraId="6EF1D801" w14:textId="6A9D10EC">
      <w:pPr>
        <w:spacing w:after="0" w:line="240" w:lineRule="auto"/>
        <w:rPr>
          <w:rFonts w:ascii="Times New Roman" w:hAnsi="Times New Roman"/>
          <w:sz w:val="24"/>
          <w:szCs w:val="24"/>
        </w:rPr>
      </w:pPr>
      <w:r w:rsidRPr="00086FA7">
        <w:rPr>
          <w:rFonts w:ascii="Times New Roman" w:hAnsi="Times New Roman"/>
          <w:sz w:val="24"/>
          <w:szCs w:val="24"/>
        </w:rPr>
        <w:t xml:space="preserve">The agency is requesting an adjustment increase of </w:t>
      </w:r>
      <w:r>
        <w:rPr>
          <w:rFonts w:ascii="Times New Roman" w:hAnsi="Times New Roman"/>
          <w:sz w:val="24"/>
          <w:szCs w:val="24"/>
        </w:rPr>
        <w:t>77,</w:t>
      </w:r>
      <w:r w:rsidR="00D307A6">
        <w:rPr>
          <w:rFonts w:ascii="Times New Roman" w:hAnsi="Times New Roman"/>
          <w:sz w:val="24"/>
          <w:szCs w:val="24"/>
        </w:rPr>
        <w:t>392</w:t>
      </w:r>
      <w:r w:rsidRPr="00086FA7">
        <w:rPr>
          <w:rFonts w:ascii="Times New Roman" w:hAnsi="Times New Roman"/>
          <w:sz w:val="24"/>
          <w:szCs w:val="24"/>
        </w:rPr>
        <w:t xml:space="preserve"> burden hours</w:t>
      </w:r>
      <w:r w:rsidR="005D4E49">
        <w:rPr>
          <w:rFonts w:ascii="Times New Roman" w:hAnsi="Times New Roman"/>
          <w:sz w:val="24"/>
          <w:szCs w:val="24"/>
        </w:rPr>
        <w:t xml:space="preserve">, </w:t>
      </w:r>
      <w:r w:rsidRPr="00086FA7">
        <w:rPr>
          <w:rFonts w:ascii="Times New Roman" w:hAnsi="Times New Roman"/>
          <w:sz w:val="24"/>
          <w:szCs w:val="24"/>
        </w:rPr>
        <w:t>from 429,</w:t>
      </w:r>
      <w:r>
        <w:rPr>
          <w:rFonts w:ascii="Times New Roman" w:hAnsi="Times New Roman"/>
          <w:sz w:val="24"/>
          <w:szCs w:val="24"/>
        </w:rPr>
        <w:t>293</w:t>
      </w:r>
      <w:r w:rsidRPr="00086FA7">
        <w:rPr>
          <w:rFonts w:ascii="Times New Roman" w:hAnsi="Times New Roman"/>
          <w:sz w:val="24"/>
          <w:szCs w:val="24"/>
        </w:rPr>
        <w:t xml:space="preserve"> to </w:t>
      </w:r>
      <w:r w:rsidRPr="00B92220">
        <w:rPr>
          <w:rFonts w:ascii="Times New Roman" w:hAnsi="Times New Roman"/>
          <w:sz w:val="24"/>
          <w:szCs w:val="24"/>
        </w:rPr>
        <w:t>506,</w:t>
      </w:r>
      <w:r w:rsidR="003901C2">
        <w:rPr>
          <w:rFonts w:ascii="Times New Roman" w:hAnsi="Times New Roman"/>
          <w:sz w:val="24"/>
          <w:szCs w:val="24"/>
        </w:rPr>
        <w:t>685</w:t>
      </w:r>
      <w:r w:rsidRPr="00086FA7">
        <w:rPr>
          <w:rFonts w:ascii="Times New Roman" w:hAnsi="Times New Roman"/>
          <w:sz w:val="24"/>
          <w:szCs w:val="24"/>
        </w:rPr>
        <w:t xml:space="preserve"> burden hours</w:t>
      </w:r>
      <w:r w:rsidRPr="004A4785">
        <w:rPr>
          <w:rFonts w:ascii="Times New Roman" w:hAnsi="Times New Roman"/>
          <w:sz w:val="24"/>
          <w:szCs w:val="24"/>
        </w:rPr>
        <w:t xml:space="preserve">. The </w:t>
      </w:r>
      <w:r w:rsidR="00396EE0">
        <w:rPr>
          <w:rFonts w:ascii="Times New Roman" w:hAnsi="Times New Roman"/>
          <w:sz w:val="24"/>
          <w:szCs w:val="24"/>
        </w:rPr>
        <w:t>increase is due to</w:t>
      </w:r>
      <w:r w:rsidR="008F2015">
        <w:rPr>
          <w:rFonts w:ascii="Times New Roman" w:hAnsi="Times New Roman"/>
          <w:sz w:val="24"/>
          <w:szCs w:val="24"/>
        </w:rPr>
        <w:t xml:space="preserve"> </w:t>
      </w:r>
      <w:r w:rsidRPr="004A4785">
        <w:rPr>
          <w:rFonts w:ascii="Times New Roman" w:hAnsi="Times New Roman"/>
          <w:sz w:val="24"/>
          <w:szCs w:val="24"/>
        </w:rPr>
        <w:t>an overall increase in the number of establishments</w:t>
      </w:r>
      <w:r w:rsidRPr="00AC7A22" w:rsidR="00AC7A22">
        <w:rPr>
          <w:rFonts w:ascii="Times New Roman" w:hAnsi="Times New Roman"/>
          <w:sz w:val="24"/>
          <w:szCs w:val="24"/>
        </w:rPr>
        <w:t xml:space="preserve"> </w:t>
      </w:r>
      <w:r w:rsidRPr="004A4785" w:rsidR="00AC7A22">
        <w:rPr>
          <w:rFonts w:ascii="Times New Roman" w:hAnsi="Times New Roman"/>
          <w:sz w:val="24"/>
          <w:szCs w:val="24"/>
        </w:rPr>
        <w:t>covered</w:t>
      </w:r>
      <w:r w:rsidRPr="004A4785">
        <w:rPr>
          <w:rFonts w:ascii="Times New Roman" w:hAnsi="Times New Roman"/>
          <w:sz w:val="24"/>
          <w:szCs w:val="24"/>
        </w:rPr>
        <w:t xml:space="preserve"> in </w:t>
      </w:r>
      <w:r w:rsidR="00FC0562">
        <w:rPr>
          <w:rFonts w:ascii="Times New Roman" w:hAnsi="Times New Roman"/>
          <w:sz w:val="24"/>
          <w:szCs w:val="24"/>
        </w:rPr>
        <w:t xml:space="preserve">the </w:t>
      </w:r>
      <w:r w:rsidRPr="004A4785">
        <w:rPr>
          <w:rFonts w:ascii="Times New Roman" w:hAnsi="Times New Roman"/>
          <w:sz w:val="24"/>
          <w:szCs w:val="24"/>
        </w:rPr>
        <w:t>specific industry sectors. In addition</w:t>
      </w:r>
      <w:r w:rsidRPr="004E1A3E">
        <w:rPr>
          <w:rFonts w:ascii="Times New Roman" w:hAnsi="Times New Roman"/>
          <w:sz w:val="24"/>
          <w:szCs w:val="24"/>
        </w:rPr>
        <w:t xml:space="preserve">, there is an estimated </w:t>
      </w:r>
      <w:r w:rsidRPr="00B92220">
        <w:rPr>
          <w:rFonts w:ascii="Times New Roman" w:hAnsi="Times New Roman"/>
          <w:sz w:val="24"/>
          <w:szCs w:val="24"/>
        </w:rPr>
        <w:t>increase</w:t>
      </w:r>
      <w:r w:rsidRPr="004E1A3E">
        <w:rPr>
          <w:rFonts w:ascii="Times New Roman" w:hAnsi="Times New Roman"/>
          <w:sz w:val="24"/>
          <w:szCs w:val="24"/>
        </w:rPr>
        <w:t xml:space="preserve"> of $</w:t>
      </w:r>
      <w:r w:rsidRPr="00B92220">
        <w:rPr>
          <w:rFonts w:ascii="Times New Roman" w:hAnsi="Times New Roman"/>
          <w:sz w:val="24"/>
          <w:szCs w:val="24"/>
        </w:rPr>
        <w:t>1</w:t>
      </w:r>
      <w:r w:rsidR="00C637FB">
        <w:rPr>
          <w:rFonts w:ascii="Times New Roman" w:hAnsi="Times New Roman"/>
          <w:sz w:val="24"/>
          <w:szCs w:val="24"/>
        </w:rPr>
        <w:t>1,030,52</w:t>
      </w:r>
      <w:r w:rsidR="00E257DB">
        <w:rPr>
          <w:rFonts w:ascii="Times New Roman" w:hAnsi="Times New Roman"/>
          <w:sz w:val="24"/>
          <w:szCs w:val="24"/>
        </w:rPr>
        <w:t>5</w:t>
      </w:r>
      <w:r w:rsidRPr="004E1A3E">
        <w:rPr>
          <w:rFonts w:ascii="Times New Roman" w:hAnsi="Times New Roman"/>
          <w:sz w:val="24"/>
          <w:szCs w:val="24"/>
        </w:rPr>
        <w:t xml:space="preserve"> in operation and maintenance costs from $43,439,901</w:t>
      </w:r>
      <w:r w:rsidRPr="00B92220">
        <w:rPr>
          <w:rFonts w:ascii="Times New Roman" w:hAnsi="Times New Roman"/>
          <w:sz w:val="24"/>
          <w:szCs w:val="24"/>
        </w:rPr>
        <w:t xml:space="preserve"> to $5</w:t>
      </w:r>
      <w:r w:rsidR="00D74F61">
        <w:rPr>
          <w:rFonts w:ascii="Times New Roman" w:hAnsi="Times New Roman"/>
          <w:sz w:val="24"/>
          <w:szCs w:val="24"/>
        </w:rPr>
        <w:t>4,470,426</w:t>
      </w:r>
      <w:r w:rsidRPr="008635B8">
        <w:rPr>
          <w:rFonts w:ascii="Times New Roman" w:hAnsi="Times New Roman"/>
          <w:sz w:val="24"/>
          <w:szCs w:val="24"/>
        </w:rPr>
        <w:t xml:space="preserve">. The </w:t>
      </w:r>
      <w:r w:rsidRPr="00B92220">
        <w:rPr>
          <w:rFonts w:ascii="Times New Roman" w:hAnsi="Times New Roman"/>
          <w:sz w:val="24"/>
          <w:szCs w:val="24"/>
        </w:rPr>
        <w:t>increase</w:t>
      </w:r>
      <w:r w:rsidRPr="008635B8">
        <w:rPr>
          <w:rFonts w:ascii="Times New Roman" w:hAnsi="Times New Roman"/>
          <w:sz w:val="24"/>
          <w:szCs w:val="24"/>
        </w:rPr>
        <w:t xml:space="preserve"> in these costs was due t</w:t>
      </w:r>
      <w:r>
        <w:rPr>
          <w:rFonts w:ascii="Times New Roman" w:hAnsi="Times New Roman"/>
          <w:sz w:val="24"/>
          <w:szCs w:val="24"/>
        </w:rPr>
        <w:t xml:space="preserve">o </w:t>
      </w:r>
      <w:r w:rsidRPr="00B92220">
        <w:rPr>
          <w:rFonts w:ascii="Times New Roman" w:hAnsi="Times New Roman"/>
          <w:sz w:val="24"/>
          <w:szCs w:val="24"/>
        </w:rPr>
        <w:t>higher</w:t>
      </w:r>
      <w:r w:rsidRPr="008635B8">
        <w:rPr>
          <w:rFonts w:ascii="Times New Roman" w:hAnsi="Times New Roman"/>
          <w:sz w:val="24"/>
          <w:szCs w:val="24"/>
        </w:rPr>
        <w:t xml:space="preserve"> </w:t>
      </w:r>
      <w:r w:rsidRPr="00B92220">
        <w:rPr>
          <w:rFonts w:ascii="Times New Roman" w:hAnsi="Times New Roman"/>
          <w:sz w:val="24"/>
          <w:szCs w:val="24"/>
        </w:rPr>
        <w:t>medical costs</w:t>
      </w:r>
      <w:r w:rsidRPr="008635B8">
        <w:rPr>
          <w:rFonts w:ascii="Times New Roman" w:hAnsi="Times New Roman"/>
          <w:sz w:val="24"/>
          <w:szCs w:val="24"/>
        </w:rPr>
        <w:t xml:space="preserve">. </w:t>
      </w:r>
    </w:p>
    <w:p w:rsidR="00471EF6" w:rsidP="003E5FFE" w14:paraId="0F532A7F" w14:textId="77777777">
      <w:pPr>
        <w:spacing w:after="0" w:line="240" w:lineRule="auto"/>
        <w:outlineLvl w:val="0"/>
        <w:rPr>
          <w:rFonts w:ascii="Times New Roman" w:hAnsi="Times New Roman"/>
          <w:b/>
          <w:sz w:val="24"/>
          <w:szCs w:val="24"/>
          <w:lang w:val="en-JM"/>
        </w:rPr>
      </w:pPr>
    </w:p>
    <w:p w:rsidR="000B0B8F" w:rsidRPr="00882CE7" w:rsidP="000B0B8F" w14:paraId="75EAA25F" w14:textId="29ED4A96">
      <w:pPr>
        <w:spacing w:after="0" w:line="240" w:lineRule="auto"/>
        <w:jc w:val="center"/>
        <w:outlineLvl w:val="0"/>
        <w:rPr>
          <w:rFonts w:ascii="Times New Roman" w:hAnsi="Times New Roman"/>
          <w:b/>
          <w:sz w:val="24"/>
          <w:szCs w:val="24"/>
          <w:lang w:val="en-JM"/>
        </w:rPr>
      </w:pPr>
      <w:r w:rsidRPr="00882CE7">
        <w:rPr>
          <w:rFonts w:ascii="Times New Roman" w:hAnsi="Times New Roman"/>
          <w:b/>
          <w:sz w:val="24"/>
          <w:szCs w:val="24"/>
          <w:lang w:val="en-JM"/>
        </w:rPr>
        <w:t xml:space="preserve">Table </w:t>
      </w:r>
      <w:r>
        <w:rPr>
          <w:rFonts w:ascii="Times New Roman" w:hAnsi="Times New Roman"/>
          <w:b/>
          <w:sz w:val="24"/>
          <w:szCs w:val="24"/>
          <w:lang w:val="en-JM"/>
        </w:rPr>
        <w:t>4</w:t>
      </w:r>
      <w:r w:rsidRPr="00882CE7">
        <w:rPr>
          <w:rFonts w:ascii="Times New Roman" w:hAnsi="Times New Roman"/>
          <w:b/>
          <w:sz w:val="24"/>
          <w:szCs w:val="24"/>
          <w:lang w:val="en-JM"/>
        </w:rPr>
        <w:t xml:space="preserve"> </w:t>
      </w:r>
      <w:r>
        <w:rPr>
          <w:rFonts w:ascii="Times New Roman" w:hAnsi="Times New Roman"/>
          <w:b/>
          <w:sz w:val="24"/>
          <w:szCs w:val="24"/>
          <w:lang w:val="en-JM"/>
        </w:rPr>
        <w:t>–</w:t>
      </w:r>
      <w:r w:rsidRPr="00882CE7">
        <w:rPr>
          <w:rFonts w:ascii="Times New Roman" w:hAnsi="Times New Roman"/>
          <w:b/>
          <w:sz w:val="24"/>
          <w:szCs w:val="24"/>
          <w:lang w:val="en-JM"/>
        </w:rPr>
        <w:t xml:space="preserve"> </w:t>
      </w:r>
      <w:r>
        <w:rPr>
          <w:rFonts w:ascii="Times New Roman" w:hAnsi="Times New Roman"/>
          <w:b/>
          <w:sz w:val="24"/>
          <w:szCs w:val="24"/>
          <w:lang w:val="en-JM"/>
        </w:rPr>
        <w:t>Summary of Burden Adjustments</w:t>
      </w:r>
    </w:p>
    <w:p w:rsidR="000B0B8F" w:rsidP="000B0B8F" w14:paraId="45641032" w14:textId="77777777">
      <w:pPr>
        <w:spacing w:after="0" w:line="240" w:lineRule="auto"/>
        <w:outlineLvl w:val="0"/>
        <w:rPr>
          <w:rFonts w:ascii="Times New Roman" w:hAnsi="Times New Roman"/>
          <w:sz w:val="24"/>
          <w:szCs w:val="24"/>
          <w:lang w:val="en-J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7"/>
        <w:gridCol w:w="1489"/>
        <w:gridCol w:w="1459"/>
        <w:gridCol w:w="1375"/>
      </w:tblGrid>
      <w:tr w14:paraId="7B7B65CD" w14:textId="77777777" w:rsidTr="003E5F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0"/>
          <w:tblHeader/>
          <w:jc w:val="center"/>
        </w:trPr>
        <w:tc>
          <w:tcPr>
            <w:tcW w:w="5027" w:type="dxa"/>
            <w:shd w:val="clear" w:color="auto" w:fill="00B0F0"/>
            <w:hideMark/>
          </w:tcPr>
          <w:p w:rsidR="000B0B8F" w:rsidRPr="004F447F" w:rsidP="003E5FFE" w14:paraId="2ACE2768" w14:textId="77777777">
            <w:pPr>
              <w:spacing w:after="0" w:line="240" w:lineRule="auto"/>
              <w:jc w:val="center"/>
              <w:outlineLvl w:val="0"/>
              <w:rPr>
                <w:rFonts w:ascii="Times New Roman" w:hAnsi="Times New Roman"/>
                <w:b/>
                <w:bCs/>
                <w:sz w:val="20"/>
                <w:szCs w:val="20"/>
              </w:rPr>
            </w:pPr>
            <w:r w:rsidRPr="004F447F">
              <w:rPr>
                <w:rFonts w:ascii="Times New Roman" w:hAnsi="Times New Roman"/>
                <w:b/>
                <w:bCs/>
                <w:sz w:val="20"/>
                <w:szCs w:val="20"/>
              </w:rPr>
              <w:t>Collection of Information</w:t>
            </w:r>
          </w:p>
        </w:tc>
        <w:tc>
          <w:tcPr>
            <w:tcW w:w="1489" w:type="dxa"/>
            <w:shd w:val="clear" w:color="auto" w:fill="00B0F0"/>
            <w:vAlign w:val="center"/>
            <w:hideMark/>
          </w:tcPr>
          <w:p w:rsidR="000B0B8F" w:rsidRPr="004F447F" w:rsidP="008A04CC" w14:paraId="41CA8112" w14:textId="0B6815DA">
            <w:pPr>
              <w:spacing w:after="0" w:line="240" w:lineRule="auto"/>
              <w:jc w:val="center"/>
              <w:outlineLvl w:val="0"/>
              <w:rPr>
                <w:rFonts w:ascii="Times New Roman" w:hAnsi="Times New Roman"/>
                <w:b/>
                <w:bCs/>
                <w:sz w:val="20"/>
                <w:szCs w:val="20"/>
              </w:rPr>
            </w:pPr>
            <w:r w:rsidRPr="004F447F">
              <w:rPr>
                <w:rFonts w:ascii="Times New Roman" w:hAnsi="Times New Roman"/>
                <w:b/>
                <w:bCs/>
                <w:sz w:val="20"/>
                <w:szCs w:val="20"/>
              </w:rPr>
              <w:t>Current Burden Hours</w:t>
            </w:r>
          </w:p>
        </w:tc>
        <w:tc>
          <w:tcPr>
            <w:tcW w:w="1459" w:type="dxa"/>
            <w:shd w:val="clear" w:color="auto" w:fill="00B0F0"/>
            <w:vAlign w:val="center"/>
            <w:hideMark/>
          </w:tcPr>
          <w:p w:rsidR="000B0B8F" w:rsidRPr="004F447F" w:rsidP="008A04CC" w14:paraId="10C66389" w14:textId="2BE645AD">
            <w:pPr>
              <w:spacing w:after="0" w:line="240" w:lineRule="auto"/>
              <w:jc w:val="center"/>
              <w:outlineLvl w:val="0"/>
              <w:rPr>
                <w:rFonts w:ascii="Times New Roman" w:hAnsi="Times New Roman"/>
                <w:b/>
                <w:bCs/>
                <w:sz w:val="20"/>
                <w:szCs w:val="20"/>
              </w:rPr>
            </w:pPr>
            <w:r>
              <w:rPr>
                <w:rFonts w:ascii="Times New Roman" w:hAnsi="Times New Roman"/>
                <w:b/>
                <w:bCs/>
                <w:sz w:val="20"/>
                <w:szCs w:val="20"/>
              </w:rPr>
              <w:t>Request</w:t>
            </w:r>
            <w:r w:rsidR="00B4359E">
              <w:rPr>
                <w:rFonts w:ascii="Times New Roman" w:hAnsi="Times New Roman"/>
                <w:b/>
                <w:bCs/>
                <w:sz w:val="20"/>
                <w:szCs w:val="20"/>
              </w:rPr>
              <w:t>ed</w:t>
            </w:r>
            <w:r w:rsidR="00C36DDA">
              <w:rPr>
                <w:rFonts w:ascii="Times New Roman" w:hAnsi="Times New Roman"/>
                <w:b/>
                <w:bCs/>
                <w:sz w:val="20"/>
                <w:szCs w:val="20"/>
              </w:rPr>
              <w:t xml:space="preserve"> </w:t>
            </w:r>
            <w:r w:rsidRPr="004F447F">
              <w:rPr>
                <w:rFonts w:ascii="Times New Roman" w:hAnsi="Times New Roman"/>
                <w:b/>
                <w:bCs/>
                <w:sz w:val="20"/>
                <w:szCs w:val="20"/>
              </w:rPr>
              <w:t>Burden Hours</w:t>
            </w:r>
          </w:p>
        </w:tc>
        <w:tc>
          <w:tcPr>
            <w:tcW w:w="1375" w:type="dxa"/>
            <w:shd w:val="clear" w:color="auto" w:fill="00B0F0"/>
            <w:vAlign w:val="center"/>
            <w:hideMark/>
          </w:tcPr>
          <w:p w:rsidR="000B0B8F" w:rsidRPr="004F447F" w:rsidP="008A04CC" w14:paraId="25E54A00" w14:textId="77777777">
            <w:pPr>
              <w:spacing w:after="0" w:line="240" w:lineRule="auto"/>
              <w:jc w:val="center"/>
              <w:outlineLvl w:val="0"/>
              <w:rPr>
                <w:rFonts w:ascii="Times New Roman" w:hAnsi="Times New Roman"/>
                <w:b/>
                <w:bCs/>
                <w:sz w:val="20"/>
                <w:szCs w:val="20"/>
              </w:rPr>
            </w:pPr>
            <w:r w:rsidRPr="004F447F">
              <w:rPr>
                <w:rFonts w:ascii="Times New Roman" w:hAnsi="Times New Roman"/>
                <w:b/>
                <w:bCs/>
                <w:sz w:val="20"/>
                <w:szCs w:val="20"/>
              </w:rPr>
              <w:t>Adjustment</w:t>
            </w:r>
          </w:p>
        </w:tc>
      </w:tr>
      <w:tr w14:paraId="1654BF1C" w14:textId="77777777" w:rsidTr="003E5FFE">
        <w:tblPrEx>
          <w:tblW w:w="0" w:type="auto"/>
          <w:jc w:val="center"/>
          <w:tblLook w:val="04A0"/>
        </w:tblPrEx>
        <w:trPr>
          <w:trHeight w:val="270"/>
          <w:jc w:val="center"/>
        </w:trPr>
        <w:tc>
          <w:tcPr>
            <w:tcW w:w="9350" w:type="dxa"/>
            <w:gridSpan w:val="4"/>
            <w:shd w:val="clear" w:color="auto" w:fill="DEEBF6" w:themeFill="accent5" w:themeFillTint="33"/>
            <w:noWrap/>
            <w:hideMark/>
          </w:tcPr>
          <w:p w:rsidR="000B0B8F" w:rsidRPr="004F447F" w:rsidP="008A04CC" w14:paraId="1213A2AF" w14:textId="77777777">
            <w:pPr>
              <w:spacing w:after="0" w:line="240" w:lineRule="auto"/>
              <w:outlineLvl w:val="0"/>
              <w:rPr>
                <w:rFonts w:ascii="Times New Roman" w:hAnsi="Times New Roman"/>
                <w:b/>
                <w:bCs/>
                <w:sz w:val="20"/>
                <w:szCs w:val="20"/>
              </w:rPr>
            </w:pPr>
            <w:r w:rsidRPr="004F447F">
              <w:rPr>
                <w:rFonts w:ascii="Times New Roman" w:hAnsi="Times New Roman"/>
                <w:b/>
                <w:bCs/>
                <w:sz w:val="20"/>
                <w:szCs w:val="20"/>
              </w:rPr>
              <w:t xml:space="preserve">A. </w:t>
            </w:r>
            <w:r w:rsidRPr="003E5FFE">
              <w:rPr>
                <w:rFonts w:ascii="Times New Roman" w:hAnsi="Times New Roman"/>
                <w:b/>
                <w:bCs/>
                <w:sz w:val="20"/>
                <w:szCs w:val="20"/>
                <w:shd w:val="clear" w:color="auto" w:fill="DEEAF6" w:themeFill="accent5" w:themeFillTint="33"/>
              </w:rPr>
              <w:t>Exposure Determination (paragraph (d) of §§ 1910.1026, 1915.1026, and 1926.1126)</w:t>
            </w:r>
          </w:p>
        </w:tc>
      </w:tr>
      <w:tr w14:paraId="0FE496AC"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0B0B8F" w:rsidRPr="004F447F" w:rsidP="008A04CC" w14:paraId="4C345D1A" w14:textId="77777777">
            <w:pPr>
              <w:spacing w:after="0" w:line="240" w:lineRule="auto"/>
              <w:outlineLvl w:val="0"/>
              <w:rPr>
                <w:rFonts w:ascii="Times New Roman" w:hAnsi="Times New Roman"/>
                <w:b/>
                <w:bCs/>
                <w:sz w:val="20"/>
                <w:szCs w:val="20"/>
              </w:rPr>
            </w:pPr>
            <w:r w:rsidRPr="004F447F">
              <w:rPr>
                <w:rFonts w:ascii="Times New Roman" w:hAnsi="Times New Roman"/>
                <w:b/>
                <w:bCs/>
                <w:sz w:val="20"/>
                <w:szCs w:val="20"/>
              </w:rPr>
              <w:t>1</w:t>
            </w:r>
            <w:r w:rsidRPr="003E5FFE">
              <w:rPr>
                <w:rFonts w:ascii="Times New Roman" w:hAnsi="Times New Roman"/>
                <w:b/>
                <w:bCs/>
                <w:sz w:val="20"/>
                <w:szCs w:val="20"/>
                <w:shd w:val="clear" w:color="auto" w:fill="B4C6E7" w:themeFill="accent1" w:themeFillTint="66"/>
              </w:rPr>
              <w:t>. Scheduled Monitoring Option:  Semi-Annual Exposure Monitoring (paragraph (d)(2)(iii) of §§ 1910.1026, 1915.1026, and 1926.1126)</w:t>
            </w:r>
          </w:p>
        </w:tc>
      </w:tr>
      <w:tr w14:paraId="5F53EA9F" w14:textId="77777777" w:rsidTr="003E5FFE">
        <w:tblPrEx>
          <w:tblW w:w="0" w:type="auto"/>
          <w:jc w:val="center"/>
          <w:tblLook w:val="04A0"/>
        </w:tblPrEx>
        <w:trPr>
          <w:trHeight w:val="476"/>
          <w:jc w:val="center"/>
        </w:trPr>
        <w:tc>
          <w:tcPr>
            <w:tcW w:w="5027" w:type="dxa"/>
            <w:hideMark/>
          </w:tcPr>
          <w:p w:rsidR="000B0B8F" w:rsidRPr="004F447F" w:rsidP="008A04CC" w14:paraId="4F75115C"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Conduct Semi-Annual Exposure Monitoring (Table 3)</w:t>
            </w:r>
          </w:p>
        </w:tc>
        <w:tc>
          <w:tcPr>
            <w:tcW w:w="1489" w:type="dxa"/>
            <w:vAlign w:val="center"/>
            <w:hideMark/>
          </w:tcPr>
          <w:p w:rsidR="000B0B8F" w:rsidRPr="004F447F" w:rsidP="008A04CC" w14:paraId="5927DE32"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4,5</w:t>
            </w:r>
            <w:r>
              <w:rPr>
                <w:rFonts w:ascii="Times New Roman" w:hAnsi="Times New Roman"/>
                <w:sz w:val="20"/>
                <w:szCs w:val="20"/>
              </w:rPr>
              <w:t>62</w:t>
            </w:r>
          </w:p>
        </w:tc>
        <w:tc>
          <w:tcPr>
            <w:tcW w:w="1459" w:type="dxa"/>
            <w:vAlign w:val="center"/>
            <w:hideMark/>
          </w:tcPr>
          <w:p w:rsidR="000B0B8F" w:rsidRPr="004F447F" w:rsidP="008A04CC" w14:paraId="698413F4" w14:textId="3C0BB538">
            <w:pPr>
              <w:spacing w:after="0" w:line="240" w:lineRule="auto"/>
              <w:jc w:val="right"/>
              <w:outlineLvl w:val="0"/>
              <w:rPr>
                <w:rFonts w:ascii="Times New Roman" w:hAnsi="Times New Roman"/>
                <w:sz w:val="20"/>
                <w:szCs w:val="20"/>
              </w:rPr>
            </w:pPr>
            <w:r>
              <w:rPr>
                <w:rFonts w:ascii="Times New Roman" w:hAnsi="Times New Roman"/>
                <w:sz w:val="20"/>
                <w:szCs w:val="20"/>
              </w:rPr>
              <w:t>5,</w:t>
            </w:r>
            <w:r w:rsidR="005734D8">
              <w:rPr>
                <w:rFonts w:ascii="Times New Roman" w:hAnsi="Times New Roman"/>
                <w:sz w:val="20"/>
                <w:szCs w:val="20"/>
              </w:rPr>
              <w:t>333</w:t>
            </w:r>
          </w:p>
        </w:tc>
        <w:tc>
          <w:tcPr>
            <w:tcW w:w="1375" w:type="dxa"/>
            <w:vAlign w:val="center"/>
            <w:hideMark/>
          </w:tcPr>
          <w:p w:rsidR="000B0B8F" w:rsidRPr="004F447F" w:rsidP="008A04CC" w14:paraId="0AFE7825" w14:textId="2834081A">
            <w:pPr>
              <w:spacing w:after="0" w:line="240" w:lineRule="auto"/>
              <w:jc w:val="right"/>
              <w:outlineLvl w:val="0"/>
              <w:rPr>
                <w:rFonts w:ascii="Times New Roman" w:hAnsi="Times New Roman"/>
                <w:sz w:val="20"/>
                <w:szCs w:val="20"/>
              </w:rPr>
            </w:pPr>
            <w:r>
              <w:rPr>
                <w:rFonts w:ascii="Times New Roman" w:hAnsi="Times New Roman"/>
                <w:sz w:val="20"/>
                <w:szCs w:val="20"/>
              </w:rPr>
              <w:t>771</w:t>
            </w:r>
          </w:p>
        </w:tc>
      </w:tr>
      <w:tr w14:paraId="4F973CF5"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ED4308" w:rsidRPr="003E5FFE" w:rsidP="003E5FFE" w14:paraId="595C9399" w14:textId="168D6807">
            <w:pPr>
              <w:spacing w:after="0" w:line="240" w:lineRule="auto"/>
              <w:outlineLvl w:val="0"/>
              <w:rPr>
                <w:rFonts w:ascii="Times New Roman" w:hAnsi="Times New Roman"/>
                <w:b/>
                <w:bCs/>
                <w:sz w:val="20"/>
                <w:szCs w:val="20"/>
              </w:rPr>
            </w:pPr>
            <w:r w:rsidRPr="004F447F">
              <w:rPr>
                <w:rFonts w:ascii="Times New Roman" w:hAnsi="Times New Roman"/>
                <w:b/>
                <w:bCs/>
                <w:sz w:val="20"/>
                <w:szCs w:val="20"/>
              </w:rPr>
              <w:t>2. Scheduled Monitoring Option:  Quarterly Exposure Monitoring (paragraph (d)(2)(iv) of §§ 1910.1026,  1915.1026, and 1926.1126) </w:t>
            </w:r>
          </w:p>
        </w:tc>
      </w:tr>
      <w:tr w14:paraId="57965CBA" w14:textId="77777777" w:rsidTr="0003780B">
        <w:tblPrEx>
          <w:tblW w:w="0" w:type="auto"/>
          <w:jc w:val="center"/>
          <w:tblLook w:val="04A0"/>
        </w:tblPrEx>
        <w:trPr>
          <w:trHeight w:val="530"/>
          <w:jc w:val="center"/>
        </w:trPr>
        <w:tc>
          <w:tcPr>
            <w:tcW w:w="5027" w:type="dxa"/>
            <w:hideMark/>
          </w:tcPr>
          <w:p w:rsidR="000B0B8F" w:rsidRPr="004F447F" w:rsidP="008A04CC" w14:paraId="780A5DD0"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Conduct Quarterly Exposure Monitoring (Table 6)</w:t>
            </w:r>
          </w:p>
        </w:tc>
        <w:tc>
          <w:tcPr>
            <w:tcW w:w="1489" w:type="dxa"/>
            <w:vAlign w:val="center"/>
            <w:hideMark/>
          </w:tcPr>
          <w:p w:rsidR="000B0B8F" w:rsidRPr="004F447F" w:rsidP="008A04CC" w14:paraId="40BDFA76"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4,130</w:t>
            </w:r>
          </w:p>
        </w:tc>
        <w:tc>
          <w:tcPr>
            <w:tcW w:w="1459" w:type="dxa"/>
            <w:vAlign w:val="center"/>
            <w:hideMark/>
          </w:tcPr>
          <w:p w:rsidR="000B0B8F" w:rsidRPr="004F447F" w:rsidP="008A04CC" w14:paraId="533E4B1F" w14:textId="77777777">
            <w:pPr>
              <w:spacing w:after="0" w:line="240" w:lineRule="auto"/>
              <w:jc w:val="right"/>
              <w:outlineLvl w:val="0"/>
              <w:rPr>
                <w:rFonts w:ascii="Times New Roman" w:hAnsi="Times New Roman"/>
                <w:sz w:val="20"/>
                <w:szCs w:val="20"/>
              </w:rPr>
            </w:pPr>
            <w:r>
              <w:rPr>
                <w:rFonts w:ascii="Times New Roman" w:hAnsi="Times New Roman"/>
                <w:sz w:val="20"/>
                <w:szCs w:val="20"/>
              </w:rPr>
              <w:t>6,210</w:t>
            </w:r>
          </w:p>
        </w:tc>
        <w:tc>
          <w:tcPr>
            <w:tcW w:w="1375" w:type="dxa"/>
            <w:vAlign w:val="center"/>
            <w:hideMark/>
          </w:tcPr>
          <w:p w:rsidR="000B0B8F" w:rsidRPr="004F447F" w:rsidP="008A04CC" w14:paraId="17D4BE54" w14:textId="77777777">
            <w:pPr>
              <w:spacing w:after="0" w:line="240" w:lineRule="auto"/>
              <w:jc w:val="right"/>
              <w:outlineLvl w:val="0"/>
              <w:rPr>
                <w:rFonts w:ascii="Times New Roman" w:hAnsi="Times New Roman"/>
                <w:sz w:val="20"/>
                <w:szCs w:val="20"/>
              </w:rPr>
            </w:pPr>
            <w:r>
              <w:rPr>
                <w:rFonts w:ascii="Times New Roman" w:hAnsi="Times New Roman"/>
                <w:sz w:val="20"/>
                <w:szCs w:val="20"/>
              </w:rPr>
              <w:t>2,080</w:t>
            </w:r>
          </w:p>
        </w:tc>
      </w:tr>
      <w:tr w14:paraId="46D4B8FE"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ED4308" w:rsidRPr="003E5FFE" w:rsidP="003E5FFE" w14:paraId="51C9D3F2" w14:textId="5B5CFB65">
            <w:pPr>
              <w:spacing w:after="0" w:line="240" w:lineRule="auto"/>
              <w:outlineLvl w:val="0"/>
              <w:rPr>
                <w:rFonts w:ascii="Times New Roman" w:hAnsi="Times New Roman"/>
                <w:b/>
                <w:bCs/>
                <w:sz w:val="20"/>
                <w:szCs w:val="20"/>
              </w:rPr>
            </w:pPr>
            <w:r w:rsidRPr="004F447F">
              <w:rPr>
                <w:rFonts w:ascii="Times New Roman" w:hAnsi="Times New Roman"/>
                <w:b/>
                <w:bCs/>
                <w:sz w:val="20"/>
                <w:szCs w:val="20"/>
              </w:rPr>
              <w:t>3. Employee Notification of Determination Results (paragraph (d)(4) of §§ 1910.1026, 1915.1026, and  1926.1126) </w:t>
            </w:r>
          </w:p>
        </w:tc>
      </w:tr>
      <w:tr w14:paraId="7C6B86D2" w14:textId="77777777" w:rsidTr="0003780B">
        <w:tblPrEx>
          <w:tblW w:w="0" w:type="auto"/>
          <w:jc w:val="center"/>
          <w:tblLook w:val="04A0"/>
        </w:tblPrEx>
        <w:trPr>
          <w:trHeight w:val="530"/>
          <w:jc w:val="center"/>
        </w:trPr>
        <w:tc>
          <w:tcPr>
            <w:tcW w:w="5027" w:type="dxa"/>
            <w:hideMark/>
          </w:tcPr>
          <w:p w:rsidR="000B0B8F" w:rsidRPr="004F447F" w:rsidP="008A04CC" w14:paraId="69C9B18D"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Supervisor Time and Cost to Notify Employees of quarterly monitoring results (Table 9)</w:t>
            </w:r>
          </w:p>
        </w:tc>
        <w:tc>
          <w:tcPr>
            <w:tcW w:w="1489" w:type="dxa"/>
            <w:vAlign w:val="center"/>
            <w:hideMark/>
          </w:tcPr>
          <w:p w:rsidR="000B0B8F" w:rsidRPr="004F447F" w:rsidP="008A04CC" w14:paraId="79AD60C9"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11,481</w:t>
            </w:r>
          </w:p>
        </w:tc>
        <w:tc>
          <w:tcPr>
            <w:tcW w:w="1459" w:type="dxa"/>
            <w:vAlign w:val="center"/>
            <w:hideMark/>
          </w:tcPr>
          <w:p w:rsidR="000B0B8F" w:rsidRPr="004F447F" w:rsidP="008A04CC" w14:paraId="0B66F4CF" w14:textId="77777777">
            <w:pPr>
              <w:spacing w:after="0" w:line="240" w:lineRule="auto"/>
              <w:jc w:val="right"/>
              <w:outlineLvl w:val="0"/>
              <w:rPr>
                <w:rFonts w:ascii="Times New Roman" w:hAnsi="Times New Roman"/>
                <w:sz w:val="20"/>
                <w:szCs w:val="20"/>
              </w:rPr>
            </w:pPr>
            <w:r>
              <w:rPr>
                <w:rFonts w:ascii="Times New Roman" w:hAnsi="Times New Roman"/>
                <w:sz w:val="20"/>
                <w:szCs w:val="20"/>
              </w:rPr>
              <w:t>15,349</w:t>
            </w:r>
          </w:p>
        </w:tc>
        <w:tc>
          <w:tcPr>
            <w:tcW w:w="1375" w:type="dxa"/>
            <w:vAlign w:val="center"/>
            <w:hideMark/>
          </w:tcPr>
          <w:p w:rsidR="000B0B8F" w:rsidRPr="004F447F" w:rsidP="008A04CC" w14:paraId="07CA715C" w14:textId="77777777">
            <w:pPr>
              <w:spacing w:after="0" w:line="240" w:lineRule="auto"/>
              <w:jc w:val="right"/>
              <w:outlineLvl w:val="0"/>
              <w:rPr>
                <w:rFonts w:ascii="Times New Roman" w:hAnsi="Times New Roman"/>
                <w:sz w:val="20"/>
                <w:szCs w:val="20"/>
              </w:rPr>
            </w:pPr>
            <w:r>
              <w:rPr>
                <w:rFonts w:ascii="Times New Roman" w:hAnsi="Times New Roman"/>
                <w:sz w:val="20"/>
                <w:szCs w:val="20"/>
              </w:rPr>
              <w:t>3,868</w:t>
            </w:r>
          </w:p>
        </w:tc>
      </w:tr>
      <w:tr w14:paraId="116F1FFA" w14:textId="77777777" w:rsidTr="0003780B">
        <w:tblPrEx>
          <w:tblW w:w="0" w:type="auto"/>
          <w:jc w:val="center"/>
          <w:tblLook w:val="04A0"/>
        </w:tblPrEx>
        <w:trPr>
          <w:trHeight w:val="530"/>
          <w:jc w:val="center"/>
        </w:trPr>
        <w:tc>
          <w:tcPr>
            <w:tcW w:w="5027" w:type="dxa"/>
            <w:hideMark/>
          </w:tcPr>
          <w:p w:rsidR="000B0B8F" w:rsidRPr="004F447F" w:rsidP="008A04CC" w14:paraId="44203387"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b. Supervisor Time and Cost to Notify Employees of Initial Monitoring Results (Table 9a - Remand)</w:t>
            </w:r>
          </w:p>
        </w:tc>
        <w:tc>
          <w:tcPr>
            <w:tcW w:w="1489" w:type="dxa"/>
            <w:vAlign w:val="center"/>
            <w:hideMark/>
          </w:tcPr>
          <w:p w:rsidR="000B0B8F" w:rsidRPr="004F447F" w:rsidP="008A04CC" w14:paraId="2265AB05"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27,452</w:t>
            </w:r>
          </w:p>
        </w:tc>
        <w:tc>
          <w:tcPr>
            <w:tcW w:w="1459" w:type="dxa"/>
            <w:vAlign w:val="center"/>
            <w:hideMark/>
          </w:tcPr>
          <w:p w:rsidR="000B0B8F" w:rsidRPr="004F447F" w:rsidP="008A04CC" w14:paraId="315EA4A7" w14:textId="77777777">
            <w:pPr>
              <w:spacing w:after="0" w:line="240" w:lineRule="auto"/>
              <w:jc w:val="right"/>
              <w:outlineLvl w:val="0"/>
              <w:rPr>
                <w:rFonts w:ascii="Times New Roman" w:hAnsi="Times New Roman"/>
                <w:sz w:val="20"/>
                <w:szCs w:val="20"/>
              </w:rPr>
            </w:pPr>
            <w:r>
              <w:rPr>
                <w:rFonts w:ascii="Times New Roman" w:hAnsi="Times New Roman"/>
                <w:sz w:val="20"/>
                <w:szCs w:val="20"/>
              </w:rPr>
              <w:t>27,546</w:t>
            </w:r>
          </w:p>
        </w:tc>
        <w:tc>
          <w:tcPr>
            <w:tcW w:w="1375" w:type="dxa"/>
            <w:vAlign w:val="center"/>
            <w:hideMark/>
          </w:tcPr>
          <w:p w:rsidR="000B0B8F" w:rsidRPr="004F447F" w:rsidP="008A04CC" w14:paraId="16DF593C" w14:textId="77777777">
            <w:pPr>
              <w:spacing w:after="0" w:line="240" w:lineRule="auto"/>
              <w:jc w:val="right"/>
              <w:outlineLvl w:val="0"/>
              <w:rPr>
                <w:rFonts w:ascii="Times New Roman" w:hAnsi="Times New Roman"/>
                <w:sz w:val="20"/>
                <w:szCs w:val="20"/>
              </w:rPr>
            </w:pPr>
            <w:r>
              <w:rPr>
                <w:rFonts w:ascii="Times New Roman" w:hAnsi="Times New Roman"/>
                <w:sz w:val="20"/>
                <w:szCs w:val="20"/>
              </w:rPr>
              <w:t>94</w:t>
            </w:r>
          </w:p>
        </w:tc>
      </w:tr>
      <w:tr w14:paraId="1457D0B9" w14:textId="77777777" w:rsidTr="0003780B">
        <w:tblPrEx>
          <w:tblW w:w="0" w:type="auto"/>
          <w:jc w:val="center"/>
          <w:tblLook w:val="04A0"/>
        </w:tblPrEx>
        <w:trPr>
          <w:trHeight w:val="530"/>
          <w:jc w:val="center"/>
        </w:trPr>
        <w:tc>
          <w:tcPr>
            <w:tcW w:w="5027" w:type="dxa"/>
            <w:hideMark/>
          </w:tcPr>
          <w:p w:rsidR="000B0B8F" w:rsidRPr="004F447F" w:rsidP="008A04CC" w14:paraId="6F2A70BD"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c. Supervisor Time and Cost to Notify Employees of semi-annual monitoring results  (Table 9b - Remand)</w:t>
            </w:r>
          </w:p>
        </w:tc>
        <w:tc>
          <w:tcPr>
            <w:tcW w:w="1489" w:type="dxa"/>
            <w:vAlign w:val="center"/>
            <w:hideMark/>
          </w:tcPr>
          <w:p w:rsidR="000B0B8F" w:rsidRPr="004F447F" w:rsidP="008A04CC" w14:paraId="4A340855"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16,273</w:t>
            </w:r>
          </w:p>
        </w:tc>
        <w:tc>
          <w:tcPr>
            <w:tcW w:w="1459" w:type="dxa"/>
            <w:vAlign w:val="center"/>
            <w:hideMark/>
          </w:tcPr>
          <w:p w:rsidR="000B0B8F" w:rsidRPr="004F447F" w:rsidP="008A04CC" w14:paraId="49308084" w14:textId="77777777">
            <w:pPr>
              <w:spacing w:after="0" w:line="240" w:lineRule="auto"/>
              <w:jc w:val="right"/>
              <w:outlineLvl w:val="0"/>
              <w:rPr>
                <w:rFonts w:ascii="Times New Roman" w:hAnsi="Times New Roman"/>
                <w:sz w:val="20"/>
                <w:szCs w:val="20"/>
              </w:rPr>
            </w:pPr>
            <w:r>
              <w:rPr>
                <w:rFonts w:ascii="Times New Roman" w:hAnsi="Times New Roman"/>
                <w:sz w:val="20"/>
                <w:szCs w:val="20"/>
              </w:rPr>
              <w:t>14,763</w:t>
            </w:r>
          </w:p>
        </w:tc>
        <w:tc>
          <w:tcPr>
            <w:tcW w:w="1375" w:type="dxa"/>
            <w:vAlign w:val="center"/>
            <w:hideMark/>
          </w:tcPr>
          <w:p w:rsidR="000B0B8F" w:rsidRPr="004F447F" w:rsidP="008A04CC" w14:paraId="64BF2769" w14:textId="77777777">
            <w:pPr>
              <w:spacing w:after="0" w:line="240" w:lineRule="auto"/>
              <w:jc w:val="right"/>
              <w:outlineLvl w:val="0"/>
              <w:rPr>
                <w:rFonts w:ascii="Times New Roman" w:hAnsi="Times New Roman"/>
                <w:sz w:val="20"/>
                <w:szCs w:val="20"/>
              </w:rPr>
            </w:pPr>
            <w:r>
              <w:rPr>
                <w:rFonts w:ascii="Times New Roman" w:hAnsi="Times New Roman"/>
                <w:sz w:val="20"/>
                <w:szCs w:val="20"/>
              </w:rPr>
              <w:t>-1,510</w:t>
            </w:r>
          </w:p>
        </w:tc>
      </w:tr>
      <w:tr w14:paraId="2F835066" w14:textId="77777777" w:rsidTr="003E5FFE">
        <w:tblPrEx>
          <w:tblW w:w="0" w:type="auto"/>
          <w:jc w:val="center"/>
          <w:tblLook w:val="04A0"/>
        </w:tblPrEx>
        <w:trPr>
          <w:trHeight w:val="270"/>
          <w:jc w:val="center"/>
        </w:trPr>
        <w:tc>
          <w:tcPr>
            <w:tcW w:w="9350" w:type="dxa"/>
            <w:gridSpan w:val="4"/>
            <w:shd w:val="clear" w:color="auto" w:fill="DEEBF6" w:themeFill="accent5" w:themeFillTint="33"/>
            <w:noWrap/>
            <w:hideMark/>
          </w:tcPr>
          <w:p w:rsidR="0003780B" w:rsidRPr="004F447F" w:rsidP="008A04CC" w14:paraId="0B7DD856" w14:textId="77777777">
            <w:pPr>
              <w:spacing w:after="0" w:line="240" w:lineRule="auto"/>
              <w:outlineLvl w:val="0"/>
              <w:rPr>
                <w:rFonts w:ascii="Times New Roman" w:hAnsi="Times New Roman"/>
                <w:b/>
                <w:bCs/>
                <w:sz w:val="20"/>
                <w:szCs w:val="20"/>
              </w:rPr>
            </w:pPr>
            <w:r w:rsidRPr="004F447F">
              <w:rPr>
                <w:rFonts w:ascii="Times New Roman" w:hAnsi="Times New Roman"/>
                <w:b/>
                <w:bCs/>
                <w:sz w:val="20"/>
                <w:szCs w:val="20"/>
              </w:rPr>
              <w:t>B. Respiratory Protection (§§ 1910.1026(g), 1915.1026(f), and 1926.1126(f))</w:t>
            </w:r>
          </w:p>
          <w:p w:rsidR="0003780B" w:rsidRPr="004F447F" w:rsidP="003E5FFE" w14:paraId="380EEC12" w14:textId="013CD959">
            <w:pPr>
              <w:spacing w:after="0" w:line="240" w:lineRule="auto"/>
              <w:outlineLvl w:val="0"/>
              <w:rPr>
                <w:rFonts w:ascii="Times New Roman" w:hAnsi="Times New Roman"/>
                <w:sz w:val="20"/>
                <w:szCs w:val="20"/>
              </w:rPr>
            </w:pPr>
            <w:r w:rsidRPr="004F447F">
              <w:rPr>
                <w:rFonts w:ascii="Times New Roman" w:hAnsi="Times New Roman"/>
                <w:b/>
                <w:bCs/>
                <w:sz w:val="20"/>
                <w:szCs w:val="20"/>
              </w:rPr>
              <w:t> </w:t>
            </w:r>
          </w:p>
        </w:tc>
      </w:tr>
      <w:tr w14:paraId="58B929CB"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ED4308" w:rsidRPr="003E5FFE" w:rsidP="003E5FFE" w14:paraId="567B715F" w14:textId="6D97BC6A">
            <w:pPr>
              <w:spacing w:after="0" w:line="240" w:lineRule="auto"/>
              <w:outlineLvl w:val="0"/>
              <w:rPr>
                <w:rFonts w:ascii="Times New Roman" w:hAnsi="Times New Roman"/>
                <w:b/>
                <w:bCs/>
                <w:sz w:val="20"/>
                <w:szCs w:val="20"/>
              </w:rPr>
            </w:pPr>
            <w:r w:rsidRPr="004F447F">
              <w:rPr>
                <w:rFonts w:ascii="Times New Roman" w:hAnsi="Times New Roman"/>
                <w:b/>
                <w:bCs/>
                <w:sz w:val="20"/>
                <w:szCs w:val="20"/>
              </w:rPr>
              <w:t>1. Respiratory-Protection Program:  Qualitative Fit Testing for Respirator Use (§§ 1910.1026(g)(2), 1915.1026(f)(2), and 1926.1126(f)(2))  </w:t>
            </w:r>
          </w:p>
        </w:tc>
      </w:tr>
      <w:tr w14:paraId="2A3E4148" w14:textId="77777777" w:rsidTr="0003780B">
        <w:tblPrEx>
          <w:tblW w:w="0" w:type="auto"/>
          <w:jc w:val="center"/>
          <w:tblLook w:val="04A0"/>
        </w:tblPrEx>
        <w:trPr>
          <w:trHeight w:val="530"/>
          <w:jc w:val="center"/>
        </w:trPr>
        <w:tc>
          <w:tcPr>
            <w:tcW w:w="5027" w:type="dxa"/>
            <w:hideMark/>
          </w:tcPr>
          <w:p w:rsidR="000B0B8F" w:rsidRPr="004F447F" w:rsidP="008A04CC" w14:paraId="52853A3F"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and Industrial Hygiene Technician Time and Cost to Conduct Qualitative Fit Testing (Table 10)</w:t>
            </w:r>
          </w:p>
        </w:tc>
        <w:tc>
          <w:tcPr>
            <w:tcW w:w="1489" w:type="dxa"/>
            <w:vAlign w:val="center"/>
            <w:hideMark/>
          </w:tcPr>
          <w:p w:rsidR="000B0B8F" w:rsidRPr="004F447F" w:rsidP="008A04CC" w14:paraId="5C185322"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13,864</w:t>
            </w:r>
          </w:p>
        </w:tc>
        <w:tc>
          <w:tcPr>
            <w:tcW w:w="1459" w:type="dxa"/>
            <w:vAlign w:val="center"/>
            <w:hideMark/>
          </w:tcPr>
          <w:p w:rsidR="000B0B8F" w:rsidRPr="004F447F" w:rsidP="008A04CC" w14:paraId="2C3A2DCC" w14:textId="77777777">
            <w:pPr>
              <w:spacing w:after="0" w:line="240" w:lineRule="auto"/>
              <w:jc w:val="right"/>
              <w:outlineLvl w:val="0"/>
              <w:rPr>
                <w:rFonts w:ascii="Times New Roman" w:hAnsi="Times New Roman"/>
                <w:sz w:val="20"/>
                <w:szCs w:val="20"/>
              </w:rPr>
            </w:pPr>
            <w:r>
              <w:rPr>
                <w:rFonts w:ascii="Times New Roman" w:hAnsi="Times New Roman"/>
                <w:sz w:val="20"/>
                <w:szCs w:val="20"/>
              </w:rPr>
              <w:t>15,935</w:t>
            </w:r>
          </w:p>
        </w:tc>
        <w:tc>
          <w:tcPr>
            <w:tcW w:w="1375" w:type="dxa"/>
            <w:vAlign w:val="center"/>
            <w:hideMark/>
          </w:tcPr>
          <w:p w:rsidR="000B0B8F" w:rsidRPr="004F447F" w:rsidP="008A04CC" w14:paraId="4EFBBAE8" w14:textId="77777777">
            <w:pPr>
              <w:spacing w:after="0" w:line="240" w:lineRule="auto"/>
              <w:jc w:val="right"/>
              <w:outlineLvl w:val="0"/>
              <w:rPr>
                <w:rFonts w:ascii="Times New Roman" w:hAnsi="Times New Roman"/>
                <w:sz w:val="20"/>
                <w:szCs w:val="20"/>
              </w:rPr>
            </w:pPr>
            <w:r>
              <w:rPr>
                <w:rFonts w:ascii="Times New Roman" w:hAnsi="Times New Roman"/>
                <w:sz w:val="20"/>
                <w:szCs w:val="20"/>
              </w:rPr>
              <w:t>2,071</w:t>
            </w:r>
          </w:p>
        </w:tc>
      </w:tr>
      <w:tr w14:paraId="7BD11F47"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ED4308" w:rsidRPr="003E5FFE" w:rsidP="003E5FFE" w14:paraId="0BB6B883" w14:textId="655E367A">
            <w:pPr>
              <w:spacing w:after="0" w:line="240" w:lineRule="auto"/>
              <w:outlineLvl w:val="0"/>
              <w:rPr>
                <w:rFonts w:ascii="Times New Roman" w:hAnsi="Times New Roman"/>
                <w:b/>
                <w:bCs/>
                <w:sz w:val="20"/>
                <w:szCs w:val="20"/>
              </w:rPr>
            </w:pPr>
            <w:r w:rsidRPr="004F447F">
              <w:rPr>
                <w:rFonts w:ascii="Times New Roman" w:hAnsi="Times New Roman"/>
                <w:b/>
                <w:bCs/>
                <w:sz w:val="20"/>
                <w:szCs w:val="20"/>
              </w:rPr>
              <w:t>2. Respiratory-Protection Program:  Quantitative Fit Testing for Respirator Use (§§ 1910.1026(g)(2), 1915.1026(f)(2), and 1926.1126(f)(2))  </w:t>
            </w:r>
          </w:p>
        </w:tc>
      </w:tr>
      <w:tr w14:paraId="0AC1B35E" w14:textId="77777777" w:rsidTr="0003780B">
        <w:tblPrEx>
          <w:tblW w:w="0" w:type="auto"/>
          <w:jc w:val="center"/>
          <w:tblLook w:val="04A0"/>
        </w:tblPrEx>
        <w:trPr>
          <w:trHeight w:val="530"/>
          <w:jc w:val="center"/>
        </w:trPr>
        <w:tc>
          <w:tcPr>
            <w:tcW w:w="5027" w:type="dxa"/>
            <w:hideMark/>
          </w:tcPr>
          <w:p w:rsidR="000B0B8F" w:rsidRPr="004F447F" w:rsidP="008A04CC" w14:paraId="20A9CEA5"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Conduct Quantitative Fit Testing (Table 12)</w:t>
            </w:r>
          </w:p>
        </w:tc>
        <w:tc>
          <w:tcPr>
            <w:tcW w:w="1489" w:type="dxa"/>
            <w:vAlign w:val="center"/>
            <w:hideMark/>
          </w:tcPr>
          <w:p w:rsidR="000B0B8F" w:rsidRPr="004F447F" w:rsidP="008A04CC" w14:paraId="2D69607E"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49</w:t>
            </w:r>
          </w:p>
        </w:tc>
        <w:tc>
          <w:tcPr>
            <w:tcW w:w="1459" w:type="dxa"/>
            <w:vAlign w:val="center"/>
            <w:hideMark/>
          </w:tcPr>
          <w:p w:rsidR="000B0B8F" w:rsidRPr="004F447F" w:rsidP="008A04CC" w14:paraId="3EA77F5D"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49</w:t>
            </w:r>
          </w:p>
        </w:tc>
        <w:tc>
          <w:tcPr>
            <w:tcW w:w="1375" w:type="dxa"/>
            <w:vAlign w:val="center"/>
            <w:hideMark/>
          </w:tcPr>
          <w:p w:rsidR="000B0B8F" w:rsidRPr="004F447F" w:rsidP="008A04CC" w14:paraId="3ACDF877" w14:textId="77777777">
            <w:pPr>
              <w:spacing w:after="0" w:line="240" w:lineRule="auto"/>
              <w:jc w:val="right"/>
              <w:outlineLvl w:val="0"/>
              <w:rPr>
                <w:rFonts w:ascii="Times New Roman" w:hAnsi="Times New Roman"/>
                <w:sz w:val="20"/>
                <w:szCs w:val="20"/>
              </w:rPr>
            </w:pPr>
            <w:r>
              <w:rPr>
                <w:rFonts w:ascii="Times New Roman" w:hAnsi="Times New Roman"/>
                <w:sz w:val="20"/>
                <w:szCs w:val="20"/>
              </w:rPr>
              <w:t>0</w:t>
            </w:r>
          </w:p>
        </w:tc>
      </w:tr>
      <w:tr w14:paraId="20229C39"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ED4308" w:rsidRPr="003E5FFE" w:rsidP="003E5FFE" w14:paraId="2BA2D06C" w14:textId="3813538D">
            <w:pPr>
              <w:spacing w:after="0" w:line="240" w:lineRule="auto"/>
              <w:outlineLvl w:val="0"/>
              <w:rPr>
                <w:rFonts w:ascii="Times New Roman" w:hAnsi="Times New Roman"/>
                <w:b/>
                <w:bCs/>
                <w:sz w:val="20"/>
                <w:szCs w:val="20"/>
              </w:rPr>
            </w:pPr>
            <w:r w:rsidRPr="004F447F">
              <w:rPr>
                <w:rFonts w:ascii="Times New Roman" w:hAnsi="Times New Roman"/>
                <w:b/>
                <w:bCs/>
                <w:sz w:val="20"/>
                <w:szCs w:val="20"/>
              </w:rPr>
              <w:t>3. Respiratory-Protection Program:  Medical Questionnaire for Respirator Use (§§ 1910.1026(g)(2), 1915.1026(f)(2), and 1926.1126(f)(2))  </w:t>
            </w:r>
          </w:p>
        </w:tc>
      </w:tr>
      <w:tr w14:paraId="32C5038F" w14:textId="77777777" w:rsidTr="0003780B">
        <w:tblPrEx>
          <w:tblW w:w="0" w:type="auto"/>
          <w:jc w:val="center"/>
          <w:tblLook w:val="04A0"/>
        </w:tblPrEx>
        <w:trPr>
          <w:trHeight w:val="530"/>
          <w:jc w:val="center"/>
        </w:trPr>
        <w:tc>
          <w:tcPr>
            <w:tcW w:w="5027" w:type="dxa"/>
            <w:hideMark/>
          </w:tcPr>
          <w:p w:rsidR="000B0B8F" w:rsidRPr="004F447F" w:rsidP="008A04CC" w14:paraId="6ACFFA24"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Medical Questionnaire for Respirator Use (Table 14)</w:t>
            </w:r>
          </w:p>
        </w:tc>
        <w:tc>
          <w:tcPr>
            <w:tcW w:w="1489" w:type="dxa"/>
            <w:vAlign w:val="center"/>
            <w:hideMark/>
          </w:tcPr>
          <w:p w:rsidR="000B0B8F" w:rsidRPr="004F447F" w:rsidP="008A04CC" w14:paraId="47BC2333"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3,145</w:t>
            </w:r>
          </w:p>
        </w:tc>
        <w:tc>
          <w:tcPr>
            <w:tcW w:w="1459" w:type="dxa"/>
            <w:vAlign w:val="center"/>
            <w:hideMark/>
          </w:tcPr>
          <w:p w:rsidR="000B0B8F" w:rsidRPr="004F447F" w:rsidP="008A04CC" w14:paraId="179F3991" w14:textId="77777777">
            <w:pPr>
              <w:spacing w:after="0" w:line="240" w:lineRule="auto"/>
              <w:jc w:val="right"/>
              <w:outlineLvl w:val="0"/>
              <w:rPr>
                <w:rFonts w:ascii="Times New Roman" w:hAnsi="Times New Roman"/>
                <w:sz w:val="20"/>
                <w:szCs w:val="20"/>
              </w:rPr>
            </w:pPr>
            <w:r>
              <w:rPr>
                <w:rFonts w:ascii="Times New Roman" w:hAnsi="Times New Roman"/>
                <w:sz w:val="20"/>
                <w:szCs w:val="20"/>
              </w:rPr>
              <w:t>3,543</w:t>
            </w:r>
          </w:p>
        </w:tc>
        <w:tc>
          <w:tcPr>
            <w:tcW w:w="1375" w:type="dxa"/>
            <w:vAlign w:val="center"/>
            <w:hideMark/>
          </w:tcPr>
          <w:p w:rsidR="000B0B8F" w:rsidRPr="004F447F" w:rsidP="008A04CC" w14:paraId="52702194" w14:textId="77777777">
            <w:pPr>
              <w:spacing w:after="0" w:line="240" w:lineRule="auto"/>
              <w:jc w:val="right"/>
              <w:outlineLvl w:val="0"/>
              <w:rPr>
                <w:rFonts w:ascii="Times New Roman" w:hAnsi="Times New Roman"/>
                <w:sz w:val="20"/>
                <w:szCs w:val="20"/>
              </w:rPr>
            </w:pPr>
            <w:r>
              <w:rPr>
                <w:rFonts w:ascii="Times New Roman" w:hAnsi="Times New Roman"/>
                <w:sz w:val="20"/>
                <w:szCs w:val="20"/>
              </w:rPr>
              <w:t>398</w:t>
            </w:r>
          </w:p>
        </w:tc>
      </w:tr>
      <w:tr w14:paraId="13E563D0"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ED4308" w:rsidRPr="003E5FFE" w:rsidP="003E5FFE" w14:paraId="641BA713" w14:textId="3D368D50">
            <w:pPr>
              <w:spacing w:after="0" w:line="240" w:lineRule="auto"/>
              <w:outlineLvl w:val="0"/>
              <w:rPr>
                <w:rFonts w:ascii="Times New Roman" w:hAnsi="Times New Roman"/>
                <w:b/>
                <w:bCs/>
                <w:sz w:val="20"/>
                <w:szCs w:val="20"/>
              </w:rPr>
            </w:pPr>
            <w:r w:rsidRPr="004F447F">
              <w:rPr>
                <w:rFonts w:ascii="Times New Roman" w:hAnsi="Times New Roman"/>
                <w:b/>
                <w:bCs/>
                <w:sz w:val="20"/>
                <w:szCs w:val="20"/>
              </w:rPr>
              <w:t>4. Respiratory-Protection Program:  Follow-up Medical Examination for Respirator Use (§§ 1910.1026(g)(2), 1915.1026(f)(2), and 1926.1126(f)(2)) </w:t>
            </w:r>
          </w:p>
        </w:tc>
      </w:tr>
      <w:tr w14:paraId="170A7154" w14:textId="77777777" w:rsidTr="0003780B">
        <w:tblPrEx>
          <w:tblW w:w="0" w:type="auto"/>
          <w:jc w:val="center"/>
          <w:tblLook w:val="04A0"/>
        </w:tblPrEx>
        <w:trPr>
          <w:trHeight w:val="530"/>
          <w:jc w:val="center"/>
        </w:trPr>
        <w:tc>
          <w:tcPr>
            <w:tcW w:w="5027" w:type="dxa"/>
            <w:hideMark/>
          </w:tcPr>
          <w:p w:rsidR="000B0B8F" w:rsidRPr="004F447F" w:rsidP="008A04CC" w14:paraId="6232E938"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Medical Examination for Respirator Use (Table 16)</w:t>
            </w:r>
          </w:p>
        </w:tc>
        <w:tc>
          <w:tcPr>
            <w:tcW w:w="1489" w:type="dxa"/>
            <w:vAlign w:val="center"/>
            <w:hideMark/>
          </w:tcPr>
          <w:p w:rsidR="000B0B8F" w:rsidRPr="004F447F" w:rsidP="008A04CC" w14:paraId="5629EE32"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13,017</w:t>
            </w:r>
          </w:p>
        </w:tc>
        <w:tc>
          <w:tcPr>
            <w:tcW w:w="1459" w:type="dxa"/>
            <w:vAlign w:val="center"/>
            <w:hideMark/>
          </w:tcPr>
          <w:p w:rsidR="000B0B8F" w:rsidRPr="004F447F" w:rsidP="008A04CC" w14:paraId="21A3E0BD" w14:textId="77777777">
            <w:pPr>
              <w:spacing w:after="0" w:line="240" w:lineRule="auto"/>
              <w:jc w:val="right"/>
              <w:outlineLvl w:val="0"/>
              <w:rPr>
                <w:rFonts w:ascii="Times New Roman" w:hAnsi="Times New Roman"/>
                <w:sz w:val="20"/>
                <w:szCs w:val="20"/>
              </w:rPr>
            </w:pPr>
            <w:r>
              <w:rPr>
                <w:rFonts w:ascii="Times New Roman" w:hAnsi="Times New Roman"/>
                <w:sz w:val="20"/>
                <w:szCs w:val="20"/>
              </w:rPr>
              <w:t>14,664</w:t>
            </w:r>
          </w:p>
        </w:tc>
        <w:tc>
          <w:tcPr>
            <w:tcW w:w="1375" w:type="dxa"/>
            <w:vAlign w:val="center"/>
            <w:hideMark/>
          </w:tcPr>
          <w:p w:rsidR="000B0B8F" w:rsidRPr="004F447F" w:rsidP="008A04CC" w14:paraId="26F16DB5" w14:textId="77777777">
            <w:pPr>
              <w:spacing w:after="0" w:line="240" w:lineRule="auto"/>
              <w:jc w:val="right"/>
              <w:outlineLvl w:val="0"/>
              <w:rPr>
                <w:rFonts w:ascii="Times New Roman" w:hAnsi="Times New Roman"/>
                <w:sz w:val="20"/>
                <w:szCs w:val="20"/>
              </w:rPr>
            </w:pPr>
            <w:r>
              <w:rPr>
                <w:rFonts w:ascii="Times New Roman" w:hAnsi="Times New Roman"/>
                <w:sz w:val="20"/>
                <w:szCs w:val="20"/>
              </w:rPr>
              <w:t>1,647</w:t>
            </w:r>
          </w:p>
        </w:tc>
      </w:tr>
      <w:tr w14:paraId="1FC14144" w14:textId="77777777" w:rsidTr="003E5FFE">
        <w:tblPrEx>
          <w:tblW w:w="0" w:type="auto"/>
          <w:jc w:val="center"/>
          <w:tblLook w:val="04A0"/>
        </w:tblPrEx>
        <w:trPr>
          <w:trHeight w:val="270"/>
          <w:jc w:val="center"/>
        </w:trPr>
        <w:tc>
          <w:tcPr>
            <w:tcW w:w="9350" w:type="dxa"/>
            <w:gridSpan w:val="4"/>
            <w:shd w:val="clear" w:color="auto" w:fill="DEEBF6" w:themeFill="accent5" w:themeFillTint="33"/>
            <w:noWrap/>
            <w:hideMark/>
          </w:tcPr>
          <w:p w:rsidR="0003780B" w:rsidRPr="004F447F" w:rsidP="003E5FFE" w14:paraId="10FB9CF6" w14:textId="4F095361">
            <w:pPr>
              <w:spacing w:after="0" w:line="240" w:lineRule="auto"/>
              <w:outlineLvl w:val="0"/>
              <w:rPr>
                <w:rFonts w:ascii="Times New Roman" w:hAnsi="Times New Roman"/>
                <w:sz w:val="20"/>
                <w:szCs w:val="20"/>
              </w:rPr>
            </w:pPr>
            <w:r w:rsidRPr="004F447F">
              <w:rPr>
                <w:rFonts w:ascii="Times New Roman" w:hAnsi="Times New Roman"/>
                <w:b/>
                <w:bCs/>
                <w:sz w:val="20"/>
                <w:szCs w:val="20"/>
              </w:rPr>
              <w:t>C. Protective Work Clothing and Equipment (§§1910.1026(h), 1915.1026(g), and 1926.1126(g))</w:t>
            </w:r>
            <w:r w:rsidRPr="004F447F">
              <w:rPr>
                <w:rFonts w:ascii="Times New Roman" w:hAnsi="Times New Roman"/>
                <w:sz w:val="20"/>
                <w:szCs w:val="20"/>
              </w:rPr>
              <w:t> </w:t>
            </w:r>
          </w:p>
        </w:tc>
      </w:tr>
      <w:tr w14:paraId="0E543467"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8A04CC" w14:paraId="1AA385E4" w14:textId="09370413">
            <w:pPr>
              <w:spacing w:after="0" w:line="240" w:lineRule="auto"/>
              <w:outlineLvl w:val="0"/>
              <w:rPr>
                <w:rFonts w:ascii="Times New Roman" w:hAnsi="Times New Roman"/>
                <w:b/>
                <w:bCs/>
                <w:sz w:val="20"/>
                <w:szCs w:val="20"/>
              </w:rPr>
            </w:pPr>
            <w:r w:rsidRPr="004F447F">
              <w:rPr>
                <w:rFonts w:ascii="Times New Roman" w:hAnsi="Times New Roman"/>
                <w:b/>
                <w:bCs/>
                <w:sz w:val="20"/>
                <w:szCs w:val="20"/>
              </w:rPr>
              <w:t>1. Removal and Storage (§§ 1910.1026(h)(2)(iv), 1915.1026(g)(2)(iv), and 1926.1126(g)(2)(iv))</w:t>
            </w:r>
          </w:p>
        </w:tc>
      </w:tr>
      <w:tr w14:paraId="2436CDDB" w14:textId="77777777" w:rsidTr="0003780B">
        <w:tblPrEx>
          <w:tblW w:w="0" w:type="auto"/>
          <w:jc w:val="center"/>
          <w:tblLook w:val="04A0"/>
        </w:tblPrEx>
        <w:trPr>
          <w:trHeight w:val="790"/>
          <w:jc w:val="center"/>
        </w:trPr>
        <w:tc>
          <w:tcPr>
            <w:tcW w:w="5027" w:type="dxa"/>
            <w:hideMark/>
          </w:tcPr>
          <w:p w:rsidR="000B0B8F" w:rsidRPr="00B92220" w:rsidP="008A04CC" w14:paraId="4F6B0C37"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 xml:space="preserve">a. </w:t>
            </w:r>
            <w:r w:rsidRPr="00B92220">
              <w:rPr>
                <w:rFonts w:ascii="Times New Roman" w:hAnsi="Times New Roman"/>
                <w:sz w:val="20"/>
                <w:szCs w:val="20"/>
              </w:rPr>
              <w:t>Employer Cost to Affix Cr(VI) Hazard-Warning Labels for Bags or Containers Used to Store Cr(VI)-Contaminated Protective Clothing or Equipment (Table 18 (a))</w:t>
            </w:r>
          </w:p>
        </w:tc>
        <w:tc>
          <w:tcPr>
            <w:tcW w:w="1489" w:type="dxa"/>
            <w:vAlign w:val="center"/>
            <w:hideMark/>
          </w:tcPr>
          <w:p w:rsidR="000B0B8F" w:rsidRPr="004F447F" w:rsidP="008A04CC" w14:paraId="58C067AE"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105</w:t>
            </w:r>
          </w:p>
        </w:tc>
        <w:tc>
          <w:tcPr>
            <w:tcW w:w="1459" w:type="dxa"/>
            <w:vAlign w:val="center"/>
            <w:hideMark/>
          </w:tcPr>
          <w:p w:rsidR="000B0B8F" w:rsidRPr="004F447F" w:rsidP="008A04CC" w14:paraId="685665E9" w14:textId="77777777">
            <w:pPr>
              <w:spacing w:after="0" w:line="240" w:lineRule="auto"/>
              <w:jc w:val="right"/>
              <w:outlineLvl w:val="0"/>
              <w:rPr>
                <w:rFonts w:ascii="Times New Roman" w:hAnsi="Times New Roman"/>
                <w:sz w:val="20"/>
                <w:szCs w:val="20"/>
              </w:rPr>
            </w:pPr>
            <w:r>
              <w:rPr>
                <w:rFonts w:ascii="Times New Roman" w:hAnsi="Times New Roman"/>
                <w:sz w:val="20"/>
                <w:szCs w:val="20"/>
              </w:rPr>
              <w:t>175</w:t>
            </w:r>
          </w:p>
        </w:tc>
        <w:tc>
          <w:tcPr>
            <w:tcW w:w="1375" w:type="dxa"/>
            <w:vAlign w:val="center"/>
            <w:hideMark/>
          </w:tcPr>
          <w:p w:rsidR="000B0B8F" w:rsidRPr="004F447F" w:rsidP="008A04CC" w14:paraId="55908478" w14:textId="77777777">
            <w:pPr>
              <w:spacing w:after="0" w:line="240" w:lineRule="auto"/>
              <w:jc w:val="right"/>
              <w:outlineLvl w:val="0"/>
              <w:rPr>
                <w:rFonts w:ascii="Times New Roman" w:hAnsi="Times New Roman"/>
                <w:sz w:val="20"/>
                <w:szCs w:val="20"/>
              </w:rPr>
            </w:pPr>
            <w:r>
              <w:rPr>
                <w:rFonts w:ascii="Times New Roman" w:hAnsi="Times New Roman"/>
                <w:sz w:val="20"/>
                <w:szCs w:val="20"/>
              </w:rPr>
              <w:t>70</w:t>
            </w:r>
          </w:p>
        </w:tc>
      </w:tr>
      <w:tr w14:paraId="6805603F"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4F447F" w:rsidP="003E5FFE" w14:paraId="108C0E18" w14:textId="2E93ADB0">
            <w:pPr>
              <w:spacing w:after="0" w:line="240" w:lineRule="auto"/>
              <w:outlineLvl w:val="0"/>
              <w:rPr>
                <w:rFonts w:ascii="Times New Roman" w:hAnsi="Times New Roman"/>
                <w:sz w:val="20"/>
                <w:szCs w:val="20"/>
              </w:rPr>
            </w:pPr>
            <w:r w:rsidRPr="004F447F">
              <w:rPr>
                <w:rFonts w:ascii="Times New Roman" w:hAnsi="Times New Roman"/>
                <w:b/>
                <w:bCs/>
                <w:sz w:val="20"/>
                <w:szCs w:val="20"/>
              </w:rPr>
              <w:t>2. Cleaning and Replacement (§§ 1910.1026(h)(3)(iii), 1915.1026(g)(3)(iii), and 1926.1126(g)(3)(iii))  </w:t>
            </w:r>
          </w:p>
        </w:tc>
      </w:tr>
      <w:tr w14:paraId="340DC9BA" w14:textId="77777777" w:rsidTr="0003780B">
        <w:tblPrEx>
          <w:tblW w:w="0" w:type="auto"/>
          <w:jc w:val="center"/>
          <w:tblLook w:val="04A0"/>
        </w:tblPrEx>
        <w:trPr>
          <w:trHeight w:val="530"/>
          <w:jc w:val="center"/>
        </w:trPr>
        <w:tc>
          <w:tcPr>
            <w:tcW w:w="5027" w:type="dxa"/>
            <w:hideMark/>
          </w:tcPr>
          <w:p w:rsidR="000B0B8F" w:rsidRPr="004F447F" w:rsidP="008A04CC" w14:paraId="314A2D33"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Supervisor Time and Cost to Inform Laundry Contractor About Cr(VI)-Contaminated Protective Clothing or Equipment (Table 19)</w:t>
            </w:r>
          </w:p>
        </w:tc>
        <w:tc>
          <w:tcPr>
            <w:tcW w:w="1489" w:type="dxa"/>
            <w:vAlign w:val="center"/>
            <w:hideMark/>
          </w:tcPr>
          <w:p w:rsidR="000B0B8F" w:rsidRPr="004F447F" w:rsidP="008A04CC" w14:paraId="05B4CEFA"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1,407</w:t>
            </w:r>
          </w:p>
        </w:tc>
        <w:tc>
          <w:tcPr>
            <w:tcW w:w="1459" w:type="dxa"/>
            <w:vAlign w:val="center"/>
            <w:hideMark/>
          </w:tcPr>
          <w:p w:rsidR="000B0B8F" w:rsidRPr="004F447F" w:rsidP="008A04CC" w14:paraId="0475114F" w14:textId="77777777">
            <w:pPr>
              <w:spacing w:after="0" w:line="240" w:lineRule="auto"/>
              <w:jc w:val="right"/>
              <w:outlineLvl w:val="0"/>
              <w:rPr>
                <w:rFonts w:ascii="Times New Roman" w:hAnsi="Times New Roman"/>
                <w:sz w:val="20"/>
                <w:szCs w:val="20"/>
              </w:rPr>
            </w:pPr>
            <w:r>
              <w:rPr>
                <w:rFonts w:ascii="Times New Roman" w:hAnsi="Times New Roman"/>
                <w:sz w:val="20"/>
                <w:szCs w:val="20"/>
              </w:rPr>
              <w:t>1,702</w:t>
            </w:r>
          </w:p>
        </w:tc>
        <w:tc>
          <w:tcPr>
            <w:tcW w:w="1375" w:type="dxa"/>
            <w:vAlign w:val="center"/>
            <w:hideMark/>
          </w:tcPr>
          <w:p w:rsidR="000B0B8F" w:rsidRPr="004F447F" w:rsidP="008A04CC" w14:paraId="1A25B7ED" w14:textId="77777777">
            <w:pPr>
              <w:spacing w:after="0" w:line="240" w:lineRule="auto"/>
              <w:jc w:val="right"/>
              <w:outlineLvl w:val="0"/>
              <w:rPr>
                <w:rFonts w:ascii="Times New Roman" w:hAnsi="Times New Roman"/>
                <w:sz w:val="20"/>
                <w:szCs w:val="20"/>
              </w:rPr>
            </w:pPr>
            <w:r>
              <w:rPr>
                <w:rFonts w:ascii="Times New Roman" w:hAnsi="Times New Roman"/>
                <w:sz w:val="20"/>
                <w:szCs w:val="20"/>
              </w:rPr>
              <w:t>295</w:t>
            </w:r>
          </w:p>
        </w:tc>
      </w:tr>
      <w:tr w14:paraId="3386FD30" w14:textId="77777777" w:rsidTr="003E5FFE">
        <w:tblPrEx>
          <w:tblW w:w="0" w:type="auto"/>
          <w:jc w:val="center"/>
          <w:tblLook w:val="04A0"/>
        </w:tblPrEx>
        <w:trPr>
          <w:trHeight w:val="270"/>
          <w:jc w:val="center"/>
        </w:trPr>
        <w:tc>
          <w:tcPr>
            <w:tcW w:w="9350" w:type="dxa"/>
            <w:gridSpan w:val="4"/>
            <w:shd w:val="clear" w:color="auto" w:fill="DEEBF6" w:themeFill="accent5" w:themeFillTint="33"/>
            <w:noWrap/>
            <w:hideMark/>
          </w:tcPr>
          <w:p w:rsidR="0003780B" w:rsidRPr="003E5FFE" w:rsidP="003E5FFE" w14:paraId="066032BC" w14:textId="07EAAF54">
            <w:pPr>
              <w:spacing w:after="0" w:line="240" w:lineRule="auto"/>
              <w:outlineLvl w:val="0"/>
              <w:rPr>
                <w:rFonts w:ascii="Times New Roman" w:hAnsi="Times New Roman"/>
                <w:b/>
                <w:bCs/>
                <w:sz w:val="20"/>
                <w:szCs w:val="20"/>
              </w:rPr>
            </w:pPr>
            <w:r w:rsidRPr="004F447F">
              <w:rPr>
                <w:rFonts w:ascii="Times New Roman" w:hAnsi="Times New Roman"/>
                <w:b/>
                <w:bCs/>
                <w:sz w:val="20"/>
                <w:szCs w:val="20"/>
              </w:rPr>
              <w:t>D. Medical Surveillance (§§ 1910.1026(k), 1915.1026(i), and 1926.1126(i)) </w:t>
            </w:r>
          </w:p>
        </w:tc>
      </w:tr>
      <w:tr w14:paraId="24058108"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3E5FFE" w14:paraId="58B49D5B" w14:textId="7592500D">
            <w:pPr>
              <w:spacing w:after="0" w:line="240" w:lineRule="auto"/>
              <w:outlineLvl w:val="0"/>
              <w:rPr>
                <w:rFonts w:ascii="Times New Roman" w:hAnsi="Times New Roman"/>
                <w:b/>
                <w:bCs/>
                <w:sz w:val="20"/>
                <w:szCs w:val="20"/>
              </w:rPr>
            </w:pPr>
            <w:r w:rsidRPr="004F447F">
              <w:rPr>
                <w:rFonts w:ascii="Times New Roman" w:hAnsi="Times New Roman"/>
                <w:b/>
                <w:bCs/>
                <w:sz w:val="20"/>
                <w:szCs w:val="20"/>
              </w:rPr>
              <w:t>1. Initial Medical Examination (§§ 1910.1026(k)(1)(i)(A), (k)(3)(i), and (k)(3)(ii); 1915.1026(i)(1)(i)(A), (i)(3)(i), and (i)(3)(ii); and 1926.1126(i)(1)(i)(A), (i)(3)(i), and (i)(3)(ii)) </w:t>
            </w:r>
          </w:p>
        </w:tc>
      </w:tr>
      <w:tr w14:paraId="4E9D4E50" w14:textId="77777777" w:rsidTr="0003780B">
        <w:tblPrEx>
          <w:tblW w:w="0" w:type="auto"/>
          <w:jc w:val="center"/>
          <w:tblLook w:val="04A0"/>
        </w:tblPrEx>
        <w:trPr>
          <w:trHeight w:val="530"/>
          <w:jc w:val="center"/>
        </w:trPr>
        <w:tc>
          <w:tcPr>
            <w:tcW w:w="5027" w:type="dxa"/>
            <w:hideMark/>
          </w:tcPr>
          <w:p w:rsidR="000B0B8F" w:rsidRPr="004F447F" w:rsidP="008A04CC" w14:paraId="0233C2A3"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Initial Medical Examination (Table 20)</w:t>
            </w:r>
          </w:p>
        </w:tc>
        <w:tc>
          <w:tcPr>
            <w:tcW w:w="1489" w:type="dxa"/>
            <w:vAlign w:val="center"/>
            <w:hideMark/>
          </w:tcPr>
          <w:p w:rsidR="000B0B8F" w:rsidRPr="004F447F" w:rsidP="008A04CC" w14:paraId="16BE9992"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17,427</w:t>
            </w:r>
          </w:p>
        </w:tc>
        <w:tc>
          <w:tcPr>
            <w:tcW w:w="1459" w:type="dxa"/>
            <w:vAlign w:val="center"/>
            <w:hideMark/>
          </w:tcPr>
          <w:p w:rsidR="000B0B8F" w:rsidRPr="004F447F" w:rsidP="008A04CC" w14:paraId="29162BEB" w14:textId="77777777">
            <w:pPr>
              <w:spacing w:after="0" w:line="240" w:lineRule="auto"/>
              <w:jc w:val="right"/>
              <w:outlineLvl w:val="0"/>
              <w:rPr>
                <w:rFonts w:ascii="Times New Roman" w:hAnsi="Times New Roman"/>
                <w:sz w:val="20"/>
                <w:szCs w:val="20"/>
              </w:rPr>
            </w:pPr>
            <w:r>
              <w:rPr>
                <w:rFonts w:ascii="Times New Roman" w:hAnsi="Times New Roman"/>
                <w:sz w:val="20"/>
                <w:szCs w:val="20"/>
              </w:rPr>
              <w:t>20,064</w:t>
            </w:r>
          </w:p>
        </w:tc>
        <w:tc>
          <w:tcPr>
            <w:tcW w:w="1375" w:type="dxa"/>
            <w:vAlign w:val="center"/>
            <w:hideMark/>
          </w:tcPr>
          <w:p w:rsidR="000B0B8F" w:rsidRPr="004F447F" w:rsidP="008A04CC" w14:paraId="529F917D" w14:textId="77777777">
            <w:pPr>
              <w:spacing w:after="0" w:line="240" w:lineRule="auto"/>
              <w:jc w:val="right"/>
              <w:outlineLvl w:val="0"/>
              <w:rPr>
                <w:rFonts w:ascii="Times New Roman" w:hAnsi="Times New Roman"/>
                <w:sz w:val="20"/>
                <w:szCs w:val="20"/>
              </w:rPr>
            </w:pPr>
            <w:r>
              <w:rPr>
                <w:rFonts w:ascii="Times New Roman" w:hAnsi="Times New Roman"/>
                <w:sz w:val="20"/>
                <w:szCs w:val="20"/>
              </w:rPr>
              <w:t>2,637</w:t>
            </w:r>
          </w:p>
        </w:tc>
      </w:tr>
      <w:tr w14:paraId="71695E30"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3E5FFE" w14:paraId="2786975C" w14:textId="0FD0510F">
            <w:pPr>
              <w:spacing w:after="0" w:line="240" w:lineRule="auto"/>
              <w:outlineLvl w:val="0"/>
              <w:rPr>
                <w:rFonts w:ascii="Times New Roman" w:hAnsi="Times New Roman"/>
                <w:b/>
                <w:bCs/>
                <w:sz w:val="20"/>
                <w:szCs w:val="20"/>
              </w:rPr>
            </w:pPr>
            <w:r w:rsidRPr="004F447F">
              <w:rPr>
                <w:rFonts w:ascii="Times New Roman" w:hAnsi="Times New Roman"/>
                <w:b/>
                <w:bCs/>
                <w:sz w:val="20"/>
                <w:szCs w:val="20"/>
              </w:rPr>
              <w:t>2. Annual Medical Examination (§§ 1910.1026(k)(2)(ii), (k)(3)(i), and (k)(3)(ii); 1915.1026(i)(2)(ii), (i)(3)(i), and (i)(3)(ii); and 1926.1126(i)(2)(ii), (i)(3)(i), and (i)(3)(ii)) </w:t>
            </w:r>
          </w:p>
        </w:tc>
      </w:tr>
      <w:tr w14:paraId="13303B60" w14:textId="77777777" w:rsidTr="0003780B">
        <w:tblPrEx>
          <w:tblW w:w="0" w:type="auto"/>
          <w:jc w:val="center"/>
          <w:tblLook w:val="04A0"/>
        </w:tblPrEx>
        <w:trPr>
          <w:trHeight w:val="530"/>
          <w:jc w:val="center"/>
        </w:trPr>
        <w:tc>
          <w:tcPr>
            <w:tcW w:w="5027" w:type="dxa"/>
            <w:hideMark/>
          </w:tcPr>
          <w:p w:rsidR="000B0B8F" w:rsidRPr="004F447F" w:rsidP="008A04CC" w14:paraId="724F595C"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Annual Medical Examination (Table 22)</w:t>
            </w:r>
          </w:p>
        </w:tc>
        <w:tc>
          <w:tcPr>
            <w:tcW w:w="1489" w:type="dxa"/>
            <w:vAlign w:val="center"/>
            <w:hideMark/>
          </w:tcPr>
          <w:p w:rsidR="000B0B8F" w:rsidRPr="004F447F" w:rsidP="008A04CC" w14:paraId="69241D6C"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170,124</w:t>
            </w:r>
          </w:p>
        </w:tc>
        <w:tc>
          <w:tcPr>
            <w:tcW w:w="1459" w:type="dxa"/>
            <w:vAlign w:val="center"/>
            <w:hideMark/>
          </w:tcPr>
          <w:p w:rsidR="000B0B8F" w:rsidRPr="004F447F" w:rsidP="008A04CC" w14:paraId="2989B3F1" w14:textId="77777777">
            <w:pPr>
              <w:spacing w:after="0" w:line="240" w:lineRule="auto"/>
              <w:jc w:val="right"/>
              <w:outlineLvl w:val="0"/>
              <w:rPr>
                <w:rFonts w:ascii="Times New Roman" w:hAnsi="Times New Roman"/>
                <w:sz w:val="20"/>
                <w:szCs w:val="20"/>
              </w:rPr>
            </w:pPr>
            <w:r>
              <w:rPr>
                <w:rFonts w:ascii="Times New Roman" w:hAnsi="Times New Roman"/>
                <w:sz w:val="20"/>
                <w:szCs w:val="20"/>
              </w:rPr>
              <w:t>215,190</w:t>
            </w:r>
          </w:p>
        </w:tc>
        <w:tc>
          <w:tcPr>
            <w:tcW w:w="1375" w:type="dxa"/>
            <w:vAlign w:val="center"/>
            <w:hideMark/>
          </w:tcPr>
          <w:p w:rsidR="000B0B8F" w:rsidRPr="004F447F" w:rsidP="008A04CC" w14:paraId="22C8FA1F" w14:textId="77777777">
            <w:pPr>
              <w:spacing w:after="0" w:line="240" w:lineRule="auto"/>
              <w:jc w:val="right"/>
              <w:outlineLvl w:val="0"/>
              <w:rPr>
                <w:rFonts w:ascii="Times New Roman" w:hAnsi="Times New Roman"/>
                <w:sz w:val="20"/>
                <w:szCs w:val="20"/>
              </w:rPr>
            </w:pPr>
            <w:r>
              <w:rPr>
                <w:rFonts w:ascii="Times New Roman" w:hAnsi="Times New Roman"/>
                <w:sz w:val="20"/>
                <w:szCs w:val="20"/>
              </w:rPr>
              <w:t>45,066</w:t>
            </w:r>
          </w:p>
        </w:tc>
      </w:tr>
      <w:tr w14:paraId="527A5735"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3E5FFE" w14:paraId="597401EA" w14:textId="4A531734">
            <w:pPr>
              <w:spacing w:after="0" w:line="240" w:lineRule="auto"/>
              <w:outlineLvl w:val="0"/>
              <w:rPr>
                <w:rFonts w:ascii="Times New Roman" w:hAnsi="Times New Roman"/>
                <w:b/>
                <w:bCs/>
                <w:sz w:val="20"/>
                <w:szCs w:val="20"/>
              </w:rPr>
            </w:pPr>
            <w:r w:rsidRPr="004F447F">
              <w:rPr>
                <w:rFonts w:ascii="Times New Roman" w:hAnsi="Times New Roman"/>
                <w:b/>
                <w:bCs/>
                <w:sz w:val="20"/>
                <w:szCs w:val="20"/>
              </w:rPr>
              <w:t>3. Initial Medical Examination with Additional Tests (§§1910.1026(k)(1)(i)(B) and (k)(3)(i)-(k)(3)(iii); 1915.1026(i)(1)(i)(B) and (i)(3)(i)-(i)(3)(iii); and 1926.1126(i)(1)(i)(B) and (i)(3)(i)-(i)(3)(iii)) </w:t>
            </w:r>
          </w:p>
        </w:tc>
      </w:tr>
      <w:tr w14:paraId="6DB568B8" w14:textId="77777777" w:rsidTr="0003780B">
        <w:tblPrEx>
          <w:tblW w:w="0" w:type="auto"/>
          <w:jc w:val="center"/>
          <w:tblLook w:val="04A0"/>
        </w:tblPrEx>
        <w:trPr>
          <w:trHeight w:val="530"/>
          <w:jc w:val="center"/>
        </w:trPr>
        <w:tc>
          <w:tcPr>
            <w:tcW w:w="5027" w:type="dxa"/>
            <w:hideMark/>
          </w:tcPr>
          <w:p w:rsidR="000B0B8F" w:rsidRPr="004F447F" w:rsidP="008A04CC" w14:paraId="3A7066FE"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Initial Medical Examination with Additional Tests (Table 24)</w:t>
            </w:r>
          </w:p>
        </w:tc>
        <w:tc>
          <w:tcPr>
            <w:tcW w:w="1489" w:type="dxa"/>
            <w:vAlign w:val="center"/>
            <w:hideMark/>
          </w:tcPr>
          <w:p w:rsidR="000B0B8F" w:rsidRPr="004F447F" w:rsidP="008A04CC" w14:paraId="052BF6D8"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116</w:t>
            </w:r>
          </w:p>
        </w:tc>
        <w:tc>
          <w:tcPr>
            <w:tcW w:w="1459" w:type="dxa"/>
            <w:vAlign w:val="center"/>
            <w:hideMark/>
          </w:tcPr>
          <w:p w:rsidR="000B0B8F" w:rsidRPr="004F447F" w:rsidP="008A04CC" w14:paraId="02A96469" w14:textId="77777777">
            <w:pPr>
              <w:spacing w:after="0" w:line="240" w:lineRule="auto"/>
              <w:jc w:val="right"/>
              <w:outlineLvl w:val="0"/>
              <w:rPr>
                <w:rFonts w:ascii="Times New Roman" w:hAnsi="Times New Roman"/>
                <w:sz w:val="20"/>
                <w:szCs w:val="20"/>
              </w:rPr>
            </w:pPr>
            <w:r>
              <w:rPr>
                <w:rFonts w:ascii="Times New Roman" w:hAnsi="Times New Roman"/>
                <w:sz w:val="20"/>
                <w:szCs w:val="20"/>
              </w:rPr>
              <w:t>132</w:t>
            </w:r>
          </w:p>
        </w:tc>
        <w:tc>
          <w:tcPr>
            <w:tcW w:w="1375" w:type="dxa"/>
            <w:vAlign w:val="center"/>
            <w:hideMark/>
          </w:tcPr>
          <w:p w:rsidR="000B0B8F" w:rsidRPr="004F447F" w:rsidP="008A04CC" w14:paraId="377DBC81" w14:textId="77777777">
            <w:pPr>
              <w:spacing w:after="0" w:line="240" w:lineRule="auto"/>
              <w:jc w:val="right"/>
              <w:outlineLvl w:val="0"/>
              <w:rPr>
                <w:rFonts w:ascii="Times New Roman" w:hAnsi="Times New Roman"/>
                <w:sz w:val="20"/>
                <w:szCs w:val="20"/>
              </w:rPr>
            </w:pPr>
            <w:r>
              <w:rPr>
                <w:rFonts w:ascii="Times New Roman" w:hAnsi="Times New Roman"/>
                <w:sz w:val="20"/>
                <w:szCs w:val="20"/>
              </w:rPr>
              <w:t>16</w:t>
            </w:r>
          </w:p>
        </w:tc>
      </w:tr>
      <w:tr w14:paraId="65229AA8"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3E5FFE" w14:paraId="725C973B" w14:textId="7BA56972">
            <w:pPr>
              <w:spacing w:after="0" w:line="240" w:lineRule="auto"/>
              <w:outlineLvl w:val="0"/>
              <w:rPr>
                <w:rFonts w:ascii="Times New Roman" w:hAnsi="Times New Roman"/>
                <w:b/>
                <w:bCs/>
                <w:sz w:val="20"/>
                <w:szCs w:val="20"/>
              </w:rPr>
            </w:pPr>
            <w:r w:rsidRPr="004F447F">
              <w:rPr>
                <w:rFonts w:ascii="Times New Roman" w:hAnsi="Times New Roman"/>
                <w:b/>
                <w:bCs/>
                <w:sz w:val="20"/>
                <w:szCs w:val="20"/>
              </w:rPr>
              <w:t>4. Annual Medical Examination with Additional Tests (§§ 1910.1026(k)(2)(ii) and (k)(3)(i)-(k)(3)(iii); 1915.1026(i)(2)(ii) and (i)(3)(i)-(i)(3)(iii); and 1926.1126(i)(2)(ii) and (i)(3)(i)-(i)(3)(ii)) </w:t>
            </w:r>
          </w:p>
        </w:tc>
      </w:tr>
      <w:tr w14:paraId="2AD1F2DE" w14:textId="77777777" w:rsidTr="0003780B">
        <w:tblPrEx>
          <w:tblW w:w="0" w:type="auto"/>
          <w:jc w:val="center"/>
          <w:tblLook w:val="04A0"/>
        </w:tblPrEx>
        <w:trPr>
          <w:trHeight w:val="530"/>
          <w:jc w:val="center"/>
        </w:trPr>
        <w:tc>
          <w:tcPr>
            <w:tcW w:w="5027" w:type="dxa"/>
            <w:hideMark/>
          </w:tcPr>
          <w:p w:rsidR="000B0B8F" w:rsidRPr="004F447F" w:rsidP="008A04CC" w14:paraId="7B941258"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Annual Medical Examination with Additional Tests (Table 26)</w:t>
            </w:r>
          </w:p>
        </w:tc>
        <w:tc>
          <w:tcPr>
            <w:tcW w:w="1489" w:type="dxa"/>
            <w:vAlign w:val="center"/>
            <w:hideMark/>
          </w:tcPr>
          <w:p w:rsidR="000B0B8F" w:rsidRPr="004F447F" w:rsidP="008A04CC" w14:paraId="7A90A8B6"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852</w:t>
            </w:r>
          </w:p>
        </w:tc>
        <w:tc>
          <w:tcPr>
            <w:tcW w:w="1459" w:type="dxa"/>
            <w:vAlign w:val="center"/>
            <w:hideMark/>
          </w:tcPr>
          <w:p w:rsidR="000B0B8F" w:rsidRPr="004F447F" w:rsidP="008A04CC" w14:paraId="1AA539F1" w14:textId="77777777">
            <w:pPr>
              <w:spacing w:after="0" w:line="240" w:lineRule="auto"/>
              <w:jc w:val="right"/>
              <w:outlineLvl w:val="0"/>
              <w:rPr>
                <w:rFonts w:ascii="Times New Roman" w:hAnsi="Times New Roman"/>
                <w:sz w:val="20"/>
                <w:szCs w:val="20"/>
              </w:rPr>
            </w:pPr>
            <w:r>
              <w:rPr>
                <w:rFonts w:ascii="Times New Roman" w:hAnsi="Times New Roman"/>
                <w:sz w:val="20"/>
                <w:szCs w:val="20"/>
              </w:rPr>
              <w:t>1,077</w:t>
            </w:r>
          </w:p>
        </w:tc>
        <w:tc>
          <w:tcPr>
            <w:tcW w:w="1375" w:type="dxa"/>
            <w:vAlign w:val="center"/>
            <w:hideMark/>
          </w:tcPr>
          <w:p w:rsidR="000B0B8F" w:rsidRPr="004F447F" w:rsidP="008A04CC" w14:paraId="4FAC94B6" w14:textId="77777777">
            <w:pPr>
              <w:spacing w:after="0" w:line="240" w:lineRule="auto"/>
              <w:jc w:val="right"/>
              <w:outlineLvl w:val="0"/>
              <w:rPr>
                <w:rFonts w:ascii="Times New Roman" w:hAnsi="Times New Roman"/>
                <w:sz w:val="20"/>
                <w:szCs w:val="20"/>
              </w:rPr>
            </w:pPr>
            <w:r>
              <w:rPr>
                <w:rFonts w:ascii="Times New Roman" w:hAnsi="Times New Roman"/>
                <w:sz w:val="20"/>
                <w:szCs w:val="20"/>
              </w:rPr>
              <w:t>225</w:t>
            </w:r>
          </w:p>
        </w:tc>
      </w:tr>
      <w:tr w14:paraId="121ACD14"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3E5FFE" w14:paraId="208E673A" w14:textId="0CA398F4">
            <w:pPr>
              <w:spacing w:after="0" w:line="240" w:lineRule="auto"/>
              <w:outlineLvl w:val="0"/>
              <w:rPr>
                <w:rFonts w:ascii="Times New Roman" w:hAnsi="Times New Roman"/>
                <w:b/>
                <w:bCs/>
                <w:sz w:val="20"/>
                <w:szCs w:val="20"/>
              </w:rPr>
            </w:pPr>
            <w:r w:rsidRPr="004F447F">
              <w:rPr>
                <w:rFonts w:ascii="Times New Roman" w:hAnsi="Times New Roman"/>
                <w:b/>
                <w:bCs/>
                <w:sz w:val="20"/>
                <w:szCs w:val="20"/>
              </w:rPr>
              <w:t>5. Medical Examination After Initial Assignment (§§1910.1026(k)(2)(i), (k)(3)(i), and (k)(3)(ii);1915.1026(i)(2)(i), (i)(3)(i), and (i)(3)(ii); and 1926.1126(i)(2)(i), (i)(3)(i), and (i)(3)(ii)) </w:t>
            </w:r>
          </w:p>
        </w:tc>
      </w:tr>
      <w:tr w14:paraId="189249B4" w14:textId="77777777" w:rsidTr="0003780B">
        <w:tblPrEx>
          <w:tblW w:w="0" w:type="auto"/>
          <w:jc w:val="center"/>
          <w:tblLook w:val="04A0"/>
        </w:tblPrEx>
        <w:trPr>
          <w:trHeight w:val="530"/>
          <w:jc w:val="center"/>
        </w:trPr>
        <w:tc>
          <w:tcPr>
            <w:tcW w:w="5027" w:type="dxa"/>
            <w:hideMark/>
          </w:tcPr>
          <w:p w:rsidR="000B0B8F" w:rsidRPr="004F447F" w:rsidP="008A04CC" w14:paraId="293A23CD"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Medical Examination After Initial Assignment (Table 28)</w:t>
            </w:r>
          </w:p>
        </w:tc>
        <w:tc>
          <w:tcPr>
            <w:tcW w:w="1489" w:type="dxa"/>
            <w:vAlign w:val="center"/>
            <w:hideMark/>
          </w:tcPr>
          <w:p w:rsidR="000B0B8F" w:rsidRPr="004F447F" w:rsidP="008A04CC" w14:paraId="367C3768"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52,572</w:t>
            </w:r>
          </w:p>
        </w:tc>
        <w:tc>
          <w:tcPr>
            <w:tcW w:w="1459" w:type="dxa"/>
            <w:vAlign w:val="center"/>
            <w:hideMark/>
          </w:tcPr>
          <w:p w:rsidR="000B0B8F" w:rsidRPr="004F447F" w:rsidP="008A04CC" w14:paraId="566652A4" w14:textId="77777777">
            <w:pPr>
              <w:spacing w:after="0" w:line="240" w:lineRule="auto"/>
              <w:jc w:val="right"/>
              <w:outlineLvl w:val="0"/>
              <w:rPr>
                <w:rFonts w:ascii="Times New Roman" w:hAnsi="Times New Roman"/>
                <w:sz w:val="20"/>
                <w:szCs w:val="20"/>
              </w:rPr>
            </w:pPr>
            <w:r>
              <w:rPr>
                <w:rFonts w:ascii="Times New Roman" w:hAnsi="Times New Roman"/>
                <w:sz w:val="20"/>
                <w:szCs w:val="20"/>
              </w:rPr>
              <w:t>56,612</w:t>
            </w:r>
          </w:p>
        </w:tc>
        <w:tc>
          <w:tcPr>
            <w:tcW w:w="1375" w:type="dxa"/>
            <w:vAlign w:val="center"/>
            <w:hideMark/>
          </w:tcPr>
          <w:p w:rsidR="000B0B8F" w:rsidRPr="004F447F" w:rsidP="008A04CC" w14:paraId="2E7D50D2" w14:textId="77777777">
            <w:pPr>
              <w:spacing w:after="0" w:line="240" w:lineRule="auto"/>
              <w:jc w:val="right"/>
              <w:outlineLvl w:val="0"/>
              <w:rPr>
                <w:rFonts w:ascii="Times New Roman" w:hAnsi="Times New Roman"/>
                <w:sz w:val="20"/>
                <w:szCs w:val="20"/>
              </w:rPr>
            </w:pPr>
            <w:r>
              <w:rPr>
                <w:rFonts w:ascii="Times New Roman" w:hAnsi="Times New Roman"/>
                <w:sz w:val="20"/>
                <w:szCs w:val="20"/>
              </w:rPr>
              <w:t>4,040</w:t>
            </w:r>
          </w:p>
        </w:tc>
      </w:tr>
      <w:tr w14:paraId="7E25D60D"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8A04CC" w14:paraId="111F705A" w14:textId="33F0467B">
            <w:pPr>
              <w:spacing w:after="0" w:line="240" w:lineRule="auto"/>
              <w:outlineLvl w:val="0"/>
              <w:rPr>
                <w:rFonts w:ascii="Times New Roman" w:hAnsi="Times New Roman"/>
                <w:b/>
                <w:bCs/>
                <w:sz w:val="20"/>
                <w:szCs w:val="20"/>
              </w:rPr>
            </w:pPr>
            <w:r w:rsidRPr="004F447F">
              <w:rPr>
                <w:rFonts w:ascii="Times New Roman" w:hAnsi="Times New Roman"/>
                <w:b/>
                <w:bCs/>
                <w:sz w:val="20"/>
                <w:szCs w:val="20"/>
              </w:rPr>
              <w:t>6. Medical Examination at the Termination of Employment (§§ 1910.1026(k)(2)(vi) and (k)(3)(i)-(k)(3)(iii); 1915.1026(i)(2)(vi) and (i)(3)(i)-(i)(3)(iii); and 1926.1126(i)(2)(vi) and (i)(3)(i)-(i)(3)(ii))</w:t>
            </w:r>
          </w:p>
        </w:tc>
      </w:tr>
      <w:tr w14:paraId="5653D5A5" w14:textId="77777777" w:rsidTr="0003780B">
        <w:tblPrEx>
          <w:tblW w:w="0" w:type="auto"/>
          <w:jc w:val="center"/>
          <w:tblLook w:val="04A0"/>
        </w:tblPrEx>
        <w:trPr>
          <w:trHeight w:val="530"/>
          <w:jc w:val="center"/>
        </w:trPr>
        <w:tc>
          <w:tcPr>
            <w:tcW w:w="5027" w:type="dxa"/>
            <w:hideMark/>
          </w:tcPr>
          <w:p w:rsidR="000B0B8F" w:rsidRPr="004F447F" w:rsidP="008A04CC" w14:paraId="0C91BB1E"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Time and Cost to Complete the Medical Examination at the Termination of Employment (Table 30)</w:t>
            </w:r>
          </w:p>
        </w:tc>
        <w:tc>
          <w:tcPr>
            <w:tcW w:w="1489" w:type="dxa"/>
            <w:vAlign w:val="center"/>
            <w:hideMark/>
          </w:tcPr>
          <w:p w:rsidR="000B0B8F" w:rsidRPr="004F447F" w:rsidP="008A04CC" w14:paraId="4DC43441"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48,768</w:t>
            </w:r>
          </w:p>
        </w:tc>
        <w:tc>
          <w:tcPr>
            <w:tcW w:w="1459" w:type="dxa"/>
            <w:vAlign w:val="center"/>
            <w:hideMark/>
          </w:tcPr>
          <w:p w:rsidR="000B0B8F" w:rsidRPr="004F447F" w:rsidP="008A04CC" w14:paraId="7B1590F4" w14:textId="77777777">
            <w:pPr>
              <w:spacing w:after="0" w:line="240" w:lineRule="auto"/>
              <w:jc w:val="right"/>
              <w:outlineLvl w:val="0"/>
              <w:rPr>
                <w:rFonts w:ascii="Times New Roman" w:hAnsi="Times New Roman"/>
                <w:sz w:val="20"/>
                <w:szCs w:val="20"/>
              </w:rPr>
            </w:pPr>
            <w:r>
              <w:rPr>
                <w:rFonts w:ascii="Times New Roman" w:hAnsi="Times New Roman"/>
                <w:sz w:val="20"/>
                <w:szCs w:val="20"/>
              </w:rPr>
              <w:t>57,672</w:t>
            </w:r>
          </w:p>
        </w:tc>
        <w:tc>
          <w:tcPr>
            <w:tcW w:w="1375" w:type="dxa"/>
            <w:vAlign w:val="center"/>
            <w:hideMark/>
          </w:tcPr>
          <w:p w:rsidR="000B0B8F" w:rsidRPr="004F447F" w:rsidP="008A04CC" w14:paraId="0566DDB3" w14:textId="77777777">
            <w:pPr>
              <w:spacing w:after="0" w:line="240" w:lineRule="auto"/>
              <w:jc w:val="right"/>
              <w:outlineLvl w:val="0"/>
              <w:rPr>
                <w:rFonts w:ascii="Times New Roman" w:hAnsi="Times New Roman"/>
                <w:sz w:val="20"/>
                <w:szCs w:val="20"/>
              </w:rPr>
            </w:pPr>
            <w:r>
              <w:rPr>
                <w:rFonts w:ascii="Times New Roman" w:hAnsi="Times New Roman"/>
                <w:sz w:val="20"/>
                <w:szCs w:val="20"/>
              </w:rPr>
              <w:t>8,904</w:t>
            </w:r>
          </w:p>
        </w:tc>
      </w:tr>
      <w:tr w14:paraId="50C539C2" w14:textId="77777777" w:rsidTr="003E5FFE">
        <w:tblPrEx>
          <w:tblW w:w="0" w:type="auto"/>
          <w:jc w:val="center"/>
          <w:tblLook w:val="04A0"/>
        </w:tblPrEx>
        <w:trPr>
          <w:trHeight w:val="270"/>
          <w:jc w:val="center"/>
        </w:trPr>
        <w:tc>
          <w:tcPr>
            <w:tcW w:w="9350" w:type="dxa"/>
            <w:gridSpan w:val="4"/>
            <w:shd w:val="clear" w:color="auto" w:fill="B4C6E7" w:themeFill="accent1" w:themeFillTint="66"/>
            <w:noWrap/>
            <w:hideMark/>
          </w:tcPr>
          <w:p w:rsidR="00121744" w:rsidRPr="003E5FFE" w:rsidP="003E5FFE" w14:paraId="3B629A46" w14:textId="54F6D4B0">
            <w:pPr>
              <w:spacing w:after="0" w:line="240" w:lineRule="auto"/>
              <w:outlineLvl w:val="0"/>
              <w:rPr>
                <w:rFonts w:ascii="Times New Roman" w:hAnsi="Times New Roman"/>
                <w:b/>
                <w:bCs/>
                <w:sz w:val="20"/>
                <w:szCs w:val="20"/>
              </w:rPr>
            </w:pPr>
            <w:r w:rsidRPr="004F447F">
              <w:rPr>
                <w:rFonts w:ascii="Times New Roman" w:hAnsi="Times New Roman"/>
                <w:b/>
                <w:bCs/>
                <w:sz w:val="20"/>
                <w:szCs w:val="20"/>
              </w:rPr>
              <w:t>7. Information Provided to the PLHCP (§§ 1910.1026(k)(4), 1915.1026(i)(4), and 1926.1126(i)(4)) </w:t>
            </w:r>
            <w:r w:rsidRPr="004F447F">
              <w:rPr>
                <w:rFonts w:ascii="Times New Roman" w:hAnsi="Times New Roman"/>
                <w:sz w:val="20"/>
                <w:szCs w:val="20"/>
              </w:rPr>
              <w:t> </w:t>
            </w:r>
          </w:p>
        </w:tc>
      </w:tr>
      <w:tr w14:paraId="4D055C40" w14:textId="77777777" w:rsidTr="0003780B">
        <w:tblPrEx>
          <w:tblW w:w="0" w:type="auto"/>
          <w:jc w:val="center"/>
          <w:tblLook w:val="04A0"/>
        </w:tblPrEx>
        <w:trPr>
          <w:trHeight w:val="530"/>
          <w:jc w:val="center"/>
        </w:trPr>
        <w:tc>
          <w:tcPr>
            <w:tcW w:w="5027" w:type="dxa"/>
            <w:hideMark/>
          </w:tcPr>
          <w:p w:rsidR="000B0B8F" w:rsidRPr="004F447F" w:rsidP="008A04CC" w14:paraId="3945A882"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Clerical Time and Cost to Provide Information to the PLHCP (Table 32)</w:t>
            </w:r>
          </w:p>
        </w:tc>
        <w:tc>
          <w:tcPr>
            <w:tcW w:w="1489" w:type="dxa"/>
            <w:vAlign w:val="center"/>
            <w:hideMark/>
          </w:tcPr>
          <w:p w:rsidR="000B0B8F" w:rsidRPr="004F447F" w:rsidP="008A04CC" w14:paraId="405E65AF"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9,682</w:t>
            </w:r>
          </w:p>
        </w:tc>
        <w:tc>
          <w:tcPr>
            <w:tcW w:w="1459" w:type="dxa"/>
            <w:vAlign w:val="center"/>
            <w:hideMark/>
          </w:tcPr>
          <w:p w:rsidR="000B0B8F" w:rsidRPr="004F447F" w:rsidP="008A04CC" w14:paraId="006FB7FB" w14:textId="77777777">
            <w:pPr>
              <w:spacing w:after="0" w:line="240" w:lineRule="auto"/>
              <w:jc w:val="right"/>
              <w:outlineLvl w:val="0"/>
              <w:rPr>
                <w:rFonts w:ascii="Times New Roman" w:hAnsi="Times New Roman"/>
                <w:sz w:val="20"/>
                <w:szCs w:val="20"/>
              </w:rPr>
            </w:pPr>
            <w:r>
              <w:rPr>
                <w:rFonts w:ascii="Times New Roman" w:hAnsi="Times New Roman"/>
                <w:sz w:val="20"/>
                <w:szCs w:val="20"/>
              </w:rPr>
              <w:t>11,147</w:t>
            </w:r>
          </w:p>
        </w:tc>
        <w:tc>
          <w:tcPr>
            <w:tcW w:w="1375" w:type="dxa"/>
            <w:vAlign w:val="center"/>
            <w:hideMark/>
          </w:tcPr>
          <w:p w:rsidR="000B0B8F" w:rsidRPr="004F447F" w:rsidP="008A04CC" w14:paraId="58F1BDA6" w14:textId="77777777">
            <w:pPr>
              <w:spacing w:after="0" w:line="240" w:lineRule="auto"/>
              <w:jc w:val="right"/>
              <w:outlineLvl w:val="0"/>
              <w:rPr>
                <w:rFonts w:ascii="Times New Roman" w:hAnsi="Times New Roman"/>
                <w:sz w:val="20"/>
                <w:szCs w:val="20"/>
              </w:rPr>
            </w:pPr>
            <w:r>
              <w:rPr>
                <w:rFonts w:ascii="Times New Roman" w:hAnsi="Times New Roman"/>
                <w:sz w:val="20"/>
                <w:szCs w:val="20"/>
              </w:rPr>
              <w:t>1,465</w:t>
            </w:r>
          </w:p>
        </w:tc>
      </w:tr>
      <w:tr w14:paraId="59AE9652" w14:textId="77777777" w:rsidTr="003E5FFE">
        <w:tblPrEx>
          <w:tblW w:w="0" w:type="auto"/>
          <w:jc w:val="center"/>
          <w:tblLook w:val="04A0"/>
        </w:tblPrEx>
        <w:trPr>
          <w:trHeight w:val="270"/>
          <w:jc w:val="center"/>
        </w:trPr>
        <w:tc>
          <w:tcPr>
            <w:tcW w:w="9350" w:type="dxa"/>
            <w:gridSpan w:val="4"/>
            <w:shd w:val="clear" w:color="auto" w:fill="B4C6E7" w:themeFill="accent1" w:themeFillTint="66"/>
            <w:hideMark/>
          </w:tcPr>
          <w:p w:rsidR="00121744" w:rsidRPr="003E5FFE" w:rsidP="003E5FFE" w14:paraId="328CABFB" w14:textId="6F7A1286">
            <w:pPr>
              <w:spacing w:after="0" w:line="240" w:lineRule="auto"/>
              <w:outlineLvl w:val="0"/>
              <w:rPr>
                <w:rFonts w:ascii="Times New Roman" w:hAnsi="Times New Roman"/>
                <w:b/>
                <w:bCs/>
                <w:sz w:val="20"/>
                <w:szCs w:val="20"/>
              </w:rPr>
            </w:pPr>
            <w:r w:rsidRPr="004F447F">
              <w:rPr>
                <w:rFonts w:ascii="Times New Roman" w:hAnsi="Times New Roman"/>
                <w:b/>
                <w:bCs/>
                <w:sz w:val="20"/>
                <w:szCs w:val="20"/>
              </w:rPr>
              <w:t>8. PLHCP’s Written Medical Opinion  </w:t>
            </w:r>
            <w:r w:rsidRPr="004F447F">
              <w:rPr>
                <w:rFonts w:ascii="Times New Roman" w:hAnsi="Times New Roman"/>
                <w:sz w:val="20"/>
                <w:szCs w:val="20"/>
              </w:rPr>
              <w:t> </w:t>
            </w:r>
          </w:p>
        </w:tc>
      </w:tr>
      <w:tr w14:paraId="39D64C43" w14:textId="77777777" w:rsidTr="0003780B">
        <w:tblPrEx>
          <w:tblW w:w="0" w:type="auto"/>
          <w:jc w:val="center"/>
          <w:tblLook w:val="04A0"/>
        </w:tblPrEx>
        <w:trPr>
          <w:trHeight w:val="530"/>
          <w:jc w:val="center"/>
        </w:trPr>
        <w:tc>
          <w:tcPr>
            <w:tcW w:w="5027" w:type="dxa"/>
            <w:hideMark/>
          </w:tcPr>
          <w:p w:rsidR="000B0B8F" w:rsidRPr="004F447F" w:rsidP="008A04CC" w14:paraId="19C9B556"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a. Employee and Clerical Time and Cost to Provide the PLHCP’s Written Medical Opinion to Employee (</w:t>
            </w:r>
            <w:r>
              <w:rPr>
                <w:rFonts w:ascii="Times New Roman" w:hAnsi="Times New Roman"/>
                <w:sz w:val="20"/>
                <w:szCs w:val="20"/>
              </w:rPr>
              <w:t>B</w:t>
            </w:r>
            <w:r w:rsidRPr="004F447F">
              <w:rPr>
                <w:rFonts w:ascii="Times New Roman" w:hAnsi="Times New Roman"/>
                <w:sz w:val="20"/>
                <w:szCs w:val="20"/>
              </w:rPr>
              <w:t>urden taken in Table 33)</w:t>
            </w:r>
          </w:p>
        </w:tc>
        <w:tc>
          <w:tcPr>
            <w:tcW w:w="1489" w:type="dxa"/>
            <w:vAlign w:val="center"/>
            <w:hideMark/>
          </w:tcPr>
          <w:p w:rsidR="000B0B8F" w:rsidRPr="004F447F" w:rsidP="008A04CC" w14:paraId="6A3E6D25"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0</w:t>
            </w:r>
          </w:p>
        </w:tc>
        <w:tc>
          <w:tcPr>
            <w:tcW w:w="1459" w:type="dxa"/>
            <w:vAlign w:val="center"/>
            <w:hideMark/>
          </w:tcPr>
          <w:p w:rsidR="000B0B8F" w:rsidRPr="004F447F" w:rsidP="008A04CC" w14:paraId="77EE1A86"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0</w:t>
            </w:r>
          </w:p>
        </w:tc>
        <w:tc>
          <w:tcPr>
            <w:tcW w:w="1375" w:type="dxa"/>
            <w:vAlign w:val="center"/>
            <w:hideMark/>
          </w:tcPr>
          <w:p w:rsidR="000B0B8F" w:rsidRPr="004F447F" w:rsidP="008A04CC" w14:paraId="047C9114"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0</w:t>
            </w:r>
          </w:p>
        </w:tc>
      </w:tr>
      <w:tr w14:paraId="0EB0961F" w14:textId="77777777" w:rsidTr="003E5FFE">
        <w:tblPrEx>
          <w:tblW w:w="0" w:type="auto"/>
          <w:jc w:val="center"/>
          <w:tblLook w:val="04A0"/>
        </w:tblPrEx>
        <w:trPr>
          <w:trHeight w:val="270"/>
          <w:jc w:val="center"/>
        </w:trPr>
        <w:tc>
          <w:tcPr>
            <w:tcW w:w="9350" w:type="dxa"/>
            <w:gridSpan w:val="4"/>
            <w:shd w:val="clear" w:color="auto" w:fill="DEEBF6" w:themeFill="accent5" w:themeFillTint="33"/>
            <w:noWrap/>
            <w:hideMark/>
          </w:tcPr>
          <w:p w:rsidR="0003780B" w:rsidRPr="003E5FFE" w:rsidP="003E5FFE" w14:paraId="04460EC0" w14:textId="1BA82C89">
            <w:pPr>
              <w:spacing w:after="0" w:line="240" w:lineRule="auto"/>
              <w:outlineLvl w:val="0"/>
              <w:rPr>
                <w:rFonts w:ascii="Times New Roman" w:hAnsi="Times New Roman"/>
                <w:b/>
                <w:bCs/>
                <w:sz w:val="20"/>
                <w:szCs w:val="20"/>
              </w:rPr>
            </w:pPr>
            <w:r w:rsidRPr="004F447F">
              <w:rPr>
                <w:rFonts w:ascii="Times New Roman" w:hAnsi="Times New Roman"/>
                <w:b/>
                <w:bCs/>
                <w:sz w:val="20"/>
                <w:szCs w:val="20"/>
              </w:rPr>
              <w:t>E. Recordkeeping (§§ 1910.1026(m), 1915.1026(k), and 1926.1126(k)) </w:t>
            </w:r>
          </w:p>
        </w:tc>
      </w:tr>
      <w:tr w14:paraId="382B3118" w14:textId="77777777" w:rsidTr="0003780B">
        <w:tblPrEx>
          <w:tblW w:w="0" w:type="auto"/>
          <w:jc w:val="center"/>
          <w:tblLook w:val="04A0"/>
        </w:tblPrEx>
        <w:trPr>
          <w:trHeight w:val="80"/>
          <w:jc w:val="center"/>
        </w:trPr>
        <w:tc>
          <w:tcPr>
            <w:tcW w:w="5027" w:type="dxa"/>
            <w:hideMark/>
          </w:tcPr>
          <w:p w:rsidR="000B0B8F" w:rsidRPr="004F447F" w:rsidP="008A04CC" w14:paraId="277BE9D9" w14:textId="77777777">
            <w:pPr>
              <w:spacing w:after="0" w:line="240" w:lineRule="auto"/>
              <w:outlineLvl w:val="0"/>
              <w:rPr>
                <w:rFonts w:ascii="Times New Roman" w:hAnsi="Times New Roman"/>
                <w:sz w:val="20"/>
                <w:szCs w:val="20"/>
              </w:rPr>
            </w:pPr>
            <w:r w:rsidRPr="004F447F">
              <w:rPr>
                <w:rFonts w:ascii="Times New Roman" w:hAnsi="Times New Roman"/>
                <w:sz w:val="20"/>
                <w:szCs w:val="20"/>
              </w:rPr>
              <w:t xml:space="preserve">a. Clerical Time and Cost to Establish and Maintain Record for Air Monitoring Data and Medical Surveillance </w:t>
            </w:r>
            <w:r>
              <w:rPr>
                <w:rFonts w:ascii="Times New Roman" w:hAnsi="Times New Roman"/>
                <w:sz w:val="20"/>
                <w:szCs w:val="20"/>
              </w:rPr>
              <w:t xml:space="preserve">     </w:t>
            </w:r>
            <w:r w:rsidRPr="004F447F">
              <w:rPr>
                <w:rFonts w:ascii="Times New Roman" w:hAnsi="Times New Roman"/>
                <w:sz w:val="20"/>
                <w:szCs w:val="20"/>
              </w:rPr>
              <w:t>(Table 33)</w:t>
            </w:r>
          </w:p>
        </w:tc>
        <w:tc>
          <w:tcPr>
            <w:tcW w:w="1489" w:type="dxa"/>
            <w:vAlign w:val="center"/>
            <w:hideMark/>
          </w:tcPr>
          <w:p w:rsidR="000B0B8F" w:rsidRPr="004F447F" w:rsidP="008A04CC" w14:paraId="57C6E15A" w14:textId="77777777">
            <w:pPr>
              <w:spacing w:after="0" w:line="240" w:lineRule="auto"/>
              <w:jc w:val="right"/>
              <w:outlineLvl w:val="0"/>
              <w:rPr>
                <w:rFonts w:ascii="Times New Roman" w:hAnsi="Times New Roman"/>
                <w:sz w:val="20"/>
                <w:szCs w:val="20"/>
              </w:rPr>
            </w:pPr>
            <w:r w:rsidRPr="004F447F">
              <w:rPr>
                <w:rFonts w:ascii="Times New Roman" w:hAnsi="Times New Roman"/>
                <w:sz w:val="20"/>
                <w:szCs w:val="20"/>
              </w:rPr>
              <w:t>34,267</w:t>
            </w:r>
          </w:p>
        </w:tc>
        <w:tc>
          <w:tcPr>
            <w:tcW w:w="1459" w:type="dxa"/>
            <w:vAlign w:val="center"/>
            <w:hideMark/>
          </w:tcPr>
          <w:p w:rsidR="000B0B8F" w:rsidRPr="004F447F" w:rsidP="008A04CC" w14:paraId="03C02A64" w14:textId="77777777">
            <w:pPr>
              <w:spacing w:after="0" w:line="240" w:lineRule="auto"/>
              <w:jc w:val="right"/>
              <w:outlineLvl w:val="0"/>
              <w:rPr>
                <w:rFonts w:ascii="Times New Roman" w:hAnsi="Times New Roman"/>
                <w:sz w:val="20"/>
                <w:szCs w:val="20"/>
              </w:rPr>
            </w:pPr>
            <w:r>
              <w:rPr>
                <w:rFonts w:ascii="Times New Roman" w:hAnsi="Times New Roman"/>
                <w:sz w:val="20"/>
                <w:szCs w:val="20"/>
              </w:rPr>
              <w:t>39,522</w:t>
            </w:r>
          </w:p>
        </w:tc>
        <w:tc>
          <w:tcPr>
            <w:tcW w:w="1375" w:type="dxa"/>
            <w:vAlign w:val="center"/>
            <w:hideMark/>
          </w:tcPr>
          <w:p w:rsidR="000B0B8F" w:rsidRPr="004F447F" w:rsidP="008A04CC" w14:paraId="7E26F8FE" w14:textId="77777777">
            <w:pPr>
              <w:spacing w:after="0" w:line="240" w:lineRule="auto"/>
              <w:jc w:val="right"/>
              <w:outlineLvl w:val="0"/>
              <w:rPr>
                <w:rFonts w:ascii="Times New Roman" w:hAnsi="Times New Roman"/>
                <w:sz w:val="20"/>
                <w:szCs w:val="20"/>
              </w:rPr>
            </w:pPr>
            <w:r>
              <w:rPr>
                <w:rFonts w:ascii="Times New Roman" w:hAnsi="Times New Roman"/>
                <w:sz w:val="20"/>
                <w:szCs w:val="20"/>
              </w:rPr>
              <w:t>5,255</w:t>
            </w:r>
          </w:p>
        </w:tc>
      </w:tr>
      <w:tr w14:paraId="7BB77694" w14:textId="77777777" w:rsidTr="003E5FFE">
        <w:tblPrEx>
          <w:tblW w:w="0" w:type="auto"/>
          <w:jc w:val="center"/>
          <w:tblLook w:val="04A0"/>
        </w:tblPrEx>
        <w:trPr>
          <w:trHeight w:val="270"/>
          <w:jc w:val="center"/>
        </w:trPr>
        <w:tc>
          <w:tcPr>
            <w:tcW w:w="5027" w:type="dxa"/>
            <w:shd w:val="clear" w:color="auto" w:fill="00B0F0"/>
            <w:hideMark/>
          </w:tcPr>
          <w:p w:rsidR="000B0B8F" w:rsidRPr="004F447F" w:rsidP="008A04CC" w14:paraId="6C073344" w14:textId="77777777">
            <w:pPr>
              <w:spacing w:after="0" w:line="240" w:lineRule="auto"/>
              <w:outlineLvl w:val="0"/>
              <w:rPr>
                <w:rFonts w:ascii="Times New Roman" w:hAnsi="Times New Roman"/>
                <w:b/>
                <w:bCs/>
                <w:sz w:val="20"/>
                <w:szCs w:val="20"/>
              </w:rPr>
            </w:pPr>
            <w:r w:rsidRPr="004F447F">
              <w:rPr>
                <w:rFonts w:ascii="Times New Roman" w:hAnsi="Times New Roman"/>
                <w:b/>
                <w:bCs/>
                <w:sz w:val="20"/>
                <w:szCs w:val="20"/>
              </w:rPr>
              <w:t xml:space="preserve">TOTAL </w:t>
            </w:r>
          </w:p>
        </w:tc>
        <w:tc>
          <w:tcPr>
            <w:tcW w:w="1489" w:type="dxa"/>
            <w:shd w:val="clear" w:color="auto" w:fill="00B0F0"/>
            <w:vAlign w:val="center"/>
            <w:hideMark/>
          </w:tcPr>
          <w:p w:rsidR="000B0B8F" w:rsidRPr="004F447F" w:rsidP="008A04CC" w14:paraId="6B46B7D4" w14:textId="77777777">
            <w:pPr>
              <w:spacing w:after="0" w:line="240" w:lineRule="auto"/>
              <w:jc w:val="right"/>
              <w:outlineLvl w:val="0"/>
              <w:rPr>
                <w:rFonts w:ascii="Times New Roman" w:hAnsi="Times New Roman"/>
                <w:b/>
                <w:bCs/>
                <w:sz w:val="20"/>
                <w:szCs w:val="20"/>
              </w:rPr>
            </w:pPr>
            <w:r w:rsidRPr="004F447F">
              <w:rPr>
                <w:rFonts w:ascii="Times New Roman" w:hAnsi="Times New Roman"/>
                <w:b/>
                <w:bCs/>
                <w:sz w:val="20"/>
                <w:szCs w:val="20"/>
              </w:rPr>
              <w:t>429,</w:t>
            </w:r>
            <w:r>
              <w:rPr>
                <w:rFonts w:ascii="Times New Roman" w:hAnsi="Times New Roman"/>
                <w:b/>
                <w:bCs/>
                <w:sz w:val="20"/>
                <w:szCs w:val="20"/>
              </w:rPr>
              <w:t>293</w:t>
            </w:r>
          </w:p>
        </w:tc>
        <w:tc>
          <w:tcPr>
            <w:tcW w:w="1459" w:type="dxa"/>
            <w:shd w:val="clear" w:color="auto" w:fill="00B0F0"/>
            <w:vAlign w:val="center"/>
            <w:hideMark/>
          </w:tcPr>
          <w:p w:rsidR="000B0B8F" w:rsidRPr="004F447F" w:rsidP="008A04CC" w14:paraId="1307313C" w14:textId="2E7AE69E">
            <w:pPr>
              <w:spacing w:after="0" w:line="240" w:lineRule="auto"/>
              <w:jc w:val="right"/>
              <w:outlineLvl w:val="0"/>
              <w:rPr>
                <w:rFonts w:ascii="Times New Roman" w:hAnsi="Times New Roman"/>
                <w:b/>
                <w:bCs/>
                <w:sz w:val="20"/>
                <w:szCs w:val="20"/>
              </w:rPr>
            </w:pPr>
            <w:r>
              <w:rPr>
                <w:rFonts w:ascii="Times New Roman" w:hAnsi="Times New Roman"/>
                <w:b/>
                <w:bCs/>
                <w:sz w:val="20"/>
                <w:szCs w:val="20"/>
              </w:rPr>
              <w:t>506,</w:t>
            </w:r>
            <w:r w:rsidR="00FE7C03">
              <w:rPr>
                <w:rFonts w:ascii="Times New Roman" w:hAnsi="Times New Roman"/>
                <w:b/>
                <w:bCs/>
                <w:sz w:val="20"/>
                <w:szCs w:val="20"/>
              </w:rPr>
              <w:t>685</w:t>
            </w:r>
          </w:p>
        </w:tc>
        <w:tc>
          <w:tcPr>
            <w:tcW w:w="1375" w:type="dxa"/>
            <w:shd w:val="clear" w:color="auto" w:fill="00B0F0"/>
            <w:vAlign w:val="center"/>
            <w:hideMark/>
          </w:tcPr>
          <w:p w:rsidR="000B0B8F" w:rsidRPr="007D3789" w:rsidP="008A04CC" w14:paraId="15F88FF5" w14:textId="3BEE0F9E">
            <w:pPr>
              <w:spacing w:after="0" w:line="240" w:lineRule="auto"/>
              <w:jc w:val="right"/>
              <w:outlineLvl w:val="0"/>
              <w:rPr>
                <w:rFonts w:ascii="Times New Roman" w:hAnsi="Times New Roman"/>
                <w:b/>
                <w:bCs/>
                <w:sz w:val="20"/>
                <w:szCs w:val="20"/>
              </w:rPr>
            </w:pPr>
            <w:r>
              <w:rPr>
                <w:rFonts w:ascii="Times New Roman" w:hAnsi="Times New Roman"/>
                <w:b/>
                <w:bCs/>
                <w:sz w:val="20"/>
                <w:szCs w:val="20"/>
              </w:rPr>
              <w:t>77,</w:t>
            </w:r>
            <w:r w:rsidR="00C91D3C">
              <w:rPr>
                <w:rFonts w:ascii="Times New Roman" w:hAnsi="Times New Roman"/>
                <w:b/>
                <w:bCs/>
                <w:sz w:val="20"/>
                <w:szCs w:val="20"/>
              </w:rPr>
              <w:t>392</w:t>
            </w:r>
          </w:p>
        </w:tc>
      </w:tr>
    </w:tbl>
    <w:p w:rsidR="000B0B8F" w:rsidRPr="00733EBC" w:rsidP="000B0B8F" w14:paraId="484CFE08" w14:textId="77777777">
      <w:pPr>
        <w:spacing w:after="0" w:line="240" w:lineRule="auto"/>
        <w:outlineLvl w:val="0"/>
        <w:rPr>
          <w:rFonts w:ascii="Times New Roman" w:hAnsi="Times New Roman"/>
          <w:sz w:val="24"/>
          <w:szCs w:val="24"/>
          <w:lang w:val="en-JM"/>
        </w:rPr>
      </w:pPr>
    </w:p>
    <w:p w:rsidR="00B70DAE" w:rsidRPr="00B70DAE" w:rsidP="00B70DAE" w14:paraId="4CEF0E90" w14:textId="77777777">
      <w:pPr>
        <w:spacing w:after="0" w:line="240" w:lineRule="auto"/>
        <w:rPr>
          <w:rFonts w:ascii="Times New Roman" w:hAnsi="Times New Roman"/>
          <w:sz w:val="24"/>
          <w:szCs w:val="24"/>
        </w:rPr>
      </w:pPr>
    </w:p>
    <w:p w:rsidR="00B70DAE" w:rsidRPr="003E5FFE" w:rsidP="003E5FFE" w14:paraId="0A0E82F5" w14:textId="57CBC5AA">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16. </w:t>
      </w:r>
      <w:r w:rsidRPr="003E5FFE">
        <w:rPr>
          <w:rFonts w:ascii="Times New Roman" w:eastAsia="Times New Roman" w:hAnsi="Times New Roman"/>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3E5FFE">
        <w:rPr>
          <w:rFonts w:ascii="Times New Roman" w:eastAsia="Times New Roman" w:hAnsi="Times New Roman"/>
          <w:b/>
          <w:bCs/>
          <w:sz w:val="24"/>
          <w:szCs w:val="24"/>
        </w:rPr>
        <w:t>the collection information, completion of report, publication dates, and other actions.</w:t>
      </w:r>
    </w:p>
    <w:p w:rsidR="00B70DAE" w:rsidRPr="00B70DAE" w:rsidP="00B70DAE" w14:paraId="69C29FE8" w14:textId="77777777">
      <w:pPr>
        <w:widowControl w:val="0"/>
        <w:spacing w:after="0" w:line="240" w:lineRule="auto"/>
        <w:rPr>
          <w:rFonts w:ascii="Times New Roman" w:eastAsia="Times New Roman" w:hAnsi="Times New Roman"/>
          <w:b/>
          <w:bCs/>
          <w:sz w:val="24"/>
          <w:szCs w:val="24"/>
        </w:rPr>
      </w:pPr>
    </w:p>
    <w:p w:rsidR="00B70DAE" w:rsidRPr="00B70DAE" w:rsidP="00B70DAE" w14:paraId="6A7D7C3E" w14:textId="77777777">
      <w:pPr>
        <w:spacing w:after="0" w:line="240" w:lineRule="auto"/>
        <w:textAlignment w:val="baseline"/>
        <w:outlineLvl w:val="0"/>
        <w:rPr>
          <w:rFonts w:ascii="Segoe UI" w:hAnsi="Segoe UI" w:cs="Segoe UI"/>
          <w:sz w:val="18"/>
          <w:szCs w:val="18"/>
        </w:rPr>
      </w:pPr>
      <w:r w:rsidRPr="00B70DAE">
        <w:rPr>
          <w:rFonts w:ascii="Times New Roman" w:hAnsi="Times New Roman"/>
          <w:sz w:val="24"/>
          <w:szCs w:val="24"/>
          <w:lang w:val="en-JM"/>
        </w:rPr>
        <w:t xml:space="preserve">The information to be collected under these standards will not have results that will be published for statistical use. </w:t>
      </w:r>
    </w:p>
    <w:p w:rsidR="00B70DAE" w:rsidRPr="00B70DAE" w:rsidP="00B70DAE" w14:paraId="6B14451E" w14:textId="77777777">
      <w:pPr>
        <w:spacing w:after="0" w:line="240" w:lineRule="auto"/>
        <w:textAlignment w:val="baseline"/>
        <w:outlineLvl w:val="0"/>
        <w:rPr>
          <w:rFonts w:ascii="Times New Roman" w:hAnsi="Times New Roman"/>
          <w:sz w:val="24"/>
          <w:szCs w:val="24"/>
          <w:lang w:val="en-JM"/>
        </w:rPr>
      </w:pPr>
    </w:p>
    <w:p w:rsidR="00B70DAE" w:rsidRPr="00B70DAE" w:rsidP="003E5FFE" w14:paraId="03AC6DA3" w14:textId="040AF2A3">
      <w:pPr>
        <w:spacing w:after="0" w:line="240" w:lineRule="auto"/>
        <w:contextualSpacing/>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sidRPr="00B70DAE">
        <w:rPr>
          <w:rFonts w:ascii="Times New Roman" w:eastAsia="Times New Roman" w:hAnsi="Times New Roman" w:cs="Times New Roman"/>
          <w:b/>
          <w:bCs/>
          <w:sz w:val="24"/>
          <w:szCs w:val="24"/>
        </w:rPr>
        <w:t>If seeking approval to not display the expiration date for OMB approval of the information collection, explain the reasons that display would be inappropriate.</w:t>
      </w:r>
      <w:r w:rsidRPr="00B70DAE">
        <w:rPr>
          <w:rFonts w:ascii="Times New Roman" w:eastAsia="Times New Roman" w:hAnsi="Times New Roman" w:cs="Times New Roman"/>
          <w:sz w:val="24"/>
          <w:szCs w:val="24"/>
        </w:rPr>
        <w:t> </w:t>
      </w:r>
    </w:p>
    <w:p w:rsidR="00B70DAE" w:rsidRPr="00B70DAE" w:rsidP="00B70DAE" w14:paraId="08F6C2B0" w14:textId="77777777">
      <w:pPr>
        <w:spacing w:after="0" w:line="240" w:lineRule="auto"/>
        <w:textAlignment w:val="baseline"/>
        <w:rPr>
          <w:rFonts w:ascii="Segoe UI" w:eastAsia="Times New Roman" w:hAnsi="Segoe UI" w:cs="Segoe UI"/>
          <w:sz w:val="18"/>
          <w:szCs w:val="18"/>
        </w:rPr>
      </w:pPr>
      <w:r w:rsidRPr="00B70DAE">
        <w:rPr>
          <w:rFonts w:ascii="Times New Roman" w:eastAsia="Times New Roman" w:hAnsi="Times New Roman" w:cs="Times New Roman"/>
          <w:sz w:val="24"/>
          <w:szCs w:val="24"/>
        </w:rPr>
        <w:t> </w:t>
      </w:r>
    </w:p>
    <w:p w:rsidR="00B70DAE" w:rsidRPr="00B70DAE" w:rsidP="00B70DAE" w14:paraId="7D977D73" w14:textId="6940641F">
      <w:pPr>
        <w:spacing w:after="0" w:line="240" w:lineRule="auto"/>
        <w:textAlignment w:val="baseline"/>
        <w:rPr>
          <w:rFonts w:ascii="Segoe UI" w:eastAsia="Times New Roman" w:hAnsi="Segoe UI" w:cs="Segoe UI"/>
          <w:sz w:val="18"/>
          <w:szCs w:val="18"/>
        </w:rPr>
      </w:pPr>
      <w:r w:rsidRPr="00B70DAE">
        <w:rPr>
          <w:rFonts w:ascii="Times New Roman" w:eastAsia="Times New Roman" w:hAnsi="Times New Roman" w:cs="Times New Roman"/>
          <w:sz w:val="24"/>
          <w:szCs w:val="24"/>
        </w:rPr>
        <w:t xml:space="preserve">OSHA lists current valid control numbers in §§ 1910.8, 1915.8, 1917.4, 1918.4, and 1926.5, and publishes the expiration dates in the </w:t>
      </w:r>
      <w:r w:rsidRPr="00B70DAE">
        <w:rPr>
          <w:rFonts w:ascii="Times New Roman" w:eastAsia="Times New Roman" w:hAnsi="Times New Roman" w:cs="Times New Roman"/>
          <w:i/>
          <w:iCs/>
          <w:sz w:val="24"/>
          <w:szCs w:val="24"/>
        </w:rPr>
        <w:t>Federal Register</w:t>
      </w:r>
      <w:r w:rsidRPr="00B70DAE">
        <w:rPr>
          <w:rFonts w:ascii="Times New Roman" w:eastAsia="Times New Roman" w:hAnsi="Times New Roman" w:cs="Times New Roman"/>
          <w:sz w:val="24"/>
          <w:szCs w:val="24"/>
        </w:rPr>
        <w:t xml:space="preserve"> notice announcing OMB approval of the information collection requirement (</w:t>
      </w:r>
      <w:r w:rsidRPr="00B70DAE">
        <w:rPr>
          <w:rFonts w:ascii="Times New Roman" w:eastAsia="Times New Roman" w:hAnsi="Times New Roman" w:cs="Times New Roman"/>
          <w:i/>
          <w:iCs/>
          <w:sz w:val="24"/>
          <w:szCs w:val="24"/>
        </w:rPr>
        <w:t>See</w:t>
      </w:r>
      <w:r w:rsidRPr="00B70DAE">
        <w:rPr>
          <w:rFonts w:ascii="Times New Roman" w:eastAsia="Times New Roman" w:hAnsi="Times New Roman" w:cs="Times New Roman"/>
          <w:sz w:val="24"/>
          <w:szCs w:val="24"/>
        </w:rPr>
        <w:t xml:space="preserve"> 5 CFR 1320.3(f)(3)). OSHA believes that this is the most </w:t>
      </w:r>
      <w:r>
        <w:rPr>
          <w:rFonts w:ascii="Times New Roman" w:eastAsia="Times New Roman" w:hAnsi="Times New Roman" w:cs="Times New Roman"/>
          <w:sz w:val="24"/>
          <w:szCs w:val="24"/>
        </w:rPr>
        <w:t>effective and accurate mechanism for informing</w:t>
      </w:r>
      <w:r w:rsidRPr="00B70DAE">
        <w:rPr>
          <w:rFonts w:ascii="Times New Roman" w:eastAsia="Times New Roman" w:hAnsi="Times New Roman" w:cs="Times New Roman"/>
          <w:sz w:val="24"/>
          <w:szCs w:val="24"/>
        </w:rPr>
        <w:t xml:space="preserve"> interested parties of these expiration dates. </w:t>
      </w:r>
    </w:p>
    <w:p w:rsidR="00B70DAE" w:rsidRPr="00B70DAE" w:rsidP="00B70DAE" w14:paraId="37B4A8BA" w14:textId="77777777">
      <w:pPr>
        <w:spacing w:after="0" w:line="240" w:lineRule="auto"/>
        <w:rPr>
          <w:rFonts w:ascii="Times New Roman" w:hAnsi="Times New Roman"/>
          <w:sz w:val="24"/>
          <w:szCs w:val="24"/>
        </w:rPr>
      </w:pPr>
    </w:p>
    <w:p w:rsidR="00B70DAE" w:rsidRPr="00B70DAE" w:rsidP="003E5FFE" w14:paraId="28B9BC77" w14:textId="02228EF2">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18. </w:t>
      </w:r>
      <w:r w:rsidRPr="00B70DAE">
        <w:rPr>
          <w:rFonts w:ascii="Times New Roman" w:eastAsia="Calibri" w:hAnsi="Times New Roman" w:cs="Times New Roman"/>
          <w:b/>
          <w:bCs/>
          <w:sz w:val="24"/>
          <w:szCs w:val="24"/>
        </w:rPr>
        <w:t>Explain each exception to the certification statement.</w:t>
      </w:r>
      <w:r w:rsidRPr="00B70DAE">
        <w:rPr>
          <w:rFonts w:ascii="Times New Roman" w:eastAsia="Calibri" w:hAnsi="Times New Roman" w:cs="Times New Roman"/>
          <w:b/>
          <w:bCs/>
          <w:sz w:val="24"/>
          <w:szCs w:val="24"/>
          <w:lang w:val="en-JM"/>
        </w:rPr>
        <w:t> </w:t>
      </w:r>
    </w:p>
    <w:p w:rsidR="00B70DAE" w:rsidRPr="00B70DAE" w:rsidP="00B70DAE" w14:paraId="787FF359" w14:textId="77777777">
      <w:pPr>
        <w:spacing w:after="0" w:line="240" w:lineRule="auto"/>
        <w:ind w:left="360"/>
        <w:rPr>
          <w:rFonts w:ascii="Times New Roman" w:hAnsi="Times New Roman"/>
          <w:sz w:val="24"/>
          <w:szCs w:val="24"/>
        </w:rPr>
      </w:pPr>
    </w:p>
    <w:p w:rsidR="00B70DAE" w:rsidRPr="00B70DAE" w:rsidP="00B70DAE" w14:paraId="5FA7A088" w14:textId="77777777">
      <w:pPr>
        <w:spacing w:after="0" w:line="240" w:lineRule="auto"/>
        <w:outlineLvl w:val="0"/>
        <w:rPr>
          <w:rFonts w:ascii="Times New Roman" w:hAnsi="Times New Roman"/>
          <w:sz w:val="24"/>
          <w:szCs w:val="24"/>
          <w:lang w:val="en-JM"/>
        </w:rPr>
      </w:pPr>
      <w:r w:rsidRPr="00B70DAE">
        <w:rPr>
          <w:rFonts w:ascii="Times New Roman" w:hAnsi="Times New Roman"/>
          <w:sz w:val="24"/>
          <w:szCs w:val="24"/>
          <w:lang w:val="en-JM"/>
        </w:rPr>
        <w:t>OSHA is not requesting an exception to the certification statement.</w:t>
      </w:r>
    </w:p>
    <w:p w:rsidR="00B70DAE" w:rsidRPr="00B70DAE" w:rsidP="00B70DAE" w14:paraId="3CC65D58" w14:textId="77777777">
      <w:pPr>
        <w:spacing w:after="0" w:line="240" w:lineRule="auto"/>
        <w:outlineLvl w:val="0"/>
        <w:rPr>
          <w:rFonts w:ascii="Times New Roman" w:hAnsi="Times New Roman"/>
          <w:sz w:val="24"/>
          <w:szCs w:val="24"/>
          <w:lang w:val="en-JM"/>
        </w:rPr>
      </w:pPr>
    </w:p>
    <w:p w:rsidR="00B70DAE" w:rsidRPr="00B70DAE" w:rsidP="00B70DAE" w14:paraId="20F7CDF1" w14:textId="77777777">
      <w:pPr>
        <w:spacing w:after="0" w:line="240" w:lineRule="auto"/>
        <w:outlineLvl w:val="0"/>
        <w:rPr>
          <w:rFonts w:ascii="Times New Roman" w:hAnsi="Times New Roman"/>
          <w:sz w:val="24"/>
          <w:szCs w:val="24"/>
          <w:lang w:val="en-JM"/>
        </w:rPr>
      </w:pPr>
      <w:r w:rsidRPr="00B70DAE">
        <w:rPr>
          <w:rFonts w:ascii="Times New Roman" w:hAnsi="Times New Roman"/>
          <w:b/>
          <w:bCs/>
          <w:sz w:val="24"/>
          <w:szCs w:val="24"/>
          <w:lang w:val="en-JM"/>
        </w:rPr>
        <w:t>B. COLLECTIONS OF INFORMATION EMPLOYING STATISTICAL METHODS</w:t>
      </w:r>
    </w:p>
    <w:p w:rsidR="00B70DAE" w:rsidRPr="00B70DAE" w:rsidP="00B70DAE" w14:paraId="5DA44947" w14:textId="77777777">
      <w:pPr>
        <w:spacing w:after="0" w:line="240" w:lineRule="auto"/>
        <w:outlineLvl w:val="0"/>
        <w:rPr>
          <w:rFonts w:ascii="Times New Roman" w:hAnsi="Times New Roman"/>
          <w:sz w:val="24"/>
          <w:szCs w:val="24"/>
          <w:lang w:val="en-JM"/>
        </w:rPr>
      </w:pPr>
      <w:r w:rsidRPr="00B70DAE">
        <w:rPr>
          <w:rFonts w:ascii="Times New Roman" w:hAnsi="Times New Roman"/>
          <w:sz w:val="24"/>
          <w:szCs w:val="24"/>
          <w:lang w:val="en-JM"/>
        </w:rPr>
        <w:t xml:space="preserve"> </w:t>
      </w:r>
    </w:p>
    <w:p w:rsidR="00B70DAE" w:rsidP="00B70DAE" w14:paraId="029C0183" w14:textId="77777777">
      <w:pPr>
        <w:spacing w:after="0" w:line="240" w:lineRule="auto"/>
        <w:outlineLvl w:val="0"/>
        <w:rPr>
          <w:rFonts w:ascii="Times New Roman" w:hAnsi="Times New Roman"/>
          <w:sz w:val="24"/>
          <w:szCs w:val="24"/>
          <w:lang w:val="en-JM"/>
        </w:rPr>
      </w:pPr>
      <w:r w:rsidRPr="00B70DAE">
        <w:rPr>
          <w:rFonts w:ascii="Times New Roman" w:hAnsi="Times New Roman"/>
          <w:sz w:val="24"/>
          <w:szCs w:val="24"/>
          <w:lang w:val="en-JM"/>
        </w:rPr>
        <w:t>This supporting statement does not contain any information collection requirements that employ statistical methods.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0403136"/>
      <w:docPartObj>
        <w:docPartGallery w:val="Page Numbers (Bottom of Page)"/>
        <w:docPartUnique/>
      </w:docPartObj>
    </w:sdtPr>
    <w:sdtEndPr>
      <w:rPr>
        <w:noProof/>
      </w:rPr>
    </w:sdtEndPr>
    <w:sdtContent>
      <w:p w:rsidR="0036015D" w14:paraId="203D45F6" w14:textId="73537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6015D" w14:paraId="22A0AB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7D9C" w:rsidP="00B70DAE" w14:paraId="1BE11AD0" w14:textId="77777777">
      <w:pPr>
        <w:spacing w:after="0" w:line="240" w:lineRule="auto"/>
      </w:pPr>
      <w:r>
        <w:separator/>
      </w:r>
    </w:p>
  </w:footnote>
  <w:footnote w:type="continuationSeparator" w:id="1">
    <w:p w:rsidR="00617D9C" w:rsidP="00B70DAE" w14:paraId="796922E2" w14:textId="77777777">
      <w:pPr>
        <w:spacing w:after="0" w:line="240" w:lineRule="auto"/>
      </w:pPr>
      <w:r>
        <w:continuationSeparator/>
      </w:r>
    </w:p>
  </w:footnote>
  <w:footnote w:type="continuationNotice" w:id="2">
    <w:p w:rsidR="00617D9C" w14:paraId="40F50BDB" w14:textId="77777777">
      <w:pPr>
        <w:spacing w:after="0" w:line="240" w:lineRule="auto"/>
      </w:pPr>
    </w:p>
  </w:footnote>
  <w:footnote w:id="3">
    <w:p w:rsidR="00B70DAE" w:rsidRPr="00472F47" w:rsidP="00B70DAE" w14:paraId="53165658" w14:textId="77777777">
      <w:pPr>
        <w:pStyle w:val="FootnoteText"/>
        <w:ind w:firstLine="720"/>
        <w:rPr>
          <w:vertAlign w:val="superscript"/>
        </w:rPr>
      </w:pPr>
      <w:r w:rsidRPr="00472F47">
        <w:rPr>
          <w:rStyle w:val="FootnoteReference"/>
          <w:vertAlign w:val="superscript"/>
        </w:rPr>
        <w:footnoteRef/>
      </w:r>
      <w:r w:rsidRPr="1D013D7A">
        <w:rPr>
          <w:rStyle w:val="FootnoteReference"/>
          <w:vertAlign w:val="superscript"/>
        </w:rPr>
        <w:t xml:space="preserve"> </w:t>
      </w:r>
      <w:r>
        <w:rPr>
          <w:sz w:val="18"/>
          <w:szCs w:val="18"/>
          <w:lang w:val="en-US"/>
        </w:rPr>
        <w:t xml:space="preserve">The purpose of this supporting statement is to analyze and describe the burden hours and costs associated with provisions of the </w:t>
      </w:r>
      <w:r w:rsidRPr="1D013D7A">
        <w:rPr>
          <w:sz w:val="18"/>
          <w:szCs w:val="18"/>
          <w:lang w:val="en-US"/>
        </w:rPr>
        <w:t>Cr</w:t>
      </w:r>
      <w:r>
        <w:rPr>
          <w:sz w:val="18"/>
          <w:szCs w:val="18"/>
        </w:rPr>
        <w:t>(VI) standard that contain collections of information (paperwork) requirements</w:t>
      </w:r>
      <w:r w:rsidRPr="00472F47">
        <w:rPr>
          <w:sz w:val="18"/>
          <w:szCs w:val="18"/>
        </w:rPr>
        <w:t>;</w:t>
      </w:r>
      <w:r w:rsidRPr="1D013D7A">
        <w:rPr>
          <w:sz w:val="18"/>
          <w:szCs w:val="18"/>
        </w:rPr>
        <w:t xml:space="preserve"> this supporting statement does not provide information or guidance on how to comply with, or how to enforce these provisions.</w:t>
      </w:r>
      <w:r>
        <w:t xml:space="preserve"> </w:t>
      </w:r>
    </w:p>
  </w:footnote>
  <w:footnote w:id="4">
    <w:p w:rsidR="00B70DAE" w:rsidRPr="00472F47" w:rsidP="00B70DAE" w14:paraId="1AFB43C4" w14:textId="77777777">
      <w:pPr>
        <w:pStyle w:val="FootnoteText"/>
        <w:ind w:firstLine="720"/>
        <w:rPr>
          <w:sz w:val="22"/>
          <w:szCs w:val="22"/>
          <w:vertAlign w:val="superscript"/>
        </w:rPr>
      </w:pPr>
      <w:r w:rsidRPr="00472F47">
        <w:rPr>
          <w:rStyle w:val="FootnoteReference"/>
          <w:sz w:val="22"/>
          <w:szCs w:val="22"/>
          <w:vertAlign w:val="superscript"/>
        </w:rPr>
        <w:footnoteRef/>
      </w:r>
      <w:r w:rsidRPr="1D013D7A">
        <w:rPr>
          <w:rStyle w:val="FootnoteReference"/>
          <w:sz w:val="22"/>
          <w:szCs w:val="22"/>
          <w:vertAlign w:val="superscript"/>
        </w:rPr>
        <w:t xml:space="preserve"> </w:t>
      </w:r>
      <w:r w:rsidRPr="1D013D7A">
        <w:rPr>
          <w:sz w:val="18"/>
          <w:szCs w:val="18"/>
        </w:rPr>
        <w:t>A PLHCP is an individual whose legally permitted scope of practice (i.e., license, registration, or certification) allows them to independently provide, or be delegated the responsibility to provide, some or all of the particular health care services required by the standards.</w:t>
      </w:r>
    </w:p>
  </w:footnote>
  <w:footnote w:id="5">
    <w:p w:rsidR="00B70DAE" w:rsidRPr="00472F47" w:rsidP="00B70DAE" w14:paraId="346368DB" w14:textId="77777777">
      <w:pPr>
        <w:pStyle w:val="FootnoteText"/>
        <w:ind w:firstLine="720"/>
        <w:rPr>
          <w:vertAlign w:val="superscript"/>
        </w:rPr>
      </w:pPr>
      <w:r w:rsidRPr="00472F47">
        <w:rPr>
          <w:rStyle w:val="FootnoteReference"/>
          <w:vertAlign w:val="superscript"/>
        </w:rPr>
        <w:footnoteRef/>
      </w:r>
      <w:r w:rsidRPr="1D013D7A">
        <w:rPr>
          <w:rStyle w:val="FootnoteReference"/>
          <w:vertAlign w:val="superscript"/>
        </w:rPr>
        <w:t xml:space="preserve"> </w:t>
      </w:r>
      <w:r w:rsidRPr="1D013D7A">
        <w:rPr>
          <w:sz w:val="18"/>
          <w:szCs w:val="18"/>
        </w:rPr>
        <w:t>Affected employees are employees having Cr(VI) exposures above the PEL, including employees whose exposures are estimated on the basis of representative sampling or from historical or objective data.</w:t>
      </w:r>
    </w:p>
  </w:footnote>
  <w:footnote w:id="6">
    <w:p w:rsidR="00B70DAE" w:rsidP="00B70DAE" w14:paraId="64BA6B4E" w14:textId="77777777">
      <w:pPr>
        <w:pStyle w:val="FootnoteText"/>
        <w:ind w:firstLine="720"/>
      </w:pPr>
      <w:r w:rsidRPr="00CD6762">
        <w:rPr>
          <w:rStyle w:val="FootnoteReference"/>
          <w:vertAlign w:val="superscript"/>
        </w:rPr>
        <w:footnoteRef/>
      </w:r>
      <w:r w:rsidRPr="1D013D7A">
        <w:rPr>
          <w:rStyle w:val="FootnoteReference"/>
          <w:vertAlign w:val="superscript"/>
        </w:rPr>
        <w:t xml:space="preserve"> </w:t>
      </w:r>
      <w:r w:rsidRPr="1D013D7A">
        <w:rPr>
          <w:sz w:val="18"/>
          <w:szCs w:val="18"/>
        </w:rPr>
        <w:t>OSHA does not require regulated areas in the construction and shipyard standards because worksite conditions, such as workplace variability, differ substantially between general industry employment and construction and shipyard employment.</w:t>
      </w:r>
      <w:r>
        <w:t xml:space="preserve"> </w:t>
      </w:r>
    </w:p>
  </w:footnote>
  <w:footnote w:id="7">
    <w:p w:rsidR="00B70DAE" w:rsidRPr="00706EC6" w:rsidP="00B70DAE" w14:paraId="5EB36FB1" w14:textId="738153E1">
      <w:pPr>
        <w:spacing w:after="0" w:line="240" w:lineRule="auto"/>
        <w:ind w:firstLine="720"/>
        <w:rPr>
          <w:rFonts w:ascii="Times New Roman" w:hAnsi="Times New Roman"/>
          <w:sz w:val="24"/>
          <w:szCs w:val="24"/>
          <w:lang w:val="en-JM"/>
        </w:rPr>
      </w:pPr>
      <w:r w:rsidRPr="00613636">
        <w:rPr>
          <w:rStyle w:val="FootnoteReference"/>
          <w:vertAlign w:val="superscript"/>
        </w:rPr>
        <w:footnoteRef/>
      </w:r>
      <w:r w:rsidRPr="1D013D7A">
        <w:rPr>
          <w:rStyle w:val="FootnoteReference"/>
          <w:vertAlign w:val="superscript"/>
          <w:lang w:val="en-JM"/>
        </w:rPr>
        <w:t xml:space="preserve"> </w:t>
      </w:r>
      <w:r>
        <w:rPr>
          <w:rFonts w:ascii="Times New Roman" w:hAnsi="Times New Roman"/>
          <w:sz w:val="20"/>
          <w:szCs w:val="20"/>
          <w:lang w:val="en-JM"/>
        </w:rPr>
        <w:t>The agency</w:t>
      </w:r>
      <w:r w:rsidRPr="00613636">
        <w:rPr>
          <w:rFonts w:ascii="Times New Roman" w:hAnsi="Times New Roman"/>
          <w:sz w:val="20"/>
          <w:szCs w:val="20"/>
          <w:lang w:val="en-JM"/>
        </w:rPr>
        <w:t xml:space="preserve"> accounts for the burden hours and costs of developing a written respiratory protection program in t</w:t>
      </w:r>
      <w:r w:rsidRPr="00706EC6">
        <w:rPr>
          <w:rFonts w:ascii="Times New Roman" w:hAnsi="Times New Roman"/>
          <w:sz w:val="20"/>
          <w:szCs w:val="20"/>
          <w:lang w:val="en-JM"/>
        </w:rPr>
        <w:t>he ICR for the Re</w:t>
      </w:r>
      <w:r>
        <w:rPr>
          <w:rFonts w:ascii="Times New Roman" w:hAnsi="Times New Roman"/>
          <w:sz w:val="20"/>
          <w:szCs w:val="20"/>
          <w:lang w:val="en-JM"/>
        </w:rPr>
        <w:t>spiratory Protection Standard</w:t>
      </w:r>
      <w:r w:rsidRPr="00613636">
        <w:rPr>
          <w:rFonts w:ascii="Times New Roman" w:hAnsi="Times New Roman"/>
          <w:sz w:val="20"/>
          <w:szCs w:val="20"/>
          <w:lang w:val="en-JM"/>
        </w:rPr>
        <w:t>,</w:t>
      </w:r>
      <w:r>
        <w:rPr>
          <w:rFonts w:ascii="Times New Roman" w:hAnsi="Times New Roman"/>
          <w:sz w:val="20"/>
          <w:szCs w:val="20"/>
          <w:lang w:val="en-JM"/>
        </w:rPr>
        <w:t xml:space="preserve"> OMB Control No. 1218-0099.</w:t>
      </w:r>
    </w:p>
    <w:p w:rsidR="00B70DAE" w:rsidRPr="00613636" w:rsidP="00B70DAE" w14:paraId="24D0C9C5" w14:textId="77777777">
      <w:pPr>
        <w:pStyle w:val="FootnoteText"/>
        <w:rPr>
          <w:lang w:val="en-US"/>
        </w:rPr>
      </w:pPr>
      <w:r>
        <w:t xml:space="preserve"> </w:t>
      </w:r>
    </w:p>
  </w:footnote>
  <w:footnote w:id="8">
    <w:p w:rsidR="00B70DAE" w:rsidRPr="00253256" w:rsidP="00B70DAE" w14:paraId="78D956B1" w14:textId="77777777">
      <w:pPr>
        <w:pStyle w:val="FootnoteText"/>
        <w:ind w:firstLine="720"/>
        <w:rPr>
          <w:vertAlign w:val="superscript"/>
        </w:rPr>
      </w:pPr>
      <w:r w:rsidRPr="00253256">
        <w:rPr>
          <w:rStyle w:val="FootnoteReference"/>
          <w:vertAlign w:val="superscript"/>
        </w:rPr>
        <w:footnoteRef/>
      </w:r>
      <w:r w:rsidRPr="1D013D7A">
        <w:rPr>
          <w:rStyle w:val="FootnoteReference"/>
          <w:vertAlign w:val="superscript"/>
        </w:rPr>
        <w:t xml:space="preserve"> </w:t>
      </w:r>
      <w:r w:rsidRPr="1D013D7A">
        <w:rPr>
          <w:sz w:val="18"/>
          <w:szCs w:val="18"/>
        </w:rPr>
        <w:t>OSHA does not require housekeeping requirements for construction and shipyards. OSHA has determined that the housekeeping provisions in the general industry standard are not appropriate for these sectors because of the difficulties of complying with such requirements in construction and shipyard environments</w:t>
      </w:r>
      <w:r>
        <w:t>.</w:t>
      </w:r>
    </w:p>
  </w:footnote>
  <w:footnote w:id="9">
    <w:p w:rsidR="00B70DAE" w:rsidRPr="00613636" w:rsidP="00B70DAE" w14:paraId="44DFB31F" w14:textId="035B0756">
      <w:pPr>
        <w:spacing w:after="0" w:line="240" w:lineRule="auto"/>
        <w:ind w:firstLine="720"/>
        <w:rPr>
          <w:rFonts w:ascii="Times New Roman" w:hAnsi="Times New Roman"/>
          <w:sz w:val="20"/>
          <w:szCs w:val="20"/>
          <w:lang w:val="en-JM"/>
        </w:rPr>
      </w:pPr>
      <w:r w:rsidRPr="00613636">
        <w:rPr>
          <w:rStyle w:val="FootnoteReference"/>
          <w:vertAlign w:val="superscript"/>
        </w:rPr>
        <w:footnoteRef/>
      </w:r>
      <w:r w:rsidRPr="1D013D7A">
        <w:rPr>
          <w:rStyle w:val="FootnoteReference"/>
          <w:vertAlign w:val="superscript"/>
          <w:lang w:val="en-JM"/>
        </w:rPr>
        <w:t xml:space="preserve"> </w:t>
      </w:r>
      <w:r>
        <w:rPr>
          <w:rFonts w:ascii="Times New Roman" w:hAnsi="Times New Roman"/>
          <w:sz w:val="20"/>
          <w:szCs w:val="20"/>
          <w:lang w:val="en-JM"/>
        </w:rPr>
        <w:t xml:space="preserve">The </w:t>
      </w:r>
      <w:r w:rsidRPr="00613636">
        <w:rPr>
          <w:rFonts w:ascii="Times New Roman" w:hAnsi="Times New Roman"/>
          <w:sz w:val="20"/>
          <w:szCs w:val="20"/>
          <w:lang w:val="en-JM"/>
        </w:rPr>
        <w:t>a</w:t>
      </w:r>
      <w:r w:rsidRPr="00710B93">
        <w:rPr>
          <w:rFonts w:ascii="Times New Roman" w:hAnsi="Times New Roman"/>
          <w:sz w:val="20"/>
          <w:szCs w:val="20"/>
          <w:lang w:val="en-JM"/>
        </w:rPr>
        <w:t xml:space="preserve">gency accounts for the other burden hours and costs associated with compliance with the HCS, such as the development of a hazard communication program, under the ICR for the HCS, OMB Control No. 1218-0072. </w:t>
      </w:r>
      <w:r w:rsidRPr="1D013D7A">
        <w:rPr>
          <w:rFonts w:ascii="Times New Roman" w:hAnsi="Times New Roman"/>
          <w:sz w:val="20"/>
          <w:szCs w:val="20"/>
          <w:lang w:val="en-JM"/>
        </w:rPr>
        <w:t xml:space="preserve">The burden hours and costs for the labels and training required by the HCS as it pertains to Cr(VI) are addressed in this </w:t>
      </w:r>
      <w:r>
        <w:rPr>
          <w:rFonts w:ascii="Times New Roman" w:hAnsi="Times New Roman"/>
          <w:sz w:val="20"/>
          <w:szCs w:val="20"/>
          <w:lang w:val="en-JM"/>
        </w:rPr>
        <w:t>s</w:t>
      </w:r>
      <w:r w:rsidRPr="1D013D7A">
        <w:rPr>
          <w:rFonts w:ascii="Times New Roman" w:hAnsi="Times New Roman"/>
          <w:sz w:val="20"/>
          <w:szCs w:val="20"/>
          <w:lang w:val="en-JM"/>
        </w:rPr>
        <w:t xml:space="preserve">upporting </w:t>
      </w:r>
      <w:r>
        <w:rPr>
          <w:rFonts w:ascii="Times New Roman" w:hAnsi="Times New Roman"/>
          <w:sz w:val="20"/>
          <w:szCs w:val="20"/>
          <w:lang w:val="en-JM"/>
        </w:rPr>
        <w:t>s</w:t>
      </w:r>
      <w:r w:rsidRPr="1D013D7A">
        <w:rPr>
          <w:rFonts w:ascii="Times New Roman" w:hAnsi="Times New Roman"/>
          <w:sz w:val="20"/>
          <w:szCs w:val="20"/>
          <w:lang w:val="en-JM"/>
        </w:rPr>
        <w:t>tatement.</w:t>
      </w:r>
    </w:p>
    <w:p w:rsidR="00B70DAE" w:rsidRPr="00613636" w:rsidP="00B70DAE" w14:paraId="54E7789D" w14:textId="77777777">
      <w:pPr>
        <w:pStyle w:val="FootnoteText"/>
        <w:rPr>
          <w:lang w:val="en-US"/>
        </w:rPr>
      </w:pPr>
    </w:p>
  </w:footnote>
  <w:footnote w:id="10">
    <w:p w:rsidR="00B70DAE" w:rsidRPr="001039B0" w:rsidP="00B70DAE" w14:paraId="4F0AFC65" w14:textId="56351128">
      <w:pPr>
        <w:pStyle w:val="FootnoteText"/>
        <w:ind w:firstLine="720"/>
        <w:rPr>
          <w:vertAlign w:val="superscript"/>
        </w:rPr>
      </w:pPr>
      <w:r w:rsidRPr="00253256">
        <w:rPr>
          <w:rStyle w:val="FootnoteReference"/>
          <w:vertAlign w:val="superscript"/>
        </w:rPr>
        <w:footnoteRef/>
      </w:r>
      <w:r w:rsidRPr="1D013D7A">
        <w:rPr>
          <w:rStyle w:val="FootnoteReference"/>
          <w:vertAlign w:val="superscript"/>
        </w:rPr>
        <w:t xml:space="preserve"> </w:t>
      </w:r>
      <w:r w:rsidRPr="00253256">
        <w:rPr>
          <w:sz w:val="18"/>
          <w:szCs w:val="18"/>
        </w:rPr>
        <w:t>T</w:t>
      </w:r>
      <w:r>
        <w:rPr>
          <w:sz w:val="18"/>
          <w:szCs w:val="18"/>
          <w:lang w:val="en-US"/>
        </w:rPr>
        <w:t xml:space="preserve">he </w:t>
      </w:r>
      <w:r w:rsidRPr="1D013D7A">
        <w:rPr>
          <w:sz w:val="18"/>
          <w:szCs w:val="18"/>
          <w:lang w:val="en-US"/>
        </w:rPr>
        <w:t>a</w:t>
      </w:r>
      <w:r w:rsidRPr="00253256">
        <w:rPr>
          <w:sz w:val="18"/>
          <w:szCs w:val="18"/>
        </w:rPr>
        <w:t>gency</w:t>
      </w:r>
      <w:r>
        <w:rPr>
          <w:sz w:val="18"/>
          <w:szCs w:val="18"/>
          <w:lang w:val="en-US"/>
        </w:rPr>
        <w:t xml:space="preserve"> assumes that employers will not use either performance-oriented option (i.e., historical monitoring data or objective data)</w:t>
      </w:r>
      <w:r w:rsidRPr="1D013D7A">
        <w:rPr>
          <w:sz w:val="18"/>
          <w:szCs w:val="18"/>
          <w:lang w:val="en-US"/>
        </w:rPr>
        <w:t xml:space="preserve"> to be consistent with the FEA</w:t>
      </w:r>
      <w:r w:rsidRPr="1D013D7A">
        <w:rPr>
          <w:sz w:val="18"/>
          <w:szCs w:val="18"/>
        </w:rPr>
        <w:t>. Therefore, OSHA also is not taking any recordkeeping burden for these options in this ICR as specified in the standards at §§ 1910.1026(m)(2) and (m)(3), 1915.1026(k)(2)</w:t>
      </w:r>
      <w:r w:rsidRPr="00B61977">
        <w:rPr>
          <w:sz w:val="18"/>
          <w:szCs w:val="18"/>
          <w:lang w:val="en-US"/>
        </w:rPr>
        <w:t xml:space="preserve"> </w:t>
      </w:r>
      <w:r w:rsidRPr="1D013D7A">
        <w:rPr>
          <w:sz w:val="18"/>
          <w:szCs w:val="18"/>
        </w:rPr>
        <w:t>and (k)(3), and 1926.1126(k)(2) and (k)(3).</w:t>
      </w:r>
    </w:p>
  </w:footnote>
  <w:footnote w:id="11">
    <w:p w:rsidR="00B70DAE" w:rsidP="00B70DAE" w14:paraId="738194F7" w14:textId="77777777">
      <w:pPr>
        <w:pStyle w:val="FootnoteText"/>
        <w:ind w:firstLine="720"/>
        <w:rPr>
          <w:lang w:val="en-JM"/>
        </w:rPr>
      </w:pPr>
      <w:r w:rsidRPr="00197886">
        <w:rPr>
          <w:rStyle w:val="FootnoteReference"/>
          <w:sz w:val="22"/>
          <w:szCs w:val="22"/>
          <w:vertAlign w:val="superscript"/>
          <w:lang w:val="en-JM" w:eastAsia="en-US"/>
        </w:rPr>
        <w:footnoteRef/>
      </w:r>
      <w:r w:rsidRPr="00197886">
        <w:rPr>
          <w:rStyle w:val="FootnoteReference"/>
          <w:sz w:val="22"/>
          <w:szCs w:val="22"/>
          <w:vertAlign w:val="superscript"/>
          <w:lang w:val="en-JM" w:eastAsia="en-US"/>
        </w:rPr>
        <w:t xml:space="preserve"> </w:t>
      </w:r>
      <w:r w:rsidRPr="00467914">
        <w:rPr>
          <w:lang w:val="en-JM"/>
        </w:rPr>
        <w:t xml:space="preserve">These tables are available for download from </w:t>
      </w:r>
      <w:hyperlink r:id="rId1" w:history="1">
        <w:r w:rsidRPr="00C665D5">
          <w:rPr>
            <w:rStyle w:val="Hyperlink"/>
            <w:lang w:val="en-JM"/>
          </w:rPr>
          <w:t>www.regulations.gov</w:t>
        </w:r>
      </w:hyperlink>
      <w:r>
        <w:rPr>
          <w:lang w:val="en-JM"/>
        </w:rPr>
        <w:t xml:space="preserve"> during the 60-day preclearance ICR notice and comment period</w:t>
      </w:r>
      <w:r w:rsidRPr="00467914">
        <w:rPr>
          <w:lang w:val="en-JM"/>
        </w:rPr>
        <w:t>. W</w:t>
      </w:r>
      <w:r w:rsidRPr="00197886">
        <w:rPr>
          <w:lang w:val="en-JM"/>
        </w:rPr>
        <w:t>hen the ICR is s</w:t>
      </w:r>
      <w:r>
        <w:rPr>
          <w:lang w:val="en-JM"/>
        </w:rPr>
        <w:t>ubmitted</w:t>
      </w:r>
      <w:r w:rsidRPr="00197886">
        <w:rPr>
          <w:lang w:val="en-JM"/>
        </w:rPr>
        <w:t xml:space="preserve"> to OMB for review, the Tables referenced in this Supporting Statement may be downloaded from the </w:t>
      </w:r>
      <w:r w:rsidRPr="1D013D7A">
        <w:rPr>
          <w:i/>
          <w:iCs/>
          <w:lang w:val="en-JM"/>
        </w:rPr>
        <w:t>Supplementary Documents</w:t>
      </w:r>
      <w:r w:rsidRPr="00197886">
        <w:rPr>
          <w:lang w:val="en-JM"/>
        </w:rPr>
        <w:t xml:space="preserve"> section in </w:t>
      </w:r>
      <w:hyperlink r:id="rId2" w:history="1">
        <w:r w:rsidRPr="00197886">
          <w:rPr>
            <w:rStyle w:val="Hyperlink"/>
            <w:lang w:val="en-JM"/>
          </w:rPr>
          <w:t>www.reginfo.gov</w:t>
        </w:r>
      </w:hyperlink>
      <w:r w:rsidRPr="00197886">
        <w:rPr>
          <w:lang w:val="en-JM"/>
        </w:rPr>
        <w:t>.</w:t>
      </w:r>
    </w:p>
    <w:p w:rsidR="00B70DAE" w:rsidRPr="00197886" w:rsidP="00B70DAE" w14:paraId="4D3CC59C" w14:textId="77777777">
      <w:pPr>
        <w:pStyle w:val="FootnoteText"/>
        <w:rPr>
          <w:lang w:val="en-US"/>
        </w:rPr>
      </w:pPr>
    </w:p>
  </w:footnote>
  <w:footnote w:id="12">
    <w:p w:rsidR="00B70DAE" w:rsidRPr="00C426FD" w:rsidP="00B70DAE" w14:paraId="2F75D182" w14:textId="3352886B">
      <w:pPr>
        <w:spacing w:after="0" w:line="240" w:lineRule="auto"/>
        <w:ind w:firstLine="720"/>
        <w:rPr>
          <w:rFonts w:ascii="Times New Roman" w:eastAsia="Times New Roman" w:hAnsi="Times New Roman" w:cs="Times New Roman"/>
          <w:sz w:val="20"/>
          <w:szCs w:val="20"/>
        </w:rPr>
      </w:pPr>
      <w:r w:rsidRPr="007A4236">
        <w:rPr>
          <w:rStyle w:val="FootnoteReference"/>
          <w:vertAlign w:val="superscript"/>
        </w:rPr>
        <w:footnoteRef/>
      </w:r>
      <w:r w:rsidRPr="007A4236">
        <w:rPr>
          <w:vertAlign w:val="superscript"/>
        </w:rPr>
        <w:t xml:space="preserve"> </w:t>
      </w:r>
      <w:r w:rsidRPr="007A4236">
        <w:rPr>
          <w:rFonts w:ascii="Times New Roman" w:eastAsia="Times New Roman" w:hAnsi="Times New Roman"/>
          <w:sz w:val="20"/>
          <w:szCs w:val="20"/>
        </w:rPr>
        <w:t>U.S Census, 20</w:t>
      </w:r>
      <w:r w:rsidR="00264184">
        <w:rPr>
          <w:rFonts w:ascii="Times New Roman" w:eastAsia="Times New Roman" w:hAnsi="Times New Roman"/>
          <w:sz w:val="20"/>
          <w:szCs w:val="20"/>
        </w:rPr>
        <w:t>22</w:t>
      </w:r>
      <w:r w:rsidRPr="007A4236">
        <w:rPr>
          <w:rFonts w:ascii="Times New Roman" w:eastAsia="Times New Roman" w:hAnsi="Times New Roman"/>
          <w:sz w:val="20"/>
          <w:szCs w:val="20"/>
        </w:rPr>
        <w:t xml:space="preserve">. County Business Patterns. Available at </w:t>
      </w:r>
      <w:hyperlink r:id="rId3" w:history="1">
        <w:r w:rsidRPr="00C426FD">
          <w:rPr>
            <w:rStyle w:val="Hyperlink"/>
            <w:rFonts w:ascii="Times New Roman" w:eastAsia="Times New Roman" w:hAnsi="Times New Roman" w:cs="Times New Roman"/>
            <w:sz w:val="20"/>
            <w:szCs w:val="20"/>
          </w:rPr>
          <w:t>http://www.census.gov/econ/cbp/download/</w:t>
        </w:r>
      </w:hyperlink>
      <w:r w:rsidRPr="00590CEA">
        <w:rPr>
          <w:rFonts w:ascii="Times New Roman" w:eastAsia="Times New Roman" w:hAnsi="Times New Roman" w:cs="Times New Roman"/>
          <w:sz w:val="20"/>
          <w:szCs w:val="20"/>
        </w:rPr>
        <w:t xml:space="preserve"> (Accessed </w:t>
      </w:r>
      <w:r w:rsidR="00143EB9">
        <w:rPr>
          <w:rFonts w:ascii="Times New Roman" w:eastAsia="Times New Roman" w:hAnsi="Times New Roman" w:cs="Times New Roman"/>
          <w:sz w:val="20"/>
          <w:szCs w:val="20"/>
        </w:rPr>
        <w:t>May 16, 2015</w:t>
      </w:r>
      <w:r w:rsidRPr="00590CEA">
        <w:rPr>
          <w:rFonts w:ascii="Times New Roman" w:eastAsia="Times New Roman" w:hAnsi="Times New Roman" w:cs="Times New Roman"/>
          <w:sz w:val="20"/>
          <w:szCs w:val="20"/>
        </w:rPr>
        <w:t>).</w:t>
      </w:r>
    </w:p>
    <w:p w:rsidR="00B70DAE" w:rsidRPr="00590CEA" w:rsidP="00B70DAE" w14:paraId="55F327EA" w14:textId="77777777">
      <w:pPr>
        <w:pStyle w:val="FootnoteText"/>
        <w:rPr>
          <w:lang w:val="en-US"/>
        </w:rPr>
      </w:pPr>
    </w:p>
  </w:footnote>
  <w:footnote w:id="13">
    <w:p w:rsidR="006777F1" w:rsidRPr="00A82BE8" w:rsidP="006777F1" w14:paraId="3B336DD6" w14:textId="77777777">
      <w:pPr>
        <w:pStyle w:val="FootnoteText"/>
        <w:rPr>
          <w:lang w:val="en-US"/>
        </w:rPr>
      </w:pPr>
      <w:r w:rsidRPr="00A82BE8">
        <w:rPr>
          <w:rStyle w:val="FootnoteReference"/>
          <w:vertAlign w:val="superscript"/>
        </w:rPr>
        <w:footnoteRef/>
      </w:r>
      <w:r w:rsidRPr="00A82BE8">
        <w:rPr>
          <w:vertAlign w:val="superscript"/>
        </w:rPr>
        <w:t xml:space="preserve"> </w:t>
      </w:r>
      <w:r>
        <w:t>The total unduplicated number of employers estimated to be affected by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C59" w:rsidP="00E14C59" w14:paraId="3EFE5D34" w14:textId="77777777">
    <w:pPr>
      <w:spacing w:after="0" w:line="240" w:lineRule="auto"/>
      <w:rPr>
        <w:rFonts w:ascii="Times New Roman" w:hAnsi="Times New Roman"/>
        <w:b/>
        <w:bCs/>
        <w:sz w:val="24"/>
        <w:szCs w:val="24"/>
        <w:lang w:val="en-JM"/>
      </w:rPr>
    </w:pPr>
    <w:r w:rsidRPr="00B70DAE">
      <w:rPr>
        <w:rFonts w:ascii="Times New Roman" w:hAnsi="Times New Roman"/>
        <w:b/>
        <w:bCs/>
        <w:sz w:val="24"/>
        <w:szCs w:val="24"/>
        <w:lang w:val="en-JM"/>
      </w:rPr>
      <w:t>HEXAVALENT CHROMIUM STANDARDS FOR</w:t>
    </w:r>
    <w:r>
      <w:rPr>
        <w:rFonts w:ascii="Times New Roman" w:hAnsi="Times New Roman"/>
        <w:b/>
        <w:sz w:val="24"/>
        <w:szCs w:val="24"/>
      </w:rPr>
      <w:t xml:space="preserve"> </w:t>
    </w:r>
    <w:r w:rsidRPr="00B70DAE">
      <w:rPr>
        <w:rFonts w:ascii="Times New Roman" w:hAnsi="Times New Roman"/>
        <w:b/>
        <w:bCs/>
        <w:sz w:val="24"/>
        <w:szCs w:val="24"/>
        <w:lang w:val="en-JM"/>
      </w:rPr>
      <w:t xml:space="preserve">GENERAL INDUSTRY </w:t>
    </w:r>
  </w:p>
  <w:p w:rsidR="00E14C59" w:rsidP="00E14C59" w14:paraId="2D3CBC48" w14:textId="77777777">
    <w:pPr>
      <w:spacing w:after="0" w:line="240" w:lineRule="auto"/>
      <w:rPr>
        <w:rFonts w:ascii="Times New Roman" w:hAnsi="Times New Roman"/>
        <w:b/>
        <w:bCs/>
        <w:sz w:val="24"/>
        <w:szCs w:val="24"/>
        <w:lang w:val="en-JM"/>
      </w:rPr>
    </w:pPr>
    <w:r w:rsidRPr="00B70DAE">
      <w:rPr>
        <w:rFonts w:ascii="Times New Roman" w:hAnsi="Times New Roman"/>
        <w:b/>
        <w:bCs/>
        <w:sz w:val="24"/>
        <w:szCs w:val="24"/>
        <w:lang w:val="en-JM"/>
      </w:rPr>
      <w:t>(29 CFR 1910.1026), SHIPYARD EMPLOYMENT</w:t>
    </w:r>
    <w:r>
      <w:rPr>
        <w:rFonts w:ascii="Times New Roman" w:hAnsi="Times New Roman"/>
        <w:b/>
        <w:sz w:val="24"/>
        <w:szCs w:val="24"/>
      </w:rPr>
      <w:t xml:space="preserve"> </w:t>
    </w:r>
    <w:r w:rsidRPr="00B70DAE">
      <w:rPr>
        <w:rFonts w:ascii="Times New Roman" w:hAnsi="Times New Roman"/>
        <w:b/>
        <w:bCs/>
        <w:sz w:val="24"/>
        <w:szCs w:val="24"/>
        <w:lang w:val="en-JM"/>
      </w:rPr>
      <w:t xml:space="preserve">(29 CFR 1915.1026), </w:t>
    </w:r>
  </w:p>
  <w:p w:rsidR="00A96B55" w:rsidP="00E14C59" w14:paraId="5DD17435" w14:textId="32777E80">
    <w:pPr>
      <w:spacing w:after="0" w:line="240" w:lineRule="auto"/>
      <w:rPr>
        <w:rFonts w:ascii="Times New Roman" w:hAnsi="Times New Roman"/>
        <w:b/>
        <w:bCs/>
        <w:sz w:val="24"/>
        <w:szCs w:val="24"/>
        <w:lang w:val="en-JM"/>
      </w:rPr>
    </w:pPr>
    <w:r w:rsidRPr="00B70DAE">
      <w:rPr>
        <w:rFonts w:ascii="Times New Roman" w:hAnsi="Times New Roman"/>
        <w:b/>
        <w:bCs/>
        <w:sz w:val="24"/>
        <w:szCs w:val="24"/>
        <w:lang w:val="en-JM"/>
      </w:rPr>
      <w:t>AND CONSTRUCTION (29 CFR 1926.1126)</w:t>
    </w:r>
  </w:p>
  <w:p w:rsidR="00E14C59" w:rsidP="00E14C59" w14:paraId="14881A89" w14:textId="4682329B">
    <w:pPr>
      <w:spacing w:after="0" w:line="240" w:lineRule="auto"/>
      <w:rPr>
        <w:rFonts w:ascii="Times New Roman" w:hAnsi="Times New Roman"/>
        <w:b/>
        <w:bCs/>
        <w:sz w:val="24"/>
        <w:szCs w:val="24"/>
        <w:lang w:val="en-JM"/>
      </w:rPr>
    </w:pPr>
    <w:r>
      <w:rPr>
        <w:rFonts w:ascii="Times New Roman" w:hAnsi="Times New Roman"/>
        <w:b/>
        <w:bCs/>
        <w:sz w:val="24"/>
        <w:szCs w:val="24"/>
        <w:lang w:val="en-JM"/>
      </w:rPr>
      <w:t xml:space="preserve">OMB </w:t>
    </w:r>
    <w:r w:rsidR="001B1D52">
      <w:rPr>
        <w:rFonts w:ascii="Times New Roman" w:hAnsi="Times New Roman"/>
        <w:b/>
        <w:bCs/>
        <w:sz w:val="24"/>
        <w:szCs w:val="24"/>
        <w:lang w:val="en-JM"/>
      </w:rPr>
      <w:t>Control Number</w:t>
    </w:r>
    <w:r w:rsidR="006D6F96">
      <w:rPr>
        <w:rFonts w:ascii="Times New Roman" w:hAnsi="Times New Roman"/>
        <w:b/>
        <w:bCs/>
        <w:sz w:val="24"/>
        <w:szCs w:val="24"/>
        <w:lang w:val="en-JM"/>
      </w:rPr>
      <w:t>: 1218-0252</w:t>
    </w:r>
  </w:p>
  <w:p w:rsidR="006D6F96" w:rsidRPr="00B70DAE" w:rsidP="00E14C59" w14:paraId="66B99A63" w14:textId="19668C61">
    <w:pPr>
      <w:spacing w:after="0" w:line="240" w:lineRule="auto"/>
      <w:rPr>
        <w:rFonts w:ascii="Times New Roman" w:hAnsi="Times New Roman"/>
        <w:b/>
        <w:sz w:val="24"/>
        <w:szCs w:val="24"/>
      </w:rPr>
    </w:pPr>
    <w:r>
      <w:rPr>
        <w:rFonts w:ascii="Times New Roman" w:hAnsi="Times New Roman"/>
        <w:b/>
        <w:bCs/>
        <w:sz w:val="24"/>
        <w:szCs w:val="24"/>
        <w:lang w:val="en-JM"/>
      </w:rPr>
      <w:t>Expiration Date: July 31, 2026</w:t>
    </w:r>
  </w:p>
  <w:p w:rsidR="00474F99" w:rsidRPr="00C426FD" w:rsidP="00C426FD" w14:paraId="4D43CBFE"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00CD18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0A295"/>
    <w:multiLevelType w:val="hybridMultilevel"/>
    <w:tmpl w:val="89B20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241A31"/>
    <w:multiLevelType w:val="multilevel"/>
    <w:tmpl w:val="0204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55456"/>
    <w:multiLevelType w:val="hybridMultilevel"/>
    <w:tmpl w:val="29121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736F0F"/>
    <w:multiLevelType w:val="multilevel"/>
    <w:tmpl w:val="A8CE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D7F60"/>
    <w:multiLevelType w:val="multilevel"/>
    <w:tmpl w:val="C7CC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E517AB"/>
    <w:multiLevelType w:val="multilevel"/>
    <w:tmpl w:val="6892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1125C"/>
    <w:multiLevelType w:val="hybridMultilevel"/>
    <w:tmpl w:val="C1AA3F4C"/>
    <w:lvl w:ilvl="0">
      <w:start w:val="5"/>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1A2685FC"/>
    <w:multiLevelType w:val="multilevel"/>
    <w:tmpl w:val="AFB8B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4629BE"/>
    <w:multiLevelType w:val="hybridMultilevel"/>
    <w:tmpl w:val="1E4EF1F0"/>
    <w:lvl w:ilvl="0">
      <w:start w:val="1"/>
      <w:numFmt w:val="decimal"/>
      <w:lvlText w:val="%1."/>
      <w:lvlJc w:val="left"/>
      <w:pPr>
        <w:ind w:left="1632" w:hanging="1230"/>
      </w:pPr>
      <w:rPr>
        <w:rFonts w:hint="default"/>
      </w:r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abstractNum w:abstractNumId="10">
    <w:nsid w:val="25ED30BD"/>
    <w:multiLevelType w:val="multilevel"/>
    <w:tmpl w:val="EA6A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22677"/>
    <w:multiLevelType w:val="multilevel"/>
    <w:tmpl w:val="9702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F2063"/>
    <w:multiLevelType w:val="multilevel"/>
    <w:tmpl w:val="7DD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59569C"/>
    <w:multiLevelType w:val="multilevel"/>
    <w:tmpl w:val="D06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BA0905"/>
    <w:multiLevelType w:val="multilevel"/>
    <w:tmpl w:val="6680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1856DD"/>
    <w:multiLevelType w:val="multilevel"/>
    <w:tmpl w:val="6B3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19739C"/>
    <w:multiLevelType w:val="multilevel"/>
    <w:tmpl w:val="F52C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B53E22E"/>
    <w:multiLevelType w:val="multilevel"/>
    <w:tmpl w:val="958A3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05E1C46"/>
    <w:multiLevelType w:val="hybridMultilevel"/>
    <w:tmpl w:val="D918F148"/>
    <w:lvl w:ilvl="0">
      <w:start w:val="1"/>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23F595C"/>
    <w:multiLevelType w:val="hybridMultilevel"/>
    <w:tmpl w:val="C9740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086D1F"/>
    <w:multiLevelType w:val="hybridMultilevel"/>
    <w:tmpl w:val="13004CC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D04E28"/>
    <w:multiLevelType w:val="multilevel"/>
    <w:tmpl w:val="30E64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95F7CFF"/>
    <w:multiLevelType w:val="multilevel"/>
    <w:tmpl w:val="0A70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FB72B6"/>
    <w:multiLevelType w:val="multilevel"/>
    <w:tmpl w:val="21DA28FA"/>
    <w:lvl w:ilvl="0">
      <w:start w:val="7"/>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4">
    <w:nsid w:val="4C231489"/>
    <w:multiLevelType w:val="multilevel"/>
    <w:tmpl w:val="EA2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6B51DC"/>
    <w:multiLevelType w:val="hybridMultilevel"/>
    <w:tmpl w:val="28FA7EBC"/>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9A6267A"/>
    <w:multiLevelType w:val="multilevel"/>
    <w:tmpl w:val="F376B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B8957B5"/>
    <w:multiLevelType w:val="multilevel"/>
    <w:tmpl w:val="F888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B3315E"/>
    <w:multiLevelType w:val="hybridMultilevel"/>
    <w:tmpl w:val="91CCC180"/>
    <w:lvl w:ilvl="0">
      <w:start w:val="7"/>
      <w:numFmt w:val="decimal"/>
      <w:lvlText w:val="%1."/>
      <w:lvlJc w:val="left"/>
      <w:pPr>
        <w:ind w:left="990" w:hanging="360"/>
      </w:pPr>
      <w:rPr>
        <w:rFonts w:hint="default"/>
        <w:b/>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9">
    <w:nsid w:val="5F3F5386"/>
    <w:multiLevelType w:val="hybridMultilevel"/>
    <w:tmpl w:val="6B0056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nsid w:val="600A8AFE"/>
    <w:multiLevelType w:val="multilevel"/>
    <w:tmpl w:val="A774B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5053C09"/>
    <w:multiLevelType w:val="multilevel"/>
    <w:tmpl w:val="E7982F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03765F"/>
    <w:multiLevelType w:val="multilevel"/>
    <w:tmpl w:val="C0F8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74C6E6"/>
    <w:multiLevelType w:val="hybridMultilevel"/>
    <w:tmpl w:val="920E8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20DDDD"/>
    <w:multiLevelType w:val="hybridMultilevel"/>
    <w:tmpl w:val="F62EEF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5604274"/>
    <w:multiLevelType w:val="multilevel"/>
    <w:tmpl w:val="23F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606C60"/>
    <w:multiLevelType w:val="hybridMultilevel"/>
    <w:tmpl w:val="EB5A86BC"/>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A33824"/>
    <w:multiLevelType w:val="hybridMultilevel"/>
    <w:tmpl w:val="C9B81404"/>
    <w:lvl w:ilvl="0">
      <w:start w:val="18"/>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7B89947D"/>
    <w:multiLevelType w:val="multilevel"/>
    <w:tmpl w:val="97E60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C30AC6F"/>
    <w:multiLevelType w:val="multilevel"/>
    <w:tmpl w:val="9D5EB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CAC3E4B"/>
    <w:multiLevelType w:val="hybridMultilevel"/>
    <w:tmpl w:val="F44002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1">
    <w:nsid w:val="7FEF5604"/>
    <w:multiLevelType w:val="multilevel"/>
    <w:tmpl w:val="2804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08291">
    <w:abstractNumId w:val="34"/>
  </w:num>
  <w:num w:numId="2" w16cid:durableId="81533241">
    <w:abstractNumId w:val="29"/>
  </w:num>
  <w:num w:numId="3" w16cid:durableId="1238132072">
    <w:abstractNumId w:val="19"/>
  </w:num>
  <w:num w:numId="4" w16cid:durableId="201940724">
    <w:abstractNumId w:val="1"/>
  </w:num>
  <w:num w:numId="5" w16cid:durableId="1966498091">
    <w:abstractNumId w:val="33"/>
  </w:num>
  <w:num w:numId="6" w16cid:durableId="31536924">
    <w:abstractNumId w:val="40"/>
  </w:num>
  <w:num w:numId="7" w16cid:durableId="1814560769">
    <w:abstractNumId w:val="16"/>
  </w:num>
  <w:num w:numId="8" w16cid:durableId="1170293425">
    <w:abstractNumId w:val="38"/>
  </w:num>
  <w:num w:numId="9" w16cid:durableId="857040608">
    <w:abstractNumId w:val="39"/>
  </w:num>
  <w:num w:numId="10" w16cid:durableId="1567571839">
    <w:abstractNumId w:val="30"/>
  </w:num>
  <w:num w:numId="11" w16cid:durableId="456410556">
    <w:abstractNumId w:val="17"/>
  </w:num>
  <w:num w:numId="12" w16cid:durableId="1886018711">
    <w:abstractNumId w:val="8"/>
  </w:num>
  <w:num w:numId="13" w16cid:durableId="1322468500">
    <w:abstractNumId w:val="21"/>
  </w:num>
  <w:num w:numId="14" w16cid:durableId="681862248">
    <w:abstractNumId w:val="26"/>
  </w:num>
  <w:num w:numId="15" w16cid:durableId="957445893">
    <w:abstractNumId w:val="3"/>
  </w:num>
  <w:num w:numId="16" w16cid:durableId="1588265518">
    <w:abstractNumId w:val="37"/>
  </w:num>
  <w:num w:numId="17" w16cid:durableId="1614745902">
    <w:abstractNumId w:val="20"/>
  </w:num>
  <w:num w:numId="18" w16cid:durableId="1269894476">
    <w:abstractNumId w:val="7"/>
  </w:num>
  <w:num w:numId="19" w16cid:durableId="1519271791">
    <w:abstractNumId w:val="18"/>
  </w:num>
  <w:num w:numId="20" w16cid:durableId="1103768731">
    <w:abstractNumId w:val="25"/>
  </w:num>
  <w:num w:numId="21" w16cid:durableId="1736006832">
    <w:abstractNumId w:val="0"/>
  </w:num>
  <w:num w:numId="22" w16cid:durableId="470488677">
    <w:abstractNumId w:val="9"/>
  </w:num>
  <w:num w:numId="23" w16cid:durableId="1667785474">
    <w:abstractNumId w:val="23"/>
  </w:num>
  <w:num w:numId="24" w16cid:durableId="532768115">
    <w:abstractNumId w:val="32"/>
  </w:num>
  <w:num w:numId="25" w16cid:durableId="1051033398">
    <w:abstractNumId w:val="14"/>
  </w:num>
  <w:num w:numId="26" w16cid:durableId="2139302282">
    <w:abstractNumId w:val="35"/>
  </w:num>
  <w:num w:numId="27" w16cid:durableId="1531918464">
    <w:abstractNumId w:val="11"/>
  </w:num>
  <w:num w:numId="28" w16cid:durableId="1307206123">
    <w:abstractNumId w:val="24"/>
  </w:num>
  <w:num w:numId="29" w16cid:durableId="1060514801">
    <w:abstractNumId w:val="27"/>
  </w:num>
  <w:num w:numId="30" w16cid:durableId="2135126462">
    <w:abstractNumId w:val="15"/>
  </w:num>
  <w:num w:numId="31" w16cid:durableId="1662998805">
    <w:abstractNumId w:val="5"/>
  </w:num>
  <w:num w:numId="32" w16cid:durableId="1306468318">
    <w:abstractNumId w:val="28"/>
  </w:num>
  <w:num w:numId="33" w16cid:durableId="787625883">
    <w:abstractNumId w:val="31"/>
  </w:num>
  <w:num w:numId="34" w16cid:durableId="501774950">
    <w:abstractNumId w:val="36"/>
  </w:num>
  <w:num w:numId="35" w16cid:durableId="2039504956">
    <w:abstractNumId w:val="4"/>
  </w:num>
  <w:num w:numId="36" w16cid:durableId="306084531">
    <w:abstractNumId w:val="22"/>
  </w:num>
  <w:num w:numId="37" w16cid:durableId="1463231941">
    <w:abstractNumId w:val="6"/>
  </w:num>
  <w:num w:numId="38" w16cid:durableId="165216975">
    <w:abstractNumId w:val="10"/>
  </w:num>
  <w:num w:numId="39" w16cid:durableId="1623346956">
    <w:abstractNumId w:val="41"/>
  </w:num>
  <w:num w:numId="40" w16cid:durableId="98530088">
    <w:abstractNumId w:val="12"/>
  </w:num>
  <w:num w:numId="41" w16cid:durableId="1105006388">
    <w:abstractNumId w:val="13"/>
  </w:num>
  <w:num w:numId="42" w16cid:durableId="164674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AE"/>
    <w:rsid w:val="00000925"/>
    <w:rsid w:val="00000EAF"/>
    <w:rsid w:val="0001004D"/>
    <w:rsid w:val="00026CA0"/>
    <w:rsid w:val="000319AD"/>
    <w:rsid w:val="000323F7"/>
    <w:rsid w:val="0003412A"/>
    <w:rsid w:val="0003780B"/>
    <w:rsid w:val="0004567F"/>
    <w:rsid w:val="0005159A"/>
    <w:rsid w:val="00051921"/>
    <w:rsid w:val="000531C6"/>
    <w:rsid w:val="000546D5"/>
    <w:rsid w:val="0006192F"/>
    <w:rsid w:val="000633F1"/>
    <w:rsid w:val="00065715"/>
    <w:rsid w:val="00071904"/>
    <w:rsid w:val="00075A30"/>
    <w:rsid w:val="0008248A"/>
    <w:rsid w:val="0008415C"/>
    <w:rsid w:val="00086FA7"/>
    <w:rsid w:val="00094350"/>
    <w:rsid w:val="000A49E9"/>
    <w:rsid w:val="000B0B8F"/>
    <w:rsid w:val="000B2264"/>
    <w:rsid w:val="000B47BB"/>
    <w:rsid w:val="000C11B1"/>
    <w:rsid w:val="000E2D61"/>
    <w:rsid w:val="000E78BB"/>
    <w:rsid w:val="000F2E15"/>
    <w:rsid w:val="001021DB"/>
    <w:rsid w:val="001039B0"/>
    <w:rsid w:val="00116C3B"/>
    <w:rsid w:val="00121744"/>
    <w:rsid w:val="00133BA1"/>
    <w:rsid w:val="00134F4F"/>
    <w:rsid w:val="0013534F"/>
    <w:rsid w:val="00143EB9"/>
    <w:rsid w:val="00154FD8"/>
    <w:rsid w:val="00156AC4"/>
    <w:rsid w:val="00173006"/>
    <w:rsid w:val="00181758"/>
    <w:rsid w:val="001835B5"/>
    <w:rsid w:val="001839FC"/>
    <w:rsid w:val="00192CF6"/>
    <w:rsid w:val="00193A8E"/>
    <w:rsid w:val="0019423C"/>
    <w:rsid w:val="00194D0D"/>
    <w:rsid w:val="00197886"/>
    <w:rsid w:val="001A1AAE"/>
    <w:rsid w:val="001A21D9"/>
    <w:rsid w:val="001B1793"/>
    <w:rsid w:val="001B1D52"/>
    <w:rsid w:val="001B2AB0"/>
    <w:rsid w:val="001D7611"/>
    <w:rsid w:val="001D76D5"/>
    <w:rsid w:val="001E1EB8"/>
    <w:rsid w:val="001E27AF"/>
    <w:rsid w:val="001E6EBB"/>
    <w:rsid w:val="001F0893"/>
    <w:rsid w:val="001F0D9E"/>
    <w:rsid w:val="001F6C5B"/>
    <w:rsid w:val="002126E6"/>
    <w:rsid w:val="00213520"/>
    <w:rsid w:val="0022121C"/>
    <w:rsid w:val="002308DD"/>
    <w:rsid w:val="00253256"/>
    <w:rsid w:val="00261A07"/>
    <w:rsid w:val="00263F83"/>
    <w:rsid w:val="00264184"/>
    <w:rsid w:val="00266B91"/>
    <w:rsid w:val="00272761"/>
    <w:rsid w:val="0027437C"/>
    <w:rsid w:val="00277B9F"/>
    <w:rsid w:val="002837C6"/>
    <w:rsid w:val="00283BDF"/>
    <w:rsid w:val="00283E4D"/>
    <w:rsid w:val="00290EDF"/>
    <w:rsid w:val="00295BA4"/>
    <w:rsid w:val="0029663B"/>
    <w:rsid w:val="002B36C3"/>
    <w:rsid w:val="002B4897"/>
    <w:rsid w:val="002D72BC"/>
    <w:rsid w:val="002E29E6"/>
    <w:rsid w:val="002E346C"/>
    <w:rsid w:val="002F0A80"/>
    <w:rsid w:val="002F11DF"/>
    <w:rsid w:val="003071CC"/>
    <w:rsid w:val="00310270"/>
    <w:rsid w:val="00310DFD"/>
    <w:rsid w:val="00322B59"/>
    <w:rsid w:val="0032578F"/>
    <w:rsid w:val="003315E1"/>
    <w:rsid w:val="00332270"/>
    <w:rsid w:val="00334F09"/>
    <w:rsid w:val="003418FD"/>
    <w:rsid w:val="003536C6"/>
    <w:rsid w:val="0036015D"/>
    <w:rsid w:val="00360A76"/>
    <w:rsid w:val="00361667"/>
    <w:rsid w:val="00372867"/>
    <w:rsid w:val="00373EBC"/>
    <w:rsid w:val="0037753D"/>
    <w:rsid w:val="00382393"/>
    <w:rsid w:val="00386668"/>
    <w:rsid w:val="003867DE"/>
    <w:rsid w:val="003901C2"/>
    <w:rsid w:val="00391F72"/>
    <w:rsid w:val="0039461D"/>
    <w:rsid w:val="00396EE0"/>
    <w:rsid w:val="00397658"/>
    <w:rsid w:val="003A3C33"/>
    <w:rsid w:val="003A66AA"/>
    <w:rsid w:val="003B0FAA"/>
    <w:rsid w:val="003B3CBE"/>
    <w:rsid w:val="003B691B"/>
    <w:rsid w:val="003D0A8F"/>
    <w:rsid w:val="003D1546"/>
    <w:rsid w:val="003D5E72"/>
    <w:rsid w:val="003D7257"/>
    <w:rsid w:val="003E124E"/>
    <w:rsid w:val="003E4159"/>
    <w:rsid w:val="003E5FFE"/>
    <w:rsid w:val="003F3AE6"/>
    <w:rsid w:val="003F5723"/>
    <w:rsid w:val="003F6AAE"/>
    <w:rsid w:val="004017C7"/>
    <w:rsid w:val="0040187F"/>
    <w:rsid w:val="00402DB4"/>
    <w:rsid w:val="004162AB"/>
    <w:rsid w:val="004231E0"/>
    <w:rsid w:val="0043513B"/>
    <w:rsid w:val="0043602A"/>
    <w:rsid w:val="004370D3"/>
    <w:rsid w:val="0044088D"/>
    <w:rsid w:val="00450204"/>
    <w:rsid w:val="00450E9A"/>
    <w:rsid w:val="00460067"/>
    <w:rsid w:val="00463AA4"/>
    <w:rsid w:val="004652D4"/>
    <w:rsid w:val="004660A5"/>
    <w:rsid w:val="00467914"/>
    <w:rsid w:val="00470ECF"/>
    <w:rsid w:val="00471EF6"/>
    <w:rsid w:val="00472F47"/>
    <w:rsid w:val="00472FC3"/>
    <w:rsid w:val="00474F99"/>
    <w:rsid w:val="00475A6E"/>
    <w:rsid w:val="0047763F"/>
    <w:rsid w:val="00482462"/>
    <w:rsid w:val="004862B3"/>
    <w:rsid w:val="0048692F"/>
    <w:rsid w:val="00497680"/>
    <w:rsid w:val="004A4785"/>
    <w:rsid w:val="004A5851"/>
    <w:rsid w:val="004A5B62"/>
    <w:rsid w:val="004B214B"/>
    <w:rsid w:val="004C03D8"/>
    <w:rsid w:val="004C169E"/>
    <w:rsid w:val="004D023D"/>
    <w:rsid w:val="004D19E1"/>
    <w:rsid w:val="004D65DC"/>
    <w:rsid w:val="004E1384"/>
    <w:rsid w:val="004E1A3E"/>
    <w:rsid w:val="004F447F"/>
    <w:rsid w:val="004F670B"/>
    <w:rsid w:val="00502A7F"/>
    <w:rsid w:val="00515303"/>
    <w:rsid w:val="00522B07"/>
    <w:rsid w:val="00522FA5"/>
    <w:rsid w:val="005230D3"/>
    <w:rsid w:val="00527884"/>
    <w:rsid w:val="0053238A"/>
    <w:rsid w:val="0053358F"/>
    <w:rsid w:val="005348ED"/>
    <w:rsid w:val="00555887"/>
    <w:rsid w:val="00556F46"/>
    <w:rsid w:val="0055715B"/>
    <w:rsid w:val="0056253F"/>
    <w:rsid w:val="00563833"/>
    <w:rsid w:val="00565212"/>
    <w:rsid w:val="00566647"/>
    <w:rsid w:val="00567ACA"/>
    <w:rsid w:val="00572CB9"/>
    <w:rsid w:val="00572D54"/>
    <w:rsid w:val="005734D8"/>
    <w:rsid w:val="005746CA"/>
    <w:rsid w:val="00580451"/>
    <w:rsid w:val="00582D16"/>
    <w:rsid w:val="005836B7"/>
    <w:rsid w:val="00590CEA"/>
    <w:rsid w:val="00591BA5"/>
    <w:rsid w:val="005961CF"/>
    <w:rsid w:val="005B04CF"/>
    <w:rsid w:val="005B39D8"/>
    <w:rsid w:val="005B581E"/>
    <w:rsid w:val="005B6037"/>
    <w:rsid w:val="005C3927"/>
    <w:rsid w:val="005C454B"/>
    <w:rsid w:val="005D1CEF"/>
    <w:rsid w:val="005D4603"/>
    <w:rsid w:val="005D4E49"/>
    <w:rsid w:val="005E612B"/>
    <w:rsid w:val="005E6147"/>
    <w:rsid w:val="005F6A10"/>
    <w:rsid w:val="0060177A"/>
    <w:rsid w:val="00613636"/>
    <w:rsid w:val="00616DAD"/>
    <w:rsid w:val="00617D9C"/>
    <w:rsid w:val="006236DA"/>
    <w:rsid w:val="00641C89"/>
    <w:rsid w:val="006435A2"/>
    <w:rsid w:val="00644EAC"/>
    <w:rsid w:val="00665CAD"/>
    <w:rsid w:val="00671C72"/>
    <w:rsid w:val="00672262"/>
    <w:rsid w:val="0067332F"/>
    <w:rsid w:val="006777F1"/>
    <w:rsid w:val="00677BCF"/>
    <w:rsid w:val="00690AA5"/>
    <w:rsid w:val="00691050"/>
    <w:rsid w:val="00697600"/>
    <w:rsid w:val="0069779B"/>
    <w:rsid w:val="006A0657"/>
    <w:rsid w:val="006C1E14"/>
    <w:rsid w:val="006C5734"/>
    <w:rsid w:val="006D0E47"/>
    <w:rsid w:val="006D1229"/>
    <w:rsid w:val="006D3B10"/>
    <w:rsid w:val="006D6F96"/>
    <w:rsid w:val="006E1F32"/>
    <w:rsid w:val="006F32EB"/>
    <w:rsid w:val="00706EC6"/>
    <w:rsid w:val="00710B93"/>
    <w:rsid w:val="00710F7F"/>
    <w:rsid w:val="0071340D"/>
    <w:rsid w:val="007221AF"/>
    <w:rsid w:val="00724CEE"/>
    <w:rsid w:val="0072649F"/>
    <w:rsid w:val="00733EBC"/>
    <w:rsid w:val="007376A2"/>
    <w:rsid w:val="00744047"/>
    <w:rsid w:val="00750B5E"/>
    <w:rsid w:val="0075585B"/>
    <w:rsid w:val="00760BE3"/>
    <w:rsid w:val="00761031"/>
    <w:rsid w:val="00766A2D"/>
    <w:rsid w:val="00767178"/>
    <w:rsid w:val="0078536D"/>
    <w:rsid w:val="00786A7A"/>
    <w:rsid w:val="00790033"/>
    <w:rsid w:val="00795992"/>
    <w:rsid w:val="007A4236"/>
    <w:rsid w:val="007B181D"/>
    <w:rsid w:val="007B223A"/>
    <w:rsid w:val="007B3ACB"/>
    <w:rsid w:val="007C171B"/>
    <w:rsid w:val="007D0FE2"/>
    <w:rsid w:val="007D3789"/>
    <w:rsid w:val="007D4030"/>
    <w:rsid w:val="007D5F9F"/>
    <w:rsid w:val="007F35E8"/>
    <w:rsid w:val="007F7BCA"/>
    <w:rsid w:val="007F7E38"/>
    <w:rsid w:val="00801D6A"/>
    <w:rsid w:val="00816E7E"/>
    <w:rsid w:val="00816E90"/>
    <w:rsid w:val="008225AF"/>
    <w:rsid w:val="00823452"/>
    <w:rsid w:val="00832242"/>
    <w:rsid w:val="00832697"/>
    <w:rsid w:val="00832A5F"/>
    <w:rsid w:val="008368D1"/>
    <w:rsid w:val="0084519C"/>
    <w:rsid w:val="0084526F"/>
    <w:rsid w:val="00845738"/>
    <w:rsid w:val="00847B5A"/>
    <w:rsid w:val="008533D0"/>
    <w:rsid w:val="0085701C"/>
    <w:rsid w:val="008579C1"/>
    <w:rsid w:val="008635B8"/>
    <w:rsid w:val="008644F5"/>
    <w:rsid w:val="008645D2"/>
    <w:rsid w:val="0088123A"/>
    <w:rsid w:val="00882CE7"/>
    <w:rsid w:val="008834C9"/>
    <w:rsid w:val="00884D72"/>
    <w:rsid w:val="00885A6F"/>
    <w:rsid w:val="00891F6B"/>
    <w:rsid w:val="0089326E"/>
    <w:rsid w:val="00896162"/>
    <w:rsid w:val="0089688C"/>
    <w:rsid w:val="008A04CC"/>
    <w:rsid w:val="008A4170"/>
    <w:rsid w:val="008A74B6"/>
    <w:rsid w:val="008B09CE"/>
    <w:rsid w:val="008B2A45"/>
    <w:rsid w:val="008C0C30"/>
    <w:rsid w:val="008C7C42"/>
    <w:rsid w:val="008D04F7"/>
    <w:rsid w:val="008D4B7A"/>
    <w:rsid w:val="008D5049"/>
    <w:rsid w:val="008E135F"/>
    <w:rsid w:val="008E36DC"/>
    <w:rsid w:val="008E7C3F"/>
    <w:rsid w:val="008F2015"/>
    <w:rsid w:val="008F202A"/>
    <w:rsid w:val="008F2447"/>
    <w:rsid w:val="00905836"/>
    <w:rsid w:val="00907C09"/>
    <w:rsid w:val="00913656"/>
    <w:rsid w:val="00914ABB"/>
    <w:rsid w:val="00915D31"/>
    <w:rsid w:val="009202C6"/>
    <w:rsid w:val="00926D46"/>
    <w:rsid w:val="009301A0"/>
    <w:rsid w:val="0093222B"/>
    <w:rsid w:val="0094051F"/>
    <w:rsid w:val="00947736"/>
    <w:rsid w:val="00950A4F"/>
    <w:rsid w:val="00963DBA"/>
    <w:rsid w:val="0096508F"/>
    <w:rsid w:val="0096607C"/>
    <w:rsid w:val="00967D7A"/>
    <w:rsid w:val="00974A29"/>
    <w:rsid w:val="0098089B"/>
    <w:rsid w:val="00984C25"/>
    <w:rsid w:val="00987502"/>
    <w:rsid w:val="00994460"/>
    <w:rsid w:val="009B2168"/>
    <w:rsid w:val="009B5AF9"/>
    <w:rsid w:val="009C375D"/>
    <w:rsid w:val="009C5F41"/>
    <w:rsid w:val="009D3724"/>
    <w:rsid w:val="009E4706"/>
    <w:rsid w:val="009E67F4"/>
    <w:rsid w:val="009E7E0A"/>
    <w:rsid w:val="009F0E79"/>
    <w:rsid w:val="009F28D8"/>
    <w:rsid w:val="009F7951"/>
    <w:rsid w:val="009F7C23"/>
    <w:rsid w:val="00A07AFD"/>
    <w:rsid w:val="00A11881"/>
    <w:rsid w:val="00A1574D"/>
    <w:rsid w:val="00A219C9"/>
    <w:rsid w:val="00A2668F"/>
    <w:rsid w:val="00A26D4B"/>
    <w:rsid w:val="00A313A7"/>
    <w:rsid w:val="00A3362E"/>
    <w:rsid w:val="00A362F0"/>
    <w:rsid w:val="00A405A2"/>
    <w:rsid w:val="00A41EC9"/>
    <w:rsid w:val="00A434D7"/>
    <w:rsid w:val="00A44B77"/>
    <w:rsid w:val="00A55E5A"/>
    <w:rsid w:val="00A61B44"/>
    <w:rsid w:val="00A6394A"/>
    <w:rsid w:val="00A66896"/>
    <w:rsid w:val="00A67662"/>
    <w:rsid w:val="00A751FB"/>
    <w:rsid w:val="00A76797"/>
    <w:rsid w:val="00A80A25"/>
    <w:rsid w:val="00A82BE8"/>
    <w:rsid w:val="00A848A1"/>
    <w:rsid w:val="00A84B3F"/>
    <w:rsid w:val="00A93CFD"/>
    <w:rsid w:val="00A96B55"/>
    <w:rsid w:val="00AB2A43"/>
    <w:rsid w:val="00AB7575"/>
    <w:rsid w:val="00AC7A22"/>
    <w:rsid w:val="00AD4EF8"/>
    <w:rsid w:val="00AD7E81"/>
    <w:rsid w:val="00AF3032"/>
    <w:rsid w:val="00B02CE8"/>
    <w:rsid w:val="00B07708"/>
    <w:rsid w:val="00B20E7D"/>
    <w:rsid w:val="00B2505C"/>
    <w:rsid w:val="00B25C18"/>
    <w:rsid w:val="00B27866"/>
    <w:rsid w:val="00B3158D"/>
    <w:rsid w:val="00B32044"/>
    <w:rsid w:val="00B33A8B"/>
    <w:rsid w:val="00B34988"/>
    <w:rsid w:val="00B37587"/>
    <w:rsid w:val="00B4359E"/>
    <w:rsid w:val="00B45858"/>
    <w:rsid w:val="00B5525C"/>
    <w:rsid w:val="00B61977"/>
    <w:rsid w:val="00B61EBE"/>
    <w:rsid w:val="00B62663"/>
    <w:rsid w:val="00B62824"/>
    <w:rsid w:val="00B630E5"/>
    <w:rsid w:val="00B65311"/>
    <w:rsid w:val="00B70DAE"/>
    <w:rsid w:val="00B768A6"/>
    <w:rsid w:val="00B80B34"/>
    <w:rsid w:val="00B81B20"/>
    <w:rsid w:val="00B84E80"/>
    <w:rsid w:val="00B91986"/>
    <w:rsid w:val="00B92220"/>
    <w:rsid w:val="00BA464F"/>
    <w:rsid w:val="00BB21A7"/>
    <w:rsid w:val="00BB2A33"/>
    <w:rsid w:val="00BB5422"/>
    <w:rsid w:val="00BB60CB"/>
    <w:rsid w:val="00BB74C7"/>
    <w:rsid w:val="00BC0EA3"/>
    <w:rsid w:val="00BC4220"/>
    <w:rsid w:val="00BC70B3"/>
    <w:rsid w:val="00BC796A"/>
    <w:rsid w:val="00BD3632"/>
    <w:rsid w:val="00BD4136"/>
    <w:rsid w:val="00BE16AF"/>
    <w:rsid w:val="00BE4D16"/>
    <w:rsid w:val="00BE7338"/>
    <w:rsid w:val="00BF37D8"/>
    <w:rsid w:val="00BF3F9B"/>
    <w:rsid w:val="00C01F7B"/>
    <w:rsid w:val="00C0342D"/>
    <w:rsid w:val="00C0587D"/>
    <w:rsid w:val="00C14393"/>
    <w:rsid w:val="00C152E0"/>
    <w:rsid w:val="00C25163"/>
    <w:rsid w:val="00C2527C"/>
    <w:rsid w:val="00C252B3"/>
    <w:rsid w:val="00C26F69"/>
    <w:rsid w:val="00C32D82"/>
    <w:rsid w:val="00C36DDA"/>
    <w:rsid w:val="00C426FD"/>
    <w:rsid w:val="00C46E09"/>
    <w:rsid w:val="00C61F1E"/>
    <w:rsid w:val="00C637FB"/>
    <w:rsid w:val="00C646B9"/>
    <w:rsid w:val="00C64ED2"/>
    <w:rsid w:val="00C665D5"/>
    <w:rsid w:val="00C72004"/>
    <w:rsid w:val="00C74896"/>
    <w:rsid w:val="00C77FB3"/>
    <w:rsid w:val="00C86805"/>
    <w:rsid w:val="00C87D10"/>
    <w:rsid w:val="00C91D3C"/>
    <w:rsid w:val="00CB1723"/>
    <w:rsid w:val="00CD0D42"/>
    <w:rsid w:val="00CD1428"/>
    <w:rsid w:val="00CD2924"/>
    <w:rsid w:val="00CD30C5"/>
    <w:rsid w:val="00CD497F"/>
    <w:rsid w:val="00CE02C8"/>
    <w:rsid w:val="00CE193B"/>
    <w:rsid w:val="00CE4A46"/>
    <w:rsid w:val="00CE4AF3"/>
    <w:rsid w:val="00D0242E"/>
    <w:rsid w:val="00D03181"/>
    <w:rsid w:val="00D06E10"/>
    <w:rsid w:val="00D13706"/>
    <w:rsid w:val="00D23CC9"/>
    <w:rsid w:val="00D27C52"/>
    <w:rsid w:val="00D30144"/>
    <w:rsid w:val="00D307A6"/>
    <w:rsid w:val="00D3257F"/>
    <w:rsid w:val="00D349E0"/>
    <w:rsid w:val="00D74F61"/>
    <w:rsid w:val="00D83040"/>
    <w:rsid w:val="00D83E07"/>
    <w:rsid w:val="00D873A6"/>
    <w:rsid w:val="00D96F12"/>
    <w:rsid w:val="00D9738A"/>
    <w:rsid w:val="00DA1CEB"/>
    <w:rsid w:val="00DA1DFE"/>
    <w:rsid w:val="00DA632B"/>
    <w:rsid w:val="00DB1AC3"/>
    <w:rsid w:val="00DB2151"/>
    <w:rsid w:val="00DB4531"/>
    <w:rsid w:val="00DB7111"/>
    <w:rsid w:val="00DC407A"/>
    <w:rsid w:val="00DD0387"/>
    <w:rsid w:val="00DD1E47"/>
    <w:rsid w:val="00DD4745"/>
    <w:rsid w:val="00DD6743"/>
    <w:rsid w:val="00DE5416"/>
    <w:rsid w:val="00DF43B0"/>
    <w:rsid w:val="00DF52C9"/>
    <w:rsid w:val="00E004FB"/>
    <w:rsid w:val="00E03825"/>
    <w:rsid w:val="00E05E3B"/>
    <w:rsid w:val="00E112FB"/>
    <w:rsid w:val="00E126EC"/>
    <w:rsid w:val="00E12E57"/>
    <w:rsid w:val="00E14C59"/>
    <w:rsid w:val="00E21C7A"/>
    <w:rsid w:val="00E220C5"/>
    <w:rsid w:val="00E257DB"/>
    <w:rsid w:val="00E379CB"/>
    <w:rsid w:val="00E42CF8"/>
    <w:rsid w:val="00E43EA7"/>
    <w:rsid w:val="00E73829"/>
    <w:rsid w:val="00E768A5"/>
    <w:rsid w:val="00E8660B"/>
    <w:rsid w:val="00E905ED"/>
    <w:rsid w:val="00E95F0F"/>
    <w:rsid w:val="00E961CC"/>
    <w:rsid w:val="00EA4A75"/>
    <w:rsid w:val="00ED1DF0"/>
    <w:rsid w:val="00ED4308"/>
    <w:rsid w:val="00ED77F6"/>
    <w:rsid w:val="00EE052B"/>
    <w:rsid w:val="00EE1618"/>
    <w:rsid w:val="00EF61B2"/>
    <w:rsid w:val="00EF7B4D"/>
    <w:rsid w:val="00F06440"/>
    <w:rsid w:val="00F07234"/>
    <w:rsid w:val="00F14E18"/>
    <w:rsid w:val="00F15977"/>
    <w:rsid w:val="00F210E9"/>
    <w:rsid w:val="00F36142"/>
    <w:rsid w:val="00F37B87"/>
    <w:rsid w:val="00F40846"/>
    <w:rsid w:val="00F47BD8"/>
    <w:rsid w:val="00F83342"/>
    <w:rsid w:val="00F83E58"/>
    <w:rsid w:val="00F83EA7"/>
    <w:rsid w:val="00F90333"/>
    <w:rsid w:val="00F90FBE"/>
    <w:rsid w:val="00FA4B12"/>
    <w:rsid w:val="00FB3FA9"/>
    <w:rsid w:val="00FB5AAF"/>
    <w:rsid w:val="00FB6238"/>
    <w:rsid w:val="00FB74AB"/>
    <w:rsid w:val="00FC0562"/>
    <w:rsid w:val="00FC7291"/>
    <w:rsid w:val="00FD01D2"/>
    <w:rsid w:val="00FD15CC"/>
    <w:rsid w:val="00FD2358"/>
    <w:rsid w:val="00FE2C20"/>
    <w:rsid w:val="00FE344A"/>
    <w:rsid w:val="00FE7C03"/>
    <w:rsid w:val="00FF3575"/>
    <w:rsid w:val="00FF3CDB"/>
    <w:rsid w:val="1D013D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614C47"/>
  <w15:chartTrackingRefBased/>
  <w15:docId w15:val="{AC4BED66-7B88-4515-8D5F-58CEE318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0D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0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0D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0A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B70DA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D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0D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0DA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70DAE"/>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B70DAE"/>
  </w:style>
  <w:style w:type="paragraph" w:customStyle="1" w:styleId="msonormal">
    <w:name w:val="msonormal"/>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70DAE"/>
  </w:style>
  <w:style w:type="character" w:customStyle="1" w:styleId="paren">
    <w:name w:val="paren"/>
    <w:basedOn w:val="DefaultParagraphFont"/>
    <w:rsid w:val="00B70DAE"/>
  </w:style>
  <w:style w:type="character" w:styleId="Emphasis">
    <w:name w:val="Emphasis"/>
    <w:basedOn w:val="DefaultParagraphFont"/>
    <w:uiPriority w:val="20"/>
    <w:qFormat/>
    <w:rsid w:val="00B70DAE"/>
    <w:rPr>
      <w:i/>
      <w:iCs/>
    </w:rPr>
  </w:style>
  <w:style w:type="paragraph" w:customStyle="1" w:styleId="indent-2">
    <w:name w:val="indent-2"/>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0DAE"/>
    <w:rPr>
      <w:color w:val="0000FF"/>
      <w:u w:val="single"/>
    </w:rPr>
  </w:style>
  <w:style w:type="character" w:styleId="FollowedHyperlink">
    <w:name w:val="FollowedHyperlink"/>
    <w:basedOn w:val="DefaultParagraphFont"/>
    <w:uiPriority w:val="99"/>
    <w:semiHidden/>
    <w:unhideWhenUsed/>
    <w:rsid w:val="00B70DAE"/>
    <w:rPr>
      <w:color w:val="800080"/>
      <w:u w:val="single"/>
    </w:rPr>
  </w:style>
  <w:style w:type="paragraph" w:customStyle="1" w:styleId="indent-3">
    <w:name w:val="indent-3"/>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70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B70DAE"/>
  </w:style>
  <w:style w:type="paragraph" w:customStyle="1" w:styleId="flush-paragraph-1">
    <w:name w:val="flush-paragraph-1"/>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rsid w:val="00B7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B70DAE"/>
    <w:rPr>
      <w:rFonts w:ascii="Courier New" w:eastAsia="Calibri" w:hAnsi="Courier New" w:cs="Times New Roman"/>
      <w:sz w:val="20"/>
      <w:szCs w:val="20"/>
      <w:lang w:val="x-none" w:eastAsia="x-none"/>
    </w:rPr>
  </w:style>
  <w:style w:type="paragraph" w:styleId="FootnoteText">
    <w:name w:val="footnote text"/>
    <w:basedOn w:val="Normal"/>
    <w:link w:val="FootnoteTextChar"/>
    <w:uiPriority w:val="99"/>
    <w:semiHidden/>
    <w:rsid w:val="00B70DAE"/>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B70DAE"/>
    <w:rPr>
      <w:rFonts w:ascii="Times New Roman" w:eastAsia="Calibri" w:hAnsi="Times New Roman" w:cs="Times New Roman"/>
      <w:sz w:val="20"/>
      <w:szCs w:val="20"/>
      <w:lang w:val="x-none" w:eastAsia="x-none"/>
    </w:rPr>
  </w:style>
  <w:style w:type="paragraph" w:styleId="Header">
    <w:name w:val="header"/>
    <w:basedOn w:val="Normal"/>
    <w:link w:val="HeaderChar"/>
    <w:uiPriority w:val="99"/>
    <w:rsid w:val="00B70DAE"/>
    <w:pPr>
      <w:spacing w:after="0" w:line="240" w:lineRule="auto"/>
    </w:pPr>
    <w:rPr>
      <w:rFonts w:ascii="Times New Roman" w:eastAsia="Calibri" w:hAnsi="Times New Roman" w:cs="Times New Roman"/>
      <w:sz w:val="24"/>
      <w:szCs w:val="24"/>
      <w:lang w:val="x-none" w:eastAsia="x-none"/>
    </w:rPr>
  </w:style>
  <w:style w:type="character" w:customStyle="1" w:styleId="HeaderChar">
    <w:name w:val="Header Char"/>
    <w:basedOn w:val="DefaultParagraphFont"/>
    <w:link w:val="Header"/>
    <w:uiPriority w:val="99"/>
    <w:rsid w:val="00B70DAE"/>
    <w:rPr>
      <w:rFonts w:ascii="Times New Roman" w:eastAsia="Calibri" w:hAnsi="Times New Roman" w:cs="Times New Roman"/>
      <w:sz w:val="24"/>
      <w:szCs w:val="24"/>
      <w:lang w:val="x-none" w:eastAsia="x-none"/>
    </w:rPr>
  </w:style>
  <w:style w:type="paragraph" w:styleId="Footer">
    <w:name w:val="footer"/>
    <w:basedOn w:val="Normal"/>
    <w:link w:val="FooterChar"/>
    <w:uiPriority w:val="99"/>
    <w:rsid w:val="00B70DAE"/>
    <w:pPr>
      <w:spacing w:after="0" w:line="240" w:lineRule="auto"/>
    </w:pPr>
    <w:rPr>
      <w:rFonts w:ascii="Times New Roman" w:eastAsia="Calibri" w:hAnsi="Times New Roman" w:cs="Times New Roman"/>
      <w:sz w:val="24"/>
      <w:szCs w:val="24"/>
      <w:lang w:val="x-none" w:eastAsia="x-none"/>
    </w:rPr>
  </w:style>
  <w:style w:type="character" w:customStyle="1" w:styleId="FooterChar">
    <w:name w:val="Footer Char"/>
    <w:basedOn w:val="DefaultParagraphFont"/>
    <w:link w:val="Footer"/>
    <w:uiPriority w:val="99"/>
    <w:rsid w:val="00B70DAE"/>
    <w:rPr>
      <w:rFonts w:ascii="Times New Roman" w:eastAsia="Calibri" w:hAnsi="Times New Roman" w:cs="Times New Roman"/>
      <w:sz w:val="24"/>
      <w:szCs w:val="24"/>
      <w:lang w:val="x-none" w:eastAsia="x-none"/>
    </w:rPr>
  </w:style>
  <w:style w:type="paragraph" w:styleId="BodyText">
    <w:name w:val="Body Text"/>
    <w:basedOn w:val="Normal"/>
    <w:link w:val="BodyTextChar"/>
    <w:uiPriority w:val="99"/>
    <w:semiHidden/>
    <w:rsid w:val="00B70DAE"/>
    <w:pPr>
      <w:spacing w:after="0" w:line="240" w:lineRule="auto"/>
    </w:pPr>
    <w:rPr>
      <w:rFonts w:ascii="Times New Roman" w:eastAsia="Calibri" w:hAnsi="Times New Roman" w:cs="Times New Roman"/>
      <w:b/>
      <w:bCs/>
      <w:sz w:val="20"/>
      <w:szCs w:val="20"/>
      <w:lang w:val="x-none" w:eastAsia="x-none"/>
    </w:rPr>
  </w:style>
  <w:style w:type="character" w:customStyle="1" w:styleId="BodyTextChar">
    <w:name w:val="Body Text Char"/>
    <w:basedOn w:val="DefaultParagraphFont"/>
    <w:link w:val="BodyText"/>
    <w:uiPriority w:val="99"/>
    <w:semiHidden/>
    <w:rsid w:val="00B70DAE"/>
    <w:rPr>
      <w:rFonts w:ascii="Times New Roman" w:eastAsia="Calibri" w:hAnsi="Times New Roman" w:cs="Times New Roman"/>
      <w:b/>
      <w:bCs/>
      <w:sz w:val="20"/>
      <w:szCs w:val="20"/>
      <w:lang w:val="x-none" w:eastAsia="x-none"/>
    </w:rPr>
  </w:style>
  <w:style w:type="paragraph" w:styleId="BodyTextIndent">
    <w:name w:val="Body Text Indent"/>
    <w:basedOn w:val="Normal"/>
    <w:link w:val="BodyTextIndentChar"/>
    <w:uiPriority w:val="99"/>
    <w:semiHidden/>
    <w:rsid w:val="00B70DAE"/>
    <w:pPr>
      <w:spacing w:after="0" w:line="480" w:lineRule="auto"/>
      <w:ind w:firstLine="1440"/>
    </w:pPr>
    <w:rPr>
      <w:rFonts w:ascii="Courier" w:eastAsia="Calibri" w:hAnsi="Courier" w:cs="Times New Roman"/>
      <w:sz w:val="24"/>
      <w:szCs w:val="24"/>
      <w:lang w:val="x-none" w:eastAsia="x-none"/>
    </w:rPr>
  </w:style>
  <w:style w:type="character" w:customStyle="1" w:styleId="BodyTextIndentChar">
    <w:name w:val="Body Text Indent Char"/>
    <w:basedOn w:val="DefaultParagraphFont"/>
    <w:link w:val="BodyTextIndent"/>
    <w:uiPriority w:val="99"/>
    <w:semiHidden/>
    <w:rsid w:val="00B70DAE"/>
    <w:rPr>
      <w:rFonts w:ascii="Courier" w:eastAsia="Calibri" w:hAnsi="Courier" w:cs="Times New Roman"/>
      <w:sz w:val="24"/>
      <w:szCs w:val="24"/>
      <w:lang w:val="x-none" w:eastAsia="x-none"/>
    </w:rPr>
  </w:style>
  <w:style w:type="paragraph" w:styleId="BodyTextIndent2">
    <w:name w:val="Body Text Indent 2"/>
    <w:basedOn w:val="Normal"/>
    <w:link w:val="BodyTextIndent2Char"/>
    <w:uiPriority w:val="99"/>
    <w:semiHidden/>
    <w:rsid w:val="00B70DAE"/>
    <w:pPr>
      <w:spacing w:after="120" w:line="480" w:lineRule="auto"/>
      <w:ind w:left="360"/>
    </w:pPr>
    <w:rPr>
      <w:rFonts w:ascii="Times New Roman" w:eastAsia="Calibri"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B70DAE"/>
    <w:rPr>
      <w:rFonts w:ascii="Times New Roman" w:eastAsia="Calibri" w:hAnsi="Times New Roman" w:cs="Times New Roman"/>
      <w:sz w:val="24"/>
      <w:szCs w:val="24"/>
      <w:lang w:val="x-none" w:eastAsia="x-none"/>
    </w:rPr>
  </w:style>
  <w:style w:type="paragraph" w:styleId="BalloonText">
    <w:name w:val="Balloon Text"/>
    <w:basedOn w:val="Normal"/>
    <w:link w:val="BalloonTextChar"/>
    <w:uiPriority w:val="99"/>
    <w:semiHidden/>
    <w:rsid w:val="00B70DAE"/>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B70DAE"/>
    <w:rPr>
      <w:rFonts w:ascii="Tahoma" w:eastAsia="Calibri" w:hAnsi="Tahoma" w:cs="Times New Roman"/>
      <w:sz w:val="16"/>
      <w:szCs w:val="16"/>
      <w:lang w:val="x-none" w:eastAsia="x-none"/>
    </w:rPr>
  </w:style>
  <w:style w:type="paragraph" w:customStyle="1" w:styleId="preambletext">
    <w:name w:val="preambletext"/>
    <w:basedOn w:val="Normal"/>
    <w:uiPriority w:val="99"/>
    <w:rsid w:val="00B70DAE"/>
    <w:pPr>
      <w:spacing w:after="0" w:line="480" w:lineRule="auto"/>
      <w:ind w:firstLine="720"/>
    </w:pPr>
    <w:rPr>
      <w:rFonts w:ascii="Times New Roman" w:eastAsia="Times New Roman" w:hAnsi="Times New Roman" w:cs="Times New Roman"/>
      <w:sz w:val="24"/>
      <w:szCs w:val="24"/>
    </w:rPr>
  </w:style>
  <w:style w:type="paragraph" w:customStyle="1" w:styleId="p17">
    <w:name w:val="p17"/>
    <w:basedOn w:val="Normal"/>
    <w:uiPriority w:val="99"/>
    <w:rsid w:val="00B70DAE"/>
    <w:pPr>
      <w:spacing w:after="0" w:line="240" w:lineRule="auto"/>
      <w:ind w:firstLine="538"/>
    </w:pPr>
    <w:rPr>
      <w:rFonts w:ascii="Times New Roman" w:eastAsia="Times New Roman" w:hAnsi="Times New Roman" w:cs="Times New Roman"/>
      <w:sz w:val="24"/>
      <w:szCs w:val="24"/>
    </w:rPr>
  </w:style>
  <w:style w:type="character" w:customStyle="1" w:styleId="blueten1">
    <w:name w:val="blueten1"/>
    <w:uiPriority w:val="99"/>
    <w:rsid w:val="00B70DAE"/>
    <w:rPr>
      <w:rFonts w:ascii="Verdana" w:hAnsi="Verdana" w:cs="Times New Roman"/>
      <w:color w:val="003399"/>
    </w:rPr>
  </w:style>
  <w:style w:type="character" w:customStyle="1" w:styleId="msoins">
    <w:name w:val="msoins"/>
    <w:uiPriority w:val="99"/>
    <w:rsid w:val="00B70DAE"/>
    <w:rPr>
      <w:rFonts w:cs="Times New Roman"/>
      <w:color w:val="008080"/>
      <w:u w:val="single"/>
    </w:rPr>
  </w:style>
  <w:style w:type="character" w:customStyle="1" w:styleId="msodel">
    <w:name w:val="msodel"/>
    <w:uiPriority w:val="99"/>
    <w:rsid w:val="00B70DAE"/>
    <w:rPr>
      <w:rFonts w:cs="Times New Roman"/>
      <w:strike/>
      <w:color w:val="FF0000"/>
    </w:rPr>
  </w:style>
  <w:style w:type="character" w:styleId="FootnoteReference">
    <w:name w:val="footnote reference"/>
    <w:uiPriority w:val="99"/>
    <w:semiHidden/>
    <w:rsid w:val="00B70DAE"/>
    <w:rPr>
      <w:rFonts w:cs="Times New Roman"/>
    </w:rPr>
  </w:style>
  <w:style w:type="character" w:styleId="PageNumber">
    <w:name w:val="page number"/>
    <w:uiPriority w:val="99"/>
    <w:rsid w:val="00B70DAE"/>
    <w:rPr>
      <w:rFonts w:cs="Times New Roman"/>
    </w:rPr>
  </w:style>
  <w:style w:type="paragraph" w:styleId="DocumentMap">
    <w:name w:val="Document Map"/>
    <w:basedOn w:val="Normal"/>
    <w:link w:val="DocumentMapChar"/>
    <w:semiHidden/>
    <w:rsid w:val="00B70DAE"/>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B70DAE"/>
    <w:rPr>
      <w:rFonts w:ascii="Tahoma" w:eastAsia="Calibri" w:hAnsi="Tahoma" w:cs="Tahoma"/>
      <w:sz w:val="20"/>
      <w:szCs w:val="20"/>
      <w:shd w:val="clear" w:color="auto" w:fill="000080"/>
    </w:rPr>
  </w:style>
  <w:style w:type="character" w:styleId="CommentReference">
    <w:name w:val="annotation reference"/>
    <w:semiHidden/>
    <w:rsid w:val="00B70DAE"/>
    <w:rPr>
      <w:sz w:val="16"/>
      <w:szCs w:val="16"/>
    </w:rPr>
  </w:style>
  <w:style w:type="paragraph" w:styleId="CommentText">
    <w:name w:val="annotation text"/>
    <w:basedOn w:val="Normal"/>
    <w:link w:val="CommentTextChar"/>
    <w:semiHidden/>
    <w:rsid w:val="00B70DAE"/>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B70DAE"/>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B70DAE"/>
    <w:rPr>
      <w:b/>
      <w:bCs/>
    </w:rPr>
  </w:style>
  <w:style w:type="character" w:customStyle="1" w:styleId="CommentSubjectChar">
    <w:name w:val="Comment Subject Char"/>
    <w:basedOn w:val="CommentTextChar"/>
    <w:link w:val="CommentSubject"/>
    <w:semiHidden/>
    <w:rsid w:val="00B70DAE"/>
    <w:rPr>
      <w:rFonts w:ascii="Calibri" w:eastAsia="Calibri" w:hAnsi="Calibri" w:cs="Times New Roman"/>
      <w:b/>
      <w:bCs/>
      <w:sz w:val="20"/>
      <w:szCs w:val="20"/>
    </w:rPr>
  </w:style>
  <w:style w:type="paragraph" w:customStyle="1" w:styleId="Level1">
    <w:name w:val="Level 1"/>
    <w:basedOn w:val="Normal"/>
    <w:rsid w:val="00B70DAE"/>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customStyle="1" w:styleId="ColorfulShading-Accent11">
    <w:name w:val="Colorful Shading - Accent 11"/>
    <w:hidden/>
    <w:uiPriority w:val="99"/>
    <w:semiHidden/>
    <w:rsid w:val="00B70DAE"/>
    <w:pPr>
      <w:spacing w:after="0" w:line="240" w:lineRule="auto"/>
    </w:pPr>
    <w:rPr>
      <w:rFonts w:ascii="Calibri" w:eastAsia="Calibri" w:hAnsi="Calibri" w:cs="Times New Roman"/>
    </w:rPr>
  </w:style>
  <w:style w:type="paragraph" w:styleId="Revision">
    <w:name w:val="Revision"/>
    <w:hidden/>
    <w:uiPriority w:val="99"/>
    <w:semiHidden/>
    <w:rsid w:val="00B70DAE"/>
    <w:pPr>
      <w:spacing w:after="0" w:line="240" w:lineRule="auto"/>
    </w:pPr>
    <w:rPr>
      <w:rFonts w:ascii="Calibri" w:eastAsia="Calibri" w:hAnsi="Calibri" w:cs="Times New Roman"/>
    </w:rPr>
  </w:style>
  <w:style w:type="character" w:customStyle="1" w:styleId="su">
    <w:name w:val="su"/>
    <w:rsid w:val="00B70DAE"/>
  </w:style>
  <w:style w:type="table" w:styleId="TableGrid">
    <w:name w:val="Table Grid"/>
    <w:basedOn w:val="TableNormal"/>
    <w:rsid w:val="00B70D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0DAE"/>
  </w:style>
  <w:style w:type="paragraph" w:customStyle="1" w:styleId="paragraph">
    <w:name w:val="paragraph"/>
    <w:basedOn w:val="Normal"/>
    <w:rsid w:val="00B70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70DAE"/>
  </w:style>
  <w:style w:type="character" w:customStyle="1" w:styleId="contextualspellingandgrammarerror">
    <w:name w:val="contextualspellingandgrammarerror"/>
    <w:basedOn w:val="DefaultParagraphFont"/>
    <w:rsid w:val="00B70DAE"/>
  </w:style>
  <w:style w:type="character" w:customStyle="1" w:styleId="tabchar">
    <w:name w:val="tabchar"/>
    <w:basedOn w:val="DefaultParagraphFont"/>
    <w:rsid w:val="00B70DAE"/>
  </w:style>
  <w:style w:type="paragraph" w:styleId="ListParagraph">
    <w:name w:val="List Paragraph"/>
    <w:basedOn w:val="Normal"/>
    <w:uiPriority w:val="34"/>
    <w:qFormat/>
    <w:rsid w:val="00B70DAE"/>
    <w:pPr>
      <w:spacing w:after="200" w:line="276" w:lineRule="auto"/>
      <w:ind w:left="720"/>
      <w:contextualSpacing/>
    </w:pPr>
    <w:rPr>
      <w:rFonts w:ascii="Calibri" w:eastAsia="Calibri" w:hAnsi="Calibri" w:cs="Times New Roman"/>
    </w:rPr>
  </w:style>
  <w:style w:type="paragraph" w:styleId="NoSpacing">
    <w:name w:val="No Spacing"/>
    <w:uiPriority w:val="1"/>
    <w:qFormat/>
    <w:rsid w:val="00C87D10"/>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690AA5"/>
    <w:rPr>
      <w:rFonts w:asciiTheme="majorHAnsi" w:eastAsiaTheme="majorEastAsia" w:hAnsiTheme="majorHAnsi" w:cstheme="majorBidi"/>
      <w:i/>
      <w:iCs/>
      <w:color w:val="2F5496" w:themeColor="accent1" w:themeShade="BF"/>
    </w:rPr>
  </w:style>
  <w:style w:type="paragraph" w:customStyle="1" w:styleId="Default">
    <w:name w:val="Default"/>
    <w:rsid w:val="00F83342"/>
    <w:pPr>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3142025.pdf" TargetMode="External" /><Relationship Id="rId11" Type="http://schemas.openxmlformats.org/officeDocument/2006/relationships/hyperlink" Target="https://usdol-my.sharepoint.com/rblicksilve/AppData/Local/Microsoft/Windows/INetCache/Content.Outlook/0SMC393F/Chromium%20Tables%201-33%20Updated_Reformatted_093019.xls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3/may/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www.reginfo.gov" TargetMode="External" /><Relationship Id="rId3" Type="http://schemas.openxmlformats.org/officeDocument/2006/relationships/hyperlink" Target="http://www.census.gov/econ/cbp/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58DBF-B1A5-40BD-B6A0-72056176BC1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8D8E7A0E-AE39-4B6E-88ED-BE89A86C30C5}">
  <ds:schemaRefs>
    <ds:schemaRef ds:uri="http://schemas.openxmlformats.org/officeDocument/2006/bibliography"/>
  </ds:schemaRefs>
</ds:datastoreItem>
</file>

<file path=customXml/itemProps3.xml><?xml version="1.0" encoding="utf-8"?>
<ds:datastoreItem xmlns:ds="http://schemas.openxmlformats.org/officeDocument/2006/customXml" ds:itemID="{6AF934B3-1572-4A8E-9DF2-DF7057045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0A228-6714-4651-A0CE-E55AD60FC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12266</Words>
  <Characters>74088</Characters>
  <Application>Microsoft Office Word</Application>
  <DocSecurity>0</DocSecurity>
  <Lines>1852</Lines>
  <Paragraphs>807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3</cp:revision>
  <dcterms:created xsi:type="dcterms:W3CDTF">2026-02-27T14:12:00Z</dcterms:created>
  <dcterms:modified xsi:type="dcterms:W3CDTF">2026-02-27T14:13:00Z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cc3a63d8-7ccc-4a29-8528-19b60b5631a1</vt:lpwstr>
  </property>
  <property fmtid="{D5CDD505-2E9C-101B-9397-08002B2CF9AE}" pid="4" name="MediaServiceImageTags">
    <vt:lpwstr/>
  </property>
</Properties>
</file>