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E33" w:rsidRPr="00D26B60" w:rsidP="00D26B60" w14:paraId="2381AE99" w14:textId="1F244691">
      <w:pPr>
        <w:jc w:val="center"/>
        <w:rPr>
          <w:sz w:val="24"/>
          <w:szCs w:val="24"/>
        </w:rPr>
      </w:pPr>
      <w:r w:rsidRPr="00D26B60">
        <w:rPr>
          <w:sz w:val="24"/>
          <w:szCs w:val="24"/>
        </w:rPr>
        <w:t xml:space="preserve">SUPPORTING STATEMENT FOR PAPERWORK REDUCTION ACT </w:t>
      </w:r>
      <w:r w:rsidRPr="00D26B60" w:rsidR="0093277F">
        <w:rPr>
          <w:sz w:val="24"/>
          <w:szCs w:val="24"/>
        </w:rPr>
        <w:t xml:space="preserve">OF </w:t>
      </w:r>
      <w:r w:rsidRPr="00D26B60">
        <w:rPr>
          <w:sz w:val="24"/>
          <w:szCs w:val="24"/>
        </w:rPr>
        <w:t>1995</w:t>
      </w:r>
      <w:r w:rsidRPr="00D26B60" w:rsidR="00322E76">
        <w:rPr>
          <w:sz w:val="24"/>
          <w:szCs w:val="24"/>
        </w:rPr>
        <w:t xml:space="preserve">: </w:t>
      </w:r>
      <w:r w:rsidRPr="00D26B60" w:rsidR="00AB441F">
        <w:rPr>
          <w:sz w:val="24"/>
          <w:szCs w:val="24"/>
        </w:rPr>
        <w:t>NOTICE REQUIREMENTS OF THE HEALTH CARE CONTINUATION COVERAGE PROVISIONS</w:t>
      </w:r>
    </w:p>
    <w:p w:rsidR="00E92451" w:rsidP="00570D82" w14:paraId="4113EA8A" w14:textId="77777777"/>
    <w:p w:rsidR="00E92451" w:rsidRPr="00322E76" w:rsidP="00E92451" w14:paraId="34198A7F" w14:textId="49AFCA1D">
      <w:pPr>
        <w:rPr>
          <w:sz w:val="24"/>
          <w:szCs w:val="24"/>
        </w:rPr>
      </w:pPr>
      <w:r w:rsidRPr="00C84D80">
        <w:rPr>
          <w:sz w:val="24"/>
          <w:szCs w:val="24"/>
        </w:rPr>
        <w:t xml:space="preserve">This </w:t>
      </w:r>
      <w:r w:rsidR="00322E76">
        <w:rPr>
          <w:sz w:val="24"/>
          <w:szCs w:val="24"/>
        </w:rPr>
        <w:t>i</w:t>
      </w:r>
      <w:r w:rsidRPr="00C84D80">
        <w:rPr>
          <w:sz w:val="24"/>
          <w:szCs w:val="24"/>
        </w:rPr>
        <w:t>nformation collection request (ICR) seeks approval for a</w:t>
      </w:r>
      <w:r w:rsidR="00604655">
        <w:rPr>
          <w:sz w:val="24"/>
          <w:szCs w:val="24"/>
        </w:rPr>
        <w:t>n</w:t>
      </w:r>
      <w:r w:rsidRPr="00C84D80">
        <w:rPr>
          <w:sz w:val="24"/>
          <w:szCs w:val="24"/>
        </w:rPr>
        <w:t xml:space="preserve"> </w:t>
      </w:r>
      <w:r w:rsidR="00604655">
        <w:rPr>
          <w:sz w:val="24"/>
          <w:szCs w:val="24"/>
        </w:rPr>
        <w:t>extension</w:t>
      </w:r>
      <w:r w:rsidRPr="00C84D80">
        <w:rPr>
          <w:sz w:val="24"/>
          <w:szCs w:val="24"/>
        </w:rPr>
        <w:t xml:space="preserve"> </w:t>
      </w:r>
      <w:r w:rsidR="00E11FD4">
        <w:rPr>
          <w:sz w:val="24"/>
          <w:szCs w:val="24"/>
        </w:rPr>
        <w:t xml:space="preserve">without change </w:t>
      </w:r>
      <w:r w:rsidRPr="00C84D80">
        <w:rPr>
          <w:sz w:val="24"/>
          <w:szCs w:val="24"/>
        </w:rPr>
        <w:t>of an existing control number</w:t>
      </w:r>
      <w:r w:rsidRPr="00322E76">
        <w:rPr>
          <w:sz w:val="24"/>
          <w:szCs w:val="24"/>
        </w:rPr>
        <w:t xml:space="preserve">. </w:t>
      </w:r>
    </w:p>
    <w:p w:rsidR="00AA1E33" w:rsidRPr="00A43385" w:rsidP="00C84D80" w14:paraId="6A729B9C" w14:textId="77777777">
      <w:pPr>
        <w:widowControl/>
        <w:rPr>
          <w:b w:val="0"/>
          <w:bCs w:val="0"/>
          <w:sz w:val="24"/>
          <w:szCs w:val="24"/>
        </w:rPr>
      </w:pPr>
    </w:p>
    <w:p w:rsidR="00AA1E33" w:rsidRPr="00D26B60" w:rsidP="00D26B60" w14:paraId="49C8A6E2" w14:textId="479CCD70">
      <w:pPr>
        <w:pStyle w:val="ListParagraph"/>
        <w:numPr>
          <w:ilvl w:val="0"/>
          <w:numId w:val="26"/>
        </w:numPr>
        <w:ind w:hanging="720"/>
        <w:rPr>
          <w:bCs w:val="0"/>
          <w:sz w:val="24"/>
          <w:szCs w:val="24"/>
        </w:rPr>
      </w:pPr>
      <w:r w:rsidRPr="00D26B60">
        <w:rPr>
          <w:bCs w:val="0"/>
          <w:sz w:val="24"/>
          <w:szCs w:val="24"/>
        </w:rPr>
        <w:t>JUSTIFICATION</w:t>
      </w:r>
    </w:p>
    <w:p w:rsidR="00AA1E33" w:rsidRPr="00D26B60" w:rsidP="00D26B60" w14:paraId="31B70591" w14:textId="77777777"/>
    <w:p w:rsidR="00AA1E33" w:rsidRPr="00322E76" w:rsidP="000C0082" w14:paraId="555D60DE" w14:textId="77777777">
      <w:pPr>
        <w:pStyle w:val="Quick1"/>
        <w:widowControl/>
        <w:numPr>
          <w:ilvl w:val="0"/>
          <w:numId w:val="20"/>
        </w:numPr>
        <w:tabs>
          <w:tab w:val="left" w:pos="-1440"/>
        </w:tabs>
        <w:ind w:hanging="720"/>
        <w:rPr>
          <w:sz w:val="24"/>
          <w:szCs w:val="24"/>
        </w:rPr>
      </w:pPr>
      <w:r w:rsidRPr="00322E76">
        <w:rPr>
          <w:sz w:val="24"/>
          <w:szCs w:val="24"/>
        </w:rPr>
        <w:t>Explain the circumstances that make the collection of information necessary.</w:t>
      </w:r>
      <w:r w:rsidRPr="00322E76" w:rsidR="00E66932">
        <w:rPr>
          <w:sz w:val="24"/>
          <w:szCs w:val="24"/>
        </w:rPr>
        <w:t xml:space="preserve"> </w:t>
      </w:r>
      <w:r w:rsidRPr="00322E76">
        <w:rPr>
          <w:sz w:val="24"/>
          <w:szCs w:val="24"/>
        </w:rPr>
        <w:t>Identify any legal or administrative requirements that necessitate the collection.</w:t>
      </w:r>
      <w:r w:rsidRPr="00322E76" w:rsidR="00E66932">
        <w:rPr>
          <w:sz w:val="24"/>
          <w:szCs w:val="24"/>
        </w:rPr>
        <w:t xml:space="preserve"> </w:t>
      </w:r>
      <w:r w:rsidRPr="00322E76">
        <w:rPr>
          <w:sz w:val="24"/>
          <w:szCs w:val="24"/>
        </w:rPr>
        <w:t>Attach a copy of the appropriate section of each statute and regulation mandating or authorizing the collection of information.</w:t>
      </w:r>
    </w:p>
    <w:p w:rsidR="00AA1E33" w:rsidRPr="00A43385" w:rsidP="000C0082" w14:paraId="7A5A12A4" w14:textId="77777777">
      <w:pPr>
        <w:pStyle w:val="Quick1"/>
        <w:widowControl/>
        <w:numPr>
          <w:ilvl w:val="0"/>
          <w:numId w:val="0"/>
        </w:numPr>
        <w:ind w:left="720"/>
        <w:rPr>
          <w:b w:val="0"/>
          <w:bCs w:val="0"/>
          <w:i/>
          <w:iCs/>
          <w:sz w:val="24"/>
          <w:szCs w:val="24"/>
        </w:rPr>
      </w:pPr>
    </w:p>
    <w:p w:rsidR="00AA1E33" w:rsidRPr="00A43385" w:rsidP="000C0082" w14:paraId="6C8A104A" w14:textId="77777777">
      <w:pPr>
        <w:pStyle w:val="Quick1"/>
        <w:widowControl/>
        <w:numPr>
          <w:ilvl w:val="0"/>
          <w:numId w:val="0"/>
        </w:numPr>
        <w:ind w:left="720"/>
        <w:rPr>
          <w:b w:val="0"/>
          <w:bCs w:val="0"/>
          <w:sz w:val="24"/>
          <w:szCs w:val="24"/>
        </w:rPr>
      </w:pPr>
      <w:r w:rsidRPr="00A43385">
        <w:rPr>
          <w:b w:val="0"/>
          <w:bCs w:val="0"/>
          <w:sz w:val="24"/>
          <w:szCs w:val="24"/>
        </w:rPr>
        <w:t>The Consolidated Omnibus Budget Reconciliation Act of 198</w:t>
      </w:r>
      <w:r w:rsidRPr="00A43385" w:rsidR="00604908">
        <w:rPr>
          <w:b w:val="0"/>
          <w:bCs w:val="0"/>
          <w:sz w:val="24"/>
          <w:szCs w:val="24"/>
        </w:rPr>
        <w:t>5</w:t>
      </w:r>
      <w:r w:rsidRPr="00A43385">
        <w:rPr>
          <w:b w:val="0"/>
          <w:bCs w:val="0"/>
          <w:sz w:val="24"/>
          <w:szCs w:val="24"/>
        </w:rPr>
        <w:t xml:space="preserve"> (COBRA) provides that under certain circumstances participants and beneficiaries of group health plans that satisfy the definition of “qualified beneficiaries” under COBRA may elect to continue group health coverage temporarily following events known as “qualifying events” that would otherwise result in loss of coverage.</w:t>
      </w:r>
      <w:r w:rsidR="00E66932">
        <w:rPr>
          <w:b w:val="0"/>
          <w:bCs w:val="0"/>
          <w:sz w:val="24"/>
          <w:szCs w:val="24"/>
        </w:rPr>
        <w:t xml:space="preserve"> </w:t>
      </w:r>
      <w:r w:rsidR="004F60A1">
        <w:rPr>
          <w:b w:val="0"/>
          <w:bCs w:val="0"/>
          <w:sz w:val="24"/>
          <w:szCs w:val="24"/>
        </w:rPr>
        <w:t>T</w:t>
      </w:r>
      <w:r w:rsidRPr="00A43385">
        <w:rPr>
          <w:b w:val="0"/>
          <w:bCs w:val="0"/>
          <w:sz w:val="24"/>
          <w:szCs w:val="24"/>
        </w:rPr>
        <w:t xml:space="preserve">he Secretary of Labor (the Secretary) has the authority under section 608 of the Employee Retirement Income Security Act of 1974 (ERISA) to </w:t>
      </w:r>
      <w:r w:rsidR="004F60A1">
        <w:rPr>
          <w:b w:val="0"/>
          <w:bCs w:val="0"/>
          <w:sz w:val="24"/>
          <w:szCs w:val="24"/>
        </w:rPr>
        <w:t xml:space="preserve">prescribe regulations to </w:t>
      </w:r>
      <w:r w:rsidRPr="00A43385">
        <w:rPr>
          <w:b w:val="0"/>
          <w:bCs w:val="0"/>
          <w:sz w:val="24"/>
          <w:szCs w:val="24"/>
        </w:rPr>
        <w:t xml:space="preserve">carry out the provisions of Part 6 of </w:t>
      </w:r>
      <w:r w:rsidR="00AC1995">
        <w:rPr>
          <w:b w:val="0"/>
          <w:bCs w:val="0"/>
          <w:sz w:val="24"/>
          <w:szCs w:val="24"/>
        </w:rPr>
        <w:t>T</w:t>
      </w:r>
      <w:r w:rsidRPr="00A43385">
        <w:rPr>
          <w:b w:val="0"/>
          <w:bCs w:val="0"/>
          <w:sz w:val="24"/>
          <w:szCs w:val="24"/>
        </w:rPr>
        <w:t>itle I of ERISA.</w:t>
      </w:r>
      <w:r w:rsidR="00E66932">
        <w:rPr>
          <w:b w:val="0"/>
          <w:bCs w:val="0"/>
          <w:sz w:val="24"/>
          <w:szCs w:val="24"/>
        </w:rPr>
        <w:t xml:space="preserve"> </w:t>
      </w:r>
      <w:r w:rsidRPr="00A43385">
        <w:rPr>
          <w:b w:val="0"/>
          <w:bCs w:val="0"/>
          <w:sz w:val="24"/>
          <w:szCs w:val="24"/>
        </w:rPr>
        <w:t>The Conference Report that accompanied COBRA authorized the Secretary to issue regulations implementing the notice and dis</w:t>
      </w:r>
      <w:r w:rsidRPr="00A43385" w:rsidR="000C0082">
        <w:rPr>
          <w:b w:val="0"/>
          <w:bCs w:val="0"/>
          <w:sz w:val="24"/>
          <w:szCs w:val="24"/>
        </w:rPr>
        <w:t>closure requirements of COBRA.</w:t>
      </w:r>
    </w:p>
    <w:p w:rsidR="00AA1E33" w:rsidRPr="00A43385" w:rsidP="000C0082" w14:paraId="079FEAAF" w14:textId="43C23DB5">
      <w:pPr>
        <w:pStyle w:val="Quick1"/>
        <w:widowControl/>
        <w:numPr>
          <w:ilvl w:val="0"/>
          <w:numId w:val="0"/>
        </w:numPr>
        <w:ind w:left="720"/>
        <w:rPr>
          <w:b w:val="0"/>
          <w:bCs w:val="0"/>
          <w:sz w:val="24"/>
          <w:szCs w:val="24"/>
        </w:rPr>
      </w:pPr>
    </w:p>
    <w:p w:rsidR="00604908" w:rsidRPr="00A43385" w:rsidP="000C0082" w14:paraId="1CFB0289" w14:textId="53056A35">
      <w:pPr>
        <w:pStyle w:val="Quick1"/>
        <w:widowControl/>
        <w:numPr>
          <w:ilvl w:val="0"/>
          <w:numId w:val="0"/>
        </w:numPr>
        <w:ind w:left="720"/>
        <w:rPr>
          <w:b w:val="0"/>
          <w:bCs w:val="0"/>
          <w:sz w:val="24"/>
          <w:szCs w:val="24"/>
        </w:rPr>
      </w:pPr>
      <w:r w:rsidRPr="00A43385">
        <w:rPr>
          <w:b w:val="0"/>
          <w:bCs w:val="0"/>
          <w:sz w:val="24"/>
          <w:szCs w:val="24"/>
        </w:rPr>
        <w:t xml:space="preserve">The Department has </w:t>
      </w:r>
      <w:r w:rsidR="007A6129">
        <w:rPr>
          <w:b w:val="0"/>
          <w:bCs w:val="0"/>
          <w:sz w:val="24"/>
          <w:szCs w:val="24"/>
        </w:rPr>
        <w:t xml:space="preserve">issued regulations </w:t>
      </w:r>
      <w:r w:rsidRPr="00A43385">
        <w:rPr>
          <w:b w:val="0"/>
          <w:bCs w:val="0"/>
          <w:sz w:val="24"/>
          <w:szCs w:val="24"/>
        </w:rPr>
        <w:t>implement</w:t>
      </w:r>
      <w:r w:rsidR="007A6129">
        <w:rPr>
          <w:b w:val="0"/>
          <w:bCs w:val="0"/>
          <w:sz w:val="24"/>
          <w:szCs w:val="24"/>
        </w:rPr>
        <w:t xml:space="preserve">ing </w:t>
      </w:r>
      <w:r w:rsidRPr="00A43385">
        <w:rPr>
          <w:b w:val="0"/>
          <w:bCs w:val="0"/>
          <w:sz w:val="24"/>
          <w:szCs w:val="24"/>
        </w:rPr>
        <w:t>the Notice Requirements of Section 606 of ERISA</w:t>
      </w:r>
      <w:r>
        <w:rPr>
          <w:rStyle w:val="FootnoteReference"/>
          <w:b w:val="0"/>
          <w:bCs w:val="0"/>
          <w:sz w:val="24"/>
          <w:szCs w:val="24"/>
          <w:vertAlign w:val="superscript"/>
        </w:rPr>
        <w:footnoteReference w:id="2"/>
      </w:r>
      <w:r w:rsidRPr="00C84D80">
        <w:rPr>
          <w:b w:val="0"/>
          <w:bCs w:val="0"/>
          <w:sz w:val="24"/>
          <w:szCs w:val="24"/>
          <w:vertAlign w:val="superscript"/>
        </w:rPr>
        <w:t xml:space="preserve"> </w:t>
      </w:r>
      <w:r w:rsidRPr="00A43385">
        <w:rPr>
          <w:b w:val="0"/>
          <w:bCs w:val="0"/>
          <w:sz w:val="24"/>
          <w:szCs w:val="24"/>
        </w:rPr>
        <w:t>(regulations) because the provision of timely and adequate notifications regarding COBRA rights and responsibilities is critical to a qualified beneficiary’s ability to obtain health continuation coverage.</w:t>
      </w:r>
      <w:r w:rsidR="00E66932">
        <w:rPr>
          <w:b w:val="0"/>
          <w:bCs w:val="0"/>
          <w:sz w:val="24"/>
          <w:szCs w:val="24"/>
        </w:rPr>
        <w:t xml:space="preserve"> </w:t>
      </w:r>
      <w:r w:rsidRPr="00A43385">
        <w:rPr>
          <w:b w:val="0"/>
          <w:bCs w:val="0"/>
          <w:sz w:val="24"/>
          <w:szCs w:val="24"/>
        </w:rPr>
        <w:t>In addition, in the Department’s view, regulatory guidance was necessary to establish clearer standards for administering and processing COBRA notices.</w:t>
      </w:r>
    </w:p>
    <w:p w:rsidR="00AA1E33" w:rsidRPr="00A43385" w:rsidP="000C0082" w14:paraId="649CF5C5" w14:textId="77777777">
      <w:pPr>
        <w:pStyle w:val="Quick1"/>
        <w:widowControl/>
        <w:numPr>
          <w:ilvl w:val="0"/>
          <w:numId w:val="0"/>
        </w:numPr>
        <w:ind w:left="720"/>
        <w:rPr>
          <w:b w:val="0"/>
          <w:bCs w:val="0"/>
          <w:i/>
          <w:iCs/>
          <w:sz w:val="24"/>
          <w:szCs w:val="24"/>
        </w:rPr>
      </w:pPr>
    </w:p>
    <w:p w:rsidR="00AA1E33" w:rsidRPr="00322E76" w:rsidP="000C0082" w14:paraId="748D62A7" w14:textId="77777777">
      <w:pPr>
        <w:pStyle w:val="Quick1"/>
        <w:widowControl/>
        <w:numPr>
          <w:ilvl w:val="0"/>
          <w:numId w:val="20"/>
        </w:numPr>
        <w:tabs>
          <w:tab w:val="left" w:pos="-1440"/>
        </w:tabs>
        <w:ind w:hanging="720"/>
        <w:rPr>
          <w:sz w:val="24"/>
          <w:szCs w:val="24"/>
        </w:rPr>
      </w:pPr>
      <w:r w:rsidRPr="00322E76">
        <w:rPr>
          <w:sz w:val="24"/>
          <w:szCs w:val="24"/>
        </w:rPr>
        <w:t>Indicate how, by whom, and for what purpose the information is to be used.</w:t>
      </w:r>
      <w:r w:rsidRPr="00322E76" w:rsidR="00E66932">
        <w:rPr>
          <w:sz w:val="24"/>
          <w:szCs w:val="24"/>
        </w:rPr>
        <w:t xml:space="preserve"> </w:t>
      </w:r>
      <w:r w:rsidRPr="00322E76">
        <w:rPr>
          <w:sz w:val="24"/>
          <w:szCs w:val="24"/>
        </w:rPr>
        <w:t>Except for a new collection, indicate the actual use the agency has made of the information received from the current collection.</w:t>
      </w:r>
    </w:p>
    <w:p w:rsidR="00AA1E33" w:rsidRPr="00A43385" w:rsidP="00A43385" w14:paraId="6F0E8392" w14:textId="77777777">
      <w:pPr>
        <w:pStyle w:val="Quick1"/>
        <w:widowControl/>
        <w:numPr>
          <w:ilvl w:val="0"/>
          <w:numId w:val="0"/>
        </w:numPr>
        <w:ind w:left="720"/>
        <w:rPr>
          <w:b w:val="0"/>
          <w:bCs w:val="0"/>
          <w:sz w:val="24"/>
          <w:szCs w:val="24"/>
        </w:rPr>
      </w:pPr>
    </w:p>
    <w:p w:rsidR="00AA1E33" w:rsidRPr="00A43385" w:rsidP="00A43385" w14:paraId="1ADA6F41" w14:textId="77777777">
      <w:pPr>
        <w:pStyle w:val="Quick1"/>
        <w:widowControl/>
        <w:numPr>
          <w:ilvl w:val="0"/>
          <w:numId w:val="0"/>
        </w:numPr>
        <w:ind w:left="720"/>
        <w:rPr>
          <w:b w:val="0"/>
          <w:bCs w:val="0"/>
          <w:sz w:val="24"/>
          <w:szCs w:val="24"/>
        </w:rPr>
      </w:pPr>
      <w:r w:rsidRPr="00A43385">
        <w:rPr>
          <w:b w:val="0"/>
          <w:bCs w:val="0"/>
          <w:sz w:val="24"/>
          <w:szCs w:val="24"/>
        </w:rPr>
        <w:t>The provision of timely and adequate notifications is critical for the effective exercise of COBRA rights. As such, plan administrators, group health plan insurers, and other service providers to the healthcare industry have indicated to the Department that additional guidance on notification and disclosure under COBRA would be welcome.</w:t>
      </w:r>
      <w:r w:rsidR="00E66932">
        <w:rPr>
          <w:b w:val="0"/>
          <w:bCs w:val="0"/>
          <w:sz w:val="24"/>
          <w:szCs w:val="24"/>
        </w:rPr>
        <w:t xml:space="preserve"> </w:t>
      </w:r>
      <w:r w:rsidRPr="00A43385">
        <w:rPr>
          <w:b w:val="0"/>
          <w:bCs w:val="0"/>
          <w:sz w:val="24"/>
          <w:szCs w:val="24"/>
        </w:rPr>
        <w:t xml:space="preserve">Failure on the part of a plan administrator to meet notice requirements might result in a qualified beneficiary’s losing out on continuation coverage, assessment of fines on a plan administrator, </w:t>
      </w:r>
      <w:r w:rsidRPr="00A43385" w:rsidR="00A43385">
        <w:rPr>
          <w:b w:val="0"/>
          <w:bCs w:val="0"/>
          <w:sz w:val="24"/>
          <w:szCs w:val="24"/>
        </w:rPr>
        <w:t>or other adverse consequences.</w:t>
      </w:r>
    </w:p>
    <w:p w:rsidR="00AA1E33" w:rsidRPr="00A43385" w:rsidP="00A43385" w14:paraId="48EAC3CA" w14:textId="77777777">
      <w:pPr>
        <w:pStyle w:val="Quick1"/>
        <w:widowControl/>
        <w:numPr>
          <w:ilvl w:val="0"/>
          <w:numId w:val="0"/>
        </w:numPr>
        <w:ind w:left="720"/>
        <w:rPr>
          <w:b w:val="0"/>
          <w:bCs w:val="0"/>
          <w:sz w:val="24"/>
          <w:szCs w:val="24"/>
        </w:rPr>
      </w:pPr>
    </w:p>
    <w:p w:rsidR="00AA1E33" w:rsidRPr="00A43385" w:rsidP="00A43385" w14:paraId="7165F88B" w14:textId="77777777">
      <w:pPr>
        <w:pStyle w:val="Quick1"/>
        <w:widowControl/>
        <w:numPr>
          <w:ilvl w:val="0"/>
          <w:numId w:val="0"/>
        </w:numPr>
        <w:ind w:left="720"/>
        <w:rPr>
          <w:b w:val="0"/>
          <w:bCs w:val="0"/>
          <w:sz w:val="24"/>
          <w:szCs w:val="24"/>
        </w:rPr>
      </w:pPr>
      <w:r w:rsidRPr="00A43385">
        <w:rPr>
          <w:b w:val="0"/>
          <w:bCs w:val="0"/>
          <w:sz w:val="24"/>
          <w:szCs w:val="24"/>
        </w:rPr>
        <w:t xml:space="preserve">Under the </w:t>
      </w:r>
      <w:r w:rsidRPr="00A43385" w:rsidR="00722CF4">
        <w:rPr>
          <w:b w:val="0"/>
          <w:bCs w:val="0"/>
          <w:sz w:val="24"/>
          <w:szCs w:val="24"/>
        </w:rPr>
        <w:t xml:space="preserve">regulatory </w:t>
      </w:r>
      <w:r w:rsidRPr="00A43385">
        <w:rPr>
          <w:b w:val="0"/>
          <w:bCs w:val="0"/>
          <w:sz w:val="24"/>
          <w:szCs w:val="24"/>
        </w:rPr>
        <w:t xml:space="preserve">guidelines, plan administrators </w:t>
      </w:r>
      <w:r w:rsidRPr="00A43385" w:rsidR="00B12AE1">
        <w:rPr>
          <w:b w:val="0"/>
          <w:bCs w:val="0"/>
          <w:sz w:val="24"/>
          <w:szCs w:val="24"/>
        </w:rPr>
        <w:t>are required to</w:t>
      </w:r>
      <w:r w:rsidRPr="00A43385">
        <w:rPr>
          <w:b w:val="0"/>
          <w:bCs w:val="0"/>
          <w:sz w:val="24"/>
          <w:szCs w:val="24"/>
        </w:rPr>
        <w:t xml:space="preserve"> </w:t>
      </w:r>
      <w:r w:rsidRPr="00A43385" w:rsidR="00722CF4">
        <w:rPr>
          <w:b w:val="0"/>
          <w:bCs w:val="0"/>
          <w:sz w:val="24"/>
          <w:szCs w:val="24"/>
        </w:rPr>
        <w:t xml:space="preserve">distribute </w:t>
      </w:r>
      <w:r w:rsidRPr="00A43385">
        <w:rPr>
          <w:b w:val="0"/>
          <w:bCs w:val="0"/>
          <w:sz w:val="24"/>
          <w:szCs w:val="24"/>
        </w:rPr>
        <w:t>notices as follows:</w:t>
      </w:r>
      <w:r w:rsidR="00E66932">
        <w:rPr>
          <w:b w:val="0"/>
          <w:bCs w:val="0"/>
          <w:sz w:val="24"/>
          <w:szCs w:val="24"/>
        </w:rPr>
        <w:t xml:space="preserve"> </w:t>
      </w:r>
      <w:r w:rsidRPr="00A43385">
        <w:rPr>
          <w:b w:val="0"/>
          <w:bCs w:val="0"/>
          <w:sz w:val="24"/>
          <w:szCs w:val="24"/>
        </w:rPr>
        <w:t xml:space="preserve">a general notice to be distributed to all participants in group health plans subject to COBRA; an employer notice that must be completed by the employer upon the occurrence of a qualifying event; a notice and election form to be sent to a participant upon the occurrence of a qualifying event that might cause the participant to lose group health coverage; an employee notice that may be completed by a qualified beneficiary upon the occurrence of certain qualifying events such as divorce or disability; and, two </w:t>
      </w:r>
      <w:r w:rsidRPr="00A43385" w:rsidR="00623436">
        <w:rPr>
          <w:b w:val="0"/>
          <w:bCs w:val="0"/>
          <w:sz w:val="24"/>
          <w:szCs w:val="24"/>
        </w:rPr>
        <w:t>other</w:t>
      </w:r>
      <w:r w:rsidRPr="00A43385">
        <w:rPr>
          <w:b w:val="0"/>
          <w:bCs w:val="0"/>
          <w:sz w:val="24"/>
          <w:szCs w:val="24"/>
        </w:rPr>
        <w:t xml:space="preserve"> notices, one of early termination and the other a notice of unavailability.</w:t>
      </w:r>
      <w:r w:rsidR="00E66932">
        <w:rPr>
          <w:b w:val="0"/>
          <w:bCs w:val="0"/>
          <w:sz w:val="24"/>
          <w:szCs w:val="24"/>
        </w:rPr>
        <w:t xml:space="preserve"> </w:t>
      </w:r>
      <w:r w:rsidRPr="00A43385">
        <w:rPr>
          <w:b w:val="0"/>
          <w:bCs w:val="0"/>
          <w:sz w:val="24"/>
          <w:szCs w:val="24"/>
        </w:rPr>
        <w:t xml:space="preserve">Also included in the ICR are two model notices that the Department believes will help reduce costs for service providers </w:t>
      </w:r>
      <w:r w:rsidRPr="00A43385" w:rsidR="006F0E4C">
        <w:rPr>
          <w:b w:val="0"/>
          <w:bCs w:val="0"/>
          <w:sz w:val="24"/>
          <w:szCs w:val="24"/>
        </w:rPr>
        <w:t xml:space="preserve">in preparing and delivering </w:t>
      </w:r>
      <w:r w:rsidRPr="00A43385">
        <w:rPr>
          <w:b w:val="0"/>
          <w:bCs w:val="0"/>
          <w:sz w:val="24"/>
          <w:szCs w:val="24"/>
        </w:rPr>
        <w:t>notices to comply with the regulations.</w:t>
      </w:r>
    </w:p>
    <w:p w:rsidR="00AA1E33" w:rsidRPr="00A43385" w:rsidP="00A43385" w14:paraId="6FFCD65E" w14:textId="77777777">
      <w:pPr>
        <w:widowControl/>
        <w:ind w:left="720"/>
        <w:rPr>
          <w:b w:val="0"/>
          <w:bCs w:val="0"/>
          <w:sz w:val="24"/>
          <w:szCs w:val="24"/>
        </w:rPr>
      </w:pPr>
    </w:p>
    <w:p w:rsidR="00AA1E33" w:rsidRPr="00322E76" w:rsidP="00A43385" w14:paraId="51B8C750" w14:textId="77777777">
      <w:pPr>
        <w:pStyle w:val="Quick1"/>
        <w:widowControl/>
        <w:numPr>
          <w:ilvl w:val="0"/>
          <w:numId w:val="20"/>
        </w:numPr>
        <w:ind w:hanging="720"/>
        <w:rPr>
          <w:sz w:val="24"/>
          <w:szCs w:val="24"/>
        </w:rPr>
      </w:pPr>
      <w:r w:rsidRPr="00322E76">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22E76" w:rsidR="00E66932">
        <w:rPr>
          <w:sz w:val="24"/>
          <w:szCs w:val="24"/>
        </w:rPr>
        <w:t xml:space="preserve"> </w:t>
      </w:r>
      <w:r w:rsidRPr="00322E76">
        <w:rPr>
          <w:sz w:val="24"/>
          <w:szCs w:val="24"/>
        </w:rPr>
        <w:t>Also describe any consideration for using information technology to reduce burden.</w:t>
      </w:r>
    </w:p>
    <w:p w:rsidR="00AA1E33" w:rsidRPr="00A43385" w:rsidP="006F0FE7" w14:paraId="38C328F2" w14:textId="77777777">
      <w:pPr>
        <w:pStyle w:val="Quick1"/>
        <w:widowControl/>
        <w:numPr>
          <w:ilvl w:val="0"/>
          <w:numId w:val="0"/>
        </w:numPr>
        <w:ind w:left="720"/>
        <w:rPr>
          <w:b w:val="0"/>
          <w:bCs w:val="0"/>
          <w:sz w:val="24"/>
          <w:szCs w:val="24"/>
        </w:rPr>
      </w:pPr>
    </w:p>
    <w:p w:rsidR="00AA1E33" w:rsidRPr="00A43385" w:rsidP="006F0FE7" w14:paraId="3206A06F" w14:textId="573545B5">
      <w:pPr>
        <w:ind w:left="720"/>
        <w:rPr>
          <w:b w:val="0"/>
          <w:bCs w:val="0"/>
          <w:sz w:val="24"/>
          <w:szCs w:val="24"/>
        </w:rPr>
      </w:pPr>
      <w:r w:rsidRPr="00A43385">
        <w:rPr>
          <w:b w:val="0"/>
          <w:bCs w:val="0"/>
          <w:sz w:val="24"/>
          <w:szCs w:val="24"/>
        </w:rP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w:t>
      </w:r>
      <w:r w:rsidR="00E66932">
        <w:rPr>
          <w:b w:val="0"/>
          <w:bCs w:val="0"/>
          <w:sz w:val="24"/>
          <w:szCs w:val="24"/>
        </w:rPr>
        <w:t xml:space="preserve"> </w:t>
      </w:r>
      <w:r w:rsidRPr="00A43385">
        <w:rPr>
          <w:b w:val="0"/>
          <w:bCs w:val="0"/>
          <w:sz w:val="24"/>
          <w:szCs w:val="24"/>
        </w:rPr>
        <w:t>Section 2520.104b-1(c) establishes the manner in which disclosures under Title I of ERISA made through electronic media will be deemed to satisfy the requirement of § 2520.104b-1(b).</w:t>
      </w:r>
      <w:r w:rsidR="00E66932">
        <w:rPr>
          <w:b w:val="0"/>
          <w:bCs w:val="0"/>
          <w:sz w:val="24"/>
          <w:szCs w:val="24"/>
        </w:rPr>
        <w:t xml:space="preserve"> </w:t>
      </w:r>
      <w:r w:rsidRPr="00A43385">
        <w:rPr>
          <w:b w:val="0"/>
          <w:bCs w:val="0"/>
          <w:sz w:val="24"/>
          <w:szCs w:val="24"/>
        </w:rPr>
        <w:t>Section 2520-107</w:t>
      </w:r>
      <w:r w:rsidRPr="00A43385" w:rsidR="00D073D7">
        <w:rPr>
          <w:b w:val="0"/>
          <w:bCs w:val="0"/>
          <w:sz w:val="24"/>
          <w:szCs w:val="24"/>
        </w:rPr>
        <w:t>.</w:t>
      </w:r>
      <w:r w:rsidRPr="00A43385">
        <w:rPr>
          <w:b w:val="0"/>
          <w:bCs w:val="0"/>
          <w:sz w:val="24"/>
          <w:szCs w:val="24"/>
        </w:rPr>
        <w:t>1 establishes standards concerning the use of electronic media for maintenance and retention of records.</w:t>
      </w:r>
      <w:r w:rsidR="00E66932">
        <w:rPr>
          <w:b w:val="0"/>
          <w:bCs w:val="0"/>
          <w:sz w:val="24"/>
          <w:szCs w:val="24"/>
        </w:rPr>
        <w:t xml:space="preserve"> </w:t>
      </w:r>
      <w:r w:rsidRPr="00A43385">
        <w:rPr>
          <w:b w:val="0"/>
          <w:bCs w:val="0"/>
          <w:sz w:val="24"/>
          <w:szCs w:val="24"/>
        </w:rPr>
        <w:t>Under these rules, all pension and welfare plans covered under Title I of ERISA may use electronic media to satisfy disclosure and recordkeeping obligations, s</w:t>
      </w:r>
      <w:r w:rsidRPr="00A43385" w:rsidR="00A43385">
        <w:rPr>
          <w:b w:val="0"/>
          <w:bCs w:val="0"/>
          <w:sz w:val="24"/>
          <w:szCs w:val="24"/>
        </w:rPr>
        <w:t>ubject to specific safeguards.</w:t>
      </w:r>
    </w:p>
    <w:p w:rsidR="00AA1E33" w:rsidRPr="00A43385" w:rsidP="006F0FE7" w14:paraId="434597F8" w14:textId="77777777">
      <w:pPr>
        <w:ind w:left="720"/>
        <w:rPr>
          <w:b w:val="0"/>
          <w:bCs w:val="0"/>
          <w:sz w:val="24"/>
          <w:szCs w:val="24"/>
        </w:rPr>
      </w:pPr>
    </w:p>
    <w:p w:rsidR="00AA1E33" w:rsidRPr="00A43385" w:rsidP="006F0FE7" w14:paraId="5FE3D02C" w14:textId="77777777">
      <w:pPr>
        <w:pStyle w:val="BodyText"/>
        <w:widowControl w:val="0"/>
        <w:ind w:left="720"/>
        <w:rPr>
          <w:szCs w:val="24"/>
        </w:rPr>
      </w:pPr>
      <w:r w:rsidRPr="00A43385">
        <w:rPr>
          <w:szCs w:val="24"/>
        </w:rPr>
        <w:t>The Government Paperwork Elimination Act (GPEA) requires agencies to allow customers the option to submit information or transact with the government electronically, when practicable.</w:t>
      </w:r>
      <w:r w:rsidR="00E66932">
        <w:rPr>
          <w:szCs w:val="24"/>
        </w:rPr>
        <w:t xml:space="preserve"> </w:t>
      </w:r>
      <w:r w:rsidRPr="00A43385">
        <w:rPr>
          <w:szCs w:val="24"/>
        </w:rPr>
        <w:t>Where feasible, and subject to resource availability and resolution of legal issues, EBSA has implemented the electronic acceptance of information submitted by custo</w:t>
      </w:r>
      <w:r w:rsidRPr="00A43385" w:rsidR="00A43385">
        <w:rPr>
          <w:szCs w:val="24"/>
        </w:rPr>
        <w:t>mers to the federal government.</w:t>
      </w:r>
    </w:p>
    <w:p w:rsidR="00AA1E33" w:rsidRPr="00A43385" w:rsidP="006F0FE7" w14:paraId="41B601F9" w14:textId="77777777">
      <w:pPr>
        <w:pStyle w:val="BodyText"/>
        <w:ind w:left="720"/>
        <w:rPr>
          <w:i/>
          <w:iCs/>
          <w:szCs w:val="24"/>
        </w:rPr>
      </w:pPr>
    </w:p>
    <w:p w:rsidR="00AA1E33" w:rsidRPr="00322E76" w:rsidP="006F0FE7" w14:paraId="7E768D10" w14:textId="77777777">
      <w:pPr>
        <w:widowControl/>
        <w:numPr>
          <w:ilvl w:val="0"/>
          <w:numId w:val="20"/>
        </w:numPr>
        <w:tabs>
          <w:tab w:val="left" w:pos="-1440"/>
        </w:tabs>
        <w:ind w:hanging="720"/>
        <w:rPr>
          <w:sz w:val="24"/>
          <w:szCs w:val="24"/>
        </w:rPr>
      </w:pPr>
      <w:r w:rsidRPr="00322E76">
        <w:rPr>
          <w:sz w:val="24"/>
          <w:szCs w:val="24"/>
        </w:rPr>
        <w:t>Describe efforts to identify duplication.</w:t>
      </w:r>
      <w:r w:rsidRPr="00322E76" w:rsidR="00E66932">
        <w:rPr>
          <w:sz w:val="24"/>
          <w:szCs w:val="24"/>
        </w:rPr>
        <w:t xml:space="preserve"> </w:t>
      </w:r>
      <w:r w:rsidRPr="00322E76">
        <w:rPr>
          <w:sz w:val="24"/>
          <w:szCs w:val="24"/>
        </w:rPr>
        <w:t>Show specifically why any similar information already available cannot be used or modified for use for the purposes described in Item 2 above.</w:t>
      </w:r>
    </w:p>
    <w:p w:rsidR="00AA1E33" w:rsidRPr="00A43385" w:rsidP="006F0FE7" w14:paraId="250E9653" w14:textId="77777777">
      <w:pPr>
        <w:widowControl/>
        <w:ind w:left="720"/>
        <w:rPr>
          <w:b w:val="0"/>
          <w:bCs w:val="0"/>
          <w:i/>
          <w:iCs/>
          <w:sz w:val="24"/>
          <w:szCs w:val="24"/>
        </w:rPr>
      </w:pPr>
    </w:p>
    <w:p w:rsidR="00AA1E33" w:rsidRPr="00A43385" w:rsidP="006F0FE7" w14:paraId="3BA9BD34" w14:textId="77777777">
      <w:pPr>
        <w:widowControl/>
        <w:ind w:left="720"/>
        <w:rPr>
          <w:b w:val="0"/>
          <w:bCs w:val="0"/>
          <w:sz w:val="24"/>
          <w:szCs w:val="24"/>
        </w:rPr>
      </w:pPr>
      <w:r w:rsidRPr="00A43385">
        <w:rPr>
          <w:b w:val="0"/>
          <w:bCs w:val="0"/>
          <w:sz w:val="24"/>
          <w:szCs w:val="24"/>
        </w:rPr>
        <w:t>There is no duplication of information under the regulations.</w:t>
      </w:r>
      <w:r w:rsidR="00E66932">
        <w:rPr>
          <w:b w:val="0"/>
          <w:bCs w:val="0"/>
          <w:sz w:val="24"/>
          <w:szCs w:val="24"/>
        </w:rPr>
        <w:t xml:space="preserve"> </w:t>
      </w:r>
      <w:r w:rsidRPr="00A43385">
        <w:rPr>
          <w:b w:val="0"/>
          <w:bCs w:val="0"/>
          <w:sz w:val="24"/>
          <w:szCs w:val="24"/>
        </w:rPr>
        <w:t>The regulations address the content, timing, and distribution requirements for notices that are required to be sent under COBRA.</w:t>
      </w:r>
      <w:r w:rsidR="00E66932">
        <w:rPr>
          <w:b w:val="0"/>
          <w:bCs w:val="0"/>
          <w:sz w:val="24"/>
          <w:szCs w:val="24"/>
        </w:rPr>
        <w:t xml:space="preserve"> </w:t>
      </w:r>
      <w:r w:rsidRPr="00A43385">
        <w:rPr>
          <w:b w:val="0"/>
          <w:bCs w:val="0"/>
          <w:sz w:val="24"/>
          <w:szCs w:val="24"/>
        </w:rPr>
        <w:t>Because COBRA has been in effect since 1984, most plans will likely continue to use notices that they have developed and that already satisfy the requirements of the regulations.</w:t>
      </w:r>
      <w:r w:rsidR="00E66932">
        <w:rPr>
          <w:b w:val="0"/>
          <w:bCs w:val="0"/>
          <w:sz w:val="24"/>
          <w:szCs w:val="24"/>
        </w:rPr>
        <w:t xml:space="preserve"> </w:t>
      </w:r>
      <w:r w:rsidRPr="00A43385">
        <w:rPr>
          <w:b w:val="0"/>
          <w:bCs w:val="0"/>
          <w:sz w:val="24"/>
          <w:szCs w:val="24"/>
        </w:rPr>
        <w:t>This information is not duplicated elsewhere.</w:t>
      </w:r>
      <w:r w:rsidR="00E66932">
        <w:rPr>
          <w:b w:val="0"/>
          <w:bCs w:val="0"/>
          <w:sz w:val="24"/>
          <w:szCs w:val="24"/>
        </w:rPr>
        <w:t xml:space="preserve"> </w:t>
      </w:r>
    </w:p>
    <w:p w:rsidR="00AA1E33" w:rsidRPr="00A43385" w:rsidP="006F0FE7" w14:paraId="79CC3F91" w14:textId="77777777">
      <w:pPr>
        <w:widowControl/>
        <w:ind w:left="720"/>
        <w:rPr>
          <w:b w:val="0"/>
          <w:bCs w:val="0"/>
          <w:sz w:val="24"/>
          <w:szCs w:val="24"/>
        </w:rPr>
      </w:pPr>
    </w:p>
    <w:p w:rsidR="00AA1E33" w:rsidRPr="00322E76" w:rsidP="006F0FE7" w14:paraId="2BAF890D" w14:textId="77777777">
      <w:pPr>
        <w:pStyle w:val="BodyText2"/>
        <w:numPr>
          <w:ilvl w:val="0"/>
          <w:numId w:val="20"/>
        </w:numPr>
        <w:ind w:hanging="720"/>
        <w:rPr>
          <w:b/>
          <w:bCs/>
          <w:i w:val="0"/>
          <w:iCs w:val="0"/>
          <w:sz w:val="24"/>
          <w:szCs w:val="24"/>
        </w:rPr>
      </w:pPr>
      <w:r w:rsidRPr="00322E76">
        <w:rPr>
          <w:b/>
          <w:bCs/>
          <w:i w:val="0"/>
          <w:iCs w:val="0"/>
          <w:sz w:val="24"/>
          <w:szCs w:val="24"/>
        </w:rPr>
        <w:t>If the collection of information impacts small businesses or other small entities</w:t>
      </w:r>
      <w:r w:rsidRPr="00322E76" w:rsidR="00632B80">
        <w:rPr>
          <w:b/>
          <w:bCs/>
          <w:i w:val="0"/>
          <w:iCs w:val="0"/>
          <w:sz w:val="24"/>
          <w:szCs w:val="24"/>
        </w:rPr>
        <w:t xml:space="preserve"> </w:t>
      </w:r>
      <w:r w:rsidRPr="00322E76">
        <w:rPr>
          <w:b/>
          <w:bCs/>
          <w:i w:val="0"/>
          <w:iCs w:val="0"/>
          <w:sz w:val="24"/>
          <w:szCs w:val="24"/>
        </w:rPr>
        <w:t>describe any methods used to minimize burden.</w:t>
      </w:r>
    </w:p>
    <w:p w:rsidR="00AA1E33" w:rsidRPr="00A43385" w:rsidP="006F0FE7" w14:paraId="08297671" w14:textId="77777777">
      <w:pPr>
        <w:widowControl/>
        <w:ind w:left="720"/>
        <w:rPr>
          <w:b w:val="0"/>
          <w:bCs w:val="0"/>
          <w:i/>
          <w:iCs/>
          <w:sz w:val="24"/>
          <w:szCs w:val="24"/>
        </w:rPr>
      </w:pPr>
    </w:p>
    <w:p w:rsidR="00AA1E33" w:rsidRPr="00A43385" w:rsidP="006F0FE7" w14:paraId="39B181CD" w14:textId="4E721494">
      <w:pPr>
        <w:pStyle w:val="Quick1"/>
        <w:widowControl/>
        <w:numPr>
          <w:ilvl w:val="0"/>
          <w:numId w:val="0"/>
        </w:numPr>
        <w:ind w:left="720"/>
        <w:rPr>
          <w:b w:val="0"/>
          <w:bCs w:val="0"/>
          <w:sz w:val="24"/>
          <w:szCs w:val="24"/>
        </w:rPr>
      </w:pPr>
      <w:r w:rsidRPr="00A43385">
        <w:rPr>
          <w:b w:val="0"/>
          <w:bCs w:val="0"/>
          <w:sz w:val="24"/>
          <w:szCs w:val="24"/>
        </w:rPr>
        <w:t>The information collection impact</w:t>
      </w:r>
      <w:r w:rsidR="009C0BA9">
        <w:rPr>
          <w:b w:val="0"/>
          <w:bCs w:val="0"/>
          <w:sz w:val="24"/>
          <w:szCs w:val="24"/>
        </w:rPr>
        <w:t>s</w:t>
      </w:r>
      <w:r w:rsidRPr="00A43385">
        <w:rPr>
          <w:b w:val="0"/>
          <w:bCs w:val="0"/>
          <w:sz w:val="24"/>
          <w:szCs w:val="24"/>
        </w:rPr>
        <w:t xml:space="preserve"> small businesses or entities.</w:t>
      </w:r>
      <w:r w:rsidR="00E66932">
        <w:rPr>
          <w:b w:val="0"/>
          <w:bCs w:val="0"/>
          <w:sz w:val="24"/>
          <w:szCs w:val="24"/>
        </w:rPr>
        <w:t xml:space="preserve"> </w:t>
      </w:r>
      <w:r w:rsidRPr="00A43385">
        <w:rPr>
          <w:b w:val="0"/>
          <w:bCs w:val="0"/>
          <w:sz w:val="24"/>
          <w:szCs w:val="24"/>
        </w:rPr>
        <w:t>The information provided in the regulations will assist all plans in fulfilling the statutory notice requirements under COBRA.</w:t>
      </w:r>
      <w:r w:rsidR="00E66932">
        <w:rPr>
          <w:b w:val="0"/>
          <w:bCs w:val="0"/>
          <w:sz w:val="24"/>
          <w:szCs w:val="24"/>
        </w:rPr>
        <w:t xml:space="preserve"> </w:t>
      </w:r>
      <w:r w:rsidRPr="00A43385">
        <w:rPr>
          <w:b w:val="0"/>
          <w:bCs w:val="0"/>
          <w:sz w:val="24"/>
          <w:szCs w:val="24"/>
        </w:rPr>
        <w:t>Plan administrators of small plans will have confidence that a plan’s COBRA notices are in compliance and that they are less likely to be subject to penalties or costly litigation because they are not complete or not distributed in a timely manner.</w:t>
      </w:r>
      <w:r w:rsidR="00E66932">
        <w:rPr>
          <w:b w:val="0"/>
          <w:bCs w:val="0"/>
          <w:sz w:val="24"/>
          <w:szCs w:val="24"/>
        </w:rPr>
        <w:t xml:space="preserve"> </w:t>
      </w:r>
      <w:r w:rsidRPr="00A43385">
        <w:rPr>
          <w:b w:val="0"/>
          <w:bCs w:val="0"/>
          <w:sz w:val="24"/>
          <w:szCs w:val="24"/>
        </w:rPr>
        <w:t>In addition, with proper notification, qualified beneficiaries of small group health plans that may have previously been denied coverage under COBRA will have improved opportunities to elect less expensive continuation coverage under an employer’s group health plan.</w:t>
      </w:r>
      <w:r w:rsidR="00E66932">
        <w:rPr>
          <w:b w:val="0"/>
          <w:bCs w:val="0"/>
          <w:sz w:val="24"/>
          <w:szCs w:val="24"/>
        </w:rPr>
        <w:t xml:space="preserve"> </w:t>
      </w:r>
      <w:r w:rsidRPr="00A43385" w:rsidR="00A22EAC">
        <w:rPr>
          <w:b w:val="0"/>
          <w:bCs w:val="0"/>
          <w:sz w:val="24"/>
          <w:szCs w:val="24"/>
        </w:rPr>
        <w:t>Moreover, the smallest plans (those with less than 20 participants) are exempt from COBRA.</w:t>
      </w:r>
      <w:r w:rsidR="00E66932">
        <w:rPr>
          <w:b w:val="0"/>
          <w:bCs w:val="0"/>
          <w:sz w:val="24"/>
          <w:szCs w:val="24"/>
        </w:rPr>
        <w:t xml:space="preserve"> </w:t>
      </w:r>
    </w:p>
    <w:p w:rsidR="00AA1E33" w:rsidRPr="00A43385" w:rsidP="006F0FE7" w14:paraId="69CD6A84" w14:textId="77777777">
      <w:pPr>
        <w:pStyle w:val="Quick1"/>
        <w:widowControl/>
        <w:numPr>
          <w:ilvl w:val="0"/>
          <w:numId w:val="0"/>
        </w:numPr>
        <w:ind w:left="720"/>
        <w:rPr>
          <w:b w:val="0"/>
          <w:bCs w:val="0"/>
          <w:sz w:val="24"/>
          <w:szCs w:val="24"/>
        </w:rPr>
      </w:pPr>
    </w:p>
    <w:p w:rsidR="00AA1E33" w:rsidRPr="00322E76" w:rsidP="006F0FE7" w14:paraId="087C2A04" w14:textId="77777777">
      <w:pPr>
        <w:widowControl/>
        <w:numPr>
          <w:ilvl w:val="0"/>
          <w:numId w:val="20"/>
        </w:numPr>
        <w:tabs>
          <w:tab w:val="left" w:pos="-1440"/>
        </w:tabs>
        <w:ind w:hanging="720"/>
        <w:rPr>
          <w:sz w:val="24"/>
          <w:szCs w:val="24"/>
        </w:rPr>
      </w:pPr>
      <w:r w:rsidRPr="00322E76">
        <w:rPr>
          <w:sz w:val="24"/>
          <w:szCs w:val="24"/>
        </w:rPr>
        <w:t>Describe the consequence to Federal program or policy activities if the collection is not conducted or is conducted less frequently, as well as any technical or legal obstacles to reducing burden.</w:t>
      </w:r>
    </w:p>
    <w:p w:rsidR="00AA1E33" w:rsidRPr="00A43385" w:rsidP="00A972AA" w14:paraId="1E6489B0" w14:textId="77777777">
      <w:pPr>
        <w:widowControl/>
        <w:ind w:left="720"/>
        <w:rPr>
          <w:b w:val="0"/>
          <w:bCs w:val="0"/>
          <w:i/>
          <w:iCs/>
          <w:sz w:val="24"/>
          <w:szCs w:val="24"/>
        </w:rPr>
      </w:pPr>
    </w:p>
    <w:p w:rsidR="00A852C2" w:rsidRPr="00A43385" w:rsidP="00A972AA" w14:paraId="1202DB30" w14:textId="77777777">
      <w:pPr>
        <w:widowControl/>
        <w:ind w:left="720"/>
        <w:rPr>
          <w:bCs w:val="0"/>
          <w:sz w:val="24"/>
          <w:szCs w:val="24"/>
        </w:rPr>
      </w:pPr>
      <w:r w:rsidRPr="00A43385">
        <w:rPr>
          <w:b w:val="0"/>
          <w:bCs w:val="0"/>
          <w:sz w:val="24"/>
          <w:szCs w:val="24"/>
        </w:rPr>
        <w:t>Under section 606(a)(1) of ERISA, general notices must be distributed when coverage under the group health plan commences for an employee and his or her spouse and certain other notices are required to be sent upon the occurrence of a qualifying event.</w:t>
      </w:r>
      <w:r w:rsidR="00E66932">
        <w:rPr>
          <w:b w:val="0"/>
          <w:bCs w:val="0"/>
          <w:sz w:val="24"/>
          <w:szCs w:val="24"/>
        </w:rPr>
        <w:t xml:space="preserve"> </w:t>
      </w:r>
      <w:r w:rsidRPr="00A43385">
        <w:rPr>
          <w:b w:val="0"/>
          <w:bCs w:val="0"/>
          <w:sz w:val="24"/>
          <w:szCs w:val="24"/>
        </w:rPr>
        <w:t>Because of COBRA’s statutory requirements, the collection of information cannot be conducted at any other time or less frequently.</w:t>
      </w:r>
    </w:p>
    <w:p w:rsidR="00AA1E33" w:rsidRPr="00A43385" w:rsidP="00A972AA" w14:paraId="129F8766" w14:textId="77777777">
      <w:pPr>
        <w:widowControl/>
        <w:ind w:left="720"/>
        <w:rPr>
          <w:b w:val="0"/>
          <w:bCs w:val="0"/>
          <w:sz w:val="24"/>
          <w:szCs w:val="24"/>
        </w:rPr>
      </w:pPr>
    </w:p>
    <w:p w:rsidR="00AA1E33" w:rsidRPr="00322E76" w:rsidP="00A972AA" w14:paraId="0D1A080F" w14:textId="77777777">
      <w:pPr>
        <w:widowControl/>
        <w:numPr>
          <w:ilvl w:val="0"/>
          <w:numId w:val="20"/>
        </w:numPr>
        <w:tabs>
          <w:tab w:val="left" w:pos="-1440"/>
        </w:tabs>
        <w:ind w:hanging="720"/>
        <w:rPr>
          <w:sz w:val="24"/>
          <w:szCs w:val="24"/>
        </w:rPr>
      </w:pPr>
      <w:r w:rsidRPr="00322E76">
        <w:rPr>
          <w:sz w:val="24"/>
          <w:szCs w:val="24"/>
        </w:rPr>
        <w:t>Explain any special circumstances that would cause an information collection to be conducted in a manner:</w:t>
      </w:r>
    </w:p>
    <w:p w:rsidR="00AA1E33" w:rsidRPr="00322E76" w:rsidP="00DC6BE3" w14:paraId="3AB3DD2C" w14:textId="77777777">
      <w:pPr>
        <w:widowControl/>
        <w:numPr>
          <w:ilvl w:val="0"/>
          <w:numId w:val="11"/>
        </w:numPr>
        <w:tabs>
          <w:tab w:val="clear" w:pos="1440"/>
        </w:tabs>
        <w:rPr>
          <w:sz w:val="24"/>
          <w:szCs w:val="24"/>
        </w:rPr>
      </w:pPr>
      <w:r w:rsidRPr="00322E76">
        <w:rPr>
          <w:sz w:val="24"/>
          <w:szCs w:val="24"/>
        </w:rPr>
        <w:t>requiring respondents to report information to the agency more often than quarterly;</w:t>
      </w:r>
    </w:p>
    <w:p w:rsidR="00AA1E33" w:rsidRPr="00322E76" w:rsidP="00DC6BE3" w14:paraId="2138C3E4" w14:textId="77777777">
      <w:pPr>
        <w:widowControl/>
        <w:numPr>
          <w:ilvl w:val="0"/>
          <w:numId w:val="11"/>
        </w:numPr>
        <w:tabs>
          <w:tab w:val="clear" w:pos="1440"/>
        </w:tabs>
        <w:rPr>
          <w:sz w:val="24"/>
          <w:szCs w:val="24"/>
        </w:rPr>
      </w:pPr>
      <w:r w:rsidRPr="00322E76">
        <w:rPr>
          <w:sz w:val="24"/>
          <w:szCs w:val="24"/>
        </w:rPr>
        <w:t>requiring respondents to prepare a written response to a collection of information in fewer than 30 days after receipt of it;</w:t>
      </w:r>
    </w:p>
    <w:p w:rsidR="00AA1E33" w:rsidRPr="00322E76" w:rsidP="00DC6BE3" w14:paraId="19BFD2AE" w14:textId="77777777">
      <w:pPr>
        <w:widowControl/>
        <w:numPr>
          <w:ilvl w:val="0"/>
          <w:numId w:val="11"/>
        </w:numPr>
        <w:tabs>
          <w:tab w:val="clear" w:pos="1440"/>
        </w:tabs>
        <w:rPr>
          <w:sz w:val="24"/>
          <w:szCs w:val="24"/>
        </w:rPr>
      </w:pPr>
      <w:r w:rsidRPr="00322E76">
        <w:rPr>
          <w:sz w:val="24"/>
          <w:szCs w:val="24"/>
        </w:rPr>
        <w:t>requiring respondents to submit more than an original and two copies of any document;</w:t>
      </w:r>
    </w:p>
    <w:p w:rsidR="00AA1E33" w:rsidRPr="00322E76" w:rsidP="00DC6BE3" w14:paraId="6F02104F" w14:textId="77777777">
      <w:pPr>
        <w:widowControl/>
        <w:numPr>
          <w:ilvl w:val="0"/>
          <w:numId w:val="11"/>
        </w:numPr>
        <w:tabs>
          <w:tab w:val="clear" w:pos="1440"/>
        </w:tabs>
        <w:rPr>
          <w:sz w:val="24"/>
          <w:szCs w:val="24"/>
        </w:rPr>
      </w:pPr>
      <w:r w:rsidRPr="00322E76">
        <w:rPr>
          <w:sz w:val="24"/>
          <w:szCs w:val="24"/>
        </w:rPr>
        <w:t>requiring respondents to retain records, other than health, medical, government contract, grant-in-aid, or tax records for more than three years;</w:t>
      </w:r>
    </w:p>
    <w:p w:rsidR="00AA1E33" w:rsidRPr="00322E76" w:rsidP="00DC6BE3" w14:paraId="3D38A242" w14:textId="77777777">
      <w:pPr>
        <w:widowControl/>
        <w:numPr>
          <w:ilvl w:val="0"/>
          <w:numId w:val="11"/>
        </w:numPr>
        <w:tabs>
          <w:tab w:val="clear" w:pos="1440"/>
        </w:tabs>
        <w:rPr>
          <w:sz w:val="24"/>
          <w:szCs w:val="24"/>
        </w:rPr>
      </w:pPr>
      <w:r w:rsidRPr="00322E76">
        <w:rPr>
          <w:sz w:val="24"/>
          <w:szCs w:val="24"/>
        </w:rPr>
        <w:t>in connection with a statistical survey, that is not designed to produce valid and reliable results that can be generalized to the universe of study;</w:t>
      </w:r>
    </w:p>
    <w:p w:rsidR="00AA1E33" w:rsidRPr="00322E76" w:rsidP="00DC6BE3" w14:paraId="40B585AF" w14:textId="77777777">
      <w:pPr>
        <w:widowControl/>
        <w:numPr>
          <w:ilvl w:val="0"/>
          <w:numId w:val="11"/>
        </w:numPr>
        <w:tabs>
          <w:tab w:val="clear" w:pos="1440"/>
        </w:tabs>
        <w:rPr>
          <w:sz w:val="24"/>
          <w:szCs w:val="24"/>
        </w:rPr>
      </w:pPr>
      <w:r w:rsidRPr="00322E76">
        <w:rPr>
          <w:sz w:val="24"/>
          <w:szCs w:val="24"/>
        </w:rPr>
        <w:t>requiring the use of a statistical data classification that has not been reviewed and approved by OMB;</w:t>
      </w:r>
    </w:p>
    <w:p w:rsidR="00AA1E33" w:rsidRPr="00322E76" w:rsidP="00DC6BE3" w14:paraId="0ED65DE6" w14:textId="77777777">
      <w:pPr>
        <w:widowControl/>
        <w:numPr>
          <w:ilvl w:val="0"/>
          <w:numId w:val="11"/>
        </w:numPr>
        <w:tabs>
          <w:tab w:val="clear" w:pos="1440"/>
        </w:tabs>
        <w:rPr>
          <w:sz w:val="24"/>
          <w:szCs w:val="24"/>
        </w:rPr>
      </w:pPr>
      <w:r w:rsidRPr="00322E76">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E33" w:rsidRPr="00322E76" w:rsidP="00DC6BE3" w14:paraId="50DCF36E" w14:textId="77777777">
      <w:pPr>
        <w:widowControl/>
        <w:numPr>
          <w:ilvl w:val="0"/>
          <w:numId w:val="11"/>
        </w:numPr>
        <w:tabs>
          <w:tab w:val="clear" w:pos="1440"/>
        </w:tabs>
        <w:rPr>
          <w:sz w:val="24"/>
          <w:szCs w:val="24"/>
        </w:rPr>
      </w:pPr>
      <w:r w:rsidRPr="00322E76">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A1E33" w:rsidRPr="00A43385" w:rsidP="00A972AA" w14:paraId="4773A99D" w14:textId="77777777">
      <w:pPr>
        <w:widowControl/>
        <w:ind w:left="720"/>
        <w:rPr>
          <w:b w:val="0"/>
          <w:bCs w:val="0"/>
          <w:i/>
          <w:iCs/>
          <w:sz w:val="24"/>
          <w:szCs w:val="24"/>
        </w:rPr>
      </w:pPr>
    </w:p>
    <w:p w:rsidR="00AA1E33" w:rsidRPr="00A43385" w:rsidP="00A972AA" w14:paraId="3B3EC008" w14:textId="77777777">
      <w:pPr>
        <w:pStyle w:val="BodyTextIndent2"/>
        <w:widowControl/>
        <w:tabs>
          <w:tab w:val="clear" w:pos="-1440"/>
        </w:tabs>
        <w:ind w:left="720" w:firstLine="0"/>
        <w:rPr>
          <w:b w:val="0"/>
          <w:bCs w:val="0"/>
          <w:szCs w:val="24"/>
        </w:rPr>
      </w:pPr>
      <w:r w:rsidRPr="00E92451">
        <w:rPr>
          <w:b w:val="0"/>
          <w:bCs w:val="0"/>
          <w:szCs w:val="24"/>
        </w:rPr>
        <w:t>There are no special circumstances that require the collection to be conducted in a manner inconsistent with the guidelines in 5 CFR 1320.5.</w:t>
      </w:r>
    </w:p>
    <w:p w:rsidR="00AA1E33" w:rsidRPr="00A43385" w:rsidP="00A972AA" w14:paraId="7159BE22" w14:textId="77777777">
      <w:pPr>
        <w:widowControl/>
        <w:ind w:left="720"/>
        <w:rPr>
          <w:b w:val="0"/>
          <w:bCs w:val="0"/>
          <w:sz w:val="24"/>
          <w:szCs w:val="24"/>
        </w:rPr>
      </w:pPr>
    </w:p>
    <w:p w:rsidR="00AA1E33" w:rsidRPr="00322E76" w:rsidP="00A972AA" w14:paraId="1AE00648" w14:textId="77777777">
      <w:pPr>
        <w:widowControl/>
        <w:numPr>
          <w:ilvl w:val="0"/>
          <w:numId w:val="20"/>
        </w:numPr>
        <w:tabs>
          <w:tab w:val="left" w:pos="-1440"/>
        </w:tabs>
        <w:ind w:hanging="720"/>
        <w:rPr>
          <w:sz w:val="24"/>
          <w:szCs w:val="24"/>
        </w:rPr>
      </w:pPr>
      <w:r w:rsidRPr="00322E76">
        <w:rPr>
          <w:sz w:val="24"/>
          <w:szCs w:val="24"/>
        </w:rPr>
        <w:t>If applicable, provide a copy and identify the date and page number of publication in the Federal Register of the agency's notice, required by 5 CFR 1320.8(d), soliciting comments on the information collection prior to submission to OMB.</w:t>
      </w:r>
      <w:r w:rsidRPr="00322E76" w:rsidR="00E66932">
        <w:rPr>
          <w:sz w:val="24"/>
          <w:szCs w:val="24"/>
        </w:rPr>
        <w:t xml:space="preserve"> </w:t>
      </w:r>
      <w:r w:rsidRPr="00322E76">
        <w:rPr>
          <w:sz w:val="24"/>
          <w:szCs w:val="24"/>
        </w:rPr>
        <w:t>Summarize public comments received in response to that notice and describe actions taken by the agency in response to these comments.</w:t>
      </w:r>
      <w:r w:rsidRPr="00322E76" w:rsidR="00E66932">
        <w:rPr>
          <w:sz w:val="24"/>
          <w:szCs w:val="24"/>
        </w:rPr>
        <w:t xml:space="preserve"> </w:t>
      </w:r>
      <w:r w:rsidRPr="00322E76">
        <w:rPr>
          <w:sz w:val="24"/>
          <w:szCs w:val="24"/>
        </w:rPr>
        <w:t>Specifically address comments received on cost and hour burden.</w:t>
      </w:r>
    </w:p>
    <w:p w:rsidR="00AA1E33" w:rsidRPr="00322E76" w:rsidP="00A87032" w14:paraId="1F5DA93D" w14:textId="77777777">
      <w:pPr>
        <w:widowControl/>
        <w:ind w:left="720"/>
        <w:rPr>
          <w:sz w:val="24"/>
          <w:szCs w:val="24"/>
        </w:rPr>
      </w:pPr>
    </w:p>
    <w:p w:rsidR="00AA1E33" w:rsidRPr="00322E76" w:rsidP="00A87032" w14:paraId="67323BA9" w14:textId="77777777">
      <w:pPr>
        <w:pStyle w:val="BodyText3"/>
        <w:ind w:left="720"/>
        <w:rPr>
          <w:i w:val="0"/>
          <w:iCs w:val="0"/>
          <w:sz w:val="24"/>
          <w:szCs w:val="24"/>
        </w:rPr>
      </w:pPr>
      <w:r w:rsidRPr="00322E76">
        <w:rPr>
          <w:i w:val="0"/>
          <w:iCs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1E33" w:rsidRPr="00322E76" w:rsidP="00A87032" w14:paraId="0D27AC92" w14:textId="77777777">
      <w:pPr>
        <w:widowControl/>
        <w:ind w:left="720"/>
        <w:rPr>
          <w:sz w:val="24"/>
          <w:szCs w:val="24"/>
        </w:rPr>
      </w:pPr>
    </w:p>
    <w:p w:rsidR="00AA1E33" w:rsidRPr="00322E76" w:rsidP="00A87032" w14:paraId="46141F47" w14:textId="77777777">
      <w:pPr>
        <w:pStyle w:val="BodyText3"/>
        <w:ind w:left="720"/>
        <w:rPr>
          <w:i w:val="0"/>
          <w:iCs w:val="0"/>
          <w:sz w:val="24"/>
          <w:szCs w:val="24"/>
        </w:rPr>
      </w:pPr>
      <w:r w:rsidRPr="00322E76">
        <w:rPr>
          <w:i w:val="0"/>
          <w:iCs w:val="0"/>
          <w:sz w:val="24"/>
          <w:szCs w:val="24"/>
        </w:rPr>
        <w:t>Consultation with representatives of those from whom information is to be obtained or those who must compile records should occur at least once every 3 years -- even if the collection of information activity is the same as in prior periods.</w:t>
      </w:r>
      <w:r w:rsidRPr="00322E76" w:rsidR="00E66932">
        <w:rPr>
          <w:i w:val="0"/>
          <w:iCs w:val="0"/>
          <w:sz w:val="24"/>
          <w:szCs w:val="24"/>
        </w:rPr>
        <w:t xml:space="preserve"> </w:t>
      </w:r>
      <w:r w:rsidRPr="00322E76">
        <w:rPr>
          <w:i w:val="0"/>
          <w:iCs w:val="0"/>
          <w:sz w:val="24"/>
          <w:szCs w:val="24"/>
        </w:rPr>
        <w:t>There may be circumstances that may preclude consultation in a specific situation.</w:t>
      </w:r>
      <w:r w:rsidRPr="00322E76" w:rsidR="00E66932">
        <w:rPr>
          <w:i w:val="0"/>
          <w:iCs w:val="0"/>
          <w:sz w:val="24"/>
          <w:szCs w:val="24"/>
        </w:rPr>
        <w:t xml:space="preserve"> </w:t>
      </w:r>
      <w:r w:rsidRPr="00322E76">
        <w:rPr>
          <w:i w:val="0"/>
          <w:iCs w:val="0"/>
          <w:sz w:val="24"/>
          <w:szCs w:val="24"/>
        </w:rPr>
        <w:t>These circumstances should be explained.</w:t>
      </w:r>
    </w:p>
    <w:p w:rsidR="00AA1E33" w:rsidRPr="00A43385" w:rsidP="00A87032" w14:paraId="0D00B027" w14:textId="77777777">
      <w:pPr>
        <w:pStyle w:val="BodyText"/>
        <w:ind w:left="720"/>
        <w:rPr>
          <w:szCs w:val="24"/>
        </w:rPr>
      </w:pPr>
    </w:p>
    <w:p w:rsidR="00A90073" w:rsidRPr="00A43385" w:rsidP="00A87032" w14:paraId="6E7274F9" w14:textId="2DEF534C">
      <w:pPr>
        <w:pStyle w:val="BodyText"/>
        <w:ind w:left="720"/>
        <w:rPr>
          <w:bCs/>
          <w:szCs w:val="24"/>
        </w:rPr>
      </w:pPr>
      <w:r w:rsidRPr="00A43385">
        <w:rPr>
          <w:bCs/>
          <w:szCs w:val="24"/>
        </w:rPr>
        <w:t xml:space="preserve">The Department’s Federal Register Notice, required by 5 CFR 1320.8(d), soliciting comments on the proposed extension of information collection was published in the </w:t>
      </w:r>
      <w:r w:rsidRPr="00000B27">
        <w:rPr>
          <w:bCs/>
          <w:szCs w:val="24"/>
        </w:rPr>
        <w:t xml:space="preserve">Federal Register on </w:t>
      </w:r>
      <w:r w:rsidRPr="00000B27" w:rsidR="0009240E">
        <w:rPr>
          <w:bCs/>
          <w:szCs w:val="24"/>
        </w:rPr>
        <w:t xml:space="preserve">July </w:t>
      </w:r>
      <w:r w:rsidRPr="00000B27" w:rsidR="000A031E">
        <w:rPr>
          <w:bCs/>
          <w:szCs w:val="24"/>
        </w:rPr>
        <w:t>11</w:t>
      </w:r>
      <w:r w:rsidRPr="005C5B6D" w:rsidR="0009240E">
        <w:rPr>
          <w:bCs/>
          <w:szCs w:val="24"/>
        </w:rPr>
        <w:t xml:space="preserve">, </w:t>
      </w:r>
      <w:r w:rsidRPr="00000B27" w:rsidR="000A031E">
        <w:rPr>
          <w:bCs/>
          <w:szCs w:val="24"/>
        </w:rPr>
        <w:t>2025</w:t>
      </w:r>
      <w:r w:rsidRPr="005C5B6D" w:rsidR="00D839EF">
        <w:rPr>
          <w:bCs/>
          <w:szCs w:val="24"/>
        </w:rPr>
        <w:t xml:space="preserve"> (</w:t>
      </w:r>
      <w:r w:rsidRPr="00000B27" w:rsidR="000A031E">
        <w:rPr>
          <w:bCs/>
          <w:szCs w:val="24"/>
        </w:rPr>
        <w:t>90</w:t>
      </w:r>
      <w:r w:rsidRPr="005C5B6D" w:rsidR="00D839EF">
        <w:rPr>
          <w:bCs/>
          <w:szCs w:val="24"/>
        </w:rPr>
        <w:t xml:space="preserve"> FR </w:t>
      </w:r>
      <w:r w:rsidRPr="00000B27" w:rsidR="000A031E">
        <w:rPr>
          <w:bCs/>
          <w:szCs w:val="24"/>
        </w:rPr>
        <w:t>30984</w:t>
      </w:r>
      <w:r w:rsidRPr="00000B27" w:rsidR="00D839EF">
        <w:rPr>
          <w:bCs/>
          <w:szCs w:val="24"/>
        </w:rPr>
        <w:t>)</w:t>
      </w:r>
      <w:r w:rsidRPr="005C5B6D">
        <w:rPr>
          <w:bCs/>
          <w:szCs w:val="24"/>
        </w:rPr>
        <w:t>,</w:t>
      </w:r>
      <w:r w:rsidRPr="00A43385">
        <w:rPr>
          <w:bCs/>
          <w:szCs w:val="24"/>
        </w:rPr>
        <w:t xml:space="preserve"> and provide</w:t>
      </w:r>
      <w:r w:rsidRPr="00A43385" w:rsidR="00716AB4">
        <w:rPr>
          <w:bCs/>
          <w:szCs w:val="24"/>
        </w:rPr>
        <w:t>d</w:t>
      </w:r>
      <w:r w:rsidRPr="00A43385">
        <w:rPr>
          <w:bCs/>
          <w:szCs w:val="24"/>
        </w:rPr>
        <w:t xml:space="preserve"> the public with 60 days to comment.</w:t>
      </w:r>
      <w:r w:rsidR="00E66932">
        <w:rPr>
          <w:bCs/>
          <w:szCs w:val="24"/>
        </w:rPr>
        <w:t xml:space="preserve"> </w:t>
      </w:r>
      <w:r w:rsidRPr="00A43385">
        <w:rPr>
          <w:bCs/>
          <w:szCs w:val="24"/>
        </w:rPr>
        <w:t>No comments were received.</w:t>
      </w:r>
    </w:p>
    <w:p w:rsidR="00A90073" w:rsidRPr="00A43385" w:rsidP="00A87032" w14:paraId="37FE6620" w14:textId="77777777">
      <w:pPr>
        <w:pStyle w:val="BodyText"/>
        <w:ind w:left="720"/>
        <w:rPr>
          <w:bCs/>
          <w:szCs w:val="24"/>
        </w:rPr>
      </w:pPr>
    </w:p>
    <w:p w:rsidR="00AA1E33" w:rsidRPr="00322E76" w:rsidP="00A87032" w14:paraId="35A0A23B" w14:textId="77777777">
      <w:pPr>
        <w:widowControl/>
        <w:numPr>
          <w:ilvl w:val="0"/>
          <w:numId w:val="20"/>
        </w:numPr>
        <w:tabs>
          <w:tab w:val="left" w:pos="-1440"/>
        </w:tabs>
        <w:ind w:hanging="720"/>
        <w:rPr>
          <w:sz w:val="24"/>
          <w:szCs w:val="24"/>
        </w:rPr>
      </w:pPr>
      <w:r w:rsidRPr="00322E76">
        <w:rPr>
          <w:sz w:val="24"/>
          <w:szCs w:val="24"/>
        </w:rPr>
        <w:t>Explain any decision to provide any payment or gift to respondents, other than remuneration of contractors or grantees.</w:t>
      </w:r>
    </w:p>
    <w:p w:rsidR="00AA1E33" w:rsidRPr="00A43385" w:rsidP="00A87032" w14:paraId="6E7C8BA5" w14:textId="77777777">
      <w:pPr>
        <w:widowControl/>
        <w:ind w:left="720"/>
        <w:rPr>
          <w:b w:val="0"/>
          <w:bCs w:val="0"/>
          <w:sz w:val="24"/>
          <w:szCs w:val="24"/>
        </w:rPr>
      </w:pPr>
    </w:p>
    <w:p w:rsidR="00AA1E33" w:rsidRPr="00A43385" w:rsidP="00A87032" w14:paraId="3B062D75" w14:textId="77777777">
      <w:pPr>
        <w:pStyle w:val="BodyText"/>
        <w:ind w:left="720"/>
        <w:rPr>
          <w:szCs w:val="24"/>
        </w:rPr>
      </w:pPr>
      <w:r w:rsidRPr="00197723">
        <w:rPr>
          <w:szCs w:val="24"/>
        </w:rPr>
        <w:t xml:space="preserve">No payments or gifts are provided to respondents. </w:t>
      </w:r>
    </w:p>
    <w:p w:rsidR="00AA1E33" w:rsidRPr="00322E76" w:rsidP="00A87032" w14:paraId="770AA65C" w14:textId="77777777">
      <w:pPr>
        <w:widowControl/>
        <w:ind w:left="720"/>
        <w:rPr>
          <w:sz w:val="24"/>
          <w:szCs w:val="24"/>
        </w:rPr>
      </w:pPr>
    </w:p>
    <w:p w:rsidR="00AA1E33" w:rsidRPr="00322E76" w:rsidP="00254ACD" w14:paraId="6E9D14D9" w14:textId="77777777">
      <w:pPr>
        <w:widowControl/>
        <w:numPr>
          <w:ilvl w:val="0"/>
          <w:numId w:val="20"/>
        </w:numPr>
        <w:tabs>
          <w:tab w:val="left" w:pos="-1440"/>
        </w:tabs>
        <w:ind w:hanging="720"/>
        <w:rPr>
          <w:sz w:val="24"/>
          <w:szCs w:val="24"/>
        </w:rPr>
      </w:pPr>
      <w:r w:rsidRPr="00322E76">
        <w:rPr>
          <w:sz w:val="24"/>
          <w:szCs w:val="24"/>
        </w:rPr>
        <w:t>Describe any assurance of confidentiality provided to respondents and the basis for the assurance in statute, regulation, or agency policy.</w:t>
      </w:r>
    </w:p>
    <w:p w:rsidR="00AA1E33" w:rsidRPr="00A43385" w:rsidP="00254ACD" w14:paraId="1B35CBBC" w14:textId="77777777">
      <w:pPr>
        <w:widowControl/>
        <w:ind w:left="720"/>
        <w:rPr>
          <w:b w:val="0"/>
          <w:bCs w:val="0"/>
          <w:sz w:val="24"/>
          <w:szCs w:val="24"/>
        </w:rPr>
      </w:pPr>
    </w:p>
    <w:p w:rsidR="00AA1E33" w:rsidRPr="00A43385" w:rsidP="00254ACD" w14:paraId="79D5AB5B" w14:textId="77777777">
      <w:pPr>
        <w:widowControl/>
        <w:ind w:left="720"/>
        <w:rPr>
          <w:b w:val="0"/>
          <w:bCs w:val="0"/>
          <w:sz w:val="24"/>
          <w:szCs w:val="24"/>
        </w:rPr>
      </w:pPr>
      <w:r w:rsidRPr="00197723">
        <w:rPr>
          <w:b w:val="0"/>
          <w:bCs w:val="0"/>
          <w:sz w:val="24"/>
          <w:szCs w:val="24"/>
        </w:rPr>
        <w:t>No assurance of confidentiality is provided.</w:t>
      </w:r>
    </w:p>
    <w:p w:rsidR="00AA1E33" w:rsidRPr="00A43385" w:rsidP="00254ACD" w14:paraId="151BCDE1" w14:textId="77777777">
      <w:pPr>
        <w:widowControl/>
        <w:ind w:left="720"/>
        <w:rPr>
          <w:b w:val="0"/>
          <w:bCs w:val="0"/>
          <w:sz w:val="24"/>
          <w:szCs w:val="24"/>
        </w:rPr>
      </w:pPr>
    </w:p>
    <w:p w:rsidR="00AA1E33" w:rsidRPr="00322E76" w:rsidP="00254ACD" w14:paraId="66B5E21D" w14:textId="77777777">
      <w:pPr>
        <w:widowControl/>
        <w:numPr>
          <w:ilvl w:val="0"/>
          <w:numId w:val="20"/>
        </w:numPr>
        <w:tabs>
          <w:tab w:val="left" w:pos="-1440"/>
        </w:tabs>
        <w:ind w:hanging="720"/>
        <w:rPr>
          <w:sz w:val="24"/>
          <w:szCs w:val="24"/>
        </w:rPr>
      </w:pPr>
      <w:r w:rsidRPr="00322E76">
        <w:rPr>
          <w:sz w:val="24"/>
          <w:szCs w:val="24"/>
        </w:rPr>
        <w:t>Provide additional justification for any questions of a sensitive nature, such as sexual behavior and attitudes, religious beliefs, and other matters that are commonly considered private.</w:t>
      </w:r>
      <w:r w:rsidRPr="00322E76" w:rsidR="00E66932">
        <w:rPr>
          <w:sz w:val="24"/>
          <w:szCs w:val="24"/>
        </w:rPr>
        <w:t xml:space="preserve"> </w:t>
      </w:r>
      <w:r w:rsidRPr="00322E76">
        <w:rPr>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Pr="00A43385" w:rsidP="00254ACD" w14:paraId="6AB06745" w14:textId="77777777">
      <w:pPr>
        <w:widowControl/>
        <w:ind w:left="720"/>
        <w:rPr>
          <w:b w:val="0"/>
          <w:bCs w:val="0"/>
          <w:i/>
          <w:iCs/>
          <w:sz w:val="24"/>
          <w:szCs w:val="24"/>
        </w:rPr>
      </w:pPr>
    </w:p>
    <w:p w:rsidR="00AA1E33" w:rsidRPr="00A43385" w:rsidP="00254ACD" w14:paraId="0C76C21F" w14:textId="77777777">
      <w:pPr>
        <w:pStyle w:val="BodyText"/>
        <w:ind w:left="720"/>
        <w:rPr>
          <w:szCs w:val="24"/>
        </w:rPr>
      </w:pPr>
      <w:r w:rsidRPr="00197723">
        <w:rPr>
          <w:szCs w:val="24"/>
        </w:rPr>
        <w:t>This information collection does not ask questions of a sensitive nature.</w:t>
      </w:r>
    </w:p>
    <w:p w:rsidR="00AA1E33" w:rsidRPr="00A43385" w:rsidP="00254ACD" w14:paraId="4301E2FF" w14:textId="77777777">
      <w:pPr>
        <w:pStyle w:val="BodyText"/>
        <w:ind w:left="720"/>
        <w:rPr>
          <w:szCs w:val="24"/>
        </w:rPr>
      </w:pPr>
    </w:p>
    <w:p w:rsidR="00322E76" w:rsidRPr="00322E76" w:rsidP="00322E76" w14:paraId="3A6E3245" w14:textId="1A4D3F22">
      <w:pPr>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hanging="720"/>
        <w:rPr>
          <w:sz w:val="24"/>
          <w:szCs w:val="24"/>
        </w:rPr>
      </w:pPr>
      <w:r w:rsidRPr="00322E76">
        <w:rPr>
          <w:sz w:val="24"/>
          <w:szCs w:val="24"/>
        </w:rPr>
        <w:t>Provide estimates of the hour burden of the collection of information.  The statement should:  </w:t>
      </w:r>
    </w:p>
    <w:p w:rsidR="00322E76" w:rsidP="00322E76" w14:paraId="308B4E8B" w14:textId="7A2A4AA4">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322E76">
        <w:rPr>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 </w:t>
      </w:r>
    </w:p>
    <w:p w:rsidR="00322E76" w:rsidP="00322E76" w14:paraId="6B50FD4A" w14:textId="650C1051">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322E76">
        <w:rPr>
          <w:sz w:val="24"/>
          <w:szCs w:val="24"/>
        </w:rPr>
        <w:t>If this request for approval covers more than one form, provide separate hour burden estimates for each form. </w:t>
      </w:r>
    </w:p>
    <w:p w:rsidR="00AA1E33" w:rsidP="00322E76" w14:paraId="1D11F513" w14:textId="7777777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r w:rsidRPr="00A514B3">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w:t>
      </w:r>
      <w:r w:rsidRPr="00A514B3">
        <w:rPr>
          <w:sz w:val="24"/>
          <w:szCs w:val="24"/>
        </w:rPr>
        <w:t>cost should be included in Item 14. </w:t>
      </w:r>
    </w:p>
    <w:p w:rsidR="00322E76" w:rsidRPr="00322E76" w:rsidP="00322E76" w14:paraId="54F390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4"/>
          <w:szCs w:val="24"/>
        </w:rPr>
      </w:pPr>
    </w:p>
    <w:p w:rsidR="0038091D" w:rsidP="00995B26" w14:paraId="1F020E39" w14:textId="5820CDFA">
      <w:pPr>
        <w:widowControl/>
        <w:ind w:left="720"/>
        <w:rPr>
          <w:b w:val="0"/>
          <w:bCs w:val="0"/>
          <w:sz w:val="24"/>
          <w:szCs w:val="24"/>
        </w:rPr>
      </w:pPr>
      <w:r w:rsidRPr="00A43385">
        <w:rPr>
          <w:b w:val="0"/>
          <w:bCs w:val="0"/>
          <w:sz w:val="24"/>
          <w:szCs w:val="24"/>
        </w:rPr>
        <w:t>Because of the expertise required in the administration of COBRA, group health plans generally make use of an outside service provider to handle such tasks as elections by qualified beneficiaries, payment, notification, and distribution of notices.</w:t>
      </w:r>
      <w:r w:rsidR="00E66932">
        <w:rPr>
          <w:b w:val="0"/>
          <w:bCs w:val="0"/>
          <w:sz w:val="24"/>
          <w:szCs w:val="24"/>
        </w:rPr>
        <w:t xml:space="preserve"> </w:t>
      </w:r>
      <w:r w:rsidRPr="00A43385">
        <w:rPr>
          <w:b w:val="0"/>
          <w:bCs w:val="0"/>
          <w:sz w:val="24"/>
          <w:szCs w:val="24"/>
        </w:rPr>
        <w:t>These service providers contract with a large number of plans and have established procedures and standardized documents, including notices and other forms, for use by plan participants and administrators.</w:t>
      </w:r>
    </w:p>
    <w:p w:rsidR="00E36103" w:rsidP="0038091D" w14:paraId="2CE85E3A" w14:textId="77777777">
      <w:pPr>
        <w:widowControl/>
        <w:ind w:left="720"/>
        <w:rPr>
          <w:b w:val="0"/>
          <w:bCs w:val="0"/>
          <w:sz w:val="24"/>
          <w:szCs w:val="24"/>
        </w:rPr>
      </w:pPr>
    </w:p>
    <w:p w:rsidR="00610498" w:rsidP="00610498" w14:paraId="52E345DF" w14:textId="1592037D">
      <w:pPr>
        <w:widowControl/>
        <w:ind w:left="720"/>
        <w:rPr>
          <w:b w:val="0"/>
          <w:bCs w:val="0"/>
          <w:sz w:val="24"/>
          <w:szCs w:val="24"/>
        </w:rPr>
      </w:pPr>
      <w:r w:rsidRPr="00CD1F2A">
        <w:rPr>
          <w:b w:val="0"/>
          <w:bCs w:val="0"/>
          <w:sz w:val="24"/>
          <w:szCs w:val="24"/>
        </w:rPr>
        <w:t>The Department assumes that service providers would make use of an administrative assistant to complete the plan administrator’s notice and the notice of early termination with the appropriate information</w:t>
      </w:r>
      <w:r w:rsidRPr="00AC1995">
        <w:rPr>
          <w:b w:val="0"/>
          <w:bCs w:val="0"/>
          <w:sz w:val="24"/>
          <w:szCs w:val="24"/>
        </w:rPr>
        <w:t xml:space="preserve"> about a qualified beneficiary’s coverage. </w:t>
      </w:r>
      <w:r w:rsidR="003A3013">
        <w:rPr>
          <w:b w:val="0"/>
          <w:bCs w:val="0"/>
          <w:sz w:val="24"/>
          <w:szCs w:val="24"/>
        </w:rPr>
        <w:t xml:space="preserve">The Department estimates that it will require </w:t>
      </w:r>
      <w:r w:rsidR="00F138ED">
        <w:rPr>
          <w:b w:val="0"/>
          <w:bCs w:val="0"/>
          <w:sz w:val="24"/>
          <w:szCs w:val="24"/>
        </w:rPr>
        <w:t xml:space="preserve">four </w:t>
      </w:r>
      <w:r w:rsidR="003A3013">
        <w:rPr>
          <w:b w:val="0"/>
          <w:bCs w:val="0"/>
          <w:sz w:val="24"/>
          <w:szCs w:val="24"/>
        </w:rPr>
        <w:t>minutes per plan for</w:t>
      </w:r>
      <w:r w:rsidR="008F2A18">
        <w:rPr>
          <w:b w:val="0"/>
          <w:bCs w:val="0"/>
          <w:sz w:val="24"/>
          <w:szCs w:val="24"/>
        </w:rPr>
        <w:t xml:space="preserve"> administrative assistants to complete the</w:t>
      </w:r>
      <w:r w:rsidR="003A3013">
        <w:rPr>
          <w:b w:val="0"/>
          <w:bCs w:val="0"/>
          <w:sz w:val="24"/>
          <w:szCs w:val="24"/>
        </w:rPr>
        <w:t xml:space="preserve"> employer notices and another </w:t>
      </w:r>
      <w:r w:rsidR="00F138ED">
        <w:rPr>
          <w:b w:val="0"/>
          <w:bCs w:val="0"/>
          <w:sz w:val="24"/>
          <w:szCs w:val="24"/>
        </w:rPr>
        <w:t>four</w:t>
      </w:r>
      <w:r w:rsidR="003A3013">
        <w:rPr>
          <w:b w:val="0"/>
          <w:bCs w:val="0"/>
          <w:sz w:val="24"/>
          <w:szCs w:val="24"/>
        </w:rPr>
        <w:t xml:space="preserve"> minutes per plan </w:t>
      </w:r>
      <w:r w:rsidR="008F2A18">
        <w:rPr>
          <w:b w:val="0"/>
          <w:bCs w:val="0"/>
          <w:sz w:val="24"/>
          <w:szCs w:val="24"/>
        </w:rPr>
        <w:t>to complete the</w:t>
      </w:r>
      <w:r w:rsidR="003A3013">
        <w:rPr>
          <w:b w:val="0"/>
          <w:bCs w:val="0"/>
          <w:sz w:val="24"/>
          <w:szCs w:val="24"/>
        </w:rPr>
        <w:t xml:space="preserve"> qualified beneficiary notices</w:t>
      </w:r>
      <w:r w:rsidR="008F2A18">
        <w:rPr>
          <w:b w:val="0"/>
          <w:bCs w:val="0"/>
          <w:sz w:val="24"/>
          <w:szCs w:val="24"/>
        </w:rPr>
        <w:t>.</w:t>
      </w:r>
      <w:r w:rsidR="003A3013">
        <w:rPr>
          <w:b w:val="0"/>
          <w:bCs w:val="0"/>
          <w:sz w:val="24"/>
          <w:szCs w:val="24"/>
        </w:rPr>
        <w:t xml:space="preserve"> </w:t>
      </w:r>
      <w:r>
        <w:rPr>
          <w:b w:val="0"/>
          <w:bCs w:val="0"/>
          <w:sz w:val="24"/>
          <w:szCs w:val="24"/>
        </w:rPr>
        <w:t>The Department estimates</w:t>
      </w:r>
      <w:r w:rsidR="00AD63D0">
        <w:rPr>
          <w:b w:val="0"/>
          <w:bCs w:val="0"/>
          <w:sz w:val="24"/>
          <w:szCs w:val="24"/>
        </w:rPr>
        <w:t xml:space="preserve"> the</w:t>
      </w:r>
      <w:r w:rsidR="003A3013">
        <w:rPr>
          <w:b w:val="0"/>
          <w:bCs w:val="0"/>
          <w:sz w:val="24"/>
          <w:szCs w:val="24"/>
        </w:rPr>
        <w:t xml:space="preserve"> </w:t>
      </w:r>
      <w:r>
        <w:rPr>
          <w:b w:val="0"/>
          <w:bCs w:val="0"/>
          <w:sz w:val="24"/>
          <w:szCs w:val="24"/>
        </w:rPr>
        <w:t xml:space="preserve">hourly wage rate of </w:t>
      </w:r>
      <w:r w:rsidR="00AD63D0">
        <w:rPr>
          <w:b w:val="0"/>
          <w:bCs w:val="0"/>
          <w:sz w:val="24"/>
          <w:szCs w:val="24"/>
        </w:rPr>
        <w:t xml:space="preserve">an administrative assistant to be </w:t>
      </w:r>
      <w:r>
        <w:rPr>
          <w:b w:val="0"/>
          <w:bCs w:val="0"/>
          <w:sz w:val="24"/>
          <w:szCs w:val="24"/>
        </w:rPr>
        <w:t>$</w:t>
      </w:r>
      <w:r w:rsidR="006C26A6">
        <w:rPr>
          <w:b w:val="0"/>
          <w:bCs w:val="0"/>
          <w:sz w:val="24"/>
          <w:szCs w:val="24"/>
        </w:rPr>
        <w:t>70.29</w:t>
      </w:r>
      <w:r w:rsidR="00AD63D0">
        <w:rPr>
          <w:b w:val="0"/>
          <w:bCs w:val="0"/>
          <w:sz w:val="24"/>
          <w:szCs w:val="24"/>
        </w:rPr>
        <w:t>.</w:t>
      </w:r>
      <w:r>
        <w:rPr>
          <w:rStyle w:val="FootnoteReference"/>
          <w:b w:val="0"/>
          <w:bCs w:val="0"/>
          <w:sz w:val="24"/>
          <w:szCs w:val="24"/>
          <w:vertAlign w:val="superscript"/>
        </w:rPr>
        <w:footnoteReference w:id="3"/>
      </w:r>
      <w:r w:rsidR="003A3013">
        <w:rPr>
          <w:b w:val="0"/>
          <w:bCs w:val="0"/>
          <w:sz w:val="24"/>
          <w:szCs w:val="24"/>
        </w:rPr>
        <w:t xml:space="preserve"> </w:t>
      </w:r>
      <w:r w:rsidR="007447E7">
        <w:rPr>
          <w:b w:val="0"/>
          <w:bCs w:val="0"/>
          <w:sz w:val="24"/>
          <w:szCs w:val="24"/>
        </w:rPr>
        <w:t xml:space="preserve">The hour burden </w:t>
      </w:r>
      <w:r w:rsidR="008D2430">
        <w:rPr>
          <w:b w:val="0"/>
          <w:bCs w:val="0"/>
          <w:sz w:val="24"/>
          <w:szCs w:val="24"/>
        </w:rPr>
        <w:t xml:space="preserve">and cost calculations for these notices are provided in Table 1 below. </w:t>
      </w:r>
    </w:p>
    <w:p w:rsidR="00AE75D3" w:rsidP="0038091D" w14:paraId="1151C621" w14:textId="77777777">
      <w:pPr>
        <w:widowControl/>
        <w:ind w:left="720"/>
        <w:rPr>
          <w:b w:val="0"/>
          <w:bCs w:val="0"/>
          <w:sz w:val="24"/>
          <w:szCs w:val="24"/>
        </w:rPr>
      </w:pPr>
    </w:p>
    <w:p w:rsidR="00362A5F" w:rsidP="0038091D" w14:paraId="092A93B1" w14:textId="0507914D">
      <w:pPr>
        <w:widowControl/>
        <w:ind w:left="720"/>
        <w:rPr>
          <w:b w:val="0"/>
          <w:bCs w:val="0"/>
          <w:sz w:val="24"/>
          <w:szCs w:val="24"/>
        </w:rPr>
      </w:pPr>
      <w:r>
        <w:rPr>
          <w:b w:val="0"/>
          <w:bCs w:val="0"/>
          <w:sz w:val="24"/>
          <w:szCs w:val="24"/>
        </w:rPr>
        <w:t>The Department</w:t>
      </w:r>
      <w:r w:rsidR="00AE75D3">
        <w:rPr>
          <w:b w:val="0"/>
          <w:bCs w:val="0"/>
          <w:sz w:val="24"/>
          <w:szCs w:val="24"/>
        </w:rPr>
        <w:t xml:space="preserve"> also</w:t>
      </w:r>
      <w:r>
        <w:rPr>
          <w:b w:val="0"/>
          <w:bCs w:val="0"/>
          <w:sz w:val="24"/>
          <w:szCs w:val="24"/>
        </w:rPr>
        <w:t xml:space="preserve"> estimates that</w:t>
      </w:r>
      <w:r w:rsidR="00AE75D3">
        <w:rPr>
          <w:b w:val="0"/>
          <w:bCs w:val="0"/>
          <w:sz w:val="24"/>
          <w:szCs w:val="24"/>
        </w:rPr>
        <w:t xml:space="preserve"> it will </w:t>
      </w:r>
      <w:r w:rsidR="006337BF">
        <w:rPr>
          <w:b w:val="0"/>
          <w:bCs w:val="0"/>
          <w:sz w:val="24"/>
          <w:szCs w:val="24"/>
        </w:rPr>
        <w:t>take</w:t>
      </w:r>
      <w:r w:rsidR="00AE75D3">
        <w:rPr>
          <w:b w:val="0"/>
          <w:bCs w:val="0"/>
          <w:sz w:val="24"/>
          <w:szCs w:val="24"/>
        </w:rPr>
        <w:t xml:space="preserve"> an administrative</w:t>
      </w:r>
      <w:r>
        <w:rPr>
          <w:b w:val="0"/>
          <w:bCs w:val="0"/>
          <w:sz w:val="24"/>
          <w:szCs w:val="24"/>
        </w:rPr>
        <w:t xml:space="preserve"> assistant one minute </w:t>
      </w:r>
      <w:r w:rsidR="00F842D1">
        <w:rPr>
          <w:b w:val="0"/>
          <w:bCs w:val="0"/>
          <w:sz w:val="24"/>
          <w:szCs w:val="24"/>
        </w:rPr>
        <w:t xml:space="preserve">to complete </w:t>
      </w:r>
      <w:r w:rsidR="00AE75D3">
        <w:rPr>
          <w:b w:val="0"/>
          <w:bCs w:val="0"/>
          <w:sz w:val="24"/>
          <w:szCs w:val="24"/>
        </w:rPr>
        <w:t xml:space="preserve">the </w:t>
      </w:r>
      <w:r w:rsidR="00F842D1">
        <w:rPr>
          <w:b w:val="0"/>
          <w:bCs w:val="0"/>
          <w:sz w:val="24"/>
          <w:szCs w:val="24"/>
        </w:rPr>
        <w:t>termination notice</w:t>
      </w:r>
      <w:r w:rsidR="00AE75D3">
        <w:rPr>
          <w:b w:val="0"/>
          <w:bCs w:val="0"/>
          <w:sz w:val="24"/>
          <w:szCs w:val="24"/>
        </w:rPr>
        <w:t xml:space="preserve">. </w:t>
      </w:r>
    </w:p>
    <w:p w:rsidR="00610498" w:rsidP="0038091D" w14:paraId="13011FD8" w14:textId="33E4DF93">
      <w:pPr>
        <w:widowControl/>
        <w:ind w:left="720"/>
        <w:rPr>
          <w:b w:val="0"/>
          <w:bCs w:val="0"/>
          <w:sz w:val="24"/>
          <w:szCs w:val="24"/>
        </w:rPr>
      </w:pPr>
    </w:p>
    <w:p w:rsidR="00610498" w:rsidP="0038091D" w14:paraId="6E61DA59" w14:textId="70FB4624">
      <w:pPr>
        <w:widowControl/>
        <w:ind w:left="720"/>
        <w:rPr>
          <w:b w:val="0"/>
          <w:bCs w:val="0"/>
          <w:sz w:val="24"/>
          <w:szCs w:val="24"/>
        </w:rPr>
      </w:pPr>
      <w:r>
        <w:rPr>
          <w:b w:val="0"/>
          <w:bCs w:val="0"/>
          <w:sz w:val="24"/>
          <w:szCs w:val="24"/>
        </w:rPr>
        <w:t xml:space="preserve">Finally, the Department </w:t>
      </w:r>
      <w:r w:rsidR="00577886">
        <w:rPr>
          <w:b w:val="0"/>
          <w:bCs w:val="0"/>
          <w:sz w:val="24"/>
          <w:szCs w:val="24"/>
        </w:rPr>
        <w:t>does not include</w:t>
      </w:r>
      <w:r>
        <w:rPr>
          <w:b w:val="0"/>
          <w:bCs w:val="0"/>
          <w:sz w:val="24"/>
          <w:szCs w:val="24"/>
        </w:rPr>
        <w:t xml:space="preserve"> </w:t>
      </w:r>
      <w:r w:rsidR="00711593">
        <w:rPr>
          <w:b w:val="0"/>
          <w:bCs w:val="0"/>
          <w:sz w:val="24"/>
          <w:szCs w:val="24"/>
        </w:rPr>
        <w:t>the</w:t>
      </w:r>
      <w:r>
        <w:rPr>
          <w:b w:val="0"/>
          <w:bCs w:val="0"/>
          <w:sz w:val="24"/>
          <w:szCs w:val="24"/>
        </w:rPr>
        <w:t xml:space="preserve"> burden associated with</w:t>
      </w:r>
      <w:r w:rsidR="005C2200">
        <w:rPr>
          <w:b w:val="0"/>
          <w:bCs w:val="0"/>
          <w:sz w:val="24"/>
          <w:szCs w:val="24"/>
        </w:rPr>
        <w:t xml:space="preserve"> completing the</w:t>
      </w:r>
      <w:r>
        <w:rPr>
          <w:b w:val="0"/>
          <w:bCs w:val="0"/>
          <w:sz w:val="24"/>
          <w:szCs w:val="24"/>
        </w:rPr>
        <w:t xml:space="preserve"> general notices s</w:t>
      </w:r>
      <w:r>
        <w:rPr>
          <w:b w:val="0"/>
          <w:bCs w:val="0"/>
          <w:sz w:val="24"/>
          <w:szCs w:val="24"/>
        </w:rPr>
        <w:t xml:space="preserve">ince </w:t>
      </w:r>
      <w:r w:rsidRPr="00CA432B">
        <w:rPr>
          <w:b w:val="0"/>
          <w:bCs w:val="0"/>
          <w:sz w:val="24"/>
          <w:szCs w:val="24"/>
        </w:rPr>
        <w:t>general notices are included in most Summary Plan Descriptions (SPDs)</w:t>
      </w:r>
      <w:r w:rsidR="00C0696D">
        <w:rPr>
          <w:b w:val="0"/>
          <w:bCs w:val="0"/>
          <w:sz w:val="24"/>
          <w:szCs w:val="24"/>
        </w:rPr>
        <w:t>,</w:t>
      </w:r>
      <w:r w:rsidR="00577886">
        <w:rPr>
          <w:b w:val="0"/>
          <w:bCs w:val="0"/>
          <w:sz w:val="24"/>
          <w:szCs w:val="24"/>
        </w:rPr>
        <w:t xml:space="preserve"> which is associated with control number 1210-0039</w:t>
      </w:r>
      <w:r>
        <w:rPr>
          <w:b w:val="0"/>
          <w:bCs w:val="0"/>
          <w:sz w:val="24"/>
          <w:szCs w:val="24"/>
        </w:rPr>
        <w:t>.</w:t>
      </w:r>
    </w:p>
    <w:p w:rsidR="00362A5F" w:rsidP="0038091D" w14:paraId="4170AD84" w14:textId="77777777">
      <w:pPr>
        <w:widowControl/>
        <w:ind w:left="720"/>
        <w:rPr>
          <w:b w:val="0"/>
          <w:bCs w:val="0"/>
          <w:sz w:val="24"/>
          <w:szCs w:val="24"/>
        </w:rPr>
      </w:pPr>
    </w:p>
    <w:p w:rsidR="0038091D" w:rsidRPr="0018328D" w:rsidP="0038091D" w14:paraId="1ABD6DFB" w14:textId="159F9B33">
      <w:pPr>
        <w:widowControl/>
        <w:ind w:left="720"/>
        <w:rPr>
          <w:b w:val="0"/>
          <w:bCs w:val="0"/>
          <w:sz w:val="24"/>
          <w:szCs w:val="24"/>
        </w:rPr>
      </w:pPr>
      <w:r>
        <w:rPr>
          <w:b w:val="0"/>
          <w:bCs w:val="0"/>
          <w:sz w:val="24"/>
          <w:szCs w:val="24"/>
        </w:rPr>
        <w:t>Please s</w:t>
      </w:r>
      <w:r w:rsidR="00846301">
        <w:rPr>
          <w:b w:val="0"/>
          <w:bCs w:val="0"/>
          <w:sz w:val="24"/>
          <w:szCs w:val="24"/>
        </w:rPr>
        <w:t xml:space="preserve">ee Table 1 below for a calculation of the total hour burden and equivalent cost. </w:t>
      </w:r>
    </w:p>
    <w:p w:rsidR="00F26255" w:rsidP="006923D1" w14:paraId="30CF15EE" w14:textId="77777777">
      <w:pPr>
        <w:rPr>
          <w:sz w:val="24"/>
          <w:szCs w:val="24"/>
        </w:rPr>
      </w:pPr>
      <w:bookmarkStart w:id="0" w:name="_Hlk114649258"/>
    </w:p>
    <w:p w:rsidR="00A17861" w:rsidRPr="00C00B56" w:rsidP="00A17861" w14:paraId="6926A70A" w14:textId="2E12EDDF">
      <w:pPr>
        <w:ind w:left="720"/>
        <w:jc w:val="center"/>
        <w:rPr>
          <w:sz w:val="24"/>
          <w:szCs w:val="24"/>
        </w:rPr>
      </w:pPr>
      <w:r w:rsidRPr="00C00B56">
        <w:rPr>
          <w:sz w:val="24"/>
          <w:szCs w:val="24"/>
        </w:rPr>
        <w:t xml:space="preserve">Table 1. </w:t>
      </w:r>
      <w:r w:rsidRPr="00C00B56" w:rsidR="00296423">
        <w:rPr>
          <w:sz w:val="24"/>
          <w:szCs w:val="24"/>
        </w:rPr>
        <w:t>Estimated Annualized Respondent Hour Burden</w:t>
      </w:r>
      <w:r w:rsidRPr="00C00B56" w:rsidR="0038091D">
        <w:rPr>
          <w:sz w:val="24"/>
          <w:szCs w:val="24"/>
        </w:rPr>
        <w:t xml:space="preserve"> and Equivalent Cost</w:t>
      </w:r>
    </w:p>
    <w:p w:rsidR="00A17861" w:rsidRPr="00C00B56" w:rsidP="00A17861" w14:paraId="0AE31F13" w14:textId="77777777">
      <w:pPr>
        <w:ind w:left="720"/>
        <w:rPr>
          <w:b w:val="0"/>
          <w:sz w:val="24"/>
          <w:szCs w:val="24"/>
        </w:rPr>
      </w:pPr>
    </w:p>
    <w:tbl>
      <w:tblPr>
        <w:tblW w:w="11563" w:type="dxa"/>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3"/>
        <w:gridCol w:w="1620"/>
        <w:gridCol w:w="1653"/>
        <w:gridCol w:w="1564"/>
        <w:gridCol w:w="1220"/>
        <w:gridCol w:w="1085"/>
        <w:gridCol w:w="922"/>
        <w:gridCol w:w="1416"/>
      </w:tblGrid>
      <w:tr w14:paraId="76359CCF" w14:textId="77777777" w:rsidTr="00C140B9">
        <w:tblPrEx>
          <w:tblW w:w="11563" w:type="dxa"/>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583"/>
        </w:trPr>
        <w:tc>
          <w:tcPr>
            <w:tcW w:w="0" w:type="auto"/>
            <w:shd w:val="clear" w:color="auto" w:fill="ACB9CA"/>
            <w:vAlign w:val="center"/>
            <w:hideMark/>
          </w:tcPr>
          <w:p w:rsidR="00A17861" w:rsidRPr="00771F68" w:rsidP="003F7BC7" w14:paraId="462BD9B8" w14:textId="77777777">
            <w:pPr>
              <w:widowControl/>
              <w:autoSpaceDE/>
              <w:autoSpaceDN/>
              <w:adjustRightInd/>
              <w:rPr>
                <w:b w:val="0"/>
                <w:bCs w:val="0"/>
                <w:color w:val="000000"/>
                <w:sz w:val="24"/>
                <w:szCs w:val="24"/>
              </w:rPr>
            </w:pPr>
            <w:r w:rsidRPr="00771F68">
              <w:rPr>
                <w:b w:val="0"/>
                <w:bCs w:val="0"/>
                <w:color w:val="000000"/>
                <w:sz w:val="24"/>
                <w:szCs w:val="24"/>
              </w:rPr>
              <w:t> </w:t>
            </w:r>
          </w:p>
        </w:tc>
        <w:tc>
          <w:tcPr>
            <w:tcW w:w="0" w:type="auto"/>
            <w:shd w:val="clear" w:color="auto" w:fill="ACB9CA"/>
            <w:vAlign w:val="center"/>
            <w:hideMark/>
          </w:tcPr>
          <w:p w:rsidR="00A17861" w:rsidRPr="008D2430" w:rsidP="003F7BC7" w14:paraId="1B4C3C11" w14:textId="6E75A8DB">
            <w:pPr>
              <w:widowControl/>
              <w:autoSpaceDE/>
              <w:autoSpaceDN/>
              <w:adjustRightInd/>
              <w:jc w:val="center"/>
              <w:rPr>
                <w:color w:val="000000"/>
                <w:sz w:val="24"/>
                <w:szCs w:val="24"/>
              </w:rPr>
            </w:pPr>
            <w:r>
              <w:rPr>
                <w:color w:val="000000"/>
                <w:sz w:val="24"/>
                <w:szCs w:val="24"/>
              </w:rPr>
              <w:t>Number</w:t>
            </w:r>
            <w:r w:rsidRPr="008D2430" w:rsidR="00296423">
              <w:rPr>
                <w:color w:val="000000"/>
                <w:sz w:val="24"/>
                <w:szCs w:val="24"/>
              </w:rPr>
              <w:t> of Respondents</w:t>
            </w:r>
          </w:p>
        </w:tc>
        <w:tc>
          <w:tcPr>
            <w:tcW w:w="0" w:type="auto"/>
            <w:shd w:val="clear" w:color="auto" w:fill="ACB9CA"/>
            <w:vAlign w:val="center"/>
            <w:hideMark/>
          </w:tcPr>
          <w:p w:rsidR="00A17861" w:rsidRPr="008D2430" w:rsidP="003F7BC7" w14:paraId="56A911F2" w14:textId="3944A175">
            <w:pPr>
              <w:widowControl/>
              <w:autoSpaceDE/>
              <w:autoSpaceDN/>
              <w:adjustRightInd/>
              <w:jc w:val="center"/>
              <w:rPr>
                <w:color w:val="000000"/>
                <w:sz w:val="24"/>
                <w:szCs w:val="24"/>
              </w:rPr>
            </w:pPr>
            <w:r>
              <w:rPr>
                <w:color w:val="000000"/>
                <w:sz w:val="24"/>
                <w:szCs w:val="24"/>
              </w:rPr>
              <w:t>Number</w:t>
            </w:r>
            <w:r w:rsidRPr="008D2430" w:rsidR="00296423">
              <w:rPr>
                <w:color w:val="000000"/>
                <w:sz w:val="24"/>
                <w:szCs w:val="24"/>
              </w:rPr>
              <w:t xml:space="preserve"> of Responses per Respondent</w:t>
            </w:r>
          </w:p>
        </w:tc>
        <w:tc>
          <w:tcPr>
            <w:tcW w:w="0" w:type="auto"/>
            <w:shd w:val="clear" w:color="auto" w:fill="ACB9CA"/>
            <w:vAlign w:val="center"/>
            <w:hideMark/>
          </w:tcPr>
          <w:p w:rsidR="00A17861" w:rsidRPr="008D2430" w:rsidP="003F7BC7" w14:paraId="2F224C7A" w14:textId="77777777">
            <w:pPr>
              <w:widowControl/>
              <w:autoSpaceDE/>
              <w:autoSpaceDN/>
              <w:adjustRightInd/>
              <w:jc w:val="center"/>
              <w:rPr>
                <w:color w:val="000000"/>
                <w:sz w:val="24"/>
                <w:szCs w:val="24"/>
              </w:rPr>
            </w:pPr>
            <w:r w:rsidRPr="008D2430">
              <w:rPr>
                <w:color w:val="000000"/>
                <w:sz w:val="24"/>
                <w:szCs w:val="24"/>
              </w:rPr>
              <w:t>Total Responses</w:t>
            </w:r>
          </w:p>
        </w:tc>
        <w:tc>
          <w:tcPr>
            <w:tcW w:w="0" w:type="auto"/>
            <w:shd w:val="clear" w:color="auto" w:fill="ACB9CA"/>
            <w:vAlign w:val="center"/>
            <w:hideMark/>
          </w:tcPr>
          <w:p w:rsidR="00A17861" w:rsidRPr="008D2430" w:rsidP="003F7BC7" w14:paraId="51DCBCCF" w14:textId="77777777">
            <w:pPr>
              <w:widowControl/>
              <w:autoSpaceDE/>
              <w:autoSpaceDN/>
              <w:adjustRightInd/>
              <w:rPr>
                <w:color w:val="000000"/>
                <w:sz w:val="24"/>
                <w:szCs w:val="24"/>
              </w:rPr>
            </w:pPr>
            <w:r w:rsidRPr="008D2430">
              <w:rPr>
                <w:color w:val="000000"/>
                <w:sz w:val="24"/>
                <w:szCs w:val="24"/>
              </w:rPr>
              <w:t>Average Burden (Hours) </w:t>
            </w:r>
          </w:p>
        </w:tc>
        <w:tc>
          <w:tcPr>
            <w:tcW w:w="0" w:type="auto"/>
            <w:shd w:val="clear" w:color="auto" w:fill="ACB9CA"/>
            <w:vAlign w:val="center"/>
          </w:tcPr>
          <w:p w:rsidR="00A17861" w:rsidRPr="008D2430" w:rsidP="003F7BC7" w14:paraId="1C443EE6" w14:textId="77777777">
            <w:pPr>
              <w:widowControl/>
              <w:autoSpaceDE/>
              <w:autoSpaceDN/>
              <w:adjustRightInd/>
              <w:jc w:val="center"/>
              <w:rPr>
                <w:color w:val="000000"/>
                <w:sz w:val="24"/>
                <w:szCs w:val="24"/>
              </w:rPr>
            </w:pPr>
            <w:r w:rsidRPr="008D2430">
              <w:rPr>
                <w:color w:val="000000"/>
                <w:sz w:val="24"/>
                <w:szCs w:val="24"/>
              </w:rPr>
              <w:t>Total</w:t>
            </w:r>
          </w:p>
          <w:p w:rsidR="00A17861" w:rsidRPr="008D2430" w:rsidP="003F7BC7" w14:paraId="012DAE0A" w14:textId="77777777">
            <w:pPr>
              <w:widowControl/>
              <w:autoSpaceDE/>
              <w:autoSpaceDN/>
              <w:adjustRightInd/>
              <w:jc w:val="center"/>
              <w:rPr>
                <w:color w:val="000000"/>
                <w:sz w:val="24"/>
                <w:szCs w:val="24"/>
              </w:rPr>
            </w:pPr>
            <w:r w:rsidRPr="008D2430">
              <w:rPr>
                <w:color w:val="000000"/>
                <w:sz w:val="24"/>
                <w:szCs w:val="24"/>
              </w:rPr>
              <w:t>Burden (Hours)</w:t>
            </w:r>
          </w:p>
        </w:tc>
        <w:tc>
          <w:tcPr>
            <w:tcW w:w="0" w:type="auto"/>
            <w:shd w:val="clear" w:color="auto" w:fill="ACB9CA"/>
            <w:vAlign w:val="center"/>
          </w:tcPr>
          <w:p w:rsidR="00A17861" w:rsidRPr="008D2430" w:rsidP="003F7BC7" w14:paraId="507A56C0" w14:textId="77777777">
            <w:pPr>
              <w:widowControl/>
              <w:autoSpaceDE/>
              <w:autoSpaceDN/>
              <w:adjustRightInd/>
              <w:jc w:val="center"/>
              <w:rPr>
                <w:color w:val="000000"/>
                <w:sz w:val="24"/>
                <w:szCs w:val="24"/>
              </w:rPr>
            </w:pPr>
            <w:r w:rsidRPr="008D2430">
              <w:rPr>
                <w:color w:val="000000"/>
                <w:sz w:val="24"/>
                <w:szCs w:val="24"/>
              </w:rPr>
              <w:t>Wage Rates</w:t>
            </w:r>
          </w:p>
        </w:tc>
        <w:tc>
          <w:tcPr>
            <w:tcW w:w="1316" w:type="dxa"/>
            <w:shd w:val="clear" w:color="auto" w:fill="ACB9CA"/>
          </w:tcPr>
          <w:p w:rsidR="00A17861" w:rsidRPr="008D2430" w:rsidP="003F7BC7" w14:paraId="005EE889" w14:textId="77777777">
            <w:pPr>
              <w:widowControl/>
              <w:autoSpaceDE/>
              <w:autoSpaceDN/>
              <w:adjustRightInd/>
              <w:rPr>
                <w:color w:val="000000"/>
                <w:sz w:val="24"/>
                <w:szCs w:val="24"/>
              </w:rPr>
            </w:pPr>
          </w:p>
          <w:p w:rsidR="00A17861" w:rsidRPr="008D2430" w:rsidP="003F7BC7" w14:paraId="540B741C" w14:textId="77777777">
            <w:pPr>
              <w:widowControl/>
              <w:autoSpaceDE/>
              <w:autoSpaceDN/>
              <w:adjustRightInd/>
              <w:jc w:val="center"/>
              <w:rPr>
                <w:color w:val="000000"/>
                <w:sz w:val="24"/>
                <w:szCs w:val="24"/>
              </w:rPr>
            </w:pPr>
          </w:p>
          <w:p w:rsidR="00A17861" w:rsidRPr="008D2430" w:rsidP="003F7BC7" w14:paraId="567233AF" w14:textId="77777777">
            <w:pPr>
              <w:widowControl/>
              <w:autoSpaceDE/>
              <w:autoSpaceDN/>
              <w:adjustRightInd/>
              <w:jc w:val="center"/>
              <w:rPr>
                <w:color w:val="000000"/>
                <w:sz w:val="24"/>
                <w:szCs w:val="24"/>
              </w:rPr>
            </w:pPr>
            <w:r w:rsidRPr="008D2430">
              <w:rPr>
                <w:color w:val="000000"/>
                <w:sz w:val="24"/>
                <w:szCs w:val="24"/>
              </w:rPr>
              <w:t>Equivalent Cost</w:t>
            </w:r>
          </w:p>
        </w:tc>
      </w:tr>
      <w:tr w14:paraId="60299999" w14:textId="77777777" w:rsidTr="00C140B9">
        <w:tblPrEx>
          <w:tblW w:w="11563" w:type="dxa"/>
          <w:tblInd w:w="-1099" w:type="dxa"/>
          <w:tblLook w:val="04A0"/>
        </w:tblPrEx>
        <w:trPr>
          <w:cantSplit/>
          <w:trHeight w:val="431"/>
        </w:trPr>
        <w:tc>
          <w:tcPr>
            <w:tcW w:w="0" w:type="auto"/>
            <w:vAlign w:val="center"/>
          </w:tcPr>
          <w:p w:rsidR="00A17861" w:rsidRPr="00771F68" w:rsidP="00C84D80" w14:paraId="01CDA20C" w14:textId="00A266D9">
            <w:pPr>
              <w:widowControl/>
              <w:autoSpaceDE/>
              <w:autoSpaceDN/>
              <w:adjustRightInd/>
              <w:jc w:val="center"/>
              <w:rPr>
                <w:b w:val="0"/>
                <w:bCs w:val="0"/>
                <w:color w:val="000000"/>
                <w:sz w:val="24"/>
                <w:szCs w:val="24"/>
              </w:rPr>
            </w:pPr>
            <w:r w:rsidRPr="00771F68">
              <w:rPr>
                <w:b w:val="0"/>
                <w:bCs w:val="0"/>
                <w:color w:val="000000"/>
                <w:sz w:val="24"/>
                <w:szCs w:val="24"/>
              </w:rPr>
              <w:t xml:space="preserve">Plan </w:t>
            </w:r>
            <w:r w:rsidRPr="00771F68" w:rsidR="00F26255">
              <w:rPr>
                <w:b w:val="0"/>
                <w:bCs w:val="0"/>
                <w:color w:val="000000"/>
                <w:sz w:val="24"/>
                <w:szCs w:val="24"/>
              </w:rPr>
              <w:t>A</w:t>
            </w:r>
            <w:r w:rsidRPr="00771F68">
              <w:rPr>
                <w:b w:val="0"/>
                <w:bCs w:val="0"/>
                <w:color w:val="000000"/>
                <w:sz w:val="24"/>
                <w:szCs w:val="24"/>
              </w:rPr>
              <w:t xml:space="preserve">dministrator </w:t>
            </w:r>
            <w:r w:rsidRPr="00771F68" w:rsidR="00F26255">
              <w:rPr>
                <w:b w:val="0"/>
                <w:bCs w:val="0"/>
                <w:color w:val="000000"/>
                <w:sz w:val="24"/>
                <w:szCs w:val="24"/>
              </w:rPr>
              <w:t>E</w:t>
            </w:r>
            <w:r w:rsidRPr="00771F68">
              <w:rPr>
                <w:b w:val="0"/>
                <w:bCs w:val="0"/>
                <w:color w:val="000000"/>
                <w:sz w:val="24"/>
                <w:szCs w:val="24"/>
              </w:rPr>
              <w:t xml:space="preserve">lection </w:t>
            </w:r>
            <w:r w:rsidRPr="00771F68" w:rsidR="00F26255">
              <w:rPr>
                <w:b w:val="0"/>
                <w:bCs w:val="0"/>
                <w:color w:val="000000"/>
                <w:sz w:val="24"/>
                <w:szCs w:val="24"/>
              </w:rPr>
              <w:t>N</w:t>
            </w:r>
            <w:r w:rsidRPr="00771F68">
              <w:rPr>
                <w:b w:val="0"/>
                <w:bCs w:val="0"/>
                <w:color w:val="000000"/>
                <w:sz w:val="24"/>
                <w:szCs w:val="24"/>
              </w:rPr>
              <w:t>otice</w:t>
            </w:r>
            <w:r w:rsidRPr="00771F68" w:rsidR="00CE2727">
              <w:rPr>
                <w:b w:val="0"/>
                <w:bCs w:val="0"/>
                <w:color w:val="000000"/>
                <w:sz w:val="24"/>
                <w:szCs w:val="24"/>
              </w:rPr>
              <w:t xml:space="preserve"> (A+B)</w:t>
            </w:r>
            <w:r w:rsidRPr="00771F68" w:rsidR="00F50C6F">
              <w:rPr>
                <w:b w:val="0"/>
                <w:bCs w:val="0"/>
                <w:color w:val="000000"/>
                <w:sz w:val="24"/>
                <w:szCs w:val="24"/>
              </w:rPr>
              <w:t>- Administrative</w:t>
            </w:r>
            <w:r w:rsidRPr="00771F68">
              <w:rPr>
                <w:b w:val="0"/>
                <w:bCs w:val="0"/>
                <w:color w:val="000000"/>
                <w:sz w:val="24"/>
                <w:szCs w:val="24"/>
              </w:rPr>
              <w:t xml:space="preserve"> </w:t>
            </w:r>
            <w:r w:rsidRPr="00771F68" w:rsidR="00322E76">
              <w:rPr>
                <w:b w:val="0"/>
                <w:bCs w:val="0"/>
                <w:color w:val="000000"/>
                <w:sz w:val="24"/>
                <w:szCs w:val="24"/>
              </w:rPr>
              <w:t>A</w:t>
            </w:r>
            <w:r w:rsidRPr="00771F68">
              <w:rPr>
                <w:b w:val="0"/>
                <w:bCs w:val="0"/>
                <w:color w:val="000000"/>
                <w:sz w:val="24"/>
                <w:szCs w:val="24"/>
              </w:rPr>
              <w:t>ssistant</w:t>
            </w:r>
          </w:p>
        </w:tc>
        <w:tc>
          <w:tcPr>
            <w:tcW w:w="0" w:type="auto"/>
            <w:vAlign w:val="center"/>
          </w:tcPr>
          <w:p w:rsidR="00A17861" w:rsidRPr="00846301" w:rsidP="00626C77" w14:paraId="48CE48C0" w14:textId="6EE45F73">
            <w:pPr>
              <w:widowControl/>
              <w:autoSpaceDE/>
              <w:autoSpaceDN/>
              <w:adjustRightInd/>
              <w:jc w:val="center"/>
              <w:rPr>
                <w:b w:val="0"/>
                <w:bCs w:val="0"/>
                <w:color w:val="000000"/>
                <w:sz w:val="24"/>
                <w:szCs w:val="24"/>
              </w:rPr>
            </w:pPr>
            <w:r w:rsidRPr="00846301">
              <w:rPr>
                <w:b w:val="0"/>
                <w:bCs w:val="0"/>
                <w:color w:val="000000"/>
                <w:sz w:val="24"/>
                <w:szCs w:val="24"/>
              </w:rPr>
              <w:t>750,213</w:t>
            </w:r>
          </w:p>
        </w:tc>
        <w:tc>
          <w:tcPr>
            <w:tcW w:w="0" w:type="auto"/>
            <w:vAlign w:val="center"/>
          </w:tcPr>
          <w:p w:rsidR="00A17861" w:rsidRPr="00846301" w:rsidP="00626C77" w14:paraId="2CC9D5E7" w14:textId="02DA0174">
            <w:pPr>
              <w:widowControl/>
              <w:autoSpaceDE/>
              <w:autoSpaceDN/>
              <w:adjustRightInd/>
              <w:jc w:val="center"/>
              <w:rPr>
                <w:b w:val="0"/>
                <w:bCs w:val="0"/>
                <w:color w:val="000000"/>
                <w:sz w:val="24"/>
                <w:szCs w:val="24"/>
              </w:rPr>
            </w:pPr>
            <w:r w:rsidRPr="00846301">
              <w:rPr>
                <w:b w:val="0"/>
                <w:bCs w:val="0"/>
                <w:color w:val="000000"/>
                <w:sz w:val="24"/>
                <w:szCs w:val="24"/>
              </w:rPr>
              <w:t>10.25</w:t>
            </w:r>
          </w:p>
        </w:tc>
        <w:tc>
          <w:tcPr>
            <w:tcW w:w="0" w:type="auto"/>
            <w:vAlign w:val="center"/>
          </w:tcPr>
          <w:p w:rsidR="00A17861" w:rsidRPr="00846301" w:rsidP="00626C77" w14:paraId="561FDBD4" w14:textId="4085DFC9">
            <w:pPr>
              <w:widowControl/>
              <w:autoSpaceDE/>
              <w:autoSpaceDN/>
              <w:adjustRightInd/>
              <w:jc w:val="center"/>
              <w:rPr>
                <w:b w:val="0"/>
                <w:bCs w:val="0"/>
                <w:color w:val="000000"/>
                <w:sz w:val="24"/>
                <w:szCs w:val="24"/>
              </w:rPr>
            </w:pPr>
            <w:r w:rsidRPr="00846301">
              <w:rPr>
                <w:b w:val="0"/>
                <w:bCs w:val="0"/>
                <w:color w:val="000000"/>
                <w:sz w:val="24"/>
                <w:szCs w:val="24"/>
              </w:rPr>
              <w:t>7,690,250</w:t>
            </w:r>
          </w:p>
        </w:tc>
        <w:tc>
          <w:tcPr>
            <w:tcW w:w="0" w:type="auto"/>
            <w:vAlign w:val="center"/>
          </w:tcPr>
          <w:p w:rsidR="00A17861" w:rsidRPr="00846301" w:rsidP="00626C77" w14:paraId="1F4136D9" w14:textId="77777777">
            <w:pPr>
              <w:widowControl/>
              <w:autoSpaceDE/>
              <w:autoSpaceDN/>
              <w:adjustRightInd/>
              <w:jc w:val="center"/>
              <w:rPr>
                <w:b w:val="0"/>
                <w:bCs w:val="0"/>
                <w:color w:val="000000"/>
                <w:sz w:val="24"/>
                <w:szCs w:val="24"/>
              </w:rPr>
            </w:pPr>
            <w:r w:rsidRPr="00846301">
              <w:rPr>
                <w:b w:val="0"/>
                <w:bCs w:val="0"/>
                <w:color w:val="000000"/>
                <w:sz w:val="24"/>
                <w:szCs w:val="24"/>
              </w:rPr>
              <w:t>4/60</w:t>
            </w:r>
          </w:p>
        </w:tc>
        <w:tc>
          <w:tcPr>
            <w:tcW w:w="0" w:type="auto"/>
            <w:vAlign w:val="center"/>
          </w:tcPr>
          <w:p w:rsidR="00A17861" w:rsidRPr="00846301" w:rsidP="00626C77" w14:paraId="23E1ECB7" w14:textId="7868BB35">
            <w:pPr>
              <w:widowControl/>
              <w:autoSpaceDE/>
              <w:autoSpaceDN/>
              <w:adjustRightInd/>
              <w:jc w:val="center"/>
              <w:rPr>
                <w:b w:val="0"/>
                <w:bCs w:val="0"/>
                <w:color w:val="000000"/>
                <w:sz w:val="24"/>
                <w:szCs w:val="24"/>
              </w:rPr>
            </w:pPr>
            <w:r w:rsidRPr="00846301">
              <w:rPr>
                <w:b w:val="0"/>
                <w:bCs w:val="0"/>
                <w:color w:val="000000"/>
                <w:sz w:val="24"/>
                <w:szCs w:val="24"/>
              </w:rPr>
              <w:t>512,683</w:t>
            </w:r>
          </w:p>
        </w:tc>
        <w:tc>
          <w:tcPr>
            <w:tcW w:w="0" w:type="auto"/>
            <w:vAlign w:val="center"/>
          </w:tcPr>
          <w:p w:rsidR="00A17861" w:rsidRPr="00846301" w:rsidP="00626C77" w14:paraId="798CD135" w14:textId="51841D95">
            <w:pPr>
              <w:widowControl/>
              <w:autoSpaceDE/>
              <w:autoSpaceDN/>
              <w:adjustRightInd/>
              <w:rPr>
                <w:b w:val="0"/>
                <w:bCs w:val="0"/>
                <w:color w:val="000000"/>
                <w:sz w:val="24"/>
                <w:szCs w:val="24"/>
              </w:rPr>
            </w:pPr>
            <w:r w:rsidRPr="00846301">
              <w:rPr>
                <w:b w:val="0"/>
                <w:bCs w:val="0"/>
                <w:color w:val="000000"/>
                <w:sz w:val="24"/>
                <w:szCs w:val="24"/>
              </w:rPr>
              <w:t>$</w:t>
            </w:r>
            <w:r w:rsidRPr="00846301" w:rsidR="0057774E">
              <w:rPr>
                <w:b w:val="0"/>
                <w:bCs w:val="0"/>
                <w:color w:val="000000"/>
                <w:sz w:val="24"/>
                <w:szCs w:val="24"/>
              </w:rPr>
              <w:t>70.29</w:t>
            </w:r>
          </w:p>
        </w:tc>
        <w:tc>
          <w:tcPr>
            <w:tcW w:w="1316" w:type="dxa"/>
            <w:vAlign w:val="center"/>
          </w:tcPr>
          <w:p w:rsidR="00A17861" w:rsidRPr="00846301" w:rsidP="00626C77" w14:paraId="2A42CFC6" w14:textId="08B3FCAB">
            <w:pPr>
              <w:widowControl/>
              <w:autoSpaceDE/>
              <w:autoSpaceDN/>
              <w:adjustRightInd/>
              <w:jc w:val="center"/>
              <w:rPr>
                <w:b w:val="0"/>
                <w:bCs w:val="0"/>
                <w:color w:val="000000"/>
                <w:sz w:val="24"/>
                <w:szCs w:val="24"/>
              </w:rPr>
            </w:pPr>
            <w:r w:rsidRPr="00846301">
              <w:rPr>
                <w:b w:val="0"/>
                <w:bCs w:val="0"/>
                <w:color w:val="000000"/>
                <w:sz w:val="24"/>
                <w:szCs w:val="24"/>
              </w:rPr>
              <w:t>$</w:t>
            </w:r>
            <w:r w:rsidRPr="00846301" w:rsidR="0057774E">
              <w:rPr>
                <w:b w:val="0"/>
                <w:bCs w:val="0"/>
                <w:color w:val="000000"/>
                <w:sz w:val="24"/>
                <w:szCs w:val="24"/>
              </w:rPr>
              <w:t>36,036,512</w:t>
            </w:r>
          </w:p>
        </w:tc>
      </w:tr>
      <w:tr w14:paraId="58440146" w14:textId="77777777" w:rsidTr="00C140B9">
        <w:tblPrEx>
          <w:tblW w:w="11563" w:type="dxa"/>
          <w:tblInd w:w="-1099" w:type="dxa"/>
          <w:tblLook w:val="04A0"/>
        </w:tblPrEx>
        <w:trPr>
          <w:cantSplit/>
          <w:trHeight w:val="106"/>
        </w:trPr>
        <w:tc>
          <w:tcPr>
            <w:tcW w:w="0" w:type="auto"/>
            <w:vAlign w:val="center"/>
          </w:tcPr>
          <w:p w:rsidR="006F004E" w:rsidRPr="00771F68" w:rsidP="00F26255" w14:paraId="50409CF5" w14:textId="5C1CE69E">
            <w:pPr>
              <w:widowControl/>
              <w:autoSpaceDE/>
              <w:autoSpaceDN/>
              <w:adjustRightInd/>
              <w:jc w:val="center"/>
              <w:rPr>
                <w:b w:val="0"/>
                <w:bCs w:val="0"/>
                <w:i/>
                <w:iCs/>
                <w:color w:val="000000"/>
                <w:sz w:val="24"/>
                <w:szCs w:val="24"/>
              </w:rPr>
            </w:pPr>
            <w:r w:rsidRPr="00771F68">
              <w:rPr>
                <w:b w:val="0"/>
                <w:bCs w:val="0"/>
                <w:i/>
                <w:iCs/>
                <w:color w:val="000000"/>
                <w:sz w:val="24"/>
                <w:szCs w:val="24"/>
              </w:rPr>
              <w:t>A-Employer Notice</w:t>
            </w:r>
          </w:p>
        </w:tc>
        <w:tc>
          <w:tcPr>
            <w:tcW w:w="0" w:type="auto"/>
            <w:vAlign w:val="center"/>
          </w:tcPr>
          <w:p w:rsidR="006F004E" w:rsidRPr="00846301" w:rsidP="00626C77" w14:paraId="59D235E0" w14:textId="7F1198E3">
            <w:pPr>
              <w:widowControl/>
              <w:autoSpaceDE/>
              <w:autoSpaceDN/>
              <w:adjustRightInd/>
              <w:jc w:val="center"/>
              <w:rPr>
                <w:b w:val="0"/>
                <w:bCs w:val="0"/>
                <w:color w:val="000000"/>
                <w:sz w:val="24"/>
                <w:szCs w:val="24"/>
              </w:rPr>
            </w:pPr>
            <w:r w:rsidRPr="00846301">
              <w:rPr>
                <w:b w:val="0"/>
                <w:bCs w:val="0"/>
                <w:color w:val="000000"/>
                <w:sz w:val="24"/>
                <w:szCs w:val="24"/>
              </w:rPr>
              <w:t>668,145</w:t>
            </w:r>
          </w:p>
        </w:tc>
        <w:tc>
          <w:tcPr>
            <w:tcW w:w="0" w:type="auto"/>
            <w:vAlign w:val="center"/>
          </w:tcPr>
          <w:p w:rsidR="006F004E" w:rsidRPr="00846301" w:rsidP="00626C77" w14:paraId="7069A82A" w14:textId="357F6C05">
            <w:pPr>
              <w:widowControl/>
              <w:autoSpaceDE/>
              <w:autoSpaceDN/>
              <w:adjustRightInd/>
              <w:jc w:val="center"/>
              <w:rPr>
                <w:b w:val="0"/>
                <w:bCs w:val="0"/>
                <w:color w:val="000000"/>
                <w:sz w:val="24"/>
                <w:szCs w:val="24"/>
              </w:rPr>
            </w:pPr>
            <w:r w:rsidRPr="00846301">
              <w:rPr>
                <w:b w:val="0"/>
                <w:bCs w:val="0"/>
                <w:color w:val="000000"/>
                <w:sz w:val="24"/>
                <w:szCs w:val="24"/>
              </w:rPr>
              <w:t>10.25</w:t>
            </w:r>
          </w:p>
        </w:tc>
        <w:tc>
          <w:tcPr>
            <w:tcW w:w="0" w:type="auto"/>
            <w:vAlign w:val="center"/>
          </w:tcPr>
          <w:p w:rsidR="006F004E" w:rsidRPr="00846301" w:rsidP="00626C77" w14:paraId="206552A3" w14:textId="149C6C28">
            <w:pPr>
              <w:widowControl/>
              <w:autoSpaceDE/>
              <w:autoSpaceDN/>
              <w:adjustRightInd/>
              <w:jc w:val="center"/>
              <w:rPr>
                <w:b w:val="0"/>
                <w:bCs w:val="0"/>
                <w:color w:val="000000"/>
                <w:sz w:val="24"/>
                <w:szCs w:val="24"/>
              </w:rPr>
            </w:pPr>
            <w:r w:rsidRPr="00846301">
              <w:rPr>
                <w:b w:val="0"/>
                <w:bCs w:val="0"/>
                <w:color w:val="000000"/>
                <w:sz w:val="24"/>
                <w:szCs w:val="24"/>
              </w:rPr>
              <w:t>6,848,986</w:t>
            </w:r>
          </w:p>
        </w:tc>
        <w:tc>
          <w:tcPr>
            <w:tcW w:w="0" w:type="auto"/>
            <w:vAlign w:val="center"/>
          </w:tcPr>
          <w:p w:rsidR="006F004E" w:rsidRPr="00846301" w:rsidP="00626C77" w14:paraId="6A2008F6" w14:textId="6B42797E">
            <w:pPr>
              <w:widowControl/>
              <w:autoSpaceDE/>
              <w:autoSpaceDN/>
              <w:adjustRightInd/>
              <w:jc w:val="center"/>
              <w:rPr>
                <w:b w:val="0"/>
                <w:bCs w:val="0"/>
                <w:color w:val="000000"/>
                <w:sz w:val="24"/>
                <w:szCs w:val="24"/>
              </w:rPr>
            </w:pPr>
            <w:r w:rsidRPr="00846301">
              <w:rPr>
                <w:b w:val="0"/>
                <w:bCs w:val="0"/>
                <w:color w:val="000000"/>
                <w:sz w:val="24"/>
                <w:szCs w:val="24"/>
              </w:rPr>
              <w:t>4/60</w:t>
            </w:r>
          </w:p>
        </w:tc>
        <w:tc>
          <w:tcPr>
            <w:tcW w:w="0" w:type="auto"/>
            <w:vAlign w:val="center"/>
          </w:tcPr>
          <w:p w:rsidR="006F004E" w:rsidRPr="00846301" w:rsidP="00626C77" w14:paraId="6A04A5B9" w14:textId="21D39FDC">
            <w:pPr>
              <w:widowControl/>
              <w:autoSpaceDE/>
              <w:autoSpaceDN/>
              <w:adjustRightInd/>
              <w:jc w:val="center"/>
              <w:rPr>
                <w:b w:val="0"/>
                <w:bCs w:val="0"/>
                <w:color w:val="000000"/>
                <w:sz w:val="24"/>
                <w:szCs w:val="24"/>
              </w:rPr>
            </w:pPr>
            <w:r w:rsidRPr="00846301">
              <w:rPr>
                <w:b w:val="0"/>
                <w:bCs w:val="0"/>
                <w:color w:val="000000"/>
                <w:sz w:val="24"/>
                <w:szCs w:val="24"/>
              </w:rPr>
              <w:t>456,599</w:t>
            </w:r>
          </w:p>
        </w:tc>
        <w:tc>
          <w:tcPr>
            <w:tcW w:w="0" w:type="auto"/>
            <w:vAlign w:val="center"/>
          </w:tcPr>
          <w:p w:rsidR="006F004E" w:rsidRPr="00846301" w:rsidP="00626C77" w14:paraId="4F569AAC" w14:textId="0191BE83">
            <w:pPr>
              <w:widowControl/>
              <w:autoSpaceDE/>
              <w:autoSpaceDN/>
              <w:adjustRightInd/>
              <w:rPr>
                <w:b w:val="0"/>
                <w:bCs w:val="0"/>
                <w:color w:val="000000"/>
                <w:sz w:val="24"/>
                <w:szCs w:val="24"/>
              </w:rPr>
            </w:pPr>
            <w:r w:rsidRPr="00846301">
              <w:rPr>
                <w:b w:val="0"/>
                <w:bCs w:val="0"/>
                <w:color w:val="000000"/>
                <w:sz w:val="24"/>
                <w:szCs w:val="24"/>
              </w:rPr>
              <w:t>$</w:t>
            </w:r>
            <w:r w:rsidRPr="00846301" w:rsidR="0057774E">
              <w:rPr>
                <w:b w:val="0"/>
                <w:bCs w:val="0"/>
                <w:color w:val="000000"/>
                <w:sz w:val="24"/>
                <w:szCs w:val="24"/>
              </w:rPr>
              <w:t>70.29</w:t>
            </w:r>
          </w:p>
        </w:tc>
        <w:tc>
          <w:tcPr>
            <w:tcW w:w="1316" w:type="dxa"/>
            <w:vAlign w:val="center"/>
          </w:tcPr>
          <w:p w:rsidR="006F004E" w:rsidRPr="00846301" w:rsidP="00626C77" w14:paraId="4878AAFA" w14:textId="560CB3FF">
            <w:pPr>
              <w:widowControl/>
              <w:autoSpaceDE/>
              <w:autoSpaceDN/>
              <w:adjustRightInd/>
              <w:jc w:val="center"/>
              <w:rPr>
                <w:b w:val="0"/>
                <w:bCs w:val="0"/>
                <w:color w:val="000000"/>
                <w:sz w:val="24"/>
                <w:szCs w:val="24"/>
              </w:rPr>
            </w:pPr>
            <w:r w:rsidRPr="00846301">
              <w:rPr>
                <w:b w:val="0"/>
                <w:bCs w:val="0"/>
                <w:color w:val="000000"/>
                <w:sz w:val="24"/>
                <w:szCs w:val="24"/>
              </w:rPr>
              <w:t>$</w:t>
            </w:r>
            <w:r w:rsidRPr="00846301" w:rsidR="008A4B8A">
              <w:rPr>
                <w:b w:val="0"/>
                <w:bCs w:val="0"/>
                <w:color w:val="000000"/>
                <w:sz w:val="24"/>
                <w:szCs w:val="24"/>
              </w:rPr>
              <w:t>32,094,348</w:t>
            </w:r>
          </w:p>
        </w:tc>
      </w:tr>
      <w:tr w14:paraId="1ED2AA48" w14:textId="77777777" w:rsidTr="00C140B9">
        <w:tblPrEx>
          <w:tblW w:w="11563" w:type="dxa"/>
          <w:tblInd w:w="-1099" w:type="dxa"/>
          <w:tblLook w:val="04A0"/>
        </w:tblPrEx>
        <w:trPr>
          <w:cantSplit/>
          <w:trHeight w:val="106"/>
        </w:trPr>
        <w:tc>
          <w:tcPr>
            <w:tcW w:w="0" w:type="auto"/>
            <w:vAlign w:val="center"/>
          </w:tcPr>
          <w:p w:rsidR="00CE2727" w:rsidRPr="00771F68" w:rsidP="00F26255" w14:paraId="049DBB97" w14:textId="2E0F1800">
            <w:pPr>
              <w:widowControl/>
              <w:autoSpaceDE/>
              <w:autoSpaceDN/>
              <w:adjustRightInd/>
              <w:jc w:val="center"/>
              <w:rPr>
                <w:b w:val="0"/>
                <w:bCs w:val="0"/>
                <w:i/>
                <w:iCs/>
                <w:color w:val="000000"/>
                <w:sz w:val="24"/>
                <w:szCs w:val="24"/>
              </w:rPr>
            </w:pPr>
            <w:r w:rsidRPr="00771F68">
              <w:rPr>
                <w:b w:val="0"/>
                <w:bCs w:val="0"/>
                <w:i/>
                <w:iCs/>
                <w:color w:val="000000"/>
                <w:sz w:val="24"/>
                <w:szCs w:val="24"/>
              </w:rPr>
              <w:t>B-Qualified Beneficiary Notice</w:t>
            </w:r>
          </w:p>
        </w:tc>
        <w:tc>
          <w:tcPr>
            <w:tcW w:w="0" w:type="auto"/>
            <w:vAlign w:val="center"/>
          </w:tcPr>
          <w:p w:rsidR="00CE2727" w:rsidRPr="00846301" w:rsidP="00626C77" w14:paraId="3232523E" w14:textId="2229B870">
            <w:pPr>
              <w:widowControl/>
              <w:autoSpaceDE/>
              <w:autoSpaceDN/>
              <w:adjustRightInd/>
              <w:jc w:val="center"/>
              <w:rPr>
                <w:b w:val="0"/>
                <w:bCs w:val="0"/>
                <w:color w:val="000000"/>
                <w:sz w:val="24"/>
                <w:szCs w:val="24"/>
              </w:rPr>
            </w:pPr>
            <w:r w:rsidRPr="00846301">
              <w:rPr>
                <w:b w:val="0"/>
                <w:bCs w:val="0"/>
                <w:color w:val="000000"/>
                <w:sz w:val="24"/>
                <w:szCs w:val="24"/>
              </w:rPr>
              <w:t>82,069</w:t>
            </w:r>
          </w:p>
        </w:tc>
        <w:tc>
          <w:tcPr>
            <w:tcW w:w="0" w:type="auto"/>
            <w:vAlign w:val="center"/>
          </w:tcPr>
          <w:p w:rsidR="00CE2727" w:rsidRPr="00846301" w:rsidP="00626C77" w14:paraId="4F89EBD0" w14:textId="4177858F">
            <w:pPr>
              <w:widowControl/>
              <w:autoSpaceDE/>
              <w:autoSpaceDN/>
              <w:adjustRightInd/>
              <w:jc w:val="center"/>
              <w:rPr>
                <w:b w:val="0"/>
                <w:bCs w:val="0"/>
                <w:color w:val="000000"/>
                <w:sz w:val="24"/>
                <w:szCs w:val="24"/>
              </w:rPr>
            </w:pPr>
            <w:r w:rsidRPr="00846301">
              <w:rPr>
                <w:b w:val="0"/>
                <w:bCs w:val="0"/>
                <w:color w:val="000000"/>
                <w:sz w:val="24"/>
                <w:szCs w:val="24"/>
              </w:rPr>
              <w:t>10.25</w:t>
            </w:r>
          </w:p>
        </w:tc>
        <w:tc>
          <w:tcPr>
            <w:tcW w:w="0" w:type="auto"/>
            <w:vAlign w:val="center"/>
          </w:tcPr>
          <w:p w:rsidR="00CE2727" w:rsidRPr="00846301" w:rsidP="00626C77" w14:paraId="79287BDA" w14:textId="2F4B6CEB">
            <w:pPr>
              <w:widowControl/>
              <w:autoSpaceDE/>
              <w:autoSpaceDN/>
              <w:adjustRightInd/>
              <w:jc w:val="center"/>
              <w:rPr>
                <w:b w:val="0"/>
                <w:bCs w:val="0"/>
                <w:color w:val="000000"/>
                <w:sz w:val="24"/>
                <w:szCs w:val="24"/>
              </w:rPr>
            </w:pPr>
            <w:r w:rsidRPr="00846301">
              <w:rPr>
                <w:b w:val="0"/>
                <w:bCs w:val="0"/>
                <w:color w:val="000000"/>
                <w:sz w:val="24"/>
                <w:szCs w:val="24"/>
              </w:rPr>
              <w:t>841,264</w:t>
            </w:r>
          </w:p>
        </w:tc>
        <w:tc>
          <w:tcPr>
            <w:tcW w:w="0" w:type="auto"/>
            <w:vAlign w:val="center"/>
          </w:tcPr>
          <w:p w:rsidR="00CE2727" w:rsidRPr="00846301" w:rsidP="00626C77" w14:paraId="21244C9D" w14:textId="7FFE6909">
            <w:pPr>
              <w:widowControl/>
              <w:autoSpaceDE/>
              <w:autoSpaceDN/>
              <w:adjustRightInd/>
              <w:jc w:val="center"/>
              <w:rPr>
                <w:b w:val="0"/>
                <w:bCs w:val="0"/>
                <w:color w:val="000000"/>
                <w:sz w:val="24"/>
                <w:szCs w:val="24"/>
              </w:rPr>
            </w:pPr>
            <w:r w:rsidRPr="00846301">
              <w:rPr>
                <w:b w:val="0"/>
                <w:bCs w:val="0"/>
                <w:color w:val="000000"/>
                <w:sz w:val="24"/>
                <w:szCs w:val="24"/>
              </w:rPr>
              <w:t>4/60</w:t>
            </w:r>
          </w:p>
        </w:tc>
        <w:tc>
          <w:tcPr>
            <w:tcW w:w="0" w:type="auto"/>
            <w:vAlign w:val="center"/>
          </w:tcPr>
          <w:p w:rsidR="00CE2727" w:rsidRPr="00846301" w:rsidP="00626C77" w14:paraId="089BE49A" w14:textId="26ECF6CB">
            <w:pPr>
              <w:widowControl/>
              <w:autoSpaceDE/>
              <w:autoSpaceDN/>
              <w:adjustRightInd/>
              <w:jc w:val="center"/>
              <w:rPr>
                <w:b w:val="0"/>
                <w:bCs w:val="0"/>
                <w:color w:val="000000"/>
                <w:sz w:val="24"/>
                <w:szCs w:val="24"/>
              </w:rPr>
            </w:pPr>
            <w:r w:rsidRPr="00846301">
              <w:rPr>
                <w:b w:val="0"/>
                <w:bCs w:val="0"/>
                <w:color w:val="000000"/>
                <w:sz w:val="24"/>
                <w:szCs w:val="24"/>
              </w:rPr>
              <w:t>56,084</w:t>
            </w:r>
          </w:p>
        </w:tc>
        <w:tc>
          <w:tcPr>
            <w:tcW w:w="0" w:type="auto"/>
            <w:vAlign w:val="center"/>
          </w:tcPr>
          <w:p w:rsidR="00CE2727" w:rsidRPr="00846301" w:rsidP="00626C77" w14:paraId="5F9D98F2" w14:textId="46146FFE">
            <w:pPr>
              <w:widowControl/>
              <w:autoSpaceDE/>
              <w:autoSpaceDN/>
              <w:adjustRightInd/>
              <w:rPr>
                <w:b w:val="0"/>
                <w:bCs w:val="0"/>
                <w:color w:val="000000"/>
                <w:sz w:val="24"/>
                <w:szCs w:val="24"/>
              </w:rPr>
            </w:pPr>
            <w:r w:rsidRPr="00846301">
              <w:rPr>
                <w:b w:val="0"/>
                <w:bCs w:val="0"/>
                <w:color w:val="000000"/>
                <w:sz w:val="24"/>
                <w:szCs w:val="24"/>
              </w:rPr>
              <w:t>$</w:t>
            </w:r>
            <w:r w:rsidRPr="00846301" w:rsidR="0057774E">
              <w:rPr>
                <w:b w:val="0"/>
                <w:bCs w:val="0"/>
                <w:color w:val="000000"/>
                <w:sz w:val="24"/>
                <w:szCs w:val="24"/>
              </w:rPr>
              <w:t>70.29</w:t>
            </w:r>
          </w:p>
        </w:tc>
        <w:tc>
          <w:tcPr>
            <w:tcW w:w="1316" w:type="dxa"/>
            <w:vAlign w:val="center"/>
          </w:tcPr>
          <w:p w:rsidR="00CE2727" w:rsidRPr="00846301" w:rsidP="00626C77" w14:paraId="3C01742D" w14:textId="0A962BEB">
            <w:pPr>
              <w:widowControl/>
              <w:autoSpaceDE/>
              <w:autoSpaceDN/>
              <w:adjustRightInd/>
              <w:jc w:val="center"/>
              <w:rPr>
                <w:b w:val="0"/>
                <w:bCs w:val="0"/>
                <w:color w:val="000000"/>
                <w:sz w:val="24"/>
                <w:szCs w:val="24"/>
              </w:rPr>
            </w:pPr>
            <w:r w:rsidRPr="00846301">
              <w:rPr>
                <w:b w:val="0"/>
                <w:bCs w:val="0"/>
                <w:color w:val="000000"/>
                <w:sz w:val="24"/>
                <w:szCs w:val="24"/>
              </w:rPr>
              <w:t>$</w:t>
            </w:r>
            <w:r w:rsidRPr="00846301" w:rsidR="008A4B8A">
              <w:rPr>
                <w:b w:val="0"/>
                <w:bCs w:val="0"/>
                <w:color w:val="000000"/>
                <w:sz w:val="24"/>
                <w:szCs w:val="24"/>
              </w:rPr>
              <w:t>3,942,163</w:t>
            </w:r>
          </w:p>
        </w:tc>
      </w:tr>
      <w:tr w14:paraId="79EFD449" w14:textId="77777777" w:rsidTr="00C140B9">
        <w:tblPrEx>
          <w:tblW w:w="11563" w:type="dxa"/>
          <w:tblInd w:w="-1099" w:type="dxa"/>
          <w:tblLook w:val="04A0"/>
        </w:tblPrEx>
        <w:trPr>
          <w:cantSplit/>
          <w:trHeight w:val="313"/>
        </w:trPr>
        <w:tc>
          <w:tcPr>
            <w:tcW w:w="0" w:type="auto"/>
            <w:vAlign w:val="center"/>
          </w:tcPr>
          <w:p w:rsidR="00A17861" w:rsidRPr="00771F68" w:rsidP="00C84D80" w14:paraId="36F6650A" w14:textId="71503DD7">
            <w:pPr>
              <w:widowControl/>
              <w:autoSpaceDE/>
              <w:autoSpaceDN/>
              <w:adjustRightInd/>
              <w:jc w:val="center"/>
              <w:rPr>
                <w:b w:val="0"/>
                <w:bCs w:val="0"/>
                <w:color w:val="000000"/>
                <w:sz w:val="24"/>
                <w:szCs w:val="24"/>
              </w:rPr>
            </w:pPr>
            <w:r w:rsidRPr="00771F68">
              <w:rPr>
                <w:b w:val="0"/>
                <w:bCs w:val="0"/>
                <w:color w:val="000000"/>
                <w:sz w:val="24"/>
                <w:szCs w:val="24"/>
              </w:rPr>
              <w:t xml:space="preserve">Termination </w:t>
            </w:r>
            <w:r w:rsidRPr="00771F68" w:rsidR="00F26255">
              <w:rPr>
                <w:b w:val="0"/>
                <w:bCs w:val="0"/>
                <w:color w:val="000000"/>
                <w:sz w:val="24"/>
                <w:szCs w:val="24"/>
              </w:rPr>
              <w:t>N</w:t>
            </w:r>
            <w:r w:rsidRPr="00771F68">
              <w:rPr>
                <w:b w:val="0"/>
                <w:bCs w:val="0"/>
                <w:color w:val="000000"/>
                <w:sz w:val="24"/>
                <w:szCs w:val="24"/>
              </w:rPr>
              <w:t xml:space="preserve">otice- </w:t>
            </w:r>
            <w:r w:rsidRPr="00771F68" w:rsidR="00354E7F">
              <w:rPr>
                <w:b w:val="0"/>
                <w:bCs w:val="0"/>
                <w:color w:val="000000"/>
                <w:sz w:val="24"/>
                <w:szCs w:val="24"/>
              </w:rPr>
              <w:t>Administrative</w:t>
            </w:r>
            <w:r w:rsidRPr="00771F68">
              <w:rPr>
                <w:b w:val="0"/>
                <w:bCs w:val="0"/>
                <w:color w:val="000000"/>
                <w:sz w:val="24"/>
                <w:szCs w:val="24"/>
              </w:rPr>
              <w:t xml:space="preserve"> </w:t>
            </w:r>
            <w:r w:rsidRPr="00771F68" w:rsidR="00354E7F">
              <w:rPr>
                <w:b w:val="0"/>
                <w:bCs w:val="0"/>
                <w:color w:val="000000"/>
                <w:sz w:val="24"/>
                <w:szCs w:val="24"/>
              </w:rPr>
              <w:t>A</w:t>
            </w:r>
            <w:r w:rsidRPr="00771F68">
              <w:rPr>
                <w:b w:val="0"/>
                <w:bCs w:val="0"/>
                <w:color w:val="000000"/>
                <w:sz w:val="24"/>
                <w:szCs w:val="24"/>
              </w:rPr>
              <w:t>ssistant</w:t>
            </w:r>
          </w:p>
        </w:tc>
        <w:tc>
          <w:tcPr>
            <w:tcW w:w="0" w:type="auto"/>
            <w:vAlign w:val="center"/>
          </w:tcPr>
          <w:p w:rsidR="00A17861" w:rsidRPr="00846301" w:rsidP="00626C77" w14:paraId="258EFE09" w14:textId="2B9CB0E0">
            <w:pPr>
              <w:widowControl/>
              <w:autoSpaceDE/>
              <w:autoSpaceDN/>
              <w:adjustRightInd/>
              <w:jc w:val="center"/>
              <w:rPr>
                <w:b w:val="0"/>
                <w:bCs w:val="0"/>
                <w:color w:val="000000"/>
                <w:sz w:val="24"/>
                <w:szCs w:val="24"/>
              </w:rPr>
            </w:pPr>
            <w:r w:rsidRPr="00846301">
              <w:rPr>
                <w:b w:val="0"/>
                <w:bCs w:val="0"/>
                <w:color w:val="000000"/>
                <w:sz w:val="24"/>
                <w:szCs w:val="24"/>
              </w:rPr>
              <w:t>750,213</w:t>
            </w:r>
          </w:p>
        </w:tc>
        <w:tc>
          <w:tcPr>
            <w:tcW w:w="0" w:type="auto"/>
            <w:vAlign w:val="center"/>
          </w:tcPr>
          <w:p w:rsidR="00A17861" w:rsidRPr="00846301" w:rsidP="00626C77" w14:paraId="79B46B18" w14:textId="698F6206">
            <w:pPr>
              <w:widowControl/>
              <w:autoSpaceDE/>
              <w:autoSpaceDN/>
              <w:adjustRightInd/>
              <w:jc w:val="center"/>
              <w:rPr>
                <w:b w:val="0"/>
                <w:bCs w:val="0"/>
                <w:color w:val="000000"/>
                <w:sz w:val="24"/>
                <w:szCs w:val="24"/>
              </w:rPr>
            </w:pPr>
            <w:r w:rsidRPr="00846301">
              <w:rPr>
                <w:b w:val="0"/>
                <w:bCs w:val="0"/>
                <w:color w:val="000000"/>
                <w:sz w:val="24"/>
                <w:szCs w:val="24"/>
              </w:rPr>
              <w:t>0.</w:t>
            </w:r>
            <w:r w:rsidRPr="00846301" w:rsidR="008D2430">
              <w:rPr>
                <w:b w:val="0"/>
                <w:bCs w:val="0"/>
                <w:color w:val="000000"/>
                <w:sz w:val="24"/>
                <w:szCs w:val="24"/>
              </w:rPr>
              <w:t>98</w:t>
            </w:r>
          </w:p>
        </w:tc>
        <w:tc>
          <w:tcPr>
            <w:tcW w:w="0" w:type="auto"/>
            <w:vAlign w:val="center"/>
          </w:tcPr>
          <w:p w:rsidR="00A17861" w:rsidRPr="00846301" w:rsidP="00626C77" w14:paraId="197D7108" w14:textId="1517BCEA">
            <w:pPr>
              <w:widowControl/>
              <w:autoSpaceDE/>
              <w:autoSpaceDN/>
              <w:adjustRightInd/>
              <w:jc w:val="center"/>
              <w:rPr>
                <w:b w:val="0"/>
                <w:bCs w:val="0"/>
                <w:color w:val="000000"/>
                <w:sz w:val="24"/>
                <w:szCs w:val="24"/>
              </w:rPr>
            </w:pPr>
            <w:r w:rsidRPr="00846301">
              <w:rPr>
                <w:b w:val="0"/>
                <w:bCs w:val="0"/>
                <w:color w:val="000000"/>
                <w:sz w:val="24"/>
                <w:szCs w:val="24"/>
              </w:rPr>
              <w:t>732,378</w:t>
            </w:r>
          </w:p>
        </w:tc>
        <w:tc>
          <w:tcPr>
            <w:tcW w:w="0" w:type="auto"/>
            <w:vAlign w:val="center"/>
          </w:tcPr>
          <w:p w:rsidR="00A17861" w:rsidRPr="00846301" w:rsidP="00626C77" w14:paraId="7C65F660" w14:textId="77777777">
            <w:pPr>
              <w:widowControl/>
              <w:autoSpaceDE/>
              <w:autoSpaceDN/>
              <w:adjustRightInd/>
              <w:jc w:val="center"/>
              <w:rPr>
                <w:b w:val="0"/>
                <w:bCs w:val="0"/>
                <w:color w:val="000000"/>
                <w:sz w:val="24"/>
                <w:szCs w:val="24"/>
              </w:rPr>
            </w:pPr>
            <w:r w:rsidRPr="00846301">
              <w:rPr>
                <w:b w:val="0"/>
                <w:bCs w:val="0"/>
                <w:color w:val="000000"/>
                <w:sz w:val="24"/>
                <w:szCs w:val="24"/>
              </w:rPr>
              <w:t>1/60</w:t>
            </w:r>
          </w:p>
        </w:tc>
        <w:tc>
          <w:tcPr>
            <w:tcW w:w="0" w:type="auto"/>
            <w:vAlign w:val="center"/>
          </w:tcPr>
          <w:p w:rsidR="00A17861" w:rsidRPr="00846301" w:rsidP="00626C77" w14:paraId="6EA9C319" w14:textId="357B3BF4">
            <w:pPr>
              <w:widowControl/>
              <w:autoSpaceDE/>
              <w:autoSpaceDN/>
              <w:adjustRightInd/>
              <w:jc w:val="center"/>
              <w:rPr>
                <w:b w:val="0"/>
                <w:bCs w:val="0"/>
                <w:color w:val="000000"/>
                <w:sz w:val="24"/>
                <w:szCs w:val="24"/>
              </w:rPr>
            </w:pPr>
            <w:r w:rsidRPr="00846301">
              <w:rPr>
                <w:b w:val="0"/>
                <w:bCs w:val="0"/>
                <w:color w:val="000000"/>
                <w:sz w:val="24"/>
                <w:szCs w:val="24"/>
              </w:rPr>
              <w:t>12,206</w:t>
            </w:r>
          </w:p>
        </w:tc>
        <w:tc>
          <w:tcPr>
            <w:tcW w:w="0" w:type="auto"/>
            <w:vAlign w:val="center"/>
          </w:tcPr>
          <w:p w:rsidR="00A17861" w:rsidRPr="00846301" w:rsidP="00626C77" w14:paraId="2007D472" w14:textId="583C980A">
            <w:pPr>
              <w:widowControl/>
              <w:autoSpaceDE/>
              <w:autoSpaceDN/>
              <w:adjustRightInd/>
              <w:rPr>
                <w:b w:val="0"/>
                <w:bCs w:val="0"/>
                <w:color w:val="000000"/>
                <w:sz w:val="24"/>
                <w:szCs w:val="24"/>
              </w:rPr>
            </w:pPr>
            <w:r w:rsidRPr="00846301">
              <w:rPr>
                <w:b w:val="0"/>
                <w:bCs w:val="0"/>
                <w:color w:val="000000"/>
                <w:sz w:val="24"/>
                <w:szCs w:val="24"/>
              </w:rPr>
              <w:t>$</w:t>
            </w:r>
            <w:r w:rsidRPr="00846301" w:rsidR="0057774E">
              <w:rPr>
                <w:b w:val="0"/>
                <w:bCs w:val="0"/>
                <w:color w:val="000000"/>
                <w:sz w:val="24"/>
                <w:szCs w:val="24"/>
              </w:rPr>
              <w:t>70.29</w:t>
            </w:r>
          </w:p>
        </w:tc>
        <w:tc>
          <w:tcPr>
            <w:tcW w:w="1316" w:type="dxa"/>
            <w:vAlign w:val="center"/>
          </w:tcPr>
          <w:p w:rsidR="00A17861" w:rsidRPr="00846301" w:rsidP="00626C77" w14:paraId="676DCA1E" w14:textId="7C3E8CAC">
            <w:pPr>
              <w:widowControl/>
              <w:autoSpaceDE/>
              <w:autoSpaceDN/>
              <w:adjustRightInd/>
              <w:jc w:val="center"/>
              <w:rPr>
                <w:b w:val="0"/>
                <w:bCs w:val="0"/>
                <w:color w:val="000000"/>
                <w:sz w:val="24"/>
                <w:szCs w:val="24"/>
              </w:rPr>
            </w:pPr>
            <w:r w:rsidRPr="00846301">
              <w:rPr>
                <w:b w:val="0"/>
                <w:bCs w:val="0"/>
                <w:color w:val="000000"/>
                <w:sz w:val="24"/>
                <w:szCs w:val="24"/>
              </w:rPr>
              <w:t>$</w:t>
            </w:r>
            <w:r w:rsidRPr="00846301" w:rsidR="008A4B8A">
              <w:rPr>
                <w:b w:val="0"/>
                <w:bCs w:val="0"/>
                <w:color w:val="000000"/>
                <w:sz w:val="24"/>
                <w:szCs w:val="24"/>
              </w:rPr>
              <w:t>578,579</w:t>
            </w:r>
          </w:p>
        </w:tc>
      </w:tr>
      <w:tr w14:paraId="0F7C6F79" w14:textId="77777777" w:rsidTr="00C140B9">
        <w:tblPrEx>
          <w:tblW w:w="11563" w:type="dxa"/>
          <w:tblInd w:w="-1099" w:type="dxa"/>
          <w:tblLook w:val="04A0"/>
        </w:tblPrEx>
        <w:trPr>
          <w:cantSplit/>
          <w:trHeight w:val="300"/>
        </w:trPr>
        <w:tc>
          <w:tcPr>
            <w:tcW w:w="0" w:type="auto"/>
            <w:vAlign w:val="center"/>
            <w:hideMark/>
          </w:tcPr>
          <w:p w:rsidR="00A17861" w:rsidRPr="00771F68" w:rsidP="00C84D80" w14:paraId="43AE5609" w14:textId="0530CA8D">
            <w:pPr>
              <w:widowControl/>
              <w:autoSpaceDE/>
              <w:autoSpaceDN/>
              <w:adjustRightInd/>
              <w:jc w:val="center"/>
              <w:rPr>
                <w:color w:val="000000"/>
                <w:sz w:val="24"/>
                <w:szCs w:val="24"/>
              </w:rPr>
            </w:pPr>
            <w:r w:rsidRPr="00771F68">
              <w:rPr>
                <w:color w:val="000000"/>
                <w:sz w:val="24"/>
                <w:szCs w:val="24"/>
              </w:rPr>
              <w:t>Total</w:t>
            </w:r>
            <w:r w:rsidRPr="00771F68" w:rsidR="00CA432B">
              <w:rPr>
                <w:color w:val="000000"/>
                <w:sz w:val="24"/>
                <w:szCs w:val="24"/>
              </w:rPr>
              <w:t>***</w:t>
            </w:r>
          </w:p>
        </w:tc>
        <w:tc>
          <w:tcPr>
            <w:tcW w:w="0" w:type="auto"/>
            <w:vAlign w:val="center"/>
          </w:tcPr>
          <w:p w:rsidR="00A17861" w:rsidRPr="00846301" w:rsidP="00C84D80" w14:paraId="12276B7E" w14:textId="24FC0E59">
            <w:pPr>
              <w:widowControl/>
              <w:autoSpaceDE/>
              <w:autoSpaceDN/>
              <w:adjustRightInd/>
              <w:jc w:val="center"/>
              <w:rPr>
                <w:color w:val="000000"/>
                <w:sz w:val="24"/>
                <w:szCs w:val="24"/>
              </w:rPr>
            </w:pPr>
            <w:r w:rsidRPr="00846301">
              <w:rPr>
                <w:color w:val="000000"/>
                <w:sz w:val="24"/>
                <w:szCs w:val="24"/>
              </w:rPr>
              <w:t>750,213</w:t>
            </w:r>
            <w:r w:rsidRPr="00846301" w:rsidR="00ED5487">
              <w:rPr>
                <w:color w:val="000000"/>
                <w:sz w:val="24"/>
                <w:szCs w:val="24"/>
              </w:rPr>
              <w:t>*</w:t>
            </w:r>
          </w:p>
        </w:tc>
        <w:tc>
          <w:tcPr>
            <w:tcW w:w="0" w:type="auto"/>
            <w:vAlign w:val="center"/>
          </w:tcPr>
          <w:p w:rsidR="00A17861" w:rsidRPr="00846301" w:rsidP="00C84D80" w14:paraId="0D537A8C" w14:textId="15DA3ABF">
            <w:pPr>
              <w:widowControl/>
              <w:autoSpaceDE/>
              <w:autoSpaceDN/>
              <w:adjustRightInd/>
              <w:jc w:val="center"/>
              <w:rPr>
                <w:color w:val="000000"/>
                <w:sz w:val="24"/>
                <w:szCs w:val="24"/>
              </w:rPr>
            </w:pPr>
            <w:r w:rsidRPr="00846301">
              <w:rPr>
                <w:color w:val="000000"/>
                <w:sz w:val="24"/>
                <w:szCs w:val="24"/>
              </w:rPr>
              <w:t>32.46</w:t>
            </w:r>
          </w:p>
        </w:tc>
        <w:tc>
          <w:tcPr>
            <w:tcW w:w="0" w:type="auto"/>
            <w:vAlign w:val="center"/>
          </w:tcPr>
          <w:p w:rsidR="00A17861" w:rsidRPr="00846301" w:rsidP="00C84D80" w14:paraId="5691020F" w14:textId="3369E058">
            <w:pPr>
              <w:widowControl/>
              <w:autoSpaceDE/>
              <w:autoSpaceDN/>
              <w:adjustRightInd/>
              <w:jc w:val="center"/>
              <w:rPr>
                <w:color w:val="000000"/>
                <w:sz w:val="24"/>
                <w:szCs w:val="24"/>
              </w:rPr>
            </w:pPr>
            <w:r w:rsidRPr="00846301">
              <w:rPr>
                <w:color w:val="000000"/>
                <w:sz w:val="24"/>
                <w:szCs w:val="24"/>
              </w:rPr>
              <w:t>24,351,126</w:t>
            </w:r>
            <w:r w:rsidRPr="00846301" w:rsidR="00ED5487">
              <w:rPr>
                <w:color w:val="000000"/>
                <w:sz w:val="24"/>
                <w:szCs w:val="24"/>
              </w:rPr>
              <w:t>**</w:t>
            </w:r>
          </w:p>
        </w:tc>
        <w:tc>
          <w:tcPr>
            <w:tcW w:w="0" w:type="auto"/>
            <w:vAlign w:val="center"/>
          </w:tcPr>
          <w:p w:rsidR="00A17861" w:rsidRPr="00846301" w:rsidP="00C84D80" w14:paraId="1408D1F1" w14:textId="77777777">
            <w:pPr>
              <w:widowControl/>
              <w:autoSpaceDE/>
              <w:autoSpaceDN/>
              <w:adjustRightInd/>
              <w:jc w:val="center"/>
              <w:rPr>
                <w:color w:val="000000"/>
                <w:sz w:val="24"/>
                <w:szCs w:val="24"/>
              </w:rPr>
            </w:pPr>
            <w:r w:rsidRPr="00846301">
              <w:rPr>
                <w:color w:val="000000"/>
                <w:sz w:val="24"/>
                <w:szCs w:val="24"/>
              </w:rPr>
              <w:t>-</w:t>
            </w:r>
          </w:p>
        </w:tc>
        <w:tc>
          <w:tcPr>
            <w:tcW w:w="0" w:type="auto"/>
            <w:vAlign w:val="center"/>
          </w:tcPr>
          <w:p w:rsidR="00A17861" w:rsidRPr="00846301" w:rsidP="00C84D80" w14:paraId="316AD1E2" w14:textId="165F00BF">
            <w:pPr>
              <w:widowControl/>
              <w:autoSpaceDE/>
              <w:autoSpaceDN/>
              <w:adjustRightInd/>
              <w:jc w:val="center"/>
              <w:rPr>
                <w:color w:val="000000"/>
                <w:sz w:val="24"/>
                <w:szCs w:val="24"/>
              </w:rPr>
            </w:pPr>
            <w:r w:rsidRPr="00846301">
              <w:rPr>
                <w:color w:val="000000"/>
                <w:sz w:val="24"/>
                <w:szCs w:val="24"/>
              </w:rPr>
              <w:t>524,890</w:t>
            </w:r>
          </w:p>
        </w:tc>
        <w:tc>
          <w:tcPr>
            <w:tcW w:w="0" w:type="auto"/>
          </w:tcPr>
          <w:p w:rsidR="00A17861" w:rsidRPr="00846301" w:rsidP="00C84D80" w14:paraId="6A02A1F1" w14:textId="77777777">
            <w:pPr>
              <w:widowControl/>
              <w:autoSpaceDE/>
              <w:autoSpaceDN/>
              <w:adjustRightInd/>
              <w:jc w:val="center"/>
              <w:rPr>
                <w:color w:val="000000"/>
                <w:sz w:val="24"/>
                <w:szCs w:val="24"/>
              </w:rPr>
            </w:pPr>
            <w:r w:rsidRPr="00846301">
              <w:rPr>
                <w:color w:val="000000"/>
                <w:sz w:val="24"/>
                <w:szCs w:val="24"/>
              </w:rPr>
              <w:t>-</w:t>
            </w:r>
          </w:p>
        </w:tc>
        <w:tc>
          <w:tcPr>
            <w:tcW w:w="1316" w:type="dxa"/>
          </w:tcPr>
          <w:p w:rsidR="00A17861" w:rsidRPr="00846301" w:rsidP="00C84D80" w14:paraId="020B8866" w14:textId="33B8416C">
            <w:pPr>
              <w:widowControl/>
              <w:autoSpaceDE/>
              <w:autoSpaceDN/>
              <w:adjustRightInd/>
              <w:jc w:val="center"/>
              <w:rPr>
                <w:color w:val="000000"/>
                <w:sz w:val="24"/>
                <w:szCs w:val="24"/>
              </w:rPr>
            </w:pPr>
            <w:r w:rsidRPr="00846301">
              <w:rPr>
                <w:color w:val="000000"/>
                <w:sz w:val="24"/>
                <w:szCs w:val="24"/>
              </w:rPr>
              <w:t>$</w:t>
            </w:r>
            <w:r w:rsidRPr="00846301" w:rsidR="008A4B8A">
              <w:rPr>
                <w:color w:val="000000"/>
                <w:sz w:val="24"/>
                <w:szCs w:val="24"/>
              </w:rPr>
              <w:t>36,894,492</w:t>
            </w:r>
          </w:p>
        </w:tc>
      </w:tr>
    </w:tbl>
    <w:p w:rsidR="007E49A7" w:rsidRPr="00C140B9" w:rsidP="00E0708D" w14:paraId="1588976F" w14:textId="2B65AC6C">
      <w:pPr>
        <w:widowControl/>
        <w:rPr>
          <w:b w:val="0"/>
          <w:bCs w:val="0"/>
        </w:rPr>
      </w:pPr>
      <w:bookmarkStart w:id="1" w:name="OLE_LINK1"/>
      <w:bookmarkEnd w:id="0"/>
      <w:r w:rsidRPr="00C140B9">
        <w:rPr>
          <w:b w:val="0"/>
          <w:bCs w:val="0"/>
          <w:i/>
          <w:iCs/>
        </w:rPr>
        <w:t>Note</w:t>
      </w:r>
      <w:r w:rsidRPr="00C140B9">
        <w:rPr>
          <w:b w:val="0"/>
          <w:bCs w:val="0"/>
        </w:rPr>
        <w:t>:</w:t>
      </w:r>
    </w:p>
    <w:p w:rsidR="00E0708D" w:rsidRPr="00C140B9" w:rsidP="00E0708D" w14:paraId="62585EB1" w14:textId="6ED2515F">
      <w:pPr>
        <w:widowControl/>
        <w:rPr>
          <w:b w:val="0"/>
          <w:bCs w:val="0"/>
        </w:rPr>
      </w:pPr>
      <w:r w:rsidRPr="00C140B9">
        <w:rPr>
          <w:b w:val="0"/>
          <w:bCs w:val="0"/>
        </w:rPr>
        <w:t xml:space="preserve">*The Department estimates that COBRA applies to </w:t>
      </w:r>
      <w:r w:rsidRPr="00C140B9" w:rsidR="00A015BC">
        <w:rPr>
          <w:b w:val="0"/>
          <w:bCs w:val="0"/>
        </w:rPr>
        <w:t>750,213</w:t>
      </w:r>
      <w:r w:rsidRPr="00C140B9">
        <w:rPr>
          <w:b w:val="0"/>
          <w:bCs w:val="0"/>
        </w:rPr>
        <w:t xml:space="preserve"> health plans (Source: </w:t>
      </w:r>
      <w:r w:rsidRPr="00C140B9" w:rsidR="00F01637">
        <w:rPr>
          <w:b w:val="0"/>
          <w:bCs w:val="0"/>
        </w:rPr>
        <w:t xml:space="preserve">2024 </w:t>
      </w:r>
      <w:r w:rsidRPr="00C140B9">
        <w:rPr>
          <w:b w:val="0"/>
          <w:bCs w:val="0"/>
        </w:rPr>
        <w:t xml:space="preserve">Medical Expenditure Panel Survey). </w:t>
      </w:r>
    </w:p>
    <w:p w:rsidR="00240B42" w:rsidRPr="00C140B9" w:rsidP="00E0708D" w14:paraId="5F0A2BE5" w14:textId="2C224C91">
      <w:pPr>
        <w:widowControl/>
        <w:rPr>
          <w:b w:val="0"/>
          <w:bCs w:val="0"/>
        </w:rPr>
      </w:pPr>
      <w:r w:rsidRPr="00C140B9">
        <w:rPr>
          <w:b w:val="0"/>
          <w:bCs w:val="0"/>
        </w:rPr>
        <w:t xml:space="preserve">**The total number of notices is calculated as follow: </w:t>
      </w:r>
      <w:r w:rsidRPr="00C140B9" w:rsidR="00A015BC">
        <w:rPr>
          <w:b w:val="0"/>
          <w:bCs w:val="0"/>
        </w:rPr>
        <w:t>15,928,498</w:t>
      </w:r>
      <w:r w:rsidRPr="00C140B9">
        <w:rPr>
          <w:b w:val="0"/>
          <w:bCs w:val="0"/>
        </w:rPr>
        <w:t xml:space="preserve"> (General Notices) + </w:t>
      </w:r>
      <w:r w:rsidRPr="00C140B9" w:rsidR="00A015BC">
        <w:rPr>
          <w:b w:val="0"/>
          <w:bCs w:val="0"/>
        </w:rPr>
        <w:t xml:space="preserve">6,848,986 </w:t>
      </w:r>
      <w:r w:rsidRPr="00C140B9">
        <w:rPr>
          <w:b w:val="0"/>
          <w:bCs w:val="0"/>
        </w:rPr>
        <w:t>(Employer Notices) +</w:t>
      </w:r>
      <w:r w:rsidRPr="00C140B9" w:rsidR="00A015BC">
        <w:rPr>
          <w:b w:val="0"/>
          <w:bCs w:val="0"/>
        </w:rPr>
        <w:t xml:space="preserve"> 841,264</w:t>
      </w:r>
      <w:r w:rsidRPr="00C140B9">
        <w:rPr>
          <w:b w:val="0"/>
          <w:bCs w:val="0"/>
        </w:rPr>
        <w:t xml:space="preserve"> (Qualified Beneficiary Notice) + </w:t>
      </w:r>
      <w:r w:rsidRPr="00C140B9" w:rsidR="00A015BC">
        <w:rPr>
          <w:b w:val="0"/>
          <w:bCs w:val="0"/>
        </w:rPr>
        <w:t xml:space="preserve">732,378 </w:t>
      </w:r>
      <w:r w:rsidRPr="00C140B9">
        <w:rPr>
          <w:b w:val="0"/>
          <w:bCs w:val="0"/>
        </w:rPr>
        <w:t xml:space="preserve">(Termination Notice) = </w:t>
      </w:r>
      <w:r w:rsidRPr="00C140B9" w:rsidR="00A015BC">
        <w:rPr>
          <w:b w:val="0"/>
          <w:bCs w:val="0"/>
        </w:rPr>
        <w:t>24,351,126</w:t>
      </w:r>
      <w:r w:rsidRPr="00C140B9">
        <w:rPr>
          <w:b w:val="0"/>
          <w:bCs w:val="0"/>
        </w:rPr>
        <w:t xml:space="preserve"> Notices</w:t>
      </w:r>
    </w:p>
    <w:p w:rsidR="007E49A7" w:rsidRPr="00C140B9" w:rsidP="00E0708D" w14:paraId="1ABDADEF" w14:textId="73194907">
      <w:pPr>
        <w:widowControl/>
        <w:rPr>
          <w:b w:val="0"/>
          <w:bCs w:val="0"/>
        </w:rPr>
      </w:pPr>
      <w:r w:rsidRPr="00C140B9">
        <w:rPr>
          <w:b w:val="0"/>
          <w:bCs w:val="0"/>
        </w:rPr>
        <w:t xml:space="preserve">***The hour burden associated with general notices </w:t>
      </w:r>
      <w:r w:rsidRPr="00C140B9" w:rsidR="00577886">
        <w:rPr>
          <w:b w:val="0"/>
          <w:bCs w:val="0"/>
        </w:rPr>
        <w:t>is not included here</w:t>
      </w:r>
      <w:r w:rsidRPr="00C140B9">
        <w:rPr>
          <w:b w:val="0"/>
          <w:bCs w:val="0"/>
        </w:rPr>
        <w:t>, as the</w:t>
      </w:r>
      <w:r w:rsidRPr="00C140B9" w:rsidR="00577886">
        <w:rPr>
          <w:b w:val="0"/>
          <w:bCs w:val="0"/>
        </w:rPr>
        <w:t xml:space="preserve"> notices</w:t>
      </w:r>
      <w:r w:rsidRPr="00C140B9">
        <w:rPr>
          <w:b w:val="0"/>
          <w:bCs w:val="0"/>
        </w:rPr>
        <w:t xml:space="preserve"> are generally included in </w:t>
      </w:r>
      <w:r w:rsidRPr="00C140B9" w:rsidR="00E71AF2">
        <w:rPr>
          <w:b w:val="0"/>
          <w:bCs w:val="0"/>
        </w:rPr>
        <w:t>the</w:t>
      </w:r>
      <w:r w:rsidRPr="00C140B9">
        <w:rPr>
          <w:b w:val="0"/>
          <w:bCs w:val="0"/>
        </w:rPr>
        <w:t xml:space="preserve"> SPDs</w:t>
      </w:r>
      <w:r w:rsidRPr="0056020D" w:rsidR="0056020D">
        <w:rPr>
          <w:b w:val="0"/>
          <w:bCs w:val="0"/>
          <w:sz w:val="24"/>
          <w:szCs w:val="24"/>
        </w:rPr>
        <w:t xml:space="preserve"> </w:t>
      </w:r>
      <w:r w:rsidRPr="00C140B9" w:rsidR="0056020D">
        <w:rPr>
          <w:b w:val="0"/>
          <w:bCs w:val="0"/>
        </w:rPr>
        <w:t>with control number 1210-0039</w:t>
      </w:r>
      <w:r w:rsidRPr="00C140B9">
        <w:rPr>
          <w:b w:val="0"/>
          <w:bCs w:val="0"/>
        </w:rPr>
        <w:t>.</w:t>
      </w:r>
    </w:p>
    <w:p w:rsidR="00ED5487" w:rsidP="00E0708D" w14:paraId="6C80EA09" w14:textId="77777777">
      <w:pPr>
        <w:widowControl/>
        <w:rPr>
          <w:sz w:val="24"/>
        </w:rPr>
      </w:pPr>
    </w:p>
    <w:p w:rsidR="00E0708D" w:rsidRPr="00E0708D" w:rsidP="00E0708D" w14:paraId="289F3D81" w14:textId="77777777">
      <w:pPr>
        <w:widowControl/>
        <w:numPr>
          <w:ilvl w:val="0"/>
          <w:numId w:val="20"/>
        </w:numPr>
        <w:ind w:hanging="720"/>
        <w:rPr>
          <w:sz w:val="24"/>
        </w:rPr>
      </w:pPr>
      <w:r w:rsidRPr="00E0708D">
        <w:rPr>
          <w:sz w:val="24"/>
        </w:rPr>
        <w:t xml:space="preserve">Provide an estimate of the total annual cost burden to respondents or recordkeepers </w:t>
      </w:r>
    </w:p>
    <w:p w:rsidR="00E0708D" w:rsidRPr="00E0708D" w:rsidP="00E0708D" w14:paraId="00073670" w14:textId="5BAB512D">
      <w:pPr>
        <w:widowControl/>
        <w:ind w:left="720"/>
        <w:rPr>
          <w:sz w:val="24"/>
        </w:rPr>
      </w:pPr>
      <w:r w:rsidRPr="00E0708D">
        <w:rPr>
          <w:sz w:val="24"/>
        </w:rPr>
        <w:t>resulting from the collection of information.  (Do not include the cost of any hour burden shown in Items 12 and 14).  </w:t>
      </w:r>
    </w:p>
    <w:p w:rsidR="00E0708D" w:rsidRPr="00E0708D" w:rsidP="00E0708D" w14:paraId="2FC01F7C" w14:textId="77777777">
      <w:pPr>
        <w:widowControl/>
        <w:numPr>
          <w:ilvl w:val="0"/>
          <w:numId w:val="23"/>
        </w:numPr>
        <w:tabs>
          <w:tab w:val="clear" w:pos="720"/>
          <w:tab w:val="num" w:pos="1440"/>
        </w:tabs>
        <w:ind w:left="1440"/>
        <w:rPr>
          <w:sz w:val="24"/>
        </w:rPr>
      </w:pPr>
      <w:r w:rsidRPr="00E0708D">
        <w:rPr>
          <w:sz w:val="24"/>
        </w:rPr>
        <w:t>The cost estimate should be split into two components: (a) a total capital </w:t>
      </w:r>
    </w:p>
    <w:p w:rsidR="00E0708D" w:rsidRPr="00E0708D" w:rsidP="00E0708D" w14:paraId="7884A5BF" w14:textId="77777777">
      <w:pPr>
        <w:widowControl/>
        <w:ind w:left="1440"/>
        <w:rPr>
          <w:sz w:val="24"/>
        </w:rPr>
      </w:pPr>
      <w:r w:rsidRPr="00E0708D">
        <w:rPr>
          <w:sz w:val="24"/>
        </w:rPr>
        <w:t>and start up cost component (annualized over its expected useful life); and (b) a total operation and maintenance and purchase of service component.   </w:t>
      </w:r>
    </w:p>
    <w:p w:rsidR="00E0708D" w:rsidRPr="00E0708D" w:rsidP="00E0708D" w14:paraId="13D785BA" w14:textId="77777777">
      <w:pPr>
        <w:widowControl/>
        <w:ind w:left="1440"/>
        <w:rPr>
          <w:sz w:val="24"/>
        </w:rPr>
      </w:pPr>
      <w:r w:rsidRPr="00E0708D">
        <w:rPr>
          <w:sz w:val="24"/>
        </w:rPr>
        <w:t>The estimates should take into account costs associated with generating,  </w:t>
      </w:r>
    </w:p>
    <w:p w:rsidR="00E0708D" w:rsidRPr="00E0708D" w:rsidP="00E0708D" w14:paraId="4E31F56E" w14:textId="77777777">
      <w:pPr>
        <w:widowControl/>
        <w:ind w:left="1440"/>
        <w:rPr>
          <w:sz w:val="24"/>
        </w:rPr>
      </w:pPr>
      <w:r w:rsidRPr="00E0708D">
        <w:rPr>
          <w:sz w:val="24"/>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E0708D" w:rsidP="00E0708D" w14:paraId="6DA15406" w14:textId="77777777">
      <w:pPr>
        <w:widowControl/>
        <w:numPr>
          <w:ilvl w:val="0"/>
          <w:numId w:val="24"/>
        </w:numPr>
        <w:ind w:left="1440"/>
        <w:rPr>
          <w:sz w:val="24"/>
        </w:rPr>
      </w:pPr>
      <w:r w:rsidRPr="00E0708D">
        <w:rPr>
          <w:sz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w:t>
      </w:r>
      <w:r w:rsidRPr="00E0708D">
        <w:rPr>
          <w:sz w:val="24"/>
        </w:rPr>
        <w:t>the 60-day pre-OMB submission public comment process and use existing economic or regulatory impact analysis associated with the rulemaking containing the information collection, as appropriate.  </w:t>
      </w:r>
    </w:p>
    <w:p w:rsidR="00E0708D" w:rsidRPr="00E0708D" w:rsidP="00E0708D" w14:paraId="61216CEE" w14:textId="77777777">
      <w:pPr>
        <w:widowControl/>
        <w:numPr>
          <w:ilvl w:val="0"/>
          <w:numId w:val="24"/>
        </w:numPr>
        <w:ind w:left="1440"/>
        <w:rPr>
          <w:sz w:val="24"/>
        </w:rPr>
      </w:pPr>
      <w:r w:rsidRPr="00E0708D">
        <w:rPr>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AA1E33" w:rsidRPr="00A43385" w:rsidP="00995B26" w14:paraId="5A5CBEF3" w14:textId="77777777">
      <w:pPr>
        <w:widowControl/>
        <w:ind w:left="720"/>
        <w:rPr>
          <w:b w:val="0"/>
          <w:bCs w:val="0"/>
          <w:sz w:val="24"/>
          <w:szCs w:val="24"/>
        </w:rPr>
      </w:pPr>
    </w:p>
    <w:p w:rsidR="00AA1E33" w:rsidRPr="00570D82" w:rsidP="00995B26" w14:paraId="33165DF9" w14:textId="05ABE3FE">
      <w:pPr>
        <w:widowControl/>
        <w:ind w:left="720"/>
        <w:rPr>
          <w:b w:val="0"/>
          <w:bCs w:val="0"/>
          <w:sz w:val="24"/>
          <w:szCs w:val="24"/>
        </w:rPr>
      </w:pPr>
      <w:r w:rsidRPr="0018328D">
        <w:rPr>
          <w:b w:val="0"/>
          <w:bCs w:val="0"/>
          <w:sz w:val="24"/>
          <w:szCs w:val="24"/>
        </w:rPr>
        <w:t xml:space="preserve">The Department estimates that approximately </w:t>
      </w:r>
      <w:r w:rsidR="003B79A1">
        <w:rPr>
          <w:b w:val="0"/>
          <w:bCs w:val="0"/>
          <w:sz w:val="24"/>
          <w:szCs w:val="24"/>
        </w:rPr>
        <w:t>750,213</w:t>
      </w:r>
      <w:r w:rsidR="00ED42AE">
        <w:rPr>
          <w:b w:val="0"/>
          <w:bCs w:val="0"/>
          <w:sz w:val="24"/>
          <w:szCs w:val="24"/>
        </w:rPr>
        <w:t xml:space="preserve"> </w:t>
      </w:r>
      <w:r w:rsidRPr="0018328D">
        <w:rPr>
          <w:b w:val="0"/>
          <w:bCs w:val="0"/>
          <w:sz w:val="24"/>
          <w:szCs w:val="24"/>
        </w:rPr>
        <w:t xml:space="preserve">plans with </w:t>
      </w:r>
      <w:r w:rsidR="00E57312">
        <w:rPr>
          <w:b w:val="0"/>
          <w:bCs w:val="0"/>
          <w:sz w:val="24"/>
          <w:szCs w:val="24"/>
        </w:rPr>
        <w:t>5</w:t>
      </w:r>
      <w:r w:rsidR="003B79A1">
        <w:rPr>
          <w:b w:val="0"/>
          <w:bCs w:val="0"/>
          <w:sz w:val="24"/>
          <w:szCs w:val="24"/>
        </w:rPr>
        <w:t>9,790,888</w:t>
      </w:r>
      <w:r w:rsidR="00ED42AE">
        <w:rPr>
          <w:b w:val="0"/>
          <w:bCs w:val="0"/>
          <w:sz w:val="24"/>
          <w:szCs w:val="24"/>
        </w:rPr>
        <w:t xml:space="preserve"> </w:t>
      </w:r>
      <w:r w:rsidRPr="0018328D">
        <w:rPr>
          <w:b w:val="0"/>
          <w:bCs w:val="0"/>
          <w:sz w:val="24"/>
          <w:szCs w:val="24"/>
        </w:rPr>
        <w:t>participants are subject to notification requirements under COBRA</w:t>
      </w:r>
      <w:r w:rsidRPr="0018328D" w:rsidR="00812DB6">
        <w:rPr>
          <w:b w:val="0"/>
          <w:bCs w:val="0"/>
          <w:sz w:val="24"/>
          <w:szCs w:val="24"/>
        </w:rPr>
        <w:t>.</w:t>
      </w:r>
      <w:r>
        <w:rPr>
          <w:rStyle w:val="FootnoteReference"/>
          <w:b w:val="0"/>
          <w:bCs w:val="0"/>
          <w:sz w:val="24"/>
          <w:szCs w:val="24"/>
          <w:vertAlign w:val="superscript"/>
        </w:rPr>
        <w:footnoteReference w:id="4"/>
      </w:r>
      <w:r w:rsidRPr="00CD1F2A" w:rsidR="00E66932">
        <w:rPr>
          <w:b w:val="0"/>
          <w:bCs w:val="0"/>
          <w:sz w:val="24"/>
          <w:szCs w:val="24"/>
        </w:rPr>
        <w:t xml:space="preserve"> </w:t>
      </w:r>
      <w:r w:rsidRPr="00CD1F2A" w:rsidR="00517ECB">
        <w:rPr>
          <w:b w:val="0"/>
          <w:bCs w:val="0"/>
          <w:sz w:val="24"/>
          <w:szCs w:val="24"/>
        </w:rPr>
        <w:t xml:space="preserve">Completion costs are limited to plan administrator election notices and </w:t>
      </w:r>
      <w:r w:rsidRPr="00AC1995" w:rsidR="0049601B">
        <w:rPr>
          <w:b w:val="0"/>
          <w:bCs w:val="0"/>
          <w:sz w:val="24"/>
          <w:szCs w:val="24"/>
        </w:rPr>
        <w:t xml:space="preserve">early </w:t>
      </w:r>
      <w:r w:rsidRPr="00AC1995" w:rsidR="00517ECB">
        <w:rPr>
          <w:b w:val="0"/>
          <w:bCs w:val="0"/>
          <w:sz w:val="24"/>
          <w:szCs w:val="24"/>
        </w:rPr>
        <w:t xml:space="preserve">termination notices, as </w:t>
      </w:r>
      <w:r w:rsidRPr="00AC1995" w:rsidR="0049601B">
        <w:rPr>
          <w:b w:val="0"/>
          <w:bCs w:val="0"/>
          <w:sz w:val="24"/>
          <w:szCs w:val="24"/>
        </w:rPr>
        <w:t>employer and qualified beneficiary notices require information that would be provided in the normal course of business.</w:t>
      </w:r>
      <w:r w:rsidRPr="00AC1995" w:rsidR="00E66932">
        <w:rPr>
          <w:b w:val="0"/>
          <w:bCs w:val="0"/>
          <w:sz w:val="24"/>
          <w:szCs w:val="24"/>
        </w:rPr>
        <w:t xml:space="preserve"> </w:t>
      </w:r>
      <w:r w:rsidRPr="00AC1995" w:rsidR="0049601B">
        <w:rPr>
          <w:b w:val="0"/>
          <w:bCs w:val="0"/>
          <w:sz w:val="24"/>
          <w:szCs w:val="24"/>
        </w:rPr>
        <w:t>In addition, no cost has been included for the completion of the notice of unavailability of continuation coverage because there is currently no basis for determining the number of these notices that might be sent.</w:t>
      </w:r>
      <w:r w:rsidRPr="00197723" w:rsidR="00E66932">
        <w:rPr>
          <w:b w:val="0"/>
          <w:bCs w:val="0"/>
          <w:sz w:val="24"/>
          <w:szCs w:val="24"/>
        </w:rPr>
        <w:t xml:space="preserve"> </w:t>
      </w:r>
    </w:p>
    <w:p w:rsidR="00AA1E33" w:rsidRPr="00570D82" w:rsidP="00995B26" w14:paraId="7C1FF04C" w14:textId="77777777">
      <w:pPr>
        <w:widowControl/>
        <w:ind w:left="720"/>
        <w:rPr>
          <w:b w:val="0"/>
          <w:bCs w:val="0"/>
          <w:sz w:val="24"/>
          <w:szCs w:val="24"/>
        </w:rPr>
      </w:pPr>
    </w:p>
    <w:p w:rsidR="00812DB6" w:rsidRPr="0018328D" w:rsidP="00995B26" w14:paraId="70528174" w14:textId="5691B039">
      <w:pPr>
        <w:widowControl/>
        <w:ind w:left="720"/>
        <w:rPr>
          <w:b w:val="0"/>
          <w:bCs w:val="0"/>
          <w:sz w:val="24"/>
          <w:szCs w:val="24"/>
        </w:rPr>
      </w:pPr>
      <w:r w:rsidRPr="00570D82">
        <w:rPr>
          <w:b w:val="0"/>
          <w:bCs w:val="0"/>
          <w:sz w:val="24"/>
          <w:szCs w:val="24"/>
        </w:rPr>
        <w:t xml:space="preserve">Because general notices are included in most Summary Plan Descriptions, only those dependents living outside the home of new workers offered </w:t>
      </w:r>
      <w:r w:rsidRPr="00570D82" w:rsidR="00623436">
        <w:rPr>
          <w:b w:val="0"/>
          <w:bCs w:val="0"/>
          <w:sz w:val="24"/>
          <w:szCs w:val="24"/>
        </w:rPr>
        <w:t xml:space="preserve">group </w:t>
      </w:r>
      <w:r w:rsidRPr="00570D82" w:rsidR="003E2784">
        <w:rPr>
          <w:b w:val="0"/>
          <w:bCs w:val="0"/>
          <w:sz w:val="24"/>
          <w:szCs w:val="24"/>
        </w:rPr>
        <w:t xml:space="preserve">health coverage </w:t>
      </w:r>
      <w:r w:rsidRPr="00570D82">
        <w:rPr>
          <w:b w:val="0"/>
          <w:bCs w:val="0"/>
          <w:sz w:val="24"/>
          <w:szCs w:val="24"/>
        </w:rPr>
        <w:t xml:space="preserve">require a separate notice </w:t>
      </w:r>
      <w:r w:rsidRPr="00570D82" w:rsidR="000D3063">
        <w:rPr>
          <w:b w:val="0"/>
          <w:bCs w:val="0"/>
          <w:sz w:val="24"/>
          <w:szCs w:val="24"/>
        </w:rPr>
        <w:t xml:space="preserve">to </w:t>
      </w:r>
      <w:r w:rsidRPr="00570D82">
        <w:rPr>
          <w:b w:val="0"/>
          <w:bCs w:val="0"/>
          <w:sz w:val="24"/>
          <w:szCs w:val="24"/>
        </w:rPr>
        <w:t>be sent.</w:t>
      </w:r>
      <w:r>
        <w:rPr>
          <w:rStyle w:val="FootnoteReference"/>
          <w:b w:val="0"/>
          <w:bCs w:val="0"/>
          <w:sz w:val="24"/>
          <w:szCs w:val="24"/>
          <w:vertAlign w:val="superscript"/>
        </w:rPr>
        <w:footnoteReference w:id="5"/>
      </w:r>
      <w:r w:rsidRPr="0018328D" w:rsidR="00E66932">
        <w:rPr>
          <w:b w:val="0"/>
          <w:bCs w:val="0"/>
          <w:sz w:val="24"/>
          <w:szCs w:val="24"/>
        </w:rPr>
        <w:t xml:space="preserve"> </w:t>
      </w:r>
      <w:r w:rsidRPr="0018328D">
        <w:rPr>
          <w:b w:val="0"/>
          <w:bCs w:val="0"/>
          <w:sz w:val="24"/>
          <w:szCs w:val="24"/>
        </w:rPr>
        <w:t>Employer notices include employees holding insurance that leave their job,</w:t>
      </w:r>
      <w:r>
        <w:rPr>
          <w:rStyle w:val="FootnoteReference"/>
          <w:b w:val="0"/>
          <w:bCs w:val="0"/>
          <w:sz w:val="24"/>
          <w:szCs w:val="24"/>
          <w:vertAlign w:val="superscript"/>
        </w:rPr>
        <w:footnoteReference w:id="6"/>
      </w:r>
      <w:r w:rsidRPr="0018328D">
        <w:rPr>
          <w:b w:val="0"/>
          <w:bCs w:val="0"/>
          <w:sz w:val="24"/>
          <w:szCs w:val="24"/>
        </w:rPr>
        <w:t xml:space="preserve"> die,</w:t>
      </w:r>
      <w:r>
        <w:rPr>
          <w:rStyle w:val="FootnoteReference"/>
          <w:b w:val="0"/>
          <w:bCs w:val="0"/>
          <w:sz w:val="24"/>
          <w:szCs w:val="24"/>
          <w:vertAlign w:val="superscript"/>
        </w:rPr>
        <w:footnoteReference w:id="7"/>
      </w:r>
      <w:r w:rsidRPr="0018328D">
        <w:rPr>
          <w:b w:val="0"/>
          <w:bCs w:val="0"/>
          <w:sz w:val="24"/>
          <w:szCs w:val="24"/>
        </w:rPr>
        <w:t xml:space="preserve"> or become eligible for Medicare.</w:t>
      </w:r>
      <w:r>
        <w:rPr>
          <w:rStyle w:val="FootnoteReference"/>
          <w:b w:val="0"/>
          <w:bCs w:val="0"/>
          <w:sz w:val="24"/>
          <w:szCs w:val="24"/>
          <w:vertAlign w:val="superscript"/>
        </w:rPr>
        <w:footnoteReference w:id="8"/>
      </w:r>
      <w:r w:rsidRPr="0018328D" w:rsidR="00E66932">
        <w:rPr>
          <w:b w:val="0"/>
          <w:bCs w:val="0"/>
          <w:sz w:val="24"/>
          <w:szCs w:val="24"/>
        </w:rPr>
        <w:t xml:space="preserve"> </w:t>
      </w:r>
      <w:r w:rsidRPr="0018328D" w:rsidR="00D45EF9">
        <w:rPr>
          <w:b w:val="0"/>
          <w:bCs w:val="0"/>
          <w:sz w:val="24"/>
          <w:szCs w:val="24"/>
        </w:rPr>
        <w:t>Qualified beneficiary notices include notices for divorce or separation,</w:t>
      </w:r>
      <w:r>
        <w:rPr>
          <w:rStyle w:val="FootnoteReference"/>
          <w:b w:val="0"/>
          <w:bCs w:val="0"/>
          <w:sz w:val="24"/>
          <w:szCs w:val="24"/>
          <w:vertAlign w:val="superscript"/>
        </w:rPr>
        <w:footnoteReference w:id="9"/>
      </w:r>
      <w:r w:rsidRPr="0018328D" w:rsidR="00D45EF9">
        <w:rPr>
          <w:b w:val="0"/>
          <w:bCs w:val="0"/>
          <w:sz w:val="24"/>
          <w:szCs w:val="24"/>
        </w:rPr>
        <w:t xml:space="preserve"> a dependent aging out of the plan,</w:t>
      </w:r>
      <w:r>
        <w:rPr>
          <w:rStyle w:val="FootnoteReference"/>
          <w:b w:val="0"/>
          <w:bCs w:val="0"/>
          <w:sz w:val="24"/>
          <w:szCs w:val="24"/>
          <w:vertAlign w:val="superscript"/>
        </w:rPr>
        <w:footnoteReference w:id="10"/>
      </w:r>
      <w:r w:rsidRPr="0018328D" w:rsidR="00D45EF9">
        <w:rPr>
          <w:b w:val="0"/>
          <w:bCs w:val="0"/>
          <w:sz w:val="24"/>
          <w:szCs w:val="24"/>
        </w:rPr>
        <w:t xml:space="preserve"> and those </w:t>
      </w:r>
      <w:r w:rsidRPr="0018328D" w:rsidR="00D45EF9">
        <w:rPr>
          <w:b w:val="0"/>
          <w:bCs w:val="0"/>
          <w:sz w:val="24"/>
          <w:szCs w:val="24"/>
        </w:rPr>
        <w:t>on COBRA experiencing a second qualifying event.</w:t>
      </w:r>
      <w:r>
        <w:rPr>
          <w:rStyle w:val="FootnoteReference"/>
          <w:b w:val="0"/>
          <w:bCs w:val="0"/>
          <w:sz w:val="24"/>
          <w:szCs w:val="24"/>
          <w:vertAlign w:val="superscript"/>
        </w:rPr>
        <w:footnoteReference w:id="11"/>
      </w:r>
      <w:r w:rsidRPr="0018328D" w:rsidR="00E66932">
        <w:rPr>
          <w:b w:val="0"/>
          <w:bCs w:val="0"/>
          <w:sz w:val="24"/>
          <w:szCs w:val="24"/>
        </w:rPr>
        <w:t xml:space="preserve"> </w:t>
      </w:r>
      <w:r w:rsidRPr="0018328D" w:rsidR="000F0248">
        <w:rPr>
          <w:b w:val="0"/>
          <w:bCs w:val="0"/>
          <w:sz w:val="24"/>
          <w:szCs w:val="24"/>
        </w:rPr>
        <w:t>Plan administration notices are the sums of employer and qualified beneficiary notices.</w:t>
      </w:r>
      <w:r w:rsidRPr="0018328D" w:rsidR="00E66932">
        <w:rPr>
          <w:b w:val="0"/>
          <w:bCs w:val="0"/>
          <w:sz w:val="24"/>
          <w:szCs w:val="24"/>
        </w:rPr>
        <w:t xml:space="preserve"> </w:t>
      </w:r>
      <w:r w:rsidRPr="0018328D" w:rsidR="000F0248">
        <w:rPr>
          <w:b w:val="0"/>
          <w:bCs w:val="0"/>
          <w:sz w:val="24"/>
          <w:szCs w:val="24"/>
        </w:rPr>
        <w:t>Finally, termination notices are based on the number of COBRA enrollees th</w:t>
      </w:r>
      <w:r w:rsidRPr="00CD1F2A" w:rsidR="000F0248">
        <w:rPr>
          <w:b w:val="0"/>
          <w:bCs w:val="0"/>
          <w:sz w:val="24"/>
          <w:szCs w:val="24"/>
        </w:rPr>
        <w:t>at leave COBRA before they exhaust their benefit.</w:t>
      </w:r>
      <w:r>
        <w:rPr>
          <w:rStyle w:val="FootnoteReference"/>
          <w:b w:val="0"/>
          <w:bCs w:val="0"/>
          <w:sz w:val="24"/>
          <w:szCs w:val="24"/>
          <w:vertAlign w:val="superscript"/>
        </w:rPr>
        <w:footnoteReference w:id="12"/>
      </w:r>
    </w:p>
    <w:p w:rsidR="00AA1E33" w:rsidRPr="0018328D" w:rsidP="00B97EFE" w14:paraId="4C9D93CA" w14:textId="77777777">
      <w:pPr>
        <w:widowControl/>
        <w:rPr>
          <w:b w:val="0"/>
          <w:bCs w:val="0"/>
          <w:sz w:val="24"/>
          <w:szCs w:val="24"/>
        </w:rPr>
      </w:pPr>
    </w:p>
    <w:p w:rsidR="00AA1E33" w:rsidP="00995B26" w14:paraId="543B90A3" w14:textId="130B5E11">
      <w:pPr>
        <w:widowControl/>
        <w:ind w:left="720"/>
        <w:rPr>
          <w:b w:val="0"/>
          <w:bCs w:val="0"/>
          <w:sz w:val="24"/>
          <w:szCs w:val="24"/>
        </w:rPr>
      </w:pPr>
      <w:r w:rsidRPr="00CD1F2A">
        <w:rPr>
          <w:b w:val="0"/>
          <w:bCs w:val="0"/>
          <w:sz w:val="24"/>
          <w:szCs w:val="24"/>
        </w:rPr>
        <w:t>As explained in Question 3, plan administrators are not precluded from using electronic disclosure methods.</w:t>
      </w:r>
      <w:r w:rsidRPr="00CD1F2A" w:rsidR="00E66932">
        <w:rPr>
          <w:b w:val="0"/>
          <w:bCs w:val="0"/>
          <w:sz w:val="24"/>
          <w:szCs w:val="24"/>
        </w:rPr>
        <w:t xml:space="preserve"> </w:t>
      </w:r>
      <w:r w:rsidRPr="00CD1F2A">
        <w:rPr>
          <w:b w:val="0"/>
          <w:bCs w:val="0"/>
          <w:sz w:val="24"/>
          <w:szCs w:val="24"/>
        </w:rPr>
        <w:t>No assumption has been made as to the number of these notices that will be distributed electronically.</w:t>
      </w:r>
      <w:r w:rsidRPr="00AC1995" w:rsidR="00E66932">
        <w:rPr>
          <w:b w:val="0"/>
          <w:bCs w:val="0"/>
          <w:sz w:val="24"/>
          <w:szCs w:val="24"/>
        </w:rPr>
        <w:t xml:space="preserve"> </w:t>
      </w:r>
      <w:r w:rsidRPr="00AC1995">
        <w:rPr>
          <w:b w:val="0"/>
          <w:bCs w:val="0"/>
          <w:sz w:val="24"/>
          <w:szCs w:val="24"/>
        </w:rPr>
        <w:t xml:space="preserve">The costs for materials and postage for </w:t>
      </w:r>
      <w:r w:rsidRPr="00F13044" w:rsidR="00F13044">
        <w:rPr>
          <w:b w:val="0"/>
          <w:bCs w:val="0"/>
          <w:sz w:val="24"/>
          <w:szCs w:val="24"/>
        </w:rPr>
        <w:t>2</w:t>
      </w:r>
      <w:r w:rsidR="00D45AE5">
        <w:rPr>
          <w:b w:val="0"/>
          <w:bCs w:val="0"/>
          <w:sz w:val="24"/>
          <w:szCs w:val="24"/>
        </w:rPr>
        <w:t>4,351,126</w:t>
      </w:r>
      <w:r w:rsidRPr="00F13044" w:rsidR="00F13044">
        <w:rPr>
          <w:b w:val="0"/>
          <w:bCs w:val="0"/>
          <w:sz w:val="24"/>
          <w:szCs w:val="24"/>
        </w:rPr>
        <w:t xml:space="preserve"> </w:t>
      </w:r>
      <w:r w:rsidRPr="0018328D">
        <w:rPr>
          <w:b w:val="0"/>
          <w:bCs w:val="0"/>
          <w:sz w:val="24"/>
          <w:szCs w:val="24"/>
        </w:rPr>
        <w:t xml:space="preserve">notices have been estimated at </w:t>
      </w:r>
      <w:r w:rsidRPr="0018328D" w:rsidR="00113CAF">
        <w:rPr>
          <w:b w:val="0"/>
          <w:bCs w:val="0"/>
          <w:sz w:val="24"/>
          <w:szCs w:val="24"/>
        </w:rPr>
        <w:t>$</w:t>
      </w:r>
      <w:r w:rsidR="00A17D44">
        <w:rPr>
          <w:b w:val="0"/>
          <w:bCs w:val="0"/>
          <w:sz w:val="24"/>
          <w:szCs w:val="24"/>
        </w:rPr>
        <w:t>0.</w:t>
      </w:r>
      <w:r w:rsidR="00D45AE5">
        <w:rPr>
          <w:b w:val="0"/>
          <w:bCs w:val="0"/>
          <w:sz w:val="24"/>
          <w:szCs w:val="24"/>
        </w:rPr>
        <w:t>79</w:t>
      </w:r>
      <w:r w:rsidRPr="0018328D" w:rsidR="00D45AE5">
        <w:rPr>
          <w:b w:val="0"/>
          <w:bCs w:val="0"/>
          <w:sz w:val="24"/>
          <w:szCs w:val="24"/>
        </w:rPr>
        <w:t xml:space="preserve"> </w:t>
      </w:r>
      <w:r w:rsidRPr="0018328D">
        <w:rPr>
          <w:b w:val="0"/>
          <w:bCs w:val="0"/>
          <w:sz w:val="24"/>
          <w:szCs w:val="24"/>
        </w:rPr>
        <w:t>per mailing</w:t>
      </w:r>
      <w:r w:rsidR="005533F1">
        <w:rPr>
          <w:b w:val="0"/>
          <w:bCs w:val="0"/>
          <w:sz w:val="24"/>
          <w:szCs w:val="24"/>
        </w:rPr>
        <w:t xml:space="preserve"> (mailing cost per mail $0.</w:t>
      </w:r>
      <w:r w:rsidR="004208C2">
        <w:rPr>
          <w:b w:val="0"/>
          <w:bCs w:val="0"/>
          <w:sz w:val="24"/>
          <w:szCs w:val="24"/>
        </w:rPr>
        <w:t>7</w:t>
      </w:r>
      <w:r w:rsidR="00D45AE5">
        <w:rPr>
          <w:b w:val="0"/>
          <w:bCs w:val="0"/>
          <w:sz w:val="24"/>
          <w:szCs w:val="24"/>
        </w:rPr>
        <w:t xml:space="preserve">8 </w:t>
      </w:r>
      <w:r w:rsidR="005533F1">
        <w:rPr>
          <w:b w:val="0"/>
          <w:bCs w:val="0"/>
          <w:sz w:val="24"/>
          <w:szCs w:val="24"/>
        </w:rPr>
        <w:t>plus $0.01 other materials costs per mail)</w:t>
      </w:r>
      <w:r w:rsidR="00AD77E2">
        <w:rPr>
          <w:b w:val="0"/>
          <w:bCs w:val="0"/>
          <w:sz w:val="24"/>
          <w:szCs w:val="24"/>
        </w:rPr>
        <w:t>.</w:t>
      </w:r>
      <w:r w:rsidR="00D45AE5">
        <w:rPr>
          <w:b w:val="0"/>
          <w:bCs w:val="0"/>
          <w:sz w:val="24"/>
          <w:szCs w:val="24"/>
        </w:rPr>
        <w:t xml:space="preserve"> </w:t>
      </w:r>
      <w:r w:rsidR="00AD77E2">
        <w:rPr>
          <w:b w:val="0"/>
          <w:bCs w:val="0"/>
          <w:sz w:val="24"/>
          <w:szCs w:val="24"/>
        </w:rPr>
        <w:t>Please s</w:t>
      </w:r>
      <w:r w:rsidR="00D45AE5">
        <w:rPr>
          <w:b w:val="0"/>
          <w:bCs w:val="0"/>
          <w:sz w:val="24"/>
          <w:szCs w:val="24"/>
        </w:rPr>
        <w:t>ee Table 2 below for a calculation of the cost burden.</w:t>
      </w:r>
    </w:p>
    <w:p w:rsidR="00C00B56" w:rsidRPr="00D45AE5" w:rsidP="00995B26" w14:paraId="5E68F2BC" w14:textId="77777777">
      <w:pPr>
        <w:widowControl/>
        <w:ind w:left="720"/>
        <w:rPr>
          <w:sz w:val="24"/>
          <w:szCs w:val="24"/>
        </w:rPr>
      </w:pPr>
    </w:p>
    <w:p w:rsidR="00C353A2" w:rsidP="00995B26" w14:paraId="216931D9" w14:textId="77777777">
      <w:pPr>
        <w:widowControl/>
        <w:ind w:left="720"/>
        <w:rPr>
          <w:sz w:val="24"/>
          <w:szCs w:val="24"/>
        </w:rPr>
      </w:pPr>
      <w:r w:rsidRPr="00D45AE5">
        <w:rPr>
          <w:sz w:val="24"/>
          <w:szCs w:val="24"/>
        </w:rPr>
        <w:t>Table 2. Summary of Mailing Costs</w:t>
      </w:r>
    </w:p>
    <w:p w:rsidR="00C00B56" w:rsidRPr="00D45AE5" w:rsidP="00995B26" w14:paraId="435BF31E" w14:textId="72CF9A8E">
      <w:pPr>
        <w:widowControl/>
        <w:ind w:left="720"/>
        <w:rPr>
          <w:sz w:val="24"/>
          <w:szCs w:val="24"/>
        </w:rPr>
      </w:pPr>
      <w:r w:rsidRPr="00D45AE5">
        <w:rPr>
          <w:sz w:val="24"/>
          <w:szCs w:val="24"/>
        </w:rPr>
        <w:t xml:space="preserve"> </w:t>
      </w:r>
    </w:p>
    <w:tbl>
      <w:tblPr>
        <w:tblW w:w="83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6"/>
        <w:gridCol w:w="1576"/>
        <w:gridCol w:w="1673"/>
        <w:gridCol w:w="2790"/>
      </w:tblGrid>
      <w:tr w14:paraId="3678E0E7" w14:textId="77777777" w:rsidTr="00D45AE5">
        <w:tblPrEx>
          <w:tblW w:w="836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7"/>
        </w:trPr>
        <w:tc>
          <w:tcPr>
            <w:tcW w:w="2326" w:type="dxa"/>
          </w:tcPr>
          <w:p w:rsidR="00D45AE5" w:rsidRPr="0018328D" w:rsidP="00DB7DAD" w14:paraId="1B8E0B02" w14:textId="77777777">
            <w:pPr>
              <w:widowControl/>
              <w:jc w:val="center"/>
              <w:rPr>
                <w:bCs w:val="0"/>
                <w:sz w:val="24"/>
                <w:szCs w:val="24"/>
              </w:rPr>
            </w:pPr>
            <w:r w:rsidRPr="0018328D">
              <w:rPr>
                <w:bCs w:val="0"/>
                <w:sz w:val="24"/>
                <w:szCs w:val="24"/>
              </w:rPr>
              <w:t>Notice Type</w:t>
            </w:r>
          </w:p>
        </w:tc>
        <w:tc>
          <w:tcPr>
            <w:tcW w:w="1576" w:type="dxa"/>
          </w:tcPr>
          <w:p w:rsidR="00D45AE5" w:rsidRPr="0018328D" w:rsidP="005C5B6D" w14:paraId="33491A7A" w14:textId="77777777">
            <w:pPr>
              <w:widowControl/>
              <w:jc w:val="center"/>
              <w:rPr>
                <w:bCs w:val="0"/>
                <w:sz w:val="24"/>
                <w:szCs w:val="24"/>
              </w:rPr>
            </w:pPr>
            <w:r w:rsidRPr="0018328D">
              <w:rPr>
                <w:bCs w:val="0"/>
                <w:sz w:val="24"/>
                <w:szCs w:val="24"/>
              </w:rPr>
              <w:t>Total Notices</w:t>
            </w:r>
          </w:p>
        </w:tc>
        <w:tc>
          <w:tcPr>
            <w:tcW w:w="1673" w:type="dxa"/>
          </w:tcPr>
          <w:p w:rsidR="00D45AE5" w:rsidP="005C5B6D" w14:paraId="7F1BA606" w14:textId="521EB2AC">
            <w:pPr>
              <w:widowControl/>
              <w:jc w:val="center"/>
              <w:rPr>
                <w:bCs w:val="0"/>
                <w:sz w:val="24"/>
                <w:szCs w:val="24"/>
              </w:rPr>
            </w:pPr>
            <w:r>
              <w:rPr>
                <w:bCs w:val="0"/>
                <w:sz w:val="24"/>
                <w:szCs w:val="24"/>
              </w:rPr>
              <w:t>Unit Cost</w:t>
            </w:r>
          </w:p>
        </w:tc>
        <w:tc>
          <w:tcPr>
            <w:tcW w:w="2790" w:type="dxa"/>
          </w:tcPr>
          <w:p w:rsidR="00D45AE5" w:rsidRPr="0018328D" w:rsidP="005C5B6D" w14:paraId="1689907E" w14:textId="69BC7D31">
            <w:pPr>
              <w:widowControl/>
              <w:jc w:val="center"/>
              <w:rPr>
                <w:bCs w:val="0"/>
                <w:sz w:val="24"/>
                <w:szCs w:val="24"/>
              </w:rPr>
            </w:pPr>
            <w:r>
              <w:rPr>
                <w:bCs w:val="0"/>
                <w:sz w:val="24"/>
                <w:szCs w:val="24"/>
              </w:rPr>
              <w:t xml:space="preserve">Total </w:t>
            </w:r>
            <w:r w:rsidRPr="0018328D">
              <w:rPr>
                <w:bCs w:val="0"/>
                <w:sz w:val="24"/>
                <w:szCs w:val="24"/>
              </w:rPr>
              <w:t>Mailing Cost</w:t>
            </w:r>
          </w:p>
        </w:tc>
      </w:tr>
      <w:tr w14:paraId="3979F593" w14:textId="77777777" w:rsidTr="00D45AE5">
        <w:tblPrEx>
          <w:tblW w:w="8365" w:type="dxa"/>
          <w:tblInd w:w="720" w:type="dxa"/>
          <w:tblLayout w:type="fixed"/>
          <w:tblLook w:val="04A0"/>
        </w:tblPrEx>
        <w:trPr>
          <w:trHeight w:val="267"/>
        </w:trPr>
        <w:tc>
          <w:tcPr>
            <w:tcW w:w="2326" w:type="dxa"/>
          </w:tcPr>
          <w:p w:rsidR="00D45AE5" w:rsidRPr="00B97EFE" w:rsidP="00DB7DAD" w14:paraId="471D7B91" w14:textId="77777777">
            <w:pPr>
              <w:widowControl/>
              <w:rPr>
                <w:b w:val="0"/>
                <w:bCs w:val="0"/>
                <w:iCs/>
                <w:sz w:val="24"/>
                <w:szCs w:val="24"/>
              </w:rPr>
            </w:pPr>
            <w:r w:rsidRPr="00B97EFE">
              <w:rPr>
                <w:b w:val="0"/>
                <w:bCs w:val="0"/>
                <w:iCs/>
                <w:sz w:val="24"/>
                <w:szCs w:val="24"/>
              </w:rPr>
              <w:t>General Notices</w:t>
            </w:r>
          </w:p>
        </w:tc>
        <w:tc>
          <w:tcPr>
            <w:tcW w:w="1576" w:type="dxa"/>
          </w:tcPr>
          <w:p w:rsidR="00D45AE5" w:rsidRPr="00B97EFE" w:rsidP="00000B27" w14:paraId="511A3C9F" w14:textId="667DD271">
            <w:pPr>
              <w:widowControl/>
              <w:jc w:val="center"/>
              <w:rPr>
                <w:b w:val="0"/>
                <w:bCs w:val="0"/>
                <w:iCs/>
                <w:sz w:val="24"/>
                <w:szCs w:val="24"/>
              </w:rPr>
            </w:pPr>
            <w:r>
              <w:rPr>
                <w:b w:val="0"/>
                <w:iCs/>
                <w:sz w:val="24"/>
                <w:szCs w:val="24"/>
              </w:rPr>
              <w:t>15,928,498</w:t>
            </w:r>
          </w:p>
        </w:tc>
        <w:tc>
          <w:tcPr>
            <w:tcW w:w="1673" w:type="dxa"/>
          </w:tcPr>
          <w:p w:rsidR="00D45AE5" w:rsidP="00000B27" w14:paraId="11D6EB2C" w14:textId="586F8B9A">
            <w:pPr>
              <w:widowControl/>
              <w:jc w:val="center"/>
              <w:rPr>
                <w:b w:val="0"/>
                <w:iCs/>
                <w:sz w:val="24"/>
                <w:szCs w:val="24"/>
              </w:rPr>
            </w:pPr>
            <w:r>
              <w:rPr>
                <w:b w:val="0"/>
                <w:iCs/>
                <w:sz w:val="24"/>
                <w:szCs w:val="24"/>
              </w:rPr>
              <w:t>$0.79</w:t>
            </w:r>
          </w:p>
        </w:tc>
        <w:tc>
          <w:tcPr>
            <w:tcW w:w="2790" w:type="dxa"/>
          </w:tcPr>
          <w:p w:rsidR="00D45AE5" w:rsidRPr="00B97EFE" w:rsidP="00000B27" w14:paraId="76947C85" w14:textId="7F0DDD68">
            <w:pPr>
              <w:widowControl/>
              <w:jc w:val="center"/>
              <w:rPr>
                <w:b w:val="0"/>
                <w:bCs w:val="0"/>
                <w:iCs/>
                <w:sz w:val="24"/>
                <w:szCs w:val="24"/>
              </w:rPr>
            </w:pPr>
            <w:r>
              <w:rPr>
                <w:b w:val="0"/>
                <w:iCs/>
                <w:sz w:val="24"/>
                <w:szCs w:val="24"/>
              </w:rPr>
              <w:t>$12,583,513</w:t>
            </w:r>
          </w:p>
        </w:tc>
      </w:tr>
      <w:tr w14:paraId="131495FE" w14:textId="77777777" w:rsidTr="00D45AE5">
        <w:tblPrEx>
          <w:tblW w:w="8365" w:type="dxa"/>
          <w:tblInd w:w="720" w:type="dxa"/>
          <w:tblLayout w:type="fixed"/>
          <w:tblLook w:val="04A0"/>
        </w:tblPrEx>
        <w:trPr>
          <w:trHeight w:val="267"/>
        </w:trPr>
        <w:tc>
          <w:tcPr>
            <w:tcW w:w="2326" w:type="dxa"/>
          </w:tcPr>
          <w:p w:rsidR="00D45AE5" w:rsidRPr="00B97EFE" w:rsidP="00DB7DAD" w14:paraId="139D97CD" w14:textId="77777777">
            <w:pPr>
              <w:widowControl/>
              <w:rPr>
                <w:b w:val="0"/>
                <w:bCs w:val="0"/>
                <w:iCs/>
                <w:sz w:val="24"/>
                <w:szCs w:val="24"/>
              </w:rPr>
            </w:pPr>
            <w:r w:rsidRPr="00B97EFE">
              <w:rPr>
                <w:b w:val="0"/>
                <w:bCs w:val="0"/>
                <w:iCs/>
                <w:sz w:val="24"/>
                <w:szCs w:val="24"/>
              </w:rPr>
              <w:t>Employer Notices</w:t>
            </w:r>
          </w:p>
        </w:tc>
        <w:tc>
          <w:tcPr>
            <w:tcW w:w="1576" w:type="dxa"/>
          </w:tcPr>
          <w:p w:rsidR="00D45AE5" w:rsidRPr="00B97EFE" w:rsidP="00000B27" w14:paraId="1FD5593C" w14:textId="0212C290">
            <w:pPr>
              <w:widowControl/>
              <w:jc w:val="center"/>
              <w:rPr>
                <w:b w:val="0"/>
                <w:bCs w:val="0"/>
                <w:iCs/>
                <w:sz w:val="24"/>
                <w:szCs w:val="24"/>
              </w:rPr>
            </w:pPr>
            <w:r>
              <w:rPr>
                <w:b w:val="0"/>
                <w:iCs/>
                <w:sz w:val="24"/>
                <w:szCs w:val="24"/>
              </w:rPr>
              <w:t>6,848,986</w:t>
            </w:r>
          </w:p>
        </w:tc>
        <w:tc>
          <w:tcPr>
            <w:tcW w:w="1673" w:type="dxa"/>
          </w:tcPr>
          <w:p w:rsidR="00D45AE5" w:rsidP="00000B27" w14:paraId="53A23E75" w14:textId="29D030C5">
            <w:pPr>
              <w:widowControl/>
              <w:jc w:val="center"/>
              <w:rPr>
                <w:b w:val="0"/>
                <w:iCs/>
                <w:sz w:val="24"/>
                <w:szCs w:val="24"/>
              </w:rPr>
            </w:pPr>
            <w:r>
              <w:rPr>
                <w:b w:val="0"/>
                <w:iCs/>
                <w:sz w:val="24"/>
                <w:szCs w:val="24"/>
              </w:rPr>
              <w:t>$0.79</w:t>
            </w:r>
          </w:p>
        </w:tc>
        <w:tc>
          <w:tcPr>
            <w:tcW w:w="2790" w:type="dxa"/>
          </w:tcPr>
          <w:p w:rsidR="00D45AE5" w:rsidRPr="00B97EFE" w:rsidP="00000B27" w14:paraId="56CD0A65" w14:textId="51F3D518">
            <w:pPr>
              <w:widowControl/>
              <w:jc w:val="center"/>
              <w:rPr>
                <w:b w:val="0"/>
                <w:bCs w:val="0"/>
                <w:iCs/>
                <w:sz w:val="24"/>
                <w:szCs w:val="24"/>
              </w:rPr>
            </w:pPr>
            <w:r>
              <w:rPr>
                <w:b w:val="0"/>
                <w:iCs/>
                <w:sz w:val="24"/>
                <w:szCs w:val="24"/>
              </w:rPr>
              <w:t>$5,410,699</w:t>
            </w:r>
          </w:p>
        </w:tc>
      </w:tr>
      <w:tr w14:paraId="58BB69D8" w14:textId="77777777" w:rsidTr="00D45AE5">
        <w:tblPrEx>
          <w:tblW w:w="8365" w:type="dxa"/>
          <w:tblInd w:w="720" w:type="dxa"/>
          <w:tblLayout w:type="fixed"/>
          <w:tblLook w:val="04A0"/>
        </w:tblPrEx>
        <w:trPr>
          <w:trHeight w:val="267"/>
        </w:trPr>
        <w:tc>
          <w:tcPr>
            <w:tcW w:w="2326" w:type="dxa"/>
          </w:tcPr>
          <w:p w:rsidR="00D45AE5" w:rsidRPr="00B97EFE" w:rsidP="00DB7DAD" w14:paraId="59D13D5F" w14:textId="77777777">
            <w:pPr>
              <w:widowControl/>
              <w:rPr>
                <w:b w:val="0"/>
                <w:bCs w:val="0"/>
                <w:iCs/>
                <w:sz w:val="24"/>
                <w:szCs w:val="24"/>
              </w:rPr>
            </w:pPr>
            <w:r w:rsidRPr="00B97EFE">
              <w:rPr>
                <w:b w:val="0"/>
                <w:bCs w:val="0"/>
                <w:iCs/>
                <w:sz w:val="24"/>
                <w:szCs w:val="24"/>
              </w:rPr>
              <w:t>Qualified Beneficiary Notice</w:t>
            </w:r>
          </w:p>
        </w:tc>
        <w:tc>
          <w:tcPr>
            <w:tcW w:w="1576" w:type="dxa"/>
          </w:tcPr>
          <w:p w:rsidR="00D45AE5" w:rsidRPr="00B97EFE" w:rsidP="00000B27" w14:paraId="4B2C55C1" w14:textId="1242CC5E">
            <w:pPr>
              <w:widowControl/>
              <w:jc w:val="center"/>
              <w:rPr>
                <w:b w:val="0"/>
                <w:bCs w:val="0"/>
                <w:iCs/>
                <w:sz w:val="24"/>
                <w:szCs w:val="24"/>
              </w:rPr>
            </w:pPr>
            <w:r>
              <w:rPr>
                <w:b w:val="0"/>
                <w:iCs/>
                <w:sz w:val="24"/>
                <w:szCs w:val="24"/>
              </w:rPr>
              <w:t>841,264</w:t>
            </w:r>
          </w:p>
        </w:tc>
        <w:tc>
          <w:tcPr>
            <w:tcW w:w="1673" w:type="dxa"/>
          </w:tcPr>
          <w:p w:rsidR="00D45AE5" w:rsidP="00000B27" w14:paraId="2BF50859" w14:textId="43C85C1F">
            <w:pPr>
              <w:widowControl/>
              <w:jc w:val="center"/>
              <w:rPr>
                <w:b w:val="0"/>
                <w:iCs/>
                <w:sz w:val="24"/>
                <w:szCs w:val="24"/>
              </w:rPr>
            </w:pPr>
            <w:r>
              <w:rPr>
                <w:b w:val="0"/>
                <w:iCs/>
                <w:sz w:val="24"/>
                <w:szCs w:val="24"/>
              </w:rPr>
              <w:t>$0.79</w:t>
            </w:r>
          </w:p>
        </w:tc>
        <w:tc>
          <w:tcPr>
            <w:tcW w:w="2790" w:type="dxa"/>
          </w:tcPr>
          <w:p w:rsidR="00D45AE5" w:rsidRPr="00B97EFE" w:rsidP="00000B27" w14:paraId="7EE2AAB2" w14:textId="1242E918">
            <w:pPr>
              <w:widowControl/>
              <w:jc w:val="center"/>
              <w:rPr>
                <w:b w:val="0"/>
                <w:bCs w:val="0"/>
                <w:iCs/>
                <w:sz w:val="24"/>
                <w:szCs w:val="24"/>
              </w:rPr>
            </w:pPr>
            <w:r>
              <w:rPr>
                <w:b w:val="0"/>
                <w:iCs/>
                <w:sz w:val="24"/>
                <w:szCs w:val="24"/>
              </w:rPr>
              <w:t>$664,598</w:t>
            </w:r>
          </w:p>
        </w:tc>
      </w:tr>
      <w:tr w14:paraId="60E15709" w14:textId="77777777" w:rsidTr="00D45AE5">
        <w:tblPrEx>
          <w:tblW w:w="8365" w:type="dxa"/>
          <w:tblInd w:w="720" w:type="dxa"/>
          <w:tblLayout w:type="fixed"/>
          <w:tblLook w:val="04A0"/>
        </w:tblPrEx>
        <w:trPr>
          <w:trHeight w:val="267"/>
        </w:trPr>
        <w:tc>
          <w:tcPr>
            <w:tcW w:w="2326" w:type="dxa"/>
          </w:tcPr>
          <w:p w:rsidR="00D45AE5" w:rsidRPr="00B97EFE" w:rsidP="00DB7DAD" w14:paraId="0EF7939E" w14:textId="77777777">
            <w:pPr>
              <w:widowControl/>
              <w:rPr>
                <w:b w:val="0"/>
                <w:bCs w:val="0"/>
                <w:iCs/>
                <w:sz w:val="24"/>
                <w:szCs w:val="24"/>
              </w:rPr>
            </w:pPr>
            <w:r w:rsidRPr="00B97EFE">
              <w:rPr>
                <w:b w:val="0"/>
                <w:bCs w:val="0"/>
                <w:iCs/>
                <w:sz w:val="24"/>
                <w:szCs w:val="24"/>
              </w:rPr>
              <w:t>Termination Notice</w:t>
            </w:r>
          </w:p>
        </w:tc>
        <w:tc>
          <w:tcPr>
            <w:tcW w:w="1576" w:type="dxa"/>
          </w:tcPr>
          <w:p w:rsidR="00D45AE5" w:rsidRPr="00B97EFE" w:rsidP="00000B27" w14:paraId="4AE6D8CF" w14:textId="27A6F30A">
            <w:pPr>
              <w:widowControl/>
              <w:jc w:val="center"/>
              <w:rPr>
                <w:b w:val="0"/>
                <w:bCs w:val="0"/>
                <w:iCs/>
                <w:sz w:val="24"/>
                <w:szCs w:val="24"/>
              </w:rPr>
            </w:pPr>
            <w:r>
              <w:rPr>
                <w:b w:val="0"/>
                <w:iCs/>
                <w:sz w:val="24"/>
                <w:szCs w:val="24"/>
              </w:rPr>
              <w:t>732,378</w:t>
            </w:r>
          </w:p>
        </w:tc>
        <w:tc>
          <w:tcPr>
            <w:tcW w:w="1673" w:type="dxa"/>
          </w:tcPr>
          <w:p w:rsidR="00D45AE5" w:rsidP="00000B27" w14:paraId="3883A759" w14:textId="77301BF2">
            <w:pPr>
              <w:widowControl/>
              <w:jc w:val="center"/>
              <w:rPr>
                <w:b w:val="0"/>
                <w:iCs/>
                <w:sz w:val="24"/>
                <w:szCs w:val="24"/>
              </w:rPr>
            </w:pPr>
            <w:r>
              <w:rPr>
                <w:b w:val="0"/>
                <w:iCs/>
                <w:sz w:val="24"/>
                <w:szCs w:val="24"/>
              </w:rPr>
              <w:t>$0.79</w:t>
            </w:r>
          </w:p>
        </w:tc>
        <w:tc>
          <w:tcPr>
            <w:tcW w:w="2790" w:type="dxa"/>
          </w:tcPr>
          <w:p w:rsidR="00D45AE5" w:rsidRPr="00B97EFE" w:rsidP="00000B27" w14:paraId="151850D2" w14:textId="724E14DF">
            <w:pPr>
              <w:widowControl/>
              <w:jc w:val="center"/>
              <w:rPr>
                <w:b w:val="0"/>
                <w:bCs w:val="0"/>
                <w:iCs/>
                <w:sz w:val="24"/>
                <w:szCs w:val="24"/>
              </w:rPr>
            </w:pPr>
            <w:r>
              <w:rPr>
                <w:b w:val="0"/>
                <w:iCs/>
                <w:sz w:val="24"/>
                <w:szCs w:val="24"/>
              </w:rPr>
              <w:t>$578,579</w:t>
            </w:r>
          </w:p>
        </w:tc>
      </w:tr>
      <w:tr w14:paraId="32E11F4E" w14:textId="77777777" w:rsidTr="00D45AE5">
        <w:tblPrEx>
          <w:tblW w:w="8365" w:type="dxa"/>
          <w:tblInd w:w="720" w:type="dxa"/>
          <w:tblLayout w:type="fixed"/>
          <w:tblLook w:val="04A0"/>
        </w:tblPrEx>
        <w:trPr>
          <w:trHeight w:val="267"/>
        </w:trPr>
        <w:tc>
          <w:tcPr>
            <w:tcW w:w="2326" w:type="dxa"/>
          </w:tcPr>
          <w:p w:rsidR="00D45AE5" w:rsidRPr="0018328D" w:rsidP="00DB7DAD" w14:paraId="3ECA4A32" w14:textId="77777777">
            <w:pPr>
              <w:widowControl/>
              <w:rPr>
                <w:bCs w:val="0"/>
                <w:sz w:val="24"/>
                <w:szCs w:val="24"/>
              </w:rPr>
            </w:pPr>
            <w:r w:rsidRPr="0018328D">
              <w:rPr>
                <w:bCs w:val="0"/>
                <w:sz w:val="24"/>
                <w:szCs w:val="24"/>
              </w:rPr>
              <w:t>Total</w:t>
            </w:r>
          </w:p>
        </w:tc>
        <w:tc>
          <w:tcPr>
            <w:tcW w:w="1576" w:type="dxa"/>
          </w:tcPr>
          <w:p w:rsidR="00D45AE5" w:rsidRPr="0018328D" w:rsidP="00000B27" w14:paraId="718D32CF" w14:textId="75AC7B57">
            <w:pPr>
              <w:widowControl/>
              <w:jc w:val="center"/>
              <w:rPr>
                <w:bCs w:val="0"/>
                <w:sz w:val="24"/>
                <w:szCs w:val="24"/>
              </w:rPr>
            </w:pPr>
            <w:r>
              <w:rPr>
                <w:sz w:val="24"/>
                <w:szCs w:val="24"/>
              </w:rPr>
              <w:t>24,351,126</w:t>
            </w:r>
          </w:p>
        </w:tc>
        <w:tc>
          <w:tcPr>
            <w:tcW w:w="1673" w:type="dxa"/>
          </w:tcPr>
          <w:p w:rsidR="00D45AE5" w:rsidP="00000B27" w14:paraId="7FC20B47" w14:textId="5602D56B">
            <w:pPr>
              <w:widowControl/>
              <w:jc w:val="center"/>
              <w:rPr>
                <w:sz w:val="24"/>
                <w:szCs w:val="24"/>
              </w:rPr>
            </w:pPr>
            <w:r>
              <w:rPr>
                <w:sz w:val="24"/>
                <w:szCs w:val="24"/>
              </w:rPr>
              <w:t>-</w:t>
            </w:r>
          </w:p>
        </w:tc>
        <w:tc>
          <w:tcPr>
            <w:tcW w:w="2790" w:type="dxa"/>
          </w:tcPr>
          <w:p w:rsidR="00D45AE5" w:rsidRPr="0018328D" w:rsidP="00000B27" w14:paraId="50E31673" w14:textId="4AC685A6">
            <w:pPr>
              <w:widowControl/>
              <w:jc w:val="center"/>
              <w:rPr>
                <w:bCs w:val="0"/>
                <w:sz w:val="24"/>
                <w:szCs w:val="24"/>
              </w:rPr>
            </w:pPr>
            <w:r>
              <w:rPr>
                <w:sz w:val="24"/>
                <w:szCs w:val="24"/>
              </w:rPr>
              <w:t>$19,237,389</w:t>
            </w:r>
          </w:p>
        </w:tc>
      </w:tr>
      <w:bookmarkEnd w:id="1"/>
    </w:tbl>
    <w:p w:rsidR="00AA1E33" w:rsidRPr="00A43385" w:rsidP="00F654B6" w14:paraId="43253BBF" w14:textId="77777777">
      <w:pPr>
        <w:widowControl/>
        <w:ind w:left="720"/>
        <w:rPr>
          <w:b w:val="0"/>
          <w:bCs w:val="0"/>
          <w:sz w:val="24"/>
          <w:szCs w:val="24"/>
        </w:rPr>
      </w:pPr>
    </w:p>
    <w:p w:rsidR="00AA1E33" w:rsidRPr="00C84D80" w:rsidP="00F654B6" w14:paraId="0671F378" w14:textId="77777777">
      <w:pPr>
        <w:widowControl/>
        <w:numPr>
          <w:ilvl w:val="0"/>
          <w:numId w:val="20"/>
        </w:numPr>
        <w:tabs>
          <w:tab w:val="left" w:pos="-1440"/>
        </w:tabs>
        <w:ind w:hanging="720"/>
        <w:rPr>
          <w:sz w:val="24"/>
          <w:szCs w:val="24"/>
        </w:rPr>
      </w:pPr>
      <w:r w:rsidRPr="00C84D80">
        <w:rPr>
          <w:sz w:val="24"/>
          <w:szCs w:val="24"/>
        </w:rPr>
        <w:t>Provide estimates of annualized cost to the Federal government.</w:t>
      </w:r>
      <w:r w:rsidRPr="00C84D80" w:rsidR="00E66932">
        <w:rPr>
          <w:sz w:val="24"/>
          <w:szCs w:val="24"/>
        </w:rPr>
        <w:t xml:space="preserve"> </w:t>
      </w:r>
      <w:r w:rsidRPr="00C84D80">
        <w:rPr>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C84D80" w:rsidR="00E66932">
        <w:rPr>
          <w:sz w:val="24"/>
          <w:szCs w:val="24"/>
        </w:rPr>
        <w:t xml:space="preserve"> </w:t>
      </w:r>
      <w:r w:rsidRPr="00C84D80">
        <w:rPr>
          <w:sz w:val="24"/>
          <w:szCs w:val="24"/>
        </w:rPr>
        <w:t>Agencies also may aggregate cost estimates from Items 12, 13, and 14 in a single table.</w:t>
      </w:r>
    </w:p>
    <w:p w:rsidR="00AA1E33" w:rsidRPr="00A43385" w:rsidP="00715A07" w14:paraId="5C95F758" w14:textId="77777777">
      <w:pPr>
        <w:widowControl/>
        <w:ind w:left="720"/>
        <w:rPr>
          <w:b w:val="0"/>
          <w:bCs w:val="0"/>
          <w:sz w:val="24"/>
          <w:szCs w:val="24"/>
        </w:rPr>
      </w:pPr>
    </w:p>
    <w:p w:rsidR="00AA1E33" w:rsidRPr="00A43385" w:rsidP="00715A07" w14:paraId="003EC004" w14:textId="77777777">
      <w:pPr>
        <w:widowControl/>
        <w:ind w:left="720"/>
        <w:rPr>
          <w:b w:val="0"/>
          <w:bCs w:val="0"/>
          <w:sz w:val="24"/>
          <w:szCs w:val="24"/>
        </w:rPr>
      </w:pPr>
      <w:r w:rsidRPr="00A43385">
        <w:rPr>
          <w:b w:val="0"/>
          <w:bCs w:val="0"/>
          <w:sz w:val="24"/>
          <w:szCs w:val="24"/>
        </w:rPr>
        <w:t>There is no cost to the Federal government associated with this information collection.</w:t>
      </w:r>
    </w:p>
    <w:p w:rsidR="00AA1E33" w:rsidRPr="00A43385" w:rsidP="00715A07" w14:paraId="02591327" w14:textId="77777777">
      <w:pPr>
        <w:widowControl/>
        <w:ind w:left="720"/>
        <w:rPr>
          <w:b w:val="0"/>
          <w:bCs w:val="0"/>
          <w:sz w:val="24"/>
          <w:szCs w:val="24"/>
        </w:rPr>
      </w:pPr>
    </w:p>
    <w:p w:rsidR="00AA1E33" w:rsidRPr="00B97EFE" w:rsidP="00715A07" w14:paraId="2E406D67" w14:textId="77777777">
      <w:pPr>
        <w:widowControl/>
        <w:numPr>
          <w:ilvl w:val="0"/>
          <w:numId w:val="18"/>
        </w:numPr>
        <w:tabs>
          <w:tab w:val="clear" w:pos="375"/>
        </w:tabs>
        <w:ind w:left="720" w:hanging="720"/>
        <w:rPr>
          <w:sz w:val="24"/>
          <w:szCs w:val="24"/>
        </w:rPr>
      </w:pPr>
      <w:r w:rsidRPr="00B97EFE">
        <w:rPr>
          <w:sz w:val="24"/>
          <w:szCs w:val="24"/>
        </w:rPr>
        <w:t>Explain the reasons for any program changes or adjustments reporting in Items 13 or 14.</w:t>
      </w:r>
    </w:p>
    <w:p w:rsidR="0098707E" w:rsidRPr="00A43385" w:rsidP="00715A07" w14:paraId="78B1CD0A" w14:textId="77777777">
      <w:pPr>
        <w:widowControl/>
        <w:ind w:left="720"/>
        <w:rPr>
          <w:b w:val="0"/>
          <w:bCs w:val="0"/>
          <w:sz w:val="24"/>
          <w:szCs w:val="24"/>
        </w:rPr>
      </w:pPr>
    </w:p>
    <w:p w:rsidR="00B1504D" w:rsidP="00C353A2" w14:paraId="0DB5F434" w14:textId="31B6A19C">
      <w:pPr>
        <w:widowControl/>
        <w:ind w:left="720"/>
        <w:rPr>
          <w:b w:val="0"/>
          <w:bCs w:val="0"/>
          <w:sz w:val="24"/>
          <w:szCs w:val="24"/>
        </w:rPr>
      </w:pPr>
      <w:r>
        <w:rPr>
          <w:b w:val="0"/>
          <w:bCs w:val="0"/>
          <w:sz w:val="24"/>
          <w:szCs w:val="24"/>
        </w:rPr>
        <w:t>There are no program changes for this submission.</w:t>
      </w:r>
      <w:r w:rsidR="00E66932">
        <w:rPr>
          <w:b w:val="0"/>
          <w:bCs w:val="0"/>
          <w:sz w:val="24"/>
          <w:szCs w:val="24"/>
        </w:rPr>
        <w:t xml:space="preserve"> </w:t>
      </w:r>
      <w:r w:rsidRPr="00A43385" w:rsidR="00AE25EB">
        <w:rPr>
          <w:b w:val="0"/>
          <w:bCs w:val="0"/>
          <w:sz w:val="24"/>
          <w:szCs w:val="24"/>
        </w:rPr>
        <w:t xml:space="preserve">The increases in </w:t>
      </w:r>
      <w:r>
        <w:rPr>
          <w:b w:val="0"/>
          <w:bCs w:val="0"/>
          <w:sz w:val="24"/>
          <w:szCs w:val="24"/>
        </w:rPr>
        <w:t xml:space="preserve">the </w:t>
      </w:r>
      <w:r w:rsidRPr="00A43385" w:rsidR="00AE25EB">
        <w:rPr>
          <w:b w:val="0"/>
          <w:bCs w:val="0"/>
          <w:sz w:val="24"/>
          <w:szCs w:val="24"/>
        </w:rPr>
        <w:t xml:space="preserve">cost burden </w:t>
      </w:r>
      <w:r>
        <w:rPr>
          <w:b w:val="0"/>
          <w:bCs w:val="0"/>
          <w:sz w:val="24"/>
          <w:szCs w:val="24"/>
        </w:rPr>
        <w:t xml:space="preserve">estimates </w:t>
      </w:r>
      <w:r w:rsidRPr="00A43385" w:rsidR="00AE25EB">
        <w:rPr>
          <w:b w:val="0"/>
          <w:bCs w:val="0"/>
          <w:sz w:val="24"/>
          <w:szCs w:val="24"/>
        </w:rPr>
        <w:t xml:space="preserve">are due to </w:t>
      </w:r>
      <w:r w:rsidR="006923D1">
        <w:rPr>
          <w:b w:val="0"/>
          <w:bCs w:val="0"/>
          <w:sz w:val="24"/>
          <w:szCs w:val="24"/>
        </w:rPr>
        <w:t>a decrease</w:t>
      </w:r>
      <w:r w:rsidR="007B45E2">
        <w:rPr>
          <w:b w:val="0"/>
          <w:bCs w:val="0"/>
          <w:sz w:val="24"/>
          <w:szCs w:val="24"/>
        </w:rPr>
        <w:t xml:space="preserve"> </w:t>
      </w:r>
      <w:r>
        <w:rPr>
          <w:b w:val="0"/>
          <w:bCs w:val="0"/>
          <w:sz w:val="24"/>
          <w:szCs w:val="24"/>
        </w:rPr>
        <w:t xml:space="preserve">in the </w:t>
      </w:r>
      <w:r w:rsidR="007B45E2">
        <w:rPr>
          <w:b w:val="0"/>
          <w:bCs w:val="0"/>
          <w:sz w:val="24"/>
          <w:szCs w:val="24"/>
        </w:rPr>
        <w:t xml:space="preserve">number of individuals in COBRA eligible plans, </w:t>
      </w:r>
      <w:r w:rsidR="00506D21">
        <w:rPr>
          <w:b w:val="0"/>
          <w:bCs w:val="0"/>
          <w:sz w:val="24"/>
          <w:szCs w:val="24"/>
        </w:rPr>
        <w:t xml:space="preserve">labor cost inflation, </w:t>
      </w:r>
      <w:r w:rsidR="007B45E2">
        <w:rPr>
          <w:b w:val="0"/>
          <w:bCs w:val="0"/>
          <w:sz w:val="24"/>
          <w:szCs w:val="24"/>
        </w:rPr>
        <w:t xml:space="preserve">and </w:t>
      </w:r>
      <w:r w:rsidR="00CC2E83">
        <w:rPr>
          <w:b w:val="0"/>
          <w:bCs w:val="0"/>
          <w:sz w:val="24"/>
          <w:szCs w:val="24"/>
        </w:rPr>
        <w:t xml:space="preserve">increased </w:t>
      </w:r>
      <w:r w:rsidRPr="00A43385" w:rsidR="00AE25EB">
        <w:rPr>
          <w:b w:val="0"/>
          <w:bCs w:val="0"/>
          <w:sz w:val="24"/>
          <w:szCs w:val="24"/>
        </w:rPr>
        <w:t>postage costs</w:t>
      </w:r>
      <w:r w:rsidR="00F50C6F">
        <w:rPr>
          <w:b w:val="0"/>
          <w:bCs w:val="0"/>
          <w:sz w:val="24"/>
          <w:szCs w:val="24"/>
        </w:rPr>
        <w:t>.</w:t>
      </w:r>
      <w:r w:rsidR="00CF049D">
        <w:rPr>
          <w:b w:val="0"/>
          <w:bCs w:val="0"/>
          <w:sz w:val="24"/>
          <w:szCs w:val="24"/>
        </w:rPr>
        <w:t xml:space="preserve"> </w:t>
      </w:r>
      <w:r w:rsidR="00AD77E2">
        <w:rPr>
          <w:b w:val="0"/>
          <w:bCs w:val="0"/>
          <w:sz w:val="24"/>
          <w:szCs w:val="24"/>
        </w:rPr>
        <w:t xml:space="preserve">As a result, </w:t>
      </w:r>
      <w:r w:rsidR="00354997">
        <w:rPr>
          <w:b w:val="0"/>
          <w:bCs w:val="0"/>
          <w:sz w:val="24"/>
          <w:szCs w:val="24"/>
        </w:rPr>
        <w:t xml:space="preserve">the number of responses has decreased </w:t>
      </w:r>
      <w:r w:rsidR="00C87F0F">
        <w:rPr>
          <w:b w:val="0"/>
          <w:bCs w:val="0"/>
          <w:sz w:val="24"/>
          <w:szCs w:val="24"/>
        </w:rPr>
        <w:t xml:space="preserve">by </w:t>
      </w:r>
      <w:r w:rsidR="00354997">
        <w:rPr>
          <w:b w:val="0"/>
          <w:bCs w:val="0"/>
          <w:sz w:val="24"/>
          <w:szCs w:val="24"/>
        </w:rPr>
        <w:t xml:space="preserve">2,539,247 responses, the hour burden has increased by 34,033 hours, and the cost burden has increased by </w:t>
      </w:r>
      <w:r w:rsidR="00F77C19">
        <w:rPr>
          <w:b w:val="0"/>
          <w:bCs w:val="0"/>
          <w:sz w:val="24"/>
          <w:szCs w:val="24"/>
        </w:rPr>
        <w:t>$</w:t>
      </w:r>
      <w:r w:rsidR="00354997">
        <w:rPr>
          <w:b w:val="0"/>
          <w:bCs w:val="0"/>
          <w:sz w:val="24"/>
          <w:szCs w:val="24"/>
        </w:rPr>
        <w:t>2,834,261.</w:t>
      </w:r>
      <w:r w:rsidR="00B75088">
        <w:rPr>
          <w:b w:val="0"/>
          <w:bCs w:val="0"/>
          <w:sz w:val="24"/>
          <w:szCs w:val="24"/>
        </w:rPr>
        <w:t xml:space="preserve"> While the decline in responses is a result of fewer general notices being sent, the hour and cost burdens have increased due to an increase in the number of termination notices and plan administrator election notices, as well as an increase in the cost of postage to mail the notices. </w:t>
      </w:r>
    </w:p>
    <w:p w:rsidR="00DF2F7D" w:rsidRPr="00A43385" w:rsidP="00715A07" w14:paraId="21835ED9" w14:textId="77777777">
      <w:pPr>
        <w:widowControl/>
        <w:ind w:left="720"/>
        <w:rPr>
          <w:b w:val="0"/>
          <w:bCs w:val="0"/>
          <w:sz w:val="24"/>
          <w:szCs w:val="24"/>
        </w:rPr>
      </w:pPr>
    </w:p>
    <w:p w:rsidR="00AA1E33" w:rsidRPr="00C84D80" w:rsidP="00715A07" w14:paraId="47DA722A" w14:textId="77777777">
      <w:pPr>
        <w:widowControl/>
        <w:numPr>
          <w:ilvl w:val="0"/>
          <w:numId w:val="18"/>
        </w:numPr>
        <w:tabs>
          <w:tab w:val="left" w:pos="-1440"/>
          <w:tab w:val="clear" w:pos="375"/>
        </w:tabs>
        <w:ind w:left="720" w:hanging="720"/>
        <w:rPr>
          <w:sz w:val="24"/>
          <w:szCs w:val="24"/>
        </w:rPr>
      </w:pPr>
      <w:r w:rsidRPr="00C84D80">
        <w:rPr>
          <w:sz w:val="24"/>
          <w:szCs w:val="24"/>
        </w:rPr>
        <w:t>For collections of information whose results will be published, outline plans for tabulation, and publication.</w:t>
      </w:r>
      <w:r w:rsidRPr="00C84D80" w:rsidR="00E66932">
        <w:rPr>
          <w:sz w:val="24"/>
          <w:szCs w:val="24"/>
        </w:rPr>
        <w:t xml:space="preserve"> </w:t>
      </w:r>
      <w:r w:rsidRPr="00C84D80">
        <w:rPr>
          <w:sz w:val="24"/>
          <w:szCs w:val="24"/>
        </w:rPr>
        <w:t>Address any complex analytical techniques that will be used.</w:t>
      </w:r>
      <w:r w:rsidRPr="00C84D80" w:rsidR="00E66932">
        <w:rPr>
          <w:sz w:val="24"/>
          <w:szCs w:val="24"/>
        </w:rPr>
        <w:t xml:space="preserve"> </w:t>
      </w:r>
      <w:r w:rsidRPr="00C84D80">
        <w:rPr>
          <w:sz w:val="24"/>
          <w:szCs w:val="24"/>
        </w:rPr>
        <w:t>Provide the time schedule for the entire project, including beginning and ending dates of the collection of information, completion of report, publication dates, and other actions.</w:t>
      </w:r>
    </w:p>
    <w:p w:rsidR="00AA1E33" w:rsidRPr="00D26B60" w:rsidP="00715A07" w14:paraId="225A8C1A" w14:textId="77777777">
      <w:pPr>
        <w:widowControl/>
        <w:ind w:left="720"/>
        <w:rPr>
          <w:b w:val="0"/>
          <w:bCs w:val="0"/>
          <w:sz w:val="24"/>
          <w:szCs w:val="24"/>
        </w:rPr>
      </w:pPr>
    </w:p>
    <w:p w:rsidR="00AA1E33" w:rsidRPr="00D26B60" w:rsidP="00D26B60" w14:paraId="06BD88EE" w14:textId="77777777">
      <w:pPr>
        <w:ind w:firstLine="720"/>
        <w:rPr>
          <w:b w:val="0"/>
          <w:bCs w:val="0"/>
          <w:sz w:val="24"/>
          <w:szCs w:val="24"/>
        </w:rPr>
      </w:pPr>
      <w:r w:rsidRPr="00D26B60">
        <w:rPr>
          <w:b w:val="0"/>
          <w:bCs w:val="0"/>
          <w:sz w:val="24"/>
          <w:szCs w:val="24"/>
        </w:rPr>
        <w:t>There are no plans to publish the results of this collection of information.</w:t>
      </w:r>
    </w:p>
    <w:p w:rsidR="00AA1E33" w:rsidRPr="00A43385" w:rsidP="00715A07" w14:paraId="303AD0E1" w14:textId="77777777">
      <w:pPr>
        <w:widowControl/>
        <w:ind w:left="720"/>
        <w:rPr>
          <w:b w:val="0"/>
          <w:bCs w:val="0"/>
          <w:sz w:val="24"/>
          <w:szCs w:val="24"/>
        </w:rPr>
      </w:pPr>
    </w:p>
    <w:p w:rsidR="00AA1E33" w:rsidRPr="00C84D80" w:rsidP="00715A07" w14:paraId="5B6C06FA" w14:textId="77777777">
      <w:pPr>
        <w:widowControl/>
        <w:numPr>
          <w:ilvl w:val="0"/>
          <w:numId w:val="18"/>
        </w:numPr>
        <w:tabs>
          <w:tab w:val="left" w:pos="-1440"/>
          <w:tab w:val="clear" w:pos="375"/>
        </w:tabs>
        <w:ind w:left="720" w:hanging="720"/>
        <w:rPr>
          <w:sz w:val="24"/>
          <w:szCs w:val="24"/>
        </w:rPr>
      </w:pPr>
      <w:r w:rsidRPr="00C84D80">
        <w:rPr>
          <w:sz w:val="24"/>
          <w:szCs w:val="24"/>
        </w:rPr>
        <w:t>If seeking approval to not display the expiration date for OMB approval of the information collection, explain the reasons that display would be inappropriate.</w:t>
      </w:r>
    </w:p>
    <w:p w:rsidR="00AA1E33" w:rsidRPr="00A43385" w:rsidP="00715A07" w14:paraId="5A548A59" w14:textId="77777777">
      <w:pPr>
        <w:widowControl/>
        <w:ind w:left="720"/>
        <w:rPr>
          <w:b w:val="0"/>
          <w:bCs w:val="0"/>
          <w:sz w:val="24"/>
          <w:szCs w:val="24"/>
        </w:rPr>
      </w:pPr>
    </w:p>
    <w:p w:rsidR="00AA1E33" w:rsidRPr="00A43385" w:rsidP="00715A07" w14:paraId="784C56E3" w14:textId="6BD90023">
      <w:pPr>
        <w:widowControl/>
        <w:ind w:left="720"/>
        <w:rPr>
          <w:b w:val="0"/>
          <w:bCs w:val="0"/>
          <w:sz w:val="24"/>
          <w:szCs w:val="24"/>
        </w:rPr>
      </w:pPr>
      <w:r w:rsidRPr="00A43385">
        <w:rPr>
          <w:b w:val="0"/>
          <w:bCs w:val="0"/>
          <w:sz w:val="24"/>
          <w:szCs w:val="24"/>
        </w:rPr>
        <w:t>Not applicable</w:t>
      </w:r>
      <w:r w:rsidR="00E06013">
        <w:rPr>
          <w:b w:val="0"/>
          <w:bCs w:val="0"/>
          <w:sz w:val="24"/>
          <w:szCs w:val="24"/>
        </w:rPr>
        <w:t>.</w:t>
      </w:r>
    </w:p>
    <w:p w:rsidR="00C91A54" w:rsidRPr="00C84D80" w:rsidP="00715A07" w14:paraId="23AE4B83" w14:textId="77777777">
      <w:pPr>
        <w:widowControl/>
        <w:ind w:left="720"/>
        <w:rPr>
          <w:i/>
          <w:iCs/>
          <w:sz w:val="24"/>
          <w:szCs w:val="24"/>
        </w:rPr>
      </w:pPr>
    </w:p>
    <w:p w:rsidR="00AA1E33" w:rsidRPr="00C84D80" w:rsidP="00715A07" w14:paraId="70939C9B" w14:textId="0C01595D">
      <w:pPr>
        <w:widowControl/>
        <w:numPr>
          <w:ilvl w:val="0"/>
          <w:numId w:val="18"/>
        </w:numPr>
        <w:tabs>
          <w:tab w:val="left" w:pos="-1440"/>
          <w:tab w:val="clear" w:pos="375"/>
        </w:tabs>
        <w:ind w:left="720" w:hanging="720"/>
        <w:rPr>
          <w:sz w:val="24"/>
          <w:szCs w:val="24"/>
        </w:rPr>
      </w:pPr>
      <w:r w:rsidRPr="007108BE">
        <w:rPr>
          <w:sz w:val="24"/>
          <w:szCs w:val="24"/>
        </w:rPr>
        <w:t>Explain each exception to the topics of the certification statement identified in “Certification for Paperwork Reduction Act Submissions.”</w:t>
      </w:r>
    </w:p>
    <w:p w:rsidR="00AA1E33" w:rsidRPr="00A43385" w:rsidP="00715A07" w14:paraId="69EBD31A" w14:textId="77777777">
      <w:pPr>
        <w:widowControl/>
        <w:ind w:left="720"/>
        <w:rPr>
          <w:sz w:val="24"/>
          <w:szCs w:val="24"/>
        </w:rPr>
      </w:pPr>
    </w:p>
    <w:p w:rsidR="00C353A2" w:rsidRPr="00A43385" w:rsidP="00C140B9" w14:paraId="43BA576B" w14:textId="35B436F0">
      <w:pPr>
        <w:widowControl/>
        <w:ind w:firstLine="720"/>
        <w:outlineLvl w:val="0"/>
        <w:rPr>
          <w:b w:val="0"/>
          <w:bCs w:val="0"/>
          <w:sz w:val="24"/>
          <w:szCs w:val="24"/>
        </w:rPr>
      </w:pPr>
      <w:r>
        <w:rPr>
          <w:b w:val="0"/>
          <w:bCs w:val="0"/>
          <w:sz w:val="24"/>
          <w:szCs w:val="24"/>
        </w:rPr>
        <w:t>There are no exceptions to the certification statement.</w:t>
      </w:r>
    </w:p>
    <w:p w:rsidR="00AA1E33" w:rsidRPr="00D26B60" w:rsidP="00C140B9" w14:paraId="22BB1F0D" w14:textId="77777777">
      <w:pPr>
        <w:ind w:firstLine="720"/>
        <w:rPr>
          <w:sz w:val="24"/>
          <w:szCs w:val="24"/>
        </w:rPr>
      </w:pPr>
    </w:p>
    <w:p w:rsidR="00AA1E33" w:rsidRPr="00A43385" w:rsidP="00D26B60" w14:paraId="7FA2EFA3" w14:textId="77777777">
      <w:pPr>
        <w:rPr>
          <w:szCs w:val="24"/>
        </w:rPr>
      </w:pPr>
      <w:r w:rsidRPr="00D26B60">
        <w:rPr>
          <w:sz w:val="24"/>
          <w:szCs w:val="32"/>
        </w:rPr>
        <w:t>B.</w:t>
      </w:r>
      <w:r w:rsidRPr="00D26B60">
        <w:rPr>
          <w:sz w:val="24"/>
          <w:szCs w:val="32"/>
        </w:rPr>
        <w:tab/>
        <w:t>C</w:t>
      </w:r>
      <w:r w:rsidRPr="00D26B60" w:rsidR="00B97EFE">
        <w:rPr>
          <w:sz w:val="24"/>
          <w:szCs w:val="32"/>
        </w:rPr>
        <w:t>OLLECTIONS OF INFORMATION EMPLOYING STATISTICAL METHODS</w:t>
      </w:r>
    </w:p>
    <w:p w:rsidR="00AA1E33" w:rsidRPr="00A43385" w:rsidP="00715A07" w14:paraId="28D05014" w14:textId="77777777">
      <w:pPr>
        <w:widowControl/>
        <w:ind w:left="720"/>
        <w:rPr>
          <w:b w:val="0"/>
          <w:bCs w:val="0"/>
          <w:sz w:val="24"/>
          <w:szCs w:val="24"/>
        </w:rPr>
      </w:pPr>
    </w:p>
    <w:p w:rsidR="00AA1E33" w:rsidP="00715A07" w14:paraId="5A9CDF83" w14:textId="77777777">
      <w:pPr>
        <w:widowControl/>
        <w:ind w:left="720"/>
        <w:rPr>
          <w:b w:val="0"/>
          <w:bCs w:val="0"/>
          <w:sz w:val="24"/>
          <w:szCs w:val="24"/>
        </w:rPr>
      </w:pPr>
      <w:r w:rsidRPr="00A43385">
        <w:rPr>
          <w:b w:val="0"/>
          <w:bCs w:val="0"/>
          <w:sz w:val="24"/>
          <w:szCs w:val="24"/>
        </w:rPr>
        <w:t>Not applicable.</w:t>
      </w:r>
    </w:p>
    <w:p w:rsidR="00760E39" w:rsidRPr="00C84D80" w:rsidP="005C5B6D" w14:paraId="7073C72C" w14:textId="77777777">
      <w:pPr>
        <w:rPr>
          <w:sz w:val="24"/>
          <w:szCs w:val="24"/>
        </w:rPr>
      </w:pPr>
    </w:p>
    <w:sectPr>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EAC" w14:paraId="3F0D794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22EAC" w14:paraId="02F2D0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0E39" w14:paraId="5F27AEBE" w14:textId="77777777">
    <w:pPr>
      <w:pStyle w:val="Footer"/>
      <w:jc w:val="center"/>
      <w:rPr>
        <w:sz w:val="24"/>
        <w:szCs w:val="24"/>
      </w:rPr>
    </w:pPr>
  </w:p>
  <w:p w:rsidR="00760E39" w:rsidRPr="00C84D80" w14:paraId="10679E72" w14:textId="77777777">
    <w:pPr>
      <w:pStyle w:val="Footer"/>
      <w:jc w:val="center"/>
      <w:rPr>
        <w:b w:val="0"/>
        <w:bCs w:val="0"/>
        <w:sz w:val="24"/>
        <w:szCs w:val="24"/>
      </w:rPr>
    </w:pPr>
    <w:r w:rsidRPr="00C84D80">
      <w:rPr>
        <w:b w:val="0"/>
        <w:bCs w:val="0"/>
        <w:sz w:val="24"/>
        <w:szCs w:val="24"/>
      </w:rPr>
      <w:fldChar w:fldCharType="begin"/>
    </w:r>
    <w:r w:rsidRPr="00C84D80">
      <w:rPr>
        <w:b w:val="0"/>
        <w:bCs w:val="0"/>
        <w:sz w:val="24"/>
        <w:szCs w:val="24"/>
      </w:rPr>
      <w:instrText xml:space="preserve"> PAGE   \* MERGEFORMAT </w:instrText>
    </w:r>
    <w:r w:rsidRPr="00C84D80">
      <w:rPr>
        <w:b w:val="0"/>
        <w:bCs w:val="0"/>
        <w:sz w:val="24"/>
        <w:szCs w:val="24"/>
      </w:rPr>
      <w:fldChar w:fldCharType="separate"/>
    </w:r>
    <w:r w:rsidRPr="00C84D80">
      <w:rPr>
        <w:b w:val="0"/>
        <w:bCs w:val="0"/>
        <w:noProof/>
        <w:sz w:val="24"/>
        <w:szCs w:val="24"/>
      </w:rPr>
      <w:t>2</w:t>
    </w:r>
    <w:r w:rsidRPr="00C84D80">
      <w:rPr>
        <w:b w:val="0"/>
        <w:bCs w:val="0"/>
        <w:noProof/>
        <w:sz w:val="24"/>
        <w:szCs w:val="24"/>
      </w:rPr>
      <w:fldChar w:fldCharType="end"/>
    </w:r>
  </w:p>
  <w:p w:rsidR="00A22EAC" w14:paraId="723632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7668" w14:paraId="32758078" w14:textId="77777777">
      <w:r>
        <w:separator/>
      </w:r>
    </w:p>
  </w:footnote>
  <w:footnote w:type="continuationSeparator" w:id="1">
    <w:p w:rsidR="003D7668" w14:paraId="6534E611" w14:textId="77777777">
      <w:r>
        <w:continuationSeparator/>
      </w:r>
    </w:p>
  </w:footnote>
  <w:footnote w:id="2">
    <w:p w:rsidR="007A6129" w:rsidRPr="00C84D80" w14:paraId="64012043" w14:textId="77777777">
      <w:pPr>
        <w:pStyle w:val="FootnoteText"/>
        <w:rPr>
          <w:b w:val="0"/>
          <w:bCs w:val="0"/>
          <w:sz w:val="20"/>
        </w:rPr>
      </w:pPr>
      <w:r w:rsidRPr="00C84D80">
        <w:rPr>
          <w:rStyle w:val="FootnoteReference"/>
          <w:b w:val="0"/>
          <w:bCs w:val="0"/>
          <w:sz w:val="20"/>
          <w:vertAlign w:val="superscript"/>
        </w:rPr>
        <w:footnoteRef/>
      </w:r>
      <w:r w:rsidRPr="00C84D80">
        <w:rPr>
          <w:b w:val="0"/>
          <w:bCs w:val="0"/>
          <w:sz w:val="20"/>
          <w:vertAlign w:val="superscript"/>
        </w:rPr>
        <w:t xml:space="preserve"> </w:t>
      </w:r>
      <w:r w:rsidRPr="00C84D80" w:rsidR="002B1AFB">
        <w:rPr>
          <w:b w:val="0"/>
          <w:bCs w:val="0"/>
          <w:sz w:val="20"/>
        </w:rPr>
        <w:t>29 CFR 2590.606-1, -2, and -3.</w:t>
      </w:r>
    </w:p>
  </w:footnote>
  <w:footnote w:id="3">
    <w:p w:rsidR="00AE75D3" w:rsidRPr="000B5353" w:rsidP="00AE75D3" w14:paraId="1A3FA48D" w14:textId="55699061">
      <w:pPr>
        <w:pStyle w:val="FootnoteText"/>
        <w:rPr>
          <w:b w:val="0"/>
          <w:sz w:val="20"/>
        </w:rPr>
      </w:pPr>
      <w:r w:rsidRPr="0031251A">
        <w:rPr>
          <w:rStyle w:val="FootnoteReference"/>
          <w:b w:val="0"/>
          <w:sz w:val="20"/>
          <w:vertAlign w:val="superscript"/>
        </w:rPr>
        <w:footnoteRef/>
      </w:r>
      <w:r w:rsidRPr="0031251A">
        <w:rPr>
          <w:b w:val="0"/>
          <w:sz w:val="20"/>
        </w:rPr>
        <w:t xml:space="preserve"> </w:t>
      </w:r>
      <w:r w:rsidRPr="000B5353">
        <w:rPr>
          <w:b w:val="0"/>
          <w:sz w:val="20"/>
        </w:rPr>
        <w:t>Internal DOL calculation based on 202</w:t>
      </w:r>
      <w:r w:rsidR="00E27895">
        <w:rPr>
          <w:b w:val="0"/>
          <w:sz w:val="20"/>
        </w:rPr>
        <w:t>5</w:t>
      </w:r>
      <w:r w:rsidRPr="000B5353">
        <w:rPr>
          <w:b w:val="0"/>
          <w:sz w:val="20"/>
        </w:rPr>
        <w:t xml:space="preserve"> labor cost data.  For a description of the Department’s methodology for calculating wage rates, see </w:t>
      </w:r>
      <w:hyperlink r:id="rId1" w:history="1">
        <w:r w:rsidRPr="007F68FE" w:rsidR="00C00B56">
          <w:rPr>
            <w:rStyle w:val="Hyperlink"/>
            <w:b w:val="0"/>
            <w:sz w:val="20"/>
          </w:rPr>
          <w:t>https://www.dol.gov/sites/dolgov/files/EBSA/laws-and-regulations/rules-and-regulations/technical-appendices/labor-cost-inputs-used-in-ebsa-opr-ria-and-pra-burden-calculations-june-2019.pdf</w:t>
        </w:r>
      </w:hyperlink>
      <w:r w:rsidRPr="0031251A">
        <w:rPr>
          <w:b w:val="0"/>
          <w:sz w:val="20"/>
        </w:rPr>
        <w:t>.</w:t>
      </w:r>
    </w:p>
  </w:footnote>
  <w:footnote w:id="4">
    <w:p w:rsidR="00A22EAC" w:rsidRPr="00C1747B" w:rsidP="005C43CA" w14:paraId="716DFBC1" w14:textId="60276C2C">
      <w:pPr>
        <w:widowControl/>
      </w:pPr>
      <w:r w:rsidRPr="0018328D">
        <w:rPr>
          <w:rStyle w:val="FootnoteReference"/>
          <w:b w:val="0"/>
          <w:vertAlign w:val="superscript"/>
        </w:rPr>
        <w:footnoteRef/>
      </w:r>
      <w:r w:rsidRPr="0018328D">
        <w:rPr>
          <w:b w:val="0"/>
        </w:rPr>
        <w:t xml:space="preserve"> EBSA estimates based </w:t>
      </w:r>
      <w:r w:rsidRPr="00C1747B">
        <w:rPr>
          <w:b w:val="0"/>
        </w:rPr>
        <w:t xml:space="preserve">on the </w:t>
      </w:r>
      <w:r w:rsidR="003B79A1">
        <w:rPr>
          <w:b w:val="0"/>
        </w:rPr>
        <w:t>2024</w:t>
      </w:r>
      <w:r w:rsidRPr="00C1747B" w:rsidR="003B79A1">
        <w:rPr>
          <w:b w:val="0"/>
        </w:rPr>
        <w:t xml:space="preserve"> </w:t>
      </w:r>
      <w:r w:rsidRPr="00C1747B">
        <w:rPr>
          <w:b w:val="0"/>
        </w:rPr>
        <w:t xml:space="preserve">Medical Expenditure Panel Survey, Insurance Component (MEPS-IC) and the </w:t>
      </w:r>
      <w:r w:rsidRPr="00C1747B">
        <w:rPr>
          <w:rFonts w:cs="Courier New"/>
          <w:b w:val="0"/>
          <w:bCs w:val="0"/>
        </w:rPr>
        <w:t xml:space="preserve">U.S. Department of Labor, EBSA calculations using the March </w:t>
      </w:r>
      <w:r w:rsidR="003B79A1">
        <w:rPr>
          <w:rFonts w:cs="Courier New"/>
          <w:b w:val="0"/>
          <w:bCs w:val="0"/>
        </w:rPr>
        <w:t>2023</w:t>
      </w:r>
      <w:r w:rsidRPr="00C1747B" w:rsidR="003B79A1">
        <w:rPr>
          <w:rFonts w:cs="Courier New"/>
          <w:b w:val="0"/>
          <w:bCs w:val="0"/>
        </w:rPr>
        <w:t xml:space="preserve"> </w:t>
      </w:r>
      <w:r w:rsidRPr="00C1747B">
        <w:rPr>
          <w:rFonts w:cs="Courier New"/>
          <w:b w:val="0"/>
          <w:bCs w:val="0"/>
        </w:rPr>
        <w:t xml:space="preserve">Current Population Survey Annual Social and Economic Supplement and the </w:t>
      </w:r>
      <w:r w:rsidR="003B79A1">
        <w:rPr>
          <w:rFonts w:cs="Courier New"/>
          <w:b w:val="0"/>
          <w:bCs w:val="0"/>
        </w:rPr>
        <w:t>2024</w:t>
      </w:r>
      <w:r w:rsidRPr="00C1747B" w:rsidR="003B79A1">
        <w:rPr>
          <w:rFonts w:cs="Courier New"/>
          <w:b w:val="0"/>
          <w:bCs w:val="0"/>
        </w:rPr>
        <w:t xml:space="preserve"> </w:t>
      </w:r>
      <w:r w:rsidRPr="00C1747B">
        <w:rPr>
          <w:rFonts w:cs="Courier New"/>
          <w:b w:val="0"/>
          <w:bCs w:val="0"/>
        </w:rPr>
        <w:t>Medical Expenditure Panel Survey.</w:t>
      </w:r>
    </w:p>
  </w:footnote>
  <w:footnote w:id="5">
    <w:p w:rsidR="00A22EAC" w:rsidRPr="00C1747B" w:rsidP="005C43CA" w14:paraId="23601819" w14:textId="29BC70C0">
      <w:pPr>
        <w:widowControl/>
      </w:pPr>
      <w:r w:rsidRPr="00C1747B">
        <w:rPr>
          <w:rStyle w:val="FootnoteReference"/>
          <w:b w:val="0"/>
          <w:vertAlign w:val="superscript"/>
        </w:rPr>
        <w:footnoteRef/>
      </w:r>
      <w:r w:rsidRPr="00C1747B">
        <w:rPr>
          <w:b w:val="0"/>
        </w:rPr>
        <w:t xml:space="preserve"> The number of new hires in the private sector is based on the Bureau of Labor Statistics </w:t>
      </w:r>
      <w:r w:rsidR="003B79A1">
        <w:rPr>
          <w:b w:val="0"/>
        </w:rPr>
        <w:t>2024</w:t>
      </w:r>
      <w:r w:rsidRPr="00C1747B" w:rsidR="003B79A1">
        <w:rPr>
          <w:b w:val="0"/>
        </w:rPr>
        <w:t xml:space="preserve"> </w:t>
      </w:r>
      <w:r w:rsidRPr="00E81E73">
        <w:rPr>
          <w:b w:val="0"/>
          <w:iCs/>
        </w:rPr>
        <w:t xml:space="preserve">Job Openings and Labor Turnover Survey </w:t>
      </w:r>
      <w:r w:rsidRPr="00C1747B">
        <w:rPr>
          <w:b w:val="0"/>
        </w:rPr>
        <w:t xml:space="preserve">(JOLTS). This total was multiplied by the share of workers that are ESI policy holders (from the </w:t>
      </w:r>
      <w:r w:rsidR="003B79A1">
        <w:rPr>
          <w:b w:val="0"/>
        </w:rPr>
        <w:t>2024</w:t>
      </w:r>
      <w:r w:rsidRPr="00C1747B" w:rsidR="003B79A1">
        <w:rPr>
          <w:b w:val="0"/>
        </w:rPr>
        <w:t xml:space="preserve"> </w:t>
      </w:r>
      <w:r w:rsidRPr="00C1747B">
        <w:rPr>
          <w:b w:val="0"/>
        </w:rPr>
        <w:t xml:space="preserve">MEPS-IC) and the share with dependents living outside the household, based on </w:t>
      </w:r>
      <w:r w:rsidRPr="00C1747B">
        <w:rPr>
          <w:rFonts w:cs="Courier New"/>
          <w:b w:val="0"/>
        </w:rPr>
        <w:t xml:space="preserve">U.S. Department of Labor, EBSA calculations using the March </w:t>
      </w:r>
      <w:r w:rsidR="003B79A1">
        <w:rPr>
          <w:rFonts w:cs="Courier New"/>
          <w:b w:val="0"/>
        </w:rPr>
        <w:t>2023</w:t>
      </w:r>
      <w:r w:rsidRPr="00C1747B" w:rsidR="003B79A1">
        <w:rPr>
          <w:rFonts w:cs="Courier New"/>
          <w:b w:val="0"/>
        </w:rPr>
        <w:t xml:space="preserve"> </w:t>
      </w:r>
      <w:r w:rsidRPr="00C1747B">
        <w:rPr>
          <w:rFonts w:cs="Courier New"/>
          <w:b w:val="0"/>
        </w:rPr>
        <w:t xml:space="preserve">Current Population Survey Annual Social and Economic Supplement and the </w:t>
      </w:r>
      <w:r w:rsidR="003B79A1">
        <w:rPr>
          <w:rFonts w:cs="Courier New"/>
          <w:b w:val="0"/>
        </w:rPr>
        <w:t>2024</w:t>
      </w:r>
      <w:r w:rsidRPr="00C1747B" w:rsidR="003B79A1">
        <w:rPr>
          <w:rFonts w:cs="Courier New"/>
          <w:b w:val="0"/>
        </w:rPr>
        <w:t xml:space="preserve"> </w:t>
      </w:r>
      <w:r w:rsidRPr="00C1747B">
        <w:rPr>
          <w:rFonts w:cs="Courier New"/>
          <w:b w:val="0"/>
        </w:rPr>
        <w:t>Medical Expenditure Panel Survey.</w:t>
      </w:r>
    </w:p>
  </w:footnote>
  <w:footnote w:id="6">
    <w:p w:rsidR="00A22EAC" w:rsidRPr="00C1747B" w:rsidP="00D45EF9" w14:paraId="388929A9" w14:textId="6AC8FAC8">
      <w:pPr>
        <w:pStyle w:val="FootnoteText"/>
        <w:rPr>
          <w:sz w:val="20"/>
        </w:rPr>
      </w:pPr>
      <w:r w:rsidRPr="00C1747B">
        <w:rPr>
          <w:rStyle w:val="FootnoteReference"/>
          <w:b w:val="0"/>
          <w:sz w:val="20"/>
          <w:vertAlign w:val="superscript"/>
        </w:rPr>
        <w:footnoteRef/>
      </w:r>
      <w:r w:rsidRPr="00C1747B">
        <w:rPr>
          <w:b w:val="0"/>
          <w:sz w:val="20"/>
        </w:rPr>
        <w:t xml:space="preserve"> EBSA estimates for insurance holders leaving their job is based on </w:t>
      </w:r>
      <w:r w:rsidRPr="00C1747B" w:rsidR="00C67353">
        <w:rPr>
          <w:b w:val="0"/>
          <w:sz w:val="20"/>
        </w:rPr>
        <w:t xml:space="preserve">March </w:t>
      </w:r>
      <w:r w:rsidR="003B79A1">
        <w:rPr>
          <w:b w:val="0"/>
          <w:sz w:val="20"/>
        </w:rPr>
        <w:t>2023</w:t>
      </w:r>
      <w:r w:rsidRPr="00C1747B" w:rsidR="003B79A1">
        <w:rPr>
          <w:b w:val="0"/>
          <w:sz w:val="20"/>
        </w:rPr>
        <w:t xml:space="preserve"> </w:t>
      </w:r>
      <w:r w:rsidRPr="00C1747B" w:rsidR="00C67353">
        <w:rPr>
          <w:b w:val="0"/>
          <w:sz w:val="20"/>
        </w:rPr>
        <w:t xml:space="preserve">Current Population Survey Annual Social and Economic Supplement. </w:t>
      </w:r>
    </w:p>
  </w:footnote>
  <w:footnote w:id="7">
    <w:p w:rsidR="00A22EAC" w:rsidRPr="00C1747B" w:rsidP="00D45EF9" w14:paraId="0110032D" w14:textId="527C7CFE">
      <w:pPr>
        <w:pStyle w:val="FootnoteText"/>
        <w:rPr>
          <w:sz w:val="20"/>
        </w:rPr>
      </w:pPr>
      <w:r w:rsidRPr="00C1747B">
        <w:rPr>
          <w:rStyle w:val="FootnoteReference"/>
          <w:b w:val="0"/>
          <w:sz w:val="20"/>
          <w:vertAlign w:val="superscript"/>
        </w:rPr>
        <w:footnoteRef/>
      </w:r>
      <w:r w:rsidRPr="00C1747B">
        <w:rPr>
          <w:b w:val="0"/>
          <w:sz w:val="20"/>
        </w:rPr>
        <w:t xml:space="preserve"> </w:t>
      </w:r>
      <w:r w:rsidRPr="00C1747B" w:rsidR="004F55C9">
        <w:rPr>
          <w:b w:val="0"/>
          <w:sz w:val="20"/>
        </w:rPr>
        <w:t xml:space="preserve">Death notices based on the </w:t>
      </w:r>
      <w:r w:rsidR="003B79A1">
        <w:rPr>
          <w:b w:val="0"/>
          <w:sz w:val="20"/>
        </w:rPr>
        <w:t>2025</w:t>
      </w:r>
      <w:r w:rsidRPr="00C1747B" w:rsidR="003B79A1">
        <w:rPr>
          <w:b w:val="0"/>
          <w:sz w:val="20"/>
        </w:rPr>
        <w:t xml:space="preserve"> </w:t>
      </w:r>
      <w:r w:rsidRPr="00C1747B" w:rsidR="004F55C9">
        <w:rPr>
          <w:b w:val="0"/>
          <w:sz w:val="20"/>
        </w:rPr>
        <w:t>Social Security Actuarial Life Tables of working age population (15-64)</w:t>
      </w:r>
      <w:r w:rsidRPr="00C1747B" w:rsidR="00716AB4">
        <w:rPr>
          <w:b w:val="0"/>
          <w:sz w:val="20"/>
        </w:rPr>
        <w:t xml:space="preserve"> </w:t>
      </w:r>
      <w:r w:rsidRPr="00C1747B" w:rsidR="004F55C9">
        <w:rPr>
          <w:b w:val="0"/>
          <w:sz w:val="20"/>
        </w:rPr>
        <w:t xml:space="preserve">and the share of ESI policy holders with dependents from the March </w:t>
      </w:r>
      <w:r w:rsidR="003B79A1">
        <w:rPr>
          <w:b w:val="0"/>
          <w:sz w:val="20"/>
        </w:rPr>
        <w:t>2023</w:t>
      </w:r>
      <w:r w:rsidRPr="00C1747B" w:rsidR="003B79A1">
        <w:rPr>
          <w:b w:val="0"/>
          <w:sz w:val="20"/>
        </w:rPr>
        <w:t xml:space="preserve"> </w:t>
      </w:r>
      <w:r w:rsidRPr="00C1747B" w:rsidR="00231ADF">
        <w:rPr>
          <w:b w:val="0"/>
          <w:sz w:val="20"/>
        </w:rPr>
        <w:t>Current Population Survey</w:t>
      </w:r>
      <w:r w:rsidRPr="00C1747B" w:rsidR="004F55C9">
        <w:rPr>
          <w:b w:val="0"/>
          <w:sz w:val="20"/>
        </w:rPr>
        <w:t>.</w:t>
      </w:r>
    </w:p>
  </w:footnote>
  <w:footnote w:id="8">
    <w:p w:rsidR="00A22EAC" w:rsidRPr="0018328D" w:rsidP="005C43CA" w14:paraId="5E569376" w14:textId="0377C143">
      <w:pPr>
        <w:widowControl/>
      </w:pPr>
      <w:r w:rsidRPr="00C1747B">
        <w:rPr>
          <w:rStyle w:val="FootnoteReference"/>
          <w:b w:val="0"/>
          <w:vertAlign w:val="superscript"/>
        </w:rPr>
        <w:footnoteRef/>
      </w:r>
      <w:r w:rsidRPr="00C1747B">
        <w:rPr>
          <w:b w:val="0"/>
        </w:rPr>
        <w:t xml:space="preserve"> EBSA estimates of the share of policy holders that become Medicare eligible is based on the U.S. Department of Labor, EBSA calculations using the March </w:t>
      </w:r>
      <w:r w:rsidR="003B79A1">
        <w:rPr>
          <w:b w:val="0"/>
        </w:rPr>
        <w:t>2023</w:t>
      </w:r>
      <w:r w:rsidRPr="00C1747B" w:rsidR="003B79A1">
        <w:rPr>
          <w:b w:val="0"/>
        </w:rPr>
        <w:t xml:space="preserve"> </w:t>
      </w:r>
      <w:r w:rsidRPr="00C1747B">
        <w:rPr>
          <w:b w:val="0"/>
        </w:rPr>
        <w:t xml:space="preserve">Current Population Survey Annual Social and Economic Supplement and the </w:t>
      </w:r>
      <w:r w:rsidR="003B79A1">
        <w:rPr>
          <w:b w:val="0"/>
        </w:rPr>
        <w:t>2024</w:t>
      </w:r>
      <w:r w:rsidRPr="00C1747B" w:rsidR="003B79A1">
        <w:rPr>
          <w:b w:val="0"/>
        </w:rPr>
        <w:t xml:space="preserve"> </w:t>
      </w:r>
      <w:r w:rsidRPr="00C1747B">
        <w:rPr>
          <w:b w:val="0"/>
        </w:rPr>
        <w:t>Medical Expenditure Panel Survey.</w:t>
      </w:r>
    </w:p>
  </w:footnote>
  <w:footnote w:id="9">
    <w:p w:rsidR="00A22EAC" w:rsidRPr="0018328D" w:rsidP="000F0248" w14:paraId="3A6405F6" w14:textId="6011EAC6">
      <w:pPr>
        <w:pStyle w:val="FootnoteText"/>
        <w:rPr>
          <w:sz w:val="20"/>
        </w:rPr>
      </w:pPr>
      <w:r w:rsidRPr="0018328D">
        <w:rPr>
          <w:rStyle w:val="FootnoteReference"/>
          <w:b w:val="0"/>
          <w:sz w:val="20"/>
          <w:vertAlign w:val="superscript"/>
        </w:rPr>
        <w:footnoteRef/>
      </w:r>
      <w:r w:rsidRPr="0018328D">
        <w:rPr>
          <w:b w:val="0"/>
          <w:sz w:val="20"/>
        </w:rPr>
        <w:t xml:space="preserve"> EBSA estimates based on the divorce rate as reported in the CDC’s </w:t>
      </w:r>
      <w:r w:rsidR="003B79A1">
        <w:rPr>
          <w:b w:val="0"/>
          <w:sz w:val="20"/>
        </w:rPr>
        <w:t>2023</w:t>
      </w:r>
      <w:r w:rsidRPr="0018328D" w:rsidR="003B79A1">
        <w:rPr>
          <w:b w:val="0"/>
          <w:sz w:val="20"/>
        </w:rPr>
        <w:t xml:space="preserve"> </w:t>
      </w:r>
      <w:r w:rsidRPr="0018328D">
        <w:rPr>
          <w:b w:val="0"/>
          <w:i/>
          <w:sz w:val="20"/>
        </w:rPr>
        <w:t>Vital Statistic</w:t>
      </w:r>
      <w:r w:rsidRPr="0018328D" w:rsidR="004F55C9">
        <w:rPr>
          <w:b w:val="0"/>
          <w:sz w:val="20"/>
        </w:rPr>
        <w:t>s</w:t>
      </w:r>
      <w:r w:rsidRPr="0018328D" w:rsidR="00C67353">
        <w:rPr>
          <w:b w:val="0"/>
          <w:sz w:val="20"/>
        </w:rPr>
        <w:t xml:space="preserve"> </w:t>
      </w:r>
      <w:r w:rsidRPr="00570D82" w:rsidR="00C67353">
        <w:rPr>
          <w:b w:val="0"/>
          <w:i/>
          <w:sz w:val="20"/>
        </w:rPr>
        <w:t>Report</w:t>
      </w:r>
      <w:r w:rsidRPr="0018328D" w:rsidR="003A0E7C">
        <w:rPr>
          <w:b w:val="0"/>
          <w:sz w:val="20"/>
        </w:rPr>
        <w:t xml:space="preserve">. </w:t>
      </w:r>
    </w:p>
  </w:footnote>
  <w:footnote w:id="10">
    <w:p w:rsidR="00A22EAC" w:rsidRPr="0018328D" w:rsidP="005C43CA" w14:paraId="2A45897B" w14:textId="384209F8">
      <w:pPr>
        <w:widowControl/>
      </w:pPr>
      <w:r w:rsidRPr="0018328D">
        <w:rPr>
          <w:rStyle w:val="FootnoteReference"/>
          <w:b w:val="0"/>
          <w:vertAlign w:val="superscript"/>
        </w:rPr>
        <w:footnoteRef/>
      </w:r>
      <w:r w:rsidRPr="0018328D">
        <w:rPr>
          <w:b w:val="0"/>
        </w:rPr>
        <w:t xml:space="preserve"> EBSA estimates based on the U.S. Department of Labor, EBSA calculations using the </w:t>
      </w:r>
      <w:r w:rsidRPr="0018328D" w:rsidR="004F55C9">
        <w:rPr>
          <w:b w:val="0"/>
        </w:rPr>
        <w:t xml:space="preserve">ratio of </w:t>
      </w:r>
      <w:r w:rsidRPr="0018328D" w:rsidR="00F50C6F">
        <w:rPr>
          <w:b w:val="0"/>
        </w:rPr>
        <w:t>25-year-old</w:t>
      </w:r>
      <w:r w:rsidRPr="0018328D" w:rsidR="004F55C9">
        <w:rPr>
          <w:b w:val="0"/>
        </w:rPr>
        <w:t xml:space="preserve"> dependents on parents</w:t>
      </w:r>
      <w:r w:rsidRPr="0018328D" w:rsidR="00DA741D">
        <w:rPr>
          <w:b w:val="0"/>
        </w:rPr>
        <w:t>’</w:t>
      </w:r>
      <w:r w:rsidRPr="0018328D" w:rsidR="004F55C9">
        <w:rPr>
          <w:b w:val="0"/>
        </w:rPr>
        <w:t xml:space="preserve"> ESI to ESI policy holders from the March </w:t>
      </w:r>
      <w:r w:rsidR="003B79A1">
        <w:rPr>
          <w:b w:val="0"/>
        </w:rPr>
        <w:t>2023</w:t>
      </w:r>
      <w:r w:rsidRPr="0018328D" w:rsidR="003B79A1">
        <w:rPr>
          <w:b w:val="0"/>
        </w:rPr>
        <w:t xml:space="preserve"> </w:t>
      </w:r>
      <w:r w:rsidRPr="0018328D" w:rsidR="004F55C9">
        <w:rPr>
          <w:b w:val="0"/>
        </w:rPr>
        <w:t>Current Population Survey</w:t>
      </w:r>
      <w:r w:rsidRPr="0018328D" w:rsidR="00DA741D">
        <w:rPr>
          <w:b w:val="0"/>
        </w:rPr>
        <w:t>.</w:t>
      </w:r>
    </w:p>
  </w:footnote>
  <w:footnote w:id="11">
    <w:p w:rsidR="00A22EAC" w:rsidRPr="00C21129" w:rsidP="005C43CA" w14:paraId="48B808BA" w14:textId="6F26167D">
      <w:pPr>
        <w:widowControl/>
      </w:pPr>
      <w:r w:rsidRPr="0018328D">
        <w:rPr>
          <w:rStyle w:val="FootnoteReference"/>
          <w:b w:val="0"/>
          <w:vertAlign w:val="superscript"/>
        </w:rPr>
        <w:footnoteRef/>
      </w:r>
      <w:r w:rsidRPr="0018328D">
        <w:rPr>
          <w:b w:val="0"/>
        </w:rPr>
        <w:t xml:space="preserve"> EBSA estimates of COBRA enrollees are based on the U.S. Department of Labor, EBSA calculations using the March </w:t>
      </w:r>
      <w:r w:rsidR="003B79A1">
        <w:rPr>
          <w:b w:val="0"/>
        </w:rPr>
        <w:t>2023</w:t>
      </w:r>
      <w:r w:rsidRPr="0018328D" w:rsidR="003B79A1">
        <w:rPr>
          <w:b w:val="0"/>
        </w:rPr>
        <w:t xml:space="preserve"> </w:t>
      </w:r>
      <w:r w:rsidRPr="0018328D">
        <w:rPr>
          <w:b w:val="0"/>
        </w:rPr>
        <w:t xml:space="preserve">Current Population Survey Annual Social and Economic Supplement and the </w:t>
      </w:r>
      <w:r w:rsidR="003B79A1">
        <w:rPr>
          <w:b w:val="0"/>
        </w:rPr>
        <w:t>2024</w:t>
      </w:r>
      <w:r w:rsidRPr="0018328D" w:rsidR="003B79A1">
        <w:rPr>
          <w:b w:val="0"/>
        </w:rPr>
        <w:t xml:space="preserve"> </w:t>
      </w:r>
      <w:r w:rsidRPr="0018328D">
        <w:rPr>
          <w:b w:val="0"/>
        </w:rPr>
        <w:t>Medical Expenditure Panel Survey.  The share experiencing a second qualifying event is based on the previously reported</w:t>
      </w:r>
      <w:r w:rsidRPr="00C21129">
        <w:rPr>
          <w:b w:val="0"/>
        </w:rPr>
        <w:t xml:space="preserve"> share of the population experiencing divorce or aging out, and the assumption from the previous COBRA </w:t>
      </w:r>
      <w:r w:rsidRPr="0018328D">
        <w:rPr>
          <w:b w:val="0"/>
        </w:rPr>
        <w:t>PRA that 1 percent of</w:t>
      </w:r>
      <w:r w:rsidRPr="00C21129">
        <w:rPr>
          <w:b w:val="0"/>
        </w:rPr>
        <w:t xml:space="preserve"> the COBRA population is disabled.</w:t>
      </w:r>
    </w:p>
  </w:footnote>
  <w:footnote w:id="12">
    <w:p w:rsidR="00A22EAC" w:rsidRPr="00C21129" w:rsidP="000D3063" w14:paraId="5733A7A1" w14:textId="77777777">
      <w:pPr>
        <w:pStyle w:val="FootnoteText"/>
        <w:rPr>
          <w:sz w:val="20"/>
        </w:rPr>
      </w:pPr>
      <w:r w:rsidRPr="0018328D">
        <w:rPr>
          <w:rStyle w:val="FootnoteReference"/>
          <w:b w:val="0"/>
          <w:sz w:val="20"/>
          <w:vertAlign w:val="superscript"/>
        </w:rPr>
        <w:footnoteRef/>
      </w:r>
      <w:r w:rsidRPr="0018328D">
        <w:rPr>
          <w:b w:val="0"/>
          <w:sz w:val="20"/>
        </w:rPr>
        <w:t xml:space="preserve"> </w:t>
      </w:r>
      <w:bookmarkStart w:id="2" w:name="OLE_LINK2"/>
      <w:r w:rsidRPr="0018328D">
        <w:rPr>
          <w:b w:val="0"/>
          <w:sz w:val="20"/>
        </w:rPr>
        <w:t>EBSA estimates of the share of COBRA enrollees exiting COBRA early during a year are based on raw, unpublished average duration of COBRA coverage data provided by the Spencer Group in 2006</w:t>
      </w:r>
      <w:bookmarkEnd w:id="2"/>
      <w:r w:rsidRPr="0018328D">
        <w:rPr>
          <w:b w:val="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EAC" w:rsidRPr="00C84D80" w:rsidP="00C84D80" w14:paraId="2A2E3DA6" w14:textId="7D335E55">
    <w:r w:rsidRPr="00C84D80">
      <w:t>Notice Requirements of the</w:t>
    </w:r>
    <w:r w:rsidRPr="00C84D80" w:rsidR="00AB441F">
      <w:t xml:space="preserve"> </w:t>
    </w:r>
    <w:r w:rsidRPr="00C84D80">
      <w:t>Health Care Continuation Coverage Provisions</w:t>
    </w:r>
  </w:p>
  <w:p w:rsidR="00A22EAC" w:rsidRPr="00C84D80" w:rsidP="00C84D80" w14:paraId="4AFFD056" w14:textId="36B6DC6A">
    <w:r w:rsidRPr="00C84D80">
      <w:t xml:space="preserve">OMB </w:t>
    </w:r>
    <w:r w:rsidRPr="00C84D80" w:rsidR="00AB441F">
      <w:t>Control Number</w:t>
    </w:r>
    <w:r w:rsidRPr="00C84D80" w:rsidR="00322E76">
      <w:t xml:space="preserve"> </w:t>
    </w:r>
    <w:r w:rsidRPr="00C84D80">
      <w:t>1210-0123</w:t>
    </w:r>
  </w:p>
  <w:p w:rsidR="00A22EAC" w:rsidP="00AB441F" w14:paraId="52E85493" w14:textId="5DAC69B5">
    <w:pPr>
      <w:pStyle w:val="Header"/>
      <w:rPr>
        <w:b w:val="0"/>
        <w:bCs w:val="0"/>
      </w:rPr>
    </w:pPr>
    <w:r w:rsidRPr="00C84D80">
      <w:t>Expiration Date: 01/31/</w:t>
    </w:r>
    <w:r w:rsidRPr="00C84D80" w:rsidR="0056020D">
      <w:t>202</w:t>
    </w:r>
    <w:r w:rsidR="0056020D">
      <w:t>6</w:t>
    </w:r>
  </w:p>
  <w:p w:rsidR="00322E76" w:rsidP="00C84D80" w14:paraId="360163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4132AC"/>
    <w:multiLevelType w:val="hybridMultilevel"/>
    <w:tmpl w:val="7BD05A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AE7538"/>
    <w:multiLevelType w:val="hybridMultilevel"/>
    <w:tmpl w:val="EE34F29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C976E0"/>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046665"/>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E8F1C20"/>
    <w:multiLevelType w:val="hybridMultilevel"/>
    <w:tmpl w:val="37CCD662"/>
    <w:lvl w:ilvl="0">
      <w:start w:val="1"/>
      <w:numFmt w:val="bullet"/>
      <w:lvlText w:val=""/>
      <w:lvlJc w:val="left"/>
      <w:pPr>
        <w:tabs>
          <w:tab w:val="num" w:pos="1447"/>
        </w:tabs>
        <w:ind w:left="1447" w:hanging="360"/>
      </w:pPr>
      <w:rPr>
        <w:rFonts w:ascii="Symbol" w:hAnsi="Symbol" w:hint="default"/>
      </w:rPr>
    </w:lvl>
    <w:lvl w:ilvl="1" w:tentative="1">
      <w:start w:val="1"/>
      <w:numFmt w:val="bullet"/>
      <w:lvlText w:val="o"/>
      <w:lvlJc w:val="left"/>
      <w:pPr>
        <w:tabs>
          <w:tab w:val="num" w:pos="2167"/>
        </w:tabs>
        <w:ind w:left="2167" w:hanging="360"/>
      </w:pPr>
      <w:rPr>
        <w:rFonts w:ascii="Courier New" w:hAnsi="Courier New" w:cs="Courier New" w:hint="default"/>
      </w:rPr>
    </w:lvl>
    <w:lvl w:ilvl="2" w:tentative="1">
      <w:start w:val="1"/>
      <w:numFmt w:val="bullet"/>
      <w:lvlText w:val=""/>
      <w:lvlJc w:val="left"/>
      <w:pPr>
        <w:tabs>
          <w:tab w:val="num" w:pos="2887"/>
        </w:tabs>
        <w:ind w:left="2887" w:hanging="360"/>
      </w:pPr>
      <w:rPr>
        <w:rFonts w:ascii="Wingdings" w:hAnsi="Wingdings" w:hint="default"/>
      </w:rPr>
    </w:lvl>
    <w:lvl w:ilvl="3" w:tentative="1">
      <w:start w:val="1"/>
      <w:numFmt w:val="bullet"/>
      <w:lvlText w:val=""/>
      <w:lvlJc w:val="left"/>
      <w:pPr>
        <w:tabs>
          <w:tab w:val="num" w:pos="3607"/>
        </w:tabs>
        <w:ind w:left="3607" w:hanging="360"/>
      </w:pPr>
      <w:rPr>
        <w:rFonts w:ascii="Symbol" w:hAnsi="Symbol" w:hint="default"/>
      </w:rPr>
    </w:lvl>
    <w:lvl w:ilvl="4" w:tentative="1">
      <w:start w:val="1"/>
      <w:numFmt w:val="bullet"/>
      <w:lvlText w:val="o"/>
      <w:lvlJc w:val="left"/>
      <w:pPr>
        <w:tabs>
          <w:tab w:val="num" w:pos="4327"/>
        </w:tabs>
        <w:ind w:left="4327" w:hanging="360"/>
      </w:pPr>
      <w:rPr>
        <w:rFonts w:ascii="Courier New" w:hAnsi="Courier New" w:cs="Courier New" w:hint="default"/>
      </w:rPr>
    </w:lvl>
    <w:lvl w:ilvl="5" w:tentative="1">
      <w:start w:val="1"/>
      <w:numFmt w:val="bullet"/>
      <w:lvlText w:val=""/>
      <w:lvlJc w:val="left"/>
      <w:pPr>
        <w:tabs>
          <w:tab w:val="num" w:pos="5047"/>
        </w:tabs>
        <w:ind w:left="5047" w:hanging="360"/>
      </w:pPr>
      <w:rPr>
        <w:rFonts w:ascii="Wingdings" w:hAnsi="Wingdings" w:hint="default"/>
      </w:rPr>
    </w:lvl>
    <w:lvl w:ilvl="6" w:tentative="1">
      <w:start w:val="1"/>
      <w:numFmt w:val="bullet"/>
      <w:lvlText w:val=""/>
      <w:lvlJc w:val="left"/>
      <w:pPr>
        <w:tabs>
          <w:tab w:val="num" w:pos="5767"/>
        </w:tabs>
        <w:ind w:left="5767" w:hanging="360"/>
      </w:pPr>
      <w:rPr>
        <w:rFonts w:ascii="Symbol" w:hAnsi="Symbol" w:hint="default"/>
      </w:rPr>
    </w:lvl>
    <w:lvl w:ilvl="7" w:tentative="1">
      <w:start w:val="1"/>
      <w:numFmt w:val="bullet"/>
      <w:lvlText w:val="o"/>
      <w:lvlJc w:val="left"/>
      <w:pPr>
        <w:tabs>
          <w:tab w:val="num" w:pos="6487"/>
        </w:tabs>
        <w:ind w:left="6487" w:hanging="360"/>
      </w:pPr>
      <w:rPr>
        <w:rFonts w:ascii="Courier New" w:hAnsi="Courier New" w:cs="Courier New" w:hint="default"/>
      </w:rPr>
    </w:lvl>
    <w:lvl w:ilvl="8" w:tentative="1">
      <w:start w:val="1"/>
      <w:numFmt w:val="bullet"/>
      <w:lvlText w:val=""/>
      <w:lvlJc w:val="left"/>
      <w:pPr>
        <w:tabs>
          <w:tab w:val="num" w:pos="7207"/>
        </w:tabs>
        <w:ind w:left="7207" w:hanging="360"/>
      </w:pPr>
      <w:rPr>
        <w:rFonts w:ascii="Wingdings" w:hAnsi="Wingdings" w:hint="default"/>
      </w:rPr>
    </w:lvl>
  </w:abstractNum>
  <w:abstractNum w:abstractNumId="10">
    <w:nsid w:val="2F1C053D"/>
    <w:multiLevelType w:val="hybridMultilevel"/>
    <w:tmpl w:val="77FEE9A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DF4E66"/>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45D1452"/>
    <w:multiLevelType w:val="hybridMultilevel"/>
    <w:tmpl w:val="7F6856F4"/>
    <w:lvl w:ilvl="0">
      <w:start w:val="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D1680A"/>
    <w:multiLevelType w:val="hybridMultilevel"/>
    <w:tmpl w:val="ED0A3380"/>
    <w:lvl w:ilvl="0">
      <w:start w:val="15"/>
      <w:numFmt w:val="decimal"/>
      <w:lvlText w:val="%1."/>
      <w:lvlJc w:val="left"/>
      <w:pPr>
        <w:tabs>
          <w:tab w:val="num" w:pos="375"/>
        </w:tabs>
        <w:ind w:left="375" w:hanging="375"/>
      </w:pPr>
      <w:rPr>
        <w:rFonts w:hint="default"/>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1546C73"/>
    <w:multiLevelType w:val="hybridMultilevel"/>
    <w:tmpl w:val="6A5CAA3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C40C23"/>
    <w:multiLevelType w:val="hybridMultilevel"/>
    <w:tmpl w:val="F1CA5354"/>
    <w:lvl w:ilvl="0">
      <w:start w:val="12"/>
      <w:numFmt w:val="decimal"/>
      <w:lvlText w:val="%1."/>
      <w:lvlJc w:val="left"/>
      <w:pPr>
        <w:tabs>
          <w:tab w:val="num" w:pos="720"/>
        </w:tabs>
        <w:ind w:left="720" w:hanging="360"/>
      </w:pPr>
      <w:rPr>
        <w:rFonts w:hint="default"/>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E912CF6"/>
    <w:multiLevelType w:val="hybridMultilevel"/>
    <w:tmpl w:val="3048A8EA"/>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1AA025A"/>
    <w:multiLevelType w:val="hybridMultilevel"/>
    <w:tmpl w:val="D0B0AE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69CC0DC5"/>
    <w:multiLevelType w:val="hybridMultilevel"/>
    <w:tmpl w:val="C0AABC5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6C0E2E90"/>
    <w:multiLevelType w:val="hybridMultilevel"/>
    <w:tmpl w:val="9C062170"/>
    <w:lvl w:ilvl="0">
      <w:start w:val="1"/>
      <w:numFmt w:val="lowerLetter"/>
      <w:lvlText w:val="%1."/>
      <w:lvlJc w:val="left"/>
      <w:pPr>
        <w:tabs>
          <w:tab w:val="num" w:pos="1440"/>
        </w:tabs>
        <w:ind w:left="1440" w:hanging="360"/>
      </w:pPr>
      <w:rPr>
        <w:rFonts w:hint="default"/>
        <w:b w:val="0"/>
        <w:i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nsid w:val="761552FF"/>
    <w:multiLevelType w:val="hybridMultilevel"/>
    <w:tmpl w:val="448E853E"/>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6058921">
    <w:abstractNumId w:val="0"/>
    <w:lvlOverride w:ilvl="0">
      <w:startOverride w:val="1"/>
      <w:lvl w:ilvl="0">
        <w:start w:val="1"/>
        <w:numFmt w:val="decimal"/>
        <w:pStyle w:val="Quick1"/>
        <w:lvlText w:val="%1."/>
        <w:lvlJc w:val="left"/>
      </w:lvl>
    </w:lvlOverride>
  </w:num>
  <w:num w:numId="2" w16cid:durableId="1105035099">
    <w:abstractNumId w:val="0"/>
    <w:lvlOverride w:ilvl="0">
      <w:startOverride w:val="13"/>
      <w:lvl w:ilvl="0">
        <w:start w:val="13"/>
        <w:numFmt w:val="decimal"/>
        <w:pStyle w:val="Quick1"/>
        <w:lvlText w:val="%1."/>
        <w:lvlJc w:val="left"/>
      </w:lvl>
    </w:lvlOverride>
  </w:num>
  <w:num w:numId="3" w16cid:durableId="275253656">
    <w:abstractNumId w:val="0"/>
    <w:lvlOverride w:ilvl="0">
      <w:startOverride w:val="3"/>
      <w:lvl w:ilvl="0">
        <w:start w:val="3"/>
        <w:numFmt w:val="decimal"/>
        <w:pStyle w:val="Quick1"/>
        <w:lvlText w:val="%1."/>
        <w:lvlJc w:val="left"/>
      </w:lvl>
    </w:lvlOverride>
  </w:num>
  <w:num w:numId="4" w16cid:durableId="306980906">
    <w:abstractNumId w:val="19"/>
  </w:num>
  <w:num w:numId="5" w16cid:durableId="1325082995">
    <w:abstractNumId w:val="11"/>
  </w:num>
  <w:num w:numId="6" w16cid:durableId="472061135">
    <w:abstractNumId w:val="20"/>
  </w:num>
  <w:num w:numId="7" w16cid:durableId="2023313620">
    <w:abstractNumId w:val="12"/>
  </w:num>
  <w:num w:numId="8" w16cid:durableId="1497575371">
    <w:abstractNumId w:val="6"/>
  </w:num>
  <w:num w:numId="9" w16cid:durableId="1396511958">
    <w:abstractNumId w:val="17"/>
  </w:num>
  <w:num w:numId="10" w16cid:durableId="421219865">
    <w:abstractNumId w:val="4"/>
  </w:num>
  <w:num w:numId="11" w16cid:durableId="179783326">
    <w:abstractNumId w:val="8"/>
  </w:num>
  <w:num w:numId="12" w16cid:durableId="1877960893">
    <w:abstractNumId w:val="23"/>
  </w:num>
  <w:num w:numId="13" w16cid:durableId="1112701689">
    <w:abstractNumId w:val="1"/>
  </w:num>
  <w:num w:numId="14" w16cid:durableId="1395933878">
    <w:abstractNumId w:val="9"/>
  </w:num>
  <w:num w:numId="15" w16cid:durableId="1658878548">
    <w:abstractNumId w:val="3"/>
  </w:num>
  <w:num w:numId="16" w16cid:durableId="1143884628">
    <w:abstractNumId w:val="22"/>
  </w:num>
  <w:num w:numId="17" w16cid:durableId="412942594">
    <w:abstractNumId w:val="21"/>
  </w:num>
  <w:num w:numId="18" w16cid:durableId="16742354">
    <w:abstractNumId w:val="14"/>
  </w:num>
  <w:num w:numId="19" w16cid:durableId="1458909241">
    <w:abstractNumId w:val="2"/>
  </w:num>
  <w:num w:numId="20" w16cid:durableId="631330000">
    <w:abstractNumId w:val="16"/>
  </w:num>
  <w:num w:numId="21" w16cid:durableId="1418095724">
    <w:abstractNumId w:val="18"/>
  </w:num>
  <w:num w:numId="22" w16cid:durableId="2011566244">
    <w:abstractNumId w:val="7"/>
  </w:num>
  <w:num w:numId="23" w16cid:durableId="389156552">
    <w:abstractNumId w:val="5"/>
  </w:num>
  <w:num w:numId="24" w16cid:durableId="1066338518">
    <w:abstractNumId w:val="13"/>
  </w:num>
  <w:num w:numId="25" w16cid:durableId="943225230">
    <w:abstractNumId w:val="15"/>
  </w:num>
  <w:num w:numId="26" w16cid:durableId="2089502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8C"/>
    <w:rsid w:val="00000B27"/>
    <w:rsid w:val="00001A6A"/>
    <w:rsid w:val="00012D7F"/>
    <w:rsid w:val="0003101A"/>
    <w:rsid w:val="00033D2B"/>
    <w:rsid w:val="000406BB"/>
    <w:rsid w:val="0004160F"/>
    <w:rsid w:val="00044F9F"/>
    <w:rsid w:val="0004513E"/>
    <w:rsid w:val="0005122C"/>
    <w:rsid w:val="00065DB6"/>
    <w:rsid w:val="00072F6C"/>
    <w:rsid w:val="00085F0A"/>
    <w:rsid w:val="0009240E"/>
    <w:rsid w:val="0009454F"/>
    <w:rsid w:val="000A031E"/>
    <w:rsid w:val="000B2814"/>
    <w:rsid w:val="000B41C2"/>
    <w:rsid w:val="000B5353"/>
    <w:rsid w:val="000B67DE"/>
    <w:rsid w:val="000C0082"/>
    <w:rsid w:val="000C51C4"/>
    <w:rsid w:val="000D3063"/>
    <w:rsid w:val="000D6DA8"/>
    <w:rsid w:val="000E1F27"/>
    <w:rsid w:val="000E6CEA"/>
    <w:rsid w:val="000E72B6"/>
    <w:rsid w:val="000E79CF"/>
    <w:rsid w:val="000F0248"/>
    <w:rsid w:val="000F0A88"/>
    <w:rsid w:val="000F24C3"/>
    <w:rsid w:val="000F778A"/>
    <w:rsid w:val="00104358"/>
    <w:rsid w:val="00113CAF"/>
    <w:rsid w:val="001141B1"/>
    <w:rsid w:val="00123383"/>
    <w:rsid w:val="00131A02"/>
    <w:rsid w:val="00135B92"/>
    <w:rsid w:val="00140739"/>
    <w:rsid w:val="00153C2F"/>
    <w:rsid w:val="00160A17"/>
    <w:rsid w:val="00170248"/>
    <w:rsid w:val="00180574"/>
    <w:rsid w:val="0018328D"/>
    <w:rsid w:val="00197723"/>
    <w:rsid w:val="001A101C"/>
    <w:rsid w:val="001A5076"/>
    <w:rsid w:val="001B28B7"/>
    <w:rsid w:val="001B64C8"/>
    <w:rsid w:val="001C2C7C"/>
    <w:rsid w:val="001C55C8"/>
    <w:rsid w:val="001C68EC"/>
    <w:rsid w:val="001D4431"/>
    <w:rsid w:val="001D5B76"/>
    <w:rsid w:val="001D7589"/>
    <w:rsid w:val="001D7C74"/>
    <w:rsid w:val="001F719A"/>
    <w:rsid w:val="00203D89"/>
    <w:rsid w:val="00203DA7"/>
    <w:rsid w:val="00206DED"/>
    <w:rsid w:val="00215E6C"/>
    <w:rsid w:val="002205D4"/>
    <w:rsid w:val="002274EA"/>
    <w:rsid w:val="00231ADF"/>
    <w:rsid w:val="00234F0D"/>
    <w:rsid w:val="00237D48"/>
    <w:rsid w:val="00240B42"/>
    <w:rsid w:val="00240D07"/>
    <w:rsid w:val="00244922"/>
    <w:rsid w:val="00254ACD"/>
    <w:rsid w:val="00257636"/>
    <w:rsid w:val="002632F9"/>
    <w:rsid w:val="0026515E"/>
    <w:rsid w:val="00270348"/>
    <w:rsid w:val="00276B6C"/>
    <w:rsid w:val="0028424F"/>
    <w:rsid w:val="00287501"/>
    <w:rsid w:val="00296423"/>
    <w:rsid w:val="002B1AFB"/>
    <w:rsid w:val="002B48E2"/>
    <w:rsid w:val="002C7E4F"/>
    <w:rsid w:val="002D09D5"/>
    <w:rsid w:val="002D3AE7"/>
    <w:rsid w:val="002F6D30"/>
    <w:rsid w:val="002F6DAD"/>
    <w:rsid w:val="002F7B86"/>
    <w:rsid w:val="00303F1B"/>
    <w:rsid w:val="00310DF1"/>
    <w:rsid w:val="0031251A"/>
    <w:rsid w:val="00313D2D"/>
    <w:rsid w:val="00321123"/>
    <w:rsid w:val="003227DC"/>
    <w:rsid w:val="00322E76"/>
    <w:rsid w:val="003303AD"/>
    <w:rsid w:val="00330612"/>
    <w:rsid w:val="003312F1"/>
    <w:rsid w:val="003360C4"/>
    <w:rsid w:val="003362C8"/>
    <w:rsid w:val="00341055"/>
    <w:rsid w:val="00341E21"/>
    <w:rsid w:val="00345486"/>
    <w:rsid w:val="00347368"/>
    <w:rsid w:val="00350DBA"/>
    <w:rsid w:val="00354997"/>
    <w:rsid w:val="00354E7F"/>
    <w:rsid w:val="00362A5F"/>
    <w:rsid w:val="00365989"/>
    <w:rsid w:val="003659FD"/>
    <w:rsid w:val="00366FCB"/>
    <w:rsid w:val="00367ED9"/>
    <w:rsid w:val="003706F4"/>
    <w:rsid w:val="00370C14"/>
    <w:rsid w:val="0038091D"/>
    <w:rsid w:val="0038219A"/>
    <w:rsid w:val="00386D2F"/>
    <w:rsid w:val="0039176D"/>
    <w:rsid w:val="0039227C"/>
    <w:rsid w:val="00396227"/>
    <w:rsid w:val="003A0E7C"/>
    <w:rsid w:val="003A3013"/>
    <w:rsid w:val="003A3156"/>
    <w:rsid w:val="003A451D"/>
    <w:rsid w:val="003B0068"/>
    <w:rsid w:val="003B2EB2"/>
    <w:rsid w:val="003B79A1"/>
    <w:rsid w:val="003C33DC"/>
    <w:rsid w:val="003C4125"/>
    <w:rsid w:val="003C426A"/>
    <w:rsid w:val="003C4C14"/>
    <w:rsid w:val="003D07DA"/>
    <w:rsid w:val="003D7668"/>
    <w:rsid w:val="003E2784"/>
    <w:rsid w:val="003E6AA1"/>
    <w:rsid w:val="003E77B0"/>
    <w:rsid w:val="003F7BC7"/>
    <w:rsid w:val="00404630"/>
    <w:rsid w:val="0040578E"/>
    <w:rsid w:val="00407A34"/>
    <w:rsid w:val="004111E2"/>
    <w:rsid w:val="00412512"/>
    <w:rsid w:val="004172BB"/>
    <w:rsid w:val="00417821"/>
    <w:rsid w:val="004208C2"/>
    <w:rsid w:val="00422DED"/>
    <w:rsid w:val="004334C3"/>
    <w:rsid w:val="0044579D"/>
    <w:rsid w:val="0045484C"/>
    <w:rsid w:val="00456417"/>
    <w:rsid w:val="00457FA3"/>
    <w:rsid w:val="0046369F"/>
    <w:rsid w:val="004702A7"/>
    <w:rsid w:val="00476C74"/>
    <w:rsid w:val="00490FE1"/>
    <w:rsid w:val="0049601B"/>
    <w:rsid w:val="004978CA"/>
    <w:rsid w:val="004B2C7F"/>
    <w:rsid w:val="004B7826"/>
    <w:rsid w:val="004C35EE"/>
    <w:rsid w:val="004C518E"/>
    <w:rsid w:val="004D109F"/>
    <w:rsid w:val="004D36F6"/>
    <w:rsid w:val="004D559F"/>
    <w:rsid w:val="004D694D"/>
    <w:rsid w:val="004E0AF5"/>
    <w:rsid w:val="004E1453"/>
    <w:rsid w:val="004E5DC1"/>
    <w:rsid w:val="004E62C4"/>
    <w:rsid w:val="004E7006"/>
    <w:rsid w:val="004F0C54"/>
    <w:rsid w:val="004F23C7"/>
    <w:rsid w:val="004F27E8"/>
    <w:rsid w:val="004F55C9"/>
    <w:rsid w:val="004F60A1"/>
    <w:rsid w:val="004F7A83"/>
    <w:rsid w:val="005001D5"/>
    <w:rsid w:val="00500648"/>
    <w:rsid w:val="00500BDE"/>
    <w:rsid w:val="00506D21"/>
    <w:rsid w:val="0051039D"/>
    <w:rsid w:val="00514781"/>
    <w:rsid w:val="0051716A"/>
    <w:rsid w:val="00517ECB"/>
    <w:rsid w:val="00527736"/>
    <w:rsid w:val="005347DC"/>
    <w:rsid w:val="005373C2"/>
    <w:rsid w:val="0054266D"/>
    <w:rsid w:val="005440E7"/>
    <w:rsid w:val="005533F1"/>
    <w:rsid w:val="00556CEF"/>
    <w:rsid w:val="005601EA"/>
    <w:rsid w:val="0056020D"/>
    <w:rsid w:val="00567537"/>
    <w:rsid w:val="00570D82"/>
    <w:rsid w:val="005719D3"/>
    <w:rsid w:val="005775E5"/>
    <w:rsid w:val="0057774E"/>
    <w:rsid w:val="00577886"/>
    <w:rsid w:val="005820CB"/>
    <w:rsid w:val="00594FBB"/>
    <w:rsid w:val="005A0963"/>
    <w:rsid w:val="005B23BF"/>
    <w:rsid w:val="005C2200"/>
    <w:rsid w:val="005C43CA"/>
    <w:rsid w:val="005C5B6D"/>
    <w:rsid w:val="005D323F"/>
    <w:rsid w:val="005E73CD"/>
    <w:rsid w:val="005F1AAF"/>
    <w:rsid w:val="00604655"/>
    <w:rsid w:val="00604908"/>
    <w:rsid w:val="0060686C"/>
    <w:rsid w:val="00610498"/>
    <w:rsid w:val="00611865"/>
    <w:rsid w:val="00623436"/>
    <w:rsid w:val="00626C77"/>
    <w:rsid w:val="00632A3A"/>
    <w:rsid w:val="00632B80"/>
    <w:rsid w:val="006337BF"/>
    <w:rsid w:val="00645572"/>
    <w:rsid w:val="006609F6"/>
    <w:rsid w:val="00661E88"/>
    <w:rsid w:val="00663097"/>
    <w:rsid w:val="00664155"/>
    <w:rsid w:val="00667BD9"/>
    <w:rsid w:val="00681A83"/>
    <w:rsid w:val="006923D1"/>
    <w:rsid w:val="00696BFE"/>
    <w:rsid w:val="006A47A6"/>
    <w:rsid w:val="006B3854"/>
    <w:rsid w:val="006C0117"/>
    <w:rsid w:val="006C180D"/>
    <w:rsid w:val="006C26A6"/>
    <w:rsid w:val="006C62BF"/>
    <w:rsid w:val="006D4330"/>
    <w:rsid w:val="006E1050"/>
    <w:rsid w:val="006F004E"/>
    <w:rsid w:val="006F0E4C"/>
    <w:rsid w:val="006F0FE7"/>
    <w:rsid w:val="006F374F"/>
    <w:rsid w:val="006F3AFF"/>
    <w:rsid w:val="006F7079"/>
    <w:rsid w:val="006F7CC9"/>
    <w:rsid w:val="006F7D0A"/>
    <w:rsid w:val="00702FFF"/>
    <w:rsid w:val="00705B6A"/>
    <w:rsid w:val="007108BE"/>
    <w:rsid w:val="00711593"/>
    <w:rsid w:val="00712091"/>
    <w:rsid w:val="00715A07"/>
    <w:rsid w:val="00716AB4"/>
    <w:rsid w:val="00722CF4"/>
    <w:rsid w:val="0072556B"/>
    <w:rsid w:val="0073140E"/>
    <w:rsid w:val="00734E51"/>
    <w:rsid w:val="007447E7"/>
    <w:rsid w:val="00744B07"/>
    <w:rsid w:val="00745A86"/>
    <w:rsid w:val="00750D1F"/>
    <w:rsid w:val="00760E39"/>
    <w:rsid w:val="00765297"/>
    <w:rsid w:val="00767944"/>
    <w:rsid w:val="00771F68"/>
    <w:rsid w:val="00782EAB"/>
    <w:rsid w:val="0078797C"/>
    <w:rsid w:val="00792447"/>
    <w:rsid w:val="007A0247"/>
    <w:rsid w:val="007A39CC"/>
    <w:rsid w:val="007A6129"/>
    <w:rsid w:val="007B45E2"/>
    <w:rsid w:val="007B45F9"/>
    <w:rsid w:val="007C0603"/>
    <w:rsid w:val="007C3512"/>
    <w:rsid w:val="007C47EE"/>
    <w:rsid w:val="007C4EFC"/>
    <w:rsid w:val="007C5164"/>
    <w:rsid w:val="007E1BAE"/>
    <w:rsid w:val="007E2210"/>
    <w:rsid w:val="007E49A7"/>
    <w:rsid w:val="007F664A"/>
    <w:rsid w:val="007F68FE"/>
    <w:rsid w:val="007F7734"/>
    <w:rsid w:val="008076A9"/>
    <w:rsid w:val="00812DB6"/>
    <w:rsid w:val="00813327"/>
    <w:rsid w:val="00816ABF"/>
    <w:rsid w:val="00817355"/>
    <w:rsid w:val="008258BF"/>
    <w:rsid w:val="008275F8"/>
    <w:rsid w:val="00830357"/>
    <w:rsid w:val="00836626"/>
    <w:rsid w:val="00846301"/>
    <w:rsid w:val="00854CD4"/>
    <w:rsid w:val="00860312"/>
    <w:rsid w:val="00884D13"/>
    <w:rsid w:val="008936BE"/>
    <w:rsid w:val="008958C2"/>
    <w:rsid w:val="008A0242"/>
    <w:rsid w:val="008A0C90"/>
    <w:rsid w:val="008A4B8A"/>
    <w:rsid w:val="008A76FB"/>
    <w:rsid w:val="008B06D7"/>
    <w:rsid w:val="008B0A02"/>
    <w:rsid w:val="008C4D5C"/>
    <w:rsid w:val="008C7BE8"/>
    <w:rsid w:val="008C7C17"/>
    <w:rsid w:val="008D2430"/>
    <w:rsid w:val="008D3446"/>
    <w:rsid w:val="008F1B08"/>
    <w:rsid w:val="008F2A18"/>
    <w:rsid w:val="00902F72"/>
    <w:rsid w:val="00912462"/>
    <w:rsid w:val="00913060"/>
    <w:rsid w:val="0091496E"/>
    <w:rsid w:val="00916838"/>
    <w:rsid w:val="0092195A"/>
    <w:rsid w:val="00921FC5"/>
    <w:rsid w:val="00926A6D"/>
    <w:rsid w:val="0093277F"/>
    <w:rsid w:val="009342B5"/>
    <w:rsid w:val="0094233E"/>
    <w:rsid w:val="00953ED1"/>
    <w:rsid w:val="00963DBD"/>
    <w:rsid w:val="00971F14"/>
    <w:rsid w:val="009844B7"/>
    <w:rsid w:val="0098707E"/>
    <w:rsid w:val="00990D4B"/>
    <w:rsid w:val="009929F0"/>
    <w:rsid w:val="00995B26"/>
    <w:rsid w:val="009A3B6D"/>
    <w:rsid w:val="009B100A"/>
    <w:rsid w:val="009C0BA9"/>
    <w:rsid w:val="009C4005"/>
    <w:rsid w:val="009D6F42"/>
    <w:rsid w:val="009E4317"/>
    <w:rsid w:val="009F6F79"/>
    <w:rsid w:val="009F739D"/>
    <w:rsid w:val="00A015BC"/>
    <w:rsid w:val="00A015C3"/>
    <w:rsid w:val="00A015CB"/>
    <w:rsid w:val="00A17861"/>
    <w:rsid w:val="00A17D44"/>
    <w:rsid w:val="00A22EAC"/>
    <w:rsid w:val="00A24DEA"/>
    <w:rsid w:val="00A25B1D"/>
    <w:rsid w:val="00A25D79"/>
    <w:rsid w:val="00A30BDC"/>
    <w:rsid w:val="00A3600A"/>
    <w:rsid w:val="00A43385"/>
    <w:rsid w:val="00A514B3"/>
    <w:rsid w:val="00A53B23"/>
    <w:rsid w:val="00A577C2"/>
    <w:rsid w:val="00A67306"/>
    <w:rsid w:val="00A70344"/>
    <w:rsid w:val="00A81DAB"/>
    <w:rsid w:val="00A852C2"/>
    <w:rsid w:val="00A8685A"/>
    <w:rsid w:val="00A87032"/>
    <w:rsid w:val="00A90073"/>
    <w:rsid w:val="00A972AA"/>
    <w:rsid w:val="00AA1E33"/>
    <w:rsid w:val="00AB2C0A"/>
    <w:rsid w:val="00AB441F"/>
    <w:rsid w:val="00AB46E9"/>
    <w:rsid w:val="00AC1995"/>
    <w:rsid w:val="00AC4304"/>
    <w:rsid w:val="00AC4EB0"/>
    <w:rsid w:val="00AD5286"/>
    <w:rsid w:val="00AD63D0"/>
    <w:rsid w:val="00AD7496"/>
    <w:rsid w:val="00AD75A8"/>
    <w:rsid w:val="00AD77E2"/>
    <w:rsid w:val="00AE25EB"/>
    <w:rsid w:val="00AE75D3"/>
    <w:rsid w:val="00AF39B8"/>
    <w:rsid w:val="00AF4EFB"/>
    <w:rsid w:val="00B01E58"/>
    <w:rsid w:val="00B024DA"/>
    <w:rsid w:val="00B03D06"/>
    <w:rsid w:val="00B06544"/>
    <w:rsid w:val="00B06C87"/>
    <w:rsid w:val="00B12AE1"/>
    <w:rsid w:val="00B1504D"/>
    <w:rsid w:val="00B20A52"/>
    <w:rsid w:val="00B3057F"/>
    <w:rsid w:val="00B35350"/>
    <w:rsid w:val="00B43F6F"/>
    <w:rsid w:val="00B45796"/>
    <w:rsid w:val="00B60509"/>
    <w:rsid w:val="00B62812"/>
    <w:rsid w:val="00B6559F"/>
    <w:rsid w:val="00B75088"/>
    <w:rsid w:val="00B7689F"/>
    <w:rsid w:val="00B83A73"/>
    <w:rsid w:val="00B93D10"/>
    <w:rsid w:val="00B94957"/>
    <w:rsid w:val="00B97EFE"/>
    <w:rsid w:val="00BA7DBC"/>
    <w:rsid w:val="00BB4DF2"/>
    <w:rsid w:val="00BC4C48"/>
    <w:rsid w:val="00BC56D4"/>
    <w:rsid w:val="00BC5F1E"/>
    <w:rsid w:val="00BD2B8B"/>
    <w:rsid w:val="00BE0577"/>
    <w:rsid w:val="00BE2918"/>
    <w:rsid w:val="00BE7974"/>
    <w:rsid w:val="00BF0858"/>
    <w:rsid w:val="00BF09EA"/>
    <w:rsid w:val="00BF629C"/>
    <w:rsid w:val="00C00B56"/>
    <w:rsid w:val="00C0696D"/>
    <w:rsid w:val="00C140B9"/>
    <w:rsid w:val="00C147A7"/>
    <w:rsid w:val="00C1747B"/>
    <w:rsid w:val="00C21129"/>
    <w:rsid w:val="00C353A2"/>
    <w:rsid w:val="00C426FD"/>
    <w:rsid w:val="00C63DF8"/>
    <w:rsid w:val="00C67353"/>
    <w:rsid w:val="00C75E97"/>
    <w:rsid w:val="00C76965"/>
    <w:rsid w:val="00C81E96"/>
    <w:rsid w:val="00C82E76"/>
    <w:rsid w:val="00C84D80"/>
    <w:rsid w:val="00C85C2B"/>
    <w:rsid w:val="00C879DB"/>
    <w:rsid w:val="00C87F0F"/>
    <w:rsid w:val="00C91A54"/>
    <w:rsid w:val="00CA2A7E"/>
    <w:rsid w:val="00CA34EC"/>
    <w:rsid w:val="00CA432B"/>
    <w:rsid w:val="00CB3B3F"/>
    <w:rsid w:val="00CB6539"/>
    <w:rsid w:val="00CB7B9B"/>
    <w:rsid w:val="00CC2E83"/>
    <w:rsid w:val="00CD1F2A"/>
    <w:rsid w:val="00CD2041"/>
    <w:rsid w:val="00CD56D3"/>
    <w:rsid w:val="00CE2727"/>
    <w:rsid w:val="00CE7E42"/>
    <w:rsid w:val="00CF049D"/>
    <w:rsid w:val="00CF332C"/>
    <w:rsid w:val="00CF5F16"/>
    <w:rsid w:val="00CF755A"/>
    <w:rsid w:val="00D073D7"/>
    <w:rsid w:val="00D11F5A"/>
    <w:rsid w:val="00D128B3"/>
    <w:rsid w:val="00D13DA6"/>
    <w:rsid w:val="00D26B60"/>
    <w:rsid w:val="00D45AE5"/>
    <w:rsid w:val="00D45EF9"/>
    <w:rsid w:val="00D5216C"/>
    <w:rsid w:val="00D54A80"/>
    <w:rsid w:val="00D60740"/>
    <w:rsid w:val="00D6090F"/>
    <w:rsid w:val="00D6144B"/>
    <w:rsid w:val="00D618A6"/>
    <w:rsid w:val="00D67240"/>
    <w:rsid w:val="00D72491"/>
    <w:rsid w:val="00D76765"/>
    <w:rsid w:val="00D769DD"/>
    <w:rsid w:val="00D839EF"/>
    <w:rsid w:val="00D84C87"/>
    <w:rsid w:val="00DA741D"/>
    <w:rsid w:val="00DB7DAD"/>
    <w:rsid w:val="00DC0B6C"/>
    <w:rsid w:val="00DC26C9"/>
    <w:rsid w:val="00DC6BE3"/>
    <w:rsid w:val="00DD18A5"/>
    <w:rsid w:val="00DD1E64"/>
    <w:rsid w:val="00DF2F7D"/>
    <w:rsid w:val="00E06013"/>
    <w:rsid w:val="00E0708D"/>
    <w:rsid w:val="00E10197"/>
    <w:rsid w:val="00E11FD4"/>
    <w:rsid w:val="00E12FA6"/>
    <w:rsid w:val="00E13286"/>
    <w:rsid w:val="00E1456B"/>
    <w:rsid w:val="00E1554B"/>
    <w:rsid w:val="00E212DD"/>
    <w:rsid w:val="00E22C01"/>
    <w:rsid w:val="00E27895"/>
    <w:rsid w:val="00E36103"/>
    <w:rsid w:val="00E42541"/>
    <w:rsid w:val="00E439D0"/>
    <w:rsid w:val="00E510BC"/>
    <w:rsid w:val="00E570E0"/>
    <w:rsid w:val="00E572F2"/>
    <w:rsid w:val="00E57312"/>
    <w:rsid w:val="00E62282"/>
    <w:rsid w:val="00E66932"/>
    <w:rsid w:val="00E712C2"/>
    <w:rsid w:val="00E71AF2"/>
    <w:rsid w:val="00E744DE"/>
    <w:rsid w:val="00E81E73"/>
    <w:rsid w:val="00E85DC3"/>
    <w:rsid w:val="00E92451"/>
    <w:rsid w:val="00E9314A"/>
    <w:rsid w:val="00EA029E"/>
    <w:rsid w:val="00EA4F9A"/>
    <w:rsid w:val="00EC3D22"/>
    <w:rsid w:val="00EC5D26"/>
    <w:rsid w:val="00ED3FCE"/>
    <w:rsid w:val="00ED42AE"/>
    <w:rsid w:val="00ED5487"/>
    <w:rsid w:val="00ED6822"/>
    <w:rsid w:val="00EE1104"/>
    <w:rsid w:val="00EE1F89"/>
    <w:rsid w:val="00EE3A94"/>
    <w:rsid w:val="00EF3EAE"/>
    <w:rsid w:val="00EF5884"/>
    <w:rsid w:val="00EF5A8C"/>
    <w:rsid w:val="00F001FF"/>
    <w:rsid w:val="00F01637"/>
    <w:rsid w:val="00F01CD5"/>
    <w:rsid w:val="00F03C87"/>
    <w:rsid w:val="00F10AC8"/>
    <w:rsid w:val="00F116FA"/>
    <w:rsid w:val="00F13044"/>
    <w:rsid w:val="00F138ED"/>
    <w:rsid w:val="00F16992"/>
    <w:rsid w:val="00F202F8"/>
    <w:rsid w:val="00F2449D"/>
    <w:rsid w:val="00F26255"/>
    <w:rsid w:val="00F26289"/>
    <w:rsid w:val="00F26697"/>
    <w:rsid w:val="00F27C93"/>
    <w:rsid w:val="00F357EE"/>
    <w:rsid w:val="00F42D4F"/>
    <w:rsid w:val="00F50C6F"/>
    <w:rsid w:val="00F50FC4"/>
    <w:rsid w:val="00F52AD4"/>
    <w:rsid w:val="00F57466"/>
    <w:rsid w:val="00F6091D"/>
    <w:rsid w:val="00F654B6"/>
    <w:rsid w:val="00F70DC4"/>
    <w:rsid w:val="00F77C19"/>
    <w:rsid w:val="00F842D1"/>
    <w:rsid w:val="00F9498F"/>
    <w:rsid w:val="00F9789C"/>
    <w:rsid w:val="00FB1EAA"/>
    <w:rsid w:val="00FB76E1"/>
    <w:rsid w:val="00FC0F6D"/>
    <w:rsid w:val="00FC19A9"/>
    <w:rsid w:val="00FC270B"/>
    <w:rsid w:val="00FC5919"/>
    <w:rsid w:val="00FC620E"/>
    <w:rsid w:val="00FD01CE"/>
    <w:rsid w:val="00FD347B"/>
    <w:rsid w:val="00FD3EDD"/>
    <w:rsid w:val="00FD500B"/>
    <w:rsid w:val="00FD7FA4"/>
    <w:rsid w:val="00FE1E7C"/>
    <w:rsid w:val="00FF6D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969D1D"/>
  <w15:docId w15:val="{2B7D98F7-73B1-4F6C-B767-D31E5EB0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A25D79"/>
    <w:rPr>
      <w:color w:val="0000FF"/>
      <w:u w:val="single"/>
    </w:rPr>
  </w:style>
  <w:style w:type="character" w:styleId="CommentReference">
    <w:name w:val="annotation reference"/>
    <w:rsid w:val="004F23C7"/>
    <w:rPr>
      <w:sz w:val="16"/>
      <w:szCs w:val="16"/>
    </w:rPr>
  </w:style>
  <w:style w:type="paragraph" w:styleId="CommentText">
    <w:name w:val="annotation text"/>
    <w:basedOn w:val="Normal"/>
    <w:link w:val="CommentTextChar"/>
    <w:rsid w:val="004F23C7"/>
  </w:style>
  <w:style w:type="character" w:customStyle="1" w:styleId="CommentTextChar">
    <w:name w:val="Comment Text Char"/>
    <w:link w:val="CommentText"/>
    <w:rsid w:val="004F23C7"/>
    <w:rPr>
      <w:b/>
      <w:bCs/>
    </w:rPr>
  </w:style>
  <w:style w:type="paragraph" w:styleId="CommentSubject">
    <w:name w:val="annotation subject"/>
    <w:basedOn w:val="CommentText"/>
    <w:next w:val="CommentText"/>
    <w:link w:val="CommentSubjectChar"/>
    <w:rsid w:val="004F23C7"/>
  </w:style>
  <w:style w:type="character" w:customStyle="1" w:styleId="CommentSubjectChar">
    <w:name w:val="Comment Subject Char"/>
    <w:basedOn w:val="CommentTextChar"/>
    <w:link w:val="CommentSubject"/>
    <w:rsid w:val="004F23C7"/>
    <w:rPr>
      <w:b/>
      <w:bCs/>
    </w:rPr>
  </w:style>
  <w:style w:type="table" w:styleId="TableGrid">
    <w:name w:val="Table Grid"/>
    <w:basedOn w:val="TableNormal"/>
    <w:rsid w:val="00A81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0DBA"/>
    <w:rPr>
      <w:b/>
      <w:bCs/>
    </w:rPr>
  </w:style>
  <w:style w:type="character" w:styleId="UnresolvedMention">
    <w:name w:val="Unresolved Mention"/>
    <w:uiPriority w:val="99"/>
    <w:semiHidden/>
    <w:unhideWhenUsed/>
    <w:rsid w:val="000B67DE"/>
    <w:rPr>
      <w:color w:val="605E5C"/>
      <w:shd w:val="clear" w:color="auto" w:fill="E1DFDD"/>
    </w:rPr>
  </w:style>
  <w:style w:type="character" w:customStyle="1" w:styleId="FooterChar">
    <w:name w:val="Footer Char"/>
    <w:link w:val="Footer"/>
    <w:uiPriority w:val="99"/>
    <w:rsid w:val="00760E39"/>
    <w:rPr>
      <w:b/>
      <w:bCs/>
    </w:rPr>
  </w:style>
  <w:style w:type="paragraph" w:styleId="ListParagraph">
    <w:name w:val="List Paragraph"/>
    <w:basedOn w:val="Normal"/>
    <w:uiPriority w:val="34"/>
    <w:qFormat/>
    <w:rsid w:val="00D26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9" ma:contentTypeDescription="Create a new document." ma:contentTypeScope="" ma:versionID="c416fee3ddab04a227c1c2a405803d85">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7926b25e6fcf0543c9c67ebb516ba942"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Props1.xml><?xml version="1.0" encoding="utf-8"?>
<ds:datastoreItem xmlns:ds="http://schemas.openxmlformats.org/officeDocument/2006/customXml" ds:itemID="{C85E7B27-4D2D-46BC-8E72-0588BE125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5392C-EA8F-4969-8B34-AA749E5FC308}">
  <ds:schemaRefs>
    <ds:schemaRef ds:uri="http://schemas.openxmlformats.org/officeDocument/2006/bibliography"/>
  </ds:schemaRefs>
</ds:datastoreItem>
</file>

<file path=customXml/itemProps3.xml><?xml version="1.0" encoding="utf-8"?>
<ds:datastoreItem xmlns:ds="http://schemas.openxmlformats.org/officeDocument/2006/customXml" ds:itemID="{E8085ED9-FBBB-415D-B8CC-067BDF79CFA6}">
  <ds:schemaRefs>
    <ds:schemaRef ds:uri="http://schemas.microsoft.com/sharepoint/v3/contenttype/forms"/>
  </ds:schemaRefs>
</ds:datastoreItem>
</file>

<file path=customXml/itemProps4.xml><?xml version="1.0" encoding="utf-8"?>
<ds:datastoreItem xmlns:ds="http://schemas.openxmlformats.org/officeDocument/2006/customXml" ds:itemID="{0CD83C09-5A71-4E5B-9451-BFF5A67450D2}">
  <ds:schemaRefs>
    <ds:schemaRef ds:uri="http://schemas.microsoft.com/office/2006/metadata/properties"/>
    <ds:schemaRef ds:uri="http://schemas.microsoft.com/office/infopath/2007/PartnerControls"/>
    <ds:schemaRef ds:uri="327c22dd-9304-457f-bf46-dd0479b3c22a"/>
    <ds:schemaRef ds:uri="dca70e0a-1b2d-49b3-b89e-51622db379d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3150</Words>
  <Characters>17955</Characters>
  <Application>Microsoft Office Word</Application>
  <DocSecurity>0</DocSecurity>
  <Lines>437</Lines>
  <Paragraphs>174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EBSA</cp:lastModifiedBy>
  <cp:revision>5</cp:revision>
  <cp:lastPrinted>2016-09-22T22:57:00Z</cp:lastPrinted>
  <dcterms:created xsi:type="dcterms:W3CDTF">2025-12-22T17:05:00Z</dcterms:created>
  <dcterms:modified xsi:type="dcterms:W3CDTF">2025-12-22T17:12:00Z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MediaServiceImageTags">
    <vt:lpwstr/>
  </property>
</Properties>
</file>