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4061" w:rsidP="00AB32CE" w14:paraId="5B4DFDA1" w14:textId="77777777">
      <w:pPr>
        <w:pStyle w:val="ReportCover-Title"/>
        <w:jc w:val="center"/>
        <w:rPr>
          <w:rFonts w:ascii="Arial" w:eastAsia="Arial Unicode MS" w:hAnsi="Arial" w:cs="Arial"/>
          <w:noProof/>
          <w:color w:val="auto"/>
        </w:rPr>
      </w:pPr>
    </w:p>
    <w:p w:rsidR="00E7481C" w:rsidP="00AB32CE" w14:paraId="22FA8D86" w14:textId="77777777">
      <w:pPr>
        <w:pStyle w:val="ReportCover-Title"/>
        <w:jc w:val="center"/>
        <w:rPr>
          <w:rFonts w:ascii="Arial" w:eastAsia="Arial Unicode MS" w:hAnsi="Arial" w:cs="Arial"/>
          <w:noProof/>
          <w:color w:val="auto"/>
        </w:rPr>
      </w:pPr>
    </w:p>
    <w:p w:rsidR="00475D61" w:rsidP="00AB32CE" w14:paraId="13EBA0CF" w14:textId="77777777">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Runaway and Homeless Youth </w:t>
      </w:r>
    </w:p>
    <w:p w:rsidR="00AB32CE" w:rsidRPr="00B13297" w:rsidP="00AB32CE" w14:paraId="24AC42EB" w14:textId="6EA03A5B">
      <w:pPr>
        <w:pStyle w:val="ReportCover-Title"/>
        <w:jc w:val="center"/>
        <w:rPr>
          <w:rFonts w:ascii="Arial" w:hAnsi="Arial" w:cs="Arial"/>
          <w:color w:val="auto"/>
        </w:rPr>
      </w:pPr>
      <w:r>
        <w:rPr>
          <w:rFonts w:ascii="Arial" w:eastAsia="Arial Unicode MS" w:hAnsi="Arial" w:cs="Arial"/>
          <w:noProof/>
          <w:color w:val="auto"/>
        </w:rPr>
        <w:t>Learning Agenda Support</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27A4D2A">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27A4D2A">
        <w:rPr>
          <w:rFonts w:ascii="Arial" w:hAnsi="Arial" w:cs="Arial"/>
          <w:color w:val="auto"/>
          <w:sz w:val="48"/>
          <w:szCs w:val="48"/>
        </w:rPr>
        <w:t>Part B</w:t>
      </w:r>
    </w:p>
    <w:p w:rsidR="00D51337" w:rsidRPr="00B13297" w:rsidP="00D51337" w14:paraId="6AE3DDAE" w14:textId="15589CAB">
      <w:pPr>
        <w:pStyle w:val="ReportCover-Date"/>
        <w:jc w:val="center"/>
        <w:rPr>
          <w:rFonts w:ascii="Arial" w:hAnsi="Arial" w:cs="Arial"/>
          <w:color w:val="auto"/>
        </w:rPr>
      </w:pPr>
      <w:r>
        <w:rPr>
          <w:rFonts w:ascii="Arial" w:hAnsi="Arial" w:cs="Arial"/>
          <w:color w:val="auto"/>
        </w:rPr>
        <w:t xml:space="preserve">August </w:t>
      </w:r>
      <w:r w:rsidRPr="0AE8602F" w:rsidR="0AE8602F">
        <w:rPr>
          <w:rFonts w:ascii="Arial" w:hAnsi="Arial" w:cs="Arial"/>
          <w:color w:val="auto"/>
        </w:rPr>
        <w:t>2025</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5D30F475">
      <w:pPr>
        <w:spacing w:after="0" w:line="240" w:lineRule="auto"/>
        <w:jc w:val="center"/>
        <w:rPr>
          <w:rFonts w:ascii="Arial" w:hAnsi="Arial" w:cs="Arial"/>
        </w:rPr>
      </w:pPr>
      <w:r w:rsidRPr="0AE8602F">
        <w:rPr>
          <w:rFonts w:ascii="Arial" w:hAnsi="Arial" w:cs="Arial"/>
        </w:rPr>
        <w:t xml:space="preserve">Project Officers: </w:t>
      </w:r>
    </w:p>
    <w:p w:rsidR="00CC2828" w:rsidP="00D51337" w14:paraId="4983EF43" w14:textId="6FA86114">
      <w:pPr>
        <w:spacing w:after="0" w:line="240" w:lineRule="auto"/>
        <w:jc w:val="center"/>
        <w:rPr>
          <w:rFonts w:ascii="Arial" w:hAnsi="Arial" w:cs="Arial"/>
        </w:rPr>
      </w:pPr>
      <w:r w:rsidRPr="0AE8602F">
        <w:rPr>
          <w:rFonts w:ascii="Arial" w:hAnsi="Arial" w:cs="Arial"/>
        </w:rPr>
        <w:t>Caryn Blitz</w:t>
      </w:r>
    </w:p>
    <w:p w:rsidR="00006534" w:rsidRPr="002C4F75" w:rsidP="00D51337" w14:paraId="575C6070" w14:textId="781434FB">
      <w:pPr>
        <w:spacing w:after="0" w:line="240" w:lineRule="auto"/>
        <w:jc w:val="center"/>
        <w:rPr>
          <w:rFonts w:ascii="Arial" w:hAnsi="Arial" w:cs="Arial"/>
        </w:rPr>
      </w:pPr>
      <w:r w:rsidRPr="0AE8602F">
        <w:rPr>
          <w:rFonts w:ascii="Arial" w:hAnsi="Arial" w:cs="Arial"/>
        </w:rPr>
        <w:t>Calonie Gray</w:t>
      </w:r>
    </w:p>
    <w:p w:rsidR="00D51337" w:rsidP="00D51337" w14:paraId="27872D1C" w14:textId="10EBB2AC">
      <w:pPr>
        <w:spacing w:after="0" w:line="240" w:lineRule="auto"/>
        <w:jc w:val="center"/>
        <w:rPr>
          <w:b/>
        </w:rPr>
      </w:pPr>
    </w:p>
    <w:p w:rsidR="001253F4" w:rsidRPr="00624DDC" w:rsidP="00624DDC" w14:paraId="71A43DA4" w14:textId="77777777">
      <w:pPr>
        <w:jc w:val="center"/>
        <w:rPr>
          <w:b/>
          <w:sz w:val="32"/>
          <w:szCs w:val="32"/>
        </w:rPr>
      </w:pPr>
      <w:r>
        <w:br w:type="page"/>
      </w:r>
      <w:r w:rsidRPr="0AE8602F" w:rsidR="0AE8602F">
        <w:rPr>
          <w:b/>
          <w:bCs/>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2E87B289" w14:paraId="40621335" w14:textId="77777777">
      <w:pPr>
        <w:spacing w:after="60" w:line="240" w:lineRule="auto"/>
        <w:rPr>
          <w:i/>
          <w:iCs/>
        </w:rPr>
      </w:pPr>
      <w:r w:rsidRPr="0AE8602F">
        <w:rPr>
          <w:i/>
          <w:iCs/>
        </w:rPr>
        <w:t>Study Objectives</w:t>
      </w:r>
    </w:p>
    <w:p w:rsidR="000A614D" w:rsidP="008D7B90" w14:paraId="5D3F42BD" w14:textId="2263A4AA">
      <w:pPr>
        <w:spacing w:after="0" w:line="240" w:lineRule="auto"/>
      </w:pPr>
      <w:r>
        <w:t>T</w:t>
      </w:r>
      <w:r w:rsidR="0DB98EED">
        <w:t xml:space="preserve">he Administration for Children and Families (ACF) contracted </w:t>
      </w:r>
      <w:r w:rsidR="197FBA25">
        <w:t xml:space="preserve">with </w:t>
      </w:r>
      <w:r w:rsidR="0DB98EED">
        <w:t>the Urban Institute (</w:t>
      </w:r>
      <w:r w:rsidR="547BD7AA">
        <w:t>contractor</w:t>
      </w:r>
      <w:r w:rsidR="0DB98EED">
        <w:t xml:space="preserve">) to complete a multisite process evaluation of the </w:t>
      </w:r>
      <w:r w:rsidR="3013D775">
        <w:t xml:space="preserve">Family and Youth Services Bureau (FYSB) </w:t>
      </w:r>
      <w:r w:rsidR="0DB98EED">
        <w:t>Runaway and Homeless Youth</w:t>
      </w:r>
      <w:r w:rsidR="7EC63677">
        <w:t xml:space="preserve"> </w:t>
      </w:r>
      <w:r w:rsidR="0DB98EED">
        <w:t>Prevention Demonstration Program (RHY PDP). The evaluation aims to understand the implementation of prevention services and interventions across the 1</w:t>
      </w:r>
      <w:r w:rsidR="2EEA3245">
        <w:t>0</w:t>
      </w:r>
      <w:r w:rsidR="0DB98EED">
        <w:t xml:space="preserve"> </w:t>
      </w:r>
      <w:r w:rsidR="0DF5B313">
        <w:t xml:space="preserve">grant </w:t>
      </w:r>
      <w:r w:rsidR="0DB98EED">
        <w:t xml:space="preserve">sites participating in the RHY PDP. </w:t>
      </w:r>
      <w:bookmarkStart w:id="0" w:name="_Hlk184134112"/>
      <w:r w:rsidR="0DB98EED">
        <w:t xml:space="preserve">ACF outlined the following six research areas for the evaluation: (1) coordination among site partners; (2) leading in partnership with youth and young adults with </w:t>
      </w:r>
      <w:r w:rsidR="71E0FA68">
        <w:t>experience</w:t>
      </w:r>
      <w:r w:rsidR="0DB98EED">
        <w:t xml:space="preserve"> of homelessness; (3) community capacity expansion and enhancement; (4) </w:t>
      </w:r>
      <w:r w:rsidR="385C830E">
        <w:t>program reach</w:t>
      </w:r>
      <w:r w:rsidR="0DB98EED">
        <w:t>; (5) providers’ experiences of the RHY</w:t>
      </w:r>
      <w:r w:rsidR="7EC63677">
        <w:t xml:space="preserve"> </w:t>
      </w:r>
      <w:r w:rsidR="0DB98EED">
        <w:t>PDP; and (6) youth experiences of the RHY</w:t>
      </w:r>
      <w:r w:rsidR="7EC63677">
        <w:t xml:space="preserve"> </w:t>
      </w:r>
      <w:r w:rsidR="0DB98EED">
        <w:t>PDP. See Appendix A for the research questions</w:t>
      </w:r>
      <w:r w:rsidR="2BBC7E26">
        <w:t xml:space="preserve"> and objectives</w:t>
      </w:r>
      <w:r w:rsidR="0DB98EED">
        <w:t xml:space="preserve"> associated with each of these research areas</w:t>
      </w:r>
      <w:r w:rsidR="46D6751D">
        <w:t xml:space="preserve"> and their corresponding data collection activities</w:t>
      </w:r>
      <w:r w:rsidR="0DB98EED">
        <w:t xml:space="preserve">. </w:t>
      </w:r>
    </w:p>
    <w:p w:rsidR="008D7B90" w:rsidP="002555C0" w14:paraId="4772E9CA" w14:textId="77777777">
      <w:pPr>
        <w:spacing w:after="0" w:line="240" w:lineRule="auto"/>
      </w:pPr>
    </w:p>
    <w:bookmarkEnd w:id="0"/>
    <w:p w:rsidR="0072072F" w:rsidP="0297477C" w14:paraId="6EAD90E1" w14:textId="269D0968">
      <w:pPr>
        <w:autoSpaceDE w:val="0"/>
        <w:autoSpaceDN w:val="0"/>
        <w:adjustRightInd w:val="0"/>
        <w:spacing w:after="60" w:line="240" w:lineRule="auto"/>
      </w:pPr>
      <w:r w:rsidRPr="0297477C">
        <w:rPr>
          <w:i/>
          <w:iCs/>
        </w:rPr>
        <w:t xml:space="preserve">Generalizability of Results </w:t>
      </w:r>
    </w:p>
    <w:p w:rsidR="00BB2925" w:rsidP="2C8F1C5A" w14:paraId="39A69560" w14:textId="1E2FAD3B">
      <w:pPr>
        <w:autoSpaceDE w:val="0"/>
        <w:autoSpaceDN w:val="0"/>
        <w:adjustRightInd w:val="0"/>
        <w:spacing w:after="0" w:line="240" w:lineRule="atLeast"/>
        <w:rPr>
          <w:rFonts w:eastAsia="Times New Roman"/>
          <w:color w:val="000000"/>
        </w:rPr>
      </w:pPr>
      <w:r w:rsidRPr="2C8F1C5A">
        <w:rPr>
          <w:rFonts w:eastAsia="Times New Roman"/>
          <w:color w:val="000000" w:themeColor="text1"/>
        </w:rPr>
        <w:t xml:space="preserve">This study is intended to present </w:t>
      </w:r>
      <w:r w:rsidRPr="2C8F1C5A" w:rsidR="7FD9F786">
        <w:rPr>
          <w:rFonts w:eastAsia="Times New Roman"/>
          <w:color w:val="000000" w:themeColor="text1"/>
        </w:rPr>
        <w:t xml:space="preserve">an </w:t>
      </w:r>
      <w:r w:rsidRPr="2C8F1C5A">
        <w:rPr>
          <w:rFonts w:eastAsia="Times New Roman"/>
          <w:color w:val="000000" w:themeColor="text1"/>
        </w:rPr>
        <w:t>internally-valid</w:t>
      </w:r>
      <w:r w:rsidRPr="2C8F1C5A">
        <w:rPr>
          <w:rFonts w:eastAsia="Times New Roman"/>
          <w:color w:val="000000" w:themeColor="text1"/>
        </w:rPr>
        <w:t xml:space="preserve"> description of the implementation the </w:t>
      </w:r>
      <w:r>
        <w:t>RHY</w:t>
      </w:r>
      <w:r w:rsidR="7EC63677">
        <w:t xml:space="preserve"> </w:t>
      </w:r>
      <w:r>
        <w:t>PDP</w:t>
      </w:r>
      <w:r w:rsidRPr="2C8F1C5A">
        <w:rPr>
          <w:rFonts w:eastAsia="Times New Roman"/>
          <w:color w:val="000000" w:themeColor="text1"/>
        </w:rPr>
        <w:t xml:space="preserve"> in chosen sites, not to promote statistical generalization to other sites or service populations.</w:t>
      </w:r>
    </w:p>
    <w:p w:rsidR="006F082C" w:rsidP="00F85D35" w14:paraId="28D7DA7F" w14:textId="77777777">
      <w:pPr>
        <w:autoSpaceDE w:val="0"/>
        <w:autoSpaceDN w:val="0"/>
        <w:adjustRightInd w:val="0"/>
        <w:spacing w:after="60" w:line="240" w:lineRule="atLeast"/>
        <w:rPr>
          <w:rFonts w:eastAsia="Times New Roman" w:cstheme="minorHAnsi"/>
          <w:i/>
          <w:color w:val="000000"/>
        </w:rPr>
      </w:pPr>
    </w:p>
    <w:p w:rsidR="00E41EE9" w:rsidRPr="00DF1291" w:rsidP="00F85D35" w14:paraId="210DC9F0" w14:textId="685BE7C8">
      <w:pPr>
        <w:autoSpaceDE w:val="0"/>
        <w:autoSpaceDN w:val="0"/>
        <w:adjustRightInd w:val="0"/>
        <w:spacing w:after="60" w:line="240" w:lineRule="atLeast"/>
        <w:rPr>
          <w:rFonts w:eastAsia="Times New Roman" w:cstheme="minorHAnsi"/>
          <w:color w:val="000000"/>
        </w:rPr>
      </w:pPr>
      <w:r w:rsidRPr="0AE8602F">
        <w:rPr>
          <w:rFonts w:eastAsia="Times New Roman"/>
          <w:i/>
          <w:iCs/>
          <w:color w:val="000000" w:themeColor="text1"/>
        </w:rPr>
        <w:t xml:space="preserve">Appropriateness of Study Design and Methods for Planned Uses </w:t>
      </w:r>
    </w:p>
    <w:p w:rsidR="005C7E12" w:rsidP="008D7B90" w14:paraId="611E1659" w14:textId="0E1E5F89">
      <w:pPr>
        <w:spacing w:after="0" w:line="240" w:lineRule="auto"/>
      </w:pPr>
      <w:r>
        <w:t>T</w:t>
      </w:r>
      <w:r w:rsidR="0DB98EED">
        <w:t xml:space="preserve">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8D7B90" w:rsidRPr="00C844E1" w:rsidP="002555C0" w14:paraId="5A05FC11" w14:textId="77777777">
      <w:pPr>
        <w:spacing w:after="0" w:line="240" w:lineRule="auto"/>
      </w:pPr>
    </w:p>
    <w:p w:rsidR="006D2DEE" w:rsidP="008D7B90" w14:paraId="50CB262D" w14:textId="7A207020">
      <w:pPr>
        <w:spacing w:after="0" w:line="240" w:lineRule="auto"/>
      </w:pPr>
      <w:r>
        <w:t>The main goal of the multisite process evaluation is to document how the RHY</w:t>
      </w:r>
      <w:r w:rsidR="0074729C">
        <w:t xml:space="preserve"> </w:t>
      </w:r>
      <w:r>
        <w:t xml:space="preserve">PDP is implemented across </w:t>
      </w:r>
      <w:r w:rsidR="00A64C97">
        <w:t xml:space="preserve">a range of </w:t>
      </w:r>
      <w:r>
        <w:t xml:space="preserve">settings and community contexts. </w:t>
      </w:r>
      <w:r w:rsidR="008D7B90">
        <w:t>This</w:t>
      </w:r>
      <w:r>
        <w:t xml:space="preserve"> process evaluation </w:t>
      </w:r>
      <w:r w:rsidR="008D7B90">
        <w:t xml:space="preserve">will </w:t>
      </w:r>
      <w:r>
        <w:t>explore coordination among partners, strategies empowering youth to co-lead prevention plans, collaboration within communities, service delivery, providers’ experiences, and youth experiences</w:t>
      </w:r>
      <w:r w:rsidR="00A64C97">
        <w:t xml:space="preserve"> in the RHY PDP</w:t>
      </w:r>
      <w:r>
        <w:t xml:space="preserve">. The evaluation data collection procedures and protocols have been approved by </w:t>
      </w:r>
      <w:r w:rsidR="00253990">
        <w:t xml:space="preserve">the </w:t>
      </w:r>
      <w:r>
        <w:t>Urban</w:t>
      </w:r>
      <w:r w:rsidR="00253990">
        <w:t xml:space="preserve"> Institute</w:t>
      </w:r>
      <w:r>
        <w:t xml:space="preserve">’s Institutional Review Board (IRB). </w:t>
      </w:r>
    </w:p>
    <w:p w:rsidR="008D7B90" w:rsidP="002555C0" w14:paraId="3C6A0E69" w14:textId="77777777">
      <w:pPr>
        <w:spacing w:after="0" w:line="240" w:lineRule="auto"/>
      </w:pPr>
    </w:p>
    <w:p w:rsidR="00A96EBE" w:rsidP="008D7B90" w14:paraId="26182946" w14:textId="1E0D44B2">
      <w:pPr>
        <w:spacing w:after="0" w:line="240" w:lineRule="auto"/>
      </w:pPr>
      <w:r>
        <w:t xml:space="preserve">The evaluation is intended to describe each </w:t>
      </w:r>
      <w:r w:rsidR="00A64C97">
        <w:t xml:space="preserve">RHY </w:t>
      </w:r>
      <w:r>
        <w:t xml:space="preserve">PDP project with the goal of building knowledge and evidence on the prevention of youth homelessness and informing the development of strategies, programs, policies, and practices to prevent and respond to youth homelessness. The multisite process </w:t>
      </w:r>
      <w:r w:rsidR="00CD3FB7">
        <w:t xml:space="preserve">evaluation </w:t>
      </w:r>
      <w:r>
        <w:t xml:space="preserve">is not intended to replace any local evaluations, nor to measure individual-level impact of the </w:t>
      </w:r>
      <w:r w:rsidR="00A64C97">
        <w:t xml:space="preserve">RHY </w:t>
      </w:r>
      <w:r>
        <w:t xml:space="preserve">PDP projects on participants. Through the evaluation, </w:t>
      </w:r>
      <w:r w:rsidR="00A64C97">
        <w:t xml:space="preserve">RHY PDP </w:t>
      </w:r>
      <w:r>
        <w:t xml:space="preserve">sites will help identify facilitators and barriers in program design and implementation and in working with young people </w:t>
      </w:r>
      <w:r w:rsidR="00CD3FB7">
        <w:t xml:space="preserve">to </w:t>
      </w:r>
      <w:r w:rsidR="00A64C97">
        <w:t>prevent</w:t>
      </w:r>
      <w:r w:rsidR="00CD3FB7">
        <w:t xml:space="preserve"> homelessness</w:t>
      </w:r>
      <w:r>
        <w:t>.</w:t>
      </w:r>
    </w:p>
    <w:p w:rsidR="008D7B90" w:rsidP="002555C0" w14:paraId="650304A0" w14:textId="77777777">
      <w:pPr>
        <w:spacing w:after="0" w:line="240" w:lineRule="auto"/>
      </w:pPr>
    </w:p>
    <w:p w:rsidR="0005166B" w:rsidP="00C844E1" w14:paraId="034B6040" w14:textId="39CCE14B">
      <w:pPr>
        <w:spacing w:after="120" w:line="240" w:lineRule="auto"/>
      </w:pPr>
      <w:r>
        <w:t xml:space="preserve">To achieve the primary objectives of the study and answer the research questions, the evaluation comprises four primary activities: </w:t>
      </w:r>
    </w:p>
    <w:p w:rsidR="0005166B" w:rsidP="0005166B" w14:paraId="027A5447" w14:textId="19983F63">
      <w:pPr>
        <w:pStyle w:val="ListParagraph"/>
        <w:numPr>
          <w:ilvl w:val="0"/>
          <w:numId w:val="34"/>
        </w:numPr>
        <w:spacing w:after="60" w:line="240" w:lineRule="auto"/>
        <w:rPr>
          <w:iCs/>
        </w:rPr>
      </w:pPr>
      <w:r>
        <w:rPr>
          <w:iCs/>
        </w:rPr>
        <w:t>V</w:t>
      </w:r>
      <w:r w:rsidRPr="0005166B">
        <w:rPr>
          <w:iCs/>
        </w:rPr>
        <w:t xml:space="preserve">irtual quarterly </w:t>
      </w:r>
      <w:r w:rsidR="00A64C97">
        <w:rPr>
          <w:iCs/>
        </w:rPr>
        <w:t xml:space="preserve">site </w:t>
      </w:r>
      <w:r w:rsidR="00067D48">
        <w:rPr>
          <w:iCs/>
        </w:rPr>
        <w:t xml:space="preserve">meetings </w:t>
      </w:r>
      <w:r w:rsidRPr="0005166B">
        <w:rPr>
          <w:iCs/>
        </w:rPr>
        <w:t xml:space="preserve">with </w:t>
      </w:r>
      <w:r w:rsidR="00A64C97">
        <w:rPr>
          <w:iCs/>
        </w:rPr>
        <w:t xml:space="preserve">RHY PDP </w:t>
      </w:r>
      <w:r w:rsidRPr="0005166B">
        <w:rPr>
          <w:iCs/>
        </w:rPr>
        <w:t xml:space="preserve">grantee </w:t>
      </w:r>
      <w:r w:rsidR="00067D48">
        <w:rPr>
          <w:iCs/>
        </w:rPr>
        <w:t xml:space="preserve">site </w:t>
      </w:r>
      <w:r w:rsidR="00A64C97">
        <w:rPr>
          <w:iCs/>
        </w:rPr>
        <w:t>staff</w:t>
      </w:r>
    </w:p>
    <w:p w:rsidR="0005166B" w:rsidP="0005166B" w14:paraId="5812D1A9" w14:textId="0A52FECC">
      <w:pPr>
        <w:pStyle w:val="ListParagraph"/>
        <w:numPr>
          <w:ilvl w:val="0"/>
          <w:numId w:val="34"/>
        </w:numPr>
        <w:spacing w:after="60" w:line="240" w:lineRule="auto"/>
      </w:pPr>
      <w:r>
        <w:t>V</w:t>
      </w:r>
      <w:r w:rsidR="008A6BD7">
        <w:t>irtual listening sessions with RHY PDP grantees, providers, and community partners</w:t>
      </w:r>
      <w:r>
        <w:t xml:space="preserve"> </w:t>
      </w:r>
    </w:p>
    <w:p w:rsidR="000D577B" w:rsidP="0AE8602F" w14:paraId="60950CEC" w14:textId="756A1C5C">
      <w:pPr>
        <w:pStyle w:val="ListParagraph"/>
        <w:numPr>
          <w:ilvl w:val="0"/>
          <w:numId w:val="34"/>
        </w:numPr>
        <w:spacing w:after="60" w:line="240" w:lineRule="auto"/>
      </w:pPr>
      <w:r>
        <w:t>S</w:t>
      </w:r>
      <w:r w:rsidR="5B07BE02">
        <w:t xml:space="preserve">ite visits to conduct key respondent interviews with </w:t>
      </w:r>
      <w:r w:rsidR="00A64C97">
        <w:t xml:space="preserve">RHY PDP </w:t>
      </w:r>
      <w:r w:rsidR="5B07BE02">
        <w:t>grantees, providers, and community partners and conduct focus groups with young people</w:t>
      </w:r>
    </w:p>
    <w:p w:rsidR="000D577B" w:rsidP="008D7B90" w14:paraId="22BE1DFA" w14:textId="2430CBE0">
      <w:pPr>
        <w:pStyle w:val="ListParagraph"/>
        <w:numPr>
          <w:ilvl w:val="0"/>
          <w:numId w:val="34"/>
        </w:numPr>
        <w:spacing w:after="0" w:line="240" w:lineRule="auto"/>
      </w:pPr>
      <w:r>
        <w:t>Document</w:t>
      </w:r>
      <w:r w:rsidR="0AE8602F">
        <w:t xml:space="preserve"> review and analysis, to further collect, distill, and organize information on project activities and progress</w:t>
      </w:r>
      <w:r>
        <w:rPr>
          <w:rStyle w:val="FootnoteReference"/>
        </w:rPr>
        <w:footnoteReference w:id="3"/>
      </w:r>
    </w:p>
    <w:p w:rsidR="008D7B90" w:rsidP="002555C0" w14:paraId="0978EBBB" w14:textId="77777777">
      <w:pPr>
        <w:pStyle w:val="ListParagraph"/>
        <w:spacing w:after="0" w:line="240" w:lineRule="auto"/>
      </w:pPr>
    </w:p>
    <w:p w:rsidR="453655E7" w:rsidRPr="00C844E1" w:rsidP="002555C0" w14:paraId="35999663" w14:textId="5179A55E">
      <w:pPr>
        <w:spacing w:after="0" w:line="240" w:lineRule="auto"/>
      </w:pPr>
      <w:r>
        <w:t xml:space="preserve">There is some overlap across data collection activities and respondents; this is intentional as </w:t>
      </w:r>
      <w:r w:rsidR="547BD7AA">
        <w:t xml:space="preserve">the contractor </w:t>
      </w:r>
      <w:r>
        <w:t>seek</w:t>
      </w:r>
      <w:r w:rsidR="547BD7AA">
        <w:t>s</w:t>
      </w:r>
      <w:r>
        <w:t xml:space="preserve"> to obtain cross-constituent input and use multiple approaches to minimize method bias and obtain </w:t>
      </w:r>
      <w:r w:rsidR="385C830E">
        <w:t xml:space="preserve">a range of </w:t>
      </w:r>
      <w:r>
        <w:t>input and feedback. As noted, the study and the data collected</w:t>
      </w:r>
      <w:r w:rsidR="385C830E">
        <w:t xml:space="preserve"> </w:t>
      </w:r>
      <w:r w:rsidR="7D098652">
        <w:t>are</w:t>
      </w:r>
      <w:r>
        <w:t xml:space="preserve"> only intended to present </w:t>
      </w:r>
      <w:r w:rsidR="018896EA">
        <w:t xml:space="preserve">an </w:t>
      </w:r>
      <w:r w:rsidR="00E7481C">
        <w:t>internally valid</w:t>
      </w:r>
      <w:r>
        <w:t xml:space="preserve"> description of the </w:t>
      </w:r>
      <w:r w:rsidR="5004D868">
        <w:t xml:space="preserve">RHY PDP </w:t>
      </w:r>
      <w:r>
        <w:t xml:space="preserve">implementation in chosen sites, not to promote statistical generalization to other sites or service populations. Additionally, the process </w:t>
      </w:r>
      <w:r w:rsidR="385C830E">
        <w:t xml:space="preserve">evaluation </w:t>
      </w:r>
      <w:r>
        <w:t>does not include an impact evaluation</w:t>
      </w:r>
      <w:r w:rsidR="5243B2CA">
        <w:t>,</w:t>
      </w:r>
      <w:r>
        <w:t xml:space="preserve"> and the data and findings should not be used to assess </w:t>
      </w:r>
      <w:r w:rsidR="1669856C">
        <w:t xml:space="preserve">RHY </w:t>
      </w:r>
      <w:r>
        <w:t xml:space="preserve">PDP participant outcomes. These limitations will be clearly written in the final report produced at the end of the study. </w:t>
      </w:r>
    </w:p>
    <w:p w:rsidR="00BB2925" w:rsidRPr="006C0E56" w:rsidP="008E3694" w14:paraId="0C4F0DEF" w14:textId="3FD849D1">
      <w:pPr>
        <w:pStyle w:val="ListParagraph"/>
        <w:spacing w:after="0" w:line="240" w:lineRule="auto"/>
        <w:ind w:left="0"/>
      </w:pPr>
    </w:p>
    <w:p w:rsidR="006F082C" w:rsidRPr="00AC5153" w:rsidP="00AC5153" w14:paraId="76CCF3FC" w14:textId="77777777">
      <w:pPr>
        <w:spacing w:after="120"/>
      </w:pPr>
      <w:r w:rsidRPr="3C985526">
        <w:rPr>
          <w:b/>
          <w:bCs/>
        </w:rPr>
        <w:t>B2.</w:t>
      </w:r>
      <w:r w:rsidR="00EE38AF">
        <w:tab/>
      </w:r>
      <w:r w:rsidRPr="3C985526">
        <w:rPr>
          <w:rFonts w:eastAsia="Times New Roman"/>
          <w:b/>
          <w:bCs/>
          <w:color w:val="000000" w:themeColor="text1"/>
        </w:rPr>
        <w:t>Methods and Design</w:t>
      </w:r>
    </w:p>
    <w:p w:rsidR="005F2951" w:rsidRPr="00AC5153" w:rsidP="00AC5153" w14:paraId="542973ED" w14:textId="4BD18752">
      <w:pPr>
        <w:spacing w:after="60"/>
        <w:rPr>
          <w:i/>
          <w:iCs/>
        </w:rPr>
      </w:pPr>
      <w:r w:rsidRPr="00AC5153">
        <w:rPr>
          <w:i/>
          <w:iCs/>
        </w:rPr>
        <w:t xml:space="preserve">Target Population </w:t>
      </w:r>
      <w:r w:rsidRPr="00AC5153">
        <w:rPr>
          <w:i/>
          <w:iCs/>
        </w:rPr>
        <w:t xml:space="preserve"> </w:t>
      </w:r>
    </w:p>
    <w:p w:rsidR="009E446A" w:rsidRPr="009E446A" w:rsidP="00AC5153" w14:paraId="3042066B" w14:textId="4D492607">
      <w:pPr>
        <w:autoSpaceDE w:val="0"/>
        <w:autoSpaceDN w:val="0"/>
        <w:adjustRightInd w:val="0"/>
        <w:spacing w:after="60" w:line="240" w:lineRule="atLeast"/>
        <w:rPr>
          <w:rFonts w:eastAsia="Times New Roman"/>
          <w:color w:val="000000"/>
        </w:rPr>
      </w:pPr>
      <w:r w:rsidRPr="00E34E5B">
        <w:rPr>
          <w:rFonts w:eastAsia="Times New Roman"/>
          <w:color w:val="000000" w:themeColor="text1"/>
        </w:rPr>
        <w:t>T</w:t>
      </w:r>
      <w:r w:rsidRPr="00E34E5B" w:rsidR="547BD7AA">
        <w:rPr>
          <w:rFonts w:eastAsia="Times New Roman"/>
          <w:color w:val="000000" w:themeColor="text1"/>
        </w:rPr>
        <w:t xml:space="preserve">he contractor </w:t>
      </w:r>
      <w:r w:rsidRPr="00E34E5B" w:rsidR="2E9DC30C">
        <w:rPr>
          <w:rFonts w:eastAsia="Times New Roman"/>
          <w:color w:val="000000" w:themeColor="text1"/>
        </w:rPr>
        <w:t xml:space="preserve">will collect information from </w:t>
      </w:r>
      <w:r w:rsidRPr="00E34E5B" w:rsidR="7053A15A">
        <w:rPr>
          <w:rFonts w:eastAsia="Times New Roman"/>
          <w:color w:val="000000" w:themeColor="text1"/>
        </w:rPr>
        <w:t xml:space="preserve">each of the 10 RHY </w:t>
      </w:r>
      <w:r w:rsidRPr="00E34E5B" w:rsidR="2E9DC30C">
        <w:rPr>
          <w:rFonts w:eastAsia="Times New Roman"/>
          <w:color w:val="000000" w:themeColor="text1"/>
        </w:rPr>
        <w:t xml:space="preserve">PDP </w:t>
      </w:r>
      <w:r w:rsidRPr="00E34E5B" w:rsidR="385C830E">
        <w:rPr>
          <w:rFonts w:eastAsia="Times New Roman"/>
          <w:color w:val="000000" w:themeColor="text1"/>
        </w:rPr>
        <w:t xml:space="preserve">grantee </w:t>
      </w:r>
      <w:r w:rsidRPr="00E34E5B" w:rsidR="2E9DC30C">
        <w:rPr>
          <w:rFonts w:eastAsia="Times New Roman"/>
          <w:color w:val="000000" w:themeColor="text1"/>
        </w:rPr>
        <w:t>staff, community partners, and young people</w:t>
      </w:r>
      <w:r w:rsidR="00407515">
        <w:rPr>
          <w:rFonts w:eastAsia="Times New Roman"/>
          <w:color w:val="000000" w:themeColor="text1"/>
        </w:rPr>
        <w:t xml:space="preserve">. In particular, information will be collected from </w:t>
      </w:r>
      <w:r w:rsidRPr="2C8F1C5A" w:rsidR="00407515">
        <w:rPr>
          <w:rFonts w:eastAsia="Times New Roman"/>
          <w:color w:val="000000" w:themeColor="text1"/>
        </w:rPr>
        <w:t xml:space="preserve">young people participating in RHY PDP programming and with </w:t>
      </w:r>
      <w:r w:rsidR="00407515">
        <w:rPr>
          <w:rFonts w:eastAsia="Times New Roman"/>
          <w:color w:val="000000" w:themeColor="text1"/>
        </w:rPr>
        <w:t xml:space="preserve">members of </w:t>
      </w:r>
      <w:r w:rsidRPr="2C8F1C5A" w:rsidR="00407515">
        <w:rPr>
          <w:rFonts w:eastAsia="Times New Roman"/>
          <w:color w:val="000000" w:themeColor="text1"/>
        </w:rPr>
        <w:t xml:space="preserve">a local Youth Advisory Board (YAB) established by the RHY PDP grantee. The YABs consist of young people who participate in their local RHY PDP and collaborate with the RHY PDP grantee and partners on designing the program’s youth homelessness prevention approach. All RHY PDP grantees are required to form a YAB. </w:t>
      </w:r>
      <w:r w:rsidR="007275F3">
        <w:rPr>
          <w:rFonts w:eastAsia="Times New Roman"/>
          <w:color w:val="000000" w:themeColor="text1"/>
        </w:rPr>
        <w:t xml:space="preserve"> </w:t>
      </w:r>
      <w:r w:rsidR="00407515">
        <w:rPr>
          <w:rFonts w:eastAsia="Times New Roman"/>
          <w:color w:val="000000" w:themeColor="text1"/>
        </w:rPr>
        <w:t xml:space="preserve">The </w:t>
      </w:r>
      <w:r w:rsidRPr="2C8F1C5A" w:rsidR="2E9DC30C">
        <w:rPr>
          <w:rFonts w:eastAsia="Times New Roman"/>
          <w:color w:val="000000" w:themeColor="text1"/>
        </w:rPr>
        <w:t xml:space="preserve">data collection activities for the process </w:t>
      </w:r>
      <w:r w:rsidRPr="2C8F1C5A" w:rsidR="547BD7AA">
        <w:rPr>
          <w:rFonts w:eastAsia="Times New Roman"/>
          <w:color w:val="000000" w:themeColor="text1"/>
        </w:rPr>
        <w:t xml:space="preserve">evaluation </w:t>
      </w:r>
      <w:r w:rsidRPr="2C8F1C5A" w:rsidR="2E9DC30C">
        <w:rPr>
          <w:rFonts w:eastAsia="Times New Roman"/>
          <w:color w:val="000000" w:themeColor="text1"/>
        </w:rPr>
        <w:t>will proceed as follows:</w:t>
      </w:r>
    </w:p>
    <w:p w:rsidR="006D4807" w:rsidRPr="009603E7" w:rsidP="00AC5153" w14:paraId="395C4DFC" w14:textId="4561F44D">
      <w:pPr>
        <w:pStyle w:val="ListParagraph"/>
        <w:numPr>
          <w:ilvl w:val="0"/>
          <w:numId w:val="37"/>
        </w:numPr>
        <w:autoSpaceDE w:val="0"/>
        <w:autoSpaceDN w:val="0"/>
        <w:adjustRightInd w:val="0"/>
        <w:spacing w:after="0" w:line="240" w:lineRule="atLeast"/>
        <w:ind w:left="360"/>
        <w:rPr>
          <w:rFonts w:eastAsia="Times New Roman"/>
          <w:b/>
          <w:bCs/>
          <w:color w:val="000000"/>
        </w:rPr>
      </w:pPr>
      <w:r w:rsidRPr="2C8F1C5A">
        <w:rPr>
          <w:rFonts w:eastAsia="Times New Roman"/>
          <w:b/>
          <w:bCs/>
          <w:color w:val="000000" w:themeColor="text1"/>
        </w:rPr>
        <w:t xml:space="preserve">Quarterly site </w:t>
      </w:r>
      <w:r w:rsidRPr="2C8F1C5A" w:rsidR="2EEA3245">
        <w:rPr>
          <w:rFonts w:eastAsia="Times New Roman"/>
          <w:b/>
          <w:bCs/>
          <w:color w:val="000000" w:themeColor="text1"/>
        </w:rPr>
        <w:t xml:space="preserve">meetings </w:t>
      </w:r>
      <w:r w:rsidRPr="2C8F1C5A">
        <w:rPr>
          <w:rFonts w:eastAsia="Times New Roman"/>
          <w:b/>
          <w:bCs/>
          <w:color w:val="000000" w:themeColor="text1"/>
        </w:rPr>
        <w:t>(virtual</w:t>
      </w:r>
      <w:r w:rsidRPr="2C8F1C5A" w:rsidR="7DD5BAA6">
        <w:rPr>
          <w:rFonts w:eastAsia="Times New Roman"/>
          <w:b/>
          <w:bCs/>
          <w:color w:val="000000" w:themeColor="text1"/>
        </w:rPr>
        <w:t xml:space="preserve">, </w:t>
      </w:r>
      <w:r w:rsidRPr="2C8F1C5A" w:rsidR="385C830E">
        <w:rPr>
          <w:rFonts w:eastAsia="Times New Roman"/>
          <w:b/>
          <w:bCs/>
          <w:color w:val="000000" w:themeColor="text1"/>
        </w:rPr>
        <w:t xml:space="preserve">60 </w:t>
      </w:r>
      <w:r w:rsidRPr="2C8F1C5A">
        <w:rPr>
          <w:rFonts w:eastAsia="Times New Roman"/>
          <w:b/>
          <w:bCs/>
          <w:color w:val="000000" w:themeColor="text1"/>
        </w:rPr>
        <w:t>minutes</w:t>
      </w:r>
      <w:r w:rsidRPr="2C8F1C5A" w:rsidR="51C85B51">
        <w:rPr>
          <w:rFonts w:eastAsia="Times New Roman"/>
          <w:b/>
          <w:bCs/>
          <w:color w:val="000000" w:themeColor="text1"/>
        </w:rPr>
        <w:t>)</w:t>
      </w:r>
      <w:r w:rsidRPr="2C8F1C5A">
        <w:rPr>
          <w:rFonts w:eastAsia="Times New Roman"/>
          <w:b/>
          <w:bCs/>
          <w:color w:val="000000" w:themeColor="text1"/>
        </w:rPr>
        <w:t xml:space="preserve">. </w:t>
      </w:r>
      <w:r w:rsidRPr="2C8F1C5A" w:rsidR="547BD7AA">
        <w:rPr>
          <w:rFonts w:eastAsia="Times New Roman"/>
          <w:color w:val="000000" w:themeColor="text1"/>
        </w:rPr>
        <w:t xml:space="preserve">The contractor </w:t>
      </w:r>
      <w:r w:rsidRPr="2C8F1C5A">
        <w:rPr>
          <w:rFonts w:eastAsia="Times New Roman"/>
          <w:color w:val="000000" w:themeColor="text1"/>
        </w:rPr>
        <w:t xml:space="preserve">will </w:t>
      </w:r>
      <w:r w:rsidRPr="2C8F1C5A" w:rsidR="2EEA3245">
        <w:rPr>
          <w:rFonts w:eastAsia="Times New Roman"/>
          <w:color w:val="000000" w:themeColor="text1"/>
        </w:rPr>
        <w:t xml:space="preserve">facilitate </w:t>
      </w:r>
      <w:r w:rsidRPr="2C8F1C5A">
        <w:rPr>
          <w:rFonts w:eastAsia="Times New Roman"/>
          <w:color w:val="000000" w:themeColor="text1"/>
        </w:rPr>
        <w:t xml:space="preserve">quarterly site </w:t>
      </w:r>
      <w:r w:rsidRPr="2C8F1C5A" w:rsidR="2EEA3245">
        <w:rPr>
          <w:rFonts w:eastAsia="Times New Roman"/>
          <w:color w:val="000000" w:themeColor="text1"/>
        </w:rPr>
        <w:t xml:space="preserve">meetings </w:t>
      </w:r>
      <w:r w:rsidRPr="2C8F1C5A">
        <w:rPr>
          <w:rFonts w:eastAsia="Times New Roman"/>
          <w:color w:val="000000" w:themeColor="text1"/>
        </w:rPr>
        <w:t xml:space="preserve">with the primary </w:t>
      </w:r>
      <w:r w:rsidRPr="2C8F1C5A" w:rsidR="385C830E">
        <w:rPr>
          <w:rFonts w:eastAsia="Times New Roman"/>
          <w:color w:val="000000" w:themeColor="text1"/>
        </w:rPr>
        <w:t xml:space="preserve">RHY PDP </w:t>
      </w:r>
      <w:r w:rsidRPr="2C8F1C5A">
        <w:rPr>
          <w:rFonts w:eastAsia="Times New Roman"/>
          <w:color w:val="000000" w:themeColor="text1"/>
        </w:rPr>
        <w:t xml:space="preserve">grantee </w:t>
      </w:r>
      <w:r w:rsidRPr="2C8F1C5A" w:rsidR="385C830E">
        <w:rPr>
          <w:rFonts w:eastAsia="Times New Roman"/>
          <w:color w:val="000000" w:themeColor="text1"/>
        </w:rPr>
        <w:t xml:space="preserve">staff </w:t>
      </w:r>
      <w:r w:rsidRPr="2C8F1C5A">
        <w:rPr>
          <w:rFonts w:eastAsia="Times New Roman"/>
          <w:color w:val="000000" w:themeColor="text1"/>
        </w:rPr>
        <w:t>contact at each site via video conference</w:t>
      </w:r>
      <w:r w:rsidRPr="2C8F1C5A" w:rsidR="385C830E">
        <w:rPr>
          <w:rFonts w:eastAsia="Times New Roman"/>
          <w:color w:val="000000" w:themeColor="text1"/>
        </w:rPr>
        <w:t xml:space="preserve"> (e.g., Zoom)</w:t>
      </w:r>
      <w:r w:rsidRPr="2C8F1C5A">
        <w:rPr>
          <w:rFonts w:eastAsia="Times New Roman"/>
          <w:color w:val="000000" w:themeColor="text1"/>
        </w:rPr>
        <w:t xml:space="preserve">. </w:t>
      </w:r>
    </w:p>
    <w:p w:rsidR="00AC5153" w:rsidP="009603E7" w14:paraId="42AD65AF" w14:textId="77777777">
      <w:pPr>
        <w:pStyle w:val="ListParagraph"/>
        <w:autoSpaceDE w:val="0"/>
        <w:autoSpaceDN w:val="0"/>
        <w:adjustRightInd w:val="0"/>
        <w:spacing w:after="0" w:line="240" w:lineRule="atLeast"/>
        <w:ind w:left="360"/>
        <w:rPr>
          <w:rFonts w:eastAsia="Times New Roman"/>
          <w:b/>
          <w:bCs/>
          <w:color w:val="000000"/>
        </w:rPr>
      </w:pPr>
    </w:p>
    <w:p w:rsidR="006D4807" w:rsidRPr="006D4807" w:rsidP="006F082C" w14:paraId="2EB647EB" w14:textId="3572AA6C">
      <w:pPr>
        <w:pStyle w:val="ListParagraph"/>
        <w:numPr>
          <w:ilvl w:val="0"/>
          <w:numId w:val="37"/>
        </w:numPr>
        <w:autoSpaceDE w:val="0"/>
        <w:autoSpaceDN w:val="0"/>
        <w:adjustRightInd w:val="0"/>
        <w:spacing w:after="0" w:line="240" w:lineRule="atLeast"/>
        <w:ind w:left="360"/>
        <w:rPr>
          <w:rFonts w:eastAsia="Times New Roman"/>
          <w:b/>
          <w:bCs/>
          <w:color w:val="000000"/>
        </w:rPr>
      </w:pPr>
      <w:r w:rsidRPr="3C06D043">
        <w:rPr>
          <w:rFonts w:eastAsia="Times New Roman"/>
          <w:b/>
          <w:bCs/>
          <w:color w:val="000000" w:themeColor="text1"/>
        </w:rPr>
        <w:t>Listening sessions (virtual</w:t>
      </w:r>
      <w:r w:rsidRPr="3C06D043" w:rsidR="5F7307AB">
        <w:rPr>
          <w:rFonts w:eastAsia="Times New Roman"/>
          <w:b/>
          <w:bCs/>
          <w:color w:val="000000" w:themeColor="text1"/>
        </w:rPr>
        <w:t xml:space="preserve">, </w:t>
      </w:r>
      <w:r w:rsidRPr="3C06D043" w:rsidR="468A8447">
        <w:rPr>
          <w:rFonts w:eastAsia="Times New Roman"/>
          <w:b/>
          <w:bCs/>
          <w:color w:val="000000" w:themeColor="text1"/>
        </w:rPr>
        <w:t>9</w:t>
      </w:r>
      <w:r w:rsidRPr="3C06D043">
        <w:rPr>
          <w:rFonts w:eastAsia="Times New Roman"/>
          <w:b/>
          <w:bCs/>
          <w:color w:val="000000" w:themeColor="text1"/>
        </w:rPr>
        <w:t>0</w:t>
      </w:r>
      <w:r w:rsidRPr="3C06D043" w:rsidR="0C699B14">
        <w:rPr>
          <w:rFonts w:eastAsia="Times New Roman"/>
          <w:b/>
          <w:bCs/>
          <w:color w:val="000000" w:themeColor="text1"/>
        </w:rPr>
        <w:t xml:space="preserve"> minutes</w:t>
      </w:r>
      <w:r w:rsidRPr="3C06D043" w:rsidR="74088ECF">
        <w:rPr>
          <w:rFonts w:eastAsia="Times New Roman"/>
          <w:b/>
          <w:bCs/>
          <w:color w:val="000000" w:themeColor="text1"/>
        </w:rPr>
        <w:t>)</w:t>
      </w:r>
      <w:r w:rsidRPr="3C06D043" w:rsidR="0C699B14">
        <w:rPr>
          <w:rFonts w:eastAsia="Times New Roman"/>
          <w:b/>
          <w:bCs/>
          <w:color w:val="000000" w:themeColor="text1"/>
        </w:rPr>
        <w:t>.</w:t>
      </w:r>
      <w:r w:rsidRPr="3C06D043" w:rsidR="0C699B14">
        <w:rPr>
          <w:rFonts w:eastAsia="Times New Roman"/>
          <w:color w:val="000000" w:themeColor="text1"/>
        </w:rPr>
        <w:t xml:space="preserve"> </w:t>
      </w:r>
      <w:r w:rsidRPr="3C06D043" w:rsidR="547BD7AA">
        <w:rPr>
          <w:rFonts w:eastAsia="Times New Roman"/>
          <w:color w:val="000000" w:themeColor="text1"/>
        </w:rPr>
        <w:t xml:space="preserve">The contractor </w:t>
      </w:r>
      <w:r w:rsidRPr="3C06D043" w:rsidR="0C699B14">
        <w:rPr>
          <w:rFonts w:eastAsia="Times New Roman"/>
          <w:color w:val="000000" w:themeColor="text1"/>
        </w:rPr>
        <w:t xml:space="preserve">will </w:t>
      </w:r>
      <w:r w:rsidRPr="3C06D043">
        <w:rPr>
          <w:rFonts w:eastAsia="Times New Roman"/>
          <w:color w:val="000000" w:themeColor="text1"/>
        </w:rPr>
        <w:t xml:space="preserve">host </w:t>
      </w:r>
      <w:r w:rsidRPr="3C06D043" w:rsidR="006D432B">
        <w:rPr>
          <w:rFonts w:eastAsia="Times New Roman"/>
          <w:color w:val="000000" w:themeColor="text1"/>
        </w:rPr>
        <w:t>two</w:t>
      </w:r>
      <w:r w:rsidRPr="3C06D043">
        <w:rPr>
          <w:rFonts w:eastAsia="Times New Roman"/>
          <w:color w:val="000000" w:themeColor="text1"/>
        </w:rPr>
        <w:t xml:space="preserve"> virtual listening sessions with </w:t>
      </w:r>
      <w:r w:rsidRPr="3C06D043" w:rsidR="08D3F342">
        <w:rPr>
          <w:rFonts w:eastAsia="Times New Roman"/>
          <w:color w:val="000000" w:themeColor="text1"/>
        </w:rPr>
        <w:t xml:space="preserve">RHY PDP </w:t>
      </w:r>
      <w:r w:rsidRPr="3C06D043" w:rsidR="0C699B14">
        <w:rPr>
          <w:rFonts w:eastAsia="Times New Roman"/>
          <w:color w:val="000000" w:themeColor="text1"/>
        </w:rPr>
        <w:t>grantees and a broader set of community partners during site visits</w:t>
      </w:r>
      <w:r w:rsidRPr="3C06D043" w:rsidR="547BD7AA">
        <w:rPr>
          <w:rFonts w:eastAsia="Times New Roman"/>
          <w:color w:val="000000" w:themeColor="text1"/>
        </w:rPr>
        <w:t xml:space="preserve"> (see below)</w:t>
      </w:r>
      <w:r w:rsidRPr="3C06D043" w:rsidR="0C699B14">
        <w:rPr>
          <w:rFonts w:eastAsia="Times New Roman"/>
          <w:color w:val="000000" w:themeColor="text1"/>
        </w:rPr>
        <w:t>.</w:t>
      </w:r>
      <w:r w:rsidR="0C699B14">
        <w:t xml:space="preserve"> </w:t>
      </w:r>
      <w:r w:rsidRPr="3C06D043" w:rsidR="0C699B14">
        <w:rPr>
          <w:rFonts w:eastAsia="Times New Roman"/>
          <w:color w:val="000000" w:themeColor="text1"/>
        </w:rPr>
        <w:t xml:space="preserve">The number of </w:t>
      </w:r>
      <w:r w:rsidRPr="3C06D043">
        <w:rPr>
          <w:rFonts w:eastAsia="Times New Roman"/>
          <w:color w:val="000000" w:themeColor="text1"/>
        </w:rPr>
        <w:t xml:space="preserve">participants </w:t>
      </w:r>
      <w:r w:rsidRPr="3C06D043" w:rsidR="0C699B14">
        <w:rPr>
          <w:rFonts w:eastAsia="Times New Roman"/>
          <w:color w:val="000000" w:themeColor="text1"/>
        </w:rPr>
        <w:t xml:space="preserve">will vary based on the number of active partners within each site, but </w:t>
      </w:r>
      <w:r w:rsidRPr="3C06D043" w:rsidR="547BD7AA">
        <w:rPr>
          <w:rFonts w:eastAsia="Times New Roman"/>
          <w:color w:val="000000" w:themeColor="text1"/>
        </w:rPr>
        <w:t xml:space="preserve">the contractor </w:t>
      </w:r>
      <w:r w:rsidRPr="3C06D043" w:rsidR="0C699B14">
        <w:rPr>
          <w:rFonts w:eastAsia="Times New Roman"/>
          <w:color w:val="000000" w:themeColor="text1"/>
        </w:rPr>
        <w:t>anticipate</w:t>
      </w:r>
      <w:r w:rsidRPr="3C06D043" w:rsidR="547BD7AA">
        <w:rPr>
          <w:rFonts w:eastAsia="Times New Roman"/>
          <w:color w:val="000000" w:themeColor="text1"/>
        </w:rPr>
        <w:t>s</w:t>
      </w:r>
      <w:r w:rsidRPr="3C06D043" w:rsidR="0C699B14">
        <w:rPr>
          <w:rFonts w:eastAsia="Times New Roman"/>
          <w:color w:val="000000" w:themeColor="text1"/>
        </w:rPr>
        <w:t xml:space="preserve"> up to 1</w:t>
      </w:r>
      <w:r w:rsidRPr="3C06D043">
        <w:rPr>
          <w:rFonts w:eastAsia="Times New Roman"/>
          <w:color w:val="000000" w:themeColor="text1"/>
        </w:rPr>
        <w:t>0</w:t>
      </w:r>
      <w:r w:rsidRPr="3C06D043" w:rsidR="0C699B14">
        <w:rPr>
          <w:rFonts w:eastAsia="Times New Roman"/>
          <w:color w:val="000000" w:themeColor="text1"/>
        </w:rPr>
        <w:t xml:space="preserve"> </w:t>
      </w:r>
      <w:r w:rsidRPr="3C06D043">
        <w:rPr>
          <w:rFonts w:eastAsia="Times New Roman"/>
          <w:color w:val="000000" w:themeColor="text1"/>
        </w:rPr>
        <w:t xml:space="preserve">participants </w:t>
      </w:r>
      <w:r w:rsidRPr="3C06D043" w:rsidR="0C699B14">
        <w:rPr>
          <w:rFonts w:eastAsia="Times New Roman"/>
          <w:color w:val="000000" w:themeColor="text1"/>
        </w:rPr>
        <w:t>in each site for a total of 1</w:t>
      </w:r>
      <w:r w:rsidRPr="3C06D043">
        <w:rPr>
          <w:rFonts w:eastAsia="Times New Roman"/>
          <w:color w:val="000000" w:themeColor="text1"/>
        </w:rPr>
        <w:t>00</w:t>
      </w:r>
      <w:r w:rsidRPr="3C06D043" w:rsidR="0C699B14">
        <w:rPr>
          <w:rFonts w:eastAsia="Times New Roman"/>
          <w:color w:val="000000" w:themeColor="text1"/>
        </w:rPr>
        <w:t xml:space="preserve"> </w:t>
      </w:r>
      <w:r w:rsidRPr="3C06D043">
        <w:rPr>
          <w:rFonts w:eastAsia="Times New Roman"/>
          <w:color w:val="000000" w:themeColor="text1"/>
        </w:rPr>
        <w:t>participants. Each participant will only participate in one of the two listening sessions.</w:t>
      </w:r>
    </w:p>
    <w:p w:rsidR="00AC5153" w:rsidP="009603E7" w14:paraId="6A33C872" w14:textId="77777777">
      <w:pPr>
        <w:pStyle w:val="ListParagraph"/>
        <w:spacing w:after="0" w:line="240" w:lineRule="atLeast"/>
        <w:ind w:left="360"/>
        <w:rPr>
          <w:rFonts w:eastAsia="Times New Roman"/>
          <w:b/>
          <w:bCs/>
          <w:color w:val="000000" w:themeColor="text1"/>
        </w:rPr>
      </w:pPr>
    </w:p>
    <w:p w:rsidR="006D4807" w:rsidRPr="006D4807" w14:paraId="7BA72389" w14:textId="382B24E9">
      <w:pPr>
        <w:pStyle w:val="ListParagraph"/>
        <w:numPr>
          <w:ilvl w:val="0"/>
          <w:numId w:val="37"/>
        </w:numPr>
        <w:spacing w:after="0" w:line="240" w:lineRule="atLeast"/>
        <w:ind w:left="360"/>
        <w:rPr>
          <w:rFonts w:eastAsia="Times New Roman"/>
          <w:b/>
          <w:bCs/>
          <w:color w:val="000000" w:themeColor="text1"/>
        </w:rPr>
      </w:pPr>
      <w:r w:rsidRPr="2C8F1C5A">
        <w:rPr>
          <w:rFonts w:eastAsia="Times New Roman"/>
          <w:b/>
          <w:bCs/>
          <w:color w:val="000000" w:themeColor="text1"/>
        </w:rPr>
        <w:t>Site visits (in-person).</w:t>
      </w:r>
      <w:r w:rsidRPr="2C8F1C5A">
        <w:rPr>
          <w:rFonts w:eastAsia="Times New Roman"/>
          <w:color w:val="000000" w:themeColor="text1"/>
        </w:rPr>
        <w:t xml:space="preserve"> </w:t>
      </w:r>
      <w:r w:rsidRPr="006D432B" w:rsidR="7FDBE9E3">
        <w:rPr>
          <w:rFonts w:eastAsia="Times New Roman"/>
          <w:color w:val="000000" w:themeColor="text1"/>
        </w:rPr>
        <w:t>One</w:t>
      </w:r>
      <w:r w:rsidRPr="2C8F1C5A">
        <w:rPr>
          <w:rFonts w:eastAsia="Times New Roman"/>
          <w:color w:val="000000" w:themeColor="text1"/>
        </w:rPr>
        <w:t xml:space="preserve"> visit at each RHY PDP</w:t>
      </w:r>
      <w:r w:rsidRPr="2C8F1C5A" w:rsidR="08D3F342">
        <w:rPr>
          <w:rFonts w:eastAsia="Times New Roman"/>
          <w:color w:val="000000" w:themeColor="text1"/>
        </w:rPr>
        <w:t xml:space="preserve"> site</w:t>
      </w:r>
      <w:r w:rsidRPr="2C8F1C5A" w:rsidR="72305310">
        <w:rPr>
          <w:rFonts w:eastAsia="Times New Roman"/>
          <w:color w:val="000000" w:themeColor="text1"/>
        </w:rPr>
        <w:t xml:space="preserve"> which will include</w:t>
      </w:r>
      <w:r w:rsidRPr="2C8F1C5A">
        <w:rPr>
          <w:rFonts w:eastAsia="Times New Roman"/>
          <w:color w:val="000000" w:themeColor="text1"/>
        </w:rPr>
        <w:t xml:space="preserve">: </w:t>
      </w:r>
    </w:p>
    <w:p w:rsidR="00DF34AE" w:rsidRPr="0016510A" w14:paraId="2AAAA2BC" w14:textId="032185B2">
      <w:pPr>
        <w:pStyle w:val="ListParagraph"/>
        <w:numPr>
          <w:ilvl w:val="1"/>
          <w:numId w:val="37"/>
        </w:numPr>
        <w:spacing w:after="0" w:line="240" w:lineRule="atLeast"/>
        <w:ind w:left="1080"/>
        <w:rPr>
          <w:rFonts w:eastAsia="Times New Roman"/>
          <w:color w:val="000000" w:themeColor="text1"/>
        </w:rPr>
      </w:pPr>
      <w:r w:rsidRPr="006D432B">
        <w:rPr>
          <w:rFonts w:eastAsia="Times New Roman"/>
          <w:b/>
          <w:bCs/>
          <w:color w:val="000000" w:themeColor="text1"/>
        </w:rPr>
        <w:t>Eight</w:t>
      </w:r>
      <w:r w:rsidRPr="0016510A" w:rsidR="37A25348">
        <w:rPr>
          <w:rFonts w:eastAsia="Times New Roman"/>
          <w:b/>
          <w:bCs/>
          <w:color w:val="000000" w:themeColor="text1"/>
        </w:rPr>
        <w:t xml:space="preserve"> key respondent interviews </w:t>
      </w:r>
      <w:r w:rsidRPr="0016510A" w:rsidR="098B5EE0">
        <w:rPr>
          <w:rFonts w:eastAsia="Times New Roman"/>
          <w:b/>
          <w:bCs/>
          <w:color w:val="000000" w:themeColor="text1"/>
        </w:rPr>
        <w:t>(60 minutes)</w:t>
      </w:r>
      <w:r w:rsidRPr="3D4ECDC5" w:rsidR="098B5EE0">
        <w:rPr>
          <w:rFonts w:eastAsia="Times New Roman"/>
          <w:color w:val="000000" w:themeColor="text1"/>
        </w:rPr>
        <w:t xml:space="preserve"> </w:t>
      </w:r>
      <w:r w:rsidRPr="0016510A" w:rsidR="37A25348">
        <w:rPr>
          <w:rFonts w:eastAsia="Times New Roman"/>
          <w:color w:val="000000" w:themeColor="text1"/>
        </w:rPr>
        <w:t xml:space="preserve">with </w:t>
      </w:r>
      <w:r w:rsidRPr="0016510A" w:rsidR="08D3F342">
        <w:rPr>
          <w:rFonts w:eastAsia="Times New Roman"/>
          <w:color w:val="000000" w:themeColor="text1"/>
        </w:rPr>
        <w:t xml:space="preserve">RHY PDP staff, </w:t>
      </w:r>
      <w:r w:rsidRPr="0016510A" w:rsidR="37A25348">
        <w:rPr>
          <w:rFonts w:eastAsia="Times New Roman"/>
          <w:color w:val="000000" w:themeColor="text1"/>
        </w:rPr>
        <w:t>providers</w:t>
      </w:r>
      <w:r w:rsidRPr="0016510A" w:rsidR="08D3F342">
        <w:rPr>
          <w:rFonts w:eastAsia="Times New Roman"/>
          <w:color w:val="000000" w:themeColor="text1"/>
        </w:rPr>
        <w:t>,</w:t>
      </w:r>
      <w:r w:rsidRPr="0016510A" w:rsidR="37A25348">
        <w:rPr>
          <w:rFonts w:eastAsia="Times New Roman"/>
          <w:color w:val="000000" w:themeColor="text1"/>
        </w:rPr>
        <w:t xml:space="preserve"> and community partners</w:t>
      </w:r>
      <w:r w:rsidRPr="3D4ECDC5" w:rsidR="653EB3A2">
        <w:rPr>
          <w:rFonts w:eastAsia="Times New Roman"/>
          <w:color w:val="000000" w:themeColor="text1"/>
        </w:rPr>
        <w:t xml:space="preserve"> </w:t>
      </w:r>
      <w:r w:rsidRPr="0016510A" w:rsidR="37A25348">
        <w:rPr>
          <w:rFonts w:eastAsia="Times New Roman"/>
          <w:color w:val="000000" w:themeColor="text1"/>
        </w:rPr>
        <w:t xml:space="preserve">focused on </w:t>
      </w:r>
      <w:r w:rsidRPr="0016510A" w:rsidR="08D3F342">
        <w:rPr>
          <w:rFonts w:eastAsia="Times New Roman"/>
          <w:color w:val="000000" w:themeColor="text1"/>
        </w:rPr>
        <w:t xml:space="preserve">RHY </w:t>
      </w:r>
      <w:r w:rsidRPr="0016510A" w:rsidR="37A25348">
        <w:rPr>
          <w:rFonts w:eastAsia="Times New Roman"/>
          <w:color w:val="000000" w:themeColor="text1"/>
        </w:rPr>
        <w:t>PDP site implementation, coordination, and provider experiences.</w:t>
      </w:r>
    </w:p>
    <w:p w:rsidR="00DF34AE" w14:paraId="43784594" w14:textId="4A791958">
      <w:pPr>
        <w:pStyle w:val="ListParagraph"/>
        <w:numPr>
          <w:ilvl w:val="1"/>
          <w:numId w:val="37"/>
        </w:numPr>
        <w:spacing w:after="0" w:line="240" w:lineRule="atLeast"/>
        <w:ind w:left="1080"/>
        <w:rPr>
          <w:rFonts w:eastAsia="Times New Roman"/>
          <w:color w:val="000000" w:themeColor="text1"/>
        </w:rPr>
      </w:pPr>
      <w:r w:rsidRPr="006D432B">
        <w:rPr>
          <w:rFonts w:eastAsia="Times New Roman"/>
          <w:b/>
          <w:bCs/>
          <w:color w:val="000000" w:themeColor="text1"/>
        </w:rPr>
        <w:t>Two</w:t>
      </w:r>
      <w:r w:rsidRPr="0016510A" w:rsidR="5035E246">
        <w:rPr>
          <w:rFonts w:eastAsia="Times New Roman"/>
          <w:b/>
          <w:bCs/>
          <w:color w:val="000000" w:themeColor="text1"/>
        </w:rPr>
        <w:t xml:space="preserve"> focus groups </w:t>
      </w:r>
      <w:r w:rsidRPr="0016510A" w:rsidR="5803321E">
        <w:rPr>
          <w:rFonts w:eastAsia="Times New Roman"/>
          <w:b/>
          <w:bCs/>
          <w:color w:val="000000" w:themeColor="text1"/>
        </w:rPr>
        <w:t>(90 minutes)</w:t>
      </w:r>
      <w:r w:rsidRPr="3D4ECDC5" w:rsidR="5803321E">
        <w:rPr>
          <w:rFonts w:eastAsia="Times New Roman"/>
          <w:color w:val="000000" w:themeColor="text1"/>
        </w:rPr>
        <w:t xml:space="preserve"> </w:t>
      </w:r>
      <w:r w:rsidRPr="0016510A" w:rsidR="5035E246">
        <w:rPr>
          <w:rFonts w:eastAsia="Times New Roman"/>
          <w:color w:val="000000" w:themeColor="text1"/>
        </w:rPr>
        <w:t>with</w:t>
      </w:r>
      <w:r w:rsidR="008E3694">
        <w:rPr>
          <w:rFonts w:eastAsia="Times New Roman"/>
          <w:color w:val="000000" w:themeColor="text1"/>
        </w:rPr>
        <w:t xml:space="preserve"> up to</w:t>
      </w:r>
      <w:r w:rsidR="00A644DA">
        <w:rPr>
          <w:rFonts w:eastAsia="Times New Roman"/>
          <w:color w:val="000000" w:themeColor="text1"/>
        </w:rPr>
        <w:t xml:space="preserve"> 160</w:t>
      </w:r>
      <w:r w:rsidR="008E3694">
        <w:rPr>
          <w:rFonts w:eastAsia="Times New Roman"/>
          <w:color w:val="000000" w:themeColor="text1"/>
        </w:rPr>
        <w:t xml:space="preserve"> </w:t>
      </w:r>
      <w:r w:rsidRPr="0016510A" w:rsidR="5035E246">
        <w:rPr>
          <w:rFonts w:eastAsia="Times New Roman"/>
          <w:color w:val="000000" w:themeColor="text1"/>
        </w:rPr>
        <w:t xml:space="preserve"> young people addressing youth experiences with the </w:t>
      </w:r>
      <w:r w:rsidRPr="0016510A" w:rsidR="08D3F342">
        <w:rPr>
          <w:rFonts w:eastAsia="Times New Roman"/>
          <w:color w:val="000000" w:themeColor="text1"/>
        </w:rPr>
        <w:t xml:space="preserve">RHY </w:t>
      </w:r>
      <w:r w:rsidRPr="0016510A" w:rsidR="5035E246">
        <w:rPr>
          <w:rFonts w:eastAsia="Times New Roman"/>
          <w:color w:val="000000" w:themeColor="text1"/>
        </w:rPr>
        <w:t>PDP co-design process and experiences within</w:t>
      </w:r>
      <w:r w:rsidRPr="0016510A" w:rsidR="08D3F342">
        <w:rPr>
          <w:rFonts w:eastAsia="Times New Roman"/>
          <w:color w:val="000000" w:themeColor="text1"/>
        </w:rPr>
        <w:t xml:space="preserve"> RHY</w:t>
      </w:r>
      <w:r w:rsidRPr="0016510A" w:rsidR="5035E246">
        <w:rPr>
          <w:rFonts w:eastAsia="Times New Roman"/>
          <w:color w:val="000000" w:themeColor="text1"/>
        </w:rPr>
        <w:t xml:space="preserve"> PDP service receipt.</w:t>
      </w:r>
      <w:r w:rsidR="008E3694">
        <w:rPr>
          <w:rFonts w:eastAsia="Times New Roman"/>
          <w:color w:val="000000" w:themeColor="text1"/>
        </w:rPr>
        <w:t xml:space="preserve"> </w:t>
      </w:r>
    </w:p>
    <w:p w:rsidR="00A644DA" w:rsidRPr="0016510A" w:rsidP="00A644DA" w14:paraId="6669E418" w14:textId="77777777">
      <w:pPr>
        <w:pStyle w:val="ListParagraph"/>
        <w:spacing w:after="0" w:line="240" w:lineRule="atLeast"/>
        <w:ind w:left="1080"/>
        <w:rPr>
          <w:rFonts w:eastAsia="Times New Roman"/>
          <w:color w:val="000000" w:themeColor="text1"/>
        </w:rPr>
      </w:pPr>
    </w:p>
    <w:p w:rsidR="00DF34AE" w:rsidRPr="00DF34AE" w14:paraId="063D4A74" w14:textId="2ECA0095">
      <w:pPr>
        <w:pStyle w:val="ListParagraph"/>
        <w:numPr>
          <w:ilvl w:val="0"/>
          <w:numId w:val="37"/>
        </w:numPr>
        <w:spacing w:after="0" w:line="240" w:lineRule="atLeast"/>
        <w:ind w:left="360"/>
        <w:rPr>
          <w:rFonts w:eastAsia="Times New Roman"/>
          <w:b/>
          <w:bCs/>
          <w:color w:val="000000" w:themeColor="text1"/>
        </w:rPr>
      </w:pPr>
      <w:r w:rsidRPr="2C8F1C5A">
        <w:rPr>
          <w:rFonts w:eastAsia="Times New Roman"/>
          <w:b/>
          <w:bCs/>
          <w:color w:val="000000" w:themeColor="text1"/>
        </w:rPr>
        <w:t xml:space="preserve">Document review and analysis. </w:t>
      </w:r>
      <w:r w:rsidRPr="2C8F1C5A" w:rsidR="547BD7AA">
        <w:rPr>
          <w:rFonts w:eastAsia="Times New Roman"/>
          <w:color w:val="000000" w:themeColor="text1"/>
        </w:rPr>
        <w:t xml:space="preserve">The contractor </w:t>
      </w:r>
      <w:r w:rsidRPr="2C8F1C5A">
        <w:rPr>
          <w:rFonts w:eastAsia="Times New Roman"/>
          <w:color w:val="000000" w:themeColor="text1"/>
        </w:rPr>
        <w:t xml:space="preserve">will review key project materials produced by each </w:t>
      </w:r>
      <w:r w:rsidRPr="2C8F1C5A" w:rsidR="08D3F342">
        <w:rPr>
          <w:rFonts w:eastAsia="Times New Roman"/>
          <w:color w:val="000000" w:themeColor="text1"/>
        </w:rPr>
        <w:t xml:space="preserve">RHY PDP </w:t>
      </w:r>
      <w:r w:rsidRPr="2C8F1C5A">
        <w:rPr>
          <w:rFonts w:eastAsia="Times New Roman"/>
          <w:color w:val="000000" w:themeColor="text1"/>
        </w:rPr>
        <w:t xml:space="preserve">grantee and relevant partners. </w:t>
      </w:r>
      <w:r w:rsidRPr="2C8F1C5A" w:rsidR="547BD7AA">
        <w:rPr>
          <w:rFonts w:eastAsia="Times New Roman"/>
          <w:color w:val="000000" w:themeColor="text1"/>
        </w:rPr>
        <w:t xml:space="preserve">Contractor staff </w:t>
      </w:r>
      <w:r w:rsidRPr="2C8F1C5A">
        <w:rPr>
          <w:rFonts w:eastAsia="Times New Roman"/>
          <w:color w:val="000000" w:themeColor="text1"/>
        </w:rPr>
        <w:t xml:space="preserve">will preserve </w:t>
      </w:r>
      <w:r w:rsidRPr="2C8F1C5A" w:rsidR="259234C4">
        <w:rPr>
          <w:rFonts w:eastAsia="Times New Roman"/>
          <w:color w:val="000000" w:themeColor="text1"/>
        </w:rPr>
        <w:t xml:space="preserve">materials </w:t>
      </w:r>
      <w:r w:rsidRPr="2C8F1C5A">
        <w:rPr>
          <w:rFonts w:eastAsia="Times New Roman"/>
          <w:color w:val="000000" w:themeColor="text1"/>
        </w:rPr>
        <w:t xml:space="preserve">from meetings with the sites, </w:t>
      </w:r>
      <w:r w:rsidRPr="2C8F1C5A" w:rsidR="37F05A9D">
        <w:rPr>
          <w:rFonts w:eastAsia="Times New Roman"/>
          <w:color w:val="000000" w:themeColor="text1"/>
        </w:rPr>
        <w:t xml:space="preserve">including </w:t>
      </w:r>
      <w:r w:rsidRPr="2C8F1C5A" w:rsidR="547BD7AA">
        <w:rPr>
          <w:rFonts w:eastAsia="Times New Roman"/>
          <w:color w:val="000000" w:themeColor="text1"/>
        </w:rPr>
        <w:t xml:space="preserve">meeting agendas, notes/minutes, reports, plans, local RHY PDP evaluation reports, </w:t>
      </w:r>
      <w:r w:rsidRPr="2C8F1C5A" w:rsidR="1C57EEB2">
        <w:rPr>
          <w:rFonts w:eastAsia="Times New Roman"/>
          <w:color w:val="000000" w:themeColor="text1"/>
        </w:rPr>
        <w:t xml:space="preserve">and </w:t>
      </w:r>
      <w:r w:rsidRPr="2C8F1C5A" w:rsidR="547BD7AA">
        <w:rPr>
          <w:rFonts w:eastAsia="Times New Roman"/>
          <w:color w:val="000000" w:themeColor="text1"/>
        </w:rPr>
        <w:t>other documents</w:t>
      </w:r>
      <w:r w:rsidRPr="2C8F1C5A">
        <w:rPr>
          <w:rFonts w:eastAsia="Times New Roman"/>
          <w:color w:val="000000" w:themeColor="text1"/>
        </w:rPr>
        <w:t xml:space="preserve">. </w:t>
      </w:r>
      <w:r w:rsidRPr="2C8F1C5A" w:rsidR="0B965B64">
        <w:rPr>
          <w:rFonts w:eastAsia="Times New Roman"/>
          <w:color w:val="000000" w:themeColor="text1"/>
        </w:rPr>
        <w:t xml:space="preserve">Document </w:t>
      </w:r>
      <w:r w:rsidRPr="2C8F1C5A" w:rsidR="5C5A5044">
        <w:rPr>
          <w:rFonts w:eastAsia="Times New Roman"/>
          <w:color w:val="000000" w:themeColor="text1"/>
        </w:rPr>
        <w:t>r</w:t>
      </w:r>
      <w:r w:rsidRPr="2C8F1C5A" w:rsidR="3FE2BE67">
        <w:rPr>
          <w:rFonts w:eastAsia="Times New Roman"/>
          <w:color w:val="000000" w:themeColor="text1"/>
        </w:rPr>
        <w:t>eview</w:t>
      </w:r>
      <w:r w:rsidRPr="2C8F1C5A">
        <w:rPr>
          <w:rFonts w:eastAsia="Times New Roman"/>
          <w:color w:val="000000" w:themeColor="text1"/>
        </w:rPr>
        <w:t xml:space="preserve"> will enable the </w:t>
      </w:r>
      <w:r w:rsidRPr="2C8F1C5A" w:rsidR="547BD7AA">
        <w:rPr>
          <w:rFonts w:eastAsia="Times New Roman"/>
          <w:color w:val="000000" w:themeColor="text1"/>
        </w:rPr>
        <w:t>contractor</w:t>
      </w:r>
      <w:r w:rsidRPr="2C8F1C5A">
        <w:rPr>
          <w:rFonts w:eastAsia="Times New Roman"/>
          <w:color w:val="000000" w:themeColor="text1"/>
        </w:rPr>
        <w:t xml:space="preserve"> to identify </w:t>
      </w:r>
      <w:r w:rsidRPr="2C8F1C5A" w:rsidR="2BBC7E26">
        <w:rPr>
          <w:rFonts w:eastAsia="Times New Roman"/>
          <w:color w:val="000000" w:themeColor="text1"/>
        </w:rPr>
        <w:t>key</w:t>
      </w:r>
      <w:r w:rsidRPr="2C8F1C5A">
        <w:rPr>
          <w:rFonts w:eastAsia="Times New Roman"/>
          <w:color w:val="000000" w:themeColor="text1"/>
        </w:rPr>
        <w:t xml:space="preserve"> themes and unique site experiences related to project activities and components, providing valuable </w:t>
      </w:r>
      <w:r w:rsidRPr="2C8F1C5A" w:rsidR="2BBC7E26">
        <w:rPr>
          <w:rFonts w:eastAsia="Times New Roman"/>
          <w:color w:val="000000" w:themeColor="text1"/>
        </w:rPr>
        <w:t>insights on</w:t>
      </w:r>
      <w:r w:rsidRPr="2C8F1C5A">
        <w:rPr>
          <w:rFonts w:eastAsia="Times New Roman"/>
          <w:color w:val="000000" w:themeColor="text1"/>
        </w:rPr>
        <w:t xml:space="preserve"> implementation facilitators and barriers to inform future activities.</w:t>
      </w:r>
      <w:r w:rsidR="00475D61">
        <w:rPr>
          <w:rFonts w:eastAsia="Times New Roman"/>
          <w:color w:val="000000" w:themeColor="text1"/>
        </w:rPr>
        <w:t xml:space="preserve"> The document review does not engage participants and is not formally part of information collection</w:t>
      </w:r>
      <w:r w:rsidR="003F3229">
        <w:rPr>
          <w:rFonts w:eastAsia="Times New Roman"/>
          <w:color w:val="000000" w:themeColor="text1"/>
        </w:rPr>
        <w:t xml:space="preserve">. </w:t>
      </w:r>
    </w:p>
    <w:p w:rsidR="00BB2925" w:rsidP="006F082C" w14:paraId="1E51CBD6" w14:textId="61B1515D">
      <w:pPr>
        <w:autoSpaceDE w:val="0"/>
        <w:autoSpaceDN w:val="0"/>
        <w:adjustRightInd w:val="0"/>
        <w:spacing w:after="60" w:line="240" w:lineRule="atLeast"/>
        <w:contextualSpacing/>
        <w:rPr>
          <w:rFonts w:eastAsia="Times New Roman"/>
          <w:color w:val="000000"/>
        </w:rPr>
      </w:pPr>
    </w:p>
    <w:p w:rsidR="000D7942" w:rsidP="01D6E649" w14:paraId="43384CE3" w14:textId="4DC24319">
      <w:pPr>
        <w:autoSpaceDE w:val="0"/>
        <w:autoSpaceDN w:val="0"/>
        <w:adjustRightInd w:val="0"/>
        <w:spacing w:after="60" w:line="240" w:lineRule="atLeast"/>
        <w:contextualSpacing/>
        <w:rPr>
          <w:rFonts w:eastAsia="Times New Roman"/>
          <w:i/>
          <w:iCs/>
          <w:color w:val="000000"/>
        </w:rPr>
      </w:pPr>
      <w:r w:rsidRPr="027A4D2A">
        <w:rPr>
          <w:rFonts w:eastAsia="Times New Roman"/>
          <w:i/>
          <w:iCs/>
          <w:color w:val="000000" w:themeColor="text1"/>
        </w:rPr>
        <w:t xml:space="preserve">Sampling </w:t>
      </w:r>
    </w:p>
    <w:p w:rsidR="00F85D35" w:rsidP="008369BA" w14:paraId="4D1C6AC5" w14:textId="761B36A8">
      <w:pPr>
        <w:pStyle w:val="ListParagraph"/>
        <w:spacing w:after="0" w:line="240" w:lineRule="auto"/>
        <w:ind w:left="0"/>
      </w:pPr>
      <w:r>
        <w:t>All 1</w:t>
      </w:r>
      <w:r w:rsidR="008A6BD7">
        <w:t>0</w:t>
      </w:r>
      <w:r>
        <w:t xml:space="preserve"> grantees participating in the RHY PDP are included in the multisite process </w:t>
      </w:r>
      <w:r w:rsidR="00F26189">
        <w:t>evaluation</w:t>
      </w:r>
      <w:r>
        <w:t xml:space="preserve">. </w:t>
      </w:r>
      <w:r w:rsidR="0074729C">
        <w:t xml:space="preserve">Table </w:t>
      </w:r>
      <w:r>
        <w:t>1 shows the characteristics of each site. As noted, participants will not be randomly sampled and findings are not intended to be representative.</w:t>
      </w:r>
    </w:p>
    <w:p w:rsidR="00F77214" w:rsidP="008369BA" w14:paraId="49D40F71" w14:textId="77777777">
      <w:pPr>
        <w:pStyle w:val="ListParagraph"/>
        <w:spacing w:after="0" w:line="240" w:lineRule="auto"/>
        <w:ind w:left="0"/>
      </w:pPr>
    </w:p>
    <w:p w:rsidR="00B35D1B" w:rsidRPr="00F77214" w:rsidP="00E34E5B" w14:paraId="241DCDF4" w14:textId="207BF9A4">
      <w:pPr>
        <w:rPr>
          <w:rFonts w:eastAsiaTheme="minorEastAsia"/>
          <w:b/>
          <w:bCs/>
          <w:color w:val="000000" w:themeColor="text1"/>
        </w:rPr>
      </w:pPr>
      <w:bookmarkStart w:id="1" w:name="_Hlk172665762"/>
      <w:r w:rsidRPr="00F77214">
        <w:rPr>
          <w:rFonts w:eastAsiaTheme="minorEastAsia"/>
          <w:b/>
          <w:bCs/>
          <w:color w:val="000000" w:themeColor="text1"/>
        </w:rPr>
        <w:t xml:space="preserve">Table </w:t>
      </w:r>
      <w:r w:rsidRPr="00F77214">
        <w:rPr>
          <w:rFonts w:eastAsiaTheme="minorEastAsia"/>
          <w:b/>
          <w:bCs/>
          <w:color w:val="000000" w:themeColor="text1"/>
        </w:rPr>
        <w:t>1</w:t>
      </w:r>
      <w:r w:rsidRPr="00F77214" w:rsidR="00F26189">
        <w:rPr>
          <w:rFonts w:eastAsiaTheme="minorEastAsia"/>
          <w:b/>
          <w:bCs/>
          <w:color w:val="000000" w:themeColor="text1"/>
        </w:rPr>
        <w:t xml:space="preserve">. </w:t>
      </w:r>
      <w:r w:rsidRPr="00F77214">
        <w:rPr>
          <w:rFonts w:eastAsiaTheme="minorEastAsia"/>
          <w:b/>
          <w:bCs/>
          <w:color w:val="000000" w:themeColor="text1"/>
        </w:rPr>
        <w:t>RHY</w:t>
      </w:r>
      <w:r w:rsidRPr="00F77214">
        <w:rPr>
          <w:rFonts w:eastAsiaTheme="minorEastAsia"/>
          <w:b/>
          <w:bCs/>
          <w:color w:val="000000" w:themeColor="text1"/>
        </w:rPr>
        <w:t xml:space="preserve"> </w:t>
      </w:r>
      <w:r w:rsidRPr="00F77214">
        <w:rPr>
          <w:rFonts w:eastAsiaTheme="minorEastAsia"/>
          <w:b/>
          <w:bCs/>
          <w:color w:val="000000" w:themeColor="text1"/>
        </w:rPr>
        <w:t>PDP Grantee Organizations</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855"/>
        <w:gridCol w:w="4630"/>
        <w:gridCol w:w="2670"/>
        <w:gridCol w:w="720"/>
      </w:tblGrid>
      <w:tr w14:paraId="5AB92791" w14:textId="77777777" w:rsidTr="00E34E5B">
        <w:tblPrEx>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0"/>
          <w:tblHeader/>
        </w:trPr>
        <w:tc>
          <w:tcPr>
            <w:tcW w:w="540" w:type="dxa"/>
            <w:shd w:val="clear" w:color="auto" w:fill="D9D9D9" w:themeFill="background1" w:themeFillShade="D9"/>
            <w:vAlign w:val="center"/>
          </w:tcPr>
          <w:p w:rsidR="009300A0" w:rsidRPr="009300A0" w:rsidP="00E34E5B" w14:paraId="2672DA31" w14:textId="77777777">
            <w:pPr>
              <w:spacing w:after="0" w:line="240" w:lineRule="auto"/>
              <w:jc w:val="center"/>
              <w:rPr>
                <w:rFonts w:cstheme="minorHAnsi"/>
                <w:b/>
                <w:bCs/>
                <w:i/>
                <w:sz w:val="20"/>
                <w:szCs w:val="20"/>
              </w:rPr>
            </w:pPr>
            <w:bookmarkStart w:id="2" w:name="_Hlk172665735"/>
            <w:bookmarkEnd w:id="1"/>
            <w:r w:rsidRPr="009300A0">
              <w:rPr>
                <w:rFonts w:cstheme="minorHAnsi"/>
                <w:b/>
                <w:bCs/>
                <w:i/>
                <w:sz w:val="20"/>
                <w:szCs w:val="20"/>
              </w:rPr>
              <w:t>Site #</w:t>
            </w:r>
          </w:p>
        </w:tc>
        <w:tc>
          <w:tcPr>
            <w:tcW w:w="855" w:type="dxa"/>
            <w:shd w:val="clear" w:color="auto" w:fill="D9D9D9" w:themeFill="background1" w:themeFillShade="D9"/>
            <w:noWrap/>
            <w:vAlign w:val="center"/>
          </w:tcPr>
          <w:p w:rsidR="009300A0" w:rsidRPr="009300A0" w:rsidP="00E34E5B" w14:paraId="1F294765" w14:textId="7B69A6D8">
            <w:pPr>
              <w:spacing w:after="0" w:line="240" w:lineRule="auto"/>
              <w:jc w:val="center"/>
              <w:rPr>
                <w:rFonts w:cstheme="minorHAnsi"/>
                <w:b/>
                <w:bCs/>
                <w:i/>
                <w:sz w:val="20"/>
                <w:szCs w:val="20"/>
              </w:rPr>
            </w:pPr>
            <w:r w:rsidRPr="009300A0">
              <w:rPr>
                <w:rFonts w:cstheme="minorHAnsi"/>
                <w:b/>
                <w:bCs/>
                <w:i/>
                <w:sz w:val="20"/>
                <w:szCs w:val="20"/>
              </w:rPr>
              <w:t>HHS Region</w:t>
            </w:r>
          </w:p>
        </w:tc>
        <w:tc>
          <w:tcPr>
            <w:tcW w:w="4630" w:type="dxa"/>
            <w:shd w:val="clear" w:color="auto" w:fill="D9D9D9" w:themeFill="background1" w:themeFillShade="D9"/>
            <w:noWrap/>
            <w:vAlign w:val="bottom"/>
          </w:tcPr>
          <w:p w:rsidR="009300A0" w:rsidRPr="009300A0" w:rsidP="00B35D1B" w14:paraId="0DA4AD02" w14:textId="77777777">
            <w:pPr>
              <w:spacing w:after="0" w:line="240" w:lineRule="auto"/>
              <w:rPr>
                <w:rFonts w:cstheme="minorHAnsi"/>
                <w:b/>
                <w:bCs/>
                <w:i/>
                <w:sz w:val="20"/>
                <w:szCs w:val="20"/>
              </w:rPr>
            </w:pPr>
            <w:r w:rsidRPr="009300A0">
              <w:rPr>
                <w:rFonts w:cstheme="minorHAnsi"/>
                <w:b/>
                <w:bCs/>
                <w:i/>
                <w:sz w:val="20"/>
                <w:szCs w:val="20"/>
              </w:rPr>
              <w:t>Grantee</w:t>
            </w:r>
          </w:p>
        </w:tc>
        <w:tc>
          <w:tcPr>
            <w:tcW w:w="2670" w:type="dxa"/>
            <w:shd w:val="clear" w:color="auto" w:fill="D9D9D9" w:themeFill="background1" w:themeFillShade="D9"/>
            <w:vAlign w:val="bottom"/>
          </w:tcPr>
          <w:p w:rsidR="009300A0" w:rsidRPr="009300A0" w:rsidP="00B35D1B" w14:paraId="018DEBDD" w14:textId="77777777">
            <w:pPr>
              <w:spacing w:after="0" w:line="240" w:lineRule="auto"/>
              <w:rPr>
                <w:rFonts w:cstheme="minorHAnsi"/>
                <w:b/>
                <w:bCs/>
                <w:i/>
                <w:sz w:val="20"/>
                <w:szCs w:val="20"/>
              </w:rPr>
            </w:pPr>
            <w:r w:rsidRPr="009300A0">
              <w:rPr>
                <w:rFonts w:cstheme="minorHAnsi"/>
                <w:b/>
                <w:bCs/>
                <w:i/>
                <w:sz w:val="20"/>
                <w:szCs w:val="20"/>
              </w:rPr>
              <w:t>Geographic area</w:t>
            </w:r>
          </w:p>
        </w:tc>
        <w:tc>
          <w:tcPr>
            <w:tcW w:w="720" w:type="dxa"/>
            <w:shd w:val="clear" w:color="auto" w:fill="D9D9D9" w:themeFill="background1" w:themeFillShade="D9"/>
            <w:noWrap/>
            <w:vAlign w:val="bottom"/>
          </w:tcPr>
          <w:p w:rsidR="009300A0" w:rsidRPr="009300A0" w:rsidP="00B35D1B" w14:paraId="3C9E315C" w14:textId="77777777">
            <w:pPr>
              <w:spacing w:after="0" w:line="240" w:lineRule="auto"/>
              <w:rPr>
                <w:rFonts w:cstheme="minorHAnsi"/>
                <w:b/>
                <w:bCs/>
                <w:i/>
                <w:sz w:val="20"/>
                <w:szCs w:val="20"/>
              </w:rPr>
            </w:pPr>
            <w:r w:rsidRPr="009300A0">
              <w:rPr>
                <w:rFonts w:cstheme="minorHAnsi"/>
                <w:b/>
                <w:bCs/>
                <w:i/>
                <w:sz w:val="20"/>
                <w:szCs w:val="20"/>
              </w:rPr>
              <w:t>State</w:t>
            </w:r>
          </w:p>
        </w:tc>
      </w:tr>
      <w:tr w14:paraId="452DA8EE" w14:textId="77777777" w:rsidTr="00E34E5B">
        <w:tblPrEx>
          <w:tblW w:w="9415" w:type="dxa"/>
          <w:tblLayout w:type="fixed"/>
          <w:tblLook w:val="04A0"/>
        </w:tblPrEx>
        <w:trPr>
          <w:cantSplit/>
          <w:trHeight w:val="300"/>
        </w:trPr>
        <w:tc>
          <w:tcPr>
            <w:tcW w:w="540" w:type="dxa"/>
            <w:vAlign w:val="center"/>
          </w:tcPr>
          <w:p w:rsidR="009300A0" w:rsidRPr="009300A0" w:rsidP="00E34E5B" w14:paraId="0C2FD53F"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1</w:t>
            </w:r>
          </w:p>
        </w:tc>
        <w:tc>
          <w:tcPr>
            <w:tcW w:w="855" w:type="dxa"/>
            <w:noWrap/>
            <w:vAlign w:val="center"/>
          </w:tcPr>
          <w:p w:rsidR="009300A0" w:rsidRPr="009300A0" w:rsidP="00E34E5B" w14:paraId="2214971F"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1</w:t>
            </w:r>
          </w:p>
        </w:tc>
        <w:tc>
          <w:tcPr>
            <w:tcW w:w="4630" w:type="dxa"/>
            <w:noWrap/>
          </w:tcPr>
          <w:p w:rsidR="009300A0" w:rsidRPr="009300A0" w:rsidP="009F74F4" w14:paraId="0AF653CF"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Waypoint</w:t>
            </w:r>
          </w:p>
        </w:tc>
        <w:tc>
          <w:tcPr>
            <w:tcW w:w="2670" w:type="dxa"/>
            <w:noWrap/>
          </w:tcPr>
          <w:p w:rsidR="009300A0" w:rsidRPr="009300A0" w:rsidP="009F74F4" w14:paraId="26F9F3FB"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Manchester</w:t>
            </w:r>
          </w:p>
        </w:tc>
        <w:tc>
          <w:tcPr>
            <w:tcW w:w="720" w:type="dxa"/>
            <w:noWrap/>
          </w:tcPr>
          <w:p w:rsidR="009300A0" w:rsidRPr="009300A0" w:rsidP="009F74F4" w14:paraId="5E11BE78"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NH</w:t>
            </w:r>
          </w:p>
        </w:tc>
      </w:tr>
      <w:tr w14:paraId="01847876" w14:textId="77777777" w:rsidTr="00E34E5B">
        <w:tblPrEx>
          <w:tblW w:w="9415" w:type="dxa"/>
          <w:tblLayout w:type="fixed"/>
          <w:tblLook w:val="04A0"/>
        </w:tblPrEx>
        <w:trPr>
          <w:cantSplit/>
          <w:trHeight w:val="300"/>
        </w:trPr>
        <w:tc>
          <w:tcPr>
            <w:tcW w:w="540" w:type="dxa"/>
            <w:vAlign w:val="center"/>
          </w:tcPr>
          <w:p w:rsidR="009300A0" w:rsidRPr="009300A0" w:rsidP="00E34E5B" w14:paraId="03B682F0"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2</w:t>
            </w:r>
          </w:p>
        </w:tc>
        <w:tc>
          <w:tcPr>
            <w:tcW w:w="855" w:type="dxa"/>
            <w:noWrap/>
            <w:vAlign w:val="center"/>
          </w:tcPr>
          <w:p w:rsidR="009300A0" w:rsidRPr="009300A0" w:rsidP="00E34E5B" w14:paraId="0BC9E7D0"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3</w:t>
            </w:r>
          </w:p>
        </w:tc>
        <w:tc>
          <w:tcPr>
            <w:tcW w:w="4630" w:type="dxa"/>
            <w:noWrap/>
          </w:tcPr>
          <w:p w:rsidR="009300A0" w:rsidRPr="009300A0" w:rsidP="009F74F4" w14:paraId="5BCED9FF"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Sasha Bruce Youthwork Inc.</w:t>
            </w:r>
          </w:p>
        </w:tc>
        <w:tc>
          <w:tcPr>
            <w:tcW w:w="2670" w:type="dxa"/>
            <w:noWrap/>
          </w:tcPr>
          <w:p w:rsidR="009300A0" w:rsidRPr="009300A0" w:rsidP="009F74F4" w14:paraId="298DF7C3"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Prince George’s County</w:t>
            </w:r>
          </w:p>
        </w:tc>
        <w:tc>
          <w:tcPr>
            <w:tcW w:w="720" w:type="dxa"/>
            <w:noWrap/>
          </w:tcPr>
          <w:p w:rsidR="009300A0" w:rsidRPr="009300A0" w:rsidP="009F74F4" w14:paraId="4666AB70"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MD</w:t>
            </w:r>
          </w:p>
        </w:tc>
      </w:tr>
      <w:tr w14:paraId="68C3654F" w14:textId="77777777" w:rsidTr="00E34E5B">
        <w:tblPrEx>
          <w:tblW w:w="9415" w:type="dxa"/>
          <w:tblLayout w:type="fixed"/>
          <w:tblLook w:val="04A0"/>
        </w:tblPrEx>
        <w:trPr>
          <w:cantSplit/>
          <w:trHeight w:val="300"/>
        </w:trPr>
        <w:tc>
          <w:tcPr>
            <w:tcW w:w="540" w:type="dxa"/>
            <w:vAlign w:val="center"/>
          </w:tcPr>
          <w:p w:rsidR="009300A0" w:rsidRPr="009300A0" w:rsidP="00E34E5B" w14:paraId="520E0355"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3</w:t>
            </w:r>
          </w:p>
        </w:tc>
        <w:tc>
          <w:tcPr>
            <w:tcW w:w="855" w:type="dxa"/>
            <w:noWrap/>
            <w:vAlign w:val="center"/>
          </w:tcPr>
          <w:p w:rsidR="009300A0" w:rsidRPr="009300A0" w:rsidP="00E34E5B" w14:paraId="7EA2C41F"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3</w:t>
            </w:r>
          </w:p>
        </w:tc>
        <w:tc>
          <w:tcPr>
            <w:tcW w:w="4630" w:type="dxa"/>
            <w:noWrap/>
          </w:tcPr>
          <w:p w:rsidR="009300A0" w:rsidRPr="009300A0" w:rsidP="009F74F4" w14:paraId="454AC250"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Valley Youth House</w:t>
            </w:r>
          </w:p>
        </w:tc>
        <w:tc>
          <w:tcPr>
            <w:tcW w:w="2670" w:type="dxa"/>
            <w:noWrap/>
          </w:tcPr>
          <w:p w:rsidR="009300A0" w:rsidRPr="009300A0" w:rsidP="009F74F4" w14:paraId="600D4403"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Philadelphia</w:t>
            </w:r>
          </w:p>
        </w:tc>
        <w:tc>
          <w:tcPr>
            <w:tcW w:w="720" w:type="dxa"/>
            <w:noWrap/>
          </w:tcPr>
          <w:p w:rsidR="009300A0" w:rsidRPr="009300A0" w:rsidP="009F74F4" w14:paraId="77F715D5"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PA</w:t>
            </w:r>
          </w:p>
        </w:tc>
      </w:tr>
      <w:tr w14:paraId="0B353EDC" w14:textId="77777777" w:rsidTr="00E34E5B">
        <w:tblPrEx>
          <w:tblW w:w="9415" w:type="dxa"/>
          <w:tblLayout w:type="fixed"/>
          <w:tblLook w:val="04A0"/>
        </w:tblPrEx>
        <w:trPr>
          <w:cantSplit/>
          <w:trHeight w:val="300"/>
        </w:trPr>
        <w:tc>
          <w:tcPr>
            <w:tcW w:w="540" w:type="dxa"/>
            <w:vAlign w:val="center"/>
          </w:tcPr>
          <w:p w:rsidR="009300A0" w:rsidRPr="009300A0" w:rsidP="00E34E5B" w14:paraId="2B1278B1"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4</w:t>
            </w:r>
          </w:p>
        </w:tc>
        <w:tc>
          <w:tcPr>
            <w:tcW w:w="855" w:type="dxa"/>
            <w:noWrap/>
            <w:vAlign w:val="center"/>
          </w:tcPr>
          <w:p w:rsidR="009300A0" w:rsidRPr="009300A0" w:rsidP="00E34E5B" w14:paraId="7EACF4D7"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4</w:t>
            </w:r>
          </w:p>
        </w:tc>
        <w:tc>
          <w:tcPr>
            <w:tcW w:w="4630" w:type="dxa"/>
            <w:noWrap/>
          </w:tcPr>
          <w:p w:rsidR="009300A0" w:rsidRPr="009300A0" w:rsidP="009F74F4" w14:paraId="4C39D471"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Pendleton Place</w:t>
            </w:r>
          </w:p>
        </w:tc>
        <w:tc>
          <w:tcPr>
            <w:tcW w:w="2670" w:type="dxa"/>
            <w:noWrap/>
          </w:tcPr>
          <w:p w:rsidR="009300A0" w:rsidRPr="009300A0" w:rsidP="009F74F4" w14:paraId="6197C219"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 xml:space="preserve">Upstate South Carolina  </w:t>
            </w:r>
          </w:p>
        </w:tc>
        <w:tc>
          <w:tcPr>
            <w:tcW w:w="720" w:type="dxa"/>
            <w:noWrap/>
          </w:tcPr>
          <w:p w:rsidR="009300A0" w:rsidRPr="009300A0" w:rsidP="009F74F4" w14:paraId="15FE2B20"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SC</w:t>
            </w:r>
          </w:p>
        </w:tc>
      </w:tr>
      <w:tr w14:paraId="11E38F57" w14:textId="77777777" w:rsidTr="00E34E5B">
        <w:tblPrEx>
          <w:tblW w:w="9415" w:type="dxa"/>
          <w:tblLayout w:type="fixed"/>
          <w:tblLook w:val="04A0"/>
        </w:tblPrEx>
        <w:trPr>
          <w:cantSplit/>
          <w:trHeight w:val="300"/>
        </w:trPr>
        <w:tc>
          <w:tcPr>
            <w:tcW w:w="540" w:type="dxa"/>
            <w:vAlign w:val="center"/>
          </w:tcPr>
          <w:p w:rsidR="009300A0" w:rsidRPr="009300A0" w:rsidP="00E34E5B" w14:paraId="14B92BB5"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5</w:t>
            </w:r>
          </w:p>
        </w:tc>
        <w:tc>
          <w:tcPr>
            <w:tcW w:w="855" w:type="dxa"/>
            <w:noWrap/>
            <w:vAlign w:val="center"/>
          </w:tcPr>
          <w:p w:rsidR="009300A0" w:rsidRPr="009300A0" w:rsidP="00E34E5B" w14:paraId="1ECE718F"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4</w:t>
            </w:r>
          </w:p>
        </w:tc>
        <w:tc>
          <w:tcPr>
            <w:tcW w:w="4630" w:type="dxa"/>
            <w:noWrap/>
          </w:tcPr>
          <w:p w:rsidR="009300A0" w:rsidRPr="009300A0" w:rsidP="009F74F4" w14:paraId="70E73444"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Oasis Center Inc.</w:t>
            </w:r>
          </w:p>
        </w:tc>
        <w:tc>
          <w:tcPr>
            <w:tcW w:w="2670" w:type="dxa"/>
            <w:noWrap/>
          </w:tcPr>
          <w:p w:rsidR="009300A0" w:rsidRPr="009300A0" w:rsidP="009F74F4" w14:paraId="70CD132E"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 xml:space="preserve">Metro Nashville </w:t>
            </w:r>
          </w:p>
        </w:tc>
        <w:tc>
          <w:tcPr>
            <w:tcW w:w="720" w:type="dxa"/>
            <w:noWrap/>
          </w:tcPr>
          <w:p w:rsidR="009300A0" w:rsidRPr="009300A0" w:rsidP="009F74F4" w14:paraId="0665BCEE"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TN</w:t>
            </w:r>
          </w:p>
        </w:tc>
      </w:tr>
      <w:tr w14:paraId="2018FCA7" w14:textId="77777777" w:rsidTr="00E34E5B">
        <w:tblPrEx>
          <w:tblW w:w="9415" w:type="dxa"/>
          <w:tblLayout w:type="fixed"/>
          <w:tblLook w:val="04A0"/>
        </w:tblPrEx>
        <w:trPr>
          <w:cantSplit/>
          <w:trHeight w:val="300"/>
        </w:trPr>
        <w:tc>
          <w:tcPr>
            <w:tcW w:w="540" w:type="dxa"/>
            <w:vAlign w:val="center"/>
          </w:tcPr>
          <w:p w:rsidR="009300A0" w:rsidRPr="009300A0" w:rsidP="00E34E5B" w14:paraId="61FEC882"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6</w:t>
            </w:r>
          </w:p>
        </w:tc>
        <w:tc>
          <w:tcPr>
            <w:tcW w:w="855" w:type="dxa"/>
            <w:noWrap/>
            <w:vAlign w:val="center"/>
          </w:tcPr>
          <w:p w:rsidR="009300A0" w:rsidRPr="009300A0" w:rsidP="00E34E5B" w14:paraId="065EFD25"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4</w:t>
            </w:r>
          </w:p>
        </w:tc>
        <w:tc>
          <w:tcPr>
            <w:tcW w:w="4630" w:type="dxa"/>
            <w:noWrap/>
          </w:tcPr>
          <w:p w:rsidR="009300A0" w:rsidRPr="009300A0" w:rsidP="009F74F4" w14:paraId="052226B9"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Florida Network of Youth and Family Services Inc.</w:t>
            </w:r>
          </w:p>
        </w:tc>
        <w:tc>
          <w:tcPr>
            <w:tcW w:w="2670" w:type="dxa"/>
            <w:noWrap/>
          </w:tcPr>
          <w:p w:rsidR="009300A0" w:rsidRPr="009300A0" w:rsidP="009F74F4" w14:paraId="0A34361E"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 xml:space="preserve">South Florida </w:t>
            </w:r>
          </w:p>
        </w:tc>
        <w:tc>
          <w:tcPr>
            <w:tcW w:w="720" w:type="dxa"/>
            <w:noWrap/>
          </w:tcPr>
          <w:p w:rsidR="009300A0" w:rsidRPr="009300A0" w:rsidP="009F74F4" w14:paraId="100CC523"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FL</w:t>
            </w:r>
          </w:p>
        </w:tc>
      </w:tr>
      <w:tr w14:paraId="40101B9C" w14:textId="77777777" w:rsidTr="00E34E5B">
        <w:tblPrEx>
          <w:tblW w:w="9415" w:type="dxa"/>
          <w:tblLayout w:type="fixed"/>
          <w:tblLook w:val="04A0"/>
        </w:tblPrEx>
        <w:trPr>
          <w:cantSplit/>
          <w:trHeight w:val="300"/>
        </w:trPr>
        <w:tc>
          <w:tcPr>
            <w:tcW w:w="540" w:type="dxa"/>
            <w:vAlign w:val="center"/>
          </w:tcPr>
          <w:p w:rsidR="009300A0" w:rsidRPr="009300A0" w:rsidP="00E34E5B" w14:paraId="79A14F0F"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7</w:t>
            </w:r>
          </w:p>
        </w:tc>
        <w:tc>
          <w:tcPr>
            <w:tcW w:w="855" w:type="dxa"/>
            <w:noWrap/>
            <w:vAlign w:val="center"/>
          </w:tcPr>
          <w:p w:rsidR="009300A0" w:rsidRPr="009300A0" w:rsidP="00E34E5B" w14:paraId="3C62DBB9"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5</w:t>
            </w:r>
          </w:p>
        </w:tc>
        <w:tc>
          <w:tcPr>
            <w:tcW w:w="4630" w:type="dxa"/>
            <w:noWrap/>
          </w:tcPr>
          <w:p w:rsidR="009300A0" w:rsidRPr="009300A0" w:rsidP="009F74F4" w14:paraId="379429FD"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Lighthouse Youth Services Street Outreach Program</w:t>
            </w:r>
          </w:p>
        </w:tc>
        <w:tc>
          <w:tcPr>
            <w:tcW w:w="2670" w:type="dxa"/>
            <w:noWrap/>
          </w:tcPr>
          <w:p w:rsidR="009300A0" w:rsidRPr="009300A0" w:rsidP="009F74F4" w14:paraId="4A1BAA53"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Hamilton County (Cincinnati)</w:t>
            </w:r>
          </w:p>
        </w:tc>
        <w:tc>
          <w:tcPr>
            <w:tcW w:w="720" w:type="dxa"/>
            <w:noWrap/>
          </w:tcPr>
          <w:p w:rsidR="009300A0" w:rsidRPr="009300A0" w:rsidP="009F74F4" w14:paraId="2261FCB5"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OH</w:t>
            </w:r>
          </w:p>
        </w:tc>
      </w:tr>
      <w:tr w14:paraId="2C600EB8" w14:textId="77777777" w:rsidTr="00E34E5B">
        <w:tblPrEx>
          <w:tblW w:w="9415" w:type="dxa"/>
          <w:tblLayout w:type="fixed"/>
          <w:tblLook w:val="04A0"/>
        </w:tblPrEx>
        <w:trPr>
          <w:cantSplit/>
          <w:trHeight w:val="300"/>
        </w:trPr>
        <w:tc>
          <w:tcPr>
            <w:tcW w:w="540" w:type="dxa"/>
            <w:vAlign w:val="center"/>
          </w:tcPr>
          <w:p w:rsidR="009300A0" w:rsidRPr="009300A0" w:rsidP="00E34E5B" w14:paraId="44FFFE32"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8</w:t>
            </w:r>
          </w:p>
        </w:tc>
        <w:tc>
          <w:tcPr>
            <w:tcW w:w="855" w:type="dxa"/>
            <w:noWrap/>
            <w:vAlign w:val="center"/>
          </w:tcPr>
          <w:p w:rsidR="009300A0" w:rsidRPr="009300A0" w:rsidP="00E34E5B" w14:paraId="2BC7ABCB"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6</w:t>
            </w:r>
          </w:p>
        </w:tc>
        <w:tc>
          <w:tcPr>
            <w:tcW w:w="4630" w:type="dxa"/>
            <w:noWrap/>
          </w:tcPr>
          <w:p w:rsidR="009300A0" w:rsidRPr="009300A0" w:rsidP="009F74F4" w14:paraId="2616463E"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Seasons of Change Incorporated</w:t>
            </w:r>
          </w:p>
        </w:tc>
        <w:tc>
          <w:tcPr>
            <w:tcW w:w="2670" w:type="dxa"/>
            <w:noWrap/>
          </w:tcPr>
          <w:p w:rsidR="009300A0" w:rsidRPr="009300A0" w:rsidP="009F74F4" w14:paraId="3F91748B"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Tarrant County (Arlington)</w:t>
            </w:r>
          </w:p>
        </w:tc>
        <w:tc>
          <w:tcPr>
            <w:tcW w:w="720" w:type="dxa"/>
            <w:noWrap/>
          </w:tcPr>
          <w:p w:rsidR="009300A0" w:rsidRPr="009300A0" w:rsidP="009F74F4" w14:paraId="4A30BEEE"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TX</w:t>
            </w:r>
          </w:p>
        </w:tc>
      </w:tr>
      <w:tr w14:paraId="3B950B6D" w14:textId="77777777" w:rsidTr="00E34E5B">
        <w:tblPrEx>
          <w:tblW w:w="9415" w:type="dxa"/>
          <w:tblLayout w:type="fixed"/>
          <w:tblLook w:val="04A0"/>
        </w:tblPrEx>
        <w:trPr>
          <w:cantSplit/>
          <w:trHeight w:val="300"/>
        </w:trPr>
        <w:tc>
          <w:tcPr>
            <w:tcW w:w="540" w:type="dxa"/>
            <w:vAlign w:val="center"/>
          </w:tcPr>
          <w:p w:rsidR="009300A0" w:rsidRPr="009300A0" w:rsidP="00E34E5B" w14:paraId="5D06D16D" w14:textId="03A1E051">
            <w:pPr>
              <w:pStyle w:val="TableRow"/>
              <w:jc w:val="center"/>
              <w:rPr>
                <w:rFonts w:asciiTheme="minorHAnsi" w:hAnsiTheme="minorHAnsi" w:cstheme="minorHAnsi"/>
                <w:sz w:val="20"/>
                <w:szCs w:val="20"/>
              </w:rPr>
            </w:pPr>
            <w:r>
              <w:rPr>
                <w:rFonts w:asciiTheme="minorHAnsi" w:hAnsiTheme="minorHAnsi" w:cstheme="minorHAnsi"/>
                <w:sz w:val="20"/>
                <w:szCs w:val="20"/>
              </w:rPr>
              <w:t>9</w:t>
            </w:r>
          </w:p>
        </w:tc>
        <w:tc>
          <w:tcPr>
            <w:tcW w:w="855" w:type="dxa"/>
            <w:noWrap/>
            <w:vAlign w:val="center"/>
          </w:tcPr>
          <w:p w:rsidR="009300A0" w:rsidRPr="009300A0" w:rsidP="00E34E5B" w14:paraId="699D2174"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9</w:t>
            </w:r>
          </w:p>
        </w:tc>
        <w:tc>
          <w:tcPr>
            <w:tcW w:w="4630" w:type="dxa"/>
            <w:noWrap/>
          </w:tcPr>
          <w:p w:rsidR="009300A0" w:rsidRPr="009300A0" w:rsidP="009F74F4" w14:paraId="4C195DB2"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Our Family Services Inc.</w:t>
            </w:r>
          </w:p>
        </w:tc>
        <w:tc>
          <w:tcPr>
            <w:tcW w:w="2670" w:type="dxa"/>
            <w:noWrap/>
          </w:tcPr>
          <w:p w:rsidR="009300A0" w:rsidRPr="009300A0" w:rsidP="009F74F4" w14:paraId="042C477D"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Pima County (Tucson)</w:t>
            </w:r>
          </w:p>
        </w:tc>
        <w:tc>
          <w:tcPr>
            <w:tcW w:w="720" w:type="dxa"/>
            <w:noWrap/>
          </w:tcPr>
          <w:p w:rsidR="009300A0" w:rsidRPr="009300A0" w:rsidP="009F74F4" w14:paraId="31BF4760"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AZ</w:t>
            </w:r>
          </w:p>
        </w:tc>
      </w:tr>
      <w:tr w14:paraId="2B692617" w14:textId="77777777" w:rsidTr="00E34E5B">
        <w:tblPrEx>
          <w:tblW w:w="9415" w:type="dxa"/>
          <w:tblLayout w:type="fixed"/>
          <w:tblLook w:val="04A0"/>
        </w:tblPrEx>
        <w:trPr>
          <w:cantSplit/>
          <w:trHeight w:val="300"/>
        </w:trPr>
        <w:tc>
          <w:tcPr>
            <w:tcW w:w="540" w:type="dxa"/>
            <w:vAlign w:val="center"/>
          </w:tcPr>
          <w:p w:rsidR="009300A0" w:rsidRPr="009300A0" w:rsidP="00E34E5B" w14:paraId="5FE41988" w14:textId="53E88A92">
            <w:pPr>
              <w:pStyle w:val="TableRow"/>
              <w:jc w:val="center"/>
              <w:rPr>
                <w:rFonts w:asciiTheme="minorHAnsi" w:hAnsiTheme="minorHAnsi" w:cstheme="minorHAnsi"/>
                <w:sz w:val="20"/>
                <w:szCs w:val="20"/>
              </w:rPr>
            </w:pPr>
            <w:r w:rsidRPr="009300A0">
              <w:rPr>
                <w:rFonts w:asciiTheme="minorHAnsi" w:hAnsiTheme="minorHAnsi" w:cstheme="minorHAnsi"/>
                <w:sz w:val="20"/>
                <w:szCs w:val="20"/>
              </w:rPr>
              <w:t>1</w:t>
            </w:r>
            <w:r w:rsidR="008A6BD7">
              <w:rPr>
                <w:rFonts w:asciiTheme="minorHAnsi" w:hAnsiTheme="minorHAnsi" w:cstheme="minorHAnsi"/>
                <w:sz w:val="20"/>
                <w:szCs w:val="20"/>
              </w:rPr>
              <w:t>0</w:t>
            </w:r>
          </w:p>
        </w:tc>
        <w:tc>
          <w:tcPr>
            <w:tcW w:w="855" w:type="dxa"/>
            <w:noWrap/>
            <w:vAlign w:val="center"/>
          </w:tcPr>
          <w:p w:rsidR="009300A0" w:rsidRPr="009300A0" w:rsidP="00E34E5B" w14:paraId="4CB45471" w14:textId="77777777">
            <w:pPr>
              <w:pStyle w:val="TableRow"/>
              <w:jc w:val="center"/>
              <w:rPr>
                <w:rFonts w:asciiTheme="minorHAnsi" w:hAnsiTheme="minorHAnsi" w:cstheme="minorHAnsi"/>
                <w:sz w:val="20"/>
                <w:szCs w:val="20"/>
              </w:rPr>
            </w:pPr>
            <w:r w:rsidRPr="009300A0">
              <w:rPr>
                <w:rFonts w:asciiTheme="minorHAnsi" w:hAnsiTheme="minorHAnsi" w:cstheme="minorHAnsi"/>
                <w:sz w:val="20"/>
                <w:szCs w:val="20"/>
              </w:rPr>
              <w:t>10</w:t>
            </w:r>
          </w:p>
        </w:tc>
        <w:tc>
          <w:tcPr>
            <w:tcW w:w="4630" w:type="dxa"/>
            <w:noWrap/>
          </w:tcPr>
          <w:p w:rsidR="009300A0" w:rsidRPr="009300A0" w:rsidP="009F74F4" w14:paraId="3D184B51"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Covenant House Alaska</w:t>
            </w:r>
          </w:p>
        </w:tc>
        <w:tc>
          <w:tcPr>
            <w:tcW w:w="2670" w:type="dxa"/>
            <w:noWrap/>
          </w:tcPr>
          <w:p w:rsidR="009300A0" w:rsidRPr="009300A0" w:rsidP="009F74F4" w14:paraId="680E3B37"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Anchorage</w:t>
            </w:r>
          </w:p>
        </w:tc>
        <w:tc>
          <w:tcPr>
            <w:tcW w:w="720" w:type="dxa"/>
            <w:noWrap/>
          </w:tcPr>
          <w:p w:rsidR="009300A0" w:rsidRPr="009300A0" w:rsidP="009F74F4" w14:paraId="05029030" w14:textId="77777777">
            <w:pPr>
              <w:pStyle w:val="TableRow"/>
              <w:rPr>
                <w:rFonts w:asciiTheme="minorHAnsi" w:hAnsiTheme="minorHAnsi" w:cstheme="minorHAnsi"/>
                <w:sz w:val="20"/>
                <w:szCs w:val="20"/>
              </w:rPr>
            </w:pPr>
            <w:r w:rsidRPr="009300A0">
              <w:rPr>
                <w:rFonts w:asciiTheme="minorHAnsi" w:hAnsiTheme="minorHAnsi" w:cstheme="minorHAnsi"/>
                <w:sz w:val="20"/>
                <w:szCs w:val="20"/>
              </w:rPr>
              <w:t>AK</w:t>
            </w:r>
          </w:p>
        </w:tc>
      </w:tr>
      <w:bookmarkEnd w:id="2"/>
    </w:tbl>
    <w:p w:rsidR="004A5B02" w:rsidP="00F5359D" w14:paraId="35D67B66" w14:textId="77777777">
      <w:pPr>
        <w:autoSpaceDE w:val="0"/>
        <w:autoSpaceDN w:val="0"/>
        <w:adjustRightInd w:val="0"/>
        <w:spacing w:after="0" w:line="240" w:lineRule="atLeast"/>
        <w:rPr>
          <w:rFonts w:eastAsia="Times New Roman"/>
          <w:b/>
          <w:bCs/>
          <w:color w:val="000000"/>
        </w:rPr>
      </w:pPr>
    </w:p>
    <w:p w:rsidR="002E7B59" w:rsidP="00F5359D" w14:paraId="64A356B2" w14:textId="16850EA7">
      <w:pPr>
        <w:spacing w:after="0" w:line="240" w:lineRule="auto"/>
        <w:rPr>
          <w:rFonts w:eastAsia="Times New Roman"/>
          <w:color w:val="000000" w:themeColor="text1"/>
        </w:rPr>
      </w:pPr>
      <w:r>
        <w:rPr>
          <w:rFonts w:eastAsia="Times New Roman"/>
          <w:color w:val="000000" w:themeColor="text1"/>
        </w:rPr>
        <w:t>The potential sample pool for each data collection activity is limited to individuals with direct involvement in RHY PDP sites. Specifically, t</w:t>
      </w:r>
      <w:r w:rsidRPr="2C8F1C5A" w:rsidR="35ED9CE9">
        <w:rPr>
          <w:rFonts w:eastAsia="Times New Roman"/>
          <w:color w:val="000000" w:themeColor="text1"/>
        </w:rPr>
        <w:t>he sampling frame for each RHY PDP site will be the roster of staff that support RHY PDP programs; young people who engage in local youth advisory boards that support the RHY PDP programs or participate in the RHY PDP program themselves; and community providers and partners that are involved in the implementation of the RHY PDP pro</w:t>
      </w:r>
      <w:r w:rsidRPr="2C8F1C5A" w:rsidR="2BBC7E26">
        <w:rPr>
          <w:rFonts w:eastAsia="Times New Roman"/>
          <w:color w:val="000000" w:themeColor="text1"/>
        </w:rPr>
        <w:t>jects</w:t>
      </w:r>
      <w:r w:rsidRPr="2C8F1C5A" w:rsidR="35ED9CE9">
        <w:rPr>
          <w:rFonts w:eastAsia="Times New Roman"/>
          <w:color w:val="000000" w:themeColor="text1"/>
        </w:rPr>
        <w:t xml:space="preserve">. </w:t>
      </w:r>
      <w:r w:rsidRPr="2C8F1C5A" w:rsidR="00BA394F">
        <w:rPr>
          <w:rFonts w:eastAsia="Times New Roman"/>
          <w:color w:val="000000" w:themeColor="text1"/>
        </w:rPr>
        <w:t xml:space="preserve">The contractor will work with the RHY PDP contact to purposively identify potential respondents who have information on the evaluation’s key research areas, and recruit them to participate in key respondent interviews, focus groups, and/or the listening sessions. </w:t>
      </w:r>
      <w:r>
        <w:rPr>
          <w:rFonts w:eastAsia="Times New Roman"/>
          <w:color w:val="000000" w:themeColor="text1"/>
        </w:rPr>
        <w:t xml:space="preserve">Based on available documentation, we estimate the number of program staff with direct </w:t>
      </w:r>
      <w:r w:rsidR="00BA394F">
        <w:rPr>
          <w:rFonts w:eastAsia="Times New Roman"/>
          <w:color w:val="000000" w:themeColor="text1"/>
        </w:rPr>
        <w:t xml:space="preserve">site </w:t>
      </w:r>
      <w:r>
        <w:rPr>
          <w:rFonts w:eastAsia="Times New Roman"/>
          <w:color w:val="000000" w:themeColor="text1"/>
        </w:rPr>
        <w:t>involvement to be approximately 10</w:t>
      </w:r>
      <w:r w:rsidR="00BA394F">
        <w:rPr>
          <w:rFonts w:eastAsia="Times New Roman"/>
          <w:color w:val="000000" w:themeColor="text1"/>
        </w:rPr>
        <w:t xml:space="preserve"> (total of 100)</w:t>
      </w:r>
      <w:r>
        <w:rPr>
          <w:rFonts w:eastAsia="Times New Roman"/>
          <w:color w:val="000000" w:themeColor="text1"/>
        </w:rPr>
        <w:t xml:space="preserve">. The estimated number of youth program participants and YAB members ranges from 40 to 60 </w:t>
      </w:r>
      <w:r w:rsidR="00BA394F">
        <w:rPr>
          <w:rFonts w:eastAsia="Times New Roman"/>
          <w:color w:val="000000" w:themeColor="text1"/>
        </w:rPr>
        <w:t>(total of 400-600)</w:t>
      </w:r>
      <w:r>
        <w:rPr>
          <w:rFonts w:eastAsia="Times New Roman"/>
          <w:color w:val="000000" w:themeColor="text1"/>
        </w:rPr>
        <w:t>. Community providers and partners likely include 20 to 30 per site</w:t>
      </w:r>
      <w:r w:rsidR="00BA394F">
        <w:rPr>
          <w:rFonts w:eastAsia="Times New Roman"/>
          <w:color w:val="000000" w:themeColor="text1"/>
        </w:rPr>
        <w:t xml:space="preserve"> (total of 200-300)</w:t>
      </w:r>
      <w:r>
        <w:rPr>
          <w:rFonts w:eastAsia="Times New Roman"/>
          <w:color w:val="000000" w:themeColor="text1"/>
        </w:rPr>
        <w:t xml:space="preserve">. </w:t>
      </w:r>
      <w:r w:rsidR="00BA394F">
        <w:rPr>
          <w:rFonts w:eastAsia="Times New Roman"/>
          <w:color w:val="000000" w:themeColor="text1"/>
        </w:rPr>
        <w:t xml:space="preserve">Data collection activities will engage 10 site staff in </w:t>
      </w:r>
      <w:r w:rsidR="00174D93">
        <w:rPr>
          <w:rFonts w:eastAsia="Times New Roman"/>
          <w:color w:val="000000" w:themeColor="text1"/>
        </w:rPr>
        <w:t xml:space="preserve">8 </w:t>
      </w:r>
      <w:r w:rsidR="00BA394F">
        <w:rPr>
          <w:rFonts w:eastAsia="Times New Roman"/>
          <w:color w:val="000000" w:themeColor="text1"/>
        </w:rPr>
        <w:t xml:space="preserve">quarterly calls, 240 young people in focus groups, 100 providers/partners in listening sessions, and 80 professionals in key respondent interviews.  </w:t>
      </w:r>
    </w:p>
    <w:p w:rsidR="00F5359D" w:rsidP="00F5359D" w14:paraId="5C136766" w14:textId="77777777">
      <w:pPr>
        <w:spacing w:after="0" w:line="240" w:lineRule="auto"/>
        <w:rPr>
          <w:rFonts w:eastAsia="Times New Roman"/>
          <w:color w:val="000000" w:themeColor="text1"/>
        </w:rPr>
      </w:pPr>
    </w:p>
    <w:p w:rsidR="0F8E8682" w:rsidP="00C844E1" w14:paraId="580AA716" w14:textId="42ACB4EB">
      <w:pPr>
        <w:spacing w:after="120" w:line="240" w:lineRule="auto"/>
        <w:rPr>
          <w:rFonts w:eastAsia="Times New Roman"/>
          <w:color w:val="000000" w:themeColor="text1"/>
        </w:rPr>
      </w:pPr>
      <w:r>
        <w:rPr>
          <w:rFonts w:eastAsia="Times New Roman"/>
          <w:color w:val="000000" w:themeColor="text1"/>
        </w:rPr>
        <w:t>T</w:t>
      </w:r>
      <w:r w:rsidR="00BA394F">
        <w:rPr>
          <w:rFonts w:eastAsia="Times New Roman"/>
          <w:color w:val="000000" w:themeColor="text1"/>
        </w:rPr>
        <w:t>he proportion o</w:t>
      </w:r>
      <w:r>
        <w:rPr>
          <w:rFonts w:eastAsia="Times New Roman"/>
          <w:color w:val="000000" w:themeColor="text1"/>
        </w:rPr>
        <w:t>f participation across these subsamples includes nearly all (quarterly site calls in which all program leads will participate), more than 50% (240 young people from among 200-300), and 25-40% (professionals in listening sessions). These numbers represent fairly substantial proportions of each group and should effectively enable us to reach saturation, e.g., a</w:t>
      </w:r>
      <w:r w:rsidRPr="009603E7">
        <w:rPr>
          <w:rFonts w:eastAsia="Times New Roman"/>
          <w:color w:val="000000" w:themeColor="text1"/>
        </w:rPr>
        <w:t xml:space="preserve"> point where additional data collection yields little to no new information or insights</w:t>
      </w:r>
      <w:r>
        <w:rPr>
          <w:rFonts w:eastAsia="Times New Roman"/>
          <w:color w:val="000000" w:themeColor="text1"/>
        </w:rPr>
        <w:t xml:space="preserve">. However, given the voluntary nature of the activities, there is no guarantee that participation will </w:t>
      </w:r>
      <w:r w:rsidRPr="2C8F1C5A" w:rsidR="628BD493">
        <w:rPr>
          <w:rFonts w:eastAsia="Times New Roman"/>
          <w:color w:val="000000" w:themeColor="text1"/>
        </w:rPr>
        <w:t>be</w:t>
      </w:r>
      <w:r w:rsidRPr="2C8F1C5A" w:rsidR="35ED9CE9">
        <w:rPr>
          <w:rFonts w:eastAsia="Times New Roman"/>
          <w:color w:val="000000" w:themeColor="text1"/>
        </w:rPr>
        <w:t xml:space="preserve"> representative of the </w:t>
      </w:r>
      <w:r>
        <w:rPr>
          <w:rFonts w:eastAsia="Times New Roman"/>
          <w:color w:val="000000" w:themeColor="text1"/>
        </w:rPr>
        <w:t xml:space="preserve">array of perspectives in the larger </w:t>
      </w:r>
      <w:r w:rsidRPr="2C8F1C5A" w:rsidR="35ED9CE9">
        <w:rPr>
          <w:rFonts w:eastAsia="Times New Roman"/>
          <w:color w:val="000000" w:themeColor="text1"/>
        </w:rPr>
        <w:t>population of RHY PDP staff or community providers. Young people</w:t>
      </w:r>
      <w:r w:rsidRPr="2C8F1C5A" w:rsidR="1A8A0BDB">
        <w:rPr>
          <w:rFonts w:eastAsia="Times New Roman"/>
          <w:color w:val="000000" w:themeColor="text1"/>
        </w:rPr>
        <w:t xml:space="preserve"> who </w:t>
      </w:r>
      <w:r w:rsidRPr="2C8F1C5A" w:rsidR="628BD493">
        <w:rPr>
          <w:rFonts w:eastAsia="Times New Roman"/>
          <w:color w:val="000000" w:themeColor="text1"/>
        </w:rPr>
        <w:t>participate in the youth focus groups</w:t>
      </w:r>
      <w:r w:rsidRPr="2C8F1C5A" w:rsidR="35ED9CE9">
        <w:rPr>
          <w:rFonts w:eastAsia="Times New Roman"/>
          <w:color w:val="000000" w:themeColor="text1"/>
        </w:rPr>
        <w:t xml:space="preserve"> will not be representative of the population of young people that the programs serve. Instead, </w:t>
      </w:r>
      <w:r w:rsidR="005D6361">
        <w:rPr>
          <w:rFonts w:eastAsia="Times New Roman"/>
          <w:color w:val="000000" w:themeColor="text1"/>
        </w:rPr>
        <w:t>the contractor</w:t>
      </w:r>
      <w:r w:rsidRPr="2C8F1C5A" w:rsidR="35ED9CE9">
        <w:rPr>
          <w:rFonts w:eastAsia="Times New Roman"/>
          <w:color w:val="000000" w:themeColor="text1"/>
        </w:rPr>
        <w:t xml:space="preserve"> aim</w:t>
      </w:r>
      <w:r w:rsidR="005D6361">
        <w:rPr>
          <w:rFonts w:eastAsia="Times New Roman"/>
          <w:color w:val="000000" w:themeColor="text1"/>
        </w:rPr>
        <w:t>s</w:t>
      </w:r>
      <w:r w:rsidRPr="2C8F1C5A" w:rsidR="35ED9CE9">
        <w:rPr>
          <w:rFonts w:eastAsia="Times New Roman"/>
          <w:color w:val="000000" w:themeColor="text1"/>
        </w:rPr>
        <w:t xml:space="preserve"> to describe the range of young people’s experiences with the</w:t>
      </w:r>
      <w:r w:rsidRPr="2C8F1C5A" w:rsidR="08D3F342">
        <w:rPr>
          <w:rFonts w:eastAsia="Times New Roman"/>
          <w:color w:val="000000" w:themeColor="text1"/>
        </w:rPr>
        <w:t xml:space="preserve"> RHY</w:t>
      </w:r>
      <w:r w:rsidRPr="2C8F1C5A" w:rsidR="35ED9CE9">
        <w:rPr>
          <w:rFonts w:eastAsia="Times New Roman"/>
          <w:color w:val="000000" w:themeColor="text1"/>
        </w:rPr>
        <w:t xml:space="preserve"> PDP co-design process and with </w:t>
      </w:r>
      <w:r w:rsidRPr="2C8F1C5A" w:rsidR="08D3F342">
        <w:rPr>
          <w:rFonts w:eastAsia="Times New Roman"/>
          <w:color w:val="000000" w:themeColor="text1"/>
        </w:rPr>
        <w:t xml:space="preserve">RHY </w:t>
      </w:r>
      <w:r w:rsidRPr="2C8F1C5A" w:rsidR="35ED9CE9">
        <w:rPr>
          <w:rFonts w:eastAsia="Times New Roman"/>
          <w:color w:val="000000" w:themeColor="text1"/>
        </w:rPr>
        <w:t>PDP prevention services within a given site.</w:t>
      </w:r>
    </w:p>
    <w:p w:rsidR="0297477C" w:rsidP="0297477C" w14:paraId="20F311F7" w14:textId="6A11EC9B">
      <w:pPr>
        <w:spacing w:after="60" w:line="240" w:lineRule="atLeast"/>
        <w:ind w:firstLine="360"/>
        <w:rPr>
          <w:rFonts w:eastAsia="Times New Roman"/>
          <w:color w:val="000000" w:themeColor="text1"/>
        </w:rPr>
      </w:pPr>
    </w:p>
    <w:p w:rsidR="00E75D57" w:rsidP="006F082C" w14:paraId="37839294" w14:textId="7F7B3CC0">
      <w:pPr>
        <w:widowControl w:val="0"/>
        <w:autoSpaceDE w:val="0"/>
        <w:autoSpaceDN w:val="0"/>
        <w:adjustRightInd w:val="0"/>
        <w:spacing w:after="120" w:line="240" w:lineRule="atLeast"/>
        <w:rPr>
          <w:rFonts w:eastAsia="Times New Roman"/>
          <w:color w:val="000000"/>
        </w:rPr>
      </w:pPr>
      <w:r w:rsidRPr="0297477C">
        <w:rPr>
          <w:rFonts w:eastAsia="Times New Roman"/>
          <w:b/>
          <w:bCs/>
          <w:color w:val="000000" w:themeColor="text1"/>
        </w:rPr>
        <w:t>B3.</w:t>
      </w:r>
      <w:r w:rsidR="00901040">
        <w:tab/>
      </w:r>
      <w:r w:rsidRPr="0297477C">
        <w:rPr>
          <w:rFonts w:eastAsia="Times New Roman"/>
          <w:b/>
          <w:bCs/>
          <w:color w:val="000000" w:themeColor="text1"/>
        </w:rPr>
        <w:t>Design of Data Collection Instruments</w:t>
      </w:r>
    </w:p>
    <w:p w:rsidR="00E75D57" w:rsidP="006F082C" w14:paraId="799139A7" w14:textId="2FE936C7">
      <w:pPr>
        <w:widowControl w:val="0"/>
        <w:autoSpaceDE w:val="0"/>
        <w:autoSpaceDN w:val="0"/>
        <w:adjustRightInd w:val="0"/>
        <w:spacing w:after="60" w:line="240" w:lineRule="atLeast"/>
        <w:rPr>
          <w:rFonts w:eastAsia="Times New Roman"/>
          <w:i/>
          <w:iCs/>
          <w:color w:val="000000"/>
        </w:rPr>
      </w:pPr>
      <w:r w:rsidRPr="0297477C">
        <w:rPr>
          <w:rFonts w:eastAsia="Times New Roman"/>
          <w:i/>
          <w:iCs/>
          <w:color w:val="000000" w:themeColor="text1"/>
        </w:rPr>
        <w:t>Development of Data Collection Instruments</w:t>
      </w:r>
    </w:p>
    <w:p w:rsidR="00EC14FC" w:rsidP="008E3694" w14:paraId="47C4CB76" w14:textId="3C4C03D3">
      <w:pPr>
        <w:spacing w:after="0" w:line="240" w:lineRule="auto"/>
        <w:rPr>
          <w:rFonts w:eastAsia="Times New Roman"/>
          <w:color w:val="000000" w:themeColor="text1"/>
        </w:rPr>
      </w:pPr>
      <w:r w:rsidRPr="00C844E1">
        <w:rPr>
          <w:rFonts w:eastAsia="Times New Roman"/>
          <w:color w:val="000000" w:themeColor="text1"/>
        </w:rPr>
        <w:t xml:space="preserve">The </w:t>
      </w:r>
      <w:r w:rsidRPr="2C8F1C5A" w:rsidR="765F613D">
        <w:rPr>
          <w:rFonts w:eastAsia="Times New Roman"/>
          <w:color w:val="000000" w:themeColor="text1"/>
        </w:rPr>
        <w:t>contractor</w:t>
      </w:r>
      <w:r w:rsidRPr="00C844E1">
        <w:rPr>
          <w:rFonts w:eastAsia="Times New Roman"/>
          <w:color w:val="000000" w:themeColor="text1"/>
        </w:rPr>
        <w:t xml:space="preserve"> developed data collection instruments drawing from the </w:t>
      </w:r>
      <w:r w:rsidRPr="2C8F1C5A" w:rsidR="765F613D">
        <w:rPr>
          <w:rFonts w:eastAsia="Times New Roman"/>
          <w:color w:val="000000" w:themeColor="text1"/>
        </w:rPr>
        <w:t xml:space="preserve">contractor </w:t>
      </w:r>
      <w:r w:rsidRPr="00C844E1">
        <w:rPr>
          <w:rFonts w:eastAsia="Times New Roman"/>
          <w:color w:val="000000" w:themeColor="text1"/>
        </w:rPr>
        <w:t xml:space="preserve">team’s </w:t>
      </w:r>
      <w:r w:rsidRPr="128DB4C5" w:rsidR="41E7C15E">
        <w:rPr>
          <w:rFonts w:eastAsia="Times New Roman"/>
          <w:color w:val="000000" w:themeColor="text1"/>
        </w:rPr>
        <w:t>substantive</w:t>
      </w:r>
      <w:r w:rsidRPr="00C844E1">
        <w:rPr>
          <w:rFonts w:eastAsia="Times New Roman"/>
          <w:color w:val="000000" w:themeColor="text1"/>
        </w:rPr>
        <w:t xml:space="preserve"> experience and expertise developing protocols and conducting interviews across a wide range of topic areas, including child welfare, homelessness, and housing instability and homelessness prevention. In particular, the </w:t>
      </w:r>
      <w:r w:rsidRPr="00C844E1" w:rsidR="689637BB">
        <w:rPr>
          <w:rFonts w:eastAsia="Times New Roman"/>
          <w:color w:val="000000" w:themeColor="text1"/>
        </w:rPr>
        <w:t xml:space="preserve">interview guides </w:t>
      </w:r>
      <w:r w:rsidRPr="2C8F1C5A" w:rsidR="6E10B5C4">
        <w:rPr>
          <w:rFonts w:eastAsia="Times New Roman"/>
          <w:color w:val="000000" w:themeColor="text1"/>
        </w:rPr>
        <w:t xml:space="preserve">and protocols </w:t>
      </w:r>
      <w:r w:rsidRPr="00C844E1">
        <w:rPr>
          <w:rFonts w:eastAsia="Times New Roman"/>
          <w:color w:val="000000" w:themeColor="text1"/>
        </w:rPr>
        <w:t xml:space="preserve">draw on previous studies (conducted at </w:t>
      </w:r>
      <w:r w:rsidRPr="00C844E1" w:rsidR="29F37F6B">
        <w:rPr>
          <w:rFonts w:eastAsia="Times New Roman"/>
          <w:color w:val="000000" w:themeColor="text1"/>
        </w:rPr>
        <w:t xml:space="preserve">the </w:t>
      </w:r>
      <w:r w:rsidRPr="00C844E1">
        <w:rPr>
          <w:rFonts w:eastAsia="Times New Roman"/>
          <w:color w:val="000000" w:themeColor="text1"/>
        </w:rPr>
        <w:t xml:space="preserve">Urban Institute and by other researchers) that have </w:t>
      </w:r>
      <w:r w:rsidRPr="00C844E1" w:rsidR="3D399583">
        <w:rPr>
          <w:rFonts w:eastAsia="Times New Roman"/>
          <w:color w:val="000000" w:themeColor="text1"/>
        </w:rPr>
        <w:t xml:space="preserve">a </w:t>
      </w:r>
      <w:r w:rsidRPr="00C844E1">
        <w:rPr>
          <w:rFonts w:eastAsia="Times New Roman"/>
          <w:color w:val="000000" w:themeColor="text1"/>
        </w:rPr>
        <w:t xml:space="preserve">similar research design and objectives, including </w:t>
      </w:r>
      <w:r w:rsidRPr="2C8F1C5A" w:rsidR="765F613D">
        <w:rPr>
          <w:rFonts w:eastAsia="Times New Roman"/>
          <w:color w:val="000000" w:themeColor="text1"/>
        </w:rPr>
        <w:t xml:space="preserve">the </w:t>
      </w:r>
      <w:r w:rsidRPr="00C844E1">
        <w:rPr>
          <w:rFonts w:eastAsia="Times New Roman"/>
          <w:color w:val="000000" w:themeColor="text1"/>
        </w:rPr>
        <w:t>Urban</w:t>
      </w:r>
      <w:r w:rsidRPr="2C8F1C5A" w:rsidR="765F613D">
        <w:rPr>
          <w:rFonts w:eastAsia="Times New Roman"/>
          <w:color w:val="000000" w:themeColor="text1"/>
        </w:rPr>
        <w:t xml:space="preserve"> Institute</w:t>
      </w:r>
      <w:r w:rsidRPr="00C844E1">
        <w:rPr>
          <w:rFonts w:eastAsia="Times New Roman"/>
          <w:color w:val="000000" w:themeColor="text1"/>
        </w:rPr>
        <w:t>’s evaluation of the US Department of Housing and Urban Development (HUD) and Justice (DOJ) Pay for Success (PFS) Permanent Supportive Housing (PSH) demonstration.</w:t>
      </w:r>
      <w:r>
        <w:rPr>
          <w:color w:val="000000" w:themeColor="text1"/>
          <w:vertAlign w:val="superscript"/>
        </w:rPr>
        <w:footnoteReference w:id="4"/>
      </w:r>
      <w:r w:rsidRPr="00C844E1">
        <w:rPr>
          <w:rFonts w:eastAsia="Times New Roman"/>
          <w:color w:val="000000" w:themeColor="text1"/>
        </w:rPr>
        <w:t xml:space="preserve"> </w:t>
      </w:r>
      <w:r w:rsidRPr="128DB4C5" w:rsidR="41E7C15E">
        <w:rPr>
          <w:rFonts w:eastAsia="Times New Roman"/>
          <w:color w:val="000000" w:themeColor="text1"/>
        </w:rPr>
        <w:t xml:space="preserve">The </w:t>
      </w:r>
      <w:r w:rsidRPr="2C8F1C5A" w:rsidR="765F613D">
        <w:rPr>
          <w:rFonts w:eastAsia="Times New Roman"/>
          <w:color w:val="000000" w:themeColor="text1"/>
        </w:rPr>
        <w:t xml:space="preserve">contractor </w:t>
      </w:r>
      <w:r w:rsidRPr="128DB4C5" w:rsidR="41E7C15E">
        <w:rPr>
          <w:rFonts w:eastAsia="Times New Roman"/>
          <w:color w:val="000000" w:themeColor="text1"/>
        </w:rPr>
        <w:t xml:space="preserve">team’s past experience includes many projects entailing the engagement of individuals with experience of homelessness and other adversities both as partners and participants. </w:t>
      </w:r>
    </w:p>
    <w:p w:rsidR="008E3694" w:rsidRPr="00C844E1" w:rsidP="00A644DA" w14:paraId="4FD09DF6" w14:textId="77777777">
      <w:pPr>
        <w:spacing w:after="0" w:line="240" w:lineRule="auto"/>
        <w:rPr>
          <w:rFonts w:eastAsia="Times New Roman"/>
          <w:color w:val="000000" w:themeColor="text1"/>
        </w:rPr>
      </w:pPr>
    </w:p>
    <w:p w:rsidR="00EC45C4" w:rsidP="008E3694" w14:paraId="2F47BC28" w14:textId="4931EFE9">
      <w:pPr>
        <w:spacing w:after="0" w:line="240" w:lineRule="auto"/>
        <w:rPr>
          <w:rFonts w:eastAsia="Times New Roman"/>
          <w:color w:val="000000" w:themeColor="text1"/>
        </w:rPr>
      </w:pPr>
      <w:r w:rsidRPr="2C8F1C5A">
        <w:rPr>
          <w:rFonts w:eastAsia="Times New Roman"/>
          <w:color w:val="000000" w:themeColor="text1"/>
        </w:rPr>
        <w:t>Active engagement is an overarching component of the RHY PDP process evaluation design. The input, co-design, co-interpretation and related feedback of experts</w:t>
      </w:r>
      <w:r w:rsidRPr="2C8F1C5A" w:rsidR="08D3F342">
        <w:rPr>
          <w:rFonts w:eastAsia="Times New Roman"/>
          <w:color w:val="000000" w:themeColor="text1"/>
        </w:rPr>
        <w:t xml:space="preserve"> with experience of homelessness</w:t>
      </w:r>
      <w:r w:rsidRPr="2C8F1C5A">
        <w:rPr>
          <w:rFonts w:eastAsia="Times New Roman"/>
          <w:color w:val="000000" w:themeColor="text1"/>
        </w:rPr>
        <w:t xml:space="preserve">, community members, subject matter experts, and providers is critical to the validity of the evaluation and its ability to meaningfully reflect implementation. </w:t>
      </w:r>
      <w:r w:rsidRPr="2C8F1C5A" w:rsidR="2004288A">
        <w:rPr>
          <w:rFonts w:eastAsia="Times New Roman"/>
          <w:color w:val="000000" w:themeColor="text1"/>
        </w:rPr>
        <w:t>T</w:t>
      </w:r>
      <w:r w:rsidRPr="2C8F1C5A" w:rsidR="765F613D">
        <w:rPr>
          <w:rFonts w:eastAsia="Times New Roman"/>
          <w:color w:val="000000" w:themeColor="text1"/>
        </w:rPr>
        <w:t>he contractor</w:t>
      </w:r>
      <w:r w:rsidRPr="2C8F1C5A">
        <w:rPr>
          <w:rFonts w:eastAsia="Times New Roman"/>
          <w:color w:val="000000" w:themeColor="text1"/>
        </w:rPr>
        <w:t xml:space="preserve"> </w:t>
      </w:r>
      <w:r w:rsidR="005B2A66">
        <w:rPr>
          <w:rFonts w:eastAsia="Times New Roman"/>
          <w:color w:val="000000" w:themeColor="text1"/>
        </w:rPr>
        <w:t xml:space="preserve">is now </w:t>
      </w:r>
      <w:r w:rsidRPr="2C8F1C5A">
        <w:rPr>
          <w:rFonts w:eastAsia="Times New Roman"/>
          <w:color w:val="000000" w:themeColor="text1"/>
        </w:rPr>
        <w:t>active</w:t>
      </w:r>
      <w:r w:rsidRPr="2C8F1C5A" w:rsidR="7A241E6D">
        <w:rPr>
          <w:rFonts w:eastAsia="Times New Roman"/>
          <w:color w:val="000000" w:themeColor="text1"/>
        </w:rPr>
        <w:t>ly</w:t>
      </w:r>
      <w:r w:rsidRPr="2C8F1C5A">
        <w:rPr>
          <w:rFonts w:eastAsia="Times New Roman"/>
          <w:color w:val="000000" w:themeColor="text1"/>
        </w:rPr>
        <w:t xml:space="preserve"> engag</w:t>
      </w:r>
      <w:r w:rsidR="005B2A66">
        <w:rPr>
          <w:rFonts w:eastAsia="Times New Roman"/>
          <w:color w:val="000000" w:themeColor="text1"/>
        </w:rPr>
        <w:t>ing</w:t>
      </w:r>
      <w:r w:rsidRPr="2C8F1C5A">
        <w:rPr>
          <w:rFonts w:eastAsia="Times New Roman"/>
          <w:color w:val="000000" w:themeColor="text1"/>
        </w:rPr>
        <w:t xml:space="preserve"> these constituent groups </w:t>
      </w:r>
      <w:r w:rsidR="005B2A66">
        <w:rPr>
          <w:rFonts w:eastAsia="Times New Roman"/>
          <w:color w:val="000000" w:themeColor="text1"/>
        </w:rPr>
        <w:t xml:space="preserve">via informal </w:t>
      </w:r>
      <w:r w:rsidR="000D11E5">
        <w:rPr>
          <w:rFonts w:eastAsia="Times New Roman"/>
          <w:color w:val="000000" w:themeColor="text1"/>
        </w:rPr>
        <w:t xml:space="preserve">and unstructured </w:t>
      </w:r>
      <w:r w:rsidR="005B2A66">
        <w:rPr>
          <w:rFonts w:eastAsia="Times New Roman"/>
          <w:color w:val="000000" w:themeColor="text1"/>
        </w:rPr>
        <w:t>discussion</w:t>
      </w:r>
      <w:r>
        <w:rPr>
          <w:rFonts w:eastAsia="Times New Roman"/>
          <w:color w:val="000000" w:themeColor="text1"/>
        </w:rPr>
        <w:t>s</w:t>
      </w:r>
      <w:r w:rsidR="005B2A66">
        <w:rPr>
          <w:rFonts w:eastAsia="Times New Roman"/>
          <w:color w:val="000000" w:themeColor="text1"/>
        </w:rPr>
        <w:t xml:space="preserve"> </w:t>
      </w:r>
      <w:r w:rsidRPr="2C8F1C5A">
        <w:rPr>
          <w:rFonts w:eastAsia="Times New Roman"/>
          <w:color w:val="000000" w:themeColor="text1"/>
        </w:rPr>
        <w:t>to ensure the feasibility of evaluation strategies and materials, including all data collection instruments</w:t>
      </w:r>
      <w:r>
        <w:rPr>
          <w:rStyle w:val="FootnoteReference"/>
          <w:rFonts w:eastAsia="Times New Roman"/>
          <w:color w:val="000000" w:themeColor="text1"/>
        </w:rPr>
        <w:footnoteReference w:id="5"/>
      </w:r>
      <w:r w:rsidRPr="2C8F1C5A">
        <w:rPr>
          <w:rFonts w:eastAsia="Times New Roman"/>
          <w:color w:val="000000" w:themeColor="text1"/>
        </w:rPr>
        <w:t xml:space="preserve">. </w:t>
      </w:r>
    </w:p>
    <w:p w:rsidR="00EC45C4" w:rsidP="008E3694" w14:paraId="4CAE1B6E" w14:textId="77777777">
      <w:pPr>
        <w:spacing w:after="0" w:line="240" w:lineRule="auto"/>
        <w:rPr>
          <w:rFonts w:eastAsia="Times New Roman"/>
          <w:color w:val="000000" w:themeColor="text1"/>
        </w:rPr>
      </w:pPr>
    </w:p>
    <w:p w:rsidR="005B2A66" w:rsidP="00A644DA" w14:paraId="5778BA28" w14:textId="5E9BB2D2">
      <w:pPr>
        <w:spacing w:after="0" w:line="240" w:lineRule="auto"/>
        <w:rPr>
          <w:rFonts w:eastAsia="Times New Roman"/>
          <w:color w:val="000000" w:themeColor="text1"/>
        </w:rPr>
      </w:pPr>
      <w:r w:rsidRPr="2C8F1C5A">
        <w:rPr>
          <w:rFonts w:eastAsia="Times New Roman"/>
          <w:color w:val="000000" w:themeColor="text1"/>
        </w:rPr>
        <w:t xml:space="preserve">Table </w:t>
      </w:r>
      <w:r w:rsidRPr="2C8F1C5A" w:rsidR="567B7971">
        <w:rPr>
          <w:rFonts w:eastAsia="Times New Roman"/>
          <w:color w:val="000000" w:themeColor="text1"/>
        </w:rPr>
        <w:t xml:space="preserve">2 outlines the data collection instruments developed for each of the planned data collection activities and the associated objectives.  </w:t>
      </w:r>
    </w:p>
    <w:p w:rsidR="000D11E5" w:rsidP="00A644DA" w14:paraId="2C4EAF70" w14:textId="77777777">
      <w:pPr>
        <w:spacing w:after="0" w:line="240" w:lineRule="auto"/>
        <w:rPr>
          <w:rFonts w:eastAsia="Times New Roman"/>
          <w:color w:val="000000" w:themeColor="text1"/>
        </w:rPr>
      </w:pPr>
    </w:p>
    <w:p w:rsidR="00B35D1B" w:rsidRPr="00F77214" w:rsidP="00F77214" w14:paraId="23111F79" w14:textId="61035EFD">
      <w:pPr>
        <w:spacing w:after="120" w:line="240" w:lineRule="auto"/>
        <w:rPr>
          <w:rFonts w:eastAsiaTheme="minorEastAsia"/>
          <w:b/>
          <w:bCs/>
          <w:color w:val="000000" w:themeColor="text1"/>
        </w:rPr>
      </w:pPr>
      <w:r w:rsidRPr="00F77214">
        <w:rPr>
          <w:rFonts w:eastAsiaTheme="minorEastAsia"/>
          <w:b/>
          <w:bCs/>
          <w:color w:val="000000" w:themeColor="text1"/>
        </w:rPr>
        <w:t>Table</w:t>
      </w:r>
      <w:r w:rsidRPr="00F77214" w:rsidR="3E81FEFE">
        <w:rPr>
          <w:rFonts w:eastAsiaTheme="minorEastAsia"/>
          <w:b/>
          <w:bCs/>
          <w:color w:val="000000" w:themeColor="text1"/>
        </w:rPr>
        <w:t xml:space="preserve"> 2</w:t>
      </w:r>
      <w:r w:rsidRPr="00F77214">
        <w:rPr>
          <w:rFonts w:eastAsiaTheme="minorEastAsia"/>
          <w:b/>
          <w:bCs/>
          <w:color w:val="000000" w:themeColor="text1"/>
        </w:rPr>
        <w:t xml:space="preserve">. </w:t>
      </w:r>
      <w:r w:rsidRPr="00F77214" w:rsidR="3E81FEFE">
        <w:rPr>
          <w:rFonts w:eastAsiaTheme="minorEastAsia"/>
          <w:b/>
          <w:bCs/>
          <w:color w:val="000000" w:themeColor="text1"/>
        </w:rPr>
        <w:t>RHY LAS Data Collection Activities</w:t>
      </w:r>
      <w:r w:rsidRPr="00F77214" w:rsidR="0949C52D">
        <w:rPr>
          <w:rFonts w:eastAsiaTheme="minorEastAsia"/>
          <w:b/>
          <w:bCs/>
          <w:color w:val="000000" w:themeColor="text1"/>
        </w:rPr>
        <w:t xml:space="preserve">, </w:t>
      </w:r>
      <w:r w:rsidRPr="00F77214" w:rsidR="3E81FEFE">
        <w:rPr>
          <w:rFonts w:eastAsiaTheme="minorEastAsia"/>
          <w:b/>
          <w:bCs/>
          <w:color w:val="000000" w:themeColor="text1"/>
        </w:rPr>
        <w:t>Instruments</w:t>
      </w:r>
      <w:r w:rsidRPr="00F77214" w:rsidR="2F1BC9A5">
        <w:rPr>
          <w:rFonts w:eastAsiaTheme="minorEastAsia"/>
          <w:b/>
          <w:bCs/>
          <w:color w:val="000000" w:themeColor="text1"/>
        </w:rPr>
        <w:t>, and Objectives</w:t>
      </w:r>
    </w:p>
    <w:tbl>
      <w:tblPr>
        <w:tblStyle w:val="TableGrid"/>
        <w:tblW w:w="9355" w:type="dxa"/>
        <w:tblInd w:w="0" w:type="dxa"/>
        <w:tblLook w:val="04A0"/>
      </w:tblPr>
      <w:tblGrid>
        <w:gridCol w:w="1975"/>
        <w:gridCol w:w="2340"/>
        <w:gridCol w:w="5040"/>
      </w:tblGrid>
      <w:tr w14:paraId="048B52FA" w14:textId="110DAA63" w:rsidTr="3C06D043">
        <w:tblPrEx>
          <w:tblW w:w="9355" w:type="dxa"/>
          <w:tblInd w:w="0" w:type="dxa"/>
          <w:tblLook w:val="04A0"/>
        </w:tblPrEx>
        <w:trPr>
          <w:trHeight w:val="300"/>
          <w:tblHeader/>
        </w:trPr>
        <w:tc>
          <w:tcPr>
            <w:tcW w:w="1975" w:type="dxa"/>
            <w:shd w:val="clear" w:color="auto" w:fill="D9D9D9" w:themeFill="background1" w:themeFillShade="D9"/>
          </w:tcPr>
          <w:p w:rsidR="00950F36" w:rsidRPr="00B35D1B" w14:paraId="36D6B10E" w14:textId="77777777">
            <w:pPr>
              <w:rPr>
                <w:rFonts w:asciiTheme="minorHAnsi" w:hAnsiTheme="minorHAnsi" w:cstheme="minorHAnsi"/>
                <w:b/>
                <w:bCs/>
                <w:i/>
              </w:rPr>
            </w:pPr>
            <w:r w:rsidRPr="00B35D1B">
              <w:rPr>
                <w:rFonts w:asciiTheme="minorHAnsi" w:hAnsiTheme="minorHAnsi" w:cstheme="minorHAnsi"/>
                <w:b/>
                <w:bCs/>
                <w:i/>
              </w:rPr>
              <w:t>Data Collection Activity</w:t>
            </w:r>
          </w:p>
        </w:tc>
        <w:tc>
          <w:tcPr>
            <w:tcW w:w="2340" w:type="dxa"/>
            <w:shd w:val="clear" w:color="auto" w:fill="D9D9D9" w:themeFill="background1" w:themeFillShade="D9"/>
          </w:tcPr>
          <w:p w:rsidR="00950F36" w:rsidRPr="00B35D1B" w14:paraId="65532480" w14:textId="37B49795">
            <w:pPr>
              <w:rPr>
                <w:rFonts w:asciiTheme="minorHAnsi" w:hAnsiTheme="minorHAnsi" w:cstheme="minorHAnsi"/>
                <w:b/>
                <w:bCs/>
                <w:i/>
              </w:rPr>
            </w:pPr>
            <w:r w:rsidRPr="00B35D1B">
              <w:rPr>
                <w:rFonts w:asciiTheme="minorHAnsi" w:hAnsiTheme="minorHAnsi" w:cstheme="minorHAnsi"/>
                <w:b/>
                <w:bCs/>
                <w:i/>
              </w:rPr>
              <w:t>Instrument</w:t>
            </w:r>
          </w:p>
        </w:tc>
        <w:tc>
          <w:tcPr>
            <w:tcW w:w="5040" w:type="dxa"/>
            <w:shd w:val="clear" w:color="auto" w:fill="D9D9D9" w:themeFill="background1" w:themeFillShade="D9"/>
          </w:tcPr>
          <w:p w:rsidR="00950F36" w:rsidRPr="00B35D1B" w14:paraId="544E4FDC" w14:textId="55C4D0C5">
            <w:pPr>
              <w:rPr>
                <w:rFonts w:asciiTheme="minorHAnsi" w:hAnsiTheme="minorHAnsi" w:cstheme="minorHAnsi"/>
                <w:b/>
                <w:bCs/>
                <w:i/>
              </w:rPr>
            </w:pPr>
            <w:r w:rsidRPr="00B35D1B">
              <w:rPr>
                <w:rFonts w:asciiTheme="minorHAnsi" w:hAnsiTheme="minorHAnsi" w:cstheme="minorHAnsi"/>
                <w:b/>
                <w:bCs/>
                <w:i/>
              </w:rPr>
              <w:t>Objectives</w:t>
            </w:r>
          </w:p>
        </w:tc>
      </w:tr>
      <w:tr w14:paraId="4F5DFDBB" w14:textId="5B5A9817" w:rsidTr="3C06D043">
        <w:tblPrEx>
          <w:tblW w:w="9355" w:type="dxa"/>
          <w:tblInd w:w="0" w:type="dxa"/>
          <w:tblLook w:val="04A0"/>
        </w:tblPrEx>
        <w:tc>
          <w:tcPr>
            <w:tcW w:w="1975" w:type="dxa"/>
          </w:tcPr>
          <w:p w:rsidR="00950F36" w:rsidRPr="00950F36" w14:paraId="6FFAF904" w14:textId="4BF00577">
            <w:pPr>
              <w:rPr>
                <w:rFonts w:asciiTheme="minorHAnsi" w:hAnsiTheme="minorHAnsi" w:cstheme="minorHAnsi"/>
              </w:rPr>
            </w:pPr>
            <w:r>
              <w:rPr>
                <w:rFonts w:asciiTheme="minorHAnsi" w:hAnsiTheme="minorHAnsi" w:cstheme="minorHAnsi"/>
              </w:rPr>
              <w:t xml:space="preserve">Virtual </w:t>
            </w:r>
            <w:r w:rsidRPr="00950F36">
              <w:rPr>
                <w:rFonts w:asciiTheme="minorHAnsi" w:hAnsiTheme="minorHAnsi" w:cstheme="minorHAnsi"/>
              </w:rPr>
              <w:t xml:space="preserve">Quarterly Site </w:t>
            </w:r>
            <w:r>
              <w:rPr>
                <w:rFonts w:asciiTheme="minorHAnsi" w:hAnsiTheme="minorHAnsi" w:cstheme="minorHAnsi"/>
              </w:rPr>
              <w:t>Meetings</w:t>
            </w:r>
          </w:p>
        </w:tc>
        <w:tc>
          <w:tcPr>
            <w:tcW w:w="2340" w:type="dxa"/>
          </w:tcPr>
          <w:p w:rsidR="00950F36" w:rsidRPr="00950F36" w:rsidP="006F082C" w14:paraId="0A2FF123" w14:textId="1F941E39">
            <w:pPr>
              <w:pStyle w:val="ListParagraph"/>
              <w:numPr>
                <w:ilvl w:val="0"/>
                <w:numId w:val="44"/>
              </w:numPr>
              <w:ind w:left="180" w:hanging="180"/>
              <w:rPr>
                <w:rFonts w:asciiTheme="minorHAnsi" w:hAnsiTheme="minorHAnsi" w:cstheme="minorBidi"/>
              </w:rPr>
            </w:pPr>
            <w:r w:rsidRPr="0297477C">
              <w:rPr>
                <w:rFonts w:asciiTheme="minorHAnsi" w:hAnsiTheme="minorHAnsi" w:cstheme="minorBidi"/>
              </w:rPr>
              <w:t xml:space="preserve">Instrument 1: Quarterly Site </w:t>
            </w:r>
            <w:r w:rsidR="00067D48">
              <w:rPr>
                <w:rFonts w:asciiTheme="minorHAnsi" w:hAnsiTheme="minorHAnsi" w:cstheme="minorBidi"/>
              </w:rPr>
              <w:t xml:space="preserve">Meeting </w:t>
            </w:r>
            <w:r w:rsidRPr="0297477C">
              <w:rPr>
                <w:rFonts w:asciiTheme="minorHAnsi" w:hAnsiTheme="minorHAnsi" w:cstheme="minorBidi"/>
              </w:rPr>
              <w:t>Guide</w:t>
            </w:r>
          </w:p>
        </w:tc>
        <w:tc>
          <w:tcPr>
            <w:tcW w:w="5040" w:type="dxa"/>
          </w:tcPr>
          <w:p w:rsidR="00950F36" w:rsidRPr="009B1598" w:rsidP="2C8F1C5A" w14:paraId="3D899D25" w14:textId="2786E790">
            <w:pPr>
              <w:pStyle w:val="ListParagraph"/>
              <w:numPr>
                <w:ilvl w:val="0"/>
                <w:numId w:val="44"/>
              </w:numPr>
              <w:ind w:left="180" w:hanging="180"/>
              <w:rPr>
                <w:rFonts w:asciiTheme="minorHAnsi" w:hAnsiTheme="minorHAnsi" w:cstheme="minorBidi"/>
              </w:rPr>
            </w:pPr>
            <w:r w:rsidRPr="2C8F1C5A">
              <w:rPr>
                <w:rFonts w:asciiTheme="minorHAnsi" w:hAnsiTheme="minorHAnsi" w:cstheme="minorBidi"/>
              </w:rPr>
              <w:t>Objective 1: Document sites’ planning, progress, and demonstration implementation, including partnerships and collaboration</w:t>
            </w:r>
          </w:p>
        </w:tc>
      </w:tr>
      <w:tr w14:paraId="0E2B7CB5" w14:textId="635E78C5" w:rsidTr="3C06D043">
        <w:tblPrEx>
          <w:tblW w:w="9355" w:type="dxa"/>
          <w:tblInd w:w="0" w:type="dxa"/>
          <w:tblLook w:val="04A0"/>
        </w:tblPrEx>
        <w:tc>
          <w:tcPr>
            <w:tcW w:w="1975" w:type="dxa"/>
          </w:tcPr>
          <w:p w:rsidR="00950F36" w:rsidRPr="00950F36" w:rsidP="3C06D043" w14:paraId="63DBBEE1" w14:textId="4E837798">
            <w:pPr>
              <w:rPr>
                <w:rFonts w:asciiTheme="minorHAnsi" w:hAnsiTheme="minorHAnsi" w:cstheme="minorBidi"/>
              </w:rPr>
            </w:pPr>
            <w:r w:rsidRPr="3C06D043">
              <w:rPr>
                <w:rFonts w:asciiTheme="minorHAnsi" w:hAnsiTheme="minorHAnsi" w:cstheme="minorBidi"/>
              </w:rPr>
              <w:t>Listening Sessions</w:t>
            </w:r>
          </w:p>
        </w:tc>
        <w:tc>
          <w:tcPr>
            <w:tcW w:w="2340" w:type="dxa"/>
          </w:tcPr>
          <w:p w:rsidR="00950F36" w:rsidRPr="00950F36" w:rsidP="5F68217E" w14:paraId="0036B6AD" w14:textId="681B34D0">
            <w:pPr>
              <w:pStyle w:val="ListParagraph"/>
              <w:numPr>
                <w:ilvl w:val="0"/>
                <w:numId w:val="44"/>
              </w:numPr>
              <w:ind w:left="180" w:hanging="180"/>
              <w:rPr>
                <w:rFonts w:asciiTheme="minorHAnsi" w:hAnsiTheme="minorHAnsi" w:cstheme="minorBidi"/>
              </w:rPr>
            </w:pPr>
            <w:r w:rsidRPr="5F68217E">
              <w:rPr>
                <w:rFonts w:asciiTheme="minorHAnsi" w:hAnsiTheme="minorHAnsi" w:cstheme="minorBidi"/>
              </w:rPr>
              <w:t xml:space="preserve">Instrument 2: </w:t>
            </w:r>
            <w:r w:rsidR="002919EE">
              <w:rPr>
                <w:rFonts w:asciiTheme="minorHAnsi" w:hAnsiTheme="minorHAnsi" w:cstheme="minorBidi"/>
              </w:rPr>
              <w:t xml:space="preserve">Listening Session </w:t>
            </w:r>
            <w:r w:rsidR="00996F48">
              <w:rPr>
                <w:rFonts w:asciiTheme="minorHAnsi" w:hAnsiTheme="minorHAnsi" w:cstheme="minorBidi"/>
              </w:rPr>
              <w:t>Topic Guide</w:t>
            </w:r>
          </w:p>
        </w:tc>
        <w:tc>
          <w:tcPr>
            <w:tcW w:w="5040" w:type="dxa"/>
          </w:tcPr>
          <w:p w:rsidR="00950F36" w:rsidRPr="009B1598" w:rsidP="3C06D043" w14:paraId="3A4BFFB9" w14:textId="4F616890">
            <w:pPr>
              <w:pStyle w:val="ListParagraph"/>
              <w:numPr>
                <w:ilvl w:val="0"/>
                <w:numId w:val="44"/>
              </w:numPr>
              <w:ind w:left="180" w:hanging="180"/>
              <w:rPr>
                <w:rFonts w:asciiTheme="minorHAnsi" w:hAnsiTheme="minorHAnsi" w:cstheme="minorBidi"/>
              </w:rPr>
            </w:pPr>
            <w:r w:rsidRPr="3C06D043">
              <w:rPr>
                <w:rFonts w:asciiTheme="minorHAnsi" w:hAnsiTheme="minorHAnsi" w:cstheme="minorBidi"/>
              </w:rPr>
              <w:t>Objective 1: Document sites’ planning, progress, and demonstration implementation, including partnerships and collaboration</w:t>
            </w:r>
          </w:p>
        </w:tc>
      </w:tr>
      <w:tr w14:paraId="3C13BCBB" w14:textId="109E341A" w:rsidTr="3C06D043">
        <w:tblPrEx>
          <w:tblW w:w="9355" w:type="dxa"/>
          <w:tblInd w:w="0" w:type="dxa"/>
          <w:tblLook w:val="04A0"/>
        </w:tblPrEx>
        <w:tc>
          <w:tcPr>
            <w:tcW w:w="1975" w:type="dxa"/>
          </w:tcPr>
          <w:p w:rsidR="00950F36" w:rsidRPr="00950F36" w:rsidP="5F68217E" w14:paraId="355BE407" w14:textId="25CDD024">
            <w:pPr>
              <w:rPr>
                <w:rFonts w:asciiTheme="minorHAnsi" w:hAnsiTheme="minorHAnsi" w:cstheme="minorBidi"/>
              </w:rPr>
            </w:pPr>
            <w:r w:rsidRPr="5F68217E">
              <w:rPr>
                <w:rFonts w:asciiTheme="minorHAnsi" w:hAnsiTheme="minorHAnsi" w:cstheme="minorBidi"/>
              </w:rPr>
              <w:t>Site visits – Key Respondent Interviews</w:t>
            </w:r>
          </w:p>
        </w:tc>
        <w:tc>
          <w:tcPr>
            <w:tcW w:w="2340" w:type="dxa"/>
          </w:tcPr>
          <w:p w:rsidR="00950F36" w:rsidRPr="00950F36" w:rsidP="5F68217E" w14:paraId="2147A3D5" w14:textId="63F745B8">
            <w:pPr>
              <w:pStyle w:val="ListParagraph"/>
              <w:numPr>
                <w:ilvl w:val="0"/>
                <w:numId w:val="44"/>
              </w:numPr>
              <w:ind w:left="180" w:hanging="180"/>
              <w:rPr>
                <w:rFonts w:asciiTheme="minorHAnsi" w:hAnsiTheme="minorHAnsi" w:cstheme="minorBidi"/>
              </w:rPr>
            </w:pPr>
            <w:r w:rsidRPr="5F68217E">
              <w:rPr>
                <w:rFonts w:asciiTheme="minorHAnsi" w:hAnsiTheme="minorHAnsi" w:cstheme="minorBidi"/>
              </w:rPr>
              <w:t xml:space="preserve">Instrument 3: Site Visit Interview Protocol – Key Respondent Interviews </w:t>
            </w:r>
          </w:p>
        </w:tc>
        <w:tc>
          <w:tcPr>
            <w:tcW w:w="5040" w:type="dxa"/>
          </w:tcPr>
          <w:p w:rsidR="009B1598" w:rsidP="2C8F1C5A" w14:paraId="44C5D7A6" w14:textId="69705397">
            <w:pPr>
              <w:pStyle w:val="ListParagraph"/>
              <w:numPr>
                <w:ilvl w:val="0"/>
                <w:numId w:val="44"/>
              </w:numPr>
              <w:ind w:left="180" w:hanging="180"/>
              <w:rPr>
                <w:rFonts w:asciiTheme="minorHAnsi" w:hAnsiTheme="minorHAnsi" w:cstheme="minorBidi"/>
              </w:rPr>
            </w:pPr>
            <w:r w:rsidRPr="2C8F1C5A">
              <w:rPr>
                <w:rFonts w:asciiTheme="minorHAnsi" w:hAnsiTheme="minorHAnsi" w:cstheme="minorBidi"/>
              </w:rPr>
              <w:t>Objective 1: Document sites’ planning, progress, and demonstration implementation, including partnerships and collaboration</w:t>
            </w:r>
          </w:p>
          <w:p w:rsidR="00D22E23" w:rsidRPr="009B1598" w:rsidP="2C8F1C5A" w14:paraId="0E1A383A" w14:textId="37306C88">
            <w:pPr>
              <w:pStyle w:val="ListParagraph"/>
              <w:numPr>
                <w:ilvl w:val="0"/>
                <w:numId w:val="44"/>
              </w:numPr>
              <w:ind w:left="180" w:hanging="180"/>
              <w:rPr>
                <w:rFonts w:asciiTheme="minorHAnsi" w:hAnsiTheme="minorHAnsi" w:cstheme="minorBidi"/>
              </w:rPr>
            </w:pPr>
            <w:r w:rsidRPr="2C8F1C5A">
              <w:rPr>
                <w:rFonts w:asciiTheme="minorHAnsi" w:hAnsiTheme="minorHAnsi" w:cstheme="minorBidi"/>
              </w:rPr>
              <w:t>Objective 2: Document sites’ engagement of young people in co-design processes</w:t>
            </w:r>
          </w:p>
          <w:p w:rsidR="00950F36" w:rsidP="2C8F1C5A" w14:paraId="39E67058" w14:textId="55B45AEF">
            <w:pPr>
              <w:pStyle w:val="ListParagraph"/>
              <w:numPr>
                <w:ilvl w:val="0"/>
                <w:numId w:val="44"/>
              </w:numPr>
              <w:ind w:left="180" w:hanging="180"/>
              <w:rPr>
                <w:rFonts w:asciiTheme="minorHAnsi" w:hAnsiTheme="minorHAnsi" w:cstheme="minorBidi"/>
              </w:rPr>
            </w:pPr>
            <w:r w:rsidRPr="2C8F1C5A">
              <w:rPr>
                <w:rFonts w:asciiTheme="minorHAnsi" w:hAnsiTheme="minorHAnsi" w:cstheme="minorBidi"/>
              </w:rPr>
              <w:t>Objective 3: Document services, program models, and provider experiences</w:t>
            </w:r>
          </w:p>
          <w:p w:rsidR="00D22E23" w:rsidRPr="00D22E23" w:rsidP="2C8F1C5A" w14:paraId="20417F65" w14:textId="0051D9DA">
            <w:pPr>
              <w:pStyle w:val="ListParagraph"/>
              <w:numPr>
                <w:ilvl w:val="0"/>
                <w:numId w:val="44"/>
              </w:numPr>
              <w:ind w:left="180" w:hanging="180"/>
              <w:rPr>
                <w:rFonts w:asciiTheme="minorHAnsi" w:hAnsiTheme="minorHAnsi" w:cstheme="minorBidi"/>
              </w:rPr>
            </w:pPr>
            <w:r w:rsidRPr="2C8F1C5A">
              <w:rPr>
                <w:rFonts w:asciiTheme="minorHAnsi" w:hAnsiTheme="minorHAnsi" w:cstheme="minorBidi"/>
              </w:rPr>
              <w:t>Objective 4: Document the characteristics and experiences of young people receiving services</w:t>
            </w:r>
          </w:p>
        </w:tc>
      </w:tr>
      <w:tr w14:paraId="68C7ED52" w14:textId="0BC11724" w:rsidTr="3C06D043">
        <w:tblPrEx>
          <w:tblW w:w="9355" w:type="dxa"/>
          <w:tblInd w:w="0" w:type="dxa"/>
          <w:tblLook w:val="04A0"/>
        </w:tblPrEx>
        <w:trPr>
          <w:trHeight w:val="75"/>
        </w:trPr>
        <w:tc>
          <w:tcPr>
            <w:tcW w:w="1975" w:type="dxa"/>
          </w:tcPr>
          <w:p w:rsidR="00950F36" w:rsidRPr="00950F36" w14:paraId="5C3C227B" w14:textId="77777777">
            <w:pPr>
              <w:rPr>
                <w:rFonts w:asciiTheme="minorHAnsi" w:hAnsiTheme="minorHAnsi" w:cstheme="minorHAnsi"/>
              </w:rPr>
            </w:pPr>
            <w:r w:rsidRPr="00950F36">
              <w:rPr>
                <w:rFonts w:asciiTheme="minorHAnsi" w:hAnsiTheme="minorHAnsi" w:cstheme="minorHAnsi"/>
              </w:rPr>
              <w:t>Site visits - Youth Focus Groups</w:t>
            </w:r>
          </w:p>
        </w:tc>
        <w:tc>
          <w:tcPr>
            <w:tcW w:w="2340" w:type="dxa"/>
          </w:tcPr>
          <w:p w:rsidR="00950F36" w:rsidRPr="00950F36" w:rsidP="006F082C" w14:paraId="0A03ACA4" w14:textId="72CF3D55">
            <w:pPr>
              <w:pStyle w:val="ListParagraph"/>
              <w:numPr>
                <w:ilvl w:val="0"/>
                <w:numId w:val="44"/>
              </w:numPr>
              <w:ind w:left="180" w:hanging="180"/>
              <w:rPr>
                <w:rFonts w:asciiTheme="minorHAnsi" w:hAnsiTheme="minorHAnsi" w:cstheme="minorBidi"/>
              </w:rPr>
            </w:pPr>
            <w:r w:rsidRPr="0297477C">
              <w:rPr>
                <w:rFonts w:asciiTheme="minorHAnsi" w:hAnsiTheme="minorHAnsi" w:cstheme="minorBidi"/>
              </w:rPr>
              <w:t>Instrument 4: Site Visit Focus Group Protocol – Youth</w:t>
            </w:r>
            <w:r w:rsidR="0028675B">
              <w:rPr>
                <w:rFonts w:asciiTheme="minorHAnsi" w:hAnsiTheme="minorHAnsi" w:cstheme="minorBidi"/>
              </w:rPr>
              <w:t xml:space="preserve"> Focus Groups</w:t>
            </w:r>
          </w:p>
        </w:tc>
        <w:tc>
          <w:tcPr>
            <w:tcW w:w="5040" w:type="dxa"/>
          </w:tcPr>
          <w:p w:rsidR="009B1598" w:rsidRPr="009B1598" w:rsidP="2C8F1C5A" w14:paraId="655936B2" w14:textId="374B7C2D">
            <w:pPr>
              <w:pStyle w:val="ListParagraph"/>
              <w:numPr>
                <w:ilvl w:val="0"/>
                <w:numId w:val="44"/>
              </w:numPr>
              <w:ind w:left="180" w:hanging="180"/>
              <w:rPr>
                <w:rFonts w:asciiTheme="minorHAnsi" w:hAnsiTheme="minorHAnsi" w:cstheme="minorBidi"/>
              </w:rPr>
            </w:pPr>
            <w:r w:rsidRPr="2C8F1C5A">
              <w:rPr>
                <w:rFonts w:asciiTheme="minorHAnsi" w:hAnsiTheme="minorHAnsi" w:cstheme="minorBidi"/>
              </w:rPr>
              <w:t>Objective 2: Document sites’ engagement of young people in co-design processes</w:t>
            </w:r>
          </w:p>
          <w:p w:rsidR="00950F36" w:rsidRPr="009B1598" w:rsidP="2C8F1C5A" w14:paraId="09A18491" w14:textId="6D8C990D">
            <w:pPr>
              <w:pStyle w:val="ListParagraph"/>
              <w:numPr>
                <w:ilvl w:val="0"/>
                <w:numId w:val="44"/>
              </w:numPr>
              <w:ind w:left="180" w:hanging="180"/>
              <w:rPr>
                <w:rFonts w:asciiTheme="minorHAnsi" w:hAnsiTheme="minorHAnsi" w:cstheme="minorBidi"/>
              </w:rPr>
            </w:pPr>
            <w:r w:rsidRPr="2C8F1C5A">
              <w:rPr>
                <w:rFonts w:asciiTheme="minorHAnsi" w:hAnsiTheme="minorHAnsi" w:cstheme="minorBidi"/>
              </w:rPr>
              <w:t>Objective 4: Document the characteristics and experiences of young people receiving services</w:t>
            </w:r>
          </w:p>
        </w:tc>
      </w:tr>
    </w:tbl>
    <w:p w:rsidR="00EC14FC" w:rsidRPr="00901040" w:rsidP="00901040" w14:paraId="49886C88" w14:textId="6F72A6B1">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C14FC" w:rsidRPr="00EC14FC" w:rsidP="00EC14FC" w14:paraId="165F9325" w14:textId="0D6674AB">
      <w:pPr>
        <w:autoSpaceDE w:val="0"/>
        <w:autoSpaceDN w:val="0"/>
        <w:adjustRightInd w:val="0"/>
        <w:spacing w:after="60" w:line="240" w:lineRule="atLeast"/>
        <w:rPr>
          <w:rFonts w:eastAsia="Times New Roman" w:cstheme="minorHAnsi"/>
          <w:i/>
          <w:iCs/>
          <w:color w:val="000000"/>
        </w:rPr>
      </w:pPr>
      <w:r w:rsidRPr="00EC14FC">
        <w:rPr>
          <w:rFonts w:eastAsia="Times New Roman" w:cstheme="minorHAnsi"/>
          <w:i/>
          <w:iCs/>
          <w:color w:val="000000"/>
        </w:rPr>
        <w:t xml:space="preserve">Overall </w:t>
      </w:r>
      <w:r>
        <w:rPr>
          <w:rFonts w:eastAsia="Times New Roman" w:cstheme="minorHAnsi"/>
          <w:i/>
          <w:iCs/>
          <w:color w:val="000000"/>
        </w:rPr>
        <w:t>Approach</w:t>
      </w:r>
      <w:r w:rsidRPr="00EC14FC">
        <w:rPr>
          <w:rFonts w:eastAsia="Times New Roman" w:cstheme="minorHAnsi"/>
          <w:i/>
          <w:iCs/>
          <w:color w:val="000000"/>
        </w:rPr>
        <w:t xml:space="preserve"> </w:t>
      </w:r>
    </w:p>
    <w:p w:rsidR="00CB7D3E" w:rsidP="00AC5153" w14:paraId="7F00EE6B" w14:textId="3B3E4C3C">
      <w:pPr>
        <w:spacing w:after="0" w:line="240" w:lineRule="atLeast"/>
        <w:rPr>
          <w:rFonts w:eastAsia="Times New Roman"/>
          <w:color w:val="000000" w:themeColor="text1"/>
        </w:rPr>
      </w:pPr>
      <w:bookmarkStart w:id="3" w:name="_Hlk197611623"/>
      <w:r w:rsidRPr="2C8F1C5A">
        <w:rPr>
          <w:rFonts w:eastAsia="Times New Roman"/>
          <w:color w:val="000000" w:themeColor="text1"/>
        </w:rPr>
        <w:t xml:space="preserve">The </w:t>
      </w:r>
      <w:r w:rsidRPr="2C8F1C5A" w:rsidR="765F613D">
        <w:rPr>
          <w:rFonts w:eastAsia="Times New Roman"/>
          <w:color w:val="000000" w:themeColor="text1"/>
        </w:rPr>
        <w:t>contractor</w:t>
      </w:r>
      <w:r w:rsidRPr="2C8F1C5A">
        <w:rPr>
          <w:rFonts w:eastAsia="Times New Roman"/>
          <w:color w:val="000000" w:themeColor="text1"/>
        </w:rPr>
        <w:t xml:space="preserve"> </w:t>
      </w:r>
      <w:r w:rsidRPr="2C8F1C5A" w:rsidR="4534A925">
        <w:rPr>
          <w:rFonts w:eastAsia="Times New Roman"/>
          <w:color w:val="000000" w:themeColor="text1"/>
        </w:rPr>
        <w:t xml:space="preserve">team </w:t>
      </w:r>
      <w:r w:rsidRPr="2C8F1C5A">
        <w:rPr>
          <w:rFonts w:eastAsia="Times New Roman"/>
          <w:color w:val="000000" w:themeColor="text1"/>
        </w:rPr>
        <w:t xml:space="preserve">consists of both senior and early-career professionals, each assuming </w:t>
      </w:r>
      <w:r w:rsidRPr="2C8F1C5A" w:rsidR="6CA3729E">
        <w:rPr>
          <w:rFonts w:eastAsia="Times New Roman"/>
          <w:color w:val="000000" w:themeColor="text1"/>
        </w:rPr>
        <w:t xml:space="preserve">a </w:t>
      </w:r>
      <w:r w:rsidRPr="2C8F1C5A">
        <w:rPr>
          <w:rFonts w:eastAsia="Times New Roman"/>
          <w:color w:val="000000" w:themeColor="text1"/>
        </w:rPr>
        <w:t>specific role in conducting the process evaluation</w:t>
      </w:r>
      <w:bookmarkEnd w:id="3"/>
      <w:r w:rsidRPr="2C8F1C5A">
        <w:rPr>
          <w:rFonts w:eastAsia="Times New Roman"/>
          <w:color w:val="000000" w:themeColor="text1"/>
        </w:rPr>
        <w:t xml:space="preserve">. </w:t>
      </w:r>
      <w:r>
        <w:rPr>
          <w:rFonts w:eastAsia="Times New Roman"/>
          <w:color w:val="000000" w:themeColor="text1"/>
        </w:rPr>
        <w:t xml:space="preserve">Senior members oversee all project activities while early-career staff are trained to carry out specific activities such as </w:t>
      </w:r>
      <w:r w:rsidR="000C6C03">
        <w:rPr>
          <w:rFonts w:eastAsia="Times New Roman"/>
          <w:color w:val="000000" w:themeColor="text1"/>
        </w:rPr>
        <w:t xml:space="preserve">reviewing </w:t>
      </w:r>
      <w:r>
        <w:rPr>
          <w:rFonts w:eastAsia="Times New Roman"/>
          <w:color w:val="000000" w:themeColor="text1"/>
        </w:rPr>
        <w:t>document</w:t>
      </w:r>
      <w:r w:rsidR="000C6C03">
        <w:rPr>
          <w:rFonts w:eastAsia="Times New Roman"/>
          <w:color w:val="000000" w:themeColor="text1"/>
        </w:rPr>
        <w:t xml:space="preserve">s, </w:t>
      </w:r>
      <w:r>
        <w:rPr>
          <w:rFonts w:eastAsia="Times New Roman"/>
          <w:color w:val="000000" w:themeColor="text1"/>
        </w:rPr>
        <w:t xml:space="preserve">notetaking, </w:t>
      </w:r>
      <w:r w:rsidR="000C6C03">
        <w:rPr>
          <w:rFonts w:eastAsia="Times New Roman"/>
          <w:color w:val="000000" w:themeColor="text1"/>
        </w:rPr>
        <w:t xml:space="preserve">and assisting senior members with </w:t>
      </w:r>
      <w:r>
        <w:rPr>
          <w:rFonts w:eastAsia="Times New Roman"/>
          <w:color w:val="000000" w:themeColor="text1"/>
        </w:rPr>
        <w:t xml:space="preserve">data collection, analysis, and reporting. </w:t>
      </w:r>
    </w:p>
    <w:p w:rsidR="00AC5153" w:rsidP="009603E7" w14:paraId="43293017" w14:textId="77777777">
      <w:pPr>
        <w:spacing w:after="0" w:line="240" w:lineRule="atLeast"/>
        <w:rPr>
          <w:rFonts w:eastAsia="Times New Roman"/>
          <w:color w:val="000000" w:themeColor="text1"/>
        </w:rPr>
      </w:pPr>
    </w:p>
    <w:p w:rsidR="002A5708" w:rsidRPr="002A5708" w:rsidP="002A5708" w14:paraId="3A82BA74" w14:textId="244CA6ED">
      <w:pPr>
        <w:autoSpaceDE w:val="0"/>
        <w:autoSpaceDN w:val="0"/>
        <w:adjustRightInd w:val="0"/>
        <w:spacing w:after="60" w:line="240" w:lineRule="atLeast"/>
        <w:rPr>
          <w:rFonts w:eastAsia="Times New Roman" w:cstheme="minorHAnsi"/>
          <w:color w:val="000000"/>
        </w:rPr>
      </w:pPr>
      <w:r w:rsidRPr="00A46E68">
        <w:rPr>
          <w:rFonts w:eastAsia="Times New Roman"/>
          <w:b/>
          <w:bCs/>
          <w:color w:val="000000" w:themeColor="text1"/>
        </w:rPr>
        <w:t>Site teams:</w:t>
      </w:r>
      <w:r>
        <w:rPr>
          <w:rFonts w:eastAsia="Times New Roman"/>
          <w:color w:val="000000" w:themeColor="text1"/>
        </w:rPr>
        <w:t xml:space="preserve"> </w:t>
      </w:r>
      <w:r w:rsidR="00164BC6">
        <w:rPr>
          <w:rFonts w:eastAsia="Times New Roman"/>
          <w:color w:val="000000" w:themeColor="text1"/>
        </w:rPr>
        <w:t>To facilitate data collection, t</w:t>
      </w:r>
      <w:r w:rsidRPr="2C8F1C5A" w:rsidR="4CBB4655">
        <w:rPr>
          <w:rFonts w:eastAsia="Times New Roman"/>
          <w:color w:val="000000" w:themeColor="text1"/>
        </w:rPr>
        <w:t xml:space="preserve">he contractor </w:t>
      </w:r>
      <w:r w:rsidRPr="2C8F1C5A" w:rsidR="5035E246">
        <w:rPr>
          <w:rFonts w:eastAsia="Times New Roman"/>
          <w:color w:val="000000" w:themeColor="text1"/>
        </w:rPr>
        <w:t xml:space="preserve">will assign </w:t>
      </w:r>
      <w:r w:rsidRPr="2C8F1C5A" w:rsidR="5D0AA985">
        <w:rPr>
          <w:rFonts w:eastAsia="Times New Roman"/>
          <w:color w:val="000000" w:themeColor="text1"/>
        </w:rPr>
        <w:t xml:space="preserve">two research staff </w:t>
      </w:r>
      <w:r w:rsidRPr="2C8F1C5A" w:rsidR="5035E246">
        <w:rPr>
          <w:rFonts w:eastAsia="Times New Roman"/>
          <w:color w:val="000000" w:themeColor="text1"/>
        </w:rPr>
        <w:t xml:space="preserve">to each </w:t>
      </w:r>
      <w:r w:rsidRPr="2C8F1C5A" w:rsidR="4313B911">
        <w:rPr>
          <w:rFonts w:eastAsia="Times New Roman"/>
          <w:color w:val="000000" w:themeColor="text1"/>
        </w:rPr>
        <w:t xml:space="preserve">RHY PDP </w:t>
      </w:r>
      <w:r w:rsidRPr="2C8F1C5A" w:rsidR="5035E246">
        <w:rPr>
          <w:rFonts w:eastAsia="Times New Roman"/>
          <w:color w:val="000000" w:themeColor="text1"/>
        </w:rPr>
        <w:t>site</w:t>
      </w:r>
      <w:r w:rsidRPr="2C8F1C5A" w:rsidR="5D0AA985">
        <w:rPr>
          <w:rFonts w:eastAsia="Times New Roman"/>
          <w:color w:val="000000" w:themeColor="text1"/>
        </w:rPr>
        <w:t xml:space="preserve">, </w:t>
      </w:r>
      <w:r w:rsidRPr="2C8F1C5A" w:rsidR="6E10B5C4">
        <w:rPr>
          <w:rFonts w:eastAsia="Times New Roman"/>
          <w:color w:val="000000" w:themeColor="text1"/>
        </w:rPr>
        <w:t xml:space="preserve">forming designated </w:t>
      </w:r>
      <w:r w:rsidRPr="2C8F1C5A" w:rsidR="0DE1AF16">
        <w:rPr>
          <w:rFonts w:eastAsia="Times New Roman"/>
          <w:color w:val="000000" w:themeColor="text1"/>
        </w:rPr>
        <w:t>‘</w:t>
      </w:r>
      <w:r w:rsidRPr="2C8F1C5A" w:rsidR="5D0AA985">
        <w:rPr>
          <w:rFonts w:eastAsia="Times New Roman"/>
          <w:color w:val="000000" w:themeColor="text1"/>
        </w:rPr>
        <w:t>site team</w:t>
      </w:r>
      <w:r w:rsidRPr="2C8F1C5A" w:rsidR="6E10B5C4">
        <w:rPr>
          <w:rFonts w:eastAsia="Times New Roman"/>
          <w:color w:val="000000" w:themeColor="text1"/>
        </w:rPr>
        <w:t>s</w:t>
      </w:r>
      <w:r w:rsidRPr="2C8F1C5A" w:rsidR="0DE1AF16">
        <w:rPr>
          <w:rFonts w:eastAsia="Times New Roman"/>
          <w:color w:val="000000" w:themeColor="text1"/>
        </w:rPr>
        <w:t>’</w:t>
      </w:r>
      <w:r w:rsidRPr="2C8F1C5A" w:rsidR="6E10B5C4">
        <w:rPr>
          <w:rFonts w:eastAsia="Times New Roman"/>
          <w:color w:val="000000" w:themeColor="text1"/>
        </w:rPr>
        <w:t xml:space="preserve"> that will serve </w:t>
      </w:r>
      <w:r w:rsidRPr="2C8F1C5A" w:rsidR="5035E246">
        <w:rPr>
          <w:rFonts w:eastAsia="Times New Roman"/>
          <w:color w:val="000000" w:themeColor="text1"/>
        </w:rPr>
        <w:t xml:space="preserve">as the </w:t>
      </w:r>
      <w:r w:rsidRPr="2C8F1C5A" w:rsidR="4CBB4655">
        <w:rPr>
          <w:rFonts w:eastAsia="Times New Roman"/>
          <w:color w:val="000000" w:themeColor="text1"/>
        </w:rPr>
        <w:t>contractor’</w:t>
      </w:r>
      <w:r w:rsidRPr="2C8F1C5A" w:rsidR="5035E246">
        <w:rPr>
          <w:rFonts w:eastAsia="Times New Roman"/>
          <w:color w:val="000000" w:themeColor="text1"/>
        </w:rPr>
        <w:t>s primary point of contact</w:t>
      </w:r>
      <w:r w:rsidRPr="2C8F1C5A" w:rsidR="6BEC6183">
        <w:rPr>
          <w:rFonts w:eastAsia="Times New Roman"/>
          <w:color w:val="000000" w:themeColor="text1"/>
        </w:rPr>
        <w:t xml:space="preserve"> with the sites</w:t>
      </w:r>
      <w:r w:rsidRPr="2C8F1C5A" w:rsidR="6E10B5C4">
        <w:rPr>
          <w:rFonts w:eastAsia="Times New Roman"/>
          <w:color w:val="000000" w:themeColor="text1"/>
        </w:rPr>
        <w:t xml:space="preserve">. </w:t>
      </w:r>
      <w:r w:rsidRPr="002A5708">
        <w:rPr>
          <w:rFonts w:eastAsia="Times New Roman" w:cstheme="minorHAnsi"/>
          <w:color w:val="000000"/>
        </w:rPr>
        <w:t xml:space="preserve">The roles of the site teams will be shared between a site lead and site liaison: </w:t>
      </w:r>
    </w:p>
    <w:p w:rsidR="002A5708" w:rsidRPr="002A5708" w:rsidP="392CF680" w14:paraId="4437B46E" w14:textId="27FE1DBB">
      <w:pPr>
        <w:pStyle w:val="ListParagraph"/>
        <w:numPr>
          <w:ilvl w:val="0"/>
          <w:numId w:val="1"/>
        </w:numPr>
        <w:autoSpaceDE w:val="0"/>
        <w:autoSpaceDN w:val="0"/>
        <w:adjustRightInd w:val="0"/>
        <w:spacing w:after="60" w:line="240" w:lineRule="atLeast"/>
        <w:ind w:left="360"/>
        <w:rPr>
          <w:rFonts w:eastAsia="Times New Roman"/>
          <w:color w:val="000000"/>
        </w:rPr>
      </w:pPr>
      <w:r w:rsidRPr="392CF680">
        <w:rPr>
          <w:rFonts w:eastAsia="Times New Roman"/>
          <w:b/>
          <w:bCs/>
          <w:color w:val="000000" w:themeColor="text1"/>
        </w:rPr>
        <w:t>Site leads:</w:t>
      </w:r>
      <w:r w:rsidRPr="392CF680">
        <w:rPr>
          <w:rFonts w:eastAsia="Times New Roman"/>
          <w:color w:val="000000" w:themeColor="text1"/>
        </w:rPr>
        <w:t xml:space="preserve"> Senior </w:t>
      </w:r>
      <w:r w:rsidR="002F7982">
        <w:rPr>
          <w:rFonts w:eastAsia="Times New Roman"/>
          <w:color w:val="000000" w:themeColor="text1"/>
        </w:rPr>
        <w:t>professional staff</w:t>
      </w:r>
      <w:r w:rsidR="00006927">
        <w:rPr>
          <w:rFonts w:eastAsia="Times New Roman"/>
          <w:color w:val="000000" w:themeColor="text1"/>
        </w:rPr>
        <w:t>,</w:t>
      </w:r>
      <w:r w:rsidRPr="392CF680">
        <w:rPr>
          <w:rFonts w:eastAsia="Times New Roman"/>
          <w:color w:val="000000" w:themeColor="text1"/>
        </w:rPr>
        <w:t xml:space="preserve"> </w:t>
      </w:r>
      <w:r w:rsidR="00006927">
        <w:rPr>
          <w:rFonts w:eastAsia="Times New Roman"/>
          <w:color w:val="000000" w:themeColor="text1"/>
        </w:rPr>
        <w:t>with</w:t>
      </w:r>
      <w:r w:rsidRPr="392CF680" w:rsidR="00006927">
        <w:rPr>
          <w:rFonts w:eastAsia="Times New Roman"/>
          <w:color w:val="000000" w:themeColor="text1"/>
        </w:rPr>
        <w:t xml:space="preserve"> </w:t>
      </w:r>
      <w:r w:rsidRPr="392CF680">
        <w:rPr>
          <w:rFonts w:eastAsia="Times New Roman"/>
          <w:color w:val="000000" w:themeColor="text1"/>
        </w:rPr>
        <w:t>extensive experience with youth homelessness research and practice</w:t>
      </w:r>
      <w:r w:rsidR="00006927">
        <w:rPr>
          <w:rFonts w:eastAsia="Times New Roman"/>
          <w:color w:val="000000" w:themeColor="text1"/>
        </w:rPr>
        <w:t>, will</w:t>
      </w:r>
      <w:r w:rsidRPr="392CF680">
        <w:rPr>
          <w:rFonts w:eastAsia="Times New Roman"/>
          <w:color w:val="000000" w:themeColor="text1"/>
        </w:rPr>
        <w:t xml:space="preserve"> manage relationship</w:t>
      </w:r>
      <w:r w:rsidR="00006927">
        <w:rPr>
          <w:rFonts w:eastAsia="Times New Roman"/>
          <w:color w:val="000000" w:themeColor="text1"/>
        </w:rPr>
        <w:t>s</w:t>
      </w:r>
      <w:r w:rsidRPr="392CF680">
        <w:rPr>
          <w:rFonts w:eastAsia="Times New Roman"/>
          <w:color w:val="000000" w:themeColor="text1"/>
        </w:rPr>
        <w:t xml:space="preserve"> between the research team and site partners</w:t>
      </w:r>
      <w:r w:rsidR="00006927">
        <w:rPr>
          <w:rFonts w:eastAsia="Times New Roman"/>
          <w:color w:val="000000" w:themeColor="text1"/>
        </w:rPr>
        <w:t>. They will</w:t>
      </w:r>
      <w:r w:rsidRPr="392CF680">
        <w:rPr>
          <w:rFonts w:eastAsia="Times New Roman"/>
          <w:color w:val="000000" w:themeColor="text1"/>
        </w:rPr>
        <w:t xml:space="preserve"> conduct on-site and virtual data collection</w:t>
      </w:r>
      <w:r w:rsidR="00006927">
        <w:rPr>
          <w:rFonts w:eastAsia="Times New Roman"/>
          <w:color w:val="000000" w:themeColor="text1"/>
        </w:rPr>
        <w:t>, e</w:t>
      </w:r>
      <w:r w:rsidRPr="392CF680">
        <w:rPr>
          <w:rFonts w:eastAsia="Times New Roman"/>
          <w:color w:val="000000" w:themeColor="text1"/>
        </w:rPr>
        <w:t>nsur</w:t>
      </w:r>
      <w:r w:rsidR="00006927">
        <w:rPr>
          <w:rFonts w:eastAsia="Times New Roman"/>
          <w:color w:val="000000" w:themeColor="text1"/>
        </w:rPr>
        <w:t>ing</w:t>
      </w:r>
      <w:r w:rsidRPr="392CF680">
        <w:rPr>
          <w:rFonts w:eastAsia="Times New Roman"/>
          <w:color w:val="000000" w:themeColor="text1"/>
        </w:rPr>
        <w:t xml:space="preserve"> accura</w:t>
      </w:r>
      <w:r w:rsidR="00006927">
        <w:rPr>
          <w:rFonts w:eastAsia="Times New Roman"/>
          <w:color w:val="000000" w:themeColor="text1"/>
        </w:rPr>
        <w:t>cy</w:t>
      </w:r>
      <w:r w:rsidRPr="392CF680">
        <w:rPr>
          <w:rFonts w:eastAsia="Times New Roman"/>
          <w:color w:val="000000" w:themeColor="text1"/>
        </w:rPr>
        <w:t xml:space="preserve"> and </w:t>
      </w:r>
      <w:r w:rsidR="00006927">
        <w:rPr>
          <w:rFonts w:eastAsia="Times New Roman"/>
          <w:color w:val="000000" w:themeColor="text1"/>
        </w:rPr>
        <w:t xml:space="preserve">rigor </w:t>
      </w:r>
      <w:r w:rsidRPr="392CF680">
        <w:rPr>
          <w:rFonts w:eastAsia="Times New Roman"/>
          <w:color w:val="000000" w:themeColor="text1"/>
        </w:rPr>
        <w:t>in alignment with the research design and data analysis plan.</w:t>
      </w:r>
    </w:p>
    <w:p w:rsidR="002A5708" w:rsidRPr="002F7982" w:rsidP="00C82E1D" w14:paraId="2811B3F5" w14:textId="350DD577">
      <w:pPr>
        <w:numPr>
          <w:ilvl w:val="0"/>
          <w:numId w:val="1"/>
        </w:numPr>
        <w:autoSpaceDE w:val="0"/>
        <w:autoSpaceDN w:val="0"/>
        <w:adjustRightInd w:val="0"/>
        <w:spacing w:after="0" w:line="240" w:lineRule="atLeast"/>
        <w:ind w:left="360"/>
        <w:rPr>
          <w:rFonts w:eastAsia="Times New Roman"/>
          <w:color w:val="000000"/>
        </w:rPr>
      </w:pPr>
      <w:r w:rsidRPr="2C8F1C5A">
        <w:rPr>
          <w:rFonts w:eastAsia="Times New Roman"/>
          <w:b/>
          <w:bCs/>
          <w:color w:val="000000" w:themeColor="text1"/>
        </w:rPr>
        <w:t>Site liaisons:</w:t>
      </w:r>
      <w:r w:rsidRPr="2C8F1C5A">
        <w:rPr>
          <w:rFonts w:eastAsia="Times New Roman"/>
          <w:color w:val="000000" w:themeColor="text1"/>
        </w:rPr>
        <w:t xml:space="preserve"> </w:t>
      </w:r>
      <w:r w:rsidRPr="2C8F1C5A" w:rsidR="1E0A306B">
        <w:rPr>
          <w:rFonts w:eastAsia="Times New Roman"/>
          <w:color w:val="000000" w:themeColor="text1"/>
        </w:rPr>
        <w:t>These are e</w:t>
      </w:r>
      <w:r w:rsidRPr="2C8F1C5A">
        <w:rPr>
          <w:rFonts w:eastAsia="Times New Roman"/>
          <w:color w:val="000000" w:themeColor="text1"/>
        </w:rPr>
        <w:t xml:space="preserve">arly career </w:t>
      </w:r>
      <w:r w:rsidRPr="2C8F1C5A" w:rsidR="0DE1AF16">
        <w:rPr>
          <w:rFonts w:eastAsia="Times New Roman"/>
          <w:color w:val="000000" w:themeColor="text1"/>
        </w:rPr>
        <w:t>professional</w:t>
      </w:r>
      <w:r w:rsidRPr="2C8F1C5A" w:rsidR="5D0AA985">
        <w:rPr>
          <w:rFonts w:eastAsia="Times New Roman"/>
          <w:color w:val="000000" w:themeColor="text1"/>
        </w:rPr>
        <w:t xml:space="preserve"> </w:t>
      </w:r>
      <w:r w:rsidRPr="2C8F1C5A">
        <w:rPr>
          <w:rFonts w:eastAsia="Times New Roman"/>
          <w:color w:val="000000" w:themeColor="text1"/>
        </w:rPr>
        <w:t xml:space="preserve">staff </w:t>
      </w:r>
      <w:r w:rsidRPr="2C8F1C5A" w:rsidR="1E0A306B">
        <w:rPr>
          <w:rFonts w:eastAsia="Times New Roman"/>
          <w:color w:val="000000" w:themeColor="text1"/>
        </w:rPr>
        <w:t>with</w:t>
      </w:r>
      <w:r w:rsidRPr="2C8F1C5A">
        <w:rPr>
          <w:rFonts w:eastAsia="Times New Roman"/>
          <w:color w:val="000000" w:themeColor="text1"/>
        </w:rPr>
        <w:t xml:space="preserve"> substantive subject matter expertise. </w:t>
      </w:r>
      <w:r w:rsidRPr="2C8F1C5A" w:rsidR="1E0A306B">
        <w:rPr>
          <w:rFonts w:eastAsia="Times New Roman"/>
          <w:color w:val="000000" w:themeColor="text1"/>
        </w:rPr>
        <w:t>Withi</w:t>
      </w:r>
      <w:r w:rsidRPr="2C8F1C5A">
        <w:rPr>
          <w:rFonts w:eastAsia="Times New Roman"/>
          <w:color w:val="000000" w:themeColor="text1"/>
        </w:rPr>
        <w:t>n a site team, these individuals will support data collection and maintain records of interactions and information exchange between the research team and sites.</w:t>
      </w:r>
    </w:p>
    <w:p w:rsidR="002F7982" w:rsidP="00C82E1D" w14:paraId="21184914" w14:textId="77777777">
      <w:pPr>
        <w:autoSpaceDE w:val="0"/>
        <w:autoSpaceDN w:val="0"/>
        <w:adjustRightInd w:val="0"/>
        <w:spacing w:after="0" w:line="240" w:lineRule="atLeast"/>
        <w:rPr>
          <w:rFonts w:eastAsia="Times New Roman"/>
          <w:color w:val="000000" w:themeColor="text1"/>
        </w:rPr>
      </w:pPr>
    </w:p>
    <w:p w:rsidR="00006927" w:rsidP="00C82E1D" w14:paraId="449450AE" w14:textId="422EBD2A">
      <w:pPr>
        <w:spacing w:after="0" w:line="240" w:lineRule="atLeast"/>
        <w:rPr>
          <w:rFonts w:eastAsia="Times New Roman"/>
          <w:color w:val="000000" w:themeColor="text1"/>
        </w:rPr>
      </w:pPr>
      <w:r w:rsidRPr="2C8F1C5A">
        <w:rPr>
          <w:rFonts w:eastAsia="Times New Roman"/>
          <w:color w:val="000000" w:themeColor="text1"/>
        </w:rPr>
        <w:t xml:space="preserve">Each site team will be assigned to three </w:t>
      </w:r>
      <w:r w:rsidRPr="2C8F1C5A" w:rsidR="7A0E8AE4">
        <w:rPr>
          <w:rFonts w:eastAsia="Times New Roman"/>
          <w:color w:val="000000" w:themeColor="text1"/>
        </w:rPr>
        <w:t>or</w:t>
      </w:r>
      <w:r w:rsidRPr="2C8F1C5A">
        <w:rPr>
          <w:rFonts w:eastAsia="Times New Roman"/>
          <w:color w:val="000000" w:themeColor="text1"/>
        </w:rPr>
        <w:t xml:space="preserve"> four sites, allowing </w:t>
      </w:r>
      <w:r w:rsidRPr="2C8F1C5A" w:rsidR="4CBB4655">
        <w:rPr>
          <w:rFonts w:eastAsia="Times New Roman"/>
          <w:color w:val="000000" w:themeColor="text1"/>
        </w:rPr>
        <w:t xml:space="preserve">contractor staff </w:t>
      </w:r>
      <w:r w:rsidRPr="2C8F1C5A">
        <w:rPr>
          <w:rFonts w:eastAsia="Times New Roman"/>
          <w:color w:val="000000" w:themeColor="text1"/>
        </w:rPr>
        <w:t xml:space="preserve">to compare and contrast activities and processes across sites, connect lessons learned, and optimize staffing efficiencies. Site teams will leverage the </w:t>
      </w:r>
      <w:r w:rsidRPr="2C8F1C5A" w:rsidR="4CBB4655">
        <w:rPr>
          <w:rFonts w:eastAsia="Times New Roman"/>
          <w:color w:val="000000" w:themeColor="text1"/>
        </w:rPr>
        <w:t>contractor</w:t>
      </w:r>
      <w:r w:rsidRPr="2C8F1C5A">
        <w:rPr>
          <w:rFonts w:eastAsia="Times New Roman"/>
          <w:color w:val="000000" w:themeColor="text1"/>
        </w:rPr>
        <w:t xml:space="preserve">’s expertise in youth and family homelessness, homelessness prevention, and child welfare, with close support from senior research team members. </w:t>
      </w:r>
    </w:p>
    <w:p w:rsidR="00006927" w:rsidP="00C82E1D" w14:paraId="0DEF91EF" w14:textId="77777777">
      <w:pPr>
        <w:autoSpaceDE w:val="0"/>
        <w:autoSpaceDN w:val="0"/>
        <w:adjustRightInd w:val="0"/>
        <w:spacing w:after="0" w:line="240" w:lineRule="atLeast"/>
        <w:rPr>
          <w:rFonts w:eastAsia="Times New Roman"/>
          <w:color w:val="000000" w:themeColor="text1"/>
        </w:rPr>
      </w:pPr>
    </w:p>
    <w:p w:rsidR="002F7982" w:rsidRPr="002F7982" w:rsidP="00C82E1D" w14:paraId="7BD16A4A" w14:textId="0B6ADBD8">
      <w:pPr>
        <w:autoSpaceDE w:val="0"/>
        <w:autoSpaceDN w:val="0"/>
        <w:adjustRightInd w:val="0"/>
        <w:spacing w:after="0" w:line="240" w:lineRule="atLeast"/>
        <w:rPr>
          <w:rFonts w:eastAsia="Times New Roman"/>
          <w:color w:val="000000"/>
        </w:rPr>
      </w:pPr>
      <w:r w:rsidRPr="3C06D043">
        <w:rPr>
          <w:rFonts w:eastAsia="Times New Roman"/>
          <w:color w:val="000000" w:themeColor="text1"/>
        </w:rPr>
        <w:t>Regular</w:t>
      </w:r>
      <w:r w:rsidRPr="3C06D043" w:rsidR="441E705B">
        <w:rPr>
          <w:rFonts w:eastAsia="Times New Roman"/>
          <w:color w:val="000000" w:themeColor="text1"/>
        </w:rPr>
        <w:t xml:space="preserve"> contractor team</w:t>
      </w:r>
      <w:r w:rsidRPr="3C06D043">
        <w:rPr>
          <w:rFonts w:eastAsia="Times New Roman"/>
          <w:color w:val="000000" w:themeColor="text1"/>
        </w:rPr>
        <w:t xml:space="preserve"> meetings will ensure alignment of site team activities, facilitate planning for upcoming</w:t>
      </w:r>
      <w:r w:rsidRPr="3C06D043" w:rsidR="1E0A306B">
        <w:rPr>
          <w:rFonts w:eastAsia="Times New Roman"/>
          <w:color w:val="000000" w:themeColor="text1"/>
        </w:rPr>
        <w:t xml:space="preserve"> evaluation</w:t>
      </w:r>
      <w:r w:rsidRPr="3C06D043">
        <w:rPr>
          <w:rFonts w:eastAsia="Times New Roman"/>
          <w:color w:val="000000" w:themeColor="text1"/>
        </w:rPr>
        <w:t xml:space="preserve"> activities, and enable review of data collection, analysis, and partner engagement. The</w:t>
      </w:r>
      <w:r w:rsidRPr="3C06D043" w:rsidR="49ECC101">
        <w:rPr>
          <w:rFonts w:eastAsia="Times New Roman"/>
          <w:color w:val="000000" w:themeColor="text1"/>
        </w:rPr>
        <w:t xml:space="preserve"> contractor team senior leaders</w:t>
      </w:r>
      <w:r w:rsidRPr="3C06D043" w:rsidR="1E0A306B">
        <w:rPr>
          <w:rFonts w:eastAsia="Times New Roman"/>
          <w:color w:val="000000" w:themeColor="text1"/>
        </w:rPr>
        <w:t xml:space="preserve"> will also monitor</w:t>
      </w:r>
      <w:r w:rsidRPr="3C06D043">
        <w:rPr>
          <w:rFonts w:eastAsia="Times New Roman"/>
          <w:color w:val="000000" w:themeColor="text1"/>
        </w:rPr>
        <w:t xml:space="preserve"> </w:t>
      </w:r>
      <w:r w:rsidRPr="3C06D043" w:rsidR="1E0A306B">
        <w:rPr>
          <w:rFonts w:eastAsia="Times New Roman"/>
          <w:color w:val="000000" w:themeColor="text1"/>
        </w:rPr>
        <w:t xml:space="preserve">project </w:t>
      </w:r>
      <w:r w:rsidRPr="3C06D043">
        <w:rPr>
          <w:rFonts w:eastAsia="Times New Roman"/>
          <w:color w:val="000000" w:themeColor="text1"/>
        </w:rPr>
        <w:t>quality, ensur</w:t>
      </w:r>
      <w:r w:rsidRPr="3C06D043" w:rsidR="1E0A306B">
        <w:rPr>
          <w:rFonts w:eastAsia="Times New Roman"/>
          <w:color w:val="000000" w:themeColor="text1"/>
        </w:rPr>
        <w:t>e</w:t>
      </w:r>
      <w:r w:rsidRPr="3C06D043">
        <w:rPr>
          <w:rFonts w:eastAsia="Times New Roman"/>
          <w:color w:val="000000" w:themeColor="text1"/>
        </w:rPr>
        <w:t xml:space="preserve"> research staff </w:t>
      </w:r>
      <w:r w:rsidRPr="3C06D043" w:rsidR="1E0A306B">
        <w:rPr>
          <w:rFonts w:eastAsia="Times New Roman"/>
          <w:color w:val="000000" w:themeColor="text1"/>
        </w:rPr>
        <w:t>follow</w:t>
      </w:r>
      <w:r w:rsidRPr="3C06D043">
        <w:rPr>
          <w:rFonts w:eastAsia="Times New Roman"/>
          <w:color w:val="000000" w:themeColor="text1"/>
        </w:rPr>
        <w:t xml:space="preserve"> protocol</w:t>
      </w:r>
      <w:r w:rsidRPr="3C06D043" w:rsidR="1E0A306B">
        <w:rPr>
          <w:rFonts w:eastAsia="Times New Roman"/>
          <w:color w:val="000000" w:themeColor="text1"/>
        </w:rPr>
        <w:t>s</w:t>
      </w:r>
      <w:r w:rsidRPr="3C06D043">
        <w:rPr>
          <w:rFonts w:eastAsia="Times New Roman"/>
          <w:color w:val="000000" w:themeColor="text1"/>
        </w:rPr>
        <w:t xml:space="preserve">, and </w:t>
      </w:r>
      <w:r w:rsidRPr="3C06D043" w:rsidR="1E0A306B">
        <w:rPr>
          <w:rFonts w:eastAsia="Times New Roman"/>
          <w:color w:val="000000" w:themeColor="text1"/>
        </w:rPr>
        <w:t>maintain strong</w:t>
      </w:r>
      <w:r w:rsidRPr="3C06D043">
        <w:rPr>
          <w:rFonts w:eastAsia="Times New Roman"/>
          <w:color w:val="000000" w:themeColor="text1"/>
        </w:rPr>
        <w:t xml:space="preserve"> engagement with sites and other partners. </w:t>
      </w:r>
      <w:r w:rsidRPr="3C06D043" w:rsidR="1E0A306B">
        <w:rPr>
          <w:rFonts w:eastAsia="Times New Roman"/>
          <w:color w:val="000000" w:themeColor="text1"/>
        </w:rPr>
        <w:t>These meetings</w:t>
      </w:r>
      <w:r w:rsidRPr="3C06D043">
        <w:rPr>
          <w:rFonts w:eastAsia="Times New Roman"/>
          <w:color w:val="000000" w:themeColor="text1"/>
        </w:rPr>
        <w:t xml:space="preserve"> will </w:t>
      </w:r>
      <w:r w:rsidRPr="3C06D043" w:rsidR="1E0A306B">
        <w:rPr>
          <w:rFonts w:eastAsia="Times New Roman"/>
          <w:color w:val="000000" w:themeColor="text1"/>
        </w:rPr>
        <w:t>provide a space for</w:t>
      </w:r>
      <w:r w:rsidRPr="3C06D043">
        <w:rPr>
          <w:rFonts w:eastAsia="Times New Roman"/>
          <w:color w:val="000000" w:themeColor="text1"/>
        </w:rPr>
        <w:t xml:space="preserve"> preparation, updates, discussion of analysis and partner management, and other </w:t>
      </w:r>
      <w:r w:rsidRPr="3C06D043" w:rsidR="1E0A306B">
        <w:rPr>
          <w:rFonts w:eastAsia="Times New Roman"/>
          <w:color w:val="000000" w:themeColor="text1"/>
        </w:rPr>
        <w:t xml:space="preserve">evaluation </w:t>
      </w:r>
      <w:r w:rsidRPr="3C06D043">
        <w:rPr>
          <w:rFonts w:eastAsia="Times New Roman"/>
          <w:color w:val="000000" w:themeColor="text1"/>
        </w:rPr>
        <w:t>tasks.</w:t>
      </w:r>
    </w:p>
    <w:p w:rsidR="00EC14FC" w:rsidP="00C82E1D" w14:paraId="63DD9316" w14:textId="77777777">
      <w:pPr>
        <w:autoSpaceDE w:val="0"/>
        <w:autoSpaceDN w:val="0"/>
        <w:adjustRightInd w:val="0"/>
        <w:spacing w:after="0" w:line="240" w:lineRule="atLeast"/>
        <w:rPr>
          <w:rFonts w:eastAsia="Times New Roman" w:cstheme="minorHAnsi"/>
          <w:color w:val="000000"/>
        </w:rPr>
      </w:pPr>
    </w:p>
    <w:p w:rsidR="009300A0" w:rsidRPr="009300A0" w:rsidP="009603E7" w14:paraId="1FA0ABAB" w14:textId="42F50A89">
      <w:pPr>
        <w:autoSpaceDE w:val="0"/>
        <w:autoSpaceDN w:val="0"/>
        <w:adjustRightInd w:val="0"/>
        <w:spacing w:after="60" w:line="240" w:lineRule="atLeast"/>
        <w:rPr>
          <w:rFonts w:eastAsia="Times New Roman" w:cstheme="minorHAnsi"/>
          <w:i/>
          <w:iCs/>
          <w:color w:val="000000"/>
          <w:u w:val="single"/>
        </w:rPr>
      </w:pPr>
      <w:r>
        <w:rPr>
          <w:rFonts w:cstheme="minorHAnsi"/>
          <w:i/>
          <w:iCs/>
          <w:u w:val="single"/>
        </w:rPr>
        <w:t xml:space="preserve">Virtual </w:t>
      </w:r>
      <w:r w:rsidRPr="009300A0">
        <w:rPr>
          <w:rFonts w:cstheme="minorHAnsi"/>
          <w:i/>
          <w:iCs/>
          <w:u w:val="single"/>
        </w:rPr>
        <w:t xml:space="preserve">Quarterly Site </w:t>
      </w:r>
      <w:r>
        <w:rPr>
          <w:rFonts w:cstheme="minorHAnsi"/>
          <w:i/>
          <w:iCs/>
          <w:u w:val="single"/>
        </w:rPr>
        <w:t>Meetings</w:t>
      </w:r>
      <w:r w:rsidRPr="009300A0">
        <w:rPr>
          <w:rFonts w:cstheme="minorHAnsi"/>
          <w:i/>
          <w:iCs/>
          <w:u w:val="single"/>
        </w:rPr>
        <w:t xml:space="preserve"> </w:t>
      </w:r>
      <w:r w:rsidR="000566F5">
        <w:rPr>
          <w:rFonts w:cstheme="minorHAnsi"/>
          <w:i/>
          <w:iCs/>
          <w:u w:val="single"/>
        </w:rPr>
        <w:t xml:space="preserve">(Instrument 1) </w:t>
      </w:r>
    </w:p>
    <w:p w:rsidR="009300A0" w:rsidRPr="009300A0" w:rsidP="248D6663" w14:paraId="2F9FC6FF" w14:textId="5676416A">
      <w:pPr>
        <w:pStyle w:val="ListParagraph"/>
        <w:numPr>
          <w:ilvl w:val="0"/>
          <w:numId w:val="46"/>
        </w:numPr>
        <w:rPr>
          <w:rFonts w:eastAsia="Times New Roman"/>
          <w:color w:val="000000"/>
        </w:rPr>
      </w:pPr>
      <w:r w:rsidRPr="392CF680">
        <w:rPr>
          <w:rFonts w:eastAsia="Times New Roman"/>
          <w:b/>
          <w:bCs/>
          <w:color w:val="000000" w:themeColor="text1"/>
        </w:rPr>
        <w:t xml:space="preserve">Data Collection Leads. </w:t>
      </w:r>
      <w:r w:rsidR="00067D48">
        <w:rPr>
          <w:rFonts w:eastAsia="Times New Roman"/>
          <w:color w:val="000000" w:themeColor="text1"/>
        </w:rPr>
        <w:t>Contractor s</w:t>
      </w:r>
      <w:r w:rsidR="00C6242C">
        <w:rPr>
          <w:rFonts w:eastAsia="Times New Roman"/>
          <w:color w:val="000000" w:themeColor="text1"/>
        </w:rPr>
        <w:t>ite teams</w:t>
      </w:r>
      <w:r w:rsidRPr="392CF680">
        <w:rPr>
          <w:rFonts w:eastAsia="Times New Roman"/>
          <w:color w:val="000000" w:themeColor="text1"/>
        </w:rPr>
        <w:t xml:space="preserve"> will be responsible for leading quarterly </w:t>
      </w:r>
      <w:r w:rsidR="00067D48">
        <w:rPr>
          <w:rFonts w:eastAsia="Times New Roman"/>
          <w:color w:val="000000" w:themeColor="text1"/>
        </w:rPr>
        <w:t>meetings</w:t>
      </w:r>
      <w:r w:rsidRPr="392CF680" w:rsidR="00067D48">
        <w:rPr>
          <w:rFonts w:eastAsia="Times New Roman"/>
          <w:color w:val="000000" w:themeColor="text1"/>
        </w:rPr>
        <w:t xml:space="preserve"> </w:t>
      </w:r>
      <w:r w:rsidRPr="392CF680">
        <w:rPr>
          <w:rFonts w:eastAsia="Times New Roman"/>
          <w:color w:val="000000" w:themeColor="text1"/>
        </w:rPr>
        <w:t xml:space="preserve">with assigned </w:t>
      </w:r>
      <w:r w:rsidR="00067D48">
        <w:rPr>
          <w:rFonts w:eastAsia="Times New Roman"/>
          <w:color w:val="000000" w:themeColor="text1"/>
        </w:rPr>
        <w:t xml:space="preserve">RHY PDP </w:t>
      </w:r>
      <w:r w:rsidR="00CD3FB7">
        <w:rPr>
          <w:rFonts w:eastAsia="Times New Roman"/>
          <w:color w:val="000000" w:themeColor="text1"/>
        </w:rPr>
        <w:t>grantee</w:t>
      </w:r>
      <w:r w:rsidR="00067D48">
        <w:rPr>
          <w:rFonts w:eastAsia="Times New Roman"/>
          <w:color w:val="000000" w:themeColor="text1"/>
        </w:rPr>
        <w:t xml:space="preserve"> </w:t>
      </w:r>
      <w:r w:rsidR="00CD3FB7">
        <w:rPr>
          <w:rFonts w:eastAsia="Times New Roman"/>
          <w:color w:val="000000" w:themeColor="text1"/>
        </w:rPr>
        <w:t>s</w:t>
      </w:r>
      <w:r w:rsidR="00067D48">
        <w:rPr>
          <w:rFonts w:eastAsia="Times New Roman"/>
          <w:color w:val="000000" w:themeColor="text1"/>
        </w:rPr>
        <w:t>ites</w:t>
      </w:r>
      <w:r w:rsidRPr="392CF680">
        <w:rPr>
          <w:rFonts w:eastAsia="Times New Roman"/>
          <w:color w:val="000000" w:themeColor="text1"/>
        </w:rPr>
        <w:t xml:space="preserve">. </w:t>
      </w:r>
    </w:p>
    <w:p w:rsidR="009300A0" w:rsidP="615D6A6B" w14:paraId="1F93289F" w14:textId="6035B7E0">
      <w:pPr>
        <w:pStyle w:val="ListParagraph"/>
        <w:numPr>
          <w:ilvl w:val="0"/>
          <w:numId w:val="46"/>
        </w:numPr>
        <w:autoSpaceDE w:val="0"/>
        <w:autoSpaceDN w:val="0"/>
        <w:adjustRightInd w:val="0"/>
        <w:spacing w:after="0" w:line="240" w:lineRule="atLeast"/>
        <w:rPr>
          <w:rFonts w:eastAsia="Times New Roman"/>
          <w:color w:val="000000"/>
        </w:rPr>
      </w:pPr>
      <w:r w:rsidRPr="2C8F1C5A">
        <w:rPr>
          <w:rFonts w:eastAsia="Times New Roman"/>
          <w:b/>
          <w:bCs/>
          <w:color w:val="000000" w:themeColor="text1"/>
        </w:rPr>
        <w:t>Recruitment</w:t>
      </w:r>
      <w:r w:rsidRPr="005D6361">
        <w:rPr>
          <w:rFonts w:eastAsia="Times New Roman"/>
          <w:b/>
          <w:bCs/>
          <w:color w:val="000000" w:themeColor="text1"/>
        </w:rPr>
        <w:t>.</w:t>
      </w:r>
      <w:r w:rsidRPr="2C8F1C5A">
        <w:rPr>
          <w:rFonts w:eastAsia="Times New Roman"/>
          <w:color w:val="000000" w:themeColor="text1"/>
        </w:rPr>
        <w:t xml:space="preserve"> </w:t>
      </w:r>
      <w:r w:rsidRPr="2C8F1C5A" w:rsidR="343C2D71">
        <w:rPr>
          <w:rFonts w:eastAsia="Times New Roman"/>
          <w:color w:val="000000" w:themeColor="text1"/>
        </w:rPr>
        <w:t>FYSB federal project officers</w:t>
      </w:r>
      <w:r w:rsidRPr="2C8F1C5A" w:rsidR="00E30D24">
        <w:rPr>
          <w:rFonts w:eastAsia="Times New Roman"/>
          <w:color w:val="000000" w:themeColor="text1"/>
        </w:rPr>
        <w:t xml:space="preserve"> will provide contractor </w:t>
      </w:r>
      <w:r w:rsidRPr="2C8F1C5A" w:rsidR="4CBB4655">
        <w:rPr>
          <w:rFonts w:eastAsia="Times New Roman"/>
          <w:color w:val="000000" w:themeColor="text1"/>
        </w:rPr>
        <w:t>site teams</w:t>
      </w:r>
      <w:r w:rsidRPr="2C8F1C5A">
        <w:rPr>
          <w:rFonts w:eastAsia="Times New Roman"/>
          <w:color w:val="000000" w:themeColor="text1"/>
        </w:rPr>
        <w:t xml:space="preserve"> </w:t>
      </w:r>
      <w:r w:rsidRPr="2C8F1C5A" w:rsidR="1003D318">
        <w:rPr>
          <w:rFonts w:eastAsia="Times New Roman"/>
          <w:color w:val="000000" w:themeColor="text1"/>
        </w:rPr>
        <w:t xml:space="preserve">with contact information for </w:t>
      </w:r>
      <w:r w:rsidRPr="2C8F1C5A" w:rsidR="648DE2E8">
        <w:rPr>
          <w:rFonts w:eastAsia="Times New Roman"/>
          <w:color w:val="000000" w:themeColor="text1"/>
        </w:rPr>
        <w:t>R</w:t>
      </w:r>
      <w:r w:rsidRPr="2C8F1C5A">
        <w:rPr>
          <w:rFonts w:eastAsia="Times New Roman"/>
          <w:color w:val="000000" w:themeColor="text1"/>
        </w:rPr>
        <w:t>HY</w:t>
      </w:r>
      <w:r w:rsidRPr="2C8F1C5A" w:rsidR="7EC63677">
        <w:rPr>
          <w:rFonts w:eastAsia="Times New Roman"/>
          <w:color w:val="000000" w:themeColor="text1"/>
        </w:rPr>
        <w:t xml:space="preserve"> </w:t>
      </w:r>
      <w:r w:rsidRPr="2C8F1C5A">
        <w:rPr>
          <w:rFonts w:eastAsia="Times New Roman"/>
          <w:color w:val="000000" w:themeColor="text1"/>
        </w:rPr>
        <w:t>PDP</w:t>
      </w:r>
      <w:r w:rsidR="0016510A">
        <w:rPr>
          <w:rFonts w:eastAsia="Times New Roman"/>
          <w:color w:val="000000" w:themeColor="text1"/>
        </w:rPr>
        <w:t xml:space="preserve"> grantees</w:t>
      </w:r>
      <w:r w:rsidRPr="2C8F1C5A">
        <w:rPr>
          <w:rFonts w:eastAsia="Times New Roman"/>
          <w:color w:val="000000" w:themeColor="text1"/>
        </w:rPr>
        <w:t xml:space="preserve">. These </w:t>
      </w:r>
      <w:r w:rsidRPr="2C8F1C5A" w:rsidR="4CBB4655">
        <w:rPr>
          <w:rFonts w:eastAsia="Times New Roman"/>
          <w:color w:val="000000" w:themeColor="text1"/>
        </w:rPr>
        <w:t xml:space="preserve">staff </w:t>
      </w:r>
      <w:r w:rsidRPr="2C8F1C5A">
        <w:rPr>
          <w:rFonts w:eastAsia="Times New Roman"/>
          <w:color w:val="000000" w:themeColor="text1"/>
        </w:rPr>
        <w:t xml:space="preserve">will be asked to participate in </w:t>
      </w:r>
      <w:r w:rsidRPr="2C8F1C5A" w:rsidR="5D0AA985">
        <w:rPr>
          <w:rFonts w:eastAsia="Times New Roman"/>
          <w:color w:val="000000" w:themeColor="text1"/>
        </w:rPr>
        <w:t xml:space="preserve">virtual, </w:t>
      </w:r>
      <w:r w:rsidRPr="2C8F1C5A">
        <w:rPr>
          <w:rFonts w:eastAsia="Times New Roman"/>
          <w:color w:val="000000" w:themeColor="text1"/>
        </w:rPr>
        <w:t xml:space="preserve">quarterly </w:t>
      </w:r>
      <w:r w:rsidRPr="2C8F1C5A" w:rsidR="5D0AA985">
        <w:rPr>
          <w:rFonts w:eastAsia="Times New Roman"/>
          <w:color w:val="000000" w:themeColor="text1"/>
        </w:rPr>
        <w:t xml:space="preserve">site </w:t>
      </w:r>
      <w:r w:rsidRPr="2C8F1C5A" w:rsidR="4CFE5425">
        <w:rPr>
          <w:rFonts w:eastAsia="Times New Roman"/>
          <w:color w:val="000000" w:themeColor="text1"/>
        </w:rPr>
        <w:t xml:space="preserve">meetings </w:t>
      </w:r>
      <w:r w:rsidRPr="2C8F1C5A">
        <w:rPr>
          <w:rFonts w:eastAsia="Times New Roman"/>
          <w:color w:val="000000" w:themeColor="text1"/>
        </w:rPr>
        <w:t xml:space="preserve">as part of their grantee activities. </w:t>
      </w:r>
      <w:r w:rsidRPr="2C8F1C5A" w:rsidR="4CBB4655">
        <w:rPr>
          <w:rFonts w:eastAsia="Times New Roman"/>
          <w:color w:val="000000" w:themeColor="text1"/>
        </w:rPr>
        <w:t xml:space="preserve">The contractor </w:t>
      </w:r>
      <w:r w:rsidRPr="2C8F1C5A">
        <w:rPr>
          <w:rFonts w:eastAsia="Times New Roman"/>
          <w:color w:val="000000" w:themeColor="text1"/>
        </w:rPr>
        <w:t xml:space="preserve">will not need a separate recruiting procedure for these respondents, as </w:t>
      </w:r>
      <w:r w:rsidRPr="2C8F1C5A" w:rsidR="4CBB4655">
        <w:rPr>
          <w:rFonts w:eastAsia="Times New Roman"/>
          <w:color w:val="000000" w:themeColor="text1"/>
        </w:rPr>
        <w:t xml:space="preserve">site teams </w:t>
      </w:r>
      <w:r w:rsidRPr="2C8F1C5A">
        <w:rPr>
          <w:rFonts w:eastAsia="Times New Roman"/>
          <w:color w:val="000000" w:themeColor="text1"/>
        </w:rPr>
        <w:t xml:space="preserve">will already be in contact with them as part of project start-up activities before data collection planning begins. </w:t>
      </w:r>
      <w:r w:rsidRPr="2C8F1C5A" w:rsidR="4CBB4655">
        <w:rPr>
          <w:rFonts w:eastAsia="Times New Roman"/>
          <w:color w:val="000000" w:themeColor="text1"/>
        </w:rPr>
        <w:t>RHY PDP grantee staff</w:t>
      </w:r>
      <w:r w:rsidRPr="2C8F1C5A">
        <w:rPr>
          <w:rFonts w:eastAsia="Times New Roman"/>
          <w:color w:val="000000" w:themeColor="text1"/>
        </w:rPr>
        <w:t xml:space="preserve"> will be participating in their professional capacity </w:t>
      </w:r>
      <w:r w:rsidRPr="2C8F1C5A" w:rsidR="4CBB4655">
        <w:rPr>
          <w:rFonts w:eastAsia="Times New Roman"/>
          <w:color w:val="000000" w:themeColor="text1"/>
        </w:rPr>
        <w:t xml:space="preserve">and </w:t>
      </w:r>
      <w:r w:rsidRPr="2C8F1C5A">
        <w:rPr>
          <w:rFonts w:eastAsia="Times New Roman"/>
          <w:color w:val="000000" w:themeColor="text1"/>
        </w:rPr>
        <w:t xml:space="preserve">are not </w:t>
      </w:r>
      <w:r w:rsidRPr="2C8F1C5A" w:rsidR="52104618">
        <w:rPr>
          <w:rFonts w:eastAsia="Times New Roman"/>
          <w:color w:val="000000" w:themeColor="text1"/>
        </w:rPr>
        <w:t xml:space="preserve">considered </w:t>
      </w:r>
      <w:r w:rsidRPr="2C8F1C5A">
        <w:rPr>
          <w:rFonts w:eastAsia="Times New Roman"/>
          <w:color w:val="000000" w:themeColor="text1"/>
        </w:rPr>
        <w:t xml:space="preserve">a vulnerable population. The </w:t>
      </w:r>
      <w:r w:rsidRPr="2C8F1C5A" w:rsidR="5D0AA985">
        <w:rPr>
          <w:rFonts w:eastAsia="Times New Roman"/>
          <w:color w:val="000000" w:themeColor="text1"/>
        </w:rPr>
        <w:t>call</w:t>
      </w:r>
      <w:r w:rsidRPr="2C8F1C5A">
        <w:rPr>
          <w:rFonts w:eastAsia="Times New Roman"/>
          <w:color w:val="000000" w:themeColor="text1"/>
        </w:rPr>
        <w:t xml:space="preserve">s will be </w:t>
      </w:r>
      <w:r w:rsidRPr="2C8F1C5A" w:rsidR="00E7481C">
        <w:rPr>
          <w:rFonts w:eastAsia="Times New Roman"/>
          <w:color w:val="000000" w:themeColor="text1"/>
        </w:rPr>
        <w:t>low risk</w:t>
      </w:r>
      <w:r w:rsidRPr="2C8F1C5A">
        <w:rPr>
          <w:rFonts w:eastAsia="Times New Roman"/>
          <w:color w:val="000000" w:themeColor="text1"/>
        </w:rPr>
        <w:t xml:space="preserve">, focusing on operational updates rather than sensitive topics. </w:t>
      </w:r>
    </w:p>
    <w:p w:rsidR="007275F3" w:rsidRPr="005A2C47" w:rsidP="002E6041" w14:paraId="1E882609" w14:textId="0037E6C4">
      <w:pPr>
        <w:pStyle w:val="ListParagraph"/>
        <w:numPr>
          <w:ilvl w:val="0"/>
          <w:numId w:val="46"/>
        </w:numPr>
        <w:spacing w:after="0" w:line="240" w:lineRule="atLeast"/>
        <w:rPr>
          <w:rFonts w:eastAsia="Times New Roman"/>
          <w:color w:val="000000" w:themeColor="text1"/>
        </w:rPr>
      </w:pPr>
      <w:r w:rsidRPr="2C8F1C5A">
        <w:rPr>
          <w:rFonts w:eastAsia="Times New Roman"/>
          <w:b/>
          <w:bCs/>
          <w:color w:val="000000" w:themeColor="text1"/>
        </w:rPr>
        <w:t>Data Collection Mode</w:t>
      </w:r>
      <w:r w:rsidR="00D02CA4">
        <w:rPr>
          <w:rFonts w:eastAsia="Times New Roman"/>
          <w:color w:val="000000" w:themeColor="text1"/>
        </w:rPr>
        <w:t xml:space="preserve">. </w:t>
      </w:r>
      <w:r w:rsidRPr="005A2C47">
        <w:rPr>
          <w:rFonts w:eastAsiaTheme="minorEastAsia"/>
        </w:rPr>
        <w:t xml:space="preserve">To enable </w:t>
      </w:r>
      <w:r w:rsidR="002F7507">
        <w:rPr>
          <w:rFonts w:eastAsiaTheme="minorEastAsia"/>
        </w:rPr>
        <w:t xml:space="preserve">ongoing </w:t>
      </w:r>
      <w:r w:rsidRPr="005A2C47">
        <w:rPr>
          <w:rFonts w:eastAsiaTheme="minorEastAsia"/>
        </w:rPr>
        <w:t xml:space="preserve">communication, site teams will have quarterly 60-minute virtual meetings (e.g., Zoom) with RHY PDP grantee site staff.  </w:t>
      </w:r>
      <w:r w:rsidR="002F7507">
        <w:rPr>
          <w:rFonts w:eastAsiaTheme="minorEastAsia"/>
        </w:rPr>
        <w:t>T</w:t>
      </w:r>
      <w:r w:rsidRPr="005A2C47">
        <w:rPr>
          <w:rFonts w:eastAsiaTheme="minorEastAsia"/>
        </w:rPr>
        <w:t xml:space="preserve">he contractor anticipates one RHY PDP grantee site staff member per site will participate, for a total of 10 respondents. Site teams will facilitate meetings using the </w:t>
      </w:r>
      <w:r w:rsidRPr="6BB6B9AC">
        <w:t xml:space="preserve">Quarterly Site </w:t>
      </w:r>
      <w:r>
        <w:t>Meeting</w:t>
      </w:r>
      <w:r w:rsidRPr="6BB6B9AC">
        <w:t xml:space="preserve"> Guide</w:t>
      </w:r>
      <w:r>
        <w:t xml:space="preserve"> (Instrument 1) to:</w:t>
      </w:r>
      <w:r w:rsidRPr="005A2C47">
        <w:rPr>
          <w:rFonts w:eastAsiaTheme="minorEastAsia"/>
        </w:rPr>
        <w:t xml:space="preserve"> </w:t>
      </w:r>
    </w:p>
    <w:p w:rsidR="007275F3" w:rsidP="005A2C47" w14:paraId="6827FCE9" w14:textId="77777777">
      <w:pPr>
        <w:pStyle w:val="ListParagraph"/>
        <w:numPr>
          <w:ilvl w:val="1"/>
          <w:numId w:val="46"/>
        </w:numPr>
        <w:spacing w:after="120" w:line="240" w:lineRule="auto"/>
        <w:rPr>
          <w:rFonts w:eastAsiaTheme="minorEastAsia"/>
        </w:rPr>
      </w:pPr>
      <w:r w:rsidRPr="5D2BC663">
        <w:rPr>
          <w:rFonts w:eastAsiaTheme="minorEastAsia"/>
        </w:rPr>
        <w:t xml:space="preserve">Build relationships </w:t>
      </w:r>
      <w:r>
        <w:rPr>
          <w:rFonts w:eastAsiaTheme="minorEastAsia"/>
        </w:rPr>
        <w:t xml:space="preserve">with </w:t>
      </w:r>
      <w:r w:rsidRPr="5D2BC663">
        <w:rPr>
          <w:rFonts w:eastAsiaTheme="minorEastAsia"/>
        </w:rPr>
        <w:t xml:space="preserve">key grantee staff </w:t>
      </w:r>
      <w:r>
        <w:rPr>
          <w:rFonts w:eastAsiaTheme="minorEastAsia"/>
        </w:rPr>
        <w:t xml:space="preserve">at each site </w:t>
      </w:r>
      <w:r w:rsidRPr="5D2BC663">
        <w:rPr>
          <w:rFonts w:eastAsiaTheme="minorEastAsia"/>
        </w:rPr>
        <w:t xml:space="preserve">and provide a primary point of contact for information and coordination on the </w:t>
      </w:r>
      <w:r>
        <w:rPr>
          <w:rFonts w:eastAsiaTheme="minorEastAsia"/>
        </w:rPr>
        <w:t>broader</w:t>
      </w:r>
      <w:r w:rsidRPr="5D2BC663">
        <w:rPr>
          <w:rFonts w:eastAsiaTheme="minorEastAsia"/>
        </w:rPr>
        <w:t xml:space="preserve"> evaluation. </w:t>
      </w:r>
    </w:p>
    <w:p w:rsidR="007275F3" w:rsidP="005A2C47" w14:paraId="611E6816" w14:textId="77777777">
      <w:pPr>
        <w:pStyle w:val="ListParagraph"/>
        <w:numPr>
          <w:ilvl w:val="1"/>
          <w:numId w:val="46"/>
        </w:numPr>
        <w:spacing w:after="120" w:line="240" w:lineRule="auto"/>
        <w:rPr>
          <w:rFonts w:eastAsiaTheme="minorEastAsia"/>
        </w:rPr>
      </w:pPr>
      <w:r w:rsidRPr="5D2BC663">
        <w:rPr>
          <w:rFonts w:eastAsiaTheme="minorEastAsia"/>
        </w:rPr>
        <w:t xml:space="preserve">Gather information on the site’s ongoing </w:t>
      </w:r>
      <w:r>
        <w:rPr>
          <w:rFonts w:eastAsiaTheme="minorEastAsia"/>
        </w:rPr>
        <w:t>activities</w:t>
      </w:r>
      <w:r w:rsidRPr="5D2BC663">
        <w:rPr>
          <w:rFonts w:eastAsiaTheme="minorEastAsia"/>
        </w:rPr>
        <w:t>, including primary tasks, partners, milestones</w:t>
      </w:r>
      <w:r>
        <w:rPr>
          <w:rFonts w:eastAsiaTheme="minorEastAsia"/>
        </w:rPr>
        <w:t>,</w:t>
      </w:r>
      <w:r w:rsidRPr="5D2BC663">
        <w:rPr>
          <w:rFonts w:eastAsiaTheme="minorEastAsia"/>
        </w:rPr>
        <w:t xml:space="preserve"> and challenges. </w:t>
      </w:r>
    </w:p>
    <w:p w:rsidR="007275F3" w:rsidRPr="005A2C47" w:rsidP="005A2C47" w14:paraId="78917DBB" w14:textId="57262894">
      <w:pPr>
        <w:pStyle w:val="ListParagraph"/>
        <w:numPr>
          <w:ilvl w:val="1"/>
          <w:numId w:val="46"/>
        </w:numPr>
        <w:spacing w:after="120" w:line="240" w:lineRule="auto"/>
        <w:rPr>
          <w:rFonts w:eastAsiaTheme="minorEastAsia"/>
        </w:rPr>
      </w:pPr>
      <w:r>
        <w:rPr>
          <w:rFonts w:eastAsiaTheme="minorEastAsia"/>
        </w:rPr>
        <w:t xml:space="preserve">Explore </w:t>
      </w:r>
      <w:r w:rsidRPr="5D2BC663">
        <w:rPr>
          <w:rFonts w:eastAsiaTheme="minorEastAsia"/>
        </w:rPr>
        <w:t xml:space="preserve">site reports on implementation progress, challenges experienced, and </w:t>
      </w:r>
      <w:r>
        <w:rPr>
          <w:rFonts w:eastAsiaTheme="minorEastAsia"/>
        </w:rPr>
        <w:t>strategies for managing those</w:t>
      </w:r>
      <w:r w:rsidRPr="5D2BC663">
        <w:rPr>
          <w:rFonts w:eastAsiaTheme="minorEastAsia"/>
        </w:rPr>
        <w:t xml:space="preserve"> </w:t>
      </w:r>
      <w:r>
        <w:rPr>
          <w:rFonts w:eastAsiaTheme="minorEastAsia"/>
        </w:rPr>
        <w:t>challenges</w:t>
      </w:r>
      <w:r w:rsidRPr="5D2BC663">
        <w:rPr>
          <w:rFonts w:eastAsiaTheme="minorEastAsia"/>
        </w:rPr>
        <w:t>.</w:t>
      </w:r>
    </w:p>
    <w:p w:rsidR="00EC14FC" w:rsidRPr="00EC14FC" w:rsidP="392CF680" w14:paraId="62568D21" w14:textId="5FB76C11">
      <w:pPr>
        <w:pStyle w:val="ListParagraph"/>
        <w:numPr>
          <w:ilvl w:val="0"/>
          <w:numId w:val="46"/>
        </w:numPr>
        <w:autoSpaceDE w:val="0"/>
        <w:autoSpaceDN w:val="0"/>
        <w:adjustRightInd w:val="0"/>
        <w:spacing w:after="0" w:line="240" w:lineRule="atLeast"/>
        <w:rPr>
          <w:rFonts w:eastAsia="Times New Roman"/>
          <w:color w:val="000000"/>
        </w:rPr>
      </w:pPr>
      <w:r w:rsidRPr="392CF680">
        <w:rPr>
          <w:rFonts w:eastAsia="Times New Roman"/>
          <w:b/>
          <w:bCs/>
          <w:color w:val="000000" w:themeColor="text1"/>
        </w:rPr>
        <w:t>Data Quality</w:t>
      </w:r>
      <w:r w:rsidRPr="005D6361">
        <w:rPr>
          <w:rFonts w:eastAsia="Times New Roman"/>
          <w:b/>
          <w:bCs/>
          <w:color w:val="000000" w:themeColor="text1"/>
        </w:rPr>
        <w:t>.</w:t>
      </w:r>
      <w:r w:rsidRPr="392CF680">
        <w:rPr>
          <w:rFonts w:eastAsia="Times New Roman"/>
          <w:color w:val="000000" w:themeColor="text1"/>
        </w:rPr>
        <w:t xml:space="preserve"> The </w:t>
      </w:r>
      <w:r w:rsidR="00C6242C">
        <w:rPr>
          <w:rFonts w:eastAsia="Times New Roman"/>
          <w:color w:val="000000" w:themeColor="text1"/>
        </w:rPr>
        <w:t>contractor</w:t>
      </w:r>
      <w:r w:rsidRPr="392CF680">
        <w:rPr>
          <w:rFonts w:eastAsia="Times New Roman"/>
          <w:color w:val="000000" w:themeColor="text1"/>
        </w:rPr>
        <w:t xml:space="preserve"> will ensure high-quality data collection of interviews. All </w:t>
      </w:r>
      <w:r w:rsidR="00C6242C">
        <w:rPr>
          <w:rFonts w:eastAsia="Times New Roman"/>
          <w:color w:val="000000" w:themeColor="text1"/>
        </w:rPr>
        <w:t>site teams</w:t>
      </w:r>
      <w:r w:rsidRPr="392CF680">
        <w:rPr>
          <w:rFonts w:eastAsia="Times New Roman"/>
          <w:color w:val="000000" w:themeColor="text1"/>
        </w:rPr>
        <w:t xml:space="preserve"> will participate in training before data collection begins. The training agenda will be focused on qualitative data collection and review of the discussion guides. The training will include the following topics:</w:t>
      </w:r>
    </w:p>
    <w:p w:rsidR="00EC14FC" w:rsidRPr="00EC14FC" w:rsidP="00647292" w14:paraId="2D710996" w14:textId="30587FB1">
      <w:pPr>
        <w:pStyle w:val="ListParagraph"/>
        <w:numPr>
          <w:ilvl w:val="1"/>
          <w:numId w:val="46"/>
        </w:numPr>
        <w:autoSpaceDE w:val="0"/>
        <w:autoSpaceDN w:val="0"/>
        <w:adjustRightInd w:val="0"/>
        <w:spacing w:after="0" w:line="240" w:lineRule="atLeast"/>
        <w:rPr>
          <w:rFonts w:eastAsia="Times New Roman" w:cstheme="minorHAnsi"/>
          <w:color w:val="000000"/>
        </w:rPr>
      </w:pPr>
      <w:r w:rsidRPr="00EC14FC">
        <w:rPr>
          <w:rFonts w:eastAsia="Times New Roman" w:cstheme="minorHAnsi"/>
          <w:color w:val="000000"/>
        </w:rPr>
        <w:t xml:space="preserve">Consent procedures, </w:t>
      </w:r>
      <w:r w:rsidR="003D570B">
        <w:rPr>
          <w:rFonts w:eastAsia="Times New Roman" w:cstheme="minorHAnsi"/>
          <w:color w:val="000000"/>
        </w:rPr>
        <w:t>privacy</w:t>
      </w:r>
      <w:r w:rsidRPr="00EC14FC">
        <w:rPr>
          <w:rFonts w:eastAsia="Times New Roman" w:cstheme="minorHAnsi"/>
          <w:color w:val="000000"/>
        </w:rPr>
        <w:t>, and other human subject considerations</w:t>
      </w:r>
    </w:p>
    <w:p w:rsidR="00EC14FC" w:rsidRPr="00EC14FC" w:rsidP="00647292" w14:paraId="64899283" w14:textId="1AFA1ECE">
      <w:pPr>
        <w:pStyle w:val="ListParagraph"/>
        <w:numPr>
          <w:ilvl w:val="1"/>
          <w:numId w:val="46"/>
        </w:numPr>
        <w:autoSpaceDE w:val="0"/>
        <w:autoSpaceDN w:val="0"/>
        <w:adjustRightInd w:val="0"/>
        <w:spacing w:after="0" w:line="240" w:lineRule="atLeast"/>
        <w:rPr>
          <w:rFonts w:eastAsia="Times New Roman" w:cstheme="minorHAnsi"/>
          <w:color w:val="000000"/>
        </w:rPr>
      </w:pPr>
      <w:r w:rsidRPr="00EC14FC">
        <w:rPr>
          <w:rFonts w:eastAsia="Times New Roman" w:cstheme="minorHAnsi"/>
          <w:color w:val="000000"/>
        </w:rPr>
        <w:t>Data security plan for interviews</w:t>
      </w:r>
    </w:p>
    <w:p w:rsidR="00EC14FC" w:rsidRPr="00EC14FC" w:rsidP="00647292" w14:paraId="0CC68F53" w14:textId="2BDDF2B1">
      <w:pPr>
        <w:pStyle w:val="ListParagraph"/>
        <w:numPr>
          <w:ilvl w:val="1"/>
          <w:numId w:val="46"/>
        </w:numPr>
        <w:autoSpaceDE w:val="0"/>
        <w:autoSpaceDN w:val="0"/>
        <w:adjustRightInd w:val="0"/>
        <w:spacing w:after="0" w:line="240" w:lineRule="atLeast"/>
        <w:rPr>
          <w:rFonts w:eastAsia="Times New Roman" w:cstheme="minorHAnsi"/>
          <w:color w:val="000000"/>
        </w:rPr>
      </w:pPr>
      <w:r w:rsidRPr="00EC14FC">
        <w:rPr>
          <w:rFonts w:eastAsia="Times New Roman" w:cstheme="minorHAnsi"/>
          <w:color w:val="000000"/>
        </w:rPr>
        <w:t xml:space="preserve">Scheduling interviews </w:t>
      </w:r>
    </w:p>
    <w:p w:rsidR="00EC14FC" w:rsidRPr="00EC14FC" w:rsidP="00647292" w14:paraId="38750D90" w14:textId="77777777">
      <w:pPr>
        <w:pStyle w:val="ListParagraph"/>
        <w:numPr>
          <w:ilvl w:val="1"/>
          <w:numId w:val="46"/>
        </w:numPr>
        <w:autoSpaceDE w:val="0"/>
        <w:autoSpaceDN w:val="0"/>
        <w:adjustRightInd w:val="0"/>
        <w:spacing w:after="0" w:line="240" w:lineRule="atLeast"/>
        <w:rPr>
          <w:rFonts w:eastAsia="Times New Roman" w:cstheme="minorHAnsi"/>
          <w:color w:val="000000"/>
        </w:rPr>
      </w:pPr>
      <w:r w:rsidRPr="00EC14FC">
        <w:rPr>
          <w:rFonts w:eastAsia="Times New Roman" w:cstheme="minorHAnsi"/>
          <w:color w:val="000000"/>
        </w:rPr>
        <w:t xml:space="preserve">Best facilitation practices to administer open-ended interviews and </w:t>
      </w:r>
    </w:p>
    <w:p w:rsidR="00EC14FC" w:rsidRPr="00EC14FC" w:rsidP="00647292" w14:paraId="034F2185" w14:textId="77777777">
      <w:pPr>
        <w:pStyle w:val="ListParagraph"/>
        <w:numPr>
          <w:ilvl w:val="1"/>
          <w:numId w:val="46"/>
        </w:numPr>
        <w:autoSpaceDE w:val="0"/>
        <w:autoSpaceDN w:val="0"/>
        <w:adjustRightInd w:val="0"/>
        <w:spacing w:after="0" w:line="240" w:lineRule="atLeast"/>
        <w:rPr>
          <w:rFonts w:eastAsia="Times New Roman" w:cstheme="minorHAnsi"/>
          <w:color w:val="000000"/>
        </w:rPr>
      </w:pPr>
      <w:r w:rsidRPr="00EC14FC">
        <w:rPr>
          <w:rFonts w:eastAsia="Times New Roman" w:cstheme="minorHAnsi"/>
          <w:color w:val="000000"/>
        </w:rPr>
        <w:t>Interviewing and notetaking practices, including instructions on how to scribe handwritten notes if the respondent declines audio recording of the interview</w:t>
      </w:r>
    </w:p>
    <w:p w:rsidR="00EC14FC" w:rsidP="00647292" w14:paraId="0DC58C37" w14:textId="77777777">
      <w:pPr>
        <w:pStyle w:val="ListParagraph"/>
        <w:numPr>
          <w:ilvl w:val="1"/>
          <w:numId w:val="46"/>
        </w:numPr>
        <w:autoSpaceDE w:val="0"/>
        <w:autoSpaceDN w:val="0"/>
        <w:adjustRightInd w:val="0"/>
        <w:spacing w:after="0" w:line="240" w:lineRule="atLeast"/>
        <w:rPr>
          <w:rFonts w:eastAsia="Times New Roman" w:cstheme="minorHAnsi"/>
          <w:color w:val="000000"/>
        </w:rPr>
      </w:pPr>
      <w:r w:rsidRPr="00EC14FC">
        <w:rPr>
          <w:rFonts w:eastAsia="Times New Roman" w:cstheme="minorHAnsi"/>
          <w:color w:val="000000"/>
        </w:rPr>
        <w:t>Geographic/community context, cultural sensitivity and relationship building</w:t>
      </w:r>
    </w:p>
    <w:p w:rsidR="00647292" w:rsidP="00647292" w14:paraId="6FB1DB19" w14:textId="676738F1">
      <w:pPr>
        <w:pStyle w:val="ListParagraph"/>
        <w:numPr>
          <w:ilvl w:val="1"/>
          <w:numId w:val="46"/>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Assessing for follow-up and re-interviews</w:t>
      </w:r>
    </w:p>
    <w:p w:rsidR="00EC14FC" w:rsidRPr="00647292" w:rsidP="00647292" w14:paraId="59ED33B4" w14:textId="6EA0C37E">
      <w:pPr>
        <w:autoSpaceDE w:val="0"/>
        <w:autoSpaceDN w:val="0"/>
        <w:adjustRightInd w:val="0"/>
        <w:spacing w:after="0" w:line="240" w:lineRule="atLeast"/>
        <w:rPr>
          <w:rFonts w:eastAsia="Times New Roman" w:cstheme="minorHAnsi"/>
          <w:color w:val="000000"/>
        </w:rPr>
      </w:pPr>
    </w:p>
    <w:p w:rsidR="00647292" w:rsidRPr="005A2C47" w:rsidP="009603E7" w14:paraId="721425E5" w14:textId="54DDF78C">
      <w:pPr>
        <w:spacing w:after="60"/>
        <w:rPr>
          <w:i/>
          <w:iCs/>
          <w:u w:val="single"/>
        </w:rPr>
      </w:pPr>
      <w:r w:rsidRPr="3C06D043">
        <w:rPr>
          <w:i/>
          <w:iCs/>
          <w:u w:val="single"/>
        </w:rPr>
        <w:t>Listening Sessions</w:t>
      </w:r>
      <w:r w:rsidRPr="3C06D043" w:rsidR="000566F5">
        <w:rPr>
          <w:i/>
          <w:iCs/>
          <w:u w:val="single"/>
        </w:rPr>
        <w:t xml:space="preserve"> (Instrument 2)</w:t>
      </w:r>
    </w:p>
    <w:p w:rsidR="005D6361" w:rsidRPr="005D6361" w:rsidP="005D6361" w14:paraId="7B950BAC" w14:textId="09A0AE00">
      <w:pPr>
        <w:pStyle w:val="ListParagraph"/>
        <w:numPr>
          <w:ilvl w:val="0"/>
          <w:numId w:val="46"/>
        </w:numPr>
        <w:spacing w:after="0" w:line="240" w:lineRule="atLeast"/>
        <w:rPr>
          <w:rFonts w:eastAsia="Times New Roman"/>
          <w:b/>
          <w:bCs/>
          <w:color w:val="000000" w:themeColor="text1"/>
        </w:rPr>
      </w:pPr>
      <w:r w:rsidRPr="2C8F1C5A">
        <w:rPr>
          <w:rFonts w:eastAsia="Times New Roman"/>
          <w:b/>
          <w:bCs/>
          <w:color w:val="000000" w:themeColor="text1"/>
        </w:rPr>
        <w:t xml:space="preserve">Data Collection Leads. </w:t>
      </w:r>
      <w:r w:rsidRPr="2C8F1C5A">
        <w:rPr>
          <w:rFonts w:eastAsia="Times New Roman"/>
          <w:color w:val="000000" w:themeColor="text1"/>
        </w:rPr>
        <w:t xml:space="preserve">One </w:t>
      </w:r>
      <w:r w:rsidR="007275F3">
        <w:rPr>
          <w:rFonts w:eastAsia="Times New Roman"/>
          <w:color w:val="000000" w:themeColor="text1"/>
        </w:rPr>
        <w:t xml:space="preserve">member of the </w:t>
      </w:r>
      <w:r w:rsidRPr="2C8F1C5A" w:rsidR="2EEA3245">
        <w:rPr>
          <w:rFonts w:eastAsia="Times New Roman"/>
          <w:color w:val="000000" w:themeColor="text1"/>
        </w:rPr>
        <w:t>contractor</w:t>
      </w:r>
      <w:r w:rsidR="007275F3">
        <w:rPr>
          <w:rFonts w:eastAsia="Times New Roman"/>
          <w:color w:val="000000" w:themeColor="text1"/>
        </w:rPr>
        <w:t xml:space="preserve"> team</w:t>
      </w:r>
      <w:r w:rsidRPr="2C8F1C5A" w:rsidR="2EEA3245">
        <w:rPr>
          <w:rFonts w:eastAsia="Times New Roman"/>
          <w:color w:val="000000" w:themeColor="text1"/>
        </w:rPr>
        <w:t xml:space="preserve"> </w:t>
      </w:r>
      <w:r w:rsidR="007275F3">
        <w:rPr>
          <w:rFonts w:eastAsia="Times New Roman"/>
          <w:color w:val="000000" w:themeColor="text1"/>
        </w:rPr>
        <w:t>(</w:t>
      </w:r>
      <w:r w:rsidRPr="2C8F1C5A">
        <w:rPr>
          <w:rFonts w:eastAsia="Times New Roman"/>
          <w:color w:val="000000" w:themeColor="text1"/>
        </w:rPr>
        <w:t>site lead</w:t>
      </w:r>
      <w:r w:rsidR="007275F3">
        <w:rPr>
          <w:rFonts w:eastAsia="Times New Roman"/>
          <w:color w:val="000000" w:themeColor="text1"/>
        </w:rPr>
        <w:t>)</w:t>
      </w:r>
      <w:r w:rsidRPr="2C8F1C5A">
        <w:rPr>
          <w:rFonts w:eastAsia="Times New Roman"/>
          <w:color w:val="000000" w:themeColor="text1"/>
        </w:rPr>
        <w:t xml:space="preserve"> will work with </w:t>
      </w:r>
      <w:r w:rsidRPr="2C8F1C5A" w:rsidR="4CBB4655">
        <w:rPr>
          <w:rFonts w:eastAsia="Times New Roman"/>
          <w:color w:val="000000" w:themeColor="text1"/>
        </w:rPr>
        <w:t xml:space="preserve">the </w:t>
      </w:r>
      <w:r w:rsidRPr="2C8F1C5A" w:rsidR="103202F3">
        <w:rPr>
          <w:rFonts w:eastAsia="Times New Roman"/>
          <w:color w:val="000000" w:themeColor="text1"/>
        </w:rPr>
        <w:t>Principal Investigator (</w:t>
      </w:r>
      <w:r w:rsidRPr="2C8F1C5A">
        <w:rPr>
          <w:rFonts w:eastAsia="Times New Roman"/>
          <w:color w:val="000000" w:themeColor="text1"/>
        </w:rPr>
        <w:t>PI</w:t>
      </w:r>
      <w:r w:rsidRPr="2C8F1C5A" w:rsidR="77619CD4">
        <w:rPr>
          <w:rFonts w:eastAsia="Times New Roman"/>
          <w:color w:val="000000" w:themeColor="text1"/>
        </w:rPr>
        <w:t>)</w:t>
      </w:r>
      <w:r w:rsidRPr="2C8F1C5A">
        <w:rPr>
          <w:rFonts w:eastAsia="Times New Roman"/>
          <w:color w:val="000000" w:themeColor="text1"/>
        </w:rPr>
        <w:t xml:space="preserve"> and project director </w:t>
      </w:r>
      <w:r w:rsidRPr="2C8F1C5A" w:rsidR="517AEC8C">
        <w:rPr>
          <w:rFonts w:eastAsia="Times New Roman"/>
          <w:color w:val="000000" w:themeColor="text1"/>
        </w:rPr>
        <w:t xml:space="preserve">(PD) </w:t>
      </w:r>
      <w:r w:rsidRPr="2C8F1C5A">
        <w:rPr>
          <w:rFonts w:eastAsia="Times New Roman"/>
          <w:color w:val="000000" w:themeColor="text1"/>
        </w:rPr>
        <w:t xml:space="preserve">to </w:t>
      </w:r>
      <w:r w:rsidRPr="006D432B" w:rsidR="4B86FC44">
        <w:rPr>
          <w:rFonts w:eastAsia="Times New Roman"/>
          <w:color w:val="000000" w:themeColor="text1"/>
        </w:rPr>
        <w:t>conduct</w:t>
      </w:r>
      <w:r w:rsidRPr="2C8F1C5A">
        <w:rPr>
          <w:rFonts w:eastAsia="Times New Roman"/>
          <w:color w:val="000000" w:themeColor="text1"/>
        </w:rPr>
        <w:t xml:space="preserve"> the listening sessions. </w:t>
      </w:r>
    </w:p>
    <w:p w:rsidR="005D6361" w:rsidRPr="005D6361" w:rsidP="005D6361" w14:paraId="3CCE4BBF" w14:textId="6CE1769B">
      <w:pPr>
        <w:pStyle w:val="ListParagraph"/>
        <w:numPr>
          <w:ilvl w:val="0"/>
          <w:numId w:val="46"/>
        </w:numPr>
        <w:spacing w:after="0" w:line="240" w:lineRule="atLeast"/>
        <w:rPr>
          <w:rFonts w:eastAsia="Times New Roman"/>
          <w:b/>
          <w:bCs/>
          <w:color w:val="000000" w:themeColor="text1"/>
        </w:rPr>
      </w:pPr>
      <w:r w:rsidRPr="005D6361">
        <w:rPr>
          <w:rFonts w:eastAsia="Times New Roman"/>
          <w:b/>
          <w:bCs/>
          <w:color w:val="000000" w:themeColor="text1"/>
        </w:rPr>
        <w:t>Recruitment.</w:t>
      </w:r>
      <w:r w:rsidRPr="005D6361">
        <w:rPr>
          <w:rFonts w:eastAsia="Times New Roman"/>
          <w:color w:val="000000" w:themeColor="text1"/>
        </w:rPr>
        <w:t xml:space="preserve"> </w:t>
      </w:r>
      <w:r w:rsidRPr="005D6361" w:rsidR="4CBB4655">
        <w:rPr>
          <w:rFonts w:eastAsia="Times New Roman"/>
          <w:color w:val="000000" w:themeColor="text1"/>
        </w:rPr>
        <w:t>Site teams</w:t>
      </w:r>
      <w:r w:rsidRPr="005D6361">
        <w:rPr>
          <w:rFonts w:eastAsia="Times New Roman"/>
          <w:color w:val="000000" w:themeColor="text1"/>
        </w:rPr>
        <w:t xml:space="preserve"> will </w:t>
      </w:r>
      <w:r w:rsidRPr="005D6361" w:rsidR="6EFBEC3A">
        <w:rPr>
          <w:rFonts w:eastAsia="Times New Roman"/>
          <w:color w:val="000000" w:themeColor="text1"/>
        </w:rPr>
        <w:t>work with</w:t>
      </w:r>
      <w:r w:rsidRPr="005D6361">
        <w:rPr>
          <w:rFonts w:eastAsia="Times New Roman"/>
          <w:color w:val="000000" w:themeColor="text1"/>
        </w:rPr>
        <w:t xml:space="preserve"> RHY PDP grantee contacts to identify a broad set community partners associated with the implementation of the RHY PDP to participate in a listening session. </w:t>
      </w:r>
      <w:r w:rsidRPr="005D6361" w:rsidR="4CBB4655">
        <w:rPr>
          <w:rFonts w:eastAsia="Times New Roman"/>
          <w:color w:val="000000" w:themeColor="text1"/>
        </w:rPr>
        <w:t>The</w:t>
      </w:r>
      <w:r w:rsidRPr="005D6361" w:rsidR="4CBB4655">
        <w:rPr>
          <w:rFonts w:eastAsia="Times New Roman"/>
          <w:b/>
          <w:bCs/>
          <w:color w:val="000000" w:themeColor="text1"/>
        </w:rPr>
        <w:t xml:space="preserve"> </w:t>
      </w:r>
      <w:r w:rsidRPr="005D6361" w:rsidR="4CBB4655">
        <w:rPr>
          <w:rFonts w:eastAsia="Times New Roman"/>
          <w:color w:val="000000" w:themeColor="text1"/>
        </w:rPr>
        <w:t>contractor</w:t>
      </w:r>
      <w:r w:rsidRPr="005D6361">
        <w:rPr>
          <w:rFonts w:eastAsia="Times New Roman"/>
          <w:color w:val="000000" w:themeColor="text1"/>
        </w:rPr>
        <w:t xml:space="preserve"> </w:t>
      </w:r>
      <w:r w:rsidRPr="005D6361" w:rsidR="582F3C45">
        <w:rPr>
          <w:rFonts w:eastAsia="Times New Roman"/>
          <w:color w:val="000000" w:themeColor="text1"/>
        </w:rPr>
        <w:t xml:space="preserve">will </w:t>
      </w:r>
      <w:r w:rsidRPr="005D6361">
        <w:rPr>
          <w:rFonts w:eastAsia="Times New Roman"/>
          <w:color w:val="000000" w:themeColor="text1"/>
        </w:rPr>
        <w:t xml:space="preserve">engage with partners that represent RHY PDP housing or service providers as well as other partners in the housing and homelessness, incarceration and law enforcement, child welfare, school, and health (physical, mental, behavioral, etc.) systems. The number of respondents will vary based on the number of active partners within each site, but </w:t>
      </w:r>
      <w:r w:rsidRPr="005D6361" w:rsidR="4CBB4655">
        <w:rPr>
          <w:rFonts w:eastAsia="Times New Roman"/>
          <w:color w:val="000000" w:themeColor="text1"/>
        </w:rPr>
        <w:t>the contractor</w:t>
      </w:r>
      <w:r w:rsidRPr="005D6361">
        <w:rPr>
          <w:rFonts w:eastAsia="Times New Roman"/>
          <w:color w:val="000000" w:themeColor="text1"/>
        </w:rPr>
        <w:t xml:space="preserve"> anticipate</w:t>
      </w:r>
      <w:r w:rsidRPr="005D6361" w:rsidR="4CBB4655">
        <w:rPr>
          <w:rFonts w:eastAsia="Times New Roman"/>
          <w:color w:val="000000" w:themeColor="text1"/>
        </w:rPr>
        <w:t>s</w:t>
      </w:r>
      <w:r w:rsidRPr="005D6361">
        <w:rPr>
          <w:rFonts w:eastAsia="Times New Roman"/>
          <w:color w:val="000000" w:themeColor="text1"/>
        </w:rPr>
        <w:t xml:space="preserve"> up to 10 </w:t>
      </w:r>
      <w:r w:rsidRPr="005D6361" w:rsidR="4CBB4655">
        <w:rPr>
          <w:rFonts w:eastAsia="Times New Roman"/>
          <w:color w:val="000000" w:themeColor="text1"/>
        </w:rPr>
        <w:t>participants</w:t>
      </w:r>
      <w:r w:rsidRPr="005D6361">
        <w:rPr>
          <w:rFonts w:eastAsia="Times New Roman"/>
          <w:color w:val="000000" w:themeColor="text1"/>
        </w:rPr>
        <w:t xml:space="preserve"> in each site for a total of 100 </w:t>
      </w:r>
      <w:r w:rsidRPr="005D6361" w:rsidR="4CBB4655">
        <w:rPr>
          <w:rFonts w:eastAsia="Times New Roman"/>
          <w:color w:val="000000" w:themeColor="text1"/>
        </w:rPr>
        <w:t>participants</w:t>
      </w:r>
      <w:r w:rsidRPr="005D6361">
        <w:rPr>
          <w:rFonts w:eastAsia="Times New Roman"/>
          <w:color w:val="000000" w:themeColor="text1"/>
        </w:rPr>
        <w:t xml:space="preserve">. These </w:t>
      </w:r>
      <w:r w:rsidRPr="005D6361" w:rsidR="177B0906">
        <w:rPr>
          <w:rFonts w:eastAsia="Times New Roman"/>
          <w:color w:val="000000" w:themeColor="text1"/>
        </w:rPr>
        <w:t>individuals</w:t>
      </w:r>
      <w:r w:rsidRPr="005D6361">
        <w:rPr>
          <w:rFonts w:eastAsia="Times New Roman"/>
          <w:color w:val="000000" w:themeColor="text1"/>
        </w:rPr>
        <w:t xml:space="preserve"> will be participating in their professional capacity. The listening sessions will be </w:t>
      </w:r>
      <w:r w:rsidRPr="005D6361" w:rsidR="000C6C03">
        <w:rPr>
          <w:rFonts w:eastAsia="Times New Roman"/>
          <w:color w:val="000000" w:themeColor="text1"/>
        </w:rPr>
        <w:t>low risk</w:t>
      </w:r>
      <w:r w:rsidRPr="005D6361">
        <w:rPr>
          <w:rFonts w:eastAsia="Times New Roman"/>
          <w:color w:val="000000" w:themeColor="text1"/>
        </w:rPr>
        <w:t>, focusing on partnerships and collaboration</w:t>
      </w:r>
      <w:r w:rsidRPr="005D6361" w:rsidR="601FFBAD">
        <w:rPr>
          <w:rFonts w:eastAsia="Times New Roman"/>
          <w:color w:val="000000" w:themeColor="text1"/>
        </w:rPr>
        <w:t xml:space="preserve">, and will avoid </w:t>
      </w:r>
      <w:r w:rsidRPr="005D6361">
        <w:rPr>
          <w:rFonts w:eastAsia="Times New Roman"/>
          <w:color w:val="000000" w:themeColor="text1"/>
        </w:rPr>
        <w:t>sensitive topics.</w:t>
      </w:r>
    </w:p>
    <w:p w:rsidR="006C1709" w:rsidRPr="009603E7" w:rsidP="00A056B9" w14:paraId="492AC19B" w14:textId="5869AC72">
      <w:pPr>
        <w:pStyle w:val="ListParagraph"/>
        <w:numPr>
          <w:ilvl w:val="0"/>
          <w:numId w:val="46"/>
        </w:numPr>
        <w:spacing w:after="0" w:line="240" w:lineRule="atLeast"/>
        <w:rPr>
          <w:rFonts w:eastAsia="Times New Roman"/>
          <w:b/>
          <w:bCs/>
          <w:color w:val="000000" w:themeColor="text1"/>
        </w:rPr>
      </w:pPr>
      <w:r w:rsidRPr="00A056B9">
        <w:rPr>
          <w:rFonts w:eastAsia="Times New Roman"/>
          <w:b/>
          <w:bCs/>
          <w:color w:val="000000" w:themeColor="text1"/>
        </w:rPr>
        <w:t xml:space="preserve">Data Collection Mode. </w:t>
      </w:r>
      <w:r w:rsidRPr="00A056B9">
        <w:rPr>
          <w:rFonts w:eastAsia="Times New Roman"/>
          <w:color w:val="000000" w:themeColor="text1"/>
        </w:rPr>
        <w:t>The listening sessions will be conducted virtually (</w:t>
      </w:r>
      <w:r w:rsidRPr="00A056B9" w:rsidR="4F37E4DD">
        <w:rPr>
          <w:rFonts w:eastAsia="Times New Roman"/>
          <w:color w:val="000000" w:themeColor="text1"/>
        </w:rPr>
        <w:t>via</w:t>
      </w:r>
      <w:r w:rsidRPr="00A056B9">
        <w:rPr>
          <w:rFonts w:eastAsia="Times New Roman"/>
          <w:color w:val="000000" w:themeColor="text1"/>
        </w:rPr>
        <w:t xml:space="preserve"> Zoom). </w:t>
      </w:r>
      <w:r w:rsidR="005B2685">
        <w:t xml:space="preserve">Sessions will occur within a two week period to minimize response variation due to timing (e.g., ensure sites are at approximately the same point in implementation). </w:t>
      </w:r>
      <w:r w:rsidRPr="005B2685" w:rsidR="005B2685">
        <w:t>To facilitate discussion and engagement, sessions will include two 30-minute breakout groups, each facilitated by at least one member of the contractor staff. At the beginning of each listening session, contractor staff will request permission to audio record the meeting as a backup to notetaking; participants will be free to privately decline the recording (via chat) if they prefer handwritten notes only. Audio recordings will be permanently destroyed as soon as the contractor has a complete set of notes and completes any verification or clarification that is needed. Handwritten notes will be destroyed at the end of the evaluation contract.</w:t>
      </w:r>
    </w:p>
    <w:p w:rsidR="00E6143B" w:rsidRPr="00A056B9" w:rsidP="00E6143B" w14:paraId="1420BFD7" w14:textId="77777777">
      <w:pPr>
        <w:pStyle w:val="ListParagraph"/>
        <w:spacing w:after="0" w:line="240" w:lineRule="atLeast"/>
        <w:ind w:left="360"/>
        <w:rPr>
          <w:rFonts w:eastAsia="Times New Roman"/>
          <w:b/>
          <w:bCs/>
          <w:color w:val="000000" w:themeColor="text1"/>
        </w:rPr>
      </w:pPr>
    </w:p>
    <w:p w:rsidR="006C1709" w:rsidRPr="00EC14FC" w:rsidP="2C8F1C5A" w14:paraId="08523ECA" w14:textId="5C1EDE1B">
      <w:pPr>
        <w:pStyle w:val="ListParagraph"/>
        <w:numPr>
          <w:ilvl w:val="0"/>
          <w:numId w:val="46"/>
        </w:numPr>
        <w:spacing w:after="0" w:line="240" w:lineRule="atLeast"/>
        <w:rPr>
          <w:rFonts w:eastAsia="Times New Roman"/>
          <w:color w:val="000000" w:themeColor="text1"/>
        </w:rPr>
      </w:pPr>
      <w:r w:rsidRPr="2C8F1C5A">
        <w:rPr>
          <w:rFonts w:eastAsia="Times New Roman"/>
          <w:b/>
          <w:bCs/>
          <w:color w:val="000000" w:themeColor="text1"/>
        </w:rPr>
        <w:t>Data Quality.</w:t>
      </w:r>
      <w:r w:rsidRPr="2C8F1C5A">
        <w:rPr>
          <w:rFonts w:eastAsia="Times New Roman"/>
          <w:color w:val="000000" w:themeColor="text1"/>
        </w:rPr>
        <w:t xml:space="preserve"> The contractor will ensure high-quality facilitation of the listening sessions. </w:t>
      </w:r>
      <w:r w:rsidRPr="2C8F1C5A" w:rsidR="5963EC13">
        <w:rPr>
          <w:rFonts w:eastAsia="Times New Roman"/>
          <w:color w:val="000000" w:themeColor="text1"/>
        </w:rPr>
        <w:t xml:space="preserve">Before </w:t>
      </w:r>
      <w:r w:rsidRPr="2C8F1C5A">
        <w:rPr>
          <w:rFonts w:eastAsia="Times New Roman"/>
          <w:color w:val="000000" w:themeColor="text1"/>
        </w:rPr>
        <w:t>the listening sessions, contractor staff will be trained on the following topics:</w:t>
      </w:r>
    </w:p>
    <w:p w:rsidR="006C1709" w:rsidRPr="00EC14FC" w:rsidP="2C8F1C5A" w14:paraId="563F78F0" w14:textId="7AE0E0AD">
      <w:pPr>
        <w:pStyle w:val="ListParagraph"/>
        <w:numPr>
          <w:ilvl w:val="1"/>
          <w:numId w:val="46"/>
        </w:numPr>
        <w:autoSpaceDE w:val="0"/>
        <w:autoSpaceDN w:val="0"/>
        <w:adjustRightInd w:val="0"/>
        <w:spacing w:after="0" w:line="240" w:lineRule="atLeast"/>
        <w:rPr>
          <w:rFonts w:eastAsia="Times New Roman"/>
          <w:color w:val="000000"/>
        </w:rPr>
      </w:pPr>
      <w:r w:rsidRPr="2C8F1C5A">
        <w:rPr>
          <w:rFonts w:eastAsia="Times New Roman"/>
          <w:color w:val="000000" w:themeColor="text1"/>
        </w:rPr>
        <w:t>Listening session p</w:t>
      </w:r>
      <w:r w:rsidRPr="2C8F1C5A" w:rsidR="16685A4F">
        <w:rPr>
          <w:rFonts w:eastAsia="Times New Roman"/>
          <w:color w:val="000000" w:themeColor="text1"/>
        </w:rPr>
        <w:t xml:space="preserve">rocedures, </w:t>
      </w:r>
      <w:r w:rsidRPr="2C8F1C5A" w:rsidR="4DB325DA">
        <w:rPr>
          <w:rFonts w:eastAsia="Times New Roman"/>
          <w:color w:val="000000" w:themeColor="text1"/>
        </w:rPr>
        <w:t xml:space="preserve">data </w:t>
      </w:r>
      <w:r w:rsidRPr="2C8F1C5A" w:rsidR="16685A4F">
        <w:rPr>
          <w:rFonts w:eastAsia="Times New Roman"/>
          <w:color w:val="000000" w:themeColor="text1"/>
        </w:rPr>
        <w:t>privacy</w:t>
      </w:r>
      <w:r w:rsidRPr="2C8F1C5A" w:rsidR="1179E869">
        <w:rPr>
          <w:rFonts w:eastAsia="Times New Roman"/>
          <w:color w:val="000000" w:themeColor="text1"/>
        </w:rPr>
        <w:t xml:space="preserve"> and security</w:t>
      </w:r>
      <w:r w:rsidRPr="2C8F1C5A" w:rsidR="16685A4F">
        <w:rPr>
          <w:rFonts w:eastAsia="Times New Roman"/>
          <w:color w:val="000000" w:themeColor="text1"/>
        </w:rPr>
        <w:t>, and other human subject</w:t>
      </w:r>
      <w:r w:rsidRPr="2C8F1C5A" w:rsidR="6B629423">
        <w:rPr>
          <w:rFonts w:eastAsia="Times New Roman"/>
          <w:color w:val="000000" w:themeColor="text1"/>
        </w:rPr>
        <w:t>s</w:t>
      </w:r>
      <w:r w:rsidRPr="2C8F1C5A" w:rsidR="16685A4F">
        <w:rPr>
          <w:rFonts w:eastAsia="Times New Roman"/>
          <w:color w:val="000000" w:themeColor="text1"/>
        </w:rPr>
        <w:t xml:space="preserve"> considerations</w:t>
      </w:r>
    </w:p>
    <w:p w:rsidR="006C1709" w:rsidRPr="00EC14FC" w:rsidP="2C8F1C5A" w14:paraId="58C0E63F" w14:textId="2E0763F5">
      <w:pPr>
        <w:pStyle w:val="ListParagraph"/>
        <w:numPr>
          <w:ilvl w:val="1"/>
          <w:numId w:val="46"/>
        </w:numPr>
        <w:autoSpaceDE w:val="0"/>
        <w:autoSpaceDN w:val="0"/>
        <w:adjustRightInd w:val="0"/>
        <w:spacing w:after="0" w:line="240" w:lineRule="atLeast"/>
        <w:rPr>
          <w:rFonts w:eastAsia="Times New Roman"/>
          <w:color w:val="000000"/>
        </w:rPr>
      </w:pPr>
      <w:r w:rsidRPr="2C8F1C5A">
        <w:rPr>
          <w:rFonts w:eastAsia="Times New Roman"/>
          <w:color w:val="000000" w:themeColor="text1"/>
        </w:rPr>
        <w:t>F</w:t>
      </w:r>
      <w:r w:rsidRPr="2C8F1C5A" w:rsidR="16685A4F">
        <w:rPr>
          <w:rFonts w:eastAsia="Times New Roman"/>
          <w:color w:val="000000" w:themeColor="text1"/>
        </w:rPr>
        <w:t xml:space="preserve">acilitation </w:t>
      </w:r>
      <w:r w:rsidRPr="2C8F1C5A" w:rsidR="0D1A1660">
        <w:rPr>
          <w:rFonts w:eastAsia="Times New Roman"/>
          <w:color w:val="000000" w:themeColor="text1"/>
        </w:rPr>
        <w:t xml:space="preserve">best </w:t>
      </w:r>
      <w:r w:rsidRPr="2C8F1C5A" w:rsidR="16685A4F">
        <w:rPr>
          <w:rFonts w:eastAsia="Times New Roman"/>
          <w:color w:val="000000" w:themeColor="text1"/>
        </w:rPr>
        <w:t xml:space="preserve">practices to encourage discussion </w:t>
      </w:r>
    </w:p>
    <w:p w:rsidR="006C1709" w:rsidRPr="00EC14FC" w:rsidP="006C1709" w14:paraId="7B4DD5E0" w14:textId="77777777">
      <w:pPr>
        <w:pStyle w:val="ListParagraph"/>
        <w:numPr>
          <w:ilvl w:val="1"/>
          <w:numId w:val="46"/>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N</w:t>
      </w:r>
      <w:r w:rsidRPr="00EC14FC">
        <w:rPr>
          <w:rFonts w:eastAsia="Times New Roman" w:cstheme="minorHAnsi"/>
          <w:color w:val="000000"/>
        </w:rPr>
        <w:t xml:space="preserve">otetaking practices, including instructions on how to scribe handwritten notes if </w:t>
      </w:r>
      <w:r>
        <w:rPr>
          <w:rFonts w:eastAsia="Times New Roman" w:cstheme="minorHAnsi"/>
          <w:color w:val="000000"/>
        </w:rPr>
        <w:t xml:space="preserve">any participants </w:t>
      </w:r>
      <w:r w:rsidRPr="00EC14FC">
        <w:rPr>
          <w:rFonts w:eastAsia="Times New Roman" w:cstheme="minorHAnsi"/>
          <w:color w:val="000000"/>
        </w:rPr>
        <w:t xml:space="preserve">decline audio recording of the </w:t>
      </w:r>
      <w:r>
        <w:rPr>
          <w:rFonts w:eastAsia="Times New Roman" w:cstheme="minorHAnsi"/>
          <w:color w:val="000000"/>
        </w:rPr>
        <w:t>listening sessions</w:t>
      </w:r>
    </w:p>
    <w:p w:rsidR="006C1709" w:rsidRPr="00DA4795" w:rsidP="006C1709" w14:paraId="7412EE27" w14:textId="77777777">
      <w:pPr>
        <w:pStyle w:val="ListParagraph"/>
        <w:numPr>
          <w:ilvl w:val="1"/>
          <w:numId w:val="46"/>
        </w:numPr>
        <w:autoSpaceDE w:val="0"/>
        <w:autoSpaceDN w:val="0"/>
        <w:adjustRightInd w:val="0"/>
        <w:spacing w:after="0" w:line="240" w:lineRule="atLeast"/>
        <w:rPr>
          <w:rFonts w:cstheme="minorHAnsi"/>
          <w:i/>
          <w:iCs/>
          <w:u w:val="single"/>
        </w:rPr>
      </w:pPr>
      <w:r w:rsidRPr="00EC14FC">
        <w:rPr>
          <w:rFonts w:eastAsia="Times New Roman" w:cstheme="minorHAnsi"/>
          <w:color w:val="000000"/>
        </w:rPr>
        <w:t>Geographic/community context, cultural sensitivity and relationship building</w:t>
      </w:r>
    </w:p>
    <w:p w:rsidR="006C1709" w:rsidRPr="00DA4795" w:rsidP="3D4ECDC5" w14:paraId="15475112" w14:textId="1D03B2C0">
      <w:pPr>
        <w:pStyle w:val="ListParagraph"/>
        <w:numPr>
          <w:ilvl w:val="1"/>
          <w:numId w:val="46"/>
        </w:numPr>
        <w:autoSpaceDE w:val="0"/>
        <w:autoSpaceDN w:val="0"/>
        <w:adjustRightInd w:val="0"/>
        <w:spacing w:after="0" w:line="240" w:lineRule="atLeast"/>
        <w:rPr>
          <w:rFonts w:eastAsia="Times New Roman"/>
          <w:color w:val="000000" w:themeColor="text1"/>
        </w:rPr>
      </w:pPr>
      <w:r w:rsidRPr="3D4ECDC5">
        <w:rPr>
          <w:rFonts w:eastAsia="Times New Roman"/>
          <w:color w:val="000000" w:themeColor="text1"/>
        </w:rPr>
        <w:t xml:space="preserve">Assessing </w:t>
      </w:r>
      <w:r w:rsidRPr="3D4ECDC5" w:rsidR="31F69B59">
        <w:rPr>
          <w:rFonts w:eastAsia="Times New Roman"/>
          <w:color w:val="000000" w:themeColor="text1"/>
        </w:rPr>
        <w:t xml:space="preserve">the need </w:t>
      </w:r>
      <w:r w:rsidRPr="3D4ECDC5">
        <w:rPr>
          <w:rFonts w:eastAsia="Times New Roman"/>
          <w:color w:val="000000" w:themeColor="text1"/>
        </w:rPr>
        <w:t>for follow-up</w:t>
      </w:r>
      <w:r w:rsidRPr="3D4ECDC5" w:rsidR="2C9AE4C6">
        <w:rPr>
          <w:rFonts w:eastAsia="Times New Roman"/>
          <w:color w:val="000000" w:themeColor="text1"/>
        </w:rPr>
        <w:t xml:space="preserve"> and</w:t>
      </w:r>
      <w:r w:rsidR="0016510A">
        <w:rPr>
          <w:rFonts w:eastAsia="Times New Roman"/>
          <w:color w:val="000000" w:themeColor="text1"/>
        </w:rPr>
        <w:t xml:space="preserve"> clarification</w:t>
      </w:r>
    </w:p>
    <w:p w:rsidR="003D570B" w:rsidRPr="003D570B" w:rsidP="003D570B" w14:paraId="0BE0AA0A" w14:textId="77777777">
      <w:pPr>
        <w:autoSpaceDE w:val="0"/>
        <w:autoSpaceDN w:val="0"/>
        <w:adjustRightInd w:val="0"/>
        <w:spacing w:after="0" w:line="240" w:lineRule="atLeast"/>
        <w:rPr>
          <w:rFonts w:cstheme="minorHAnsi"/>
          <w:i/>
          <w:iCs/>
          <w:u w:val="single"/>
        </w:rPr>
      </w:pPr>
    </w:p>
    <w:p w:rsidR="00963A33" w:rsidRPr="003D570B" w:rsidP="003D570B" w14:paraId="048485C5" w14:textId="4147BFEE">
      <w:pPr>
        <w:autoSpaceDE w:val="0"/>
        <w:autoSpaceDN w:val="0"/>
        <w:adjustRightInd w:val="0"/>
        <w:spacing w:after="0" w:line="240" w:lineRule="atLeast"/>
        <w:rPr>
          <w:rFonts w:eastAsia="Times New Roman"/>
          <w:b/>
          <w:bCs/>
          <w:color w:val="000000"/>
        </w:rPr>
      </w:pPr>
      <w:r w:rsidRPr="003D570B">
        <w:rPr>
          <w:rFonts w:cstheme="minorHAnsi"/>
          <w:i/>
          <w:iCs/>
          <w:u w:val="single"/>
        </w:rPr>
        <w:t>Site Visit</w:t>
      </w:r>
      <w:r w:rsidRPr="003D570B" w:rsidR="00580972">
        <w:rPr>
          <w:rFonts w:cstheme="minorHAnsi"/>
          <w:i/>
          <w:iCs/>
          <w:u w:val="single"/>
        </w:rPr>
        <w:t>s</w:t>
      </w:r>
      <w:r w:rsidRPr="003D570B" w:rsidR="000566F5">
        <w:rPr>
          <w:rFonts w:cstheme="minorHAnsi"/>
          <w:i/>
          <w:iCs/>
          <w:u w:val="single"/>
        </w:rPr>
        <w:t xml:space="preserve"> (Instruments 3 and 4)</w:t>
      </w:r>
    </w:p>
    <w:p w:rsidR="00963A33" w:rsidP="392CF680" w14:paraId="4687F202" w14:textId="0499F35D">
      <w:pPr>
        <w:pStyle w:val="ListParagraph"/>
        <w:numPr>
          <w:ilvl w:val="0"/>
          <w:numId w:val="39"/>
        </w:numPr>
        <w:autoSpaceDE w:val="0"/>
        <w:autoSpaceDN w:val="0"/>
        <w:adjustRightInd w:val="0"/>
        <w:spacing w:after="0" w:line="240" w:lineRule="atLeast"/>
        <w:ind w:left="360"/>
        <w:rPr>
          <w:rFonts w:eastAsia="Times New Roman"/>
          <w:b/>
          <w:bCs/>
          <w:color w:val="000000"/>
        </w:rPr>
      </w:pPr>
      <w:r w:rsidRPr="2C8F1C5A">
        <w:rPr>
          <w:rFonts w:eastAsia="Times New Roman"/>
          <w:b/>
          <w:bCs/>
          <w:color w:val="000000" w:themeColor="text1"/>
        </w:rPr>
        <w:t>Data Collection Leads.</w:t>
      </w:r>
      <w:r>
        <w:t xml:space="preserve"> </w:t>
      </w:r>
      <w:r w:rsidR="2EEA3245">
        <w:t>Contractor s</w:t>
      </w:r>
      <w:r w:rsidR="3B8000A2">
        <w:t xml:space="preserve">ite teams </w:t>
      </w:r>
      <w:r w:rsidRPr="2C8F1C5A">
        <w:rPr>
          <w:rFonts w:eastAsia="Times New Roman"/>
          <w:color w:val="000000" w:themeColor="text1"/>
        </w:rPr>
        <w:t xml:space="preserve">will conduct site visits. </w:t>
      </w:r>
    </w:p>
    <w:p w:rsidR="004F3CE9" w:rsidP="006F082C" w14:paraId="07B3CEDF" w14:textId="77777777">
      <w:pPr>
        <w:pStyle w:val="ListParagraph"/>
        <w:numPr>
          <w:ilvl w:val="0"/>
          <w:numId w:val="39"/>
        </w:numPr>
        <w:autoSpaceDE w:val="0"/>
        <w:autoSpaceDN w:val="0"/>
        <w:adjustRightInd w:val="0"/>
        <w:spacing w:after="0" w:line="240" w:lineRule="atLeast"/>
        <w:ind w:left="360"/>
        <w:rPr>
          <w:rFonts w:eastAsia="Times New Roman"/>
          <w:b/>
          <w:bCs/>
          <w:color w:val="000000"/>
        </w:rPr>
      </w:pPr>
      <w:r w:rsidRPr="615D6A6B">
        <w:rPr>
          <w:rFonts w:eastAsia="Times New Roman"/>
          <w:b/>
          <w:bCs/>
          <w:color w:val="000000" w:themeColor="text1"/>
        </w:rPr>
        <w:t>Recruitment.</w:t>
      </w:r>
    </w:p>
    <w:p w:rsidR="00963A33" w:rsidP="3D4ECDC5" w14:paraId="2D980D77" w14:textId="08EA95FF">
      <w:pPr>
        <w:pStyle w:val="ListParagraph"/>
        <w:spacing w:after="0" w:line="240" w:lineRule="atLeast"/>
        <w:rPr>
          <w:rFonts w:eastAsia="Times New Roman"/>
          <w:color w:val="000000" w:themeColor="text1"/>
        </w:rPr>
      </w:pPr>
      <w:r w:rsidRPr="3C06D043">
        <w:rPr>
          <w:rFonts w:eastAsia="Times New Roman"/>
          <w:i/>
          <w:iCs/>
          <w:color w:val="000000" w:themeColor="text1"/>
          <w:u w:val="single"/>
        </w:rPr>
        <w:t>Key Respondent</w:t>
      </w:r>
      <w:r w:rsidRPr="3C06D043" w:rsidR="662DD772">
        <w:rPr>
          <w:rFonts w:eastAsia="Times New Roman"/>
          <w:i/>
          <w:iCs/>
          <w:color w:val="000000" w:themeColor="text1"/>
          <w:u w:val="single"/>
        </w:rPr>
        <w:t xml:space="preserve"> Interview Recruitment</w:t>
      </w:r>
      <w:r w:rsidRPr="3C06D043" w:rsidR="662DD772">
        <w:rPr>
          <w:rFonts w:eastAsia="Times New Roman"/>
          <w:i/>
          <w:iCs/>
          <w:color w:val="000000" w:themeColor="text1"/>
        </w:rPr>
        <w:t>.</w:t>
      </w:r>
      <w:r w:rsidRPr="3C06D043" w:rsidR="662DD772">
        <w:rPr>
          <w:rFonts w:eastAsia="Times New Roman"/>
          <w:b/>
          <w:bCs/>
          <w:color w:val="000000" w:themeColor="text1"/>
        </w:rPr>
        <w:t xml:space="preserve"> </w:t>
      </w:r>
      <w:r w:rsidRPr="3C06D043" w:rsidR="4CBB4655">
        <w:rPr>
          <w:rFonts w:eastAsia="Times New Roman"/>
          <w:color w:val="000000" w:themeColor="text1"/>
        </w:rPr>
        <w:t xml:space="preserve">Site teams </w:t>
      </w:r>
      <w:r w:rsidRPr="3C06D043" w:rsidR="662DD772">
        <w:rPr>
          <w:rFonts w:eastAsia="Times New Roman"/>
          <w:color w:val="000000" w:themeColor="text1"/>
        </w:rPr>
        <w:t xml:space="preserve">will work with the </w:t>
      </w:r>
      <w:r w:rsidRPr="3C06D043">
        <w:rPr>
          <w:rFonts w:eastAsia="Times New Roman"/>
          <w:color w:val="000000" w:themeColor="text1"/>
        </w:rPr>
        <w:t xml:space="preserve">RHY </w:t>
      </w:r>
      <w:r w:rsidRPr="3C06D043" w:rsidR="662DD772">
        <w:rPr>
          <w:rFonts w:eastAsia="Times New Roman"/>
          <w:color w:val="000000" w:themeColor="text1"/>
        </w:rPr>
        <w:t xml:space="preserve">PDP grantee </w:t>
      </w:r>
      <w:r w:rsidRPr="3C06D043">
        <w:rPr>
          <w:rFonts w:eastAsia="Times New Roman"/>
          <w:color w:val="000000" w:themeColor="text1"/>
        </w:rPr>
        <w:t xml:space="preserve">staff </w:t>
      </w:r>
      <w:r w:rsidRPr="3C06D043" w:rsidR="662DD772">
        <w:rPr>
          <w:rFonts w:eastAsia="Times New Roman"/>
          <w:color w:val="000000" w:themeColor="text1"/>
        </w:rPr>
        <w:t>to prioritize partners that represent RHY</w:t>
      </w:r>
      <w:r w:rsidRPr="3C06D043" w:rsidR="7EC63677">
        <w:rPr>
          <w:rFonts w:eastAsia="Times New Roman"/>
          <w:color w:val="000000" w:themeColor="text1"/>
        </w:rPr>
        <w:t xml:space="preserve"> </w:t>
      </w:r>
      <w:r w:rsidRPr="3C06D043" w:rsidR="662DD772">
        <w:rPr>
          <w:rFonts w:eastAsia="Times New Roman"/>
          <w:color w:val="000000" w:themeColor="text1"/>
        </w:rPr>
        <w:t xml:space="preserve">PDP housing or service providers as well as other partners in the housing and homelessness, jail and law enforcement, child welfare, school, and health (physical, mental, behavioral, etc.) system for interviews during site visits. Partners will be prioritized to ensure that different elements of the sites </w:t>
      </w:r>
      <w:r w:rsidRPr="3C06D043">
        <w:rPr>
          <w:rFonts w:eastAsia="Times New Roman"/>
          <w:color w:val="000000" w:themeColor="text1"/>
        </w:rPr>
        <w:t xml:space="preserve">RHY </w:t>
      </w:r>
      <w:r w:rsidRPr="3C06D043" w:rsidR="662DD772">
        <w:rPr>
          <w:rFonts w:eastAsia="Times New Roman"/>
          <w:color w:val="000000" w:themeColor="text1"/>
        </w:rPr>
        <w:t xml:space="preserve">PDP program are </w:t>
      </w:r>
      <w:r w:rsidRPr="3C06D043" w:rsidR="1D57C430">
        <w:rPr>
          <w:rFonts w:eastAsia="Times New Roman"/>
          <w:color w:val="000000" w:themeColor="text1"/>
        </w:rPr>
        <w:t>represented</w:t>
      </w:r>
      <w:r w:rsidRPr="3C06D043" w:rsidR="662DD772">
        <w:rPr>
          <w:rFonts w:eastAsia="Times New Roman"/>
          <w:color w:val="000000" w:themeColor="text1"/>
        </w:rPr>
        <w:t xml:space="preserve">, such as referral partners, direct service provision, and data and implementation planning or monitoring partners. The respondents </w:t>
      </w:r>
      <w:r w:rsidRPr="3C06D043" w:rsidR="0FDC18A5">
        <w:rPr>
          <w:rFonts w:eastAsia="Times New Roman"/>
          <w:color w:val="000000" w:themeColor="text1"/>
        </w:rPr>
        <w:t>for</w:t>
      </w:r>
      <w:r w:rsidRPr="3C06D043" w:rsidR="662DD772">
        <w:rPr>
          <w:rFonts w:eastAsia="Times New Roman"/>
          <w:color w:val="000000" w:themeColor="text1"/>
        </w:rPr>
        <w:t xml:space="preserve"> these interviews will be similar to the </w:t>
      </w:r>
      <w:r w:rsidRPr="3C06D043" w:rsidR="2C6B9F7B">
        <w:rPr>
          <w:rFonts w:eastAsia="Times New Roman"/>
          <w:color w:val="000000" w:themeColor="text1"/>
        </w:rPr>
        <w:t xml:space="preserve">participants </w:t>
      </w:r>
      <w:r w:rsidRPr="3C06D043" w:rsidR="662DD772">
        <w:rPr>
          <w:rFonts w:eastAsia="Times New Roman"/>
          <w:color w:val="000000" w:themeColor="text1"/>
        </w:rPr>
        <w:t xml:space="preserve">for the </w:t>
      </w:r>
      <w:r w:rsidRPr="3C06D043" w:rsidR="22189ADC">
        <w:rPr>
          <w:rFonts w:eastAsia="Times New Roman"/>
          <w:color w:val="000000" w:themeColor="text1"/>
        </w:rPr>
        <w:t>listening sessions</w:t>
      </w:r>
      <w:r w:rsidRPr="3C06D043" w:rsidR="7CFD8AC5">
        <w:rPr>
          <w:rFonts w:eastAsia="Times New Roman"/>
          <w:color w:val="000000" w:themeColor="text1"/>
        </w:rPr>
        <w:t>,</w:t>
      </w:r>
      <w:r w:rsidRPr="3C06D043" w:rsidR="446F8B4F">
        <w:rPr>
          <w:rFonts w:eastAsia="Times New Roman"/>
          <w:color w:val="000000" w:themeColor="text1"/>
        </w:rPr>
        <w:t xml:space="preserve"> and some </w:t>
      </w:r>
      <w:r w:rsidRPr="3C06D043" w:rsidR="2C6B9F7B">
        <w:rPr>
          <w:rFonts w:eastAsia="Times New Roman"/>
          <w:color w:val="000000" w:themeColor="text1"/>
        </w:rPr>
        <w:t xml:space="preserve">individuals </w:t>
      </w:r>
      <w:r w:rsidRPr="3C06D043" w:rsidR="0B04F56E">
        <w:rPr>
          <w:rFonts w:eastAsia="Times New Roman"/>
          <w:color w:val="000000" w:themeColor="text1"/>
        </w:rPr>
        <w:t>will participate in both the interview</w:t>
      </w:r>
      <w:r w:rsidRPr="3C06D043" w:rsidR="082C7A25">
        <w:rPr>
          <w:rFonts w:eastAsia="Times New Roman"/>
          <w:color w:val="000000" w:themeColor="text1"/>
        </w:rPr>
        <w:t>s</w:t>
      </w:r>
      <w:r w:rsidRPr="3C06D043" w:rsidR="0B04F56E">
        <w:rPr>
          <w:rFonts w:eastAsia="Times New Roman"/>
          <w:color w:val="000000" w:themeColor="text1"/>
        </w:rPr>
        <w:t xml:space="preserve"> and </w:t>
      </w:r>
      <w:r w:rsidRPr="3C06D043" w:rsidR="22189ADC">
        <w:rPr>
          <w:rFonts w:eastAsia="Times New Roman"/>
          <w:color w:val="000000" w:themeColor="text1"/>
        </w:rPr>
        <w:t>listening sessions</w:t>
      </w:r>
      <w:r w:rsidRPr="3C06D043" w:rsidR="662DD772">
        <w:rPr>
          <w:rFonts w:eastAsia="Times New Roman"/>
          <w:color w:val="000000" w:themeColor="text1"/>
        </w:rPr>
        <w:t xml:space="preserve">. </w:t>
      </w:r>
      <w:r w:rsidRPr="3C06D043">
        <w:rPr>
          <w:rFonts w:eastAsia="Times New Roman"/>
          <w:color w:val="000000" w:themeColor="text1"/>
        </w:rPr>
        <w:t xml:space="preserve">RHY PDP grantee staff </w:t>
      </w:r>
      <w:r w:rsidRPr="3C06D043" w:rsidR="662DD772">
        <w:rPr>
          <w:rFonts w:eastAsia="Times New Roman"/>
          <w:color w:val="000000" w:themeColor="text1"/>
        </w:rPr>
        <w:t xml:space="preserve">will </w:t>
      </w:r>
      <w:r w:rsidRPr="3C06D043" w:rsidR="4C8538CA">
        <w:rPr>
          <w:rFonts w:eastAsia="Times New Roman"/>
          <w:color w:val="000000" w:themeColor="text1"/>
        </w:rPr>
        <w:t>provide</w:t>
      </w:r>
      <w:r w:rsidRPr="3C06D043" w:rsidR="2CF89141">
        <w:rPr>
          <w:rFonts w:eastAsia="Times New Roman"/>
          <w:color w:val="000000" w:themeColor="text1"/>
        </w:rPr>
        <w:t xml:space="preserve"> </w:t>
      </w:r>
      <w:r w:rsidRPr="3C06D043" w:rsidR="2C6B9F7B">
        <w:rPr>
          <w:rFonts w:eastAsia="Times New Roman"/>
          <w:color w:val="000000" w:themeColor="text1"/>
        </w:rPr>
        <w:t xml:space="preserve">site teams </w:t>
      </w:r>
      <w:r w:rsidRPr="3C06D043" w:rsidR="6F44D2EC">
        <w:rPr>
          <w:rFonts w:eastAsia="Times New Roman"/>
          <w:color w:val="000000" w:themeColor="text1"/>
        </w:rPr>
        <w:t xml:space="preserve">with </w:t>
      </w:r>
      <w:r w:rsidRPr="3C06D043" w:rsidR="3EA7870E">
        <w:rPr>
          <w:rFonts w:eastAsia="Times New Roman"/>
          <w:color w:val="000000" w:themeColor="text1"/>
        </w:rPr>
        <w:t>part</w:t>
      </w:r>
      <w:r w:rsidRPr="3C06D043" w:rsidR="302BF26C">
        <w:rPr>
          <w:rFonts w:eastAsia="Times New Roman"/>
          <w:color w:val="000000" w:themeColor="text1"/>
        </w:rPr>
        <w:t>ner</w:t>
      </w:r>
      <w:r w:rsidRPr="3C06D043" w:rsidR="662DD772">
        <w:rPr>
          <w:rFonts w:eastAsia="Times New Roman"/>
          <w:color w:val="000000" w:themeColor="text1"/>
        </w:rPr>
        <w:t xml:space="preserve"> contact information over </w:t>
      </w:r>
      <w:r w:rsidRPr="3C06D043" w:rsidR="2C6B9F7B">
        <w:rPr>
          <w:rFonts w:eastAsia="Times New Roman"/>
          <w:color w:val="000000" w:themeColor="text1"/>
        </w:rPr>
        <w:t xml:space="preserve">encrypted </w:t>
      </w:r>
      <w:r w:rsidRPr="3C06D043" w:rsidR="662DD772">
        <w:rPr>
          <w:rFonts w:eastAsia="Times New Roman"/>
          <w:color w:val="000000" w:themeColor="text1"/>
        </w:rPr>
        <w:t>email. These interviews will involve minimal risk</w:t>
      </w:r>
      <w:r w:rsidRPr="3C06D043" w:rsidR="4BF3A1B3">
        <w:rPr>
          <w:rFonts w:eastAsia="Times New Roman"/>
          <w:color w:val="000000" w:themeColor="text1"/>
        </w:rPr>
        <w:t>.</w:t>
      </w:r>
      <w:r w:rsidRPr="3C06D043" w:rsidR="662DD772">
        <w:rPr>
          <w:rFonts w:eastAsia="Times New Roman"/>
          <w:color w:val="000000" w:themeColor="text1"/>
        </w:rPr>
        <w:t xml:space="preserve"> </w:t>
      </w:r>
      <w:r w:rsidRPr="3C06D043" w:rsidR="42428672">
        <w:rPr>
          <w:rFonts w:eastAsia="Times New Roman"/>
          <w:color w:val="000000" w:themeColor="text1"/>
        </w:rPr>
        <w:t>P</w:t>
      </w:r>
      <w:r w:rsidRPr="3C06D043" w:rsidR="47DA62B6">
        <w:rPr>
          <w:rFonts w:eastAsia="Times New Roman"/>
          <w:color w:val="000000" w:themeColor="text1"/>
        </w:rPr>
        <w:t>art</w:t>
      </w:r>
      <w:r w:rsidRPr="3C06D043" w:rsidR="31A6DAB1">
        <w:rPr>
          <w:rFonts w:eastAsia="Times New Roman"/>
          <w:color w:val="000000" w:themeColor="text1"/>
        </w:rPr>
        <w:t>ners</w:t>
      </w:r>
      <w:r w:rsidRPr="3C06D043" w:rsidR="47DA62B6">
        <w:rPr>
          <w:rFonts w:eastAsia="Times New Roman"/>
          <w:color w:val="000000" w:themeColor="text1"/>
        </w:rPr>
        <w:t xml:space="preserve"> will be serving in their </w:t>
      </w:r>
      <w:r w:rsidRPr="3C06D043" w:rsidR="662DD772">
        <w:rPr>
          <w:rFonts w:eastAsia="Times New Roman"/>
          <w:color w:val="000000" w:themeColor="text1"/>
        </w:rPr>
        <w:t xml:space="preserve">professional capacity </w:t>
      </w:r>
      <w:r w:rsidRPr="3C06D043" w:rsidR="3A247992">
        <w:rPr>
          <w:rFonts w:eastAsia="Times New Roman"/>
          <w:color w:val="000000" w:themeColor="text1"/>
        </w:rPr>
        <w:t>and encrypted email will be sent to their work addresses</w:t>
      </w:r>
      <w:r w:rsidRPr="3C06D043" w:rsidR="662DD772">
        <w:rPr>
          <w:rFonts w:eastAsia="Times New Roman"/>
          <w:color w:val="000000" w:themeColor="text1"/>
        </w:rPr>
        <w:t xml:space="preserve">. </w:t>
      </w:r>
      <w:r w:rsidRPr="3C06D043" w:rsidR="2C6B9F7B">
        <w:rPr>
          <w:rFonts w:eastAsia="Times New Roman"/>
          <w:color w:val="000000" w:themeColor="text1"/>
        </w:rPr>
        <w:t xml:space="preserve">Site teams </w:t>
      </w:r>
      <w:r w:rsidRPr="3C06D043" w:rsidR="662DD772">
        <w:rPr>
          <w:rFonts w:eastAsia="Times New Roman"/>
          <w:color w:val="000000" w:themeColor="text1"/>
        </w:rPr>
        <w:t xml:space="preserve">will email </w:t>
      </w:r>
      <w:r w:rsidRPr="3C06D043" w:rsidR="1A7FA86D">
        <w:rPr>
          <w:rFonts w:eastAsia="Times New Roman"/>
          <w:color w:val="000000" w:themeColor="text1"/>
        </w:rPr>
        <w:t>partners</w:t>
      </w:r>
      <w:r w:rsidRPr="3C06D043" w:rsidR="662DD772">
        <w:rPr>
          <w:rFonts w:eastAsia="Times New Roman"/>
          <w:color w:val="000000" w:themeColor="text1"/>
        </w:rPr>
        <w:t xml:space="preserve"> </w:t>
      </w:r>
      <w:r w:rsidRPr="3C06D043" w:rsidR="25C2977E">
        <w:rPr>
          <w:rFonts w:eastAsia="Times New Roman"/>
          <w:color w:val="000000" w:themeColor="text1"/>
        </w:rPr>
        <w:t xml:space="preserve">an invitation </w:t>
      </w:r>
      <w:r w:rsidRPr="3C06D043" w:rsidR="19621351">
        <w:rPr>
          <w:rFonts w:eastAsia="Times New Roman"/>
          <w:color w:val="000000" w:themeColor="text1"/>
        </w:rPr>
        <w:t>and coordinate interview logistics</w:t>
      </w:r>
      <w:r w:rsidRPr="3C06D043" w:rsidR="662DD772">
        <w:rPr>
          <w:rFonts w:eastAsia="Times New Roman"/>
          <w:color w:val="000000" w:themeColor="text1"/>
        </w:rPr>
        <w:t>.</w:t>
      </w:r>
    </w:p>
    <w:p w:rsidR="003F5243" w:rsidRPr="009603E7" w:rsidP="3D4ECDC5" w14:paraId="3057EABA" w14:textId="77777777">
      <w:pPr>
        <w:pStyle w:val="ListParagraph"/>
        <w:spacing w:after="0" w:line="240" w:lineRule="atLeast"/>
        <w:rPr>
          <w:rFonts w:eastAsia="Times New Roman"/>
          <w:color w:val="000000" w:themeColor="text1"/>
        </w:rPr>
      </w:pPr>
    </w:p>
    <w:p w:rsidR="003F5243" w:rsidRPr="009603E7" w:rsidP="3D4ECDC5" w14:paraId="33CD1C92" w14:textId="452A4B18">
      <w:pPr>
        <w:pStyle w:val="ListParagraph"/>
        <w:spacing w:after="0" w:line="240" w:lineRule="atLeast"/>
        <w:rPr>
          <w:rFonts w:eastAsia="Times New Roman"/>
          <w:color w:val="000000" w:themeColor="text1"/>
        </w:rPr>
      </w:pPr>
      <w:r w:rsidRPr="003F5243">
        <w:rPr>
          <w:rFonts w:eastAsia="Times New Roman"/>
          <w:color w:val="000000" w:themeColor="text1"/>
        </w:rPr>
        <w:t xml:space="preserve">Before each interview, site teams will explain the evaluation and how interview findings will be used and inform respondents that they will be free to skip any question they do not want to answer. Site teams will request permission to audio record each interview as a backup to interview notes; respondents will be free to decline the recording if they prefer handwritten notes only. Audio recordings will be permanently destroyed as soon as the contractor has a complete set of notes and completed any verification or clarification that is needed. Handwritten notes will be destroyed at the end of the evaluation contract.  </w:t>
      </w:r>
    </w:p>
    <w:p w:rsidR="2C8F1C5A" w:rsidP="2C8F1C5A" w14:paraId="57D7B34C" w14:textId="23A244C5">
      <w:pPr>
        <w:pStyle w:val="ListParagraph"/>
        <w:spacing w:after="0" w:line="240" w:lineRule="atLeast"/>
        <w:rPr>
          <w:rFonts w:eastAsia="Times New Roman"/>
          <w:i/>
          <w:iCs/>
          <w:color w:val="000000" w:themeColor="text1"/>
          <w:u w:val="single"/>
        </w:rPr>
      </w:pPr>
    </w:p>
    <w:p w:rsidR="004F3CE9" w:rsidP="392CF680" w14:paraId="75C49806" w14:textId="7E827F91">
      <w:pPr>
        <w:pStyle w:val="ListParagraph"/>
        <w:autoSpaceDE w:val="0"/>
        <w:autoSpaceDN w:val="0"/>
        <w:adjustRightInd w:val="0"/>
        <w:spacing w:after="0" w:line="240" w:lineRule="atLeast"/>
        <w:rPr>
          <w:rFonts w:eastAsia="Times New Roman"/>
          <w:color w:val="000000"/>
        </w:rPr>
      </w:pPr>
      <w:r w:rsidRPr="2C8F1C5A">
        <w:rPr>
          <w:rFonts w:eastAsia="Times New Roman"/>
          <w:i/>
          <w:iCs/>
          <w:color w:val="000000" w:themeColor="text1"/>
          <w:u w:val="single"/>
        </w:rPr>
        <w:t>Youth Focus Group Recruitment</w:t>
      </w:r>
      <w:r w:rsidRPr="2C8F1C5A">
        <w:rPr>
          <w:rFonts w:eastAsia="Times New Roman"/>
          <w:i/>
          <w:iCs/>
          <w:color w:val="000000" w:themeColor="text1"/>
        </w:rPr>
        <w:t xml:space="preserve">. </w:t>
      </w:r>
      <w:r w:rsidRPr="2C8F1C5A" w:rsidR="2C6B9F7B">
        <w:rPr>
          <w:rFonts w:eastAsia="Times New Roman"/>
          <w:color w:val="000000" w:themeColor="text1"/>
        </w:rPr>
        <w:t xml:space="preserve">The contractor </w:t>
      </w:r>
      <w:r w:rsidRPr="2C8F1C5A" w:rsidR="4BD69986">
        <w:rPr>
          <w:rFonts w:eastAsia="Times New Roman"/>
          <w:color w:val="000000" w:themeColor="text1"/>
        </w:rPr>
        <w:t>plan</w:t>
      </w:r>
      <w:r w:rsidRPr="2C8F1C5A" w:rsidR="2C6B9F7B">
        <w:rPr>
          <w:rFonts w:eastAsia="Times New Roman"/>
          <w:color w:val="000000" w:themeColor="text1"/>
        </w:rPr>
        <w:t>s</w:t>
      </w:r>
      <w:r w:rsidRPr="2C8F1C5A" w:rsidR="4BD69986">
        <w:rPr>
          <w:rFonts w:eastAsia="Times New Roman"/>
          <w:color w:val="000000" w:themeColor="text1"/>
        </w:rPr>
        <w:t xml:space="preserve"> to facilitate two </w:t>
      </w:r>
      <w:r w:rsidRPr="2C8F1C5A" w:rsidR="799C4CB7">
        <w:rPr>
          <w:rFonts w:eastAsia="Times New Roman"/>
          <w:color w:val="000000" w:themeColor="text1"/>
        </w:rPr>
        <w:t>focus groups with young people:</w:t>
      </w:r>
      <w:r w:rsidRPr="2C8F1C5A" w:rsidR="535C5A5E">
        <w:rPr>
          <w:rFonts w:eastAsia="Times New Roman"/>
          <w:color w:val="000000" w:themeColor="text1"/>
        </w:rPr>
        <w:t xml:space="preserve"> </w:t>
      </w:r>
      <w:r w:rsidRPr="2C8F1C5A" w:rsidR="799C4CB7">
        <w:rPr>
          <w:rFonts w:eastAsia="Times New Roman"/>
          <w:color w:val="000000" w:themeColor="text1"/>
        </w:rPr>
        <w:t xml:space="preserve">one with </w:t>
      </w:r>
      <w:r w:rsidRPr="2C8F1C5A" w:rsidR="33BB356B">
        <w:rPr>
          <w:rFonts w:eastAsia="Times New Roman"/>
          <w:color w:val="000000" w:themeColor="text1"/>
        </w:rPr>
        <w:t xml:space="preserve">young people participating in RHY </w:t>
      </w:r>
      <w:r w:rsidRPr="2C8F1C5A" w:rsidR="5E26AE93">
        <w:rPr>
          <w:rFonts w:eastAsia="Times New Roman"/>
          <w:color w:val="000000" w:themeColor="text1"/>
        </w:rPr>
        <w:t xml:space="preserve">PDP programming and one </w:t>
      </w:r>
      <w:r w:rsidRPr="2C8F1C5A" w:rsidR="799C4CB7">
        <w:rPr>
          <w:rFonts w:eastAsia="Times New Roman"/>
          <w:color w:val="000000" w:themeColor="text1"/>
        </w:rPr>
        <w:t>with a local Youth Advisory Board (YAB) established by the RHY PDP grantee</w:t>
      </w:r>
      <w:r w:rsidRPr="2C8F1C5A" w:rsidR="3E2FD6F0">
        <w:rPr>
          <w:rFonts w:eastAsia="Times New Roman"/>
          <w:color w:val="000000" w:themeColor="text1"/>
        </w:rPr>
        <w:t>.</w:t>
      </w:r>
      <w:r w:rsidRPr="2C8F1C5A" w:rsidR="799C4CB7">
        <w:rPr>
          <w:rFonts w:eastAsia="Times New Roman"/>
          <w:color w:val="000000" w:themeColor="text1"/>
        </w:rPr>
        <w:t xml:space="preserve"> </w:t>
      </w:r>
    </w:p>
    <w:p w:rsidR="004F3CE9" w:rsidP="004F3CE9" w14:paraId="01279B37" w14:textId="77777777">
      <w:pPr>
        <w:pStyle w:val="ListParagraph"/>
        <w:autoSpaceDE w:val="0"/>
        <w:autoSpaceDN w:val="0"/>
        <w:adjustRightInd w:val="0"/>
        <w:spacing w:after="0" w:line="240" w:lineRule="atLeast"/>
        <w:ind w:left="1080"/>
        <w:rPr>
          <w:rFonts w:eastAsia="Times New Roman" w:cstheme="minorHAnsi"/>
          <w:i/>
          <w:iCs/>
          <w:color w:val="000000"/>
          <w:u w:val="single"/>
        </w:rPr>
      </w:pPr>
    </w:p>
    <w:p w:rsidR="004F3CE9" w:rsidRPr="004F3CE9" w:rsidP="2C8F1C5A" w14:paraId="54D7390E" w14:textId="665EFFD3">
      <w:pPr>
        <w:spacing w:after="0" w:line="240" w:lineRule="atLeast"/>
        <w:ind w:left="720"/>
        <w:rPr>
          <w:rFonts w:eastAsia="Times New Roman"/>
          <w:color w:val="000000" w:themeColor="text1"/>
        </w:rPr>
      </w:pPr>
      <w:r w:rsidRPr="15CC7FDF">
        <w:rPr>
          <w:rFonts w:eastAsia="Times New Roman"/>
          <w:color w:val="000000" w:themeColor="text1"/>
        </w:rPr>
        <w:t xml:space="preserve">Site teams </w:t>
      </w:r>
      <w:r w:rsidRPr="15CC7FDF" w:rsidR="5E26AE93">
        <w:rPr>
          <w:rFonts w:eastAsia="Times New Roman"/>
          <w:color w:val="000000" w:themeColor="text1"/>
        </w:rPr>
        <w:t xml:space="preserve">will </w:t>
      </w:r>
      <w:r w:rsidRPr="15CC7FDF" w:rsidR="1A40FF83">
        <w:rPr>
          <w:rFonts w:eastAsia="Times New Roman"/>
          <w:color w:val="000000" w:themeColor="text1"/>
        </w:rPr>
        <w:t xml:space="preserve">consult with </w:t>
      </w:r>
      <w:r w:rsidRPr="15CC7FDF" w:rsidR="2CD76B70">
        <w:rPr>
          <w:rFonts w:eastAsia="Times New Roman"/>
          <w:color w:val="000000" w:themeColor="text1"/>
        </w:rPr>
        <w:t>the</w:t>
      </w:r>
      <w:r w:rsidRPr="15CC7FDF" w:rsidR="2EEA3245">
        <w:rPr>
          <w:rFonts w:eastAsia="Times New Roman"/>
          <w:color w:val="000000" w:themeColor="text1"/>
        </w:rPr>
        <w:t xml:space="preserve"> </w:t>
      </w:r>
      <w:r w:rsidRPr="15CC7FDF" w:rsidR="5E26AE93">
        <w:rPr>
          <w:rFonts w:eastAsia="Times New Roman"/>
          <w:color w:val="000000" w:themeColor="text1"/>
        </w:rPr>
        <w:t xml:space="preserve">RHY PDP grantee </w:t>
      </w:r>
      <w:r w:rsidRPr="15CC7FDF" w:rsidR="2EEA3245">
        <w:rPr>
          <w:rFonts w:eastAsia="Times New Roman"/>
          <w:color w:val="000000" w:themeColor="text1"/>
        </w:rPr>
        <w:t xml:space="preserve">site </w:t>
      </w:r>
      <w:r w:rsidRPr="15CC7FDF" w:rsidR="5E26AE93">
        <w:rPr>
          <w:rFonts w:eastAsia="Times New Roman"/>
          <w:color w:val="000000" w:themeColor="text1"/>
        </w:rPr>
        <w:t xml:space="preserve">and any relevant community partners </w:t>
      </w:r>
      <w:r w:rsidRPr="15CC7FDF" w:rsidR="040D7F84">
        <w:rPr>
          <w:rFonts w:eastAsia="Times New Roman"/>
          <w:color w:val="000000" w:themeColor="text1"/>
        </w:rPr>
        <w:t xml:space="preserve">to </w:t>
      </w:r>
      <w:r w:rsidRPr="15CC7FDF" w:rsidR="0CE319D1">
        <w:rPr>
          <w:rFonts w:eastAsia="Times New Roman"/>
          <w:color w:val="000000" w:themeColor="text1"/>
        </w:rPr>
        <w:t>plan the two</w:t>
      </w:r>
      <w:r w:rsidRPr="15CC7FDF" w:rsidR="5E26AE93">
        <w:rPr>
          <w:rFonts w:eastAsia="Times New Roman"/>
          <w:color w:val="000000" w:themeColor="text1"/>
        </w:rPr>
        <w:t xml:space="preserve"> focus group</w:t>
      </w:r>
      <w:r w:rsidRPr="15CC7FDF" w:rsidR="0CE319D1">
        <w:rPr>
          <w:rFonts w:eastAsia="Times New Roman"/>
          <w:color w:val="000000" w:themeColor="text1"/>
        </w:rPr>
        <w:t>s</w:t>
      </w:r>
      <w:r w:rsidRPr="15CC7FDF" w:rsidR="5E26AE93">
        <w:rPr>
          <w:rFonts w:eastAsia="Times New Roman"/>
          <w:color w:val="000000" w:themeColor="text1"/>
        </w:rPr>
        <w:t>.</w:t>
      </w:r>
      <w:r w:rsidRPr="15CC7FDF" w:rsidR="0CE319D1">
        <w:rPr>
          <w:rFonts w:eastAsia="Times New Roman"/>
          <w:color w:val="000000" w:themeColor="text1"/>
        </w:rPr>
        <w:t xml:space="preserve"> In cases where</w:t>
      </w:r>
      <w:r w:rsidRPr="15CC7FDF" w:rsidR="5E26AE93">
        <w:rPr>
          <w:rFonts w:eastAsia="Times New Roman"/>
          <w:color w:val="000000" w:themeColor="text1"/>
        </w:rPr>
        <w:t xml:space="preserve"> </w:t>
      </w:r>
      <w:r w:rsidRPr="15CC7FDF">
        <w:rPr>
          <w:rFonts w:eastAsia="Times New Roman"/>
          <w:color w:val="000000" w:themeColor="text1"/>
        </w:rPr>
        <w:t xml:space="preserve">site teams </w:t>
      </w:r>
      <w:r w:rsidRPr="15CC7FDF" w:rsidR="1A730466">
        <w:rPr>
          <w:rFonts w:eastAsia="Times New Roman"/>
          <w:color w:val="000000" w:themeColor="text1"/>
        </w:rPr>
        <w:t xml:space="preserve">are not able to meet with the YAB, </w:t>
      </w:r>
      <w:r w:rsidRPr="15CC7FDF">
        <w:rPr>
          <w:rFonts w:eastAsia="Times New Roman"/>
          <w:color w:val="000000" w:themeColor="text1"/>
        </w:rPr>
        <w:t xml:space="preserve">they </w:t>
      </w:r>
      <w:r w:rsidRPr="15CC7FDF" w:rsidR="1A730466">
        <w:rPr>
          <w:rFonts w:eastAsia="Times New Roman"/>
          <w:color w:val="000000" w:themeColor="text1"/>
        </w:rPr>
        <w:t>will conduct two focus groups with you</w:t>
      </w:r>
      <w:r w:rsidRPr="15CC7FDF" w:rsidR="494D8EB1">
        <w:rPr>
          <w:rFonts w:eastAsia="Times New Roman"/>
          <w:color w:val="000000" w:themeColor="text1"/>
        </w:rPr>
        <w:t>th</w:t>
      </w:r>
      <w:r w:rsidRPr="15CC7FDF" w:rsidR="1A730466">
        <w:rPr>
          <w:rFonts w:eastAsia="Times New Roman"/>
          <w:color w:val="000000" w:themeColor="text1"/>
        </w:rPr>
        <w:t xml:space="preserve"> participating in the </w:t>
      </w:r>
      <w:r w:rsidRPr="15CC7FDF" w:rsidR="3B8000A2">
        <w:rPr>
          <w:rFonts w:eastAsia="Times New Roman"/>
          <w:color w:val="000000" w:themeColor="text1"/>
        </w:rPr>
        <w:t>RHY PDP</w:t>
      </w:r>
      <w:r w:rsidRPr="15CC7FDF" w:rsidR="1A730466">
        <w:rPr>
          <w:rFonts w:eastAsia="Times New Roman"/>
          <w:color w:val="000000" w:themeColor="text1"/>
        </w:rPr>
        <w:t xml:space="preserve">. </w:t>
      </w:r>
      <w:r w:rsidRPr="15CC7FDF" w:rsidR="4DCD2743">
        <w:rPr>
          <w:rFonts w:eastAsia="Times New Roman"/>
          <w:color w:val="000000" w:themeColor="text1"/>
        </w:rPr>
        <w:t>Up to t</w:t>
      </w:r>
      <w:r w:rsidRPr="15CC7FDF" w:rsidR="23998118">
        <w:rPr>
          <w:rFonts w:eastAsia="Times New Roman"/>
          <w:color w:val="000000" w:themeColor="text1"/>
        </w:rPr>
        <w:t>welve</w:t>
      </w:r>
      <w:r w:rsidRPr="15CC7FDF" w:rsidR="1A730466">
        <w:rPr>
          <w:rFonts w:eastAsia="Times New Roman"/>
          <w:color w:val="000000" w:themeColor="text1"/>
        </w:rPr>
        <w:t xml:space="preserve"> </w:t>
      </w:r>
      <w:r w:rsidRPr="15CC7FDF" w:rsidR="72ADF1C6">
        <w:rPr>
          <w:rFonts w:eastAsia="Times New Roman"/>
          <w:color w:val="000000" w:themeColor="text1"/>
        </w:rPr>
        <w:t>youth</w:t>
      </w:r>
      <w:r w:rsidRPr="15CC7FDF" w:rsidR="1A730466">
        <w:rPr>
          <w:rFonts w:eastAsia="Times New Roman"/>
          <w:color w:val="000000" w:themeColor="text1"/>
        </w:rPr>
        <w:t xml:space="preserve"> </w:t>
      </w:r>
      <w:r w:rsidRPr="15CC7FDF" w:rsidR="6BC5118B">
        <w:rPr>
          <w:rFonts w:eastAsia="Times New Roman"/>
          <w:color w:val="000000" w:themeColor="text1"/>
        </w:rPr>
        <w:t xml:space="preserve">will </w:t>
      </w:r>
      <w:r w:rsidRPr="15CC7FDF" w:rsidR="1A730466">
        <w:rPr>
          <w:rFonts w:eastAsia="Times New Roman"/>
          <w:color w:val="000000" w:themeColor="text1"/>
        </w:rPr>
        <w:t xml:space="preserve">participate in each focus group. </w:t>
      </w:r>
      <w:r w:rsidRPr="15CC7FDF">
        <w:rPr>
          <w:rFonts w:eastAsia="Times New Roman"/>
          <w:color w:val="000000" w:themeColor="text1"/>
        </w:rPr>
        <w:t xml:space="preserve">Site teams </w:t>
      </w:r>
      <w:r w:rsidRPr="15CC7FDF" w:rsidR="1A730466">
        <w:rPr>
          <w:rFonts w:eastAsia="Times New Roman"/>
          <w:color w:val="000000" w:themeColor="text1"/>
        </w:rPr>
        <w:t xml:space="preserve">will provide </w:t>
      </w:r>
      <w:r w:rsidRPr="15CC7FDF" w:rsidR="22888DFC">
        <w:rPr>
          <w:rFonts w:eastAsia="Times New Roman"/>
          <w:color w:val="000000" w:themeColor="text1"/>
        </w:rPr>
        <w:t xml:space="preserve">materials </w:t>
      </w:r>
      <w:r w:rsidRPr="15CC7FDF" w:rsidR="3FE8F012">
        <w:rPr>
          <w:rFonts w:eastAsia="Times New Roman"/>
          <w:color w:val="000000" w:themeColor="text1"/>
        </w:rPr>
        <w:t>for</w:t>
      </w:r>
      <w:r w:rsidRPr="15CC7FDF" w:rsidR="22888DFC">
        <w:rPr>
          <w:rFonts w:eastAsia="Times New Roman"/>
          <w:color w:val="000000" w:themeColor="text1"/>
        </w:rPr>
        <w:t xml:space="preserve"> partners to </w:t>
      </w:r>
      <w:r w:rsidRPr="15CC7FDF" w:rsidR="1A730466">
        <w:rPr>
          <w:rFonts w:eastAsia="Times New Roman"/>
          <w:color w:val="000000" w:themeColor="text1"/>
        </w:rPr>
        <w:t xml:space="preserve">assist with recruitment, including a recruitment flyer to distribute to eligible young people. </w:t>
      </w:r>
      <w:r w:rsidRPr="15CC7FDF" w:rsidR="6F74D751">
        <w:rPr>
          <w:rFonts w:eastAsia="Times New Roman"/>
          <w:color w:val="000000" w:themeColor="text1"/>
        </w:rPr>
        <w:t xml:space="preserve">Those </w:t>
      </w:r>
      <w:r w:rsidRPr="15CC7FDF" w:rsidR="01C3E46D">
        <w:rPr>
          <w:rFonts w:eastAsia="Times New Roman"/>
          <w:color w:val="000000" w:themeColor="text1"/>
        </w:rPr>
        <w:t>p</w:t>
      </w:r>
      <w:r w:rsidRPr="15CC7FDF" w:rsidR="1A730466">
        <w:rPr>
          <w:rFonts w:eastAsia="Times New Roman"/>
          <w:color w:val="000000" w:themeColor="text1"/>
        </w:rPr>
        <w:t xml:space="preserve">artners </w:t>
      </w:r>
      <w:r w:rsidRPr="15CC7FDF" w:rsidR="401BE3DC">
        <w:rPr>
          <w:rFonts w:eastAsia="Times New Roman"/>
          <w:color w:val="000000" w:themeColor="text1"/>
        </w:rPr>
        <w:t xml:space="preserve">who agree to assist with recruitment </w:t>
      </w:r>
      <w:r w:rsidRPr="15CC7FDF" w:rsidR="1A730466">
        <w:rPr>
          <w:rFonts w:eastAsia="Times New Roman"/>
          <w:color w:val="000000" w:themeColor="text1"/>
        </w:rPr>
        <w:t>will be asked to sign a confidentiality pledge stating that they understand their role</w:t>
      </w:r>
      <w:r w:rsidRPr="15CC7FDF" w:rsidR="535C5A5E">
        <w:rPr>
          <w:rFonts w:eastAsia="Times New Roman"/>
          <w:color w:val="000000" w:themeColor="text1"/>
        </w:rPr>
        <w:t xml:space="preserve">, </w:t>
      </w:r>
      <w:r w:rsidRPr="15CC7FDF" w:rsidR="0473ACAE">
        <w:rPr>
          <w:rFonts w:eastAsia="Times New Roman"/>
          <w:color w:val="000000" w:themeColor="text1"/>
        </w:rPr>
        <w:t xml:space="preserve">including </w:t>
      </w:r>
      <w:r w:rsidRPr="15CC7FDF" w:rsidR="70DEF8BC">
        <w:rPr>
          <w:rFonts w:eastAsia="Times New Roman"/>
          <w:color w:val="000000" w:themeColor="text1"/>
        </w:rPr>
        <w:t>responsibilities related to participant</w:t>
      </w:r>
      <w:r w:rsidRPr="15CC7FDF" w:rsidR="3D99435B">
        <w:rPr>
          <w:rFonts w:eastAsia="Times New Roman"/>
          <w:color w:val="000000" w:themeColor="text1"/>
        </w:rPr>
        <w:t>s’</w:t>
      </w:r>
      <w:r w:rsidRPr="15CC7FDF" w:rsidR="70DEF8BC">
        <w:rPr>
          <w:rFonts w:eastAsia="Times New Roman"/>
          <w:color w:val="000000" w:themeColor="text1"/>
        </w:rPr>
        <w:t xml:space="preserve"> privacy</w:t>
      </w:r>
      <w:r w:rsidRPr="15CC7FDF" w:rsidR="621098E4">
        <w:rPr>
          <w:rFonts w:eastAsia="Times New Roman"/>
          <w:color w:val="000000" w:themeColor="text1"/>
        </w:rPr>
        <w:t>.</w:t>
      </w:r>
    </w:p>
    <w:p w:rsidR="004F3CE9" w:rsidRPr="004F3CE9" w:rsidP="6A44C99A" w14:paraId="5FB4A3A7" w14:textId="77777777">
      <w:pPr>
        <w:pStyle w:val="ListParagraph"/>
        <w:autoSpaceDE w:val="0"/>
        <w:autoSpaceDN w:val="0"/>
        <w:adjustRightInd w:val="0"/>
        <w:spacing w:after="0" w:line="240" w:lineRule="atLeast"/>
        <w:ind w:left="1080"/>
        <w:rPr>
          <w:rFonts w:eastAsia="Times New Roman"/>
          <w:color w:val="000000"/>
        </w:rPr>
      </w:pPr>
    </w:p>
    <w:p w:rsidR="004F3CE9" w:rsidRPr="004F3CE9" w:rsidP="2C8F1C5A" w14:paraId="203ECFAC" w14:textId="039C0D72">
      <w:pPr>
        <w:spacing w:after="0" w:line="240" w:lineRule="atLeast"/>
        <w:ind w:left="720"/>
        <w:rPr>
          <w:rFonts w:eastAsia="Times New Roman"/>
          <w:color w:val="000000" w:themeColor="text1"/>
        </w:rPr>
      </w:pPr>
      <w:r w:rsidRPr="2C8F1C5A">
        <w:rPr>
          <w:rFonts w:eastAsia="Times New Roman"/>
          <w:color w:val="000000" w:themeColor="text1"/>
        </w:rPr>
        <w:t xml:space="preserve">The RHY PDP grantee </w:t>
      </w:r>
      <w:r w:rsidRPr="2C8F1C5A" w:rsidR="2EEA3245">
        <w:rPr>
          <w:rFonts w:eastAsia="Times New Roman"/>
          <w:color w:val="000000" w:themeColor="text1"/>
        </w:rPr>
        <w:t>site staff</w:t>
      </w:r>
      <w:r w:rsidRPr="2C8F1C5A">
        <w:rPr>
          <w:rFonts w:eastAsia="Times New Roman"/>
          <w:color w:val="000000" w:themeColor="text1"/>
        </w:rPr>
        <w:t xml:space="preserve"> will invite </w:t>
      </w:r>
      <w:r w:rsidRPr="2C8F1C5A" w:rsidR="1D1CA975">
        <w:rPr>
          <w:rFonts w:eastAsia="Times New Roman"/>
          <w:color w:val="000000" w:themeColor="text1"/>
        </w:rPr>
        <w:t>the</w:t>
      </w:r>
      <w:r w:rsidRPr="2C8F1C5A" w:rsidR="11A7F08B">
        <w:rPr>
          <w:rFonts w:eastAsia="Times New Roman"/>
          <w:color w:val="000000" w:themeColor="text1"/>
        </w:rPr>
        <w:t xml:space="preserve"> partner</w:t>
      </w:r>
      <w:r w:rsidRPr="2C8F1C5A" w:rsidR="418B9292">
        <w:rPr>
          <w:rFonts w:eastAsia="Times New Roman"/>
          <w:color w:val="000000" w:themeColor="text1"/>
        </w:rPr>
        <w:t>s</w:t>
      </w:r>
      <w:r w:rsidRPr="2C8F1C5A" w:rsidR="662DD772">
        <w:rPr>
          <w:rFonts w:eastAsia="Times New Roman"/>
          <w:color w:val="000000" w:themeColor="text1"/>
        </w:rPr>
        <w:t xml:space="preserve"> assist</w:t>
      </w:r>
      <w:r w:rsidRPr="2C8F1C5A" w:rsidR="03247539">
        <w:rPr>
          <w:rFonts w:eastAsia="Times New Roman"/>
          <w:color w:val="000000" w:themeColor="text1"/>
        </w:rPr>
        <w:t>ing</w:t>
      </w:r>
      <w:r w:rsidRPr="2C8F1C5A" w:rsidR="662DD772">
        <w:rPr>
          <w:rFonts w:eastAsia="Times New Roman"/>
          <w:color w:val="000000" w:themeColor="text1"/>
        </w:rPr>
        <w:t xml:space="preserve"> with </w:t>
      </w:r>
      <w:r w:rsidRPr="2C8F1C5A" w:rsidR="11A7F08B">
        <w:rPr>
          <w:rFonts w:eastAsia="Times New Roman"/>
          <w:color w:val="000000" w:themeColor="text1"/>
        </w:rPr>
        <w:t xml:space="preserve">focus group recruitment </w:t>
      </w:r>
      <w:r w:rsidRPr="2C8F1C5A">
        <w:rPr>
          <w:rFonts w:eastAsia="Times New Roman"/>
          <w:color w:val="000000" w:themeColor="text1"/>
        </w:rPr>
        <w:t>to</w:t>
      </w:r>
      <w:r w:rsidRPr="2C8F1C5A" w:rsidR="11A7F08B">
        <w:rPr>
          <w:rFonts w:eastAsia="Times New Roman"/>
          <w:color w:val="000000" w:themeColor="text1"/>
        </w:rPr>
        <w:t xml:space="preserve"> attend a one-hour </w:t>
      </w:r>
      <w:r w:rsidRPr="2C8F1C5A">
        <w:rPr>
          <w:rFonts w:eastAsia="Times New Roman"/>
          <w:color w:val="000000" w:themeColor="text1"/>
        </w:rPr>
        <w:t xml:space="preserve">required </w:t>
      </w:r>
      <w:r w:rsidRPr="2C8F1C5A" w:rsidR="11A7F08B">
        <w:rPr>
          <w:rFonts w:eastAsia="Times New Roman"/>
          <w:color w:val="000000" w:themeColor="text1"/>
        </w:rPr>
        <w:t xml:space="preserve">training facilitated by the </w:t>
      </w:r>
      <w:r w:rsidRPr="2C8F1C5A">
        <w:rPr>
          <w:rFonts w:eastAsia="Times New Roman"/>
          <w:color w:val="000000" w:themeColor="text1"/>
        </w:rPr>
        <w:t>contractor</w:t>
      </w:r>
      <w:r w:rsidRPr="2C8F1C5A" w:rsidR="1712AE23">
        <w:rPr>
          <w:rFonts w:eastAsia="Times New Roman"/>
          <w:color w:val="000000" w:themeColor="text1"/>
        </w:rPr>
        <w:t xml:space="preserve">. </w:t>
      </w:r>
      <w:r w:rsidRPr="2C8F1C5A" w:rsidR="0DD0D04E">
        <w:rPr>
          <w:rFonts w:eastAsia="Times New Roman"/>
          <w:color w:val="000000" w:themeColor="text1"/>
        </w:rPr>
        <w:t>The training</w:t>
      </w:r>
      <w:r w:rsidRPr="2C8F1C5A" w:rsidR="1712AE23">
        <w:rPr>
          <w:rFonts w:eastAsia="Times New Roman"/>
          <w:color w:val="000000" w:themeColor="text1"/>
        </w:rPr>
        <w:t xml:space="preserve"> </w:t>
      </w:r>
      <w:r w:rsidRPr="2C8F1C5A" w:rsidR="0DD0D04E">
        <w:rPr>
          <w:rFonts w:eastAsia="Times New Roman"/>
          <w:color w:val="000000" w:themeColor="text1"/>
        </w:rPr>
        <w:t xml:space="preserve">will prepare </w:t>
      </w:r>
      <w:r w:rsidRPr="2C8F1C5A" w:rsidR="11A7F08B">
        <w:rPr>
          <w:rFonts w:eastAsia="Times New Roman"/>
          <w:color w:val="000000" w:themeColor="text1"/>
        </w:rPr>
        <w:t>partner staff</w:t>
      </w:r>
      <w:r w:rsidRPr="2C8F1C5A" w:rsidR="0DD0D04E">
        <w:rPr>
          <w:rFonts w:eastAsia="Times New Roman"/>
          <w:color w:val="000000" w:themeColor="text1"/>
        </w:rPr>
        <w:t xml:space="preserve"> to conduct initial outreach to youth to participate in focus groups. It will</w:t>
      </w:r>
      <w:r w:rsidRPr="2C8F1C5A" w:rsidR="11A7F08B">
        <w:rPr>
          <w:rFonts w:eastAsia="Times New Roman"/>
          <w:color w:val="000000" w:themeColor="text1"/>
        </w:rPr>
        <w:t xml:space="preserve"> also</w:t>
      </w:r>
      <w:r w:rsidRPr="2C8F1C5A" w:rsidR="0DD0D04E">
        <w:rPr>
          <w:rFonts w:eastAsia="Times New Roman"/>
          <w:color w:val="000000" w:themeColor="text1"/>
        </w:rPr>
        <w:t xml:space="preserve"> prepare staff to answer potential questions </w:t>
      </w:r>
      <w:r w:rsidRPr="2C8F1C5A" w:rsidR="11A7F08B">
        <w:rPr>
          <w:rFonts w:eastAsia="Times New Roman"/>
          <w:color w:val="000000" w:themeColor="text1"/>
        </w:rPr>
        <w:t xml:space="preserve">from </w:t>
      </w:r>
      <w:r w:rsidRPr="2C8F1C5A" w:rsidR="0DD0D04E">
        <w:rPr>
          <w:rFonts w:eastAsia="Times New Roman"/>
          <w:color w:val="000000" w:themeColor="text1"/>
        </w:rPr>
        <w:t xml:space="preserve">prospective focus group participants and emphasize </w:t>
      </w:r>
      <w:r w:rsidRPr="2C8F1C5A" w:rsidR="48B1BC6C">
        <w:rPr>
          <w:rFonts w:eastAsia="Times New Roman"/>
          <w:color w:val="000000" w:themeColor="text1"/>
        </w:rPr>
        <w:t xml:space="preserve">that </w:t>
      </w:r>
      <w:r w:rsidRPr="2C8F1C5A" w:rsidR="00FADD25">
        <w:rPr>
          <w:rFonts w:eastAsia="Times New Roman"/>
          <w:color w:val="000000" w:themeColor="text1"/>
        </w:rPr>
        <w:t xml:space="preserve">whether they </w:t>
      </w:r>
      <w:r w:rsidRPr="2C8F1C5A" w:rsidR="53D2F9E7">
        <w:rPr>
          <w:rFonts w:eastAsia="Times New Roman"/>
          <w:color w:val="000000" w:themeColor="text1"/>
        </w:rPr>
        <w:t>participat</w:t>
      </w:r>
      <w:r w:rsidRPr="2C8F1C5A" w:rsidR="00FADD25">
        <w:rPr>
          <w:rFonts w:eastAsia="Times New Roman"/>
          <w:color w:val="000000" w:themeColor="text1"/>
        </w:rPr>
        <w:t>e</w:t>
      </w:r>
      <w:r w:rsidRPr="2C8F1C5A" w:rsidR="53D2F9E7">
        <w:rPr>
          <w:rFonts w:eastAsia="Times New Roman"/>
          <w:color w:val="000000" w:themeColor="text1"/>
        </w:rPr>
        <w:t xml:space="preserve"> in the focus groups or not</w:t>
      </w:r>
      <w:r w:rsidRPr="2C8F1C5A" w:rsidR="48B1BC6C">
        <w:rPr>
          <w:rFonts w:eastAsia="Times New Roman"/>
          <w:color w:val="000000" w:themeColor="text1"/>
        </w:rPr>
        <w:t xml:space="preserve">, they </w:t>
      </w:r>
      <w:r w:rsidRPr="2C8F1C5A" w:rsidR="7B51F6DA">
        <w:rPr>
          <w:rFonts w:eastAsia="Times New Roman"/>
          <w:color w:val="000000" w:themeColor="text1"/>
        </w:rPr>
        <w:t>will</w:t>
      </w:r>
      <w:r w:rsidRPr="2C8F1C5A" w:rsidR="48B1BC6C">
        <w:rPr>
          <w:rFonts w:eastAsia="Times New Roman"/>
          <w:color w:val="000000" w:themeColor="text1"/>
        </w:rPr>
        <w:t xml:space="preserve"> still receive all services offered by the RHY PDP.</w:t>
      </w:r>
      <w:r w:rsidRPr="2C8F1C5A" w:rsidR="662DD772">
        <w:rPr>
          <w:rFonts w:eastAsia="Times New Roman"/>
          <w:color w:val="000000" w:themeColor="text1"/>
        </w:rPr>
        <w:t xml:space="preserve"> </w:t>
      </w:r>
    </w:p>
    <w:p w:rsidR="004F3CE9" w:rsidRPr="004F3CE9" w:rsidP="004F3CE9" w14:paraId="24B1CE28" w14:textId="77777777">
      <w:pPr>
        <w:pStyle w:val="ListParagraph"/>
        <w:autoSpaceDE w:val="0"/>
        <w:autoSpaceDN w:val="0"/>
        <w:adjustRightInd w:val="0"/>
        <w:spacing w:after="0" w:line="240" w:lineRule="atLeast"/>
        <w:ind w:left="1080"/>
        <w:rPr>
          <w:rFonts w:eastAsia="Times New Roman" w:cstheme="minorHAnsi"/>
          <w:color w:val="000000"/>
        </w:rPr>
      </w:pPr>
    </w:p>
    <w:p w:rsidR="5D07F66D" w:rsidP="2C8F1C5A" w14:paraId="235777E4" w14:textId="356395F8">
      <w:pPr>
        <w:spacing w:after="0" w:line="240" w:lineRule="atLeast"/>
        <w:ind w:left="720"/>
        <w:rPr>
          <w:rFonts w:eastAsia="Times New Roman"/>
          <w:color w:val="000000" w:themeColor="text1"/>
        </w:rPr>
      </w:pPr>
      <w:r w:rsidRPr="3C06D043">
        <w:rPr>
          <w:rFonts w:eastAsia="Times New Roman"/>
          <w:color w:val="000000" w:themeColor="text1"/>
        </w:rPr>
        <w:t xml:space="preserve">Since </w:t>
      </w:r>
      <w:r w:rsidRPr="3C06D043" w:rsidR="2C6B9F7B">
        <w:rPr>
          <w:rFonts w:eastAsia="Times New Roman"/>
          <w:color w:val="000000" w:themeColor="text1"/>
        </w:rPr>
        <w:t xml:space="preserve">the </w:t>
      </w:r>
      <w:r w:rsidRPr="3C06D043" w:rsidR="6E5D2F4B">
        <w:rPr>
          <w:rFonts w:eastAsia="Times New Roman"/>
          <w:color w:val="000000" w:themeColor="text1"/>
        </w:rPr>
        <w:t>contractor</w:t>
      </w:r>
      <w:r w:rsidRPr="3C06D043" w:rsidR="2C6B9F7B">
        <w:rPr>
          <w:rFonts w:eastAsia="Times New Roman"/>
          <w:color w:val="000000" w:themeColor="text1"/>
        </w:rPr>
        <w:t xml:space="preserve"> </w:t>
      </w:r>
      <w:r w:rsidRPr="3C06D043">
        <w:rPr>
          <w:rFonts w:eastAsia="Times New Roman"/>
          <w:color w:val="000000" w:themeColor="text1"/>
        </w:rPr>
        <w:t>does not have a formal relationship with the</w:t>
      </w:r>
      <w:r w:rsidRPr="3C06D043" w:rsidR="6B566700">
        <w:rPr>
          <w:rFonts w:eastAsia="Times New Roman"/>
          <w:color w:val="000000" w:themeColor="text1"/>
        </w:rPr>
        <w:t xml:space="preserve"> RHY PDP</w:t>
      </w:r>
      <w:r w:rsidRPr="3C06D043">
        <w:rPr>
          <w:rFonts w:eastAsia="Times New Roman"/>
          <w:color w:val="000000" w:themeColor="text1"/>
        </w:rPr>
        <w:t xml:space="preserve"> partners</w:t>
      </w:r>
      <w:r w:rsidRPr="3C06D043" w:rsidR="1B6567BB">
        <w:rPr>
          <w:rFonts w:eastAsia="Times New Roman"/>
          <w:color w:val="000000" w:themeColor="text1"/>
        </w:rPr>
        <w:t>, t</w:t>
      </w:r>
      <w:r w:rsidRPr="3C06D043">
        <w:rPr>
          <w:rFonts w:eastAsia="Times New Roman"/>
          <w:color w:val="000000" w:themeColor="text1"/>
        </w:rPr>
        <w:t>he</w:t>
      </w:r>
      <w:r w:rsidRPr="3C06D043" w:rsidR="2C6B9F7B">
        <w:rPr>
          <w:rFonts w:eastAsia="Times New Roman"/>
          <w:color w:val="000000" w:themeColor="text1"/>
        </w:rPr>
        <w:t xml:space="preserve">y will coordinate with the </w:t>
      </w:r>
      <w:r w:rsidRPr="3C06D043" w:rsidR="4CFE5425">
        <w:rPr>
          <w:rFonts w:eastAsia="Times New Roman"/>
          <w:color w:val="000000" w:themeColor="text1"/>
        </w:rPr>
        <w:t xml:space="preserve">primary </w:t>
      </w:r>
      <w:r w:rsidRPr="3C06D043" w:rsidR="2C6B9F7B">
        <w:rPr>
          <w:rFonts w:eastAsia="Times New Roman"/>
          <w:color w:val="000000" w:themeColor="text1"/>
        </w:rPr>
        <w:t>RHY PDP grantee to</w:t>
      </w:r>
      <w:r w:rsidRPr="3C06D043">
        <w:rPr>
          <w:rFonts w:eastAsia="Times New Roman"/>
          <w:color w:val="000000" w:themeColor="text1"/>
        </w:rPr>
        <w:t xml:space="preserve"> collect and maintain any contact information necessary for recruitment and coordinate with focus group participants. </w:t>
      </w:r>
      <w:r w:rsidRPr="3C06D043" w:rsidR="1554BF75">
        <w:rPr>
          <w:rFonts w:eastAsia="Times New Roman"/>
          <w:color w:val="000000" w:themeColor="text1"/>
        </w:rPr>
        <w:t xml:space="preserve">Site teams will remind partners that full names are considered personally identifiable information (PII) and should not be shared with the contractor. </w:t>
      </w:r>
      <w:r w:rsidRPr="3C06D043" w:rsidR="44583D45">
        <w:rPr>
          <w:rFonts w:eastAsia="Times New Roman"/>
          <w:color w:val="000000" w:themeColor="text1"/>
        </w:rPr>
        <w:t>Instead, in order to confirm participants in the focus group, the RHY PDP grantee and partners will only provide a list of first na</w:t>
      </w:r>
      <w:r w:rsidRPr="3C06D043" w:rsidR="4ADBE631">
        <w:rPr>
          <w:rFonts w:eastAsia="Times New Roman"/>
          <w:color w:val="000000" w:themeColor="text1"/>
        </w:rPr>
        <w:t xml:space="preserve">mes and </w:t>
      </w:r>
      <w:r w:rsidRPr="3C06D043" w:rsidR="23F96CCF">
        <w:rPr>
          <w:rFonts w:eastAsia="Times New Roman"/>
          <w:color w:val="000000" w:themeColor="text1"/>
        </w:rPr>
        <w:t>last initials</w:t>
      </w:r>
      <w:r w:rsidRPr="3C06D043" w:rsidR="35069D5F">
        <w:rPr>
          <w:rFonts w:eastAsia="Times New Roman"/>
          <w:color w:val="000000" w:themeColor="text1"/>
        </w:rPr>
        <w:t>. This list will be share</w:t>
      </w:r>
      <w:r w:rsidRPr="3C06D043" w:rsidR="348C9D7A">
        <w:rPr>
          <w:rFonts w:eastAsia="Times New Roman"/>
          <w:color w:val="000000" w:themeColor="text1"/>
        </w:rPr>
        <w:t>d</w:t>
      </w:r>
      <w:r w:rsidRPr="3C06D043" w:rsidR="35069D5F">
        <w:rPr>
          <w:rFonts w:eastAsia="Times New Roman"/>
          <w:color w:val="000000" w:themeColor="text1"/>
        </w:rPr>
        <w:t xml:space="preserve"> with the contractor via encrypted email and destroyed after the focus group</w:t>
      </w:r>
      <w:r w:rsidRPr="3C06D043" w:rsidR="2A98F790">
        <w:rPr>
          <w:rFonts w:eastAsia="Times New Roman"/>
          <w:color w:val="000000" w:themeColor="text1"/>
        </w:rPr>
        <w:t xml:space="preserve"> ends.</w:t>
      </w:r>
    </w:p>
    <w:p w:rsidR="004F3CE9" w:rsidRPr="004F3CE9" w:rsidP="004F3CE9" w14:paraId="7F6A3595" w14:textId="77777777">
      <w:pPr>
        <w:pStyle w:val="ListParagraph"/>
        <w:autoSpaceDE w:val="0"/>
        <w:autoSpaceDN w:val="0"/>
        <w:adjustRightInd w:val="0"/>
        <w:spacing w:after="0" w:line="240" w:lineRule="atLeast"/>
        <w:ind w:left="1080"/>
        <w:rPr>
          <w:rFonts w:eastAsia="Times New Roman" w:cstheme="minorHAnsi"/>
          <w:color w:val="000000"/>
        </w:rPr>
      </w:pPr>
    </w:p>
    <w:p w:rsidR="0297477C" w:rsidP="006D432B" w14:paraId="5AABC647" w14:textId="7A550152">
      <w:pPr>
        <w:pStyle w:val="ListParagraph"/>
        <w:spacing w:after="0" w:line="240" w:lineRule="atLeast"/>
        <w:rPr>
          <w:rFonts w:eastAsia="Times New Roman"/>
          <w:color w:val="000000" w:themeColor="text1"/>
        </w:rPr>
      </w:pPr>
      <w:r w:rsidRPr="2C8F1C5A">
        <w:rPr>
          <w:rFonts w:eastAsia="Times New Roman"/>
          <w:color w:val="000000" w:themeColor="text1"/>
        </w:rPr>
        <w:t>Contractor s</w:t>
      </w:r>
      <w:r w:rsidRPr="2C8F1C5A" w:rsidR="2C6B9F7B">
        <w:rPr>
          <w:rFonts w:eastAsia="Times New Roman"/>
          <w:color w:val="000000" w:themeColor="text1"/>
        </w:rPr>
        <w:t xml:space="preserve">ite teams </w:t>
      </w:r>
      <w:r w:rsidRPr="2C8F1C5A" w:rsidR="662DD772">
        <w:rPr>
          <w:rFonts w:eastAsia="Times New Roman"/>
          <w:color w:val="000000" w:themeColor="text1"/>
        </w:rPr>
        <w:t xml:space="preserve">will work with </w:t>
      </w:r>
      <w:r w:rsidRPr="2C8F1C5A" w:rsidR="2C6B9F7B">
        <w:rPr>
          <w:rFonts w:eastAsia="Times New Roman"/>
          <w:color w:val="000000" w:themeColor="text1"/>
        </w:rPr>
        <w:t xml:space="preserve">RHY PDP grantee staff and </w:t>
      </w:r>
      <w:r w:rsidRPr="2C8F1C5A" w:rsidR="662DD772">
        <w:rPr>
          <w:rFonts w:eastAsia="Times New Roman"/>
          <w:color w:val="000000" w:themeColor="text1"/>
        </w:rPr>
        <w:t xml:space="preserve">partners to arrange </w:t>
      </w:r>
      <w:r w:rsidRPr="2C8F1C5A" w:rsidR="18FFA92D">
        <w:rPr>
          <w:rFonts w:eastAsia="Times New Roman"/>
          <w:color w:val="000000" w:themeColor="text1"/>
        </w:rPr>
        <w:t xml:space="preserve">focus group </w:t>
      </w:r>
      <w:r w:rsidRPr="2C8F1C5A" w:rsidR="662DD772">
        <w:rPr>
          <w:rFonts w:eastAsia="Times New Roman"/>
          <w:color w:val="000000" w:themeColor="text1"/>
        </w:rPr>
        <w:t xml:space="preserve">logistics </w:t>
      </w:r>
      <w:r w:rsidRPr="2C8F1C5A" w:rsidR="3B8000A2">
        <w:rPr>
          <w:rFonts w:eastAsia="Times New Roman"/>
          <w:color w:val="000000" w:themeColor="text1"/>
        </w:rPr>
        <w:t>(e.g., time, location, transportation</w:t>
      </w:r>
      <w:r w:rsidRPr="2C8F1C5A" w:rsidR="57B4BD72">
        <w:rPr>
          <w:rFonts w:eastAsia="Times New Roman"/>
          <w:color w:val="000000" w:themeColor="text1"/>
        </w:rPr>
        <w:t>, language accessibility</w:t>
      </w:r>
      <w:r w:rsidRPr="2C8F1C5A" w:rsidR="3B8000A2">
        <w:rPr>
          <w:rFonts w:eastAsia="Times New Roman"/>
          <w:color w:val="000000" w:themeColor="text1"/>
        </w:rPr>
        <w:t>)</w:t>
      </w:r>
      <w:r w:rsidRPr="2C8F1C5A" w:rsidR="662DD772">
        <w:rPr>
          <w:rFonts w:eastAsia="Times New Roman"/>
          <w:color w:val="000000" w:themeColor="text1"/>
        </w:rPr>
        <w:t xml:space="preserve">. </w:t>
      </w:r>
      <w:r w:rsidRPr="2C8F1C5A" w:rsidR="74E6ED9D">
        <w:rPr>
          <w:rFonts w:eastAsia="Times New Roman"/>
          <w:color w:val="000000" w:themeColor="text1"/>
        </w:rPr>
        <w:t>The p</w:t>
      </w:r>
      <w:r w:rsidRPr="2C8F1C5A" w:rsidR="662DD772">
        <w:rPr>
          <w:rFonts w:eastAsia="Times New Roman"/>
          <w:color w:val="000000" w:themeColor="text1"/>
        </w:rPr>
        <w:t>artners will be available to you</w:t>
      </w:r>
      <w:r w:rsidRPr="2C8F1C5A" w:rsidR="4817616F">
        <w:rPr>
          <w:rFonts w:eastAsia="Times New Roman"/>
          <w:color w:val="000000" w:themeColor="text1"/>
        </w:rPr>
        <w:t>th</w:t>
      </w:r>
      <w:r w:rsidRPr="2C8F1C5A" w:rsidR="662DD772">
        <w:rPr>
          <w:rFonts w:eastAsia="Times New Roman"/>
          <w:color w:val="000000" w:themeColor="text1"/>
        </w:rPr>
        <w:t xml:space="preserve"> </w:t>
      </w:r>
      <w:r w:rsidRPr="2C8F1C5A" w:rsidR="6D25FFB6">
        <w:rPr>
          <w:rFonts w:eastAsia="Times New Roman"/>
          <w:color w:val="000000" w:themeColor="text1"/>
        </w:rPr>
        <w:t xml:space="preserve">who </w:t>
      </w:r>
      <w:r w:rsidRPr="2C8F1C5A" w:rsidR="662DD772">
        <w:rPr>
          <w:rFonts w:eastAsia="Times New Roman"/>
          <w:color w:val="000000" w:themeColor="text1"/>
        </w:rPr>
        <w:t xml:space="preserve">become distressed but will not be present in the space where the focus group is taking place. </w:t>
      </w:r>
      <w:r w:rsidRPr="2C8F1C5A" w:rsidR="2C6B9F7B">
        <w:rPr>
          <w:rFonts w:eastAsia="Times New Roman"/>
          <w:color w:val="000000" w:themeColor="text1"/>
        </w:rPr>
        <w:t xml:space="preserve">Site teams </w:t>
      </w:r>
      <w:r w:rsidRPr="2C8F1C5A" w:rsidR="662DD772">
        <w:rPr>
          <w:rFonts w:eastAsia="Times New Roman"/>
          <w:color w:val="000000" w:themeColor="text1"/>
        </w:rPr>
        <w:t>will respond to signs of distress by offering breaks to participants and ensuring that they are connected to partner staff who will be on-call to offer support. Partners who assist with recruitment will not be compensated for their participation in recruitment activities.</w:t>
      </w:r>
    </w:p>
    <w:p w:rsidR="00963A33" w:rsidRPr="00580972" w:rsidP="392CF680" w14:paraId="61484BFD" w14:textId="1EFE6484">
      <w:pPr>
        <w:pStyle w:val="ListParagraph"/>
        <w:numPr>
          <w:ilvl w:val="0"/>
          <w:numId w:val="39"/>
        </w:numPr>
        <w:autoSpaceDE w:val="0"/>
        <w:autoSpaceDN w:val="0"/>
        <w:adjustRightInd w:val="0"/>
        <w:spacing w:after="0" w:line="240" w:lineRule="atLeast"/>
        <w:ind w:left="360"/>
        <w:rPr>
          <w:rFonts w:eastAsia="Times New Roman"/>
          <w:b/>
          <w:bCs/>
          <w:color w:val="000000"/>
        </w:rPr>
      </w:pPr>
      <w:r w:rsidRPr="2C8F1C5A">
        <w:rPr>
          <w:rFonts w:eastAsia="Times New Roman"/>
          <w:b/>
          <w:bCs/>
          <w:color w:val="000000" w:themeColor="text1"/>
        </w:rPr>
        <w:t xml:space="preserve">Data Collection Mode. </w:t>
      </w:r>
      <w:r w:rsidRPr="2C8F1C5A">
        <w:rPr>
          <w:rFonts w:eastAsia="Times New Roman"/>
          <w:color w:val="000000" w:themeColor="text1"/>
        </w:rPr>
        <w:t xml:space="preserve">In-person </w:t>
      </w:r>
      <w:r w:rsidRPr="2C8F1C5A" w:rsidR="31CFDFFC">
        <w:rPr>
          <w:rFonts w:eastAsia="Times New Roman"/>
          <w:color w:val="000000" w:themeColor="text1"/>
        </w:rPr>
        <w:t xml:space="preserve">listening sessions, </w:t>
      </w:r>
      <w:r w:rsidRPr="2C8F1C5A">
        <w:rPr>
          <w:rFonts w:eastAsia="Times New Roman"/>
          <w:color w:val="000000" w:themeColor="text1"/>
        </w:rPr>
        <w:t>interviews</w:t>
      </w:r>
      <w:r w:rsidR="007275F3">
        <w:rPr>
          <w:rFonts w:eastAsia="Times New Roman"/>
          <w:color w:val="000000" w:themeColor="text1"/>
        </w:rPr>
        <w:t>,</w:t>
      </w:r>
      <w:r w:rsidRPr="2C8F1C5A">
        <w:rPr>
          <w:rFonts w:eastAsia="Times New Roman"/>
          <w:color w:val="000000" w:themeColor="text1"/>
        </w:rPr>
        <w:t xml:space="preserve"> and focus groups.</w:t>
      </w:r>
    </w:p>
    <w:p w:rsidR="00BB2925" w14:paraId="08380490" w14:textId="3545E455">
      <w:pPr>
        <w:pStyle w:val="ListParagraph"/>
        <w:numPr>
          <w:ilvl w:val="0"/>
          <w:numId w:val="39"/>
        </w:numPr>
        <w:spacing w:after="0" w:line="240" w:lineRule="atLeast"/>
        <w:ind w:left="360"/>
        <w:rPr>
          <w:rFonts w:eastAsia="Times New Roman"/>
          <w:b/>
          <w:bCs/>
          <w:color w:val="000000" w:themeColor="text1"/>
        </w:rPr>
      </w:pPr>
      <w:r w:rsidRPr="3D4ECDC5">
        <w:rPr>
          <w:rFonts w:eastAsia="Times New Roman"/>
          <w:b/>
          <w:bCs/>
          <w:color w:val="000000" w:themeColor="text1"/>
        </w:rPr>
        <w:t>Data Quality</w:t>
      </w:r>
      <w:r w:rsidRPr="005D6361">
        <w:rPr>
          <w:rFonts w:eastAsia="Times New Roman"/>
          <w:b/>
          <w:bCs/>
          <w:color w:val="000000" w:themeColor="text1"/>
        </w:rPr>
        <w:t>.</w:t>
      </w:r>
      <w:r w:rsidRPr="3D4ECDC5">
        <w:rPr>
          <w:rFonts w:eastAsia="Times New Roman"/>
          <w:color w:val="000000" w:themeColor="text1"/>
        </w:rPr>
        <w:t xml:space="preserve"> All </w:t>
      </w:r>
      <w:r w:rsidRPr="3D4ECDC5" w:rsidR="2A8A4301">
        <w:rPr>
          <w:rFonts w:eastAsia="Times New Roman"/>
          <w:color w:val="000000" w:themeColor="text1"/>
        </w:rPr>
        <w:t xml:space="preserve">contractor </w:t>
      </w:r>
      <w:r w:rsidRPr="3D4ECDC5" w:rsidR="2C6B9F7B">
        <w:rPr>
          <w:rFonts w:eastAsia="Times New Roman"/>
          <w:color w:val="000000" w:themeColor="text1"/>
        </w:rPr>
        <w:t>site team</w:t>
      </w:r>
      <w:r w:rsidRPr="3D4ECDC5" w:rsidR="4E6A65C0">
        <w:rPr>
          <w:rFonts w:eastAsia="Times New Roman"/>
          <w:color w:val="000000" w:themeColor="text1"/>
        </w:rPr>
        <w:t xml:space="preserve"> member</w:t>
      </w:r>
      <w:r w:rsidRPr="3D4ECDC5" w:rsidR="2C6B9F7B">
        <w:rPr>
          <w:rFonts w:eastAsia="Times New Roman"/>
          <w:color w:val="000000" w:themeColor="text1"/>
        </w:rPr>
        <w:t>s</w:t>
      </w:r>
      <w:r w:rsidRPr="3D4ECDC5">
        <w:rPr>
          <w:rFonts w:eastAsia="Times New Roman"/>
          <w:color w:val="000000" w:themeColor="text1"/>
        </w:rPr>
        <w:t xml:space="preserve"> will participate in training prior to site visits. The training will cover the same topics as outlined above for quarterly site </w:t>
      </w:r>
      <w:r w:rsidRPr="3D4ECDC5" w:rsidR="4CFE5425">
        <w:rPr>
          <w:rFonts w:eastAsia="Times New Roman"/>
          <w:color w:val="000000" w:themeColor="text1"/>
        </w:rPr>
        <w:t>meetings</w:t>
      </w:r>
      <w:r w:rsidRPr="3D4ECDC5">
        <w:rPr>
          <w:rFonts w:eastAsia="Times New Roman"/>
          <w:color w:val="000000" w:themeColor="text1"/>
        </w:rPr>
        <w:t xml:space="preserve">. In addition to training, </w:t>
      </w:r>
      <w:r w:rsidRPr="3D4ECDC5" w:rsidR="1A5B91BB">
        <w:rPr>
          <w:rFonts w:eastAsia="Times New Roman"/>
          <w:color w:val="000000" w:themeColor="text1"/>
        </w:rPr>
        <w:t xml:space="preserve">one of </w:t>
      </w:r>
      <w:r w:rsidRPr="3D4ECDC5">
        <w:rPr>
          <w:rFonts w:eastAsia="Times New Roman"/>
          <w:color w:val="000000" w:themeColor="text1"/>
        </w:rPr>
        <w:t xml:space="preserve">the </w:t>
      </w:r>
      <w:r w:rsidRPr="3D4ECDC5" w:rsidR="2C6B9F7B">
        <w:rPr>
          <w:rFonts w:eastAsia="Times New Roman"/>
          <w:color w:val="000000" w:themeColor="text1"/>
        </w:rPr>
        <w:t>contractor</w:t>
      </w:r>
      <w:r w:rsidRPr="3D4ECDC5">
        <w:rPr>
          <w:rFonts w:eastAsia="Times New Roman"/>
          <w:color w:val="000000" w:themeColor="text1"/>
        </w:rPr>
        <w:t>’s co-PI</w:t>
      </w:r>
      <w:r w:rsidRPr="3D4ECDC5" w:rsidR="3ABA4DB6">
        <w:rPr>
          <w:rFonts w:eastAsia="Times New Roman"/>
          <w:color w:val="000000" w:themeColor="text1"/>
        </w:rPr>
        <w:t xml:space="preserve">s </w:t>
      </w:r>
      <w:r w:rsidRPr="3D4ECDC5">
        <w:rPr>
          <w:rFonts w:eastAsia="Times New Roman"/>
          <w:color w:val="000000" w:themeColor="text1"/>
        </w:rPr>
        <w:t xml:space="preserve">will lead </w:t>
      </w:r>
      <w:r w:rsidRPr="3D4ECDC5" w:rsidR="2C6B9F7B">
        <w:rPr>
          <w:rFonts w:eastAsia="Times New Roman"/>
          <w:color w:val="000000" w:themeColor="text1"/>
        </w:rPr>
        <w:t xml:space="preserve">the first two </w:t>
      </w:r>
      <w:r w:rsidRPr="3D4ECDC5">
        <w:rPr>
          <w:rFonts w:eastAsia="Times New Roman"/>
          <w:color w:val="000000" w:themeColor="text1"/>
        </w:rPr>
        <w:t xml:space="preserve">visits to oversee data collection. Site leads and liaisons will attend site visits together in all subsequent visits. </w:t>
      </w:r>
      <w:r w:rsidRPr="3D4ECDC5" w:rsidR="1A5B91BB">
        <w:rPr>
          <w:rFonts w:eastAsia="Times New Roman"/>
          <w:color w:val="000000" w:themeColor="text1"/>
        </w:rPr>
        <w:t xml:space="preserve">The contractor’s senior </w:t>
      </w:r>
      <w:r w:rsidRPr="3D4ECDC5" w:rsidR="45118B8F">
        <w:rPr>
          <w:rFonts w:eastAsia="Times New Roman"/>
          <w:color w:val="000000" w:themeColor="text1"/>
        </w:rPr>
        <w:t>professional staff</w:t>
      </w:r>
      <w:r w:rsidRPr="3D4ECDC5">
        <w:rPr>
          <w:rFonts w:eastAsia="Times New Roman"/>
          <w:color w:val="000000" w:themeColor="text1"/>
        </w:rPr>
        <w:t xml:space="preserve"> </w:t>
      </w:r>
      <w:r w:rsidRPr="3D4ECDC5" w:rsidR="3B8000A2">
        <w:rPr>
          <w:rFonts w:eastAsia="Times New Roman"/>
          <w:color w:val="000000" w:themeColor="text1"/>
        </w:rPr>
        <w:t xml:space="preserve">will </w:t>
      </w:r>
      <w:r w:rsidRPr="3D4ECDC5">
        <w:rPr>
          <w:rFonts w:eastAsia="Times New Roman"/>
          <w:color w:val="000000" w:themeColor="text1"/>
        </w:rPr>
        <w:t xml:space="preserve">be well positioned to provide feedback to </w:t>
      </w:r>
      <w:r w:rsidRPr="3D4ECDC5" w:rsidR="1A5B91BB">
        <w:rPr>
          <w:rFonts w:eastAsia="Times New Roman"/>
          <w:color w:val="000000" w:themeColor="text1"/>
        </w:rPr>
        <w:t>site teams</w:t>
      </w:r>
      <w:r w:rsidRPr="3D4ECDC5">
        <w:rPr>
          <w:rFonts w:eastAsia="Times New Roman"/>
          <w:color w:val="000000" w:themeColor="text1"/>
        </w:rPr>
        <w:t xml:space="preserve"> on appropriate interviewing techniques and relationship building strategies. </w:t>
      </w:r>
      <w:r w:rsidRPr="3D4ECDC5" w:rsidR="1A5B91BB">
        <w:rPr>
          <w:rFonts w:eastAsia="Times New Roman"/>
          <w:color w:val="000000" w:themeColor="text1"/>
        </w:rPr>
        <w:t>Contractor</w:t>
      </w:r>
      <w:r w:rsidRPr="3D4ECDC5">
        <w:rPr>
          <w:rFonts w:eastAsia="Times New Roman"/>
          <w:color w:val="000000" w:themeColor="text1"/>
        </w:rPr>
        <w:t xml:space="preserve"> </w:t>
      </w:r>
      <w:r w:rsidRPr="3D4ECDC5" w:rsidR="1A5B91BB">
        <w:rPr>
          <w:rFonts w:eastAsia="Times New Roman"/>
          <w:color w:val="000000" w:themeColor="text1"/>
        </w:rPr>
        <w:t xml:space="preserve">staff </w:t>
      </w:r>
      <w:r w:rsidRPr="3D4ECDC5">
        <w:rPr>
          <w:rFonts w:eastAsia="Times New Roman"/>
          <w:color w:val="000000" w:themeColor="text1"/>
        </w:rPr>
        <w:t>will also meet on a regular basis as site visits occur to share experiences and learnings.</w:t>
      </w:r>
      <w:r w:rsidRPr="3D4ECDC5">
        <w:rPr>
          <w:rFonts w:eastAsia="Times New Roman"/>
          <w:b/>
          <w:bCs/>
          <w:color w:val="000000" w:themeColor="text1"/>
        </w:rPr>
        <w:t xml:space="preserve"> </w:t>
      </w:r>
    </w:p>
    <w:p w:rsidR="009626D2" w:rsidP="009626D2" w14:paraId="76316A12" w14:textId="77777777">
      <w:pPr>
        <w:pStyle w:val="ListParagraph"/>
        <w:spacing w:after="0" w:line="240" w:lineRule="atLeast"/>
        <w:ind w:left="360"/>
        <w:rPr>
          <w:rFonts w:eastAsia="Times New Roman"/>
          <w:b/>
          <w:bCs/>
          <w:color w:val="000000" w:themeColor="text1"/>
        </w:rPr>
      </w:pPr>
    </w:p>
    <w:p w:rsidR="004F3CE9" w:rsidRPr="00D02CA4" w:rsidP="00F5359D" w14:paraId="2D907430" w14:textId="38BBC53C">
      <w:pPr>
        <w:spacing w:after="120"/>
        <w:rPr>
          <w:rFonts w:eastAsia="Times New Roman"/>
          <w:b/>
          <w:bCs/>
          <w:color w:val="000000" w:themeColor="text1"/>
        </w:rPr>
      </w:pPr>
      <w:r w:rsidRPr="0297477C">
        <w:rPr>
          <w:rFonts w:eastAsia="Times New Roman"/>
          <w:b/>
          <w:bCs/>
          <w:color w:val="000000" w:themeColor="text1"/>
        </w:rPr>
        <w:t>B5.</w:t>
      </w:r>
      <w:r w:rsidR="00E41EE9">
        <w:tab/>
      </w:r>
      <w:r w:rsidRPr="0297477C">
        <w:rPr>
          <w:rFonts w:eastAsia="Times New Roman"/>
          <w:b/>
          <w:bCs/>
          <w:color w:val="000000" w:themeColor="text1"/>
        </w:rPr>
        <w:t>Response Rates and Potential Nonresponse Bias</w:t>
      </w:r>
    </w:p>
    <w:p w:rsidR="00945BEC" w:rsidP="27694327" w14:paraId="23F5C42C" w14:textId="2F0C3AA7">
      <w:pPr>
        <w:autoSpaceDE w:val="0"/>
        <w:autoSpaceDN w:val="0"/>
        <w:adjustRightInd w:val="0"/>
        <w:spacing w:after="60" w:line="240" w:lineRule="atLeast"/>
        <w:rPr>
          <w:rFonts w:eastAsia="Times New Roman"/>
          <w:i/>
          <w:iCs/>
          <w:color w:val="000000" w:themeColor="text1"/>
        </w:rPr>
      </w:pPr>
      <w:r w:rsidRPr="2C8F1C5A">
        <w:rPr>
          <w:rFonts w:eastAsia="Times New Roman"/>
          <w:i/>
          <w:iCs/>
          <w:color w:val="000000" w:themeColor="text1"/>
        </w:rPr>
        <w:t xml:space="preserve">Response Rates </w:t>
      </w:r>
    </w:p>
    <w:p w:rsidR="007275F3" w:rsidP="009603E7" w14:paraId="06607DD9" w14:textId="40B9655C">
      <w:pPr>
        <w:keepLines/>
        <w:widowControl w:val="0"/>
        <w:autoSpaceDE w:val="0"/>
        <w:autoSpaceDN w:val="0"/>
        <w:adjustRightInd w:val="0"/>
        <w:spacing w:after="0" w:line="240" w:lineRule="auto"/>
        <w:rPr>
          <w:rFonts w:eastAsia="Times New Roman" w:cstheme="minorHAnsi"/>
          <w:i/>
          <w:color w:val="000000"/>
        </w:rPr>
      </w:pPr>
      <w:r w:rsidRPr="2C8F1C5A">
        <w:rPr>
          <w:rFonts w:eastAsia="Times New Roman"/>
          <w:color w:val="000000" w:themeColor="text1"/>
        </w:rPr>
        <w:t xml:space="preserve">The </w:t>
      </w:r>
      <w:r w:rsidRPr="2C8F1C5A" w:rsidR="3B8000A2">
        <w:rPr>
          <w:rFonts w:eastAsia="Times New Roman"/>
          <w:color w:val="000000" w:themeColor="text1"/>
        </w:rPr>
        <w:t xml:space="preserve">key respondent </w:t>
      </w:r>
      <w:r w:rsidRPr="2C8F1C5A">
        <w:rPr>
          <w:rFonts w:eastAsia="Times New Roman"/>
          <w:color w:val="000000" w:themeColor="text1"/>
        </w:rPr>
        <w:t xml:space="preserve">interviews, focus groups, and </w:t>
      </w:r>
      <w:r w:rsidRPr="2C8F1C5A" w:rsidR="1A5B91BB">
        <w:rPr>
          <w:rFonts w:eastAsia="Times New Roman"/>
          <w:color w:val="000000" w:themeColor="text1"/>
        </w:rPr>
        <w:t xml:space="preserve">listening sessions </w:t>
      </w:r>
      <w:r w:rsidRPr="2C8F1C5A">
        <w:rPr>
          <w:rFonts w:eastAsia="Times New Roman"/>
          <w:color w:val="000000" w:themeColor="text1"/>
        </w:rPr>
        <w:t xml:space="preserve">are not designed to produce statistically generalizable findings and participation is at the respondent’s discretion. Response rates will not be calculated or reported for interviews and focus groups. </w:t>
      </w:r>
    </w:p>
    <w:p w:rsidR="00E80505" w:rsidP="009603E7" w14:paraId="5C50962B" w14:textId="77777777">
      <w:pPr>
        <w:keepLines/>
        <w:widowControl w:val="0"/>
        <w:autoSpaceDE w:val="0"/>
        <w:autoSpaceDN w:val="0"/>
        <w:adjustRightInd w:val="0"/>
        <w:spacing w:after="0" w:line="240" w:lineRule="auto"/>
        <w:rPr>
          <w:rFonts w:eastAsia="Times New Roman" w:cstheme="minorHAnsi"/>
          <w:i/>
          <w:color w:val="000000"/>
        </w:rPr>
      </w:pPr>
    </w:p>
    <w:p w:rsidR="007275F3" w:rsidP="00E80505" w14:paraId="1811F0BC" w14:textId="55C0B0EF">
      <w:pPr>
        <w:keepLines/>
        <w:widowControl w:val="0"/>
        <w:autoSpaceDE w:val="0"/>
        <w:autoSpaceDN w:val="0"/>
        <w:adjustRightInd w:val="0"/>
        <w:spacing w:after="60" w:line="240" w:lineRule="auto"/>
        <w:rPr>
          <w:rFonts w:eastAsia="Times New Roman" w:cstheme="minorHAnsi"/>
          <w:i/>
          <w:color w:val="000000"/>
        </w:rPr>
      </w:pPr>
      <w:r>
        <w:rPr>
          <w:rFonts w:eastAsia="Times New Roman" w:cstheme="minorHAnsi"/>
          <w:i/>
          <w:color w:val="000000"/>
        </w:rPr>
        <w:t>NonResponse</w:t>
      </w:r>
    </w:p>
    <w:p w:rsidR="00EC4AA2" w:rsidP="00F5359D" w14:paraId="4A5C9705" w14:textId="208FFA04">
      <w:pPr>
        <w:keepLines/>
        <w:widowControl w:val="0"/>
        <w:autoSpaceDE w:val="0"/>
        <w:autoSpaceDN w:val="0"/>
        <w:adjustRightInd w:val="0"/>
        <w:spacing w:after="0" w:line="240" w:lineRule="auto"/>
        <w:rPr>
          <w:rFonts w:eastAsia="Times New Roman"/>
          <w:color w:val="000000" w:themeColor="text1"/>
        </w:rPr>
      </w:pPr>
      <w:r w:rsidRPr="392CF680">
        <w:rPr>
          <w:rFonts w:eastAsia="Times New Roman"/>
          <w:color w:val="000000" w:themeColor="text1"/>
        </w:rPr>
        <w:t xml:space="preserve">As participants will not be randomly sampled and findings are not intended to be representative, </w:t>
      </w:r>
      <w:r w:rsidR="005D6361">
        <w:rPr>
          <w:rFonts w:eastAsia="Times New Roman"/>
          <w:color w:val="000000" w:themeColor="text1"/>
        </w:rPr>
        <w:t>the contractor</w:t>
      </w:r>
      <w:r w:rsidRPr="392CF680">
        <w:rPr>
          <w:rFonts w:eastAsia="Times New Roman"/>
          <w:color w:val="000000" w:themeColor="text1"/>
        </w:rPr>
        <w:t xml:space="preserve"> will not calculate non-response rates or bias. </w:t>
      </w:r>
      <w:r w:rsidR="005D6361">
        <w:rPr>
          <w:rFonts w:eastAsia="Times New Roman"/>
          <w:color w:val="000000" w:themeColor="text1"/>
        </w:rPr>
        <w:t>However</w:t>
      </w:r>
      <w:r w:rsidRPr="2C8F1C5A" w:rsidR="2E9DC30C">
        <w:rPr>
          <w:rFonts w:eastAsia="Times New Roman"/>
          <w:color w:val="000000" w:themeColor="text1"/>
        </w:rPr>
        <w:t xml:space="preserve">, the </w:t>
      </w:r>
      <w:r w:rsidRPr="2C8F1C5A" w:rsidR="4CFE5425">
        <w:rPr>
          <w:rFonts w:eastAsia="Times New Roman"/>
          <w:color w:val="000000" w:themeColor="text1"/>
        </w:rPr>
        <w:t xml:space="preserve">contractor </w:t>
      </w:r>
      <w:r w:rsidRPr="2C8F1C5A" w:rsidR="2E9DC30C">
        <w:rPr>
          <w:rFonts w:eastAsia="Times New Roman"/>
          <w:color w:val="000000" w:themeColor="text1"/>
        </w:rPr>
        <w:t xml:space="preserve">will qualitatively assess non-response for key informant interviews conducted during site visits. This is to </w:t>
      </w:r>
      <w:r w:rsidRPr="2C8F1C5A" w:rsidR="1A5B91BB">
        <w:rPr>
          <w:rFonts w:eastAsia="Times New Roman"/>
          <w:color w:val="000000" w:themeColor="text1"/>
        </w:rPr>
        <w:t>assess</w:t>
      </w:r>
      <w:r w:rsidRPr="2C8F1C5A" w:rsidR="2E9DC30C">
        <w:rPr>
          <w:rFonts w:eastAsia="Times New Roman"/>
          <w:color w:val="000000" w:themeColor="text1"/>
        </w:rPr>
        <w:t xml:space="preserve"> gaps in knowledge</w:t>
      </w:r>
      <w:r w:rsidRPr="2C8F1C5A" w:rsidR="08821756">
        <w:rPr>
          <w:rFonts w:eastAsia="Times New Roman"/>
          <w:color w:val="000000" w:themeColor="text1"/>
        </w:rPr>
        <w:t>.</w:t>
      </w:r>
      <w:r w:rsidRPr="2C8F1C5A" w:rsidR="2E9DC30C">
        <w:rPr>
          <w:rFonts w:eastAsia="Times New Roman"/>
          <w:color w:val="000000" w:themeColor="text1"/>
        </w:rPr>
        <w:t xml:space="preserve"> </w:t>
      </w:r>
      <w:r w:rsidRPr="2C8F1C5A" w:rsidR="10CE3BBD">
        <w:rPr>
          <w:rFonts w:eastAsia="Times New Roman"/>
          <w:color w:val="000000" w:themeColor="text1"/>
        </w:rPr>
        <w:t>A</w:t>
      </w:r>
      <w:r w:rsidRPr="2C8F1C5A" w:rsidR="2E9DC30C">
        <w:rPr>
          <w:rFonts w:eastAsia="Times New Roman"/>
          <w:color w:val="000000" w:themeColor="text1"/>
        </w:rPr>
        <w:t xml:space="preserve">ny limitations </w:t>
      </w:r>
      <w:r w:rsidRPr="2C8F1C5A" w:rsidR="63B73447">
        <w:rPr>
          <w:rFonts w:eastAsia="Times New Roman"/>
          <w:color w:val="000000" w:themeColor="text1"/>
        </w:rPr>
        <w:t>of</w:t>
      </w:r>
      <w:r w:rsidRPr="2C8F1C5A" w:rsidR="2E9DC30C">
        <w:rPr>
          <w:rFonts w:eastAsia="Times New Roman"/>
          <w:color w:val="000000" w:themeColor="text1"/>
        </w:rPr>
        <w:t xml:space="preserve"> the data collect</w:t>
      </w:r>
      <w:r w:rsidRPr="2C8F1C5A" w:rsidR="3F4AFEEE">
        <w:rPr>
          <w:rFonts w:eastAsia="Times New Roman"/>
          <w:color w:val="000000" w:themeColor="text1"/>
        </w:rPr>
        <w:t>ed</w:t>
      </w:r>
      <w:r w:rsidRPr="2C8F1C5A" w:rsidR="2E9DC30C">
        <w:rPr>
          <w:rFonts w:eastAsia="Times New Roman"/>
          <w:color w:val="000000" w:themeColor="text1"/>
        </w:rPr>
        <w:t xml:space="preserve"> for key </w:t>
      </w:r>
      <w:r w:rsidRPr="2C8F1C5A" w:rsidR="3B8000A2">
        <w:rPr>
          <w:rFonts w:eastAsia="Times New Roman"/>
          <w:color w:val="000000" w:themeColor="text1"/>
        </w:rPr>
        <w:t xml:space="preserve">respondent </w:t>
      </w:r>
      <w:r w:rsidRPr="2C8F1C5A" w:rsidR="2E9DC30C">
        <w:rPr>
          <w:rFonts w:eastAsia="Times New Roman"/>
          <w:color w:val="000000" w:themeColor="text1"/>
        </w:rPr>
        <w:t xml:space="preserve">interviews will be reported in written materials. </w:t>
      </w:r>
    </w:p>
    <w:p w:rsidR="00945BEC" w:rsidRPr="00C844E1" w:rsidP="00D02CA4" w14:paraId="6195EBB4" w14:textId="77777777">
      <w:pPr>
        <w:spacing w:after="0" w:line="240" w:lineRule="auto"/>
        <w:rPr>
          <w:rFonts w:eastAsia="Times New Roman"/>
          <w:color w:val="000000" w:themeColor="text1"/>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8D752E" w:rsidP="00F5359D" w14:paraId="2C29E6D9" w14:textId="77777777">
      <w:pPr>
        <w:spacing w:after="0" w:line="240" w:lineRule="auto"/>
        <w:rPr>
          <w:rFonts w:eastAsia="Times New Roman"/>
          <w:color w:val="000000" w:themeColor="text1"/>
        </w:rPr>
      </w:pPr>
      <w:r w:rsidRPr="00C844E1">
        <w:rPr>
          <w:rFonts w:eastAsia="Times New Roman"/>
          <w:color w:val="000000" w:themeColor="text1"/>
        </w:rPr>
        <w:t>The data collected will not be used to generate population estimates, either for internal use or dissemination.</w:t>
      </w:r>
      <w:r w:rsidRPr="00C844E1" w:rsidR="00253018">
        <w:rPr>
          <w:rFonts w:eastAsia="Times New Roman"/>
          <w:color w:val="000000" w:themeColor="text1"/>
        </w:rPr>
        <w:t xml:space="preserve"> </w:t>
      </w:r>
    </w:p>
    <w:p w:rsidR="00F5359D" w:rsidRPr="00C844E1" w:rsidP="00F5359D" w14:paraId="556DF08F" w14:textId="77777777">
      <w:pPr>
        <w:spacing w:after="0" w:line="240" w:lineRule="auto"/>
        <w:rPr>
          <w:rFonts w:eastAsia="Times New Roman"/>
          <w:color w:val="000000" w:themeColor="text1"/>
        </w:rPr>
      </w:pPr>
    </w:p>
    <w:p w:rsidR="008D752E" w:rsidP="00945BEC" w14:paraId="73DA6922" w14:textId="143CDB13">
      <w:pPr>
        <w:spacing w:after="0" w:line="240" w:lineRule="auto"/>
        <w:rPr>
          <w:rFonts w:eastAsia="Times New Roman"/>
          <w:color w:val="000000" w:themeColor="text1"/>
        </w:rPr>
      </w:pPr>
      <w:r w:rsidRPr="2C8F1C5A">
        <w:rPr>
          <w:rFonts w:eastAsia="Times New Roman"/>
          <w:color w:val="000000" w:themeColor="text1"/>
        </w:rPr>
        <w:t xml:space="preserve">The contractor does not plan to produce any quantitative estimates. </w:t>
      </w:r>
      <w:r w:rsidRPr="2C8F1C5A" w:rsidR="2E9DC30C">
        <w:rPr>
          <w:rFonts w:eastAsia="Times New Roman"/>
          <w:color w:val="000000" w:themeColor="text1"/>
        </w:rPr>
        <w:t xml:space="preserve">As noted, the </w:t>
      </w:r>
      <w:r w:rsidRPr="2C8F1C5A" w:rsidR="3B8000A2">
        <w:rPr>
          <w:rFonts w:eastAsia="Times New Roman"/>
          <w:color w:val="000000" w:themeColor="text1"/>
        </w:rPr>
        <w:t xml:space="preserve">key respondent </w:t>
      </w:r>
      <w:r w:rsidRPr="2C8F1C5A" w:rsidR="2E9DC30C">
        <w:rPr>
          <w:rFonts w:eastAsia="Times New Roman"/>
          <w:color w:val="000000" w:themeColor="text1"/>
        </w:rPr>
        <w:t xml:space="preserve">interviews, focus groups, and </w:t>
      </w:r>
      <w:r w:rsidRPr="2C8F1C5A">
        <w:rPr>
          <w:rFonts w:eastAsia="Times New Roman"/>
          <w:color w:val="000000" w:themeColor="text1"/>
        </w:rPr>
        <w:t>listening sessions</w:t>
      </w:r>
      <w:r w:rsidRPr="2C8F1C5A" w:rsidR="2E9DC30C">
        <w:rPr>
          <w:rFonts w:eastAsia="Times New Roman"/>
          <w:color w:val="000000" w:themeColor="text1"/>
        </w:rPr>
        <w:t xml:space="preserve"> are not designed to produce statistically generalizable findings.</w:t>
      </w:r>
    </w:p>
    <w:p w:rsidR="00945BEC" w:rsidRPr="00C844E1" w:rsidP="00D02CA4" w14:paraId="36AC9506" w14:textId="77777777">
      <w:pPr>
        <w:spacing w:after="0" w:line="240" w:lineRule="auto"/>
        <w:rPr>
          <w:rFonts w:eastAsia="Times New Roman"/>
          <w:color w:val="000000" w:themeColor="text1"/>
        </w:rPr>
      </w:pPr>
    </w:p>
    <w:p w:rsidR="00E80505" w:rsidP="00F5359D" w14:paraId="1411DCCF" w14:textId="77777777">
      <w:pPr>
        <w:spacing w:after="0"/>
        <w:rPr>
          <w:rFonts w:eastAsia="Times New Roman"/>
          <w:color w:val="000000" w:themeColor="text1"/>
        </w:rPr>
      </w:pPr>
      <w:r>
        <w:rPr>
          <w:rFonts w:eastAsia="Times New Roman"/>
          <w:color w:val="000000" w:themeColor="text1"/>
        </w:rPr>
        <w:t>The contractor does not plan</w:t>
      </w:r>
      <w:r w:rsidRPr="0C727841" w:rsidR="0C727841">
        <w:rPr>
          <w:rFonts w:eastAsia="Times New Roman"/>
          <w:color w:val="000000" w:themeColor="text1"/>
        </w:rPr>
        <w:t xml:space="preserve"> </w:t>
      </w:r>
      <w:r>
        <w:rPr>
          <w:rFonts w:eastAsia="Times New Roman"/>
          <w:color w:val="000000" w:themeColor="text1"/>
        </w:rPr>
        <w:t>to</w:t>
      </w:r>
      <w:r w:rsidRPr="0C727841" w:rsidR="0C727841">
        <w:rPr>
          <w:rFonts w:eastAsia="Times New Roman"/>
          <w:color w:val="000000" w:themeColor="text1"/>
        </w:rPr>
        <w:t xml:space="preserve"> archiv</w:t>
      </w:r>
      <w:r>
        <w:rPr>
          <w:rFonts w:eastAsia="Times New Roman"/>
          <w:color w:val="000000" w:themeColor="text1"/>
        </w:rPr>
        <w:t>e</w:t>
      </w:r>
      <w:r w:rsidRPr="0C727841" w:rsidR="0C727841">
        <w:rPr>
          <w:rFonts w:eastAsia="Times New Roman"/>
          <w:color w:val="000000" w:themeColor="text1"/>
        </w:rPr>
        <w:t xml:space="preserve"> data. </w:t>
      </w:r>
      <w:r>
        <w:rPr>
          <w:rFonts w:eastAsia="Times New Roman"/>
          <w:color w:val="000000" w:themeColor="text1"/>
        </w:rPr>
        <w:t>However, the contractor will outline a plan for f</w:t>
      </w:r>
      <w:r w:rsidRPr="0C727841" w:rsidR="0C727841">
        <w:rPr>
          <w:rFonts w:eastAsia="Times New Roman"/>
          <w:color w:val="000000" w:themeColor="text1"/>
        </w:rPr>
        <w:t>inal disposition of complete data, including PII and/or sensitive data, with appropriate levels of security</w:t>
      </w:r>
      <w:r>
        <w:rPr>
          <w:rFonts w:eastAsia="Times New Roman"/>
          <w:color w:val="000000" w:themeColor="text1"/>
        </w:rPr>
        <w:t>.</w:t>
      </w:r>
    </w:p>
    <w:p w:rsidR="00F5359D" w:rsidP="00F5359D" w14:paraId="5B4E2AAF" w14:textId="77777777">
      <w:pPr>
        <w:spacing w:after="0"/>
        <w:rPr>
          <w:rFonts w:eastAsia="Times New Roman"/>
          <w:color w:val="000000" w:themeColor="text1"/>
        </w:rPr>
      </w:pPr>
    </w:p>
    <w:p w:rsidR="007B6CA2" w:rsidRPr="00F85D35" w:rsidP="009603E7" w14:paraId="47D35F1B" w14:textId="22759640">
      <w:pPr>
        <w:spacing w:after="120"/>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115CC8" w:rsidP="2C8F1C5A" w14:paraId="66279BC1" w14:textId="1F97CC0A">
      <w:pPr>
        <w:tabs>
          <w:tab w:val="num" w:pos="720"/>
        </w:tabs>
        <w:autoSpaceDE w:val="0"/>
        <w:autoSpaceDN w:val="0"/>
        <w:adjustRightInd w:val="0"/>
        <w:spacing w:after="0" w:line="240" w:lineRule="atLeast"/>
        <w:rPr>
          <w:rFonts w:eastAsia="Times New Roman"/>
          <w:color w:val="000000"/>
        </w:rPr>
      </w:pPr>
      <w:r w:rsidRPr="2C8F1C5A">
        <w:rPr>
          <w:rFonts w:eastAsia="Times New Roman"/>
          <w:color w:val="000000" w:themeColor="text1"/>
        </w:rPr>
        <w:t xml:space="preserve">The contractor </w:t>
      </w:r>
      <w:r w:rsidRPr="2C8F1C5A" w:rsidR="1EFEACA4">
        <w:rPr>
          <w:rFonts w:eastAsia="Times New Roman"/>
          <w:color w:val="000000" w:themeColor="text1"/>
        </w:rPr>
        <w:t>ha</w:t>
      </w:r>
      <w:r w:rsidRPr="2C8F1C5A">
        <w:rPr>
          <w:rFonts w:eastAsia="Times New Roman"/>
          <w:color w:val="000000" w:themeColor="text1"/>
        </w:rPr>
        <w:t>s</w:t>
      </w:r>
      <w:r w:rsidRPr="2C8F1C5A" w:rsidR="1EFEACA4">
        <w:rPr>
          <w:rFonts w:eastAsia="Times New Roman"/>
          <w:color w:val="000000" w:themeColor="text1"/>
        </w:rPr>
        <w:t xml:space="preserve"> multiple checks in place to ensure proper handling of the </w:t>
      </w:r>
      <w:r w:rsidRPr="2C8F1C5A" w:rsidR="3ADD678B">
        <w:rPr>
          <w:rFonts w:eastAsia="Times New Roman"/>
          <w:color w:val="000000" w:themeColor="text1"/>
        </w:rPr>
        <w:t xml:space="preserve">collected </w:t>
      </w:r>
      <w:r w:rsidRPr="2C8F1C5A" w:rsidR="1EFEACA4">
        <w:rPr>
          <w:rFonts w:eastAsia="Times New Roman"/>
          <w:color w:val="000000" w:themeColor="text1"/>
        </w:rPr>
        <w:t>data.</w:t>
      </w:r>
    </w:p>
    <w:p w:rsidR="00115CC8" w:rsidRPr="00115CC8" w:rsidP="2C8F1C5A" w14:paraId="4EE93655" w14:textId="2F4FA6E8">
      <w:pPr>
        <w:pStyle w:val="ListParagraph"/>
        <w:numPr>
          <w:ilvl w:val="0"/>
          <w:numId w:val="59"/>
        </w:numPr>
        <w:autoSpaceDE w:val="0"/>
        <w:autoSpaceDN w:val="0"/>
        <w:adjustRightInd w:val="0"/>
        <w:spacing w:after="0" w:line="240" w:lineRule="atLeast"/>
        <w:rPr>
          <w:rFonts w:eastAsia="Times New Roman"/>
          <w:i/>
          <w:iCs/>
          <w:color w:val="000000"/>
        </w:rPr>
      </w:pPr>
      <w:r w:rsidRPr="2C8F1C5A">
        <w:rPr>
          <w:rFonts w:eastAsia="Times New Roman"/>
          <w:b/>
          <w:bCs/>
          <w:color w:val="000000" w:themeColor="text1"/>
        </w:rPr>
        <w:t xml:space="preserve">Training. </w:t>
      </w:r>
      <w:r w:rsidRPr="2C8F1C5A">
        <w:rPr>
          <w:rFonts w:eastAsia="Times New Roman"/>
          <w:color w:val="000000" w:themeColor="text1"/>
        </w:rPr>
        <w:t xml:space="preserve">All </w:t>
      </w:r>
      <w:r w:rsidRPr="2C8F1C5A" w:rsidR="1A5B91BB">
        <w:rPr>
          <w:rFonts w:eastAsia="Times New Roman"/>
          <w:color w:val="000000" w:themeColor="text1"/>
        </w:rPr>
        <w:t>contractor</w:t>
      </w:r>
      <w:r w:rsidRPr="2C8F1C5A">
        <w:rPr>
          <w:rFonts w:eastAsia="Times New Roman"/>
          <w:color w:val="000000" w:themeColor="text1"/>
        </w:rPr>
        <w:t xml:space="preserve"> staff who conduct quarterly </w:t>
      </w:r>
      <w:r w:rsidRPr="2C8F1C5A" w:rsidR="3B8000A2">
        <w:rPr>
          <w:rFonts w:eastAsia="Times New Roman"/>
          <w:color w:val="000000" w:themeColor="text1"/>
        </w:rPr>
        <w:t xml:space="preserve">site </w:t>
      </w:r>
      <w:r w:rsidRPr="2C8F1C5A" w:rsidR="2A8A4301">
        <w:rPr>
          <w:rFonts w:eastAsia="Times New Roman"/>
          <w:color w:val="000000" w:themeColor="text1"/>
        </w:rPr>
        <w:t>meetings</w:t>
      </w:r>
      <w:r w:rsidRPr="2C8F1C5A">
        <w:rPr>
          <w:rFonts w:eastAsia="Times New Roman"/>
          <w:color w:val="000000" w:themeColor="text1"/>
        </w:rPr>
        <w:t>, key respondent interviews, focus groups</w:t>
      </w:r>
      <w:r w:rsidRPr="2C8F1C5A" w:rsidR="1A5B91BB">
        <w:rPr>
          <w:rFonts w:eastAsia="Times New Roman"/>
          <w:color w:val="000000" w:themeColor="text1"/>
        </w:rPr>
        <w:t>, and listening sessions</w:t>
      </w:r>
      <w:r w:rsidRPr="2C8F1C5A">
        <w:rPr>
          <w:rFonts w:eastAsia="Times New Roman"/>
          <w:color w:val="000000" w:themeColor="text1"/>
        </w:rPr>
        <w:t xml:space="preserve"> will participate in training before data collection begins. The training agenda will be focused on qualitative data collection and review of the discussion guides</w:t>
      </w:r>
      <w:r w:rsidRPr="2C8F1C5A" w:rsidR="3B8000A2">
        <w:rPr>
          <w:rFonts w:eastAsia="Times New Roman"/>
          <w:color w:val="000000" w:themeColor="text1"/>
        </w:rPr>
        <w:t xml:space="preserve"> and protocols</w:t>
      </w:r>
      <w:r w:rsidRPr="2C8F1C5A" w:rsidR="1A5B91BB">
        <w:rPr>
          <w:rFonts w:eastAsia="Times New Roman"/>
          <w:color w:val="000000" w:themeColor="text1"/>
        </w:rPr>
        <w:t>, where relevant</w:t>
      </w:r>
      <w:r w:rsidRPr="2C8F1C5A">
        <w:rPr>
          <w:rFonts w:eastAsia="Times New Roman"/>
          <w:color w:val="000000" w:themeColor="text1"/>
        </w:rPr>
        <w:t xml:space="preserve">. As related to data handling, the training will include assessing </w:t>
      </w:r>
      <w:r w:rsidRPr="2C8F1C5A" w:rsidR="2D116ABE">
        <w:rPr>
          <w:rFonts w:eastAsia="Times New Roman"/>
          <w:color w:val="000000" w:themeColor="text1"/>
        </w:rPr>
        <w:t xml:space="preserve">the need </w:t>
      </w:r>
      <w:r w:rsidRPr="2C8F1C5A">
        <w:rPr>
          <w:rFonts w:eastAsia="Times New Roman"/>
          <w:color w:val="000000" w:themeColor="text1"/>
        </w:rPr>
        <w:t xml:space="preserve">for follow-up and re-interviews. </w:t>
      </w:r>
      <w:r w:rsidRPr="2C8F1C5A" w:rsidR="77145247">
        <w:rPr>
          <w:rFonts w:eastAsia="Times New Roman"/>
          <w:color w:val="000000" w:themeColor="text1"/>
        </w:rPr>
        <w:t>Retraining will be conducted, as necessary.</w:t>
      </w:r>
    </w:p>
    <w:p w:rsidR="00115CC8" w:rsidRPr="00115CC8" w:rsidP="2C8F1C5A" w14:paraId="2584637B" w14:textId="365C4C14">
      <w:pPr>
        <w:pStyle w:val="ListParagraph"/>
        <w:numPr>
          <w:ilvl w:val="0"/>
          <w:numId w:val="59"/>
        </w:numPr>
        <w:spacing w:after="0" w:line="240" w:lineRule="atLeast"/>
        <w:rPr>
          <w:rFonts w:eastAsia="Times New Roman"/>
          <w:i/>
          <w:iCs/>
          <w:color w:val="000000" w:themeColor="text1"/>
        </w:rPr>
      </w:pPr>
      <w:r w:rsidRPr="2C8F1C5A">
        <w:rPr>
          <w:rFonts w:eastAsia="Times New Roman"/>
          <w:b/>
          <w:bCs/>
          <w:color w:val="000000" w:themeColor="text1"/>
        </w:rPr>
        <w:t xml:space="preserve">Team Meetings. </w:t>
      </w:r>
      <w:r w:rsidRPr="2C8F1C5A">
        <w:rPr>
          <w:rFonts w:eastAsia="Times New Roman"/>
          <w:color w:val="000000" w:themeColor="text1"/>
        </w:rPr>
        <w:t>Regular</w:t>
      </w:r>
      <w:r w:rsidRPr="2C8F1C5A" w:rsidR="25B587F4">
        <w:rPr>
          <w:rFonts w:eastAsia="Times New Roman"/>
          <w:color w:val="000000" w:themeColor="text1"/>
        </w:rPr>
        <w:t>ly scheduled</w:t>
      </w:r>
      <w:r w:rsidRPr="2C8F1C5A" w:rsidR="3B8000A2">
        <w:rPr>
          <w:rFonts w:eastAsia="Times New Roman"/>
          <w:color w:val="000000" w:themeColor="text1"/>
        </w:rPr>
        <w:t xml:space="preserve"> </w:t>
      </w:r>
      <w:r w:rsidRPr="2C8F1C5A" w:rsidR="1A5B91BB">
        <w:rPr>
          <w:rFonts w:eastAsia="Times New Roman"/>
          <w:color w:val="000000" w:themeColor="text1"/>
        </w:rPr>
        <w:t>contractor</w:t>
      </w:r>
      <w:r w:rsidRPr="2C8F1C5A" w:rsidR="4CFE5425">
        <w:rPr>
          <w:rFonts w:eastAsia="Times New Roman"/>
          <w:color w:val="000000" w:themeColor="text1"/>
        </w:rPr>
        <w:t xml:space="preserve"> team </w:t>
      </w:r>
      <w:r w:rsidRPr="2C8F1C5A">
        <w:rPr>
          <w:rFonts w:eastAsia="Times New Roman"/>
          <w:color w:val="000000" w:themeColor="text1"/>
        </w:rPr>
        <w:t xml:space="preserve">meetings will occur throughout the </w:t>
      </w:r>
      <w:r w:rsidRPr="006D432B" w:rsidR="7A878937">
        <w:rPr>
          <w:rFonts w:eastAsia="Times New Roman"/>
          <w:color w:val="000000" w:themeColor="text1"/>
        </w:rPr>
        <w:t>duration</w:t>
      </w:r>
      <w:r w:rsidRPr="2C8F1C5A">
        <w:rPr>
          <w:rFonts w:eastAsia="Times New Roman"/>
          <w:color w:val="000000" w:themeColor="text1"/>
        </w:rPr>
        <w:t xml:space="preserve"> of the contract to allow project leadership to provide feedback and respond to questions from </w:t>
      </w:r>
      <w:r w:rsidRPr="2C8F1C5A" w:rsidR="1A5B91BB">
        <w:rPr>
          <w:rFonts w:eastAsia="Times New Roman"/>
          <w:color w:val="000000" w:themeColor="text1"/>
        </w:rPr>
        <w:t xml:space="preserve">site teams </w:t>
      </w:r>
      <w:r w:rsidRPr="2C8F1C5A">
        <w:rPr>
          <w:rFonts w:eastAsia="Times New Roman"/>
          <w:color w:val="000000" w:themeColor="text1"/>
        </w:rPr>
        <w:t xml:space="preserve">on data collection and analysis topics. This will also allow for </w:t>
      </w:r>
      <w:r w:rsidRPr="2C8F1C5A" w:rsidR="1A5B91BB">
        <w:rPr>
          <w:rFonts w:eastAsia="Times New Roman"/>
          <w:color w:val="000000" w:themeColor="text1"/>
        </w:rPr>
        <w:t>site teams</w:t>
      </w:r>
      <w:r w:rsidRPr="2C8F1C5A">
        <w:rPr>
          <w:rFonts w:eastAsia="Times New Roman"/>
          <w:color w:val="000000" w:themeColor="text1"/>
        </w:rPr>
        <w:t xml:space="preserve"> to calibrate qualitative coding decisions and improve inter</w:t>
      </w:r>
      <w:r w:rsidRPr="2C8F1C5A" w:rsidR="68800352">
        <w:rPr>
          <w:rFonts w:eastAsia="Times New Roman"/>
          <w:color w:val="000000" w:themeColor="text1"/>
        </w:rPr>
        <w:t xml:space="preserve">-rater </w:t>
      </w:r>
      <w:r w:rsidRPr="2C8F1C5A">
        <w:rPr>
          <w:rFonts w:eastAsia="Times New Roman"/>
          <w:color w:val="000000" w:themeColor="text1"/>
        </w:rPr>
        <w:t>reliability.</w:t>
      </w:r>
    </w:p>
    <w:p w:rsidR="00115CC8" w:rsidRPr="00115CC8" w:rsidP="478FA7DD" w14:paraId="4728E386" w14:textId="12A7C504">
      <w:pPr>
        <w:pStyle w:val="BodyText"/>
        <w:widowControl w:val="0"/>
        <w:numPr>
          <w:ilvl w:val="0"/>
          <w:numId w:val="59"/>
        </w:numPr>
        <w:tabs>
          <w:tab w:val="num" w:pos="720"/>
        </w:tabs>
        <w:autoSpaceDE w:val="0"/>
        <w:autoSpaceDN w:val="0"/>
        <w:adjustRightInd w:val="0"/>
        <w:spacing w:after="0" w:line="240" w:lineRule="atLeast"/>
        <w:rPr>
          <w:rFonts w:eastAsia="Times New Roman"/>
          <w:color w:val="000000"/>
        </w:rPr>
      </w:pPr>
      <w:r w:rsidRPr="2C8F1C5A">
        <w:rPr>
          <w:b/>
          <w:bCs/>
        </w:rPr>
        <w:t>Transcription.</w:t>
      </w:r>
      <w:r>
        <w:t xml:space="preserve"> </w:t>
      </w:r>
      <w:r w:rsidR="1A5B91BB">
        <w:t xml:space="preserve">The contractor </w:t>
      </w:r>
      <w:r>
        <w:t>plan</w:t>
      </w:r>
      <w:r w:rsidR="1A5B91BB">
        <w:t>s</w:t>
      </w:r>
      <w:r>
        <w:t xml:space="preserve"> on using a </w:t>
      </w:r>
      <w:r w:rsidR="41601035">
        <w:t>secure</w:t>
      </w:r>
      <w:r w:rsidR="24A43F9E">
        <w:t xml:space="preserve"> </w:t>
      </w:r>
      <w:r>
        <w:t>s</w:t>
      </w:r>
      <w:r w:rsidR="0838747B">
        <w:t>ervice to transcribe discussion, interview, and focus group audio files into text. K</w:t>
      </w:r>
      <w:r w:rsidR="3B8000A2">
        <w:t>ey respondent i</w:t>
      </w:r>
      <w:r>
        <w:t xml:space="preserve">nterview and focus group transcripts will be analyzed by the </w:t>
      </w:r>
      <w:r w:rsidR="1A5B91BB">
        <w:t>contractor</w:t>
      </w:r>
      <w:r>
        <w:t xml:space="preserve"> for emerging themes and summarized for dissemination. Transcript analysis will be preceded by verification of any and all quotes that might be extracted (and included in the report) using audio recording</w:t>
      </w:r>
      <w:r w:rsidR="5674547E">
        <w:t xml:space="preserve">. All quotes </w:t>
      </w:r>
      <w:r>
        <w:t>will remain anonymous.</w:t>
      </w:r>
    </w:p>
    <w:p w:rsidR="00D02CA4" w:rsidP="009603E7" w14:paraId="2111B64C" w14:textId="77777777">
      <w:pPr>
        <w:autoSpaceDE w:val="0"/>
        <w:autoSpaceDN w:val="0"/>
        <w:adjustRightInd w:val="0"/>
        <w:spacing w:after="0" w:line="240" w:lineRule="atLeast"/>
        <w:rPr>
          <w:rFonts w:eastAsia="Times New Roman" w:cstheme="minorHAnsi"/>
          <w:bCs/>
          <w:i/>
          <w:color w:val="000000"/>
        </w:rPr>
      </w:pPr>
    </w:p>
    <w:p w:rsidR="007B6CA2" w:rsidP="00F85D35" w14:paraId="4B58405D" w14:textId="0C7FE21A">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2A454B" w:rsidP="005330E7" w14:paraId="30D29DE2" w14:textId="180601FB">
      <w:pPr>
        <w:spacing w:after="0" w:line="240" w:lineRule="auto"/>
        <w:rPr>
          <w:rFonts w:eastAsia="Times New Roman"/>
          <w:color w:val="000000" w:themeColor="text1"/>
        </w:rPr>
      </w:pPr>
      <w:r w:rsidRPr="00C844E1">
        <w:rPr>
          <w:rFonts w:eastAsia="Times New Roman"/>
          <w:color w:val="000000" w:themeColor="text1"/>
        </w:rPr>
        <w:t xml:space="preserve">The data collected will be predominantly qualitative. One of the primary tasks for analysis will be compiling and documenting the data consistently and coherently so that data can be easily analyzed and transformed into research findings. </w:t>
      </w:r>
      <w:r w:rsidR="00696B4B">
        <w:rPr>
          <w:rFonts w:eastAsia="Times New Roman"/>
          <w:color w:val="000000" w:themeColor="text1"/>
        </w:rPr>
        <w:t>The contractor</w:t>
      </w:r>
      <w:r w:rsidRPr="00C844E1" w:rsidR="00696B4B">
        <w:rPr>
          <w:rFonts w:eastAsia="Times New Roman"/>
          <w:color w:val="000000" w:themeColor="text1"/>
        </w:rPr>
        <w:t xml:space="preserve"> </w:t>
      </w:r>
      <w:r w:rsidRPr="00C844E1">
        <w:rPr>
          <w:rFonts w:eastAsia="Times New Roman"/>
          <w:color w:val="000000" w:themeColor="text1"/>
        </w:rPr>
        <w:t>will construct a master data collection protocol that</w:t>
      </w:r>
      <w:r w:rsidR="00560C01">
        <w:rPr>
          <w:rFonts w:eastAsia="Times New Roman"/>
          <w:color w:val="000000" w:themeColor="text1"/>
        </w:rPr>
        <w:t xml:space="preserve"> </w:t>
      </w:r>
      <w:r w:rsidRPr="00C844E1">
        <w:rPr>
          <w:rFonts w:eastAsia="Times New Roman"/>
          <w:color w:val="000000" w:themeColor="text1"/>
        </w:rPr>
        <w:t>track</w:t>
      </w:r>
      <w:r w:rsidR="00E5005A">
        <w:rPr>
          <w:rFonts w:eastAsia="Times New Roman"/>
          <w:color w:val="000000" w:themeColor="text1"/>
        </w:rPr>
        <w:t>s</w:t>
      </w:r>
      <w:r w:rsidRPr="00C844E1">
        <w:rPr>
          <w:rFonts w:eastAsia="Times New Roman"/>
          <w:color w:val="000000" w:themeColor="text1"/>
        </w:rPr>
        <w:t xml:space="preserve"> and compile</w:t>
      </w:r>
      <w:r w:rsidR="00E5005A">
        <w:rPr>
          <w:rFonts w:eastAsia="Times New Roman"/>
          <w:color w:val="000000" w:themeColor="text1"/>
        </w:rPr>
        <w:t>s</w:t>
      </w:r>
      <w:r w:rsidRPr="00C844E1">
        <w:rPr>
          <w:rFonts w:eastAsia="Times New Roman"/>
          <w:color w:val="000000" w:themeColor="text1"/>
        </w:rPr>
        <w:t xml:space="preserve"> all data collection activities and documents such as interview summaries and meeting notes, enabling consistent organization, security, and retrieval as needed. </w:t>
      </w:r>
    </w:p>
    <w:p w:rsidR="005330E7" w:rsidRPr="00C844E1" w:rsidP="00E80505" w14:paraId="781151E6" w14:textId="77777777">
      <w:pPr>
        <w:spacing w:after="0" w:line="240" w:lineRule="auto"/>
        <w:rPr>
          <w:rFonts w:eastAsia="Times New Roman"/>
          <w:color w:val="000000" w:themeColor="text1"/>
        </w:rPr>
      </w:pPr>
    </w:p>
    <w:p w:rsidR="00A22743" w:rsidP="00E80505" w14:paraId="14929095" w14:textId="4C5DB6EF">
      <w:pPr>
        <w:spacing w:after="0" w:line="240" w:lineRule="auto"/>
        <w:rPr>
          <w:rFonts w:eastAsia="Times New Roman"/>
          <w:color w:val="000000" w:themeColor="text1"/>
        </w:rPr>
      </w:pPr>
      <w:r w:rsidRPr="3C06D043">
        <w:rPr>
          <w:rFonts w:eastAsia="Times New Roman"/>
          <w:color w:val="000000" w:themeColor="text1"/>
        </w:rPr>
        <w:t xml:space="preserve">Once compiled, </w:t>
      </w:r>
      <w:r w:rsidRPr="3C06D043" w:rsidR="1A5B91BB">
        <w:rPr>
          <w:rFonts w:eastAsia="Times New Roman"/>
          <w:color w:val="000000" w:themeColor="text1"/>
        </w:rPr>
        <w:t xml:space="preserve">the contractor </w:t>
      </w:r>
      <w:r w:rsidRPr="3C06D043">
        <w:rPr>
          <w:rFonts w:eastAsia="Times New Roman"/>
          <w:color w:val="000000" w:themeColor="text1"/>
        </w:rPr>
        <w:t xml:space="preserve">will analyze the qualitative data to answer the research questions to be discussed in annual (non-public) briefings to ACF. </w:t>
      </w:r>
      <w:r w:rsidRPr="3C06D043" w:rsidR="1A5B91BB">
        <w:rPr>
          <w:rFonts w:eastAsia="Times New Roman"/>
          <w:color w:val="000000" w:themeColor="text1"/>
        </w:rPr>
        <w:t xml:space="preserve">The contractor </w:t>
      </w:r>
      <w:r w:rsidRPr="3C06D043">
        <w:rPr>
          <w:rFonts w:eastAsia="Times New Roman"/>
          <w:color w:val="000000" w:themeColor="text1"/>
        </w:rPr>
        <w:t xml:space="preserve">will begin analysis with a broad synthesis of document review findings as well as a synthesis of conversations and interviews with </w:t>
      </w:r>
      <w:r w:rsidRPr="3C06D043" w:rsidR="1D4B0C92">
        <w:rPr>
          <w:rFonts w:eastAsia="Times New Roman"/>
          <w:color w:val="000000" w:themeColor="text1"/>
        </w:rPr>
        <w:t xml:space="preserve">RHY </w:t>
      </w:r>
      <w:r w:rsidRPr="3C06D043">
        <w:rPr>
          <w:rFonts w:eastAsia="Times New Roman"/>
          <w:color w:val="000000" w:themeColor="text1"/>
        </w:rPr>
        <w:t xml:space="preserve">PDP </w:t>
      </w:r>
      <w:r w:rsidRPr="3C06D043" w:rsidR="1D4B0C92">
        <w:rPr>
          <w:rFonts w:eastAsia="Times New Roman"/>
          <w:color w:val="000000" w:themeColor="text1"/>
        </w:rPr>
        <w:t xml:space="preserve">grantee </w:t>
      </w:r>
      <w:r w:rsidRPr="3C06D043">
        <w:rPr>
          <w:rFonts w:eastAsia="Times New Roman"/>
          <w:color w:val="000000" w:themeColor="text1"/>
        </w:rPr>
        <w:t>staff, partners, and you</w:t>
      </w:r>
      <w:r w:rsidRPr="3C06D043" w:rsidR="278B0C80">
        <w:rPr>
          <w:rFonts w:eastAsia="Times New Roman"/>
          <w:color w:val="000000" w:themeColor="text1"/>
        </w:rPr>
        <w:t>th</w:t>
      </w:r>
      <w:r w:rsidRPr="3C06D043">
        <w:rPr>
          <w:rFonts w:eastAsia="Times New Roman"/>
          <w:color w:val="000000" w:themeColor="text1"/>
        </w:rPr>
        <w:t xml:space="preserve">. For interviews, </w:t>
      </w:r>
      <w:r w:rsidRPr="3C06D043" w:rsidR="1A5B91BB">
        <w:rPr>
          <w:rFonts w:eastAsia="Times New Roman"/>
          <w:color w:val="000000" w:themeColor="text1"/>
        </w:rPr>
        <w:t xml:space="preserve">the contractor </w:t>
      </w:r>
      <w:r w:rsidRPr="3C06D043">
        <w:rPr>
          <w:rFonts w:eastAsia="Times New Roman"/>
          <w:color w:val="000000" w:themeColor="text1"/>
        </w:rPr>
        <w:t xml:space="preserve">will create a uniform coding scheme aligned with the interview guide and research questions. </w:t>
      </w:r>
      <w:r w:rsidRPr="3C06D043" w:rsidR="1A5B91BB">
        <w:rPr>
          <w:rFonts w:eastAsia="Times New Roman"/>
          <w:color w:val="000000" w:themeColor="text1"/>
        </w:rPr>
        <w:t xml:space="preserve">The contractor </w:t>
      </w:r>
      <w:r w:rsidRPr="3C06D043">
        <w:rPr>
          <w:rFonts w:eastAsia="Times New Roman"/>
          <w:color w:val="000000" w:themeColor="text1"/>
        </w:rPr>
        <w:t xml:space="preserve">will use NVivo, a qualitative data analysis software, to code these data and identify common themes that emerge from the interviews. Key themes may arise across </w:t>
      </w:r>
      <w:r w:rsidRPr="3C06D043" w:rsidR="1A5B91BB">
        <w:rPr>
          <w:rFonts w:eastAsia="Times New Roman"/>
          <w:color w:val="000000" w:themeColor="text1"/>
        </w:rPr>
        <w:t xml:space="preserve">RHY PDP </w:t>
      </w:r>
      <w:r w:rsidRPr="3C06D043" w:rsidR="653FB28C">
        <w:rPr>
          <w:rFonts w:eastAsia="Times New Roman"/>
          <w:color w:val="000000" w:themeColor="text1"/>
        </w:rPr>
        <w:t xml:space="preserve">grantee </w:t>
      </w:r>
      <w:r w:rsidRPr="3C06D043" w:rsidR="1A5B91BB">
        <w:rPr>
          <w:rFonts w:eastAsia="Times New Roman"/>
          <w:color w:val="000000" w:themeColor="text1"/>
        </w:rPr>
        <w:t xml:space="preserve">sites </w:t>
      </w:r>
      <w:r w:rsidRPr="3C06D043">
        <w:rPr>
          <w:rFonts w:eastAsia="Times New Roman"/>
          <w:color w:val="000000" w:themeColor="text1"/>
        </w:rPr>
        <w:t>or within a</w:t>
      </w:r>
      <w:r w:rsidRPr="3C06D043" w:rsidR="1A5B91BB">
        <w:rPr>
          <w:rFonts w:eastAsia="Times New Roman"/>
          <w:color w:val="000000" w:themeColor="text1"/>
        </w:rPr>
        <w:t xml:space="preserve"> site</w:t>
      </w:r>
      <w:r w:rsidRPr="3C06D043">
        <w:rPr>
          <w:rFonts w:eastAsia="Times New Roman"/>
          <w:color w:val="000000" w:themeColor="text1"/>
        </w:rPr>
        <w:t xml:space="preserve">. For each key theme, </w:t>
      </w:r>
      <w:r w:rsidRPr="3C06D043" w:rsidR="1A5B91BB">
        <w:rPr>
          <w:rFonts w:eastAsia="Times New Roman"/>
          <w:color w:val="000000" w:themeColor="text1"/>
        </w:rPr>
        <w:t xml:space="preserve">the contractor </w:t>
      </w:r>
      <w:r w:rsidRPr="3C06D043">
        <w:rPr>
          <w:rFonts w:eastAsia="Times New Roman"/>
          <w:color w:val="000000" w:themeColor="text1"/>
        </w:rPr>
        <w:t xml:space="preserve">will identify supporting evidence from the data. </w:t>
      </w:r>
    </w:p>
    <w:p w:rsidR="005330E7" w:rsidP="005330E7" w14:paraId="7281BDEA" w14:textId="77777777">
      <w:pPr>
        <w:spacing w:after="0" w:line="240" w:lineRule="auto"/>
        <w:rPr>
          <w:rFonts w:eastAsia="Times New Roman"/>
          <w:color w:val="000000" w:themeColor="text1"/>
        </w:rPr>
      </w:pPr>
    </w:p>
    <w:p w:rsidR="002A454B" w:rsidRPr="00C844E1" w:rsidP="00E80505" w14:paraId="1AFFA7C4" w14:textId="5D9D3186">
      <w:pPr>
        <w:spacing w:after="0" w:line="240" w:lineRule="auto"/>
        <w:rPr>
          <w:rFonts w:eastAsia="Times New Roman"/>
          <w:color w:val="000000" w:themeColor="text1"/>
        </w:rPr>
      </w:pPr>
      <w:r w:rsidRPr="3C06D043">
        <w:rPr>
          <w:rFonts w:eastAsia="Times New Roman"/>
          <w:color w:val="000000" w:themeColor="text1"/>
        </w:rPr>
        <w:t xml:space="preserve">The contractor </w:t>
      </w:r>
      <w:r w:rsidRPr="3C06D043" w:rsidR="662DD772">
        <w:rPr>
          <w:rFonts w:eastAsia="Times New Roman"/>
          <w:color w:val="000000" w:themeColor="text1"/>
        </w:rPr>
        <w:t xml:space="preserve">will present the findings of </w:t>
      </w:r>
      <w:r w:rsidRPr="3C06D043">
        <w:rPr>
          <w:rFonts w:eastAsia="Times New Roman"/>
          <w:color w:val="000000" w:themeColor="text1"/>
        </w:rPr>
        <w:t xml:space="preserve">their </w:t>
      </w:r>
      <w:r w:rsidRPr="3C06D043" w:rsidR="662DD772">
        <w:rPr>
          <w:rFonts w:eastAsia="Times New Roman"/>
          <w:color w:val="000000" w:themeColor="text1"/>
        </w:rPr>
        <w:t xml:space="preserve">analysis through data tables, charts, quotes, and narrative, along with pull out boxes in annual reports and briefings. </w:t>
      </w:r>
      <w:r w:rsidRPr="3C06D043">
        <w:rPr>
          <w:rFonts w:eastAsia="Times New Roman"/>
          <w:color w:val="000000" w:themeColor="text1"/>
        </w:rPr>
        <w:t xml:space="preserve">The inclusion of quotes from quarterly calls, interviews, and focus groups will only be used in a manner that maintains anonymity and privacy of respondents; respondents will not be named or </w:t>
      </w:r>
      <w:r w:rsidRPr="3C06D043" w:rsidR="79D328D8">
        <w:rPr>
          <w:rFonts w:eastAsia="Times New Roman"/>
          <w:color w:val="000000" w:themeColor="text1"/>
        </w:rPr>
        <w:t>attached to any identifying characteristics</w:t>
      </w:r>
      <w:r w:rsidRPr="3C06D043">
        <w:rPr>
          <w:rFonts w:eastAsia="Times New Roman"/>
          <w:color w:val="000000" w:themeColor="text1"/>
        </w:rPr>
        <w:t xml:space="preserve"> in quotes. The contractor</w:t>
      </w:r>
      <w:r w:rsidRPr="3C06D043" w:rsidR="662DD772">
        <w:rPr>
          <w:rFonts w:eastAsia="Times New Roman"/>
          <w:color w:val="000000" w:themeColor="text1"/>
        </w:rPr>
        <w:t xml:space="preserve"> will work iteratively to ensure that consistent themes and unusual or rare observations</w:t>
      </w:r>
      <w:r w:rsidRPr="3C06D043" w:rsidR="2A8A4301">
        <w:rPr>
          <w:rFonts w:eastAsia="Times New Roman"/>
          <w:color w:val="000000" w:themeColor="text1"/>
        </w:rPr>
        <w:t xml:space="preserve"> are captured</w:t>
      </w:r>
      <w:r w:rsidRPr="3C06D043" w:rsidR="662DD772">
        <w:rPr>
          <w:rFonts w:eastAsia="Times New Roman"/>
          <w:color w:val="000000" w:themeColor="text1"/>
        </w:rPr>
        <w:t xml:space="preserve"> across data sources. In the case of incongruent interpretations of data across constituents, </w:t>
      </w:r>
      <w:r w:rsidRPr="3C06D043" w:rsidR="2A8A4301">
        <w:rPr>
          <w:rFonts w:eastAsia="Times New Roman"/>
          <w:color w:val="000000" w:themeColor="text1"/>
        </w:rPr>
        <w:t xml:space="preserve">the contractor will </w:t>
      </w:r>
      <w:r w:rsidRPr="3C06D043" w:rsidR="662DD772">
        <w:rPr>
          <w:rFonts w:eastAsia="Times New Roman"/>
          <w:color w:val="000000" w:themeColor="text1"/>
        </w:rPr>
        <w:t xml:space="preserve">report the multiple perspectives offered. </w:t>
      </w:r>
    </w:p>
    <w:p w:rsidR="005330E7" w:rsidP="00F5359D" w14:paraId="46D95AC5" w14:textId="77777777">
      <w:pPr>
        <w:autoSpaceDE w:val="0"/>
        <w:autoSpaceDN w:val="0"/>
        <w:adjustRightInd w:val="0"/>
        <w:spacing w:after="0" w:line="240" w:lineRule="atLeast"/>
        <w:rPr>
          <w:rFonts w:eastAsia="Times New Roman" w:cstheme="minorHAnsi"/>
          <w:bCs/>
          <w:i/>
          <w:color w:val="000000"/>
        </w:rPr>
      </w:pPr>
    </w:p>
    <w:p w:rsidR="007B6CA2" w:rsidP="00F85D35" w14:paraId="6115EDAE" w14:textId="6D0A7FE5">
      <w:pPr>
        <w:autoSpaceDE w:val="0"/>
        <w:autoSpaceDN w:val="0"/>
        <w:adjustRightInd w:val="0"/>
        <w:spacing w:after="60" w:line="240" w:lineRule="atLeast"/>
        <w:rPr>
          <w:rFonts w:eastAsia="Times New Roman" w:cstheme="minorHAnsi"/>
          <w:bCs/>
          <w:i/>
          <w:color w:val="000000"/>
        </w:rPr>
      </w:pPr>
      <w:r>
        <w:rPr>
          <w:rFonts w:eastAsia="Times New Roman" w:cstheme="minorHAnsi"/>
          <w:bCs/>
          <w:i/>
          <w:color w:val="000000"/>
        </w:rPr>
        <w:t>Data Use</w:t>
      </w:r>
    </w:p>
    <w:p w:rsidR="002A454B" w:rsidP="005330E7" w14:paraId="5095A23B" w14:textId="2525BE01">
      <w:pPr>
        <w:spacing w:after="0" w:line="240" w:lineRule="auto"/>
        <w:rPr>
          <w:rFonts w:eastAsia="Times New Roman"/>
          <w:color w:val="000000" w:themeColor="text1"/>
        </w:rPr>
      </w:pPr>
      <w:r w:rsidRPr="3C06D043">
        <w:rPr>
          <w:rFonts w:eastAsia="Times New Roman"/>
          <w:color w:val="000000" w:themeColor="text1"/>
        </w:rPr>
        <w:t xml:space="preserve">The contractor </w:t>
      </w:r>
      <w:r w:rsidRPr="3C06D043" w:rsidR="662DD772">
        <w:rPr>
          <w:rFonts w:eastAsia="Times New Roman"/>
          <w:color w:val="000000" w:themeColor="text1"/>
        </w:rPr>
        <w:t xml:space="preserve">will report on and disseminate findings to the public in a final report. The report will present </w:t>
      </w:r>
      <w:r w:rsidRPr="3C06D043" w:rsidR="1D4B0C92">
        <w:rPr>
          <w:rFonts w:eastAsia="Times New Roman"/>
          <w:color w:val="000000" w:themeColor="text1"/>
        </w:rPr>
        <w:t xml:space="preserve">RHY PDP </w:t>
      </w:r>
      <w:r w:rsidRPr="3C06D043" w:rsidR="662DD772">
        <w:rPr>
          <w:rFonts w:eastAsia="Times New Roman"/>
          <w:color w:val="000000" w:themeColor="text1"/>
        </w:rPr>
        <w:t xml:space="preserve">implementation evaluation findings thematically with supporting data and illustrative quotes that correspond to research questions. The report will highlight similarities and differences across </w:t>
      </w:r>
      <w:r w:rsidRPr="3C06D043" w:rsidR="7EC63677">
        <w:rPr>
          <w:rFonts w:eastAsia="Times New Roman"/>
          <w:color w:val="000000" w:themeColor="text1"/>
        </w:rPr>
        <w:t xml:space="preserve">RHY PDP </w:t>
      </w:r>
      <w:r w:rsidRPr="3C06D043" w:rsidR="662DD772">
        <w:rPr>
          <w:rFonts w:eastAsia="Times New Roman"/>
          <w:color w:val="000000" w:themeColor="text1"/>
        </w:rPr>
        <w:t xml:space="preserve">sites, to point to distinct approaches and variation in local contexts. The report will be written in </w:t>
      </w:r>
      <w:r w:rsidRPr="3C06D043" w:rsidR="6795E0A1">
        <w:rPr>
          <w:rFonts w:eastAsia="Times New Roman"/>
          <w:color w:val="000000" w:themeColor="text1"/>
        </w:rPr>
        <w:t xml:space="preserve">plain language using </w:t>
      </w:r>
      <w:r w:rsidRPr="3C06D043" w:rsidR="662DD772">
        <w:rPr>
          <w:rFonts w:eastAsia="Times New Roman"/>
          <w:color w:val="000000" w:themeColor="text1"/>
        </w:rPr>
        <w:t xml:space="preserve">accessible terms.  </w:t>
      </w:r>
    </w:p>
    <w:p w:rsidR="005330E7" w:rsidRPr="00C844E1" w:rsidP="00E80505" w14:paraId="628E8B88" w14:textId="77777777">
      <w:pPr>
        <w:spacing w:after="0" w:line="240" w:lineRule="auto"/>
        <w:rPr>
          <w:rFonts w:eastAsia="Times New Roman"/>
          <w:color w:val="000000" w:themeColor="text1"/>
        </w:rPr>
      </w:pPr>
    </w:p>
    <w:p w:rsidR="002A454B" w:rsidRPr="00C844E1" w:rsidP="00E80505" w14:paraId="49BEA6C9" w14:textId="0C6E7DD7">
      <w:pPr>
        <w:spacing w:after="0" w:line="240" w:lineRule="auto"/>
        <w:rPr>
          <w:rFonts w:eastAsia="Times New Roman"/>
          <w:color w:val="000000" w:themeColor="text1"/>
        </w:rPr>
      </w:pPr>
      <w:r w:rsidRPr="00C844E1">
        <w:rPr>
          <w:rFonts w:eastAsia="Times New Roman"/>
          <w:color w:val="000000" w:themeColor="text1"/>
        </w:rPr>
        <w:t xml:space="preserve">In reporting findings, the </w:t>
      </w:r>
      <w:r w:rsidR="00A22743">
        <w:rPr>
          <w:rFonts w:eastAsia="Times New Roman"/>
          <w:color w:val="000000" w:themeColor="text1"/>
        </w:rPr>
        <w:t xml:space="preserve">contractor </w:t>
      </w:r>
      <w:r w:rsidRPr="00C844E1">
        <w:rPr>
          <w:rFonts w:eastAsia="Times New Roman"/>
          <w:color w:val="000000" w:themeColor="text1"/>
        </w:rPr>
        <w:t xml:space="preserve">will not include any names of or identifying characteristics of participants. Any future results, analyses, and other information developed as a result of data obtained from the quarterly </w:t>
      </w:r>
      <w:r w:rsidR="00460A41">
        <w:rPr>
          <w:rFonts w:eastAsia="Times New Roman"/>
          <w:color w:val="000000" w:themeColor="text1"/>
        </w:rPr>
        <w:t>site calls</w:t>
      </w:r>
      <w:r w:rsidR="00A22743">
        <w:rPr>
          <w:rFonts w:eastAsia="Times New Roman"/>
          <w:color w:val="000000" w:themeColor="text1"/>
        </w:rPr>
        <w:t xml:space="preserve">, </w:t>
      </w:r>
      <w:r w:rsidRPr="00C844E1">
        <w:rPr>
          <w:rFonts w:eastAsia="Times New Roman"/>
          <w:color w:val="000000" w:themeColor="text1"/>
        </w:rPr>
        <w:t>site visit collection</w:t>
      </w:r>
      <w:r w:rsidR="00A22743">
        <w:rPr>
          <w:rFonts w:eastAsia="Times New Roman"/>
          <w:color w:val="000000" w:themeColor="text1"/>
        </w:rPr>
        <w:t>, or listening sessions</w:t>
      </w:r>
      <w:r w:rsidRPr="00C844E1">
        <w:rPr>
          <w:rFonts w:eastAsia="Times New Roman"/>
          <w:color w:val="000000" w:themeColor="text1"/>
        </w:rPr>
        <w:t xml:space="preserve"> will be published in summary, aggregated, or using descriptive statistics so that the identity of individuals contained in the data is not revealed. </w:t>
      </w:r>
      <w:r w:rsidR="00E80505">
        <w:rPr>
          <w:rFonts w:eastAsia="Times New Roman"/>
          <w:color w:val="000000" w:themeColor="text1"/>
        </w:rPr>
        <w:t xml:space="preserve">Any report of findings will acknowledge limitations of data and data use and their potential implications. </w:t>
      </w:r>
    </w:p>
    <w:p w:rsidR="005330E7" w:rsidP="005330E7" w14:paraId="489C4D5F" w14:textId="77777777">
      <w:pPr>
        <w:spacing w:after="0" w:line="240" w:lineRule="auto"/>
        <w:rPr>
          <w:rFonts w:eastAsia="Times New Roman"/>
          <w:color w:val="000000" w:themeColor="text1"/>
        </w:rPr>
      </w:pPr>
    </w:p>
    <w:p w:rsidR="002A454B" w:rsidRPr="00C844E1" w:rsidP="00E80505" w14:paraId="32115399" w14:textId="60A8D911">
      <w:pPr>
        <w:spacing w:after="0" w:line="240" w:lineRule="auto"/>
        <w:rPr>
          <w:rFonts w:eastAsia="Times New Roman"/>
          <w:color w:val="000000" w:themeColor="text1"/>
        </w:rPr>
      </w:pPr>
      <w:r w:rsidRPr="2C8F1C5A">
        <w:rPr>
          <w:rFonts w:eastAsia="Times New Roman"/>
          <w:color w:val="000000" w:themeColor="text1"/>
        </w:rPr>
        <w:t xml:space="preserve">Research products will include tangible recommendations, tools, and tips that will be useful for a practitioner audience. The </w:t>
      </w:r>
      <w:r w:rsidRPr="2C8F1C5A" w:rsidR="79D328D8">
        <w:rPr>
          <w:rFonts w:eastAsia="Times New Roman"/>
          <w:color w:val="000000" w:themeColor="text1"/>
        </w:rPr>
        <w:t>contractor</w:t>
      </w:r>
      <w:r w:rsidRPr="2C8F1C5A">
        <w:rPr>
          <w:rFonts w:eastAsia="Times New Roman"/>
          <w:color w:val="000000" w:themeColor="text1"/>
        </w:rPr>
        <w:t xml:space="preserve"> </w:t>
      </w:r>
      <w:r w:rsidRPr="2C8F1C5A" w:rsidR="1D4B0C92">
        <w:rPr>
          <w:rFonts w:eastAsia="Times New Roman"/>
          <w:color w:val="000000" w:themeColor="text1"/>
        </w:rPr>
        <w:t xml:space="preserve">will use the active engagement framework to </w:t>
      </w:r>
      <w:r w:rsidRPr="2C8F1C5A">
        <w:rPr>
          <w:rFonts w:eastAsia="Times New Roman"/>
          <w:color w:val="000000" w:themeColor="text1"/>
        </w:rPr>
        <w:t xml:space="preserve">work with individuals and groups on co-analysis and co-interpretation of data as well as co-development of products. The </w:t>
      </w:r>
      <w:r w:rsidRPr="2C8F1C5A" w:rsidR="7DF614F7">
        <w:rPr>
          <w:rFonts w:eastAsia="Times New Roman"/>
          <w:color w:val="000000" w:themeColor="text1"/>
        </w:rPr>
        <w:t>contractor’s</w:t>
      </w:r>
      <w:r w:rsidRPr="2C8F1C5A" w:rsidR="79D328D8">
        <w:rPr>
          <w:rFonts w:eastAsia="Times New Roman"/>
          <w:color w:val="000000" w:themeColor="text1"/>
        </w:rPr>
        <w:t xml:space="preserve"> </w:t>
      </w:r>
      <w:r w:rsidRPr="2C8F1C5A">
        <w:rPr>
          <w:rFonts w:eastAsia="Times New Roman"/>
          <w:color w:val="000000" w:themeColor="text1"/>
        </w:rPr>
        <w:t xml:space="preserve">communications team will also provide editorial and dissemination support in close collaboration with </w:t>
      </w:r>
      <w:r w:rsidRPr="2C8F1C5A" w:rsidR="79D328D8">
        <w:rPr>
          <w:rFonts w:eastAsia="Times New Roman"/>
          <w:color w:val="000000" w:themeColor="text1"/>
        </w:rPr>
        <w:t>contractor staff</w:t>
      </w:r>
      <w:r w:rsidRPr="2C8F1C5A">
        <w:rPr>
          <w:rFonts w:eastAsia="Times New Roman"/>
          <w:color w:val="000000" w:themeColor="text1"/>
        </w:rPr>
        <w:t>, experts</w:t>
      </w:r>
      <w:r w:rsidRPr="2C8F1C5A" w:rsidR="1D4B0C92">
        <w:rPr>
          <w:rFonts w:eastAsia="Times New Roman"/>
          <w:color w:val="000000" w:themeColor="text1"/>
        </w:rPr>
        <w:t xml:space="preserve"> with experience of homelessness</w:t>
      </w:r>
      <w:r w:rsidRPr="2C8F1C5A">
        <w:rPr>
          <w:rFonts w:eastAsia="Times New Roman"/>
          <w:color w:val="000000" w:themeColor="text1"/>
        </w:rPr>
        <w:t>, advisory board members, subject matter experts, and relevant FYSB</w:t>
      </w:r>
      <w:r w:rsidRPr="2C8F1C5A" w:rsidR="206A7283">
        <w:rPr>
          <w:rFonts w:eastAsia="Times New Roman"/>
          <w:color w:val="000000" w:themeColor="text1"/>
        </w:rPr>
        <w:t>, OPRE, and other ACF</w:t>
      </w:r>
      <w:r w:rsidRPr="2C8F1C5A">
        <w:rPr>
          <w:rFonts w:eastAsia="Times New Roman"/>
          <w:color w:val="000000" w:themeColor="text1"/>
        </w:rPr>
        <w:t xml:space="preserve"> staff.</w:t>
      </w:r>
    </w:p>
    <w:p w:rsidR="00F5359D" w:rsidP="00F5359D" w14:paraId="3B90BE89" w14:textId="77777777">
      <w:pPr>
        <w:spacing w:after="0" w:line="240" w:lineRule="auto"/>
        <w:rPr>
          <w:rFonts w:eastAsia="Times New Roman" w:cstheme="minorHAnsi"/>
          <w:b/>
          <w:bCs/>
        </w:rPr>
      </w:pPr>
    </w:p>
    <w:p w:rsidR="00901040" w:rsidRPr="00DF1291" w:rsidP="00F85D35" w14:paraId="69EFFF84" w14:textId="7FBE1DF8">
      <w:pPr>
        <w:spacing w:after="120" w:line="240" w:lineRule="auto"/>
        <w:rPr>
          <w:rFonts w:eastAsia="Times New Roman" w:cstheme="minorHAnsi"/>
        </w:rPr>
      </w:pPr>
      <w:r>
        <w:rPr>
          <w:rFonts w:eastAsia="Times New Roman" w:cstheme="minorHAnsi"/>
          <w:b/>
          <w:bCs/>
        </w:rPr>
        <w:t>B8.  Contact Persons</w:t>
      </w:r>
    </w:p>
    <w:p w:rsidR="00474E1E" w:rsidRPr="00D02CA4" w:rsidP="00D02CA4" w14:paraId="6CD9B6F4" w14:textId="474B7707">
      <w:pPr>
        <w:pStyle w:val="ListParagraph"/>
        <w:numPr>
          <w:ilvl w:val="0"/>
          <w:numId w:val="57"/>
        </w:numPr>
        <w:spacing w:after="0" w:line="240" w:lineRule="auto"/>
        <w:rPr>
          <w:rFonts w:cstheme="minorHAnsi"/>
          <w:bCs/>
        </w:rPr>
      </w:pPr>
      <w:r>
        <w:rPr>
          <w:rFonts w:cstheme="minorHAnsi"/>
          <w:bCs/>
        </w:rPr>
        <w:t xml:space="preserve">Anne Farrell, Principal Investigator, </w:t>
      </w:r>
      <w:hyperlink r:id="rId9" w:history="1">
        <w:r w:rsidRPr="00945368">
          <w:rPr>
            <w:rStyle w:val="Hyperlink"/>
            <w:rFonts w:cstheme="minorHAnsi"/>
            <w:bCs/>
          </w:rPr>
          <w:t>afarrell@urban.org</w:t>
        </w:r>
      </w:hyperlink>
      <w:r w:rsidR="00D02CA4">
        <w:t xml:space="preserve">; </w:t>
      </w:r>
      <w:r w:rsidRPr="00D02CA4">
        <w:rPr>
          <w:rFonts w:cstheme="minorHAnsi"/>
          <w:bCs/>
        </w:rPr>
        <w:t xml:space="preserve">Samantha Batko, project director, </w:t>
      </w:r>
      <w:hyperlink r:id="rId10" w:history="1">
        <w:r w:rsidRPr="00D02CA4">
          <w:rPr>
            <w:rStyle w:val="Hyperlink"/>
            <w:rFonts w:cstheme="minorHAnsi"/>
            <w:bCs/>
          </w:rPr>
          <w:t>sbatko@urban.org</w:t>
        </w:r>
      </w:hyperlink>
      <w:r w:rsidRPr="00D02CA4">
        <w:rPr>
          <w:rFonts w:cstheme="minorHAnsi"/>
          <w:bCs/>
        </w:rPr>
        <w:t xml:space="preserve"> </w:t>
      </w:r>
    </w:p>
    <w:p w:rsidR="007B6FFF" w:rsidP="008369BA" w14:paraId="5D97D27E" w14:textId="77777777">
      <w:pPr>
        <w:spacing w:after="0" w:line="240" w:lineRule="auto"/>
        <w:rPr>
          <w:b/>
        </w:rPr>
      </w:pPr>
    </w:p>
    <w:p w:rsidR="00083227" w:rsidP="6C64DEB0" w14:paraId="1E574BF6" w14:textId="24463D9C">
      <w:pPr>
        <w:spacing w:after="120" w:line="240" w:lineRule="auto"/>
        <w:rPr>
          <w:b/>
          <w:bCs/>
        </w:rPr>
      </w:pPr>
      <w:r w:rsidRPr="6C64DEB0">
        <w:rPr>
          <w:b/>
          <w:bCs/>
        </w:rPr>
        <w:t>Attachments</w:t>
      </w:r>
    </w:p>
    <w:p w:rsidR="69D4A1AC" w:rsidP="69D4A1AC" w14:paraId="12C1A4C3" w14:textId="64B8B210">
      <w:pPr>
        <w:pStyle w:val="ListParagraph"/>
        <w:numPr>
          <w:ilvl w:val="0"/>
          <w:numId w:val="52"/>
        </w:numPr>
        <w:rPr>
          <w:rFonts w:ascii="Calibri" w:eastAsia="Calibri" w:hAnsi="Calibri" w:cs="Calibri"/>
          <w:color w:val="000000" w:themeColor="text1"/>
        </w:rPr>
      </w:pPr>
      <w:r w:rsidRPr="69D4A1AC">
        <w:rPr>
          <w:rFonts w:ascii="Calibri" w:eastAsia="Calibri" w:hAnsi="Calibri" w:cs="Calibri"/>
          <w:color w:val="000000" w:themeColor="text1"/>
        </w:rPr>
        <w:t>Appendix A: RHY LAS Research Questions</w:t>
      </w:r>
    </w:p>
    <w:p w:rsidR="69D4A1AC" w:rsidP="0070787E" w14:paraId="5806DAA0" w14:textId="0CC6054C">
      <w:pPr>
        <w:pStyle w:val="ListParagraph"/>
        <w:numPr>
          <w:ilvl w:val="0"/>
          <w:numId w:val="52"/>
        </w:numPr>
        <w:rPr>
          <w:rFonts w:ascii="Calibri" w:eastAsia="Calibri" w:hAnsi="Calibri" w:cs="Calibri"/>
          <w:color w:val="000000" w:themeColor="text1"/>
        </w:rPr>
      </w:pPr>
      <w:r w:rsidRPr="69D4A1AC">
        <w:rPr>
          <w:rFonts w:ascii="Calibri" w:eastAsia="Calibri" w:hAnsi="Calibri" w:cs="Calibri"/>
          <w:color w:val="000000" w:themeColor="text1"/>
        </w:rPr>
        <w:t xml:space="preserve">Appendix </w:t>
      </w:r>
      <w:r w:rsidR="005330E7">
        <w:rPr>
          <w:rFonts w:ascii="Calibri" w:eastAsia="Calibri" w:hAnsi="Calibri" w:cs="Calibri"/>
          <w:color w:val="000000" w:themeColor="text1"/>
        </w:rPr>
        <w:t>B</w:t>
      </w:r>
      <w:r w:rsidRPr="69D4A1AC">
        <w:rPr>
          <w:rFonts w:ascii="Calibri" w:eastAsia="Calibri" w:hAnsi="Calibri" w:cs="Calibri"/>
          <w:color w:val="000000" w:themeColor="text1"/>
        </w:rPr>
        <w:t>: RHY LAS Process Study Data Collection IRB Full Approval</w:t>
      </w:r>
    </w:p>
    <w:p w:rsidR="69D4A1AC" w:rsidP="0070787E" w14:paraId="4BD09304" w14:textId="4418D02B">
      <w:pPr>
        <w:pStyle w:val="ListParagraph"/>
        <w:numPr>
          <w:ilvl w:val="0"/>
          <w:numId w:val="52"/>
        </w:numPr>
        <w:rPr>
          <w:rFonts w:ascii="Calibri" w:eastAsia="Calibri" w:hAnsi="Calibri" w:cs="Calibri"/>
          <w:color w:val="000000" w:themeColor="text1"/>
        </w:rPr>
      </w:pPr>
      <w:r w:rsidRPr="5563566F">
        <w:rPr>
          <w:rFonts w:ascii="Calibri" w:eastAsia="Calibri" w:hAnsi="Calibri" w:cs="Calibri"/>
          <w:color w:val="000000" w:themeColor="text1"/>
        </w:rPr>
        <w:t xml:space="preserve">Instrument 1: Quarterly Site </w:t>
      </w:r>
      <w:r w:rsidR="001F7E0B">
        <w:rPr>
          <w:rFonts w:ascii="Calibri" w:eastAsia="Calibri" w:hAnsi="Calibri" w:cs="Calibri"/>
          <w:color w:val="000000" w:themeColor="text1"/>
        </w:rPr>
        <w:t>Meeting</w:t>
      </w:r>
      <w:r w:rsidRPr="5563566F" w:rsidR="001F7E0B">
        <w:rPr>
          <w:rFonts w:ascii="Calibri" w:eastAsia="Calibri" w:hAnsi="Calibri" w:cs="Calibri"/>
          <w:color w:val="000000" w:themeColor="text1"/>
        </w:rPr>
        <w:t xml:space="preserve"> </w:t>
      </w:r>
      <w:r w:rsidRPr="5563566F">
        <w:rPr>
          <w:rFonts w:ascii="Calibri" w:eastAsia="Calibri" w:hAnsi="Calibri" w:cs="Calibri"/>
          <w:color w:val="000000" w:themeColor="text1"/>
        </w:rPr>
        <w:t>Guide</w:t>
      </w:r>
    </w:p>
    <w:p w:rsidR="69D4A1AC" w:rsidP="5563566F" w14:paraId="4AD4EF1F" w14:textId="4E773FE6">
      <w:pPr>
        <w:pStyle w:val="ListParagraph"/>
        <w:numPr>
          <w:ilvl w:val="0"/>
          <w:numId w:val="52"/>
        </w:numPr>
        <w:rPr>
          <w:rFonts w:ascii="Calibri" w:eastAsia="Calibri" w:hAnsi="Calibri" w:cs="Calibri"/>
          <w:color w:val="000000" w:themeColor="text1"/>
        </w:rPr>
      </w:pPr>
      <w:r w:rsidRPr="5563566F">
        <w:rPr>
          <w:rFonts w:ascii="Calibri" w:eastAsia="Calibri" w:hAnsi="Calibri" w:cs="Calibri"/>
        </w:rPr>
        <w:t xml:space="preserve">Instrument 2: </w:t>
      </w:r>
      <w:r w:rsidR="00A22743">
        <w:rPr>
          <w:rFonts w:ascii="Calibri" w:eastAsia="Calibri" w:hAnsi="Calibri" w:cs="Calibri"/>
        </w:rPr>
        <w:t xml:space="preserve">Listening Session </w:t>
      </w:r>
      <w:r w:rsidR="00996F48">
        <w:rPr>
          <w:rFonts w:ascii="Calibri" w:eastAsia="Calibri" w:hAnsi="Calibri" w:cs="Calibri"/>
        </w:rPr>
        <w:t>Topic Guide</w:t>
      </w:r>
    </w:p>
    <w:p w:rsidR="69D4A1AC" w:rsidP="5563566F" w14:paraId="07C48D16" w14:textId="09B74C7F">
      <w:pPr>
        <w:pStyle w:val="ListParagraph"/>
        <w:numPr>
          <w:ilvl w:val="0"/>
          <w:numId w:val="52"/>
        </w:numPr>
        <w:rPr>
          <w:rFonts w:ascii="Calibri" w:eastAsia="Calibri" w:hAnsi="Calibri" w:cs="Calibri"/>
          <w:color w:val="000000" w:themeColor="text1"/>
        </w:rPr>
      </w:pPr>
      <w:r w:rsidRPr="5563566F">
        <w:rPr>
          <w:rFonts w:ascii="Calibri" w:eastAsia="Calibri" w:hAnsi="Calibri" w:cs="Calibri"/>
        </w:rPr>
        <w:t>Instrument 3: Site Visit Interview Protocol – Key Respondent Interviews</w:t>
      </w:r>
    </w:p>
    <w:p w:rsidR="00E12B50" w:rsidRPr="00BB2925" w:rsidP="5563566F" w14:paraId="0B4DB7F2" w14:textId="7C789839">
      <w:pPr>
        <w:pStyle w:val="ListParagraph"/>
        <w:numPr>
          <w:ilvl w:val="0"/>
          <w:numId w:val="52"/>
        </w:numPr>
        <w:rPr>
          <w:b/>
          <w:bCs/>
        </w:rPr>
      </w:pPr>
      <w:r w:rsidRPr="5563566F">
        <w:rPr>
          <w:rFonts w:ascii="Calibri" w:eastAsia="Calibri" w:hAnsi="Calibri" w:cs="Calibri"/>
        </w:rPr>
        <w:t>Instrument 4: Site Visit Focus Group Protocol – Youth Focus Groups</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2636" w:rsidP="0004063C" w14:paraId="1A78A7DF" w14:textId="77777777">
      <w:pPr>
        <w:spacing w:after="0" w:line="240" w:lineRule="auto"/>
      </w:pPr>
      <w:r>
        <w:separator/>
      </w:r>
    </w:p>
  </w:footnote>
  <w:footnote w:type="continuationSeparator" w:id="1">
    <w:p w:rsidR="00F52636" w:rsidP="0004063C" w14:paraId="4CF51D0F" w14:textId="77777777">
      <w:pPr>
        <w:spacing w:after="0" w:line="240" w:lineRule="auto"/>
      </w:pPr>
      <w:r>
        <w:continuationSeparator/>
      </w:r>
    </w:p>
  </w:footnote>
  <w:footnote w:type="continuationNotice" w:id="2">
    <w:p w:rsidR="00F52636" w14:paraId="32D6462D" w14:textId="77777777">
      <w:pPr>
        <w:spacing w:after="0" w:line="240" w:lineRule="auto"/>
      </w:pPr>
    </w:p>
  </w:footnote>
  <w:footnote w:id="3">
    <w:p w:rsidR="008D7B90" w14:paraId="7F0A1EE5" w14:textId="0F03F680">
      <w:pPr>
        <w:pStyle w:val="FootnoteText"/>
      </w:pPr>
      <w:r>
        <w:rPr>
          <w:rStyle w:val="FootnoteReference"/>
        </w:rPr>
        <w:footnoteRef/>
      </w:r>
      <w:r>
        <w:t xml:space="preserve"> </w:t>
      </w:r>
      <w:r w:rsidR="008E3694">
        <w:t>This effort does not impose burden on respondents and therefore is not included as an “information collection” under the Paperwork Reduction Act for this request.</w:t>
      </w:r>
    </w:p>
  </w:footnote>
  <w:footnote w:id="4">
    <w:p w:rsidR="00EC14FC" w:rsidRPr="00AC5153" w:rsidP="00EC14FC" w14:paraId="642CCDF8" w14:textId="77777777">
      <w:pPr>
        <w:pStyle w:val="FootnoteText"/>
        <w:rPr>
          <w:sz w:val="18"/>
          <w:szCs w:val="18"/>
        </w:rPr>
      </w:pPr>
      <w:r w:rsidRPr="00AC5153">
        <w:rPr>
          <w:rStyle w:val="FootnoteReference"/>
          <w:sz w:val="18"/>
          <w:szCs w:val="18"/>
        </w:rPr>
        <w:footnoteRef/>
      </w:r>
      <w:r w:rsidRPr="00AC5153">
        <w:rPr>
          <w:sz w:val="18"/>
          <w:szCs w:val="18"/>
        </w:rPr>
        <w:t xml:space="preserve"> Read more about Urban’s evaluation of the HUD-DOJ PFS PSH Demonstration at </w:t>
      </w:r>
      <w:hyperlink r:id="rId1" w:history="1">
        <w:r w:rsidRPr="00AC5153">
          <w:rPr>
            <w:rStyle w:val="Hyperlink"/>
            <w:sz w:val="18"/>
            <w:szCs w:val="18"/>
          </w:rPr>
          <w:t>https://www.huduser.gov/portal/PFS-PSH-study.html</w:t>
        </w:r>
      </w:hyperlink>
      <w:r w:rsidRPr="00AC5153">
        <w:rPr>
          <w:sz w:val="18"/>
          <w:szCs w:val="18"/>
        </w:rPr>
        <w:t xml:space="preserve">. </w:t>
      </w:r>
    </w:p>
  </w:footnote>
  <w:footnote w:id="5">
    <w:p w:rsidR="00AC5153" w14:paraId="1BCD87E7" w14:textId="319DD27B">
      <w:pPr>
        <w:pStyle w:val="FootnoteText"/>
      </w:pPr>
      <w:r w:rsidRPr="009603E7">
        <w:rPr>
          <w:rStyle w:val="FootnoteReference"/>
          <w:sz w:val="18"/>
          <w:szCs w:val="18"/>
        </w:rPr>
        <w:footnoteRef/>
      </w:r>
      <w:r w:rsidRPr="009603E7">
        <w:rPr>
          <w:sz w:val="18"/>
          <w:szCs w:val="18"/>
        </w:rPr>
        <w:t xml:space="preserve"> This effort does not include requesting the same information from more than 9 respondents and is not subject to the Paperwork Reduction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29965C1"/>
    <w:multiLevelType w:val="hybridMultilevel"/>
    <w:tmpl w:val="CD9A0176"/>
    <w:lvl w:ilvl="0">
      <w:start w:val="1"/>
      <w:numFmt w:val="bullet"/>
      <w:lvlText w:val="•"/>
      <w:lvlJc w:val="left"/>
      <w:pPr>
        <w:ind w:left="1440" w:hanging="720"/>
      </w:pPr>
      <w:rPr>
        <w:rFonts w:ascii="Calibri" w:eastAsia="Times New Roman" w:hAnsi="Calibri" w:cs="Calibri"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265C5C"/>
    <w:multiLevelType w:val="hybridMultilevel"/>
    <w:tmpl w:val="011CF2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9367A4"/>
    <w:multiLevelType w:val="hybridMultilevel"/>
    <w:tmpl w:val="B994E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EB4A89"/>
    <w:multiLevelType w:val="hybridMultilevel"/>
    <w:tmpl w:val="92E000F4"/>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1B90D46"/>
    <w:multiLevelType w:val="hybridMultilevel"/>
    <w:tmpl w:val="CFF4682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5D7583"/>
    <w:multiLevelType w:val="hybridMultilevel"/>
    <w:tmpl w:val="4A6201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A711B44"/>
    <w:multiLevelType w:val="hybridMultilevel"/>
    <w:tmpl w:val="7A50BA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531229"/>
    <w:multiLevelType w:val="multilevel"/>
    <w:tmpl w:val="DC0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03276B"/>
    <w:multiLevelType w:val="hybridMultilevel"/>
    <w:tmpl w:val="B964C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CC4E89"/>
    <w:multiLevelType w:val="hybridMultilevel"/>
    <w:tmpl w:val="4A3C5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608DC"/>
    <w:multiLevelType w:val="hybridMultilevel"/>
    <w:tmpl w:val="581CC1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5">
    <w:nsid w:val="3A9F21F6"/>
    <w:multiLevelType w:val="hybridMultilevel"/>
    <w:tmpl w:val="46301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FC2A61"/>
    <w:multiLevelType w:val="hybridMultilevel"/>
    <w:tmpl w:val="EC9E0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D91921"/>
    <w:multiLevelType w:val="hybridMultilevel"/>
    <w:tmpl w:val="86502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9476C39"/>
    <w:multiLevelType w:val="hybridMultilevel"/>
    <w:tmpl w:val="4A6EC1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4A707308"/>
    <w:multiLevelType w:val="multilevel"/>
    <w:tmpl w:val="D88E82C2"/>
    <w:lvl w:ilvl="0">
      <w:start w:val="1"/>
      <w:numFmt w:val="decimal"/>
      <w:lvlText w:val="%1."/>
      <w:lvlJc w:val="left"/>
      <w:pPr>
        <w:ind w:left="720" w:hanging="360"/>
      </w:pPr>
      <w:rPr>
        <w:rFonts w:ascii="Lato" w:hAnsi="Lato" w:hint="default"/>
        <w:b w:val="0"/>
        <w:bCs w:val="0"/>
        <w:i w:val="0"/>
        <w:iCs w:val="0"/>
        <w:color w:val="auto"/>
        <w:sz w:val="20"/>
        <w:szCs w:val="20"/>
      </w:rPr>
    </w:lvl>
    <w:lvl w:ilvl="1">
      <w:start w:val="1"/>
      <w:numFmt w:val="lowerLetter"/>
      <w:lvlText w:val="%2."/>
      <w:lvlJc w:val="left"/>
      <w:pPr>
        <w:ind w:left="1080" w:hanging="360"/>
      </w:pPr>
      <w:rPr>
        <w:rFonts w:ascii="Lato" w:hAnsi="Lato" w:hint="default"/>
        <w:b w:val="0"/>
        <w:i w:val="0"/>
        <w:sz w:val="20"/>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2">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1D8F537"/>
    <w:multiLevelType w:val="hybridMultilevel"/>
    <w:tmpl w:val="0D246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64973EC"/>
    <w:multiLevelType w:val="hybridMultilevel"/>
    <w:tmpl w:val="05EC76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6890AEA"/>
    <w:multiLevelType w:val="multilevel"/>
    <w:tmpl w:val="C068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272102"/>
    <w:multiLevelType w:val="hybridMultilevel"/>
    <w:tmpl w:val="41327F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39A5674"/>
    <w:multiLevelType w:val="hybridMultilevel"/>
    <w:tmpl w:val="D3561C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45C7469"/>
    <w:multiLevelType w:val="hybridMultilevel"/>
    <w:tmpl w:val="62C23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A935C78"/>
    <w:multiLevelType w:val="multilevel"/>
    <w:tmpl w:val="6E7C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7E7FAB"/>
    <w:multiLevelType w:val="hybridMultilevel"/>
    <w:tmpl w:val="AA122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E575E21"/>
    <w:multiLevelType w:val="multilevel"/>
    <w:tmpl w:val="E1EA7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933E62"/>
    <w:multiLevelType w:val="hybridMultilevel"/>
    <w:tmpl w:val="24EA9E8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29A4AF7"/>
    <w:multiLevelType w:val="hybridMultilevel"/>
    <w:tmpl w:val="C910F2FA"/>
    <w:lvl w:ilvl="0">
      <w:start w:val="1"/>
      <w:numFmt w:val="bullet"/>
      <w:lvlText w:val=""/>
      <w:lvlJc w:val="left"/>
      <w:pPr>
        <w:ind w:left="0" w:hanging="360"/>
      </w:pPr>
      <w:rPr>
        <w:rFonts w:ascii="Symbol" w:hAnsi="Symbol" w:hint="default"/>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50">
    <w:nsid w:val="72DC2901"/>
    <w:multiLevelType w:val="hybridMultilevel"/>
    <w:tmpl w:val="3BC446A0"/>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75A0D45"/>
    <w:multiLevelType w:val="hybridMultilevel"/>
    <w:tmpl w:val="575AA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79F03EFD"/>
    <w:multiLevelType w:val="multilevel"/>
    <w:tmpl w:val="6092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BED7B69"/>
    <w:multiLevelType w:val="hybridMultilevel"/>
    <w:tmpl w:val="8CFC04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CE76D0E"/>
    <w:multiLevelType w:val="multilevel"/>
    <w:tmpl w:val="3C4A40E6"/>
    <w:lvl w:ilvl="0">
      <w:start w:val="1"/>
      <w:numFmt w:val="decimal"/>
      <w:pStyle w:val="NumberedList"/>
      <w:lvlText w:val="%1."/>
      <w:lvlJc w:val="left"/>
      <w:pPr>
        <w:ind w:left="720" w:hanging="360"/>
      </w:pPr>
      <w:rPr>
        <w:rFonts w:ascii="Lato" w:hAnsi="Lato" w:hint="default"/>
        <w:b w:val="0"/>
        <w:bCs w:val="0"/>
        <w:i w:val="0"/>
        <w:iCs w:val="0"/>
        <w:color w:val="auto"/>
        <w:sz w:val="20"/>
        <w:szCs w:val="20"/>
      </w:rPr>
    </w:lvl>
    <w:lvl w:ilvl="1">
      <w:start w:val="1"/>
      <w:numFmt w:val="lowerLetter"/>
      <w:pStyle w:val="NumberedList2"/>
      <w:lvlText w:val="%2."/>
      <w:lvlJc w:val="left"/>
      <w:pPr>
        <w:ind w:left="1080" w:hanging="360"/>
      </w:pPr>
      <w:rPr>
        <w:rFonts w:ascii="Lato" w:hAnsi="Lato" w:hint="default"/>
        <w:b w:val="0"/>
        <w:i w:val="0"/>
        <w:sz w:val="20"/>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6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1966660">
    <w:abstractNumId w:val="35"/>
  </w:num>
  <w:num w:numId="2" w16cid:durableId="489324093">
    <w:abstractNumId w:val="10"/>
  </w:num>
  <w:num w:numId="3" w16cid:durableId="38167949">
    <w:abstractNumId w:val="32"/>
  </w:num>
  <w:num w:numId="4" w16cid:durableId="33308724">
    <w:abstractNumId w:val="7"/>
  </w:num>
  <w:num w:numId="5" w16cid:durableId="603654406">
    <w:abstractNumId w:val="41"/>
  </w:num>
  <w:num w:numId="6" w16cid:durableId="1280722107">
    <w:abstractNumId w:val="24"/>
  </w:num>
  <w:num w:numId="7" w16cid:durableId="774179303">
    <w:abstractNumId w:val="56"/>
  </w:num>
  <w:num w:numId="8" w16cid:durableId="613173891">
    <w:abstractNumId w:val="6"/>
  </w:num>
  <w:num w:numId="9" w16cid:durableId="1744403357">
    <w:abstractNumId w:val="16"/>
  </w:num>
  <w:num w:numId="10" w16cid:durableId="741148775">
    <w:abstractNumId w:val="23"/>
  </w:num>
  <w:num w:numId="11" w16cid:durableId="165170881">
    <w:abstractNumId w:val="54"/>
  </w:num>
  <w:num w:numId="12" w16cid:durableId="1089430075">
    <w:abstractNumId w:val="60"/>
  </w:num>
  <w:num w:numId="13" w16cid:durableId="263538319">
    <w:abstractNumId w:val="51"/>
  </w:num>
  <w:num w:numId="14" w16cid:durableId="175534780">
    <w:abstractNumId w:val="39"/>
  </w:num>
  <w:num w:numId="15" w16cid:durableId="655301659">
    <w:abstractNumId w:val="52"/>
  </w:num>
  <w:num w:numId="16" w16cid:durableId="196237274">
    <w:abstractNumId w:val="26"/>
  </w:num>
  <w:num w:numId="17" w16cid:durableId="1096317860">
    <w:abstractNumId w:val="38"/>
  </w:num>
  <w:num w:numId="18" w16cid:durableId="1288975732">
    <w:abstractNumId w:val="21"/>
  </w:num>
  <w:num w:numId="19" w16cid:durableId="853999757">
    <w:abstractNumId w:val="14"/>
  </w:num>
  <w:num w:numId="20" w16cid:durableId="899436213">
    <w:abstractNumId w:val="13"/>
  </w:num>
  <w:num w:numId="21" w16cid:durableId="677737758">
    <w:abstractNumId w:val="34"/>
  </w:num>
  <w:num w:numId="22" w16cid:durableId="1451971689">
    <w:abstractNumId w:val="0"/>
  </w:num>
  <w:num w:numId="23" w16cid:durableId="158279696">
    <w:abstractNumId w:val="3"/>
  </w:num>
  <w:num w:numId="24" w16cid:durableId="243800199">
    <w:abstractNumId w:val="29"/>
  </w:num>
  <w:num w:numId="25" w16cid:durableId="925958951">
    <w:abstractNumId w:val="4"/>
  </w:num>
  <w:num w:numId="26" w16cid:durableId="1106585694">
    <w:abstractNumId w:val="17"/>
  </w:num>
  <w:num w:numId="27" w16cid:durableId="1771467278">
    <w:abstractNumId w:val="33"/>
  </w:num>
  <w:num w:numId="28" w16cid:durableId="2035113369">
    <w:abstractNumId w:val="22"/>
  </w:num>
  <w:num w:numId="29" w16cid:durableId="2093236380">
    <w:abstractNumId w:val="58"/>
  </w:num>
  <w:num w:numId="30" w16cid:durableId="624772256">
    <w:abstractNumId w:val="44"/>
  </w:num>
  <w:num w:numId="31" w16cid:durableId="1190992363">
    <w:abstractNumId w:val="59"/>
  </w:num>
  <w:num w:numId="32" w16cid:durableId="1072048993">
    <w:abstractNumId w:val="48"/>
  </w:num>
  <w:num w:numId="33" w16cid:durableId="1305770078">
    <w:abstractNumId w:val="57"/>
  </w:num>
  <w:num w:numId="34" w16cid:durableId="1221015907">
    <w:abstractNumId w:val="40"/>
  </w:num>
  <w:num w:numId="35" w16cid:durableId="1492408395">
    <w:abstractNumId w:val="5"/>
  </w:num>
  <w:num w:numId="36" w16cid:durableId="141243201">
    <w:abstractNumId w:val="50"/>
  </w:num>
  <w:num w:numId="37" w16cid:durableId="50033611">
    <w:abstractNumId w:val="8"/>
  </w:num>
  <w:num w:numId="38" w16cid:durableId="1487437067">
    <w:abstractNumId w:val="1"/>
  </w:num>
  <w:num w:numId="39" w16cid:durableId="1227112788">
    <w:abstractNumId w:val="49"/>
  </w:num>
  <w:num w:numId="40" w16cid:durableId="332145939">
    <w:abstractNumId w:val="37"/>
  </w:num>
  <w:num w:numId="41" w16cid:durableId="119614963">
    <w:abstractNumId w:val="37"/>
    <w:lvlOverride w:ilvl="1">
      <w:lvl w:ilvl="1">
        <w:start w:val="0"/>
        <w:numFmt w:val="bullet"/>
        <w:lvlText w:val=""/>
        <w:lvlJc w:val="left"/>
        <w:pPr>
          <w:tabs>
            <w:tab w:val="num" w:pos="1440"/>
          </w:tabs>
          <w:ind w:left="1440" w:hanging="360"/>
        </w:pPr>
        <w:rPr>
          <w:rFonts w:ascii="Symbol" w:hAnsi="Symbol" w:hint="default"/>
          <w:sz w:val="20"/>
        </w:rPr>
      </w:lvl>
    </w:lvlOverride>
  </w:num>
  <w:num w:numId="42" w16cid:durableId="1925527056">
    <w:abstractNumId w:val="37"/>
    <w:lvlOverride w:ilvl="1">
      <w:lvl w:ilvl="1">
        <w:start w:val="0"/>
        <w:numFmt w:val="bullet"/>
        <w:lvlText w:val=""/>
        <w:lvlJc w:val="left"/>
        <w:pPr>
          <w:tabs>
            <w:tab w:val="num" w:pos="1440"/>
          </w:tabs>
          <w:ind w:left="1440" w:hanging="360"/>
        </w:pPr>
        <w:rPr>
          <w:rFonts w:ascii="Symbol" w:hAnsi="Symbol" w:hint="default"/>
          <w:sz w:val="20"/>
        </w:rPr>
      </w:lvl>
    </w:lvlOverride>
  </w:num>
  <w:num w:numId="43" w16cid:durableId="379596085">
    <w:abstractNumId w:val="37"/>
    <w:lvlOverride w:ilvl="1">
      <w:lvl w:ilvl="1">
        <w:start w:val="0"/>
        <w:numFmt w:val="bullet"/>
        <w:lvlText w:val=""/>
        <w:lvlJc w:val="left"/>
        <w:pPr>
          <w:tabs>
            <w:tab w:val="num" w:pos="1440"/>
          </w:tabs>
          <w:ind w:left="1440" w:hanging="360"/>
        </w:pPr>
        <w:rPr>
          <w:rFonts w:ascii="Symbol" w:hAnsi="Symbol" w:hint="default"/>
          <w:sz w:val="20"/>
        </w:rPr>
      </w:lvl>
    </w:lvlOverride>
  </w:num>
  <w:num w:numId="44" w16cid:durableId="1571309589">
    <w:abstractNumId w:val="11"/>
  </w:num>
  <w:num w:numId="45" w16cid:durableId="1686130365">
    <w:abstractNumId w:val="42"/>
  </w:num>
  <w:num w:numId="46" w16cid:durableId="1896432090">
    <w:abstractNumId w:val="12"/>
  </w:num>
  <w:num w:numId="47" w16cid:durableId="658120589">
    <w:abstractNumId w:val="45"/>
  </w:num>
  <w:num w:numId="48" w16cid:durableId="399179940">
    <w:abstractNumId w:val="25"/>
  </w:num>
  <w:num w:numId="49" w16cid:durableId="1875188176">
    <w:abstractNumId w:val="43"/>
  </w:num>
  <w:num w:numId="50" w16cid:durableId="1340429760">
    <w:abstractNumId w:val="47"/>
  </w:num>
  <w:num w:numId="51" w16cid:durableId="1233853617">
    <w:abstractNumId w:val="47"/>
    <w:lvlOverride w:ilvl="1">
      <w:lvl w:ilvl="1">
        <w:start w:val="0"/>
        <w:numFmt w:val="bullet"/>
        <w:lvlText w:val=""/>
        <w:lvlJc w:val="left"/>
        <w:pPr>
          <w:tabs>
            <w:tab w:val="num" w:pos="1440"/>
          </w:tabs>
          <w:ind w:left="1440" w:hanging="360"/>
        </w:pPr>
        <w:rPr>
          <w:rFonts w:ascii="Symbol" w:hAnsi="Symbol" w:hint="default"/>
          <w:sz w:val="20"/>
        </w:rPr>
      </w:lvl>
    </w:lvlOverride>
  </w:num>
  <w:num w:numId="52" w16cid:durableId="1723167515">
    <w:abstractNumId w:val="18"/>
  </w:num>
  <w:num w:numId="53" w16cid:durableId="929460319">
    <w:abstractNumId w:val="20"/>
  </w:num>
  <w:num w:numId="54" w16cid:durableId="1644431963">
    <w:abstractNumId w:val="55"/>
  </w:num>
  <w:num w:numId="55" w16cid:durableId="1583760726">
    <w:abstractNumId w:val="15"/>
  </w:num>
  <w:num w:numId="56" w16cid:durableId="1949584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16411569">
    <w:abstractNumId w:val="27"/>
  </w:num>
  <w:num w:numId="58" w16cid:durableId="718014605">
    <w:abstractNumId w:val="19"/>
  </w:num>
  <w:num w:numId="59" w16cid:durableId="57945409">
    <w:abstractNumId w:val="36"/>
  </w:num>
  <w:num w:numId="60" w16cid:durableId="1121340677">
    <w:abstractNumId w:val="53"/>
  </w:num>
  <w:num w:numId="61" w16cid:durableId="423378667">
    <w:abstractNumId w:val="28"/>
  </w:num>
  <w:num w:numId="62" w16cid:durableId="271281345">
    <w:abstractNumId w:val="30"/>
  </w:num>
  <w:num w:numId="63" w16cid:durableId="1785999735">
    <w:abstractNumId w:val="9"/>
  </w:num>
  <w:num w:numId="64" w16cid:durableId="653144067">
    <w:abstractNumId w:val="2"/>
  </w:num>
  <w:num w:numId="65" w16cid:durableId="1283069825">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A7E"/>
    <w:rsid w:val="00002288"/>
    <w:rsid w:val="00006534"/>
    <w:rsid w:val="00006927"/>
    <w:rsid w:val="0001255D"/>
    <w:rsid w:val="000267E8"/>
    <w:rsid w:val="00027E79"/>
    <w:rsid w:val="00031BAE"/>
    <w:rsid w:val="000349E5"/>
    <w:rsid w:val="00036269"/>
    <w:rsid w:val="00037538"/>
    <w:rsid w:val="0004063C"/>
    <w:rsid w:val="00042039"/>
    <w:rsid w:val="0004247F"/>
    <w:rsid w:val="0005028D"/>
    <w:rsid w:val="0005166B"/>
    <w:rsid w:val="00055112"/>
    <w:rsid w:val="000566F5"/>
    <w:rsid w:val="000607F9"/>
    <w:rsid w:val="00060C59"/>
    <w:rsid w:val="00060D5B"/>
    <w:rsid w:val="00062AFB"/>
    <w:rsid w:val="000655DD"/>
    <w:rsid w:val="00067D48"/>
    <w:rsid w:val="00071F79"/>
    <w:rsid w:val="0007251B"/>
    <w:rsid w:val="000733A5"/>
    <w:rsid w:val="00080378"/>
    <w:rsid w:val="000810BE"/>
    <w:rsid w:val="00082C5B"/>
    <w:rsid w:val="00083227"/>
    <w:rsid w:val="00086CBE"/>
    <w:rsid w:val="00090812"/>
    <w:rsid w:val="000921F0"/>
    <w:rsid w:val="00092A39"/>
    <w:rsid w:val="00092A79"/>
    <w:rsid w:val="00092F06"/>
    <w:rsid w:val="000A012A"/>
    <w:rsid w:val="000A614D"/>
    <w:rsid w:val="000B4341"/>
    <w:rsid w:val="000B600C"/>
    <w:rsid w:val="000C5CE8"/>
    <w:rsid w:val="000C6C03"/>
    <w:rsid w:val="000D11E5"/>
    <w:rsid w:val="000D19A3"/>
    <w:rsid w:val="000D1B04"/>
    <w:rsid w:val="000D3B22"/>
    <w:rsid w:val="000D4E9A"/>
    <w:rsid w:val="000D577B"/>
    <w:rsid w:val="000D61D4"/>
    <w:rsid w:val="000D7942"/>
    <w:rsid w:val="000D7D44"/>
    <w:rsid w:val="000E1E2A"/>
    <w:rsid w:val="000F1E4A"/>
    <w:rsid w:val="00100D34"/>
    <w:rsid w:val="00103EFD"/>
    <w:rsid w:val="00107D87"/>
    <w:rsid w:val="00115CC8"/>
    <w:rsid w:val="00116371"/>
    <w:rsid w:val="001253F4"/>
    <w:rsid w:val="00131571"/>
    <w:rsid w:val="00135369"/>
    <w:rsid w:val="00151BBA"/>
    <w:rsid w:val="00151DAD"/>
    <w:rsid w:val="00157482"/>
    <w:rsid w:val="00161F50"/>
    <w:rsid w:val="00164BC6"/>
    <w:rsid w:val="0016510A"/>
    <w:rsid w:val="00165818"/>
    <w:rsid w:val="001707D8"/>
    <w:rsid w:val="00170A6D"/>
    <w:rsid w:val="00174D93"/>
    <w:rsid w:val="00190DD5"/>
    <w:rsid w:val="001A432B"/>
    <w:rsid w:val="001B0A76"/>
    <w:rsid w:val="001B0AC2"/>
    <w:rsid w:val="001B6E1A"/>
    <w:rsid w:val="001C2486"/>
    <w:rsid w:val="001C3938"/>
    <w:rsid w:val="001F57F5"/>
    <w:rsid w:val="001F7E0B"/>
    <w:rsid w:val="0020401C"/>
    <w:rsid w:val="0020629A"/>
    <w:rsid w:val="00206E11"/>
    <w:rsid w:val="00206FE3"/>
    <w:rsid w:val="00207554"/>
    <w:rsid w:val="00211261"/>
    <w:rsid w:val="00233623"/>
    <w:rsid w:val="002517BB"/>
    <w:rsid w:val="00252920"/>
    <w:rsid w:val="00253018"/>
    <w:rsid w:val="00253990"/>
    <w:rsid w:val="002555C0"/>
    <w:rsid w:val="00256E24"/>
    <w:rsid w:val="002572CD"/>
    <w:rsid w:val="00265491"/>
    <w:rsid w:val="00276CE2"/>
    <w:rsid w:val="0028675B"/>
    <w:rsid w:val="00287AF1"/>
    <w:rsid w:val="002919EE"/>
    <w:rsid w:val="002A41C6"/>
    <w:rsid w:val="002A454B"/>
    <w:rsid w:val="002A5708"/>
    <w:rsid w:val="002B1B0D"/>
    <w:rsid w:val="002B274D"/>
    <w:rsid w:val="002B785B"/>
    <w:rsid w:val="002C4035"/>
    <w:rsid w:val="002C4F75"/>
    <w:rsid w:val="002D3E36"/>
    <w:rsid w:val="002D4B2A"/>
    <w:rsid w:val="002E0890"/>
    <w:rsid w:val="002E6041"/>
    <w:rsid w:val="002E6CB3"/>
    <w:rsid w:val="002E6CCF"/>
    <w:rsid w:val="002E7B59"/>
    <w:rsid w:val="002F33D0"/>
    <w:rsid w:val="002F7507"/>
    <w:rsid w:val="002F7982"/>
    <w:rsid w:val="00300722"/>
    <w:rsid w:val="0030316D"/>
    <w:rsid w:val="00315FAF"/>
    <w:rsid w:val="0032090A"/>
    <w:rsid w:val="003253A0"/>
    <w:rsid w:val="00332933"/>
    <w:rsid w:val="003330C8"/>
    <w:rsid w:val="00335DEB"/>
    <w:rsid w:val="00344067"/>
    <w:rsid w:val="00356D2A"/>
    <w:rsid w:val="00363D00"/>
    <w:rsid w:val="00373D2F"/>
    <w:rsid w:val="00373E46"/>
    <w:rsid w:val="00377CAC"/>
    <w:rsid w:val="00382109"/>
    <w:rsid w:val="003914B2"/>
    <w:rsid w:val="003A0C0F"/>
    <w:rsid w:val="003A3F77"/>
    <w:rsid w:val="003A7774"/>
    <w:rsid w:val="003B0287"/>
    <w:rsid w:val="003B2B01"/>
    <w:rsid w:val="003B56E7"/>
    <w:rsid w:val="003C5E04"/>
    <w:rsid w:val="003C7358"/>
    <w:rsid w:val="003D4061"/>
    <w:rsid w:val="003D4550"/>
    <w:rsid w:val="003D570B"/>
    <w:rsid w:val="003E4B2A"/>
    <w:rsid w:val="003E61F6"/>
    <w:rsid w:val="003F02D6"/>
    <w:rsid w:val="003F0D93"/>
    <w:rsid w:val="003F2B6D"/>
    <w:rsid w:val="003F3229"/>
    <w:rsid w:val="003F5243"/>
    <w:rsid w:val="00404E80"/>
    <w:rsid w:val="00405D0E"/>
    <w:rsid w:val="00407515"/>
    <w:rsid w:val="00407537"/>
    <w:rsid w:val="004165BD"/>
    <w:rsid w:val="0042220D"/>
    <w:rsid w:val="0043377A"/>
    <w:rsid w:val="004379B6"/>
    <w:rsid w:val="00437E53"/>
    <w:rsid w:val="0044428E"/>
    <w:rsid w:val="00444292"/>
    <w:rsid w:val="00446465"/>
    <w:rsid w:val="00447069"/>
    <w:rsid w:val="004503D7"/>
    <w:rsid w:val="00454A7A"/>
    <w:rsid w:val="0045653C"/>
    <w:rsid w:val="00460A41"/>
    <w:rsid w:val="00460D54"/>
    <w:rsid w:val="00461D3E"/>
    <w:rsid w:val="004630D9"/>
    <w:rsid w:val="0046364E"/>
    <w:rsid w:val="004706CC"/>
    <w:rsid w:val="00474E1E"/>
    <w:rsid w:val="00475D61"/>
    <w:rsid w:val="00475F10"/>
    <w:rsid w:val="00486180"/>
    <w:rsid w:val="0048691C"/>
    <w:rsid w:val="00487654"/>
    <w:rsid w:val="004945CA"/>
    <w:rsid w:val="004A1940"/>
    <w:rsid w:val="004A5B02"/>
    <w:rsid w:val="004B7176"/>
    <w:rsid w:val="004B75AC"/>
    <w:rsid w:val="004C3644"/>
    <w:rsid w:val="004D12DD"/>
    <w:rsid w:val="004D6F9A"/>
    <w:rsid w:val="004D7222"/>
    <w:rsid w:val="004E4F13"/>
    <w:rsid w:val="004E5778"/>
    <w:rsid w:val="004E62DD"/>
    <w:rsid w:val="004E7ED8"/>
    <w:rsid w:val="004E939B"/>
    <w:rsid w:val="004F1DDB"/>
    <w:rsid w:val="004F3CE9"/>
    <w:rsid w:val="00500F16"/>
    <w:rsid w:val="0050376D"/>
    <w:rsid w:val="00510AE7"/>
    <w:rsid w:val="00512C25"/>
    <w:rsid w:val="005300A7"/>
    <w:rsid w:val="005302CB"/>
    <w:rsid w:val="005330E7"/>
    <w:rsid w:val="0055434C"/>
    <w:rsid w:val="00560C01"/>
    <w:rsid w:val="0056736F"/>
    <w:rsid w:val="0057702E"/>
    <w:rsid w:val="00580972"/>
    <w:rsid w:val="00580CEE"/>
    <w:rsid w:val="005903D9"/>
    <w:rsid w:val="00591283"/>
    <w:rsid w:val="005A1F0F"/>
    <w:rsid w:val="005A2A85"/>
    <w:rsid w:val="005A2C47"/>
    <w:rsid w:val="005A61CE"/>
    <w:rsid w:val="005A7E5A"/>
    <w:rsid w:val="005B1285"/>
    <w:rsid w:val="005B1410"/>
    <w:rsid w:val="005B2685"/>
    <w:rsid w:val="005B2A66"/>
    <w:rsid w:val="005B2B19"/>
    <w:rsid w:val="005B431B"/>
    <w:rsid w:val="005B4367"/>
    <w:rsid w:val="005C5318"/>
    <w:rsid w:val="005C7E12"/>
    <w:rsid w:val="005D2AB5"/>
    <w:rsid w:val="005D4A40"/>
    <w:rsid w:val="005D6199"/>
    <w:rsid w:val="005D6361"/>
    <w:rsid w:val="005E493B"/>
    <w:rsid w:val="005F2951"/>
    <w:rsid w:val="005F4D66"/>
    <w:rsid w:val="005F784B"/>
    <w:rsid w:val="00624DDC"/>
    <w:rsid w:val="006253B6"/>
    <w:rsid w:val="006257ED"/>
    <w:rsid w:val="0062686E"/>
    <w:rsid w:val="00630275"/>
    <w:rsid w:val="00630B30"/>
    <w:rsid w:val="00631CCB"/>
    <w:rsid w:val="006345D7"/>
    <w:rsid w:val="00634748"/>
    <w:rsid w:val="00635805"/>
    <w:rsid w:val="00647292"/>
    <w:rsid w:val="00651FF6"/>
    <w:rsid w:val="006700F1"/>
    <w:rsid w:val="0067416D"/>
    <w:rsid w:val="0067532A"/>
    <w:rsid w:val="00675873"/>
    <w:rsid w:val="00677CF9"/>
    <w:rsid w:val="0068303E"/>
    <w:rsid w:val="0068383E"/>
    <w:rsid w:val="006925BA"/>
    <w:rsid w:val="00696B4B"/>
    <w:rsid w:val="006A4D02"/>
    <w:rsid w:val="006B1BF9"/>
    <w:rsid w:val="006B31DA"/>
    <w:rsid w:val="006B4ABF"/>
    <w:rsid w:val="006B53F1"/>
    <w:rsid w:val="006B6037"/>
    <w:rsid w:val="006C0E56"/>
    <w:rsid w:val="006C1709"/>
    <w:rsid w:val="006D0694"/>
    <w:rsid w:val="006D2DEE"/>
    <w:rsid w:val="006D3C83"/>
    <w:rsid w:val="006D432B"/>
    <w:rsid w:val="006D4807"/>
    <w:rsid w:val="006D4C3B"/>
    <w:rsid w:val="006D502E"/>
    <w:rsid w:val="006E4F82"/>
    <w:rsid w:val="006F082C"/>
    <w:rsid w:val="006F1C17"/>
    <w:rsid w:val="006F7A18"/>
    <w:rsid w:val="0070189A"/>
    <w:rsid w:val="0070787E"/>
    <w:rsid w:val="00715128"/>
    <w:rsid w:val="00717BDC"/>
    <w:rsid w:val="0072072F"/>
    <w:rsid w:val="00723A28"/>
    <w:rsid w:val="007275F3"/>
    <w:rsid w:val="00735ACA"/>
    <w:rsid w:val="00736B62"/>
    <w:rsid w:val="00737549"/>
    <w:rsid w:val="00740690"/>
    <w:rsid w:val="00741B90"/>
    <w:rsid w:val="0074729C"/>
    <w:rsid w:val="00764C85"/>
    <w:rsid w:val="00766EB2"/>
    <w:rsid w:val="00772497"/>
    <w:rsid w:val="00773B4B"/>
    <w:rsid w:val="00785CAB"/>
    <w:rsid w:val="00793E3E"/>
    <w:rsid w:val="007A29C5"/>
    <w:rsid w:val="007A42AE"/>
    <w:rsid w:val="007A7FBF"/>
    <w:rsid w:val="007B02E6"/>
    <w:rsid w:val="007B6CA2"/>
    <w:rsid w:val="007B6FFF"/>
    <w:rsid w:val="007C2EE0"/>
    <w:rsid w:val="007C7B4B"/>
    <w:rsid w:val="007D5F5F"/>
    <w:rsid w:val="007E6423"/>
    <w:rsid w:val="007F2834"/>
    <w:rsid w:val="007F4031"/>
    <w:rsid w:val="00810668"/>
    <w:rsid w:val="008141E2"/>
    <w:rsid w:val="0081709A"/>
    <w:rsid w:val="0082134C"/>
    <w:rsid w:val="00822D55"/>
    <w:rsid w:val="00823428"/>
    <w:rsid w:val="00831C26"/>
    <w:rsid w:val="008369BA"/>
    <w:rsid w:val="00840D32"/>
    <w:rsid w:val="00843265"/>
    <w:rsid w:val="00843933"/>
    <w:rsid w:val="00850F4C"/>
    <w:rsid w:val="008574F6"/>
    <w:rsid w:val="00864C1F"/>
    <w:rsid w:val="0087016C"/>
    <w:rsid w:val="00870FA1"/>
    <w:rsid w:val="00875220"/>
    <w:rsid w:val="00881E5F"/>
    <w:rsid w:val="00886E44"/>
    <w:rsid w:val="00891CD9"/>
    <w:rsid w:val="008A6BD7"/>
    <w:rsid w:val="008B0B19"/>
    <w:rsid w:val="008B390E"/>
    <w:rsid w:val="008C2540"/>
    <w:rsid w:val="008D3E97"/>
    <w:rsid w:val="008D752E"/>
    <w:rsid w:val="008D7B90"/>
    <w:rsid w:val="008E0239"/>
    <w:rsid w:val="008E3694"/>
    <w:rsid w:val="008E4718"/>
    <w:rsid w:val="008E484B"/>
    <w:rsid w:val="008E6A6F"/>
    <w:rsid w:val="008F2446"/>
    <w:rsid w:val="0090097F"/>
    <w:rsid w:val="00901040"/>
    <w:rsid w:val="009023B4"/>
    <w:rsid w:val="0091648D"/>
    <w:rsid w:val="00917FF6"/>
    <w:rsid w:val="00920EBE"/>
    <w:rsid w:val="00923F25"/>
    <w:rsid w:val="00925186"/>
    <w:rsid w:val="00926355"/>
    <w:rsid w:val="009300A0"/>
    <w:rsid w:val="00930383"/>
    <w:rsid w:val="009323A9"/>
    <w:rsid w:val="009332A9"/>
    <w:rsid w:val="00945368"/>
    <w:rsid w:val="009455A0"/>
    <w:rsid w:val="00945BEC"/>
    <w:rsid w:val="00950F36"/>
    <w:rsid w:val="009510A4"/>
    <w:rsid w:val="009603E7"/>
    <w:rsid w:val="0096204A"/>
    <w:rsid w:val="009626D2"/>
    <w:rsid w:val="00963503"/>
    <w:rsid w:val="00963A33"/>
    <w:rsid w:val="00963BE5"/>
    <w:rsid w:val="00965DBD"/>
    <w:rsid w:val="00971944"/>
    <w:rsid w:val="009815C6"/>
    <w:rsid w:val="009819CD"/>
    <w:rsid w:val="00996201"/>
    <w:rsid w:val="00996F48"/>
    <w:rsid w:val="009A0FBC"/>
    <w:rsid w:val="009A39E1"/>
    <w:rsid w:val="009A3AD8"/>
    <w:rsid w:val="009A6EE8"/>
    <w:rsid w:val="009B0F58"/>
    <w:rsid w:val="009B1598"/>
    <w:rsid w:val="009B3DFB"/>
    <w:rsid w:val="009B6610"/>
    <w:rsid w:val="009C3380"/>
    <w:rsid w:val="009C3D48"/>
    <w:rsid w:val="009E2988"/>
    <w:rsid w:val="009E446A"/>
    <w:rsid w:val="009E7E38"/>
    <w:rsid w:val="009F1352"/>
    <w:rsid w:val="009F265B"/>
    <w:rsid w:val="009F482C"/>
    <w:rsid w:val="009F5587"/>
    <w:rsid w:val="009F68DB"/>
    <w:rsid w:val="009F74F4"/>
    <w:rsid w:val="00A03E3F"/>
    <w:rsid w:val="00A056B9"/>
    <w:rsid w:val="00A108E9"/>
    <w:rsid w:val="00A1108E"/>
    <w:rsid w:val="00A2029B"/>
    <w:rsid w:val="00A22743"/>
    <w:rsid w:val="00A27CD0"/>
    <w:rsid w:val="00A30B95"/>
    <w:rsid w:val="00A32953"/>
    <w:rsid w:val="00A362B6"/>
    <w:rsid w:val="00A405F0"/>
    <w:rsid w:val="00A40728"/>
    <w:rsid w:val="00A464DD"/>
    <w:rsid w:val="00A46E68"/>
    <w:rsid w:val="00A51745"/>
    <w:rsid w:val="00A536F4"/>
    <w:rsid w:val="00A644DA"/>
    <w:rsid w:val="00A64C97"/>
    <w:rsid w:val="00A658A8"/>
    <w:rsid w:val="00A67DFF"/>
    <w:rsid w:val="00A71475"/>
    <w:rsid w:val="00A714DC"/>
    <w:rsid w:val="00A7179C"/>
    <w:rsid w:val="00A761CB"/>
    <w:rsid w:val="00A85701"/>
    <w:rsid w:val="00A96410"/>
    <w:rsid w:val="00A96EBE"/>
    <w:rsid w:val="00A9733B"/>
    <w:rsid w:val="00AB1418"/>
    <w:rsid w:val="00AB20CC"/>
    <w:rsid w:val="00AB32CE"/>
    <w:rsid w:val="00AC5153"/>
    <w:rsid w:val="00AC61AC"/>
    <w:rsid w:val="00AD0344"/>
    <w:rsid w:val="00AD3261"/>
    <w:rsid w:val="00AD36FC"/>
    <w:rsid w:val="00AD407D"/>
    <w:rsid w:val="00AD4355"/>
    <w:rsid w:val="00AE3F5F"/>
    <w:rsid w:val="00AF04E2"/>
    <w:rsid w:val="00B04BE4"/>
    <w:rsid w:val="00B107E4"/>
    <w:rsid w:val="00B13297"/>
    <w:rsid w:val="00B13DC4"/>
    <w:rsid w:val="00B17B7C"/>
    <w:rsid w:val="00B20DD1"/>
    <w:rsid w:val="00B22402"/>
    <w:rsid w:val="00B23277"/>
    <w:rsid w:val="00B245AD"/>
    <w:rsid w:val="00B2493C"/>
    <w:rsid w:val="00B35D1B"/>
    <w:rsid w:val="00B37F88"/>
    <w:rsid w:val="00B4182B"/>
    <w:rsid w:val="00B42982"/>
    <w:rsid w:val="00B45853"/>
    <w:rsid w:val="00B55E54"/>
    <w:rsid w:val="00B56589"/>
    <w:rsid w:val="00B62741"/>
    <w:rsid w:val="00B64C09"/>
    <w:rsid w:val="00B64D05"/>
    <w:rsid w:val="00B70460"/>
    <w:rsid w:val="00B723A7"/>
    <w:rsid w:val="00B73EA6"/>
    <w:rsid w:val="00B76CDF"/>
    <w:rsid w:val="00B80191"/>
    <w:rsid w:val="00B8289E"/>
    <w:rsid w:val="00B913E8"/>
    <w:rsid w:val="00B9441B"/>
    <w:rsid w:val="00B96EE7"/>
    <w:rsid w:val="00BA394F"/>
    <w:rsid w:val="00BA58CA"/>
    <w:rsid w:val="00BB2925"/>
    <w:rsid w:val="00BB4BF8"/>
    <w:rsid w:val="00BC3616"/>
    <w:rsid w:val="00BC7688"/>
    <w:rsid w:val="00BD702B"/>
    <w:rsid w:val="00BD7B78"/>
    <w:rsid w:val="00BE3319"/>
    <w:rsid w:val="00BE3569"/>
    <w:rsid w:val="00BE371B"/>
    <w:rsid w:val="00BE74CA"/>
    <w:rsid w:val="00BE773B"/>
    <w:rsid w:val="00BF7095"/>
    <w:rsid w:val="00C007C2"/>
    <w:rsid w:val="00C01ADE"/>
    <w:rsid w:val="00C05352"/>
    <w:rsid w:val="00C07035"/>
    <w:rsid w:val="00C10B67"/>
    <w:rsid w:val="00C12362"/>
    <w:rsid w:val="00C12B42"/>
    <w:rsid w:val="00C24F7A"/>
    <w:rsid w:val="00C26475"/>
    <w:rsid w:val="00C278EC"/>
    <w:rsid w:val="00C32404"/>
    <w:rsid w:val="00C36D5F"/>
    <w:rsid w:val="00C6242C"/>
    <w:rsid w:val="00C6317B"/>
    <w:rsid w:val="00C669CA"/>
    <w:rsid w:val="00C73360"/>
    <w:rsid w:val="00C74981"/>
    <w:rsid w:val="00C82E1D"/>
    <w:rsid w:val="00C844E1"/>
    <w:rsid w:val="00C86945"/>
    <w:rsid w:val="00C86CB2"/>
    <w:rsid w:val="00C9132A"/>
    <w:rsid w:val="00C91C71"/>
    <w:rsid w:val="00C94448"/>
    <w:rsid w:val="00C94CF8"/>
    <w:rsid w:val="00C95126"/>
    <w:rsid w:val="00CA29BE"/>
    <w:rsid w:val="00CA72A5"/>
    <w:rsid w:val="00CB11D2"/>
    <w:rsid w:val="00CB3284"/>
    <w:rsid w:val="00CB7D3E"/>
    <w:rsid w:val="00CC07BF"/>
    <w:rsid w:val="00CC2828"/>
    <w:rsid w:val="00CC2BFB"/>
    <w:rsid w:val="00CC4651"/>
    <w:rsid w:val="00CD0BA2"/>
    <w:rsid w:val="00CD3FB7"/>
    <w:rsid w:val="00CE018E"/>
    <w:rsid w:val="00CE7460"/>
    <w:rsid w:val="00CE7A4A"/>
    <w:rsid w:val="00CF098E"/>
    <w:rsid w:val="00CF169B"/>
    <w:rsid w:val="00CF315D"/>
    <w:rsid w:val="00D00D65"/>
    <w:rsid w:val="00D02CA4"/>
    <w:rsid w:val="00D1265A"/>
    <w:rsid w:val="00D1289E"/>
    <w:rsid w:val="00D1343F"/>
    <w:rsid w:val="00D13AA8"/>
    <w:rsid w:val="00D13EB6"/>
    <w:rsid w:val="00D16EE0"/>
    <w:rsid w:val="00D22E23"/>
    <w:rsid w:val="00D239B5"/>
    <w:rsid w:val="00D2507A"/>
    <w:rsid w:val="00D32B72"/>
    <w:rsid w:val="00D341F7"/>
    <w:rsid w:val="00D4033C"/>
    <w:rsid w:val="00D428CC"/>
    <w:rsid w:val="00D4483F"/>
    <w:rsid w:val="00D45504"/>
    <w:rsid w:val="00D51337"/>
    <w:rsid w:val="00D5346A"/>
    <w:rsid w:val="00D55767"/>
    <w:rsid w:val="00D609CD"/>
    <w:rsid w:val="00D61FDC"/>
    <w:rsid w:val="00D63FD3"/>
    <w:rsid w:val="00D71BA0"/>
    <w:rsid w:val="00D749DF"/>
    <w:rsid w:val="00D82755"/>
    <w:rsid w:val="00D82E67"/>
    <w:rsid w:val="00D831AC"/>
    <w:rsid w:val="00D84970"/>
    <w:rsid w:val="00D97926"/>
    <w:rsid w:val="00DA3557"/>
    <w:rsid w:val="00DA4701"/>
    <w:rsid w:val="00DA4795"/>
    <w:rsid w:val="00DA7FB6"/>
    <w:rsid w:val="00DB59A1"/>
    <w:rsid w:val="00DC2A73"/>
    <w:rsid w:val="00DC3C44"/>
    <w:rsid w:val="00DC3EA6"/>
    <w:rsid w:val="00DC436C"/>
    <w:rsid w:val="00DC65F2"/>
    <w:rsid w:val="00DC7876"/>
    <w:rsid w:val="00DC7DD5"/>
    <w:rsid w:val="00DD6A20"/>
    <w:rsid w:val="00DE03FA"/>
    <w:rsid w:val="00DE1C74"/>
    <w:rsid w:val="00DE3ED7"/>
    <w:rsid w:val="00DF0651"/>
    <w:rsid w:val="00DF0BD4"/>
    <w:rsid w:val="00DF1291"/>
    <w:rsid w:val="00DF15DA"/>
    <w:rsid w:val="00DF2578"/>
    <w:rsid w:val="00DF34AE"/>
    <w:rsid w:val="00E000EC"/>
    <w:rsid w:val="00E001D6"/>
    <w:rsid w:val="00E05E03"/>
    <w:rsid w:val="00E12B50"/>
    <w:rsid w:val="00E1392C"/>
    <w:rsid w:val="00E143B0"/>
    <w:rsid w:val="00E20DA8"/>
    <w:rsid w:val="00E22AC6"/>
    <w:rsid w:val="00E2463A"/>
    <w:rsid w:val="00E24830"/>
    <w:rsid w:val="00E30D24"/>
    <w:rsid w:val="00E3125F"/>
    <w:rsid w:val="00E318A6"/>
    <w:rsid w:val="00E34E5B"/>
    <w:rsid w:val="00E4151B"/>
    <w:rsid w:val="00E41C62"/>
    <w:rsid w:val="00E41EE9"/>
    <w:rsid w:val="00E45013"/>
    <w:rsid w:val="00E461D4"/>
    <w:rsid w:val="00E5005A"/>
    <w:rsid w:val="00E6143B"/>
    <w:rsid w:val="00E62285"/>
    <w:rsid w:val="00E62819"/>
    <w:rsid w:val="00E65391"/>
    <w:rsid w:val="00E6635C"/>
    <w:rsid w:val="00E71E25"/>
    <w:rsid w:val="00E7481C"/>
    <w:rsid w:val="00E75D57"/>
    <w:rsid w:val="00E80505"/>
    <w:rsid w:val="00E80588"/>
    <w:rsid w:val="00E9045F"/>
    <w:rsid w:val="00EA0D4F"/>
    <w:rsid w:val="00EA405B"/>
    <w:rsid w:val="00EB4C26"/>
    <w:rsid w:val="00EB6134"/>
    <w:rsid w:val="00EC14FC"/>
    <w:rsid w:val="00EC1A6C"/>
    <w:rsid w:val="00EC45C4"/>
    <w:rsid w:val="00EC4AA2"/>
    <w:rsid w:val="00EC5338"/>
    <w:rsid w:val="00EC6A55"/>
    <w:rsid w:val="00ED2B52"/>
    <w:rsid w:val="00ED7509"/>
    <w:rsid w:val="00EE38AF"/>
    <w:rsid w:val="00EE7DB0"/>
    <w:rsid w:val="00EF254B"/>
    <w:rsid w:val="00EF4FF2"/>
    <w:rsid w:val="00F00697"/>
    <w:rsid w:val="00F071DE"/>
    <w:rsid w:val="00F142C4"/>
    <w:rsid w:val="00F20150"/>
    <w:rsid w:val="00F22854"/>
    <w:rsid w:val="00F24B31"/>
    <w:rsid w:val="00F2572E"/>
    <w:rsid w:val="00F26189"/>
    <w:rsid w:val="00F312F2"/>
    <w:rsid w:val="00F37491"/>
    <w:rsid w:val="00F42246"/>
    <w:rsid w:val="00F4237A"/>
    <w:rsid w:val="00F4698F"/>
    <w:rsid w:val="00F52636"/>
    <w:rsid w:val="00F5359D"/>
    <w:rsid w:val="00F54560"/>
    <w:rsid w:val="00F74630"/>
    <w:rsid w:val="00F77214"/>
    <w:rsid w:val="00F77A6D"/>
    <w:rsid w:val="00F80D97"/>
    <w:rsid w:val="00F85D35"/>
    <w:rsid w:val="00F862E6"/>
    <w:rsid w:val="00F86DFA"/>
    <w:rsid w:val="00F90DD3"/>
    <w:rsid w:val="00F9122A"/>
    <w:rsid w:val="00F917E5"/>
    <w:rsid w:val="00FA6D2C"/>
    <w:rsid w:val="00FADD25"/>
    <w:rsid w:val="00FB1200"/>
    <w:rsid w:val="00FB52BD"/>
    <w:rsid w:val="00FB5BF6"/>
    <w:rsid w:val="00FC779A"/>
    <w:rsid w:val="00FD0C33"/>
    <w:rsid w:val="00FD3451"/>
    <w:rsid w:val="00FE31CF"/>
    <w:rsid w:val="00FE3A11"/>
    <w:rsid w:val="00FE41C7"/>
    <w:rsid w:val="00FF05AB"/>
    <w:rsid w:val="00FF44CE"/>
    <w:rsid w:val="00FF5C51"/>
    <w:rsid w:val="0117F3F4"/>
    <w:rsid w:val="013127B7"/>
    <w:rsid w:val="018896EA"/>
    <w:rsid w:val="01C3E46D"/>
    <w:rsid w:val="01D6E649"/>
    <w:rsid w:val="027A4D2A"/>
    <w:rsid w:val="0297477C"/>
    <w:rsid w:val="03247539"/>
    <w:rsid w:val="03597CFD"/>
    <w:rsid w:val="040D7F84"/>
    <w:rsid w:val="0473ACAE"/>
    <w:rsid w:val="04B06D86"/>
    <w:rsid w:val="0517E7AD"/>
    <w:rsid w:val="054404FE"/>
    <w:rsid w:val="062A2D3B"/>
    <w:rsid w:val="0724015B"/>
    <w:rsid w:val="07963D81"/>
    <w:rsid w:val="082158CE"/>
    <w:rsid w:val="082C7A25"/>
    <w:rsid w:val="082C7D07"/>
    <w:rsid w:val="0838747B"/>
    <w:rsid w:val="08821756"/>
    <w:rsid w:val="08D3F342"/>
    <w:rsid w:val="08EA88D2"/>
    <w:rsid w:val="091A36F2"/>
    <w:rsid w:val="0949C52D"/>
    <w:rsid w:val="098B5EE0"/>
    <w:rsid w:val="09A51580"/>
    <w:rsid w:val="0A5E06D3"/>
    <w:rsid w:val="0AB57199"/>
    <w:rsid w:val="0ACD08CA"/>
    <w:rsid w:val="0AE8602F"/>
    <w:rsid w:val="0B04F56E"/>
    <w:rsid w:val="0B90410F"/>
    <w:rsid w:val="0B965B64"/>
    <w:rsid w:val="0BC38448"/>
    <w:rsid w:val="0BC64EE7"/>
    <w:rsid w:val="0BF50AD2"/>
    <w:rsid w:val="0C699B14"/>
    <w:rsid w:val="0C727841"/>
    <w:rsid w:val="0CE319D1"/>
    <w:rsid w:val="0D02CACA"/>
    <w:rsid w:val="0D1A1660"/>
    <w:rsid w:val="0D82F4FB"/>
    <w:rsid w:val="0DB98EED"/>
    <w:rsid w:val="0DBD1E65"/>
    <w:rsid w:val="0DD0D04E"/>
    <w:rsid w:val="0DE1AF16"/>
    <w:rsid w:val="0DF5B313"/>
    <w:rsid w:val="0E338E47"/>
    <w:rsid w:val="0F38C64C"/>
    <w:rsid w:val="0F6714BA"/>
    <w:rsid w:val="0F8E8682"/>
    <w:rsid w:val="0FDC18A5"/>
    <w:rsid w:val="1003D318"/>
    <w:rsid w:val="103202F3"/>
    <w:rsid w:val="10CE3BBD"/>
    <w:rsid w:val="111D798D"/>
    <w:rsid w:val="1179E869"/>
    <w:rsid w:val="1186E030"/>
    <w:rsid w:val="11A7F08B"/>
    <w:rsid w:val="11E5C633"/>
    <w:rsid w:val="11F8AE69"/>
    <w:rsid w:val="128DB4C5"/>
    <w:rsid w:val="129A893A"/>
    <w:rsid w:val="13A97EE2"/>
    <w:rsid w:val="13BD902D"/>
    <w:rsid w:val="14830F37"/>
    <w:rsid w:val="14CD9E01"/>
    <w:rsid w:val="14D2EC91"/>
    <w:rsid w:val="1508FE6C"/>
    <w:rsid w:val="152E2699"/>
    <w:rsid w:val="1531877C"/>
    <w:rsid w:val="1554BF75"/>
    <w:rsid w:val="15711285"/>
    <w:rsid w:val="15B6B5E2"/>
    <w:rsid w:val="15CC7FDF"/>
    <w:rsid w:val="16390D62"/>
    <w:rsid w:val="16685A4F"/>
    <w:rsid w:val="1669856C"/>
    <w:rsid w:val="1712AE23"/>
    <w:rsid w:val="1720C4E2"/>
    <w:rsid w:val="1773F402"/>
    <w:rsid w:val="177B0906"/>
    <w:rsid w:val="180C2866"/>
    <w:rsid w:val="1859552E"/>
    <w:rsid w:val="18624454"/>
    <w:rsid w:val="18FFA92D"/>
    <w:rsid w:val="19621351"/>
    <w:rsid w:val="197F5829"/>
    <w:rsid w:val="197FBA25"/>
    <w:rsid w:val="1A40FF83"/>
    <w:rsid w:val="1A5B91BB"/>
    <w:rsid w:val="1A730466"/>
    <w:rsid w:val="1A757E38"/>
    <w:rsid w:val="1A7C6CAF"/>
    <w:rsid w:val="1A7FA86D"/>
    <w:rsid w:val="1A8A0BDB"/>
    <w:rsid w:val="1B6567BB"/>
    <w:rsid w:val="1C57EEB2"/>
    <w:rsid w:val="1C98A4A8"/>
    <w:rsid w:val="1CF591EC"/>
    <w:rsid w:val="1D1973CF"/>
    <w:rsid w:val="1D1CA975"/>
    <w:rsid w:val="1D4B0C92"/>
    <w:rsid w:val="1D57C430"/>
    <w:rsid w:val="1D5C8001"/>
    <w:rsid w:val="1D5E05EE"/>
    <w:rsid w:val="1DA3985C"/>
    <w:rsid w:val="1E077338"/>
    <w:rsid w:val="1E0A306B"/>
    <w:rsid w:val="1E16E99D"/>
    <w:rsid w:val="1E552494"/>
    <w:rsid w:val="1E6ED681"/>
    <w:rsid w:val="1EFEACA4"/>
    <w:rsid w:val="1F727250"/>
    <w:rsid w:val="2004288A"/>
    <w:rsid w:val="206A7283"/>
    <w:rsid w:val="21C1C176"/>
    <w:rsid w:val="22167CE4"/>
    <w:rsid w:val="22189ADC"/>
    <w:rsid w:val="222E1573"/>
    <w:rsid w:val="22888DFC"/>
    <w:rsid w:val="22A4D370"/>
    <w:rsid w:val="23998118"/>
    <w:rsid w:val="23AE9256"/>
    <w:rsid w:val="23F96CCF"/>
    <w:rsid w:val="248D6663"/>
    <w:rsid w:val="24A43F9E"/>
    <w:rsid w:val="259234C4"/>
    <w:rsid w:val="25B587F4"/>
    <w:rsid w:val="25B857F9"/>
    <w:rsid w:val="25C2977E"/>
    <w:rsid w:val="25C7ADEF"/>
    <w:rsid w:val="261556D8"/>
    <w:rsid w:val="267451EC"/>
    <w:rsid w:val="26E1BECA"/>
    <w:rsid w:val="27655659"/>
    <w:rsid w:val="27694327"/>
    <w:rsid w:val="278B0C80"/>
    <w:rsid w:val="27B4CBC5"/>
    <w:rsid w:val="2888925A"/>
    <w:rsid w:val="2907CCC8"/>
    <w:rsid w:val="29896E94"/>
    <w:rsid w:val="29ECA11C"/>
    <w:rsid w:val="29F37F6B"/>
    <w:rsid w:val="2A2AC180"/>
    <w:rsid w:val="2A49776A"/>
    <w:rsid w:val="2A8A4301"/>
    <w:rsid w:val="2A98F790"/>
    <w:rsid w:val="2AEA9842"/>
    <w:rsid w:val="2AECD7E1"/>
    <w:rsid w:val="2BBC7E26"/>
    <w:rsid w:val="2C2323A0"/>
    <w:rsid w:val="2C6B9F7B"/>
    <w:rsid w:val="2C81FF9B"/>
    <w:rsid w:val="2C8F1C5A"/>
    <w:rsid w:val="2C9AE4C6"/>
    <w:rsid w:val="2C9C2A3A"/>
    <w:rsid w:val="2CD34571"/>
    <w:rsid w:val="2CD76B70"/>
    <w:rsid w:val="2CF89141"/>
    <w:rsid w:val="2D116ABE"/>
    <w:rsid w:val="2D3D492D"/>
    <w:rsid w:val="2D9CAF38"/>
    <w:rsid w:val="2DB0050F"/>
    <w:rsid w:val="2DFFA627"/>
    <w:rsid w:val="2E87B289"/>
    <w:rsid w:val="2E9DC30C"/>
    <w:rsid w:val="2EC66181"/>
    <w:rsid w:val="2EEA3245"/>
    <w:rsid w:val="2F180712"/>
    <w:rsid w:val="2F190A7E"/>
    <w:rsid w:val="2F1BC9A5"/>
    <w:rsid w:val="2F6EC155"/>
    <w:rsid w:val="2FC8F823"/>
    <w:rsid w:val="3013D775"/>
    <w:rsid w:val="302BF26C"/>
    <w:rsid w:val="3110C228"/>
    <w:rsid w:val="313A6F64"/>
    <w:rsid w:val="313BCE9C"/>
    <w:rsid w:val="31425F28"/>
    <w:rsid w:val="31A6DAB1"/>
    <w:rsid w:val="31B4C79D"/>
    <w:rsid w:val="31CFDFFC"/>
    <w:rsid w:val="31F69B59"/>
    <w:rsid w:val="32DED573"/>
    <w:rsid w:val="32E1E993"/>
    <w:rsid w:val="331F9177"/>
    <w:rsid w:val="3345C4B7"/>
    <w:rsid w:val="33965E68"/>
    <w:rsid w:val="33BB356B"/>
    <w:rsid w:val="3404A6DD"/>
    <w:rsid w:val="341C055D"/>
    <w:rsid w:val="343C2D71"/>
    <w:rsid w:val="34667491"/>
    <w:rsid w:val="3466F5D2"/>
    <w:rsid w:val="348C9D7A"/>
    <w:rsid w:val="34F9A06E"/>
    <w:rsid w:val="35069D5F"/>
    <w:rsid w:val="354EA767"/>
    <w:rsid w:val="35797BA9"/>
    <w:rsid w:val="35A8920C"/>
    <w:rsid w:val="35ED9CE9"/>
    <w:rsid w:val="361A59CC"/>
    <w:rsid w:val="3626AA9A"/>
    <w:rsid w:val="368B71DF"/>
    <w:rsid w:val="36A7373E"/>
    <w:rsid w:val="3717081F"/>
    <w:rsid w:val="37A25348"/>
    <w:rsid w:val="37F05A9D"/>
    <w:rsid w:val="380D2653"/>
    <w:rsid w:val="38258520"/>
    <w:rsid w:val="3846828B"/>
    <w:rsid w:val="38576841"/>
    <w:rsid w:val="385C830E"/>
    <w:rsid w:val="387148CB"/>
    <w:rsid w:val="38B29DEE"/>
    <w:rsid w:val="38EA3576"/>
    <w:rsid w:val="39268F5D"/>
    <w:rsid w:val="39268F67"/>
    <w:rsid w:val="392CF680"/>
    <w:rsid w:val="39530E5A"/>
    <w:rsid w:val="3A247992"/>
    <w:rsid w:val="3AABB5E4"/>
    <w:rsid w:val="3ABA4DB6"/>
    <w:rsid w:val="3ADD678B"/>
    <w:rsid w:val="3AF8C10E"/>
    <w:rsid w:val="3B2C6872"/>
    <w:rsid w:val="3B3ED0E7"/>
    <w:rsid w:val="3B8000A2"/>
    <w:rsid w:val="3BCE8213"/>
    <w:rsid w:val="3C06D043"/>
    <w:rsid w:val="3C985526"/>
    <w:rsid w:val="3D2BC7EC"/>
    <w:rsid w:val="3D399583"/>
    <w:rsid w:val="3D4CFB74"/>
    <w:rsid w:val="3D4ECDC5"/>
    <w:rsid w:val="3D5E2170"/>
    <w:rsid w:val="3D99435B"/>
    <w:rsid w:val="3E2FD6F0"/>
    <w:rsid w:val="3E81FEFE"/>
    <w:rsid w:val="3EA7870E"/>
    <w:rsid w:val="3F4AFEEE"/>
    <w:rsid w:val="3F66A114"/>
    <w:rsid w:val="3FE2BE67"/>
    <w:rsid w:val="3FE8F012"/>
    <w:rsid w:val="3FF9A039"/>
    <w:rsid w:val="401BE3DC"/>
    <w:rsid w:val="40AE3F98"/>
    <w:rsid w:val="40BAAF45"/>
    <w:rsid w:val="40CA8DA2"/>
    <w:rsid w:val="40CF77F7"/>
    <w:rsid w:val="41601035"/>
    <w:rsid w:val="418B9292"/>
    <w:rsid w:val="41E7C15E"/>
    <w:rsid w:val="41FF5022"/>
    <w:rsid w:val="4217BD1D"/>
    <w:rsid w:val="42428672"/>
    <w:rsid w:val="4259DE1A"/>
    <w:rsid w:val="4276E3C5"/>
    <w:rsid w:val="42AEE302"/>
    <w:rsid w:val="4313B911"/>
    <w:rsid w:val="43FD0214"/>
    <w:rsid w:val="441E705B"/>
    <w:rsid w:val="4426EC22"/>
    <w:rsid w:val="44583D45"/>
    <w:rsid w:val="446F8B4F"/>
    <w:rsid w:val="45118B8F"/>
    <w:rsid w:val="45237162"/>
    <w:rsid w:val="452884FD"/>
    <w:rsid w:val="4534A925"/>
    <w:rsid w:val="453655E7"/>
    <w:rsid w:val="45D37794"/>
    <w:rsid w:val="4643BF26"/>
    <w:rsid w:val="4660234C"/>
    <w:rsid w:val="468A8447"/>
    <w:rsid w:val="46D6751D"/>
    <w:rsid w:val="4726856D"/>
    <w:rsid w:val="4726E8DF"/>
    <w:rsid w:val="478FA7DD"/>
    <w:rsid w:val="47A99BA2"/>
    <w:rsid w:val="47DA62B6"/>
    <w:rsid w:val="47FF966F"/>
    <w:rsid w:val="4817616F"/>
    <w:rsid w:val="4819C9CC"/>
    <w:rsid w:val="48425CA6"/>
    <w:rsid w:val="4865C7F1"/>
    <w:rsid w:val="48A3C433"/>
    <w:rsid w:val="48B1BC6C"/>
    <w:rsid w:val="48C42C80"/>
    <w:rsid w:val="494D8EB1"/>
    <w:rsid w:val="497DE6BC"/>
    <w:rsid w:val="49ECC101"/>
    <w:rsid w:val="4A7E4522"/>
    <w:rsid w:val="4ADBE631"/>
    <w:rsid w:val="4B2D9161"/>
    <w:rsid w:val="4B86FC44"/>
    <w:rsid w:val="4BB361B3"/>
    <w:rsid w:val="4BCB1B93"/>
    <w:rsid w:val="4BD69986"/>
    <w:rsid w:val="4BF3A1B3"/>
    <w:rsid w:val="4C8538CA"/>
    <w:rsid w:val="4CA92007"/>
    <w:rsid w:val="4CBB4655"/>
    <w:rsid w:val="4CFE5425"/>
    <w:rsid w:val="4D1E2D41"/>
    <w:rsid w:val="4D9B3A10"/>
    <w:rsid w:val="4DB325DA"/>
    <w:rsid w:val="4DCD2743"/>
    <w:rsid w:val="4E1134ED"/>
    <w:rsid w:val="4E6A65C0"/>
    <w:rsid w:val="4E848050"/>
    <w:rsid w:val="4F37E4DD"/>
    <w:rsid w:val="4FA77587"/>
    <w:rsid w:val="5002983D"/>
    <w:rsid w:val="5004D868"/>
    <w:rsid w:val="5035E246"/>
    <w:rsid w:val="517AEC8C"/>
    <w:rsid w:val="51C85B51"/>
    <w:rsid w:val="520C5ECC"/>
    <w:rsid w:val="52104618"/>
    <w:rsid w:val="521330CD"/>
    <w:rsid w:val="5235D625"/>
    <w:rsid w:val="5243B2CA"/>
    <w:rsid w:val="52B50B46"/>
    <w:rsid w:val="535C5A5E"/>
    <w:rsid w:val="5360FC8D"/>
    <w:rsid w:val="53AC48F3"/>
    <w:rsid w:val="53D2F9E7"/>
    <w:rsid w:val="53F6DB7B"/>
    <w:rsid w:val="53FB9C47"/>
    <w:rsid w:val="54471F1A"/>
    <w:rsid w:val="547BD7AA"/>
    <w:rsid w:val="555DBD2F"/>
    <w:rsid w:val="5563566F"/>
    <w:rsid w:val="55739E29"/>
    <w:rsid w:val="5674547E"/>
    <w:rsid w:val="567B7971"/>
    <w:rsid w:val="56E1D42F"/>
    <w:rsid w:val="56E816DE"/>
    <w:rsid w:val="5777B1E9"/>
    <w:rsid w:val="57920A06"/>
    <w:rsid w:val="57B4BD72"/>
    <w:rsid w:val="57D371C0"/>
    <w:rsid w:val="57F37C74"/>
    <w:rsid w:val="5803321E"/>
    <w:rsid w:val="5824B82A"/>
    <w:rsid w:val="582F3C45"/>
    <w:rsid w:val="588DDC30"/>
    <w:rsid w:val="5963EC13"/>
    <w:rsid w:val="5A9FAEAD"/>
    <w:rsid w:val="5B07BE02"/>
    <w:rsid w:val="5B81CDAB"/>
    <w:rsid w:val="5C5A5044"/>
    <w:rsid w:val="5C6D1FB8"/>
    <w:rsid w:val="5CC2C9D9"/>
    <w:rsid w:val="5D07F66D"/>
    <w:rsid w:val="5D0AA985"/>
    <w:rsid w:val="5D2540AD"/>
    <w:rsid w:val="5D2BC663"/>
    <w:rsid w:val="5E0C4343"/>
    <w:rsid w:val="5E26AE93"/>
    <w:rsid w:val="5F68217E"/>
    <w:rsid w:val="5F6D5422"/>
    <w:rsid w:val="5F7307AB"/>
    <w:rsid w:val="5FB5BCFF"/>
    <w:rsid w:val="5FD767E9"/>
    <w:rsid w:val="601FFBAD"/>
    <w:rsid w:val="6086547F"/>
    <w:rsid w:val="60983104"/>
    <w:rsid w:val="615D6A6B"/>
    <w:rsid w:val="616AAB5A"/>
    <w:rsid w:val="621098E4"/>
    <w:rsid w:val="628BD493"/>
    <w:rsid w:val="62AFE20C"/>
    <w:rsid w:val="6366A9C4"/>
    <w:rsid w:val="63A67D81"/>
    <w:rsid w:val="63AC7632"/>
    <w:rsid w:val="63B73447"/>
    <w:rsid w:val="63D5D4FB"/>
    <w:rsid w:val="63F23B89"/>
    <w:rsid w:val="648DE2E8"/>
    <w:rsid w:val="64C3BB07"/>
    <w:rsid w:val="64C5407D"/>
    <w:rsid w:val="64DE17F6"/>
    <w:rsid w:val="652C9CB7"/>
    <w:rsid w:val="653EB3A2"/>
    <w:rsid w:val="653FB28C"/>
    <w:rsid w:val="659A7656"/>
    <w:rsid w:val="662DD772"/>
    <w:rsid w:val="66B89E2F"/>
    <w:rsid w:val="67070915"/>
    <w:rsid w:val="6770A68C"/>
    <w:rsid w:val="6795E0A1"/>
    <w:rsid w:val="67E96F4E"/>
    <w:rsid w:val="68800352"/>
    <w:rsid w:val="689637BB"/>
    <w:rsid w:val="69D4A1AC"/>
    <w:rsid w:val="6A0A06FC"/>
    <w:rsid w:val="6A14C57A"/>
    <w:rsid w:val="6A44C99A"/>
    <w:rsid w:val="6A5E023E"/>
    <w:rsid w:val="6AAE1CF3"/>
    <w:rsid w:val="6AC0CF36"/>
    <w:rsid w:val="6B0AF4AB"/>
    <w:rsid w:val="6B0D935D"/>
    <w:rsid w:val="6B229316"/>
    <w:rsid w:val="6B4196DB"/>
    <w:rsid w:val="6B566700"/>
    <w:rsid w:val="6B5E19F3"/>
    <w:rsid w:val="6B629423"/>
    <w:rsid w:val="6BB6B9AC"/>
    <w:rsid w:val="6BC5118B"/>
    <w:rsid w:val="6BEC6183"/>
    <w:rsid w:val="6C64DEB0"/>
    <w:rsid w:val="6C66418A"/>
    <w:rsid w:val="6CA3729E"/>
    <w:rsid w:val="6D0DD1AC"/>
    <w:rsid w:val="6D25FFB6"/>
    <w:rsid w:val="6D308E32"/>
    <w:rsid w:val="6D47240C"/>
    <w:rsid w:val="6D6BA1F3"/>
    <w:rsid w:val="6D7BC217"/>
    <w:rsid w:val="6DAD1052"/>
    <w:rsid w:val="6E10B5C4"/>
    <w:rsid w:val="6E5D2F4B"/>
    <w:rsid w:val="6E8C5DD7"/>
    <w:rsid w:val="6EBE05AA"/>
    <w:rsid w:val="6ECFB54C"/>
    <w:rsid w:val="6EFBEC3A"/>
    <w:rsid w:val="6F44D2EC"/>
    <w:rsid w:val="6F74D751"/>
    <w:rsid w:val="6F911275"/>
    <w:rsid w:val="6FB4E66E"/>
    <w:rsid w:val="6FE34243"/>
    <w:rsid w:val="7053A15A"/>
    <w:rsid w:val="7077EE08"/>
    <w:rsid w:val="70AF74D0"/>
    <w:rsid w:val="70D62DE4"/>
    <w:rsid w:val="70DEF8BC"/>
    <w:rsid w:val="71BD80E9"/>
    <w:rsid w:val="71CD5D98"/>
    <w:rsid w:val="71E0FA68"/>
    <w:rsid w:val="72305310"/>
    <w:rsid w:val="728C032D"/>
    <w:rsid w:val="72ADF1C6"/>
    <w:rsid w:val="72DB68AB"/>
    <w:rsid w:val="72E90A3D"/>
    <w:rsid w:val="731F9663"/>
    <w:rsid w:val="734C2D73"/>
    <w:rsid w:val="74088ECF"/>
    <w:rsid w:val="745327C8"/>
    <w:rsid w:val="74E6ED9D"/>
    <w:rsid w:val="755A3826"/>
    <w:rsid w:val="75676233"/>
    <w:rsid w:val="75B6E15D"/>
    <w:rsid w:val="7624FDE4"/>
    <w:rsid w:val="765F613D"/>
    <w:rsid w:val="77145247"/>
    <w:rsid w:val="77619CD4"/>
    <w:rsid w:val="77CB1F05"/>
    <w:rsid w:val="77CF86B1"/>
    <w:rsid w:val="79031D5A"/>
    <w:rsid w:val="79852C8E"/>
    <w:rsid w:val="799C4CB7"/>
    <w:rsid w:val="79AC4F81"/>
    <w:rsid w:val="79D328D8"/>
    <w:rsid w:val="79F2A733"/>
    <w:rsid w:val="79F6E240"/>
    <w:rsid w:val="7A0E8AE4"/>
    <w:rsid w:val="7A1CC92F"/>
    <w:rsid w:val="7A1E3CAA"/>
    <w:rsid w:val="7A241E6D"/>
    <w:rsid w:val="7A4324A2"/>
    <w:rsid w:val="7A878937"/>
    <w:rsid w:val="7B4E103D"/>
    <w:rsid w:val="7B51F6DA"/>
    <w:rsid w:val="7BB43225"/>
    <w:rsid w:val="7BFE0811"/>
    <w:rsid w:val="7CBD0FAA"/>
    <w:rsid w:val="7CDBC82C"/>
    <w:rsid w:val="7CFD8AC5"/>
    <w:rsid w:val="7D098652"/>
    <w:rsid w:val="7D3A325E"/>
    <w:rsid w:val="7D573500"/>
    <w:rsid w:val="7D59820A"/>
    <w:rsid w:val="7D67EE94"/>
    <w:rsid w:val="7D77EF6B"/>
    <w:rsid w:val="7DD5BAA6"/>
    <w:rsid w:val="7DF614F7"/>
    <w:rsid w:val="7DFCA08E"/>
    <w:rsid w:val="7E64B791"/>
    <w:rsid w:val="7E7EEBD2"/>
    <w:rsid w:val="7EB61877"/>
    <w:rsid w:val="7EC63677"/>
    <w:rsid w:val="7F73E402"/>
    <w:rsid w:val="7FD9F786"/>
    <w:rsid w:val="7FDBE9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3A651"/>
  <w15:docId w15:val="{1FAFCEFB-4BB6-4A08-8DA4-32476809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A40728"/>
    <w:pPr>
      <w:spacing w:after="120"/>
    </w:pPr>
  </w:style>
  <w:style w:type="character" w:customStyle="1" w:styleId="BodyTextChar">
    <w:name w:val="Body Text Char"/>
    <w:basedOn w:val="DefaultParagraphFont"/>
    <w:link w:val="BodyText"/>
    <w:uiPriority w:val="99"/>
    <w:rsid w:val="00A40728"/>
  </w:style>
  <w:style w:type="paragraph" w:styleId="BodyTextFirstIndent">
    <w:name w:val="Body Text First Indent"/>
    <w:basedOn w:val="Normal"/>
    <w:link w:val="BodyTextFirstIndentChar"/>
    <w:qFormat/>
    <w:rsid w:val="00A40728"/>
    <w:pPr>
      <w:spacing w:before="180" w:after="180" w:line="360" w:lineRule="exact"/>
      <w:ind w:firstLine="360"/>
    </w:pPr>
    <w:rPr>
      <w:rFonts w:ascii="Lato" w:hAnsi="Lato"/>
      <w:sz w:val="20"/>
      <w:szCs w:val="20"/>
    </w:rPr>
  </w:style>
  <w:style w:type="character" w:customStyle="1" w:styleId="BodyTextFirstIndentChar">
    <w:name w:val="Body Text First Indent Char"/>
    <w:basedOn w:val="BodyTextChar"/>
    <w:link w:val="BodyTextFirstIndent"/>
    <w:rsid w:val="00A40728"/>
    <w:rPr>
      <w:rFonts w:ascii="Lato" w:hAnsi="Lato"/>
      <w:sz w:val="20"/>
      <w:szCs w:val="20"/>
    </w:rPr>
  </w:style>
  <w:style w:type="paragraph" w:customStyle="1" w:styleId="NumberedList">
    <w:name w:val="Numbered List"/>
    <w:basedOn w:val="Normal"/>
    <w:qFormat/>
    <w:rsid w:val="00A40728"/>
    <w:pPr>
      <w:numPr>
        <w:numId w:val="31"/>
      </w:numPr>
      <w:spacing w:after="120" w:line="360" w:lineRule="exact"/>
    </w:pPr>
    <w:rPr>
      <w:rFonts w:ascii="Lato" w:hAnsi="Lato"/>
      <w:sz w:val="20"/>
      <w:szCs w:val="20"/>
    </w:rPr>
  </w:style>
  <w:style w:type="paragraph" w:customStyle="1" w:styleId="NumberedList2">
    <w:name w:val="Numbered List 2"/>
    <w:basedOn w:val="NumberedList"/>
    <w:qFormat/>
    <w:rsid w:val="00A40728"/>
    <w:pPr>
      <w:numPr>
        <w:ilvl w:val="1"/>
      </w:numPr>
      <w:spacing w:after="180"/>
      <w:contextualSpacing/>
    </w:pPr>
  </w:style>
  <w:style w:type="character" w:styleId="UnresolvedMention">
    <w:name w:val="Unresolved Mention"/>
    <w:basedOn w:val="DefaultParagraphFont"/>
    <w:uiPriority w:val="99"/>
    <w:semiHidden/>
    <w:unhideWhenUsed/>
    <w:rsid w:val="009B1598"/>
    <w:rPr>
      <w:color w:val="605E5C"/>
      <w:shd w:val="clear" w:color="auto" w:fill="E1DFDD"/>
    </w:rPr>
  </w:style>
  <w:style w:type="paragraph" w:customStyle="1" w:styleId="FigureTableNumber">
    <w:name w:val="Figure/Table Number"/>
    <w:basedOn w:val="Normal"/>
    <w:qFormat/>
    <w:rsid w:val="00B35D1B"/>
    <w:pPr>
      <w:keepNext/>
      <w:spacing w:before="360" w:after="0" w:line="240" w:lineRule="auto"/>
    </w:pPr>
    <w:rPr>
      <w:rFonts w:ascii="Lato" w:eastAsia="Calibri" w:hAnsi="Lato" w:cs="Times New Roman"/>
      <w:caps/>
      <w:color w:val="4F81BD" w:themeColor="accent1"/>
      <w:sz w:val="18"/>
      <w:szCs w:val="18"/>
    </w:rPr>
  </w:style>
  <w:style w:type="paragraph" w:customStyle="1" w:styleId="FigureTableTitle">
    <w:name w:val="Figure/Table Title"/>
    <w:basedOn w:val="Normal"/>
    <w:uiPriority w:val="99"/>
    <w:qFormat/>
    <w:rsid w:val="00B35D1B"/>
    <w:pPr>
      <w:keepNext/>
      <w:spacing w:after="0" w:line="300" w:lineRule="exact"/>
    </w:pPr>
    <w:rPr>
      <w:rFonts w:ascii="Lato" w:hAnsi="Lato"/>
      <w:b/>
      <w:sz w:val="20"/>
      <w:szCs w:val="28"/>
    </w:rPr>
  </w:style>
  <w:style w:type="paragraph" w:customStyle="1" w:styleId="TableColumnHeading">
    <w:name w:val="Table Column Heading"/>
    <w:basedOn w:val="Normal"/>
    <w:qFormat/>
    <w:rsid w:val="00B35D1B"/>
    <w:pPr>
      <w:widowControl w:val="0"/>
      <w:spacing w:before="240" w:after="0" w:line="240" w:lineRule="auto"/>
      <w:jc w:val="center"/>
    </w:pPr>
    <w:rPr>
      <w:rFonts w:ascii="Lato" w:eastAsia="Times New Roman" w:hAnsi="Lato"/>
      <w:b/>
      <w:sz w:val="19"/>
      <w:szCs w:val="24"/>
    </w:rPr>
  </w:style>
  <w:style w:type="paragraph" w:customStyle="1" w:styleId="TableRow">
    <w:name w:val="Table Row"/>
    <w:basedOn w:val="FigureTableTitle"/>
    <w:qFormat/>
    <w:rsid w:val="00B35D1B"/>
    <w:pPr>
      <w:keepNext w:val="0"/>
      <w:spacing w:line="240" w:lineRule="auto"/>
    </w:pPr>
    <w:rPr>
      <w:b w:val="0"/>
      <w:sz w:val="18"/>
      <w:szCs w:val="24"/>
    </w:rPr>
  </w:style>
  <w:style w:type="paragraph" w:customStyle="1" w:styleId="FigureTableNotes">
    <w:name w:val="Figure/Table Notes"/>
    <w:basedOn w:val="FigureTableTitle"/>
    <w:qFormat/>
    <w:rsid w:val="00B35D1B"/>
    <w:pPr>
      <w:keepNext w:val="0"/>
      <w:spacing w:before="60" w:after="320" w:line="240" w:lineRule="exact"/>
      <w:contextualSpacing/>
    </w:pPr>
    <w:rPr>
      <w:b w:val="0"/>
      <w:iCs/>
      <w:sz w:val="16"/>
      <w:szCs w:val="18"/>
    </w:rPr>
  </w:style>
  <w:style w:type="paragraph" w:customStyle="1" w:styleId="BodyTextAfterFigureTable">
    <w:name w:val="Body Text_After Figure/Table"/>
    <w:basedOn w:val="BodyTextFirstIndent"/>
    <w:unhideWhenUsed/>
    <w:qFormat/>
    <w:rsid w:val="002A454B"/>
    <w:pPr>
      <w:spacing w:before="240"/>
    </w:pPr>
    <w:rPr>
      <w:rFonts w:eastAsia="Calibri" w:cs="Times New Roman"/>
    </w:rPr>
  </w:style>
  <w:style w:type="paragraph" w:styleId="Title">
    <w:name w:val="Title"/>
    <w:basedOn w:val="Normal"/>
    <w:next w:val="Normal"/>
    <w:link w:val="TitleChar"/>
    <w:uiPriority w:val="10"/>
    <w:qFormat/>
    <w:rsid w:val="003D40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061"/>
    <w:rPr>
      <w:rFonts w:asciiTheme="majorHAnsi" w:eastAsiaTheme="majorEastAsia" w:hAnsiTheme="majorHAnsi" w:cstheme="majorBidi"/>
      <w:color w:val="17365D" w:themeColor="text2" w:themeShade="BF"/>
      <w:spacing w:val="5"/>
      <w:kern w:val="28"/>
      <w:sz w:val="52"/>
      <w:szCs w:val="52"/>
    </w:rPr>
  </w:style>
  <w:style w:type="character" w:styleId="Mention">
    <w:name w:val="Mention"/>
    <w:basedOn w:val="DefaultParagraphFont"/>
    <w:uiPriority w:val="99"/>
    <w:unhideWhenUsed/>
    <w:rsid w:val="00092A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atko@urban.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farrell@urban.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uduser.gov/portal/PFS-PSH-stud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1906A14D0A47408C2F8FE4BBC8FC41" ma:contentTypeVersion="4" ma:contentTypeDescription="Create a new document." ma:contentTypeScope="" ma:versionID="11e5a52cd45bcc111cf055139c79e500">
  <xsd:schema xmlns:xsd="http://www.w3.org/2001/XMLSchema" xmlns:xs="http://www.w3.org/2001/XMLSchema" xmlns:p="http://schemas.microsoft.com/office/2006/metadata/properties" xmlns:ns2="1bdd1e58-7844-4a08-8ba2-d3186f202c35" targetNamespace="http://schemas.microsoft.com/office/2006/metadata/properties" ma:root="true" ma:fieldsID="d5009e765ec925e5fa38e178d3d21645" ns2:_="">
    <xsd:import namespace="1bdd1e58-7844-4a08-8ba2-d3186f202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d1e58-7844-4a08-8ba2-d3186f20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50B41-B89D-4B14-94B3-BCE5C0562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d1e58-7844-4a08-8ba2-d3186f20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4742</Words>
  <Characters>27608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Moraras, Pear (Naramon)</dc:creator>
  <cp:lastModifiedBy>ACF PRA</cp:lastModifiedBy>
  <cp:revision>3</cp:revision>
  <dcterms:created xsi:type="dcterms:W3CDTF">2025-08-07T17:07:00Z</dcterms:created>
  <dcterms:modified xsi:type="dcterms:W3CDTF">2025-08-07T18:12:00Z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0x010100251906A14D0A47408C2F8FE4BBC8FC41</vt:lpwstr>
  </property>
  <property fmtid="{D5CDD505-2E9C-101B-9397-08002B2CF9AE}" pid="3" name="GrammarlyDocumentId">
    <vt:lpwstr>d09cd164-feca-4742-9a18-8fd83dede98d</vt:lpwstr>
  </property>
</Properties>
</file>