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0" w:type="auto"/>
        <w:tblInd w:w="1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61"/>
        <w:gridCol w:w="1043"/>
        <w:gridCol w:w="933"/>
      </w:tblGrid>
      <w:tr w14:paraId="6F3435F1" w14:textId="77777777" w:rsidTr="63623AE2">
        <w:tblPrEx>
          <w:tblW w:w="0" w:type="auto"/>
          <w:tblInd w:w="143" w:type="dxa"/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double" w:sz="6" w:space="0" w:color="000000"/>
            <w:insideV w:val="doub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47"/>
        </w:trPr>
        <w:tc>
          <w:tcPr>
            <w:tcW w:w="9337" w:type="dxa"/>
            <w:gridSpan w:val="3"/>
            <w:tcBorders>
              <w:left w:val="single" w:sz="6" w:space="0" w:color="000000" w:themeColor="text1"/>
              <w:bottom w:val="trip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0236EB" w:rsidRPr="00132C17" w:rsidP="00B01173" w14:paraId="6F3435EF" w14:textId="08EBC636">
            <w:pPr>
              <w:pStyle w:val="TableParagraph"/>
              <w:spacing w:before="21"/>
              <w:ind w:left="6768" w:right="58" w:firstLine="1310"/>
              <w:jc w:val="right"/>
              <w:rPr>
                <w:rFonts w:ascii="Arial"/>
                <w:b/>
                <w:sz w:val="16"/>
              </w:rPr>
            </w:pPr>
            <w:r w:rsidRPr="00132C17">
              <w:rPr>
                <w:rFonts w:ascii="Arial"/>
                <w:b/>
                <w:sz w:val="16"/>
              </w:rPr>
              <w:t>Attachment</w:t>
            </w:r>
            <w:r w:rsidRPr="00132C17">
              <w:rPr>
                <w:rFonts w:ascii="Arial"/>
                <w:b/>
                <w:spacing w:val="-12"/>
                <w:sz w:val="16"/>
              </w:rPr>
              <w:t xml:space="preserve"> </w:t>
            </w:r>
            <w:r w:rsidRPr="00132C17">
              <w:rPr>
                <w:rFonts w:ascii="Arial"/>
                <w:b/>
                <w:sz w:val="16"/>
              </w:rPr>
              <w:t>B OMB</w:t>
            </w:r>
            <w:r w:rsidRPr="00132C17">
              <w:rPr>
                <w:rFonts w:ascii="Arial"/>
                <w:b/>
                <w:spacing w:val="-12"/>
                <w:sz w:val="16"/>
              </w:rPr>
              <w:t xml:space="preserve"> </w:t>
            </w:r>
            <w:r w:rsidRPr="00132C17">
              <w:rPr>
                <w:rFonts w:ascii="Arial"/>
                <w:b/>
                <w:sz w:val="16"/>
              </w:rPr>
              <w:t>Clearance</w:t>
            </w:r>
            <w:r w:rsidRPr="00132C17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132C17">
              <w:rPr>
                <w:rFonts w:ascii="Arial"/>
                <w:b/>
                <w:sz w:val="16"/>
              </w:rPr>
              <w:t>No.:</w:t>
            </w:r>
            <w:r w:rsidRPr="00132C17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Pr="00132C17">
              <w:rPr>
                <w:rFonts w:ascii="Arial"/>
                <w:b/>
                <w:sz w:val="16"/>
              </w:rPr>
              <w:t xml:space="preserve">0970-0106 Expiration Date: </w:t>
            </w:r>
            <w:r w:rsidRPr="001F5445" w:rsidR="0067575F">
              <w:rPr>
                <w:rFonts w:ascii="Arial"/>
                <w:b/>
                <w:sz w:val="16"/>
                <w:highlight w:val="yellow"/>
              </w:rPr>
              <w:t>[MM/DD/YYYY]</w:t>
            </w:r>
          </w:p>
          <w:p w:rsidR="000236EB" w:rsidRPr="00132C17" w14:paraId="6F3435F0" w14:textId="77777777">
            <w:pPr>
              <w:pStyle w:val="TableParagraph"/>
              <w:spacing w:before="0"/>
              <w:ind w:left="2316" w:right="411" w:hanging="606"/>
              <w:rPr>
                <w:rFonts w:ascii="Arial"/>
                <w:b/>
              </w:rPr>
            </w:pPr>
            <w:r w:rsidRPr="00132C17">
              <w:rPr>
                <w:rFonts w:ascii="Arial"/>
                <w:b/>
              </w:rPr>
              <w:t>LOW</w:t>
            </w:r>
            <w:r w:rsidRPr="00132C17">
              <w:rPr>
                <w:rFonts w:ascii="Arial"/>
                <w:b/>
                <w:spacing w:val="-8"/>
              </w:rPr>
              <w:t xml:space="preserve"> </w:t>
            </w:r>
            <w:r w:rsidRPr="00132C17">
              <w:rPr>
                <w:rFonts w:ascii="Arial"/>
                <w:b/>
              </w:rPr>
              <w:t>INCOME</w:t>
            </w:r>
            <w:r w:rsidRPr="00132C17">
              <w:rPr>
                <w:rFonts w:ascii="Arial"/>
                <w:b/>
                <w:spacing w:val="-8"/>
              </w:rPr>
              <w:t xml:space="preserve"> </w:t>
            </w:r>
            <w:r w:rsidRPr="00132C17">
              <w:rPr>
                <w:rFonts w:ascii="Arial"/>
                <w:b/>
              </w:rPr>
              <w:t>HOME</w:t>
            </w:r>
            <w:r w:rsidRPr="00132C17">
              <w:rPr>
                <w:rFonts w:ascii="Arial"/>
                <w:b/>
                <w:spacing w:val="-8"/>
              </w:rPr>
              <w:t xml:space="preserve"> </w:t>
            </w:r>
            <w:r w:rsidRPr="00132C17">
              <w:rPr>
                <w:rFonts w:ascii="Arial"/>
                <w:b/>
              </w:rPr>
              <w:t>ENERGY</w:t>
            </w:r>
            <w:r w:rsidRPr="00132C17">
              <w:rPr>
                <w:rFonts w:ascii="Arial"/>
                <w:b/>
                <w:spacing w:val="-8"/>
              </w:rPr>
              <w:t xml:space="preserve"> </w:t>
            </w:r>
            <w:r w:rsidRPr="00132C17">
              <w:rPr>
                <w:rFonts w:ascii="Arial"/>
                <w:b/>
              </w:rPr>
              <w:t>ASSISTANCE</w:t>
            </w:r>
            <w:r w:rsidRPr="00132C17">
              <w:rPr>
                <w:rFonts w:ascii="Arial"/>
                <w:b/>
                <w:spacing w:val="-8"/>
              </w:rPr>
              <w:t xml:space="preserve"> </w:t>
            </w:r>
            <w:r w:rsidRPr="00132C17">
              <w:rPr>
                <w:rFonts w:ascii="Arial"/>
                <w:b/>
              </w:rPr>
              <w:t>PROGRAM CARRYOVER AND REALLOTMENT REPORT</w:t>
            </w:r>
          </w:p>
        </w:tc>
      </w:tr>
      <w:tr w14:paraId="6F3435F4" w14:textId="77777777" w:rsidTr="63623AE2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7361" w:type="dxa"/>
            <w:tcBorders>
              <w:top w:val="triple" w:sz="6" w:space="0" w:color="000000" w:themeColor="text1"/>
              <w:left w:val="single" w:sz="6" w:space="0" w:color="000000" w:themeColor="text1"/>
            </w:tcBorders>
            <w:shd w:val="clear" w:color="auto" w:fill="FFFFFF" w:themeFill="background1"/>
          </w:tcPr>
          <w:p w:rsidR="000236EB" w:rsidRPr="00132C17" w14:paraId="6F3435F2" w14:textId="18C8CF7C">
            <w:pPr>
              <w:pStyle w:val="TableParagraph"/>
              <w:spacing w:before="55"/>
              <w:ind w:left="37"/>
              <w:rPr>
                <w:b/>
                <w:sz w:val="15"/>
              </w:rPr>
            </w:pPr>
            <w:r w:rsidRPr="00132C17">
              <w:rPr>
                <w:b/>
                <w:sz w:val="15"/>
              </w:rPr>
              <w:t>Grant Recipient:</w:t>
            </w:r>
          </w:p>
        </w:tc>
        <w:tc>
          <w:tcPr>
            <w:tcW w:w="1976" w:type="dxa"/>
            <w:gridSpan w:val="2"/>
            <w:tcBorders>
              <w:top w:val="trip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:rsidR="000236EB" w:rsidRPr="00132C17" w14:paraId="6F3435F3" w14:textId="45CD65C2">
            <w:pPr>
              <w:pStyle w:val="TableParagraph"/>
              <w:spacing w:before="55"/>
              <w:ind w:left="37"/>
              <w:rPr>
                <w:b/>
                <w:sz w:val="15"/>
              </w:rPr>
            </w:pPr>
            <w:r w:rsidRPr="00132C17">
              <w:rPr>
                <w:b/>
                <w:spacing w:val="-2"/>
                <w:sz w:val="15"/>
              </w:rPr>
              <w:t>Date:</w:t>
            </w:r>
          </w:p>
        </w:tc>
      </w:tr>
      <w:tr w14:paraId="6F3435F6" w14:textId="77777777" w:rsidTr="63623AE2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8"/>
        </w:trPr>
        <w:tc>
          <w:tcPr>
            <w:tcW w:w="9337" w:type="dxa"/>
            <w:gridSpan w:val="3"/>
            <w:shd w:val="clear" w:color="auto" w:fill="999999"/>
          </w:tcPr>
          <w:p w:rsidR="000236EB" w:rsidRPr="00132C17" w14:paraId="6F3435F5" w14:textId="7C422FF5">
            <w:pPr>
              <w:pStyle w:val="TableParagraph"/>
              <w:spacing w:before="33"/>
              <w:ind w:left="682"/>
              <w:rPr>
                <w:b/>
                <w:sz w:val="24"/>
                <w:szCs w:val="24"/>
              </w:rPr>
            </w:pPr>
            <w:r w:rsidRPr="00132C17">
              <w:rPr>
                <w:b/>
                <w:sz w:val="24"/>
                <w:szCs w:val="24"/>
              </w:rPr>
              <w:t xml:space="preserve">SECTION 1: All Funds Awarded in </w:t>
            </w:r>
            <w:r w:rsidRPr="00132C17" w:rsidR="56CEC01C">
              <w:rPr>
                <w:b/>
                <w:bCs/>
                <w:sz w:val="24"/>
                <w:szCs w:val="24"/>
              </w:rPr>
              <w:t xml:space="preserve">current </w:t>
            </w:r>
            <w:r w:rsidR="000B6433">
              <w:rPr>
                <w:b/>
                <w:bCs/>
                <w:sz w:val="24"/>
                <w:szCs w:val="24"/>
              </w:rPr>
              <w:t xml:space="preserve">federal </w:t>
            </w:r>
            <w:r w:rsidR="00C775E0">
              <w:rPr>
                <w:b/>
                <w:bCs/>
                <w:sz w:val="24"/>
                <w:szCs w:val="24"/>
              </w:rPr>
              <w:t>F</w:t>
            </w:r>
            <w:r w:rsidR="000B6433">
              <w:rPr>
                <w:b/>
                <w:bCs/>
                <w:sz w:val="24"/>
                <w:szCs w:val="24"/>
              </w:rPr>
              <w:t xml:space="preserve">iscal </w:t>
            </w:r>
            <w:r w:rsidR="00C775E0">
              <w:rPr>
                <w:b/>
                <w:bCs/>
                <w:sz w:val="24"/>
                <w:szCs w:val="24"/>
              </w:rPr>
              <w:t>Y</w:t>
            </w:r>
            <w:r w:rsidR="000B6433">
              <w:rPr>
                <w:b/>
                <w:bCs/>
                <w:sz w:val="24"/>
                <w:szCs w:val="24"/>
              </w:rPr>
              <w:t>ear (</w:t>
            </w:r>
            <w:r w:rsidRPr="00132C17">
              <w:rPr>
                <w:b/>
                <w:sz w:val="24"/>
                <w:szCs w:val="24"/>
              </w:rPr>
              <w:t>FY</w:t>
            </w:r>
            <w:r w:rsidR="000B6433">
              <w:rPr>
                <w:b/>
                <w:sz w:val="24"/>
                <w:szCs w:val="24"/>
              </w:rPr>
              <w:t>)</w:t>
            </w:r>
          </w:p>
        </w:tc>
      </w:tr>
      <w:tr w14:paraId="6F3435F8" w14:textId="77777777" w:rsidTr="63623AE2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7"/>
        </w:trPr>
        <w:tc>
          <w:tcPr>
            <w:tcW w:w="9337" w:type="dxa"/>
            <w:gridSpan w:val="3"/>
            <w:shd w:val="clear" w:color="auto" w:fill="FFFFFF" w:themeFill="background1"/>
          </w:tcPr>
          <w:p w:rsidR="000236EB" w:rsidRPr="00132C17" w14:paraId="6F3435F7" w14:textId="56F84276">
            <w:pPr>
              <w:pStyle w:val="TableParagraph"/>
              <w:spacing w:before="65"/>
              <w:ind w:left="67" w:right="31"/>
              <w:rPr>
                <w:rFonts w:ascii="Arial"/>
                <w:b/>
                <w:sz w:val="18"/>
              </w:rPr>
            </w:pPr>
            <w:r w:rsidRPr="00132C17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33337</wp:posOffset>
                      </wp:positionH>
                      <wp:positionV relativeFrom="paragraph">
                        <wp:posOffset>28598</wp:posOffset>
                      </wp:positionV>
                      <wp:extent cx="5863590" cy="56388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863590" cy="563880"/>
                                <a:chOff x="0" y="0"/>
                                <a:chExt cx="5863590" cy="563880"/>
                              </a:xfrm>
                            </wpg:grpSpPr>
                            <wps:wsp xmlns:wps="http://schemas.microsoft.com/office/word/2010/wordprocessingShape"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863590" cy="5638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563880" w="5863590" stroke="1">
                                      <a:moveTo>
                                        <a:pt x="58635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3880"/>
                                      </a:lnTo>
                                      <a:lnTo>
                                        <a:pt x="5863590" y="563880"/>
                                      </a:lnTo>
                                      <a:lnTo>
                                        <a:pt x="5854065" y="554355"/>
                                      </a:lnTo>
                                      <a:lnTo>
                                        <a:pt x="9525" y="55435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5854065" y="9525"/>
                                      </a:lnTo>
                                      <a:lnTo>
                                        <a:pt x="5863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5" style="width:461.7pt;height:44.4pt;margin-top:2.25pt;margin-left:2.6pt;mso-wrap-distance-left:0;mso-wrap-distance-right:0;position:absolute;z-index:251658240" coordsize="58635,5638">
                      <v:shape id="Graphic 2" o:spid="_x0000_s1026" style="width:58635;height:5638;mso-wrap-style:square;position:absolute;visibility:visible;v-text-anchor:top" coordsize="5863590,563880" path="m5863590,l,,,563880l5863590,563880l5854065,554355l9525,554355l9525,9525l5854065,9525l5863590,xe" fillcolor="black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OLE_LINK2"/>
            <w:r w:rsidRPr="00132C17">
              <w:rPr>
                <w:rFonts w:ascii="Arial"/>
                <w:b/>
                <w:sz w:val="18"/>
              </w:rPr>
              <w:t xml:space="preserve">Section 2607(b)(2)(B) of the LIHEAP statute (42 U.S.C. 8626(b)(2)(B)) requires that, except </w:t>
            </w:r>
            <w:r w:rsidRPr="00132C17">
              <w:rPr>
                <w:rFonts w:ascii="Arial"/>
                <w:b/>
                <w:sz w:val="18"/>
              </w:rPr>
              <w:t>where</w:t>
            </w:r>
            <w:r w:rsidRPr="00132C17">
              <w:rPr>
                <w:rFonts w:ascii="Arial"/>
                <w:b/>
                <w:sz w:val="18"/>
              </w:rPr>
              <w:t xml:space="preserve"> permitted otherwise, at least 90 percent of funds available to you must be obligated in the </w:t>
            </w:r>
            <w:r w:rsidR="00AF0AD9">
              <w:rPr>
                <w:rFonts w:ascii="Arial"/>
                <w:b/>
                <w:sz w:val="18"/>
              </w:rPr>
              <w:t xml:space="preserve">FY </w:t>
            </w:r>
            <w:r w:rsidR="007A32A4">
              <w:rPr>
                <w:rFonts w:ascii="Arial"/>
                <w:b/>
                <w:sz w:val="18"/>
              </w:rPr>
              <w:t>for</w:t>
            </w:r>
            <w:r w:rsidRPr="00132C17">
              <w:rPr>
                <w:rFonts w:ascii="Arial"/>
                <w:b/>
                <w:sz w:val="18"/>
              </w:rPr>
              <w:t xml:space="preserve"> which they are appropriated.</w:t>
            </w:r>
            <w:r w:rsidRPr="00132C1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132C17">
              <w:rPr>
                <w:rFonts w:ascii="Arial"/>
                <w:b/>
                <w:sz w:val="18"/>
              </w:rPr>
              <w:t>Not</w:t>
            </w:r>
            <w:r w:rsidRPr="00132C1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132C17">
              <w:rPr>
                <w:rFonts w:ascii="Arial"/>
                <w:b/>
                <w:sz w:val="18"/>
              </w:rPr>
              <w:t>more</w:t>
            </w:r>
            <w:r w:rsidRPr="00132C1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132C17">
              <w:rPr>
                <w:rFonts w:ascii="Arial"/>
                <w:b/>
                <w:sz w:val="18"/>
              </w:rPr>
              <w:t>than</w:t>
            </w:r>
            <w:r w:rsidRPr="00132C1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132C17">
              <w:rPr>
                <w:rFonts w:ascii="Arial"/>
                <w:b/>
                <w:sz w:val="18"/>
              </w:rPr>
              <w:t>10</w:t>
            </w:r>
            <w:r w:rsidRPr="00132C1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132C17">
              <w:rPr>
                <w:rFonts w:ascii="Arial"/>
                <w:b/>
                <w:sz w:val="18"/>
              </w:rPr>
              <w:t>percent</w:t>
            </w:r>
            <w:r w:rsidRPr="00132C1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132C17">
              <w:rPr>
                <w:rFonts w:ascii="Arial"/>
                <w:b/>
                <w:sz w:val="18"/>
              </w:rPr>
              <w:t>of</w:t>
            </w:r>
            <w:r w:rsidRPr="00132C1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132C17">
              <w:rPr>
                <w:rFonts w:ascii="Arial"/>
                <w:b/>
                <w:sz w:val="18"/>
              </w:rPr>
              <w:t>this</w:t>
            </w:r>
            <w:r w:rsidRPr="00132C1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132C17">
              <w:rPr>
                <w:rFonts w:ascii="Arial"/>
                <w:b/>
                <w:sz w:val="18"/>
              </w:rPr>
              <w:t>amount</w:t>
            </w:r>
            <w:r w:rsidRPr="00132C1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132C17">
              <w:rPr>
                <w:rFonts w:ascii="Arial"/>
                <w:b/>
                <w:sz w:val="18"/>
              </w:rPr>
              <w:t>payable</w:t>
            </w:r>
            <w:r w:rsidRPr="00132C1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132C17">
              <w:rPr>
                <w:rFonts w:ascii="Arial"/>
                <w:b/>
                <w:sz w:val="18"/>
              </w:rPr>
              <w:t>for</w:t>
            </w:r>
            <w:r w:rsidRPr="00132C1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132C17">
              <w:rPr>
                <w:rFonts w:ascii="Arial"/>
                <w:b/>
                <w:sz w:val="18"/>
              </w:rPr>
              <w:t>a</w:t>
            </w:r>
            <w:r w:rsidRPr="00132C1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="00AF0AD9">
              <w:rPr>
                <w:rFonts w:ascii="Arial"/>
                <w:b/>
                <w:spacing w:val="-2"/>
                <w:sz w:val="18"/>
              </w:rPr>
              <w:t xml:space="preserve">FY </w:t>
            </w:r>
            <w:r w:rsidRPr="00132C17">
              <w:rPr>
                <w:rFonts w:ascii="Arial"/>
                <w:b/>
                <w:sz w:val="18"/>
              </w:rPr>
              <w:t>may</w:t>
            </w:r>
            <w:r w:rsidRPr="00132C1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132C17">
              <w:rPr>
                <w:rFonts w:ascii="Arial"/>
                <w:b/>
                <w:sz w:val="18"/>
              </w:rPr>
              <w:t>be</w:t>
            </w:r>
            <w:r w:rsidRPr="00132C1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132C17">
              <w:rPr>
                <w:rFonts w:ascii="Arial"/>
                <w:b/>
                <w:sz w:val="18"/>
              </w:rPr>
              <w:t>held</w:t>
            </w:r>
            <w:r w:rsidRPr="00132C1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132C17">
              <w:rPr>
                <w:rFonts w:ascii="Arial"/>
                <w:b/>
                <w:sz w:val="18"/>
              </w:rPr>
              <w:t>for</w:t>
            </w:r>
            <w:r w:rsidRPr="00132C17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132C17">
              <w:rPr>
                <w:rFonts w:ascii="Arial"/>
                <w:b/>
                <w:sz w:val="18"/>
              </w:rPr>
              <w:t xml:space="preserve">obligation in the succeeding </w:t>
            </w:r>
            <w:r w:rsidR="003B2B46">
              <w:rPr>
                <w:rFonts w:ascii="Arial"/>
                <w:b/>
                <w:sz w:val="18"/>
              </w:rPr>
              <w:t>FY</w:t>
            </w:r>
            <w:r w:rsidRPr="00132C17">
              <w:rPr>
                <w:rFonts w:ascii="Arial"/>
                <w:b/>
                <w:sz w:val="18"/>
              </w:rPr>
              <w:t>.</w:t>
            </w:r>
            <w:bookmarkEnd w:id="0"/>
          </w:p>
        </w:tc>
      </w:tr>
      <w:tr w14:paraId="6F3435FB" w14:textId="77777777" w:rsidTr="63623AE2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8404" w:type="dxa"/>
            <w:gridSpan w:val="2"/>
            <w:shd w:val="clear" w:color="auto" w:fill="FFFFFF" w:themeFill="background1"/>
          </w:tcPr>
          <w:p w:rsidR="000236EB" w:rsidRPr="00132C17" w14:paraId="6F3435F9" w14:textId="46CC6F87">
            <w:pPr>
              <w:pStyle w:val="TableParagraph"/>
              <w:spacing w:before="24"/>
              <w:ind w:left="7"/>
              <w:rPr>
                <w:b/>
                <w:sz w:val="13"/>
                <w:szCs w:val="13"/>
              </w:rPr>
            </w:pPr>
            <w:r w:rsidRPr="00132C17">
              <w:rPr>
                <w:b/>
                <w:w w:val="105"/>
                <w:sz w:val="13"/>
                <w:szCs w:val="13"/>
              </w:rPr>
              <w:t>1.1)</w:t>
            </w:r>
            <w:r w:rsidRPr="00132C17">
              <w:rPr>
                <w:b/>
                <w:spacing w:val="-9"/>
                <w:w w:val="105"/>
                <w:sz w:val="13"/>
                <w:szCs w:val="13"/>
              </w:rPr>
              <w:t xml:space="preserve"> </w:t>
            </w:r>
            <w:r w:rsidRPr="00132C17">
              <w:rPr>
                <w:b/>
                <w:w w:val="105"/>
                <w:sz w:val="13"/>
                <w:szCs w:val="13"/>
              </w:rPr>
              <w:t>Current</w:t>
            </w:r>
            <w:r w:rsidRPr="00132C17">
              <w:rPr>
                <w:b/>
                <w:spacing w:val="-8"/>
                <w:w w:val="105"/>
                <w:sz w:val="13"/>
                <w:szCs w:val="13"/>
              </w:rPr>
              <w:t xml:space="preserve"> </w:t>
            </w:r>
            <w:r w:rsidRPr="00132C17">
              <w:rPr>
                <w:b/>
                <w:w w:val="105"/>
                <w:sz w:val="13"/>
                <w:szCs w:val="13"/>
              </w:rPr>
              <w:t>year</w:t>
            </w:r>
            <w:r w:rsidRPr="00132C17">
              <w:rPr>
                <w:b/>
                <w:spacing w:val="-8"/>
                <w:w w:val="105"/>
                <w:sz w:val="13"/>
                <w:szCs w:val="13"/>
              </w:rPr>
              <w:t xml:space="preserve"> </w:t>
            </w:r>
            <w:r w:rsidRPr="00132C17">
              <w:rPr>
                <w:b/>
                <w:w w:val="105"/>
                <w:sz w:val="13"/>
                <w:szCs w:val="13"/>
              </w:rPr>
              <w:t>amount</w:t>
            </w:r>
            <w:r w:rsidRPr="00132C17">
              <w:rPr>
                <w:b/>
                <w:spacing w:val="-8"/>
                <w:w w:val="105"/>
                <w:sz w:val="13"/>
                <w:szCs w:val="13"/>
              </w:rPr>
              <w:t xml:space="preserve"> </w:t>
            </w:r>
            <w:r w:rsidRPr="00132C17">
              <w:rPr>
                <w:b/>
                <w:w w:val="105"/>
                <w:sz w:val="13"/>
                <w:szCs w:val="13"/>
              </w:rPr>
              <w:t>payable</w:t>
            </w:r>
            <w:r w:rsidRPr="00132C17">
              <w:rPr>
                <w:b/>
                <w:spacing w:val="-8"/>
                <w:w w:val="105"/>
                <w:sz w:val="13"/>
                <w:szCs w:val="13"/>
              </w:rPr>
              <w:t xml:space="preserve"> </w:t>
            </w:r>
            <w:r w:rsidR="001354AD">
              <w:rPr>
                <w:b/>
                <w:w w:val="105"/>
                <w:sz w:val="13"/>
                <w:szCs w:val="13"/>
              </w:rPr>
              <w:t xml:space="preserve">from </w:t>
            </w:r>
            <w:r w:rsidRPr="00132C17">
              <w:rPr>
                <w:b/>
                <w:w w:val="105"/>
                <w:sz w:val="13"/>
                <w:szCs w:val="13"/>
              </w:rPr>
              <w:t>regular</w:t>
            </w:r>
            <w:r w:rsidRPr="00132C17">
              <w:rPr>
                <w:b/>
                <w:spacing w:val="-8"/>
                <w:w w:val="105"/>
                <w:sz w:val="13"/>
                <w:szCs w:val="13"/>
              </w:rPr>
              <w:t xml:space="preserve"> </w:t>
            </w:r>
            <w:r w:rsidRPr="00132C17">
              <w:rPr>
                <w:b/>
                <w:w w:val="105"/>
                <w:sz w:val="13"/>
                <w:szCs w:val="13"/>
              </w:rPr>
              <w:t>block</w:t>
            </w:r>
            <w:r w:rsidRPr="00132C17">
              <w:rPr>
                <w:b/>
                <w:spacing w:val="-8"/>
                <w:w w:val="105"/>
                <w:sz w:val="13"/>
                <w:szCs w:val="13"/>
              </w:rPr>
              <w:t xml:space="preserve"> </w:t>
            </w:r>
            <w:r w:rsidRPr="00132C17">
              <w:rPr>
                <w:b/>
                <w:w w:val="105"/>
                <w:sz w:val="13"/>
                <w:szCs w:val="13"/>
              </w:rPr>
              <w:t>grant</w:t>
            </w:r>
            <w:r w:rsidRPr="00132C17">
              <w:rPr>
                <w:b/>
                <w:spacing w:val="-9"/>
                <w:w w:val="105"/>
                <w:sz w:val="13"/>
                <w:szCs w:val="13"/>
              </w:rPr>
              <w:t xml:space="preserve"> </w:t>
            </w:r>
            <w:r w:rsidRPr="00132C17">
              <w:rPr>
                <w:b/>
                <w:w w:val="105"/>
                <w:sz w:val="13"/>
                <w:szCs w:val="13"/>
              </w:rPr>
              <w:t>funds</w:t>
            </w:r>
            <w:r w:rsidR="001354AD">
              <w:rPr>
                <w:b/>
                <w:w w:val="105"/>
                <w:sz w:val="13"/>
                <w:szCs w:val="13"/>
              </w:rPr>
              <w:t xml:space="preserve"> and funds </w:t>
            </w:r>
            <w:r w:rsidRPr="00132C17" w:rsidR="003E4BC7">
              <w:rPr>
                <w:b/>
                <w:w w:val="105"/>
                <w:sz w:val="13"/>
                <w:szCs w:val="13"/>
              </w:rPr>
              <w:t>reallotted</w:t>
            </w:r>
            <w:r w:rsidRPr="00132C17" w:rsidR="003E4BC7">
              <w:rPr>
                <w:b/>
                <w:spacing w:val="-8"/>
                <w:w w:val="105"/>
                <w:sz w:val="13"/>
                <w:szCs w:val="13"/>
              </w:rPr>
              <w:t xml:space="preserve"> </w:t>
            </w:r>
            <w:r w:rsidRPr="00132C17" w:rsidR="003E4BC7">
              <w:rPr>
                <w:b/>
                <w:sz w:val="13"/>
                <w:szCs w:val="13"/>
              </w:rPr>
              <w:t xml:space="preserve">from </w:t>
            </w:r>
            <w:r w:rsidR="003E4BC7">
              <w:rPr>
                <w:b/>
                <w:sz w:val="13"/>
                <w:szCs w:val="13"/>
              </w:rPr>
              <w:t xml:space="preserve">the </w:t>
            </w:r>
            <w:r w:rsidRPr="00132C17" w:rsidR="003E4BC7">
              <w:rPr>
                <w:b/>
                <w:sz w:val="13"/>
                <w:szCs w:val="13"/>
              </w:rPr>
              <w:t xml:space="preserve">prior </w:t>
            </w:r>
            <w:r w:rsidR="003E4BC7">
              <w:rPr>
                <w:b/>
                <w:sz w:val="13"/>
                <w:szCs w:val="13"/>
              </w:rPr>
              <w:t>FY</w:t>
            </w:r>
          </w:p>
        </w:tc>
        <w:tc>
          <w:tcPr>
            <w:tcW w:w="933" w:type="dxa"/>
            <w:shd w:val="clear" w:color="auto" w:fill="E5E5E5"/>
          </w:tcPr>
          <w:p w:rsidR="000236EB" w:rsidRPr="00132C17" w:rsidP="56DBB6C9" w14:paraId="6F3435FA" w14:textId="73C5AEFF">
            <w:pPr>
              <w:pStyle w:val="TableParagraph"/>
              <w:spacing w:before="24"/>
              <w:ind w:right="3"/>
              <w:jc w:val="right"/>
              <w:rPr>
                <w:sz w:val="13"/>
                <w:szCs w:val="13"/>
              </w:rPr>
            </w:pPr>
          </w:p>
        </w:tc>
      </w:tr>
      <w:tr w14:paraId="2B8740AB" w14:textId="77777777" w:rsidTr="63623AE2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8404" w:type="dxa"/>
            <w:gridSpan w:val="2"/>
            <w:shd w:val="clear" w:color="auto" w:fill="FFFFFF" w:themeFill="background1"/>
          </w:tcPr>
          <w:p w:rsidR="001354AD" w:rsidRPr="00132C17" w14:paraId="24F04636" w14:textId="12EBE875">
            <w:pPr>
              <w:pStyle w:val="TableParagraph"/>
              <w:spacing w:before="24"/>
              <w:ind w:left="7"/>
              <w:rPr>
                <w:b/>
                <w:w w:val="105"/>
                <w:sz w:val="13"/>
                <w:szCs w:val="13"/>
              </w:rPr>
            </w:pPr>
            <w:r w:rsidRPr="00366290">
              <w:rPr>
                <w:b/>
                <w:w w:val="105"/>
                <w:sz w:val="13"/>
                <w:szCs w:val="13"/>
              </w:rPr>
              <w:t>1.2) Infrastructure Investment and Jobs Act (IIJA) funds available in the current-FY</w:t>
            </w:r>
          </w:p>
        </w:tc>
        <w:tc>
          <w:tcPr>
            <w:tcW w:w="933" w:type="dxa"/>
            <w:shd w:val="clear" w:color="auto" w:fill="E5E5E5"/>
          </w:tcPr>
          <w:p w:rsidR="001354AD" w:rsidP="56DBB6C9" w14:paraId="30C25D6F" w14:textId="77777777">
            <w:pPr>
              <w:pStyle w:val="TableParagraph"/>
              <w:spacing w:before="24"/>
              <w:ind w:right="3"/>
              <w:jc w:val="right"/>
              <w:rPr>
                <w:rStyle w:val="CommentReference"/>
              </w:rPr>
            </w:pPr>
          </w:p>
        </w:tc>
      </w:tr>
      <w:tr w14:paraId="407D58CA" w14:textId="77777777" w:rsidTr="63623AE2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8404" w:type="dxa"/>
            <w:gridSpan w:val="2"/>
            <w:shd w:val="clear" w:color="auto" w:fill="FFFFFF" w:themeFill="background1"/>
          </w:tcPr>
          <w:p w:rsidR="001354AD" w:rsidRPr="00132C17" w14:paraId="40F76C4A" w14:textId="1F1BF4F9">
            <w:pPr>
              <w:pStyle w:val="TableParagraph"/>
              <w:spacing w:before="24"/>
              <w:ind w:left="7"/>
              <w:rPr>
                <w:b/>
                <w:w w:val="105"/>
                <w:sz w:val="13"/>
                <w:szCs w:val="13"/>
              </w:rPr>
            </w:pPr>
            <w:r w:rsidRPr="00366290">
              <w:rPr>
                <w:b/>
                <w:w w:val="105"/>
                <w:sz w:val="13"/>
                <w:szCs w:val="13"/>
              </w:rPr>
              <w:t>1.3) Current year amount payable from any non-IIJA supplemental funds</w:t>
            </w:r>
          </w:p>
        </w:tc>
        <w:tc>
          <w:tcPr>
            <w:tcW w:w="933" w:type="dxa"/>
            <w:shd w:val="clear" w:color="auto" w:fill="E5E5E5"/>
          </w:tcPr>
          <w:p w:rsidR="001354AD" w:rsidP="56DBB6C9" w14:paraId="6F02261F" w14:textId="77777777">
            <w:pPr>
              <w:pStyle w:val="TableParagraph"/>
              <w:spacing w:before="24"/>
              <w:ind w:right="3"/>
              <w:jc w:val="right"/>
              <w:rPr>
                <w:rStyle w:val="CommentReference"/>
              </w:rPr>
            </w:pPr>
          </w:p>
        </w:tc>
      </w:tr>
      <w:tr w14:paraId="6C50934D" w14:textId="77777777" w:rsidTr="63623AE2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8404" w:type="dxa"/>
            <w:gridSpan w:val="2"/>
            <w:shd w:val="clear" w:color="auto" w:fill="FFFFFF" w:themeFill="background1"/>
          </w:tcPr>
          <w:p w:rsidR="001354AD" w:rsidRPr="00132C17" w14:paraId="7F9C9CD8" w14:textId="49324480">
            <w:pPr>
              <w:pStyle w:val="TableParagraph"/>
              <w:spacing w:before="24"/>
              <w:ind w:left="7"/>
              <w:rPr>
                <w:b/>
                <w:w w:val="105"/>
                <w:sz w:val="13"/>
                <w:szCs w:val="13"/>
              </w:rPr>
            </w:pPr>
            <w:r w:rsidRPr="00366290">
              <w:rPr>
                <w:b/>
                <w:w w:val="105"/>
                <w:sz w:val="13"/>
                <w:szCs w:val="13"/>
              </w:rPr>
              <w:t xml:space="preserve">1.4) Total current year amount payable (sum of </w:t>
            </w:r>
            <w:r w:rsidR="00E3359B">
              <w:rPr>
                <w:b/>
                <w:w w:val="105"/>
                <w:sz w:val="13"/>
                <w:szCs w:val="13"/>
              </w:rPr>
              <w:t>L</w:t>
            </w:r>
            <w:r w:rsidRPr="00366290">
              <w:rPr>
                <w:b/>
                <w:w w:val="105"/>
                <w:sz w:val="13"/>
                <w:szCs w:val="13"/>
              </w:rPr>
              <w:t>ines 1.2, 1.3, and 1.4)</w:t>
            </w:r>
          </w:p>
        </w:tc>
        <w:tc>
          <w:tcPr>
            <w:tcW w:w="933" w:type="dxa"/>
            <w:shd w:val="clear" w:color="auto" w:fill="E5E5E5"/>
          </w:tcPr>
          <w:p w:rsidR="001354AD" w:rsidP="56DBB6C9" w14:paraId="363A0EA5" w14:textId="77777777">
            <w:pPr>
              <w:pStyle w:val="TableParagraph"/>
              <w:spacing w:before="24"/>
              <w:ind w:right="3"/>
              <w:jc w:val="right"/>
              <w:rPr>
                <w:rStyle w:val="CommentReference"/>
              </w:rPr>
            </w:pPr>
          </w:p>
        </w:tc>
      </w:tr>
      <w:tr w14:paraId="6F3435FE" w14:textId="77777777" w:rsidTr="63623AE2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8404" w:type="dxa"/>
            <w:gridSpan w:val="2"/>
            <w:shd w:val="clear" w:color="auto" w:fill="FFFFFF" w:themeFill="background1"/>
          </w:tcPr>
          <w:p w:rsidR="000236EB" w:rsidRPr="00132C17" w14:paraId="6F3435FC" w14:textId="592AF6E1">
            <w:pPr>
              <w:pStyle w:val="TableParagraph"/>
              <w:spacing w:before="24"/>
              <w:ind w:left="7"/>
              <w:rPr>
                <w:b/>
                <w:sz w:val="13"/>
              </w:rPr>
            </w:pPr>
            <w:r w:rsidRPr="00132C17">
              <w:rPr>
                <w:b/>
                <w:w w:val="105"/>
                <w:sz w:val="13"/>
              </w:rPr>
              <w:t>1.</w:t>
            </w:r>
            <w:r w:rsidR="00366290">
              <w:rPr>
                <w:b/>
                <w:w w:val="105"/>
                <w:sz w:val="13"/>
              </w:rPr>
              <w:t>5</w:t>
            </w:r>
            <w:r w:rsidRPr="00132C17">
              <w:rPr>
                <w:b/>
                <w:w w:val="105"/>
                <w:sz w:val="13"/>
              </w:rPr>
              <w:t>)</w:t>
            </w:r>
            <w:r w:rsidRPr="00132C17">
              <w:rPr>
                <w:b/>
                <w:spacing w:val="-8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10</w:t>
            </w:r>
            <w:r w:rsidRPr="00132C17">
              <w:rPr>
                <w:b/>
                <w:spacing w:val="-8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percent</w:t>
            </w:r>
            <w:r w:rsidRPr="00132C17">
              <w:rPr>
                <w:b/>
                <w:spacing w:val="-7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of</w:t>
            </w:r>
            <w:r w:rsidRPr="00132C17">
              <w:rPr>
                <w:b/>
                <w:spacing w:val="-8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amount</w:t>
            </w:r>
            <w:r w:rsidRPr="00132C17">
              <w:rPr>
                <w:b/>
                <w:spacing w:val="-7"/>
                <w:w w:val="105"/>
                <w:sz w:val="13"/>
              </w:rPr>
              <w:t xml:space="preserve"> </w:t>
            </w:r>
            <w:r w:rsidR="003E05DF">
              <w:rPr>
                <w:b/>
                <w:spacing w:val="-7"/>
                <w:w w:val="105"/>
                <w:sz w:val="13"/>
              </w:rPr>
              <w:t>on Line 1.</w:t>
            </w:r>
            <w:r w:rsidR="00366290">
              <w:rPr>
                <w:b/>
                <w:spacing w:val="-7"/>
                <w:w w:val="105"/>
                <w:sz w:val="13"/>
              </w:rPr>
              <w:t>4</w:t>
            </w:r>
          </w:p>
        </w:tc>
        <w:tc>
          <w:tcPr>
            <w:tcW w:w="933" w:type="dxa"/>
            <w:shd w:val="clear" w:color="auto" w:fill="E5E5E5"/>
          </w:tcPr>
          <w:p w:rsidR="000236EB" w:rsidRPr="00132C17" w14:paraId="6F3435FD" w14:textId="3E7A7CD1">
            <w:pPr>
              <w:pStyle w:val="TableParagraph"/>
              <w:spacing w:before="24"/>
              <w:ind w:right="3"/>
              <w:jc w:val="right"/>
              <w:rPr>
                <w:sz w:val="13"/>
              </w:rPr>
            </w:pPr>
          </w:p>
        </w:tc>
      </w:tr>
      <w:tr w14:paraId="6F343601" w14:textId="77777777" w:rsidTr="63623AE2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8404" w:type="dxa"/>
            <w:gridSpan w:val="2"/>
            <w:shd w:val="clear" w:color="auto" w:fill="FFFFFF" w:themeFill="background1"/>
          </w:tcPr>
          <w:p w:rsidR="000236EB" w:rsidRPr="00132C17" w14:paraId="6F3435FF" w14:textId="030DF20E">
            <w:pPr>
              <w:pStyle w:val="TableParagraph"/>
              <w:spacing w:before="32"/>
              <w:ind w:left="7"/>
              <w:rPr>
                <w:b/>
                <w:sz w:val="13"/>
              </w:rPr>
            </w:pPr>
            <w:r w:rsidRPr="00132C17">
              <w:rPr>
                <w:b/>
                <w:w w:val="105"/>
                <w:sz w:val="13"/>
              </w:rPr>
              <w:t>1.</w:t>
            </w:r>
            <w:r w:rsidR="00366290">
              <w:rPr>
                <w:b/>
                <w:w w:val="105"/>
                <w:sz w:val="13"/>
              </w:rPr>
              <w:t>6</w:t>
            </w:r>
            <w:r w:rsidRPr="00132C17">
              <w:rPr>
                <w:b/>
                <w:w w:val="105"/>
                <w:sz w:val="13"/>
              </w:rPr>
              <w:t>)</w:t>
            </w:r>
            <w:r w:rsidRPr="00132C17">
              <w:rPr>
                <w:b/>
                <w:spacing w:val="-9"/>
                <w:w w:val="105"/>
                <w:sz w:val="13"/>
              </w:rPr>
              <w:t xml:space="preserve"> </w:t>
            </w:r>
            <w:r w:rsidR="00097532">
              <w:rPr>
                <w:b/>
                <w:w w:val="105"/>
                <w:sz w:val="13"/>
              </w:rPr>
              <w:t>U</w:t>
            </w:r>
            <w:r w:rsidRPr="00132C17">
              <w:rPr>
                <w:b/>
                <w:w w:val="105"/>
                <w:sz w:val="13"/>
              </w:rPr>
              <w:t>nobligated</w:t>
            </w:r>
            <w:r w:rsidRPr="00132C17">
              <w:rPr>
                <w:b/>
                <w:spacing w:val="-9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balance</w:t>
            </w:r>
            <w:r w:rsidRPr="00132C17">
              <w:rPr>
                <w:b/>
                <w:spacing w:val="-9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(regular</w:t>
            </w:r>
            <w:r w:rsidRPr="00132C17">
              <w:rPr>
                <w:b/>
                <w:spacing w:val="-8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block</w:t>
            </w:r>
            <w:r w:rsidRPr="00132C17">
              <w:rPr>
                <w:b/>
                <w:spacing w:val="-9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grant</w:t>
            </w:r>
            <w:r w:rsidRPr="00132C17">
              <w:rPr>
                <w:b/>
                <w:spacing w:val="-8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funds</w:t>
            </w:r>
            <w:r w:rsidRPr="00132C17">
              <w:rPr>
                <w:b/>
                <w:spacing w:val="-9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and</w:t>
            </w:r>
            <w:r w:rsidRPr="00132C17">
              <w:rPr>
                <w:b/>
                <w:spacing w:val="-8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reallotted</w:t>
            </w:r>
            <w:r w:rsidRPr="00132C17">
              <w:rPr>
                <w:b/>
                <w:spacing w:val="-9"/>
                <w:w w:val="105"/>
                <w:sz w:val="13"/>
              </w:rPr>
              <w:t xml:space="preserve"> </w:t>
            </w:r>
            <w:r w:rsidRPr="00132C17">
              <w:rPr>
                <w:b/>
                <w:spacing w:val="-2"/>
                <w:w w:val="105"/>
                <w:sz w:val="13"/>
              </w:rPr>
              <w:t>funds)</w:t>
            </w:r>
          </w:p>
        </w:tc>
        <w:tc>
          <w:tcPr>
            <w:tcW w:w="933" w:type="dxa"/>
            <w:shd w:val="clear" w:color="auto" w:fill="FFFFFF" w:themeFill="background1"/>
          </w:tcPr>
          <w:p w:rsidR="000236EB" w:rsidRPr="00132C17" w14:paraId="6F343600" w14:textId="7C1345C7">
            <w:pPr>
              <w:pStyle w:val="TableParagraph"/>
              <w:ind w:right="3"/>
              <w:jc w:val="right"/>
              <w:rPr>
                <w:sz w:val="15"/>
              </w:rPr>
            </w:pPr>
          </w:p>
        </w:tc>
      </w:tr>
      <w:tr w14:paraId="6F343604" w14:textId="77777777" w:rsidTr="63623AE2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8404" w:type="dxa"/>
            <w:gridSpan w:val="2"/>
            <w:shd w:val="clear" w:color="auto" w:fill="FFFFFF" w:themeFill="background1"/>
          </w:tcPr>
          <w:p w:rsidR="000236EB" w:rsidRPr="00132C17" w14:paraId="6F343602" w14:textId="78F9301E">
            <w:pPr>
              <w:pStyle w:val="TableParagraph"/>
              <w:spacing w:before="32"/>
              <w:ind w:left="7"/>
              <w:rPr>
                <w:b/>
                <w:sz w:val="13"/>
              </w:rPr>
            </w:pPr>
            <w:r w:rsidRPr="00132C17">
              <w:rPr>
                <w:b/>
                <w:sz w:val="13"/>
              </w:rPr>
              <w:t>1.</w:t>
            </w:r>
            <w:r w:rsidR="00366290">
              <w:rPr>
                <w:b/>
                <w:sz w:val="13"/>
              </w:rPr>
              <w:t>7</w:t>
            </w:r>
            <w:r w:rsidRPr="00132C17">
              <w:rPr>
                <w:b/>
                <w:sz w:val="13"/>
              </w:rPr>
              <w:t>)</w:t>
            </w:r>
            <w:r w:rsidRPr="00132C17">
              <w:rPr>
                <w:b/>
                <w:spacing w:val="15"/>
                <w:sz w:val="13"/>
              </w:rPr>
              <w:t xml:space="preserve"> </w:t>
            </w:r>
            <w:r w:rsidR="00014394">
              <w:rPr>
                <w:b/>
                <w:sz w:val="13"/>
              </w:rPr>
              <w:t>U</w:t>
            </w:r>
            <w:r w:rsidRPr="00132C17">
              <w:rPr>
                <w:b/>
                <w:sz w:val="13"/>
              </w:rPr>
              <w:t>nobligated</w:t>
            </w:r>
            <w:r w:rsidRPr="00132C17">
              <w:rPr>
                <w:b/>
                <w:spacing w:val="14"/>
                <w:sz w:val="13"/>
              </w:rPr>
              <w:t xml:space="preserve"> </w:t>
            </w:r>
            <w:r w:rsidRPr="00132C17">
              <w:rPr>
                <w:b/>
                <w:sz w:val="13"/>
              </w:rPr>
              <w:t>balance</w:t>
            </w:r>
            <w:r w:rsidRPr="00132C17">
              <w:rPr>
                <w:b/>
                <w:spacing w:val="15"/>
                <w:sz w:val="13"/>
              </w:rPr>
              <w:t xml:space="preserve"> </w:t>
            </w:r>
            <w:r w:rsidRPr="00132C17">
              <w:rPr>
                <w:b/>
                <w:sz w:val="13"/>
              </w:rPr>
              <w:t>(</w:t>
            </w:r>
            <w:r w:rsidRPr="00132C17" w:rsidR="001C42E2">
              <w:rPr>
                <w:b/>
                <w:sz w:val="13"/>
              </w:rPr>
              <w:t>IIJA</w:t>
            </w:r>
            <w:r w:rsidRPr="00132C17">
              <w:rPr>
                <w:b/>
                <w:spacing w:val="15"/>
                <w:sz w:val="13"/>
              </w:rPr>
              <w:t xml:space="preserve"> </w:t>
            </w:r>
            <w:r w:rsidR="009130D6">
              <w:rPr>
                <w:b/>
                <w:spacing w:val="15"/>
                <w:sz w:val="13"/>
              </w:rPr>
              <w:t xml:space="preserve">funds </w:t>
            </w:r>
            <w:r w:rsidRPr="00132C17">
              <w:rPr>
                <w:b/>
                <w:spacing w:val="-2"/>
                <w:sz w:val="13"/>
              </w:rPr>
              <w:t>only)</w:t>
            </w:r>
          </w:p>
        </w:tc>
        <w:tc>
          <w:tcPr>
            <w:tcW w:w="933" w:type="dxa"/>
            <w:shd w:val="clear" w:color="auto" w:fill="FFFFFF" w:themeFill="background1"/>
          </w:tcPr>
          <w:p w:rsidR="000236EB" w:rsidRPr="00132C17" w:rsidP="00B13591" w14:paraId="6F343603" w14:textId="2DF6321E">
            <w:pPr>
              <w:pStyle w:val="TableParagraph"/>
              <w:tabs>
                <w:tab w:val="center" w:pos="442"/>
                <w:tab w:val="right" w:pos="885"/>
              </w:tabs>
              <w:ind w:right="3"/>
              <w:rPr>
                <w:sz w:val="15"/>
              </w:rPr>
            </w:pPr>
          </w:p>
        </w:tc>
      </w:tr>
      <w:tr w14:paraId="6F343607" w14:textId="77777777" w:rsidTr="63623AE2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8404" w:type="dxa"/>
            <w:gridSpan w:val="2"/>
            <w:shd w:val="clear" w:color="auto" w:fill="FFFFFF" w:themeFill="background1"/>
          </w:tcPr>
          <w:p w:rsidR="000236EB" w:rsidRPr="00132C17" w:rsidP="63623AE2" w14:paraId="6F343605" w14:textId="3F65E7FF">
            <w:pPr>
              <w:pStyle w:val="TableParagraph"/>
              <w:spacing w:before="32"/>
              <w:ind w:left="7"/>
              <w:rPr>
                <w:b/>
                <w:bCs/>
                <w:sz w:val="13"/>
                <w:szCs w:val="13"/>
              </w:rPr>
            </w:pPr>
            <w:r w:rsidRPr="00132C17">
              <w:rPr>
                <w:b/>
                <w:bCs/>
                <w:sz w:val="13"/>
                <w:szCs w:val="13"/>
              </w:rPr>
              <w:t>1.</w:t>
            </w:r>
            <w:r w:rsidR="00366290">
              <w:rPr>
                <w:b/>
                <w:bCs/>
                <w:sz w:val="13"/>
                <w:szCs w:val="13"/>
              </w:rPr>
              <w:t>8</w:t>
            </w:r>
            <w:r w:rsidRPr="00132C17">
              <w:rPr>
                <w:b/>
                <w:bCs/>
                <w:sz w:val="13"/>
                <w:szCs w:val="13"/>
              </w:rPr>
              <w:t>)</w:t>
            </w:r>
            <w:r w:rsidRPr="00132C17">
              <w:rPr>
                <w:b/>
                <w:bCs/>
                <w:spacing w:val="16"/>
                <w:sz w:val="13"/>
                <w:szCs w:val="13"/>
              </w:rPr>
              <w:t xml:space="preserve"> </w:t>
            </w:r>
            <w:r w:rsidR="00014394">
              <w:rPr>
                <w:b/>
                <w:bCs/>
                <w:sz w:val="13"/>
                <w:szCs w:val="13"/>
              </w:rPr>
              <w:t>U</w:t>
            </w:r>
            <w:r w:rsidRPr="00132C17">
              <w:rPr>
                <w:b/>
                <w:bCs/>
                <w:sz w:val="13"/>
                <w:szCs w:val="13"/>
              </w:rPr>
              <w:t>nobligated</w:t>
            </w:r>
            <w:r w:rsidRPr="00132C17">
              <w:rPr>
                <w:b/>
                <w:bCs/>
                <w:spacing w:val="16"/>
                <w:sz w:val="13"/>
                <w:szCs w:val="13"/>
              </w:rPr>
              <w:t xml:space="preserve"> </w:t>
            </w:r>
            <w:r w:rsidRPr="00132C17">
              <w:rPr>
                <w:b/>
                <w:bCs/>
                <w:sz w:val="13"/>
                <w:szCs w:val="13"/>
              </w:rPr>
              <w:t>balance</w:t>
            </w:r>
            <w:r w:rsidRPr="00132C17">
              <w:rPr>
                <w:b/>
                <w:bCs/>
                <w:spacing w:val="15"/>
                <w:sz w:val="13"/>
                <w:szCs w:val="13"/>
              </w:rPr>
              <w:t xml:space="preserve"> </w:t>
            </w:r>
            <w:r w:rsidRPr="00132C17">
              <w:rPr>
                <w:b/>
                <w:bCs/>
                <w:sz w:val="13"/>
                <w:szCs w:val="13"/>
              </w:rPr>
              <w:t>(</w:t>
            </w:r>
            <w:r w:rsidR="00F64420">
              <w:rPr>
                <w:b/>
                <w:bCs/>
                <w:sz w:val="13"/>
                <w:szCs w:val="13"/>
              </w:rPr>
              <w:t>non-IIJA s</w:t>
            </w:r>
            <w:r w:rsidRPr="00132C17">
              <w:rPr>
                <w:b/>
                <w:bCs/>
                <w:sz w:val="13"/>
                <w:szCs w:val="13"/>
              </w:rPr>
              <w:t>upplemental</w:t>
            </w:r>
            <w:r w:rsidRPr="00132C17">
              <w:rPr>
                <w:b/>
                <w:bCs/>
                <w:spacing w:val="16"/>
                <w:sz w:val="13"/>
                <w:szCs w:val="13"/>
              </w:rPr>
              <w:t xml:space="preserve"> </w:t>
            </w:r>
            <w:r w:rsidRPr="00132C17">
              <w:rPr>
                <w:b/>
                <w:bCs/>
                <w:sz w:val="13"/>
                <w:szCs w:val="13"/>
              </w:rPr>
              <w:t>funds</w:t>
            </w:r>
            <w:r w:rsidRPr="00132C17">
              <w:rPr>
                <w:b/>
                <w:bCs/>
                <w:spacing w:val="16"/>
                <w:sz w:val="13"/>
                <w:szCs w:val="13"/>
              </w:rPr>
              <w:t xml:space="preserve"> </w:t>
            </w:r>
            <w:r w:rsidRPr="00132C17">
              <w:rPr>
                <w:b/>
                <w:bCs/>
                <w:spacing w:val="-2"/>
                <w:sz w:val="13"/>
                <w:szCs w:val="13"/>
              </w:rPr>
              <w:t>only)</w:t>
            </w:r>
          </w:p>
        </w:tc>
        <w:tc>
          <w:tcPr>
            <w:tcW w:w="933" w:type="dxa"/>
            <w:shd w:val="clear" w:color="auto" w:fill="FFFFFF" w:themeFill="background1"/>
          </w:tcPr>
          <w:p w:rsidR="000236EB" w:rsidRPr="00132C17" w14:paraId="6F343606" w14:textId="58ED6AFC">
            <w:pPr>
              <w:pStyle w:val="TableParagraph"/>
              <w:ind w:right="3"/>
              <w:jc w:val="right"/>
              <w:rPr>
                <w:sz w:val="15"/>
              </w:rPr>
            </w:pPr>
          </w:p>
        </w:tc>
      </w:tr>
      <w:tr w14:paraId="6F34360A" w14:textId="77777777" w:rsidTr="63623AE2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8404" w:type="dxa"/>
            <w:gridSpan w:val="2"/>
            <w:shd w:val="clear" w:color="auto" w:fill="FFFFFF" w:themeFill="background1"/>
          </w:tcPr>
          <w:p w:rsidR="000236EB" w:rsidRPr="00132C17" w:rsidP="63623AE2" w14:paraId="6F343608" w14:textId="1EB8A423">
            <w:pPr>
              <w:pStyle w:val="TableParagraph"/>
              <w:spacing w:before="24"/>
              <w:ind w:left="7"/>
              <w:rPr>
                <w:b/>
                <w:bCs/>
                <w:sz w:val="13"/>
                <w:szCs w:val="13"/>
              </w:rPr>
            </w:pPr>
            <w:r w:rsidRPr="00132C17">
              <w:rPr>
                <w:b/>
                <w:bCs/>
                <w:sz w:val="13"/>
                <w:szCs w:val="13"/>
              </w:rPr>
              <w:t>1.</w:t>
            </w:r>
            <w:r w:rsidR="00366290">
              <w:rPr>
                <w:b/>
                <w:bCs/>
                <w:sz w:val="13"/>
                <w:szCs w:val="13"/>
              </w:rPr>
              <w:t>9</w:t>
            </w:r>
            <w:r w:rsidRPr="00132C17">
              <w:rPr>
                <w:b/>
                <w:bCs/>
                <w:sz w:val="13"/>
                <w:szCs w:val="13"/>
              </w:rPr>
              <w:t>)</w:t>
            </w:r>
            <w:r w:rsidRPr="00132C17">
              <w:rPr>
                <w:b/>
                <w:bCs/>
                <w:spacing w:val="14"/>
                <w:sz w:val="13"/>
                <w:szCs w:val="13"/>
              </w:rPr>
              <w:t xml:space="preserve"> </w:t>
            </w:r>
            <w:r w:rsidRPr="00132C17">
              <w:rPr>
                <w:b/>
                <w:bCs/>
                <w:sz w:val="13"/>
                <w:szCs w:val="13"/>
              </w:rPr>
              <w:t>Total</w:t>
            </w:r>
            <w:r w:rsidRPr="00132C17">
              <w:rPr>
                <w:b/>
                <w:bCs/>
                <w:spacing w:val="14"/>
                <w:sz w:val="13"/>
                <w:szCs w:val="13"/>
              </w:rPr>
              <w:t xml:space="preserve"> </w:t>
            </w:r>
            <w:r w:rsidR="00014394">
              <w:rPr>
                <w:b/>
                <w:bCs/>
                <w:sz w:val="13"/>
                <w:szCs w:val="13"/>
              </w:rPr>
              <w:t>p</w:t>
            </w:r>
            <w:r w:rsidRPr="00132C17">
              <w:rPr>
                <w:b/>
                <w:bCs/>
                <w:sz w:val="13"/>
                <w:szCs w:val="13"/>
              </w:rPr>
              <w:t>rojected</w:t>
            </w:r>
            <w:r w:rsidRPr="00132C17">
              <w:rPr>
                <w:b/>
                <w:bCs/>
                <w:spacing w:val="14"/>
                <w:sz w:val="13"/>
                <w:szCs w:val="13"/>
              </w:rPr>
              <w:t xml:space="preserve"> </w:t>
            </w:r>
            <w:r w:rsidRPr="00132C17">
              <w:rPr>
                <w:b/>
                <w:bCs/>
                <w:sz w:val="13"/>
                <w:szCs w:val="13"/>
              </w:rPr>
              <w:t>unobligated</w:t>
            </w:r>
            <w:r w:rsidRPr="00132C17">
              <w:rPr>
                <w:b/>
                <w:bCs/>
                <w:spacing w:val="14"/>
                <w:sz w:val="13"/>
                <w:szCs w:val="13"/>
              </w:rPr>
              <w:t xml:space="preserve"> </w:t>
            </w:r>
            <w:r w:rsidRPr="00132C17">
              <w:rPr>
                <w:b/>
                <w:bCs/>
                <w:sz w:val="13"/>
                <w:szCs w:val="13"/>
              </w:rPr>
              <w:t>balance</w:t>
            </w:r>
            <w:r w:rsidRPr="00132C17">
              <w:rPr>
                <w:b/>
                <w:bCs/>
                <w:spacing w:val="14"/>
                <w:sz w:val="13"/>
                <w:szCs w:val="13"/>
              </w:rPr>
              <w:t xml:space="preserve"> </w:t>
            </w:r>
            <w:r w:rsidRPr="00132C17">
              <w:rPr>
                <w:b/>
                <w:bCs/>
                <w:sz w:val="13"/>
                <w:szCs w:val="13"/>
              </w:rPr>
              <w:t>(</w:t>
            </w:r>
            <w:r w:rsidRPr="00132C17" w:rsidR="00C50705">
              <w:rPr>
                <w:b/>
                <w:bCs/>
                <w:sz w:val="13"/>
                <w:szCs w:val="13"/>
              </w:rPr>
              <w:t xml:space="preserve">sum of </w:t>
            </w:r>
            <w:r w:rsidR="00FF1AD1">
              <w:rPr>
                <w:b/>
                <w:bCs/>
                <w:sz w:val="13"/>
                <w:szCs w:val="13"/>
              </w:rPr>
              <w:t>L</w:t>
            </w:r>
            <w:r w:rsidRPr="00132C17" w:rsidR="00C50705">
              <w:rPr>
                <w:b/>
                <w:bCs/>
                <w:sz w:val="13"/>
                <w:szCs w:val="13"/>
              </w:rPr>
              <w:t>ines 1.</w:t>
            </w:r>
            <w:r w:rsidR="00366290">
              <w:rPr>
                <w:b/>
                <w:bCs/>
                <w:sz w:val="13"/>
                <w:szCs w:val="13"/>
              </w:rPr>
              <w:t>6</w:t>
            </w:r>
            <w:r w:rsidRPr="00132C17" w:rsidR="00C50705">
              <w:rPr>
                <w:b/>
                <w:bCs/>
                <w:sz w:val="13"/>
                <w:szCs w:val="13"/>
              </w:rPr>
              <w:t>, 1.</w:t>
            </w:r>
            <w:r w:rsidR="00366290">
              <w:rPr>
                <w:b/>
                <w:bCs/>
                <w:sz w:val="13"/>
                <w:szCs w:val="13"/>
              </w:rPr>
              <w:t>7</w:t>
            </w:r>
            <w:r w:rsidRPr="00132C17" w:rsidR="00C50705">
              <w:rPr>
                <w:b/>
                <w:bCs/>
                <w:sz w:val="13"/>
                <w:szCs w:val="13"/>
              </w:rPr>
              <w:t>, and 1.</w:t>
            </w:r>
            <w:r w:rsidR="00366290">
              <w:rPr>
                <w:b/>
                <w:bCs/>
                <w:sz w:val="13"/>
                <w:szCs w:val="13"/>
              </w:rPr>
              <w:t>8</w:t>
            </w:r>
            <w:r w:rsidRPr="00132C17">
              <w:rPr>
                <w:b/>
                <w:bCs/>
                <w:spacing w:val="-2"/>
                <w:sz w:val="13"/>
                <w:szCs w:val="13"/>
              </w:rPr>
              <w:t>)</w:t>
            </w:r>
          </w:p>
        </w:tc>
        <w:tc>
          <w:tcPr>
            <w:tcW w:w="933" w:type="dxa"/>
            <w:shd w:val="clear" w:color="auto" w:fill="E5E5E5"/>
          </w:tcPr>
          <w:p w:rsidR="000236EB" w:rsidRPr="00132C17" w14:paraId="6F343609" w14:textId="272E2755">
            <w:pPr>
              <w:pStyle w:val="TableParagraph"/>
              <w:spacing w:before="24"/>
              <w:ind w:right="3"/>
              <w:jc w:val="right"/>
              <w:rPr>
                <w:sz w:val="13"/>
              </w:rPr>
            </w:pPr>
          </w:p>
        </w:tc>
      </w:tr>
      <w:tr w14:paraId="6F34360E" w14:textId="77777777" w:rsidTr="00EE3DC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6"/>
        </w:trPr>
        <w:tc>
          <w:tcPr>
            <w:tcW w:w="9337" w:type="dxa"/>
            <w:gridSpan w:val="3"/>
            <w:shd w:val="clear" w:color="auto" w:fill="FFFFFF" w:themeFill="background1"/>
          </w:tcPr>
          <w:p w:rsidR="000236EB" w:rsidRPr="00132C17" w14:paraId="6F34360B" w14:textId="4B57A97E">
            <w:pPr>
              <w:pStyle w:val="TableParagraph"/>
              <w:spacing w:before="9" w:line="249" w:lineRule="auto"/>
              <w:ind w:left="7" w:right="31"/>
              <w:rPr>
                <w:b/>
                <w:i/>
                <w:sz w:val="13"/>
              </w:rPr>
            </w:pPr>
            <w:r w:rsidRPr="00132C17">
              <w:rPr>
                <w:b/>
                <w:i/>
                <w:w w:val="105"/>
                <w:sz w:val="13"/>
              </w:rPr>
              <w:t>If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="009A0E86">
              <w:rPr>
                <w:b/>
                <w:i/>
                <w:w w:val="105"/>
                <w:sz w:val="13"/>
              </w:rPr>
              <w:t>L</w:t>
            </w:r>
            <w:r w:rsidRPr="00132C17">
              <w:rPr>
                <w:b/>
                <w:i/>
                <w:w w:val="105"/>
                <w:sz w:val="13"/>
              </w:rPr>
              <w:t>ine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1.</w:t>
            </w:r>
            <w:r w:rsidR="00270AD5">
              <w:rPr>
                <w:b/>
                <w:i/>
                <w:w w:val="105"/>
                <w:sz w:val="13"/>
              </w:rPr>
              <w:t>9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is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equal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to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or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less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than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="009A0E86">
              <w:rPr>
                <w:b/>
                <w:i/>
                <w:w w:val="105"/>
                <w:sz w:val="13"/>
              </w:rPr>
              <w:t>L</w:t>
            </w:r>
            <w:r w:rsidRPr="00132C17">
              <w:rPr>
                <w:b/>
                <w:i/>
                <w:w w:val="105"/>
                <w:sz w:val="13"/>
              </w:rPr>
              <w:t>ine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1.</w:t>
            </w:r>
            <w:r w:rsidR="00270AD5">
              <w:rPr>
                <w:b/>
                <w:i/>
                <w:w w:val="105"/>
                <w:sz w:val="13"/>
              </w:rPr>
              <w:t>5</w:t>
            </w:r>
            <w:r w:rsidRPr="00132C17">
              <w:rPr>
                <w:b/>
                <w:i/>
                <w:w w:val="105"/>
                <w:sz w:val="13"/>
              </w:rPr>
              <w:t>,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="00F238E4">
              <w:rPr>
                <w:b/>
                <w:i/>
                <w:w w:val="105"/>
                <w:sz w:val="13"/>
              </w:rPr>
              <w:t>the</w:t>
            </w:r>
            <w:r w:rsidR="00EE3DC7">
              <w:rPr>
                <w:b/>
                <w:i/>
                <w:w w:val="105"/>
                <w:sz w:val="13"/>
              </w:rPr>
              <w:t xml:space="preserve">n, </w:t>
            </w:r>
            <w:r w:rsidRPr="00132C17">
              <w:rPr>
                <w:b/>
                <w:i/>
                <w:w w:val="105"/>
                <w:sz w:val="13"/>
              </w:rPr>
              <w:t>on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the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following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two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lines,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OLDC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will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show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the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amount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from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="0054130E">
              <w:rPr>
                <w:b/>
                <w:i/>
                <w:w w:val="105"/>
                <w:sz w:val="13"/>
              </w:rPr>
              <w:t>L</w:t>
            </w:r>
            <w:r w:rsidRPr="00132C17">
              <w:rPr>
                <w:b/>
                <w:i/>
                <w:w w:val="105"/>
                <w:sz w:val="13"/>
              </w:rPr>
              <w:t>ine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1.</w:t>
            </w:r>
            <w:r w:rsidR="00270AD5">
              <w:rPr>
                <w:b/>
                <w:i/>
                <w:w w:val="105"/>
                <w:sz w:val="13"/>
              </w:rPr>
              <w:t>9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="0093327D">
              <w:rPr>
                <w:b/>
                <w:i/>
                <w:w w:val="105"/>
                <w:sz w:val="13"/>
              </w:rPr>
              <w:t xml:space="preserve">as </w:t>
            </w:r>
            <w:r w:rsidRPr="00132C17">
              <w:rPr>
                <w:b/>
                <w:i/>
                <w:w w:val="105"/>
                <w:sz w:val="13"/>
              </w:rPr>
              <w:t>your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carryover</w:t>
            </w:r>
            <w:r w:rsidRPr="00132C17">
              <w:rPr>
                <w:b/>
                <w:i/>
                <w:spacing w:val="40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 xml:space="preserve">amount and zero </w:t>
            </w:r>
            <w:r w:rsidR="0093327D">
              <w:rPr>
                <w:b/>
                <w:i/>
                <w:w w:val="105"/>
                <w:sz w:val="13"/>
              </w:rPr>
              <w:t xml:space="preserve">as </w:t>
            </w:r>
            <w:r w:rsidRPr="00132C17">
              <w:rPr>
                <w:b/>
                <w:i/>
                <w:w w:val="105"/>
                <w:sz w:val="13"/>
              </w:rPr>
              <w:t>your reallotment amount.</w:t>
            </w:r>
          </w:p>
          <w:p w:rsidR="000236EB" w:rsidRPr="00132C17" w14:paraId="6F34360C" w14:textId="77777777">
            <w:pPr>
              <w:pStyle w:val="TableParagraph"/>
              <w:spacing w:before="5"/>
              <w:rPr>
                <w:b/>
                <w:sz w:val="13"/>
              </w:rPr>
            </w:pPr>
          </w:p>
          <w:p w:rsidR="000236EB" w:rsidRPr="00132C17" w14:paraId="6F34360D" w14:textId="61DE1940">
            <w:pPr>
              <w:pStyle w:val="TableParagraph"/>
              <w:spacing w:before="0" w:line="249" w:lineRule="auto"/>
              <w:ind w:left="7"/>
              <w:rPr>
                <w:b/>
                <w:i/>
                <w:sz w:val="13"/>
              </w:rPr>
            </w:pPr>
            <w:r w:rsidRPr="00132C17">
              <w:rPr>
                <w:b/>
                <w:i/>
                <w:w w:val="105"/>
                <w:sz w:val="13"/>
              </w:rPr>
              <w:t>If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="00D863D4">
              <w:rPr>
                <w:b/>
                <w:i/>
                <w:w w:val="105"/>
                <w:sz w:val="13"/>
              </w:rPr>
              <w:t>L</w:t>
            </w:r>
            <w:r w:rsidRPr="00132C17">
              <w:rPr>
                <w:b/>
                <w:i/>
                <w:w w:val="105"/>
                <w:sz w:val="13"/>
              </w:rPr>
              <w:t>ine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1.</w:t>
            </w:r>
            <w:r w:rsidR="00270AD5">
              <w:rPr>
                <w:b/>
                <w:i/>
                <w:w w:val="105"/>
                <w:sz w:val="13"/>
              </w:rPr>
              <w:t>9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is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larger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than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="00F238E4">
              <w:rPr>
                <w:b/>
                <w:i/>
                <w:w w:val="105"/>
                <w:sz w:val="13"/>
              </w:rPr>
              <w:t>L</w:t>
            </w:r>
            <w:r w:rsidRPr="00132C17">
              <w:rPr>
                <w:b/>
                <w:i/>
                <w:w w:val="105"/>
                <w:sz w:val="13"/>
              </w:rPr>
              <w:t>ine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1.</w:t>
            </w:r>
            <w:r w:rsidR="00270AD5">
              <w:rPr>
                <w:b/>
                <w:i/>
                <w:w w:val="105"/>
                <w:sz w:val="13"/>
              </w:rPr>
              <w:t>5</w:t>
            </w:r>
            <w:r w:rsidRPr="00132C17">
              <w:rPr>
                <w:b/>
                <w:i/>
                <w:w w:val="105"/>
                <w:sz w:val="13"/>
              </w:rPr>
              <w:t>,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="00EE3DC7">
              <w:rPr>
                <w:b/>
                <w:i/>
                <w:spacing w:val="-5"/>
                <w:w w:val="105"/>
                <w:sz w:val="13"/>
              </w:rPr>
              <w:t xml:space="preserve">then, </w:t>
            </w:r>
            <w:r w:rsidRPr="00132C17">
              <w:rPr>
                <w:b/>
                <w:i/>
                <w:w w:val="105"/>
                <w:sz w:val="13"/>
              </w:rPr>
              <w:t>on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the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following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two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lines,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OLDC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will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show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the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amount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on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="00D512A6">
              <w:rPr>
                <w:b/>
                <w:i/>
                <w:w w:val="105"/>
                <w:sz w:val="13"/>
              </w:rPr>
              <w:t>L</w:t>
            </w:r>
            <w:r w:rsidRPr="00132C17">
              <w:rPr>
                <w:b/>
                <w:i/>
                <w:w w:val="105"/>
                <w:sz w:val="13"/>
              </w:rPr>
              <w:t>ine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1.</w:t>
            </w:r>
            <w:r w:rsidR="00270AD5">
              <w:rPr>
                <w:b/>
                <w:i/>
                <w:w w:val="105"/>
                <w:sz w:val="13"/>
              </w:rPr>
              <w:t>5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as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your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carryover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amount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and</w:t>
            </w:r>
            <w:r w:rsidRPr="00132C17">
              <w:rPr>
                <w:b/>
                <w:i/>
                <w:spacing w:val="-5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>the</w:t>
            </w:r>
            <w:r w:rsidRPr="00132C17">
              <w:rPr>
                <w:b/>
                <w:i/>
                <w:spacing w:val="40"/>
                <w:w w:val="105"/>
                <w:sz w:val="13"/>
              </w:rPr>
              <w:t xml:space="preserve"> </w:t>
            </w:r>
            <w:r w:rsidRPr="00132C17">
              <w:rPr>
                <w:b/>
                <w:i/>
                <w:w w:val="105"/>
                <w:sz w:val="13"/>
              </w:rPr>
              <w:t xml:space="preserve">difference between </w:t>
            </w:r>
            <w:r w:rsidR="0093327D">
              <w:rPr>
                <w:b/>
                <w:i/>
                <w:w w:val="105"/>
                <w:sz w:val="13"/>
              </w:rPr>
              <w:t>L</w:t>
            </w:r>
            <w:r w:rsidRPr="00132C17">
              <w:rPr>
                <w:b/>
                <w:i/>
                <w:w w:val="105"/>
                <w:sz w:val="13"/>
              </w:rPr>
              <w:t xml:space="preserve">ine </w:t>
            </w:r>
            <w:r w:rsidR="0093327D">
              <w:rPr>
                <w:b/>
                <w:i/>
                <w:w w:val="105"/>
                <w:sz w:val="13"/>
              </w:rPr>
              <w:t>1.</w:t>
            </w:r>
            <w:r w:rsidR="00270AD5">
              <w:rPr>
                <w:b/>
                <w:i/>
                <w:w w:val="105"/>
                <w:sz w:val="13"/>
              </w:rPr>
              <w:t>9</w:t>
            </w:r>
            <w:r w:rsidR="0093327D">
              <w:rPr>
                <w:b/>
                <w:i/>
                <w:w w:val="105"/>
                <w:sz w:val="13"/>
              </w:rPr>
              <w:t xml:space="preserve"> and Line </w:t>
            </w:r>
            <w:r w:rsidRPr="00132C17">
              <w:rPr>
                <w:b/>
                <w:i/>
                <w:w w:val="105"/>
                <w:sz w:val="13"/>
              </w:rPr>
              <w:t>1.</w:t>
            </w:r>
            <w:r w:rsidR="00270AD5">
              <w:rPr>
                <w:b/>
                <w:i/>
                <w:w w:val="105"/>
                <w:sz w:val="13"/>
              </w:rPr>
              <w:t>5</w:t>
            </w:r>
            <w:r w:rsidRPr="00132C17">
              <w:rPr>
                <w:b/>
                <w:i/>
                <w:w w:val="105"/>
                <w:sz w:val="13"/>
              </w:rPr>
              <w:t xml:space="preserve"> as your reallotment amount.</w:t>
            </w:r>
          </w:p>
        </w:tc>
      </w:tr>
      <w:tr w14:paraId="6F343612" w14:textId="77777777" w:rsidTr="63623AE2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8404" w:type="dxa"/>
            <w:gridSpan w:val="2"/>
            <w:shd w:val="clear" w:color="auto" w:fill="FFFFFF" w:themeFill="background1"/>
          </w:tcPr>
          <w:p w:rsidR="000236EB" w:rsidRPr="00132C17" w14:paraId="6F34360F" w14:textId="61AC9B34">
            <w:pPr>
              <w:pStyle w:val="TableParagraph"/>
              <w:spacing w:before="9"/>
              <w:ind w:left="7"/>
              <w:rPr>
                <w:b/>
                <w:sz w:val="13"/>
              </w:rPr>
            </w:pPr>
            <w:r w:rsidRPr="00132C17">
              <w:rPr>
                <w:b/>
                <w:sz w:val="13"/>
              </w:rPr>
              <w:t>1.</w:t>
            </w:r>
            <w:r w:rsidR="00A22F56">
              <w:rPr>
                <w:b/>
                <w:sz w:val="13"/>
              </w:rPr>
              <w:t>10</w:t>
            </w:r>
            <w:r w:rsidR="00022C49">
              <w:rPr>
                <w:b/>
                <w:sz w:val="13"/>
              </w:rPr>
              <w:t>)</w:t>
            </w:r>
            <w:r w:rsidRPr="00132C17" w:rsidR="00A96D11">
              <w:rPr>
                <w:b/>
                <w:sz w:val="13"/>
              </w:rPr>
              <w:t xml:space="preserve"> </w:t>
            </w:r>
            <w:r w:rsidRPr="00132C17" w:rsidR="00E078E7">
              <w:rPr>
                <w:b/>
                <w:sz w:val="13"/>
              </w:rPr>
              <w:t>Carryover</w:t>
            </w:r>
            <w:r w:rsidRPr="00132C17" w:rsidR="00E078E7">
              <w:rPr>
                <w:b/>
                <w:spacing w:val="18"/>
                <w:sz w:val="13"/>
              </w:rPr>
              <w:t xml:space="preserve"> </w:t>
            </w:r>
            <w:r w:rsidR="00585C92">
              <w:rPr>
                <w:b/>
                <w:spacing w:val="-2"/>
                <w:sz w:val="13"/>
              </w:rPr>
              <w:t>a</w:t>
            </w:r>
            <w:r w:rsidRPr="00132C17" w:rsidR="00E078E7">
              <w:rPr>
                <w:b/>
                <w:spacing w:val="-2"/>
                <w:sz w:val="13"/>
              </w:rPr>
              <w:t>mount</w:t>
            </w:r>
          </w:p>
          <w:p w:rsidR="000236EB" w:rsidRPr="00132C17" w14:paraId="6F343610" w14:textId="39E118DA">
            <w:pPr>
              <w:pStyle w:val="TableParagraph"/>
              <w:spacing w:before="5"/>
              <w:ind w:left="7"/>
              <w:rPr>
                <w:b/>
                <w:sz w:val="13"/>
              </w:rPr>
            </w:pPr>
            <w:r w:rsidRPr="00132C17">
              <w:rPr>
                <w:b/>
                <w:w w:val="105"/>
                <w:sz w:val="13"/>
              </w:rPr>
              <w:t>(FY</w:t>
            </w:r>
            <w:r w:rsidRPr="00132C17">
              <w:rPr>
                <w:b/>
                <w:spacing w:val="-7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funds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to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be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carried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over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for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obligation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in</w:t>
            </w:r>
            <w:r w:rsidRPr="00132C17">
              <w:rPr>
                <w:b/>
                <w:spacing w:val="-7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the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following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fiscal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Pr="00132C17">
              <w:rPr>
                <w:b/>
                <w:spacing w:val="-2"/>
                <w:w w:val="105"/>
                <w:sz w:val="13"/>
              </w:rPr>
              <w:t>year.)</w:t>
            </w:r>
          </w:p>
        </w:tc>
        <w:tc>
          <w:tcPr>
            <w:tcW w:w="933" w:type="dxa"/>
            <w:shd w:val="clear" w:color="auto" w:fill="E5E5E5"/>
          </w:tcPr>
          <w:p w:rsidR="000236EB" w:rsidRPr="00132C17" w14:paraId="6F343611" w14:textId="30A79CEE">
            <w:pPr>
              <w:pStyle w:val="TableParagraph"/>
              <w:spacing w:before="86"/>
              <w:ind w:right="3"/>
              <w:jc w:val="right"/>
              <w:rPr>
                <w:sz w:val="13"/>
              </w:rPr>
            </w:pPr>
          </w:p>
        </w:tc>
      </w:tr>
      <w:tr w14:paraId="6F343617" w14:textId="77777777" w:rsidTr="63623AE2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8404" w:type="dxa"/>
            <w:gridSpan w:val="2"/>
            <w:shd w:val="clear" w:color="auto" w:fill="FFFFFF" w:themeFill="background1"/>
          </w:tcPr>
          <w:p w:rsidR="000236EB" w:rsidRPr="00132C17" w14:paraId="6F343613" w14:textId="0F3EA587">
            <w:pPr>
              <w:pStyle w:val="TableParagraph"/>
              <w:spacing w:before="9"/>
              <w:ind w:left="7"/>
              <w:rPr>
                <w:b/>
                <w:sz w:val="13"/>
              </w:rPr>
            </w:pPr>
            <w:r w:rsidRPr="00132C17">
              <w:rPr>
                <w:b/>
                <w:sz w:val="13"/>
              </w:rPr>
              <w:t>1.</w:t>
            </w:r>
            <w:r w:rsidR="00A22F56">
              <w:rPr>
                <w:b/>
                <w:sz w:val="13"/>
              </w:rPr>
              <w:t>11</w:t>
            </w:r>
            <w:r w:rsidR="00022C49">
              <w:rPr>
                <w:b/>
                <w:sz w:val="13"/>
              </w:rPr>
              <w:t>)</w:t>
            </w:r>
            <w:r w:rsidRPr="00132C17">
              <w:rPr>
                <w:b/>
                <w:sz w:val="13"/>
              </w:rPr>
              <w:t xml:space="preserve"> </w:t>
            </w:r>
            <w:r w:rsidRPr="00132C17" w:rsidR="00E078E7">
              <w:rPr>
                <w:b/>
                <w:sz w:val="13"/>
              </w:rPr>
              <w:t>Reallotment</w:t>
            </w:r>
            <w:r w:rsidRPr="00132C17" w:rsidR="00E078E7">
              <w:rPr>
                <w:b/>
                <w:spacing w:val="21"/>
                <w:sz w:val="13"/>
              </w:rPr>
              <w:t xml:space="preserve"> </w:t>
            </w:r>
            <w:r w:rsidR="00585C92">
              <w:rPr>
                <w:b/>
                <w:spacing w:val="-2"/>
                <w:sz w:val="13"/>
              </w:rPr>
              <w:t>a</w:t>
            </w:r>
            <w:r w:rsidRPr="00132C17" w:rsidR="00E078E7">
              <w:rPr>
                <w:b/>
                <w:spacing w:val="-2"/>
                <w:sz w:val="13"/>
              </w:rPr>
              <w:t>mount</w:t>
            </w:r>
          </w:p>
          <w:p w:rsidR="000236EB" w:rsidRPr="00132C17" w14:paraId="6F343614" w14:textId="06AFB591">
            <w:pPr>
              <w:pStyle w:val="TableParagraph"/>
              <w:spacing w:before="6" w:line="249" w:lineRule="auto"/>
              <w:ind w:left="7"/>
              <w:rPr>
                <w:b/>
                <w:sz w:val="13"/>
              </w:rPr>
            </w:pPr>
            <w:r w:rsidRPr="00132C17">
              <w:rPr>
                <w:b/>
                <w:w w:val="105"/>
                <w:sz w:val="13"/>
              </w:rPr>
              <w:t>(Regular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block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grant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funds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="0085006D">
              <w:rPr>
                <w:b/>
                <w:spacing w:val="-6"/>
                <w:w w:val="105"/>
                <w:sz w:val="13"/>
              </w:rPr>
              <w:t xml:space="preserve">and reallotted funds </w:t>
            </w:r>
            <w:r w:rsidRPr="00132C17">
              <w:rPr>
                <w:b/>
                <w:w w:val="105"/>
                <w:sz w:val="13"/>
              </w:rPr>
              <w:t>plus</w:t>
            </w:r>
            <w:r w:rsidR="00AD6C01">
              <w:rPr>
                <w:b/>
                <w:w w:val="105"/>
                <w:sz w:val="13"/>
              </w:rPr>
              <w:t>, if available,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Pr="00132C17" w:rsidR="005E1978">
              <w:rPr>
                <w:b/>
                <w:w w:val="105"/>
                <w:sz w:val="13"/>
              </w:rPr>
              <w:t>IIJA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="00847828">
              <w:rPr>
                <w:b/>
                <w:spacing w:val="-6"/>
                <w:w w:val="105"/>
                <w:sz w:val="13"/>
              </w:rPr>
              <w:t xml:space="preserve">funds </w:t>
            </w:r>
            <w:r w:rsidRPr="00132C17">
              <w:rPr>
                <w:b/>
                <w:w w:val="105"/>
                <w:sz w:val="13"/>
              </w:rPr>
              <w:t>and</w:t>
            </w:r>
            <w:r w:rsidR="007F1738">
              <w:rPr>
                <w:b/>
                <w:w w:val="105"/>
                <w:sz w:val="13"/>
              </w:rPr>
              <w:t xml:space="preserve"> non-IIJA supplemental </w:t>
            </w:r>
            <w:r w:rsidRPr="00132C17">
              <w:rPr>
                <w:b/>
                <w:w w:val="105"/>
                <w:sz w:val="13"/>
              </w:rPr>
              <w:t>funds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that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exceed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the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10</w:t>
            </w:r>
            <w:r w:rsidR="00454DB8">
              <w:rPr>
                <w:b/>
                <w:w w:val="105"/>
                <w:sz w:val="13"/>
              </w:rPr>
              <w:t xml:space="preserve"> percent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carryover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="008A4961">
              <w:rPr>
                <w:b/>
                <w:w w:val="105"/>
                <w:sz w:val="13"/>
              </w:rPr>
              <w:t xml:space="preserve">limit </w:t>
            </w:r>
            <w:r w:rsidRPr="00132C17">
              <w:rPr>
                <w:b/>
                <w:w w:val="105"/>
                <w:sz w:val="13"/>
              </w:rPr>
              <w:t>and</w:t>
            </w:r>
            <w:r w:rsidRPr="00373DAF">
              <w:rPr>
                <w:b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are</w:t>
            </w:r>
            <w:r w:rsidRPr="00373DAF">
              <w:rPr>
                <w:b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to</w:t>
            </w:r>
            <w:r w:rsidRPr="00373DAF">
              <w:rPr>
                <w:b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be</w:t>
            </w:r>
            <w:r w:rsidRPr="00373DAF">
              <w:rPr>
                <w:b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returned</w:t>
            </w:r>
            <w:r w:rsidRPr="00373DAF">
              <w:rPr>
                <w:b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the</w:t>
            </w:r>
            <w:r w:rsidRPr="00373DAF" w:rsidR="005E1978">
              <w:rPr>
                <w:b/>
                <w:w w:val="105"/>
                <w:sz w:val="13"/>
              </w:rPr>
              <w:t xml:space="preserve"> </w:t>
            </w:r>
            <w:r w:rsidR="00C8761F">
              <w:rPr>
                <w:b/>
                <w:w w:val="105"/>
                <w:sz w:val="13"/>
              </w:rPr>
              <w:t>f</w:t>
            </w:r>
            <w:r w:rsidRPr="00132C17">
              <w:rPr>
                <w:b/>
                <w:w w:val="105"/>
                <w:sz w:val="13"/>
              </w:rPr>
              <w:t>ederal</w:t>
            </w:r>
            <w:r w:rsidRPr="00373DAF">
              <w:rPr>
                <w:b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government)</w:t>
            </w:r>
          </w:p>
        </w:tc>
        <w:tc>
          <w:tcPr>
            <w:tcW w:w="933" w:type="dxa"/>
            <w:shd w:val="clear" w:color="auto" w:fill="E5E5E5"/>
          </w:tcPr>
          <w:p w:rsidR="000236EB" w:rsidRPr="00132C17" w14:paraId="6F343616" w14:textId="37E0EC6E">
            <w:pPr>
              <w:pStyle w:val="TableParagraph"/>
              <w:spacing w:before="1"/>
              <w:ind w:right="3"/>
              <w:jc w:val="right"/>
              <w:rPr>
                <w:sz w:val="13"/>
              </w:rPr>
            </w:pPr>
          </w:p>
        </w:tc>
      </w:tr>
      <w:tr w14:paraId="6F343619" w14:textId="77777777" w:rsidTr="63623AE2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9337" w:type="dxa"/>
            <w:gridSpan w:val="3"/>
            <w:shd w:val="clear" w:color="auto" w:fill="FFFFFF" w:themeFill="background1"/>
          </w:tcPr>
          <w:p w:rsidR="000236EB" w:rsidRPr="00132C17" w14:paraId="6F343618" w14:textId="58CD4784">
            <w:pPr>
              <w:pStyle w:val="TableParagraph"/>
              <w:spacing w:before="9"/>
              <w:ind w:left="7"/>
              <w:rPr>
                <w:b/>
                <w:sz w:val="13"/>
              </w:rPr>
            </w:pPr>
            <w:r w:rsidRPr="00132C17">
              <w:rPr>
                <w:b/>
                <w:w w:val="105"/>
                <w:sz w:val="13"/>
              </w:rPr>
              <w:t>If</w:t>
            </w:r>
            <w:r w:rsidRPr="00132C17">
              <w:rPr>
                <w:b/>
                <w:spacing w:val="-7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OLDC</w:t>
            </w:r>
            <w:r w:rsidRPr="00132C17">
              <w:rPr>
                <w:b/>
                <w:spacing w:val="-7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shows</w:t>
            </w:r>
            <w:r w:rsidRPr="00132C17">
              <w:rPr>
                <w:b/>
                <w:spacing w:val="-7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a</w:t>
            </w:r>
            <w:r w:rsidRPr="00132C17">
              <w:rPr>
                <w:b/>
                <w:spacing w:val="-7"/>
                <w:w w:val="105"/>
                <w:sz w:val="13"/>
              </w:rPr>
              <w:t xml:space="preserve"> </w:t>
            </w:r>
            <w:r w:rsidR="00E10B33">
              <w:rPr>
                <w:b/>
                <w:w w:val="105"/>
                <w:sz w:val="13"/>
              </w:rPr>
              <w:t xml:space="preserve">positive </w:t>
            </w:r>
            <w:r w:rsidRPr="00132C17">
              <w:rPr>
                <w:b/>
                <w:w w:val="105"/>
                <w:sz w:val="13"/>
              </w:rPr>
              <w:t>amount</w:t>
            </w:r>
            <w:r w:rsidRPr="00132C17">
              <w:rPr>
                <w:b/>
                <w:spacing w:val="-7"/>
                <w:w w:val="105"/>
                <w:sz w:val="13"/>
              </w:rPr>
              <w:t xml:space="preserve"> </w:t>
            </w:r>
            <w:r w:rsidR="00022C49">
              <w:rPr>
                <w:b/>
                <w:w w:val="105"/>
                <w:sz w:val="13"/>
              </w:rPr>
              <w:t>on</w:t>
            </w:r>
            <w:r w:rsidRPr="00132C17" w:rsidR="00022C49">
              <w:rPr>
                <w:b/>
                <w:spacing w:val="-7"/>
                <w:w w:val="105"/>
                <w:sz w:val="13"/>
              </w:rPr>
              <w:t xml:space="preserve"> </w:t>
            </w:r>
            <w:r w:rsidR="00D37EBF">
              <w:rPr>
                <w:b/>
                <w:w w:val="105"/>
                <w:sz w:val="13"/>
              </w:rPr>
              <w:t>L</w:t>
            </w:r>
            <w:r w:rsidRPr="00132C17">
              <w:rPr>
                <w:b/>
                <w:w w:val="105"/>
                <w:sz w:val="13"/>
              </w:rPr>
              <w:t>ine</w:t>
            </w:r>
            <w:r w:rsidRPr="00132C17">
              <w:rPr>
                <w:b/>
                <w:spacing w:val="-7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1.</w:t>
            </w:r>
            <w:r w:rsidR="00F73E95">
              <w:rPr>
                <w:b/>
                <w:w w:val="105"/>
                <w:sz w:val="13"/>
              </w:rPr>
              <w:t>9</w:t>
            </w:r>
            <w:r w:rsidRPr="00132C17">
              <w:rPr>
                <w:b/>
                <w:w w:val="105"/>
                <w:sz w:val="13"/>
              </w:rPr>
              <w:t>,</w:t>
            </w:r>
            <w:r w:rsidRPr="00132C17">
              <w:rPr>
                <w:b/>
                <w:spacing w:val="-6"/>
                <w:w w:val="105"/>
                <w:sz w:val="13"/>
              </w:rPr>
              <w:t xml:space="preserve"> </w:t>
            </w:r>
            <w:r w:rsidR="0067703A">
              <w:rPr>
                <w:b/>
                <w:spacing w:val="-6"/>
                <w:w w:val="105"/>
                <w:sz w:val="13"/>
              </w:rPr>
              <w:t xml:space="preserve">then </w:t>
            </w:r>
            <w:r w:rsidRPr="00132C17">
              <w:rPr>
                <w:b/>
                <w:w w:val="105"/>
                <w:sz w:val="13"/>
              </w:rPr>
              <w:t>please</w:t>
            </w:r>
            <w:r w:rsidRPr="00132C17">
              <w:rPr>
                <w:b/>
                <w:spacing w:val="-7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provide</w:t>
            </w:r>
            <w:r w:rsidRPr="00132C17">
              <w:rPr>
                <w:b/>
                <w:spacing w:val="-7"/>
                <w:w w:val="105"/>
                <w:sz w:val="13"/>
              </w:rPr>
              <w:t xml:space="preserve"> </w:t>
            </w:r>
            <w:r w:rsidRPr="00132C17">
              <w:rPr>
                <w:b/>
                <w:w w:val="105"/>
                <w:sz w:val="13"/>
              </w:rPr>
              <w:t>the</w:t>
            </w:r>
            <w:r w:rsidRPr="00132C17">
              <w:rPr>
                <w:b/>
                <w:spacing w:val="-7"/>
                <w:w w:val="105"/>
                <w:sz w:val="13"/>
              </w:rPr>
              <w:t xml:space="preserve"> </w:t>
            </w:r>
            <w:r w:rsidRPr="00132C17">
              <w:rPr>
                <w:b/>
                <w:spacing w:val="-2"/>
                <w:w w:val="105"/>
                <w:sz w:val="13"/>
              </w:rPr>
              <w:t>following:</w:t>
            </w:r>
          </w:p>
        </w:tc>
      </w:tr>
      <w:tr w14:paraId="6F34361C" w14:textId="77777777" w:rsidTr="63623AE2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5"/>
        </w:trPr>
        <w:tc>
          <w:tcPr>
            <w:tcW w:w="9337" w:type="dxa"/>
            <w:gridSpan w:val="3"/>
            <w:shd w:val="clear" w:color="auto" w:fill="FFFFFF" w:themeFill="background1"/>
          </w:tcPr>
          <w:p w:rsidR="000236EB" w:rsidRPr="00132C17" w:rsidP="00B13591" w14:paraId="6F34361B" w14:textId="7E75F817">
            <w:pPr>
              <w:pStyle w:val="TableParagraph"/>
              <w:rPr>
                <w:b/>
                <w:sz w:val="15"/>
              </w:rPr>
            </w:pPr>
            <w:r w:rsidRPr="00132C17">
              <w:rPr>
                <w:b/>
                <w:sz w:val="15"/>
              </w:rPr>
              <w:t>1.</w:t>
            </w:r>
            <w:r w:rsidR="00AD6C01">
              <w:rPr>
                <w:b/>
                <w:sz w:val="15"/>
              </w:rPr>
              <w:t>12</w:t>
            </w:r>
            <w:r w:rsidR="00022C49">
              <w:rPr>
                <w:b/>
                <w:sz w:val="15"/>
              </w:rPr>
              <w:t>)</w:t>
            </w:r>
            <w:r w:rsidRPr="00132C17">
              <w:rPr>
                <w:b/>
                <w:sz w:val="15"/>
              </w:rPr>
              <w:t xml:space="preserve"> Briefly state the reasons that these funds will not be obligated in the</w:t>
            </w:r>
            <w:r w:rsidRPr="00132C17" w:rsidR="008509CB">
              <w:rPr>
                <w:b/>
                <w:sz w:val="15"/>
              </w:rPr>
              <w:t xml:space="preserve"> </w:t>
            </w:r>
            <w:r w:rsidR="005665CD">
              <w:rPr>
                <w:b/>
                <w:sz w:val="15"/>
              </w:rPr>
              <w:t>FY</w:t>
            </w:r>
            <w:r w:rsidRPr="00132C17">
              <w:rPr>
                <w:b/>
                <w:sz w:val="15"/>
              </w:rPr>
              <w:t xml:space="preserve"> for which they were </w:t>
            </w:r>
            <w:r w:rsidRPr="00132C17">
              <w:rPr>
                <w:b/>
                <w:spacing w:val="-2"/>
                <w:sz w:val="15"/>
              </w:rPr>
              <w:t>allotte</w:t>
            </w:r>
            <w:r w:rsidRPr="00132C17" w:rsidR="00B13591">
              <w:rPr>
                <w:b/>
                <w:spacing w:val="-2"/>
                <w:sz w:val="15"/>
              </w:rPr>
              <w:t>d</w:t>
            </w:r>
          </w:p>
        </w:tc>
      </w:tr>
      <w:tr w14:paraId="6F34361F" w14:textId="77777777" w:rsidTr="63623AE2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5"/>
        </w:trPr>
        <w:tc>
          <w:tcPr>
            <w:tcW w:w="9337" w:type="dxa"/>
            <w:gridSpan w:val="3"/>
            <w:tcBorders>
              <w:bottom w:val="thickThinMediumGap" w:sz="6" w:space="0" w:color="000000" w:themeColor="text1"/>
            </w:tcBorders>
            <w:shd w:val="clear" w:color="auto" w:fill="FFFFFF" w:themeFill="background1"/>
          </w:tcPr>
          <w:p w:rsidR="000236EB" w:rsidRPr="00132C17" w:rsidP="00B13591" w14:paraId="6F34361D" w14:textId="4E6E2D14">
            <w:pPr>
              <w:pStyle w:val="TableParagraph"/>
              <w:ind w:left="22"/>
              <w:rPr>
                <w:b/>
                <w:sz w:val="15"/>
              </w:rPr>
            </w:pPr>
            <w:r w:rsidRPr="00132C17">
              <w:rPr>
                <w:b/>
                <w:sz w:val="15"/>
              </w:rPr>
              <w:t>1.</w:t>
            </w:r>
            <w:r w:rsidRPr="00132C17" w:rsidR="00A96D11">
              <w:rPr>
                <w:b/>
                <w:sz w:val="15"/>
              </w:rPr>
              <w:t>1</w:t>
            </w:r>
            <w:r w:rsidR="00AD6C01">
              <w:rPr>
                <w:b/>
                <w:sz w:val="15"/>
              </w:rPr>
              <w:t>3</w:t>
            </w:r>
            <w:r w:rsidR="00022C49">
              <w:rPr>
                <w:b/>
                <w:sz w:val="15"/>
              </w:rPr>
              <w:t>(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Briefly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describe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the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types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of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assistance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to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be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provided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with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the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regular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block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grant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funds,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562AC6" w:rsidR="00562AC6">
              <w:rPr>
                <w:b/>
                <w:spacing w:val="-2"/>
                <w:sz w:val="15"/>
              </w:rPr>
              <w:t>reallotted funds</w:t>
            </w:r>
            <w:r w:rsidR="00562AC6">
              <w:rPr>
                <w:b/>
                <w:spacing w:val="-2"/>
                <w:sz w:val="15"/>
              </w:rPr>
              <w:t>,</w:t>
            </w:r>
            <w:r w:rsidRPr="00562AC6" w:rsidR="00562AC6">
              <w:rPr>
                <w:b/>
                <w:spacing w:val="-2"/>
                <w:sz w:val="15"/>
              </w:rPr>
              <w:t xml:space="preserve"> </w:t>
            </w:r>
            <w:r w:rsidR="00B836EA">
              <w:rPr>
                <w:b/>
                <w:sz w:val="15"/>
              </w:rPr>
              <w:t xml:space="preserve">IIJA </w:t>
            </w:r>
            <w:r w:rsidRPr="00132C17">
              <w:rPr>
                <w:b/>
                <w:sz w:val="15"/>
              </w:rPr>
              <w:t>funds,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and</w:t>
            </w:r>
            <w:r w:rsidRPr="00056729" w:rsidR="00056729">
              <w:rPr>
                <w:b/>
                <w:sz w:val="15"/>
              </w:rPr>
              <w:t>, if available, non-IIJA supplemental</w:t>
            </w:r>
            <w:r w:rsidRPr="00132C17">
              <w:rPr>
                <w:b/>
                <w:sz w:val="15"/>
              </w:rPr>
              <w:t xml:space="preserve"> funds that will be held available for the following fiscal year:</w:t>
            </w:r>
          </w:p>
          <w:p w:rsidR="000236EB" w:rsidRPr="00132C17" w:rsidP="00B13591" w14:paraId="6F34361E" w14:textId="3C8B3ED2">
            <w:pPr>
              <w:pStyle w:val="TableParagraph"/>
              <w:spacing w:before="0"/>
              <w:rPr>
                <w:sz w:val="15"/>
              </w:rPr>
            </w:pPr>
          </w:p>
        </w:tc>
      </w:tr>
    </w:tbl>
    <w:p w:rsidR="000236EB" w:rsidRPr="00132C17" w14:paraId="6F343620" w14:textId="77777777">
      <w:pPr>
        <w:pStyle w:val="BodyText"/>
        <w:spacing w:after="51"/>
        <w:jc w:val="center"/>
        <w:rPr>
          <w:rFonts w:ascii="Arial"/>
        </w:rPr>
      </w:pPr>
      <w:r w:rsidRPr="00132C17">
        <w:rPr>
          <w:rFonts w:ascii="Arial"/>
          <w:spacing w:val="-2"/>
        </w:rPr>
        <w:t>Certification</w:t>
      </w:r>
    </w:p>
    <w:tbl>
      <w:tblPr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89"/>
        <w:gridCol w:w="5120"/>
      </w:tblGrid>
      <w:tr w14:paraId="6F343623" w14:textId="77777777">
        <w:tblPrEx>
          <w:tblW w:w="0" w:type="auto"/>
          <w:tblInd w:w="143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7"/>
        </w:trPr>
        <w:tc>
          <w:tcPr>
            <w:tcW w:w="9309" w:type="dxa"/>
            <w:gridSpan w:val="2"/>
            <w:tcBorders>
              <w:bottom w:val="double" w:sz="6" w:space="0" w:color="000000"/>
            </w:tcBorders>
            <w:shd w:val="clear" w:color="auto" w:fill="FFFFFF"/>
          </w:tcPr>
          <w:p w:rsidR="000236EB" w:rsidRPr="00132C17" w14:paraId="6F343621" w14:textId="77777777">
            <w:pPr>
              <w:pStyle w:val="TableParagraph"/>
              <w:ind w:left="37"/>
              <w:rPr>
                <w:b/>
                <w:sz w:val="15"/>
              </w:rPr>
            </w:pPr>
            <w:r w:rsidRPr="00132C17">
              <w:rPr>
                <w:b/>
                <w:sz w:val="15"/>
              </w:rPr>
              <w:t xml:space="preserve">Certification: By signing this report, I certify that it is true, complete, and accurate to the best of my </w:t>
            </w:r>
            <w:r w:rsidRPr="00132C17">
              <w:rPr>
                <w:b/>
                <w:spacing w:val="-2"/>
                <w:sz w:val="15"/>
              </w:rPr>
              <w:t>knowledge.</w:t>
            </w:r>
          </w:p>
          <w:p w:rsidR="000236EB" w:rsidRPr="00132C17" w14:paraId="6F343622" w14:textId="5908F06C">
            <w:pPr>
              <w:pStyle w:val="TableParagraph"/>
              <w:spacing w:before="0"/>
              <w:ind w:left="37" w:right="45"/>
              <w:rPr>
                <w:b/>
                <w:sz w:val="15"/>
              </w:rPr>
            </w:pPr>
            <w:r w:rsidRPr="00132C17">
              <w:rPr>
                <w:b/>
                <w:sz w:val="15"/>
              </w:rPr>
              <w:t>I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am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aware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that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any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false,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fictitious,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or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fraudulent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information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may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subject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me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to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criminal,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civil,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or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administrative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 w:rsidR="00B13591">
              <w:rPr>
                <w:b/>
                <w:sz w:val="15"/>
              </w:rPr>
              <w:t>penalties</w:t>
            </w:r>
            <w:r w:rsidRPr="00132C17">
              <w:rPr>
                <w:b/>
                <w:sz w:val="15"/>
              </w:rPr>
              <w:t>.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(U.S.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Code,</w:t>
            </w:r>
            <w:r w:rsidRPr="00132C17">
              <w:rPr>
                <w:b/>
                <w:spacing w:val="-2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Title</w:t>
            </w:r>
            <w:r w:rsidRPr="00132C17">
              <w:rPr>
                <w:b/>
                <w:spacing w:val="40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18, Section 1001)</w:t>
            </w:r>
          </w:p>
        </w:tc>
      </w:tr>
      <w:tr w14:paraId="6F343626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418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0236EB" w:rsidRPr="00132C17" w14:paraId="6F343624" w14:textId="44F5C7B8">
            <w:pPr>
              <w:pStyle w:val="TableParagraph"/>
              <w:ind w:left="37"/>
              <w:rPr>
                <w:sz w:val="15"/>
              </w:rPr>
            </w:pPr>
            <w:r w:rsidRPr="00132C17">
              <w:rPr>
                <w:b/>
                <w:sz w:val="15"/>
              </w:rPr>
              <w:t>a. Name of Authorized Official:</w:t>
            </w:r>
            <w:r w:rsidRPr="00132C17">
              <w:rPr>
                <w:b/>
                <w:spacing w:val="37"/>
                <w:sz w:val="15"/>
              </w:rPr>
              <w:t xml:space="preserve"> </w:t>
            </w:r>
          </w:p>
        </w:tc>
        <w:tc>
          <w:tcPr>
            <w:tcW w:w="512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FFF"/>
          </w:tcPr>
          <w:p w:rsidR="000236EB" w:rsidRPr="00132C17" w14:paraId="6F343625" w14:textId="77777777">
            <w:pPr>
              <w:pStyle w:val="TableParagraph"/>
              <w:ind w:left="37"/>
              <w:rPr>
                <w:b/>
                <w:sz w:val="15"/>
              </w:rPr>
            </w:pPr>
            <w:r w:rsidRPr="00132C17">
              <w:rPr>
                <w:b/>
                <w:sz w:val="15"/>
              </w:rPr>
              <w:t xml:space="preserve">d. </w:t>
            </w:r>
            <w:r w:rsidRPr="00132C17">
              <w:rPr>
                <w:b/>
                <w:spacing w:val="-2"/>
                <w:sz w:val="15"/>
              </w:rPr>
              <w:t>Telephone:</w:t>
            </w:r>
          </w:p>
        </w:tc>
      </w:tr>
      <w:tr w14:paraId="6F343629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418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:rsidR="000236EB" w:rsidRPr="00132C17" w14:paraId="6F343627" w14:textId="77777777">
            <w:pPr>
              <w:pStyle w:val="TableParagraph"/>
              <w:ind w:left="37"/>
              <w:rPr>
                <w:b/>
                <w:sz w:val="15"/>
              </w:rPr>
            </w:pPr>
            <w:r w:rsidRPr="00132C17">
              <w:rPr>
                <w:b/>
                <w:sz w:val="15"/>
              </w:rPr>
              <w:t xml:space="preserve">b. Title of Authorized </w:t>
            </w:r>
            <w:r w:rsidRPr="00132C17">
              <w:rPr>
                <w:b/>
                <w:spacing w:val="-2"/>
                <w:sz w:val="15"/>
              </w:rPr>
              <w:t>Official:</w:t>
            </w:r>
          </w:p>
        </w:tc>
        <w:tc>
          <w:tcPr>
            <w:tcW w:w="512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FFF"/>
          </w:tcPr>
          <w:p w:rsidR="000236EB" w:rsidRPr="00132C17" w14:paraId="6F343628" w14:textId="5806CAD4">
            <w:pPr>
              <w:pStyle w:val="TableParagraph"/>
              <w:ind w:left="37"/>
              <w:rPr>
                <w:b/>
                <w:sz w:val="15"/>
              </w:rPr>
            </w:pPr>
            <w:r w:rsidRPr="00132C17">
              <w:rPr>
                <w:b/>
                <w:sz w:val="15"/>
              </w:rPr>
              <w:t>e. Email address:</w:t>
            </w:r>
            <w:r w:rsidRPr="00132C17">
              <w:rPr>
                <w:b/>
                <w:spacing w:val="37"/>
                <w:sz w:val="15"/>
              </w:rPr>
              <w:t xml:space="preserve"> </w:t>
            </w:r>
          </w:p>
        </w:tc>
      </w:tr>
      <w:tr w14:paraId="6F34362C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4"/>
        </w:trPr>
        <w:tc>
          <w:tcPr>
            <w:tcW w:w="4189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FFFFFF"/>
          </w:tcPr>
          <w:p w:rsidR="000236EB" w:rsidRPr="00132C17" w14:paraId="6F34362A" w14:textId="1CBE9FD7">
            <w:pPr>
              <w:pStyle w:val="TableParagraph"/>
              <w:spacing w:before="30"/>
              <w:ind w:left="37"/>
              <w:rPr>
                <w:b/>
                <w:sz w:val="15"/>
              </w:rPr>
            </w:pPr>
            <w:r w:rsidRPr="00132C17">
              <w:rPr>
                <w:b/>
                <w:sz w:val="15"/>
              </w:rPr>
              <w:t>c.</w:t>
            </w:r>
            <w:r w:rsidRPr="00132C17">
              <w:rPr>
                <w:b/>
                <w:spacing w:val="-1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Signature</w:t>
            </w:r>
            <w:r w:rsidRPr="00132C17">
              <w:rPr>
                <w:b/>
                <w:spacing w:val="-1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of</w:t>
            </w:r>
            <w:r w:rsidRPr="00132C17">
              <w:rPr>
                <w:b/>
                <w:spacing w:val="-1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Authorized</w:t>
            </w:r>
            <w:r w:rsidRPr="00132C17">
              <w:rPr>
                <w:b/>
                <w:spacing w:val="-1"/>
                <w:sz w:val="15"/>
              </w:rPr>
              <w:t xml:space="preserve"> </w:t>
            </w:r>
            <w:r w:rsidRPr="00132C17">
              <w:rPr>
                <w:b/>
                <w:sz w:val="15"/>
              </w:rPr>
              <w:t>Official:</w:t>
            </w:r>
            <w:r w:rsidRPr="00132C17">
              <w:rPr>
                <w:b/>
                <w:spacing w:val="-1"/>
                <w:sz w:val="15"/>
              </w:rPr>
              <w:t xml:space="preserve"> </w:t>
            </w:r>
          </w:p>
        </w:tc>
        <w:tc>
          <w:tcPr>
            <w:tcW w:w="5120" w:type="dxa"/>
            <w:tcBorders>
              <w:top w:val="double" w:sz="6" w:space="0" w:color="000000"/>
              <w:left w:val="double" w:sz="6" w:space="0" w:color="000000"/>
            </w:tcBorders>
            <w:shd w:val="clear" w:color="auto" w:fill="FFFFFF"/>
          </w:tcPr>
          <w:p w:rsidR="000236EB" w:rsidRPr="00132C17" w14:paraId="6F34362B" w14:textId="17A00B0C">
            <w:pPr>
              <w:pStyle w:val="TableParagraph"/>
              <w:ind w:left="37"/>
              <w:rPr>
                <w:b/>
                <w:sz w:val="15"/>
              </w:rPr>
            </w:pPr>
            <w:r w:rsidRPr="00132C17">
              <w:rPr>
                <w:b/>
                <w:sz w:val="15"/>
              </w:rPr>
              <w:t xml:space="preserve">f. Date </w:t>
            </w:r>
            <w:r w:rsidRPr="00132C17">
              <w:rPr>
                <w:b/>
                <w:spacing w:val="-2"/>
                <w:sz w:val="15"/>
              </w:rPr>
              <w:t>Submitted:</w:t>
            </w:r>
          </w:p>
        </w:tc>
      </w:tr>
    </w:tbl>
    <w:p w:rsidR="000236EB" w:rsidRPr="00132C17" w14:paraId="6F34362D" w14:textId="77777777">
      <w:pPr>
        <w:pStyle w:val="BodyText"/>
        <w:rPr>
          <w:rFonts w:ascii="Arial"/>
        </w:rPr>
      </w:pPr>
    </w:p>
    <w:p w:rsidR="000236EB" w:rsidRPr="00132C17" w14:paraId="6F34362E" w14:textId="77777777">
      <w:pPr>
        <w:pStyle w:val="BodyText"/>
        <w:rPr>
          <w:rFonts w:ascii="Arial"/>
        </w:rPr>
      </w:pPr>
    </w:p>
    <w:p w:rsidR="000236EB" w:rsidRPr="00132C17" w14:paraId="6F34362F" w14:textId="77777777">
      <w:pPr>
        <w:pStyle w:val="BodyText"/>
        <w:rPr>
          <w:rFonts w:ascii="Arial"/>
        </w:rPr>
      </w:pPr>
    </w:p>
    <w:p w:rsidR="000236EB" w:rsidRPr="00132C17" w14:paraId="6F343630" w14:textId="77777777">
      <w:pPr>
        <w:pStyle w:val="BodyText"/>
        <w:rPr>
          <w:rFonts w:ascii="Arial"/>
        </w:rPr>
      </w:pPr>
    </w:p>
    <w:p w:rsidR="000236EB" w:rsidRPr="00132C17" w14:paraId="6F343631" w14:textId="77777777">
      <w:pPr>
        <w:pStyle w:val="BodyText"/>
        <w:rPr>
          <w:rFonts w:ascii="Arial"/>
        </w:rPr>
      </w:pPr>
    </w:p>
    <w:p w:rsidR="000236EB" w:rsidRPr="00132C17" w14:paraId="6F343632" w14:textId="77777777">
      <w:pPr>
        <w:pStyle w:val="BodyText"/>
        <w:rPr>
          <w:rFonts w:ascii="Arial"/>
        </w:rPr>
      </w:pPr>
    </w:p>
    <w:p w:rsidR="000236EB" w:rsidRPr="00132C17" w14:paraId="6F343633" w14:textId="77777777">
      <w:pPr>
        <w:pStyle w:val="BodyText"/>
        <w:rPr>
          <w:rFonts w:ascii="Arial"/>
        </w:rPr>
      </w:pPr>
    </w:p>
    <w:p w:rsidR="000236EB" w:rsidRPr="00132C17" w14:paraId="6F343634" w14:textId="77777777">
      <w:pPr>
        <w:pStyle w:val="BodyText"/>
        <w:rPr>
          <w:rFonts w:ascii="Arial"/>
        </w:rPr>
      </w:pPr>
    </w:p>
    <w:p w:rsidR="000236EB" w:rsidRPr="00132C17" w14:paraId="6F343635" w14:textId="77777777">
      <w:pPr>
        <w:pStyle w:val="BodyText"/>
        <w:rPr>
          <w:rFonts w:ascii="Arial"/>
        </w:rPr>
      </w:pPr>
    </w:p>
    <w:p w:rsidR="000236EB" w:rsidRPr="00132C17" w14:paraId="6F343636" w14:textId="77777777">
      <w:pPr>
        <w:pStyle w:val="BodyText"/>
        <w:spacing w:before="34"/>
        <w:rPr>
          <w:rFonts w:ascii="Arial"/>
        </w:rPr>
      </w:pPr>
    </w:p>
    <w:p w:rsidR="000236EB" w14:paraId="6F343637" w14:textId="77777777">
      <w:pPr>
        <w:jc w:val="center"/>
        <w:rPr>
          <w:rFonts w:ascii="Arial"/>
          <w:sz w:val="24"/>
        </w:rPr>
      </w:pPr>
      <w:r w:rsidRPr="00132C17">
        <w:rPr>
          <w:rFonts w:ascii="Arial"/>
          <w:sz w:val="24"/>
        </w:rPr>
        <w:t xml:space="preserve">Page 1 of </w:t>
      </w:r>
      <w:r w:rsidRPr="00132C17">
        <w:rPr>
          <w:rFonts w:ascii="Arial"/>
          <w:spacing w:val="-10"/>
          <w:sz w:val="24"/>
        </w:rPr>
        <w:t>1</w:t>
      </w:r>
    </w:p>
    <w:sectPr>
      <w:type w:val="continuous"/>
      <w:pgSz w:w="11900" w:h="16840"/>
      <w:pgMar w:top="800" w:right="1160" w:bottom="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EB"/>
    <w:rsid w:val="00014394"/>
    <w:rsid w:val="00022C49"/>
    <w:rsid w:val="000236EB"/>
    <w:rsid w:val="00031A95"/>
    <w:rsid w:val="00056729"/>
    <w:rsid w:val="00070789"/>
    <w:rsid w:val="00075DF0"/>
    <w:rsid w:val="00080C95"/>
    <w:rsid w:val="00097532"/>
    <w:rsid w:val="000B6433"/>
    <w:rsid w:val="00132C17"/>
    <w:rsid w:val="001354AD"/>
    <w:rsid w:val="00146E5C"/>
    <w:rsid w:val="00163129"/>
    <w:rsid w:val="00171516"/>
    <w:rsid w:val="00171D5B"/>
    <w:rsid w:val="001763F3"/>
    <w:rsid w:val="001949A7"/>
    <w:rsid w:val="00197CCC"/>
    <w:rsid w:val="001A2D34"/>
    <w:rsid w:val="001C42E2"/>
    <w:rsid w:val="001F4DE6"/>
    <w:rsid w:val="001F5445"/>
    <w:rsid w:val="0020028A"/>
    <w:rsid w:val="00244676"/>
    <w:rsid w:val="0024492F"/>
    <w:rsid w:val="0026160D"/>
    <w:rsid w:val="00265A0A"/>
    <w:rsid w:val="00270AD5"/>
    <w:rsid w:val="00272460"/>
    <w:rsid w:val="0029652D"/>
    <w:rsid w:val="00296915"/>
    <w:rsid w:val="002C1ADB"/>
    <w:rsid w:val="002E40E0"/>
    <w:rsid w:val="002F760E"/>
    <w:rsid w:val="00366290"/>
    <w:rsid w:val="00373DAF"/>
    <w:rsid w:val="003962B7"/>
    <w:rsid w:val="003A48B3"/>
    <w:rsid w:val="003A5DE3"/>
    <w:rsid w:val="003B2B46"/>
    <w:rsid w:val="003B44AE"/>
    <w:rsid w:val="003C5201"/>
    <w:rsid w:val="003E05DF"/>
    <w:rsid w:val="003E4BC7"/>
    <w:rsid w:val="003E4D69"/>
    <w:rsid w:val="00440753"/>
    <w:rsid w:val="00454DB8"/>
    <w:rsid w:val="00461A99"/>
    <w:rsid w:val="00477152"/>
    <w:rsid w:val="004F7419"/>
    <w:rsid w:val="00501767"/>
    <w:rsid w:val="0054130E"/>
    <w:rsid w:val="00542699"/>
    <w:rsid w:val="00562AC6"/>
    <w:rsid w:val="005665CD"/>
    <w:rsid w:val="005828DB"/>
    <w:rsid w:val="00585C92"/>
    <w:rsid w:val="005A2DA7"/>
    <w:rsid w:val="005A7777"/>
    <w:rsid w:val="005E1978"/>
    <w:rsid w:val="006056CF"/>
    <w:rsid w:val="006230D3"/>
    <w:rsid w:val="00667974"/>
    <w:rsid w:val="0067575F"/>
    <w:rsid w:val="0067698A"/>
    <w:rsid w:val="0067703A"/>
    <w:rsid w:val="006A036C"/>
    <w:rsid w:val="006A0862"/>
    <w:rsid w:val="006A1CA2"/>
    <w:rsid w:val="006B10E7"/>
    <w:rsid w:val="006B35C0"/>
    <w:rsid w:val="006E07AB"/>
    <w:rsid w:val="006E3E67"/>
    <w:rsid w:val="00735043"/>
    <w:rsid w:val="00753F53"/>
    <w:rsid w:val="007625F4"/>
    <w:rsid w:val="007A32A4"/>
    <w:rsid w:val="007C79D8"/>
    <w:rsid w:val="007D0DAD"/>
    <w:rsid w:val="007E03D7"/>
    <w:rsid w:val="007E3AAD"/>
    <w:rsid w:val="007E5F95"/>
    <w:rsid w:val="007F1738"/>
    <w:rsid w:val="00810806"/>
    <w:rsid w:val="00822E9D"/>
    <w:rsid w:val="0083419A"/>
    <w:rsid w:val="00847828"/>
    <w:rsid w:val="0085006D"/>
    <w:rsid w:val="008509CB"/>
    <w:rsid w:val="008540C9"/>
    <w:rsid w:val="008A4961"/>
    <w:rsid w:val="008A70DF"/>
    <w:rsid w:val="008B316E"/>
    <w:rsid w:val="008E5AE6"/>
    <w:rsid w:val="008F093C"/>
    <w:rsid w:val="009113B6"/>
    <w:rsid w:val="009130D6"/>
    <w:rsid w:val="0093327D"/>
    <w:rsid w:val="0094448A"/>
    <w:rsid w:val="00953724"/>
    <w:rsid w:val="00971F33"/>
    <w:rsid w:val="009862D4"/>
    <w:rsid w:val="009A0E86"/>
    <w:rsid w:val="009B5C8B"/>
    <w:rsid w:val="009C3FD5"/>
    <w:rsid w:val="009D69A9"/>
    <w:rsid w:val="009E59E4"/>
    <w:rsid w:val="009E7335"/>
    <w:rsid w:val="00A00202"/>
    <w:rsid w:val="00A042AE"/>
    <w:rsid w:val="00A22F56"/>
    <w:rsid w:val="00A40CC2"/>
    <w:rsid w:val="00A449C9"/>
    <w:rsid w:val="00A95104"/>
    <w:rsid w:val="00A96D11"/>
    <w:rsid w:val="00AC2A71"/>
    <w:rsid w:val="00AC774A"/>
    <w:rsid w:val="00AD6C01"/>
    <w:rsid w:val="00AF0AD9"/>
    <w:rsid w:val="00B01173"/>
    <w:rsid w:val="00B13591"/>
    <w:rsid w:val="00B23F87"/>
    <w:rsid w:val="00B76CD6"/>
    <w:rsid w:val="00B836EA"/>
    <w:rsid w:val="00B9756C"/>
    <w:rsid w:val="00BA1A36"/>
    <w:rsid w:val="00BC2759"/>
    <w:rsid w:val="00BE3A80"/>
    <w:rsid w:val="00BE3C10"/>
    <w:rsid w:val="00C00573"/>
    <w:rsid w:val="00C01963"/>
    <w:rsid w:val="00C366D1"/>
    <w:rsid w:val="00C42604"/>
    <w:rsid w:val="00C50705"/>
    <w:rsid w:val="00C775E0"/>
    <w:rsid w:val="00C8761F"/>
    <w:rsid w:val="00CC57E4"/>
    <w:rsid w:val="00CE7260"/>
    <w:rsid w:val="00CF621A"/>
    <w:rsid w:val="00D0009F"/>
    <w:rsid w:val="00D012E0"/>
    <w:rsid w:val="00D02F57"/>
    <w:rsid w:val="00D37EBF"/>
    <w:rsid w:val="00D512A6"/>
    <w:rsid w:val="00D74FEE"/>
    <w:rsid w:val="00D863D4"/>
    <w:rsid w:val="00DA4D7B"/>
    <w:rsid w:val="00DC5F8C"/>
    <w:rsid w:val="00DC6F69"/>
    <w:rsid w:val="00DD2B63"/>
    <w:rsid w:val="00E078E7"/>
    <w:rsid w:val="00E10B33"/>
    <w:rsid w:val="00E24EED"/>
    <w:rsid w:val="00E3359B"/>
    <w:rsid w:val="00E74B08"/>
    <w:rsid w:val="00EE3DC7"/>
    <w:rsid w:val="00EF421F"/>
    <w:rsid w:val="00F07ED2"/>
    <w:rsid w:val="00F238E4"/>
    <w:rsid w:val="00F375B9"/>
    <w:rsid w:val="00F477EA"/>
    <w:rsid w:val="00F6049D"/>
    <w:rsid w:val="00F64420"/>
    <w:rsid w:val="00F65AF8"/>
    <w:rsid w:val="00F73E95"/>
    <w:rsid w:val="00F74440"/>
    <w:rsid w:val="00FE6382"/>
    <w:rsid w:val="00FF1AD1"/>
    <w:rsid w:val="00FF2C07"/>
    <w:rsid w:val="0B7B59B0"/>
    <w:rsid w:val="504B70B8"/>
    <w:rsid w:val="56CEC01C"/>
    <w:rsid w:val="56DBB6C9"/>
    <w:rsid w:val="5F41BD1D"/>
    <w:rsid w:val="63623AE2"/>
    <w:rsid w:val="6C180F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3435DD"/>
  <w15:docId w15:val="{1B7D6F84-AA34-457B-B16E-13DA95D4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</w:pPr>
  </w:style>
  <w:style w:type="paragraph" w:styleId="Revision">
    <w:name w:val="Revision"/>
    <w:hidden/>
    <w:uiPriority w:val="99"/>
    <w:semiHidden/>
    <w:rsid w:val="00B13591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13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5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59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59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A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3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cb4069-6e6f-497d-a4da-ecff6af4d9e3" xsi:nil="true"/>
    <lcf76f155ced4ddcb4097134ff3c332f xmlns="e2b2df08-7899-459a-974a-ad901449e6dc">
      <Terms xmlns="http://schemas.microsoft.com/office/infopath/2007/PartnerControls"/>
    </lcf76f155ced4ddcb4097134ff3c332f>
    <V3Comments xmlns="e2b2df08-7899-459a-974a-ad901449e6dc">This is the CRR's template for submission to OMB.</V3Comments>
    <Lead_x0020_POC xmlns="e2b2df08-7899-459a-974a-ad901449e6dc">
      <UserInfo>
        <DisplayName>Edelman, Peter (ACF)</DisplayName>
        <AccountId>62</AccountId>
        <AccountType/>
      </UserInfo>
    </Lead_x0020_POC>
    <Completed_x003f_ xmlns="e2b2df08-7899-459a-974a-ad901449e6dc">No</Completed_x003f_>
    <Mailed_x0020_Out_x0020_Date xmlns="e2b2df08-7899-459a-974a-ad901449e6dc" xsi:nil="true"/>
    <Currently_x0020_Tasked_x0020_To xmlns="e2b2df08-7899-459a-974a-ad901449e6dc">
      <UserInfo>
        <DisplayName/>
        <AccountId xsi:nil="true"/>
        <AccountType/>
      </UserInfo>
    </Currently_x0020_Tasked_x0020_To>
    <Division xmlns="e2b2df08-7899-459a-974a-ad901449e6dc">DEA</Division>
    <Posted_x0020_Online_x0020_Date xmlns="e2b2df08-7899-459a-974a-ad901449e6dc" xsi:nil="true"/>
    <Program xmlns="e2b2df08-7899-459a-974a-ad901449e6dc">LIHEAP</Program>
    <Link_x0020_to_x0020_Current_x0020_Task xmlns="e2b2df08-7899-459a-974a-ad901449e6dc">
      <Url xsi:nil="true"/>
      <Description xsi:nil="true"/>
    </Link_x0020_to_x0020_Current_x0020_Task>
    <Type_x0020_of_x0020_Doc xmlns="e2b2df08-7899-459a-974a-ad901449e6dc">Federal Register Notices</Type_x0020_of_x0020_Doc>
    <Tracking_x0020_Number xmlns="e2b2df08-7899-459a-974a-ad901449e6dc" xsi:nil="true"/>
    <Fiscal_x0020_Year xmlns="e2b2df08-7899-459a-974a-ad901449e6dc">2025</Fiscal_x0020_Year>
    <Notes0 xmlns="e2b2df08-7899-459a-974a-ad901449e6dc" xsi:nil="true"/>
    <Due_x0020_Date xmlns="e2b2df08-7899-459a-974a-ad901449e6dc" xsi:nil="true"/>
    <_dlc_DocIdPersistId xmlns="44cb4069-6e6f-497d-a4da-ecff6af4d9e3" xsi:nil="true"/>
    <Hard_x0020_Copy_x0020_Returned_x0020_to_x0020_Division xmlns="e2b2df08-7899-459a-974a-ad901449e6dc" xsi:nil="true"/>
    <Hard_x0020_Copy_x0020_Received_x0020_by_x0020_OD xmlns="e2b2df08-7899-459a-974a-ad901449e6dc" xsi:nil="true"/>
    <_dlc_DocId xmlns="44cb4069-6e6f-497d-a4da-ecff6af4d9e3">ND4KV3KJYZ4J-409792252-10299</_dlc_DocId>
    <_dlc_DocIdUrl xmlns="44cb4069-6e6f-497d-a4da-ecff6af4d9e3">
      <Url>https://hhsgov.sharepoint.com/sites/OCS/fota/DAP2/_layouts/15/DocIdRedir.aspx?ID=ND4KV3KJYZ4J-409792252-10299</Url>
      <Description>ND4KV3KJYZ4J-409792252-10299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520BA780E234E9C4675C2B6B4C065" ma:contentTypeVersion="45" ma:contentTypeDescription="Create a new document." ma:contentTypeScope="" ma:versionID="c028c5081bed9536b6449fc767be3694">
  <xsd:schema xmlns:xsd="http://www.w3.org/2001/XMLSchema" xmlns:xs="http://www.w3.org/2001/XMLSchema" xmlns:p="http://schemas.microsoft.com/office/2006/metadata/properties" xmlns:ns2="e2b2df08-7899-459a-974a-ad901449e6dc" xmlns:ns3="44cb4069-6e6f-497d-a4da-ecff6af4d9e3" targetNamespace="http://schemas.microsoft.com/office/2006/metadata/properties" ma:root="true" ma:fieldsID="61833c42751df245437d793a9643212c" ns2:_="" ns3:_="">
    <xsd:import namespace="e2b2df08-7899-459a-974a-ad901449e6dc"/>
    <xsd:import namespace="44cb4069-6e6f-497d-a4da-ecff6af4d9e3"/>
    <xsd:element name="properties">
      <xsd:complexType>
        <xsd:sequence>
          <xsd:element name="documentManagement">
            <xsd:complexType>
              <xsd:all>
                <xsd:element ref="ns2:Lead_x0020_POC"/>
                <xsd:element ref="ns2:Division"/>
                <xsd:element ref="ns2:Program"/>
                <xsd:element ref="ns2:Fiscal_x0020_Year"/>
                <xsd:element ref="ns2:Type_x0020_of_x0020_Doc"/>
                <xsd:element ref="ns2:Hard_x0020_Copy_x0020_Received_x0020_by_x0020_OD" minOccurs="0"/>
                <xsd:element ref="ns2:Hard_x0020_Copy_x0020_Returned_x0020_to_x0020_Division" minOccurs="0"/>
                <xsd:element ref="ns2:Completed_x003f_" minOccurs="0"/>
                <xsd:element ref="ns2:Tracking_x0020_Number" minOccurs="0"/>
                <xsd:element ref="ns2:Notes0" minOccurs="0"/>
                <xsd:element ref="ns2:Currently_x0020_Tasked_x0020_To" minOccurs="0"/>
                <xsd:element ref="ns2:Link_x0020_to_x0020_Current_x0020_Task" minOccurs="0"/>
                <xsd:element ref="ns2:Due_x0020_Date" minOccurs="0"/>
                <xsd:element ref="ns2:Mailed_x0020_Out_x0020_Date" minOccurs="0"/>
                <xsd:element ref="ns2:Posted_x0020_Online_x0020_Date" minOccurs="0"/>
                <xsd:element ref="ns2:V3Comme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2df08-7899-459a-974a-ad901449e6dc" elementFormDefault="qualified">
    <xsd:import namespace="http://schemas.microsoft.com/office/2006/documentManagement/types"/>
    <xsd:import namespace="http://schemas.microsoft.com/office/infopath/2007/PartnerControls"/>
    <xsd:element name="Lead_x0020_POC" ma:index="1" ma:displayName="Lead POC" ma:description="Main Lead and Point of Contact for this Document Set." ma:list="UserInfo" ma:SharePointGroup="0" ma:internalName="Lead_x0020_POC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vision" ma:index="2" ma:displayName="Division" ma:format="Dropdown" ma:indexed="true" ma:internalName="Division" ma:readOnly="false">
      <xsd:simpleType>
        <xsd:restriction base="dms:Choice">
          <xsd:enumeration value="OCS"/>
          <xsd:enumeration value="DCA"/>
          <xsd:enumeration value="DCDDP"/>
          <xsd:enumeration value="DEA"/>
          <xsd:enumeration value="DSS"/>
          <xsd:enumeration value="OD"/>
        </xsd:restriction>
      </xsd:simpleType>
    </xsd:element>
    <xsd:element name="Program" ma:index="3" ma:displayName="Program" ma:format="Dropdown" ma:internalName="Program" ma:readOnly="false">
      <xsd:simpleType>
        <xsd:restriction base="dms:Choice">
          <xsd:enumeration value="All"/>
          <xsd:enumeration value="AFI"/>
          <xsd:enumeration value="AHSSD"/>
          <xsd:enumeration value="CED"/>
          <xsd:enumeration value="CED/RCD"/>
          <xsd:enumeration value="CSBG"/>
          <xsd:enumeration value="DDDRP"/>
          <xsd:enumeration value="LIHEAP"/>
          <xsd:enumeration value="LIHWAP"/>
          <xsd:enumeration value="MLP"/>
          <xsd:enumeration value="RCD"/>
          <xsd:enumeration value="SSBG"/>
        </xsd:restriction>
      </xsd:simpleType>
    </xsd:element>
    <xsd:element name="Fiscal_x0020_Year" ma:index="4" ma:displayName="Fiscal Year" ma:format="Dropdown" ma:indexed="true" ma:internalName="Fiscal_x0020_Year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Type_x0020_of_x0020_Doc" ma:index="5" ma:displayName="Type of Doc" ma:format="Dropdown" ma:indexed="true" ma:internalName="Type_x0020_of_x0020_Doc" ma:readOnly="false">
      <xsd:simpleType>
        <xsd:restriction base="dms:Choice">
          <xsd:enumeration value="Action Transmittal"/>
          <xsd:enumeration value="Conference Materials"/>
          <xsd:enumeration value="Congressional Report"/>
          <xsd:enumeration value="Dear Colleague Letters"/>
          <xsd:enumeration value="Decision Memo"/>
          <xsd:enumeration value="Deviation Memo"/>
          <xsd:enumeration value="Disallowance"/>
          <xsd:enumeration value="Federal Register Notices"/>
          <xsd:enumeration value="Federal Review"/>
          <xsd:enumeration value="FOAs-Funding Opportunity Announcements"/>
          <xsd:enumeration value="Funding Decision Memo"/>
          <xsd:enumeration value="GAO - Government Accounting Office Responses"/>
          <xsd:enumeration value="Home Energy Notebook"/>
          <xsd:enumeration value="IM-Information Memorandum"/>
          <xsd:enumeration value="MOU-Memorandums of Understanding"/>
          <xsd:enumeration value="Monitoring Report"/>
          <xsd:enumeration value="Non-SWIFT Correspondence"/>
          <xsd:enumeration value="OIG Reponses"/>
          <xsd:enumeration value="Planning and Budget"/>
          <xsd:enumeration value="Public Communications"/>
          <xsd:enumeration value="Test Document"/>
          <xsd:enumeration value="Waiver Letters"/>
        </xsd:restriction>
      </xsd:simpleType>
    </xsd:element>
    <xsd:element name="Hard_x0020_Copy_x0020_Received_x0020_by_x0020_OD" ma:index="6" nillable="true" ma:displayName="Hard Copy Received by OD" ma:description="The date OD received a Hard Copy for OCS Director signature." ma:format="DateOnly" ma:internalName="Hard_x0020_Copy_x0020_Received_x0020_by_x0020_OD" ma:readOnly="false">
      <xsd:simpleType>
        <xsd:restriction base="dms:DateTime"/>
      </xsd:simpleType>
    </xsd:element>
    <xsd:element name="Hard_x0020_Copy_x0020_Returned_x0020_to_x0020_Division" ma:index="7" nillable="true" ma:displayName="Hard Copy Returned to Division" ma:description="The date OD returned the signed Hard Copy to the Program Division." ma:format="DateOnly" ma:internalName="Hard_x0020_Copy_x0020_Returned_x0020_to_x0020_Division" ma:readOnly="false">
      <xsd:simpleType>
        <xsd:restriction base="dms:DateTime"/>
      </xsd:simpleType>
    </xsd:element>
    <xsd:element name="Completed_x003f_" ma:index="8" nillable="true" ma:displayName="Completed?" ma:default="No" ma:description="Items marked as completed will be hidden from the default view." ma:format="Dropdown" ma:indexed="true" ma:internalName="Completed_x003f_" ma:readOnly="false">
      <xsd:simpleType>
        <xsd:restriction base="dms:Choice">
          <xsd:enumeration value="No"/>
          <xsd:enumeration value="Yes"/>
        </xsd:restriction>
      </xsd:simpleType>
    </xsd:element>
    <xsd:element name="Tracking_x0020_Number" ma:index="9" nillable="true" ma:displayName="Tracking Number" ma:hidden="true" ma:indexed="true" ma:internalName="Tracking_x0020_Number" ma:readOnly="false" ma:percentage="FALSE">
      <xsd:simpleType>
        <xsd:restriction base="dms:Number"/>
      </xsd:simpleType>
    </xsd:element>
    <xsd:element name="Notes0" ma:index="10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Currently_x0020_Tasked_x0020_To" ma:index="18" nillable="true" ma:displayName="Currently Tasked To" ma:hidden="true" ma:list="UserInfo" ma:SearchPeopleOnly="false" ma:SharePointGroup="0" ma:internalName="Currently_x0020_Task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_x0020_to_x0020_Current_x0020_Task" ma:index="19" nillable="true" ma:displayName="Link to Current Task" ma:format="Hyperlink" ma:hidden="true" ma:internalName="Link_x0020_to_x0020_Current_x0020_Tas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ue_x0020_Date" ma:index="20" nillable="true" ma:displayName="Due Date" ma:format="DateOnly" ma:hidden="true" ma:internalName="Due_x0020_Date" ma:readOnly="false">
      <xsd:simpleType>
        <xsd:restriction base="dms:DateTime"/>
      </xsd:simpleType>
    </xsd:element>
    <xsd:element name="Mailed_x0020_Out_x0020_Date" ma:index="21" nillable="true" ma:displayName="Mailed Out Date" ma:format="DateOnly" ma:internalName="Mailed_x0020_Out_x0020_Date" ma:readOnly="false">
      <xsd:simpleType>
        <xsd:restriction base="dms:DateTime"/>
      </xsd:simpleType>
    </xsd:element>
    <xsd:element name="Posted_x0020_Online_x0020_Date" ma:index="22" nillable="true" ma:displayName="Posted Online Date" ma:format="DateOnly" ma:indexed="true" ma:internalName="Posted_x0020_Online_x0020_Date" ma:readOnly="false">
      <xsd:simpleType>
        <xsd:restriction base="dms:DateTime"/>
      </xsd:simpleType>
    </xsd:element>
    <xsd:element name="V3Comments" ma:index="23" nillable="true" ma:displayName="Append-Only Comments" ma:internalName="Append_x002d_Only_x0020_Comments" ma:readOnly="false">
      <xsd:simpleType>
        <xsd:restriction base="dms:Note">
          <xsd:maxLength value="255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b4069-6e6f-497d-a4da-ecff6af4d9e3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33" nillable="true" ma:displayName="Taxonomy Catch All Column" ma:hidden="true" ma:list="{498b8b9d-e50c-4c7a-b242-ad64808e18fa}" ma:internalName="TaxCatchAll" ma:showField="CatchAllData" ma:web="44cb4069-6e6f-497d-a4da-ecff6af4d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3A27CC-B2A0-4269-8759-77EF07072321}">
  <ds:schemaRefs>
    <ds:schemaRef ds:uri="e2b2df08-7899-459a-974a-ad901449e6dc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44cb4069-6e6f-497d-a4da-ecff6af4d9e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4158869-43B7-44F6-85DB-EE713C84F401}">
  <ds:schemaRefs/>
</ds:datastoreItem>
</file>

<file path=customXml/itemProps3.xml><?xml version="1.0" encoding="utf-8"?>
<ds:datastoreItem xmlns:ds="http://schemas.openxmlformats.org/officeDocument/2006/customXml" ds:itemID="{09AF0F0E-65ED-4F6A-9F8D-D41E4C72F5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5D2C68-74FF-440E-9C4D-D65717AEE5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Carryover and Reallotment Report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Carryover and Reallotment Report</dc:title>
  <dc:subject>Carryover and Reallotment Report</dc:subject>
  <dc:creator>OLDC (InForm)</dc:creator>
  <cp:keywords>OLDC InForm GrantSolutions</cp:keywords>
  <cp:lastModifiedBy>Jones, Heather (ACF)</cp:lastModifiedBy>
  <cp:revision>24</cp:revision>
  <dcterms:created xsi:type="dcterms:W3CDTF">2024-12-20T19:41:00Z</dcterms:created>
  <dcterms:modified xsi:type="dcterms:W3CDTF">2025-01-29T21:26:00Z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0x0101001FC520BA780E234E9C4675C2B6B4C065</vt:lpwstr>
  </property>
  <property fmtid="{D5CDD505-2E9C-101B-9397-08002B2CF9AE}" pid="3" name="Created">
    <vt:filetime>2023-09-01T00:00:00Z</vt:filetime>
  </property>
  <property fmtid="{D5CDD505-2E9C-101B-9397-08002B2CF9AE}" pid="4" name="Creator">
    <vt:lpwstr>OLDC</vt:lpwstr>
  </property>
  <property fmtid="{D5CDD505-2E9C-101B-9397-08002B2CF9AE}" pid="5" name="LastSaved">
    <vt:filetime>2024-07-11T00:00:00Z</vt:filetime>
  </property>
  <property fmtid="{D5CDD505-2E9C-101B-9397-08002B2CF9AE}" pid="6" name="MediaServiceImageTags">
    <vt:lpwstr/>
  </property>
  <property fmtid="{D5CDD505-2E9C-101B-9397-08002B2CF9AE}" pid="7" name="Producer">
    <vt:lpwstr>iText® 7.1.14 ©2000-2020 iText Group NV (Dovel Technologies; licensed version)</vt:lpwstr>
  </property>
  <property fmtid="{D5CDD505-2E9C-101B-9397-08002B2CF9AE}" pid="8" name="_dlc_DocIdItemGuid">
    <vt:lpwstr>2ea81362-795e-40ca-90d3-b8f22ac4e469</vt:lpwstr>
  </property>
</Properties>
</file>