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151" w:rsidRPr="00062151" w:rsidP="00062151" w14:paraId="1DE41915" w14:textId="77777777">
      <w:pPr>
        <w:tabs>
          <w:tab w:val="left" w:pos="705"/>
          <w:tab w:val="left" w:pos="930"/>
          <w:tab w:val="right" w:pos="7005"/>
        </w:tabs>
        <w:jc w:val="center"/>
        <w:outlineLvl w:val="0"/>
        <w:rPr>
          <w:rFonts w:ascii="Times New Roman" w:hAnsi="Times New Roman"/>
          <w:b/>
          <w:bCs/>
        </w:rPr>
      </w:pPr>
      <w:r w:rsidRPr="00062151">
        <w:rPr>
          <w:rFonts w:ascii="Times New Roman" w:hAnsi="Times New Roman"/>
          <w:b/>
        </w:rPr>
        <w:t>Justification for Non-Substantive Changes</w:t>
      </w:r>
      <w:r w:rsidRPr="00062151" w:rsidR="00855A2B">
        <w:rPr>
          <w:rFonts w:ascii="Times New Roman" w:hAnsi="Times New Roman"/>
          <w:b/>
        </w:rPr>
        <w:t xml:space="preserve"> for </w:t>
      </w:r>
      <w:r w:rsidRPr="00062151">
        <w:rPr>
          <w:rFonts w:ascii="Times New Roman" w:hAnsi="Times New Roman"/>
          <w:b/>
          <w:bCs/>
        </w:rPr>
        <w:t xml:space="preserve">Forms </w:t>
      </w:r>
    </w:p>
    <w:p w:rsidR="00062151" w:rsidRPr="00062151" w:rsidP="00062151" w14:paraId="52A2F466" w14:textId="70763065">
      <w:pPr>
        <w:tabs>
          <w:tab w:val="left" w:pos="705"/>
          <w:tab w:val="left" w:pos="930"/>
          <w:tab w:val="right" w:pos="7005"/>
        </w:tabs>
        <w:jc w:val="center"/>
        <w:outlineLvl w:val="0"/>
        <w:rPr>
          <w:rFonts w:ascii="Times New Roman" w:hAnsi="Times New Roman"/>
          <w:b/>
          <w:bCs/>
        </w:rPr>
      </w:pPr>
      <w:bookmarkStart w:id="0" w:name="_Hlk98237238"/>
      <w:r w:rsidRPr="00062151">
        <w:rPr>
          <w:rFonts w:ascii="Times New Roman" w:hAnsi="Times New Roman"/>
          <w:b/>
          <w:bCs/>
        </w:rPr>
        <w:t>SSA</w:t>
      </w:r>
      <w:r w:rsidRPr="00062151">
        <w:rPr>
          <w:rFonts w:ascii="Times New Roman" w:hAnsi="Times New Roman"/>
          <w:b/>
          <w:bCs/>
        </w:rPr>
        <w:noBreakHyphen/>
        <w:t>L-93-SM, SSA-L-94-SM, SSA</w:t>
      </w:r>
      <w:r w:rsidRPr="00062151">
        <w:rPr>
          <w:rFonts w:ascii="Times New Roman" w:hAnsi="Times New Roman"/>
          <w:b/>
          <w:bCs/>
        </w:rPr>
        <w:noBreakHyphen/>
        <w:t xml:space="preserve">95-SM, </w:t>
      </w:r>
      <w:r>
        <w:rPr>
          <w:rFonts w:ascii="Times New Roman" w:hAnsi="Times New Roman"/>
          <w:b/>
          <w:bCs/>
        </w:rPr>
        <w:t xml:space="preserve">SSA-95-SM2, </w:t>
      </w:r>
      <w:r w:rsidRPr="00062151">
        <w:rPr>
          <w:rFonts w:ascii="Times New Roman" w:hAnsi="Times New Roman"/>
          <w:b/>
          <w:bCs/>
        </w:rPr>
        <w:t>and SSA-97-SM</w:t>
      </w:r>
    </w:p>
    <w:bookmarkEnd w:id="0"/>
    <w:p w:rsidR="00062151" w:rsidRPr="00062151" w:rsidP="00062151" w14:paraId="5086C89E" w14:textId="77777777">
      <w:pPr>
        <w:pStyle w:val="Heading1"/>
        <w:spacing w:before="0" w:after="0"/>
        <w:jc w:val="center"/>
        <w:rPr>
          <w:rFonts w:ascii="Times New Roman" w:hAnsi="Times New Roman"/>
          <w:sz w:val="24"/>
          <w:szCs w:val="24"/>
        </w:rPr>
      </w:pPr>
      <w:r w:rsidRPr="00062151">
        <w:rPr>
          <w:rFonts w:ascii="Times New Roman" w:hAnsi="Times New Roman"/>
          <w:sz w:val="24"/>
          <w:szCs w:val="24"/>
        </w:rPr>
        <w:t>Missing and Discrepant Wage Reports Letters, Questionnaires, and Online Reconciliation Application</w:t>
      </w:r>
    </w:p>
    <w:p w:rsidR="00855A2B" w:rsidRPr="00062151" w:rsidP="00062151" w14:paraId="42E970F5" w14:textId="5DCB2DE3">
      <w:pPr>
        <w:jc w:val="center"/>
        <w:rPr>
          <w:rFonts w:ascii="Times New Roman" w:hAnsi="Times New Roman"/>
          <w:b/>
        </w:rPr>
      </w:pPr>
      <w:r w:rsidRPr="00062151">
        <w:rPr>
          <w:rFonts w:ascii="Times New Roman" w:hAnsi="Times New Roman"/>
          <w:b/>
          <w:bCs/>
        </w:rPr>
        <w:t>26 CFR 31.6051-2</w:t>
      </w:r>
      <w:r w:rsidRPr="00062151">
        <w:rPr>
          <w:rFonts w:ascii="Times New Roman" w:hAnsi="Times New Roman"/>
          <w:b/>
        </w:rPr>
        <w:t>OMB No. 0960-</w:t>
      </w:r>
      <w:r w:rsidRPr="00062151" w:rsidR="00612831">
        <w:rPr>
          <w:rFonts w:ascii="Times New Roman" w:hAnsi="Times New Roman"/>
          <w:b/>
        </w:rPr>
        <w:t>0432</w:t>
      </w:r>
    </w:p>
    <w:p w:rsidR="00C03EDF" w:rsidRPr="00062151" w:rsidP="00C03EDF" w14:paraId="109F524E" w14:textId="77777777">
      <w:pPr>
        <w:rPr>
          <w:rFonts w:ascii="Times New Roman" w:hAnsi="Times New Roman"/>
        </w:rPr>
      </w:pPr>
    </w:p>
    <w:p w:rsidR="006746BD" w:rsidRPr="00B4164D" w:rsidP="00C03EDF" w14:paraId="4B253202" w14:textId="77777777">
      <w:pPr>
        <w:rPr>
          <w:rFonts w:ascii="Times New Roman" w:hAnsi="Times New Roman"/>
          <w:b/>
          <w:snapToGrid w:val="0"/>
          <w:u w:val="single"/>
        </w:rPr>
      </w:pPr>
      <w:r w:rsidRPr="00B4164D">
        <w:rPr>
          <w:rFonts w:ascii="Times New Roman" w:hAnsi="Times New Roman"/>
          <w:b/>
          <w:snapToGrid w:val="0"/>
          <w:u w:val="single"/>
        </w:rPr>
        <w:t>Background</w:t>
      </w:r>
    </w:p>
    <w:p w:rsidR="00B4164D" w:rsidRPr="00B4164D" w:rsidP="00146A71" w14:paraId="04E5D223" w14:textId="77777777">
      <w:pPr>
        <w:rPr>
          <w:rFonts w:ascii="Times New Roman" w:hAnsi="Times New Roman"/>
          <w:b/>
          <w:bCs/>
        </w:rPr>
      </w:pPr>
    </w:p>
    <w:p w:rsidR="007759CC" w:rsidP="00B4164D" w14:paraId="044F620C" w14:textId="035C0536">
      <w:pPr>
        <w:tabs>
          <w:tab w:val="num" w:pos="1710"/>
        </w:tabs>
        <w:rPr>
          <w:rFonts w:ascii="Times New Roman" w:hAnsi="Times New Roman"/>
          <w:shd w:val="clear" w:color="auto" w:fill="FFFFFF"/>
        </w:rPr>
      </w:pPr>
      <w:r w:rsidRPr="00B4164D">
        <w:rPr>
          <w:rFonts w:ascii="Times New Roman" w:hAnsi="Times New Roman"/>
        </w:rPr>
        <w:t xml:space="preserve">Each year employers report the wage amounts they paid their employees to the Internal Revenue Service (IRS) for tax purposes, and separately to SSA for retirement and disability coverage purposes.  Employers should report the same figures to SSA and the IRS; however, each year some of the employer wage reports SSA receives show wage amounts lower than those employers report to the IRS.  SSA uses Forms SSA-L93-SM, SSA-L94-SM, SSA-95-SM, and SSA-97-SM to ensure employees receive full credit for their wages.  </w:t>
      </w:r>
      <w:r w:rsidRPr="00B4164D" w:rsidR="00900942">
        <w:rPr>
          <w:rFonts w:ascii="Times New Roman" w:hAnsi="Times New Roman"/>
          <w:shd w:val="clear" w:color="auto" w:fill="FFFFFF"/>
        </w:rPr>
        <w:t xml:space="preserve">SSA uses Form SSA-95-SM and SSA-95-SM2 (first and second request) when there is no record of wage reporting submitted to the IRS.  </w:t>
      </w:r>
      <w:r w:rsidRPr="00B4164D">
        <w:rPr>
          <w:rFonts w:ascii="Times New Roman" w:hAnsi="Times New Roman"/>
          <w:shd w:val="clear" w:color="auto" w:fill="FFFFFF"/>
        </w:rPr>
        <w:t xml:space="preserve"> </w:t>
      </w:r>
    </w:p>
    <w:p w:rsidR="00C43839" w:rsidP="00B4164D" w14:paraId="539F0D98" w14:textId="77777777">
      <w:pPr>
        <w:tabs>
          <w:tab w:val="num" w:pos="1710"/>
        </w:tabs>
        <w:rPr>
          <w:rFonts w:ascii="Times New Roman" w:hAnsi="Times New Roman"/>
          <w:shd w:val="clear" w:color="auto" w:fill="FFFFFF"/>
        </w:rPr>
      </w:pPr>
    </w:p>
    <w:p w:rsidR="00C43839" w:rsidRPr="00B4164D" w:rsidP="00B4164D" w14:paraId="09271A34" w14:textId="2666F30C">
      <w:pPr>
        <w:tabs>
          <w:tab w:val="num" w:pos="1710"/>
        </w:tabs>
        <w:rPr>
          <w:rFonts w:ascii="Times New Roman" w:hAnsi="Times New Roman"/>
        </w:rPr>
      </w:pPr>
      <w:r>
        <w:rPr>
          <w:rFonts w:ascii="Times New Roman" w:hAnsi="Times New Roman"/>
          <w:shd w:val="clear" w:color="auto" w:fill="FFFFFF"/>
        </w:rPr>
        <w:t>We are making minor revisions to the SSA-95-SM and SSA-95-SM2 due to current changes in the Taxpayer First Act, and changes to the Department of Treasury Regulation Section 30.6011-2 regarding the use of electronic or paper modalities to file a Form W-2c correction.</w:t>
      </w:r>
      <w:r w:rsidR="008D4015">
        <w:rPr>
          <w:rFonts w:ascii="Times New Roman" w:hAnsi="Times New Roman"/>
          <w:shd w:val="clear" w:color="auto" w:fill="FFFFFF"/>
        </w:rPr>
        <w:t xml:space="preserve"> </w:t>
      </w:r>
      <w:r w:rsidR="00062151">
        <w:rPr>
          <w:rFonts w:ascii="Times New Roman" w:hAnsi="Times New Roman"/>
          <w:shd w:val="clear" w:color="auto" w:fill="FFFFFF"/>
        </w:rPr>
        <w:t xml:space="preserve"> </w:t>
      </w:r>
      <w:r w:rsidR="008D4015">
        <w:rPr>
          <w:rFonts w:ascii="Times New Roman" w:hAnsi="Times New Roman"/>
          <w:shd w:val="clear" w:color="auto" w:fill="FFFFFF"/>
        </w:rPr>
        <w:t>Primarily these changes reflect the number of wage items respondents must report electronically</w:t>
      </w:r>
      <w:r w:rsidR="00062151">
        <w:rPr>
          <w:rFonts w:ascii="Times New Roman" w:hAnsi="Times New Roman"/>
          <w:shd w:val="clear" w:color="auto" w:fill="FFFFFF"/>
        </w:rPr>
        <w:t xml:space="preserve">, and </w:t>
      </w:r>
      <w:r w:rsidR="00186996">
        <w:rPr>
          <w:rFonts w:ascii="Times New Roman" w:hAnsi="Times New Roman"/>
          <w:shd w:val="clear" w:color="auto" w:fill="FFFFFF"/>
        </w:rPr>
        <w:t xml:space="preserve">updated information on </w:t>
      </w:r>
      <w:r w:rsidR="00062151">
        <w:rPr>
          <w:rFonts w:ascii="Times New Roman" w:hAnsi="Times New Roman"/>
          <w:shd w:val="clear" w:color="auto" w:fill="FFFFFF"/>
        </w:rPr>
        <w:t xml:space="preserve">the new regulatory requirement to submit corrections to </w:t>
      </w:r>
      <w:r w:rsidR="00186996">
        <w:rPr>
          <w:rFonts w:ascii="Times New Roman" w:hAnsi="Times New Roman"/>
          <w:shd w:val="clear" w:color="auto" w:fill="FFFFFF"/>
        </w:rPr>
        <w:t xml:space="preserve">IRS </w:t>
      </w:r>
      <w:r w:rsidR="00062151">
        <w:rPr>
          <w:rFonts w:ascii="Times New Roman" w:hAnsi="Times New Roman"/>
          <w:shd w:val="clear" w:color="auto" w:fill="FFFFFF"/>
        </w:rPr>
        <w:t>Form W-2 using the same modality the respondent used to submit the W-2</w:t>
      </w:r>
      <w:r w:rsidR="008D4015">
        <w:rPr>
          <w:rFonts w:ascii="Times New Roman" w:hAnsi="Times New Roman"/>
          <w:shd w:val="clear" w:color="auto" w:fill="FFFFFF"/>
        </w:rPr>
        <w:t xml:space="preserve">. </w:t>
      </w:r>
    </w:p>
    <w:p w:rsidR="007759CC" w:rsidRPr="00B4164D" w:rsidP="00BC32F7" w14:paraId="74712B37" w14:textId="77777777">
      <w:pPr>
        <w:rPr>
          <w:rFonts w:ascii="Times New Roman" w:hAnsi="Times New Roman"/>
          <w:shd w:val="clear" w:color="auto" w:fill="FFFFFF"/>
        </w:rPr>
      </w:pPr>
    </w:p>
    <w:p w:rsidR="00855A2B" w:rsidRPr="00B4164D" w:rsidP="00C03EDF" w14:paraId="3493DA69" w14:textId="6C1F9A4D">
      <w:pPr>
        <w:rPr>
          <w:rFonts w:ascii="Times New Roman" w:hAnsi="Times New Roman"/>
          <w:b/>
          <w:snapToGrid w:val="0"/>
          <w:u w:val="single"/>
        </w:rPr>
      </w:pPr>
      <w:r w:rsidRPr="00B4164D">
        <w:rPr>
          <w:rFonts w:ascii="Times New Roman" w:hAnsi="Times New Roman"/>
          <w:b/>
          <w:snapToGrid w:val="0"/>
          <w:u w:val="single"/>
        </w:rPr>
        <w:t>Revisions to the Information Collection</w:t>
      </w:r>
      <w:r w:rsidR="00062151">
        <w:rPr>
          <w:rFonts w:ascii="Times New Roman" w:hAnsi="Times New Roman"/>
          <w:b/>
          <w:snapToGrid w:val="0"/>
          <w:u w:val="single"/>
        </w:rPr>
        <w:t>s for Forms SSA-95-SM and SSA-95-SM2</w:t>
      </w:r>
    </w:p>
    <w:p w:rsidR="00F81102" w:rsidRPr="00B4164D" w:rsidP="00C03EDF" w14:paraId="272ECAAF" w14:textId="77777777">
      <w:pPr>
        <w:rPr>
          <w:rFonts w:ascii="Times New Roman" w:hAnsi="Times New Roman"/>
          <w:b/>
          <w:snapToGrid w:val="0"/>
          <w:u w:val="single"/>
        </w:rPr>
      </w:pPr>
    </w:p>
    <w:p w:rsidR="00C20916" w:rsidRPr="00B4164D" w:rsidP="00C03EDF" w14:paraId="6E1F3CE1" w14:textId="0A12E413">
      <w:pPr>
        <w:rPr>
          <w:rFonts w:ascii="Times New Roman" w:hAnsi="Times New Roman"/>
        </w:rPr>
      </w:pPr>
      <w:r w:rsidRPr="00B4164D">
        <w:rPr>
          <w:rFonts w:ascii="Times New Roman" w:hAnsi="Times New Roman"/>
        </w:rPr>
        <w:t>SSA is making the following revisions to the collection instrument</w:t>
      </w:r>
      <w:r w:rsidR="00534B32">
        <w:rPr>
          <w:rFonts w:ascii="Times New Roman" w:hAnsi="Times New Roman"/>
        </w:rPr>
        <w:t>s for the SSA-95-SM and SSA-95-SM2</w:t>
      </w:r>
      <w:r w:rsidRPr="00B4164D">
        <w:rPr>
          <w:rFonts w:ascii="Times New Roman" w:hAnsi="Times New Roman"/>
        </w:rPr>
        <w:t>:</w:t>
      </w:r>
    </w:p>
    <w:p w:rsidR="00534B32" w:rsidP="00C03EDF" w14:paraId="33E64F9A" w14:textId="77777777">
      <w:pPr>
        <w:rPr>
          <w:rFonts w:ascii="Times New Roman" w:hAnsi="Times New Roman"/>
          <w:b/>
          <w:snapToGrid w:val="0"/>
          <w:u w:val="single"/>
        </w:rPr>
      </w:pPr>
    </w:p>
    <w:p w:rsidR="00D011C1" w:rsidRPr="00B4164D" w:rsidP="00C03EDF" w14:paraId="6FB12FA3" w14:textId="11C45465">
      <w:pPr>
        <w:rPr>
          <w:rFonts w:ascii="Times New Roman" w:hAnsi="Times New Roman"/>
          <w:b/>
          <w:snapToGrid w:val="0"/>
          <w:u w:val="single"/>
        </w:rPr>
      </w:pPr>
      <w:r w:rsidRPr="00B4164D">
        <w:rPr>
          <w:rFonts w:ascii="Times New Roman" w:hAnsi="Times New Roman"/>
          <w:b/>
          <w:snapToGrid w:val="0"/>
          <w:u w:val="single"/>
        </w:rPr>
        <w:t>SSA 95-SM</w:t>
      </w:r>
    </w:p>
    <w:p w:rsidR="00D011C1" w:rsidRPr="00B4164D" w:rsidP="00C03EDF" w14:paraId="46436CF1" w14:textId="77777777">
      <w:pPr>
        <w:rPr>
          <w:rFonts w:ascii="Times New Roman" w:hAnsi="Times New Roman"/>
          <w:bCs/>
          <w:snapToGrid w:val="0"/>
        </w:rPr>
      </w:pPr>
    </w:p>
    <w:p w:rsidR="00146A71" w:rsidRPr="00B4164D" w:rsidP="00D011C1" w14:paraId="761CD6DE" w14:textId="11096E5B">
      <w:pPr>
        <w:pStyle w:val="ListParagraph"/>
        <w:numPr>
          <w:ilvl w:val="0"/>
          <w:numId w:val="6"/>
        </w:numPr>
        <w:ind w:left="360"/>
        <w:rPr>
          <w:rFonts w:ascii="Times New Roman" w:hAnsi="Times New Roman"/>
          <w:b/>
          <w:u w:val="single"/>
        </w:rPr>
      </w:pPr>
      <w:r w:rsidRPr="00B4164D">
        <w:rPr>
          <w:rFonts w:ascii="Times New Roman" w:hAnsi="Times New Roman"/>
          <w:b/>
          <w:bCs/>
          <w:snapToGrid w:val="0"/>
          <w:u w:val="single"/>
        </w:rPr>
        <w:t>Change #1</w:t>
      </w:r>
      <w:r w:rsidRPr="00B4164D">
        <w:rPr>
          <w:rFonts w:ascii="Times New Roman" w:hAnsi="Times New Roman"/>
          <w:b/>
          <w:bCs/>
          <w:snapToGrid w:val="0"/>
        </w:rPr>
        <w:t>:</w:t>
      </w:r>
      <w:r w:rsidRPr="00B4164D">
        <w:rPr>
          <w:rFonts w:ascii="Times New Roman" w:hAnsi="Times New Roman"/>
          <w:snapToGrid w:val="0"/>
        </w:rPr>
        <w:t xml:space="preserve">  </w:t>
      </w:r>
      <w:r w:rsidRPr="00B4164D" w:rsidR="00D011C1">
        <w:rPr>
          <w:rFonts w:ascii="Times New Roman" w:hAnsi="Times New Roman"/>
          <w:snapToGrid w:val="0"/>
        </w:rPr>
        <w:t xml:space="preserve">We are revising the language </w:t>
      </w:r>
      <w:r w:rsidR="0060314F">
        <w:rPr>
          <w:rFonts w:ascii="Times New Roman" w:hAnsi="Times New Roman"/>
          <w:snapToGrid w:val="0"/>
        </w:rPr>
        <w:t xml:space="preserve">in the Note section </w:t>
      </w:r>
      <w:r w:rsidRPr="00B4164D" w:rsidR="00D011C1">
        <w:rPr>
          <w:rFonts w:ascii="Times New Roman" w:hAnsi="Times New Roman"/>
          <w:snapToGrid w:val="0"/>
        </w:rPr>
        <w:t>on page 5:</w:t>
      </w:r>
    </w:p>
    <w:p w:rsidR="00146A71" w:rsidRPr="00B4164D" w:rsidP="00146A71" w14:paraId="4B6C0BFE" w14:textId="77777777">
      <w:pPr>
        <w:rPr>
          <w:rFonts w:ascii="Times New Roman" w:hAnsi="Times New Roman"/>
          <w:b/>
          <w:snapToGrid w:val="0"/>
          <w:u w:val="single"/>
        </w:rPr>
      </w:pPr>
    </w:p>
    <w:p w:rsidR="00B21337" w:rsidP="00D011C1" w14:paraId="4B550A56" w14:textId="77777777">
      <w:pPr>
        <w:pStyle w:val="Default"/>
        <w:numPr>
          <w:ilvl w:val="0"/>
          <w:numId w:val="7"/>
        </w:numPr>
      </w:pPr>
      <w:r w:rsidRPr="00B4164D">
        <w:rPr>
          <w:b/>
          <w:bCs/>
        </w:rPr>
        <w:t xml:space="preserve">Current Language: </w:t>
      </w:r>
      <w:r w:rsidRPr="00B4164D">
        <w:t xml:space="preserve"> </w:t>
      </w:r>
    </w:p>
    <w:p w:rsidR="00D011C1" w:rsidRPr="00B4164D" w:rsidP="00B21337" w14:paraId="190E718B" w14:textId="6A41CD7F">
      <w:pPr>
        <w:pStyle w:val="Default"/>
        <w:ind w:left="1080"/>
      </w:pPr>
      <w:r w:rsidRPr="00B4164D">
        <w:t>Note: If you send 250 or more wage items to us, you must file your wage reports electronically in accordance with Publication 42</w:t>
      </w:r>
      <w:r w:rsidR="007D5285">
        <w:noBreakHyphen/>
      </w:r>
      <w:r w:rsidRPr="00B4164D">
        <w:t xml:space="preserve">007: </w:t>
      </w:r>
      <w:r w:rsidR="007D5285">
        <w:t xml:space="preserve"> </w:t>
      </w:r>
      <w:r w:rsidRPr="00B4164D">
        <w:t>Specifications for Filing Forms W-2 Electronically (EFW2)</w:t>
      </w:r>
      <w:r w:rsidRPr="00B4164D" w:rsidR="00B4164D">
        <w:t xml:space="preserve">. </w:t>
      </w:r>
    </w:p>
    <w:p w:rsidR="00D011C1" w:rsidRPr="00B4164D" w:rsidP="00111DEB" w14:paraId="2B7C6645" w14:textId="77777777">
      <w:pPr>
        <w:pStyle w:val="Default"/>
        <w:rPr>
          <w:b/>
          <w:bCs/>
        </w:rPr>
      </w:pPr>
    </w:p>
    <w:p w:rsidR="00B21337" w:rsidRPr="00B21337" w:rsidP="00D011C1" w14:paraId="29B29966" w14:textId="77777777">
      <w:pPr>
        <w:pStyle w:val="Default"/>
        <w:numPr>
          <w:ilvl w:val="0"/>
          <w:numId w:val="7"/>
        </w:numPr>
      </w:pPr>
      <w:r w:rsidRPr="00B4164D">
        <w:rPr>
          <w:b/>
          <w:bCs/>
        </w:rPr>
        <w:t xml:space="preserve">Revised Language:  </w:t>
      </w:r>
    </w:p>
    <w:p w:rsidR="00111DEB" w:rsidP="00B21337" w14:paraId="0DFA5B72" w14:textId="79755F9E">
      <w:pPr>
        <w:pStyle w:val="Default"/>
        <w:ind w:left="1080"/>
      </w:pPr>
      <w:r w:rsidRPr="00B4164D">
        <w:t>Note: If you send 10 or more wage items to us, you must file your wage reports electronically in accordance with Publication 42-007: Specifications for Filing Forms W-2 Electronically (EFW2)</w:t>
      </w:r>
      <w:r w:rsidRPr="00B4164D" w:rsidR="00B4164D">
        <w:t xml:space="preserve">.  </w:t>
      </w:r>
    </w:p>
    <w:p w:rsidR="008B7930" w:rsidRPr="00B4164D" w:rsidP="00B21337" w14:paraId="4EB73262" w14:textId="77777777">
      <w:pPr>
        <w:pStyle w:val="Default"/>
        <w:ind w:left="1080"/>
      </w:pPr>
    </w:p>
    <w:p w:rsidR="00146A71" w:rsidRPr="008B7930" w:rsidP="008B7930" w14:paraId="5BEDD573" w14:textId="5B199C8F">
      <w:pPr>
        <w:pStyle w:val="ListParagraph"/>
        <w:ind w:left="360"/>
        <w:rPr>
          <w:rStyle w:val="Hyperlink"/>
          <w:rFonts w:ascii="Times New Roman" w:hAnsi="Times New Roman"/>
          <w:shd w:val="clear" w:color="auto" w:fill="FFFFFF"/>
        </w:rPr>
      </w:pPr>
      <w:r w:rsidRPr="008B7930">
        <w:rPr>
          <w:rFonts w:ascii="Times New Roman" w:hAnsi="Times New Roman"/>
          <w:b/>
          <w:bCs/>
          <w:snapToGrid w:val="0"/>
          <w:u w:val="single"/>
        </w:rPr>
        <w:t>Justification #1</w:t>
      </w:r>
      <w:r w:rsidRPr="008B7930">
        <w:rPr>
          <w:rFonts w:ascii="Times New Roman" w:hAnsi="Times New Roman"/>
          <w:b/>
          <w:bCs/>
          <w:snapToGrid w:val="0"/>
        </w:rPr>
        <w:t>:</w:t>
      </w:r>
      <w:r w:rsidRPr="008B7930">
        <w:rPr>
          <w:rFonts w:ascii="Times New Roman" w:hAnsi="Times New Roman"/>
          <w:snapToGrid w:val="0"/>
        </w:rPr>
        <w:t xml:space="preserve">  </w:t>
      </w:r>
      <w:r w:rsidRPr="008B7930" w:rsidR="00D011C1">
        <w:rPr>
          <w:rFonts w:ascii="Times New Roman" w:hAnsi="Times New Roman"/>
          <w:snapToGrid w:val="0"/>
        </w:rPr>
        <w:t>We are revising th</w:t>
      </w:r>
      <w:r w:rsidRPr="008B7930" w:rsidR="008B7930">
        <w:rPr>
          <w:rFonts w:ascii="Times New Roman" w:hAnsi="Times New Roman"/>
          <w:snapToGrid w:val="0"/>
        </w:rPr>
        <w:t>is</w:t>
      </w:r>
      <w:r w:rsidRPr="008B7930" w:rsidR="00D011C1">
        <w:rPr>
          <w:rFonts w:ascii="Times New Roman" w:hAnsi="Times New Roman"/>
          <w:snapToGrid w:val="0"/>
        </w:rPr>
        <w:t xml:space="preserve"> language d</w:t>
      </w:r>
      <w:r w:rsidRPr="008B7930">
        <w:rPr>
          <w:rFonts w:ascii="Times New Roman" w:hAnsi="Times New Roman"/>
          <w:snapToGrid w:val="0"/>
        </w:rPr>
        <w:t>ue to recent ch</w:t>
      </w:r>
      <w:r w:rsidRPr="008B7930">
        <w:rPr>
          <w:rFonts w:ascii="Times New Roman" w:hAnsi="Times New Roman"/>
          <w:shd w:val="clear" w:color="auto" w:fill="FFFFFF"/>
        </w:rPr>
        <w:t xml:space="preserve">anges in the Taxpayer First Act, notifying employers missing wage reports are now significantly </w:t>
      </w:r>
      <w:r w:rsidRPr="008B7930">
        <w:rPr>
          <w:rFonts w:ascii="Times New Roman" w:hAnsi="Times New Roman"/>
          <w:shd w:val="clear" w:color="auto" w:fill="FFFFFF"/>
        </w:rPr>
        <w:t xml:space="preserve">reduced </w:t>
      </w:r>
      <w:r w:rsidRPr="008B7930" w:rsidR="00111DEB">
        <w:rPr>
          <w:rFonts w:ascii="Times New Roman" w:hAnsi="Times New Roman"/>
          <w:shd w:val="clear" w:color="auto" w:fill="FFFFFF"/>
        </w:rPr>
        <w:t xml:space="preserve">from 250 or more wage items </w:t>
      </w:r>
      <w:r w:rsidRPr="008B7930">
        <w:rPr>
          <w:rFonts w:ascii="Times New Roman" w:hAnsi="Times New Roman"/>
          <w:shd w:val="clear" w:color="auto" w:fill="FFFFFF"/>
        </w:rPr>
        <w:t xml:space="preserve">to employers with 10 or more </w:t>
      </w:r>
      <w:r w:rsidRPr="008B7930" w:rsidR="00111DEB">
        <w:rPr>
          <w:rFonts w:ascii="Times New Roman" w:hAnsi="Times New Roman"/>
          <w:shd w:val="clear" w:color="auto" w:fill="FFFFFF"/>
        </w:rPr>
        <w:t>wage items</w:t>
      </w:r>
      <w:r w:rsidRPr="008B7930" w:rsidR="00D011C1">
        <w:rPr>
          <w:rFonts w:ascii="Times New Roman" w:hAnsi="Times New Roman"/>
          <w:shd w:val="clear" w:color="auto" w:fill="FFFFFF"/>
        </w:rPr>
        <w:t xml:space="preserve"> (</w:t>
      </w:r>
      <w:r w:rsidRPr="00B4164D" w:rsidR="00D011C1">
        <w:rPr>
          <w:rFonts w:ascii="Times New Roman" w:hAnsi="Times New Roman"/>
        </w:rPr>
        <w:fldChar w:fldCharType="begin"/>
      </w:r>
      <w:r w:rsidRPr="008B7930" w:rsidR="00D011C1">
        <w:rPr>
          <w:rFonts w:ascii="Times New Roman" w:hAnsi="Times New Roman"/>
        </w:rPr>
        <w:instrText>HYPERLINK "https://www.irs.gov/newsroom/irs-and-treasury-issue-final-regulations-on-e-file-for-businesses"</w:instrText>
      </w:r>
      <w:r w:rsidRPr="00B4164D" w:rsidR="00D011C1">
        <w:rPr>
          <w:rFonts w:ascii="Times New Roman" w:hAnsi="Times New Roman"/>
        </w:rPr>
        <w:fldChar w:fldCharType="separate"/>
      </w:r>
      <w:r w:rsidRPr="008B7930" w:rsidR="00D011C1">
        <w:rPr>
          <w:rStyle w:val="Hyperlink"/>
          <w:rFonts w:ascii="Times New Roman" w:hAnsi="Times New Roman"/>
        </w:rPr>
        <w:t>IRS and Treasury issue final regulations on e-file for businesses | Internal Revenue Service)</w:t>
      </w:r>
      <w:r w:rsidRPr="0060314F" w:rsidR="0060314F">
        <w:rPr>
          <w:rStyle w:val="Hyperlink"/>
          <w:rFonts w:ascii="Times New Roman" w:hAnsi="Times New Roman"/>
          <w:color w:val="000000" w:themeColor="text1"/>
          <w:u w:val="none"/>
        </w:rPr>
        <w:t>.</w:t>
      </w:r>
    </w:p>
    <w:p w:rsidR="00D011C1" w:rsidP="00D011C1" w14:paraId="73F20739" w14:textId="03EED57D">
      <w:pPr>
        <w:rPr>
          <w:rFonts w:ascii="Times New Roman" w:hAnsi="Times New Roman"/>
        </w:rPr>
      </w:pPr>
      <w:r w:rsidRPr="00B4164D">
        <w:rPr>
          <w:rFonts w:ascii="Times New Roman" w:hAnsi="Times New Roman"/>
        </w:rPr>
        <w:fldChar w:fldCharType="end"/>
      </w:r>
    </w:p>
    <w:p w:rsidR="0060314F" w:rsidRPr="0060314F" w:rsidP="0060314F" w14:paraId="78A2582F" w14:textId="11319692">
      <w:pPr>
        <w:pStyle w:val="ListParagraph"/>
        <w:numPr>
          <w:ilvl w:val="0"/>
          <w:numId w:val="6"/>
        </w:numPr>
        <w:ind w:left="360"/>
        <w:rPr>
          <w:rFonts w:ascii="Times New Roman" w:hAnsi="Times New Roman"/>
          <w:b/>
          <w:bCs/>
          <w:u w:val="single"/>
          <w:shd w:val="clear" w:color="auto" w:fill="FFFFFF"/>
        </w:rPr>
      </w:pPr>
      <w:r>
        <w:rPr>
          <w:rFonts w:ascii="Times New Roman" w:hAnsi="Times New Roman"/>
          <w:b/>
          <w:bCs/>
          <w:u w:val="single"/>
          <w:shd w:val="clear" w:color="auto" w:fill="FFFFFF"/>
        </w:rPr>
        <w:t>Change #2</w:t>
      </w:r>
      <w:r w:rsidRPr="0060314F">
        <w:rPr>
          <w:rFonts w:ascii="Times New Roman" w:hAnsi="Times New Roman"/>
          <w:b/>
          <w:bCs/>
          <w:shd w:val="clear" w:color="auto" w:fill="FFFFFF"/>
        </w:rPr>
        <w:t>:</w:t>
      </w:r>
      <w:r>
        <w:rPr>
          <w:rFonts w:ascii="Times New Roman" w:hAnsi="Times New Roman"/>
          <w:b/>
          <w:bCs/>
          <w:shd w:val="clear" w:color="auto" w:fill="FFFFFF"/>
        </w:rPr>
        <w:t xml:space="preserve">  </w:t>
      </w:r>
      <w:r>
        <w:rPr>
          <w:rFonts w:ascii="Times New Roman" w:hAnsi="Times New Roman"/>
          <w:shd w:val="clear" w:color="auto" w:fill="FFFFFF"/>
        </w:rPr>
        <w:t>We are adding the following language in the Note section on Page 5:</w:t>
      </w:r>
    </w:p>
    <w:p w:rsidR="0060314F" w:rsidP="0060314F" w14:paraId="0DA07843" w14:textId="77777777">
      <w:pPr>
        <w:pStyle w:val="ListParagraph"/>
        <w:ind w:left="360"/>
        <w:rPr>
          <w:rFonts w:ascii="Times New Roman" w:hAnsi="Times New Roman"/>
          <w:b/>
          <w:bCs/>
          <w:u w:val="single"/>
          <w:shd w:val="clear" w:color="auto" w:fill="FFFFFF"/>
        </w:rPr>
      </w:pPr>
    </w:p>
    <w:p w:rsidR="0060314F" w:rsidRPr="0060314F" w:rsidP="0060314F" w14:paraId="6C7773F4" w14:textId="0609353D">
      <w:pPr>
        <w:pStyle w:val="ListParagraph"/>
        <w:ind w:left="360"/>
        <w:rPr>
          <w:rFonts w:ascii="Times New Roman" w:hAnsi="Times New Roman"/>
          <w:shd w:val="clear" w:color="auto" w:fill="FFFFFF"/>
        </w:rPr>
      </w:pPr>
      <w:r w:rsidRPr="0060314F">
        <w:rPr>
          <w:rFonts w:ascii="Times New Roman" w:hAnsi="Times New Roman"/>
          <w:b/>
          <w:bCs/>
          <w:shd w:val="clear" w:color="auto" w:fill="FFFFFF"/>
        </w:rPr>
        <w:t>New Language</w:t>
      </w:r>
      <w:r w:rsidRPr="0060314F">
        <w:rPr>
          <w:rFonts w:ascii="Times New Roman" w:hAnsi="Times New Roman"/>
          <w:shd w:val="clear" w:color="auto" w:fill="FFFFFF"/>
        </w:rPr>
        <w:t xml:space="preserve"> (added after the revised language mentioned above):  Also, if the original Form W-2 filed electronically, any Form W-2c correcting that form must be filed electronically. If the original Form W-2 was filed on paper, then any Form W-2c correcting that form must also be filed on paper.</w:t>
      </w:r>
    </w:p>
    <w:p w:rsidR="0060314F" w:rsidRPr="0060314F" w:rsidP="0060314F" w14:paraId="4E53C62D" w14:textId="77777777">
      <w:pPr>
        <w:pStyle w:val="ListParagraph"/>
        <w:ind w:left="360"/>
        <w:rPr>
          <w:rFonts w:ascii="Times New Roman" w:hAnsi="Times New Roman"/>
          <w:b/>
          <w:bCs/>
          <w:u w:val="single"/>
          <w:shd w:val="clear" w:color="auto" w:fill="FFFFFF"/>
        </w:rPr>
      </w:pPr>
    </w:p>
    <w:p w:rsidR="0060314F" w:rsidRPr="0060314F" w:rsidP="0060314F" w14:paraId="1D6F2DF9" w14:textId="6493E1C3">
      <w:pPr>
        <w:pStyle w:val="ListParagraph"/>
        <w:ind w:left="360"/>
        <w:rPr>
          <w:rFonts w:ascii="Times New Roman" w:hAnsi="Times New Roman"/>
          <w:b/>
          <w:bCs/>
          <w:u w:val="single"/>
          <w:shd w:val="clear" w:color="auto" w:fill="FFFFFF"/>
        </w:rPr>
      </w:pPr>
      <w:r>
        <w:rPr>
          <w:rFonts w:ascii="Times New Roman" w:hAnsi="Times New Roman"/>
          <w:b/>
          <w:bCs/>
          <w:u w:val="single"/>
          <w:shd w:val="clear" w:color="auto" w:fill="FFFFFF"/>
        </w:rPr>
        <w:t>Justification #2</w:t>
      </w:r>
      <w:r w:rsidRPr="0060314F">
        <w:rPr>
          <w:rFonts w:ascii="Times New Roman" w:hAnsi="Times New Roman"/>
          <w:b/>
          <w:bCs/>
          <w:shd w:val="clear" w:color="auto" w:fill="FFFFFF"/>
        </w:rPr>
        <w:t xml:space="preserve">:  </w:t>
      </w:r>
      <w:r>
        <w:rPr>
          <w:rFonts w:ascii="Times New Roman" w:hAnsi="Times New Roman"/>
          <w:shd w:val="clear" w:color="auto" w:fill="FFFFFF"/>
        </w:rPr>
        <w:t xml:space="preserve">We are incorporating this new language in our Note section on Page 5 of the form to incorporate </w:t>
      </w:r>
      <w:r w:rsidR="00FE588B">
        <w:rPr>
          <w:rFonts w:ascii="Times New Roman" w:hAnsi="Times New Roman"/>
          <w:shd w:val="clear" w:color="auto" w:fill="FFFFFF"/>
        </w:rPr>
        <w:t xml:space="preserve">the new Department of the Treasury Regulation </w:t>
      </w:r>
      <w:hyperlink r:id="rId4" w:history="1">
        <w:r w:rsidRPr="00FE588B" w:rsidR="00FE588B">
          <w:rPr>
            <w:rStyle w:val="Hyperlink"/>
            <w:rFonts w:ascii="Times New Roman" w:hAnsi="Times New Roman"/>
            <w:shd w:val="clear" w:color="auto" w:fill="FFFFFF"/>
          </w:rPr>
          <w:t>Section 26 CFR 301.6011-2(c)(4)(ii)</w:t>
        </w:r>
      </w:hyperlink>
      <w:r w:rsidR="00FE588B">
        <w:rPr>
          <w:rFonts w:ascii="Times New Roman" w:hAnsi="Times New Roman"/>
          <w:shd w:val="clear" w:color="auto" w:fill="FFFFFF"/>
        </w:rPr>
        <w:t xml:space="preserve">, which </w:t>
      </w:r>
      <w:r>
        <w:rPr>
          <w:rFonts w:ascii="Times New Roman" w:hAnsi="Times New Roman"/>
          <w:shd w:val="clear" w:color="auto" w:fill="FFFFFF"/>
        </w:rPr>
        <w:t>states that the respondent must any correction Form W-2c using the same modality used when submitting the original Form W-2.  Therefore, if the respondent submitted the Form W-2 electronically, the Form W-2c must also be an electronic submission.  If the respondent submitted the Form W-2 on paper, then the Form W-2c must also be a paper submission.</w:t>
      </w:r>
    </w:p>
    <w:p w:rsidR="00534B32" w:rsidP="00D011C1" w14:paraId="068FC50E" w14:textId="77777777">
      <w:pPr>
        <w:rPr>
          <w:rFonts w:ascii="Times New Roman" w:hAnsi="Times New Roman"/>
          <w:b/>
          <w:bCs/>
          <w:u w:val="single"/>
          <w:shd w:val="clear" w:color="auto" w:fill="FFFFFF"/>
        </w:rPr>
      </w:pPr>
    </w:p>
    <w:p w:rsidR="00D011C1" w:rsidRPr="00B4164D" w:rsidP="00D011C1" w14:paraId="3916D897" w14:textId="2588A788">
      <w:pPr>
        <w:rPr>
          <w:rFonts w:ascii="Times New Roman" w:hAnsi="Times New Roman"/>
          <w:b/>
          <w:bCs/>
          <w:u w:val="single"/>
        </w:rPr>
      </w:pPr>
      <w:r w:rsidRPr="00B4164D">
        <w:rPr>
          <w:rFonts w:ascii="Times New Roman" w:hAnsi="Times New Roman"/>
          <w:b/>
          <w:bCs/>
          <w:u w:val="single"/>
          <w:shd w:val="clear" w:color="auto" w:fill="FFFFFF"/>
        </w:rPr>
        <w:t>SSA-95-SM2</w:t>
      </w:r>
    </w:p>
    <w:p w:rsidR="00844EC8" w:rsidRPr="00B4164D" w:rsidP="00844EC8" w14:paraId="0C94737E" w14:textId="77777777">
      <w:pPr>
        <w:rPr>
          <w:rFonts w:ascii="Times New Roman" w:hAnsi="Times New Roman"/>
          <w:shd w:val="clear" w:color="auto" w:fill="FFFFFF"/>
        </w:rPr>
      </w:pPr>
    </w:p>
    <w:p w:rsidR="0060314F" w:rsidRPr="00B4164D" w:rsidP="0060314F" w14:paraId="2DEE0927" w14:textId="77777777">
      <w:pPr>
        <w:pStyle w:val="ListParagraph"/>
        <w:numPr>
          <w:ilvl w:val="0"/>
          <w:numId w:val="6"/>
        </w:numPr>
        <w:ind w:left="360"/>
        <w:rPr>
          <w:rFonts w:ascii="Times New Roman" w:hAnsi="Times New Roman"/>
          <w:b/>
          <w:u w:val="single"/>
        </w:rPr>
      </w:pPr>
      <w:r w:rsidRPr="00B4164D">
        <w:rPr>
          <w:rFonts w:ascii="Times New Roman" w:hAnsi="Times New Roman"/>
          <w:b/>
          <w:bCs/>
          <w:snapToGrid w:val="0"/>
          <w:u w:val="single"/>
        </w:rPr>
        <w:t>Change #1</w:t>
      </w:r>
      <w:r w:rsidRPr="00B4164D">
        <w:rPr>
          <w:rFonts w:ascii="Times New Roman" w:hAnsi="Times New Roman"/>
          <w:b/>
          <w:bCs/>
          <w:snapToGrid w:val="0"/>
        </w:rPr>
        <w:t>:</w:t>
      </w:r>
      <w:r w:rsidRPr="00B4164D">
        <w:rPr>
          <w:rFonts w:ascii="Times New Roman" w:hAnsi="Times New Roman"/>
          <w:snapToGrid w:val="0"/>
        </w:rPr>
        <w:t xml:space="preserve">  We are revising the language </w:t>
      </w:r>
      <w:r>
        <w:rPr>
          <w:rFonts w:ascii="Times New Roman" w:hAnsi="Times New Roman"/>
          <w:snapToGrid w:val="0"/>
        </w:rPr>
        <w:t xml:space="preserve">in the Note section </w:t>
      </w:r>
      <w:r w:rsidRPr="00B4164D">
        <w:rPr>
          <w:rFonts w:ascii="Times New Roman" w:hAnsi="Times New Roman"/>
          <w:snapToGrid w:val="0"/>
        </w:rPr>
        <w:t>on page 5:</w:t>
      </w:r>
    </w:p>
    <w:p w:rsidR="0060314F" w:rsidRPr="00B4164D" w:rsidP="0060314F" w14:paraId="1FE1D7B0" w14:textId="77777777">
      <w:pPr>
        <w:rPr>
          <w:rFonts w:ascii="Times New Roman" w:hAnsi="Times New Roman"/>
          <w:b/>
          <w:snapToGrid w:val="0"/>
          <w:u w:val="single"/>
        </w:rPr>
      </w:pPr>
    </w:p>
    <w:p w:rsidR="0060314F" w:rsidP="0060314F" w14:paraId="361C4F75" w14:textId="77777777">
      <w:pPr>
        <w:pStyle w:val="Default"/>
        <w:numPr>
          <w:ilvl w:val="0"/>
          <w:numId w:val="7"/>
        </w:numPr>
      </w:pPr>
      <w:r w:rsidRPr="00B4164D">
        <w:rPr>
          <w:b/>
          <w:bCs/>
        </w:rPr>
        <w:t xml:space="preserve">Current Language: </w:t>
      </w:r>
      <w:r w:rsidRPr="00B4164D">
        <w:t xml:space="preserve"> </w:t>
      </w:r>
    </w:p>
    <w:p w:rsidR="0060314F" w:rsidRPr="00B4164D" w:rsidP="0060314F" w14:paraId="77211125" w14:textId="77777777">
      <w:pPr>
        <w:pStyle w:val="Default"/>
        <w:ind w:left="1080"/>
      </w:pPr>
      <w:r w:rsidRPr="00B4164D">
        <w:t>Note: If you send 250 or more wage items to us, you must file your wage reports electronically in accordance with Publication 42</w:t>
      </w:r>
      <w:r>
        <w:noBreakHyphen/>
      </w:r>
      <w:r w:rsidRPr="00B4164D">
        <w:t xml:space="preserve">007: </w:t>
      </w:r>
      <w:r>
        <w:t xml:space="preserve"> </w:t>
      </w:r>
      <w:r w:rsidRPr="00B4164D">
        <w:t xml:space="preserve">Specifications for Filing Forms W-2 Electronically (EFW2). </w:t>
      </w:r>
    </w:p>
    <w:p w:rsidR="0060314F" w:rsidRPr="00B4164D" w:rsidP="0060314F" w14:paraId="4A9BA9E2" w14:textId="77777777">
      <w:pPr>
        <w:pStyle w:val="Default"/>
        <w:rPr>
          <w:b/>
          <w:bCs/>
        </w:rPr>
      </w:pPr>
    </w:p>
    <w:p w:rsidR="0060314F" w:rsidRPr="00B21337" w:rsidP="0060314F" w14:paraId="50D11D3D" w14:textId="77777777">
      <w:pPr>
        <w:pStyle w:val="Default"/>
        <w:numPr>
          <w:ilvl w:val="0"/>
          <w:numId w:val="7"/>
        </w:numPr>
      </w:pPr>
      <w:r w:rsidRPr="00B4164D">
        <w:rPr>
          <w:b/>
          <w:bCs/>
        </w:rPr>
        <w:t xml:space="preserve">Revised Language:  </w:t>
      </w:r>
    </w:p>
    <w:p w:rsidR="0060314F" w:rsidP="0060314F" w14:paraId="015B9AB6" w14:textId="77777777">
      <w:pPr>
        <w:pStyle w:val="Default"/>
        <w:ind w:left="1080"/>
      </w:pPr>
      <w:r w:rsidRPr="00B4164D">
        <w:t xml:space="preserve">Note: If you send 10 or more wage items to us, you must file your wage reports electronically in accordance with Publication 42-007: Specifications for Filing Forms W-2 Electronically (EFW2).  </w:t>
      </w:r>
    </w:p>
    <w:p w:rsidR="0060314F" w:rsidRPr="00B4164D" w:rsidP="0060314F" w14:paraId="324ADAA9" w14:textId="77777777">
      <w:pPr>
        <w:pStyle w:val="Default"/>
        <w:ind w:left="1080"/>
      </w:pPr>
    </w:p>
    <w:p w:rsidR="0060314F" w:rsidRPr="008B7930" w:rsidP="0060314F" w14:paraId="7CB3551E" w14:textId="77777777">
      <w:pPr>
        <w:pStyle w:val="ListParagraph"/>
        <w:ind w:left="360"/>
        <w:rPr>
          <w:rStyle w:val="Hyperlink"/>
          <w:rFonts w:ascii="Times New Roman" w:hAnsi="Times New Roman"/>
          <w:shd w:val="clear" w:color="auto" w:fill="FFFFFF"/>
        </w:rPr>
      </w:pPr>
      <w:r w:rsidRPr="008B7930">
        <w:rPr>
          <w:rFonts w:ascii="Times New Roman" w:hAnsi="Times New Roman"/>
          <w:b/>
          <w:bCs/>
          <w:snapToGrid w:val="0"/>
          <w:u w:val="single"/>
        </w:rPr>
        <w:t>Justification #1</w:t>
      </w:r>
      <w:r w:rsidRPr="008B7930">
        <w:rPr>
          <w:rFonts w:ascii="Times New Roman" w:hAnsi="Times New Roman"/>
          <w:b/>
          <w:bCs/>
          <w:snapToGrid w:val="0"/>
        </w:rPr>
        <w:t>:</w:t>
      </w:r>
      <w:r w:rsidRPr="008B7930">
        <w:rPr>
          <w:rFonts w:ascii="Times New Roman" w:hAnsi="Times New Roman"/>
          <w:snapToGrid w:val="0"/>
        </w:rPr>
        <w:t xml:space="preserve">  We are revising this language due to recent ch</w:t>
      </w:r>
      <w:r w:rsidRPr="008B7930">
        <w:rPr>
          <w:rFonts w:ascii="Times New Roman" w:hAnsi="Times New Roman"/>
          <w:shd w:val="clear" w:color="auto" w:fill="FFFFFF"/>
        </w:rPr>
        <w:t>anges in the Taxpayer First Act, notifying employers missing wage reports are now significantly reduced from 250 or more wage items to employers with 10 or more wage items (</w:t>
      </w:r>
      <w:r w:rsidRPr="00B4164D">
        <w:rPr>
          <w:rFonts w:ascii="Times New Roman" w:hAnsi="Times New Roman"/>
        </w:rPr>
        <w:fldChar w:fldCharType="begin"/>
      </w:r>
      <w:r w:rsidRPr="008B7930">
        <w:rPr>
          <w:rFonts w:ascii="Times New Roman" w:hAnsi="Times New Roman"/>
        </w:rPr>
        <w:instrText>HYPERLINK "https://www.irs.gov/newsroom/irs-and-treasury-issue-final-regulations-on-e-file-for-businesses"</w:instrText>
      </w:r>
      <w:r w:rsidRPr="00B4164D">
        <w:rPr>
          <w:rFonts w:ascii="Times New Roman" w:hAnsi="Times New Roman"/>
        </w:rPr>
        <w:fldChar w:fldCharType="separate"/>
      </w:r>
      <w:r w:rsidRPr="008B7930">
        <w:rPr>
          <w:rStyle w:val="Hyperlink"/>
          <w:rFonts w:ascii="Times New Roman" w:hAnsi="Times New Roman"/>
        </w:rPr>
        <w:t>IRS and Treasury issue final regulations on e-file for businesses | Internal Revenue Service)</w:t>
      </w:r>
      <w:r w:rsidRPr="0060314F">
        <w:rPr>
          <w:rStyle w:val="Hyperlink"/>
          <w:rFonts w:ascii="Times New Roman" w:hAnsi="Times New Roman"/>
          <w:color w:val="000000" w:themeColor="text1"/>
          <w:u w:val="none"/>
        </w:rPr>
        <w:t>.</w:t>
      </w:r>
    </w:p>
    <w:p w:rsidR="0060314F" w:rsidP="0060314F" w14:paraId="06D54F6F" w14:textId="77777777">
      <w:pPr>
        <w:rPr>
          <w:rFonts w:ascii="Times New Roman" w:hAnsi="Times New Roman"/>
        </w:rPr>
      </w:pPr>
      <w:r w:rsidRPr="00B4164D">
        <w:rPr>
          <w:rFonts w:ascii="Times New Roman" w:hAnsi="Times New Roman"/>
        </w:rPr>
        <w:fldChar w:fldCharType="end"/>
      </w:r>
    </w:p>
    <w:p w:rsidR="0060314F" w:rsidRPr="0060314F" w:rsidP="0060314F" w14:paraId="40550401" w14:textId="77777777">
      <w:pPr>
        <w:pStyle w:val="ListParagraph"/>
        <w:numPr>
          <w:ilvl w:val="0"/>
          <w:numId w:val="6"/>
        </w:numPr>
        <w:ind w:left="360"/>
        <w:rPr>
          <w:rFonts w:ascii="Times New Roman" w:hAnsi="Times New Roman"/>
          <w:b/>
          <w:bCs/>
          <w:u w:val="single"/>
          <w:shd w:val="clear" w:color="auto" w:fill="FFFFFF"/>
        </w:rPr>
      </w:pPr>
      <w:r>
        <w:rPr>
          <w:rFonts w:ascii="Times New Roman" w:hAnsi="Times New Roman"/>
          <w:b/>
          <w:bCs/>
          <w:u w:val="single"/>
          <w:shd w:val="clear" w:color="auto" w:fill="FFFFFF"/>
        </w:rPr>
        <w:t>Change #2</w:t>
      </w:r>
      <w:r w:rsidRPr="0060314F">
        <w:rPr>
          <w:rFonts w:ascii="Times New Roman" w:hAnsi="Times New Roman"/>
          <w:b/>
          <w:bCs/>
          <w:shd w:val="clear" w:color="auto" w:fill="FFFFFF"/>
        </w:rPr>
        <w:t>:</w:t>
      </w:r>
      <w:r>
        <w:rPr>
          <w:rFonts w:ascii="Times New Roman" w:hAnsi="Times New Roman"/>
          <w:b/>
          <w:bCs/>
          <w:shd w:val="clear" w:color="auto" w:fill="FFFFFF"/>
        </w:rPr>
        <w:t xml:space="preserve">  </w:t>
      </w:r>
      <w:r>
        <w:rPr>
          <w:rFonts w:ascii="Times New Roman" w:hAnsi="Times New Roman"/>
          <w:shd w:val="clear" w:color="auto" w:fill="FFFFFF"/>
        </w:rPr>
        <w:t>We are adding the following language in the Note section on Page 5:</w:t>
      </w:r>
    </w:p>
    <w:p w:rsidR="0060314F" w:rsidP="0060314F" w14:paraId="18877A6D" w14:textId="77777777">
      <w:pPr>
        <w:pStyle w:val="ListParagraph"/>
        <w:ind w:left="360"/>
        <w:rPr>
          <w:rFonts w:ascii="Times New Roman" w:hAnsi="Times New Roman"/>
          <w:b/>
          <w:bCs/>
          <w:u w:val="single"/>
          <w:shd w:val="clear" w:color="auto" w:fill="FFFFFF"/>
        </w:rPr>
      </w:pPr>
    </w:p>
    <w:p w:rsidR="0060314F" w:rsidRPr="0060314F" w:rsidP="0060314F" w14:paraId="207055D5" w14:textId="77777777">
      <w:pPr>
        <w:pStyle w:val="ListParagraph"/>
        <w:ind w:left="360"/>
        <w:rPr>
          <w:rFonts w:ascii="Times New Roman" w:hAnsi="Times New Roman"/>
          <w:shd w:val="clear" w:color="auto" w:fill="FFFFFF"/>
        </w:rPr>
      </w:pPr>
      <w:r w:rsidRPr="0060314F">
        <w:rPr>
          <w:rFonts w:ascii="Times New Roman" w:hAnsi="Times New Roman"/>
          <w:b/>
          <w:bCs/>
          <w:shd w:val="clear" w:color="auto" w:fill="FFFFFF"/>
        </w:rPr>
        <w:t>New Language</w:t>
      </w:r>
      <w:r w:rsidRPr="0060314F">
        <w:rPr>
          <w:rFonts w:ascii="Times New Roman" w:hAnsi="Times New Roman"/>
          <w:shd w:val="clear" w:color="auto" w:fill="FFFFFF"/>
        </w:rPr>
        <w:t xml:space="preserve"> (added after the revised language mentioned above):  Also, if the original Form W-2 filed electronically, any Form W-2c correcting that form must be filed electronically. If the original Form W-2 was filed on paper, then any Form W-2c correcting that form must also be filed on paper.</w:t>
      </w:r>
    </w:p>
    <w:p w:rsidR="0060314F" w:rsidRPr="0060314F" w:rsidP="0060314F" w14:paraId="109982A1" w14:textId="77777777">
      <w:pPr>
        <w:pStyle w:val="ListParagraph"/>
        <w:ind w:left="360"/>
        <w:rPr>
          <w:rFonts w:ascii="Times New Roman" w:hAnsi="Times New Roman"/>
          <w:b/>
          <w:bCs/>
          <w:u w:val="single"/>
          <w:shd w:val="clear" w:color="auto" w:fill="FFFFFF"/>
        </w:rPr>
      </w:pPr>
    </w:p>
    <w:p w:rsidR="00D011C1" w:rsidRPr="00B4164D" w:rsidP="0060314F" w14:paraId="7E5BB6B5" w14:textId="1848E82F">
      <w:pPr>
        <w:rPr>
          <w:rFonts w:ascii="Times New Roman" w:hAnsi="Times New Roman"/>
          <w:shd w:val="clear" w:color="auto" w:fill="FFFFFF"/>
        </w:rPr>
      </w:pPr>
      <w:r>
        <w:rPr>
          <w:rFonts w:ascii="Times New Roman" w:hAnsi="Times New Roman"/>
          <w:b/>
          <w:bCs/>
          <w:u w:val="single"/>
          <w:shd w:val="clear" w:color="auto" w:fill="FFFFFF"/>
        </w:rPr>
        <w:t>Justification #2</w:t>
      </w:r>
      <w:r w:rsidRPr="0060314F">
        <w:rPr>
          <w:rFonts w:ascii="Times New Roman" w:hAnsi="Times New Roman"/>
          <w:b/>
          <w:bCs/>
          <w:shd w:val="clear" w:color="auto" w:fill="FFFFFF"/>
        </w:rPr>
        <w:t xml:space="preserve">:  </w:t>
      </w:r>
      <w:r>
        <w:rPr>
          <w:rFonts w:ascii="Times New Roman" w:hAnsi="Times New Roman"/>
          <w:shd w:val="clear" w:color="auto" w:fill="FFFFFF"/>
        </w:rPr>
        <w:t xml:space="preserve">We are incorporating this new language in our Note section on Page 5 of the form to incorporate the new </w:t>
      </w:r>
      <w:r w:rsidR="00FE588B">
        <w:rPr>
          <w:rFonts w:ascii="Times New Roman" w:hAnsi="Times New Roman"/>
          <w:shd w:val="clear" w:color="auto" w:fill="FFFFFF"/>
        </w:rPr>
        <w:t xml:space="preserve">Department of the </w:t>
      </w:r>
      <w:r>
        <w:rPr>
          <w:rFonts w:ascii="Times New Roman" w:hAnsi="Times New Roman"/>
          <w:shd w:val="clear" w:color="auto" w:fill="FFFFFF"/>
        </w:rPr>
        <w:t xml:space="preserve">Treasury Regulation </w:t>
      </w:r>
      <w:hyperlink r:id="rId4" w:history="1">
        <w:r w:rsidRPr="00FE588B">
          <w:rPr>
            <w:rStyle w:val="Hyperlink"/>
            <w:rFonts w:ascii="Times New Roman" w:hAnsi="Times New Roman"/>
            <w:shd w:val="clear" w:color="auto" w:fill="FFFFFF"/>
          </w:rPr>
          <w:t xml:space="preserve">Section </w:t>
        </w:r>
        <w:r w:rsidRPr="00FE588B" w:rsidR="00FE588B">
          <w:rPr>
            <w:rStyle w:val="Hyperlink"/>
            <w:rFonts w:ascii="Times New Roman" w:hAnsi="Times New Roman"/>
            <w:shd w:val="clear" w:color="auto" w:fill="FFFFFF"/>
          </w:rPr>
          <w:t xml:space="preserve">26 CFR </w:t>
        </w:r>
        <w:r w:rsidRPr="00FE588B">
          <w:rPr>
            <w:rStyle w:val="Hyperlink"/>
            <w:rFonts w:ascii="Times New Roman" w:hAnsi="Times New Roman"/>
            <w:shd w:val="clear" w:color="auto" w:fill="FFFFFF"/>
          </w:rPr>
          <w:t>301.6011-2</w:t>
        </w:r>
        <w:r w:rsidRPr="00FE588B" w:rsidR="00FE588B">
          <w:rPr>
            <w:rStyle w:val="Hyperlink"/>
            <w:rFonts w:ascii="Times New Roman" w:hAnsi="Times New Roman"/>
            <w:shd w:val="clear" w:color="auto" w:fill="FFFFFF"/>
          </w:rPr>
          <w:t>(c)(4)(ii)</w:t>
        </w:r>
      </w:hyperlink>
      <w:r>
        <w:rPr>
          <w:rFonts w:ascii="Times New Roman" w:hAnsi="Times New Roman"/>
          <w:shd w:val="clear" w:color="auto" w:fill="FFFFFF"/>
        </w:rPr>
        <w:t>, which states that the respondent must any correction Form W-2c using the same modality used when submitting the original Form W-2.  Therefore, if the respondent submitted the Form W-2 electronically, the Form W-2c must also be an electronic submission.  If the respondent submitted the Form W-2 on paper, then the Form W-2c must also be a paper submission.</w:t>
      </w:r>
      <w:r w:rsidRPr="00B4164D">
        <w:rPr>
          <w:rFonts w:ascii="Times New Roman" w:hAnsi="Times New Roman"/>
          <w:shd w:val="clear" w:color="auto" w:fill="FFFFFF"/>
        </w:rPr>
        <w:t xml:space="preserve"> </w:t>
      </w:r>
    </w:p>
    <w:p w:rsidR="00D011C1" w:rsidRPr="00B4164D" w:rsidP="00D011C1" w14:paraId="29DD1021" w14:textId="77777777">
      <w:pPr>
        <w:rPr>
          <w:rFonts w:ascii="Times New Roman" w:hAnsi="Times New Roman"/>
          <w:shd w:val="clear" w:color="auto" w:fill="FFFFFF"/>
        </w:rPr>
      </w:pPr>
    </w:p>
    <w:p w:rsidR="00B4164D" w:rsidRPr="00B4164D" w:rsidP="00B4164D" w14:paraId="149CBA34" w14:textId="44F72B3F">
      <w:pPr>
        <w:rPr>
          <w:rFonts w:ascii="Times New Roman" w:hAnsi="Times New Roman"/>
          <w:snapToGrid w:val="0"/>
        </w:rPr>
      </w:pPr>
      <w:r w:rsidRPr="00B4164D">
        <w:rPr>
          <w:rFonts w:ascii="Times New Roman" w:hAnsi="Times New Roman"/>
          <w:snapToGrid w:val="0"/>
        </w:rPr>
        <w:t xml:space="preserve">We will implement these revisions upon OMB approval.  These revisions will not </w:t>
      </w:r>
      <w:r w:rsidR="0060314F">
        <w:rPr>
          <w:rFonts w:ascii="Times New Roman" w:hAnsi="Times New Roman"/>
          <w:snapToGrid w:val="0"/>
        </w:rPr>
        <w:t xml:space="preserve">affect </w:t>
      </w:r>
      <w:r w:rsidRPr="00B4164D">
        <w:rPr>
          <w:rFonts w:ascii="Times New Roman" w:hAnsi="Times New Roman"/>
          <w:snapToGrid w:val="0"/>
        </w:rPr>
        <w:t>the current burden for the information collection.</w:t>
      </w:r>
    </w:p>
    <w:p w:rsidR="00B4164D" w:rsidRPr="00B4164D" w:rsidP="00B4164D" w14:paraId="5BA021C0" w14:textId="77777777">
      <w:pPr>
        <w:rPr>
          <w:rFonts w:ascii="Times New Roman" w:hAnsi="Times New Roman"/>
          <w:snapToGrid w:val="0"/>
        </w:rPr>
      </w:pPr>
    </w:p>
    <w:p w:rsidR="00A81670" w:rsidRPr="00014652" w:rsidP="00A81670" w14:paraId="2D2B9A82" w14:textId="1F7D2947">
      <w:pPr>
        <w:rPr>
          <w:rFonts w:ascii="Aptos" w:hAnsi="Aptos"/>
          <w:sz w:val="22"/>
          <w:szCs w:val="22"/>
          <w:shd w:val="clear" w:color="auto" w:fill="FFFFFF"/>
        </w:rPr>
      </w:pPr>
    </w:p>
    <w:bookmarkStart w:id="1" w:name="_Hlk207187138"/>
    <w:p w:rsidR="00A81670" w:rsidRPr="00014652" w:rsidP="00A81670" w14:paraId="7CD33AD9" w14:textId="1F51E590">
      <w:pPr>
        <w:rPr>
          <w:rFonts w:ascii="Aptos" w:hAnsi="Aptos"/>
          <w:sz w:val="22"/>
          <w:szCs w:val="22"/>
        </w:rPr>
      </w:pPr>
      <w:r>
        <w:fldChar w:fldCharType="begin"/>
      </w:r>
      <w:r>
        <w:instrText>HYPERLINK "https://www.irs.gov/newsroom/irs-and-treasury-issue-final-regulations-on-e-file-for-businesses"</w:instrText>
      </w:r>
      <w:r>
        <w:fldChar w:fldCharType="separate"/>
      </w:r>
      <w:r>
        <w:fldChar w:fldCharType="end"/>
      </w:r>
      <w:r w:rsidR="00D011C1">
        <w:t xml:space="preserve"> </w:t>
      </w:r>
    </w:p>
    <w:bookmarkEnd w:id="1"/>
    <w:p w:rsidR="00146A71" w:rsidRPr="00014652" w:rsidP="00146A71" w14:paraId="46A985FE" w14:textId="4E859DED">
      <w:pPr>
        <w:rPr>
          <w:rFonts w:ascii="Aptos" w:hAnsi="Aptos"/>
          <w:sz w:val="22"/>
          <w:szCs w:val="22"/>
        </w:rPr>
      </w:pPr>
    </w:p>
    <w:p w:rsidR="00EC69A8" w:rsidP="00844EC8" w14:paraId="361F6564" w14:textId="77777777">
      <w:pPr>
        <w:rPr>
          <w:rFonts w:ascii="Times New Roman" w:hAnsi="Times New Roman"/>
          <w:snapToGrid w:val="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570A7"/>
    <w:multiLevelType w:val="hybridMultilevel"/>
    <w:tmpl w:val="FD88F0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B50F55"/>
    <w:multiLevelType w:val="hybridMultilevel"/>
    <w:tmpl w:val="DE72368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74111CA"/>
    <w:multiLevelType w:val="hybridMultilevel"/>
    <w:tmpl w:val="EA58B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365E80"/>
    <w:multiLevelType w:val="hybridMultilevel"/>
    <w:tmpl w:val="5A7E14B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4">
    <w:nsid w:val="4C3D7E8F"/>
    <w:multiLevelType w:val="hybridMultilevel"/>
    <w:tmpl w:val="EDBA88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D920B5"/>
    <w:multiLevelType w:val="hybridMultilevel"/>
    <w:tmpl w:val="B184CA1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E980FE8"/>
    <w:multiLevelType w:val="hybridMultilevel"/>
    <w:tmpl w:val="345C3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74130260">
    <w:abstractNumId w:val="8"/>
  </w:num>
  <w:num w:numId="2" w16cid:durableId="13117220">
    <w:abstractNumId w:val="6"/>
  </w:num>
  <w:num w:numId="3" w16cid:durableId="1306548512">
    <w:abstractNumId w:val="1"/>
  </w:num>
  <w:num w:numId="4" w16cid:durableId="1550410007">
    <w:abstractNumId w:val="7"/>
  </w:num>
  <w:num w:numId="5" w16cid:durableId="1925337411">
    <w:abstractNumId w:val="5"/>
  </w:num>
  <w:num w:numId="6" w16cid:durableId="465004601">
    <w:abstractNumId w:val="2"/>
  </w:num>
  <w:num w:numId="7" w16cid:durableId="1409688608">
    <w:abstractNumId w:val="0"/>
  </w:num>
  <w:num w:numId="8" w16cid:durableId="678431836">
    <w:abstractNumId w:val="4"/>
  </w:num>
  <w:num w:numId="9" w16cid:durableId="2074767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4652"/>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2BD"/>
    <w:rsid w:val="00050491"/>
    <w:rsid w:val="00050608"/>
    <w:rsid w:val="00052363"/>
    <w:rsid w:val="000554F4"/>
    <w:rsid w:val="000570EB"/>
    <w:rsid w:val="00060518"/>
    <w:rsid w:val="00060882"/>
    <w:rsid w:val="00062151"/>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207D"/>
    <w:rsid w:val="000B3D1D"/>
    <w:rsid w:val="000B75A5"/>
    <w:rsid w:val="000C0AED"/>
    <w:rsid w:val="000C49C3"/>
    <w:rsid w:val="000C5EFB"/>
    <w:rsid w:val="000C6528"/>
    <w:rsid w:val="000C6643"/>
    <w:rsid w:val="000C6BB8"/>
    <w:rsid w:val="000D1202"/>
    <w:rsid w:val="000D1796"/>
    <w:rsid w:val="000D18EE"/>
    <w:rsid w:val="000D3A20"/>
    <w:rsid w:val="000D607A"/>
    <w:rsid w:val="000E3423"/>
    <w:rsid w:val="000E57A0"/>
    <w:rsid w:val="000E68FD"/>
    <w:rsid w:val="000E6E08"/>
    <w:rsid w:val="000F172D"/>
    <w:rsid w:val="000F2C23"/>
    <w:rsid w:val="000F2DB7"/>
    <w:rsid w:val="000F3802"/>
    <w:rsid w:val="001032C6"/>
    <w:rsid w:val="00103C29"/>
    <w:rsid w:val="001061A7"/>
    <w:rsid w:val="00107CAF"/>
    <w:rsid w:val="001116B3"/>
    <w:rsid w:val="00111DEB"/>
    <w:rsid w:val="00112148"/>
    <w:rsid w:val="00113A5A"/>
    <w:rsid w:val="00115D86"/>
    <w:rsid w:val="00117A12"/>
    <w:rsid w:val="00117A16"/>
    <w:rsid w:val="00120601"/>
    <w:rsid w:val="00122001"/>
    <w:rsid w:val="0012259C"/>
    <w:rsid w:val="001254B7"/>
    <w:rsid w:val="0012773E"/>
    <w:rsid w:val="001301C6"/>
    <w:rsid w:val="00132EDF"/>
    <w:rsid w:val="0013493F"/>
    <w:rsid w:val="00141C47"/>
    <w:rsid w:val="00141CFE"/>
    <w:rsid w:val="00142238"/>
    <w:rsid w:val="001453B3"/>
    <w:rsid w:val="00145518"/>
    <w:rsid w:val="00145DD3"/>
    <w:rsid w:val="001460FF"/>
    <w:rsid w:val="00146A71"/>
    <w:rsid w:val="001515C3"/>
    <w:rsid w:val="0015505C"/>
    <w:rsid w:val="00156B07"/>
    <w:rsid w:val="00160D7C"/>
    <w:rsid w:val="001630D7"/>
    <w:rsid w:val="00163D17"/>
    <w:rsid w:val="00163D2D"/>
    <w:rsid w:val="00170FD2"/>
    <w:rsid w:val="001714A5"/>
    <w:rsid w:val="001719AE"/>
    <w:rsid w:val="00172E5C"/>
    <w:rsid w:val="0017329E"/>
    <w:rsid w:val="00175DF0"/>
    <w:rsid w:val="001760C4"/>
    <w:rsid w:val="0017674B"/>
    <w:rsid w:val="0018020D"/>
    <w:rsid w:val="0018063A"/>
    <w:rsid w:val="00182272"/>
    <w:rsid w:val="00183AAC"/>
    <w:rsid w:val="00184336"/>
    <w:rsid w:val="001846FE"/>
    <w:rsid w:val="0018699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4A0"/>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14B"/>
    <w:rsid w:val="00304CD3"/>
    <w:rsid w:val="003115D5"/>
    <w:rsid w:val="003135EE"/>
    <w:rsid w:val="003163FD"/>
    <w:rsid w:val="00317EB7"/>
    <w:rsid w:val="0032243F"/>
    <w:rsid w:val="00324E4F"/>
    <w:rsid w:val="00324F66"/>
    <w:rsid w:val="00325593"/>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2EA2"/>
    <w:rsid w:val="003B4304"/>
    <w:rsid w:val="003C2E54"/>
    <w:rsid w:val="003C3BFE"/>
    <w:rsid w:val="003C4D0B"/>
    <w:rsid w:val="003C5E4B"/>
    <w:rsid w:val="003C6050"/>
    <w:rsid w:val="003D1F97"/>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6E16"/>
    <w:rsid w:val="004203D2"/>
    <w:rsid w:val="0042044C"/>
    <w:rsid w:val="00421380"/>
    <w:rsid w:val="00422103"/>
    <w:rsid w:val="00422A98"/>
    <w:rsid w:val="004246A8"/>
    <w:rsid w:val="00424AE3"/>
    <w:rsid w:val="0042513C"/>
    <w:rsid w:val="00425A2B"/>
    <w:rsid w:val="00435966"/>
    <w:rsid w:val="00435E2E"/>
    <w:rsid w:val="00435F7A"/>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011"/>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07D58"/>
    <w:rsid w:val="00511CD2"/>
    <w:rsid w:val="00512ACD"/>
    <w:rsid w:val="00512C54"/>
    <w:rsid w:val="00513764"/>
    <w:rsid w:val="005139A6"/>
    <w:rsid w:val="005156C3"/>
    <w:rsid w:val="00524F1A"/>
    <w:rsid w:val="005267D9"/>
    <w:rsid w:val="005349ED"/>
    <w:rsid w:val="00534B32"/>
    <w:rsid w:val="00534FAA"/>
    <w:rsid w:val="005350FF"/>
    <w:rsid w:val="00535221"/>
    <w:rsid w:val="00535AE2"/>
    <w:rsid w:val="0054153A"/>
    <w:rsid w:val="005432AD"/>
    <w:rsid w:val="00544161"/>
    <w:rsid w:val="005448B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558"/>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314F"/>
    <w:rsid w:val="00605DF3"/>
    <w:rsid w:val="00606704"/>
    <w:rsid w:val="0060717F"/>
    <w:rsid w:val="00607588"/>
    <w:rsid w:val="00607D90"/>
    <w:rsid w:val="0061082D"/>
    <w:rsid w:val="0061237D"/>
    <w:rsid w:val="00612831"/>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4BE"/>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759CC"/>
    <w:rsid w:val="007839DB"/>
    <w:rsid w:val="00783A7F"/>
    <w:rsid w:val="00783C02"/>
    <w:rsid w:val="00784B71"/>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5285"/>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2DCE"/>
    <w:rsid w:val="008148FE"/>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4EC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97D03"/>
    <w:rsid w:val="008A131E"/>
    <w:rsid w:val="008A2AD5"/>
    <w:rsid w:val="008A7148"/>
    <w:rsid w:val="008B1A2D"/>
    <w:rsid w:val="008B1CEF"/>
    <w:rsid w:val="008B1FEA"/>
    <w:rsid w:val="008B7930"/>
    <w:rsid w:val="008C1B0B"/>
    <w:rsid w:val="008C238A"/>
    <w:rsid w:val="008C3BD5"/>
    <w:rsid w:val="008C7966"/>
    <w:rsid w:val="008D0BDB"/>
    <w:rsid w:val="008D2210"/>
    <w:rsid w:val="008D327C"/>
    <w:rsid w:val="008D4015"/>
    <w:rsid w:val="008D4419"/>
    <w:rsid w:val="008E2B29"/>
    <w:rsid w:val="008E33D0"/>
    <w:rsid w:val="008E3524"/>
    <w:rsid w:val="008E5809"/>
    <w:rsid w:val="008E7B0D"/>
    <w:rsid w:val="008F177D"/>
    <w:rsid w:val="008F1BF3"/>
    <w:rsid w:val="008F401C"/>
    <w:rsid w:val="008F4F79"/>
    <w:rsid w:val="008F68CA"/>
    <w:rsid w:val="008F7768"/>
    <w:rsid w:val="009004A8"/>
    <w:rsid w:val="0090086F"/>
    <w:rsid w:val="00900942"/>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94F55"/>
    <w:rsid w:val="009A2B25"/>
    <w:rsid w:val="009A6EEF"/>
    <w:rsid w:val="009B124E"/>
    <w:rsid w:val="009B25A3"/>
    <w:rsid w:val="009B3966"/>
    <w:rsid w:val="009B3B4D"/>
    <w:rsid w:val="009B3EDD"/>
    <w:rsid w:val="009B4761"/>
    <w:rsid w:val="009B55F7"/>
    <w:rsid w:val="009C462A"/>
    <w:rsid w:val="009C4AA7"/>
    <w:rsid w:val="009C4ADC"/>
    <w:rsid w:val="009C7AAE"/>
    <w:rsid w:val="009D1E89"/>
    <w:rsid w:val="009D33EA"/>
    <w:rsid w:val="009D56A2"/>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670"/>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1337"/>
    <w:rsid w:val="00B228E1"/>
    <w:rsid w:val="00B23343"/>
    <w:rsid w:val="00B239C5"/>
    <w:rsid w:val="00B25B73"/>
    <w:rsid w:val="00B26605"/>
    <w:rsid w:val="00B26859"/>
    <w:rsid w:val="00B276D2"/>
    <w:rsid w:val="00B30673"/>
    <w:rsid w:val="00B31E73"/>
    <w:rsid w:val="00B378BD"/>
    <w:rsid w:val="00B4164D"/>
    <w:rsid w:val="00B425F6"/>
    <w:rsid w:val="00B430DF"/>
    <w:rsid w:val="00B444F5"/>
    <w:rsid w:val="00B45A06"/>
    <w:rsid w:val="00B53A24"/>
    <w:rsid w:val="00B5465D"/>
    <w:rsid w:val="00B56E7B"/>
    <w:rsid w:val="00B6087F"/>
    <w:rsid w:val="00B6383B"/>
    <w:rsid w:val="00B67763"/>
    <w:rsid w:val="00B7455E"/>
    <w:rsid w:val="00B76768"/>
    <w:rsid w:val="00B77AA8"/>
    <w:rsid w:val="00B77CD1"/>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32F7"/>
    <w:rsid w:val="00BC40F9"/>
    <w:rsid w:val="00BD5339"/>
    <w:rsid w:val="00BD6256"/>
    <w:rsid w:val="00BE080A"/>
    <w:rsid w:val="00BE0B3C"/>
    <w:rsid w:val="00BE14A1"/>
    <w:rsid w:val="00BE49E3"/>
    <w:rsid w:val="00BE6963"/>
    <w:rsid w:val="00BE7BC2"/>
    <w:rsid w:val="00BF243E"/>
    <w:rsid w:val="00BF40E1"/>
    <w:rsid w:val="00C0015C"/>
    <w:rsid w:val="00C004AE"/>
    <w:rsid w:val="00C03171"/>
    <w:rsid w:val="00C03EDF"/>
    <w:rsid w:val="00C043F3"/>
    <w:rsid w:val="00C0701C"/>
    <w:rsid w:val="00C10536"/>
    <w:rsid w:val="00C108E1"/>
    <w:rsid w:val="00C10A16"/>
    <w:rsid w:val="00C10BB9"/>
    <w:rsid w:val="00C1184E"/>
    <w:rsid w:val="00C13CB4"/>
    <w:rsid w:val="00C13F1C"/>
    <w:rsid w:val="00C20916"/>
    <w:rsid w:val="00C231B1"/>
    <w:rsid w:val="00C27AFE"/>
    <w:rsid w:val="00C3006C"/>
    <w:rsid w:val="00C30296"/>
    <w:rsid w:val="00C35526"/>
    <w:rsid w:val="00C402E0"/>
    <w:rsid w:val="00C43839"/>
    <w:rsid w:val="00C44E2F"/>
    <w:rsid w:val="00C46CEB"/>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7757F"/>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11C1"/>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94B68"/>
    <w:rsid w:val="00EA13AE"/>
    <w:rsid w:val="00EA259F"/>
    <w:rsid w:val="00EA6B29"/>
    <w:rsid w:val="00EB0A2E"/>
    <w:rsid w:val="00EB122D"/>
    <w:rsid w:val="00EB1C70"/>
    <w:rsid w:val="00EB321A"/>
    <w:rsid w:val="00EB34AA"/>
    <w:rsid w:val="00EC69A8"/>
    <w:rsid w:val="00EC6A7D"/>
    <w:rsid w:val="00EC6CAF"/>
    <w:rsid w:val="00ED1BF5"/>
    <w:rsid w:val="00ED3F8C"/>
    <w:rsid w:val="00EE4833"/>
    <w:rsid w:val="00EF2106"/>
    <w:rsid w:val="00F005C8"/>
    <w:rsid w:val="00F01C7C"/>
    <w:rsid w:val="00F0281B"/>
    <w:rsid w:val="00F02DB0"/>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1102"/>
    <w:rsid w:val="00F82CC0"/>
    <w:rsid w:val="00F84745"/>
    <w:rsid w:val="00F85933"/>
    <w:rsid w:val="00F91965"/>
    <w:rsid w:val="00F9385A"/>
    <w:rsid w:val="00F95DB7"/>
    <w:rsid w:val="00FA2545"/>
    <w:rsid w:val="00FA4FEA"/>
    <w:rsid w:val="00FA50CD"/>
    <w:rsid w:val="00FA571A"/>
    <w:rsid w:val="00FA6CEF"/>
    <w:rsid w:val="00FA6EF8"/>
    <w:rsid w:val="00FB39FE"/>
    <w:rsid w:val="00FC1F21"/>
    <w:rsid w:val="00FC221A"/>
    <w:rsid w:val="00FC33C2"/>
    <w:rsid w:val="00FC423E"/>
    <w:rsid w:val="00FC4840"/>
    <w:rsid w:val="00FC5B22"/>
    <w:rsid w:val="00FC795C"/>
    <w:rsid w:val="00FD29C9"/>
    <w:rsid w:val="00FD311B"/>
    <w:rsid w:val="00FD41CB"/>
    <w:rsid w:val="00FE011A"/>
    <w:rsid w:val="00FE09AC"/>
    <w:rsid w:val="00FE22B7"/>
    <w:rsid w:val="00FE588B"/>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9FD6A"/>
  <w15:chartTrackingRefBased/>
  <w15:docId w15:val="{5E2A20A7-A7EA-401B-9BBC-7AC509A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uiPriority w:val="99"/>
    <w:unhideWhenUsed/>
    <w:rsid w:val="007759CC"/>
    <w:rPr>
      <w:color w:val="467886"/>
      <w:u w:val="single"/>
    </w:rPr>
  </w:style>
  <w:style w:type="paragraph" w:customStyle="1" w:styleId="Default">
    <w:name w:val="Default"/>
    <w:rsid w:val="00111DEB"/>
    <w:pPr>
      <w:autoSpaceDE w:val="0"/>
      <w:autoSpaceDN w:val="0"/>
      <w:adjustRightInd w:val="0"/>
    </w:pPr>
    <w:rPr>
      <w:color w:val="000000"/>
      <w:sz w:val="24"/>
      <w:szCs w:val="24"/>
    </w:rPr>
  </w:style>
  <w:style w:type="character" w:styleId="FollowedHyperlink">
    <w:name w:val="FollowedHyperlink"/>
    <w:basedOn w:val="DefaultParagraphFont"/>
    <w:rsid w:val="00D011C1"/>
    <w:rPr>
      <w:color w:val="96607D" w:themeColor="followedHyperlink"/>
      <w:u w:val="single"/>
    </w:rPr>
  </w:style>
  <w:style w:type="character" w:styleId="UnresolvedMention">
    <w:name w:val="Unresolved Mention"/>
    <w:basedOn w:val="DefaultParagraphFont"/>
    <w:uiPriority w:val="99"/>
    <w:semiHidden/>
    <w:unhideWhenUsed/>
    <w:rsid w:val="00D0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6/chapter-I/subchapter-F/part-301/subpart-ECFR1b5d05d4bfe19f9/subject-group-ECFR2bb42ef5f1a3a9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833</Words>
  <Characters>5120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7</cp:revision>
  <dcterms:created xsi:type="dcterms:W3CDTF">2025-08-27T18:00:00Z</dcterms:created>
  <dcterms:modified xsi:type="dcterms:W3CDTF">2025-09-02T17:34:00Z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30362099</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Request for Non-Substantive Changes for SSA-95-SM and SSA-95-SM2 (OMB 0960-0432)</vt:lpwstr>
  </property>
  <property fmtid="{D5CDD505-2E9C-101B-9397-08002B2CF9AE}" pid="6" name="_NewReviewCycle">
    <vt:lpwstr/>
  </property>
  <property fmtid="{D5CDD505-2E9C-101B-9397-08002B2CF9AE}" pid="7" name="_ReviewingToolsShownOnce">
    <vt:lpwstr/>
  </property>
</Properties>
</file>