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47209" w:rsidRPr="00BF0AFD" w:rsidP="00B47209" w14:paraId="71DCDDFC" w14:textId="77777777">
      <w:pPr>
        <w:autoSpaceDE w:val="0"/>
        <w:autoSpaceDN w:val="0"/>
        <w:adjustRightInd w:val="0"/>
        <w:ind w:right="-720"/>
        <w:jc w:val="center"/>
        <w:rPr>
          <w:rFonts w:ascii="Times New Roman" w:hAnsi="Times New Roman"/>
          <w:b/>
        </w:rPr>
      </w:pPr>
      <w:r w:rsidRPr="00BF0AFD">
        <w:rPr>
          <w:rFonts w:ascii="Times New Roman" w:hAnsi="Times New Roman"/>
          <w:b/>
          <w:bCs/>
        </w:rPr>
        <w:t xml:space="preserve">Addendum to </w:t>
      </w:r>
      <w:r>
        <w:rPr>
          <w:rFonts w:ascii="Times New Roman" w:hAnsi="Times New Roman"/>
          <w:b/>
        </w:rPr>
        <w:t>Supporting Statement for Form HA-4633</w:t>
      </w:r>
    </w:p>
    <w:p w:rsidR="00B47209" w:rsidRPr="001B0604" w:rsidP="00B47209" w14:paraId="413D10DF" w14:textId="77777777">
      <w:pPr>
        <w:jc w:val="center"/>
        <w:rPr>
          <w:rFonts w:ascii="Times New Roman" w:hAnsi="Times New Roman"/>
          <w:b/>
          <w:bCs/>
        </w:rPr>
      </w:pPr>
      <w:r w:rsidRPr="001B0604">
        <w:rPr>
          <w:rFonts w:ascii="Times New Roman" w:hAnsi="Times New Roman"/>
          <w:b/>
          <w:bCs/>
        </w:rPr>
        <w:t>Claimant’s Work Background</w:t>
      </w:r>
    </w:p>
    <w:p w:rsidR="00B47209" w:rsidRPr="001B0604" w:rsidP="00B47209" w14:paraId="5EBD0C75" w14:textId="77777777">
      <w:pPr>
        <w:jc w:val="center"/>
        <w:rPr>
          <w:rFonts w:ascii="Times New Roman" w:hAnsi="Times New Roman"/>
          <w:b/>
        </w:rPr>
      </w:pPr>
      <w:r w:rsidRPr="001B0604">
        <w:rPr>
          <w:rFonts w:ascii="Times New Roman" w:hAnsi="Times New Roman"/>
          <w:b/>
        </w:rPr>
        <w:t xml:space="preserve">20 CFR 404.1512(a); 404.1520(a)(4); 404.1565(b) </w:t>
      </w:r>
    </w:p>
    <w:p w:rsidR="00B47209" w:rsidRPr="001B0604" w:rsidP="00B47209" w14:paraId="1593CF5B" w14:textId="77777777">
      <w:pPr>
        <w:jc w:val="center"/>
        <w:rPr>
          <w:rFonts w:ascii="Times New Roman" w:hAnsi="Times New Roman"/>
          <w:b/>
        </w:rPr>
      </w:pPr>
      <w:r w:rsidRPr="001B0604">
        <w:rPr>
          <w:rFonts w:ascii="Times New Roman" w:hAnsi="Times New Roman"/>
          <w:b/>
        </w:rPr>
        <w:t>and 20 CFR 416.912(a); 416.920(a)(4); 416.965(b)</w:t>
      </w:r>
    </w:p>
    <w:p w:rsidR="00BF0AFD" w:rsidRPr="00FF1D3E" w:rsidP="00B47209" w14:paraId="62868A48" w14:textId="77777777">
      <w:pPr>
        <w:jc w:val="center"/>
        <w:rPr>
          <w:rFonts w:ascii="Times New Roman" w:hAnsi="Times New Roman"/>
          <w:b/>
          <w:bCs/>
        </w:rPr>
      </w:pPr>
      <w:r w:rsidRPr="001B0604">
        <w:rPr>
          <w:rFonts w:ascii="Times New Roman" w:hAnsi="Times New Roman"/>
          <w:b/>
        </w:rPr>
        <w:t>OMB No. 0960-0300</w:t>
      </w:r>
    </w:p>
    <w:p w:rsidR="00470782" w:rsidRPr="00ED5E9D" w:rsidP="00FF1D3E" w14:paraId="5E73DD26" w14:textId="77777777">
      <w:pPr>
        <w:rPr>
          <w:rFonts w:ascii="Times New Roman" w:hAnsi="Times New Roman"/>
        </w:rPr>
      </w:pPr>
    </w:p>
    <w:p w:rsidR="0003552B" w:rsidP="0003552B" w14:paraId="00F95D7D" w14:textId="77777777">
      <w:pPr>
        <w:widowControl/>
        <w:snapToGrid/>
        <w:rPr>
          <w:rFonts w:ascii="Times New Roman" w:hAnsi="Times New Roman"/>
          <w:b/>
          <w:bCs/>
          <w:u w:val="single"/>
        </w:rPr>
      </w:pPr>
      <w:r w:rsidRPr="00FF7F94">
        <w:rPr>
          <w:rFonts w:ascii="Times New Roman" w:hAnsi="Times New Roman"/>
          <w:b/>
          <w:bCs/>
          <w:u w:val="single"/>
        </w:rPr>
        <w:t xml:space="preserve">Terms of Clearance: </w:t>
      </w:r>
    </w:p>
    <w:p w:rsidR="0003552B" w:rsidP="0003552B" w14:paraId="60B70D42" w14:textId="77777777">
      <w:pPr>
        <w:widowControl/>
        <w:snapToGrid/>
        <w:rPr>
          <w:rFonts w:ascii="Times New Roman" w:hAnsi="Times New Roman"/>
          <w:b/>
          <w:bCs/>
          <w:u w:val="single"/>
        </w:rPr>
      </w:pPr>
    </w:p>
    <w:p w:rsidR="002C271C" w:rsidP="002C271C" w14:paraId="5C7DB464" w14:textId="77777777">
      <w:pPr>
        <w:widowControl/>
        <w:snapToGrid/>
        <w:rPr>
          <w:rFonts w:ascii="Times New Roman" w:hAnsi="Times New Roman"/>
        </w:rPr>
      </w:pPr>
      <w:r>
        <w:rPr>
          <w:rFonts w:ascii="Times New Roman" w:hAnsi="Times New Roman"/>
        </w:rPr>
        <w:t>On March 2, 2023, OMB placed the following Terms of Clearance on this ICR:</w:t>
      </w:r>
    </w:p>
    <w:p w:rsidR="002C271C" w:rsidP="002C271C" w14:paraId="4E56979F" w14:textId="77777777">
      <w:pPr>
        <w:widowControl/>
        <w:snapToGrid/>
        <w:rPr>
          <w:rFonts w:ascii="Times New Roman" w:hAnsi="Times New Roman"/>
        </w:rPr>
      </w:pPr>
    </w:p>
    <w:p w:rsidR="002C271C" w:rsidRPr="002C271C" w:rsidP="002C271C" w14:paraId="5858E50C" w14:textId="5D7E38D1">
      <w:pPr>
        <w:widowControl/>
        <w:snapToGrid/>
        <w:rPr>
          <w:rFonts w:ascii="Times New Roman" w:hAnsi="Times New Roman"/>
          <w:i/>
          <w:iCs/>
        </w:rPr>
      </w:pPr>
      <w:r w:rsidRPr="002C271C">
        <w:rPr>
          <w:rFonts w:ascii="Times New Roman" w:hAnsi="Times New Roman"/>
          <w:i/>
          <w:iCs/>
        </w:rPr>
        <w:t>The agency made substantial modifications to the supporting statement to provide additional</w:t>
      </w:r>
    </w:p>
    <w:p w:rsidR="002C271C" w:rsidRPr="002C271C" w:rsidP="002C271C" w14:paraId="6557E2F6" w14:textId="77777777">
      <w:pPr>
        <w:widowControl/>
        <w:snapToGrid/>
        <w:rPr>
          <w:rFonts w:ascii="Times New Roman" w:hAnsi="Times New Roman"/>
          <w:i/>
          <w:iCs/>
        </w:rPr>
      </w:pPr>
      <w:r w:rsidRPr="002C271C">
        <w:rPr>
          <w:rFonts w:ascii="Times New Roman" w:hAnsi="Times New Roman"/>
          <w:i/>
          <w:iCs/>
        </w:rPr>
        <w:t>details regarding the need for the collection, the reason respondents are selected for the</w:t>
      </w:r>
    </w:p>
    <w:p w:rsidR="002C271C" w:rsidRPr="002C271C" w:rsidP="002C271C" w14:paraId="77AADCE4" w14:textId="77777777">
      <w:pPr>
        <w:widowControl/>
        <w:snapToGrid/>
        <w:rPr>
          <w:rFonts w:ascii="Times New Roman" w:hAnsi="Times New Roman"/>
          <w:i/>
          <w:iCs/>
        </w:rPr>
      </w:pPr>
      <w:r w:rsidRPr="002C271C">
        <w:rPr>
          <w:rFonts w:ascii="Times New Roman" w:hAnsi="Times New Roman"/>
          <w:i/>
          <w:iCs/>
        </w:rPr>
        <w:t>collection, business processes surrounding the solicitation and collection of this information,</w:t>
      </w:r>
    </w:p>
    <w:p w:rsidR="002C271C" w:rsidRPr="002C271C" w:rsidP="002C271C" w14:paraId="70E91BC0" w14:textId="77777777">
      <w:pPr>
        <w:widowControl/>
        <w:snapToGrid/>
        <w:rPr>
          <w:rFonts w:ascii="Times New Roman" w:hAnsi="Times New Roman"/>
          <w:i/>
          <w:iCs/>
        </w:rPr>
      </w:pPr>
      <w:r w:rsidRPr="002C271C">
        <w:rPr>
          <w:rFonts w:ascii="Times New Roman" w:hAnsi="Times New Roman"/>
          <w:i/>
          <w:iCs/>
        </w:rPr>
        <w:t>electronic submission options, and reasons the collection is non-duplicative. The agency</w:t>
      </w:r>
    </w:p>
    <w:p w:rsidR="002C271C" w:rsidRPr="002C271C" w:rsidP="002C271C" w14:paraId="39DA7795" w14:textId="77777777">
      <w:pPr>
        <w:widowControl/>
        <w:snapToGrid/>
        <w:rPr>
          <w:rFonts w:ascii="Times New Roman" w:hAnsi="Times New Roman"/>
          <w:i/>
          <w:iCs/>
        </w:rPr>
      </w:pPr>
      <w:r w:rsidRPr="002C271C">
        <w:rPr>
          <w:rFonts w:ascii="Times New Roman" w:hAnsi="Times New Roman"/>
          <w:i/>
          <w:iCs/>
        </w:rPr>
        <w:t>should generally consider evaluating, as a part of its Learning Agenda, the degree to which</w:t>
      </w:r>
    </w:p>
    <w:p w:rsidR="002C271C" w:rsidRPr="002C271C" w:rsidP="002C271C" w14:paraId="0D2A5916" w14:textId="77777777">
      <w:pPr>
        <w:widowControl/>
        <w:snapToGrid/>
        <w:rPr>
          <w:rFonts w:ascii="Times New Roman" w:hAnsi="Times New Roman"/>
          <w:i/>
          <w:iCs/>
        </w:rPr>
      </w:pPr>
      <w:r w:rsidRPr="002C271C">
        <w:rPr>
          <w:rFonts w:ascii="Times New Roman" w:hAnsi="Times New Roman"/>
          <w:i/>
          <w:iCs/>
        </w:rPr>
        <w:t>information provided on hearings-level forms such as HA-4633 is similar to information</w:t>
      </w:r>
    </w:p>
    <w:p w:rsidR="002C271C" w:rsidRPr="002C271C" w:rsidP="002C271C" w14:paraId="682B728D" w14:textId="2CA85F2F">
      <w:pPr>
        <w:widowControl/>
        <w:snapToGrid/>
        <w:rPr>
          <w:rFonts w:ascii="Times New Roman" w:hAnsi="Times New Roman"/>
          <w:i/>
          <w:iCs/>
        </w:rPr>
      </w:pPr>
      <w:r w:rsidRPr="002C271C">
        <w:rPr>
          <w:rFonts w:ascii="Times New Roman" w:hAnsi="Times New Roman"/>
          <w:i/>
          <w:iCs/>
        </w:rPr>
        <w:t>previously provided by respondents during the initial application or reconsideration process.</w:t>
      </w:r>
    </w:p>
    <w:p w:rsidR="002C271C" w:rsidP="0003552B" w14:paraId="6DB35FB0" w14:textId="77777777">
      <w:pPr>
        <w:widowControl/>
        <w:snapToGrid/>
        <w:rPr>
          <w:rFonts w:ascii="Times New Roman" w:hAnsi="Times New Roman"/>
        </w:rPr>
      </w:pPr>
    </w:p>
    <w:p w:rsidR="002C271C" w:rsidRPr="002C271C" w:rsidP="0003552B" w14:paraId="691FEE46" w14:textId="77777777">
      <w:pPr>
        <w:widowControl/>
        <w:snapToGrid/>
        <w:rPr>
          <w:rFonts w:ascii="Times New Roman" w:hAnsi="Times New Roman"/>
          <w:b/>
          <w:bCs/>
          <w:color w:val="0000FF"/>
        </w:rPr>
      </w:pPr>
      <w:r w:rsidRPr="002C271C">
        <w:rPr>
          <w:rFonts w:ascii="Times New Roman" w:hAnsi="Times New Roman"/>
          <w:b/>
          <w:bCs/>
          <w:color w:val="0000FF"/>
        </w:rPr>
        <w:t>SSA Response:</w:t>
      </w:r>
    </w:p>
    <w:p w:rsidR="0003552B" w:rsidRPr="002C271C" w:rsidP="0003552B" w14:paraId="4E8D5211" w14:textId="55D81A5F">
      <w:pPr>
        <w:widowControl/>
        <w:snapToGrid/>
        <w:rPr>
          <w:rFonts w:ascii="Times New Roman" w:hAnsi="Times New Roman"/>
          <w:b/>
          <w:bCs/>
          <w:color w:val="0000FF"/>
          <w:u w:val="single"/>
        </w:rPr>
      </w:pPr>
      <w:r w:rsidRPr="002C271C">
        <w:rPr>
          <w:rFonts w:ascii="Times New Roman" w:hAnsi="Times New Roman"/>
          <w:color w:val="0000FF"/>
        </w:rPr>
        <w:t xml:space="preserve">The agency made modifications to the supporting statement to provide additional details regarding business processes surrounding the solicitation and collection of this information, electronic submission options, and reasons the collection is non-duplicative. </w:t>
      </w:r>
      <w:r w:rsidR="002C271C">
        <w:rPr>
          <w:rFonts w:ascii="Times New Roman" w:hAnsi="Times New Roman"/>
          <w:color w:val="0000FF"/>
        </w:rPr>
        <w:t xml:space="preserve"> </w:t>
      </w:r>
      <w:r w:rsidRPr="002C271C">
        <w:rPr>
          <w:rFonts w:ascii="Times New Roman" w:hAnsi="Times New Roman"/>
          <w:color w:val="0000FF"/>
        </w:rPr>
        <w:t xml:space="preserve">The agency is continuously evaluating as a part of its Learning Agenda, the degree to which information provided on </w:t>
      </w:r>
      <w:r w:rsidRPr="002C271C">
        <w:rPr>
          <w:rFonts w:ascii="Times New Roman" w:hAnsi="Times New Roman"/>
          <w:color w:val="0000FF"/>
        </w:rPr>
        <w:t>hearings</w:t>
      </w:r>
      <w:r w:rsidRPr="002C271C">
        <w:rPr>
          <w:rFonts w:ascii="Times New Roman" w:hAnsi="Times New Roman"/>
          <w:color w:val="0000FF"/>
        </w:rPr>
        <w:t>-level forms such as HA-4633 is similar to information previously provided by respondents during the initial application or reconsideration process</w:t>
      </w:r>
      <w:r w:rsidR="002C271C">
        <w:rPr>
          <w:rFonts w:ascii="Times New Roman" w:hAnsi="Times New Roman"/>
          <w:color w:val="0000FF"/>
        </w:rPr>
        <w:t>.  At this time, we determined that the information we collect on the HA-4633 is still necessary for the hearings process.</w:t>
      </w:r>
    </w:p>
    <w:p w:rsidR="0003552B" w:rsidP="00470782" w14:paraId="08CEA1BB" w14:textId="77777777">
      <w:pPr>
        <w:pStyle w:val="Heading7"/>
      </w:pPr>
    </w:p>
    <w:p w:rsidR="0003552B" w:rsidP="00470782" w14:paraId="1C26586C" w14:textId="77777777">
      <w:pPr>
        <w:pStyle w:val="Heading7"/>
      </w:pPr>
    </w:p>
    <w:p w:rsidR="00470782" w:rsidRPr="00ED5E9D" w:rsidP="00470782" w14:paraId="1DF7D159" w14:textId="7A1F41A5">
      <w:pPr>
        <w:pStyle w:val="Heading7"/>
      </w:pPr>
      <w:r w:rsidRPr="00ED5E9D">
        <w:t>Revisions to the Collection Instrument</w:t>
      </w:r>
    </w:p>
    <w:p w:rsidR="00470782" w:rsidRPr="00ED5E9D" w:rsidP="00470782" w14:paraId="4727154E" w14:textId="77777777">
      <w:pPr>
        <w:rPr>
          <w:rFonts w:ascii="Times New Roman" w:hAnsi="Times New Roman"/>
          <w:u w:val="single"/>
        </w:rPr>
      </w:pPr>
    </w:p>
    <w:p w:rsidR="00470782" w:rsidRPr="00ED5E9D" w:rsidP="00470782" w14:paraId="4169203C" w14:textId="23DD8E52">
      <w:pPr>
        <w:rPr>
          <w:rFonts w:ascii="Times New Roman" w:hAnsi="Times New Roman"/>
        </w:rPr>
      </w:pPr>
      <w:r w:rsidRPr="00ED5E9D">
        <w:rPr>
          <w:rFonts w:ascii="Times New Roman" w:hAnsi="Times New Roman"/>
        </w:rPr>
        <w:t>S</w:t>
      </w:r>
      <w:r w:rsidRPr="00ED5E9D" w:rsidR="00ED5E9D">
        <w:rPr>
          <w:rFonts w:ascii="Times New Roman" w:hAnsi="Times New Roman"/>
        </w:rPr>
        <w:t xml:space="preserve">SA is making </w:t>
      </w:r>
      <w:r w:rsidR="00BC5C15">
        <w:rPr>
          <w:rFonts w:ascii="Times New Roman" w:hAnsi="Times New Roman"/>
        </w:rPr>
        <w:t>the following revisions</w:t>
      </w:r>
      <w:r w:rsidR="00F906CF">
        <w:rPr>
          <w:rFonts w:ascii="Times New Roman" w:hAnsi="Times New Roman"/>
        </w:rPr>
        <w:t xml:space="preserve"> to </w:t>
      </w:r>
      <w:r w:rsidR="00F906CF">
        <w:rPr>
          <w:rFonts w:ascii="Times New Roman" w:hAnsi="Times New Roman"/>
        </w:rPr>
        <w:t>the HA</w:t>
      </w:r>
      <w:r w:rsidR="00F906CF">
        <w:rPr>
          <w:rFonts w:ascii="Times New Roman" w:hAnsi="Times New Roman"/>
        </w:rPr>
        <w:t>-4633</w:t>
      </w:r>
      <w:r w:rsidRPr="00ED5E9D" w:rsidR="00ED5E9D">
        <w:rPr>
          <w:rFonts w:ascii="Times New Roman" w:hAnsi="Times New Roman"/>
        </w:rPr>
        <w:t>:</w:t>
      </w:r>
    </w:p>
    <w:p w:rsidR="00ED5E9D" w:rsidP="00ED5E9D" w14:paraId="790681E6" w14:textId="77777777">
      <w:pPr>
        <w:rPr>
          <w:rFonts w:ascii="Times New Roman" w:hAnsi="Times New Roman"/>
        </w:rPr>
      </w:pPr>
    </w:p>
    <w:p w:rsidR="00800FE1" w:rsidRPr="002C271C" w:rsidP="002C271C" w14:paraId="5F727D4E" w14:textId="77777777">
      <w:pPr>
        <w:pStyle w:val="ListParagraph"/>
        <w:widowControl/>
        <w:numPr>
          <w:ilvl w:val="0"/>
          <w:numId w:val="3"/>
        </w:numPr>
        <w:snapToGrid/>
        <w:rPr>
          <w:rFonts w:ascii="Times New Roman" w:hAnsi="Times New Roman"/>
        </w:rPr>
      </w:pPr>
      <w:r w:rsidRPr="002C271C">
        <w:rPr>
          <w:rFonts w:ascii="Times New Roman" w:hAnsi="Times New Roman"/>
          <w:b/>
          <w:u w:val="single"/>
        </w:rPr>
        <w:t>Change #1</w:t>
      </w:r>
      <w:r w:rsidRPr="002C271C">
        <w:rPr>
          <w:rFonts w:ascii="Times New Roman" w:hAnsi="Times New Roman"/>
          <w:b/>
        </w:rPr>
        <w:t xml:space="preserve">: </w:t>
      </w:r>
      <w:r w:rsidRPr="002C271C">
        <w:rPr>
          <w:rFonts w:ascii="Times New Roman" w:hAnsi="Times New Roman"/>
        </w:rPr>
        <w:t xml:space="preserve"> </w:t>
      </w:r>
    </w:p>
    <w:p w:rsidR="00865E56" w:rsidRPr="001A316F" w:rsidP="00900EAF" w14:paraId="09B2482C" w14:textId="01442D55">
      <w:pPr>
        <w:widowControl/>
        <w:snapToGrid/>
        <w:ind w:left="360"/>
        <w:rPr>
          <w:rFonts w:ascii="Times New Roman" w:hAnsi="Times New Roman"/>
        </w:rPr>
      </w:pPr>
      <w:r w:rsidRPr="001A316F">
        <w:rPr>
          <w:rFonts w:ascii="Times New Roman" w:hAnsi="Times New Roman"/>
        </w:rPr>
        <w:t xml:space="preserve">We are now only requiring respondents to provide information on their work history (jobs worked for a minimum of 30 consecutive days) for the past 5 years, versus the previous requirement of 15 years.  We edited the form to reflect this new figure.  </w:t>
      </w:r>
      <w:r w:rsidRPr="001A316F">
        <w:rPr>
          <w:rFonts w:ascii="Times New Roman" w:hAnsi="Times New Roman"/>
        </w:rPr>
        <w:t>As well</w:t>
      </w:r>
      <w:r w:rsidRPr="001A316F">
        <w:rPr>
          <w:rFonts w:ascii="Times New Roman" w:hAnsi="Times New Roman"/>
        </w:rPr>
        <w:t>, this change lowers the expected burden time from 30 to 20 minutes to complete the form</w:t>
      </w:r>
      <w:r>
        <w:rPr>
          <w:rFonts w:ascii="Times New Roman" w:hAnsi="Times New Roman"/>
        </w:rPr>
        <w:t xml:space="preserve"> (see our burden reduction in the chart below and in #12 of the Supporting Statement)</w:t>
      </w:r>
      <w:r w:rsidRPr="001A316F" w:rsidR="00E72531">
        <w:rPr>
          <w:rFonts w:ascii="Times New Roman" w:hAnsi="Times New Roman"/>
        </w:rPr>
        <w:t xml:space="preserve">.  </w:t>
      </w:r>
    </w:p>
    <w:p w:rsidR="00865E56" w:rsidP="00865E56" w14:paraId="17877DF4" w14:textId="77777777">
      <w:pPr>
        <w:widowControl/>
        <w:snapToGrid/>
        <w:ind w:left="360"/>
        <w:rPr>
          <w:rFonts w:ascii="Times New Roman" w:hAnsi="Times New Roman"/>
        </w:rPr>
      </w:pPr>
    </w:p>
    <w:p w:rsidR="001A316F" w:rsidP="001A316F" w14:paraId="1D313A5A" w14:textId="77777777">
      <w:pPr>
        <w:widowControl/>
        <w:snapToGrid/>
        <w:ind w:left="360"/>
        <w:rPr>
          <w:rFonts w:ascii="Times New Roman" w:hAnsi="Times New Roman"/>
        </w:rPr>
      </w:pPr>
      <w:r w:rsidRPr="000F5FCA">
        <w:rPr>
          <w:rFonts w:ascii="Times New Roman" w:hAnsi="Times New Roman"/>
          <w:b/>
          <w:u w:val="single"/>
        </w:rPr>
        <w:t>Justification #1</w:t>
      </w:r>
      <w:r w:rsidRPr="00865E56">
        <w:rPr>
          <w:rFonts w:ascii="Times New Roman" w:hAnsi="Times New Roman"/>
          <w:b/>
        </w:rPr>
        <w:t>:</w:t>
      </w:r>
      <w:r>
        <w:rPr>
          <w:rFonts w:ascii="Times New Roman" w:hAnsi="Times New Roman"/>
        </w:rPr>
        <w:t xml:space="preserve">  </w:t>
      </w:r>
      <w:bookmarkStart w:id="0" w:name="_Hlk203728582"/>
    </w:p>
    <w:p w:rsidR="001A316F" w:rsidP="001A316F" w14:paraId="266B3C36" w14:textId="77777777">
      <w:pPr>
        <w:widowControl/>
        <w:snapToGrid/>
        <w:ind w:left="360"/>
        <w:rPr>
          <w:rFonts w:ascii="Times New Roman" w:hAnsi="Times New Roman"/>
        </w:rPr>
      </w:pPr>
      <w:r>
        <w:rPr>
          <w:rFonts w:ascii="Times New Roman" w:hAnsi="Times New Roman"/>
          <w:color w:val="000000"/>
        </w:rPr>
        <w:t xml:space="preserve">On April 18, 2024, we published the final rule (FR), </w:t>
      </w:r>
      <w:r w:rsidRPr="00956AF0">
        <w:rPr>
          <w:rFonts w:ascii="Times New Roman" w:hAnsi="Times New Roman"/>
          <w:b/>
          <w:bCs/>
          <w:i/>
          <w:iCs/>
          <w:color w:val="000000"/>
        </w:rPr>
        <w:t>Intermediate Improvement to the</w:t>
      </w:r>
    </w:p>
    <w:p w:rsidR="001A316F" w:rsidRPr="001A316F" w:rsidP="001A316F" w14:paraId="68A43545" w14:textId="6CD6981D">
      <w:pPr>
        <w:widowControl/>
        <w:snapToGrid/>
        <w:ind w:left="360"/>
        <w:rPr>
          <w:rFonts w:ascii="Times New Roman" w:hAnsi="Times New Roman"/>
        </w:rPr>
      </w:pPr>
      <w:r w:rsidRPr="00956AF0">
        <w:rPr>
          <w:rFonts w:ascii="Times New Roman" w:hAnsi="Times New Roman"/>
          <w:b/>
          <w:bCs/>
          <w:i/>
          <w:iCs/>
          <w:color w:val="000000"/>
        </w:rPr>
        <w:t>Disability Adjudication Process,</w:t>
      </w:r>
      <w:r>
        <w:rPr>
          <w:rFonts w:ascii="Times New Roman" w:hAnsi="Times New Roman"/>
          <w:b/>
          <w:bCs/>
          <w:i/>
          <w:iCs/>
          <w:color w:val="000000"/>
        </w:rPr>
        <w:t xml:space="preserve"> </w:t>
      </w:r>
      <w:r w:rsidRPr="00956AF0">
        <w:rPr>
          <w:rFonts w:ascii="Times New Roman" w:hAnsi="Times New Roman"/>
          <w:b/>
          <w:bCs/>
          <w:i/>
          <w:iCs/>
          <w:color w:val="000000"/>
        </w:rPr>
        <w:t>Including How We Consider Past Work</w:t>
      </w:r>
      <w:r>
        <w:rPr>
          <w:rFonts w:ascii="Times New Roman" w:hAnsi="Times New Roman"/>
          <w:color w:val="000000"/>
        </w:rPr>
        <w:t xml:space="preserve"> at 89 FR 27653.  At the time of publication, we also submitted a new Information Collection Request (ICR), which OMB approved under 0960-0834 on May 28, 2024.  The FR</w:t>
      </w:r>
      <w:r>
        <w:rPr>
          <w:rFonts w:ascii="Times New Roman" w:hAnsi="Times New Roman"/>
          <w:color w:val="000000"/>
        </w:rPr>
        <w:noBreakHyphen/>
        <w:t xml:space="preserve">related ICR, 0960-0834, combined all of the FR-related changes for all of the forms associated with the FR.  Upon </w:t>
      </w:r>
      <w:r>
        <w:rPr>
          <w:rFonts w:ascii="Times New Roman" w:hAnsi="Times New Roman"/>
          <w:color w:val="000000"/>
        </w:rPr>
        <w:t xml:space="preserve">OMB’s approval of the ICR 0960-0834, we integrated the requested changes to Form </w:t>
      </w:r>
      <w:r w:rsidRPr="001A316F">
        <w:rPr>
          <w:rFonts w:ascii="Times New Roman" w:hAnsi="Times New Roman"/>
          <w:color w:val="000000"/>
          <w:vertAlign w:val="subscript"/>
        </w:rPr>
        <w:t>HA4633</w:t>
      </w:r>
      <w:r>
        <w:rPr>
          <w:rFonts w:ascii="Times New Roman" w:hAnsi="Times New Roman"/>
          <w:color w:val="000000"/>
        </w:rPr>
        <w:t xml:space="preserve"> which OMB approved.</w:t>
      </w:r>
    </w:p>
    <w:p w:rsidR="001A316F" w:rsidP="001A316F" w14:paraId="7E9C7F8A" w14:textId="77777777">
      <w:pPr>
        <w:rPr>
          <w:rFonts w:ascii="Times New Roman" w:hAnsi="Times New Roman"/>
          <w:color w:val="000000"/>
        </w:rPr>
      </w:pPr>
    </w:p>
    <w:p w:rsidR="00A80218" w:rsidP="001A316F" w14:paraId="5E38007E" w14:textId="33D7E57F">
      <w:pPr>
        <w:widowControl/>
        <w:snapToGrid/>
        <w:ind w:left="360"/>
        <w:rPr>
          <w:rFonts w:ascii="Times New Roman" w:hAnsi="Times New Roman"/>
          <w:color w:val="000000"/>
        </w:rPr>
      </w:pPr>
      <w:r>
        <w:rPr>
          <w:rFonts w:ascii="Times New Roman" w:hAnsi="Times New Roman"/>
          <w:color w:val="000000"/>
        </w:rPr>
        <w:t xml:space="preserve">As per our agreement with OMB when we received the approval for 0960-0834, we are now moving the regulatory changes to Form HA-4633 which we implemented due to the FR back under </w:t>
      </w:r>
      <w:bookmarkEnd w:id="0"/>
      <w:r>
        <w:rPr>
          <w:rFonts w:ascii="Times New Roman" w:hAnsi="Times New Roman"/>
          <w:color w:val="000000"/>
        </w:rPr>
        <w:t>the already established OMB approval for this form (0960-0</w:t>
      </w:r>
      <w:r>
        <w:rPr>
          <w:rFonts w:ascii="Times New Roman" w:hAnsi="Times New Roman"/>
          <w:color w:val="000000"/>
        </w:rPr>
        <w:t>300</w:t>
      </w:r>
      <w:r>
        <w:rPr>
          <w:rFonts w:ascii="Times New Roman" w:hAnsi="Times New Roman"/>
          <w:color w:val="000000"/>
        </w:rPr>
        <w:t>).</w:t>
      </w:r>
    </w:p>
    <w:p w:rsidR="001A316F" w:rsidRPr="001A316F" w:rsidP="001A316F" w14:paraId="0B0DBC62" w14:textId="77777777">
      <w:pPr>
        <w:widowControl/>
        <w:snapToGrid/>
        <w:ind w:left="360"/>
        <w:rPr>
          <w:rFonts w:ascii="Times New Roman" w:hAnsi="Times New Roman"/>
        </w:rPr>
      </w:pPr>
    </w:p>
    <w:p w:rsidR="001A316F" w:rsidRPr="001A316F" w:rsidP="001A316F" w14:paraId="3ADBA72D" w14:textId="7FC1D4E4">
      <w:pPr>
        <w:widowControl/>
        <w:snapToGrid/>
        <w:ind w:left="360"/>
        <w:rPr>
          <w:rFonts w:ascii="Times New Roman" w:hAnsi="Times New Roman"/>
        </w:rPr>
      </w:pPr>
      <w:r w:rsidRPr="001A316F">
        <w:rPr>
          <w:rFonts w:ascii="Times New Roman" w:hAnsi="Times New Roman"/>
        </w:rPr>
        <w:t>Therefore, w</w:t>
      </w:r>
      <w:r w:rsidRPr="001A316F">
        <w:rPr>
          <w:rFonts w:ascii="Times New Roman" w:hAnsi="Times New Roman"/>
        </w:rPr>
        <w:t>e made this change to align with the new requirements of the final rule.  We</w:t>
      </w:r>
      <w:r w:rsidRPr="001A316F">
        <w:rPr>
          <w:rFonts w:ascii="Times New Roman" w:hAnsi="Times New Roman"/>
        </w:rPr>
        <w:t xml:space="preserve"> are also incorporating the</w:t>
      </w:r>
      <w:r w:rsidRPr="001A316F">
        <w:rPr>
          <w:rFonts w:ascii="Times New Roman" w:hAnsi="Times New Roman"/>
        </w:rPr>
        <w:t xml:space="preserve"> reduced burden estimate because we are requiring respondents to provide significantly less information than previously, so it </w:t>
      </w:r>
      <w:r w:rsidRPr="001A316F">
        <w:rPr>
          <w:rFonts w:ascii="Times New Roman" w:hAnsi="Times New Roman"/>
        </w:rPr>
        <w:t>now</w:t>
      </w:r>
      <w:r w:rsidRPr="001A316F">
        <w:rPr>
          <w:rFonts w:ascii="Times New Roman" w:hAnsi="Times New Roman"/>
        </w:rPr>
        <w:t xml:space="preserve"> take</w:t>
      </w:r>
      <w:r w:rsidRPr="001A316F">
        <w:rPr>
          <w:rFonts w:ascii="Times New Roman" w:hAnsi="Times New Roman"/>
        </w:rPr>
        <w:t>s</w:t>
      </w:r>
      <w:r w:rsidRPr="001A316F">
        <w:rPr>
          <w:rFonts w:ascii="Times New Roman" w:hAnsi="Times New Roman"/>
        </w:rPr>
        <w:t xml:space="preserve"> them much less time to complete the form.  </w:t>
      </w:r>
      <w:r>
        <w:rPr>
          <w:rFonts w:ascii="Times New Roman" w:hAnsi="Times New Roman"/>
        </w:rPr>
        <w:t>In addition</w:t>
      </w:r>
      <w:r w:rsidRPr="001A316F">
        <w:rPr>
          <w:rFonts w:ascii="Times New Roman" w:hAnsi="Times New Roman"/>
        </w:rPr>
        <w:t>, the information we are asking respondents to document will be more recent, and as such will presumably take less time to recall</w:t>
      </w:r>
      <w:r w:rsidRPr="001A316F">
        <w:rPr>
          <w:rFonts w:ascii="Times New Roman" w:hAnsi="Times New Roman"/>
        </w:rPr>
        <w:t>.</w:t>
      </w:r>
    </w:p>
    <w:p w:rsidR="001A316F" w:rsidP="001A316F" w14:paraId="7504F4F0" w14:textId="77777777">
      <w:pPr>
        <w:widowControl/>
        <w:snapToGrid/>
        <w:ind w:left="360"/>
        <w:rPr>
          <w:rFonts w:ascii="Times New Roman" w:hAnsi="Times New Roman"/>
        </w:rPr>
      </w:pPr>
    </w:p>
    <w:p w:rsidR="00800FE1" w:rsidRPr="002C271C" w:rsidP="002C271C" w14:paraId="57D16202" w14:textId="77777777">
      <w:pPr>
        <w:pStyle w:val="ListParagraph"/>
        <w:widowControl/>
        <w:numPr>
          <w:ilvl w:val="0"/>
          <w:numId w:val="3"/>
        </w:numPr>
        <w:snapToGrid/>
        <w:rPr>
          <w:rFonts w:ascii="Times New Roman" w:hAnsi="Times New Roman"/>
        </w:rPr>
      </w:pPr>
      <w:r w:rsidRPr="002C271C">
        <w:rPr>
          <w:rFonts w:ascii="Times New Roman" w:hAnsi="Times New Roman"/>
          <w:b/>
          <w:u w:val="single"/>
        </w:rPr>
        <w:t>Change #2</w:t>
      </w:r>
      <w:r w:rsidRPr="002C271C">
        <w:rPr>
          <w:rFonts w:ascii="Times New Roman" w:hAnsi="Times New Roman"/>
          <w:b/>
        </w:rPr>
        <w:t xml:space="preserve">: </w:t>
      </w:r>
      <w:r w:rsidRPr="002C271C">
        <w:rPr>
          <w:rFonts w:ascii="Times New Roman" w:hAnsi="Times New Roman"/>
        </w:rPr>
        <w:t xml:space="preserve"> </w:t>
      </w:r>
    </w:p>
    <w:p w:rsidR="00A80218" w:rsidP="00A80218" w14:paraId="58FA6405" w14:textId="3923996C">
      <w:pPr>
        <w:widowControl/>
        <w:snapToGrid/>
        <w:ind w:left="360"/>
        <w:rPr>
          <w:rFonts w:ascii="Times New Roman" w:hAnsi="Times New Roman"/>
        </w:rPr>
      </w:pPr>
      <w:r>
        <w:rPr>
          <w:rFonts w:ascii="Times New Roman" w:hAnsi="Times New Roman"/>
        </w:rPr>
        <w:t xml:space="preserve">We added a </w:t>
      </w:r>
      <w:r w:rsidR="00800FE1">
        <w:rPr>
          <w:rFonts w:ascii="Times New Roman" w:hAnsi="Times New Roman"/>
        </w:rPr>
        <w:t>P</w:t>
      </w:r>
      <w:r>
        <w:rPr>
          <w:rFonts w:ascii="Times New Roman" w:hAnsi="Times New Roman"/>
        </w:rPr>
        <w:t xml:space="preserve">sychological </w:t>
      </w:r>
      <w:r w:rsidR="00800FE1">
        <w:rPr>
          <w:rFonts w:ascii="Times New Roman" w:hAnsi="Times New Roman"/>
        </w:rPr>
        <w:t>C</w:t>
      </w:r>
      <w:r>
        <w:rPr>
          <w:rFonts w:ascii="Times New Roman" w:hAnsi="Times New Roman"/>
        </w:rPr>
        <w:t xml:space="preserve">ost as a requirement per </w:t>
      </w:r>
      <w:r w:rsidR="00800FE1">
        <w:rPr>
          <w:rFonts w:ascii="Times New Roman" w:hAnsi="Times New Roman"/>
        </w:rPr>
        <w:t xml:space="preserve">the </w:t>
      </w:r>
      <w:r w:rsidR="008469B7">
        <w:rPr>
          <w:rFonts w:ascii="Times New Roman" w:hAnsi="Times New Roman"/>
        </w:rPr>
        <w:t>Office of Information and Regulatory Affairs</w:t>
      </w:r>
      <w:r w:rsidR="00800FE1">
        <w:rPr>
          <w:rFonts w:ascii="Times New Roman" w:hAnsi="Times New Roman"/>
        </w:rPr>
        <w:t xml:space="preserve"> Memorandum</w:t>
      </w:r>
      <w:r w:rsidRPr="00800FE1" w:rsidR="00800FE1">
        <w:rPr>
          <w:rFonts w:ascii="Times New Roman" w:hAnsi="Times New Roman"/>
        </w:rPr>
        <w:t xml:space="preserve"> </w:t>
      </w:r>
      <w:r w:rsidR="00800FE1">
        <w:rPr>
          <w:rFonts w:ascii="Times New Roman" w:hAnsi="Times New Roman"/>
        </w:rPr>
        <w:t xml:space="preserve">M-22-10 </w:t>
      </w:r>
      <w:r>
        <w:rPr>
          <w:rFonts w:ascii="Times New Roman" w:hAnsi="Times New Roman"/>
        </w:rPr>
        <w:t>issued on April 13, 2022.</w:t>
      </w:r>
    </w:p>
    <w:p w:rsidR="00A80218" w:rsidP="00FF7F94" w14:paraId="3E1596E6" w14:textId="77777777">
      <w:pPr>
        <w:widowControl/>
        <w:snapToGrid/>
        <w:ind w:left="360"/>
        <w:rPr>
          <w:rFonts w:ascii="Times New Roman" w:hAnsi="Times New Roman"/>
        </w:rPr>
      </w:pPr>
    </w:p>
    <w:p w:rsidR="00800FE1" w:rsidP="00800FE1" w14:paraId="4C9A5992" w14:textId="77777777">
      <w:pPr>
        <w:widowControl/>
        <w:snapToGrid/>
        <w:ind w:left="360"/>
        <w:rPr>
          <w:rFonts w:ascii="Times New Roman" w:hAnsi="Times New Roman"/>
          <w:b/>
        </w:rPr>
      </w:pPr>
      <w:r w:rsidRPr="000F5FCA">
        <w:rPr>
          <w:rFonts w:ascii="Times New Roman" w:hAnsi="Times New Roman"/>
          <w:b/>
          <w:u w:val="single"/>
        </w:rPr>
        <w:t>Justification #</w:t>
      </w:r>
      <w:r>
        <w:rPr>
          <w:rFonts w:ascii="Times New Roman" w:hAnsi="Times New Roman"/>
          <w:b/>
          <w:u w:val="single"/>
        </w:rPr>
        <w:t>2:</w:t>
      </w:r>
      <w:r w:rsidRPr="00800FE1">
        <w:rPr>
          <w:rFonts w:ascii="Times New Roman" w:hAnsi="Times New Roman"/>
          <w:b/>
        </w:rPr>
        <w:t xml:space="preserve"> </w:t>
      </w:r>
    </w:p>
    <w:p w:rsidR="00BB5A08" w:rsidRPr="00800FE1" w:rsidP="00800FE1" w14:paraId="05A32FAD" w14:textId="6E11C19D">
      <w:pPr>
        <w:widowControl/>
        <w:snapToGrid/>
        <w:ind w:left="360"/>
        <w:rPr>
          <w:rFonts w:ascii="Times New Roman" w:hAnsi="Times New Roman"/>
        </w:rPr>
      </w:pPr>
      <w:r>
        <w:rPr>
          <w:rFonts w:ascii="Times New Roman" w:hAnsi="Times New Roman"/>
        </w:rPr>
        <w:t>Office of Information and Regulatory Affairs</w:t>
      </w:r>
      <w:r w:rsidR="00800FE1">
        <w:rPr>
          <w:rFonts w:ascii="Times New Roman" w:hAnsi="Times New Roman"/>
        </w:rPr>
        <w:t xml:space="preserve"> Memorandum</w:t>
      </w:r>
      <w:r w:rsidRPr="00800FE1" w:rsidR="00800FE1">
        <w:rPr>
          <w:rFonts w:ascii="Times New Roman" w:hAnsi="Times New Roman"/>
        </w:rPr>
        <w:t xml:space="preserve"> </w:t>
      </w:r>
      <w:r w:rsidR="00800FE1">
        <w:rPr>
          <w:rFonts w:ascii="Times New Roman" w:hAnsi="Times New Roman"/>
        </w:rPr>
        <w:t>M-22-10 issued on April 13, 2022</w:t>
      </w:r>
      <w:r w:rsidR="00800FE1">
        <w:rPr>
          <w:rFonts w:ascii="Times New Roman" w:hAnsi="Times New Roman"/>
          <w:bCs/>
        </w:rPr>
        <w:t xml:space="preserve">, states Psychological Costs must be reported. As a result, SSA is adding Psychological Costs. </w:t>
      </w:r>
    </w:p>
    <w:p w:rsidR="00FF7F94" w:rsidP="00FF7F94" w14:paraId="78B6D127" w14:textId="77777777">
      <w:pPr>
        <w:widowControl/>
        <w:snapToGrid/>
        <w:ind w:left="360"/>
        <w:rPr>
          <w:rFonts w:ascii="Times New Roman" w:hAnsi="Times New Roman"/>
        </w:rPr>
      </w:pPr>
    </w:p>
    <w:p w:rsidR="001A316F" w:rsidP="001A316F" w14:paraId="43E7A5AE" w14:textId="77777777">
      <w:pPr>
        <w:pStyle w:val="ListParagraph"/>
        <w:ind w:left="0"/>
        <w:rPr>
          <w:rFonts w:ascii="Times New Roman" w:hAnsi="Times New Roman"/>
          <w:bCs/>
        </w:rPr>
      </w:pPr>
      <w:r>
        <w:rPr>
          <w:rFonts w:ascii="Times New Roman" w:hAnsi="Times New Roman"/>
          <w:b/>
          <w:u w:val="single"/>
        </w:rPr>
        <w:t>Burden Reduction Due to the Implementation of the FR, as Per the Documentation Under 0960-0834:</w:t>
      </w:r>
    </w:p>
    <w:p w:rsidR="001A316F" w:rsidP="001A316F" w14:paraId="28CBD788" w14:textId="77777777">
      <w:pPr>
        <w:pStyle w:val="ListParagraph"/>
        <w:ind w:left="0"/>
        <w:rPr>
          <w:rFonts w:ascii="Times New Roman" w:hAnsi="Times New Roman"/>
          <w:bCs/>
        </w:rPr>
      </w:pPr>
    </w:p>
    <w:p w:rsidR="001A316F" w:rsidP="001A316F" w14:paraId="2F1855A6" w14:textId="4B42CFCD">
      <w:pPr>
        <w:pStyle w:val="ListParagraph"/>
        <w:ind w:left="0"/>
        <w:rPr>
          <w:rFonts w:ascii="Times New Roman" w:hAnsi="Times New Roman"/>
          <w:bCs/>
        </w:rPr>
      </w:pPr>
      <w:r>
        <w:rPr>
          <w:rFonts w:ascii="Times New Roman" w:hAnsi="Times New Roman"/>
          <w:bCs/>
        </w:rPr>
        <w:t>The following chart shows the burden reduction for Form HA-4633, associated with the</w:t>
      </w:r>
      <w:r>
        <w:rPr>
          <w:rFonts w:ascii="Times New Roman" w:hAnsi="Times New Roman"/>
          <w:bCs/>
        </w:rPr>
        <w:t xml:space="preserve"> final rule</w:t>
      </w:r>
      <w:r>
        <w:rPr>
          <w:rFonts w:ascii="Times New Roman" w:hAnsi="Times New Roman"/>
          <w:bCs/>
        </w:rPr>
        <w:t>, which OMB approved on May 28, 2025:</w:t>
      </w:r>
    </w:p>
    <w:p w:rsidR="001A316F" w:rsidP="001A316F" w14:paraId="539A8198" w14:textId="77777777">
      <w:pPr>
        <w:pStyle w:val="ListParagraph"/>
        <w:ind w:left="0"/>
        <w:rPr>
          <w:rFonts w:ascii="Times New Roman" w:hAnsi="Times New Roman"/>
          <w:bCs/>
        </w:rPr>
      </w:pPr>
    </w:p>
    <w:tbl>
      <w:tblPr>
        <w:tblStyle w:val="TableGrid"/>
        <w:tblW w:w="11610" w:type="dxa"/>
        <w:tblInd w:w="-1422" w:type="dxa"/>
        <w:tblLayout w:type="fixed"/>
        <w:tblLook w:val="04A0"/>
      </w:tblPr>
      <w:tblGrid>
        <w:gridCol w:w="1530"/>
        <w:gridCol w:w="1530"/>
        <w:gridCol w:w="1350"/>
        <w:gridCol w:w="1260"/>
        <w:gridCol w:w="1620"/>
        <w:gridCol w:w="1440"/>
        <w:gridCol w:w="1440"/>
        <w:gridCol w:w="1440"/>
      </w:tblGrid>
      <w:tr w14:paraId="598B5E5D" w14:textId="77777777" w:rsidTr="001A3A0C">
        <w:tblPrEx>
          <w:tblW w:w="11610" w:type="dxa"/>
          <w:tblInd w:w="-1422" w:type="dxa"/>
          <w:tblLayout w:type="fixed"/>
          <w:tblLook w:val="04A0"/>
        </w:tblPrEx>
        <w:trPr>
          <w:tblHeader/>
        </w:trPr>
        <w:tc>
          <w:tcPr>
            <w:tcW w:w="1530" w:type="dxa"/>
            <w:shd w:val="clear" w:color="auto" w:fill="FFFF00"/>
          </w:tcPr>
          <w:p w:rsidR="001A316F" w:rsidP="001A3A0C" w14:paraId="696A7836" w14:textId="77777777">
            <w:pPr>
              <w:pStyle w:val="ListParagraph"/>
              <w:ind w:left="0"/>
              <w:rPr>
                <w:rFonts w:ascii="Times New Roman" w:hAnsi="Times New Roman"/>
                <w:bCs/>
              </w:rPr>
            </w:pPr>
            <w:r>
              <w:rPr>
                <w:rFonts w:ascii="Times New Roman" w:hAnsi="Times New Roman"/>
                <w:b/>
                <w:bCs/>
              </w:rPr>
              <w:t>OMB #;</w:t>
            </w:r>
            <w:r>
              <w:rPr>
                <w:rFonts w:ascii="Times New Roman" w:hAnsi="Times New Roman"/>
                <w:b/>
                <w:bCs/>
              </w:rPr>
              <w:t xml:space="preserve"> </w:t>
            </w:r>
            <w:r>
              <w:rPr>
                <w:rFonts w:ascii="Times New Roman" w:hAnsi="Times New Roman"/>
                <w:b/>
                <w:bCs/>
              </w:rPr>
              <w:t>Form #;</w:t>
            </w:r>
            <w:r>
              <w:rPr>
                <w:rFonts w:ascii="Times New Roman" w:hAnsi="Times New Roman"/>
                <w:b/>
                <w:bCs/>
              </w:rPr>
              <w:t xml:space="preserve"> CFR Citations</w:t>
            </w:r>
          </w:p>
        </w:tc>
        <w:tc>
          <w:tcPr>
            <w:tcW w:w="1530" w:type="dxa"/>
            <w:shd w:val="clear" w:color="auto" w:fill="FFFF00"/>
          </w:tcPr>
          <w:p w:rsidR="001A316F" w:rsidP="001A3A0C" w14:paraId="3492A136" w14:textId="77777777">
            <w:pPr>
              <w:pStyle w:val="ListParagraph"/>
              <w:ind w:left="0"/>
              <w:rPr>
                <w:rFonts w:ascii="Times New Roman" w:hAnsi="Times New Roman"/>
                <w:bCs/>
              </w:rPr>
            </w:pPr>
            <w:r>
              <w:rPr>
                <w:rFonts w:ascii="Times New Roman" w:hAnsi="Times New Roman"/>
                <w:b/>
                <w:bCs/>
              </w:rPr>
              <w:t>Number of Respondents</w:t>
            </w:r>
          </w:p>
        </w:tc>
        <w:tc>
          <w:tcPr>
            <w:tcW w:w="1350" w:type="dxa"/>
            <w:shd w:val="clear" w:color="auto" w:fill="FFFF00"/>
          </w:tcPr>
          <w:p w:rsidR="001A316F" w:rsidP="001A3A0C" w14:paraId="783F562D" w14:textId="77777777">
            <w:pPr>
              <w:pStyle w:val="ListParagraph"/>
              <w:ind w:left="0"/>
              <w:rPr>
                <w:rFonts w:ascii="Times New Roman" w:hAnsi="Times New Roman"/>
                <w:bCs/>
              </w:rPr>
            </w:pPr>
            <w:r>
              <w:rPr>
                <w:rFonts w:ascii="Times New Roman" w:hAnsi="Times New Roman"/>
                <w:b/>
                <w:bCs/>
              </w:rPr>
              <w:t xml:space="preserve">Frequency of Response </w:t>
            </w:r>
          </w:p>
        </w:tc>
        <w:tc>
          <w:tcPr>
            <w:tcW w:w="1260" w:type="dxa"/>
            <w:shd w:val="clear" w:color="auto" w:fill="FFFF00"/>
          </w:tcPr>
          <w:p w:rsidR="001A316F" w:rsidP="001A3A0C" w14:paraId="30D9FA14" w14:textId="77777777">
            <w:pPr>
              <w:pStyle w:val="ListParagraph"/>
              <w:ind w:left="0"/>
              <w:rPr>
                <w:rFonts w:ascii="Times New Roman" w:hAnsi="Times New Roman"/>
                <w:bCs/>
              </w:rPr>
            </w:pPr>
            <w:r>
              <w:rPr>
                <w:rFonts w:ascii="Times New Roman" w:hAnsi="Times New Roman"/>
                <w:b/>
                <w:bCs/>
              </w:rPr>
              <w:t>Current Average Burden Per Response (minutes)</w:t>
            </w:r>
          </w:p>
        </w:tc>
        <w:tc>
          <w:tcPr>
            <w:tcW w:w="1620" w:type="dxa"/>
            <w:shd w:val="clear" w:color="auto" w:fill="FFFF00"/>
          </w:tcPr>
          <w:p w:rsidR="001A316F" w:rsidP="001A3A0C" w14:paraId="355BA350" w14:textId="77777777">
            <w:pPr>
              <w:pStyle w:val="ListParagraph"/>
              <w:ind w:left="0"/>
              <w:rPr>
                <w:rFonts w:ascii="Times New Roman" w:hAnsi="Times New Roman"/>
                <w:bCs/>
              </w:rPr>
            </w:pPr>
            <w:r>
              <w:rPr>
                <w:rFonts w:ascii="Times New Roman" w:hAnsi="Times New Roman"/>
                <w:b/>
                <w:bCs/>
              </w:rPr>
              <w:t>Current Estimated Total Burden (hours)</w:t>
            </w:r>
          </w:p>
        </w:tc>
        <w:tc>
          <w:tcPr>
            <w:tcW w:w="1440" w:type="dxa"/>
            <w:shd w:val="clear" w:color="auto" w:fill="FFFF00"/>
          </w:tcPr>
          <w:p w:rsidR="001A316F" w:rsidP="001A3A0C" w14:paraId="179509EF" w14:textId="77777777">
            <w:pPr>
              <w:pStyle w:val="ListParagraph"/>
              <w:ind w:left="0"/>
              <w:rPr>
                <w:rFonts w:ascii="Times New Roman" w:hAnsi="Times New Roman"/>
                <w:bCs/>
              </w:rPr>
            </w:pPr>
            <w:r>
              <w:rPr>
                <w:rFonts w:ascii="Times New Roman" w:hAnsi="Times New Roman"/>
                <w:b/>
                <w:bCs/>
              </w:rPr>
              <w:t>New Burden Per Response Under Regulation (minutes)</w:t>
            </w:r>
          </w:p>
        </w:tc>
        <w:tc>
          <w:tcPr>
            <w:tcW w:w="1440" w:type="dxa"/>
            <w:shd w:val="clear" w:color="auto" w:fill="FFFF00"/>
          </w:tcPr>
          <w:p w:rsidR="001A316F" w:rsidP="001A3A0C" w14:paraId="4BAACF72" w14:textId="77777777">
            <w:pPr>
              <w:pStyle w:val="ListParagraph"/>
              <w:ind w:left="0"/>
              <w:rPr>
                <w:rFonts w:ascii="Times New Roman" w:hAnsi="Times New Roman"/>
                <w:bCs/>
              </w:rPr>
            </w:pPr>
            <w:r>
              <w:rPr>
                <w:rFonts w:ascii="Times New Roman" w:hAnsi="Times New Roman"/>
                <w:b/>
                <w:bCs/>
              </w:rPr>
              <w:t>Anticipated Estimated Total Burden Under Regulation (hours)</w:t>
            </w:r>
          </w:p>
        </w:tc>
        <w:tc>
          <w:tcPr>
            <w:tcW w:w="1440" w:type="dxa"/>
            <w:shd w:val="clear" w:color="auto" w:fill="FFFF00"/>
          </w:tcPr>
          <w:p w:rsidR="001A316F" w:rsidP="001A3A0C" w14:paraId="72E51609" w14:textId="77777777">
            <w:pPr>
              <w:pStyle w:val="ListParagraph"/>
              <w:ind w:left="0"/>
              <w:rPr>
                <w:rFonts w:ascii="Times New Roman" w:hAnsi="Times New Roman"/>
                <w:bCs/>
              </w:rPr>
            </w:pPr>
            <w:r>
              <w:rPr>
                <w:rFonts w:ascii="Times New Roman" w:hAnsi="Times New Roman"/>
                <w:b/>
                <w:bCs/>
              </w:rPr>
              <w:t>Estimated Burden Savings</w:t>
            </w:r>
          </w:p>
        </w:tc>
      </w:tr>
      <w:tr w14:paraId="6C655B4B" w14:textId="77777777" w:rsidTr="001A3A0C">
        <w:tblPrEx>
          <w:tblW w:w="11610" w:type="dxa"/>
          <w:tblInd w:w="-1422" w:type="dxa"/>
          <w:tblLayout w:type="fixed"/>
          <w:tblLook w:val="04A0"/>
        </w:tblPrEx>
        <w:tc>
          <w:tcPr>
            <w:tcW w:w="1530" w:type="dxa"/>
            <w:vAlign w:val="center"/>
          </w:tcPr>
          <w:p w:rsidR="00E40CA9" w:rsidP="00E40CA9" w14:paraId="52B002CE" w14:textId="77777777">
            <w:pPr>
              <w:pStyle w:val="ListParagraph"/>
              <w:ind w:left="0"/>
              <w:rPr>
                <w:rFonts w:ascii="Times New Roman" w:hAnsi="Times New Roman"/>
                <w:bCs/>
              </w:rPr>
            </w:pPr>
            <w:r w:rsidRPr="00A53910">
              <w:rPr>
                <w:rFonts w:ascii="Times New Roman" w:hAnsi="Times New Roman"/>
              </w:rPr>
              <w:t>0960-0300 HA-4633 (Paper Form)</w:t>
            </w:r>
            <w:r w:rsidRPr="00A53910">
              <w:rPr>
                <w:rFonts w:ascii="Times New Roman" w:hAnsi="Times New Roman"/>
              </w:rPr>
              <w:br/>
              <w:t>40</w:t>
            </w:r>
            <w:r>
              <w:rPr>
                <w:rFonts w:ascii="Times New Roman" w:hAnsi="Times New Roman"/>
              </w:rPr>
              <w:t>4</w:t>
            </w:r>
            <w:r w:rsidRPr="00A53910">
              <w:rPr>
                <w:rFonts w:ascii="Times New Roman" w:hAnsi="Times New Roman"/>
              </w:rPr>
              <w:t>.1560;</w:t>
            </w:r>
            <w:r w:rsidRPr="00A53910">
              <w:rPr>
                <w:rFonts w:ascii="Times New Roman" w:hAnsi="Times New Roman"/>
              </w:rPr>
              <w:br/>
              <w:t>416.960</w:t>
            </w:r>
          </w:p>
        </w:tc>
        <w:tc>
          <w:tcPr>
            <w:tcW w:w="1530" w:type="dxa"/>
          </w:tcPr>
          <w:p w:rsidR="00E40CA9" w:rsidP="00E40CA9" w14:paraId="45687DB0" w14:textId="70D6D71D">
            <w:pPr>
              <w:pStyle w:val="ListParagraph"/>
              <w:ind w:left="0"/>
              <w:jc w:val="right"/>
              <w:rPr>
                <w:rFonts w:ascii="Times New Roman" w:hAnsi="Times New Roman"/>
                <w:bCs/>
              </w:rPr>
            </w:pPr>
            <w:r>
              <w:rPr>
                <w:rFonts w:ascii="Times New Roman" w:hAnsi="Times New Roman"/>
              </w:rPr>
              <w:t>48,450</w:t>
            </w:r>
          </w:p>
        </w:tc>
        <w:tc>
          <w:tcPr>
            <w:tcW w:w="1350" w:type="dxa"/>
          </w:tcPr>
          <w:p w:rsidR="00E40CA9" w:rsidP="00E40CA9" w14:paraId="54AAB582" w14:textId="77777777">
            <w:pPr>
              <w:pStyle w:val="ListParagraph"/>
              <w:ind w:left="0"/>
              <w:jc w:val="right"/>
              <w:rPr>
                <w:rFonts w:ascii="Times New Roman" w:hAnsi="Times New Roman"/>
                <w:bCs/>
              </w:rPr>
            </w:pPr>
            <w:r w:rsidRPr="00303618">
              <w:rPr>
                <w:rFonts w:ascii="Times New Roman" w:hAnsi="Times New Roman"/>
              </w:rPr>
              <w:t>1</w:t>
            </w:r>
          </w:p>
        </w:tc>
        <w:tc>
          <w:tcPr>
            <w:tcW w:w="1260" w:type="dxa"/>
          </w:tcPr>
          <w:p w:rsidR="00E40CA9" w:rsidP="00E40CA9" w14:paraId="34021DA2" w14:textId="77777777">
            <w:pPr>
              <w:pStyle w:val="ListParagraph"/>
              <w:ind w:left="0"/>
              <w:jc w:val="right"/>
              <w:rPr>
                <w:rFonts w:ascii="Times New Roman" w:hAnsi="Times New Roman"/>
                <w:bCs/>
              </w:rPr>
            </w:pPr>
            <w:r w:rsidRPr="00303618">
              <w:rPr>
                <w:rFonts w:ascii="Times New Roman" w:hAnsi="Times New Roman"/>
              </w:rPr>
              <w:t>30</w:t>
            </w:r>
          </w:p>
        </w:tc>
        <w:tc>
          <w:tcPr>
            <w:tcW w:w="1620" w:type="dxa"/>
          </w:tcPr>
          <w:p w:rsidR="00E40CA9" w:rsidP="00E40CA9" w14:paraId="5037AEC9" w14:textId="3A4B0E23">
            <w:pPr>
              <w:pStyle w:val="ListParagraph"/>
              <w:ind w:left="0"/>
              <w:jc w:val="right"/>
              <w:rPr>
                <w:rFonts w:ascii="Times New Roman" w:hAnsi="Times New Roman"/>
                <w:bCs/>
              </w:rPr>
            </w:pPr>
            <w:r>
              <w:rPr>
                <w:rFonts w:ascii="Times New Roman" w:hAnsi="Times New Roman"/>
              </w:rPr>
              <w:t>24,225</w:t>
            </w:r>
          </w:p>
        </w:tc>
        <w:tc>
          <w:tcPr>
            <w:tcW w:w="1440" w:type="dxa"/>
          </w:tcPr>
          <w:p w:rsidR="00E40CA9" w:rsidP="00E40CA9" w14:paraId="0339342F" w14:textId="77777777">
            <w:pPr>
              <w:pStyle w:val="ListParagraph"/>
              <w:ind w:left="0"/>
              <w:jc w:val="right"/>
              <w:rPr>
                <w:rFonts w:ascii="Times New Roman" w:hAnsi="Times New Roman"/>
                <w:bCs/>
              </w:rPr>
            </w:pPr>
            <w:r w:rsidRPr="00303618">
              <w:rPr>
                <w:rFonts w:ascii="Times New Roman" w:hAnsi="Times New Roman"/>
              </w:rPr>
              <w:t>20</w:t>
            </w:r>
          </w:p>
        </w:tc>
        <w:tc>
          <w:tcPr>
            <w:tcW w:w="1440" w:type="dxa"/>
          </w:tcPr>
          <w:p w:rsidR="00E40CA9" w:rsidP="00E40CA9" w14:paraId="44939669" w14:textId="6B8E135B">
            <w:pPr>
              <w:pStyle w:val="ListParagraph"/>
              <w:ind w:left="0"/>
              <w:jc w:val="right"/>
              <w:rPr>
                <w:rFonts w:ascii="Times New Roman" w:hAnsi="Times New Roman"/>
                <w:bCs/>
              </w:rPr>
            </w:pPr>
            <w:r>
              <w:rPr>
                <w:rFonts w:ascii="Times New Roman" w:hAnsi="Times New Roman"/>
              </w:rPr>
              <w:t>16,150</w:t>
            </w:r>
          </w:p>
        </w:tc>
        <w:tc>
          <w:tcPr>
            <w:tcW w:w="1440" w:type="dxa"/>
          </w:tcPr>
          <w:p w:rsidR="00E40CA9" w:rsidP="00E40CA9" w14:paraId="6CFE21D8" w14:textId="715248AD">
            <w:pPr>
              <w:pStyle w:val="ListParagraph"/>
              <w:ind w:left="0"/>
              <w:jc w:val="right"/>
              <w:rPr>
                <w:rFonts w:ascii="Times New Roman" w:hAnsi="Times New Roman"/>
                <w:bCs/>
              </w:rPr>
            </w:pPr>
            <w:r>
              <w:rPr>
                <w:rFonts w:ascii="Times New Roman" w:hAnsi="Times New Roman"/>
              </w:rPr>
              <w:t>8,075</w:t>
            </w:r>
          </w:p>
        </w:tc>
      </w:tr>
      <w:tr w14:paraId="0FF2718C" w14:textId="77777777" w:rsidTr="001A3A0C">
        <w:tblPrEx>
          <w:tblW w:w="11610" w:type="dxa"/>
          <w:tblInd w:w="-1422" w:type="dxa"/>
          <w:tblLayout w:type="fixed"/>
          <w:tblLook w:val="04A0"/>
        </w:tblPrEx>
        <w:tc>
          <w:tcPr>
            <w:tcW w:w="1530" w:type="dxa"/>
            <w:vAlign w:val="center"/>
          </w:tcPr>
          <w:p w:rsidR="00E40CA9" w:rsidP="00E40CA9" w14:paraId="076C47F5" w14:textId="77777777">
            <w:pPr>
              <w:pStyle w:val="ListParagraph"/>
              <w:ind w:left="0"/>
              <w:rPr>
                <w:rFonts w:ascii="Times New Roman" w:hAnsi="Times New Roman"/>
                <w:bCs/>
              </w:rPr>
            </w:pPr>
            <w:r w:rsidRPr="00A53910">
              <w:rPr>
                <w:rFonts w:ascii="Times New Roman" w:hAnsi="Times New Roman"/>
              </w:rPr>
              <w:t>0960-0300 HA-4633 (ERE)</w:t>
            </w:r>
            <w:r w:rsidRPr="00A53910">
              <w:rPr>
                <w:rFonts w:ascii="Times New Roman" w:hAnsi="Times New Roman"/>
              </w:rPr>
              <w:br/>
              <w:t>40</w:t>
            </w:r>
            <w:r>
              <w:rPr>
                <w:rFonts w:ascii="Times New Roman" w:hAnsi="Times New Roman"/>
              </w:rPr>
              <w:t>4</w:t>
            </w:r>
            <w:r w:rsidRPr="00A53910">
              <w:rPr>
                <w:rFonts w:ascii="Times New Roman" w:hAnsi="Times New Roman"/>
              </w:rPr>
              <w:t>.1560;</w:t>
            </w:r>
            <w:r w:rsidRPr="00A53910">
              <w:rPr>
                <w:rFonts w:ascii="Times New Roman" w:hAnsi="Times New Roman"/>
              </w:rPr>
              <w:br/>
              <w:t>416.960</w:t>
            </w:r>
          </w:p>
        </w:tc>
        <w:tc>
          <w:tcPr>
            <w:tcW w:w="1530" w:type="dxa"/>
          </w:tcPr>
          <w:p w:rsidR="00E40CA9" w:rsidP="00E40CA9" w14:paraId="60113148" w14:textId="1EEAAE46">
            <w:pPr>
              <w:pStyle w:val="ListParagraph"/>
              <w:ind w:left="0"/>
              <w:jc w:val="right"/>
              <w:rPr>
                <w:rFonts w:ascii="Times New Roman" w:hAnsi="Times New Roman"/>
                <w:bCs/>
              </w:rPr>
            </w:pPr>
            <w:r>
              <w:rPr>
                <w:rFonts w:ascii="Times New Roman" w:hAnsi="Times New Roman"/>
              </w:rPr>
              <w:t>236,550</w:t>
            </w:r>
          </w:p>
        </w:tc>
        <w:tc>
          <w:tcPr>
            <w:tcW w:w="1350" w:type="dxa"/>
          </w:tcPr>
          <w:p w:rsidR="00E40CA9" w:rsidP="00E40CA9" w14:paraId="0E9C889A" w14:textId="77777777">
            <w:pPr>
              <w:pStyle w:val="ListParagraph"/>
              <w:ind w:left="0"/>
              <w:jc w:val="right"/>
              <w:rPr>
                <w:rFonts w:ascii="Times New Roman" w:hAnsi="Times New Roman"/>
                <w:bCs/>
              </w:rPr>
            </w:pPr>
            <w:r w:rsidRPr="00303618">
              <w:rPr>
                <w:rFonts w:ascii="Times New Roman" w:hAnsi="Times New Roman"/>
              </w:rPr>
              <w:t>1</w:t>
            </w:r>
          </w:p>
        </w:tc>
        <w:tc>
          <w:tcPr>
            <w:tcW w:w="1260" w:type="dxa"/>
          </w:tcPr>
          <w:p w:rsidR="00E40CA9" w:rsidP="00E40CA9" w14:paraId="26312F93" w14:textId="77777777">
            <w:pPr>
              <w:pStyle w:val="ListParagraph"/>
              <w:ind w:left="0"/>
              <w:jc w:val="right"/>
              <w:rPr>
                <w:rFonts w:ascii="Times New Roman" w:hAnsi="Times New Roman"/>
                <w:bCs/>
              </w:rPr>
            </w:pPr>
            <w:r w:rsidRPr="00303618">
              <w:rPr>
                <w:rFonts w:ascii="Times New Roman" w:hAnsi="Times New Roman"/>
              </w:rPr>
              <w:t>30</w:t>
            </w:r>
          </w:p>
        </w:tc>
        <w:tc>
          <w:tcPr>
            <w:tcW w:w="1620" w:type="dxa"/>
          </w:tcPr>
          <w:p w:rsidR="00E40CA9" w:rsidP="00E40CA9" w14:paraId="47FAD3A6" w14:textId="0736D8A3">
            <w:pPr>
              <w:pStyle w:val="ListParagraph"/>
              <w:ind w:left="0"/>
              <w:jc w:val="right"/>
              <w:rPr>
                <w:rFonts w:ascii="Times New Roman" w:hAnsi="Times New Roman"/>
                <w:bCs/>
              </w:rPr>
            </w:pPr>
            <w:r>
              <w:rPr>
                <w:rFonts w:ascii="Times New Roman" w:hAnsi="Times New Roman"/>
              </w:rPr>
              <w:t>118,275</w:t>
            </w:r>
          </w:p>
        </w:tc>
        <w:tc>
          <w:tcPr>
            <w:tcW w:w="1440" w:type="dxa"/>
          </w:tcPr>
          <w:p w:rsidR="00E40CA9" w:rsidP="00E40CA9" w14:paraId="7C965873" w14:textId="77777777">
            <w:pPr>
              <w:pStyle w:val="ListParagraph"/>
              <w:ind w:left="0"/>
              <w:jc w:val="right"/>
              <w:rPr>
                <w:rFonts w:ascii="Times New Roman" w:hAnsi="Times New Roman"/>
                <w:bCs/>
              </w:rPr>
            </w:pPr>
            <w:r w:rsidRPr="00303618">
              <w:rPr>
                <w:rFonts w:ascii="Times New Roman" w:hAnsi="Times New Roman"/>
              </w:rPr>
              <w:t>20</w:t>
            </w:r>
          </w:p>
        </w:tc>
        <w:tc>
          <w:tcPr>
            <w:tcW w:w="1440" w:type="dxa"/>
          </w:tcPr>
          <w:p w:rsidR="00E40CA9" w:rsidP="00E40CA9" w14:paraId="2ECC291E" w14:textId="318CE875">
            <w:pPr>
              <w:pStyle w:val="ListParagraph"/>
              <w:ind w:left="0"/>
              <w:jc w:val="right"/>
              <w:rPr>
                <w:rFonts w:ascii="Times New Roman" w:hAnsi="Times New Roman"/>
                <w:bCs/>
              </w:rPr>
            </w:pPr>
            <w:r>
              <w:rPr>
                <w:rFonts w:ascii="Times New Roman" w:hAnsi="Times New Roman"/>
              </w:rPr>
              <w:t>78,850</w:t>
            </w:r>
          </w:p>
        </w:tc>
        <w:tc>
          <w:tcPr>
            <w:tcW w:w="1440" w:type="dxa"/>
          </w:tcPr>
          <w:p w:rsidR="00E40CA9" w:rsidP="00E40CA9" w14:paraId="695228C1" w14:textId="667DE4FE">
            <w:pPr>
              <w:pStyle w:val="ListParagraph"/>
              <w:ind w:left="0"/>
              <w:jc w:val="right"/>
              <w:rPr>
                <w:rFonts w:ascii="Times New Roman" w:hAnsi="Times New Roman"/>
                <w:bCs/>
              </w:rPr>
            </w:pPr>
            <w:r>
              <w:rPr>
                <w:rFonts w:ascii="Times New Roman" w:hAnsi="Times New Roman"/>
              </w:rPr>
              <w:t>39,425</w:t>
            </w:r>
          </w:p>
        </w:tc>
      </w:tr>
      <w:tr w14:paraId="0307AAA4" w14:textId="77777777" w:rsidTr="001A3A0C">
        <w:tblPrEx>
          <w:tblW w:w="11610" w:type="dxa"/>
          <w:tblInd w:w="-1422" w:type="dxa"/>
          <w:tblLayout w:type="fixed"/>
          <w:tblLook w:val="04A0"/>
        </w:tblPrEx>
        <w:tc>
          <w:tcPr>
            <w:tcW w:w="1530" w:type="dxa"/>
          </w:tcPr>
          <w:p w:rsidR="00E40CA9" w:rsidP="00E40CA9" w14:paraId="62FABDE2" w14:textId="77777777">
            <w:pPr>
              <w:pStyle w:val="ListParagraph"/>
              <w:ind w:left="0"/>
              <w:rPr>
                <w:rFonts w:ascii="Times New Roman" w:hAnsi="Times New Roman"/>
                <w:bCs/>
              </w:rPr>
            </w:pPr>
            <w:r w:rsidRPr="0007656D">
              <w:rPr>
                <w:rFonts w:ascii="Times New Roman" w:hAnsi="Times New Roman"/>
                <w:b/>
                <w:bCs/>
              </w:rPr>
              <w:t>Totals</w:t>
            </w:r>
          </w:p>
        </w:tc>
        <w:tc>
          <w:tcPr>
            <w:tcW w:w="1530" w:type="dxa"/>
          </w:tcPr>
          <w:p w:rsidR="00E40CA9" w:rsidP="00E40CA9" w14:paraId="48535F84" w14:textId="3FE49366">
            <w:pPr>
              <w:pStyle w:val="ListParagraph"/>
              <w:ind w:left="0"/>
              <w:jc w:val="right"/>
              <w:rPr>
                <w:rFonts w:ascii="Times New Roman" w:hAnsi="Times New Roman"/>
                <w:bCs/>
              </w:rPr>
            </w:pPr>
            <w:r>
              <w:rPr>
                <w:rFonts w:ascii="Times New Roman" w:hAnsi="Times New Roman"/>
                <w:b/>
              </w:rPr>
              <w:t>285,000</w:t>
            </w:r>
          </w:p>
        </w:tc>
        <w:tc>
          <w:tcPr>
            <w:tcW w:w="1350" w:type="dxa"/>
          </w:tcPr>
          <w:p w:rsidR="00E40CA9" w:rsidP="00E40CA9" w14:paraId="418431AE" w14:textId="77777777">
            <w:pPr>
              <w:pStyle w:val="ListParagraph"/>
              <w:ind w:left="0"/>
              <w:jc w:val="right"/>
              <w:rPr>
                <w:rFonts w:ascii="Times New Roman" w:hAnsi="Times New Roman"/>
                <w:bCs/>
              </w:rPr>
            </w:pPr>
          </w:p>
        </w:tc>
        <w:tc>
          <w:tcPr>
            <w:tcW w:w="1260" w:type="dxa"/>
          </w:tcPr>
          <w:p w:rsidR="00E40CA9" w:rsidP="00E40CA9" w14:paraId="0772BB2D" w14:textId="77777777">
            <w:pPr>
              <w:pStyle w:val="ListParagraph"/>
              <w:ind w:left="0"/>
              <w:jc w:val="right"/>
              <w:rPr>
                <w:rFonts w:ascii="Times New Roman" w:hAnsi="Times New Roman"/>
                <w:bCs/>
              </w:rPr>
            </w:pPr>
          </w:p>
        </w:tc>
        <w:tc>
          <w:tcPr>
            <w:tcW w:w="1620" w:type="dxa"/>
          </w:tcPr>
          <w:p w:rsidR="00E40CA9" w:rsidP="00E40CA9" w14:paraId="57837474" w14:textId="0AF91F91">
            <w:pPr>
              <w:pStyle w:val="ListParagraph"/>
              <w:ind w:left="0"/>
              <w:jc w:val="right"/>
              <w:rPr>
                <w:rFonts w:ascii="Times New Roman" w:hAnsi="Times New Roman"/>
                <w:bCs/>
              </w:rPr>
            </w:pPr>
            <w:r>
              <w:rPr>
                <w:rFonts w:ascii="Times New Roman" w:hAnsi="Times New Roman"/>
                <w:b/>
                <w:snapToGrid w:val="0"/>
              </w:rPr>
              <w:t>142,500</w:t>
            </w:r>
          </w:p>
        </w:tc>
        <w:tc>
          <w:tcPr>
            <w:tcW w:w="1440" w:type="dxa"/>
          </w:tcPr>
          <w:p w:rsidR="00E40CA9" w:rsidP="00E40CA9" w14:paraId="69176E70" w14:textId="77777777">
            <w:pPr>
              <w:pStyle w:val="ListParagraph"/>
              <w:ind w:left="0"/>
              <w:jc w:val="right"/>
              <w:rPr>
                <w:rFonts w:ascii="Times New Roman" w:hAnsi="Times New Roman"/>
                <w:bCs/>
              </w:rPr>
            </w:pPr>
          </w:p>
        </w:tc>
        <w:tc>
          <w:tcPr>
            <w:tcW w:w="1440" w:type="dxa"/>
          </w:tcPr>
          <w:p w:rsidR="00E40CA9" w:rsidRPr="000863A6" w:rsidP="00E40CA9" w14:paraId="42F4B8E5" w14:textId="64B77595">
            <w:pPr>
              <w:pStyle w:val="ListParagraph"/>
              <w:ind w:left="0"/>
              <w:jc w:val="right"/>
              <w:rPr>
                <w:rFonts w:ascii="Times New Roman" w:hAnsi="Times New Roman"/>
                <w:b/>
              </w:rPr>
            </w:pPr>
            <w:r>
              <w:rPr>
                <w:rFonts w:ascii="Times New Roman" w:hAnsi="Times New Roman"/>
                <w:b/>
              </w:rPr>
              <w:t>95,000</w:t>
            </w:r>
          </w:p>
        </w:tc>
        <w:tc>
          <w:tcPr>
            <w:tcW w:w="1440" w:type="dxa"/>
          </w:tcPr>
          <w:p w:rsidR="00E40CA9" w:rsidRPr="000863A6" w:rsidP="00E40CA9" w14:paraId="41660CD9" w14:textId="3004C30F">
            <w:pPr>
              <w:pStyle w:val="ListParagraph"/>
              <w:tabs>
                <w:tab w:val="left" w:pos="1095"/>
              </w:tabs>
              <w:ind w:left="0"/>
              <w:jc w:val="right"/>
              <w:rPr>
                <w:rFonts w:ascii="Times New Roman" w:hAnsi="Times New Roman"/>
                <w:b/>
              </w:rPr>
            </w:pPr>
            <w:r>
              <w:rPr>
                <w:rFonts w:ascii="Times New Roman" w:hAnsi="Times New Roman"/>
                <w:b/>
              </w:rPr>
              <w:t>47,500</w:t>
            </w:r>
          </w:p>
        </w:tc>
      </w:tr>
    </w:tbl>
    <w:p w:rsidR="001A316F" w:rsidRPr="0007656D" w:rsidP="001A316F" w14:paraId="582A05D5" w14:textId="77777777">
      <w:pPr>
        <w:pStyle w:val="ListParagraph"/>
        <w:ind w:left="0"/>
        <w:rPr>
          <w:rFonts w:ascii="Times New Roman" w:hAnsi="Times New Roman"/>
          <w:bCs/>
        </w:rPr>
      </w:pPr>
    </w:p>
    <w:p w:rsidR="001A316F" w:rsidP="001A316F" w14:paraId="5F2E9552" w14:textId="77777777">
      <w:pPr>
        <w:pStyle w:val="ListParagraph"/>
        <w:ind w:left="0"/>
        <w:rPr>
          <w:rFonts w:ascii="Times New Roman" w:hAnsi="Times New Roman"/>
          <w:snapToGrid w:val="0"/>
        </w:rPr>
      </w:pPr>
      <w:r w:rsidRPr="0007656D">
        <w:rPr>
          <w:rFonts w:ascii="Times New Roman" w:hAnsi="Times New Roman"/>
          <w:snapToGrid w:val="0"/>
        </w:rPr>
        <w:t>The following chart shows the theoretical cost burdens associated with the final rule:</w:t>
      </w:r>
    </w:p>
    <w:p w:rsidR="001A316F" w:rsidP="001A316F" w14:paraId="19234C93" w14:textId="77777777">
      <w:pPr>
        <w:pStyle w:val="ListParagraph"/>
        <w:ind w:left="0"/>
        <w:rPr>
          <w:rFonts w:ascii="Times New Roman" w:hAnsi="Times New Roman"/>
          <w:snapToGrid w:val="0"/>
        </w:rPr>
      </w:pPr>
    </w:p>
    <w:tbl>
      <w:tblPr>
        <w:tblStyle w:val="TableGrid"/>
        <w:tblW w:w="9810" w:type="dxa"/>
        <w:tblInd w:w="85" w:type="dxa"/>
        <w:tblLook w:val="04A0"/>
      </w:tblPr>
      <w:tblGrid>
        <w:gridCol w:w="1723"/>
        <w:gridCol w:w="1523"/>
        <w:gridCol w:w="2128"/>
        <w:gridCol w:w="2126"/>
        <w:gridCol w:w="2310"/>
      </w:tblGrid>
      <w:tr w14:paraId="00A0EED6" w14:textId="77777777" w:rsidTr="00E40CA9">
        <w:tblPrEx>
          <w:tblW w:w="9810" w:type="dxa"/>
          <w:tblInd w:w="85" w:type="dxa"/>
          <w:tblLook w:val="04A0"/>
        </w:tblPrEx>
        <w:tc>
          <w:tcPr>
            <w:tcW w:w="1723" w:type="dxa"/>
            <w:shd w:val="clear" w:color="auto" w:fill="FFFF00"/>
          </w:tcPr>
          <w:p w:rsidR="00E40CA9" w:rsidP="00E40CA9" w14:paraId="26C8F671" w14:textId="77777777">
            <w:pPr>
              <w:pStyle w:val="ListParagraph"/>
              <w:ind w:left="0"/>
              <w:rPr>
                <w:rFonts w:ascii="Times New Roman" w:hAnsi="Times New Roman"/>
                <w:b/>
                <w:bCs/>
              </w:rPr>
            </w:pPr>
            <w:r>
              <w:rPr>
                <w:rFonts w:ascii="Times New Roman" w:hAnsi="Times New Roman"/>
                <w:b/>
                <w:bCs/>
              </w:rPr>
              <w:t xml:space="preserve">OMB </w:t>
            </w:r>
            <w:r>
              <w:rPr>
                <w:rFonts w:ascii="Times New Roman" w:hAnsi="Times New Roman"/>
                <w:b/>
                <w:bCs/>
              </w:rPr>
              <w:t>#;</w:t>
            </w:r>
            <w:r>
              <w:rPr>
                <w:rFonts w:ascii="Times New Roman" w:hAnsi="Times New Roman"/>
                <w:b/>
                <w:bCs/>
              </w:rPr>
              <w:t xml:space="preserve"> </w:t>
            </w:r>
          </w:p>
          <w:p w:rsidR="00E40CA9" w:rsidP="00E40CA9" w14:paraId="39716906" w14:textId="77777777">
            <w:pPr>
              <w:pStyle w:val="ListParagraph"/>
              <w:ind w:left="0"/>
              <w:rPr>
                <w:rFonts w:ascii="Times New Roman" w:hAnsi="Times New Roman"/>
                <w:b/>
                <w:bCs/>
              </w:rPr>
            </w:pPr>
            <w:r>
              <w:rPr>
                <w:rFonts w:ascii="Times New Roman" w:hAnsi="Times New Roman"/>
                <w:b/>
                <w:bCs/>
              </w:rPr>
              <w:t xml:space="preserve">Form </w:t>
            </w:r>
            <w:r>
              <w:rPr>
                <w:rFonts w:ascii="Times New Roman" w:hAnsi="Times New Roman"/>
                <w:b/>
                <w:bCs/>
              </w:rPr>
              <w:t>#;</w:t>
            </w:r>
            <w:r>
              <w:rPr>
                <w:rFonts w:ascii="Times New Roman" w:hAnsi="Times New Roman"/>
                <w:b/>
                <w:bCs/>
              </w:rPr>
              <w:t xml:space="preserve"> </w:t>
            </w:r>
          </w:p>
          <w:p w:rsidR="00F906CF" w:rsidP="00E40CA9" w14:paraId="7A3D5873" w14:textId="06A31536">
            <w:pPr>
              <w:pStyle w:val="ListParagraph"/>
              <w:ind w:left="0"/>
              <w:rPr>
                <w:rFonts w:ascii="Times New Roman" w:hAnsi="Times New Roman"/>
                <w:bCs/>
                <w:snapToGrid w:val="0"/>
              </w:rPr>
            </w:pPr>
            <w:r>
              <w:rPr>
                <w:rFonts w:ascii="Times New Roman" w:hAnsi="Times New Roman"/>
                <w:b/>
                <w:bCs/>
              </w:rPr>
              <w:t>CFR Citations</w:t>
            </w:r>
          </w:p>
        </w:tc>
        <w:tc>
          <w:tcPr>
            <w:tcW w:w="1523" w:type="dxa"/>
            <w:shd w:val="clear" w:color="auto" w:fill="FFFF00"/>
          </w:tcPr>
          <w:p w:rsidR="00F906CF" w:rsidP="001A3A0C" w14:paraId="1E7724B2" w14:textId="77777777">
            <w:pPr>
              <w:pStyle w:val="ListParagraph"/>
              <w:ind w:left="0"/>
              <w:rPr>
                <w:rFonts w:ascii="Times New Roman" w:hAnsi="Times New Roman"/>
                <w:bCs/>
                <w:snapToGrid w:val="0"/>
              </w:rPr>
            </w:pPr>
            <w:r>
              <w:rPr>
                <w:rFonts w:ascii="Times New Roman" w:hAnsi="Times New Roman"/>
                <w:b/>
                <w:bCs/>
              </w:rPr>
              <w:t>Number of Respondents</w:t>
            </w:r>
          </w:p>
        </w:tc>
        <w:tc>
          <w:tcPr>
            <w:tcW w:w="2128" w:type="dxa"/>
            <w:shd w:val="clear" w:color="auto" w:fill="FFFF00"/>
          </w:tcPr>
          <w:p w:rsidR="00F906CF" w:rsidP="001A3A0C" w14:paraId="5BC79050" w14:textId="77777777">
            <w:pPr>
              <w:pStyle w:val="ListParagraph"/>
              <w:ind w:left="0"/>
              <w:rPr>
                <w:rFonts w:ascii="Times New Roman" w:hAnsi="Times New Roman"/>
                <w:bCs/>
                <w:snapToGrid w:val="0"/>
              </w:rPr>
            </w:pPr>
            <w:r>
              <w:rPr>
                <w:rFonts w:ascii="Times New Roman" w:hAnsi="Times New Roman"/>
                <w:b/>
                <w:bCs/>
              </w:rPr>
              <w:t>Anticipated Estimated Total Burden Under Regulation from Chart Above (hours)</w:t>
            </w:r>
          </w:p>
        </w:tc>
        <w:tc>
          <w:tcPr>
            <w:tcW w:w="2126" w:type="dxa"/>
            <w:shd w:val="clear" w:color="auto" w:fill="FFFF00"/>
          </w:tcPr>
          <w:p w:rsidR="00F906CF" w:rsidP="001A3A0C" w14:paraId="11F82A20" w14:textId="77777777">
            <w:pPr>
              <w:pStyle w:val="ListParagraph"/>
              <w:ind w:left="0"/>
              <w:rPr>
                <w:rFonts w:ascii="Times New Roman" w:hAnsi="Times New Roman"/>
                <w:bCs/>
                <w:snapToGrid w:val="0"/>
              </w:rPr>
            </w:pPr>
            <w:r>
              <w:rPr>
                <w:rFonts w:ascii="Times New Roman" w:hAnsi="Times New Roman"/>
                <w:b/>
                <w:bCs/>
              </w:rPr>
              <w:t>Average Theoretical Hourly Cost Amount (dollars)*</w:t>
            </w:r>
          </w:p>
        </w:tc>
        <w:tc>
          <w:tcPr>
            <w:tcW w:w="2310" w:type="dxa"/>
            <w:shd w:val="clear" w:color="auto" w:fill="FFFF00"/>
          </w:tcPr>
          <w:p w:rsidR="00F906CF" w:rsidP="001A3A0C" w14:paraId="35906C8B" w14:textId="588D59A2">
            <w:pPr>
              <w:pStyle w:val="ListParagraph"/>
              <w:ind w:left="0"/>
              <w:rPr>
                <w:rFonts w:ascii="Times New Roman" w:hAnsi="Times New Roman"/>
                <w:bCs/>
                <w:snapToGrid w:val="0"/>
              </w:rPr>
            </w:pPr>
            <w:r>
              <w:rPr>
                <w:rFonts w:ascii="Times New Roman" w:hAnsi="Times New Roman"/>
                <w:b/>
                <w:bCs/>
              </w:rPr>
              <w:t>Total Annual Opportunity Cost (dollars)**</w:t>
            </w:r>
          </w:p>
        </w:tc>
      </w:tr>
      <w:tr w14:paraId="3727648D" w14:textId="77777777" w:rsidTr="00E40CA9">
        <w:tblPrEx>
          <w:tblW w:w="9810" w:type="dxa"/>
          <w:tblInd w:w="85" w:type="dxa"/>
          <w:tblLook w:val="04A0"/>
        </w:tblPrEx>
        <w:tc>
          <w:tcPr>
            <w:tcW w:w="1723" w:type="dxa"/>
            <w:vAlign w:val="center"/>
          </w:tcPr>
          <w:p w:rsidR="00E40CA9" w:rsidP="00E40CA9" w14:paraId="38F72F28" w14:textId="77777777">
            <w:pPr>
              <w:rPr>
                <w:rFonts w:ascii="Times New Roman" w:hAnsi="Times New Roman"/>
              </w:rPr>
            </w:pPr>
            <w:r w:rsidRPr="00424E4B">
              <w:rPr>
                <w:rFonts w:ascii="Times New Roman" w:hAnsi="Times New Roman"/>
              </w:rPr>
              <w:t xml:space="preserve">0960-0300 </w:t>
            </w:r>
          </w:p>
          <w:p w:rsidR="00E40CA9" w:rsidP="00E40CA9" w14:paraId="7DD8D9D6" w14:textId="77777777">
            <w:pPr>
              <w:rPr>
                <w:rFonts w:ascii="Times New Roman" w:hAnsi="Times New Roman"/>
              </w:rPr>
            </w:pPr>
            <w:r w:rsidRPr="00424E4B">
              <w:rPr>
                <w:rFonts w:ascii="Times New Roman" w:hAnsi="Times New Roman"/>
              </w:rPr>
              <w:t xml:space="preserve">HA-4633 </w:t>
            </w:r>
          </w:p>
          <w:p w:rsidR="00E40CA9" w:rsidP="00E40CA9" w14:paraId="0329D6EA" w14:textId="77777777">
            <w:pPr>
              <w:pStyle w:val="ListParagraph"/>
              <w:ind w:left="0"/>
              <w:rPr>
                <w:rFonts w:ascii="Times New Roman" w:hAnsi="Times New Roman"/>
                <w:bCs/>
                <w:snapToGrid w:val="0"/>
              </w:rPr>
            </w:pPr>
            <w:r w:rsidRPr="00424E4B">
              <w:rPr>
                <w:rFonts w:ascii="Times New Roman" w:hAnsi="Times New Roman"/>
              </w:rPr>
              <w:t>(Paper Form)</w:t>
            </w:r>
            <w:r w:rsidRPr="00424E4B">
              <w:rPr>
                <w:rFonts w:ascii="Times New Roman" w:hAnsi="Times New Roman"/>
              </w:rPr>
              <w:br/>
            </w:r>
            <w:r w:rsidRPr="00A53910">
              <w:rPr>
                <w:rFonts w:ascii="Times New Roman" w:hAnsi="Times New Roman"/>
              </w:rPr>
              <w:t>40</w:t>
            </w:r>
            <w:r>
              <w:rPr>
                <w:rFonts w:ascii="Times New Roman" w:hAnsi="Times New Roman"/>
              </w:rPr>
              <w:t>4</w:t>
            </w:r>
            <w:r w:rsidRPr="00424E4B">
              <w:rPr>
                <w:rFonts w:ascii="Times New Roman" w:hAnsi="Times New Roman"/>
              </w:rPr>
              <w:t>.1560;</w:t>
            </w:r>
            <w:r w:rsidRPr="00424E4B">
              <w:rPr>
                <w:rFonts w:ascii="Times New Roman" w:hAnsi="Times New Roman"/>
              </w:rPr>
              <w:br/>
              <w:t>416.960</w:t>
            </w:r>
          </w:p>
        </w:tc>
        <w:tc>
          <w:tcPr>
            <w:tcW w:w="1523" w:type="dxa"/>
          </w:tcPr>
          <w:p w:rsidR="00E40CA9" w:rsidP="00E40CA9" w14:paraId="77267F55" w14:textId="79FFC270">
            <w:pPr>
              <w:pStyle w:val="ListParagraph"/>
              <w:ind w:left="0"/>
              <w:jc w:val="right"/>
              <w:rPr>
                <w:rFonts w:ascii="Times New Roman" w:hAnsi="Times New Roman"/>
                <w:bCs/>
                <w:snapToGrid w:val="0"/>
              </w:rPr>
            </w:pPr>
            <w:r>
              <w:rPr>
                <w:rFonts w:ascii="Times New Roman" w:hAnsi="Times New Roman"/>
              </w:rPr>
              <w:t>48,450</w:t>
            </w:r>
          </w:p>
        </w:tc>
        <w:tc>
          <w:tcPr>
            <w:tcW w:w="2128" w:type="dxa"/>
          </w:tcPr>
          <w:p w:rsidR="00E40CA9" w:rsidP="00E40CA9" w14:paraId="1AEFE628" w14:textId="6C6E1C3A">
            <w:pPr>
              <w:pStyle w:val="ListParagraph"/>
              <w:ind w:left="0"/>
              <w:jc w:val="right"/>
              <w:rPr>
                <w:rFonts w:ascii="Times New Roman" w:hAnsi="Times New Roman"/>
                <w:bCs/>
                <w:snapToGrid w:val="0"/>
              </w:rPr>
            </w:pPr>
            <w:r>
              <w:rPr>
                <w:rFonts w:ascii="Times New Roman" w:hAnsi="Times New Roman"/>
              </w:rPr>
              <w:t>16,150</w:t>
            </w:r>
          </w:p>
        </w:tc>
        <w:tc>
          <w:tcPr>
            <w:tcW w:w="2126" w:type="dxa"/>
          </w:tcPr>
          <w:p w:rsidR="00E40CA9" w:rsidP="00E40CA9" w14:paraId="005D43E8" w14:textId="32131D6C">
            <w:pPr>
              <w:pStyle w:val="ListParagraph"/>
              <w:ind w:left="0"/>
              <w:jc w:val="right"/>
              <w:rPr>
                <w:rFonts w:ascii="Times New Roman" w:hAnsi="Times New Roman"/>
                <w:bCs/>
                <w:snapToGrid w:val="0"/>
              </w:rPr>
            </w:pPr>
            <w:r w:rsidRPr="00303618">
              <w:rPr>
                <w:rFonts w:ascii="Times New Roman" w:hAnsi="Times New Roman"/>
              </w:rPr>
              <w:t>$</w:t>
            </w:r>
            <w:r>
              <w:rPr>
                <w:rFonts w:ascii="Times New Roman" w:hAnsi="Times New Roman"/>
              </w:rPr>
              <w:t>14.27</w:t>
            </w:r>
            <w:r w:rsidRPr="00303618">
              <w:rPr>
                <w:rFonts w:ascii="Times New Roman" w:hAnsi="Times New Roman"/>
              </w:rPr>
              <w:t>*</w:t>
            </w:r>
          </w:p>
        </w:tc>
        <w:tc>
          <w:tcPr>
            <w:tcW w:w="2310" w:type="dxa"/>
          </w:tcPr>
          <w:p w:rsidR="00E40CA9" w:rsidP="00E40CA9" w14:paraId="2918CAC3" w14:textId="7CB774C8">
            <w:pPr>
              <w:pStyle w:val="ListParagraph"/>
              <w:ind w:left="0"/>
              <w:jc w:val="right"/>
              <w:rPr>
                <w:rFonts w:ascii="Times New Roman" w:hAnsi="Times New Roman"/>
                <w:bCs/>
                <w:snapToGrid w:val="0"/>
              </w:rPr>
            </w:pPr>
            <w:r>
              <w:rPr>
                <w:rFonts w:ascii="Times New Roman" w:hAnsi="Times New Roman"/>
              </w:rPr>
              <w:t>$</w:t>
            </w:r>
            <w:r>
              <w:rPr>
                <w:rFonts w:ascii="Times New Roman" w:hAnsi="Times New Roman"/>
              </w:rPr>
              <w:t>230,461</w:t>
            </w:r>
            <w:r>
              <w:rPr>
                <w:rFonts w:ascii="Times New Roman" w:hAnsi="Times New Roman"/>
              </w:rPr>
              <w:t>**</w:t>
            </w:r>
          </w:p>
        </w:tc>
      </w:tr>
      <w:tr w14:paraId="1B25DADA" w14:textId="77777777" w:rsidTr="00E40CA9">
        <w:tblPrEx>
          <w:tblW w:w="9810" w:type="dxa"/>
          <w:tblInd w:w="85" w:type="dxa"/>
          <w:tblLook w:val="04A0"/>
        </w:tblPrEx>
        <w:tc>
          <w:tcPr>
            <w:tcW w:w="1723" w:type="dxa"/>
            <w:vAlign w:val="center"/>
          </w:tcPr>
          <w:p w:rsidR="00E40CA9" w:rsidP="00E40CA9" w14:paraId="7D494CBC" w14:textId="77777777">
            <w:pPr>
              <w:pStyle w:val="ListParagraph"/>
              <w:ind w:left="0"/>
              <w:rPr>
                <w:rFonts w:ascii="Times New Roman" w:hAnsi="Times New Roman"/>
              </w:rPr>
            </w:pPr>
            <w:r w:rsidRPr="00424E4B">
              <w:rPr>
                <w:rFonts w:ascii="Times New Roman" w:hAnsi="Times New Roman"/>
              </w:rPr>
              <w:t xml:space="preserve">0960-0300 </w:t>
            </w:r>
          </w:p>
          <w:p w:rsidR="00E40CA9" w:rsidP="00E40CA9" w14:paraId="0011CE7F" w14:textId="77777777">
            <w:pPr>
              <w:pStyle w:val="ListParagraph"/>
              <w:ind w:left="0"/>
              <w:rPr>
                <w:rFonts w:ascii="Times New Roman" w:hAnsi="Times New Roman"/>
              </w:rPr>
            </w:pPr>
            <w:r w:rsidRPr="00424E4B">
              <w:rPr>
                <w:rFonts w:ascii="Times New Roman" w:hAnsi="Times New Roman"/>
              </w:rPr>
              <w:t xml:space="preserve">HA-4633 </w:t>
            </w:r>
          </w:p>
          <w:p w:rsidR="00E40CA9" w:rsidP="00E40CA9" w14:paraId="462B9DE7" w14:textId="77777777">
            <w:pPr>
              <w:pStyle w:val="ListParagraph"/>
              <w:ind w:left="0"/>
              <w:rPr>
                <w:rFonts w:ascii="Times New Roman" w:hAnsi="Times New Roman"/>
                <w:bCs/>
                <w:snapToGrid w:val="0"/>
              </w:rPr>
            </w:pPr>
            <w:r w:rsidRPr="00424E4B">
              <w:rPr>
                <w:rFonts w:ascii="Times New Roman" w:hAnsi="Times New Roman"/>
              </w:rPr>
              <w:t>(ERE)</w:t>
            </w:r>
            <w:r w:rsidRPr="00424E4B">
              <w:rPr>
                <w:rFonts w:ascii="Times New Roman" w:hAnsi="Times New Roman"/>
              </w:rPr>
              <w:br/>
            </w:r>
            <w:r w:rsidRPr="00A53910">
              <w:rPr>
                <w:rFonts w:ascii="Times New Roman" w:hAnsi="Times New Roman"/>
              </w:rPr>
              <w:t>40</w:t>
            </w:r>
            <w:r>
              <w:rPr>
                <w:rFonts w:ascii="Times New Roman" w:hAnsi="Times New Roman"/>
              </w:rPr>
              <w:t>4</w:t>
            </w:r>
            <w:r w:rsidRPr="00424E4B">
              <w:rPr>
                <w:rFonts w:ascii="Times New Roman" w:hAnsi="Times New Roman"/>
              </w:rPr>
              <w:t>.1560;</w:t>
            </w:r>
            <w:r w:rsidRPr="00424E4B">
              <w:rPr>
                <w:rFonts w:ascii="Times New Roman" w:hAnsi="Times New Roman"/>
              </w:rPr>
              <w:br/>
              <w:t>416.960</w:t>
            </w:r>
          </w:p>
        </w:tc>
        <w:tc>
          <w:tcPr>
            <w:tcW w:w="1523" w:type="dxa"/>
          </w:tcPr>
          <w:p w:rsidR="00E40CA9" w:rsidP="00E40CA9" w14:paraId="12557081" w14:textId="389C35EB">
            <w:pPr>
              <w:pStyle w:val="ListParagraph"/>
              <w:ind w:left="0"/>
              <w:jc w:val="right"/>
              <w:rPr>
                <w:rFonts w:ascii="Times New Roman" w:hAnsi="Times New Roman"/>
                <w:bCs/>
                <w:snapToGrid w:val="0"/>
              </w:rPr>
            </w:pPr>
            <w:r>
              <w:rPr>
                <w:rFonts w:ascii="Times New Roman" w:hAnsi="Times New Roman"/>
              </w:rPr>
              <w:t>236,550</w:t>
            </w:r>
          </w:p>
        </w:tc>
        <w:tc>
          <w:tcPr>
            <w:tcW w:w="2128" w:type="dxa"/>
          </w:tcPr>
          <w:p w:rsidR="00E40CA9" w:rsidP="00E40CA9" w14:paraId="72C9ADD9" w14:textId="7AB21FEF">
            <w:pPr>
              <w:pStyle w:val="ListParagraph"/>
              <w:ind w:left="0"/>
              <w:jc w:val="right"/>
              <w:rPr>
                <w:rFonts w:ascii="Times New Roman" w:hAnsi="Times New Roman"/>
                <w:bCs/>
                <w:snapToGrid w:val="0"/>
              </w:rPr>
            </w:pPr>
            <w:r>
              <w:rPr>
                <w:rFonts w:ascii="Times New Roman" w:hAnsi="Times New Roman"/>
              </w:rPr>
              <w:t>78,850</w:t>
            </w:r>
          </w:p>
        </w:tc>
        <w:tc>
          <w:tcPr>
            <w:tcW w:w="2126" w:type="dxa"/>
          </w:tcPr>
          <w:p w:rsidR="00E40CA9" w:rsidP="00E40CA9" w14:paraId="3E1F4562" w14:textId="564505F1">
            <w:pPr>
              <w:pStyle w:val="ListParagraph"/>
              <w:ind w:left="0"/>
              <w:jc w:val="right"/>
              <w:rPr>
                <w:rFonts w:ascii="Times New Roman" w:hAnsi="Times New Roman"/>
                <w:bCs/>
                <w:snapToGrid w:val="0"/>
              </w:rPr>
            </w:pPr>
            <w:r w:rsidRPr="00303618">
              <w:rPr>
                <w:rFonts w:ascii="Times New Roman" w:hAnsi="Times New Roman"/>
              </w:rPr>
              <w:t>$</w:t>
            </w:r>
            <w:r>
              <w:rPr>
                <w:rFonts w:ascii="Times New Roman" w:hAnsi="Times New Roman"/>
              </w:rPr>
              <w:t>32.66</w:t>
            </w:r>
            <w:r w:rsidRPr="00303618">
              <w:rPr>
                <w:rFonts w:ascii="Times New Roman" w:hAnsi="Times New Roman"/>
              </w:rPr>
              <w:t>*</w:t>
            </w:r>
          </w:p>
        </w:tc>
        <w:tc>
          <w:tcPr>
            <w:tcW w:w="2310" w:type="dxa"/>
          </w:tcPr>
          <w:p w:rsidR="00E40CA9" w:rsidP="00E40CA9" w14:paraId="6220B0A7" w14:textId="16CEEF93">
            <w:pPr>
              <w:pStyle w:val="ListParagraph"/>
              <w:ind w:left="0"/>
              <w:jc w:val="right"/>
              <w:rPr>
                <w:rFonts w:ascii="Times New Roman" w:hAnsi="Times New Roman"/>
                <w:bCs/>
                <w:snapToGrid w:val="0"/>
              </w:rPr>
            </w:pPr>
            <w:r>
              <w:rPr>
                <w:rFonts w:ascii="Times New Roman" w:hAnsi="Times New Roman"/>
              </w:rPr>
              <w:t>$</w:t>
            </w:r>
            <w:r>
              <w:rPr>
                <w:rFonts w:ascii="Times New Roman" w:hAnsi="Times New Roman"/>
              </w:rPr>
              <w:t>2,575,241</w:t>
            </w:r>
            <w:r>
              <w:rPr>
                <w:rFonts w:ascii="Times New Roman" w:hAnsi="Times New Roman"/>
              </w:rPr>
              <w:t>**</w:t>
            </w:r>
          </w:p>
        </w:tc>
      </w:tr>
      <w:tr w14:paraId="48D59D75" w14:textId="77777777" w:rsidTr="00E40CA9">
        <w:tblPrEx>
          <w:tblW w:w="9810" w:type="dxa"/>
          <w:tblInd w:w="85" w:type="dxa"/>
          <w:tblLook w:val="04A0"/>
        </w:tblPrEx>
        <w:tc>
          <w:tcPr>
            <w:tcW w:w="1723" w:type="dxa"/>
          </w:tcPr>
          <w:p w:rsidR="00E40CA9" w:rsidRPr="000863A6" w:rsidP="00E40CA9" w14:paraId="16498B0E" w14:textId="77777777">
            <w:pPr>
              <w:pStyle w:val="ListParagraph"/>
              <w:ind w:left="0"/>
              <w:rPr>
                <w:rFonts w:ascii="Times New Roman" w:hAnsi="Times New Roman"/>
                <w:b/>
                <w:snapToGrid w:val="0"/>
              </w:rPr>
            </w:pPr>
            <w:r w:rsidRPr="000863A6">
              <w:rPr>
                <w:rFonts w:ascii="Times New Roman" w:hAnsi="Times New Roman"/>
                <w:b/>
                <w:snapToGrid w:val="0"/>
              </w:rPr>
              <w:t>Totals</w:t>
            </w:r>
          </w:p>
        </w:tc>
        <w:tc>
          <w:tcPr>
            <w:tcW w:w="1523" w:type="dxa"/>
          </w:tcPr>
          <w:p w:rsidR="00E40CA9" w:rsidRPr="000863A6" w:rsidP="00E40CA9" w14:paraId="1E6851DC" w14:textId="6F5ECD35">
            <w:pPr>
              <w:pStyle w:val="ListParagraph"/>
              <w:ind w:left="0"/>
              <w:jc w:val="right"/>
              <w:rPr>
                <w:rFonts w:ascii="Times New Roman" w:hAnsi="Times New Roman"/>
                <w:b/>
                <w:snapToGrid w:val="0"/>
              </w:rPr>
            </w:pPr>
            <w:r>
              <w:rPr>
                <w:rFonts w:ascii="Times New Roman" w:hAnsi="Times New Roman"/>
                <w:b/>
              </w:rPr>
              <w:t>285,000</w:t>
            </w:r>
          </w:p>
        </w:tc>
        <w:tc>
          <w:tcPr>
            <w:tcW w:w="2128" w:type="dxa"/>
          </w:tcPr>
          <w:p w:rsidR="00E40CA9" w:rsidRPr="000863A6" w:rsidP="00E40CA9" w14:paraId="23191A20" w14:textId="3056DBD8">
            <w:pPr>
              <w:pStyle w:val="ListParagraph"/>
              <w:ind w:left="0"/>
              <w:jc w:val="right"/>
              <w:rPr>
                <w:rFonts w:ascii="Times New Roman" w:hAnsi="Times New Roman"/>
                <w:b/>
                <w:snapToGrid w:val="0"/>
              </w:rPr>
            </w:pPr>
            <w:r>
              <w:rPr>
                <w:rFonts w:ascii="Times New Roman" w:hAnsi="Times New Roman"/>
                <w:b/>
              </w:rPr>
              <w:t>95,000</w:t>
            </w:r>
          </w:p>
        </w:tc>
        <w:tc>
          <w:tcPr>
            <w:tcW w:w="2126" w:type="dxa"/>
          </w:tcPr>
          <w:p w:rsidR="00E40CA9" w:rsidRPr="000863A6" w:rsidP="00E40CA9" w14:paraId="150BEFC1" w14:textId="77777777">
            <w:pPr>
              <w:pStyle w:val="ListParagraph"/>
              <w:ind w:left="0"/>
              <w:jc w:val="right"/>
              <w:rPr>
                <w:rFonts w:ascii="Times New Roman" w:hAnsi="Times New Roman"/>
                <w:b/>
                <w:snapToGrid w:val="0"/>
              </w:rPr>
            </w:pPr>
          </w:p>
        </w:tc>
        <w:tc>
          <w:tcPr>
            <w:tcW w:w="2310" w:type="dxa"/>
          </w:tcPr>
          <w:p w:rsidR="00E40CA9" w:rsidRPr="000863A6" w:rsidP="00E40CA9" w14:paraId="50A79A41" w14:textId="17EB727C">
            <w:pPr>
              <w:pStyle w:val="ListParagraph"/>
              <w:ind w:left="0"/>
              <w:jc w:val="right"/>
              <w:rPr>
                <w:rFonts w:ascii="Times New Roman" w:hAnsi="Times New Roman"/>
                <w:b/>
                <w:snapToGrid w:val="0"/>
              </w:rPr>
            </w:pPr>
            <w:r w:rsidRPr="000863A6">
              <w:rPr>
                <w:rFonts w:ascii="Times New Roman" w:hAnsi="Times New Roman"/>
                <w:b/>
                <w:snapToGrid w:val="0"/>
              </w:rPr>
              <w:t>$</w:t>
            </w:r>
            <w:r>
              <w:rPr>
                <w:rFonts w:ascii="Times New Roman" w:hAnsi="Times New Roman"/>
                <w:b/>
                <w:snapToGrid w:val="0"/>
              </w:rPr>
              <w:t>2,805,702</w:t>
            </w:r>
            <w:r w:rsidRPr="000863A6">
              <w:rPr>
                <w:rFonts w:ascii="Times New Roman" w:hAnsi="Times New Roman"/>
                <w:b/>
                <w:snapToGrid w:val="0"/>
              </w:rPr>
              <w:t>***</w:t>
            </w:r>
          </w:p>
        </w:tc>
      </w:tr>
    </w:tbl>
    <w:p w:rsidR="001A316F" w:rsidRPr="000863A6" w:rsidP="001A316F" w14:paraId="46067648" w14:textId="67FB8D05">
      <w:pPr>
        <w:pStyle w:val="ListParagraph"/>
        <w:ind w:left="0"/>
        <w:rPr>
          <w:rFonts w:ascii="Times New Roman" w:hAnsi="Times New Roman"/>
          <w:bCs/>
          <w:snapToGrid w:val="0"/>
        </w:rPr>
      </w:pPr>
      <w:r w:rsidRPr="000863A6">
        <w:rPr>
          <w:rFonts w:ascii="Times New Roman" w:hAnsi="Times New Roman"/>
          <w:bCs/>
          <w:snapToGrid w:val="0"/>
        </w:rPr>
        <w:t>* We based this figure on the average DI payments based on SSA's current FY 2024 (this is the most current figures we have for the DI payments) data (</w:t>
      </w:r>
      <w:hyperlink r:id="rId4" w:history="1">
        <w:r w:rsidRPr="00AC49ED" w:rsidR="00F906CF">
          <w:rPr>
            <w:rStyle w:val="Hyperlink"/>
            <w:rFonts w:ascii="Times New Roman" w:hAnsi="Times New Roman"/>
          </w:rPr>
          <w:t>Effect of COLA on Average Social Security Benefits</w:t>
        </w:r>
      </w:hyperlink>
      <w:r w:rsidRPr="000863A6">
        <w:rPr>
          <w:rFonts w:ascii="Times New Roman" w:hAnsi="Times New Roman"/>
          <w:bCs/>
          <w:snapToGrid w:val="0"/>
        </w:rPr>
        <w:t>); on the average U.S. citizen’s hourly salary, as reported by Bureau of Labor Statistics data (</w:t>
      </w:r>
      <w:hyperlink r:id="rId5" w:anchor="/industry/000000" w:history="1">
        <w:r w:rsidRPr="006C7EB5" w:rsidR="00F906CF">
          <w:rPr>
            <w:rStyle w:val="Hyperlink"/>
            <w:rFonts w:ascii="Times New Roman" w:hAnsi="Times New Roman"/>
          </w:rPr>
          <w:t>Occupational Employment and Wage Statistics</w:t>
        </w:r>
      </w:hyperlink>
      <w:r w:rsidRPr="000863A6">
        <w:rPr>
          <w:rFonts w:ascii="Times New Roman" w:hAnsi="Times New Roman"/>
          <w:bCs/>
          <w:snapToGrid w:val="0"/>
        </w:rPr>
        <w:t>).</w:t>
      </w:r>
    </w:p>
    <w:p w:rsidR="001A316F" w:rsidRPr="000863A6" w:rsidP="001A316F" w14:paraId="3337D1ED" w14:textId="77777777">
      <w:pPr>
        <w:pStyle w:val="ListParagraph"/>
        <w:ind w:left="0"/>
        <w:rPr>
          <w:rFonts w:ascii="Times New Roman" w:hAnsi="Times New Roman"/>
          <w:bCs/>
          <w:snapToGrid w:val="0"/>
        </w:rPr>
      </w:pPr>
    </w:p>
    <w:p w:rsidR="001A316F" w:rsidP="001A316F" w14:paraId="7F7D38E0" w14:textId="79636FD3">
      <w:pPr>
        <w:pStyle w:val="ListParagraph"/>
        <w:ind w:left="0"/>
        <w:rPr>
          <w:rFonts w:ascii="Times New Roman" w:hAnsi="Times New Roman"/>
          <w:b/>
          <w:bCs/>
          <w:snapToGrid w:val="0"/>
        </w:rPr>
      </w:pPr>
      <w:r w:rsidRPr="000863A6">
        <w:rPr>
          <w:rFonts w:ascii="Times New Roman" w:hAnsi="Times New Roman"/>
          <w:bCs/>
          <w:snapToGrid w:val="0"/>
        </w:rPr>
        <w:t xml:space="preserve">** This figure does not represent actual costs that SSA is imposing on recipients of Social Security payments to complete this application; rather, these are theoretical opportunity costs for the additional time respondents will spend </w:t>
      </w:r>
      <w:r w:rsidRPr="000863A6">
        <w:rPr>
          <w:rFonts w:ascii="Times New Roman" w:hAnsi="Times New Roman"/>
          <w:bCs/>
          <w:snapToGrid w:val="0"/>
        </w:rPr>
        <w:t>to complete</w:t>
      </w:r>
      <w:r w:rsidRPr="000863A6">
        <w:rPr>
          <w:rFonts w:ascii="Times New Roman" w:hAnsi="Times New Roman"/>
          <w:bCs/>
          <w:snapToGrid w:val="0"/>
        </w:rPr>
        <w:t xml:space="preserve"> the application. </w:t>
      </w:r>
      <w:r w:rsidRPr="000863A6">
        <w:rPr>
          <w:rFonts w:ascii="Times New Roman" w:hAnsi="Times New Roman"/>
          <w:b/>
          <w:bCs/>
          <w:snapToGrid w:val="0"/>
          <w:u w:val="single"/>
        </w:rPr>
        <w:t>There is no actual charge to respondents to complete the application</w:t>
      </w:r>
      <w:r w:rsidRPr="000863A6">
        <w:rPr>
          <w:rFonts w:ascii="Times New Roman" w:hAnsi="Times New Roman"/>
          <w:b/>
          <w:bCs/>
          <w:snapToGrid w:val="0"/>
        </w:rPr>
        <w:t>.</w:t>
      </w:r>
    </w:p>
    <w:p w:rsidR="001A316F" w:rsidP="001A316F" w14:paraId="01FBEA08" w14:textId="77777777">
      <w:pPr>
        <w:pStyle w:val="ListParagraph"/>
        <w:ind w:left="0"/>
        <w:rPr>
          <w:rFonts w:ascii="Times New Roman" w:hAnsi="Times New Roman"/>
          <w:snapToGrid w:val="0"/>
        </w:rPr>
      </w:pPr>
    </w:p>
    <w:p w:rsidR="001A316F" w:rsidP="001A316F" w14:paraId="384DE3BD" w14:textId="77777777">
      <w:pPr>
        <w:pStyle w:val="ListParagraph"/>
        <w:ind w:left="0"/>
        <w:rPr>
          <w:rFonts w:ascii="Times New Roman" w:hAnsi="Times New Roman"/>
          <w:snapToGrid w:val="0"/>
        </w:rPr>
      </w:pPr>
    </w:p>
    <w:p w:rsidR="001A316F" w:rsidP="001A316F" w14:paraId="1F26914C" w14:textId="72B5A512">
      <w:pPr>
        <w:pStyle w:val="ListParagraph"/>
        <w:ind w:left="0"/>
        <w:rPr>
          <w:rFonts w:ascii="Times New Roman" w:hAnsi="Times New Roman"/>
          <w:snapToGrid w:val="0"/>
        </w:rPr>
      </w:pPr>
      <w:r w:rsidRPr="000863A6">
        <w:rPr>
          <w:rFonts w:ascii="Times New Roman" w:hAnsi="Times New Roman"/>
          <w:b/>
          <w:bCs/>
          <w:snapToGrid w:val="0"/>
        </w:rPr>
        <w:t>Note:</w:t>
      </w:r>
      <w:r>
        <w:rPr>
          <w:rFonts w:ascii="Times New Roman" w:hAnsi="Times New Roman"/>
          <w:snapToGrid w:val="0"/>
        </w:rPr>
        <w:t xml:space="preserve">  As per our agreement with OMB upon approval of the ICR for the FR (OMB No. 0960</w:t>
      </w:r>
      <w:r>
        <w:rPr>
          <w:rFonts w:ascii="Times New Roman" w:hAnsi="Times New Roman"/>
          <w:snapToGrid w:val="0"/>
        </w:rPr>
        <w:noBreakHyphen/>
        <w:t xml:space="preserve">0834), and our finalized revisions to the form, we are </w:t>
      </w:r>
      <w:r>
        <w:rPr>
          <w:rFonts w:ascii="Times New Roman" w:hAnsi="Times New Roman"/>
          <w:snapToGrid w:val="0"/>
        </w:rPr>
        <w:t>revising this ICR</w:t>
      </w:r>
      <w:r>
        <w:rPr>
          <w:rFonts w:ascii="Times New Roman" w:hAnsi="Times New Roman"/>
          <w:snapToGrid w:val="0"/>
        </w:rPr>
        <w:t xml:space="preserve"> move the above, already approved changes under the established OMB approval for Form HA-4633</w:t>
      </w:r>
      <w:r>
        <w:rPr>
          <w:rFonts w:ascii="Times New Roman" w:hAnsi="Times New Roman"/>
          <w:snapToGrid w:val="0"/>
        </w:rPr>
        <w:t xml:space="preserve"> (0960-0300)</w:t>
      </w:r>
      <w:r>
        <w:rPr>
          <w:rFonts w:ascii="Times New Roman" w:hAnsi="Times New Roman"/>
          <w:snapToGrid w:val="0"/>
        </w:rPr>
        <w:t>.</w:t>
      </w:r>
    </w:p>
    <w:p w:rsidR="001A316F" w:rsidP="001A316F" w14:paraId="25A0CD9A" w14:textId="77777777">
      <w:pPr>
        <w:pStyle w:val="ListParagraph"/>
        <w:ind w:left="0"/>
        <w:rPr>
          <w:rFonts w:ascii="Times New Roman" w:hAnsi="Times New Roman"/>
          <w:snapToGrid w:val="0"/>
        </w:rPr>
      </w:pPr>
    </w:p>
    <w:p w:rsidR="00FF7F94" w:rsidRPr="001A316F" w:rsidP="001A316F" w14:paraId="65E5D09C" w14:textId="461CC235">
      <w:pPr>
        <w:pStyle w:val="ListParagraph"/>
        <w:ind w:left="0"/>
        <w:rPr>
          <w:rFonts w:ascii="Times New Roman" w:hAnsi="Times New Roman"/>
          <w:snapToGrid w:val="0"/>
        </w:rPr>
      </w:pPr>
      <w:r>
        <w:rPr>
          <w:rFonts w:ascii="Times New Roman" w:hAnsi="Times New Roman"/>
          <w:snapToGrid w:val="0"/>
        </w:rPr>
        <w:t xml:space="preserve">Upon approval of this </w:t>
      </w:r>
      <w:r>
        <w:rPr>
          <w:rFonts w:ascii="Times New Roman" w:hAnsi="Times New Roman"/>
          <w:snapToGrid w:val="0"/>
        </w:rPr>
        <w:t>request</w:t>
      </w:r>
      <w:r>
        <w:rPr>
          <w:rFonts w:ascii="Times New Roman" w:hAnsi="Times New Roman"/>
          <w:snapToGrid w:val="0"/>
        </w:rPr>
        <w:t xml:space="preserve">, </w:t>
      </w:r>
      <w:r>
        <w:rPr>
          <w:rFonts w:ascii="Times New Roman" w:hAnsi="Times New Roman"/>
          <w:snapToGrid w:val="0"/>
        </w:rPr>
        <w:t xml:space="preserve">as well as similar requests </w:t>
      </w:r>
      <w:r>
        <w:rPr>
          <w:rFonts w:ascii="Times New Roman" w:hAnsi="Times New Roman"/>
          <w:snapToGrid w:val="0"/>
        </w:rPr>
        <w:t>for 0960-0578 and 0960</w:t>
      </w:r>
      <w:r>
        <w:rPr>
          <w:rFonts w:ascii="Times New Roman" w:hAnsi="Times New Roman"/>
          <w:snapToGrid w:val="0"/>
        </w:rPr>
        <w:noBreakHyphen/>
        <w:t>0579, we will discontinue the OMB approval for 0960-0834 to avoid double</w:t>
      </w:r>
      <w:r>
        <w:rPr>
          <w:rFonts w:ascii="Times New Roman" w:hAnsi="Times New Roman"/>
          <w:snapToGrid w:val="0"/>
        </w:rPr>
        <w:noBreakHyphen/>
        <w:t>counting the burden for these forms.</w:t>
      </w:r>
    </w:p>
    <w:sectPr w:rsidSect="00554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C7315AD"/>
    <w:multiLevelType w:val="hybridMultilevel"/>
    <w:tmpl w:val="D1AA1FE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587F4874"/>
    <w:multiLevelType w:val="hybridMultilevel"/>
    <w:tmpl w:val="80108A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77512F2C"/>
    <w:multiLevelType w:val="hybridMultilevel"/>
    <w:tmpl w:val="D07E1494"/>
    <w:lvl w:ilvl="0">
      <w:start w:val="0"/>
      <w:numFmt w:val="bullet"/>
      <w:lvlText w:val=""/>
      <w:lvlJc w:val="left"/>
      <w:pPr>
        <w:tabs>
          <w:tab w:val="num" w:pos="360"/>
        </w:tabs>
        <w:ind w:left="360" w:hanging="360"/>
      </w:pPr>
      <w:rPr>
        <w:rFonts w:ascii="Symbol" w:eastAsia="Times New Roman" w:hAnsi="Symbol" w:cs="Times New Roman" w:hint="default"/>
        <w:color w:val="auto"/>
      </w:rPr>
    </w:lvl>
    <w:lvl w:ilvl="1" w:tentative="1">
      <w:start w:val="1"/>
      <w:numFmt w:val="bullet"/>
      <w:lvlText w:val="o"/>
      <w:lvlJc w:val="left"/>
      <w:pPr>
        <w:tabs>
          <w:tab w:val="num" w:pos="-540"/>
        </w:tabs>
        <w:ind w:left="-540" w:hanging="360"/>
      </w:pPr>
      <w:rPr>
        <w:rFonts w:ascii="Courier New" w:hAnsi="Courier New" w:cs="Courier New" w:hint="default"/>
      </w:rPr>
    </w:lvl>
    <w:lvl w:ilvl="2" w:tentative="1">
      <w:start w:val="1"/>
      <w:numFmt w:val="bullet"/>
      <w:lvlText w:val=""/>
      <w:lvlJc w:val="left"/>
      <w:pPr>
        <w:tabs>
          <w:tab w:val="num" w:pos="180"/>
        </w:tabs>
        <w:ind w:left="180" w:hanging="360"/>
      </w:pPr>
      <w:rPr>
        <w:rFonts w:ascii="Wingdings" w:hAnsi="Wingdings" w:hint="default"/>
      </w:rPr>
    </w:lvl>
    <w:lvl w:ilvl="3" w:tentative="1">
      <w:start w:val="1"/>
      <w:numFmt w:val="bullet"/>
      <w:lvlText w:val=""/>
      <w:lvlJc w:val="left"/>
      <w:pPr>
        <w:tabs>
          <w:tab w:val="num" w:pos="900"/>
        </w:tabs>
        <w:ind w:left="900" w:hanging="360"/>
      </w:pPr>
      <w:rPr>
        <w:rFonts w:ascii="Symbol" w:hAnsi="Symbol" w:hint="default"/>
      </w:rPr>
    </w:lvl>
    <w:lvl w:ilvl="4" w:tentative="1">
      <w:start w:val="1"/>
      <w:numFmt w:val="bullet"/>
      <w:lvlText w:val="o"/>
      <w:lvlJc w:val="left"/>
      <w:pPr>
        <w:tabs>
          <w:tab w:val="num" w:pos="1620"/>
        </w:tabs>
        <w:ind w:left="1620" w:hanging="360"/>
      </w:pPr>
      <w:rPr>
        <w:rFonts w:ascii="Courier New" w:hAnsi="Courier New" w:cs="Courier New" w:hint="default"/>
      </w:rPr>
    </w:lvl>
    <w:lvl w:ilvl="5" w:tentative="1">
      <w:start w:val="1"/>
      <w:numFmt w:val="bullet"/>
      <w:lvlText w:val=""/>
      <w:lvlJc w:val="left"/>
      <w:pPr>
        <w:tabs>
          <w:tab w:val="num" w:pos="2340"/>
        </w:tabs>
        <w:ind w:left="2340" w:hanging="360"/>
      </w:pPr>
      <w:rPr>
        <w:rFonts w:ascii="Wingdings" w:hAnsi="Wingdings" w:hint="default"/>
      </w:rPr>
    </w:lvl>
    <w:lvl w:ilvl="6" w:tentative="1">
      <w:start w:val="1"/>
      <w:numFmt w:val="bullet"/>
      <w:lvlText w:val=""/>
      <w:lvlJc w:val="left"/>
      <w:pPr>
        <w:tabs>
          <w:tab w:val="num" w:pos="3060"/>
        </w:tabs>
        <w:ind w:left="3060" w:hanging="360"/>
      </w:pPr>
      <w:rPr>
        <w:rFonts w:ascii="Symbol" w:hAnsi="Symbol" w:hint="default"/>
      </w:rPr>
    </w:lvl>
    <w:lvl w:ilvl="7" w:tentative="1">
      <w:start w:val="1"/>
      <w:numFmt w:val="bullet"/>
      <w:lvlText w:val="o"/>
      <w:lvlJc w:val="left"/>
      <w:pPr>
        <w:tabs>
          <w:tab w:val="num" w:pos="3780"/>
        </w:tabs>
        <w:ind w:left="3780" w:hanging="360"/>
      </w:pPr>
      <w:rPr>
        <w:rFonts w:ascii="Courier New" w:hAnsi="Courier New" w:cs="Courier New" w:hint="default"/>
      </w:rPr>
    </w:lvl>
    <w:lvl w:ilvl="8" w:tentative="1">
      <w:start w:val="1"/>
      <w:numFmt w:val="bullet"/>
      <w:lvlText w:val=""/>
      <w:lvlJc w:val="left"/>
      <w:pPr>
        <w:tabs>
          <w:tab w:val="num" w:pos="4500"/>
        </w:tabs>
        <w:ind w:left="4500" w:hanging="360"/>
      </w:pPr>
      <w:rPr>
        <w:rFonts w:ascii="Wingdings" w:hAnsi="Wingdings" w:hint="default"/>
      </w:rPr>
    </w:lvl>
  </w:abstractNum>
  <w:num w:numId="1" w16cid:durableId="441190588">
    <w:abstractNumId w:val="2"/>
  </w:num>
  <w:num w:numId="2" w16cid:durableId="1046754376">
    <w:abstractNumId w:val="1"/>
  </w:num>
  <w:num w:numId="3" w16cid:durableId="683896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2B"/>
    <w:rsid w:val="000355DD"/>
    <w:rsid w:val="000359FC"/>
    <w:rsid w:val="00035A7C"/>
    <w:rsid w:val="0003628E"/>
    <w:rsid w:val="0003694D"/>
    <w:rsid w:val="00037214"/>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56D"/>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3A6"/>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30B1"/>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5FCA"/>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A66"/>
    <w:rsid w:val="00143ECE"/>
    <w:rsid w:val="00143F15"/>
    <w:rsid w:val="00143F9F"/>
    <w:rsid w:val="00144AB7"/>
    <w:rsid w:val="00145DB8"/>
    <w:rsid w:val="001461A6"/>
    <w:rsid w:val="00146AD4"/>
    <w:rsid w:val="00146CB9"/>
    <w:rsid w:val="0014758F"/>
    <w:rsid w:val="00147656"/>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5EA4"/>
    <w:rsid w:val="00186182"/>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316F"/>
    <w:rsid w:val="001A38FC"/>
    <w:rsid w:val="001A3A0C"/>
    <w:rsid w:val="001A45E6"/>
    <w:rsid w:val="001A4666"/>
    <w:rsid w:val="001A4B10"/>
    <w:rsid w:val="001A4CE7"/>
    <w:rsid w:val="001A4D5E"/>
    <w:rsid w:val="001A50EE"/>
    <w:rsid w:val="001A5A72"/>
    <w:rsid w:val="001A60C8"/>
    <w:rsid w:val="001A66AF"/>
    <w:rsid w:val="001B0604"/>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302F"/>
    <w:rsid w:val="002541AA"/>
    <w:rsid w:val="002541CE"/>
    <w:rsid w:val="0025428B"/>
    <w:rsid w:val="0025472C"/>
    <w:rsid w:val="0025515A"/>
    <w:rsid w:val="00256BD2"/>
    <w:rsid w:val="00256F1F"/>
    <w:rsid w:val="00257112"/>
    <w:rsid w:val="00257864"/>
    <w:rsid w:val="002579AF"/>
    <w:rsid w:val="00260390"/>
    <w:rsid w:val="002609C7"/>
    <w:rsid w:val="00260D5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3925"/>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670"/>
    <w:rsid w:val="00293F84"/>
    <w:rsid w:val="00294C4F"/>
    <w:rsid w:val="00294E02"/>
    <w:rsid w:val="00295402"/>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C036E"/>
    <w:rsid w:val="002C050B"/>
    <w:rsid w:val="002C0579"/>
    <w:rsid w:val="002C0772"/>
    <w:rsid w:val="002C0813"/>
    <w:rsid w:val="002C08EE"/>
    <w:rsid w:val="002C1236"/>
    <w:rsid w:val="002C20FA"/>
    <w:rsid w:val="002C210E"/>
    <w:rsid w:val="002C249F"/>
    <w:rsid w:val="002C25CF"/>
    <w:rsid w:val="002C271C"/>
    <w:rsid w:val="002C2D09"/>
    <w:rsid w:val="002C33E1"/>
    <w:rsid w:val="002C37D1"/>
    <w:rsid w:val="002C3B18"/>
    <w:rsid w:val="002C3CBE"/>
    <w:rsid w:val="002C511F"/>
    <w:rsid w:val="002C561A"/>
    <w:rsid w:val="002C5CC6"/>
    <w:rsid w:val="002C5EEB"/>
    <w:rsid w:val="002C6491"/>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BA8"/>
    <w:rsid w:val="003006A0"/>
    <w:rsid w:val="003008D5"/>
    <w:rsid w:val="003017FB"/>
    <w:rsid w:val="00301906"/>
    <w:rsid w:val="003022D0"/>
    <w:rsid w:val="003030DA"/>
    <w:rsid w:val="00303472"/>
    <w:rsid w:val="00303618"/>
    <w:rsid w:val="00303621"/>
    <w:rsid w:val="003037CB"/>
    <w:rsid w:val="003056FB"/>
    <w:rsid w:val="00307F0E"/>
    <w:rsid w:val="00310225"/>
    <w:rsid w:val="0031032B"/>
    <w:rsid w:val="003105BF"/>
    <w:rsid w:val="0031087B"/>
    <w:rsid w:val="00310F0F"/>
    <w:rsid w:val="00311A18"/>
    <w:rsid w:val="00312A37"/>
    <w:rsid w:val="00313072"/>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E7F"/>
    <w:rsid w:val="0034700D"/>
    <w:rsid w:val="0034719E"/>
    <w:rsid w:val="00347567"/>
    <w:rsid w:val="00350167"/>
    <w:rsid w:val="0035042E"/>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47F6"/>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7C3B"/>
    <w:rsid w:val="004205BB"/>
    <w:rsid w:val="00421F5C"/>
    <w:rsid w:val="00423A57"/>
    <w:rsid w:val="00423D77"/>
    <w:rsid w:val="00423FCB"/>
    <w:rsid w:val="00424AF7"/>
    <w:rsid w:val="00424E4B"/>
    <w:rsid w:val="00425510"/>
    <w:rsid w:val="00425F39"/>
    <w:rsid w:val="004269FD"/>
    <w:rsid w:val="00426BD4"/>
    <w:rsid w:val="00426F01"/>
    <w:rsid w:val="00427DD0"/>
    <w:rsid w:val="00427F83"/>
    <w:rsid w:val="0043077E"/>
    <w:rsid w:val="004307FE"/>
    <w:rsid w:val="00430EB8"/>
    <w:rsid w:val="004312BE"/>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22BA"/>
    <w:rsid w:val="004823BF"/>
    <w:rsid w:val="0048300B"/>
    <w:rsid w:val="00483A4B"/>
    <w:rsid w:val="00483A5A"/>
    <w:rsid w:val="00483B7C"/>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74AA"/>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18E"/>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B52"/>
    <w:rsid w:val="00502E20"/>
    <w:rsid w:val="005030D2"/>
    <w:rsid w:val="0050333E"/>
    <w:rsid w:val="005048DB"/>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135"/>
    <w:rsid w:val="00552598"/>
    <w:rsid w:val="00552613"/>
    <w:rsid w:val="00552ED1"/>
    <w:rsid w:val="00552EE5"/>
    <w:rsid w:val="005537A8"/>
    <w:rsid w:val="00553D1E"/>
    <w:rsid w:val="00554182"/>
    <w:rsid w:val="00554568"/>
    <w:rsid w:val="00554B7F"/>
    <w:rsid w:val="00555884"/>
    <w:rsid w:val="00556672"/>
    <w:rsid w:val="00557206"/>
    <w:rsid w:val="00557AD5"/>
    <w:rsid w:val="00557F5E"/>
    <w:rsid w:val="0056032D"/>
    <w:rsid w:val="00560551"/>
    <w:rsid w:val="005605B7"/>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19F0"/>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528"/>
    <w:rsid w:val="005C45E4"/>
    <w:rsid w:val="005C4AFD"/>
    <w:rsid w:val="005C5B56"/>
    <w:rsid w:val="005C5FE9"/>
    <w:rsid w:val="005C6CAC"/>
    <w:rsid w:val="005C6D76"/>
    <w:rsid w:val="005C7A75"/>
    <w:rsid w:val="005C7FDE"/>
    <w:rsid w:val="005D024E"/>
    <w:rsid w:val="005D02AE"/>
    <w:rsid w:val="005D0A4C"/>
    <w:rsid w:val="005D0D7E"/>
    <w:rsid w:val="005D107B"/>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AE0"/>
    <w:rsid w:val="0064720F"/>
    <w:rsid w:val="006479E7"/>
    <w:rsid w:val="00647AD5"/>
    <w:rsid w:val="00650FE6"/>
    <w:rsid w:val="006524DA"/>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B0D"/>
    <w:rsid w:val="0069555D"/>
    <w:rsid w:val="006961BD"/>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C7EB5"/>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40A"/>
    <w:rsid w:val="007B7515"/>
    <w:rsid w:val="007B7AE8"/>
    <w:rsid w:val="007C07BA"/>
    <w:rsid w:val="007C1B22"/>
    <w:rsid w:val="007C1B38"/>
    <w:rsid w:val="007C1D69"/>
    <w:rsid w:val="007C2870"/>
    <w:rsid w:val="007C3322"/>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60B"/>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0FE1"/>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9B7"/>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5E56"/>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82D"/>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316"/>
    <w:rsid w:val="008C7ACE"/>
    <w:rsid w:val="008C7BDE"/>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16"/>
    <w:rsid w:val="008E0AA5"/>
    <w:rsid w:val="008E12C8"/>
    <w:rsid w:val="008E175F"/>
    <w:rsid w:val="008E1949"/>
    <w:rsid w:val="008E2012"/>
    <w:rsid w:val="008E26CD"/>
    <w:rsid w:val="008E32BB"/>
    <w:rsid w:val="008E39F2"/>
    <w:rsid w:val="008E3DA5"/>
    <w:rsid w:val="008E3FB5"/>
    <w:rsid w:val="008E47B1"/>
    <w:rsid w:val="008E47BD"/>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9002AA"/>
    <w:rsid w:val="00900E34"/>
    <w:rsid w:val="00900E87"/>
    <w:rsid w:val="00900EAF"/>
    <w:rsid w:val="00900EB5"/>
    <w:rsid w:val="00900F59"/>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37CC8"/>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AF0"/>
    <w:rsid w:val="00956CC8"/>
    <w:rsid w:val="0096049F"/>
    <w:rsid w:val="0096087C"/>
    <w:rsid w:val="00960F73"/>
    <w:rsid w:val="0096302F"/>
    <w:rsid w:val="0096303F"/>
    <w:rsid w:val="0096347B"/>
    <w:rsid w:val="009645C8"/>
    <w:rsid w:val="00964DA5"/>
    <w:rsid w:val="00964FFD"/>
    <w:rsid w:val="00965C57"/>
    <w:rsid w:val="00965D76"/>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2CCD"/>
    <w:rsid w:val="009B31CB"/>
    <w:rsid w:val="009B39B2"/>
    <w:rsid w:val="009B434D"/>
    <w:rsid w:val="009B4A29"/>
    <w:rsid w:val="009B4F63"/>
    <w:rsid w:val="009B631A"/>
    <w:rsid w:val="009B694C"/>
    <w:rsid w:val="009B775E"/>
    <w:rsid w:val="009B782F"/>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385"/>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929"/>
    <w:rsid w:val="00A51122"/>
    <w:rsid w:val="00A51388"/>
    <w:rsid w:val="00A51CE8"/>
    <w:rsid w:val="00A526D6"/>
    <w:rsid w:val="00A52B3B"/>
    <w:rsid w:val="00A52B9D"/>
    <w:rsid w:val="00A531EB"/>
    <w:rsid w:val="00A5359D"/>
    <w:rsid w:val="00A53910"/>
    <w:rsid w:val="00A5406B"/>
    <w:rsid w:val="00A546AC"/>
    <w:rsid w:val="00A54A39"/>
    <w:rsid w:val="00A557AD"/>
    <w:rsid w:val="00A56582"/>
    <w:rsid w:val="00A578D3"/>
    <w:rsid w:val="00A601B3"/>
    <w:rsid w:val="00A6054B"/>
    <w:rsid w:val="00A606B7"/>
    <w:rsid w:val="00A607AC"/>
    <w:rsid w:val="00A60B41"/>
    <w:rsid w:val="00A60DD0"/>
    <w:rsid w:val="00A61FBC"/>
    <w:rsid w:val="00A621DA"/>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5FA6"/>
    <w:rsid w:val="00A76A9A"/>
    <w:rsid w:val="00A76EB2"/>
    <w:rsid w:val="00A77153"/>
    <w:rsid w:val="00A772DF"/>
    <w:rsid w:val="00A778C9"/>
    <w:rsid w:val="00A77B0F"/>
    <w:rsid w:val="00A77F43"/>
    <w:rsid w:val="00A80218"/>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A11"/>
    <w:rsid w:val="00AB6F2E"/>
    <w:rsid w:val="00AB73F4"/>
    <w:rsid w:val="00AC1DB4"/>
    <w:rsid w:val="00AC2070"/>
    <w:rsid w:val="00AC2F69"/>
    <w:rsid w:val="00AC3AEB"/>
    <w:rsid w:val="00AC45A2"/>
    <w:rsid w:val="00AC49ED"/>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821"/>
    <w:rsid w:val="00B42958"/>
    <w:rsid w:val="00B42ECE"/>
    <w:rsid w:val="00B431AD"/>
    <w:rsid w:val="00B43892"/>
    <w:rsid w:val="00B443B8"/>
    <w:rsid w:val="00B44E73"/>
    <w:rsid w:val="00B463F0"/>
    <w:rsid w:val="00B468FC"/>
    <w:rsid w:val="00B47209"/>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11D8"/>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8689F"/>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AE8"/>
    <w:rsid w:val="00BB4797"/>
    <w:rsid w:val="00BB4EF3"/>
    <w:rsid w:val="00BB5A08"/>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4BC"/>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0AFD"/>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992"/>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8C9"/>
    <w:rsid w:val="00D26ECB"/>
    <w:rsid w:val="00D270A0"/>
    <w:rsid w:val="00D2743E"/>
    <w:rsid w:val="00D279A0"/>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35B"/>
    <w:rsid w:val="00DB4B13"/>
    <w:rsid w:val="00DB5C6E"/>
    <w:rsid w:val="00DB5F4E"/>
    <w:rsid w:val="00DB630B"/>
    <w:rsid w:val="00DB6406"/>
    <w:rsid w:val="00DB73E9"/>
    <w:rsid w:val="00DB7E4B"/>
    <w:rsid w:val="00DC0DAF"/>
    <w:rsid w:val="00DC0FD8"/>
    <w:rsid w:val="00DC1616"/>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76D"/>
    <w:rsid w:val="00E20EE7"/>
    <w:rsid w:val="00E217E7"/>
    <w:rsid w:val="00E21A62"/>
    <w:rsid w:val="00E22AAC"/>
    <w:rsid w:val="00E23F87"/>
    <w:rsid w:val="00E240B1"/>
    <w:rsid w:val="00E24FCE"/>
    <w:rsid w:val="00E25044"/>
    <w:rsid w:val="00E25A63"/>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98E"/>
    <w:rsid w:val="00E40A98"/>
    <w:rsid w:val="00E40CA9"/>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F37"/>
    <w:rsid w:val="00E64090"/>
    <w:rsid w:val="00E649A6"/>
    <w:rsid w:val="00E649D6"/>
    <w:rsid w:val="00E64E6C"/>
    <w:rsid w:val="00E64F7C"/>
    <w:rsid w:val="00E65E19"/>
    <w:rsid w:val="00E6618F"/>
    <w:rsid w:val="00E664A3"/>
    <w:rsid w:val="00E67206"/>
    <w:rsid w:val="00E67A4D"/>
    <w:rsid w:val="00E67B56"/>
    <w:rsid w:val="00E70870"/>
    <w:rsid w:val="00E70DE8"/>
    <w:rsid w:val="00E71E0F"/>
    <w:rsid w:val="00E720B8"/>
    <w:rsid w:val="00E72531"/>
    <w:rsid w:val="00E72579"/>
    <w:rsid w:val="00E7282F"/>
    <w:rsid w:val="00E72B7B"/>
    <w:rsid w:val="00E72BC9"/>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18F"/>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5A94"/>
    <w:rsid w:val="00EE5B00"/>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6CF"/>
    <w:rsid w:val="00F90FC1"/>
    <w:rsid w:val="00F91A81"/>
    <w:rsid w:val="00F91CA5"/>
    <w:rsid w:val="00F91DFE"/>
    <w:rsid w:val="00F91E8A"/>
    <w:rsid w:val="00F9232F"/>
    <w:rsid w:val="00F924DE"/>
    <w:rsid w:val="00F928FD"/>
    <w:rsid w:val="00F933F0"/>
    <w:rsid w:val="00F93E47"/>
    <w:rsid w:val="00F941C1"/>
    <w:rsid w:val="00F94355"/>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26EC"/>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1D3E"/>
    <w:rsid w:val="00FF24EA"/>
    <w:rsid w:val="00FF29BC"/>
    <w:rsid w:val="00FF370F"/>
    <w:rsid w:val="00FF3ACB"/>
    <w:rsid w:val="00FF3DF1"/>
    <w:rsid w:val="00FF3F5D"/>
    <w:rsid w:val="00FF41B2"/>
    <w:rsid w:val="00FF4434"/>
    <w:rsid w:val="00FF479E"/>
    <w:rsid w:val="00FF47DD"/>
    <w:rsid w:val="00FF5578"/>
    <w:rsid w:val="00FF6521"/>
    <w:rsid w:val="00FF66FF"/>
    <w:rsid w:val="00FF6928"/>
    <w:rsid w:val="00FF6CB1"/>
    <w:rsid w:val="00FF6D26"/>
    <w:rsid w:val="00FF7ACE"/>
    <w:rsid w:val="00FF7F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799D55"/>
  <w15:chartTrackingRefBased/>
  <w15:docId w15:val="{0889FFFA-AD17-4CAD-BA10-6C3D151F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 w:type="character" w:styleId="CommentReference">
    <w:name w:val="annotation reference"/>
    <w:basedOn w:val="DefaultParagraphFont"/>
    <w:rsid w:val="00900EAF"/>
    <w:rPr>
      <w:sz w:val="16"/>
      <w:szCs w:val="16"/>
    </w:rPr>
  </w:style>
  <w:style w:type="paragraph" w:styleId="CommentText">
    <w:name w:val="annotation text"/>
    <w:basedOn w:val="Normal"/>
    <w:link w:val="CommentTextChar"/>
    <w:rsid w:val="00900EAF"/>
    <w:rPr>
      <w:sz w:val="20"/>
      <w:szCs w:val="20"/>
    </w:rPr>
  </w:style>
  <w:style w:type="character" w:customStyle="1" w:styleId="CommentTextChar">
    <w:name w:val="Comment Text Char"/>
    <w:basedOn w:val="DefaultParagraphFont"/>
    <w:link w:val="CommentText"/>
    <w:rsid w:val="00900EAF"/>
    <w:rPr>
      <w:rFonts w:ascii="Courier" w:hAnsi="Courier"/>
    </w:rPr>
  </w:style>
  <w:style w:type="paragraph" w:styleId="CommentSubject">
    <w:name w:val="annotation subject"/>
    <w:basedOn w:val="CommentText"/>
    <w:next w:val="CommentText"/>
    <w:link w:val="CommentSubjectChar"/>
    <w:rsid w:val="00900EAF"/>
    <w:rPr>
      <w:b/>
      <w:bCs/>
    </w:rPr>
  </w:style>
  <w:style w:type="character" w:customStyle="1" w:styleId="CommentSubjectChar">
    <w:name w:val="Comment Subject Char"/>
    <w:basedOn w:val="CommentTextChar"/>
    <w:link w:val="CommentSubject"/>
    <w:rsid w:val="00900EAF"/>
    <w:rPr>
      <w:rFonts w:ascii="Courier" w:hAnsi="Courier"/>
      <w:b/>
      <w:bCs/>
    </w:rPr>
  </w:style>
  <w:style w:type="character" w:styleId="Hyperlink">
    <w:name w:val="Hyperlink"/>
    <w:basedOn w:val="DefaultParagraphFont"/>
    <w:uiPriority w:val="99"/>
    <w:rsid w:val="00900EAF"/>
    <w:rPr>
      <w:color w:val="0563C1" w:themeColor="hyperlink"/>
      <w:u w:val="single"/>
    </w:rPr>
  </w:style>
  <w:style w:type="character" w:styleId="UnresolvedMention">
    <w:name w:val="Unresolved Mention"/>
    <w:basedOn w:val="DefaultParagraphFont"/>
    <w:uiPriority w:val="99"/>
    <w:semiHidden/>
    <w:unhideWhenUsed/>
    <w:rsid w:val="00900EAF"/>
    <w:rPr>
      <w:color w:val="605E5C"/>
      <w:shd w:val="clear" w:color="auto" w:fill="E1DFDD"/>
    </w:rPr>
  </w:style>
  <w:style w:type="paragraph" w:customStyle="1" w:styleId="xmsonormal">
    <w:name w:val="x_msonormal"/>
    <w:basedOn w:val="Normal"/>
    <w:rsid w:val="00FF7F94"/>
    <w:pPr>
      <w:widowControl/>
      <w:snapToGrid/>
    </w:pPr>
    <w:rPr>
      <w:rFonts w:ascii="Aptos" w:hAnsi="Aptos" w:eastAsiaTheme="minorHAnsi" w:cs="Aptos"/>
      <w:sz w:val="22"/>
      <w:szCs w:val="22"/>
    </w:rPr>
  </w:style>
  <w:style w:type="paragraph" w:styleId="NormalWeb">
    <w:name w:val="Normal (Web)"/>
    <w:basedOn w:val="Normal"/>
    <w:uiPriority w:val="99"/>
    <w:unhideWhenUsed/>
    <w:rsid w:val="009B2CCD"/>
    <w:pPr>
      <w:widowControl/>
      <w:snapToGrid/>
      <w:spacing w:before="100" w:beforeAutospacing="1" w:after="100" w:afterAutospacing="1"/>
    </w:pPr>
    <w:rPr>
      <w:rFonts w:ascii="Times New Roman" w:hAnsi="Times New Roman"/>
    </w:rPr>
  </w:style>
  <w:style w:type="character" w:styleId="Strong">
    <w:name w:val="Strong"/>
    <w:basedOn w:val="DefaultParagraphFont"/>
    <w:uiPriority w:val="22"/>
    <w:qFormat/>
    <w:rsid w:val="009B2CCD"/>
    <w:rPr>
      <w:b/>
      <w:bCs/>
    </w:rPr>
  </w:style>
  <w:style w:type="paragraph" w:styleId="Revision">
    <w:name w:val="Revision"/>
    <w:hidden/>
    <w:uiPriority w:val="99"/>
    <w:semiHidden/>
    <w:rsid w:val="008C7316"/>
    <w:rPr>
      <w:rFonts w:ascii="Courier" w:hAnsi="Courier"/>
      <w:sz w:val="24"/>
      <w:szCs w:val="24"/>
    </w:rPr>
  </w:style>
  <w:style w:type="paragraph" w:styleId="ListParagraph">
    <w:name w:val="List Paragraph"/>
    <w:basedOn w:val="Normal"/>
    <w:uiPriority w:val="34"/>
    <w:qFormat/>
    <w:rsid w:val="002C271C"/>
    <w:pPr>
      <w:ind w:left="720"/>
      <w:contextualSpacing/>
    </w:pPr>
  </w:style>
  <w:style w:type="table" w:styleId="TableGrid">
    <w:name w:val="Table Grid"/>
    <w:basedOn w:val="TableNormal"/>
    <w:uiPriority w:val="39"/>
    <w:rsid w:val="001A3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F906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sa.gov/oact/COLA/colaeffect.html" TargetMode="External" /><Relationship Id="rId5" Type="http://schemas.openxmlformats.org/officeDocument/2006/relationships/hyperlink" Target="https://data.bls.gov/oes/"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922</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creator>177717</dc:creator>
  <cp:lastModifiedBy>SSA Response</cp:lastModifiedBy>
  <cp:revision>3</cp:revision>
  <cp:lastPrinted>2010-08-04T14:54:00Z</cp:lastPrinted>
  <dcterms:created xsi:type="dcterms:W3CDTF">2026-03-09T19:22:00Z</dcterms:created>
  <dcterms:modified xsi:type="dcterms:W3CDTF">2026-03-09T20:01:00Z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