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164" w:rsidRPr="002E2F7F" w:rsidP="00173BF2" w14:paraId="58E5ACFC" w14:textId="4FE52B20">
      <w:pPr>
        <w:pStyle w:val="Heading1"/>
      </w:pPr>
      <w:r w:rsidRPr="002E2F7F">
        <w:t>Supporting Statement Part A</w:t>
      </w:r>
    </w:p>
    <w:p w:rsidR="005A3260" w:rsidRPr="002E2F7F" w:rsidP="00173BF2" w14:paraId="1EDA52FF" w14:textId="0D5D26AA">
      <w:pPr>
        <w:pStyle w:val="Heading1"/>
      </w:pPr>
      <w:r w:rsidRPr="002E2F7F">
        <w:t>Part D Drug Management Program</w:t>
      </w:r>
    </w:p>
    <w:p w:rsidR="00D66164" w:rsidRPr="002E2F7F" w:rsidP="00173BF2" w14:paraId="326A0220" w14:textId="105D34D8">
      <w:pPr>
        <w:pStyle w:val="Heading1"/>
      </w:pPr>
      <w:bookmarkStart w:id="0" w:name="_Hlk165879521"/>
      <w:r w:rsidRPr="002E2F7F">
        <w:t>CMS-</w:t>
      </w:r>
      <w:r w:rsidRPr="002E2F7F" w:rsidR="006A2408">
        <w:t>10874</w:t>
      </w:r>
      <w:r w:rsidRPr="002E2F7F">
        <w:t xml:space="preserve">, OMB </w:t>
      </w:r>
      <w:r w:rsidRPr="002E2F7F" w:rsidR="006A2408">
        <w:t>0938-</w:t>
      </w:r>
      <w:r w:rsidR="00913320">
        <w:t>1465</w:t>
      </w:r>
    </w:p>
    <w:bookmarkEnd w:id="0"/>
    <w:p w:rsidR="00076A76" w:rsidRPr="002E2F7F" w:rsidP="00173BF2" w14:paraId="58711C6E" w14:textId="77777777">
      <w:pPr>
        <w:spacing w:after="0" w:line="240" w:lineRule="auto"/>
      </w:pPr>
    </w:p>
    <w:p w:rsidR="00D66164" w:rsidRPr="002E2F7F" w:rsidP="00173BF2" w14:paraId="27E05E44" w14:textId="1F869FDD">
      <w:pPr>
        <w:pStyle w:val="Heading2"/>
        <w:jc w:val="left"/>
      </w:pPr>
      <w:r w:rsidRPr="002E2F7F">
        <w:t xml:space="preserve">BACKGROUND </w:t>
      </w:r>
    </w:p>
    <w:p w:rsidR="00B700C9" w:rsidRPr="002E2F7F" w:rsidP="00173BF2" w14:paraId="2D1A6017" w14:textId="77777777">
      <w:pPr>
        <w:pStyle w:val="Default"/>
        <w:ind w:left="360"/>
      </w:pPr>
    </w:p>
    <w:p w:rsidR="00555ECA" w:rsidP="00173BF2" w14:paraId="607684A5" w14:textId="61C72EF8">
      <w:pPr>
        <w:spacing w:after="0" w:line="240" w:lineRule="auto"/>
        <w:ind w:left="360" w:right="40"/>
        <w:rPr>
          <w:szCs w:val="24"/>
        </w:rPr>
      </w:pPr>
      <w:r w:rsidRPr="002E2F7F">
        <w:rPr>
          <w:szCs w:val="24"/>
        </w:rPr>
        <w:t xml:space="preserve">The Centers for Medicare &amp; Medicaid Services (CMS) request approval of this new information collection regarding Medicare Prescription Drug Program (Part D) Drug Management Program (DMP) requirements. The DMP </w:t>
      </w:r>
      <w:r w:rsidRPr="002E2F7F" w:rsidR="00C80C95">
        <w:rPr>
          <w:szCs w:val="24"/>
        </w:rPr>
        <w:t>collection instrument</w:t>
      </w:r>
      <w:r w:rsidRPr="002E2F7F">
        <w:rPr>
          <w:szCs w:val="24"/>
        </w:rPr>
        <w:t>s and related burden are currently accounted for under CMS-10141 (OMB control number 0938-0964)</w:t>
      </w:r>
      <w:r>
        <w:rPr>
          <w:szCs w:val="24"/>
        </w:rPr>
        <w:t>.</w:t>
      </w:r>
      <w:r w:rsidRPr="002E2F7F">
        <w:rPr>
          <w:szCs w:val="24"/>
        </w:rPr>
        <w:t xml:space="preserve"> </w:t>
      </w:r>
    </w:p>
    <w:p w:rsidR="00555ECA" w:rsidP="00173BF2" w14:paraId="56165CE2" w14:textId="77777777">
      <w:pPr>
        <w:spacing w:after="0" w:line="240" w:lineRule="auto"/>
        <w:ind w:left="360" w:right="40"/>
        <w:rPr>
          <w:szCs w:val="24"/>
        </w:rPr>
      </w:pPr>
    </w:p>
    <w:p w:rsidR="00D66164" w:rsidRPr="002E2F7F" w:rsidP="00173BF2" w14:paraId="73DCBE0E" w14:textId="223A5D7E">
      <w:pPr>
        <w:spacing w:after="0" w:line="240" w:lineRule="auto"/>
        <w:ind w:left="360" w:right="40"/>
        <w:rPr>
          <w:szCs w:val="24"/>
        </w:rPr>
      </w:pPr>
      <w:r>
        <w:rPr>
          <w:szCs w:val="24"/>
        </w:rPr>
        <w:t>This 2024 iteration</w:t>
      </w:r>
      <w:r w:rsidRPr="002E2F7F" w:rsidR="00B700C9">
        <w:rPr>
          <w:szCs w:val="24"/>
        </w:rPr>
        <w:t xml:space="preserve"> </w:t>
      </w:r>
      <w:r w:rsidRPr="002E2F7F" w:rsidR="00F901BE">
        <w:rPr>
          <w:szCs w:val="24"/>
        </w:rPr>
        <w:t xml:space="preserve">removes the DMP </w:t>
      </w:r>
      <w:r>
        <w:rPr>
          <w:szCs w:val="24"/>
        </w:rPr>
        <w:t>requirements/</w:t>
      </w:r>
      <w:r w:rsidRPr="002E2F7F" w:rsidR="00950746">
        <w:rPr>
          <w:szCs w:val="24"/>
        </w:rPr>
        <w:t xml:space="preserve">burden </w:t>
      </w:r>
      <w:r w:rsidRPr="002E2F7F" w:rsidR="00F901BE">
        <w:rPr>
          <w:szCs w:val="24"/>
        </w:rPr>
        <w:t xml:space="preserve">from CMS-10141 and </w:t>
      </w:r>
      <w:r>
        <w:rPr>
          <w:szCs w:val="24"/>
        </w:rPr>
        <w:t>moves it under its own collection of information request (</w:t>
      </w:r>
      <w:r w:rsidRPr="00555ECA">
        <w:rPr>
          <w:szCs w:val="24"/>
        </w:rPr>
        <w:t>CMS-10874, OMB 0938-</w:t>
      </w:r>
      <w:r>
        <w:rPr>
          <w:szCs w:val="24"/>
        </w:rPr>
        <w:t>1</w:t>
      </w:r>
      <w:r w:rsidRPr="00555ECA">
        <w:rPr>
          <w:szCs w:val="24"/>
        </w:rPr>
        <w:t>465</w:t>
      </w:r>
      <w:r>
        <w:rPr>
          <w:szCs w:val="24"/>
        </w:rPr>
        <w:t xml:space="preserve">) </w:t>
      </w:r>
      <w:r w:rsidRPr="002E2F7F" w:rsidR="00F901BE">
        <w:rPr>
          <w:szCs w:val="24"/>
        </w:rPr>
        <w:t>for improved clarity and usability</w:t>
      </w:r>
      <w:r w:rsidRPr="002E2F7F" w:rsidR="002D291E">
        <w:rPr>
          <w:szCs w:val="24"/>
        </w:rPr>
        <w:t xml:space="preserve"> for interested parties</w:t>
      </w:r>
      <w:r w:rsidRPr="002E2F7F" w:rsidR="00F901BE">
        <w:rPr>
          <w:szCs w:val="24"/>
        </w:rPr>
        <w:t xml:space="preserve">. </w:t>
      </w:r>
      <w:r>
        <w:rPr>
          <w:szCs w:val="24"/>
        </w:rPr>
        <w:t>C</w:t>
      </w:r>
      <w:r w:rsidRPr="002E2F7F" w:rsidR="006B3A89">
        <w:rPr>
          <w:szCs w:val="24"/>
        </w:rPr>
        <w:t xml:space="preserve">hanges to </w:t>
      </w:r>
      <w:r w:rsidRPr="002E2F7F" w:rsidR="00950746">
        <w:rPr>
          <w:szCs w:val="24"/>
        </w:rPr>
        <w:t xml:space="preserve">the currently approved DMP </w:t>
      </w:r>
      <w:r>
        <w:rPr>
          <w:szCs w:val="24"/>
        </w:rPr>
        <w:t>requirements</w:t>
      </w:r>
      <w:r w:rsidR="002214EF">
        <w:rPr>
          <w:szCs w:val="24"/>
        </w:rPr>
        <w:t xml:space="preserve"> and </w:t>
      </w:r>
      <w:r w:rsidRPr="002E2F7F" w:rsidR="00950746">
        <w:rPr>
          <w:szCs w:val="24"/>
        </w:rPr>
        <w:t xml:space="preserve">burden </w:t>
      </w:r>
      <w:r w:rsidRPr="002E2F7F" w:rsidR="00F616B6">
        <w:rPr>
          <w:szCs w:val="24"/>
        </w:rPr>
        <w:t>are</w:t>
      </w:r>
      <w:r w:rsidRPr="002E2F7F" w:rsidR="006B3A89">
        <w:rPr>
          <w:szCs w:val="24"/>
        </w:rPr>
        <w:t xml:space="preserve"> associated with </w:t>
      </w:r>
      <w:r>
        <w:rPr>
          <w:szCs w:val="24"/>
        </w:rPr>
        <w:t xml:space="preserve">our </w:t>
      </w:r>
      <w:r w:rsidR="009C4375">
        <w:rPr>
          <w:szCs w:val="24"/>
        </w:rPr>
        <w:t xml:space="preserve">April </w:t>
      </w:r>
      <w:r w:rsidR="006B4520">
        <w:rPr>
          <w:szCs w:val="24"/>
        </w:rPr>
        <w:t>23</w:t>
      </w:r>
      <w:r w:rsidRPr="002E2F7F" w:rsidR="002D5219">
        <w:rPr>
          <w:szCs w:val="24"/>
        </w:rPr>
        <w:t xml:space="preserve">, </w:t>
      </w:r>
      <w:r w:rsidRPr="002E2F7F" w:rsidR="009C4375">
        <w:rPr>
          <w:szCs w:val="24"/>
        </w:rPr>
        <w:t>202</w:t>
      </w:r>
      <w:r w:rsidR="009C4375">
        <w:rPr>
          <w:szCs w:val="24"/>
        </w:rPr>
        <w:t>4</w:t>
      </w:r>
      <w:r w:rsidRPr="002E2F7F" w:rsidR="009C4375">
        <w:rPr>
          <w:szCs w:val="24"/>
        </w:rPr>
        <w:t xml:space="preserve"> </w:t>
      </w:r>
      <w:r w:rsidRPr="002E2F7F" w:rsidR="002178D6">
        <w:rPr>
          <w:szCs w:val="24"/>
        </w:rPr>
        <w:t>(</w:t>
      </w:r>
      <w:r w:rsidRPr="002E2F7F" w:rsidR="009C4375">
        <w:rPr>
          <w:szCs w:val="24"/>
        </w:rPr>
        <w:t>8</w:t>
      </w:r>
      <w:r w:rsidR="009C4375">
        <w:rPr>
          <w:szCs w:val="24"/>
        </w:rPr>
        <w:t>9</w:t>
      </w:r>
      <w:r w:rsidRPr="002E2F7F" w:rsidR="009C4375">
        <w:rPr>
          <w:szCs w:val="24"/>
        </w:rPr>
        <w:t xml:space="preserve"> </w:t>
      </w:r>
      <w:r w:rsidRPr="002E2F7F" w:rsidR="002178D6">
        <w:rPr>
          <w:szCs w:val="24"/>
        </w:rPr>
        <w:t xml:space="preserve">FR </w:t>
      </w:r>
      <w:r w:rsidRPr="006B4520" w:rsidR="006B4520">
        <w:rPr>
          <w:szCs w:val="24"/>
        </w:rPr>
        <w:t>30448</w:t>
      </w:r>
      <w:r w:rsidRPr="002E2F7F" w:rsidR="002178D6">
        <w:rPr>
          <w:szCs w:val="24"/>
        </w:rPr>
        <w:t xml:space="preserve">) </w:t>
      </w:r>
      <w:r w:rsidR="009C4375">
        <w:rPr>
          <w:szCs w:val="24"/>
        </w:rPr>
        <w:t>final</w:t>
      </w:r>
      <w:r w:rsidRPr="002E2F7F" w:rsidR="009C4375">
        <w:rPr>
          <w:szCs w:val="24"/>
        </w:rPr>
        <w:t xml:space="preserve"> </w:t>
      </w:r>
      <w:r w:rsidRPr="002E2F7F" w:rsidR="006B3A89">
        <w:rPr>
          <w:szCs w:val="24"/>
        </w:rPr>
        <w:t>rule</w:t>
      </w:r>
      <w:r w:rsidRPr="002E2F7F" w:rsidR="002178D6">
        <w:rPr>
          <w:szCs w:val="24"/>
        </w:rPr>
        <w:t xml:space="preserve"> (CMS-4205-</w:t>
      </w:r>
      <w:r w:rsidR="009C4375">
        <w:rPr>
          <w:szCs w:val="24"/>
        </w:rPr>
        <w:t>F</w:t>
      </w:r>
      <w:r w:rsidRPr="002E2F7F" w:rsidR="002178D6">
        <w:rPr>
          <w:szCs w:val="24"/>
        </w:rPr>
        <w:t>, RIN 0938-AV24)</w:t>
      </w:r>
      <w:r w:rsidRPr="002E2F7F" w:rsidR="002D5219">
        <w:rPr>
          <w:szCs w:val="24"/>
        </w:rPr>
        <w:t xml:space="preserve">, “Contract Year 2025 Policy and Technical Changes to the Medicare Advantage Plan Program, Medicare Prescription Drug Benefit Program, Medicare Cost Plan Program, and Programs of All-Inclusive Care for the Elderly, and Health Information Technology Standards and Implementation Specifications </w:t>
      </w:r>
      <w:r w:rsidR="00523F2B">
        <w:rPr>
          <w:szCs w:val="24"/>
        </w:rPr>
        <w:t>Final</w:t>
      </w:r>
      <w:r w:rsidRPr="002E2F7F" w:rsidR="00523F2B">
        <w:rPr>
          <w:szCs w:val="24"/>
        </w:rPr>
        <w:t xml:space="preserve"> </w:t>
      </w:r>
      <w:r w:rsidRPr="002E2F7F" w:rsidR="002D5219">
        <w:rPr>
          <w:szCs w:val="24"/>
        </w:rPr>
        <w:t>Rule</w:t>
      </w:r>
      <w:r w:rsidRPr="002E2F7F" w:rsidR="002178D6">
        <w:rPr>
          <w:szCs w:val="24"/>
        </w:rPr>
        <w:t>.</w:t>
      </w:r>
      <w:r w:rsidRPr="002E2F7F" w:rsidR="00FB2669">
        <w:rPr>
          <w:szCs w:val="24"/>
        </w:rPr>
        <w:t>”</w:t>
      </w:r>
      <w:r>
        <w:rPr>
          <w:rStyle w:val="FootnoteReference"/>
          <w:szCs w:val="24"/>
        </w:rPr>
        <w:footnoteReference w:id="3"/>
      </w:r>
      <w:r w:rsidRPr="002E2F7F" w:rsidR="00D56F46">
        <w:rPr>
          <w:szCs w:val="24"/>
        </w:rPr>
        <w:t xml:space="preserve"> </w:t>
      </w:r>
    </w:p>
    <w:p w:rsidR="00436F72" w:rsidRPr="002E2F7F" w:rsidP="00173BF2" w14:paraId="691A3A2F" w14:textId="77777777">
      <w:pPr>
        <w:spacing w:after="0" w:line="240" w:lineRule="auto"/>
        <w:ind w:left="360" w:right="40"/>
        <w:rPr>
          <w:szCs w:val="24"/>
        </w:rPr>
      </w:pPr>
    </w:p>
    <w:p w:rsidR="00427276" w:rsidRPr="002E2F7F" w:rsidP="00173BF2" w14:paraId="5566F65A" w14:textId="545C653D">
      <w:pPr>
        <w:pStyle w:val="paragraph"/>
        <w:spacing w:before="0" w:beforeAutospacing="0" w:after="0" w:afterAutospacing="0"/>
        <w:ind w:left="360"/>
        <w:textAlignment w:val="baseline"/>
      </w:pPr>
      <w:r w:rsidRPr="002E2F7F">
        <w:t xml:space="preserve">Section 1860D-4(c)(5)(A) of the Social Security Act (the Act) requires that Part D sponsors have a DMP </w:t>
      </w:r>
      <w:r w:rsidRPr="002E2F7F" w:rsidR="00DB65A5">
        <w:t xml:space="preserve">for </w:t>
      </w:r>
      <w:r w:rsidRPr="002E2F7F" w:rsidR="00BA502B">
        <w:t>beneficiaries at risk of</w:t>
      </w:r>
      <w:r w:rsidRPr="002E2F7F" w:rsidR="00E96B49">
        <w:t xml:space="preserve"> abuse </w:t>
      </w:r>
      <w:r w:rsidRPr="002E2F7F" w:rsidR="00AF41D2">
        <w:t xml:space="preserve">or misuse </w:t>
      </w:r>
      <w:r w:rsidRPr="002E2F7F">
        <w:t xml:space="preserve">of frequently abused drugs (FADs), </w:t>
      </w:r>
      <w:r w:rsidRPr="002E2F7F" w:rsidR="00397015">
        <w:t>which</w:t>
      </w:r>
      <w:r w:rsidRPr="002E2F7F">
        <w:t xml:space="preserve"> CMS </w:t>
      </w:r>
      <w:r w:rsidRPr="002E2F7F" w:rsidR="00397015">
        <w:t xml:space="preserve">currently defines </w:t>
      </w:r>
      <w:r w:rsidRPr="002E2F7F">
        <w:t>as opioids and benzodiazepines</w:t>
      </w:r>
      <w:r w:rsidRPr="002E2F7F" w:rsidR="00397015">
        <w:t>.</w:t>
      </w:r>
      <w:r w:rsidRPr="002E2F7F" w:rsidR="00CC095E">
        <w:t xml:space="preserve"> </w:t>
      </w:r>
      <w:r w:rsidRPr="002E2F7F" w:rsidR="00554BD6">
        <w:t>Through the DMP</w:t>
      </w:r>
      <w:r w:rsidRPr="002E2F7F" w:rsidR="00DB65A5">
        <w:t>,</w:t>
      </w:r>
      <w:r w:rsidRPr="002E2F7F" w:rsidR="001F0575">
        <w:t xml:space="preserve"> </w:t>
      </w:r>
      <w:r w:rsidRPr="002E2F7F" w:rsidR="00E96B49">
        <w:t xml:space="preserve">sponsors </w:t>
      </w:r>
      <w:r w:rsidRPr="002E2F7F" w:rsidR="008D3323">
        <w:t xml:space="preserve">coordinate with CMS, prescribers, and pharmacies to </w:t>
      </w:r>
      <w:r w:rsidRPr="002E2F7F" w:rsidR="00AF41D2">
        <w:t xml:space="preserve">identify and manage </w:t>
      </w:r>
      <w:r w:rsidRPr="002E2F7F" w:rsidR="002061AC">
        <w:t xml:space="preserve">coverage of FADs for </w:t>
      </w:r>
      <w:r w:rsidRPr="002E2F7F" w:rsidR="00AF41D2">
        <w:rPr>
          <w:rStyle w:val="normaltextrun"/>
        </w:rPr>
        <w:t xml:space="preserve">potential </w:t>
      </w:r>
      <w:r w:rsidRPr="002E2F7F" w:rsidR="006B5305">
        <w:rPr>
          <w:rStyle w:val="normaltextrun"/>
        </w:rPr>
        <w:t>at-risk beneficiaries (PARBs) and at-risk beneficiaries (ARBs)</w:t>
      </w:r>
      <w:r w:rsidRPr="002E2F7F" w:rsidR="00AF41D2">
        <w:rPr>
          <w:rStyle w:val="normaltextrun"/>
        </w:rPr>
        <w:t xml:space="preserve">. Regulations </w:t>
      </w:r>
      <w:r w:rsidRPr="002E2F7F" w:rsidR="007D5F12">
        <w:rPr>
          <w:rStyle w:val="normaltextrun"/>
        </w:rPr>
        <w:t xml:space="preserve">at 42 CFR 423.153(f) </w:t>
      </w:r>
      <w:r w:rsidRPr="002E2F7F" w:rsidR="00AF41D2">
        <w:rPr>
          <w:rStyle w:val="normaltextrun"/>
        </w:rPr>
        <w:t xml:space="preserve">implementing </w:t>
      </w:r>
      <w:r w:rsidRPr="002E2F7F" w:rsidR="007D5F12">
        <w:rPr>
          <w:rStyle w:val="normaltextrun"/>
        </w:rPr>
        <w:t xml:space="preserve">section </w:t>
      </w:r>
      <w:r w:rsidRPr="002E2F7F" w:rsidR="00AF41D2">
        <w:rPr>
          <w:rStyle w:val="normaltextrun"/>
        </w:rPr>
        <w:t xml:space="preserve">1860D-4(c)(5) </w:t>
      </w:r>
      <w:r w:rsidRPr="002E2F7F" w:rsidR="007D5F12">
        <w:rPr>
          <w:rStyle w:val="normaltextrun"/>
        </w:rPr>
        <w:t xml:space="preserve">of the Act </w:t>
      </w:r>
      <w:r w:rsidRPr="002E2F7F" w:rsidR="00AF41D2">
        <w:rPr>
          <w:rStyle w:val="normaltextrun"/>
        </w:rPr>
        <w:t xml:space="preserve">established interventions </w:t>
      </w:r>
      <w:r w:rsidRPr="002E2F7F" w:rsidR="00302D65">
        <w:rPr>
          <w:rStyle w:val="normaltextrun"/>
        </w:rPr>
        <w:t>for</w:t>
      </w:r>
      <w:r w:rsidRPr="002E2F7F" w:rsidR="00AF41D2">
        <w:rPr>
          <w:rStyle w:val="normaltextrun"/>
        </w:rPr>
        <w:t xml:space="preserve"> </w:t>
      </w:r>
      <w:r w:rsidRPr="002E2F7F" w:rsidR="006B5305">
        <w:rPr>
          <w:rStyle w:val="normaltextrun"/>
        </w:rPr>
        <w:t>beneficiaries</w:t>
      </w:r>
      <w:r w:rsidRPr="002E2F7F" w:rsidR="00302D65">
        <w:rPr>
          <w:rStyle w:val="normaltextrun"/>
        </w:rPr>
        <w:t xml:space="preserve"> who</w:t>
      </w:r>
      <w:r w:rsidRPr="002E2F7F" w:rsidR="00AF41D2">
        <w:rPr>
          <w:rStyle w:val="normaltextrun"/>
        </w:rPr>
        <w:t xml:space="preserve"> may attempt to obtain prescription opioids from multiple prescribers and/or pharmacies, wh</w:t>
      </w:r>
      <w:r w:rsidRPr="002E2F7F" w:rsidR="00302D65">
        <w:rPr>
          <w:rStyle w:val="normaltextrun"/>
        </w:rPr>
        <w:t xml:space="preserve">ich </w:t>
      </w:r>
      <w:r w:rsidRPr="002E2F7F" w:rsidR="00AF41D2">
        <w:rPr>
          <w:rStyle w:val="normaltextrun"/>
        </w:rPr>
        <w:t>may be unaware that others are prescribing or dispensing for the same patient.</w:t>
      </w:r>
      <w:r w:rsidRPr="002E2F7F" w:rsidR="00E96B49">
        <w:t xml:space="preserve"> </w:t>
      </w:r>
      <w:r w:rsidRPr="002E2F7F" w:rsidR="00563392">
        <w:t>Such interventions include the ability to</w:t>
      </w:r>
      <w:r w:rsidRPr="002E2F7F" w:rsidR="00DB65A5">
        <w:t xml:space="preserve"> </w:t>
      </w:r>
      <w:r w:rsidRPr="002E2F7F" w:rsidR="007D5F12">
        <w:t xml:space="preserve">limit </w:t>
      </w:r>
      <w:r w:rsidRPr="002E2F7F" w:rsidR="002061AC">
        <w:t xml:space="preserve">coverage of FADs when a </w:t>
      </w:r>
      <w:r w:rsidRPr="002E2F7F" w:rsidR="00397015">
        <w:t xml:space="preserve">sponsor determines that a </w:t>
      </w:r>
      <w:r w:rsidRPr="002E2F7F" w:rsidR="002061AC">
        <w:t xml:space="preserve">beneficiary is at risk for prescription drug abuse or misuse. </w:t>
      </w:r>
      <w:r w:rsidRPr="002E2F7F" w:rsidR="001F0575">
        <w:t xml:space="preserve"> </w:t>
      </w:r>
    </w:p>
    <w:p w:rsidR="00DB65A5" w:rsidRPr="002E2F7F" w:rsidP="00173BF2" w14:paraId="0D06751E" w14:textId="77A4A721">
      <w:pPr>
        <w:spacing w:after="0" w:line="240" w:lineRule="auto"/>
        <w:ind w:left="0" w:right="40" w:firstLine="0"/>
        <w:rPr>
          <w:szCs w:val="24"/>
        </w:rPr>
      </w:pPr>
    </w:p>
    <w:p w:rsidR="00436F72" w:rsidRPr="002E2F7F" w:rsidP="0040005A" w14:paraId="380E5D30" w14:textId="0214011F">
      <w:pPr>
        <w:spacing w:after="0" w:line="240" w:lineRule="auto"/>
        <w:ind w:left="350" w:right="40" w:firstLine="0"/>
        <w:rPr>
          <w:szCs w:val="24"/>
        </w:rPr>
      </w:pPr>
      <w:r w:rsidRPr="002E2F7F">
        <w:rPr>
          <w:szCs w:val="24"/>
        </w:rPr>
        <w:t xml:space="preserve">Under current DMP policy, CMS </w:t>
      </w:r>
      <w:r w:rsidRPr="002E2F7F" w:rsidR="00634402">
        <w:rPr>
          <w:szCs w:val="24"/>
        </w:rPr>
        <w:t xml:space="preserve">reports to a Part D sponsor any </w:t>
      </w:r>
      <w:r w:rsidRPr="002E2F7F" w:rsidR="00704AC1">
        <w:rPr>
          <w:szCs w:val="24"/>
        </w:rPr>
        <w:t>beneficiarie</w:t>
      </w:r>
      <w:r w:rsidRPr="002E2F7F" w:rsidR="00634402">
        <w:rPr>
          <w:szCs w:val="24"/>
        </w:rPr>
        <w:t xml:space="preserve">s of such sponsor who </w:t>
      </w:r>
      <w:r w:rsidRPr="002E2F7F">
        <w:rPr>
          <w:szCs w:val="24"/>
        </w:rPr>
        <w:t xml:space="preserve">meet the clinical guidelines described at § 423.153(f)(16), which CMS refers to as the minimum Overutilization Management System (OMS) criteria. </w:t>
      </w:r>
      <w:r w:rsidRPr="002E2F7F" w:rsidR="00634402">
        <w:rPr>
          <w:szCs w:val="24"/>
        </w:rPr>
        <w:t xml:space="preserve">Sponsors must review all beneficiaries meeting the minimum OMS criteria. </w:t>
      </w:r>
      <w:r w:rsidRPr="002E2F7F" w:rsidR="00D2389A">
        <w:rPr>
          <w:szCs w:val="24"/>
        </w:rPr>
        <w:t xml:space="preserve">Sponsors may apply </w:t>
      </w:r>
      <w:r w:rsidRPr="002E2F7F" w:rsidR="00383DA0">
        <w:rPr>
          <w:szCs w:val="24"/>
        </w:rPr>
        <w:t xml:space="preserve">the </w:t>
      </w:r>
      <w:r w:rsidRPr="002E2F7F" w:rsidR="00D2389A">
        <w:rPr>
          <w:szCs w:val="24"/>
        </w:rPr>
        <w:t xml:space="preserve">supplemental OMS criteria to their Part D member populations to identify additional individuals at potential risk for prescription drug misuse or abuse who may benefit from the </w:t>
      </w:r>
      <w:r w:rsidRPr="002E2F7F" w:rsidR="00763365">
        <w:rPr>
          <w:szCs w:val="24"/>
        </w:rPr>
        <w:t xml:space="preserve">sponsor’s </w:t>
      </w:r>
      <w:r w:rsidRPr="002E2F7F" w:rsidR="00D2389A">
        <w:rPr>
          <w:szCs w:val="24"/>
        </w:rPr>
        <w:t>DMP.</w:t>
      </w:r>
      <w:r w:rsidRPr="002E2F7F" w:rsidR="00A87C74">
        <w:rPr>
          <w:szCs w:val="24"/>
        </w:rPr>
        <w:t xml:space="preserve"> </w:t>
      </w:r>
      <w:r w:rsidRPr="002E2F7F" w:rsidR="00A87C74">
        <w:t>See section 4 of the 2023 Part D DMP Guidance (“DMP guidance”) for detailed information about the minimum and supplemental OMS criteria.</w:t>
      </w:r>
      <w:r>
        <w:rPr>
          <w:rStyle w:val="FootnoteReference"/>
          <w:szCs w:val="24"/>
        </w:rPr>
        <w:footnoteReference w:id="4"/>
      </w:r>
      <w:r w:rsidRPr="002E2F7F" w:rsidR="00D2389A">
        <w:rPr>
          <w:szCs w:val="24"/>
        </w:rPr>
        <w:t xml:space="preserve"> </w:t>
      </w:r>
      <w:r w:rsidRPr="002E2F7F" w:rsidR="00634402">
        <w:rPr>
          <w:szCs w:val="24"/>
        </w:rPr>
        <w:t xml:space="preserve">Unless the sponsor determines that </w:t>
      </w:r>
      <w:r w:rsidRPr="002E2F7F" w:rsidR="00D2389A">
        <w:rPr>
          <w:szCs w:val="24"/>
        </w:rPr>
        <w:t>a</w:t>
      </w:r>
      <w:r w:rsidRPr="002E2F7F" w:rsidR="00634402">
        <w:rPr>
          <w:szCs w:val="24"/>
        </w:rPr>
        <w:t xml:space="preserve"> beneficiary is exempt from the DMP under the definition at § 423.100, or does not meet the OMS criteria based on plan information, the sponsor must </w:t>
      </w:r>
      <w:r w:rsidRPr="002E2F7F">
        <w:rPr>
          <w:szCs w:val="24"/>
        </w:rPr>
        <w:t xml:space="preserve">conduct case management </w:t>
      </w:r>
      <w:r w:rsidRPr="002E2F7F" w:rsidR="00D2389A">
        <w:rPr>
          <w:szCs w:val="24"/>
        </w:rPr>
        <w:t>for beneficiaries determined to be potentially at</w:t>
      </w:r>
      <w:r w:rsidRPr="002E2F7F" w:rsidR="00F42BC2">
        <w:rPr>
          <w:szCs w:val="24"/>
        </w:rPr>
        <w:t xml:space="preserve"> </w:t>
      </w:r>
      <w:r w:rsidRPr="002E2F7F" w:rsidR="00D2389A">
        <w:rPr>
          <w:szCs w:val="24"/>
        </w:rPr>
        <w:t xml:space="preserve">risk. </w:t>
      </w:r>
      <w:r w:rsidRPr="002E2F7F" w:rsidR="00C943FE">
        <w:rPr>
          <w:szCs w:val="24"/>
        </w:rPr>
        <w:t xml:space="preserve">Under § 423.153(f)(2), DMP case management must include informing the beneficiary's prescribers of the beneficiary’s potential risk for misuse or abuse of FADs and requesting information from the </w:t>
      </w:r>
      <w:r w:rsidRPr="002E2F7F" w:rsidR="00C943FE">
        <w:rPr>
          <w:szCs w:val="24"/>
        </w:rPr>
        <w:t xml:space="preserve">prescribers relevant to evaluating the beneficiary’s risk. </w:t>
      </w:r>
      <w:r w:rsidRPr="002E2F7F" w:rsidR="00850B9F">
        <w:rPr>
          <w:szCs w:val="24"/>
        </w:rPr>
        <w:t xml:space="preserve">During a coverage year, a PARB or ARB might transfer to a plan under a different Part D sponsor. In such situations, the losing sponsor must provide case management information regarding the PARB or ARB to the receiving sponsor, and the </w:t>
      </w:r>
      <w:r w:rsidRPr="002E2F7F" w:rsidR="00F42BC2">
        <w:rPr>
          <w:szCs w:val="24"/>
        </w:rPr>
        <w:t xml:space="preserve">gaining </w:t>
      </w:r>
      <w:r w:rsidRPr="002E2F7F" w:rsidR="00850B9F">
        <w:rPr>
          <w:szCs w:val="24"/>
        </w:rPr>
        <w:t xml:space="preserve">sponsor must provide case management </w:t>
      </w:r>
      <w:r w:rsidRPr="002E2F7F" w:rsidR="00F42BC2">
        <w:rPr>
          <w:szCs w:val="24"/>
        </w:rPr>
        <w:t>for</w:t>
      </w:r>
      <w:r w:rsidRPr="002E2F7F" w:rsidR="00BB7977">
        <w:rPr>
          <w:szCs w:val="24"/>
        </w:rPr>
        <w:t xml:space="preserve"> the PARB or ARB </w:t>
      </w:r>
      <w:r w:rsidRPr="002E2F7F" w:rsidR="00850B9F">
        <w:rPr>
          <w:szCs w:val="24"/>
        </w:rPr>
        <w:t xml:space="preserve">henceforth. </w:t>
      </w:r>
    </w:p>
    <w:p w:rsidR="00436F72" w:rsidRPr="002E2F7F" w:rsidP="0040005A" w14:paraId="750D2CAE" w14:textId="72290A54">
      <w:pPr>
        <w:spacing w:after="0" w:line="240" w:lineRule="auto"/>
        <w:ind w:left="0" w:right="40" w:firstLine="0"/>
        <w:rPr>
          <w:szCs w:val="24"/>
        </w:rPr>
      </w:pPr>
    </w:p>
    <w:p w:rsidR="00356662" w:rsidRPr="002E2F7F" w:rsidP="00173BF2" w14:paraId="2753626A" w14:textId="631120D8">
      <w:pPr>
        <w:spacing w:after="0" w:line="240" w:lineRule="auto"/>
        <w:ind w:left="360" w:right="40"/>
        <w:rPr>
          <w:szCs w:val="24"/>
        </w:rPr>
      </w:pPr>
      <w:r w:rsidRPr="002E2F7F">
        <w:rPr>
          <w:szCs w:val="24"/>
        </w:rPr>
        <w:t>I</w:t>
      </w:r>
      <w:r w:rsidRPr="002E2F7F" w:rsidR="00427276">
        <w:rPr>
          <w:szCs w:val="24"/>
        </w:rPr>
        <w:t xml:space="preserve">f </w:t>
      </w:r>
      <w:r w:rsidRPr="002E2F7F" w:rsidR="00A73EAC">
        <w:rPr>
          <w:szCs w:val="24"/>
        </w:rPr>
        <w:t>a</w:t>
      </w:r>
      <w:r w:rsidRPr="002E2F7F" w:rsidR="0015696A">
        <w:rPr>
          <w:szCs w:val="24"/>
        </w:rPr>
        <w:t xml:space="preserve"> </w:t>
      </w:r>
      <w:r w:rsidRPr="002E2F7F" w:rsidR="00427276">
        <w:rPr>
          <w:szCs w:val="24"/>
        </w:rPr>
        <w:t xml:space="preserve">sponsor determines through case management that </w:t>
      </w:r>
      <w:r w:rsidRPr="002E2F7F" w:rsidR="0015696A">
        <w:rPr>
          <w:szCs w:val="24"/>
        </w:rPr>
        <w:t>a beneficiary</w:t>
      </w:r>
      <w:r w:rsidRPr="002E2F7F" w:rsidR="00427276">
        <w:rPr>
          <w:szCs w:val="24"/>
        </w:rPr>
        <w:t xml:space="preserve"> is an ARB, the sponsor may limit their access to </w:t>
      </w:r>
      <w:r w:rsidRPr="002E2F7F" w:rsidR="00554BD6">
        <w:rPr>
          <w:szCs w:val="24"/>
        </w:rPr>
        <w:t>FADs</w:t>
      </w:r>
      <w:r w:rsidRPr="002E2F7F" w:rsidR="00427276">
        <w:rPr>
          <w:szCs w:val="24"/>
        </w:rPr>
        <w:t xml:space="preserve"> to a selected prescriber and/or network pharmacy(ies) and/or through a beneficiary-specific point-of-sale claim edit, in accordance with the requirements at § 423.153(f)(3)</w:t>
      </w:r>
      <w:r w:rsidRPr="002E2F7F" w:rsidR="00554BD6">
        <w:rPr>
          <w:szCs w:val="24"/>
        </w:rPr>
        <w:t xml:space="preserve">. Sponsors may apply such limitations only after providing </w:t>
      </w:r>
      <w:r w:rsidRPr="002E2F7F" w:rsidR="00C07478">
        <w:rPr>
          <w:szCs w:val="24"/>
        </w:rPr>
        <w:t xml:space="preserve">an </w:t>
      </w:r>
      <w:r w:rsidRPr="002E2F7F" w:rsidR="00DE4DBC">
        <w:rPr>
          <w:szCs w:val="24"/>
        </w:rPr>
        <w:t xml:space="preserve">Initial Notice </w:t>
      </w:r>
      <w:r w:rsidRPr="002E2F7F" w:rsidR="00C07478">
        <w:rPr>
          <w:szCs w:val="24"/>
        </w:rPr>
        <w:t xml:space="preserve">and </w:t>
      </w:r>
      <w:r w:rsidRPr="002E2F7F" w:rsidR="00DE4DBC">
        <w:rPr>
          <w:szCs w:val="24"/>
        </w:rPr>
        <w:t xml:space="preserve">Second Notice </w:t>
      </w:r>
      <w:r w:rsidRPr="002E2F7F" w:rsidR="00C07478">
        <w:rPr>
          <w:szCs w:val="24"/>
        </w:rPr>
        <w:t>in writing</w:t>
      </w:r>
      <w:r w:rsidRPr="002E2F7F" w:rsidR="00554BD6">
        <w:rPr>
          <w:szCs w:val="24"/>
        </w:rPr>
        <w:t xml:space="preserve"> to such </w:t>
      </w:r>
      <w:r w:rsidRPr="002E2F7F">
        <w:rPr>
          <w:szCs w:val="24"/>
        </w:rPr>
        <w:t>a beneficiary</w:t>
      </w:r>
      <w:r w:rsidRPr="002E2F7F" w:rsidR="00427276">
        <w:rPr>
          <w:szCs w:val="24"/>
        </w:rPr>
        <w:t xml:space="preserve">. </w:t>
      </w:r>
      <w:r w:rsidRPr="002E2F7F" w:rsidR="00C07478">
        <w:rPr>
          <w:szCs w:val="24"/>
        </w:rPr>
        <w:t xml:space="preserve">The </w:t>
      </w:r>
      <w:r w:rsidRPr="002E2F7F" w:rsidR="00DE4DBC">
        <w:rPr>
          <w:szCs w:val="24"/>
        </w:rPr>
        <w:t xml:space="preserve">Initial Notice </w:t>
      </w:r>
      <w:r w:rsidRPr="002E2F7F" w:rsidR="00C07478">
        <w:rPr>
          <w:szCs w:val="24"/>
        </w:rPr>
        <w:t xml:space="preserve">must inform the beneficiary that they have been identified as a PARB and must include information outlined in § 423.153(f)(5)(ii). The </w:t>
      </w:r>
      <w:r w:rsidRPr="002E2F7F" w:rsidR="00DE4DBC">
        <w:rPr>
          <w:szCs w:val="24"/>
        </w:rPr>
        <w:t xml:space="preserve">Second Notice </w:t>
      </w:r>
      <w:r w:rsidRPr="002E2F7F" w:rsidR="00C07478">
        <w:rPr>
          <w:szCs w:val="24"/>
        </w:rPr>
        <w:t xml:space="preserve">must inform the beneficiary that they have been identified as an ARB and of the limitations on the beneficiary’s coverage of FADs, as specified in § 423.153(f)(6)(ii). In the event that, after sending an </w:t>
      </w:r>
      <w:r w:rsidRPr="002E2F7F" w:rsidR="00DE4DBC">
        <w:rPr>
          <w:szCs w:val="24"/>
        </w:rPr>
        <w:t>Initial Notice</w:t>
      </w:r>
      <w:r w:rsidRPr="002E2F7F" w:rsidR="00C07478">
        <w:rPr>
          <w:szCs w:val="24"/>
        </w:rPr>
        <w:t xml:space="preserve">, a sponsor determines that a PARB is not an ARB, a </w:t>
      </w:r>
      <w:r w:rsidRPr="002E2F7F" w:rsidR="00DE4DBC">
        <w:rPr>
          <w:szCs w:val="24"/>
        </w:rPr>
        <w:t xml:space="preserve">Second Notice </w:t>
      </w:r>
      <w:r w:rsidRPr="002E2F7F" w:rsidR="00C07478">
        <w:rPr>
          <w:szCs w:val="24"/>
        </w:rPr>
        <w:t>would not be sent; instead</w:t>
      </w:r>
      <w:r w:rsidRPr="002E2F7F" w:rsidR="00781C2C">
        <w:rPr>
          <w:szCs w:val="24"/>
        </w:rPr>
        <w:t>,</w:t>
      </w:r>
      <w:r w:rsidRPr="002E2F7F" w:rsidR="00C07478">
        <w:rPr>
          <w:szCs w:val="24"/>
        </w:rPr>
        <w:t xml:space="preserve"> an </w:t>
      </w:r>
      <w:r w:rsidRPr="002E2F7F" w:rsidR="00DE4DBC">
        <w:rPr>
          <w:szCs w:val="24"/>
        </w:rPr>
        <w:t xml:space="preserve">Alternate Second Notice </w:t>
      </w:r>
      <w:r w:rsidRPr="002E2F7F" w:rsidR="00C07478">
        <w:rPr>
          <w:szCs w:val="24"/>
        </w:rPr>
        <w:t xml:space="preserve">would be sent. CMS codified a requirement at § 423.153(f)(7) to provide an </w:t>
      </w:r>
      <w:r w:rsidRPr="002E2F7F" w:rsidR="00DE4DBC">
        <w:rPr>
          <w:szCs w:val="24"/>
        </w:rPr>
        <w:t xml:space="preserve">Alternate Second Notice </w:t>
      </w:r>
      <w:r w:rsidRPr="002E2F7F" w:rsidR="00C07478">
        <w:rPr>
          <w:szCs w:val="24"/>
        </w:rPr>
        <w:t>for the purpose of informing the beneficiary that they are not an ARB and that no limitation on their coverage of FADs will be implemented under the DMP.</w:t>
      </w:r>
    </w:p>
    <w:p w:rsidR="00436F72" w:rsidRPr="002E2F7F" w:rsidP="00173BF2" w14:paraId="7D56BE81" w14:textId="52B6210F">
      <w:pPr>
        <w:spacing w:after="0" w:line="240" w:lineRule="auto"/>
        <w:ind w:left="360" w:right="40"/>
        <w:rPr>
          <w:szCs w:val="24"/>
        </w:rPr>
      </w:pPr>
    </w:p>
    <w:p w:rsidR="00436F72" w:rsidRPr="002E2F7F" w:rsidP="004E0DF8" w14:paraId="74952111" w14:textId="3CE44E42">
      <w:pPr>
        <w:spacing w:after="0" w:line="240" w:lineRule="auto"/>
        <w:ind w:left="360" w:right="40"/>
        <w:rPr>
          <w:szCs w:val="24"/>
        </w:rPr>
      </w:pPr>
      <w:r w:rsidRPr="002E2F7F">
        <w:rPr>
          <w:szCs w:val="24"/>
        </w:rPr>
        <w:t xml:space="preserve">Under § 423.153(f)(15)(ii) and </w:t>
      </w:r>
      <w:r w:rsidR="00970F4A">
        <w:rPr>
          <w:szCs w:val="24"/>
        </w:rPr>
        <w:t xml:space="preserve">the </w:t>
      </w:r>
      <w:r w:rsidRPr="002E2F7F">
        <w:rPr>
          <w:szCs w:val="24"/>
        </w:rPr>
        <w:t xml:space="preserve">DMP guidance, </w:t>
      </w:r>
      <w:r w:rsidRPr="002E2F7F" w:rsidR="007736F7">
        <w:rPr>
          <w:szCs w:val="24"/>
        </w:rPr>
        <w:t xml:space="preserve">a </w:t>
      </w:r>
      <w:r w:rsidRPr="002E2F7F">
        <w:rPr>
          <w:szCs w:val="24"/>
        </w:rPr>
        <w:t xml:space="preserve">Part D sponsor must disclose data and information related to their DMP, including each PARB identified, each PARB and ARB that has transferred to the sponsor, and any </w:t>
      </w:r>
      <w:r w:rsidRPr="002E2F7F" w:rsidR="00361B2F">
        <w:rPr>
          <w:szCs w:val="24"/>
        </w:rPr>
        <w:t>limitations</w:t>
      </w:r>
      <w:r w:rsidRPr="002E2F7F">
        <w:rPr>
          <w:szCs w:val="24"/>
        </w:rPr>
        <w:t xml:space="preserve"> impose</w:t>
      </w:r>
      <w:r w:rsidRPr="002E2F7F" w:rsidR="00361B2F">
        <w:rPr>
          <w:szCs w:val="24"/>
        </w:rPr>
        <w:t>d to a beneficiary’s</w:t>
      </w:r>
      <w:r w:rsidRPr="002E2F7F">
        <w:rPr>
          <w:szCs w:val="24"/>
        </w:rPr>
        <w:t xml:space="preserve"> coverage </w:t>
      </w:r>
      <w:r w:rsidRPr="002E2F7F" w:rsidR="00361B2F">
        <w:rPr>
          <w:szCs w:val="24"/>
        </w:rPr>
        <w:t>of FADs</w:t>
      </w:r>
      <w:r w:rsidRPr="002E2F7F">
        <w:rPr>
          <w:szCs w:val="24"/>
        </w:rPr>
        <w:t xml:space="preserve">. Sponsors must disclose such required data manually, through OMS, and through the Medicare Advantage Prescription Drug (MARx) system. </w:t>
      </w:r>
    </w:p>
    <w:p w:rsidR="00436F72" w:rsidRPr="002E2F7F" w:rsidP="0040005A" w14:paraId="45386139" w14:textId="77777777">
      <w:pPr>
        <w:spacing w:after="0" w:line="240" w:lineRule="auto"/>
        <w:ind w:right="40"/>
        <w:rPr>
          <w:szCs w:val="24"/>
        </w:rPr>
      </w:pPr>
    </w:p>
    <w:p w:rsidR="002178D6" w:rsidP="00EF5F75" w14:paraId="5B843BEE" w14:textId="1F4629F7">
      <w:pPr>
        <w:spacing w:after="0" w:line="240" w:lineRule="auto"/>
        <w:ind w:left="360" w:right="40"/>
        <w:rPr>
          <w:szCs w:val="24"/>
        </w:rPr>
      </w:pPr>
      <w:r>
        <w:rPr>
          <w:szCs w:val="24"/>
        </w:rPr>
        <w:t>In addition to the DMP requirements/burden being moved under this collection of information request, we are also moving t</w:t>
      </w:r>
      <w:r w:rsidRPr="002E2F7F">
        <w:rPr>
          <w:szCs w:val="24"/>
        </w:rPr>
        <w:t xml:space="preserve">he </w:t>
      </w:r>
      <w:r>
        <w:rPr>
          <w:szCs w:val="24"/>
        </w:rPr>
        <w:t xml:space="preserve">currently approved </w:t>
      </w:r>
      <w:r w:rsidRPr="002E2F7F">
        <w:rPr>
          <w:szCs w:val="24"/>
        </w:rPr>
        <w:t xml:space="preserve">DMP collection instruments </w:t>
      </w:r>
      <w:r>
        <w:rPr>
          <w:szCs w:val="24"/>
        </w:rPr>
        <w:t xml:space="preserve">and </w:t>
      </w:r>
      <w:r w:rsidRPr="002E2F7F">
        <w:rPr>
          <w:szCs w:val="24"/>
        </w:rPr>
        <w:t xml:space="preserve">are </w:t>
      </w:r>
      <w:r>
        <w:rPr>
          <w:szCs w:val="24"/>
        </w:rPr>
        <w:t xml:space="preserve">making </w:t>
      </w:r>
      <w:r w:rsidRPr="002E2F7F">
        <w:rPr>
          <w:szCs w:val="24"/>
        </w:rPr>
        <w:t xml:space="preserve">minor revisions to account for changes to the definition of “exempted beneficiary” </w:t>
      </w:r>
      <w:r>
        <w:rPr>
          <w:szCs w:val="24"/>
        </w:rPr>
        <w:t xml:space="preserve">that was </w:t>
      </w:r>
      <w:r w:rsidR="0065415E">
        <w:rPr>
          <w:szCs w:val="24"/>
        </w:rPr>
        <w:t>finalized</w:t>
      </w:r>
      <w:r w:rsidRPr="002E2F7F" w:rsidR="0065415E">
        <w:rPr>
          <w:szCs w:val="24"/>
        </w:rPr>
        <w:t xml:space="preserve"> </w:t>
      </w:r>
      <w:r w:rsidRPr="002E2F7F">
        <w:rPr>
          <w:szCs w:val="24"/>
        </w:rPr>
        <w:t>in CMS-4205-</w:t>
      </w:r>
      <w:r w:rsidR="0065415E">
        <w:rPr>
          <w:szCs w:val="24"/>
        </w:rPr>
        <w:t>F</w:t>
      </w:r>
      <w:r w:rsidRPr="002E2F7F">
        <w:rPr>
          <w:szCs w:val="24"/>
        </w:rPr>
        <w:t xml:space="preserve">, as well as </w:t>
      </w:r>
      <w:r>
        <w:rPr>
          <w:szCs w:val="24"/>
        </w:rPr>
        <w:t xml:space="preserve">other </w:t>
      </w:r>
      <w:r w:rsidRPr="002E2F7F">
        <w:rPr>
          <w:szCs w:val="24"/>
        </w:rPr>
        <w:t xml:space="preserve">revisions </w:t>
      </w:r>
      <w:r>
        <w:rPr>
          <w:szCs w:val="24"/>
        </w:rPr>
        <w:t>deemed</w:t>
      </w:r>
      <w:r w:rsidRPr="002E2F7F">
        <w:rPr>
          <w:szCs w:val="24"/>
        </w:rPr>
        <w:t xml:space="preserve"> necessary </w:t>
      </w:r>
      <w:r w:rsidR="00EF5F75">
        <w:rPr>
          <w:szCs w:val="24"/>
        </w:rPr>
        <w:t xml:space="preserve">for </w:t>
      </w:r>
      <w:r w:rsidRPr="002E2F7F">
        <w:rPr>
          <w:szCs w:val="24"/>
        </w:rPr>
        <w:t xml:space="preserve">program operation. </w:t>
      </w:r>
      <w:r w:rsidR="00EF5F75">
        <w:rPr>
          <w:szCs w:val="24"/>
        </w:rPr>
        <w:t>See sections 12 and 15 of this Supporting Statement for details.</w:t>
      </w:r>
    </w:p>
    <w:p w:rsidR="00197262" w:rsidP="00EF5F75" w14:paraId="07DF2347" w14:textId="77777777">
      <w:pPr>
        <w:spacing w:after="0" w:line="240" w:lineRule="auto"/>
        <w:ind w:left="360" w:right="40"/>
        <w:rPr>
          <w:szCs w:val="24"/>
        </w:rPr>
      </w:pPr>
    </w:p>
    <w:p w:rsidR="00197262" w:rsidRPr="002E2F7F" w:rsidP="00EF5F75" w14:paraId="7285133A" w14:textId="5621F297">
      <w:pPr>
        <w:spacing w:after="0" w:line="240" w:lineRule="auto"/>
        <w:ind w:left="360" w:right="40"/>
        <w:rPr>
          <w:szCs w:val="24"/>
        </w:rPr>
      </w:pPr>
      <w:r w:rsidRPr="00197262">
        <w:rPr>
          <w:szCs w:val="24"/>
        </w:rPr>
        <w:t>Overall, the collection consists of: 319 respondents, 62,248 responses, and 152,585 hours.</w:t>
      </w:r>
    </w:p>
    <w:p w:rsidR="002178D6" w:rsidRPr="002E2F7F" w:rsidP="00173BF2" w14:paraId="2BB0DE7D" w14:textId="77777777">
      <w:pPr>
        <w:spacing w:after="0" w:line="240" w:lineRule="auto"/>
        <w:ind w:left="360" w:right="40"/>
        <w:rPr>
          <w:szCs w:val="24"/>
        </w:rPr>
      </w:pPr>
    </w:p>
    <w:p w:rsidR="00D66164" w:rsidRPr="002E2F7F" w:rsidP="00173BF2" w14:paraId="76740DAD" w14:textId="4BA9050D">
      <w:pPr>
        <w:pStyle w:val="Heading3"/>
        <w:jc w:val="left"/>
      </w:pPr>
      <w:r w:rsidRPr="002E2F7F">
        <w:t xml:space="preserve">JUSTIFICATION </w:t>
      </w:r>
    </w:p>
    <w:p w:rsidR="00076A76" w:rsidRPr="002E2F7F" w:rsidP="00173BF2" w14:paraId="7EB39D5D" w14:textId="77777777">
      <w:pPr>
        <w:spacing w:after="0" w:line="240" w:lineRule="auto"/>
      </w:pPr>
    </w:p>
    <w:p w:rsidR="00D66164" w:rsidRPr="002E2F7F" w:rsidP="00173BF2" w14:paraId="5D3DA9F2" w14:textId="6BDC5306">
      <w:pPr>
        <w:pStyle w:val="Heading4"/>
        <w:numPr>
          <w:ilvl w:val="0"/>
          <w:numId w:val="11"/>
        </w:numPr>
        <w:jc w:val="left"/>
      </w:pPr>
      <w:r w:rsidRPr="002E2F7F">
        <w:t xml:space="preserve">Need and Legal Basis </w:t>
      </w:r>
    </w:p>
    <w:p w:rsidR="00076A76" w:rsidRPr="002E2F7F" w:rsidP="00173BF2" w14:paraId="5CB02084" w14:textId="77777777">
      <w:pPr>
        <w:spacing w:after="0" w:line="240" w:lineRule="auto"/>
      </w:pPr>
    </w:p>
    <w:p w:rsidR="00A6698D" w:rsidRPr="002E2F7F" w:rsidP="00173BF2" w14:paraId="46290C9A" w14:textId="25580945">
      <w:pPr>
        <w:spacing w:after="0" w:line="240" w:lineRule="auto"/>
        <w:ind w:left="360" w:right="40"/>
        <w:rPr>
          <w:szCs w:val="24"/>
        </w:rPr>
      </w:pPr>
      <w:r w:rsidRPr="002E2F7F">
        <w:t xml:space="preserve">Section 1860D-4(c)(5)(A) of the Act requires that Part D sponsors have a DMP </w:t>
      </w:r>
      <w:r w:rsidRPr="002E2F7F">
        <w:rPr>
          <w:szCs w:val="24"/>
        </w:rPr>
        <w:t xml:space="preserve">for beneficiaries at risk of abuse or misuse of FADs. </w:t>
      </w:r>
      <w:r w:rsidRPr="002E2F7F" w:rsidR="00427276">
        <w:rPr>
          <w:szCs w:val="24"/>
        </w:rPr>
        <w:t xml:space="preserve">The information in this collection is </w:t>
      </w:r>
      <w:r w:rsidRPr="002E2F7F" w:rsidR="002435EC">
        <w:rPr>
          <w:szCs w:val="24"/>
        </w:rPr>
        <w:t>necessary</w:t>
      </w:r>
      <w:r w:rsidRPr="002E2F7F" w:rsidR="00076A76">
        <w:rPr>
          <w:szCs w:val="24"/>
        </w:rPr>
        <w:t xml:space="preserve"> for sponsor conformance with DMP requirements at § 423.153(f), including</w:t>
      </w:r>
      <w:r w:rsidRPr="002E2F7F" w:rsidR="00427276">
        <w:rPr>
          <w:szCs w:val="24"/>
        </w:rPr>
        <w:t xml:space="preserve"> </w:t>
      </w:r>
      <w:r w:rsidRPr="002E2F7F">
        <w:rPr>
          <w:szCs w:val="24"/>
        </w:rPr>
        <w:t>communicating with prescribers and pharmacies</w:t>
      </w:r>
      <w:r w:rsidRPr="002E2F7F" w:rsidR="0054553D">
        <w:rPr>
          <w:szCs w:val="24"/>
        </w:rPr>
        <w:t>,</w:t>
      </w:r>
      <w:r w:rsidRPr="002E2F7F">
        <w:rPr>
          <w:szCs w:val="24"/>
        </w:rPr>
        <w:t xml:space="preserve"> </w:t>
      </w:r>
      <w:r w:rsidRPr="002E2F7F" w:rsidR="00427276">
        <w:rPr>
          <w:szCs w:val="24"/>
        </w:rPr>
        <w:t>inform</w:t>
      </w:r>
      <w:r w:rsidRPr="002E2F7F" w:rsidR="002435EC">
        <w:rPr>
          <w:szCs w:val="24"/>
        </w:rPr>
        <w:t>ing</w:t>
      </w:r>
      <w:r w:rsidRPr="002E2F7F" w:rsidR="00427276">
        <w:rPr>
          <w:szCs w:val="24"/>
        </w:rPr>
        <w:t xml:space="preserve"> </w:t>
      </w:r>
      <w:r w:rsidRPr="002E2F7F" w:rsidR="0049099B">
        <w:rPr>
          <w:szCs w:val="24"/>
        </w:rPr>
        <w:t xml:space="preserve">beneficiaries </w:t>
      </w:r>
      <w:r w:rsidRPr="002E2F7F" w:rsidR="002435EC">
        <w:rPr>
          <w:szCs w:val="24"/>
        </w:rPr>
        <w:t xml:space="preserve">that </w:t>
      </w:r>
      <w:r w:rsidRPr="002E2F7F" w:rsidR="00427276">
        <w:rPr>
          <w:szCs w:val="24"/>
        </w:rPr>
        <w:t>they have been identified as a PARB or ARB</w:t>
      </w:r>
      <w:r w:rsidRPr="002E2F7F" w:rsidR="0054553D">
        <w:rPr>
          <w:szCs w:val="24"/>
        </w:rPr>
        <w:t>,</w:t>
      </w:r>
      <w:r w:rsidRPr="002E2F7F" w:rsidR="00427276">
        <w:rPr>
          <w:szCs w:val="24"/>
        </w:rPr>
        <w:t xml:space="preserve"> and </w:t>
      </w:r>
      <w:r w:rsidRPr="002E2F7F" w:rsidR="0054553D">
        <w:rPr>
          <w:szCs w:val="24"/>
        </w:rPr>
        <w:t xml:space="preserve">informing </w:t>
      </w:r>
      <w:r w:rsidRPr="002E2F7F" w:rsidR="00651BB5">
        <w:rPr>
          <w:szCs w:val="24"/>
        </w:rPr>
        <w:t>beneficiaries</w:t>
      </w:r>
      <w:r w:rsidRPr="002E2F7F" w:rsidR="0054553D">
        <w:rPr>
          <w:szCs w:val="24"/>
        </w:rPr>
        <w:t xml:space="preserve"> and CMS </w:t>
      </w:r>
      <w:r w:rsidRPr="002E2F7F" w:rsidR="00112651">
        <w:rPr>
          <w:szCs w:val="24"/>
        </w:rPr>
        <w:t xml:space="preserve">whether </w:t>
      </w:r>
      <w:r w:rsidRPr="002E2F7F" w:rsidR="0054553D">
        <w:rPr>
          <w:szCs w:val="24"/>
        </w:rPr>
        <w:t xml:space="preserve">a beneficiary’s </w:t>
      </w:r>
      <w:r w:rsidRPr="002E2F7F" w:rsidR="00112651">
        <w:rPr>
          <w:szCs w:val="24"/>
        </w:rPr>
        <w:t xml:space="preserve">access to </w:t>
      </w:r>
      <w:r w:rsidRPr="002E2F7F" w:rsidR="003E415A">
        <w:rPr>
          <w:szCs w:val="24"/>
        </w:rPr>
        <w:t>FADs</w:t>
      </w:r>
      <w:r w:rsidRPr="002E2F7F" w:rsidR="00112651">
        <w:rPr>
          <w:szCs w:val="24"/>
        </w:rPr>
        <w:t xml:space="preserve"> will be restricted to a selected prescriber and/or network pharmacy(ies) and/or through a beneficiary-specific point-of-sale claim edit</w:t>
      </w:r>
      <w:r w:rsidRPr="002E2F7F" w:rsidR="004277DE">
        <w:rPr>
          <w:szCs w:val="24"/>
        </w:rPr>
        <w:t xml:space="preserve">. </w:t>
      </w:r>
    </w:p>
    <w:p w:rsidR="00436F72" w:rsidRPr="002E2F7F" w:rsidP="00173BF2" w14:paraId="3E9DABA7" w14:textId="77777777">
      <w:pPr>
        <w:spacing w:after="0" w:line="240" w:lineRule="auto"/>
        <w:ind w:left="360" w:right="40"/>
        <w:rPr>
          <w:szCs w:val="24"/>
        </w:rPr>
      </w:pPr>
    </w:p>
    <w:p w:rsidR="00D66164" w:rsidRPr="002E2F7F" w:rsidP="00173BF2" w14:paraId="5A9CA98B" w14:textId="77777777">
      <w:pPr>
        <w:pStyle w:val="Heading4"/>
        <w:jc w:val="left"/>
      </w:pPr>
      <w:r w:rsidRPr="002E2F7F">
        <w:t>2.</w:t>
      </w:r>
      <w:r w:rsidRPr="002E2F7F">
        <w:rPr>
          <w:rFonts w:eastAsia="Arial"/>
        </w:rPr>
        <w:t xml:space="preserve"> </w:t>
      </w:r>
      <w:r w:rsidRPr="002E2F7F">
        <w:t xml:space="preserve">Information Users </w:t>
      </w:r>
    </w:p>
    <w:p w:rsidR="00076A76" w:rsidRPr="002E2F7F" w:rsidP="00173BF2" w14:paraId="5243B755" w14:textId="77777777">
      <w:pPr>
        <w:spacing w:after="0" w:line="240" w:lineRule="auto"/>
      </w:pPr>
    </w:p>
    <w:p w:rsidR="005E02DF" w:rsidRPr="002E2F7F" w:rsidP="00173BF2" w14:paraId="794E1F26" w14:textId="368F9545">
      <w:pPr>
        <w:spacing w:after="0" w:line="240" w:lineRule="auto"/>
        <w:ind w:left="360" w:right="280"/>
        <w:rPr>
          <w:szCs w:val="24"/>
        </w:rPr>
      </w:pPr>
      <w:r w:rsidRPr="002E2F7F">
        <w:rPr>
          <w:szCs w:val="24"/>
        </w:rPr>
        <w:t xml:space="preserve">Pursuant to </w:t>
      </w:r>
      <w:r w:rsidRPr="002E2F7F" w:rsidR="00481599">
        <w:rPr>
          <w:szCs w:val="24"/>
        </w:rPr>
        <w:t>Section 1860D-4(c)(5)(A) of the SSA</w:t>
      </w:r>
      <w:r w:rsidRPr="002E2F7F">
        <w:rPr>
          <w:szCs w:val="24"/>
        </w:rPr>
        <w:t xml:space="preserve">, </w:t>
      </w:r>
      <w:r w:rsidRPr="002E2F7F" w:rsidR="001A1C4C">
        <w:rPr>
          <w:szCs w:val="24"/>
        </w:rPr>
        <w:t xml:space="preserve">Part D sponsors will </w:t>
      </w:r>
      <w:r w:rsidRPr="002E2F7F" w:rsidR="00497011">
        <w:rPr>
          <w:szCs w:val="24"/>
        </w:rPr>
        <w:t xml:space="preserve">use </w:t>
      </w:r>
      <w:r w:rsidRPr="002E2F7F" w:rsidR="00977817">
        <w:rPr>
          <w:szCs w:val="24"/>
        </w:rPr>
        <w:t>the standard</w:t>
      </w:r>
      <w:r w:rsidRPr="002E2F7F" w:rsidR="00535069">
        <w:rPr>
          <w:szCs w:val="24"/>
        </w:rPr>
        <w:t>ized</w:t>
      </w:r>
      <w:r w:rsidRPr="002E2F7F" w:rsidR="00977817">
        <w:rPr>
          <w:szCs w:val="24"/>
        </w:rPr>
        <w:t xml:space="preserve"> and model documents to communicate with providers, enrollees, and other sponsors. Specifically, Part D sponsors </w:t>
      </w:r>
      <w:r w:rsidRPr="002E2F7F" w:rsidR="00497011">
        <w:rPr>
          <w:szCs w:val="24"/>
        </w:rPr>
        <w:t>may</w:t>
      </w:r>
      <w:r w:rsidRPr="002E2F7F" w:rsidR="00977817">
        <w:rPr>
          <w:szCs w:val="24"/>
        </w:rPr>
        <w:t xml:space="preserve"> </w:t>
      </w:r>
      <w:r w:rsidRPr="002E2F7F" w:rsidR="001A1C4C">
        <w:rPr>
          <w:szCs w:val="24"/>
        </w:rPr>
        <w:t xml:space="preserve">use the </w:t>
      </w:r>
      <w:r w:rsidRPr="002E2F7F" w:rsidR="00497011">
        <w:rPr>
          <w:szCs w:val="24"/>
        </w:rPr>
        <w:t xml:space="preserve">Model Part D Drug Management Program Prescriber Inquiry Letter </w:t>
      </w:r>
      <w:r w:rsidRPr="002E2F7F" w:rsidR="001A1C4C">
        <w:rPr>
          <w:szCs w:val="24"/>
        </w:rPr>
        <w:t>to inform providers that their patient’s pattern of use or history of use of FADs is potentially unsafe and has prompted a case management review under the plan’s DMP</w:t>
      </w:r>
      <w:r w:rsidRPr="002E2F7F" w:rsidR="00294F59">
        <w:rPr>
          <w:szCs w:val="24"/>
        </w:rPr>
        <w:t xml:space="preserve">. </w:t>
      </w:r>
      <w:r w:rsidRPr="002E2F7F" w:rsidR="00427276">
        <w:rPr>
          <w:szCs w:val="24"/>
        </w:rPr>
        <w:t xml:space="preserve">Part D sponsors </w:t>
      </w:r>
      <w:r w:rsidRPr="002E2F7F" w:rsidR="00535069">
        <w:rPr>
          <w:szCs w:val="24"/>
        </w:rPr>
        <w:t xml:space="preserve">must </w:t>
      </w:r>
      <w:r w:rsidRPr="002E2F7F" w:rsidR="00427276">
        <w:rPr>
          <w:szCs w:val="24"/>
        </w:rPr>
        <w:t xml:space="preserve">use the </w:t>
      </w:r>
      <w:r w:rsidRPr="002E2F7F" w:rsidR="00BA5B42">
        <w:rPr>
          <w:szCs w:val="24"/>
        </w:rPr>
        <w:t>standard</w:t>
      </w:r>
      <w:r w:rsidRPr="002E2F7F" w:rsidR="00535069">
        <w:rPr>
          <w:szCs w:val="24"/>
        </w:rPr>
        <w:t>ized</w:t>
      </w:r>
      <w:r w:rsidRPr="002E2F7F" w:rsidR="00427276">
        <w:rPr>
          <w:szCs w:val="24"/>
        </w:rPr>
        <w:t xml:space="preserve"> </w:t>
      </w:r>
      <w:r w:rsidRPr="002E2F7F" w:rsidR="00497011">
        <w:rPr>
          <w:szCs w:val="24"/>
        </w:rPr>
        <w:t>Initial</w:t>
      </w:r>
      <w:r w:rsidRPr="002E2F7F" w:rsidR="008110DB">
        <w:rPr>
          <w:szCs w:val="24"/>
        </w:rPr>
        <w:t xml:space="preserve"> Notice and</w:t>
      </w:r>
      <w:r w:rsidRPr="002E2F7F" w:rsidR="00497011">
        <w:rPr>
          <w:szCs w:val="24"/>
        </w:rPr>
        <w:t xml:space="preserve"> Second</w:t>
      </w:r>
      <w:r w:rsidRPr="002E2F7F" w:rsidR="008110DB">
        <w:rPr>
          <w:szCs w:val="24"/>
        </w:rPr>
        <w:t xml:space="preserve"> Notice</w:t>
      </w:r>
      <w:r w:rsidRPr="002E2F7F" w:rsidR="00497011">
        <w:rPr>
          <w:szCs w:val="24"/>
        </w:rPr>
        <w:t xml:space="preserve">, </w:t>
      </w:r>
      <w:r w:rsidRPr="002E2F7F" w:rsidR="008110DB">
        <w:rPr>
          <w:szCs w:val="24"/>
        </w:rPr>
        <w:t xml:space="preserve">or </w:t>
      </w:r>
      <w:r w:rsidRPr="002E2F7F" w:rsidR="00497011">
        <w:rPr>
          <w:szCs w:val="24"/>
        </w:rPr>
        <w:t>Alternate Second N</w:t>
      </w:r>
      <w:r w:rsidRPr="002E2F7F" w:rsidR="00427276">
        <w:rPr>
          <w:szCs w:val="24"/>
        </w:rPr>
        <w:t>otice</w:t>
      </w:r>
      <w:r w:rsidRPr="002E2F7F" w:rsidR="008110DB">
        <w:rPr>
          <w:szCs w:val="24"/>
        </w:rPr>
        <w:t>,</w:t>
      </w:r>
      <w:r w:rsidRPr="002E2F7F" w:rsidR="00427276">
        <w:rPr>
          <w:szCs w:val="24"/>
        </w:rPr>
        <w:t xml:space="preserve"> </w:t>
      </w:r>
      <w:r w:rsidRPr="002E2F7F">
        <w:rPr>
          <w:szCs w:val="24"/>
        </w:rPr>
        <w:t>to inform enrollees</w:t>
      </w:r>
      <w:r w:rsidRPr="002E2F7F" w:rsidR="00450390">
        <w:rPr>
          <w:szCs w:val="24"/>
        </w:rPr>
        <w:t>, following identification by CMS’s OMS and subsequent case management,</w:t>
      </w:r>
      <w:r w:rsidRPr="002E2F7F">
        <w:rPr>
          <w:szCs w:val="24"/>
        </w:rPr>
        <w:t xml:space="preserve"> </w:t>
      </w:r>
      <w:r w:rsidRPr="002E2F7F" w:rsidR="008110DB">
        <w:rPr>
          <w:szCs w:val="24"/>
        </w:rPr>
        <w:t xml:space="preserve">whether </w:t>
      </w:r>
      <w:r w:rsidRPr="002E2F7F" w:rsidR="00450390">
        <w:rPr>
          <w:szCs w:val="24"/>
        </w:rPr>
        <w:t xml:space="preserve">the </w:t>
      </w:r>
      <w:r w:rsidRPr="002E2F7F" w:rsidR="0049099B">
        <w:rPr>
          <w:szCs w:val="24"/>
        </w:rPr>
        <w:t xml:space="preserve">beneficiaries </w:t>
      </w:r>
      <w:r w:rsidRPr="002E2F7F">
        <w:rPr>
          <w:szCs w:val="24"/>
        </w:rPr>
        <w:t>have been identified as</w:t>
      </w:r>
      <w:r w:rsidRPr="002E2F7F" w:rsidR="006C4796">
        <w:rPr>
          <w:szCs w:val="24"/>
        </w:rPr>
        <w:t xml:space="preserve"> being</w:t>
      </w:r>
      <w:r w:rsidRPr="002E2F7F">
        <w:rPr>
          <w:szCs w:val="24"/>
        </w:rPr>
        <w:t xml:space="preserve"> potentially at</w:t>
      </w:r>
      <w:r w:rsidRPr="002E2F7F" w:rsidR="00535069">
        <w:rPr>
          <w:szCs w:val="24"/>
        </w:rPr>
        <w:t xml:space="preserve"> </w:t>
      </w:r>
      <w:r w:rsidRPr="002E2F7F">
        <w:rPr>
          <w:szCs w:val="24"/>
        </w:rPr>
        <w:t>risk</w:t>
      </w:r>
      <w:r w:rsidRPr="002E2F7F" w:rsidR="006C4796">
        <w:rPr>
          <w:szCs w:val="24"/>
        </w:rPr>
        <w:t xml:space="preserve"> </w:t>
      </w:r>
      <w:r w:rsidRPr="002E2F7F" w:rsidR="00736B48">
        <w:rPr>
          <w:szCs w:val="24"/>
        </w:rPr>
        <w:t>or at</w:t>
      </w:r>
      <w:r w:rsidRPr="002E2F7F" w:rsidR="00535069">
        <w:rPr>
          <w:szCs w:val="24"/>
        </w:rPr>
        <w:t xml:space="preserve"> </w:t>
      </w:r>
      <w:r w:rsidRPr="002E2F7F" w:rsidR="00736B48">
        <w:rPr>
          <w:szCs w:val="24"/>
        </w:rPr>
        <w:t xml:space="preserve">risk </w:t>
      </w:r>
      <w:r w:rsidRPr="002E2F7F" w:rsidR="006C4796">
        <w:rPr>
          <w:szCs w:val="24"/>
        </w:rPr>
        <w:t>for abuse or misuse of FADs.</w:t>
      </w:r>
      <w:r w:rsidRPr="002E2F7F">
        <w:rPr>
          <w:szCs w:val="24"/>
        </w:rPr>
        <w:t xml:space="preserve"> </w:t>
      </w:r>
      <w:r w:rsidRPr="002E2F7F" w:rsidR="00497011">
        <w:rPr>
          <w:szCs w:val="24"/>
        </w:rPr>
        <w:t>Part D sponsors may use the Model Part D Drug Management Program Sponsor Information Transfer Memorandum</w:t>
      </w:r>
      <w:r w:rsidRPr="002E2F7F" w:rsidR="00497011">
        <w:rPr>
          <w:szCs w:val="24"/>
        </w:rPr>
        <w:t xml:space="preserve"> </w:t>
      </w:r>
      <w:r w:rsidRPr="002E2F7F" w:rsidR="004B3574">
        <w:rPr>
          <w:szCs w:val="24"/>
        </w:rPr>
        <w:t xml:space="preserve">to communicate to </w:t>
      </w:r>
      <w:r w:rsidRPr="002E2F7F" w:rsidR="005643C2">
        <w:rPr>
          <w:szCs w:val="24"/>
        </w:rPr>
        <w:t>a gaining</w:t>
      </w:r>
      <w:r w:rsidRPr="002E2F7F" w:rsidR="004B3574">
        <w:rPr>
          <w:szCs w:val="24"/>
        </w:rPr>
        <w:t xml:space="preserve"> sponsor the enrollee’s history of misuse or abuse of FADs.</w:t>
      </w:r>
    </w:p>
    <w:p w:rsidR="00D66164" w:rsidRPr="002E2F7F" w:rsidP="00173BF2" w14:paraId="42218F8B" w14:textId="22CA1077">
      <w:pPr>
        <w:spacing w:after="0" w:line="240" w:lineRule="auto"/>
        <w:ind w:left="360" w:right="0" w:firstLine="0"/>
        <w:rPr>
          <w:szCs w:val="24"/>
        </w:rPr>
      </w:pPr>
    </w:p>
    <w:p w:rsidR="00D66164" w:rsidRPr="002E2F7F" w:rsidP="00173BF2" w14:paraId="227D688C" w14:textId="77777777">
      <w:pPr>
        <w:pStyle w:val="Heading4"/>
        <w:jc w:val="left"/>
      </w:pPr>
      <w:r w:rsidRPr="002E2F7F">
        <w:t>3.</w:t>
      </w:r>
      <w:r w:rsidRPr="002E2F7F">
        <w:rPr>
          <w:rFonts w:eastAsia="Arial"/>
        </w:rPr>
        <w:t xml:space="preserve"> </w:t>
      </w:r>
      <w:r w:rsidRPr="002E2F7F">
        <w:t xml:space="preserve">Improved Information Technology </w:t>
      </w:r>
    </w:p>
    <w:p w:rsidR="00076A76" w:rsidRPr="002E2F7F" w:rsidP="00173BF2" w14:paraId="45BB7A50" w14:textId="77777777">
      <w:pPr>
        <w:spacing w:after="0" w:line="240" w:lineRule="auto"/>
      </w:pPr>
    </w:p>
    <w:p w:rsidR="002B5419" w:rsidRPr="002E2F7F" w:rsidP="7FAB17C0" w14:paraId="5F27E603" w14:textId="6DA79CA6">
      <w:pPr>
        <w:spacing w:after="0" w:line="240" w:lineRule="auto"/>
        <w:ind w:left="360" w:right="40" w:firstLine="0"/>
        <w:rPr>
          <w:szCs w:val="24"/>
        </w:rPr>
      </w:pPr>
      <w:r w:rsidRPr="002E2F7F">
        <w:t xml:space="preserve">Where feasible the collection of information included in this </w:t>
      </w:r>
      <w:r w:rsidR="00FF17AC">
        <w:t>Information Collection Request (</w:t>
      </w:r>
      <w:r w:rsidRPr="002E2F7F" w:rsidR="00781C2C">
        <w:t>ICR</w:t>
      </w:r>
      <w:r w:rsidR="00FF17AC">
        <w:t>)</w:t>
      </w:r>
      <w:r w:rsidRPr="002E2F7F">
        <w:t xml:space="preserve"> involves the use of automated, electronic, mechanical, or other technological collection techniques designed to reduce burden and enhance accuracy. </w:t>
      </w:r>
      <w:r w:rsidRPr="002E2F7F" w:rsidR="00BF7916">
        <w:t xml:space="preserve">Written information </w:t>
      </w:r>
      <w:r w:rsidRPr="002E2F7F" w:rsidR="0028045C">
        <w:t xml:space="preserve">from </w:t>
      </w:r>
      <w:r w:rsidRPr="002E2F7F" w:rsidR="00943CED">
        <w:t xml:space="preserve">a </w:t>
      </w:r>
      <w:r w:rsidRPr="002E2F7F" w:rsidR="0028045C">
        <w:t>Part D sponsor to</w:t>
      </w:r>
      <w:r w:rsidRPr="002E2F7F" w:rsidR="00943CED">
        <w:t xml:space="preserve"> an</w:t>
      </w:r>
      <w:r w:rsidRPr="002E2F7F" w:rsidR="0028045C">
        <w:t xml:space="preserve"> enrollee</w:t>
      </w:r>
      <w:r w:rsidRPr="002E2F7F" w:rsidR="00943CED">
        <w:t>’s</w:t>
      </w:r>
      <w:r w:rsidRPr="002E2F7F" w:rsidR="0028045C">
        <w:t xml:space="preserve"> provider </w:t>
      </w:r>
      <w:r w:rsidRPr="002E2F7F" w:rsidR="00BF7916">
        <w:t xml:space="preserve">does not require a standardized form and may be sent electronically or faxed. </w:t>
      </w:r>
      <w:r w:rsidRPr="002E2F7F" w:rsidR="0028045C">
        <w:t xml:space="preserve">Similarly, </w:t>
      </w:r>
      <w:r w:rsidRPr="002E2F7F" w:rsidR="0016141F">
        <w:t xml:space="preserve">information regarding a PARB 2 or ARB 2 </w:t>
      </w:r>
      <w:r w:rsidRPr="002E2F7F" w:rsidR="005A355A">
        <w:t xml:space="preserve">as defined in the DMP guidance </w:t>
      </w:r>
      <w:r w:rsidRPr="002E2F7F" w:rsidR="0016141F">
        <w:t xml:space="preserve">may be sent electronically or faxed by the losing sponsor to the gaining sponsor. </w:t>
      </w:r>
      <w:r w:rsidRPr="002E2F7F">
        <w:t xml:space="preserve">It is anticipated that sponsors </w:t>
      </w:r>
      <w:r w:rsidRPr="002E2F7F" w:rsidR="002E6EA3">
        <w:t>maintain notice templates within</w:t>
      </w:r>
      <w:r w:rsidRPr="002E2F7F">
        <w:t xml:space="preserve"> automated computer systems so the content is communicated reliably and a digital record of </w:t>
      </w:r>
      <w:r w:rsidRPr="002E2F7F" w:rsidR="002E6EA3">
        <w:t xml:space="preserve">notices </w:t>
      </w:r>
      <w:r w:rsidRPr="002E2F7F">
        <w:t xml:space="preserve">being sent is </w:t>
      </w:r>
      <w:r w:rsidRPr="002E2F7F" w:rsidR="002E6EA3">
        <w:t>documented</w:t>
      </w:r>
      <w:r w:rsidRPr="002E2F7F">
        <w:t xml:space="preserve">. Communication between the </w:t>
      </w:r>
      <w:r w:rsidRPr="002E2F7F">
        <w:t xml:space="preserve">plan </w:t>
      </w:r>
      <w:r w:rsidRPr="002E2F7F">
        <w:t>sponsor and CMS is conducted electronically through OMS and MARx</w:t>
      </w:r>
      <w:r w:rsidRPr="002E2F7F" w:rsidR="003C7961">
        <w:t>,</w:t>
      </w:r>
      <w:r w:rsidRPr="002E2F7F">
        <w:t xml:space="preserve"> allowing for detailed DMP data disclosure and maintenance of records. Although responses to CMS regarding outcomes of case management or coverage limitations require manual input into OMS or MARx, respectively, by sponsors, the electronic format eliminates the need for paper submissions. </w:t>
      </w:r>
      <w:r w:rsidRPr="002E2F7F" w:rsidR="00276DF1">
        <w:t xml:space="preserve">Lastly, Part D </w:t>
      </w:r>
      <w:r w:rsidRPr="002E2F7F" w:rsidR="0049099B">
        <w:t xml:space="preserve">beneficiaries </w:t>
      </w:r>
      <w:r w:rsidRPr="002E2F7F" w:rsidR="00276DF1">
        <w:t xml:space="preserve">have the option to request electronic delivery of standardized notices. </w:t>
      </w:r>
    </w:p>
    <w:p w:rsidR="00436F72" w:rsidRPr="002E2F7F" w:rsidP="00173BF2" w14:paraId="6B56F789" w14:textId="77777777">
      <w:pPr>
        <w:spacing w:after="0" w:line="240" w:lineRule="auto"/>
        <w:ind w:left="360" w:right="40" w:firstLine="0"/>
        <w:rPr>
          <w:szCs w:val="24"/>
        </w:rPr>
      </w:pPr>
    </w:p>
    <w:p w:rsidR="00D66164" w:rsidRPr="002E2F7F" w:rsidP="00173BF2" w14:paraId="39C3CB7F" w14:textId="77777777">
      <w:pPr>
        <w:pStyle w:val="Heading4"/>
        <w:jc w:val="left"/>
      </w:pPr>
      <w:r w:rsidRPr="002E2F7F">
        <w:rPr>
          <w:u w:color="000000"/>
        </w:rPr>
        <w:t>4.</w:t>
      </w:r>
      <w:r w:rsidRPr="002E2F7F">
        <w:rPr>
          <w:rFonts w:eastAsia="Arial"/>
        </w:rPr>
        <w:t xml:space="preserve"> </w:t>
      </w:r>
      <w:r w:rsidRPr="002E2F7F">
        <w:rPr>
          <w:u w:color="000000"/>
        </w:rPr>
        <w:t>Duplication of Similar Information</w:t>
      </w:r>
      <w:r w:rsidRPr="002E2F7F">
        <w:t xml:space="preserve"> </w:t>
      </w:r>
    </w:p>
    <w:p w:rsidR="00076A76" w:rsidRPr="002E2F7F" w:rsidP="00173BF2" w14:paraId="5113ADFC" w14:textId="77777777">
      <w:pPr>
        <w:spacing w:after="0" w:line="240" w:lineRule="auto"/>
      </w:pPr>
    </w:p>
    <w:p w:rsidR="00A36C87" w:rsidRPr="002E2F7F" w:rsidP="00173BF2" w14:paraId="46600E60" w14:textId="5DF6F8D8">
      <w:pPr>
        <w:spacing w:after="0" w:line="240" w:lineRule="auto"/>
        <w:ind w:left="360"/>
        <w:rPr>
          <w:szCs w:val="24"/>
        </w:rPr>
      </w:pPr>
      <w:r w:rsidRPr="002E2F7F">
        <w:rPr>
          <w:szCs w:val="24"/>
        </w:rPr>
        <w:t xml:space="preserve">This information collection does not duplicate any other effort and the information cannot be obtained from any other source. </w:t>
      </w:r>
    </w:p>
    <w:p w:rsidR="002E6EA3" w:rsidRPr="002E2F7F" w:rsidP="00173BF2" w14:paraId="606D8536" w14:textId="77777777">
      <w:pPr>
        <w:spacing w:after="0" w:line="240" w:lineRule="auto"/>
        <w:ind w:left="360"/>
        <w:rPr>
          <w:szCs w:val="24"/>
        </w:rPr>
      </w:pPr>
    </w:p>
    <w:p w:rsidR="00D66164" w:rsidRPr="002E2F7F" w:rsidP="00173BF2" w14:paraId="0D30EF38" w14:textId="77777777">
      <w:pPr>
        <w:pStyle w:val="Heading4"/>
        <w:jc w:val="left"/>
      </w:pPr>
      <w:r w:rsidRPr="002E2F7F">
        <w:t>5.</w:t>
      </w:r>
      <w:r w:rsidRPr="002E2F7F">
        <w:rPr>
          <w:rFonts w:eastAsia="Arial"/>
        </w:rPr>
        <w:t xml:space="preserve"> </w:t>
      </w:r>
      <w:r w:rsidRPr="002E2F7F">
        <w:t xml:space="preserve">Small Businesses </w:t>
      </w:r>
    </w:p>
    <w:p w:rsidR="00076A76" w:rsidRPr="002E2F7F" w:rsidP="00173BF2" w14:paraId="42C13A8C" w14:textId="77777777">
      <w:pPr>
        <w:spacing w:after="0" w:line="240" w:lineRule="auto"/>
      </w:pPr>
    </w:p>
    <w:p w:rsidR="001B6C72" w:rsidRPr="002E2F7F" w:rsidP="00173BF2" w14:paraId="6D6F85BA" w14:textId="4D7D803F">
      <w:pPr>
        <w:spacing w:after="0" w:line="240" w:lineRule="auto"/>
        <w:ind w:left="360" w:right="40"/>
        <w:rPr>
          <w:szCs w:val="24"/>
        </w:rPr>
      </w:pPr>
      <w:r w:rsidRPr="002E2F7F">
        <w:rPr>
          <w:szCs w:val="24"/>
        </w:rPr>
        <w:t>Small businesses that choose to participate in the MA or Part D programs are subject to the same requirements as other businesses</w:t>
      </w:r>
      <w:r w:rsidRPr="002E2F7F" w:rsidR="009162FE">
        <w:rPr>
          <w:szCs w:val="24"/>
        </w:rPr>
        <w:t xml:space="preserve">. </w:t>
      </w:r>
      <w:r w:rsidRPr="002E2F7F">
        <w:rPr>
          <w:szCs w:val="24"/>
        </w:rPr>
        <w:t xml:space="preserve">The requirements do not impose any greater burden on small businesses than on large businesses. </w:t>
      </w:r>
    </w:p>
    <w:p w:rsidR="002E6EA3" w:rsidRPr="002E2F7F" w:rsidP="00173BF2" w14:paraId="5CD03F64" w14:textId="77777777">
      <w:pPr>
        <w:spacing w:after="0" w:line="240" w:lineRule="auto"/>
        <w:ind w:left="360" w:right="40"/>
        <w:rPr>
          <w:szCs w:val="24"/>
        </w:rPr>
      </w:pPr>
    </w:p>
    <w:p w:rsidR="00D66164" w:rsidRPr="002E2F7F" w:rsidP="00173BF2" w14:paraId="34F32409" w14:textId="77777777">
      <w:pPr>
        <w:pStyle w:val="Heading4"/>
        <w:jc w:val="left"/>
      </w:pPr>
      <w:r w:rsidRPr="002E2F7F">
        <w:t>6.</w:t>
      </w:r>
      <w:r w:rsidRPr="002E2F7F">
        <w:rPr>
          <w:rFonts w:eastAsia="Arial"/>
        </w:rPr>
        <w:t xml:space="preserve"> </w:t>
      </w:r>
      <w:r w:rsidRPr="002E2F7F">
        <w:t xml:space="preserve">Less Frequent Collection </w:t>
      </w:r>
    </w:p>
    <w:p w:rsidR="00076A76" w:rsidRPr="002E2F7F" w:rsidP="00173BF2" w14:paraId="2DA9B46F" w14:textId="77777777">
      <w:pPr>
        <w:spacing w:after="0" w:line="240" w:lineRule="auto"/>
      </w:pPr>
    </w:p>
    <w:p w:rsidR="00D66164" w:rsidRPr="002E2F7F" w:rsidP="00173BF2" w14:paraId="7427A1B3" w14:textId="59A6AC01">
      <w:pPr>
        <w:spacing w:after="0" w:line="240" w:lineRule="auto"/>
        <w:ind w:left="360" w:right="40"/>
        <w:rPr>
          <w:szCs w:val="24"/>
        </w:rPr>
      </w:pPr>
      <w:r w:rsidRPr="002E2F7F">
        <w:rPr>
          <w:szCs w:val="24"/>
        </w:rPr>
        <w:t>Consistent with the statutory and regulatory requirements discussed in section 1, the estimated burden in this information collection request represents the least frequent basis necessary for Part D sponsors to comply with CMS regulations and effectively manage their DMP.</w:t>
      </w:r>
    </w:p>
    <w:p w:rsidR="002E6EA3" w:rsidRPr="002E2F7F" w:rsidP="00173BF2" w14:paraId="3433D133" w14:textId="77777777">
      <w:pPr>
        <w:spacing w:after="0" w:line="240" w:lineRule="auto"/>
        <w:ind w:left="360" w:right="40"/>
        <w:rPr>
          <w:szCs w:val="24"/>
        </w:rPr>
      </w:pPr>
    </w:p>
    <w:p w:rsidR="00D66164" w:rsidRPr="002E2F7F" w:rsidP="00173BF2" w14:paraId="2F733AA7" w14:textId="77777777">
      <w:pPr>
        <w:pStyle w:val="Heading4"/>
        <w:jc w:val="left"/>
      </w:pPr>
      <w:r w:rsidRPr="002E2F7F">
        <w:t>7.</w:t>
      </w:r>
      <w:r w:rsidRPr="002E2F7F">
        <w:rPr>
          <w:rFonts w:eastAsia="Arial"/>
        </w:rPr>
        <w:t xml:space="preserve"> </w:t>
      </w:r>
      <w:r w:rsidRPr="002E2F7F">
        <w:t xml:space="preserve">Special Circumstances </w:t>
      </w:r>
    </w:p>
    <w:p w:rsidR="00076A76" w:rsidRPr="002E2F7F" w:rsidP="00173BF2" w14:paraId="24F6A26A" w14:textId="77777777">
      <w:pPr>
        <w:spacing w:after="0" w:line="240" w:lineRule="auto"/>
      </w:pPr>
    </w:p>
    <w:p w:rsidR="00D66164" w:rsidRPr="002E2F7F" w:rsidP="00173BF2" w14:paraId="729DDE6C" w14:textId="77777777">
      <w:pPr>
        <w:spacing w:after="0" w:line="240" w:lineRule="auto"/>
        <w:ind w:left="360" w:right="40"/>
        <w:rPr>
          <w:szCs w:val="24"/>
        </w:rPr>
      </w:pPr>
      <w:r w:rsidRPr="002E2F7F">
        <w:rPr>
          <w:szCs w:val="24"/>
        </w:rPr>
        <w:t xml:space="preserve">There are no special circumstances that would require an information collection to be conducted in a manner that requires respondents to: </w:t>
      </w:r>
    </w:p>
    <w:p w:rsidR="00D66164" w:rsidRPr="002E2F7F" w:rsidP="00173BF2" w14:paraId="2D6AD98F" w14:textId="77777777">
      <w:pPr>
        <w:pStyle w:val="ListParagraph"/>
        <w:numPr>
          <w:ilvl w:val="0"/>
          <w:numId w:val="15"/>
        </w:numPr>
        <w:spacing w:after="0" w:line="240" w:lineRule="auto"/>
        <w:ind w:left="360" w:right="40"/>
        <w:rPr>
          <w:szCs w:val="24"/>
        </w:rPr>
      </w:pPr>
      <w:r w:rsidRPr="002E2F7F">
        <w:rPr>
          <w:szCs w:val="24"/>
        </w:rPr>
        <w:t xml:space="preserve">Report information to the agency more often than quarterly; </w:t>
      </w:r>
    </w:p>
    <w:p w:rsidR="00D66164" w:rsidRPr="002E2F7F" w:rsidP="00173BF2" w14:paraId="77291465" w14:textId="77777777">
      <w:pPr>
        <w:pStyle w:val="ListParagraph"/>
        <w:numPr>
          <w:ilvl w:val="0"/>
          <w:numId w:val="15"/>
        </w:numPr>
        <w:spacing w:after="0" w:line="240" w:lineRule="auto"/>
        <w:ind w:left="360" w:right="40"/>
        <w:rPr>
          <w:szCs w:val="24"/>
        </w:rPr>
      </w:pPr>
      <w:r w:rsidRPr="002E2F7F">
        <w:rPr>
          <w:szCs w:val="24"/>
        </w:rPr>
        <w:t xml:space="preserve">Prepare a written response to a collection of information in fewer than 30 days after receipt of it; </w:t>
      </w:r>
    </w:p>
    <w:p w:rsidR="00D66164" w:rsidRPr="002E2F7F" w:rsidP="00173BF2" w14:paraId="7E005189" w14:textId="77777777">
      <w:pPr>
        <w:pStyle w:val="ListParagraph"/>
        <w:numPr>
          <w:ilvl w:val="0"/>
          <w:numId w:val="15"/>
        </w:numPr>
        <w:spacing w:after="0" w:line="240" w:lineRule="auto"/>
        <w:ind w:left="360" w:right="40"/>
        <w:rPr>
          <w:szCs w:val="24"/>
        </w:rPr>
      </w:pPr>
      <w:r w:rsidRPr="002E2F7F">
        <w:rPr>
          <w:szCs w:val="24"/>
        </w:rPr>
        <w:t xml:space="preserve">Submit more than an original and two copies of any document; </w:t>
      </w:r>
    </w:p>
    <w:p w:rsidR="00D66164" w:rsidRPr="002E2F7F" w:rsidP="00173BF2" w14:paraId="6D44F5DE" w14:textId="77777777">
      <w:pPr>
        <w:pStyle w:val="ListParagraph"/>
        <w:numPr>
          <w:ilvl w:val="0"/>
          <w:numId w:val="15"/>
        </w:numPr>
        <w:spacing w:after="0" w:line="240" w:lineRule="auto"/>
        <w:ind w:left="360" w:right="40"/>
        <w:rPr>
          <w:szCs w:val="24"/>
        </w:rPr>
      </w:pPr>
      <w:r w:rsidRPr="002E2F7F">
        <w:rPr>
          <w:szCs w:val="24"/>
        </w:rPr>
        <w:t xml:space="preserve">Retain records, other than health, medical, government contract, grant-in-aid, or tax records for more than three years; </w:t>
      </w:r>
    </w:p>
    <w:p w:rsidR="00D66164" w:rsidRPr="002E2F7F" w:rsidP="00173BF2" w14:paraId="099944A8" w14:textId="77777777">
      <w:pPr>
        <w:pStyle w:val="ListParagraph"/>
        <w:numPr>
          <w:ilvl w:val="0"/>
          <w:numId w:val="15"/>
        </w:numPr>
        <w:spacing w:after="0" w:line="240" w:lineRule="auto"/>
        <w:ind w:left="360" w:right="40"/>
        <w:rPr>
          <w:szCs w:val="24"/>
        </w:rPr>
      </w:pPr>
      <w:r w:rsidRPr="002E2F7F">
        <w:rPr>
          <w:szCs w:val="24"/>
        </w:rPr>
        <w:t xml:space="preserve">Collect data in connection with a statistical survey that is not designed to produce valid and reliable results that can be generalized to the universe of study, </w:t>
      </w:r>
    </w:p>
    <w:p w:rsidR="00D66164" w:rsidRPr="002E2F7F" w:rsidP="00173BF2" w14:paraId="57EB9003" w14:textId="77777777">
      <w:pPr>
        <w:pStyle w:val="ListParagraph"/>
        <w:numPr>
          <w:ilvl w:val="0"/>
          <w:numId w:val="15"/>
        </w:numPr>
        <w:spacing w:after="0" w:line="240" w:lineRule="auto"/>
        <w:ind w:left="360" w:right="40"/>
        <w:rPr>
          <w:szCs w:val="24"/>
        </w:rPr>
      </w:pPr>
      <w:r w:rsidRPr="002E2F7F">
        <w:rPr>
          <w:szCs w:val="24"/>
        </w:rPr>
        <w:t xml:space="preserve">Use a statistical data classification that has not been reviewed and approved by OMB; </w:t>
      </w:r>
    </w:p>
    <w:p w:rsidR="00D66164" w:rsidRPr="002E2F7F" w:rsidP="00173BF2" w14:paraId="030098A9" w14:textId="77777777">
      <w:pPr>
        <w:pStyle w:val="ListParagraph"/>
        <w:numPr>
          <w:ilvl w:val="0"/>
          <w:numId w:val="15"/>
        </w:numPr>
        <w:spacing w:after="0" w:line="240" w:lineRule="auto"/>
        <w:ind w:left="360" w:right="40"/>
        <w:rPr>
          <w:szCs w:val="24"/>
        </w:rPr>
      </w:pPr>
      <w:r w:rsidRPr="002E2F7F">
        <w:rPr>
          <w:szCs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66164" w:rsidRPr="002E2F7F" w:rsidP="00173BF2" w14:paraId="48ED4F81" w14:textId="77777777">
      <w:pPr>
        <w:pStyle w:val="ListParagraph"/>
        <w:numPr>
          <w:ilvl w:val="0"/>
          <w:numId w:val="15"/>
        </w:numPr>
        <w:spacing w:after="0" w:line="240" w:lineRule="auto"/>
        <w:ind w:left="360" w:right="40"/>
        <w:rPr>
          <w:szCs w:val="24"/>
        </w:rPr>
      </w:pPr>
      <w:r w:rsidRPr="002E2F7F">
        <w:rPr>
          <w:szCs w:val="24"/>
        </w:rPr>
        <w:t xml:space="preserve">Submit proprietary trade secret, or other confidential information unless the agency can demonstrate that it has instituted procedures to protect the information's confidentiality to the extent permitted by law. </w:t>
      </w:r>
    </w:p>
    <w:p w:rsidR="003845C9" w:rsidRPr="002E2F7F" w:rsidP="00173BF2" w14:paraId="02D3D137" w14:textId="77777777">
      <w:pPr>
        <w:pStyle w:val="ListParagraph"/>
        <w:spacing w:after="0" w:line="240" w:lineRule="auto"/>
        <w:ind w:left="360" w:right="40" w:firstLine="0"/>
        <w:rPr>
          <w:szCs w:val="24"/>
        </w:rPr>
      </w:pPr>
    </w:p>
    <w:p w:rsidR="00D66164" w:rsidRPr="002E2F7F" w:rsidP="00173BF2" w14:paraId="530FE5FA" w14:textId="77777777">
      <w:pPr>
        <w:pStyle w:val="Heading4"/>
        <w:jc w:val="left"/>
      </w:pPr>
      <w:r w:rsidRPr="002E2F7F">
        <w:rPr>
          <w:u w:color="000000"/>
        </w:rPr>
        <w:t>8.</w:t>
      </w:r>
      <w:r w:rsidRPr="002E2F7F">
        <w:rPr>
          <w:rFonts w:eastAsia="Arial"/>
        </w:rPr>
        <w:t xml:space="preserve"> </w:t>
      </w:r>
      <w:r w:rsidRPr="002E2F7F">
        <w:rPr>
          <w:u w:color="000000"/>
        </w:rPr>
        <w:t>Federal Register Notice/Outside Consultation</w:t>
      </w:r>
      <w:r w:rsidRPr="002E2F7F">
        <w:t xml:space="preserve"> </w:t>
      </w:r>
    </w:p>
    <w:p w:rsidR="0049099B" w:rsidRPr="002E2F7F" w:rsidP="00173BF2" w14:paraId="3074601C" w14:textId="77777777">
      <w:pPr>
        <w:spacing w:after="0" w:line="240" w:lineRule="auto"/>
      </w:pPr>
    </w:p>
    <w:p w:rsidR="0049099B" w:rsidRPr="002E2F7F" w:rsidP="00173BF2" w14:paraId="37D4D771" w14:textId="44EAC851">
      <w:pPr>
        <w:pStyle w:val="Heading5"/>
        <w:jc w:val="left"/>
      </w:pPr>
      <w:r w:rsidRPr="002E2F7F">
        <w:t>Federal Register</w:t>
      </w:r>
    </w:p>
    <w:p w:rsidR="003845C9" w:rsidRPr="002E2F7F" w:rsidP="00173BF2" w14:paraId="392926B5" w14:textId="77777777">
      <w:pPr>
        <w:spacing w:after="0" w:line="240" w:lineRule="auto"/>
      </w:pPr>
    </w:p>
    <w:p w:rsidR="00FE7EA1" w:rsidP="00122F6F" w14:paraId="5E0AFA98" w14:textId="77777777">
      <w:pPr>
        <w:ind w:left="360"/>
        <w:rPr>
          <w:szCs w:val="24"/>
        </w:rPr>
      </w:pPr>
      <w:r w:rsidRPr="002E2F7F">
        <w:rPr>
          <w:szCs w:val="24"/>
        </w:rPr>
        <w:t xml:space="preserve">Serving as the </w:t>
      </w:r>
      <w:r w:rsidRPr="002E2F7F" w:rsidR="00D56F46">
        <w:rPr>
          <w:szCs w:val="24"/>
        </w:rPr>
        <w:t>60-day notice</w:t>
      </w:r>
      <w:r w:rsidRPr="002E2F7F">
        <w:rPr>
          <w:szCs w:val="24"/>
        </w:rPr>
        <w:t>, the proposed rule (CMS-4205-P, RIN 0938-AV24)</w:t>
      </w:r>
      <w:r w:rsidR="00D06BD1">
        <w:rPr>
          <w:szCs w:val="24"/>
        </w:rPr>
        <w:t xml:space="preserve"> </w:t>
      </w:r>
      <w:r w:rsidRPr="002E2F7F" w:rsidR="00D56F46">
        <w:rPr>
          <w:szCs w:val="24"/>
        </w:rPr>
        <w:t>published in the Federal Register on</w:t>
      </w:r>
      <w:r w:rsidRPr="002E2F7F" w:rsidR="0053234E">
        <w:rPr>
          <w:szCs w:val="24"/>
        </w:rPr>
        <w:t xml:space="preserve"> </w:t>
      </w:r>
      <w:r w:rsidRPr="002E2F7F">
        <w:rPr>
          <w:szCs w:val="24"/>
        </w:rPr>
        <w:t>November 15, 2023 (88 FR 78476).</w:t>
      </w:r>
      <w:r>
        <w:rPr>
          <w:rStyle w:val="FootnoteReference"/>
          <w:szCs w:val="24"/>
        </w:rPr>
        <w:footnoteReference w:id="5"/>
      </w:r>
      <w:r w:rsidRPr="002E2F7F">
        <w:rPr>
          <w:szCs w:val="24"/>
        </w:rPr>
        <w:t xml:space="preserve"> </w:t>
      </w:r>
      <w:r w:rsidR="00EB6993">
        <w:rPr>
          <w:szCs w:val="24"/>
        </w:rPr>
        <w:t>W</w:t>
      </w:r>
      <w:r w:rsidR="00523B3E">
        <w:rPr>
          <w:szCs w:val="24"/>
        </w:rPr>
        <w:t>e received no comments related to this collection of information requirements and burden estimate</w:t>
      </w:r>
      <w:r w:rsidR="00EB6993">
        <w:rPr>
          <w:szCs w:val="24"/>
        </w:rPr>
        <w:t>s</w:t>
      </w:r>
      <w:r w:rsidRPr="002E2F7F">
        <w:rPr>
          <w:szCs w:val="24"/>
        </w:rPr>
        <w:t>.</w:t>
      </w:r>
      <w:r w:rsidR="00EB6993">
        <w:rPr>
          <w:szCs w:val="24"/>
        </w:rPr>
        <w:t xml:space="preserve"> </w:t>
      </w:r>
    </w:p>
    <w:p w:rsidR="00FE7EA1" w:rsidP="00122F6F" w14:paraId="2330CFBE" w14:textId="77777777">
      <w:pPr>
        <w:ind w:left="360"/>
        <w:rPr>
          <w:szCs w:val="24"/>
        </w:rPr>
      </w:pPr>
      <w:r w:rsidRPr="00EB6993">
        <w:rPr>
          <w:szCs w:val="24"/>
        </w:rPr>
        <w:t>Our final rule published on April 23, 2024 (89 FR 30448).</w:t>
      </w:r>
      <w:r>
        <w:rPr>
          <w:rStyle w:val="FootnoteReference"/>
          <w:szCs w:val="24"/>
        </w:rPr>
        <w:footnoteReference w:id="6"/>
      </w:r>
      <w:r w:rsidRPr="00EB6993">
        <w:rPr>
          <w:szCs w:val="24"/>
        </w:rPr>
        <w:t xml:space="preserve"> As the </w:t>
      </w:r>
      <w:r>
        <w:rPr>
          <w:szCs w:val="24"/>
        </w:rPr>
        <w:t>revised collection of information instruments did not post for public review</w:t>
      </w:r>
      <w:r w:rsidRPr="00EB6993">
        <w:rPr>
          <w:szCs w:val="24"/>
        </w:rPr>
        <w:t xml:space="preserve">, we are correcting that oversight by using the standard non-rule PRA process which includes the publication of 60- and 30-day notices in the Federal Register. </w:t>
      </w:r>
    </w:p>
    <w:p w:rsidR="00B63027" w:rsidP="00122F6F" w14:paraId="5FC61AEA" w14:textId="3DBEEAFA">
      <w:pPr>
        <w:ind w:left="360"/>
        <w:rPr>
          <w:szCs w:val="24"/>
        </w:rPr>
      </w:pPr>
      <w:r w:rsidRPr="00EB6993">
        <w:rPr>
          <w:szCs w:val="24"/>
        </w:rPr>
        <w:t xml:space="preserve">The 60-day notice published on May </w:t>
      </w:r>
      <w:r w:rsidR="00F54A21">
        <w:rPr>
          <w:szCs w:val="24"/>
        </w:rPr>
        <w:t>6</w:t>
      </w:r>
      <w:r w:rsidRPr="00EB6993">
        <w:rPr>
          <w:szCs w:val="24"/>
        </w:rPr>
        <w:t xml:space="preserve">, 2024 (89 FR </w:t>
      </w:r>
      <w:r w:rsidR="00F54A21">
        <w:rPr>
          <w:szCs w:val="24"/>
        </w:rPr>
        <w:t>37227</w:t>
      </w:r>
      <w:r w:rsidRPr="00EB6993">
        <w:rPr>
          <w:szCs w:val="24"/>
        </w:rPr>
        <w:t>).</w:t>
      </w:r>
      <w:r>
        <w:rPr>
          <w:rStyle w:val="FootnoteReference"/>
          <w:szCs w:val="24"/>
        </w:rPr>
        <w:footnoteReference w:id="7"/>
      </w:r>
      <w:r w:rsidRPr="00EB6993">
        <w:rPr>
          <w:szCs w:val="24"/>
        </w:rPr>
        <w:t xml:space="preserve"> </w:t>
      </w:r>
      <w:r>
        <w:rPr>
          <w:szCs w:val="24"/>
        </w:rPr>
        <w:t xml:space="preserve"> We received </w:t>
      </w:r>
      <w:r w:rsidR="00FE7EA1">
        <w:rPr>
          <w:szCs w:val="24"/>
        </w:rPr>
        <w:t>one</w:t>
      </w:r>
      <w:r>
        <w:rPr>
          <w:szCs w:val="24"/>
        </w:rPr>
        <w:t xml:space="preserve"> public comment during the 60-day comment period. After consideration of the comment, CMS made a minor revision to the Second Notice</w:t>
      </w:r>
      <w:r w:rsidR="004A076E">
        <w:rPr>
          <w:szCs w:val="24"/>
        </w:rPr>
        <w:t>.</w:t>
      </w:r>
      <w:r>
        <w:rPr>
          <w:szCs w:val="24"/>
        </w:rPr>
        <w:t xml:space="preserve"> A summary of the comment received</w:t>
      </w:r>
      <w:r w:rsidR="00384FBD">
        <w:rPr>
          <w:szCs w:val="24"/>
        </w:rPr>
        <w:t xml:space="preserve">, </w:t>
      </w:r>
      <w:r>
        <w:rPr>
          <w:szCs w:val="24"/>
        </w:rPr>
        <w:t>CMS’ response</w:t>
      </w:r>
      <w:r w:rsidR="00384FBD">
        <w:rPr>
          <w:szCs w:val="24"/>
        </w:rPr>
        <w:t>, and a description of the revision</w:t>
      </w:r>
      <w:r>
        <w:rPr>
          <w:szCs w:val="24"/>
        </w:rPr>
        <w:t xml:space="preserve"> can be found in the</w:t>
      </w:r>
      <w:r w:rsidRPr="00116DFA">
        <w:t xml:space="preserve"> </w:t>
      </w:r>
      <w:r w:rsidRPr="00FB55BE">
        <w:rPr>
          <w:i/>
          <w:szCs w:val="24"/>
        </w:rPr>
        <w:t>Response to Public Comments Received</w:t>
      </w:r>
      <w:r>
        <w:rPr>
          <w:szCs w:val="24"/>
        </w:rPr>
        <w:t xml:space="preserve"> </w:t>
      </w:r>
      <w:r w:rsidR="00384FBD">
        <w:rPr>
          <w:szCs w:val="24"/>
        </w:rPr>
        <w:t xml:space="preserve">and </w:t>
      </w:r>
      <w:r w:rsidRPr="003C63E8" w:rsidR="00384FBD">
        <w:rPr>
          <w:i/>
          <w:iCs/>
          <w:szCs w:val="24"/>
        </w:rPr>
        <w:t>Crosswalk of Changes</w:t>
      </w:r>
      <w:r w:rsidR="00384FBD">
        <w:rPr>
          <w:szCs w:val="24"/>
        </w:rPr>
        <w:t xml:space="preserve"> </w:t>
      </w:r>
      <w:r>
        <w:rPr>
          <w:szCs w:val="24"/>
        </w:rPr>
        <w:t>document</w:t>
      </w:r>
      <w:r w:rsidR="00384FBD">
        <w:rPr>
          <w:szCs w:val="24"/>
        </w:rPr>
        <w:t>s</w:t>
      </w:r>
      <w:r>
        <w:rPr>
          <w:szCs w:val="24"/>
        </w:rPr>
        <w:t xml:space="preserve"> included with this posting. </w:t>
      </w:r>
    </w:p>
    <w:p w:rsidR="002178D6" w:rsidRPr="002E2F7F" w:rsidP="00865905" w14:paraId="2EF04602" w14:textId="60495D26">
      <w:pPr>
        <w:ind w:left="360"/>
        <w:rPr>
          <w:szCs w:val="24"/>
        </w:rPr>
      </w:pPr>
      <w:r w:rsidRPr="00EB6993">
        <w:rPr>
          <w:szCs w:val="24"/>
        </w:rPr>
        <w:t xml:space="preserve">The </w:t>
      </w:r>
      <w:r>
        <w:rPr>
          <w:szCs w:val="24"/>
        </w:rPr>
        <w:t>3</w:t>
      </w:r>
      <w:r w:rsidRPr="00EB6993">
        <w:rPr>
          <w:szCs w:val="24"/>
        </w:rPr>
        <w:t xml:space="preserve">0-day notice published on </w:t>
      </w:r>
      <w:r>
        <w:rPr>
          <w:szCs w:val="24"/>
        </w:rPr>
        <w:t>August 7</w:t>
      </w:r>
      <w:r w:rsidRPr="00EB6993">
        <w:rPr>
          <w:szCs w:val="24"/>
        </w:rPr>
        <w:t xml:space="preserve">, 2024 (89 FR </w:t>
      </w:r>
      <w:r w:rsidRPr="00BF027D" w:rsidR="00BF027D">
        <w:rPr>
          <w:szCs w:val="24"/>
        </w:rPr>
        <w:t>64465</w:t>
      </w:r>
      <w:r w:rsidRPr="00EB6993">
        <w:rPr>
          <w:szCs w:val="24"/>
        </w:rPr>
        <w:t>)</w:t>
      </w:r>
      <w:r>
        <w:rPr>
          <w:szCs w:val="24"/>
        </w:rPr>
        <w:t>.</w:t>
      </w:r>
      <w:r w:rsidR="00BF027D">
        <w:rPr>
          <w:szCs w:val="24"/>
        </w:rPr>
        <w:t xml:space="preserve"> </w:t>
      </w:r>
      <w:r w:rsidRPr="00BF027D" w:rsidR="00BF027D">
        <w:rPr>
          <w:szCs w:val="24"/>
        </w:rPr>
        <w:t>Comments must be received by September 6, 2024</w:t>
      </w:r>
      <w:r w:rsidR="00BF027D">
        <w:rPr>
          <w:szCs w:val="24"/>
        </w:rPr>
        <w:t>.</w:t>
      </w:r>
    </w:p>
    <w:p w:rsidR="002178D6" w:rsidRPr="002E2F7F" w:rsidP="00173BF2" w14:paraId="59D13CA2" w14:textId="77777777">
      <w:pPr>
        <w:spacing w:after="0" w:line="240" w:lineRule="auto"/>
        <w:ind w:left="360" w:right="40"/>
        <w:rPr>
          <w:szCs w:val="24"/>
        </w:rPr>
      </w:pPr>
    </w:p>
    <w:p w:rsidR="006A19B1" w:rsidRPr="002E2F7F" w:rsidP="00173BF2" w14:paraId="1ACF4499" w14:textId="1B4C3C43">
      <w:pPr>
        <w:pStyle w:val="Heading5"/>
        <w:jc w:val="left"/>
      </w:pPr>
      <w:r w:rsidRPr="002E2F7F">
        <w:t>Outside Consultation</w:t>
      </w:r>
    </w:p>
    <w:p w:rsidR="003845C9" w:rsidRPr="002E2F7F" w:rsidP="00173BF2" w14:paraId="6E4B4BCD" w14:textId="77777777">
      <w:pPr>
        <w:spacing w:after="0" w:line="240" w:lineRule="auto"/>
      </w:pPr>
    </w:p>
    <w:p w:rsidR="0053234E" w:rsidRPr="002E2F7F" w:rsidP="00173BF2" w14:paraId="25A8C45F" w14:textId="7E4BFAF6">
      <w:pPr>
        <w:spacing w:after="0" w:line="240" w:lineRule="auto"/>
        <w:ind w:left="360" w:right="40"/>
        <w:rPr>
          <w:szCs w:val="24"/>
        </w:rPr>
      </w:pPr>
      <w:r w:rsidRPr="002E2F7F">
        <w:rPr>
          <w:szCs w:val="24"/>
        </w:rPr>
        <w:t xml:space="preserve">When developing the standardized DMP beneficiary notices, </w:t>
      </w:r>
      <w:r w:rsidRPr="002E2F7F">
        <w:rPr>
          <w:szCs w:val="24"/>
        </w:rPr>
        <w:t xml:space="preserve">CMS </w:t>
      </w:r>
      <w:r w:rsidRPr="002E2F7F">
        <w:rPr>
          <w:szCs w:val="24"/>
        </w:rPr>
        <w:t>engaged in focus group testing with beneficiaries</w:t>
      </w:r>
      <w:r w:rsidRPr="002E2F7F">
        <w:rPr>
          <w:szCs w:val="24"/>
        </w:rPr>
        <w:t xml:space="preserve">.  </w:t>
      </w:r>
    </w:p>
    <w:p w:rsidR="0053234E" w:rsidRPr="002E2F7F" w:rsidP="00173BF2" w14:paraId="666626FF" w14:textId="77777777">
      <w:pPr>
        <w:spacing w:after="0" w:line="240" w:lineRule="auto"/>
        <w:ind w:left="360" w:right="40"/>
        <w:rPr>
          <w:szCs w:val="24"/>
        </w:rPr>
      </w:pPr>
    </w:p>
    <w:p w:rsidR="00D66164" w:rsidRPr="002E2F7F" w:rsidP="00173BF2" w14:paraId="1C8757E8" w14:textId="77777777">
      <w:pPr>
        <w:pStyle w:val="Heading4"/>
        <w:jc w:val="left"/>
      </w:pPr>
      <w:r w:rsidRPr="002E2F7F">
        <w:t>9.</w:t>
      </w:r>
      <w:r w:rsidRPr="002E2F7F">
        <w:rPr>
          <w:rFonts w:eastAsia="Arial"/>
        </w:rPr>
        <w:t xml:space="preserve"> </w:t>
      </w:r>
      <w:r w:rsidRPr="002E2F7F">
        <w:t xml:space="preserve">Payments/Gifts to Respondents </w:t>
      </w:r>
    </w:p>
    <w:p w:rsidR="003845C9" w:rsidRPr="002E2F7F" w:rsidP="00173BF2" w14:paraId="44B2C9D5" w14:textId="77777777">
      <w:pPr>
        <w:spacing w:after="0" w:line="240" w:lineRule="auto"/>
      </w:pPr>
    </w:p>
    <w:p w:rsidR="006A24B8" w:rsidRPr="002E2F7F" w:rsidP="00173BF2" w14:paraId="1B6FF9E2" w14:textId="77777777">
      <w:pPr>
        <w:spacing w:after="0" w:line="240" w:lineRule="auto"/>
        <w:ind w:left="360" w:right="40" w:firstLine="60"/>
        <w:rPr>
          <w:i/>
          <w:iCs/>
          <w:szCs w:val="24"/>
        </w:rPr>
      </w:pPr>
      <w:r w:rsidRPr="002E2F7F">
        <w:rPr>
          <w:szCs w:val="24"/>
        </w:rPr>
        <w:t>There are no payments/gifts to respondents</w:t>
      </w:r>
      <w:r w:rsidRPr="002E2F7F">
        <w:rPr>
          <w:i/>
          <w:iCs/>
          <w:szCs w:val="24"/>
        </w:rPr>
        <w:t xml:space="preserve">. </w:t>
      </w:r>
    </w:p>
    <w:p w:rsidR="003845C9" w:rsidRPr="002E2F7F" w:rsidP="00173BF2" w14:paraId="028A187B" w14:textId="77777777">
      <w:pPr>
        <w:spacing w:after="0" w:line="240" w:lineRule="auto"/>
        <w:ind w:left="360" w:right="40" w:firstLine="60"/>
        <w:rPr>
          <w:i/>
          <w:iCs/>
          <w:szCs w:val="24"/>
        </w:rPr>
      </w:pPr>
    </w:p>
    <w:p w:rsidR="00D66164" w:rsidRPr="002E2F7F" w:rsidP="00173BF2" w14:paraId="4587207F" w14:textId="77777777">
      <w:pPr>
        <w:pStyle w:val="Heading4"/>
        <w:jc w:val="left"/>
      </w:pPr>
      <w:r w:rsidRPr="002E2F7F">
        <w:t>10.</w:t>
      </w:r>
      <w:r w:rsidRPr="002E2F7F">
        <w:rPr>
          <w:rFonts w:eastAsia="Arial"/>
        </w:rPr>
        <w:t xml:space="preserve"> </w:t>
      </w:r>
      <w:r w:rsidRPr="002E2F7F">
        <w:t xml:space="preserve">Confidentiality </w:t>
      </w:r>
    </w:p>
    <w:p w:rsidR="003845C9" w:rsidRPr="002E2F7F" w:rsidP="00173BF2" w14:paraId="17A7CDB2" w14:textId="77777777">
      <w:pPr>
        <w:spacing w:after="0" w:line="240" w:lineRule="auto"/>
      </w:pPr>
    </w:p>
    <w:p w:rsidR="00491478" w:rsidP="00173BF2" w14:paraId="21D7DC0D" w14:textId="77777777">
      <w:pPr>
        <w:spacing w:after="0" w:line="240" w:lineRule="auto"/>
        <w:ind w:left="360" w:right="40" w:firstLine="60"/>
        <w:rPr>
          <w:szCs w:val="24"/>
        </w:rPr>
      </w:pPr>
      <w:r w:rsidRPr="002E2F7F">
        <w:rPr>
          <w:szCs w:val="24"/>
        </w:rPr>
        <w:t xml:space="preserve">Part D sponsors are required by the Health Insurance Portability and Accountability Act of 1996 (HIPAA) and any other applicable laws and regulations to protect </w:t>
      </w:r>
      <w:r w:rsidRPr="002E2F7F" w:rsidR="00076A76">
        <w:rPr>
          <w:szCs w:val="24"/>
        </w:rPr>
        <w:t xml:space="preserve">beneficiary </w:t>
      </w:r>
      <w:r w:rsidRPr="002E2F7F">
        <w:rPr>
          <w:szCs w:val="24"/>
        </w:rPr>
        <w:t xml:space="preserve">information. </w:t>
      </w:r>
      <w:r w:rsidRPr="002E2F7F" w:rsidR="007D0BF7">
        <w:rPr>
          <w:szCs w:val="24"/>
        </w:rPr>
        <w:t>Data</w:t>
      </w:r>
      <w:r w:rsidRPr="002E2F7F" w:rsidR="00CD124E">
        <w:rPr>
          <w:szCs w:val="24"/>
        </w:rPr>
        <w:t xml:space="preserve"> collected through</w:t>
      </w:r>
      <w:r w:rsidRPr="002E2F7F" w:rsidR="00CD124E">
        <w:t xml:space="preserve"> the </w:t>
      </w:r>
      <w:r w:rsidRPr="002E2F7F" w:rsidR="00CD124E">
        <w:rPr>
          <w:szCs w:val="24"/>
        </w:rPr>
        <w:t xml:space="preserve">Medicare Advantage Prescription Drug System (MARx) System </w:t>
      </w:r>
      <w:r w:rsidRPr="002E2F7F" w:rsidR="007D0BF7">
        <w:rPr>
          <w:szCs w:val="24"/>
        </w:rPr>
        <w:t xml:space="preserve">includes information about a beneficiary's entitlement to Medicare benefits and enrollment in Medicare Programs, prescription drug coverage and supplementary medical claims information. The system contains </w:t>
      </w:r>
      <w:r w:rsidRPr="002E2F7F" w:rsidR="000F385D">
        <w:rPr>
          <w:szCs w:val="24"/>
        </w:rPr>
        <w:t xml:space="preserve">personal </w:t>
      </w:r>
      <w:r w:rsidRPr="002E2F7F" w:rsidR="007D0BF7">
        <w:rPr>
          <w:szCs w:val="24"/>
        </w:rPr>
        <w:t>identifying information and other demographic information.</w:t>
      </w:r>
      <w:r w:rsidRPr="002E2F7F" w:rsidR="00CD124E">
        <w:rPr>
          <w:szCs w:val="24"/>
        </w:rPr>
        <w:t xml:space="preserve"> </w:t>
      </w:r>
    </w:p>
    <w:p w:rsidR="00491478" w:rsidP="00173BF2" w14:paraId="6FB2BDBA" w14:textId="77777777">
      <w:pPr>
        <w:spacing w:after="0" w:line="240" w:lineRule="auto"/>
        <w:ind w:left="360" w:right="40" w:firstLine="60"/>
        <w:rPr>
          <w:szCs w:val="24"/>
        </w:rPr>
      </w:pPr>
    </w:p>
    <w:p w:rsidR="006A24B8" w:rsidRPr="002E2F7F" w:rsidP="00760856" w14:paraId="1271AC85" w14:textId="50A33FF2">
      <w:pPr>
        <w:spacing w:after="0" w:line="240" w:lineRule="auto"/>
        <w:ind w:left="360" w:right="40" w:firstLine="0"/>
        <w:rPr>
          <w:szCs w:val="24"/>
        </w:rPr>
      </w:pPr>
      <w:r w:rsidRPr="002E2F7F">
        <w:rPr>
          <w:szCs w:val="24"/>
        </w:rPr>
        <w:t xml:space="preserve">CMS issued a System of Record Notice (SORN) </w:t>
      </w:r>
      <w:r w:rsidR="00491478">
        <w:rPr>
          <w:szCs w:val="24"/>
        </w:rPr>
        <w:t>(</w:t>
      </w:r>
      <w:r w:rsidRPr="00491478" w:rsidR="00491478">
        <w:rPr>
          <w:szCs w:val="24"/>
        </w:rPr>
        <w:t>February 14, 2018</w:t>
      </w:r>
      <w:r w:rsidR="00491478">
        <w:rPr>
          <w:szCs w:val="24"/>
        </w:rPr>
        <w:t xml:space="preserve">; </w:t>
      </w:r>
      <w:r w:rsidRPr="00491478" w:rsidR="00491478">
        <w:rPr>
          <w:szCs w:val="24"/>
        </w:rPr>
        <w:t>83 FR 659</w:t>
      </w:r>
      <w:r w:rsidR="00491478">
        <w:rPr>
          <w:szCs w:val="24"/>
        </w:rPr>
        <w:t>1</w:t>
      </w:r>
      <w:r w:rsidRPr="00491478" w:rsidR="00491478">
        <w:rPr>
          <w:szCs w:val="24"/>
        </w:rPr>
        <w:t>)</w:t>
      </w:r>
      <w:r w:rsidR="00491478">
        <w:rPr>
          <w:szCs w:val="24"/>
        </w:rPr>
        <w:t xml:space="preserve"> </w:t>
      </w:r>
      <w:r w:rsidRPr="002E2F7F">
        <w:rPr>
          <w:szCs w:val="24"/>
        </w:rPr>
        <w:t xml:space="preserve">for the </w:t>
      </w:r>
      <w:r w:rsidRPr="00FA391D" w:rsidR="00491478">
        <w:t>Medicare Advantage Prescription Drug System (MARx) System (SORN Number: 09–70–0588).</w:t>
      </w:r>
      <w:r w:rsidR="00491478">
        <w:rPr>
          <w:rFonts w:ascii="Arial" w:hAnsi="Arial" w:cs="Arial"/>
        </w:rPr>
        <w:t xml:space="preserve"> </w:t>
      </w:r>
      <w:r w:rsidRPr="002E2F7F" w:rsidR="002C2258">
        <w:rPr>
          <w:szCs w:val="24"/>
        </w:rPr>
        <w:t>A Privacy Impact Assessment is not required because personal identifiable information is not being collected electronically</w:t>
      </w:r>
      <w:r w:rsidR="00491478">
        <w:rPr>
          <w:szCs w:val="24"/>
        </w:rPr>
        <w:t>.</w:t>
      </w:r>
    </w:p>
    <w:p w:rsidR="00491478" w:rsidRPr="002E2F7F" w:rsidP="00173BF2" w14:paraId="32F497DF" w14:textId="77777777">
      <w:pPr>
        <w:spacing w:after="0" w:line="240" w:lineRule="auto"/>
        <w:ind w:left="360" w:right="40" w:firstLine="60"/>
        <w:rPr>
          <w:szCs w:val="24"/>
        </w:rPr>
      </w:pPr>
    </w:p>
    <w:p w:rsidR="00D66164" w:rsidRPr="002E2F7F" w:rsidP="00173BF2" w14:paraId="5408EC86" w14:textId="77777777">
      <w:pPr>
        <w:pStyle w:val="Heading4"/>
        <w:jc w:val="left"/>
      </w:pPr>
      <w:r w:rsidRPr="002E2F7F">
        <w:t>11.</w:t>
      </w:r>
      <w:r w:rsidRPr="002E2F7F">
        <w:rPr>
          <w:rFonts w:eastAsia="Arial"/>
        </w:rPr>
        <w:t xml:space="preserve"> </w:t>
      </w:r>
      <w:r w:rsidRPr="002E2F7F">
        <w:t xml:space="preserve">Sensitive Questions </w:t>
      </w:r>
    </w:p>
    <w:p w:rsidR="0049099B" w:rsidRPr="002E2F7F" w:rsidP="00173BF2" w14:paraId="439A8425" w14:textId="77777777">
      <w:pPr>
        <w:spacing w:after="0" w:line="240" w:lineRule="auto"/>
      </w:pPr>
    </w:p>
    <w:p w:rsidR="00D66164" w:rsidRPr="002E2F7F" w:rsidP="00760856" w14:paraId="7566BD79" w14:textId="77777777">
      <w:pPr>
        <w:spacing w:after="0" w:line="240" w:lineRule="auto"/>
        <w:ind w:left="360" w:right="75" w:firstLine="0"/>
        <w:rPr>
          <w:szCs w:val="24"/>
        </w:rPr>
      </w:pPr>
      <w:r w:rsidRPr="002E2F7F">
        <w:rPr>
          <w:szCs w:val="24"/>
        </w:rP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94666D" w:rsidRPr="002E2F7F" w:rsidP="00173BF2" w14:paraId="2BE91200" w14:textId="77777777">
      <w:pPr>
        <w:spacing w:after="0" w:line="240" w:lineRule="auto"/>
        <w:ind w:left="360" w:right="75" w:firstLine="60"/>
        <w:rPr>
          <w:szCs w:val="24"/>
        </w:rPr>
      </w:pPr>
    </w:p>
    <w:p w:rsidR="00D66164" w:rsidRPr="002E2F7F" w:rsidP="00173BF2" w14:paraId="017FC146" w14:textId="6C3C68C6">
      <w:pPr>
        <w:pStyle w:val="Heading4"/>
        <w:jc w:val="left"/>
      </w:pPr>
      <w:r w:rsidRPr="002E2F7F">
        <w:t>12.</w:t>
      </w:r>
      <w:r w:rsidRPr="002E2F7F">
        <w:rPr>
          <w:rFonts w:eastAsia="Arial"/>
        </w:rPr>
        <w:t xml:space="preserve"> </w:t>
      </w:r>
      <w:r w:rsidRPr="002E2F7F" w:rsidR="0049099B">
        <w:rPr>
          <w:rFonts w:eastAsiaTheme="minorEastAsia"/>
        </w:rPr>
        <w:t>Collection of Information Requirements and Annual Burden Estimates</w:t>
      </w:r>
    </w:p>
    <w:p w:rsidR="0049099B" w:rsidRPr="002E2F7F" w:rsidP="00173BF2" w14:paraId="4F30D1CB" w14:textId="77777777">
      <w:pPr>
        <w:spacing w:after="0" w:line="240" w:lineRule="auto"/>
      </w:pPr>
    </w:p>
    <w:p w:rsidR="00D66164" w:rsidRPr="002E2F7F" w:rsidP="00173BF2" w14:paraId="2410012B" w14:textId="1168E6DA">
      <w:pPr>
        <w:pStyle w:val="Heading5"/>
        <w:jc w:val="left"/>
      </w:pPr>
      <w:r w:rsidRPr="002E2F7F">
        <w:t xml:space="preserve">Wage </w:t>
      </w:r>
      <w:r w:rsidRPr="002E2F7F" w:rsidR="008959DE">
        <w:t>Data</w:t>
      </w:r>
    </w:p>
    <w:p w:rsidR="003845C9" w:rsidRPr="002E2F7F" w:rsidP="00173BF2" w14:paraId="166C7C8F" w14:textId="77777777">
      <w:pPr>
        <w:spacing w:after="0" w:line="240" w:lineRule="auto"/>
      </w:pPr>
    </w:p>
    <w:p w:rsidR="00D66164" w:rsidRPr="002E2F7F" w:rsidP="00C86700" w14:paraId="2BE74731" w14:textId="51067FBC">
      <w:pPr>
        <w:spacing w:after="0" w:line="240" w:lineRule="auto"/>
        <w:ind w:left="360" w:right="40"/>
        <w:rPr>
          <w:szCs w:val="24"/>
        </w:rPr>
      </w:pPr>
      <w:r w:rsidRPr="002E2F7F">
        <w:rPr>
          <w:szCs w:val="24"/>
        </w:rPr>
        <w:t xml:space="preserve">To derive average costs, we used data from the U.S. Bureau of Labor Statistics’ May </w:t>
      </w:r>
      <w:r w:rsidR="00262227">
        <w:rPr>
          <w:szCs w:val="24"/>
        </w:rPr>
        <w:t>2023</w:t>
      </w:r>
      <w:r w:rsidRPr="002E2F7F">
        <w:rPr>
          <w:szCs w:val="24"/>
        </w:rPr>
        <w:t xml:space="preserve"> National Occupational Employment and Wage Estimates </w:t>
      </w:r>
      <w:hyperlink r:id="rId10">
        <w:r w:rsidRPr="002E2F7F" w:rsidR="001B2595">
          <w:rPr>
            <w:szCs w:val="24"/>
          </w:rPr>
          <w:t>(</w:t>
        </w:r>
      </w:hyperlink>
      <w:hyperlink r:id="rId11" w:history="1">
        <w:r w:rsidRPr="00282929" w:rsidR="00CA419C">
          <w:rPr>
            <w:rStyle w:val="Hyperlink"/>
            <w:szCs w:val="24"/>
          </w:rPr>
          <w:t>https://www.bls.gov/oes/2023/may/oes_nat.htm</w:t>
        </w:r>
      </w:hyperlink>
      <w:hyperlink r:id="rId10">
        <w:r w:rsidRPr="002E2F7F" w:rsidR="001B2595">
          <w:rPr>
            <w:szCs w:val="24"/>
          </w:rPr>
          <w:t xml:space="preserve">). </w:t>
        </w:r>
      </w:hyperlink>
      <w:r w:rsidRPr="002E2F7F" w:rsidR="00BA1F7B">
        <w:rPr>
          <w:szCs w:val="24"/>
        </w:rPr>
        <w:t>T</w:t>
      </w:r>
      <w:r w:rsidRPr="002E2F7F" w:rsidR="001B2595">
        <w:rPr>
          <w:szCs w:val="24"/>
        </w:rPr>
        <w:t xml:space="preserve">he following table presents </w:t>
      </w:r>
      <w:r w:rsidRPr="002E2F7F" w:rsidR="005244FD">
        <w:rPr>
          <w:szCs w:val="24"/>
        </w:rPr>
        <w:t xml:space="preserve">BLS’ </w:t>
      </w:r>
      <w:r w:rsidRPr="002E2F7F" w:rsidR="001B2595">
        <w:rPr>
          <w:szCs w:val="24"/>
        </w:rPr>
        <w:t xml:space="preserve">mean hourly wage, </w:t>
      </w:r>
      <w:r w:rsidRPr="002E2F7F" w:rsidR="005244FD">
        <w:rPr>
          <w:szCs w:val="24"/>
        </w:rPr>
        <w:t xml:space="preserve">our estimated </w:t>
      </w:r>
      <w:r w:rsidRPr="002E2F7F" w:rsidR="001B2595">
        <w:rPr>
          <w:szCs w:val="24"/>
        </w:rPr>
        <w:t>cost of fringe benefits and o</w:t>
      </w:r>
      <w:r w:rsidRPr="002E2F7F" w:rsidR="005244FD">
        <w:rPr>
          <w:szCs w:val="24"/>
        </w:rPr>
        <w:t xml:space="preserve">ther indirect costs </w:t>
      </w:r>
      <w:r w:rsidRPr="002E2F7F" w:rsidR="001B2595">
        <w:rPr>
          <w:szCs w:val="24"/>
        </w:rPr>
        <w:t xml:space="preserve">(calculated at 100 percent of salary), and </w:t>
      </w:r>
      <w:r w:rsidRPr="002E2F7F" w:rsidR="005244FD">
        <w:rPr>
          <w:szCs w:val="24"/>
        </w:rPr>
        <w:t xml:space="preserve">our </w:t>
      </w:r>
      <w:r w:rsidRPr="002E2F7F" w:rsidR="001B2595">
        <w:rPr>
          <w:szCs w:val="24"/>
        </w:rPr>
        <w:t xml:space="preserve">adjusted hourly wage. </w:t>
      </w:r>
    </w:p>
    <w:p w:rsidR="003845C9" w:rsidRPr="002E2F7F" w:rsidP="00173BF2" w14:paraId="78CA52F3" w14:textId="77777777">
      <w:pPr>
        <w:spacing w:after="0" w:line="240" w:lineRule="auto"/>
        <w:ind w:left="360" w:right="156"/>
        <w:rPr>
          <w:szCs w:val="24"/>
        </w:rPr>
      </w:pPr>
    </w:p>
    <w:p w:rsidR="00D66164" w:rsidRPr="002E2F7F" w:rsidP="0040005A" w14:paraId="66D6EE94" w14:textId="3FF01164">
      <w:pPr>
        <w:pStyle w:val="Heading6"/>
        <w:spacing w:after="0" w:line="240" w:lineRule="auto"/>
        <w:ind w:left="360"/>
      </w:pPr>
      <w:r w:rsidRPr="002E2F7F">
        <w:rPr>
          <w:b/>
          <w:bCs/>
        </w:rPr>
        <w:t xml:space="preserve">Table 1. National Occupational Employment and Wage Estimates </w:t>
      </w:r>
    </w:p>
    <w:tbl>
      <w:tblPr>
        <w:tblStyle w:val="TableGrid1"/>
        <w:tblW w:w="9354" w:type="dxa"/>
        <w:tblInd w:w="357" w:type="dxa"/>
        <w:tblCellMar>
          <w:top w:w="64" w:type="dxa"/>
          <w:left w:w="108" w:type="dxa"/>
          <w:right w:w="48" w:type="dxa"/>
        </w:tblCellMar>
        <w:tblLook w:val="04A0"/>
      </w:tblPr>
      <w:tblGrid>
        <w:gridCol w:w="3776"/>
        <w:gridCol w:w="1624"/>
        <w:gridCol w:w="1121"/>
        <w:gridCol w:w="1490"/>
        <w:gridCol w:w="1343"/>
      </w:tblGrid>
      <w:tr w14:paraId="6EE9315D" w14:textId="77777777" w:rsidTr="00FA391D">
        <w:tblPrEx>
          <w:tblW w:w="9354" w:type="dxa"/>
          <w:tblInd w:w="357" w:type="dxa"/>
          <w:tblCellMar>
            <w:top w:w="64" w:type="dxa"/>
            <w:left w:w="108" w:type="dxa"/>
            <w:right w:w="48" w:type="dxa"/>
          </w:tblCellMar>
          <w:tblLook w:val="04A0"/>
        </w:tblPrEx>
        <w:trPr>
          <w:trHeight w:val="346"/>
        </w:trPr>
        <w:tc>
          <w:tcPr>
            <w:tcW w:w="3776" w:type="dxa"/>
            <w:tcBorders>
              <w:top w:val="single" w:sz="2" w:space="0" w:color="000000"/>
              <w:left w:val="single" w:sz="2" w:space="0" w:color="000000"/>
              <w:bottom w:val="single" w:sz="2" w:space="0" w:color="000000"/>
              <w:right w:val="single" w:sz="2" w:space="0" w:color="000000"/>
            </w:tcBorders>
          </w:tcPr>
          <w:p w:rsidR="00D66164" w:rsidRPr="002E2F7F" w:rsidP="00173BF2" w14:paraId="5E8BA16B" w14:textId="77777777">
            <w:pPr>
              <w:spacing w:after="0" w:line="240" w:lineRule="auto"/>
              <w:ind w:left="360" w:right="44" w:firstLine="0"/>
            </w:pPr>
            <w:r w:rsidRPr="002E2F7F">
              <w:rPr>
                <w:b/>
                <w:sz w:val="20"/>
              </w:rPr>
              <w:t xml:space="preserve">BLS Occupation </w:t>
            </w:r>
          </w:p>
        </w:tc>
        <w:tc>
          <w:tcPr>
            <w:tcW w:w="1624" w:type="dxa"/>
            <w:tcBorders>
              <w:top w:val="single" w:sz="2" w:space="0" w:color="000000"/>
              <w:left w:val="single" w:sz="2" w:space="0" w:color="000000"/>
              <w:bottom w:val="single" w:sz="2" w:space="0" w:color="000000"/>
              <w:right w:val="single" w:sz="2" w:space="0" w:color="000000"/>
            </w:tcBorders>
          </w:tcPr>
          <w:p w:rsidR="00D66164" w:rsidRPr="002E2F7F" w:rsidP="00FA391D" w14:paraId="2DBC772A" w14:textId="77777777">
            <w:pPr>
              <w:spacing w:after="0" w:line="240" w:lineRule="auto"/>
              <w:ind w:left="360" w:right="0" w:firstLine="0"/>
              <w:jc w:val="both"/>
            </w:pPr>
            <w:r w:rsidRPr="002E2F7F">
              <w:rPr>
                <w:b/>
                <w:sz w:val="20"/>
              </w:rPr>
              <w:t xml:space="preserve">Occupation </w:t>
            </w:r>
          </w:p>
        </w:tc>
        <w:tc>
          <w:tcPr>
            <w:tcW w:w="1121" w:type="dxa"/>
            <w:tcBorders>
              <w:top w:val="single" w:sz="2" w:space="0" w:color="000000"/>
              <w:left w:val="single" w:sz="2" w:space="0" w:color="000000"/>
              <w:bottom w:val="single" w:sz="2" w:space="0" w:color="000000"/>
              <w:right w:val="single" w:sz="2" w:space="0" w:color="000000"/>
            </w:tcBorders>
          </w:tcPr>
          <w:p w:rsidR="00D66164" w:rsidRPr="002E2F7F" w:rsidP="00173BF2" w14:paraId="32345250" w14:textId="45E04B9D">
            <w:pPr>
              <w:spacing w:after="0" w:line="240" w:lineRule="auto"/>
              <w:ind w:left="360" w:right="39" w:firstLine="0"/>
            </w:pPr>
            <w:r w:rsidRPr="002E2F7F">
              <w:rPr>
                <w:b/>
                <w:sz w:val="20"/>
              </w:rPr>
              <w:t xml:space="preserve">Mean </w:t>
            </w:r>
            <w:r w:rsidRPr="002E2F7F" w:rsidR="00ED1B1B">
              <w:rPr>
                <w:b/>
                <w:sz w:val="20"/>
              </w:rPr>
              <w:t>Wage ($/hr)</w:t>
            </w:r>
          </w:p>
        </w:tc>
        <w:tc>
          <w:tcPr>
            <w:tcW w:w="1490" w:type="dxa"/>
            <w:tcBorders>
              <w:top w:val="single" w:sz="2" w:space="0" w:color="000000"/>
              <w:left w:val="single" w:sz="2" w:space="0" w:color="000000"/>
              <w:bottom w:val="single" w:sz="2" w:space="0" w:color="000000"/>
              <w:right w:val="single" w:sz="2" w:space="0" w:color="000000"/>
            </w:tcBorders>
          </w:tcPr>
          <w:p w:rsidR="00D66164" w:rsidRPr="002E2F7F" w:rsidP="00173BF2" w14:paraId="1C46888D" w14:textId="6A757EF7">
            <w:pPr>
              <w:spacing w:after="0" w:line="240" w:lineRule="auto"/>
              <w:ind w:left="360" w:right="0" w:firstLine="0"/>
            </w:pPr>
            <w:r w:rsidRPr="002E2F7F">
              <w:rPr>
                <w:b/>
                <w:sz w:val="20"/>
              </w:rPr>
              <w:t>Fringe Benefits</w:t>
            </w:r>
            <w:r w:rsidRPr="002E2F7F" w:rsidR="00ED1B1B">
              <w:rPr>
                <w:b/>
                <w:sz w:val="20"/>
              </w:rPr>
              <w:t xml:space="preserve"> and Other Indirect Costs ($/hr)</w:t>
            </w:r>
            <w:r w:rsidRPr="002E2F7F">
              <w:rPr>
                <w:b/>
                <w:sz w:val="20"/>
              </w:rPr>
              <w:t xml:space="preserve"> </w:t>
            </w:r>
          </w:p>
        </w:tc>
        <w:tc>
          <w:tcPr>
            <w:tcW w:w="1343" w:type="dxa"/>
            <w:tcBorders>
              <w:top w:val="single" w:sz="2" w:space="0" w:color="000000"/>
              <w:left w:val="single" w:sz="2" w:space="0" w:color="000000"/>
              <w:bottom w:val="single" w:sz="2" w:space="0" w:color="000000"/>
              <w:right w:val="single" w:sz="2" w:space="0" w:color="000000"/>
            </w:tcBorders>
          </w:tcPr>
          <w:p w:rsidR="00D66164" w:rsidRPr="002E2F7F" w:rsidP="00173BF2" w14:paraId="58F1599F" w14:textId="328B254D">
            <w:pPr>
              <w:spacing w:after="0" w:line="240" w:lineRule="auto"/>
              <w:ind w:left="360" w:right="24" w:firstLine="0"/>
            </w:pPr>
            <w:r w:rsidRPr="002E2F7F">
              <w:rPr>
                <w:b/>
                <w:sz w:val="20"/>
              </w:rPr>
              <w:t xml:space="preserve">Adjusted </w:t>
            </w:r>
            <w:r w:rsidRPr="002E2F7F" w:rsidR="00ED1B1B">
              <w:rPr>
                <w:b/>
                <w:sz w:val="20"/>
              </w:rPr>
              <w:t>Wage ($/hr)</w:t>
            </w:r>
          </w:p>
        </w:tc>
      </w:tr>
      <w:tr w14:paraId="63FDB639" w14:textId="77777777" w:rsidTr="00FA391D">
        <w:tblPrEx>
          <w:tblW w:w="9354" w:type="dxa"/>
          <w:tblInd w:w="357" w:type="dxa"/>
          <w:tblCellMar>
            <w:top w:w="64" w:type="dxa"/>
            <w:left w:w="108" w:type="dxa"/>
            <w:right w:w="48" w:type="dxa"/>
          </w:tblCellMar>
          <w:tblLook w:val="04A0"/>
        </w:tblPrEx>
        <w:trPr>
          <w:trHeight w:val="350"/>
        </w:trPr>
        <w:tc>
          <w:tcPr>
            <w:tcW w:w="3776" w:type="dxa"/>
            <w:tcBorders>
              <w:top w:val="single" w:sz="2" w:space="0" w:color="000000"/>
              <w:left w:val="single" w:sz="2" w:space="0" w:color="000000"/>
              <w:bottom w:val="single" w:sz="2" w:space="0" w:color="000000"/>
              <w:right w:val="single" w:sz="2" w:space="0" w:color="000000"/>
            </w:tcBorders>
          </w:tcPr>
          <w:p w:rsidR="00D66164" w:rsidRPr="002E2F7F" w:rsidP="00173BF2" w14:paraId="410AADF8" w14:textId="77777777">
            <w:pPr>
              <w:spacing w:after="0" w:line="240" w:lineRule="auto"/>
              <w:ind w:left="360" w:right="0" w:firstLine="0"/>
            </w:pPr>
            <w:r w:rsidRPr="002E2F7F">
              <w:rPr>
                <w:sz w:val="20"/>
              </w:rPr>
              <w:t xml:space="preserve">Pharmacist </w:t>
            </w:r>
          </w:p>
        </w:tc>
        <w:tc>
          <w:tcPr>
            <w:tcW w:w="1624" w:type="dxa"/>
            <w:tcBorders>
              <w:top w:val="single" w:sz="2" w:space="0" w:color="000000"/>
              <w:left w:val="single" w:sz="2" w:space="0" w:color="000000"/>
              <w:bottom w:val="single" w:sz="2" w:space="0" w:color="000000"/>
              <w:right w:val="single" w:sz="2" w:space="0" w:color="000000"/>
            </w:tcBorders>
          </w:tcPr>
          <w:p w:rsidR="00D66164" w:rsidRPr="002E2F7F" w:rsidP="00173BF2" w14:paraId="51C0CCD3" w14:textId="77777777">
            <w:pPr>
              <w:spacing w:after="0" w:line="240" w:lineRule="auto"/>
              <w:ind w:left="360" w:right="0" w:firstLine="0"/>
            </w:pPr>
            <w:r w:rsidRPr="002E2F7F">
              <w:rPr>
                <w:sz w:val="20"/>
              </w:rPr>
              <w:t xml:space="preserve">29-1051 </w:t>
            </w:r>
          </w:p>
        </w:tc>
        <w:tc>
          <w:tcPr>
            <w:tcW w:w="1121" w:type="dxa"/>
            <w:tcBorders>
              <w:top w:val="single" w:sz="2" w:space="0" w:color="000000"/>
              <w:left w:val="single" w:sz="2" w:space="0" w:color="000000"/>
              <w:bottom w:val="single" w:sz="2" w:space="0" w:color="000000"/>
              <w:right w:val="single" w:sz="2" w:space="0" w:color="000000"/>
            </w:tcBorders>
          </w:tcPr>
          <w:p w:rsidR="00D66164" w:rsidRPr="002E2F7F" w:rsidP="00173BF2" w14:paraId="6C7E8A4C" w14:textId="77D7FFF1">
            <w:pPr>
              <w:spacing w:after="0" w:line="240" w:lineRule="auto"/>
              <w:ind w:left="360" w:right="0" w:firstLine="0"/>
            </w:pPr>
            <w:r>
              <w:rPr>
                <w:sz w:val="20"/>
              </w:rPr>
              <w:t>64.81</w:t>
            </w:r>
          </w:p>
        </w:tc>
        <w:tc>
          <w:tcPr>
            <w:tcW w:w="1490" w:type="dxa"/>
            <w:tcBorders>
              <w:top w:val="single" w:sz="2" w:space="0" w:color="000000"/>
              <w:left w:val="single" w:sz="2" w:space="0" w:color="000000"/>
              <w:bottom w:val="single" w:sz="2" w:space="0" w:color="000000"/>
              <w:right w:val="single" w:sz="2" w:space="0" w:color="000000"/>
            </w:tcBorders>
          </w:tcPr>
          <w:p w:rsidR="00D66164" w:rsidRPr="002E2F7F" w:rsidP="00173BF2" w14:paraId="4D8C8908" w14:textId="3482BFDB">
            <w:pPr>
              <w:spacing w:after="0" w:line="240" w:lineRule="auto"/>
              <w:ind w:left="360" w:right="0" w:firstLine="0"/>
            </w:pPr>
            <w:r>
              <w:rPr>
                <w:sz w:val="20"/>
              </w:rPr>
              <w:t>64.81</w:t>
            </w:r>
          </w:p>
        </w:tc>
        <w:tc>
          <w:tcPr>
            <w:tcW w:w="1343" w:type="dxa"/>
            <w:tcBorders>
              <w:top w:val="single" w:sz="2" w:space="0" w:color="000000"/>
              <w:left w:val="single" w:sz="2" w:space="0" w:color="000000"/>
              <w:bottom w:val="single" w:sz="2" w:space="0" w:color="000000"/>
              <w:right w:val="single" w:sz="2" w:space="0" w:color="000000"/>
            </w:tcBorders>
          </w:tcPr>
          <w:p w:rsidR="00D66164" w:rsidRPr="002E2F7F" w:rsidP="00173BF2" w14:paraId="2371E8D3" w14:textId="1706FF6A">
            <w:pPr>
              <w:spacing w:after="0" w:line="240" w:lineRule="auto"/>
              <w:ind w:left="360" w:right="0" w:firstLine="0"/>
            </w:pPr>
            <w:r>
              <w:rPr>
                <w:sz w:val="20"/>
              </w:rPr>
              <w:t>129.62</w:t>
            </w:r>
          </w:p>
        </w:tc>
      </w:tr>
      <w:tr w14:paraId="275C5F77" w14:textId="77777777" w:rsidTr="00FA391D">
        <w:tblPrEx>
          <w:tblW w:w="9354" w:type="dxa"/>
          <w:tblInd w:w="357" w:type="dxa"/>
          <w:tblCellMar>
            <w:top w:w="64" w:type="dxa"/>
            <w:left w:w="108" w:type="dxa"/>
            <w:right w:w="48" w:type="dxa"/>
          </w:tblCellMar>
          <w:tblLook w:val="04A0"/>
        </w:tblPrEx>
        <w:trPr>
          <w:trHeight w:val="345"/>
        </w:trPr>
        <w:tc>
          <w:tcPr>
            <w:tcW w:w="3776" w:type="dxa"/>
            <w:tcBorders>
              <w:top w:val="single" w:sz="2" w:space="0" w:color="000000"/>
              <w:left w:val="single" w:sz="2" w:space="0" w:color="000000"/>
              <w:bottom w:val="single" w:sz="2" w:space="0" w:color="000000"/>
              <w:right w:val="single" w:sz="2" w:space="0" w:color="000000"/>
            </w:tcBorders>
          </w:tcPr>
          <w:p w:rsidR="00D66164" w:rsidRPr="002E2F7F" w:rsidP="00173BF2" w14:paraId="1744A52A" w14:textId="77777777">
            <w:pPr>
              <w:spacing w:after="0" w:line="240" w:lineRule="auto"/>
              <w:ind w:left="360" w:right="0" w:firstLine="0"/>
            </w:pPr>
            <w:r w:rsidRPr="002E2F7F">
              <w:rPr>
                <w:sz w:val="20"/>
              </w:rPr>
              <w:t xml:space="preserve">Pharmacy Technician </w:t>
            </w:r>
          </w:p>
        </w:tc>
        <w:tc>
          <w:tcPr>
            <w:tcW w:w="1624" w:type="dxa"/>
            <w:tcBorders>
              <w:top w:val="single" w:sz="2" w:space="0" w:color="000000"/>
              <w:left w:val="single" w:sz="2" w:space="0" w:color="000000"/>
              <w:bottom w:val="single" w:sz="2" w:space="0" w:color="000000"/>
              <w:right w:val="single" w:sz="2" w:space="0" w:color="000000"/>
            </w:tcBorders>
          </w:tcPr>
          <w:p w:rsidR="00D66164" w:rsidRPr="002E2F7F" w:rsidP="00173BF2" w14:paraId="3F810AC8" w14:textId="77777777">
            <w:pPr>
              <w:spacing w:after="0" w:line="240" w:lineRule="auto"/>
              <w:ind w:left="360" w:right="0" w:firstLine="0"/>
            </w:pPr>
            <w:r w:rsidRPr="002E2F7F">
              <w:rPr>
                <w:sz w:val="20"/>
              </w:rPr>
              <w:t xml:space="preserve">29-2052 </w:t>
            </w:r>
          </w:p>
        </w:tc>
        <w:tc>
          <w:tcPr>
            <w:tcW w:w="1121" w:type="dxa"/>
            <w:tcBorders>
              <w:top w:val="single" w:sz="2" w:space="0" w:color="000000"/>
              <w:left w:val="single" w:sz="2" w:space="0" w:color="000000"/>
              <w:bottom w:val="single" w:sz="2" w:space="0" w:color="000000"/>
              <w:right w:val="single" w:sz="2" w:space="0" w:color="000000"/>
            </w:tcBorders>
          </w:tcPr>
          <w:p w:rsidR="00D66164" w:rsidRPr="002E2F7F" w:rsidP="00173BF2" w14:paraId="54878248" w14:textId="02814A99">
            <w:pPr>
              <w:spacing w:after="0" w:line="240" w:lineRule="auto"/>
              <w:ind w:left="360" w:right="0" w:firstLine="0"/>
            </w:pPr>
            <w:r>
              <w:rPr>
                <w:sz w:val="20"/>
              </w:rPr>
              <w:t>20.83</w:t>
            </w:r>
          </w:p>
        </w:tc>
        <w:tc>
          <w:tcPr>
            <w:tcW w:w="1490" w:type="dxa"/>
            <w:tcBorders>
              <w:top w:val="single" w:sz="2" w:space="0" w:color="000000"/>
              <w:left w:val="single" w:sz="2" w:space="0" w:color="000000"/>
              <w:bottom w:val="single" w:sz="2" w:space="0" w:color="000000"/>
              <w:right w:val="single" w:sz="2" w:space="0" w:color="000000"/>
            </w:tcBorders>
          </w:tcPr>
          <w:p w:rsidR="00D66164" w:rsidRPr="002E2F7F" w:rsidP="00173BF2" w14:paraId="6D9DE603" w14:textId="35176ED4">
            <w:pPr>
              <w:spacing w:after="0" w:line="240" w:lineRule="auto"/>
              <w:ind w:left="360" w:right="0" w:firstLine="0"/>
            </w:pPr>
            <w:r>
              <w:rPr>
                <w:sz w:val="20"/>
              </w:rPr>
              <w:t>20.83</w:t>
            </w:r>
          </w:p>
        </w:tc>
        <w:tc>
          <w:tcPr>
            <w:tcW w:w="1343" w:type="dxa"/>
            <w:tcBorders>
              <w:top w:val="single" w:sz="2" w:space="0" w:color="000000"/>
              <w:left w:val="single" w:sz="2" w:space="0" w:color="000000"/>
              <w:bottom w:val="single" w:sz="2" w:space="0" w:color="000000"/>
              <w:right w:val="single" w:sz="2" w:space="0" w:color="000000"/>
            </w:tcBorders>
          </w:tcPr>
          <w:p w:rsidR="00D66164" w:rsidRPr="002E2F7F" w:rsidP="00173BF2" w14:paraId="5D8DE378" w14:textId="5F038B0A">
            <w:pPr>
              <w:spacing w:after="0" w:line="240" w:lineRule="auto"/>
              <w:ind w:left="360" w:right="0" w:firstLine="0"/>
            </w:pPr>
            <w:r>
              <w:rPr>
                <w:sz w:val="20"/>
              </w:rPr>
              <w:t>41.66</w:t>
            </w:r>
          </w:p>
        </w:tc>
      </w:tr>
      <w:tr w14:paraId="26BF2A1A" w14:textId="77777777" w:rsidTr="00FA391D">
        <w:tblPrEx>
          <w:tblW w:w="9354" w:type="dxa"/>
          <w:tblInd w:w="357" w:type="dxa"/>
          <w:tblCellMar>
            <w:top w:w="64" w:type="dxa"/>
            <w:left w:w="108" w:type="dxa"/>
            <w:right w:w="48" w:type="dxa"/>
          </w:tblCellMar>
          <w:tblLook w:val="04A0"/>
        </w:tblPrEx>
        <w:trPr>
          <w:trHeight w:val="345"/>
        </w:trPr>
        <w:tc>
          <w:tcPr>
            <w:tcW w:w="3776" w:type="dxa"/>
            <w:tcBorders>
              <w:top w:val="single" w:sz="2" w:space="0" w:color="000000"/>
              <w:left w:val="single" w:sz="2" w:space="0" w:color="000000"/>
              <w:bottom w:val="single" w:sz="2" w:space="0" w:color="000000"/>
              <w:right w:val="single" w:sz="2" w:space="0" w:color="000000"/>
            </w:tcBorders>
          </w:tcPr>
          <w:p w:rsidR="00D66164" w:rsidRPr="002E2F7F" w:rsidP="00173BF2" w14:paraId="1DC72F26" w14:textId="77777777">
            <w:pPr>
              <w:spacing w:after="0" w:line="240" w:lineRule="auto"/>
              <w:ind w:left="360" w:right="0" w:firstLine="0"/>
            </w:pPr>
            <w:r w:rsidRPr="002E2F7F">
              <w:rPr>
                <w:sz w:val="20"/>
              </w:rPr>
              <w:t xml:space="preserve">Physicians, All Other </w:t>
            </w:r>
          </w:p>
        </w:tc>
        <w:tc>
          <w:tcPr>
            <w:tcW w:w="1624" w:type="dxa"/>
            <w:tcBorders>
              <w:top w:val="single" w:sz="2" w:space="0" w:color="000000"/>
              <w:left w:val="single" w:sz="2" w:space="0" w:color="000000"/>
              <w:bottom w:val="single" w:sz="2" w:space="0" w:color="000000"/>
              <w:right w:val="single" w:sz="2" w:space="0" w:color="000000"/>
            </w:tcBorders>
          </w:tcPr>
          <w:p w:rsidR="00D66164" w:rsidRPr="002E2F7F" w:rsidP="00173BF2" w14:paraId="7D689340" w14:textId="77777777">
            <w:pPr>
              <w:spacing w:after="0" w:line="240" w:lineRule="auto"/>
              <w:ind w:left="360" w:right="0" w:firstLine="0"/>
            </w:pPr>
            <w:r w:rsidRPr="002E2F7F">
              <w:rPr>
                <w:sz w:val="20"/>
              </w:rPr>
              <w:t xml:space="preserve">29-1229 </w:t>
            </w:r>
          </w:p>
        </w:tc>
        <w:tc>
          <w:tcPr>
            <w:tcW w:w="1121" w:type="dxa"/>
            <w:tcBorders>
              <w:top w:val="single" w:sz="2" w:space="0" w:color="000000"/>
              <w:left w:val="single" w:sz="2" w:space="0" w:color="000000"/>
              <w:bottom w:val="single" w:sz="2" w:space="0" w:color="000000"/>
              <w:right w:val="single" w:sz="2" w:space="0" w:color="000000"/>
            </w:tcBorders>
          </w:tcPr>
          <w:p w:rsidR="00D66164" w:rsidRPr="002E2F7F" w:rsidP="00173BF2" w14:paraId="2FE60546" w14:textId="25F9EF2D">
            <w:pPr>
              <w:spacing w:after="0" w:line="240" w:lineRule="auto"/>
              <w:ind w:left="360" w:right="0" w:firstLine="0"/>
            </w:pPr>
            <w:r>
              <w:rPr>
                <w:sz w:val="20"/>
              </w:rPr>
              <w:t>119.54</w:t>
            </w:r>
          </w:p>
        </w:tc>
        <w:tc>
          <w:tcPr>
            <w:tcW w:w="1490" w:type="dxa"/>
            <w:tcBorders>
              <w:top w:val="single" w:sz="2" w:space="0" w:color="000000"/>
              <w:left w:val="single" w:sz="2" w:space="0" w:color="000000"/>
              <w:bottom w:val="single" w:sz="2" w:space="0" w:color="000000"/>
              <w:right w:val="single" w:sz="2" w:space="0" w:color="000000"/>
            </w:tcBorders>
          </w:tcPr>
          <w:p w:rsidR="00D66164" w:rsidRPr="002E2F7F" w:rsidP="00173BF2" w14:paraId="26650E32" w14:textId="00596473">
            <w:pPr>
              <w:spacing w:after="0" w:line="240" w:lineRule="auto"/>
              <w:ind w:left="360" w:right="0" w:firstLine="0"/>
            </w:pPr>
            <w:r>
              <w:rPr>
                <w:sz w:val="20"/>
              </w:rPr>
              <w:t>119.54</w:t>
            </w:r>
          </w:p>
        </w:tc>
        <w:tc>
          <w:tcPr>
            <w:tcW w:w="1343" w:type="dxa"/>
            <w:tcBorders>
              <w:top w:val="single" w:sz="2" w:space="0" w:color="000000"/>
              <w:left w:val="single" w:sz="2" w:space="0" w:color="000000"/>
              <w:bottom w:val="single" w:sz="2" w:space="0" w:color="000000"/>
              <w:right w:val="single" w:sz="2" w:space="0" w:color="000000"/>
            </w:tcBorders>
          </w:tcPr>
          <w:p w:rsidR="00D66164" w:rsidRPr="002E2F7F" w:rsidP="00173BF2" w14:paraId="0DDE5DBF" w14:textId="006F2DC1">
            <w:pPr>
              <w:spacing w:after="0" w:line="240" w:lineRule="auto"/>
              <w:ind w:left="360" w:right="0" w:firstLine="0"/>
            </w:pPr>
            <w:r>
              <w:rPr>
                <w:sz w:val="20"/>
              </w:rPr>
              <w:t>239.08</w:t>
            </w:r>
          </w:p>
        </w:tc>
      </w:tr>
    </w:tbl>
    <w:p w:rsidR="00C5676E" w:rsidRPr="002E2F7F" w:rsidP="00173BF2" w14:paraId="60134E0B" w14:textId="77777777">
      <w:pPr>
        <w:spacing w:after="0" w:line="240" w:lineRule="auto"/>
        <w:ind w:left="360" w:right="0" w:firstLine="0"/>
      </w:pPr>
    </w:p>
    <w:p w:rsidR="005244FD" w:rsidRPr="002E2F7F" w:rsidP="00173BF2" w14:paraId="26ABFAA9" w14:textId="0F517396">
      <w:pPr>
        <w:spacing w:after="0" w:line="240" w:lineRule="auto"/>
        <w:ind w:left="360" w:right="0" w:firstLine="0"/>
      </w:pPr>
      <w:r w:rsidRPr="002E2F7F">
        <w:t>As indicated,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accurate estimation method.</w:t>
      </w:r>
    </w:p>
    <w:p w:rsidR="005244FD" w:rsidRPr="002E2F7F" w:rsidP="00173BF2" w14:paraId="0288B90B" w14:textId="77777777">
      <w:pPr>
        <w:spacing w:after="0" w:line="240" w:lineRule="auto"/>
        <w:ind w:left="360" w:right="0" w:firstLine="0"/>
      </w:pPr>
    </w:p>
    <w:p w:rsidR="00A82D49" w:rsidRPr="002E2F7F" w:rsidP="00173BF2" w14:paraId="74C54235" w14:textId="396294E4">
      <w:pPr>
        <w:pStyle w:val="Heading5"/>
        <w:jc w:val="left"/>
        <w:rPr>
          <w:rFonts w:eastAsiaTheme="minorEastAsia"/>
        </w:rPr>
      </w:pPr>
      <w:r w:rsidRPr="002E2F7F">
        <w:rPr>
          <w:rFonts w:eastAsiaTheme="minorEastAsia"/>
        </w:rPr>
        <w:t>Information Collection Requirements and Burden Estimates</w:t>
      </w:r>
    </w:p>
    <w:p w:rsidR="003845C9" w:rsidRPr="002E2F7F" w:rsidP="00173BF2" w14:paraId="3192AE21" w14:textId="77777777">
      <w:pPr>
        <w:spacing w:after="0" w:line="240" w:lineRule="auto"/>
        <w:rPr>
          <w:szCs w:val="24"/>
        </w:rPr>
      </w:pPr>
    </w:p>
    <w:p w:rsidR="00710673" w:rsidRPr="002E2F7F" w:rsidP="00173BF2" w14:paraId="0E8B1A08" w14:textId="77777777">
      <w:pPr>
        <w:pStyle w:val="Heading6"/>
        <w:spacing w:after="0" w:line="240" w:lineRule="auto"/>
        <w:ind w:left="360"/>
        <w:rPr>
          <w:sz w:val="24"/>
          <w:szCs w:val="24"/>
        </w:rPr>
      </w:pPr>
      <w:r w:rsidRPr="002E2F7F">
        <w:rPr>
          <w:sz w:val="24"/>
          <w:szCs w:val="24"/>
        </w:rPr>
        <w:t xml:space="preserve">One-Time Burden </w:t>
      </w:r>
    </w:p>
    <w:p w:rsidR="00710673" w:rsidRPr="002E2F7F" w:rsidP="00173BF2" w14:paraId="3D927152" w14:textId="77777777">
      <w:pPr>
        <w:pStyle w:val="Default"/>
        <w:ind w:left="360"/>
      </w:pPr>
    </w:p>
    <w:p w:rsidR="00D66164" w:rsidRPr="002E2F7F" w:rsidP="00173BF2" w14:paraId="07AC3260" w14:textId="354FCE4D">
      <w:pPr>
        <w:spacing w:after="0" w:line="240" w:lineRule="auto"/>
        <w:ind w:left="360" w:right="40"/>
        <w:rPr>
          <w:szCs w:val="24"/>
        </w:rPr>
      </w:pPr>
      <w:r w:rsidRPr="002E2F7F">
        <w:rPr>
          <w:szCs w:val="24"/>
        </w:rPr>
        <w:t>Changes to the collection instruments are minimal</w:t>
      </w:r>
      <w:r w:rsidRPr="002E2F7F" w:rsidR="005A168B">
        <w:rPr>
          <w:szCs w:val="24"/>
        </w:rPr>
        <w:t>, requiring only minor edits and no reformatting on the existing instruments</w:t>
      </w:r>
      <w:r w:rsidRPr="002E2F7F" w:rsidR="00710673">
        <w:rPr>
          <w:szCs w:val="24"/>
        </w:rPr>
        <w:t xml:space="preserve">. </w:t>
      </w:r>
      <w:r w:rsidRPr="002E2F7F" w:rsidR="005A168B">
        <w:rPr>
          <w:szCs w:val="24"/>
        </w:rPr>
        <w:t>Because</w:t>
      </w:r>
      <w:r w:rsidRPr="002E2F7F" w:rsidR="00714815">
        <w:rPr>
          <w:szCs w:val="24"/>
        </w:rPr>
        <w:t xml:space="preserve"> sponsors have been required to have DMPs since 2022, and many have had DMPs in place since 2019, sponsors will not need to </w:t>
      </w:r>
      <w:r w:rsidRPr="002E2F7F" w:rsidR="00A77EF0">
        <w:rPr>
          <w:szCs w:val="24"/>
        </w:rPr>
        <w:t xml:space="preserve">create new systems or processes. The change in definition of exempted beneficiary will be a factor considered during case management, for which there is an </w:t>
      </w:r>
      <w:r w:rsidRPr="002E2F7F" w:rsidR="00A47463">
        <w:rPr>
          <w:szCs w:val="24"/>
        </w:rPr>
        <w:t>estimated</w:t>
      </w:r>
      <w:r w:rsidRPr="002E2F7F" w:rsidR="00A77EF0">
        <w:rPr>
          <w:szCs w:val="24"/>
        </w:rPr>
        <w:t xml:space="preserve"> annual burden. </w:t>
      </w:r>
      <w:r w:rsidRPr="002E2F7F" w:rsidR="00131729">
        <w:rPr>
          <w:szCs w:val="24"/>
        </w:rPr>
        <w:t xml:space="preserve">Therefore, we </w:t>
      </w:r>
      <w:r w:rsidRPr="002E2F7F" w:rsidR="00F835BF">
        <w:rPr>
          <w:szCs w:val="24"/>
        </w:rPr>
        <w:t>estimate</w:t>
      </w:r>
      <w:r w:rsidRPr="002E2F7F" w:rsidR="00131729">
        <w:rPr>
          <w:szCs w:val="24"/>
        </w:rPr>
        <w:t xml:space="preserve"> that there is no </w:t>
      </w:r>
      <w:r w:rsidRPr="002E2F7F" w:rsidR="005A168B">
        <w:rPr>
          <w:szCs w:val="24"/>
        </w:rPr>
        <w:t xml:space="preserve">measurable </w:t>
      </w:r>
      <w:r w:rsidRPr="002E2F7F" w:rsidR="00131729">
        <w:rPr>
          <w:szCs w:val="24"/>
        </w:rPr>
        <w:t xml:space="preserve">one-time burden </w:t>
      </w:r>
      <w:r w:rsidRPr="002E2F7F" w:rsidR="00F835BF">
        <w:rPr>
          <w:szCs w:val="24"/>
        </w:rPr>
        <w:t>associated with</w:t>
      </w:r>
      <w:r w:rsidRPr="002E2F7F" w:rsidR="005A168B">
        <w:rPr>
          <w:szCs w:val="24"/>
        </w:rPr>
        <w:t xml:space="preserve"> this </w:t>
      </w:r>
      <w:r w:rsidRPr="002E2F7F" w:rsidR="00781C2C">
        <w:rPr>
          <w:szCs w:val="24"/>
        </w:rPr>
        <w:t>ICR</w:t>
      </w:r>
      <w:r w:rsidRPr="002E2F7F" w:rsidR="00131729">
        <w:rPr>
          <w:szCs w:val="24"/>
        </w:rPr>
        <w:t xml:space="preserve">.  </w:t>
      </w:r>
    </w:p>
    <w:p w:rsidR="003845C9" w:rsidRPr="002E2F7F" w:rsidP="00173BF2" w14:paraId="6ED064CA" w14:textId="77777777">
      <w:pPr>
        <w:spacing w:after="0" w:line="240" w:lineRule="auto"/>
        <w:ind w:left="360" w:right="40"/>
        <w:rPr>
          <w:szCs w:val="24"/>
        </w:rPr>
      </w:pPr>
    </w:p>
    <w:p w:rsidR="00D66164" w:rsidRPr="002E2F7F" w:rsidP="00173BF2" w14:paraId="28B9AA26" w14:textId="774CB3E4">
      <w:pPr>
        <w:pStyle w:val="Heading6"/>
        <w:spacing w:after="0" w:line="240" w:lineRule="auto"/>
        <w:ind w:left="360"/>
        <w:rPr>
          <w:sz w:val="24"/>
          <w:szCs w:val="24"/>
        </w:rPr>
      </w:pPr>
      <w:r w:rsidRPr="002E2F7F">
        <w:rPr>
          <w:sz w:val="24"/>
          <w:szCs w:val="24"/>
        </w:rPr>
        <w:t>Annual Burden</w:t>
      </w:r>
    </w:p>
    <w:p w:rsidR="003845C9" w:rsidRPr="002E2F7F" w:rsidP="00173BF2" w14:paraId="30C9DEE3" w14:textId="77777777">
      <w:pPr>
        <w:spacing w:after="0" w:line="240" w:lineRule="auto"/>
        <w:ind w:left="0" w:right="40" w:firstLine="0"/>
      </w:pPr>
    </w:p>
    <w:p w:rsidR="00A82D49" w:rsidRPr="002E2F7F" w:rsidP="00173BF2" w14:paraId="4A0074CD" w14:textId="4C39D440">
      <w:pPr>
        <w:spacing w:after="0" w:line="240" w:lineRule="auto"/>
        <w:ind w:left="360" w:right="40"/>
      </w:pPr>
      <w:r w:rsidRPr="002E2F7F">
        <w:tab/>
        <w:t xml:space="preserve">Under § 423.153(a), all Part D sponsors must have a DMP to address overutilization of FADs for </w:t>
      </w:r>
      <w:r w:rsidRPr="002E2F7F" w:rsidR="0049099B">
        <w:t>beneficiaries</w:t>
      </w:r>
      <w:r w:rsidRPr="002E2F7F" w:rsidR="003845C9">
        <w:t xml:space="preserve"> </w:t>
      </w:r>
      <w:r w:rsidRPr="002E2F7F">
        <w:t>in their prescription drug benefit plans. Based on 2023 data, there are 319 Part D parent organizations. The provisions codified at § 423.153(f)(2) require that Part D sponsors conduct case management of beneficiaries identified by the minimum OMS criteria through contact with their prescribers to determine if a beneficiary is at</w:t>
      </w:r>
      <w:r w:rsidRPr="002E2F7F" w:rsidR="00F835BF">
        <w:t xml:space="preserve"> </w:t>
      </w:r>
      <w:r w:rsidRPr="002E2F7F">
        <w:t xml:space="preserve">risk for abuse or misuse of </w:t>
      </w:r>
      <w:r w:rsidRPr="002E2F7F" w:rsidR="00F835BF">
        <w:t>FADs</w:t>
      </w:r>
      <w:r w:rsidRPr="002E2F7F">
        <w:t>. Case management must include informing the beneficiary’s prescriber(s) of the beneficiary’s potential risk for misuse or abuse of FADs and requesting information from the prescribers relevant to evaluating the beneficiary’s risk, including whether they meet the regulatory definition of exempted beneficiary. Under current CMS regulations at § 423.100, if a beneficiary meets the definition of an exempted beneficiary, the beneficiary does not meet the definition of a PARB. For this reason, exempted beneficiaries cannot be placed in a Part D sponsor’s DMP.</w:t>
      </w:r>
    </w:p>
    <w:p w:rsidR="003845C9" w:rsidRPr="002E2F7F" w:rsidP="00173BF2" w14:paraId="69FCB00E" w14:textId="77777777">
      <w:pPr>
        <w:spacing w:after="0" w:line="240" w:lineRule="auto"/>
        <w:ind w:left="360" w:right="40"/>
      </w:pPr>
    </w:p>
    <w:p w:rsidR="00A82D49" w:rsidRPr="002E2F7F" w:rsidP="00173BF2" w14:paraId="0E8DCA8C" w14:textId="0B58E827">
      <w:pPr>
        <w:spacing w:after="0" w:line="240" w:lineRule="auto"/>
        <w:ind w:left="360" w:right="40"/>
      </w:pPr>
      <w:r w:rsidRPr="002E2F7F">
        <w:tab/>
        <w:t>In 2022, the OMS identified 43,915 PARBs meeting the minimum criteria prior to applying exclusions and 30,411 after excluding exempted beneficiaries. Thus, 13,504 beneficiaries met the definition of exempted beneficiary. Amending the definition of “exempted beneficiary” at § 423.100 by replacing the reference to “active cancer-related pain” with “cancer-related pain</w:t>
      </w:r>
      <w:r w:rsidRPr="002E2F7F" w:rsidR="0076311B">
        <w:t>,</w:t>
      </w:r>
      <w:r w:rsidRPr="002E2F7F">
        <w:t>”</w:t>
      </w:r>
      <w:r w:rsidRPr="002E2F7F" w:rsidR="0076311B">
        <w:t xml:space="preserve"> </w:t>
      </w:r>
      <w:r w:rsidR="000C7397">
        <w:t>will</w:t>
      </w:r>
      <w:r w:rsidRPr="002E2F7F">
        <w:t xml:space="preserve"> result in 46 additional </w:t>
      </w:r>
      <w:r w:rsidRPr="002E2F7F" w:rsidR="0049099B">
        <w:t>beneficiaries</w:t>
      </w:r>
      <w:r w:rsidRPr="002E2F7F" w:rsidR="009D2F88">
        <w:t xml:space="preserve"> </w:t>
      </w:r>
      <w:r w:rsidRPr="002E2F7F">
        <w:t xml:space="preserve">meeting the definition of exempted beneficiary, or 13,550 exempted beneficiaries total. This yields 30,365 beneficiaries requiring case management under the amended definition.     </w:t>
      </w:r>
    </w:p>
    <w:p w:rsidR="00B73595" w:rsidRPr="002E2F7F" w:rsidP="00173BF2" w14:paraId="2B2EAFA9" w14:textId="77777777">
      <w:pPr>
        <w:spacing w:after="0" w:line="240" w:lineRule="auto"/>
        <w:ind w:left="360" w:right="40"/>
      </w:pPr>
    </w:p>
    <w:p w:rsidR="00A82D49" w:rsidRPr="002E2F7F" w:rsidP="00173BF2" w14:paraId="70A009D0" w14:textId="2BDC401A">
      <w:pPr>
        <w:spacing w:after="0" w:line="240" w:lineRule="auto"/>
        <w:ind w:left="360" w:right="40"/>
      </w:pPr>
      <w:r w:rsidRPr="002E2F7F">
        <w:tab/>
        <w:t>We estimate it takes an average of 5 hours for a sponsor to conduct case management for a PARB. We assume certain components of case management can be completed by staff of differing specialization and credentialing. We assume that 2 of the 5 hours on average would be conducted by a pharmacist (such as initial review of medication profiles, utilization, etc.) at $12</w:t>
      </w:r>
      <w:r w:rsidR="0076390D">
        <w:t>9.62</w:t>
      </w:r>
      <w:r w:rsidRPr="002E2F7F">
        <w:t xml:space="preserve">/hr, 2 hours </w:t>
      </w:r>
      <w:r w:rsidRPr="002E2F7F">
        <w:t>would be conducted by a pharmacy technician at $</w:t>
      </w:r>
      <w:r w:rsidR="0076390D">
        <w:t>41.66</w:t>
      </w:r>
      <w:r w:rsidRPr="002E2F7F">
        <w:t>/hr, and 1 hour would be conducted by a physician at $</w:t>
      </w:r>
      <w:r w:rsidR="0076390D">
        <w:t>239.08</w:t>
      </w:r>
      <w:r w:rsidRPr="002E2F7F">
        <w:t>/hr to work directly with prescribers on discussing available options and determining the best course of action. The case management team would require 5 hours at a cost of $</w:t>
      </w:r>
      <w:r w:rsidR="0076390D">
        <w:t>581.64</w:t>
      </w:r>
      <w:r w:rsidRPr="002E2F7F">
        <w:t xml:space="preserve"> per PARB case managed ([2 hr x $</w:t>
      </w:r>
      <w:r w:rsidR="0076390D">
        <w:t>129.62</w:t>
      </w:r>
      <w:r w:rsidRPr="002E2F7F">
        <w:t>/hr] + [2 hr * $</w:t>
      </w:r>
      <w:r w:rsidR="0076390D">
        <w:t>41.66</w:t>
      </w:r>
      <w:r w:rsidRPr="002E2F7F">
        <w:t>/hr] + [1 hr * $</w:t>
      </w:r>
      <w:r w:rsidR="0076390D">
        <w:t>239.08</w:t>
      </w:r>
      <w:r w:rsidRPr="002E2F7F">
        <w:t>/hr]). Therefore, the case management team’s average hourly wage is $</w:t>
      </w:r>
      <w:r w:rsidR="00F6412E">
        <w:t>116.33</w:t>
      </w:r>
      <w:r w:rsidRPr="002E2F7F">
        <w:t>/hr ($</w:t>
      </w:r>
      <w:r w:rsidR="00F6412E">
        <w:t>581.64</w:t>
      </w:r>
      <w:r w:rsidRPr="002E2F7F">
        <w:t xml:space="preserve"> / 5 hr). CMS data from 2022 estimates that annually 30,365 PARBs would be identified after exclusions based on minimum OMS criteria. In aggregate, we estimate annual burden for 30,365 </w:t>
      </w:r>
      <w:r w:rsidRPr="002E2F7F" w:rsidR="0049099B">
        <w:t xml:space="preserve">beneficiaries </w:t>
      </w:r>
      <w:r w:rsidRPr="002E2F7F">
        <w:t>annually subject to case management to be 151,825 hours at a cost of $</w:t>
      </w:r>
      <w:r w:rsidR="00ED1238">
        <w:t>17,661,802</w:t>
      </w:r>
      <w:r w:rsidR="00AA1456">
        <w:t xml:space="preserve"> </w:t>
      </w:r>
      <w:r w:rsidRPr="002E2F7F">
        <w:t xml:space="preserve">per year (30,365 </w:t>
      </w:r>
      <w:r w:rsidRPr="002E2F7F" w:rsidR="0049099B">
        <w:t>beneficiaries</w:t>
      </w:r>
      <w:r w:rsidRPr="002E2F7F">
        <w:t xml:space="preserve">* 5 hours * </w:t>
      </w:r>
      <w:r w:rsidR="00032A2F">
        <w:t>$</w:t>
      </w:r>
      <w:r w:rsidR="00ED1238">
        <w:t>116.33</w:t>
      </w:r>
      <w:r w:rsidRPr="002E2F7F">
        <w:t xml:space="preserve">/hr for the case management team). </w:t>
      </w:r>
    </w:p>
    <w:p w:rsidR="00B73595" w:rsidRPr="002E2F7F" w:rsidP="00173BF2" w14:paraId="0E9FBBF6" w14:textId="77777777">
      <w:pPr>
        <w:spacing w:after="0" w:line="240" w:lineRule="auto"/>
        <w:ind w:left="360" w:right="40"/>
      </w:pPr>
    </w:p>
    <w:p w:rsidR="001202BD" w:rsidRPr="002E2F7F" w:rsidP="00173BF2" w14:paraId="5FF920F2" w14:textId="24F65D03">
      <w:pPr>
        <w:spacing w:after="0" w:line="240" w:lineRule="auto"/>
        <w:ind w:left="360" w:right="40"/>
        <w:rPr>
          <w:szCs w:val="24"/>
        </w:rPr>
      </w:pPr>
      <w:r w:rsidRPr="002E2F7F">
        <w:tab/>
        <w:t xml:space="preserve">As a result of case management, a portion of PARBs may receive notice from a sponsor, informing the beneficiary of the sponsor’s intention to limit their access to coverage of opioids and/or benzodiazepines. Approximately 5 percent of PARBs identified by OMS criteria receive an </w:t>
      </w:r>
      <w:r w:rsidRPr="002E2F7F" w:rsidR="007B1E02">
        <w:t xml:space="preserve">Initial Notice </w:t>
      </w:r>
      <w:r w:rsidRPr="002E2F7F">
        <w:t>an</w:t>
      </w:r>
      <w:r w:rsidRPr="002E2F7F">
        <w:rPr>
          <w:szCs w:val="24"/>
        </w:rPr>
        <w:t xml:space="preserve">d either a </w:t>
      </w:r>
      <w:r w:rsidRPr="002E2F7F" w:rsidR="007B1E02">
        <w:rPr>
          <w:szCs w:val="24"/>
        </w:rPr>
        <w:t xml:space="preserve">Second Notice </w:t>
      </w:r>
      <w:r w:rsidRPr="002E2F7F">
        <w:rPr>
          <w:szCs w:val="24"/>
        </w:rPr>
        <w:t xml:space="preserve">or an </w:t>
      </w:r>
      <w:r w:rsidRPr="002E2F7F" w:rsidR="007B1E02">
        <w:rPr>
          <w:szCs w:val="24"/>
        </w:rPr>
        <w:t>Alternate Second Notice</w:t>
      </w:r>
      <w:r w:rsidRPr="002E2F7F">
        <w:rPr>
          <w:szCs w:val="24"/>
        </w:rPr>
        <w:t xml:space="preserve">. </w:t>
      </w:r>
    </w:p>
    <w:p w:rsidR="00B73595" w:rsidRPr="002E2F7F" w:rsidP="00173BF2" w14:paraId="44B11705" w14:textId="77777777">
      <w:pPr>
        <w:spacing w:after="0" w:line="240" w:lineRule="auto"/>
        <w:ind w:left="360" w:right="40"/>
        <w:rPr>
          <w:sz w:val="23"/>
          <w:szCs w:val="23"/>
        </w:rPr>
      </w:pPr>
    </w:p>
    <w:p w:rsidR="00B67B01" w:rsidRPr="002E2F7F" w:rsidP="00173BF2" w14:paraId="53CA5250" w14:textId="32232B9E">
      <w:pPr>
        <w:spacing w:after="0" w:line="240" w:lineRule="auto"/>
        <w:ind w:left="360" w:right="40"/>
      </w:pPr>
      <w:r w:rsidRPr="002E2F7F">
        <w:t>We estimate the burden for sending notices will be reduced both by a</w:t>
      </w:r>
      <w:r w:rsidRPr="002E2F7F" w:rsidR="00A82D49">
        <w:t>mending the definition of “exempted beneficiary</w:t>
      </w:r>
      <w:r w:rsidRPr="002E2F7F">
        <w:t>,</w:t>
      </w:r>
      <w:r w:rsidRPr="002E2F7F" w:rsidR="00A82D49">
        <w:t xml:space="preserve">” </w:t>
      </w:r>
      <w:r w:rsidRPr="002E2F7F">
        <w:t xml:space="preserve">and by </w:t>
      </w:r>
      <w:r w:rsidRPr="002E2F7F">
        <w:t>updat</w:t>
      </w:r>
      <w:r w:rsidRPr="002E2F7F">
        <w:t>ing the estimate included in CMS-10141 of beneficiaries with a history of opioid</w:t>
      </w:r>
      <w:r w:rsidRPr="002E2F7F" w:rsidR="00243AA7">
        <w:t>-related</w:t>
      </w:r>
      <w:r w:rsidRPr="002E2F7F">
        <w:t xml:space="preserve"> overdo</w:t>
      </w:r>
      <w:r w:rsidRPr="002E2F7F" w:rsidR="00243AA7">
        <w:t>s</w:t>
      </w:r>
      <w:r w:rsidRPr="002E2F7F">
        <w:t xml:space="preserve">e. Under Section 2006 of the SUPPORT Act, Congress required CMS to include Part D beneficiaries with a history of opioid-related overdose as PARBs under a Part D plan’s DMP. </w:t>
      </w:r>
      <w:r w:rsidRPr="002E2F7F">
        <w:t xml:space="preserve">Since then, through program experience, we have revised our estimate to reflect that 5 percent of all PARBs, including those with a history of opioid-related overdose would receive a DMP notice. </w:t>
      </w:r>
      <w:r w:rsidRPr="002E2F7F" w:rsidR="00A82D49">
        <w:t xml:space="preserve"> </w:t>
      </w:r>
    </w:p>
    <w:p w:rsidR="00243AA7" w:rsidRPr="002E2F7F" w:rsidP="00173BF2" w14:paraId="448DEFDB" w14:textId="77777777">
      <w:pPr>
        <w:spacing w:after="0" w:line="240" w:lineRule="auto"/>
        <w:ind w:left="360" w:right="40"/>
      </w:pPr>
    </w:p>
    <w:p w:rsidR="00A82D49" w:rsidRPr="002E2F7F" w:rsidP="00173BF2" w14:paraId="46A5702A" w14:textId="6007B2AA">
      <w:pPr>
        <w:spacing w:after="0" w:line="240" w:lineRule="auto"/>
        <w:ind w:left="360" w:right="40"/>
      </w:pPr>
      <w:r w:rsidRPr="002E2F7F">
        <w:t xml:space="preserve">Using 2022 data, </w:t>
      </w:r>
      <w:r w:rsidRPr="002E2F7F" w:rsidR="00F81197">
        <w:t xml:space="preserve">we estimate there will be </w:t>
      </w:r>
      <w:r w:rsidRPr="002E2F7F">
        <w:t xml:space="preserve">30,365 </w:t>
      </w:r>
      <w:r w:rsidRPr="002E2F7F" w:rsidR="00F81197">
        <w:t xml:space="preserve">PARBs. This accounts for the 46 additional individuals who would meet the amended definition of “exempted beneficiary” </w:t>
      </w:r>
      <w:r w:rsidR="0065415E">
        <w:t>finalized</w:t>
      </w:r>
      <w:r w:rsidRPr="002E2F7F" w:rsidR="00F81197">
        <w:t xml:space="preserve"> in CMS-4205-</w:t>
      </w:r>
      <w:r w:rsidR="0065415E">
        <w:t>F</w:t>
      </w:r>
      <w:r w:rsidRPr="002E2F7F" w:rsidR="00F81197">
        <w:t>. Considering this definition change,</w:t>
      </w:r>
      <w:r w:rsidRPr="002E2F7F">
        <w:t xml:space="preserve"> 2 fewer PARBs </w:t>
      </w:r>
      <w:r w:rsidRPr="002E2F7F" w:rsidR="0065415E">
        <w:t>w</w:t>
      </w:r>
      <w:r w:rsidR="0065415E">
        <w:t>ill</w:t>
      </w:r>
      <w:r w:rsidRPr="002E2F7F" w:rsidR="0065415E">
        <w:t xml:space="preserve"> </w:t>
      </w:r>
      <w:r w:rsidRPr="002E2F7F">
        <w:t xml:space="preserve">receive notices (46 * 0.05) and there would be 4 fewer notices total. Approximately 1,518 (30,365 * 0.05) PARBs overall would receive an </w:t>
      </w:r>
      <w:r w:rsidRPr="002E2F7F" w:rsidR="007B1E02">
        <w:t xml:space="preserve">Initial Notice </w:t>
      </w:r>
      <w:r w:rsidRPr="002E2F7F">
        <w:t xml:space="preserve">and </w:t>
      </w:r>
      <w:r w:rsidRPr="002E2F7F" w:rsidR="007B1E02">
        <w:t xml:space="preserve">Second Notice </w:t>
      </w:r>
      <w:r w:rsidRPr="002E2F7F">
        <w:t xml:space="preserve">(or </w:t>
      </w:r>
      <w:r w:rsidRPr="002E2F7F" w:rsidR="007B1E02">
        <w:t>Alternate Second Notice</w:t>
      </w:r>
      <w:r w:rsidRPr="002E2F7F">
        <w:t>) annually. We estimate it takes a pharmacy technician at $</w:t>
      </w:r>
      <w:r w:rsidR="00877DA2">
        <w:t>41.66</w:t>
      </w:r>
      <w:r w:rsidRPr="002E2F7F">
        <w:t xml:space="preserve">/hr approximately 5 minutes (0.0833 hr) to send each notice and a total of 10 minutes (0.1667 hr) per </w:t>
      </w:r>
      <w:r w:rsidRPr="002E2F7F" w:rsidR="00076A76">
        <w:t xml:space="preserve">beneficiary </w:t>
      </w:r>
      <w:r w:rsidRPr="002E2F7F">
        <w:t xml:space="preserve">to send both notices. In aggregate, we estimate an annual burden of 253 hours (1,518 </w:t>
      </w:r>
      <w:r w:rsidRPr="002E2F7F" w:rsidR="0049099B">
        <w:t>beneficiaries</w:t>
      </w:r>
      <w:r w:rsidRPr="002E2F7F">
        <w:t>* 0.1667 hr) at a cost of $</w:t>
      </w:r>
      <w:r w:rsidR="00877DA2">
        <w:t>10,540</w:t>
      </w:r>
      <w:r w:rsidRPr="002E2F7F">
        <w:t xml:space="preserve"> (253 hr * $</w:t>
      </w:r>
      <w:r w:rsidR="00877DA2">
        <w:t>41.66</w:t>
      </w:r>
      <w:r w:rsidRPr="002E2F7F">
        <w:t xml:space="preserve">/hr) to be attributed to notice requirements. </w:t>
      </w:r>
    </w:p>
    <w:p w:rsidR="00B73595" w:rsidRPr="002E2F7F" w:rsidP="00173BF2" w14:paraId="4B0914BC" w14:textId="77777777">
      <w:pPr>
        <w:spacing w:after="0" w:line="240" w:lineRule="auto"/>
        <w:ind w:left="360" w:right="40"/>
      </w:pPr>
    </w:p>
    <w:p w:rsidR="00A82D49" w:rsidRPr="00A1493F" w:rsidP="00173BF2" w14:paraId="53CCE1FC" w14:textId="26537E55">
      <w:pPr>
        <w:spacing w:after="0" w:line="240" w:lineRule="auto"/>
        <w:ind w:left="360" w:right="40"/>
      </w:pPr>
      <w:r w:rsidRPr="002E2F7F">
        <w:tab/>
      </w:r>
      <w:r w:rsidRPr="002E2F7F" w:rsidR="00B73595">
        <w:t>The definition change</w:t>
      </w:r>
      <w:r w:rsidRPr="002E2F7F">
        <w:t xml:space="preserve"> </w:t>
      </w:r>
      <w:r w:rsidR="000C7397">
        <w:t>will</w:t>
      </w:r>
      <w:r w:rsidRPr="002E2F7F" w:rsidR="000C7397">
        <w:t xml:space="preserve"> </w:t>
      </w:r>
      <w:r w:rsidRPr="002E2F7F">
        <w:t>also reduce the burden of disclosure of DMP data to CMS based on the outcome of case management of PARBs. Using 2022 data, 46 additional individuals meeting the definition of exempted beneficiary results in 30,365 instead of 30,411 beneficiaries requiring DMP data disclosure. We estimate it takes sponsors on average 1 minute (0.0167 hr) at $</w:t>
      </w:r>
      <w:r w:rsidR="00877DA2">
        <w:t>41.66</w:t>
      </w:r>
      <w:r w:rsidRPr="002E2F7F">
        <w:t xml:space="preserve">/hr for a pharmacy technician to document the outcome of case management and any applicable coverage limitations in OMS and/or MARx. In aggregate, we estimate an annual burden of 507 hours (30,365 </w:t>
      </w:r>
      <w:r w:rsidRPr="00A1493F">
        <w:t>PARBs * 0.0167 hr) at a cost of $</w:t>
      </w:r>
      <w:r w:rsidRPr="00A1493F" w:rsidR="00877DA2">
        <w:t>21,122</w:t>
      </w:r>
      <w:r w:rsidRPr="00A1493F">
        <w:t xml:space="preserve"> (507 hr * $</w:t>
      </w:r>
      <w:r w:rsidRPr="00A1493F" w:rsidR="00877DA2">
        <w:t>41.66</w:t>
      </w:r>
      <w:r w:rsidRPr="00A1493F">
        <w:t xml:space="preserve">/hr). </w:t>
      </w:r>
    </w:p>
    <w:p w:rsidR="00B73595" w:rsidRPr="00A1493F" w:rsidP="00173BF2" w14:paraId="481C4AF8" w14:textId="77777777">
      <w:pPr>
        <w:spacing w:after="0" w:line="240" w:lineRule="auto"/>
        <w:ind w:left="360" w:right="40"/>
      </w:pPr>
    </w:p>
    <w:p w:rsidR="00172F8A" w:rsidRPr="002E2F7F" w:rsidP="00173BF2" w14:paraId="5648B698" w14:textId="7B8DDE79">
      <w:pPr>
        <w:spacing w:after="0" w:line="240" w:lineRule="auto"/>
        <w:ind w:left="360" w:right="40"/>
      </w:pPr>
      <w:r w:rsidRPr="00A1493F">
        <w:t xml:space="preserve">Consistent with § 423.153(f)(15)(ii)(E), sponsors are required to transfer case management information upon the request of a new sponsor when a PARB or ARB switches plans. CMS provides a sample transfer memo that sponsors may use to transfer such information. </w:t>
      </w:r>
      <w:r w:rsidRPr="00A1493F" w:rsidR="00D53A1A">
        <w:t>We have observed through program experience that this number is de minimis and as a result have removed the burden associated with § 423.153(f)(15)(ii)(E) from this package.</w:t>
      </w:r>
      <w:r w:rsidR="00D53A1A">
        <w:t xml:space="preserve"> </w:t>
      </w:r>
    </w:p>
    <w:p w:rsidR="00172F8A" w:rsidRPr="002E2F7F" w:rsidP="00173BF2" w14:paraId="2C230FD4" w14:textId="77777777">
      <w:pPr>
        <w:spacing w:after="0" w:line="240" w:lineRule="auto"/>
        <w:ind w:left="360" w:right="40"/>
        <w:rPr>
          <w:szCs w:val="24"/>
        </w:rPr>
      </w:pPr>
    </w:p>
    <w:p w:rsidR="00D66164" w:rsidP="0040005A" w14:paraId="04CB944E" w14:textId="203350EC">
      <w:pPr>
        <w:pStyle w:val="Heading6"/>
        <w:spacing w:after="0" w:line="240" w:lineRule="auto"/>
        <w:ind w:left="360"/>
        <w:rPr>
          <w:sz w:val="17"/>
        </w:rPr>
      </w:pPr>
      <w:r w:rsidRPr="002E2F7F">
        <w:rPr>
          <w:b/>
          <w:bCs/>
          <w:sz w:val="24"/>
          <w:szCs w:val="24"/>
        </w:rPr>
        <w:t xml:space="preserve">Table </w:t>
      </w:r>
      <w:r w:rsidRPr="002E2F7F" w:rsidR="002A513D">
        <w:rPr>
          <w:b/>
          <w:bCs/>
          <w:sz w:val="24"/>
          <w:szCs w:val="24"/>
        </w:rPr>
        <w:t>2</w:t>
      </w:r>
      <w:r w:rsidRPr="002E2F7F">
        <w:rPr>
          <w:b/>
          <w:bCs/>
          <w:sz w:val="24"/>
          <w:szCs w:val="24"/>
        </w:rPr>
        <w:t xml:space="preserve">. Burden Summary for DMP </w:t>
      </w:r>
      <w:r w:rsidRPr="002E2F7F">
        <w:rPr>
          <w:sz w:val="17"/>
        </w:rPr>
        <w:t xml:space="preserve"> </w:t>
      </w:r>
    </w:p>
    <w:p w:rsidR="00556205" w:rsidRPr="00556205" w:rsidP="000F751D" w14:paraId="5D670E19" w14:textId="77777777"/>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440"/>
        <w:gridCol w:w="1260"/>
        <w:gridCol w:w="1170"/>
        <w:gridCol w:w="1080"/>
        <w:gridCol w:w="900"/>
        <w:gridCol w:w="1080"/>
        <w:gridCol w:w="1080"/>
      </w:tblGrid>
      <w:tr w14:paraId="58919D15" w14:textId="77777777" w:rsidTr="00CB77FB">
        <w:tblPrEx>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00" w:type="dxa"/>
          </w:tcPr>
          <w:p w:rsidR="007B0169" w:rsidRPr="002E2F7F" w:rsidP="00173BF2" w14:paraId="53EF651C" w14:textId="4FC4D713">
            <w:pPr>
              <w:spacing w:after="0" w:line="240" w:lineRule="auto"/>
              <w:ind w:left="-17" w:right="0" w:firstLine="0"/>
              <w:rPr>
                <w:b/>
                <w:bCs/>
                <w:sz w:val="20"/>
                <w:szCs w:val="20"/>
              </w:rPr>
            </w:pPr>
            <w:r w:rsidRPr="002E2F7F">
              <w:rPr>
                <w:b/>
                <w:bCs/>
                <w:sz w:val="18"/>
                <w:szCs w:val="18"/>
              </w:rPr>
              <w:t>Regulatory Citation</w:t>
            </w:r>
          </w:p>
        </w:tc>
        <w:tc>
          <w:tcPr>
            <w:tcW w:w="1440" w:type="dxa"/>
          </w:tcPr>
          <w:p w:rsidR="007B0169" w:rsidRPr="002E2F7F" w:rsidP="00173BF2" w14:paraId="052D4D69" w14:textId="24B2BF9E">
            <w:pPr>
              <w:spacing w:after="0" w:line="240" w:lineRule="auto"/>
              <w:ind w:left="0" w:right="0" w:firstLine="0"/>
              <w:rPr>
                <w:sz w:val="20"/>
              </w:rPr>
            </w:pPr>
            <w:r w:rsidRPr="002E2F7F">
              <w:rPr>
                <w:b/>
                <w:bCs/>
                <w:sz w:val="18"/>
                <w:szCs w:val="18"/>
              </w:rPr>
              <w:t>Subject</w:t>
            </w:r>
          </w:p>
        </w:tc>
        <w:tc>
          <w:tcPr>
            <w:tcW w:w="1260" w:type="dxa"/>
          </w:tcPr>
          <w:p w:rsidR="007B0169" w:rsidRPr="002E2F7F" w:rsidP="00BC19FD" w14:paraId="35FF5F8E" w14:textId="32999A9A">
            <w:pPr>
              <w:spacing w:after="0" w:line="240" w:lineRule="auto"/>
              <w:ind w:left="-11" w:right="0" w:firstLine="0"/>
              <w:jc w:val="center"/>
              <w:rPr>
                <w:sz w:val="18"/>
                <w:szCs w:val="18"/>
              </w:rPr>
            </w:pPr>
            <w:r w:rsidRPr="002E2F7F">
              <w:rPr>
                <w:b/>
                <w:sz w:val="18"/>
                <w:szCs w:val="18"/>
              </w:rPr>
              <w:t>Number of Respondents</w:t>
            </w:r>
          </w:p>
        </w:tc>
        <w:tc>
          <w:tcPr>
            <w:tcW w:w="1170" w:type="dxa"/>
          </w:tcPr>
          <w:p w:rsidR="007B0169" w:rsidRPr="002E2F7F" w:rsidP="00BC19FD" w14:paraId="21019D16" w14:textId="49CCD7D7">
            <w:pPr>
              <w:spacing w:after="0" w:line="240" w:lineRule="auto"/>
              <w:ind w:left="-20" w:right="0" w:firstLine="0"/>
              <w:jc w:val="center"/>
              <w:rPr>
                <w:sz w:val="20"/>
              </w:rPr>
            </w:pPr>
            <w:r w:rsidRPr="002E2F7F">
              <w:rPr>
                <w:b/>
                <w:sz w:val="18"/>
              </w:rPr>
              <w:t>Number of Responses</w:t>
            </w:r>
          </w:p>
        </w:tc>
        <w:tc>
          <w:tcPr>
            <w:tcW w:w="1080" w:type="dxa"/>
          </w:tcPr>
          <w:p w:rsidR="007B0169" w:rsidRPr="002E2F7F" w:rsidP="00BC19FD" w14:paraId="55F407F1" w14:textId="52814166">
            <w:pPr>
              <w:spacing w:after="0" w:line="240" w:lineRule="auto"/>
              <w:ind w:left="-18" w:right="0" w:firstLine="0"/>
              <w:jc w:val="center"/>
              <w:rPr>
                <w:sz w:val="20"/>
              </w:rPr>
            </w:pPr>
            <w:r w:rsidRPr="002E2F7F">
              <w:rPr>
                <w:b/>
                <w:sz w:val="18"/>
              </w:rPr>
              <w:t>Time per Response (hr)</w:t>
            </w:r>
          </w:p>
        </w:tc>
        <w:tc>
          <w:tcPr>
            <w:tcW w:w="900" w:type="dxa"/>
          </w:tcPr>
          <w:p w:rsidR="00880DF0" w:rsidP="00BC19FD" w14:paraId="47DFE1C3" w14:textId="77777777">
            <w:pPr>
              <w:spacing w:after="0" w:line="240" w:lineRule="auto"/>
              <w:ind w:left="-34" w:right="0" w:firstLine="0"/>
              <w:jc w:val="center"/>
              <w:rPr>
                <w:b/>
                <w:sz w:val="18"/>
              </w:rPr>
            </w:pPr>
            <w:r w:rsidRPr="002E2F7F">
              <w:rPr>
                <w:b/>
                <w:sz w:val="18"/>
              </w:rPr>
              <w:t xml:space="preserve">Total </w:t>
            </w:r>
          </w:p>
          <w:p w:rsidR="007B0169" w:rsidRPr="002E2F7F" w:rsidP="00BC19FD" w14:paraId="0DE1962D" w14:textId="28D70E96">
            <w:pPr>
              <w:spacing w:after="0" w:line="240" w:lineRule="auto"/>
              <w:ind w:left="-34" w:right="0" w:firstLine="0"/>
              <w:jc w:val="center"/>
              <w:rPr>
                <w:sz w:val="20"/>
              </w:rPr>
            </w:pPr>
            <w:r>
              <w:rPr>
                <w:b/>
                <w:sz w:val="18"/>
              </w:rPr>
              <w:t xml:space="preserve">Annual </w:t>
            </w:r>
            <w:r w:rsidRPr="002E2F7F">
              <w:rPr>
                <w:b/>
                <w:sz w:val="18"/>
              </w:rPr>
              <w:t>Time (hr)</w:t>
            </w:r>
          </w:p>
        </w:tc>
        <w:tc>
          <w:tcPr>
            <w:tcW w:w="1080" w:type="dxa"/>
          </w:tcPr>
          <w:p w:rsidR="007B0169" w:rsidRPr="002E2F7F" w:rsidP="00BC19FD" w14:paraId="224AE5DC" w14:textId="6BB43597">
            <w:pPr>
              <w:spacing w:after="0" w:line="240" w:lineRule="auto"/>
              <w:ind w:left="-20" w:right="0" w:firstLine="0"/>
              <w:jc w:val="center"/>
              <w:rPr>
                <w:sz w:val="20"/>
              </w:rPr>
            </w:pPr>
            <w:r w:rsidRPr="002E2F7F">
              <w:rPr>
                <w:b/>
                <w:sz w:val="18"/>
              </w:rPr>
              <w:t>Labor Cost($/hr)</w:t>
            </w:r>
          </w:p>
        </w:tc>
        <w:tc>
          <w:tcPr>
            <w:tcW w:w="1080" w:type="dxa"/>
          </w:tcPr>
          <w:p w:rsidR="007B0169" w:rsidRPr="002E2F7F" w:rsidP="00BC19FD" w14:paraId="2E60F487" w14:textId="45A7B3AF">
            <w:pPr>
              <w:spacing w:after="0" w:line="240" w:lineRule="auto"/>
              <w:ind w:left="-52" w:right="0" w:firstLine="0"/>
              <w:jc w:val="center"/>
              <w:rPr>
                <w:sz w:val="20"/>
              </w:rPr>
            </w:pPr>
            <w:r w:rsidRPr="002E2F7F">
              <w:rPr>
                <w:b/>
                <w:sz w:val="18"/>
              </w:rPr>
              <w:t>Total Annual Cost ($)</w:t>
            </w:r>
          </w:p>
        </w:tc>
      </w:tr>
      <w:tr w14:paraId="64E19A3C" w14:textId="77777777" w:rsidTr="00CB77FB">
        <w:tblPrEx>
          <w:tblW w:w="9810" w:type="dxa"/>
          <w:tblInd w:w="355" w:type="dxa"/>
          <w:tblLayout w:type="fixed"/>
          <w:tblLook w:val="04A0"/>
        </w:tblPrEx>
        <w:tc>
          <w:tcPr>
            <w:tcW w:w="1800" w:type="dxa"/>
          </w:tcPr>
          <w:p w:rsidR="00081F70" w:rsidRPr="0040005A" w:rsidP="00173BF2" w14:paraId="786DC48C" w14:textId="77777777">
            <w:pPr>
              <w:spacing w:after="0" w:line="240" w:lineRule="auto"/>
              <w:ind w:left="-17" w:right="40"/>
              <w:rPr>
                <w:bCs/>
                <w:sz w:val="18"/>
                <w:szCs w:val="18"/>
                <w14:ligatures w14:val="standardContextual"/>
              </w:rPr>
            </w:pPr>
            <w:r w:rsidRPr="0040005A">
              <w:rPr>
                <w:bCs/>
                <w:sz w:val="18"/>
                <w:szCs w:val="18"/>
                <w14:ligatures w14:val="standardContextual"/>
              </w:rPr>
              <w:t>423.153(f)(2)</w:t>
            </w:r>
          </w:p>
          <w:p w:rsidR="00081F70" w:rsidRPr="007820EF" w:rsidP="00173BF2" w14:paraId="09B349A4" w14:textId="77777777">
            <w:pPr>
              <w:spacing w:after="0" w:line="240" w:lineRule="auto"/>
              <w:ind w:left="-17" w:right="0" w:firstLine="0"/>
              <w:rPr>
                <w:bCs/>
                <w:sz w:val="18"/>
              </w:rPr>
            </w:pPr>
          </w:p>
        </w:tc>
        <w:tc>
          <w:tcPr>
            <w:tcW w:w="1440" w:type="dxa"/>
          </w:tcPr>
          <w:p w:rsidR="00081F70" w:rsidRPr="0040005A" w:rsidP="00173BF2" w14:paraId="523970D7" w14:textId="77777777">
            <w:pPr>
              <w:spacing w:after="0" w:line="240" w:lineRule="auto"/>
              <w:ind w:left="0" w:right="40"/>
              <w:rPr>
                <w:bCs/>
                <w:sz w:val="18"/>
                <w:szCs w:val="18"/>
                <w14:ligatures w14:val="standardContextual"/>
              </w:rPr>
            </w:pPr>
            <w:r w:rsidRPr="0040005A">
              <w:rPr>
                <w:bCs/>
                <w:sz w:val="18"/>
                <w:szCs w:val="18"/>
                <w14:ligatures w14:val="standardContextual"/>
              </w:rPr>
              <w:t>Conduct Case Management</w:t>
            </w:r>
          </w:p>
          <w:p w:rsidR="00081F70" w:rsidRPr="007820EF" w:rsidP="00173BF2" w14:paraId="654417C0" w14:textId="00AAC0AD">
            <w:pPr>
              <w:spacing w:after="0" w:line="240" w:lineRule="auto"/>
              <w:ind w:left="0" w:right="0" w:firstLine="0"/>
              <w:rPr>
                <w:bCs/>
                <w:sz w:val="20"/>
              </w:rPr>
            </w:pPr>
            <w:r w:rsidRPr="0040005A">
              <w:rPr>
                <w:bCs/>
                <w:sz w:val="18"/>
                <w:szCs w:val="18"/>
                <w14:ligatures w14:val="standardContextual"/>
              </w:rPr>
              <w:t>(Annualized)</w:t>
            </w:r>
          </w:p>
        </w:tc>
        <w:tc>
          <w:tcPr>
            <w:tcW w:w="1260" w:type="dxa"/>
          </w:tcPr>
          <w:p w:rsidR="00081F70" w:rsidRPr="002E2F7F" w:rsidP="00BC19FD" w14:paraId="00501AE3" w14:textId="18F1FD1A">
            <w:pPr>
              <w:spacing w:after="0" w:line="240" w:lineRule="auto"/>
              <w:ind w:left="-11" w:right="0" w:firstLine="0"/>
              <w:jc w:val="center"/>
              <w:rPr>
                <w:sz w:val="18"/>
                <w:szCs w:val="18"/>
              </w:rPr>
            </w:pPr>
            <w:r w:rsidRPr="002E2F7F">
              <w:rPr>
                <w:sz w:val="18"/>
                <w:szCs w:val="18"/>
                <w14:ligatures w14:val="standardContextual"/>
              </w:rPr>
              <w:t>319</w:t>
            </w:r>
          </w:p>
        </w:tc>
        <w:tc>
          <w:tcPr>
            <w:tcW w:w="1170" w:type="dxa"/>
          </w:tcPr>
          <w:p w:rsidR="00081F70" w:rsidRPr="002E2F7F" w:rsidP="00BC19FD" w14:paraId="1C242CCA" w14:textId="46AEB733">
            <w:pPr>
              <w:spacing w:after="0" w:line="240" w:lineRule="auto"/>
              <w:ind w:left="-20" w:right="0" w:firstLine="0"/>
              <w:jc w:val="center"/>
              <w:rPr>
                <w:sz w:val="20"/>
              </w:rPr>
            </w:pPr>
            <w:r w:rsidRPr="002E2F7F">
              <w:rPr>
                <w:sz w:val="18"/>
                <w:szCs w:val="18"/>
              </w:rPr>
              <w:t>30,365</w:t>
            </w:r>
          </w:p>
        </w:tc>
        <w:tc>
          <w:tcPr>
            <w:tcW w:w="1080" w:type="dxa"/>
          </w:tcPr>
          <w:p w:rsidR="00081F70" w:rsidRPr="002E2F7F" w:rsidP="00BC19FD" w14:paraId="32D70F50" w14:textId="21CFF60C">
            <w:pPr>
              <w:spacing w:after="0" w:line="240" w:lineRule="auto"/>
              <w:ind w:left="-18" w:right="40"/>
              <w:jc w:val="center"/>
              <w:rPr>
                <w:sz w:val="20"/>
              </w:rPr>
            </w:pPr>
            <w:r w:rsidRPr="002E2F7F">
              <w:rPr>
                <w:sz w:val="18"/>
                <w:szCs w:val="18"/>
                <w14:ligatures w14:val="standardContextual"/>
              </w:rPr>
              <w:t>5</w:t>
            </w:r>
          </w:p>
        </w:tc>
        <w:tc>
          <w:tcPr>
            <w:tcW w:w="900" w:type="dxa"/>
          </w:tcPr>
          <w:p w:rsidR="00081F70" w:rsidRPr="002E2F7F" w:rsidP="00BC19FD" w14:paraId="7F732E53" w14:textId="05A43F55">
            <w:pPr>
              <w:tabs>
                <w:tab w:val="left" w:pos="716"/>
              </w:tabs>
              <w:spacing w:after="0" w:line="240" w:lineRule="auto"/>
              <w:ind w:left="0" w:firstLine="0"/>
              <w:rPr>
                <w:sz w:val="20"/>
              </w:rPr>
            </w:pPr>
            <w:r w:rsidRPr="002E2F7F">
              <w:rPr>
                <w:sz w:val="18"/>
                <w:szCs w:val="18"/>
                <w14:ligatures w14:val="standardContextual"/>
              </w:rPr>
              <w:t>151</w:t>
            </w:r>
            <w:r w:rsidRPr="002E2F7F" w:rsidR="00C1067D">
              <w:rPr>
                <w:sz w:val="18"/>
                <w:szCs w:val="18"/>
                <w14:ligatures w14:val="standardContextual"/>
              </w:rPr>
              <w:t>,</w:t>
            </w:r>
            <w:r w:rsidRPr="002E2F7F">
              <w:rPr>
                <w:sz w:val="18"/>
                <w:szCs w:val="18"/>
                <w14:ligatures w14:val="standardContextual"/>
              </w:rPr>
              <w:t>825</w:t>
            </w:r>
          </w:p>
        </w:tc>
        <w:tc>
          <w:tcPr>
            <w:tcW w:w="1080" w:type="dxa"/>
          </w:tcPr>
          <w:p w:rsidR="00081F70" w:rsidRPr="002E2F7F" w:rsidP="00BC19FD" w14:paraId="00C52430" w14:textId="7B78C31C">
            <w:pPr>
              <w:spacing w:after="0" w:line="240" w:lineRule="auto"/>
              <w:ind w:left="-20" w:right="0" w:firstLine="0"/>
              <w:jc w:val="center"/>
              <w:rPr>
                <w:sz w:val="20"/>
              </w:rPr>
            </w:pPr>
            <w:r w:rsidRPr="00877DA2">
              <w:rPr>
                <w:sz w:val="18"/>
                <w:szCs w:val="18"/>
                <w14:ligatures w14:val="standardContextual"/>
              </w:rPr>
              <w:t>116.33</w:t>
            </w:r>
          </w:p>
        </w:tc>
        <w:tc>
          <w:tcPr>
            <w:tcW w:w="1080" w:type="dxa"/>
          </w:tcPr>
          <w:p w:rsidR="00081F70" w:rsidRPr="002E2F7F" w:rsidP="00BC19FD" w14:paraId="2609E6A2" w14:textId="62E200AE">
            <w:pPr>
              <w:spacing w:after="0" w:line="240" w:lineRule="auto"/>
              <w:ind w:left="-52" w:right="40"/>
              <w:jc w:val="center"/>
              <w:rPr>
                <w:sz w:val="20"/>
              </w:rPr>
            </w:pPr>
            <w:r w:rsidRPr="00877DA2">
              <w:rPr>
                <w:sz w:val="18"/>
                <w:szCs w:val="18"/>
                <w14:ligatures w14:val="standardContextual"/>
              </w:rPr>
              <w:t>17,661,802</w:t>
            </w:r>
          </w:p>
        </w:tc>
      </w:tr>
      <w:tr w14:paraId="46D45F9B" w14:textId="77777777" w:rsidTr="00CB77FB">
        <w:tblPrEx>
          <w:tblW w:w="9810" w:type="dxa"/>
          <w:tblInd w:w="355" w:type="dxa"/>
          <w:tblLayout w:type="fixed"/>
          <w:tblLook w:val="04A0"/>
        </w:tblPrEx>
        <w:tc>
          <w:tcPr>
            <w:tcW w:w="1800" w:type="dxa"/>
          </w:tcPr>
          <w:p w:rsidR="00081F70" w:rsidRPr="0040005A" w:rsidP="00173BF2" w14:paraId="31AE54C9" w14:textId="091E5F59">
            <w:pPr>
              <w:spacing w:after="0" w:line="240" w:lineRule="auto"/>
              <w:ind w:left="-17" w:right="40"/>
              <w:rPr>
                <w:bCs/>
                <w:sz w:val="18"/>
                <w:szCs w:val="18"/>
                <w14:ligatures w14:val="standardContextual"/>
              </w:rPr>
            </w:pPr>
            <w:r w:rsidRPr="0040005A">
              <w:rPr>
                <w:bCs/>
                <w:sz w:val="18"/>
                <w:szCs w:val="18"/>
                <w14:ligatures w14:val="standardContextual"/>
              </w:rPr>
              <w:t>423.153(f)(5</w:t>
            </w:r>
            <w:r w:rsidRPr="0040005A" w:rsidR="00C23C26">
              <w:rPr>
                <w:bCs/>
                <w:sz w:val="18"/>
                <w:szCs w:val="18"/>
                <w14:ligatures w14:val="standardContextual"/>
              </w:rPr>
              <w:t>) – (</w:t>
            </w:r>
            <w:r w:rsidRPr="0040005A">
              <w:rPr>
                <w:bCs/>
                <w:sz w:val="18"/>
                <w:szCs w:val="18"/>
                <w14:ligatures w14:val="standardContextual"/>
              </w:rPr>
              <w:t xml:space="preserve">8) </w:t>
            </w:r>
          </w:p>
          <w:p w:rsidR="00081F70" w:rsidRPr="007820EF" w:rsidP="00173BF2" w14:paraId="3851512E" w14:textId="77777777">
            <w:pPr>
              <w:spacing w:after="0" w:line="240" w:lineRule="auto"/>
              <w:ind w:left="-17" w:right="0" w:firstLine="0"/>
              <w:rPr>
                <w:bCs/>
                <w:sz w:val="18"/>
              </w:rPr>
            </w:pPr>
          </w:p>
        </w:tc>
        <w:tc>
          <w:tcPr>
            <w:tcW w:w="1440" w:type="dxa"/>
          </w:tcPr>
          <w:p w:rsidR="00081F70" w:rsidRPr="0040005A" w:rsidP="00173BF2" w14:paraId="3B6CCD62" w14:textId="77777777">
            <w:pPr>
              <w:spacing w:after="0" w:line="240" w:lineRule="auto"/>
              <w:ind w:left="0" w:right="40"/>
              <w:rPr>
                <w:bCs/>
                <w:sz w:val="18"/>
                <w:szCs w:val="18"/>
                <w14:ligatures w14:val="standardContextual"/>
              </w:rPr>
            </w:pPr>
            <w:r w:rsidRPr="0040005A">
              <w:rPr>
                <w:bCs/>
                <w:sz w:val="18"/>
                <w:szCs w:val="18"/>
                <w14:ligatures w14:val="standardContextual"/>
              </w:rPr>
              <w:t xml:space="preserve">Send </w:t>
            </w:r>
          </w:p>
          <w:p w:rsidR="00081F70" w:rsidRPr="0040005A" w:rsidP="00173BF2" w14:paraId="580FF224" w14:textId="77777777">
            <w:pPr>
              <w:spacing w:after="0" w:line="240" w:lineRule="auto"/>
              <w:ind w:left="0" w:right="40"/>
              <w:rPr>
                <w:bCs/>
                <w:sz w:val="18"/>
                <w:szCs w:val="18"/>
                <w14:ligatures w14:val="standardContextual"/>
              </w:rPr>
            </w:pPr>
            <w:r w:rsidRPr="0040005A">
              <w:rPr>
                <w:bCs/>
                <w:sz w:val="18"/>
                <w:szCs w:val="18"/>
                <w14:ligatures w14:val="standardContextual"/>
              </w:rPr>
              <w:t>Notices</w:t>
            </w:r>
          </w:p>
          <w:p w:rsidR="00081F70" w:rsidRPr="007820EF" w:rsidP="00173BF2" w14:paraId="17BF79FF" w14:textId="76C946CF">
            <w:pPr>
              <w:spacing w:after="0" w:line="240" w:lineRule="auto"/>
              <w:ind w:left="0" w:right="0" w:firstLine="0"/>
              <w:rPr>
                <w:bCs/>
                <w:sz w:val="20"/>
              </w:rPr>
            </w:pPr>
            <w:r w:rsidRPr="0040005A">
              <w:rPr>
                <w:bCs/>
                <w:sz w:val="18"/>
                <w:szCs w:val="18"/>
                <w14:ligatures w14:val="standardContextual"/>
              </w:rPr>
              <w:t>(Annualized)</w:t>
            </w:r>
          </w:p>
        </w:tc>
        <w:tc>
          <w:tcPr>
            <w:tcW w:w="1260" w:type="dxa"/>
          </w:tcPr>
          <w:p w:rsidR="00081F70" w:rsidRPr="002E2F7F" w:rsidP="00BC19FD" w14:paraId="27B7DDEA" w14:textId="6728910F">
            <w:pPr>
              <w:spacing w:after="0" w:line="240" w:lineRule="auto"/>
              <w:ind w:left="-11" w:right="0" w:firstLine="0"/>
              <w:jc w:val="center"/>
              <w:rPr>
                <w:sz w:val="18"/>
                <w:szCs w:val="18"/>
              </w:rPr>
            </w:pPr>
            <w:r w:rsidRPr="002E2F7F">
              <w:rPr>
                <w:sz w:val="18"/>
                <w:szCs w:val="18"/>
                <w14:ligatures w14:val="standardContextual"/>
              </w:rPr>
              <w:t>319</w:t>
            </w:r>
          </w:p>
        </w:tc>
        <w:tc>
          <w:tcPr>
            <w:tcW w:w="1170" w:type="dxa"/>
          </w:tcPr>
          <w:p w:rsidR="00081F70" w:rsidRPr="002E2F7F" w:rsidP="00BC19FD" w14:paraId="53C92F46" w14:textId="49C90B56">
            <w:pPr>
              <w:spacing w:after="0" w:line="240" w:lineRule="auto"/>
              <w:ind w:left="-20" w:right="0" w:firstLine="0"/>
              <w:jc w:val="center"/>
              <w:rPr>
                <w:sz w:val="20"/>
              </w:rPr>
            </w:pPr>
            <w:r w:rsidRPr="002E2F7F">
              <w:rPr>
                <w:sz w:val="18"/>
                <w:szCs w:val="18"/>
                <w14:ligatures w14:val="standardContextual"/>
              </w:rPr>
              <w:t>1,518</w:t>
            </w:r>
          </w:p>
        </w:tc>
        <w:tc>
          <w:tcPr>
            <w:tcW w:w="1080" w:type="dxa"/>
          </w:tcPr>
          <w:p w:rsidR="00081F70" w:rsidRPr="002E2F7F" w:rsidP="00BC19FD" w14:paraId="68278564" w14:textId="40C4C8BF">
            <w:pPr>
              <w:spacing w:after="0" w:line="240" w:lineRule="auto"/>
              <w:ind w:left="-18" w:right="0" w:firstLine="0"/>
              <w:jc w:val="center"/>
              <w:rPr>
                <w:sz w:val="20"/>
              </w:rPr>
            </w:pPr>
            <w:r w:rsidRPr="002E2F7F">
              <w:rPr>
                <w:sz w:val="18"/>
                <w:szCs w:val="18"/>
                <w14:ligatures w14:val="standardContextual"/>
              </w:rPr>
              <w:t>0.1667</w:t>
            </w:r>
          </w:p>
        </w:tc>
        <w:tc>
          <w:tcPr>
            <w:tcW w:w="900" w:type="dxa"/>
          </w:tcPr>
          <w:p w:rsidR="00081F70" w:rsidRPr="002E2F7F" w:rsidP="00BC19FD" w14:paraId="4F353BEC" w14:textId="58560D72">
            <w:pPr>
              <w:spacing w:after="0" w:line="240" w:lineRule="auto"/>
              <w:ind w:left="-34" w:right="0" w:firstLine="0"/>
              <w:jc w:val="center"/>
              <w:rPr>
                <w:sz w:val="20"/>
              </w:rPr>
            </w:pPr>
            <w:r w:rsidRPr="002E2F7F">
              <w:rPr>
                <w:sz w:val="18"/>
                <w:szCs w:val="18"/>
                <w14:ligatures w14:val="standardContextual"/>
              </w:rPr>
              <w:t>253</w:t>
            </w:r>
          </w:p>
        </w:tc>
        <w:tc>
          <w:tcPr>
            <w:tcW w:w="1080" w:type="dxa"/>
          </w:tcPr>
          <w:p w:rsidR="00081F70" w:rsidRPr="002E2F7F" w:rsidP="00BC19FD" w14:paraId="4848AA78" w14:textId="134108A0">
            <w:pPr>
              <w:spacing w:after="0" w:line="240" w:lineRule="auto"/>
              <w:ind w:left="-20" w:right="0" w:firstLine="0"/>
              <w:jc w:val="center"/>
              <w:rPr>
                <w:sz w:val="20"/>
              </w:rPr>
            </w:pPr>
            <w:r>
              <w:rPr>
                <w:sz w:val="18"/>
                <w:szCs w:val="18"/>
                <w14:ligatures w14:val="standardContextual"/>
              </w:rPr>
              <w:t>41.66</w:t>
            </w:r>
          </w:p>
        </w:tc>
        <w:tc>
          <w:tcPr>
            <w:tcW w:w="1080" w:type="dxa"/>
          </w:tcPr>
          <w:p w:rsidR="00081F70" w:rsidRPr="002E2F7F" w:rsidP="00BC19FD" w14:paraId="26C0A05A" w14:textId="40F4ADCE">
            <w:pPr>
              <w:spacing w:after="0" w:line="240" w:lineRule="auto"/>
              <w:ind w:left="-52" w:right="0" w:firstLine="0"/>
              <w:jc w:val="center"/>
              <w:rPr>
                <w:sz w:val="20"/>
              </w:rPr>
            </w:pPr>
            <w:r w:rsidRPr="00877DA2">
              <w:rPr>
                <w:sz w:val="18"/>
                <w:szCs w:val="18"/>
                <w14:ligatures w14:val="standardContextual"/>
              </w:rPr>
              <w:t>10,540</w:t>
            </w:r>
          </w:p>
        </w:tc>
      </w:tr>
      <w:tr w14:paraId="6B433A72" w14:textId="77777777" w:rsidTr="00CB77FB">
        <w:tblPrEx>
          <w:tblW w:w="9810" w:type="dxa"/>
          <w:tblInd w:w="355" w:type="dxa"/>
          <w:tblLayout w:type="fixed"/>
          <w:tblLook w:val="04A0"/>
        </w:tblPrEx>
        <w:tc>
          <w:tcPr>
            <w:tcW w:w="1800" w:type="dxa"/>
          </w:tcPr>
          <w:p w:rsidR="00081F70" w:rsidRPr="0040005A" w:rsidP="00173BF2" w14:paraId="22AE7D72" w14:textId="77777777">
            <w:pPr>
              <w:spacing w:after="0" w:line="240" w:lineRule="auto"/>
              <w:ind w:left="-17" w:right="40"/>
              <w:rPr>
                <w:bCs/>
                <w:sz w:val="18"/>
                <w:szCs w:val="18"/>
                <w14:ligatures w14:val="standardContextual"/>
              </w:rPr>
            </w:pPr>
            <w:r w:rsidRPr="0040005A">
              <w:rPr>
                <w:bCs/>
                <w:sz w:val="18"/>
                <w:szCs w:val="18"/>
                <w14:ligatures w14:val="standardContextual"/>
              </w:rPr>
              <w:t>423.153(f)(15)</w:t>
            </w:r>
          </w:p>
          <w:p w:rsidR="00081F70" w:rsidRPr="007820EF" w:rsidP="00173BF2" w14:paraId="2BC7BC7D" w14:textId="77777777">
            <w:pPr>
              <w:spacing w:after="0" w:line="240" w:lineRule="auto"/>
              <w:ind w:left="-17" w:right="0" w:firstLine="0"/>
              <w:rPr>
                <w:bCs/>
                <w:sz w:val="18"/>
              </w:rPr>
            </w:pPr>
          </w:p>
        </w:tc>
        <w:tc>
          <w:tcPr>
            <w:tcW w:w="1440" w:type="dxa"/>
          </w:tcPr>
          <w:p w:rsidR="00081F70" w:rsidRPr="0040005A" w:rsidP="00173BF2" w14:paraId="31B780F7" w14:textId="77777777">
            <w:pPr>
              <w:spacing w:after="0" w:line="240" w:lineRule="auto"/>
              <w:ind w:left="0" w:right="40"/>
              <w:rPr>
                <w:bCs/>
                <w:sz w:val="18"/>
                <w:szCs w:val="18"/>
                <w14:ligatures w14:val="standardContextual"/>
              </w:rPr>
            </w:pPr>
            <w:r w:rsidRPr="0040005A">
              <w:rPr>
                <w:bCs/>
                <w:sz w:val="18"/>
                <w:szCs w:val="18"/>
                <w14:ligatures w14:val="standardContextual"/>
              </w:rPr>
              <w:t xml:space="preserve">Report to CMS </w:t>
            </w:r>
          </w:p>
          <w:p w:rsidR="00081F70" w:rsidRPr="007820EF" w:rsidP="00173BF2" w14:paraId="5C649F04" w14:textId="67DB59AC">
            <w:pPr>
              <w:spacing w:after="0" w:line="240" w:lineRule="auto"/>
              <w:ind w:left="0" w:right="0" w:firstLine="0"/>
              <w:rPr>
                <w:bCs/>
                <w:sz w:val="20"/>
              </w:rPr>
            </w:pPr>
            <w:r w:rsidRPr="0040005A">
              <w:rPr>
                <w:bCs/>
                <w:sz w:val="18"/>
                <w:szCs w:val="18"/>
                <w14:ligatures w14:val="standardContextual"/>
              </w:rPr>
              <w:t>(Annualized)</w:t>
            </w:r>
          </w:p>
        </w:tc>
        <w:tc>
          <w:tcPr>
            <w:tcW w:w="1260" w:type="dxa"/>
          </w:tcPr>
          <w:p w:rsidR="00081F70" w:rsidRPr="002E2F7F" w:rsidP="00BC19FD" w14:paraId="1B3530E6" w14:textId="20AFF5D8">
            <w:pPr>
              <w:spacing w:after="0" w:line="240" w:lineRule="auto"/>
              <w:ind w:left="-11" w:right="0" w:firstLine="0"/>
              <w:jc w:val="center"/>
              <w:rPr>
                <w:sz w:val="18"/>
                <w:szCs w:val="18"/>
              </w:rPr>
            </w:pPr>
            <w:r w:rsidRPr="002E2F7F">
              <w:rPr>
                <w:sz w:val="18"/>
                <w:szCs w:val="18"/>
              </w:rPr>
              <w:t>319</w:t>
            </w:r>
          </w:p>
        </w:tc>
        <w:tc>
          <w:tcPr>
            <w:tcW w:w="1170" w:type="dxa"/>
          </w:tcPr>
          <w:p w:rsidR="00081F70" w:rsidRPr="002E2F7F" w:rsidP="00BC19FD" w14:paraId="62A1B63A" w14:textId="0DEC7C48">
            <w:pPr>
              <w:spacing w:after="0" w:line="240" w:lineRule="auto"/>
              <w:ind w:left="-20" w:right="0" w:firstLine="0"/>
              <w:jc w:val="center"/>
              <w:rPr>
                <w:sz w:val="20"/>
              </w:rPr>
            </w:pPr>
            <w:r w:rsidRPr="002E2F7F">
              <w:rPr>
                <w:sz w:val="18"/>
                <w:szCs w:val="18"/>
              </w:rPr>
              <w:t>30,365</w:t>
            </w:r>
          </w:p>
        </w:tc>
        <w:tc>
          <w:tcPr>
            <w:tcW w:w="1080" w:type="dxa"/>
          </w:tcPr>
          <w:p w:rsidR="00081F70" w:rsidRPr="002E2F7F" w:rsidP="00BC19FD" w14:paraId="70D8C4A1" w14:textId="44688B95">
            <w:pPr>
              <w:spacing w:after="0" w:line="240" w:lineRule="auto"/>
              <w:ind w:left="-18" w:right="0" w:firstLine="0"/>
              <w:jc w:val="center"/>
              <w:rPr>
                <w:sz w:val="20"/>
              </w:rPr>
            </w:pPr>
            <w:r w:rsidRPr="002E2F7F">
              <w:rPr>
                <w:sz w:val="18"/>
                <w:szCs w:val="18"/>
              </w:rPr>
              <w:t>0.0167</w:t>
            </w:r>
          </w:p>
        </w:tc>
        <w:tc>
          <w:tcPr>
            <w:tcW w:w="900" w:type="dxa"/>
          </w:tcPr>
          <w:p w:rsidR="00081F70" w:rsidRPr="002E2F7F" w:rsidP="00BC19FD" w14:paraId="46FC5477" w14:textId="79BF9A28">
            <w:pPr>
              <w:spacing w:after="0" w:line="240" w:lineRule="auto"/>
              <w:ind w:left="-34" w:right="0" w:firstLine="0"/>
              <w:jc w:val="center"/>
              <w:rPr>
                <w:sz w:val="20"/>
              </w:rPr>
            </w:pPr>
            <w:r w:rsidRPr="002E2F7F">
              <w:rPr>
                <w:sz w:val="18"/>
                <w:szCs w:val="18"/>
                <w14:ligatures w14:val="standardContextual"/>
              </w:rPr>
              <w:t>507</w:t>
            </w:r>
          </w:p>
        </w:tc>
        <w:tc>
          <w:tcPr>
            <w:tcW w:w="1080" w:type="dxa"/>
          </w:tcPr>
          <w:p w:rsidR="00081F70" w:rsidRPr="002E2F7F" w:rsidP="00BC19FD" w14:paraId="59413C5C" w14:textId="05BC7CD9">
            <w:pPr>
              <w:spacing w:after="0" w:line="240" w:lineRule="auto"/>
              <w:ind w:left="-20" w:right="0" w:firstLine="0"/>
              <w:jc w:val="center"/>
              <w:rPr>
                <w:sz w:val="20"/>
              </w:rPr>
            </w:pPr>
            <w:r>
              <w:rPr>
                <w:sz w:val="18"/>
                <w:szCs w:val="18"/>
                <w14:ligatures w14:val="standardContextual"/>
              </w:rPr>
              <w:t>41.66</w:t>
            </w:r>
          </w:p>
        </w:tc>
        <w:tc>
          <w:tcPr>
            <w:tcW w:w="1080" w:type="dxa"/>
          </w:tcPr>
          <w:p w:rsidR="00081F70" w:rsidRPr="002E2F7F" w:rsidP="00BC19FD" w14:paraId="36B57B2D" w14:textId="2B0E4F79">
            <w:pPr>
              <w:spacing w:after="0" w:line="240" w:lineRule="auto"/>
              <w:ind w:left="-52" w:right="0" w:firstLine="0"/>
              <w:jc w:val="center"/>
              <w:rPr>
                <w:sz w:val="20"/>
              </w:rPr>
            </w:pPr>
            <w:r w:rsidRPr="00877DA2">
              <w:rPr>
                <w:sz w:val="18"/>
                <w:szCs w:val="18"/>
              </w:rPr>
              <w:t>21,122</w:t>
            </w:r>
          </w:p>
        </w:tc>
      </w:tr>
      <w:tr w14:paraId="6931FECE" w14:textId="77777777" w:rsidTr="0040005A">
        <w:tblPrEx>
          <w:tblW w:w="9810" w:type="dxa"/>
          <w:tblInd w:w="355" w:type="dxa"/>
          <w:tblLayout w:type="fixed"/>
          <w:tblLook w:val="04A0"/>
        </w:tblPrEx>
        <w:tc>
          <w:tcPr>
            <w:tcW w:w="1800" w:type="dxa"/>
            <w:shd w:val="clear" w:color="auto" w:fill="F2F2F2" w:themeFill="background1" w:themeFillShade="F2"/>
          </w:tcPr>
          <w:p w:rsidR="00081F70" w:rsidRPr="0040005A" w:rsidP="00173BF2" w14:paraId="772BF844" w14:textId="7FA5B1B4">
            <w:pPr>
              <w:spacing w:after="0" w:line="240" w:lineRule="auto"/>
              <w:ind w:left="-17" w:right="0" w:firstLine="0"/>
              <w:rPr>
                <w:b/>
                <w:bCs/>
                <w:sz w:val="18"/>
              </w:rPr>
            </w:pPr>
            <w:r w:rsidRPr="007820EF">
              <w:rPr>
                <w:b/>
                <w:bCs/>
                <w:sz w:val="18"/>
                <w:szCs w:val="18"/>
                <w14:ligatures w14:val="standardContextual"/>
              </w:rPr>
              <w:t>Total</w:t>
            </w:r>
          </w:p>
        </w:tc>
        <w:tc>
          <w:tcPr>
            <w:tcW w:w="1440" w:type="dxa"/>
            <w:shd w:val="clear" w:color="auto" w:fill="F2F2F2" w:themeFill="background1" w:themeFillShade="F2"/>
          </w:tcPr>
          <w:p w:rsidR="00081F70" w:rsidRPr="0040005A" w:rsidP="00173BF2" w14:paraId="1CA1AB7E" w14:textId="26B13431">
            <w:pPr>
              <w:spacing w:after="0" w:line="240" w:lineRule="auto"/>
              <w:ind w:left="360" w:right="0" w:firstLine="0"/>
              <w:rPr>
                <w:b/>
                <w:bCs/>
                <w:sz w:val="18"/>
                <w:szCs w:val="18"/>
              </w:rPr>
            </w:pPr>
          </w:p>
        </w:tc>
        <w:tc>
          <w:tcPr>
            <w:tcW w:w="1260" w:type="dxa"/>
            <w:shd w:val="clear" w:color="auto" w:fill="F2F2F2" w:themeFill="background1" w:themeFillShade="F2"/>
          </w:tcPr>
          <w:p w:rsidR="00081F70" w:rsidRPr="0040005A" w:rsidP="00BC19FD" w14:paraId="013CD1DA" w14:textId="10E273C7">
            <w:pPr>
              <w:spacing w:after="0" w:line="240" w:lineRule="auto"/>
              <w:ind w:left="-19" w:right="0" w:firstLine="0"/>
              <w:jc w:val="center"/>
              <w:rPr>
                <w:b/>
                <w:bCs/>
                <w:sz w:val="18"/>
                <w:szCs w:val="18"/>
              </w:rPr>
            </w:pPr>
            <w:r w:rsidRPr="0040005A">
              <w:rPr>
                <w:b/>
                <w:bCs/>
                <w:sz w:val="18"/>
                <w:szCs w:val="18"/>
              </w:rPr>
              <w:t>319</w:t>
            </w:r>
          </w:p>
        </w:tc>
        <w:tc>
          <w:tcPr>
            <w:tcW w:w="1170" w:type="dxa"/>
            <w:shd w:val="clear" w:color="auto" w:fill="F2F2F2" w:themeFill="background1" w:themeFillShade="F2"/>
          </w:tcPr>
          <w:p w:rsidR="00081F70" w:rsidRPr="0040005A" w:rsidP="00BC19FD" w14:paraId="154B39D7" w14:textId="0441D7F8">
            <w:pPr>
              <w:spacing w:after="0" w:line="240" w:lineRule="auto"/>
              <w:ind w:left="-20" w:right="0" w:firstLine="0"/>
              <w:jc w:val="center"/>
              <w:rPr>
                <w:b/>
                <w:bCs/>
                <w:sz w:val="18"/>
                <w:szCs w:val="18"/>
              </w:rPr>
            </w:pPr>
            <w:r w:rsidRPr="0040005A">
              <w:rPr>
                <w:b/>
                <w:bCs/>
                <w:sz w:val="18"/>
                <w:szCs w:val="18"/>
              </w:rPr>
              <w:t>62,2</w:t>
            </w:r>
            <w:r w:rsidRPr="0040005A" w:rsidR="00D53A1A">
              <w:rPr>
                <w:b/>
                <w:bCs/>
                <w:sz w:val="18"/>
                <w:szCs w:val="18"/>
              </w:rPr>
              <w:t>48</w:t>
            </w:r>
          </w:p>
        </w:tc>
        <w:tc>
          <w:tcPr>
            <w:tcW w:w="1080" w:type="dxa"/>
            <w:shd w:val="clear" w:color="auto" w:fill="F2F2F2" w:themeFill="background1" w:themeFillShade="F2"/>
          </w:tcPr>
          <w:p w:rsidR="00081F70" w:rsidRPr="0040005A" w:rsidP="00BC19FD" w14:paraId="01F6B5F1" w14:textId="12131D12">
            <w:pPr>
              <w:spacing w:after="0" w:line="240" w:lineRule="auto"/>
              <w:ind w:left="-18" w:right="0" w:firstLine="0"/>
              <w:jc w:val="center"/>
              <w:rPr>
                <w:b/>
                <w:bCs/>
                <w:sz w:val="18"/>
                <w:szCs w:val="18"/>
              </w:rPr>
            </w:pPr>
            <w:r w:rsidRPr="0040005A">
              <w:rPr>
                <w:b/>
                <w:bCs/>
                <w:sz w:val="18"/>
                <w:szCs w:val="18"/>
              </w:rPr>
              <w:t>Varies</w:t>
            </w:r>
          </w:p>
        </w:tc>
        <w:tc>
          <w:tcPr>
            <w:tcW w:w="900" w:type="dxa"/>
            <w:shd w:val="clear" w:color="auto" w:fill="F2F2F2" w:themeFill="background1" w:themeFillShade="F2"/>
          </w:tcPr>
          <w:p w:rsidR="00081F70" w:rsidRPr="0040005A" w:rsidP="00BC19FD" w14:paraId="70AE8C71" w14:textId="6D06E649">
            <w:pPr>
              <w:spacing w:after="0" w:line="240" w:lineRule="auto"/>
              <w:ind w:left="-34" w:right="0" w:firstLine="0"/>
              <w:jc w:val="center"/>
              <w:rPr>
                <w:b/>
                <w:bCs/>
                <w:sz w:val="18"/>
                <w:szCs w:val="18"/>
              </w:rPr>
            </w:pPr>
            <w:r w:rsidRPr="0040005A">
              <w:rPr>
                <w:b/>
                <w:bCs/>
                <w:sz w:val="18"/>
                <w:szCs w:val="18"/>
              </w:rPr>
              <w:t>152,5</w:t>
            </w:r>
            <w:r w:rsidRPr="0040005A" w:rsidR="00D53A1A">
              <w:rPr>
                <w:b/>
                <w:bCs/>
                <w:sz w:val="18"/>
                <w:szCs w:val="18"/>
              </w:rPr>
              <w:t>85</w:t>
            </w:r>
          </w:p>
        </w:tc>
        <w:tc>
          <w:tcPr>
            <w:tcW w:w="1080" w:type="dxa"/>
            <w:shd w:val="clear" w:color="auto" w:fill="F2F2F2" w:themeFill="background1" w:themeFillShade="F2"/>
          </w:tcPr>
          <w:p w:rsidR="00081F70" w:rsidRPr="0040005A" w:rsidP="00BC19FD" w14:paraId="734EC1D9" w14:textId="675E190A">
            <w:pPr>
              <w:spacing w:after="0" w:line="240" w:lineRule="auto"/>
              <w:ind w:left="-20" w:right="0" w:firstLine="0"/>
              <w:jc w:val="center"/>
              <w:rPr>
                <w:b/>
                <w:bCs/>
                <w:sz w:val="18"/>
                <w:szCs w:val="18"/>
              </w:rPr>
            </w:pPr>
            <w:r w:rsidRPr="0040005A">
              <w:rPr>
                <w:b/>
                <w:bCs/>
                <w:sz w:val="18"/>
                <w:szCs w:val="18"/>
              </w:rPr>
              <w:t>Varies</w:t>
            </w:r>
          </w:p>
        </w:tc>
        <w:tc>
          <w:tcPr>
            <w:tcW w:w="1080" w:type="dxa"/>
            <w:shd w:val="clear" w:color="auto" w:fill="F2F2F2" w:themeFill="background1" w:themeFillShade="F2"/>
          </w:tcPr>
          <w:p w:rsidR="00081F70" w:rsidRPr="0040005A" w:rsidP="00BC19FD" w14:paraId="2F6FA5A2" w14:textId="7973362C">
            <w:pPr>
              <w:spacing w:after="0" w:line="240" w:lineRule="auto"/>
              <w:ind w:left="-52" w:right="0" w:firstLine="0"/>
              <w:jc w:val="center"/>
              <w:rPr>
                <w:b/>
                <w:bCs/>
                <w:sz w:val="18"/>
                <w:szCs w:val="18"/>
              </w:rPr>
            </w:pPr>
            <w:r>
              <w:rPr>
                <w:b/>
                <w:bCs/>
                <w:sz w:val="18"/>
                <w:szCs w:val="18"/>
              </w:rPr>
              <w:t>17,6</w:t>
            </w:r>
            <w:r w:rsidR="000811EC">
              <w:rPr>
                <w:b/>
                <w:bCs/>
                <w:sz w:val="18"/>
                <w:szCs w:val="18"/>
              </w:rPr>
              <w:t>93</w:t>
            </w:r>
            <w:r>
              <w:rPr>
                <w:b/>
                <w:bCs/>
                <w:sz w:val="18"/>
                <w:szCs w:val="18"/>
              </w:rPr>
              <w:t>,464</w:t>
            </w:r>
          </w:p>
        </w:tc>
      </w:tr>
    </w:tbl>
    <w:p w:rsidR="00E2122C" w:rsidRPr="002E2F7F" w:rsidP="00173BF2" w14:paraId="4207255A" w14:textId="77777777">
      <w:pPr>
        <w:spacing w:after="0" w:line="240" w:lineRule="auto"/>
        <w:ind w:left="-5"/>
      </w:pPr>
    </w:p>
    <w:p w:rsidR="009D2F88" w:rsidRPr="002E2F7F" w:rsidP="00806E5A" w14:paraId="57D0FA4F" w14:textId="7BC3EEB0">
      <w:pPr>
        <w:spacing w:after="0" w:line="240" w:lineRule="auto"/>
        <w:ind w:left="360"/>
        <w:rPr>
          <w:rStyle w:val="Heading5Char"/>
          <w:rFonts w:eastAsiaTheme="minorEastAsia"/>
        </w:rPr>
      </w:pPr>
      <w:r w:rsidRPr="002E2F7F">
        <w:rPr>
          <w:rFonts w:eastAsiaTheme="minorEastAsia"/>
          <w:i/>
          <w:iCs/>
          <w:color w:val="auto"/>
          <w:szCs w:val="24"/>
        </w:rPr>
        <w:t>Infor</w:t>
      </w:r>
      <w:r w:rsidRPr="002E2F7F">
        <w:rPr>
          <w:rStyle w:val="Heading5Char"/>
          <w:rFonts w:eastAsiaTheme="minorEastAsia"/>
        </w:rPr>
        <w:t>mation Collection Instruments and Instruction/Guidance Documents</w:t>
      </w:r>
    </w:p>
    <w:p w:rsidR="00C05385" w:rsidRPr="002E2F7F" w:rsidP="00806E5A" w14:paraId="103A0F1A" w14:textId="77777777">
      <w:pPr>
        <w:spacing w:after="0" w:line="240" w:lineRule="auto"/>
        <w:ind w:left="360"/>
        <w:rPr>
          <w:rStyle w:val="Heading5Char"/>
        </w:rPr>
      </w:pPr>
    </w:p>
    <w:p w:rsidR="00E2122C" w:rsidP="00806E5A" w14:paraId="7658A1D3" w14:textId="6CDAC6F2">
      <w:pPr>
        <w:spacing w:after="0" w:line="240" w:lineRule="auto"/>
        <w:ind w:left="360"/>
      </w:pPr>
      <w:r>
        <w:rPr>
          <w:szCs w:val="24"/>
        </w:rPr>
        <w:t xml:space="preserve">The </w:t>
      </w:r>
      <w:r w:rsidRPr="002E2F7F">
        <w:rPr>
          <w:szCs w:val="24"/>
        </w:rPr>
        <w:t xml:space="preserve">DMP collection instruments </w:t>
      </w:r>
      <w:r>
        <w:rPr>
          <w:szCs w:val="24"/>
        </w:rPr>
        <w:t>consist of the following. With regard to changes, see section 15 of this Supporting Statement and the attached Crosswalk for details.</w:t>
      </w:r>
    </w:p>
    <w:p w:rsidR="00E51D6B" w:rsidP="00806E5A" w14:paraId="31F396E3" w14:textId="77777777">
      <w:pPr>
        <w:spacing w:after="0" w:line="240" w:lineRule="auto"/>
        <w:ind w:left="360"/>
      </w:pPr>
    </w:p>
    <w:p w:rsidR="006D2198" w:rsidRPr="0057377B" w:rsidP="00806E5A" w14:paraId="56800757" w14:textId="5641B2FC">
      <w:pPr>
        <w:spacing w:after="0" w:line="240" w:lineRule="auto"/>
        <w:ind w:left="360"/>
      </w:pPr>
      <w:r w:rsidRPr="0057377B">
        <w:t>Conduct Case Management</w:t>
      </w:r>
    </w:p>
    <w:p w:rsidR="006D2198" w:rsidRPr="0057377B" w:rsidP="006D2198" w14:paraId="18398DFE" w14:textId="77777777">
      <w:pPr>
        <w:pStyle w:val="ListParagraph"/>
        <w:numPr>
          <w:ilvl w:val="0"/>
          <w:numId w:val="9"/>
        </w:numPr>
        <w:spacing w:after="0" w:line="240" w:lineRule="auto"/>
        <w:ind w:firstLine="375"/>
      </w:pPr>
      <w:r w:rsidRPr="0057377B">
        <w:t>Model Prescriber Inquiry Letter (Revised)</w:t>
      </w:r>
    </w:p>
    <w:p w:rsidR="006D2198" w:rsidRPr="0057377B" w:rsidP="006D2198" w14:paraId="73091998" w14:textId="77777777">
      <w:pPr>
        <w:pStyle w:val="ListParagraph"/>
        <w:numPr>
          <w:ilvl w:val="0"/>
          <w:numId w:val="9"/>
        </w:numPr>
        <w:spacing w:after="0" w:line="240" w:lineRule="auto"/>
        <w:ind w:firstLine="375"/>
      </w:pPr>
      <w:r w:rsidRPr="0057377B">
        <w:t>Model Sponsor Information Transfer Memorandum (No Change)</w:t>
      </w:r>
    </w:p>
    <w:p w:rsidR="006D2198" w:rsidRPr="0057377B" w:rsidP="00806E5A" w14:paraId="064FE089" w14:textId="77777777">
      <w:pPr>
        <w:spacing w:after="0" w:line="240" w:lineRule="auto"/>
        <w:ind w:left="360"/>
      </w:pPr>
    </w:p>
    <w:p w:rsidR="006D2198" w:rsidRPr="0057377B" w:rsidP="00806E5A" w14:paraId="2159E876" w14:textId="1A0BEC96">
      <w:pPr>
        <w:spacing w:after="0" w:line="240" w:lineRule="auto"/>
        <w:ind w:left="360"/>
      </w:pPr>
      <w:r w:rsidRPr="0057377B">
        <w:t xml:space="preserve">Send Notices </w:t>
      </w:r>
    </w:p>
    <w:p w:rsidR="00E2122C" w:rsidRPr="0057377B" w:rsidP="00806E5A" w14:paraId="389153FE" w14:textId="046B77BB">
      <w:pPr>
        <w:pStyle w:val="ListParagraph"/>
        <w:numPr>
          <w:ilvl w:val="0"/>
          <w:numId w:val="9"/>
        </w:numPr>
        <w:spacing w:after="0" w:line="240" w:lineRule="auto"/>
        <w:ind w:firstLine="375"/>
      </w:pPr>
      <w:r w:rsidRPr="0057377B">
        <w:t>Initial Notice</w:t>
      </w:r>
      <w:r w:rsidRPr="0057377B" w:rsidR="00E51D6B">
        <w:t xml:space="preserve"> (Revised)</w:t>
      </w:r>
    </w:p>
    <w:p w:rsidR="00E2122C" w:rsidRPr="0057377B" w:rsidP="00806E5A" w14:paraId="1DDD06C2" w14:textId="66633C1C">
      <w:pPr>
        <w:pStyle w:val="ListParagraph"/>
        <w:numPr>
          <w:ilvl w:val="0"/>
          <w:numId w:val="9"/>
        </w:numPr>
        <w:spacing w:after="0" w:line="240" w:lineRule="auto"/>
        <w:ind w:firstLine="375"/>
      </w:pPr>
      <w:r w:rsidRPr="0057377B">
        <w:t>Second Notice</w:t>
      </w:r>
      <w:r w:rsidRPr="0057377B" w:rsidR="00E51D6B">
        <w:t xml:space="preserve"> (Revised)</w:t>
      </w:r>
    </w:p>
    <w:p w:rsidR="00E2122C" w:rsidRPr="0057377B" w:rsidP="00806E5A" w14:paraId="409771ED" w14:textId="6EA225E5">
      <w:pPr>
        <w:pStyle w:val="ListParagraph"/>
        <w:numPr>
          <w:ilvl w:val="0"/>
          <w:numId w:val="9"/>
        </w:numPr>
        <w:spacing w:after="0" w:line="240" w:lineRule="auto"/>
        <w:ind w:firstLine="375"/>
      </w:pPr>
      <w:r w:rsidRPr="0057377B">
        <w:t>Alternate Second Notice</w:t>
      </w:r>
      <w:r w:rsidRPr="0057377B" w:rsidR="00E51D6B">
        <w:t xml:space="preserve"> (No Change)</w:t>
      </w:r>
    </w:p>
    <w:p w:rsidR="00E2122C" w:rsidRPr="0057377B" w:rsidP="00806E5A" w14:paraId="49C73A35" w14:textId="54DF9392">
      <w:pPr>
        <w:pStyle w:val="ListParagraph"/>
        <w:numPr>
          <w:ilvl w:val="0"/>
          <w:numId w:val="9"/>
        </w:numPr>
        <w:spacing w:after="0" w:line="240" w:lineRule="auto"/>
        <w:ind w:firstLine="375"/>
      </w:pPr>
      <w:r w:rsidRPr="0057377B">
        <w:t>Instructions for DMP Notices</w:t>
      </w:r>
      <w:r w:rsidRPr="0057377B" w:rsidR="00E51D6B">
        <w:t xml:space="preserve"> (Revised)</w:t>
      </w:r>
    </w:p>
    <w:p w:rsidR="006D2198" w:rsidP="006D2198" w14:paraId="12D5B685" w14:textId="77777777">
      <w:pPr>
        <w:spacing w:after="0" w:line="240" w:lineRule="auto"/>
        <w:ind w:left="0" w:firstLine="0"/>
      </w:pPr>
    </w:p>
    <w:p w:rsidR="006D2198" w:rsidP="0040005A" w14:paraId="6578276F" w14:textId="438B4B28">
      <w:pPr>
        <w:spacing w:after="0" w:line="240" w:lineRule="auto"/>
        <w:ind w:left="0" w:firstLine="360"/>
      </w:pPr>
      <w:r>
        <w:t>Report to CMS</w:t>
      </w:r>
    </w:p>
    <w:p w:rsidR="002711BA" w:rsidP="0040005A" w14:paraId="6B061152" w14:textId="31C4C32E">
      <w:pPr>
        <w:pStyle w:val="ListParagraph"/>
        <w:numPr>
          <w:ilvl w:val="0"/>
          <w:numId w:val="17"/>
        </w:numPr>
        <w:spacing w:after="0" w:line="240" w:lineRule="auto"/>
        <w:ind w:firstLine="360"/>
      </w:pPr>
      <w:r w:rsidRPr="002711BA">
        <w:t>Medicare Advantage Prescription Drug (MARx) system</w:t>
      </w:r>
      <w:r w:rsidR="004D75E6">
        <w:t xml:space="preserve"> (No Change)</w:t>
      </w:r>
    </w:p>
    <w:p w:rsidR="006D2198" w:rsidP="0040005A" w14:paraId="34A052DD" w14:textId="77777777">
      <w:pPr>
        <w:spacing w:after="0" w:line="240" w:lineRule="auto"/>
        <w:ind w:left="0" w:firstLine="0"/>
      </w:pPr>
    </w:p>
    <w:p w:rsidR="00D66164" w:rsidRPr="002E2F7F" w:rsidP="00173BF2" w14:paraId="632E004A" w14:textId="77777777">
      <w:pPr>
        <w:pStyle w:val="Heading4"/>
        <w:jc w:val="left"/>
      </w:pPr>
      <w:r w:rsidRPr="002E2F7F">
        <w:t>13.</w:t>
      </w:r>
      <w:r w:rsidRPr="002E2F7F">
        <w:rPr>
          <w:rFonts w:ascii="Arial" w:eastAsia="Arial" w:hAnsi="Arial" w:cs="Arial"/>
        </w:rPr>
        <w:t xml:space="preserve"> </w:t>
      </w:r>
      <w:r w:rsidRPr="002E2F7F">
        <w:t xml:space="preserve">Capital Costs </w:t>
      </w:r>
    </w:p>
    <w:p w:rsidR="009D2F88" w:rsidRPr="002E2F7F" w:rsidP="00173BF2" w14:paraId="25418BD8" w14:textId="77777777">
      <w:pPr>
        <w:spacing w:after="0" w:line="240" w:lineRule="auto"/>
      </w:pPr>
    </w:p>
    <w:p w:rsidR="00D66164" w:rsidP="00173BF2" w14:paraId="76CDEFE5" w14:textId="1CF6B9A3">
      <w:pPr>
        <w:spacing w:after="0" w:line="240" w:lineRule="auto"/>
        <w:ind w:left="360" w:right="230"/>
      </w:pPr>
      <w:r w:rsidRPr="002E2F7F">
        <w:t xml:space="preserve">All Part D sponsors are fully operational and equipped to fulfill these requirements. Therefore, no additional capital or equipment costs will result from the collection of information. </w:t>
      </w:r>
    </w:p>
    <w:p w:rsidR="002D2DC4" w:rsidP="00173BF2" w14:paraId="7A6A17A3" w14:textId="77777777">
      <w:pPr>
        <w:spacing w:after="0" w:line="240" w:lineRule="auto"/>
        <w:ind w:left="360" w:right="230"/>
      </w:pPr>
    </w:p>
    <w:p w:rsidR="00D66164" w:rsidRPr="002E2F7F" w:rsidP="00173BF2" w14:paraId="55791C4D" w14:textId="77777777">
      <w:pPr>
        <w:pStyle w:val="Heading4"/>
        <w:jc w:val="left"/>
      </w:pPr>
      <w:r w:rsidRPr="002E2F7F">
        <w:t>14.</w:t>
      </w:r>
      <w:r w:rsidRPr="002E2F7F">
        <w:rPr>
          <w:rFonts w:ascii="Arial" w:eastAsia="Arial" w:hAnsi="Arial" w:cs="Arial"/>
        </w:rPr>
        <w:t xml:space="preserve"> </w:t>
      </w:r>
      <w:r w:rsidRPr="002E2F7F">
        <w:t xml:space="preserve">Cost to the Federal Government </w:t>
      </w:r>
    </w:p>
    <w:p w:rsidR="009D2F88" w:rsidP="00173BF2" w14:paraId="274F844C" w14:textId="77777777">
      <w:pPr>
        <w:spacing w:after="0" w:line="240" w:lineRule="auto"/>
      </w:pPr>
    </w:p>
    <w:p w:rsidR="007172CA" w:rsidP="00E57A8A" w14:paraId="2207424E" w14:textId="34F801B3">
      <w:pPr>
        <w:spacing w:after="0" w:line="240" w:lineRule="auto"/>
        <w:ind w:left="360" w:right="0" w:hanging="14"/>
      </w:pPr>
      <w:r>
        <w:t>T</w:t>
      </w:r>
      <w:r w:rsidR="007818FF">
        <w:t>he costs to the federal government associated with DMPs include ongoing program administration and oversight.</w:t>
      </w:r>
      <w:r>
        <w:t xml:space="preserve"> We estimate a GS-13 (step 1) employee will spend approximately 416 hours annually (20 percent of assigned duties) on such administration and oversight. Using the </w:t>
      </w:r>
      <w:r w:rsidR="008142AA">
        <w:t>2024</w:t>
      </w:r>
      <w:r>
        <w:t xml:space="preserve"> General Schedule (GS) Locality Pay Tables published by the Office of Personnel Management (OPM) for the Washington-Baltimore-Arlington locality,</w:t>
      </w:r>
      <w:r>
        <w:rPr>
          <w:rStyle w:val="FootnoteReference"/>
        </w:rPr>
        <w:footnoteReference w:id="8"/>
      </w:r>
      <w:r>
        <w:t xml:space="preserve"> the adjusted hourly wage is $</w:t>
      </w:r>
      <w:r w:rsidR="00306ACE">
        <w:t>113.04</w:t>
      </w:r>
      <w:r>
        <w:t>/h</w:t>
      </w:r>
      <w:r w:rsidR="00AF255F">
        <w:t>r</w:t>
      </w:r>
      <w:r>
        <w:t>, based on the hourly wage of $</w:t>
      </w:r>
      <w:r w:rsidRPr="00306ACE" w:rsidR="00306ACE">
        <w:t>56.52</w:t>
      </w:r>
      <w:r>
        <w:t>/h</w:t>
      </w:r>
      <w:r w:rsidR="00AF255F">
        <w:t>r</w:t>
      </w:r>
      <w:r>
        <w:t xml:space="preserve"> multipl</w:t>
      </w:r>
      <w:r w:rsidR="00843E6E">
        <w:t>i</w:t>
      </w:r>
      <w:r>
        <w:t>ed by a factor of 100 percent to account for fringe benefits</w:t>
      </w:r>
      <w:r w:rsidR="00306ACE">
        <w:t xml:space="preserve"> and </w:t>
      </w:r>
      <w:r w:rsidR="00306ACE">
        <w:t>other indirect costs</w:t>
      </w:r>
      <w:r>
        <w:t>. The total annual cost to the federal government is $</w:t>
      </w:r>
      <w:r w:rsidR="00F84259">
        <w:t>47,025</w:t>
      </w:r>
      <w:r w:rsidR="00AA1456">
        <w:t xml:space="preserve"> </w:t>
      </w:r>
      <w:r>
        <w:t>($</w:t>
      </w:r>
      <w:r w:rsidR="00306ACE">
        <w:t>113.04</w:t>
      </w:r>
      <w:r>
        <w:t xml:space="preserve">/hr x 416 hr). </w:t>
      </w:r>
    </w:p>
    <w:p w:rsidR="008B6D2A" w:rsidRPr="002E2F7F" w:rsidP="00173BF2" w14:paraId="6CEEE447" w14:textId="77777777">
      <w:pPr>
        <w:spacing w:after="0" w:line="240" w:lineRule="auto"/>
        <w:ind w:left="360"/>
      </w:pPr>
    </w:p>
    <w:p w:rsidR="00B2003C" w:rsidRPr="002E2F7F" w:rsidP="00173BF2" w14:paraId="03190B87" w14:textId="77777777">
      <w:pPr>
        <w:pStyle w:val="Heading4"/>
        <w:jc w:val="left"/>
      </w:pPr>
      <w:r w:rsidRPr="002E2F7F">
        <w:t>15.</w:t>
      </w:r>
      <w:r w:rsidRPr="002E2F7F">
        <w:rPr>
          <w:rFonts w:ascii="Arial" w:eastAsia="Arial" w:hAnsi="Arial" w:cs="Arial"/>
        </w:rPr>
        <w:t xml:space="preserve"> </w:t>
      </w:r>
      <w:r w:rsidRPr="002E2F7F">
        <w:t xml:space="preserve">Changes to Collection of Information Requirements, Burden, and Collection of Information Instruments </w:t>
      </w:r>
    </w:p>
    <w:p w:rsidR="00B2003C" w:rsidRPr="002E2F7F" w:rsidP="00173BF2" w14:paraId="15EB2B57" w14:textId="77777777">
      <w:pPr>
        <w:pStyle w:val="Heading5"/>
        <w:jc w:val="left"/>
      </w:pPr>
    </w:p>
    <w:p w:rsidR="009A5D7A" w:rsidP="00173BF2" w14:paraId="59DD5476" w14:textId="72D096E9">
      <w:pPr>
        <w:spacing w:after="0" w:line="240" w:lineRule="auto"/>
        <w:ind w:left="360" w:right="40"/>
        <w:rPr>
          <w:szCs w:val="24"/>
        </w:rPr>
      </w:pPr>
      <w:r w:rsidRPr="002E2F7F">
        <w:rPr>
          <w:szCs w:val="24"/>
        </w:rPr>
        <w:t xml:space="preserve">This is a new information collection </w:t>
      </w:r>
      <w:r w:rsidR="008D3D12">
        <w:rPr>
          <w:szCs w:val="24"/>
        </w:rPr>
        <w:t>request</w:t>
      </w:r>
      <w:r w:rsidRPr="002E2F7F">
        <w:rPr>
          <w:szCs w:val="24"/>
        </w:rPr>
        <w:t xml:space="preserve">, in which we include information collection </w:t>
      </w:r>
      <w:r w:rsidR="008D3D12">
        <w:rPr>
          <w:szCs w:val="24"/>
        </w:rPr>
        <w:t>instruments</w:t>
      </w:r>
      <w:r w:rsidRPr="002E2F7F">
        <w:rPr>
          <w:szCs w:val="24"/>
        </w:rPr>
        <w:t xml:space="preserve"> and related </w:t>
      </w:r>
      <w:r w:rsidR="008D3D12">
        <w:rPr>
          <w:szCs w:val="24"/>
        </w:rPr>
        <w:t>requirements/</w:t>
      </w:r>
      <w:r w:rsidRPr="002E2F7F">
        <w:rPr>
          <w:szCs w:val="24"/>
        </w:rPr>
        <w:t xml:space="preserve">burden from </w:t>
      </w:r>
      <w:r w:rsidRPr="002E2F7F" w:rsidR="0087554B">
        <w:rPr>
          <w:szCs w:val="24"/>
        </w:rPr>
        <w:t>CMS-10141 (OMB control number 0938-0964)</w:t>
      </w:r>
      <w:r w:rsidR="008D3D12">
        <w:rPr>
          <w:szCs w:val="24"/>
        </w:rPr>
        <w:t xml:space="preserve"> along with changes associated with our </w:t>
      </w:r>
      <w:r w:rsidRPr="0046083E" w:rsidR="0046083E">
        <w:rPr>
          <w:szCs w:val="24"/>
        </w:rPr>
        <w:t>April 23, 2024 (89 FR 30448) final rule (CMS-4205-F, RIN 0938-AV24)</w:t>
      </w:r>
      <w:r w:rsidR="0046083E">
        <w:rPr>
          <w:szCs w:val="24"/>
        </w:rPr>
        <w:t>.</w:t>
      </w:r>
      <w:r>
        <w:rPr>
          <w:rStyle w:val="FootnoteReference"/>
          <w:szCs w:val="24"/>
        </w:rPr>
        <w:footnoteReference w:id="9"/>
      </w:r>
      <w:r w:rsidR="0046083E">
        <w:rPr>
          <w:szCs w:val="24"/>
        </w:rPr>
        <w:t xml:space="preserve"> </w:t>
      </w:r>
    </w:p>
    <w:p w:rsidR="009A5D7A" w:rsidP="00173BF2" w14:paraId="4A9075FF" w14:textId="77777777">
      <w:pPr>
        <w:spacing w:after="0" w:line="240" w:lineRule="auto"/>
        <w:ind w:left="360" w:right="40"/>
        <w:rPr>
          <w:szCs w:val="24"/>
        </w:rPr>
      </w:pPr>
    </w:p>
    <w:p w:rsidR="00814D6A" w:rsidRPr="002E2F7F" w:rsidP="00173BF2" w14:paraId="06CA0E3F" w14:textId="18673607">
      <w:pPr>
        <w:spacing w:after="0" w:line="240" w:lineRule="auto"/>
        <w:ind w:left="360" w:right="40"/>
        <w:rPr>
          <w:szCs w:val="24"/>
        </w:rPr>
      </w:pPr>
      <w:r w:rsidRPr="002E2F7F">
        <w:rPr>
          <w:szCs w:val="24"/>
        </w:rPr>
        <w:t>Th</w:t>
      </w:r>
      <w:r>
        <w:rPr>
          <w:szCs w:val="24"/>
        </w:rPr>
        <w:t>e</w:t>
      </w:r>
      <w:r w:rsidRPr="002E2F7F">
        <w:rPr>
          <w:szCs w:val="24"/>
        </w:rPr>
        <w:t xml:space="preserve"> </w:t>
      </w:r>
      <w:r>
        <w:rPr>
          <w:szCs w:val="24"/>
        </w:rPr>
        <w:t xml:space="preserve">DMP requirements/burden and instruments that are currently approved by OMB under </w:t>
      </w:r>
      <w:r w:rsidRPr="002E2F7F">
        <w:rPr>
          <w:szCs w:val="24"/>
        </w:rPr>
        <w:t>CMS-10141 (OMB 0938-0964)</w:t>
      </w:r>
      <w:r>
        <w:rPr>
          <w:szCs w:val="24"/>
        </w:rPr>
        <w:t xml:space="preserve"> will be removed from that control number once they are approved under this </w:t>
      </w:r>
      <w:r w:rsidRPr="002E2F7F">
        <w:rPr>
          <w:szCs w:val="24"/>
        </w:rPr>
        <w:t xml:space="preserve">new </w:t>
      </w:r>
      <w:r>
        <w:rPr>
          <w:szCs w:val="24"/>
        </w:rPr>
        <w:t xml:space="preserve">collection of </w:t>
      </w:r>
      <w:r w:rsidRPr="002E2F7F">
        <w:rPr>
          <w:szCs w:val="24"/>
        </w:rPr>
        <w:t xml:space="preserve">information </w:t>
      </w:r>
      <w:r w:rsidRPr="00814D6A">
        <w:rPr>
          <w:szCs w:val="24"/>
        </w:rPr>
        <w:t>CMS-10874</w:t>
      </w:r>
      <w:r>
        <w:rPr>
          <w:szCs w:val="24"/>
        </w:rPr>
        <w:t xml:space="preserve"> (</w:t>
      </w:r>
      <w:r w:rsidRPr="00814D6A">
        <w:rPr>
          <w:szCs w:val="24"/>
        </w:rPr>
        <w:t>OMB 0938-1465</w:t>
      </w:r>
      <w:r>
        <w:rPr>
          <w:szCs w:val="24"/>
        </w:rPr>
        <w:t>). As mentioned, w</w:t>
      </w:r>
      <w:r w:rsidRPr="002E2F7F">
        <w:rPr>
          <w:szCs w:val="24"/>
        </w:rPr>
        <w:t xml:space="preserve">e are </w:t>
      </w:r>
      <w:r>
        <w:rPr>
          <w:szCs w:val="24"/>
        </w:rPr>
        <w:t>moving the DMP requirements/burden and instruments</w:t>
      </w:r>
      <w:r w:rsidRPr="002E2F7F">
        <w:rPr>
          <w:szCs w:val="24"/>
        </w:rPr>
        <w:t xml:space="preserve"> </w:t>
      </w:r>
      <w:r>
        <w:rPr>
          <w:szCs w:val="24"/>
        </w:rPr>
        <w:t xml:space="preserve">from </w:t>
      </w:r>
      <w:r w:rsidRPr="002E2F7F">
        <w:rPr>
          <w:szCs w:val="24"/>
        </w:rPr>
        <w:t xml:space="preserve">CMS-10141 </w:t>
      </w:r>
      <w:r>
        <w:rPr>
          <w:szCs w:val="24"/>
        </w:rPr>
        <w:t>to</w:t>
      </w:r>
      <w:r w:rsidRPr="002E2F7F">
        <w:rPr>
          <w:szCs w:val="24"/>
        </w:rPr>
        <w:t xml:space="preserve"> </w:t>
      </w:r>
      <w:r w:rsidRPr="00814D6A">
        <w:rPr>
          <w:szCs w:val="24"/>
        </w:rPr>
        <w:t>CMS-10874</w:t>
      </w:r>
      <w:r>
        <w:rPr>
          <w:szCs w:val="24"/>
        </w:rPr>
        <w:t xml:space="preserve"> </w:t>
      </w:r>
      <w:r w:rsidRPr="002E2F7F">
        <w:rPr>
          <w:szCs w:val="24"/>
        </w:rPr>
        <w:t xml:space="preserve">to improve clarity </w:t>
      </w:r>
      <w:r w:rsidRPr="00F26A06" w:rsidR="00F26A06">
        <w:rPr>
          <w:szCs w:val="24"/>
        </w:rPr>
        <w:t xml:space="preserve">and usability for interested parties. </w:t>
      </w:r>
    </w:p>
    <w:p w:rsidR="00316766" w:rsidRPr="002E2F7F" w:rsidP="00173BF2" w14:paraId="3B6DE57D" w14:textId="77777777">
      <w:pPr>
        <w:spacing w:after="0" w:line="240" w:lineRule="auto"/>
        <w:ind w:left="360" w:right="40"/>
        <w:rPr>
          <w:szCs w:val="24"/>
        </w:rPr>
      </w:pPr>
    </w:p>
    <w:p w:rsidR="00187373" w:rsidRPr="002E2F7F" w:rsidP="00173BF2" w14:paraId="09548BEF" w14:textId="544FB3F2">
      <w:pPr>
        <w:spacing w:after="0" w:line="240" w:lineRule="auto"/>
        <w:ind w:left="360" w:right="40"/>
        <w:rPr>
          <w:szCs w:val="24"/>
        </w:rPr>
      </w:pPr>
      <w:r w:rsidRPr="002E2F7F">
        <w:rPr>
          <w:szCs w:val="24"/>
        </w:rPr>
        <w:t xml:space="preserve">We have accounted for the reduction of burden </w:t>
      </w:r>
      <w:r w:rsidRPr="002E2F7F" w:rsidR="00E112CE">
        <w:rPr>
          <w:szCs w:val="24"/>
        </w:rPr>
        <w:t xml:space="preserve">for case management, sending notices, and data disclosure </w:t>
      </w:r>
      <w:r w:rsidRPr="002E2F7F">
        <w:rPr>
          <w:szCs w:val="24"/>
        </w:rPr>
        <w:t xml:space="preserve">associated with the change in definition of </w:t>
      </w:r>
      <w:r w:rsidRPr="002E2F7F" w:rsidR="00B2003C">
        <w:rPr>
          <w:szCs w:val="24"/>
        </w:rPr>
        <w:t>“</w:t>
      </w:r>
      <w:r w:rsidRPr="002E2F7F">
        <w:rPr>
          <w:szCs w:val="24"/>
        </w:rPr>
        <w:t>exempted beneficiary</w:t>
      </w:r>
      <w:r w:rsidRPr="002E2F7F" w:rsidR="00B2003C">
        <w:rPr>
          <w:szCs w:val="24"/>
        </w:rPr>
        <w:t>”</w:t>
      </w:r>
      <w:r w:rsidRPr="002E2F7F" w:rsidR="005B4CD8">
        <w:rPr>
          <w:szCs w:val="24"/>
        </w:rPr>
        <w:t xml:space="preserve"> </w:t>
      </w:r>
      <w:r w:rsidR="0065415E">
        <w:rPr>
          <w:szCs w:val="24"/>
        </w:rPr>
        <w:t xml:space="preserve">finalized </w:t>
      </w:r>
      <w:r w:rsidRPr="002E2F7F" w:rsidR="005B4CD8">
        <w:rPr>
          <w:szCs w:val="24"/>
        </w:rPr>
        <w:t>in CMS-4205-</w:t>
      </w:r>
      <w:r w:rsidR="0065415E">
        <w:rPr>
          <w:szCs w:val="24"/>
        </w:rPr>
        <w:t>F</w:t>
      </w:r>
      <w:r w:rsidR="0053148E">
        <w:rPr>
          <w:szCs w:val="24"/>
        </w:rPr>
        <w:t>,</w:t>
      </w:r>
      <w:r w:rsidRPr="0053148E" w:rsidR="0053148E">
        <w:rPr>
          <w:szCs w:val="24"/>
        </w:rPr>
        <w:t xml:space="preserve"> </w:t>
      </w:r>
      <w:r w:rsidRPr="0046083E" w:rsidR="0053148E">
        <w:rPr>
          <w:szCs w:val="24"/>
        </w:rPr>
        <w:t>RIN 0938-AV24</w:t>
      </w:r>
      <w:r w:rsidRPr="002E2F7F">
        <w:rPr>
          <w:szCs w:val="24"/>
        </w:rPr>
        <w:t>.</w:t>
      </w:r>
      <w:r w:rsidRPr="002E2F7F" w:rsidR="0087554B">
        <w:rPr>
          <w:szCs w:val="24"/>
        </w:rPr>
        <w:t xml:space="preserve"> </w:t>
      </w:r>
      <w:r w:rsidRPr="002E2F7F" w:rsidR="00B2003C">
        <w:rPr>
          <w:szCs w:val="24"/>
        </w:rPr>
        <w:t xml:space="preserve">We revised </w:t>
      </w:r>
      <w:r w:rsidRPr="002E2F7F" w:rsidR="005B4CD8">
        <w:rPr>
          <w:szCs w:val="24"/>
        </w:rPr>
        <w:t xml:space="preserve">the </w:t>
      </w:r>
      <w:r w:rsidRPr="002E2F7F" w:rsidR="00B2003C">
        <w:rPr>
          <w:szCs w:val="24"/>
        </w:rPr>
        <w:t xml:space="preserve">DMP </w:t>
      </w:r>
      <w:r w:rsidRPr="002E2F7F" w:rsidR="005B4CD8">
        <w:rPr>
          <w:szCs w:val="24"/>
        </w:rPr>
        <w:t xml:space="preserve">notices, letter, and memorandum to incorporate the change in definition of “exempted beneficiary” </w:t>
      </w:r>
      <w:r w:rsidR="00843CB3">
        <w:rPr>
          <w:szCs w:val="24"/>
        </w:rPr>
        <w:t>finaliz</w:t>
      </w:r>
      <w:r w:rsidRPr="002E2F7F" w:rsidR="00843CB3">
        <w:rPr>
          <w:szCs w:val="24"/>
        </w:rPr>
        <w:t xml:space="preserve">ed </w:t>
      </w:r>
      <w:r w:rsidRPr="002E2F7F" w:rsidR="005B4CD8">
        <w:rPr>
          <w:szCs w:val="24"/>
        </w:rPr>
        <w:t>in CMS-4205-</w:t>
      </w:r>
      <w:r w:rsidR="00843CB3">
        <w:rPr>
          <w:szCs w:val="24"/>
        </w:rPr>
        <w:t>F</w:t>
      </w:r>
      <w:r w:rsidRPr="002E2F7F" w:rsidR="00843CB3">
        <w:rPr>
          <w:szCs w:val="24"/>
        </w:rPr>
        <w:t xml:space="preserve"> </w:t>
      </w:r>
      <w:r w:rsidRPr="002E2F7F" w:rsidR="005B4CD8">
        <w:rPr>
          <w:szCs w:val="24"/>
        </w:rPr>
        <w:t xml:space="preserve">and to include </w:t>
      </w:r>
      <w:r w:rsidR="00D53A1A">
        <w:rPr>
          <w:szCs w:val="24"/>
        </w:rPr>
        <w:t>non-substantive</w:t>
      </w:r>
      <w:r w:rsidR="00B807C7">
        <w:rPr>
          <w:szCs w:val="24"/>
        </w:rPr>
        <w:t>, technical</w:t>
      </w:r>
      <w:r w:rsidR="00D53A1A">
        <w:rPr>
          <w:szCs w:val="24"/>
        </w:rPr>
        <w:t xml:space="preserve"> </w:t>
      </w:r>
      <w:r w:rsidRPr="002E2F7F" w:rsidR="005B4CD8">
        <w:rPr>
          <w:szCs w:val="24"/>
        </w:rPr>
        <w:t>revisions determined necessary through program operation</w:t>
      </w:r>
      <w:r w:rsidR="00B807C7">
        <w:rPr>
          <w:szCs w:val="24"/>
        </w:rPr>
        <w:t xml:space="preserve"> and described in </w:t>
      </w:r>
      <w:r w:rsidRPr="00013857" w:rsidR="00B807C7">
        <w:rPr>
          <w:szCs w:val="24"/>
        </w:rPr>
        <w:t xml:space="preserve">the crosswalk document submitted with this package. </w:t>
      </w:r>
      <w:r w:rsidRPr="00013857" w:rsidR="008736E9">
        <w:rPr>
          <w:szCs w:val="24"/>
        </w:rPr>
        <w:t xml:space="preserve">We </w:t>
      </w:r>
      <w:r w:rsidRPr="00013857" w:rsidR="00917248">
        <w:rPr>
          <w:szCs w:val="24"/>
        </w:rPr>
        <w:t>added text to clarify in the</w:t>
      </w:r>
      <w:r w:rsidRPr="00013857" w:rsidR="008736E9">
        <w:rPr>
          <w:szCs w:val="24"/>
        </w:rPr>
        <w:t xml:space="preserve"> Second Notice the length of time for which a coverage limitation is applied. </w:t>
      </w:r>
      <w:r w:rsidRPr="00013857" w:rsidR="00B807C7">
        <w:rPr>
          <w:szCs w:val="24"/>
        </w:rPr>
        <w:t xml:space="preserve">We have removed burden </w:t>
      </w:r>
      <w:r w:rsidRPr="00013857" w:rsidR="0003506B">
        <w:rPr>
          <w:szCs w:val="24"/>
        </w:rPr>
        <w:t xml:space="preserve">(8 responses and 8 total hours) </w:t>
      </w:r>
      <w:r w:rsidRPr="00013857" w:rsidR="00B807C7">
        <w:rPr>
          <w:szCs w:val="24"/>
        </w:rPr>
        <w:t xml:space="preserve">associated with transferring case management information when an ARB or PARB switches plans because we observed through program experience that this number is de minimis. </w:t>
      </w:r>
      <w:r w:rsidRPr="00013857" w:rsidR="00316766">
        <w:rPr>
          <w:szCs w:val="24"/>
        </w:rPr>
        <w:t xml:space="preserve">We </w:t>
      </w:r>
      <w:r w:rsidRPr="00013857" w:rsidR="00575A84">
        <w:rPr>
          <w:szCs w:val="24"/>
        </w:rPr>
        <w:t>are not removing</w:t>
      </w:r>
      <w:r w:rsidRPr="00013857" w:rsidR="00316766">
        <w:rPr>
          <w:szCs w:val="24"/>
        </w:rPr>
        <w:t xml:space="preserve"> any burden associated with sponsors no longer sending a Retraction Notice for</w:t>
      </w:r>
      <w:r w:rsidRPr="002E2F7F" w:rsidR="00316766">
        <w:rPr>
          <w:szCs w:val="24"/>
        </w:rPr>
        <w:t xml:space="preserve"> Exempted Beneficiaries</w:t>
      </w:r>
      <w:r w:rsidRPr="002E2F7F" w:rsidR="00575A84">
        <w:rPr>
          <w:szCs w:val="24"/>
        </w:rPr>
        <w:t xml:space="preserve"> </w:t>
      </w:r>
      <w:r w:rsidRPr="002E2F7F" w:rsidR="005A355A">
        <w:rPr>
          <w:szCs w:val="24"/>
        </w:rPr>
        <w:t>–</w:t>
      </w:r>
      <w:r w:rsidRPr="002E2F7F" w:rsidR="005E56D3">
        <w:rPr>
          <w:szCs w:val="24"/>
        </w:rPr>
        <w:t xml:space="preserve"> </w:t>
      </w:r>
      <w:r w:rsidRPr="002E2F7F" w:rsidR="00575A84">
        <w:rPr>
          <w:szCs w:val="24"/>
        </w:rPr>
        <w:t xml:space="preserve">sponsors will instead send an Alternate Second Notice under changes </w:t>
      </w:r>
      <w:r w:rsidR="00843CB3">
        <w:rPr>
          <w:szCs w:val="24"/>
        </w:rPr>
        <w:t>finalized</w:t>
      </w:r>
      <w:r w:rsidRPr="002E2F7F" w:rsidR="00575A84">
        <w:rPr>
          <w:szCs w:val="24"/>
        </w:rPr>
        <w:t xml:space="preserve"> in CMS-4205-</w:t>
      </w:r>
      <w:r w:rsidR="00843CB3">
        <w:rPr>
          <w:szCs w:val="24"/>
        </w:rPr>
        <w:t>F</w:t>
      </w:r>
      <w:r w:rsidRPr="002E2F7F" w:rsidR="00843CB3">
        <w:rPr>
          <w:szCs w:val="24"/>
        </w:rPr>
        <w:t xml:space="preserve"> </w:t>
      </w:r>
      <w:r w:rsidRPr="002E2F7F" w:rsidR="00575A84">
        <w:rPr>
          <w:szCs w:val="24"/>
        </w:rPr>
        <w:t>–</w:t>
      </w:r>
      <w:r w:rsidRPr="002E2F7F" w:rsidR="00316766">
        <w:rPr>
          <w:szCs w:val="24"/>
        </w:rPr>
        <w:t xml:space="preserve"> </w:t>
      </w:r>
      <w:r w:rsidRPr="002E2F7F" w:rsidR="00575A84">
        <w:rPr>
          <w:szCs w:val="24"/>
        </w:rPr>
        <w:t>because the</w:t>
      </w:r>
      <w:r w:rsidRPr="002E2F7F">
        <w:rPr>
          <w:szCs w:val="24"/>
        </w:rPr>
        <w:t xml:space="preserve"> Retraction Notice was not accounted for in CMS-10141.</w:t>
      </w:r>
      <w:r w:rsidR="00D53A1A">
        <w:rPr>
          <w:szCs w:val="24"/>
        </w:rPr>
        <w:t xml:space="preserve"> </w:t>
      </w:r>
    </w:p>
    <w:p w:rsidR="00316766" w:rsidRPr="002E2F7F" w:rsidP="00173BF2" w14:paraId="0565E6E3" w14:textId="77777777">
      <w:pPr>
        <w:spacing w:after="0" w:line="240" w:lineRule="auto"/>
        <w:ind w:left="360" w:right="40"/>
        <w:rPr>
          <w:szCs w:val="24"/>
        </w:rPr>
      </w:pPr>
    </w:p>
    <w:p w:rsidR="00316766" w:rsidRPr="002E2F7F" w:rsidP="00173BF2" w14:paraId="3C63B43E" w14:textId="677842FB">
      <w:pPr>
        <w:spacing w:after="0" w:line="240" w:lineRule="auto"/>
        <w:ind w:left="360" w:right="40"/>
        <w:rPr>
          <w:szCs w:val="24"/>
        </w:rPr>
      </w:pPr>
      <w:r w:rsidRPr="002E2F7F">
        <w:rPr>
          <w:szCs w:val="24"/>
        </w:rPr>
        <w:t>We have updated the mean hourly wage, fringe benefits, and adjusted hourly wage using current Bureau of Labor Statistics Occupational Title, Occupational Code and Mean Hourly Wage data. For accuracy, we updated the number of Part D sponsors, beneficiaries receiving case management and/or coverage restrictions under their plan’s DMP, and beneficiaries who transfer plans while receiving case management and/or coverage restrictions under their plan’s DMP.</w:t>
      </w:r>
    </w:p>
    <w:p w:rsidR="00B579F4" w:rsidRPr="002E2F7F" w:rsidP="00173BF2" w14:paraId="2B69B4F1" w14:textId="77777777">
      <w:pPr>
        <w:spacing w:after="0" w:line="240" w:lineRule="auto"/>
        <w:ind w:left="360" w:right="40"/>
        <w:rPr>
          <w:sz w:val="23"/>
          <w:szCs w:val="23"/>
        </w:rPr>
      </w:pPr>
    </w:p>
    <w:p w:rsidR="00B579F4" w:rsidRPr="002E2F7F" w:rsidP="00173BF2" w14:paraId="7878DAE7" w14:textId="2262D1CB">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firstLine="0"/>
        <w:rPr>
          <w:szCs w:val="24"/>
        </w:rPr>
      </w:pPr>
      <w:r w:rsidRPr="002E2F7F">
        <w:rPr>
          <w:szCs w:val="24"/>
        </w:rPr>
        <w:t xml:space="preserve">Table </w:t>
      </w:r>
      <w:r w:rsidRPr="002E2F7F" w:rsidR="009D2F88">
        <w:rPr>
          <w:szCs w:val="24"/>
        </w:rPr>
        <w:t>3</w:t>
      </w:r>
      <w:r w:rsidRPr="002E2F7F">
        <w:rPr>
          <w:szCs w:val="24"/>
        </w:rPr>
        <w:t>, presents information from the current package, CMS-10141, with wages adjusted to 202</w:t>
      </w:r>
      <w:r w:rsidR="00D24366">
        <w:rPr>
          <w:szCs w:val="24"/>
        </w:rPr>
        <w:t>3</w:t>
      </w:r>
      <w:r w:rsidRPr="002E2F7F">
        <w:rPr>
          <w:szCs w:val="24"/>
        </w:rPr>
        <w:t xml:space="preserve"> wages.</w:t>
      </w:r>
    </w:p>
    <w:p w:rsidR="00B579F4" w:rsidP="00173BF2" w14:paraId="36A8B46C" w14:textId="77777777">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firstLine="0"/>
        <w:rPr>
          <w:szCs w:val="24"/>
        </w:rPr>
      </w:pPr>
    </w:p>
    <w:p w:rsidR="009D2F88" w:rsidP="0040005A" w14:paraId="7E678BFA" w14:textId="185DBA52">
      <w:pPr>
        <w:pStyle w:val="Heading6"/>
        <w:spacing w:after="0" w:line="240" w:lineRule="auto"/>
        <w:ind w:left="360"/>
        <w:rPr>
          <w:b/>
          <w:bCs/>
          <w:sz w:val="24"/>
          <w:szCs w:val="24"/>
        </w:rPr>
      </w:pPr>
      <w:r w:rsidRPr="002E2F7F">
        <w:rPr>
          <w:b/>
          <w:bCs/>
          <w:sz w:val="24"/>
          <w:szCs w:val="24"/>
        </w:rPr>
        <w:t>Table 3: Current Estimate of Burden Updated to Reflect 202</w:t>
      </w:r>
      <w:r w:rsidR="009F4ED6">
        <w:rPr>
          <w:b/>
          <w:bCs/>
          <w:sz w:val="24"/>
          <w:szCs w:val="24"/>
        </w:rPr>
        <w:t>3</w:t>
      </w:r>
      <w:r w:rsidRPr="002E2F7F">
        <w:rPr>
          <w:b/>
          <w:bCs/>
          <w:sz w:val="24"/>
          <w:szCs w:val="24"/>
        </w:rPr>
        <w:t xml:space="preserve"> Wages </w:t>
      </w:r>
    </w:p>
    <w:p w:rsidR="00556205" w:rsidRPr="00556205" w:rsidP="000F751D" w14:paraId="226ECE33" w14:textId="77777777"/>
    <w:tbl>
      <w:tblPr>
        <w:tblW w:w="9718" w:type="dxa"/>
        <w:tblInd w:w="355" w:type="dxa"/>
        <w:tblLook w:val="04A0"/>
      </w:tblPr>
      <w:tblGrid>
        <w:gridCol w:w="1530"/>
        <w:gridCol w:w="1493"/>
        <w:gridCol w:w="1325"/>
        <w:gridCol w:w="1108"/>
        <w:gridCol w:w="1023"/>
        <w:gridCol w:w="933"/>
        <w:gridCol w:w="824"/>
        <w:gridCol w:w="1482"/>
      </w:tblGrid>
      <w:tr w14:paraId="703B33FB" w14:textId="77777777" w:rsidTr="00806E5A">
        <w:tblPrEx>
          <w:tblW w:w="9718" w:type="dxa"/>
          <w:tblInd w:w="355" w:type="dxa"/>
          <w:tblLook w:val="04A0"/>
        </w:tblPrEx>
        <w:trPr>
          <w:trHeight w:val="1152"/>
        </w:trPr>
        <w:tc>
          <w:tcPr>
            <w:tcW w:w="1530" w:type="dxa"/>
            <w:tcBorders>
              <w:top w:val="single" w:sz="4" w:space="0" w:color="auto"/>
              <w:left w:val="single" w:sz="4" w:space="0" w:color="auto"/>
              <w:bottom w:val="single" w:sz="4" w:space="0" w:color="auto"/>
              <w:right w:val="single" w:sz="4" w:space="0" w:color="auto"/>
            </w:tcBorders>
            <w:shd w:val="clear" w:color="auto" w:fill="auto"/>
            <w:hideMark/>
          </w:tcPr>
          <w:p w:rsidR="00B579F4" w:rsidRPr="002E2F7F" w:rsidP="00173BF2" w14:paraId="03FD17B3" w14:textId="77777777">
            <w:pPr>
              <w:spacing w:after="0" w:line="240" w:lineRule="auto"/>
              <w:ind w:left="-114"/>
              <w:rPr>
                <w:b/>
                <w:bCs/>
                <w:sz w:val="18"/>
                <w:szCs w:val="18"/>
              </w:rPr>
            </w:pPr>
            <w:r w:rsidRPr="002E2F7F">
              <w:rPr>
                <w:b/>
                <w:bCs/>
                <w:sz w:val="18"/>
                <w:szCs w:val="18"/>
              </w:rPr>
              <w:t>Regulatory Citation</w:t>
            </w:r>
          </w:p>
        </w:tc>
        <w:tc>
          <w:tcPr>
            <w:tcW w:w="1493" w:type="dxa"/>
            <w:tcBorders>
              <w:top w:val="single" w:sz="4" w:space="0" w:color="auto"/>
              <w:left w:val="nil"/>
              <w:bottom w:val="single" w:sz="4" w:space="0" w:color="auto"/>
              <w:right w:val="single" w:sz="4" w:space="0" w:color="auto"/>
            </w:tcBorders>
            <w:shd w:val="clear" w:color="auto" w:fill="auto"/>
            <w:hideMark/>
          </w:tcPr>
          <w:p w:rsidR="00B579F4" w:rsidRPr="002E2F7F" w:rsidP="00173BF2" w14:paraId="1F82D0F2" w14:textId="77777777">
            <w:pPr>
              <w:spacing w:after="0" w:line="240" w:lineRule="auto"/>
              <w:ind w:left="-63"/>
              <w:rPr>
                <w:b/>
                <w:bCs/>
                <w:sz w:val="18"/>
                <w:szCs w:val="18"/>
              </w:rPr>
            </w:pPr>
            <w:r w:rsidRPr="002E2F7F">
              <w:rPr>
                <w:b/>
                <w:bCs/>
                <w:sz w:val="18"/>
                <w:szCs w:val="18"/>
              </w:rPr>
              <w:t>Subject</w:t>
            </w:r>
          </w:p>
        </w:tc>
        <w:tc>
          <w:tcPr>
            <w:tcW w:w="1325" w:type="dxa"/>
            <w:tcBorders>
              <w:top w:val="single" w:sz="4" w:space="0" w:color="auto"/>
              <w:left w:val="nil"/>
              <w:bottom w:val="single" w:sz="4" w:space="0" w:color="auto"/>
              <w:right w:val="single" w:sz="4" w:space="0" w:color="auto"/>
            </w:tcBorders>
            <w:shd w:val="clear" w:color="auto" w:fill="auto"/>
            <w:hideMark/>
          </w:tcPr>
          <w:p w:rsidR="00B579F4" w:rsidRPr="002E2F7F" w:rsidP="00173BF2" w14:paraId="7896A01D" w14:textId="77777777">
            <w:pPr>
              <w:spacing w:after="0" w:line="240" w:lineRule="auto"/>
              <w:ind w:left="-82"/>
              <w:rPr>
                <w:b/>
                <w:bCs/>
                <w:sz w:val="18"/>
                <w:szCs w:val="18"/>
              </w:rPr>
            </w:pPr>
            <w:r w:rsidRPr="002E2F7F">
              <w:rPr>
                <w:b/>
                <w:bCs/>
                <w:sz w:val="18"/>
                <w:szCs w:val="18"/>
              </w:rPr>
              <w:t>Number of respondents</w:t>
            </w:r>
          </w:p>
        </w:tc>
        <w:tc>
          <w:tcPr>
            <w:tcW w:w="1108" w:type="dxa"/>
            <w:tcBorders>
              <w:top w:val="single" w:sz="4" w:space="0" w:color="auto"/>
              <w:left w:val="nil"/>
              <w:bottom w:val="single" w:sz="4" w:space="0" w:color="auto"/>
              <w:right w:val="single" w:sz="4" w:space="0" w:color="auto"/>
            </w:tcBorders>
            <w:shd w:val="clear" w:color="auto" w:fill="auto"/>
            <w:hideMark/>
          </w:tcPr>
          <w:p w:rsidR="00B579F4" w:rsidRPr="002E2F7F" w:rsidP="00173BF2" w14:paraId="45896E53" w14:textId="77777777">
            <w:pPr>
              <w:spacing w:after="0" w:line="240" w:lineRule="auto"/>
              <w:ind w:left="-31"/>
              <w:rPr>
                <w:b/>
                <w:bCs/>
                <w:sz w:val="18"/>
                <w:szCs w:val="18"/>
              </w:rPr>
            </w:pPr>
            <w:r w:rsidRPr="002E2F7F">
              <w:rPr>
                <w:b/>
                <w:bCs/>
                <w:sz w:val="18"/>
                <w:szCs w:val="18"/>
              </w:rPr>
              <w:t>Number of responses</w:t>
            </w:r>
          </w:p>
        </w:tc>
        <w:tc>
          <w:tcPr>
            <w:tcW w:w="1023" w:type="dxa"/>
            <w:tcBorders>
              <w:top w:val="single" w:sz="4" w:space="0" w:color="auto"/>
              <w:left w:val="nil"/>
              <w:bottom w:val="single" w:sz="4" w:space="0" w:color="auto"/>
              <w:right w:val="single" w:sz="4" w:space="0" w:color="auto"/>
            </w:tcBorders>
            <w:shd w:val="clear" w:color="auto" w:fill="auto"/>
            <w:hideMark/>
          </w:tcPr>
          <w:p w:rsidR="00B579F4" w:rsidRPr="002E2F7F" w:rsidP="00173BF2" w14:paraId="445A2E4F" w14:textId="3243D10E">
            <w:pPr>
              <w:spacing w:after="0" w:line="240" w:lineRule="auto"/>
              <w:ind w:left="-59"/>
              <w:rPr>
                <w:b/>
                <w:bCs/>
                <w:sz w:val="18"/>
                <w:szCs w:val="18"/>
              </w:rPr>
            </w:pPr>
            <w:r w:rsidRPr="002E2F7F">
              <w:rPr>
                <w:b/>
                <w:bCs/>
                <w:sz w:val="18"/>
                <w:szCs w:val="18"/>
              </w:rPr>
              <w:t>Time per response (</w:t>
            </w:r>
            <w:r w:rsidRPr="002E2F7F" w:rsidR="00B05E59">
              <w:rPr>
                <w:b/>
                <w:bCs/>
                <w:sz w:val="18"/>
                <w:szCs w:val="18"/>
              </w:rPr>
              <w:t>$/</w:t>
            </w:r>
            <w:r w:rsidRPr="002E2F7F">
              <w:rPr>
                <w:b/>
                <w:bCs/>
                <w:sz w:val="18"/>
                <w:szCs w:val="18"/>
              </w:rPr>
              <w:t>hr)</w:t>
            </w:r>
          </w:p>
        </w:tc>
        <w:tc>
          <w:tcPr>
            <w:tcW w:w="933" w:type="dxa"/>
            <w:tcBorders>
              <w:top w:val="single" w:sz="4" w:space="0" w:color="auto"/>
              <w:left w:val="nil"/>
              <w:bottom w:val="single" w:sz="4" w:space="0" w:color="auto"/>
              <w:right w:val="single" w:sz="4" w:space="0" w:color="auto"/>
            </w:tcBorders>
            <w:shd w:val="clear" w:color="auto" w:fill="auto"/>
            <w:hideMark/>
          </w:tcPr>
          <w:p w:rsidR="00B579F4" w:rsidRPr="002E2F7F" w:rsidP="00173BF2" w14:paraId="52AF6377" w14:textId="50AC4213">
            <w:pPr>
              <w:spacing w:after="0" w:line="240" w:lineRule="auto"/>
              <w:ind w:left="-62"/>
              <w:rPr>
                <w:b/>
                <w:bCs/>
                <w:sz w:val="18"/>
                <w:szCs w:val="18"/>
              </w:rPr>
            </w:pPr>
            <w:r w:rsidRPr="002E2F7F">
              <w:rPr>
                <w:b/>
                <w:bCs/>
                <w:sz w:val="18"/>
                <w:szCs w:val="18"/>
              </w:rPr>
              <w:t xml:space="preserve">Total </w:t>
            </w:r>
            <w:r w:rsidR="009F4ED6">
              <w:rPr>
                <w:b/>
                <w:bCs/>
                <w:sz w:val="18"/>
                <w:szCs w:val="18"/>
              </w:rPr>
              <w:t xml:space="preserve">Annual </w:t>
            </w:r>
            <w:r w:rsidRPr="002E2F7F">
              <w:rPr>
                <w:b/>
                <w:bCs/>
                <w:sz w:val="18"/>
                <w:szCs w:val="18"/>
              </w:rPr>
              <w:t>Time</w:t>
            </w:r>
            <w:r w:rsidRPr="002E2F7F" w:rsidR="00B05E59">
              <w:rPr>
                <w:b/>
                <w:bCs/>
                <w:sz w:val="18"/>
                <w:szCs w:val="18"/>
              </w:rPr>
              <w:t xml:space="preserve"> (hr)</w:t>
            </w:r>
          </w:p>
        </w:tc>
        <w:tc>
          <w:tcPr>
            <w:tcW w:w="824" w:type="dxa"/>
            <w:tcBorders>
              <w:top w:val="single" w:sz="4" w:space="0" w:color="auto"/>
              <w:left w:val="nil"/>
              <w:bottom w:val="single" w:sz="4" w:space="0" w:color="auto"/>
              <w:right w:val="single" w:sz="4" w:space="0" w:color="auto"/>
            </w:tcBorders>
            <w:shd w:val="clear" w:color="auto" w:fill="auto"/>
            <w:hideMark/>
          </w:tcPr>
          <w:p w:rsidR="00B579F4" w:rsidRPr="002E2F7F" w:rsidP="00173BF2" w14:paraId="2D87B31C" w14:textId="47FAF051">
            <w:pPr>
              <w:spacing w:after="0" w:line="240" w:lineRule="auto"/>
              <w:ind w:left="-97"/>
              <w:rPr>
                <w:b/>
                <w:bCs/>
                <w:sz w:val="18"/>
                <w:szCs w:val="18"/>
              </w:rPr>
            </w:pPr>
            <w:r w:rsidRPr="002E2F7F">
              <w:rPr>
                <w:b/>
                <w:bCs/>
                <w:sz w:val="18"/>
                <w:szCs w:val="18"/>
              </w:rPr>
              <w:t>Labor Cost (</w:t>
            </w:r>
            <w:r w:rsidRPr="002E2F7F" w:rsidR="00B05E59">
              <w:rPr>
                <w:b/>
                <w:bCs/>
                <w:sz w:val="18"/>
                <w:szCs w:val="18"/>
              </w:rPr>
              <w:t>$/</w:t>
            </w:r>
            <w:r w:rsidRPr="002E2F7F">
              <w:rPr>
                <w:b/>
                <w:bCs/>
                <w:sz w:val="18"/>
                <w:szCs w:val="18"/>
              </w:rPr>
              <w:t>hr)</w:t>
            </w:r>
          </w:p>
        </w:tc>
        <w:tc>
          <w:tcPr>
            <w:tcW w:w="1482" w:type="dxa"/>
            <w:tcBorders>
              <w:top w:val="single" w:sz="4" w:space="0" w:color="auto"/>
              <w:left w:val="nil"/>
              <w:bottom w:val="single" w:sz="4" w:space="0" w:color="auto"/>
              <w:right w:val="single" w:sz="4" w:space="0" w:color="auto"/>
            </w:tcBorders>
            <w:shd w:val="clear" w:color="auto" w:fill="auto"/>
            <w:hideMark/>
          </w:tcPr>
          <w:p w:rsidR="00B579F4" w:rsidRPr="002E2F7F" w:rsidP="00173BF2" w14:paraId="49EEFBB5" w14:textId="7B0124A5">
            <w:pPr>
              <w:spacing w:after="0" w:line="240" w:lineRule="auto"/>
              <w:ind w:left="-42"/>
              <w:rPr>
                <w:b/>
                <w:bCs/>
                <w:sz w:val="18"/>
                <w:szCs w:val="18"/>
              </w:rPr>
            </w:pPr>
            <w:r w:rsidRPr="002E2F7F">
              <w:rPr>
                <w:b/>
                <w:bCs/>
                <w:sz w:val="18"/>
                <w:szCs w:val="18"/>
              </w:rPr>
              <w:t>Total Cost</w:t>
            </w:r>
            <w:r w:rsidRPr="002E2F7F" w:rsidR="00B05E59">
              <w:rPr>
                <w:b/>
                <w:bCs/>
                <w:sz w:val="18"/>
                <w:szCs w:val="18"/>
              </w:rPr>
              <w:t xml:space="preserve"> ($)</w:t>
            </w:r>
          </w:p>
        </w:tc>
      </w:tr>
      <w:tr w14:paraId="1E775A7F" w14:textId="77777777" w:rsidTr="00806E5A">
        <w:tblPrEx>
          <w:tblW w:w="9718" w:type="dxa"/>
          <w:tblInd w:w="355" w:type="dxa"/>
          <w:tblLook w:val="04A0"/>
        </w:tblPrEx>
        <w:trPr>
          <w:trHeight w:val="300"/>
        </w:trPr>
        <w:tc>
          <w:tcPr>
            <w:tcW w:w="1530" w:type="dxa"/>
            <w:tcBorders>
              <w:top w:val="nil"/>
              <w:left w:val="single" w:sz="4" w:space="0" w:color="auto"/>
              <w:bottom w:val="single" w:sz="4" w:space="0" w:color="auto"/>
              <w:right w:val="single" w:sz="4" w:space="0" w:color="auto"/>
            </w:tcBorders>
            <w:shd w:val="clear" w:color="auto" w:fill="auto"/>
            <w:noWrap/>
            <w:hideMark/>
          </w:tcPr>
          <w:p w:rsidR="00B579F4" w:rsidRPr="0040005A" w:rsidP="00173BF2" w14:paraId="2A460D3C" w14:textId="77777777">
            <w:pPr>
              <w:spacing w:after="0" w:line="240" w:lineRule="auto"/>
              <w:ind w:left="-24" w:right="40"/>
              <w:rPr>
                <w:bCs/>
                <w:sz w:val="18"/>
                <w:szCs w:val="18"/>
                <w14:ligatures w14:val="standardContextual"/>
              </w:rPr>
            </w:pPr>
            <w:r w:rsidRPr="0040005A">
              <w:rPr>
                <w:bCs/>
                <w:sz w:val="18"/>
                <w:szCs w:val="18"/>
                <w14:ligatures w14:val="standardContextual"/>
              </w:rPr>
              <w:t>423.153(f)(2)</w:t>
            </w:r>
          </w:p>
          <w:p w:rsidR="00B579F4" w:rsidRPr="007820EF" w:rsidP="00173BF2" w14:paraId="5C7683BF" w14:textId="77777777">
            <w:pPr>
              <w:spacing w:after="0" w:line="240" w:lineRule="auto"/>
              <w:ind w:left="-24"/>
              <w:rPr>
                <w:bCs/>
                <w:sz w:val="18"/>
                <w:szCs w:val="18"/>
              </w:rPr>
            </w:pPr>
          </w:p>
        </w:tc>
        <w:tc>
          <w:tcPr>
            <w:tcW w:w="1493" w:type="dxa"/>
            <w:tcBorders>
              <w:top w:val="nil"/>
              <w:left w:val="nil"/>
              <w:bottom w:val="single" w:sz="4" w:space="0" w:color="auto"/>
              <w:right w:val="single" w:sz="4" w:space="0" w:color="auto"/>
            </w:tcBorders>
            <w:shd w:val="clear" w:color="auto" w:fill="auto"/>
            <w:noWrap/>
            <w:hideMark/>
          </w:tcPr>
          <w:p w:rsidR="00B579F4" w:rsidRPr="0040005A" w:rsidP="00173BF2" w14:paraId="49A92521" w14:textId="77777777">
            <w:pPr>
              <w:spacing w:after="0" w:line="240" w:lineRule="auto"/>
              <w:ind w:left="-74" w:right="40"/>
              <w:rPr>
                <w:bCs/>
                <w:sz w:val="18"/>
                <w:szCs w:val="18"/>
                <w14:ligatures w14:val="standardContextual"/>
              </w:rPr>
            </w:pPr>
            <w:r w:rsidRPr="0040005A">
              <w:rPr>
                <w:bCs/>
                <w:sz w:val="18"/>
                <w:szCs w:val="18"/>
                <w14:ligatures w14:val="standardContextual"/>
              </w:rPr>
              <w:t>Conduct Case Management</w:t>
            </w:r>
          </w:p>
          <w:p w:rsidR="00B579F4" w:rsidRPr="007820EF" w:rsidP="00173BF2" w14:paraId="79024EA8" w14:textId="77777777">
            <w:pPr>
              <w:spacing w:after="0" w:line="240" w:lineRule="auto"/>
              <w:ind w:left="-74"/>
              <w:rPr>
                <w:bCs/>
                <w:sz w:val="18"/>
                <w:szCs w:val="18"/>
              </w:rPr>
            </w:pPr>
            <w:r w:rsidRPr="0040005A">
              <w:rPr>
                <w:bCs/>
                <w:sz w:val="18"/>
                <w:szCs w:val="18"/>
                <w14:ligatures w14:val="standardContextual"/>
              </w:rPr>
              <w:t>(Annualized)</w:t>
            </w:r>
          </w:p>
        </w:tc>
        <w:tc>
          <w:tcPr>
            <w:tcW w:w="1325" w:type="dxa"/>
            <w:tcBorders>
              <w:top w:val="nil"/>
              <w:left w:val="nil"/>
              <w:bottom w:val="single" w:sz="4" w:space="0" w:color="auto"/>
              <w:right w:val="single" w:sz="4" w:space="0" w:color="auto"/>
            </w:tcBorders>
            <w:shd w:val="clear" w:color="auto" w:fill="auto"/>
            <w:noWrap/>
            <w:hideMark/>
          </w:tcPr>
          <w:p w:rsidR="00B579F4" w:rsidRPr="002E2F7F" w:rsidP="00173BF2" w14:paraId="689083E8" w14:textId="77777777">
            <w:pPr>
              <w:spacing w:after="0" w:line="240" w:lineRule="auto"/>
              <w:ind w:left="-7"/>
              <w:rPr>
                <w:sz w:val="18"/>
                <w:szCs w:val="18"/>
              </w:rPr>
            </w:pPr>
            <w:r w:rsidRPr="002E2F7F">
              <w:rPr>
                <w:sz w:val="18"/>
                <w:szCs w:val="18"/>
              </w:rPr>
              <w:t>306</w:t>
            </w:r>
          </w:p>
        </w:tc>
        <w:tc>
          <w:tcPr>
            <w:tcW w:w="1108" w:type="dxa"/>
            <w:tcBorders>
              <w:top w:val="nil"/>
              <w:left w:val="nil"/>
              <w:bottom w:val="single" w:sz="4" w:space="0" w:color="auto"/>
              <w:right w:val="single" w:sz="4" w:space="0" w:color="auto"/>
            </w:tcBorders>
            <w:shd w:val="clear" w:color="auto" w:fill="auto"/>
            <w:noWrap/>
            <w:hideMark/>
          </w:tcPr>
          <w:p w:rsidR="00B579F4" w:rsidRPr="002E2F7F" w:rsidP="00173BF2" w14:paraId="0B21454F" w14:textId="77777777">
            <w:pPr>
              <w:spacing w:after="0" w:line="240" w:lineRule="auto"/>
              <w:ind w:left="0"/>
              <w:rPr>
                <w:sz w:val="18"/>
                <w:szCs w:val="18"/>
              </w:rPr>
            </w:pPr>
            <w:r w:rsidRPr="002E2F7F">
              <w:rPr>
                <w:sz w:val="18"/>
                <w:szCs w:val="18"/>
              </w:rPr>
              <w:t>35,771</w:t>
            </w:r>
          </w:p>
        </w:tc>
        <w:tc>
          <w:tcPr>
            <w:tcW w:w="1023" w:type="dxa"/>
            <w:tcBorders>
              <w:top w:val="nil"/>
              <w:left w:val="nil"/>
              <w:bottom w:val="single" w:sz="4" w:space="0" w:color="auto"/>
              <w:right w:val="single" w:sz="4" w:space="0" w:color="auto"/>
            </w:tcBorders>
            <w:shd w:val="clear" w:color="auto" w:fill="auto"/>
            <w:noWrap/>
            <w:hideMark/>
          </w:tcPr>
          <w:p w:rsidR="00B579F4" w:rsidRPr="002E2F7F" w:rsidP="00173BF2" w14:paraId="166C9C01" w14:textId="77777777">
            <w:pPr>
              <w:spacing w:after="0" w:line="240" w:lineRule="auto"/>
              <w:ind w:left="29"/>
              <w:rPr>
                <w:sz w:val="18"/>
                <w:szCs w:val="18"/>
              </w:rPr>
            </w:pPr>
            <w:r w:rsidRPr="002E2F7F">
              <w:rPr>
                <w:sz w:val="18"/>
                <w:szCs w:val="18"/>
              </w:rPr>
              <w:t>5</w:t>
            </w:r>
          </w:p>
        </w:tc>
        <w:tc>
          <w:tcPr>
            <w:tcW w:w="933" w:type="dxa"/>
            <w:tcBorders>
              <w:top w:val="nil"/>
              <w:left w:val="nil"/>
              <w:bottom w:val="single" w:sz="4" w:space="0" w:color="auto"/>
              <w:right w:val="single" w:sz="4" w:space="0" w:color="auto"/>
            </w:tcBorders>
            <w:shd w:val="clear" w:color="auto" w:fill="auto"/>
            <w:noWrap/>
            <w:hideMark/>
          </w:tcPr>
          <w:p w:rsidR="00B579F4" w:rsidRPr="002E2F7F" w:rsidP="00173BF2" w14:paraId="5FA97D98" w14:textId="77777777">
            <w:pPr>
              <w:spacing w:after="0" w:line="240" w:lineRule="auto"/>
              <w:ind w:left="-30"/>
              <w:rPr>
                <w:sz w:val="18"/>
                <w:szCs w:val="18"/>
              </w:rPr>
            </w:pPr>
            <w:r w:rsidRPr="002E2F7F">
              <w:rPr>
                <w:sz w:val="18"/>
                <w:szCs w:val="18"/>
              </w:rPr>
              <w:t>178,855</w:t>
            </w:r>
          </w:p>
        </w:tc>
        <w:tc>
          <w:tcPr>
            <w:tcW w:w="824" w:type="dxa"/>
            <w:tcBorders>
              <w:top w:val="nil"/>
              <w:left w:val="nil"/>
              <w:bottom w:val="single" w:sz="4" w:space="0" w:color="auto"/>
              <w:right w:val="single" w:sz="4" w:space="0" w:color="auto"/>
            </w:tcBorders>
            <w:shd w:val="clear" w:color="auto" w:fill="auto"/>
            <w:noWrap/>
            <w:hideMark/>
          </w:tcPr>
          <w:p w:rsidR="00B579F4" w:rsidRPr="002E2F7F" w:rsidP="00173BF2" w14:paraId="04442902" w14:textId="5EC19B2D">
            <w:pPr>
              <w:spacing w:after="0" w:line="240" w:lineRule="auto"/>
              <w:ind w:left="-57"/>
              <w:rPr>
                <w:sz w:val="18"/>
                <w:szCs w:val="18"/>
              </w:rPr>
            </w:pPr>
            <w:r w:rsidRPr="00D9634B">
              <w:rPr>
                <w:sz w:val="18"/>
                <w:szCs w:val="18"/>
              </w:rPr>
              <w:t>116.33</w:t>
            </w:r>
          </w:p>
        </w:tc>
        <w:tc>
          <w:tcPr>
            <w:tcW w:w="1482" w:type="dxa"/>
            <w:tcBorders>
              <w:top w:val="nil"/>
              <w:left w:val="nil"/>
              <w:bottom w:val="single" w:sz="4" w:space="0" w:color="auto"/>
              <w:right w:val="single" w:sz="4" w:space="0" w:color="auto"/>
            </w:tcBorders>
            <w:shd w:val="clear" w:color="auto" w:fill="auto"/>
            <w:noWrap/>
            <w:hideMark/>
          </w:tcPr>
          <w:p w:rsidR="00B579F4" w:rsidRPr="002E2F7F" w:rsidP="00173BF2" w14:paraId="45E5DDB6" w14:textId="446B00D0">
            <w:pPr>
              <w:spacing w:after="0" w:line="240" w:lineRule="auto"/>
              <w:ind w:left="0"/>
              <w:rPr>
                <w:sz w:val="18"/>
                <w:szCs w:val="18"/>
              </w:rPr>
            </w:pPr>
            <w:r>
              <w:rPr>
                <w:sz w:val="18"/>
                <w:szCs w:val="18"/>
              </w:rPr>
              <w:t>20,806,202</w:t>
            </w:r>
            <w:r w:rsidRPr="002E2F7F">
              <w:rPr>
                <w:sz w:val="18"/>
                <w:szCs w:val="18"/>
              </w:rPr>
              <w:t xml:space="preserve"> </w:t>
            </w:r>
          </w:p>
        </w:tc>
      </w:tr>
      <w:tr w14:paraId="64C2CEB3" w14:textId="77777777" w:rsidTr="00806E5A">
        <w:tblPrEx>
          <w:tblW w:w="9718" w:type="dxa"/>
          <w:tblInd w:w="355" w:type="dxa"/>
          <w:tblLook w:val="04A0"/>
        </w:tblPrEx>
        <w:trPr>
          <w:trHeight w:val="288"/>
        </w:trPr>
        <w:tc>
          <w:tcPr>
            <w:tcW w:w="1530" w:type="dxa"/>
            <w:tcBorders>
              <w:top w:val="nil"/>
              <w:left w:val="single" w:sz="4" w:space="0" w:color="auto"/>
              <w:bottom w:val="single" w:sz="4" w:space="0" w:color="auto"/>
              <w:right w:val="single" w:sz="4" w:space="0" w:color="auto"/>
            </w:tcBorders>
            <w:shd w:val="clear" w:color="auto" w:fill="auto"/>
            <w:noWrap/>
            <w:hideMark/>
          </w:tcPr>
          <w:p w:rsidR="00B579F4" w:rsidRPr="0040005A" w:rsidP="00173BF2" w14:paraId="63D789A2" w14:textId="77068A0D">
            <w:pPr>
              <w:spacing w:after="0" w:line="240" w:lineRule="auto"/>
              <w:ind w:left="-24" w:right="40"/>
              <w:rPr>
                <w:bCs/>
                <w:sz w:val="18"/>
                <w:szCs w:val="18"/>
                <w14:ligatures w14:val="standardContextual"/>
              </w:rPr>
            </w:pPr>
            <w:r w:rsidRPr="0040005A">
              <w:rPr>
                <w:bCs/>
                <w:sz w:val="18"/>
                <w:szCs w:val="18"/>
                <w14:ligatures w14:val="standardContextual"/>
              </w:rPr>
              <w:t>423.153(f)(5</w:t>
            </w:r>
            <w:r w:rsidRPr="0040005A" w:rsidR="00C23C26">
              <w:rPr>
                <w:bCs/>
                <w:sz w:val="18"/>
                <w:szCs w:val="18"/>
                <w14:ligatures w14:val="standardContextual"/>
              </w:rPr>
              <w:t>) (</w:t>
            </w:r>
            <w:r w:rsidRPr="0040005A">
              <w:rPr>
                <w:bCs/>
                <w:sz w:val="18"/>
                <w:szCs w:val="18"/>
                <w14:ligatures w14:val="standardContextual"/>
              </w:rPr>
              <w:t xml:space="preserve">8) </w:t>
            </w:r>
          </w:p>
          <w:p w:rsidR="00B579F4" w:rsidRPr="007820EF" w:rsidP="00173BF2" w14:paraId="5EC80156" w14:textId="77777777">
            <w:pPr>
              <w:spacing w:after="0" w:line="240" w:lineRule="auto"/>
              <w:ind w:left="-24"/>
              <w:rPr>
                <w:bCs/>
                <w:sz w:val="18"/>
                <w:szCs w:val="18"/>
              </w:rPr>
            </w:pPr>
          </w:p>
        </w:tc>
        <w:tc>
          <w:tcPr>
            <w:tcW w:w="1493" w:type="dxa"/>
            <w:tcBorders>
              <w:top w:val="nil"/>
              <w:left w:val="nil"/>
              <w:bottom w:val="single" w:sz="4" w:space="0" w:color="auto"/>
              <w:right w:val="single" w:sz="4" w:space="0" w:color="auto"/>
            </w:tcBorders>
            <w:shd w:val="clear" w:color="auto" w:fill="auto"/>
            <w:noWrap/>
            <w:hideMark/>
          </w:tcPr>
          <w:p w:rsidR="00B579F4" w:rsidRPr="0040005A" w:rsidP="00173BF2" w14:paraId="39E83941" w14:textId="77777777">
            <w:pPr>
              <w:spacing w:after="0" w:line="240" w:lineRule="auto"/>
              <w:ind w:left="-74" w:right="40"/>
              <w:rPr>
                <w:bCs/>
                <w:sz w:val="18"/>
                <w:szCs w:val="18"/>
                <w14:ligatures w14:val="standardContextual"/>
              </w:rPr>
            </w:pPr>
            <w:r w:rsidRPr="0040005A">
              <w:rPr>
                <w:bCs/>
                <w:sz w:val="18"/>
                <w:szCs w:val="18"/>
                <w14:ligatures w14:val="standardContextual"/>
              </w:rPr>
              <w:t xml:space="preserve">Send </w:t>
            </w:r>
          </w:p>
          <w:p w:rsidR="00B579F4" w:rsidRPr="0040005A" w:rsidP="00173BF2" w14:paraId="1CE93381" w14:textId="77777777">
            <w:pPr>
              <w:spacing w:after="0" w:line="240" w:lineRule="auto"/>
              <w:ind w:left="-74" w:right="40"/>
              <w:rPr>
                <w:bCs/>
                <w:sz w:val="18"/>
                <w:szCs w:val="18"/>
                <w14:ligatures w14:val="standardContextual"/>
              </w:rPr>
            </w:pPr>
            <w:r w:rsidRPr="0040005A">
              <w:rPr>
                <w:bCs/>
                <w:sz w:val="18"/>
                <w:szCs w:val="18"/>
                <w14:ligatures w14:val="standardContextual"/>
              </w:rPr>
              <w:t>Notices</w:t>
            </w:r>
          </w:p>
          <w:p w:rsidR="00B579F4" w:rsidRPr="007820EF" w:rsidP="00173BF2" w14:paraId="39699AE1" w14:textId="77777777">
            <w:pPr>
              <w:spacing w:after="0" w:line="240" w:lineRule="auto"/>
              <w:ind w:left="-74"/>
              <w:rPr>
                <w:bCs/>
                <w:sz w:val="18"/>
                <w:szCs w:val="18"/>
              </w:rPr>
            </w:pPr>
            <w:r w:rsidRPr="0040005A">
              <w:rPr>
                <w:bCs/>
                <w:sz w:val="18"/>
                <w:szCs w:val="18"/>
                <w14:ligatures w14:val="standardContextual"/>
              </w:rPr>
              <w:t>(Annualized)</w:t>
            </w:r>
          </w:p>
        </w:tc>
        <w:tc>
          <w:tcPr>
            <w:tcW w:w="1325" w:type="dxa"/>
            <w:tcBorders>
              <w:top w:val="nil"/>
              <w:left w:val="nil"/>
              <w:bottom w:val="single" w:sz="4" w:space="0" w:color="auto"/>
              <w:right w:val="single" w:sz="4" w:space="0" w:color="auto"/>
            </w:tcBorders>
            <w:shd w:val="clear" w:color="auto" w:fill="auto"/>
            <w:noWrap/>
            <w:hideMark/>
          </w:tcPr>
          <w:p w:rsidR="00B579F4" w:rsidRPr="002E2F7F" w:rsidP="00173BF2" w14:paraId="23677A5D" w14:textId="77777777">
            <w:pPr>
              <w:spacing w:after="0" w:line="240" w:lineRule="auto"/>
              <w:ind w:left="-7"/>
              <w:rPr>
                <w:sz w:val="18"/>
                <w:szCs w:val="18"/>
              </w:rPr>
            </w:pPr>
            <w:r w:rsidRPr="002E2F7F">
              <w:rPr>
                <w:sz w:val="18"/>
                <w:szCs w:val="18"/>
              </w:rPr>
              <w:t>306</w:t>
            </w:r>
          </w:p>
        </w:tc>
        <w:tc>
          <w:tcPr>
            <w:tcW w:w="1108" w:type="dxa"/>
            <w:tcBorders>
              <w:top w:val="nil"/>
              <w:left w:val="nil"/>
              <w:bottom w:val="single" w:sz="4" w:space="0" w:color="auto"/>
              <w:right w:val="single" w:sz="4" w:space="0" w:color="auto"/>
            </w:tcBorders>
            <w:shd w:val="clear" w:color="auto" w:fill="auto"/>
            <w:noWrap/>
            <w:hideMark/>
          </w:tcPr>
          <w:p w:rsidR="00B579F4" w:rsidRPr="002E2F7F" w:rsidP="00173BF2" w14:paraId="53CE0658" w14:textId="77777777">
            <w:pPr>
              <w:spacing w:after="0" w:line="240" w:lineRule="auto"/>
              <w:ind w:left="0"/>
              <w:rPr>
                <w:sz w:val="18"/>
                <w:szCs w:val="18"/>
              </w:rPr>
            </w:pPr>
            <w:r w:rsidRPr="002E2F7F">
              <w:rPr>
                <w:sz w:val="18"/>
                <w:szCs w:val="18"/>
              </w:rPr>
              <w:t>7,911</w:t>
            </w:r>
          </w:p>
        </w:tc>
        <w:tc>
          <w:tcPr>
            <w:tcW w:w="1023" w:type="dxa"/>
            <w:tcBorders>
              <w:top w:val="nil"/>
              <w:left w:val="nil"/>
              <w:bottom w:val="single" w:sz="4" w:space="0" w:color="auto"/>
              <w:right w:val="single" w:sz="4" w:space="0" w:color="auto"/>
            </w:tcBorders>
            <w:shd w:val="clear" w:color="auto" w:fill="auto"/>
            <w:noWrap/>
            <w:hideMark/>
          </w:tcPr>
          <w:p w:rsidR="00B579F4" w:rsidRPr="002E2F7F" w:rsidP="00173BF2" w14:paraId="21D63F87" w14:textId="77777777">
            <w:pPr>
              <w:spacing w:after="0" w:line="240" w:lineRule="auto"/>
              <w:ind w:left="29"/>
              <w:rPr>
                <w:sz w:val="18"/>
                <w:szCs w:val="18"/>
              </w:rPr>
            </w:pPr>
            <w:r w:rsidRPr="002E2F7F">
              <w:rPr>
                <w:sz w:val="18"/>
                <w:szCs w:val="18"/>
              </w:rPr>
              <w:t>0.1667</w:t>
            </w:r>
          </w:p>
        </w:tc>
        <w:tc>
          <w:tcPr>
            <w:tcW w:w="933" w:type="dxa"/>
            <w:tcBorders>
              <w:top w:val="nil"/>
              <w:left w:val="nil"/>
              <w:bottom w:val="single" w:sz="4" w:space="0" w:color="auto"/>
              <w:right w:val="single" w:sz="4" w:space="0" w:color="auto"/>
            </w:tcBorders>
            <w:shd w:val="clear" w:color="auto" w:fill="auto"/>
            <w:noWrap/>
            <w:hideMark/>
          </w:tcPr>
          <w:p w:rsidR="00B579F4" w:rsidRPr="002E2F7F" w:rsidP="00173BF2" w14:paraId="334FE48D" w14:textId="77777777">
            <w:pPr>
              <w:spacing w:after="0" w:line="240" w:lineRule="auto"/>
              <w:ind w:left="-30"/>
              <w:rPr>
                <w:sz w:val="18"/>
                <w:szCs w:val="18"/>
              </w:rPr>
            </w:pPr>
            <w:r w:rsidRPr="002E2F7F">
              <w:rPr>
                <w:sz w:val="18"/>
                <w:szCs w:val="18"/>
              </w:rPr>
              <w:t>1,319</w:t>
            </w:r>
          </w:p>
        </w:tc>
        <w:tc>
          <w:tcPr>
            <w:tcW w:w="824" w:type="dxa"/>
            <w:tcBorders>
              <w:top w:val="nil"/>
              <w:left w:val="nil"/>
              <w:bottom w:val="single" w:sz="4" w:space="0" w:color="auto"/>
              <w:right w:val="single" w:sz="4" w:space="0" w:color="auto"/>
            </w:tcBorders>
            <w:shd w:val="clear" w:color="auto" w:fill="auto"/>
            <w:noWrap/>
            <w:hideMark/>
          </w:tcPr>
          <w:p w:rsidR="00B579F4" w:rsidRPr="002E2F7F" w:rsidP="00173BF2" w14:paraId="1AFFCC24" w14:textId="580B01E1">
            <w:pPr>
              <w:spacing w:after="0" w:line="240" w:lineRule="auto"/>
              <w:ind w:left="-85" w:firstLine="0"/>
              <w:rPr>
                <w:sz w:val="18"/>
                <w:szCs w:val="18"/>
              </w:rPr>
            </w:pPr>
            <w:r w:rsidRPr="00151FAD">
              <w:rPr>
                <w:sz w:val="18"/>
                <w:szCs w:val="18"/>
              </w:rPr>
              <w:t>41.66</w:t>
            </w:r>
          </w:p>
        </w:tc>
        <w:tc>
          <w:tcPr>
            <w:tcW w:w="1482" w:type="dxa"/>
            <w:tcBorders>
              <w:top w:val="nil"/>
              <w:left w:val="nil"/>
              <w:bottom w:val="single" w:sz="4" w:space="0" w:color="auto"/>
              <w:right w:val="single" w:sz="4" w:space="0" w:color="auto"/>
            </w:tcBorders>
            <w:shd w:val="clear" w:color="auto" w:fill="auto"/>
            <w:noWrap/>
            <w:hideMark/>
          </w:tcPr>
          <w:p w:rsidR="00B579F4" w:rsidRPr="002E2F7F" w:rsidP="00173BF2" w14:paraId="62474F87" w14:textId="3953F82B">
            <w:pPr>
              <w:spacing w:after="0" w:line="240" w:lineRule="auto"/>
              <w:ind w:left="0" w:firstLine="0"/>
              <w:rPr>
                <w:sz w:val="18"/>
                <w:szCs w:val="18"/>
              </w:rPr>
            </w:pPr>
            <w:r>
              <w:rPr>
                <w:sz w:val="18"/>
                <w:szCs w:val="18"/>
              </w:rPr>
              <w:t>54,950</w:t>
            </w:r>
            <w:r w:rsidRPr="002E2F7F">
              <w:rPr>
                <w:sz w:val="18"/>
                <w:szCs w:val="18"/>
              </w:rPr>
              <w:t xml:space="preserve"> </w:t>
            </w:r>
          </w:p>
        </w:tc>
      </w:tr>
      <w:tr w14:paraId="4D94DF8F" w14:textId="77777777" w:rsidTr="00F86777">
        <w:tblPrEx>
          <w:tblW w:w="9718" w:type="dxa"/>
          <w:tblInd w:w="355" w:type="dxa"/>
          <w:tblLook w:val="04A0"/>
        </w:tblPrEx>
        <w:trPr>
          <w:trHeight w:val="288"/>
        </w:trPr>
        <w:tc>
          <w:tcPr>
            <w:tcW w:w="1530" w:type="dxa"/>
            <w:tcBorders>
              <w:top w:val="nil"/>
              <w:left w:val="single" w:sz="4" w:space="0" w:color="auto"/>
              <w:bottom w:val="single" w:sz="4" w:space="0" w:color="auto"/>
              <w:right w:val="single" w:sz="4" w:space="0" w:color="auto"/>
            </w:tcBorders>
            <w:shd w:val="clear" w:color="auto" w:fill="auto"/>
            <w:noWrap/>
            <w:hideMark/>
          </w:tcPr>
          <w:p w:rsidR="00B579F4" w:rsidRPr="0040005A" w:rsidP="00173BF2" w14:paraId="20808F02" w14:textId="77777777">
            <w:pPr>
              <w:spacing w:after="0" w:line="240" w:lineRule="auto"/>
              <w:ind w:left="-24" w:right="40"/>
              <w:rPr>
                <w:bCs/>
                <w:sz w:val="18"/>
                <w:szCs w:val="18"/>
                <w14:ligatures w14:val="standardContextual"/>
              </w:rPr>
            </w:pPr>
            <w:r w:rsidRPr="0040005A">
              <w:rPr>
                <w:bCs/>
                <w:sz w:val="18"/>
                <w:szCs w:val="18"/>
                <w14:ligatures w14:val="standardContextual"/>
              </w:rPr>
              <w:t>423.153(f)(15)</w:t>
            </w:r>
          </w:p>
          <w:p w:rsidR="00B579F4" w:rsidRPr="007820EF" w:rsidP="00173BF2" w14:paraId="7EFAFB5E" w14:textId="77777777">
            <w:pPr>
              <w:spacing w:after="0" w:line="240" w:lineRule="auto"/>
              <w:ind w:left="-24"/>
              <w:rPr>
                <w:bCs/>
                <w:sz w:val="18"/>
                <w:szCs w:val="18"/>
              </w:rPr>
            </w:pPr>
          </w:p>
        </w:tc>
        <w:tc>
          <w:tcPr>
            <w:tcW w:w="1493" w:type="dxa"/>
            <w:tcBorders>
              <w:top w:val="nil"/>
              <w:left w:val="nil"/>
              <w:bottom w:val="single" w:sz="4" w:space="0" w:color="auto"/>
              <w:right w:val="single" w:sz="4" w:space="0" w:color="auto"/>
            </w:tcBorders>
            <w:shd w:val="clear" w:color="auto" w:fill="auto"/>
            <w:noWrap/>
            <w:hideMark/>
          </w:tcPr>
          <w:p w:rsidR="00B579F4" w:rsidRPr="0040005A" w:rsidP="00173BF2" w14:paraId="7D8A3576" w14:textId="77777777">
            <w:pPr>
              <w:spacing w:after="0" w:line="240" w:lineRule="auto"/>
              <w:ind w:left="-74" w:right="40"/>
              <w:rPr>
                <w:bCs/>
                <w:sz w:val="18"/>
                <w:szCs w:val="18"/>
                <w14:ligatures w14:val="standardContextual"/>
              </w:rPr>
            </w:pPr>
            <w:r w:rsidRPr="0040005A">
              <w:rPr>
                <w:bCs/>
                <w:sz w:val="18"/>
                <w:szCs w:val="18"/>
                <w14:ligatures w14:val="standardContextual"/>
              </w:rPr>
              <w:t xml:space="preserve">Report to CMS </w:t>
            </w:r>
          </w:p>
          <w:p w:rsidR="00B579F4" w:rsidRPr="007820EF" w:rsidP="00173BF2" w14:paraId="3A31FADC" w14:textId="77777777">
            <w:pPr>
              <w:spacing w:after="0" w:line="240" w:lineRule="auto"/>
              <w:ind w:left="-74"/>
              <w:rPr>
                <w:bCs/>
                <w:sz w:val="18"/>
                <w:szCs w:val="18"/>
              </w:rPr>
            </w:pPr>
            <w:r w:rsidRPr="0040005A">
              <w:rPr>
                <w:bCs/>
                <w:sz w:val="18"/>
                <w:szCs w:val="18"/>
                <w14:ligatures w14:val="standardContextual"/>
              </w:rPr>
              <w:t>(Annualized)</w:t>
            </w:r>
          </w:p>
        </w:tc>
        <w:tc>
          <w:tcPr>
            <w:tcW w:w="1325" w:type="dxa"/>
            <w:tcBorders>
              <w:top w:val="nil"/>
              <w:left w:val="nil"/>
              <w:bottom w:val="single" w:sz="4" w:space="0" w:color="auto"/>
              <w:right w:val="single" w:sz="4" w:space="0" w:color="auto"/>
            </w:tcBorders>
            <w:shd w:val="clear" w:color="auto" w:fill="auto"/>
            <w:noWrap/>
            <w:hideMark/>
          </w:tcPr>
          <w:p w:rsidR="00B579F4" w:rsidRPr="002E2F7F" w:rsidP="00173BF2" w14:paraId="2A71A1AA" w14:textId="77777777">
            <w:pPr>
              <w:spacing w:after="0" w:line="240" w:lineRule="auto"/>
              <w:ind w:left="-7"/>
              <w:rPr>
                <w:sz w:val="18"/>
                <w:szCs w:val="18"/>
              </w:rPr>
            </w:pPr>
            <w:r w:rsidRPr="002E2F7F">
              <w:rPr>
                <w:sz w:val="18"/>
                <w:szCs w:val="18"/>
              </w:rPr>
              <w:t>306</w:t>
            </w:r>
          </w:p>
        </w:tc>
        <w:tc>
          <w:tcPr>
            <w:tcW w:w="1108" w:type="dxa"/>
            <w:tcBorders>
              <w:top w:val="nil"/>
              <w:left w:val="nil"/>
              <w:bottom w:val="single" w:sz="4" w:space="0" w:color="auto"/>
              <w:right w:val="single" w:sz="4" w:space="0" w:color="auto"/>
            </w:tcBorders>
            <w:shd w:val="clear" w:color="auto" w:fill="auto"/>
            <w:noWrap/>
            <w:hideMark/>
          </w:tcPr>
          <w:p w:rsidR="00B579F4" w:rsidRPr="002E2F7F" w:rsidP="00173BF2" w14:paraId="6453C522" w14:textId="77777777">
            <w:pPr>
              <w:spacing w:after="0" w:line="240" w:lineRule="auto"/>
              <w:ind w:left="0"/>
              <w:rPr>
                <w:sz w:val="18"/>
                <w:szCs w:val="18"/>
              </w:rPr>
            </w:pPr>
            <w:r w:rsidRPr="002E2F7F">
              <w:rPr>
                <w:sz w:val="18"/>
                <w:szCs w:val="18"/>
              </w:rPr>
              <w:t>35,771</w:t>
            </w:r>
          </w:p>
        </w:tc>
        <w:tc>
          <w:tcPr>
            <w:tcW w:w="1023" w:type="dxa"/>
            <w:tcBorders>
              <w:top w:val="nil"/>
              <w:left w:val="nil"/>
              <w:bottom w:val="single" w:sz="4" w:space="0" w:color="auto"/>
              <w:right w:val="single" w:sz="4" w:space="0" w:color="auto"/>
            </w:tcBorders>
            <w:shd w:val="clear" w:color="auto" w:fill="auto"/>
            <w:noWrap/>
            <w:hideMark/>
          </w:tcPr>
          <w:p w:rsidR="00B579F4" w:rsidRPr="002E2F7F" w:rsidP="00173BF2" w14:paraId="7CBE830A" w14:textId="77777777">
            <w:pPr>
              <w:spacing w:after="0" w:line="240" w:lineRule="auto"/>
              <w:ind w:left="29"/>
              <w:rPr>
                <w:sz w:val="18"/>
                <w:szCs w:val="18"/>
              </w:rPr>
            </w:pPr>
            <w:r w:rsidRPr="002E2F7F">
              <w:rPr>
                <w:sz w:val="18"/>
                <w:szCs w:val="18"/>
              </w:rPr>
              <w:t>0.0167</w:t>
            </w:r>
          </w:p>
        </w:tc>
        <w:tc>
          <w:tcPr>
            <w:tcW w:w="933" w:type="dxa"/>
            <w:tcBorders>
              <w:top w:val="nil"/>
              <w:left w:val="nil"/>
              <w:bottom w:val="single" w:sz="4" w:space="0" w:color="auto"/>
              <w:right w:val="single" w:sz="4" w:space="0" w:color="auto"/>
            </w:tcBorders>
            <w:shd w:val="clear" w:color="auto" w:fill="auto"/>
            <w:noWrap/>
            <w:hideMark/>
          </w:tcPr>
          <w:p w:rsidR="00B579F4" w:rsidRPr="002E2F7F" w:rsidP="00173BF2" w14:paraId="33B600BB" w14:textId="77777777">
            <w:pPr>
              <w:spacing w:after="0" w:line="240" w:lineRule="auto"/>
              <w:ind w:left="-30"/>
              <w:rPr>
                <w:sz w:val="18"/>
                <w:szCs w:val="18"/>
              </w:rPr>
            </w:pPr>
            <w:r w:rsidRPr="002E2F7F">
              <w:rPr>
                <w:sz w:val="18"/>
                <w:szCs w:val="18"/>
              </w:rPr>
              <w:t>597</w:t>
            </w:r>
          </w:p>
        </w:tc>
        <w:tc>
          <w:tcPr>
            <w:tcW w:w="824" w:type="dxa"/>
            <w:tcBorders>
              <w:top w:val="nil"/>
              <w:left w:val="nil"/>
              <w:bottom w:val="single" w:sz="4" w:space="0" w:color="auto"/>
              <w:right w:val="single" w:sz="4" w:space="0" w:color="auto"/>
            </w:tcBorders>
            <w:shd w:val="clear" w:color="auto" w:fill="auto"/>
            <w:noWrap/>
            <w:hideMark/>
          </w:tcPr>
          <w:p w:rsidR="00B579F4" w:rsidRPr="002E2F7F" w:rsidP="00173BF2" w14:paraId="6846E790" w14:textId="656464E2">
            <w:pPr>
              <w:spacing w:after="0" w:line="240" w:lineRule="auto"/>
              <w:ind w:left="-57"/>
              <w:rPr>
                <w:sz w:val="18"/>
                <w:szCs w:val="18"/>
              </w:rPr>
            </w:pPr>
            <w:r w:rsidRPr="00151FAD">
              <w:rPr>
                <w:sz w:val="18"/>
                <w:szCs w:val="18"/>
              </w:rPr>
              <w:t>41.66</w:t>
            </w:r>
          </w:p>
        </w:tc>
        <w:tc>
          <w:tcPr>
            <w:tcW w:w="1482" w:type="dxa"/>
            <w:tcBorders>
              <w:top w:val="nil"/>
              <w:left w:val="nil"/>
              <w:bottom w:val="single" w:sz="4" w:space="0" w:color="auto"/>
              <w:right w:val="single" w:sz="4" w:space="0" w:color="auto"/>
            </w:tcBorders>
            <w:shd w:val="clear" w:color="auto" w:fill="auto"/>
            <w:noWrap/>
            <w:hideMark/>
          </w:tcPr>
          <w:p w:rsidR="00B579F4" w:rsidRPr="002E2F7F" w:rsidP="00173BF2" w14:paraId="280471F7" w14:textId="577F1515">
            <w:pPr>
              <w:spacing w:after="0" w:line="240" w:lineRule="auto"/>
              <w:ind w:left="0"/>
              <w:rPr>
                <w:sz w:val="18"/>
                <w:szCs w:val="18"/>
              </w:rPr>
            </w:pPr>
            <w:r>
              <w:rPr>
                <w:sz w:val="18"/>
                <w:szCs w:val="18"/>
              </w:rPr>
              <w:t>24,871</w:t>
            </w:r>
            <w:r w:rsidRPr="002E2F7F">
              <w:rPr>
                <w:sz w:val="18"/>
                <w:szCs w:val="18"/>
              </w:rPr>
              <w:t xml:space="preserve"> </w:t>
            </w:r>
          </w:p>
        </w:tc>
      </w:tr>
      <w:tr w14:paraId="703E9311" w14:textId="77777777" w:rsidTr="00F86777">
        <w:tblPrEx>
          <w:tblW w:w="9718" w:type="dxa"/>
          <w:tblInd w:w="355" w:type="dxa"/>
          <w:tblLook w:val="04A0"/>
        </w:tblPrEx>
        <w:trPr>
          <w:trHeight w:val="300"/>
        </w:trPr>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C701BD" w:rsidRPr="0040005A" w:rsidP="00173BF2" w14:paraId="63513EB9" w14:textId="77777777">
            <w:pPr>
              <w:spacing w:after="0" w:line="240" w:lineRule="auto"/>
              <w:ind w:left="-24"/>
              <w:rPr>
                <w:b/>
                <w:bCs/>
                <w:sz w:val="18"/>
                <w:szCs w:val="18"/>
              </w:rPr>
            </w:pPr>
            <w:r w:rsidRPr="007820EF">
              <w:rPr>
                <w:b/>
                <w:bCs/>
                <w:sz w:val="18"/>
                <w:szCs w:val="18"/>
                <w14:ligatures w14:val="standardContextual"/>
              </w:rPr>
              <w:t>Total</w:t>
            </w:r>
          </w:p>
        </w:tc>
        <w:tc>
          <w:tcPr>
            <w:tcW w:w="1493"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C701BD" w:rsidRPr="0040005A" w:rsidP="00173BF2" w14:paraId="3EE02DE0" w14:textId="77777777">
            <w:pPr>
              <w:spacing w:after="0" w:line="240" w:lineRule="auto"/>
              <w:ind w:left="-74"/>
              <w:rPr>
                <w:b/>
                <w:bCs/>
                <w:sz w:val="18"/>
                <w:szCs w:val="18"/>
              </w:rPr>
            </w:pPr>
          </w:p>
        </w:tc>
        <w:tc>
          <w:tcPr>
            <w:tcW w:w="1325"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C701BD" w:rsidRPr="0040005A" w:rsidP="00173BF2" w14:paraId="394CCF14" w14:textId="6F94FF85">
            <w:pPr>
              <w:spacing w:after="0" w:line="240" w:lineRule="auto"/>
              <w:ind w:left="-7"/>
              <w:rPr>
                <w:b/>
                <w:bCs/>
                <w:sz w:val="18"/>
                <w:szCs w:val="18"/>
              </w:rPr>
            </w:pPr>
            <w:r w:rsidRPr="0040005A">
              <w:rPr>
                <w:b/>
                <w:bCs/>
                <w:sz w:val="18"/>
                <w:szCs w:val="18"/>
              </w:rPr>
              <w:t>306</w:t>
            </w:r>
          </w:p>
        </w:tc>
        <w:tc>
          <w:tcPr>
            <w:tcW w:w="1108"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C701BD" w:rsidRPr="0040005A" w:rsidP="00173BF2" w14:paraId="52B110E6" w14:textId="2A7C4977">
            <w:pPr>
              <w:spacing w:after="0" w:line="240" w:lineRule="auto"/>
              <w:ind w:left="0"/>
              <w:rPr>
                <w:b/>
                <w:bCs/>
                <w:sz w:val="18"/>
                <w:szCs w:val="18"/>
              </w:rPr>
            </w:pPr>
            <w:r w:rsidRPr="0040005A">
              <w:rPr>
                <w:b/>
                <w:bCs/>
                <w:sz w:val="18"/>
                <w:szCs w:val="18"/>
              </w:rPr>
              <w:t>79,4</w:t>
            </w:r>
            <w:r w:rsidRPr="0040005A" w:rsidR="00843CB3">
              <w:rPr>
                <w:b/>
                <w:bCs/>
                <w:sz w:val="18"/>
                <w:szCs w:val="18"/>
              </w:rPr>
              <w:t>53</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C701BD" w:rsidRPr="0040005A" w:rsidP="00173BF2" w14:paraId="6DE23133" w14:textId="77777777">
            <w:pPr>
              <w:spacing w:after="0" w:line="240" w:lineRule="auto"/>
              <w:ind w:left="29"/>
              <w:rPr>
                <w:b/>
                <w:bCs/>
                <w:sz w:val="18"/>
                <w:szCs w:val="18"/>
              </w:rPr>
            </w:pPr>
            <w:r w:rsidRPr="0040005A">
              <w:rPr>
                <w:b/>
                <w:bCs/>
                <w:sz w:val="18"/>
                <w:szCs w:val="18"/>
              </w:rPr>
              <w:t>Varies</w:t>
            </w:r>
          </w:p>
        </w:tc>
        <w:tc>
          <w:tcPr>
            <w:tcW w:w="933"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C701BD" w:rsidRPr="0040005A" w:rsidP="00173BF2" w14:paraId="19867614" w14:textId="7D1B1A4A">
            <w:pPr>
              <w:spacing w:after="0" w:line="240" w:lineRule="auto"/>
              <w:ind w:left="-30"/>
              <w:rPr>
                <w:b/>
                <w:bCs/>
                <w:sz w:val="18"/>
                <w:szCs w:val="18"/>
              </w:rPr>
            </w:pPr>
            <w:r w:rsidRPr="0040005A">
              <w:rPr>
                <w:b/>
                <w:bCs/>
                <w:sz w:val="18"/>
                <w:szCs w:val="18"/>
              </w:rPr>
              <w:t>180,</w:t>
            </w:r>
            <w:r w:rsidRPr="0040005A" w:rsidR="00541746">
              <w:rPr>
                <w:b/>
                <w:bCs/>
                <w:sz w:val="18"/>
                <w:szCs w:val="18"/>
              </w:rPr>
              <w:t>7</w:t>
            </w:r>
            <w:r w:rsidRPr="0040005A" w:rsidR="00843CB3">
              <w:rPr>
                <w:b/>
                <w:bCs/>
                <w:sz w:val="18"/>
                <w:szCs w:val="18"/>
              </w:rPr>
              <w:t>71</w:t>
            </w:r>
          </w:p>
          <w:p w:rsidR="00C701BD" w:rsidRPr="0040005A" w:rsidP="00173BF2" w14:paraId="566C9D2E" w14:textId="77777777">
            <w:pPr>
              <w:spacing w:after="0" w:line="240" w:lineRule="auto"/>
              <w:ind w:left="-30"/>
              <w:rPr>
                <w:b/>
                <w:bCs/>
                <w:sz w:val="18"/>
                <w:szCs w:val="18"/>
              </w:rPr>
            </w:pPr>
          </w:p>
        </w:tc>
        <w:tc>
          <w:tcPr>
            <w:tcW w:w="824"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C701BD" w:rsidRPr="0040005A" w:rsidP="00173BF2" w14:paraId="1FD6C53B" w14:textId="77777777">
            <w:pPr>
              <w:spacing w:after="0" w:line="240" w:lineRule="auto"/>
              <w:ind w:left="-57"/>
              <w:rPr>
                <w:b/>
                <w:bCs/>
                <w:sz w:val="18"/>
                <w:szCs w:val="18"/>
              </w:rPr>
            </w:pPr>
            <w:r w:rsidRPr="0040005A">
              <w:rPr>
                <w:b/>
                <w:bCs/>
                <w:sz w:val="18"/>
                <w:szCs w:val="18"/>
              </w:rPr>
              <w:t>Varies</w:t>
            </w:r>
          </w:p>
        </w:tc>
        <w:tc>
          <w:tcPr>
            <w:tcW w:w="1482"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C701BD" w:rsidRPr="0040005A" w:rsidP="00173BF2" w14:paraId="0D5921E8" w14:textId="02FDF80C">
            <w:pPr>
              <w:spacing w:after="0" w:line="240" w:lineRule="auto"/>
              <w:ind w:left="0"/>
              <w:rPr>
                <w:b/>
                <w:bCs/>
                <w:sz w:val="18"/>
                <w:szCs w:val="18"/>
              </w:rPr>
            </w:pPr>
            <w:r>
              <w:rPr>
                <w:b/>
                <w:bCs/>
                <w:sz w:val="18"/>
                <w:szCs w:val="18"/>
              </w:rPr>
              <w:t>20,866,023</w:t>
            </w:r>
          </w:p>
          <w:p w:rsidR="00C701BD" w:rsidRPr="0040005A" w:rsidP="00173BF2" w14:paraId="2F7680F9" w14:textId="77777777">
            <w:pPr>
              <w:spacing w:after="0" w:line="240" w:lineRule="auto"/>
              <w:ind w:left="0"/>
              <w:rPr>
                <w:b/>
                <w:bCs/>
                <w:sz w:val="18"/>
                <w:szCs w:val="18"/>
              </w:rPr>
            </w:pPr>
          </w:p>
        </w:tc>
      </w:tr>
    </w:tbl>
    <w:p w:rsidR="00B579F4" w:rsidRPr="002E2F7F" w:rsidP="00173BF2" w14:paraId="4F73AE5A" w14:textId="77777777">
      <w:pPr>
        <w:spacing w:after="0" w:line="240" w:lineRule="auto"/>
        <w:ind w:left="-10" w:right="40" w:hanging="14"/>
        <w:rPr>
          <w:szCs w:val="24"/>
          <w14:ligatures w14:val="standardContextual"/>
        </w:rPr>
      </w:pPr>
    </w:p>
    <w:p w:rsidR="00AD4AAA" w:rsidRPr="002E2F7F" w:rsidP="00173BF2" w14:paraId="000C331E" w14:textId="0C83379D">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firstLine="0"/>
        <w:rPr>
          <w:szCs w:val="24"/>
        </w:rPr>
      </w:pPr>
      <w:r w:rsidRPr="002E2F7F">
        <w:rPr>
          <w:szCs w:val="24"/>
        </w:rPr>
        <w:t>Table 4 presents the estimated burden in this ICR, CMS-10874, which uses the currently approved burden from CMS-10141 as a baseline.</w:t>
      </w:r>
      <w:r w:rsidRPr="002E2F7F" w:rsidR="00734D06">
        <w:rPr>
          <w:szCs w:val="24"/>
        </w:rPr>
        <w:t xml:space="preserve"> The information in Table 4 aligns with the information in Table 2. </w:t>
      </w:r>
    </w:p>
    <w:p w:rsidR="008E5A93" w:rsidRPr="002E2F7F" w:rsidP="00173BF2" w14:paraId="1CDD4B3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hanging="14"/>
        <w:rPr>
          <w:szCs w:val="24"/>
        </w:rPr>
      </w:pPr>
    </w:p>
    <w:p w:rsidR="005C12A8" w:rsidRPr="002E2F7F" w:rsidP="0040005A" w14:paraId="7E3C41FD" w14:textId="4797FD20">
      <w:pPr>
        <w:pStyle w:val="Heading6"/>
        <w:spacing w:after="0" w:line="240" w:lineRule="auto"/>
        <w:ind w:left="360"/>
        <w:rPr>
          <w:b/>
          <w:bCs/>
          <w:szCs w:val="24"/>
        </w:rPr>
      </w:pPr>
      <w:r w:rsidRPr="002E2F7F">
        <w:rPr>
          <w:b/>
          <w:bCs/>
          <w:sz w:val="24"/>
          <w:szCs w:val="24"/>
        </w:rPr>
        <w:t xml:space="preserve">Table </w:t>
      </w:r>
      <w:r w:rsidRPr="002E2F7F" w:rsidR="00AD4AAA">
        <w:rPr>
          <w:b/>
          <w:bCs/>
          <w:sz w:val="24"/>
          <w:szCs w:val="24"/>
        </w:rPr>
        <w:t>4</w:t>
      </w:r>
      <w:r w:rsidRPr="002E2F7F">
        <w:rPr>
          <w:b/>
          <w:bCs/>
          <w:sz w:val="24"/>
          <w:szCs w:val="24"/>
        </w:rPr>
        <w:t xml:space="preserve">: </w:t>
      </w:r>
      <w:r w:rsidRPr="002E2F7F">
        <w:rPr>
          <w:b/>
          <w:bCs/>
          <w:sz w:val="24"/>
          <w:szCs w:val="24"/>
        </w:rPr>
        <w:t>Estimate of Burden in this ICR, CMS-10874</w:t>
      </w:r>
    </w:p>
    <w:tbl>
      <w:tblPr>
        <w:tblW w:w="97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1"/>
        <w:gridCol w:w="1387"/>
        <w:gridCol w:w="1233"/>
        <w:gridCol w:w="1034"/>
        <w:gridCol w:w="956"/>
        <w:gridCol w:w="874"/>
        <w:gridCol w:w="1091"/>
        <w:gridCol w:w="1722"/>
      </w:tblGrid>
      <w:tr w14:paraId="7693A6FA" w14:textId="77777777" w:rsidTr="009F4ED6">
        <w:tblPrEx>
          <w:tblW w:w="97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rPr>
        <w:tc>
          <w:tcPr>
            <w:tcW w:w="1421" w:type="dxa"/>
            <w:shd w:val="clear" w:color="auto" w:fill="auto"/>
            <w:hideMark/>
          </w:tcPr>
          <w:p w:rsidR="005C12A8" w:rsidRPr="002E2F7F" w:rsidP="00173BF2" w14:paraId="0BC617DC" w14:textId="77777777">
            <w:pPr>
              <w:spacing w:after="0" w:line="240" w:lineRule="auto"/>
              <w:ind w:left="-114"/>
              <w:rPr>
                <w:b/>
                <w:bCs/>
                <w:sz w:val="18"/>
                <w:szCs w:val="18"/>
              </w:rPr>
            </w:pPr>
            <w:r w:rsidRPr="002E2F7F">
              <w:rPr>
                <w:b/>
                <w:bCs/>
                <w:sz w:val="18"/>
                <w:szCs w:val="18"/>
              </w:rPr>
              <w:t>Regulatory Citation</w:t>
            </w:r>
          </w:p>
        </w:tc>
        <w:tc>
          <w:tcPr>
            <w:tcW w:w="1387" w:type="dxa"/>
            <w:shd w:val="clear" w:color="auto" w:fill="auto"/>
            <w:hideMark/>
          </w:tcPr>
          <w:p w:rsidR="005C12A8" w:rsidRPr="002E2F7F" w:rsidP="00173BF2" w14:paraId="498E1874" w14:textId="77777777">
            <w:pPr>
              <w:spacing w:after="0" w:line="240" w:lineRule="auto"/>
              <w:ind w:left="-63"/>
              <w:rPr>
                <w:b/>
                <w:bCs/>
                <w:sz w:val="18"/>
                <w:szCs w:val="18"/>
              </w:rPr>
            </w:pPr>
            <w:r w:rsidRPr="002E2F7F">
              <w:rPr>
                <w:b/>
                <w:bCs/>
                <w:sz w:val="18"/>
                <w:szCs w:val="18"/>
              </w:rPr>
              <w:t>Subject</w:t>
            </w:r>
          </w:p>
        </w:tc>
        <w:tc>
          <w:tcPr>
            <w:tcW w:w="1233" w:type="dxa"/>
            <w:shd w:val="clear" w:color="auto" w:fill="auto"/>
            <w:hideMark/>
          </w:tcPr>
          <w:p w:rsidR="005C12A8" w:rsidRPr="002E2F7F" w:rsidP="00173BF2" w14:paraId="6B4D098F" w14:textId="77777777">
            <w:pPr>
              <w:spacing w:after="0" w:line="240" w:lineRule="auto"/>
              <w:ind w:left="-82"/>
              <w:rPr>
                <w:b/>
                <w:bCs/>
                <w:sz w:val="18"/>
                <w:szCs w:val="18"/>
              </w:rPr>
            </w:pPr>
            <w:r w:rsidRPr="002E2F7F">
              <w:rPr>
                <w:b/>
                <w:bCs/>
                <w:sz w:val="18"/>
                <w:szCs w:val="18"/>
              </w:rPr>
              <w:t>Number of respondents</w:t>
            </w:r>
          </w:p>
        </w:tc>
        <w:tc>
          <w:tcPr>
            <w:tcW w:w="1034" w:type="dxa"/>
            <w:shd w:val="clear" w:color="auto" w:fill="auto"/>
            <w:hideMark/>
          </w:tcPr>
          <w:p w:rsidR="005C12A8" w:rsidRPr="002E2F7F" w:rsidP="00173BF2" w14:paraId="0574909D" w14:textId="77777777">
            <w:pPr>
              <w:spacing w:after="0" w:line="240" w:lineRule="auto"/>
              <w:ind w:left="-31"/>
              <w:rPr>
                <w:b/>
                <w:bCs/>
                <w:sz w:val="18"/>
                <w:szCs w:val="18"/>
              </w:rPr>
            </w:pPr>
            <w:r w:rsidRPr="002E2F7F">
              <w:rPr>
                <w:b/>
                <w:bCs/>
                <w:sz w:val="18"/>
                <w:szCs w:val="18"/>
              </w:rPr>
              <w:t>Number of responses</w:t>
            </w:r>
          </w:p>
        </w:tc>
        <w:tc>
          <w:tcPr>
            <w:tcW w:w="956" w:type="dxa"/>
            <w:shd w:val="clear" w:color="auto" w:fill="auto"/>
            <w:hideMark/>
          </w:tcPr>
          <w:p w:rsidR="005C12A8" w:rsidRPr="002E2F7F" w:rsidP="00173BF2" w14:paraId="63DC8C9B" w14:textId="390DA0DF">
            <w:pPr>
              <w:spacing w:after="0" w:line="240" w:lineRule="auto"/>
              <w:ind w:left="-59"/>
              <w:rPr>
                <w:b/>
                <w:bCs/>
                <w:sz w:val="18"/>
                <w:szCs w:val="18"/>
              </w:rPr>
            </w:pPr>
            <w:r w:rsidRPr="002E2F7F">
              <w:rPr>
                <w:b/>
                <w:bCs/>
                <w:sz w:val="18"/>
                <w:szCs w:val="18"/>
              </w:rPr>
              <w:t>Time per response (hr)</w:t>
            </w:r>
          </w:p>
        </w:tc>
        <w:tc>
          <w:tcPr>
            <w:tcW w:w="874" w:type="dxa"/>
            <w:shd w:val="clear" w:color="auto" w:fill="auto"/>
            <w:hideMark/>
          </w:tcPr>
          <w:p w:rsidR="005C12A8" w:rsidRPr="002E2F7F" w:rsidP="00173BF2" w14:paraId="1F0B11A5" w14:textId="77777777">
            <w:pPr>
              <w:spacing w:after="0" w:line="240" w:lineRule="auto"/>
              <w:ind w:left="-62"/>
              <w:rPr>
                <w:b/>
                <w:bCs/>
                <w:sz w:val="18"/>
                <w:szCs w:val="18"/>
              </w:rPr>
            </w:pPr>
            <w:r w:rsidRPr="002E2F7F">
              <w:rPr>
                <w:b/>
                <w:bCs/>
                <w:sz w:val="18"/>
                <w:szCs w:val="18"/>
              </w:rPr>
              <w:t>Total Time (hr)</w:t>
            </w:r>
          </w:p>
        </w:tc>
        <w:tc>
          <w:tcPr>
            <w:tcW w:w="1091" w:type="dxa"/>
            <w:shd w:val="clear" w:color="auto" w:fill="auto"/>
            <w:hideMark/>
          </w:tcPr>
          <w:p w:rsidR="005C12A8" w:rsidRPr="002E2F7F" w:rsidP="00173BF2" w14:paraId="06B099AC" w14:textId="77777777">
            <w:pPr>
              <w:spacing w:after="0" w:line="240" w:lineRule="auto"/>
              <w:ind w:left="-97"/>
              <w:rPr>
                <w:b/>
                <w:bCs/>
                <w:sz w:val="18"/>
                <w:szCs w:val="18"/>
              </w:rPr>
            </w:pPr>
            <w:r w:rsidRPr="002E2F7F">
              <w:rPr>
                <w:b/>
                <w:bCs/>
                <w:sz w:val="18"/>
                <w:szCs w:val="18"/>
              </w:rPr>
              <w:t>Labor Cost ($/hr)</w:t>
            </w:r>
          </w:p>
        </w:tc>
        <w:tc>
          <w:tcPr>
            <w:tcW w:w="1722" w:type="dxa"/>
            <w:shd w:val="clear" w:color="auto" w:fill="auto"/>
            <w:hideMark/>
          </w:tcPr>
          <w:p w:rsidR="005C12A8" w:rsidRPr="002E2F7F" w:rsidP="00173BF2" w14:paraId="40040DD6" w14:textId="77777777">
            <w:pPr>
              <w:spacing w:after="0" w:line="240" w:lineRule="auto"/>
              <w:ind w:left="-42"/>
              <w:rPr>
                <w:b/>
                <w:bCs/>
                <w:sz w:val="18"/>
                <w:szCs w:val="18"/>
              </w:rPr>
            </w:pPr>
            <w:r w:rsidRPr="002E2F7F">
              <w:rPr>
                <w:b/>
                <w:bCs/>
                <w:sz w:val="18"/>
                <w:szCs w:val="18"/>
              </w:rPr>
              <w:t>Total Cost ($)</w:t>
            </w:r>
          </w:p>
        </w:tc>
      </w:tr>
      <w:tr w14:paraId="24E278D6" w14:textId="77777777" w:rsidTr="009F4ED6">
        <w:tblPrEx>
          <w:tblW w:w="9718" w:type="dxa"/>
          <w:tblInd w:w="355" w:type="dxa"/>
          <w:tblLook w:val="04A0"/>
        </w:tblPrEx>
        <w:trPr>
          <w:trHeight w:val="300"/>
        </w:trPr>
        <w:tc>
          <w:tcPr>
            <w:tcW w:w="1421" w:type="dxa"/>
            <w:shd w:val="clear" w:color="auto" w:fill="auto"/>
            <w:noWrap/>
            <w:hideMark/>
          </w:tcPr>
          <w:p w:rsidR="009F4ED6" w:rsidRPr="0040005A" w:rsidP="009F4ED6" w14:paraId="1979B5AA" w14:textId="77777777">
            <w:pPr>
              <w:spacing w:after="0" w:line="240" w:lineRule="auto"/>
              <w:ind w:left="-24" w:right="40"/>
              <w:rPr>
                <w:bCs/>
                <w:sz w:val="18"/>
                <w:szCs w:val="18"/>
                <w14:ligatures w14:val="standardContextual"/>
              </w:rPr>
            </w:pPr>
            <w:r w:rsidRPr="0040005A">
              <w:rPr>
                <w:bCs/>
                <w:sz w:val="18"/>
                <w:szCs w:val="18"/>
                <w14:ligatures w14:val="standardContextual"/>
              </w:rPr>
              <w:t>423.153(f)(2)</w:t>
            </w:r>
          </w:p>
          <w:p w:rsidR="009F4ED6" w:rsidRPr="007820EF" w:rsidP="009F4ED6" w14:paraId="6D3B0383" w14:textId="77777777">
            <w:pPr>
              <w:spacing w:after="0" w:line="240" w:lineRule="auto"/>
              <w:ind w:left="-24"/>
              <w:rPr>
                <w:bCs/>
                <w:sz w:val="18"/>
                <w:szCs w:val="18"/>
              </w:rPr>
            </w:pPr>
          </w:p>
        </w:tc>
        <w:tc>
          <w:tcPr>
            <w:tcW w:w="1387" w:type="dxa"/>
            <w:shd w:val="clear" w:color="auto" w:fill="auto"/>
            <w:noWrap/>
            <w:hideMark/>
          </w:tcPr>
          <w:p w:rsidR="009F4ED6" w:rsidRPr="0040005A" w:rsidP="009F4ED6" w14:paraId="0C02A0BE" w14:textId="77777777">
            <w:pPr>
              <w:spacing w:after="0" w:line="240" w:lineRule="auto"/>
              <w:ind w:left="-74" w:right="40"/>
              <w:rPr>
                <w:bCs/>
                <w:sz w:val="18"/>
                <w:szCs w:val="18"/>
                <w14:ligatures w14:val="standardContextual"/>
              </w:rPr>
            </w:pPr>
            <w:r w:rsidRPr="0040005A">
              <w:rPr>
                <w:bCs/>
                <w:sz w:val="18"/>
                <w:szCs w:val="18"/>
                <w14:ligatures w14:val="standardContextual"/>
              </w:rPr>
              <w:t>Conduct Case Management</w:t>
            </w:r>
          </w:p>
          <w:p w:rsidR="009F4ED6" w:rsidRPr="007820EF" w:rsidP="009F4ED6" w14:paraId="5BDD5F14" w14:textId="77777777">
            <w:pPr>
              <w:spacing w:after="0" w:line="240" w:lineRule="auto"/>
              <w:ind w:left="-74"/>
              <w:rPr>
                <w:bCs/>
                <w:sz w:val="18"/>
                <w:szCs w:val="18"/>
              </w:rPr>
            </w:pPr>
            <w:r w:rsidRPr="0040005A">
              <w:rPr>
                <w:bCs/>
                <w:sz w:val="18"/>
                <w:szCs w:val="18"/>
                <w14:ligatures w14:val="standardContextual"/>
              </w:rPr>
              <w:t>(Annualized)</w:t>
            </w:r>
          </w:p>
        </w:tc>
        <w:tc>
          <w:tcPr>
            <w:tcW w:w="1233" w:type="dxa"/>
            <w:shd w:val="clear" w:color="auto" w:fill="auto"/>
            <w:noWrap/>
            <w:hideMark/>
          </w:tcPr>
          <w:p w:rsidR="009F4ED6" w:rsidRPr="002E2F7F" w:rsidP="009F4ED6" w14:paraId="56957C19" w14:textId="41B91C45">
            <w:pPr>
              <w:spacing w:after="0" w:line="240" w:lineRule="auto"/>
              <w:ind w:left="-7"/>
              <w:rPr>
                <w:sz w:val="18"/>
                <w:szCs w:val="18"/>
              </w:rPr>
            </w:pPr>
            <w:r w:rsidRPr="002E2F7F">
              <w:rPr>
                <w:sz w:val="18"/>
                <w:szCs w:val="18"/>
              </w:rPr>
              <w:t>319</w:t>
            </w:r>
          </w:p>
        </w:tc>
        <w:tc>
          <w:tcPr>
            <w:tcW w:w="1034" w:type="dxa"/>
            <w:shd w:val="clear" w:color="auto" w:fill="auto"/>
            <w:noWrap/>
            <w:hideMark/>
          </w:tcPr>
          <w:p w:rsidR="009F4ED6" w:rsidRPr="002E2F7F" w:rsidP="009F4ED6" w14:paraId="3FC6B242" w14:textId="2A14BD5C">
            <w:pPr>
              <w:spacing w:after="0" w:line="240" w:lineRule="auto"/>
              <w:ind w:left="0"/>
              <w:rPr>
                <w:sz w:val="18"/>
                <w:szCs w:val="18"/>
              </w:rPr>
            </w:pPr>
            <w:r w:rsidRPr="002E2F7F">
              <w:rPr>
                <w:rFonts w:ascii="TimesNewRomanPSMT" w:hAnsi="TimesNewRomanPSMT" w:eastAsiaTheme="minorEastAsia" w:cs="TimesNewRomanPSMT"/>
                <w:color w:val="auto"/>
                <w:sz w:val="18"/>
                <w:szCs w:val="18"/>
              </w:rPr>
              <w:t>30,365</w:t>
            </w:r>
          </w:p>
        </w:tc>
        <w:tc>
          <w:tcPr>
            <w:tcW w:w="956" w:type="dxa"/>
            <w:shd w:val="clear" w:color="auto" w:fill="auto"/>
            <w:noWrap/>
            <w:hideMark/>
          </w:tcPr>
          <w:p w:rsidR="009F4ED6" w:rsidRPr="002E2F7F" w:rsidP="009F4ED6" w14:paraId="44B16C63" w14:textId="77777777">
            <w:pPr>
              <w:spacing w:after="0" w:line="240" w:lineRule="auto"/>
              <w:ind w:left="29"/>
              <w:rPr>
                <w:sz w:val="18"/>
                <w:szCs w:val="18"/>
              </w:rPr>
            </w:pPr>
            <w:r w:rsidRPr="002E2F7F">
              <w:rPr>
                <w:sz w:val="18"/>
                <w:szCs w:val="18"/>
              </w:rPr>
              <w:t>5</w:t>
            </w:r>
          </w:p>
        </w:tc>
        <w:tc>
          <w:tcPr>
            <w:tcW w:w="874" w:type="dxa"/>
            <w:shd w:val="clear" w:color="auto" w:fill="auto"/>
            <w:noWrap/>
            <w:hideMark/>
          </w:tcPr>
          <w:p w:rsidR="009F4ED6" w:rsidRPr="002E2F7F" w:rsidP="009F4ED6" w14:paraId="6597E6B5" w14:textId="0DFB3893">
            <w:pPr>
              <w:spacing w:after="0" w:line="240" w:lineRule="auto"/>
              <w:ind w:left="-30"/>
              <w:rPr>
                <w:sz w:val="18"/>
                <w:szCs w:val="18"/>
              </w:rPr>
            </w:pPr>
            <w:r w:rsidRPr="00AE5C94">
              <w:rPr>
                <w:sz w:val="18"/>
                <w:szCs w:val="18"/>
              </w:rPr>
              <w:t>151</w:t>
            </w:r>
            <w:r>
              <w:rPr>
                <w:sz w:val="18"/>
                <w:szCs w:val="18"/>
              </w:rPr>
              <w:t>,</w:t>
            </w:r>
            <w:r w:rsidRPr="00AE5C94">
              <w:rPr>
                <w:sz w:val="18"/>
                <w:szCs w:val="18"/>
              </w:rPr>
              <w:t>825</w:t>
            </w:r>
          </w:p>
        </w:tc>
        <w:tc>
          <w:tcPr>
            <w:tcW w:w="1091" w:type="dxa"/>
            <w:shd w:val="clear" w:color="auto" w:fill="auto"/>
            <w:noWrap/>
            <w:hideMark/>
          </w:tcPr>
          <w:p w:rsidR="009F4ED6" w:rsidRPr="002E2F7F" w:rsidP="009F4ED6" w14:paraId="0F7A984E" w14:textId="2CD68B2B">
            <w:pPr>
              <w:spacing w:after="0" w:line="240" w:lineRule="auto"/>
              <w:ind w:left="-57"/>
              <w:rPr>
                <w:sz w:val="18"/>
                <w:szCs w:val="18"/>
              </w:rPr>
            </w:pPr>
            <w:r w:rsidRPr="00877DA2">
              <w:rPr>
                <w:sz w:val="18"/>
                <w:szCs w:val="18"/>
                <w14:ligatures w14:val="standardContextual"/>
              </w:rPr>
              <w:t>116.33</w:t>
            </w:r>
          </w:p>
        </w:tc>
        <w:tc>
          <w:tcPr>
            <w:tcW w:w="1722" w:type="dxa"/>
            <w:shd w:val="clear" w:color="auto" w:fill="auto"/>
            <w:noWrap/>
            <w:hideMark/>
          </w:tcPr>
          <w:p w:rsidR="009F4ED6" w:rsidRPr="002E2F7F" w:rsidP="009F4ED6" w14:paraId="6D31A70C" w14:textId="3DA5C298">
            <w:pPr>
              <w:spacing w:after="0" w:line="240" w:lineRule="auto"/>
              <w:ind w:left="0"/>
              <w:rPr>
                <w:sz w:val="18"/>
                <w:szCs w:val="18"/>
              </w:rPr>
            </w:pPr>
            <w:r w:rsidRPr="00877DA2">
              <w:rPr>
                <w:sz w:val="18"/>
                <w:szCs w:val="18"/>
                <w14:ligatures w14:val="standardContextual"/>
              </w:rPr>
              <w:t>17,661,802</w:t>
            </w:r>
          </w:p>
        </w:tc>
      </w:tr>
      <w:tr w14:paraId="00A4C866" w14:textId="77777777" w:rsidTr="009F4ED6">
        <w:tblPrEx>
          <w:tblW w:w="9718" w:type="dxa"/>
          <w:tblInd w:w="355" w:type="dxa"/>
          <w:tblLook w:val="04A0"/>
        </w:tblPrEx>
        <w:trPr>
          <w:trHeight w:val="288"/>
        </w:trPr>
        <w:tc>
          <w:tcPr>
            <w:tcW w:w="1421" w:type="dxa"/>
            <w:shd w:val="clear" w:color="auto" w:fill="auto"/>
            <w:noWrap/>
            <w:hideMark/>
          </w:tcPr>
          <w:p w:rsidR="009F4ED6" w:rsidRPr="0040005A" w:rsidP="009F4ED6" w14:paraId="1F427ECA" w14:textId="6252BF17">
            <w:pPr>
              <w:spacing w:after="0" w:line="240" w:lineRule="auto"/>
              <w:ind w:left="-24" w:right="40"/>
              <w:rPr>
                <w:bCs/>
                <w:sz w:val="18"/>
                <w:szCs w:val="18"/>
                <w14:ligatures w14:val="standardContextual"/>
              </w:rPr>
            </w:pPr>
            <w:r w:rsidRPr="0040005A">
              <w:rPr>
                <w:bCs/>
                <w:sz w:val="18"/>
                <w:szCs w:val="18"/>
                <w14:ligatures w14:val="standardContextual"/>
              </w:rPr>
              <w:t xml:space="preserve">423.153(f)(5) -(8) </w:t>
            </w:r>
          </w:p>
          <w:p w:rsidR="009F4ED6" w:rsidRPr="007820EF" w:rsidP="009F4ED6" w14:paraId="5506C514" w14:textId="77777777">
            <w:pPr>
              <w:spacing w:after="0" w:line="240" w:lineRule="auto"/>
              <w:ind w:left="-24"/>
              <w:rPr>
                <w:bCs/>
                <w:sz w:val="18"/>
                <w:szCs w:val="18"/>
              </w:rPr>
            </w:pPr>
          </w:p>
        </w:tc>
        <w:tc>
          <w:tcPr>
            <w:tcW w:w="1387" w:type="dxa"/>
            <w:shd w:val="clear" w:color="auto" w:fill="auto"/>
            <w:noWrap/>
            <w:hideMark/>
          </w:tcPr>
          <w:p w:rsidR="009F4ED6" w:rsidRPr="0040005A" w:rsidP="009F4ED6" w14:paraId="7FC364DB" w14:textId="77777777">
            <w:pPr>
              <w:spacing w:after="0" w:line="240" w:lineRule="auto"/>
              <w:ind w:left="-74" w:right="40"/>
              <w:rPr>
                <w:bCs/>
                <w:sz w:val="18"/>
                <w:szCs w:val="18"/>
                <w14:ligatures w14:val="standardContextual"/>
              </w:rPr>
            </w:pPr>
            <w:r w:rsidRPr="0040005A">
              <w:rPr>
                <w:bCs/>
                <w:sz w:val="18"/>
                <w:szCs w:val="18"/>
                <w14:ligatures w14:val="standardContextual"/>
              </w:rPr>
              <w:t xml:space="preserve">Send </w:t>
            </w:r>
          </w:p>
          <w:p w:rsidR="009F4ED6" w:rsidRPr="0040005A" w:rsidP="009F4ED6" w14:paraId="06012889" w14:textId="77777777">
            <w:pPr>
              <w:spacing w:after="0" w:line="240" w:lineRule="auto"/>
              <w:ind w:left="-74" w:right="40"/>
              <w:rPr>
                <w:bCs/>
                <w:sz w:val="18"/>
                <w:szCs w:val="18"/>
                <w14:ligatures w14:val="standardContextual"/>
              </w:rPr>
            </w:pPr>
            <w:r w:rsidRPr="0040005A">
              <w:rPr>
                <w:bCs/>
                <w:sz w:val="18"/>
                <w:szCs w:val="18"/>
                <w14:ligatures w14:val="standardContextual"/>
              </w:rPr>
              <w:t>Notices</w:t>
            </w:r>
          </w:p>
          <w:p w:rsidR="009F4ED6" w:rsidRPr="007820EF" w:rsidP="009F4ED6" w14:paraId="757CD6B9" w14:textId="77777777">
            <w:pPr>
              <w:spacing w:after="0" w:line="240" w:lineRule="auto"/>
              <w:ind w:left="-74"/>
              <w:rPr>
                <w:bCs/>
                <w:sz w:val="18"/>
                <w:szCs w:val="18"/>
              </w:rPr>
            </w:pPr>
            <w:r w:rsidRPr="0040005A">
              <w:rPr>
                <w:bCs/>
                <w:sz w:val="18"/>
                <w:szCs w:val="18"/>
                <w14:ligatures w14:val="standardContextual"/>
              </w:rPr>
              <w:t>(Annualized)</w:t>
            </w:r>
          </w:p>
        </w:tc>
        <w:tc>
          <w:tcPr>
            <w:tcW w:w="1233" w:type="dxa"/>
            <w:shd w:val="clear" w:color="auto" w:fill="auto"/>
            <w:noWrap/>
            <w:hideMark/>
          </w:tcPr>
          <w:p w:rsidR="009F4ED6" w:rsidRPr="002E2F7F" w:rsidP="009F4ED6" w14:paraId="514677EF" w14:textId="01E9226B">
            <w:pPr>
              <w:spacing w:after="0" w:line="240" w:lineRule="auto"/>
              <w:ind w:left="-7"/>
              <w:rPr>
                <w:sz w:val="18"/>
                <w:szCs w:val="18"/>
              </w:rPr>
            </w:pPr>
            <w:r w:rsidRPr="002E2F7F">
              <w:rPr>
                <w:sz w:val="18"/>
                <w:szCs w:val="18"/>
              </w:rPr>
              <w:t>319</w:t>
            </w:r>
          </w:p>
        </w:tc>
        <w:tc>
          <w:tcPr>
            <w:tcW w:w="1034" w:type="dxa"/>
            <w:shd w:val="clear" w:color="auto" w:fill="auto"/>
            <w:noWrap/>
            <w:hideMark/>
          </w:tcPr>
          <w:p w:rsidR="009F4ED6" w:rsidRPr="002E2F7F" w:rsidP="009F4ED6" w14:paraId="1773E810" w14:textId="5FC5A2AF">
            <w:pPr>
              <w:spacing w:after="0" w:line="240" w:lineRule="auto"/>
              <w:ind w:left="0"/>
              <w:rPr>
                <w:sz w:val="18"/>
                <w:szCs w:val="18"/>
              </w:rPr>
            </w:pPr>
            <w:r w:rsidRPr="002E2F7F">
              <w:rPr>
                <w:rFonts w:ascii="TimesNewRomanPSMT" w:hAnsi="TimesNewRomanPSMT" w:eastAsiaTheme="minorEastAsia" w:cs="TimesNewRomanPSMT"/>
                <w:color w:val="auto"/>
                <w:sz w:val="18"/>
                <w:szCs w:val="18"/>
              </w:rPr>
              <w:t>1,518</w:t>
            </w:r>
          </w:p>
        </w:tc>
        <w:tc>
          <w:tcPr>
            <w:tcW w:w="956" w:type="dxa"/>
            <w:shd w:val="clear" w:color="auto" w:fill="auto"/>
            <w:noWrap/>
            <w:hideMark/>
          </w:tcPr>
          <w:p w:rsidR="009F4ED6" w:rsidRPr="002E2F7F" w:rsidP="009F4ED6" w14:paraId="549A784A" w14:textId="77777777">
            <w:pPr>
              <w:spacing w:after="0" w:line="240" w:lineRule="auto"/>
              <w:ind w:left="29"/>
              <w:rPr>
                <w:sz w:val="18"/>
                <w:szCs w:val="18"/>
              </w:rPr>
            </w:pPr>
            <w:r w:rsidRPr="002E2F7F">
              <w:rPr>
                <w:sz w:val="18"/>
                <w:szCs w:val="18"/>
              </w:rPr>
              <w:t>0.1667</w:t>
            </w:r>
          </w:p>
        </w:tc>
        <w:tc>
          <w:tcPr>
            <w:tcW w:w="874" w:type="dxa"/>
            <w:shd w:val="clear" w:color="auto" w:fill="auto"/>
            <w:noWrap/>
            <w:hideMark/>
          </w:tcPr>
          <w:p w:rsidR="009F4ED6" w:rsidRPr="002E2F7F" w:rsidP="009F4ED6" w14:paraId="45059DDA" w14:textId="26CE7595">
            <w:pPr>
              <w:spacing w:after="0" w:line="240" w:lineRule="auto"/>
              <w:ind w:left="-30"/>
              <w:rPr>
                <w:sz w:val="18"/>
                <w:szCs w:val="18"/>
              </w:rPr>
            </w:pPr>
            <w:r w:rsidRPr="00AE5C94">
              <w:rPr>
                <w:sz w:val="18"/>
                <w:szCs w:val="18"/>
              </w:rPr>
              <w:t>253</w:t>
            </w:r>
          </w:p>
        </w:tc>
        <w:tc>
          <w:tcPr>
            <w:tcW w:w="1091" w:type="dxa"/>
            <w:shd w:val="clear" w:color="auto" w:fill="auto"/>
            <w:noWrap/>
            <w:hideMark/>
          </w:tcPr>
          <w:p w:rsidR="009F4ED6" w:rsidRPr="002E2F7F" w:rsidP="009F4ED6" w14:paraId="03858E6A" w14:textId="1B27101F">
            <w:pPr>
              <w:spacing w:after="0" w:line="240" w:lineRule="auto"/>
              <w:ind w:left="-85" w:firstLine="0"/>
              <w:rPr>
                <w:sz w:val="18"/>
                <w:szCs w:val="18"/>
              </w:rPr>
            </w:pPr>
            <w:r>
              <w:rPr>
                <w:sz w:val="18"/>
                <w:szCs w:val="18"/>
                <w14:ligatures w14:val="standardContextual"/>
              </w:rPr>
              <w:t>41.66</w:t>
            </w:r>
          </w:p>
        </w:tc>
        <w:tc>
          <w:tcPr>
            <w:tcW w:w="1722" w:type="dxa"/>
            <w:shd w:val="clear" w:color="auto" w:fill="auto"/>
            <w:noWrap/>
            <w:hideMark/>
          </w:tcPr>
          <w:p w:rsidR="009F4ED6" w:rsidRPr="002E2F7F" w:rsidP="009F4ED6" w14:paraId="35B5204C" w14:textId="44A23301">
            <w:pPr>
              <w:spacing w:after="0" w:line="240" w:lineRule="auto"/>
              <w:ind w:left="0" w:firstLine="0"/>
              <w:rPr>
                <w:sz w:val="18"/>
                <w:szCs w:val="18"/>
              </w:rPr>
            </w:pPr>
            <w:r w:rsidRPr="00877DA2">
              <w:rPr>
                <w:sz w:val="18"/>
                <w:szCs w:val="18"/>
                <w14:ligatures w14:val="standardContextual"/>
              </w:rPr>
              <w:t>10,540</w:t>
            </w:r>
          </w:p>
        </w:tc>
      </w:tr>
      <w:tr w14:paraId="6D42C30A" w14:textId="77777777" w:rsidTr="009F4ED6">
        <w:tblPrEx>
          <w:tblW w:w="9718" w:type="dxa"/>
          <w:tblInd w:w="355" w:type="dxa"/>
          <w:tblLook w:val="04A0"/>
        </w:tblPrEx>
        <w:trPr>
          <w:trHeight w:val="288"/>
        </w:trPr>
        <w:tc>
          <w:tcPr>
            <w:tcW w:w="1421" w:type="dxa"/>
            <w:shd w:val="clear" w:color="auto" w:fill="auto"/>
            <w:noWrap/>
            <w:hideMark/>
          </w:tcPr>
          <w:p w:rsidR="009F4ED6" w:rsidRPr="0040005A" w:rsidP="009F4ED6" w14:paraId="4CA89ACA" w14:textId="77777777">
            <w:pPr>
              <w:spacing w:after="0" w:line="240" w:lineRule="auto"/>
              <w:ind w:left="-24" w:right="40"/>
              <w:rPr>
                <w:bCs/>
                <w:sz w:val="18"/>
                <w:szCs w:val="18"/>
                <w14:ligatures w14:val="standardContextual"/>
              </w:rPr>
            </w:pPr>
            <w:r w:rsidRPr="0040005A">
              <w:rPr>
                <w:bCs/>
                <w:sz w:val="18"/>
                <w:szCs w:val="18"/>
                <w14:ligatures w14:val="standardContextual"/>
              </w:rPr>
              <w:t>423.153(f)(15)</w:t>
            </w:r>
          </w:p>
          <w:p w:rsidR="009F4ED6" w:rsidRPr="007820EF" w:rsidP="009F4ED6" w14:paraId="7B4717E3" w14:textId="77777777">
            <w:pPr>
              <w:spacing w:after="0" w:line="240" w:lineRule="auto"/>
              <w:ind w:left="-24"/>
              <w:rPr>
                <w:bCs/>
                <w:sz w:val="18"/>
                <w:szCs w:val="18"/>
              </w:rPr>
            </w:pPr>
          </w:p>
        </w:tc>
        <w:tc>
          <w:tcPr>
            <w:tcW w:w="1387" w:type="dxa"/>
            <w:shd w:val="clear" w:color="auto" w:fill="auto"/>
            <w:noWrap/>
            <w:hideMark/>
          </w:tcPr>
          <w:p w:rsidR="009F4ED6" w:rsidRPr="0040005A" w:rsidP="009F4ED6" w14:paraId="716C6955" w14:textId="77777777">
            <w:pPr>
              <w:spacing w:after="0" w:line="240" w:lineRule="auto"/>
              <w:ind w:left="-74" w:right="40"/>
              <w:rPr>
                <w:bCs/>
                <w:sz w:val="18"/>
                <w:szCs w:val="18"/>
                <w14:ligatures w14:val="standardContextual"/>
              </w:rPr>
            </w:pPr>
            <w:r w:rsidRPr="0040005A">
              <w:rPr>
                <w:bCs/>
                <w:sz w:val="18"/>
                <w:szCs w:val="18"/>
                <w14:ligatures w14:val="standardContextual"/>
              </w:rPr>
              <w:t xml:space="preserve">Report to CMS </w:t>
            </w:r>
          </w:p>
          <w:p w:rsidR="009F4ED6" w:rsidRPr="007820EF" w:rsidP="009F4ED6" w14:paraId="6711C41C" w14:textId="77777777">
            <w:pPr>
              <w:spacing w:after="0" w:line="240" w:lineRule="auto"/>
              <w:ind w:left="-74"/>
              <w:rPr>
                <w:bCs/>
                <w:sz w:val="18"/>
                <w:szCs w:val="18"/>
              </w:rPr>
            </w:pPr>
            <w:r w:rsidRPr="0040005A">
              <w:rPr>
                <w:bCs/>
                <w:sz w:val="18"/>
                <w:szCs w:val="18"/>
                <w14:ligatures w14:val="standardContextual"/>
              </w:rPr>
              <w:t>(Annualized)</w:t>
            </w:r>
          </w:p>
        </w:tc>
        <w:tc>
          <w:tcPr>
            <w:tcW w:w="1233" w:type="dxa"/>
            <w:shd w:val="clear" w:color="auto" w:fill="auto"/>
            <w:noWrap/>
            <w:hideMark/>
          </w:tcPr>
          <w:p w:rsidR="009F4ED6" w:rsidRPr="002E2F7F" w:rsidP="009F4ED6" w14:paraId="2F9D451B" w14:textId="158D16E5">
            <w:pPr>
              <w:spacing w:after="0" w:line="240" w:lineRule="auto"/>
              <w:ind w:left="-7"/>
              <w:rPr>
                <w:sz w:val="18"/>
                <w:szCs w:val="18"/>
              </w:rPr>
            </w:pPr>
            <w:r w:rsidRPr="002E2F7F">
              <w:rPr>
                <w:sz w:val="18"/>
                <w:szCs w:val="18"/>
              </w:rPr>
              <w:t>319</w:t>
            </w:r>
          </w:p>
        </w:tc>
        <w:tc>
          <w:tcPr>
            <w:tcW w:w="1034" w:type="dxa"/>
            <w:shd w:val="clear" w:color="auto" w:fill="auto"/>
            <w:noWrap/>
            <w:hideMark/>
          </w:tcPr>
          <w:p w:rsidR="009F4ED6" w:rsidRPr="002E2F7F" w:rsidP="009F4ED6" w14:paraId="3F70FBF8" w14:textId="606C7BF2">
            <w:pPr>
              <w:spacing w:after="0" w:line="240" w:lineRule="auto"/>
              <w:ind w:left="0"/>
              <w:rPr>
                <w:sz w:val="18"/>
                <w:szCs w:val="18"/>
              </w:rPr>
            </w:pPr>
            <w:r w:rsidRPr="002E2F7F">
              <w:rPr>
                <w:rFonts w:ascii="TimesNewRomanPSMT" w:hAnsi="TimesNewRomanPSMT" w:eastAsiaTheme="minorEastAsia" w:cs="TimesNewRomanPSMT"/>
                <w:color w:val="auto"/>
                <w:sz w:val="18"/>
                <w:szCs w:val="18"/>
              </w:rPr>
              <w:t>30,365</w:t>
            </w:r>
          </w:p>
        </w:tc>
        <w:tc>
          <w:tcPr>
            <w:tcW w:w="956" w:type="dxa"/>
            <w:shd w:val="clear" w:color="auto" w:fill="auto"/>
            <w:noWrap/>
            <w:hideMark/>
          </w:tcPr>
          <w:p w:rsidR="009F4ED6" w:rsidRPr="002E2F7F" w:rsidP="009F4ED6" w14:paraId="6C7F26CB" w14:textId="77777777">
            <w:pPr>
              <w:spacing w:after="0" w:line="240" w:lineRule="auto"/>
              <w:ind w:left="29"/>
              <w:rPr>
                <w:sz w:val="18"/>
                <w:szCs w:val="18"/>
              </w:rPr>
            </w:pPr>
            <w:r w:rsidRPr="002E2F7F">
              <w:rPr>
                <w:sz w:val="18"/>
                <w:szCs w:val="18"/>
              </w:rPr>
              <w:t>0.0167</w:t>
            </w:r>
          </w:p>
        </w:tc>
        <w:tc>
          <w:tcPr>
            <w:tcW w:w="874" w:type="dxa"/>
            <w:shd w:val="clear" w:color="auto" w:fill="auto"/>
            <w:noWrap/>
            <w:hideMark/>
          </w:tcPr>
          <w:p w:rsidR="009F4ED6" w:rsidRPr="002E2F7F" w:rsidP="009F4ED6" w14:paraId="65002172" w14:textId="5B3A0FBE">
            <w:pPr>
              <w:spacing w:after="0" w:line="240" w:lineRule="auto"/>
              <w:ind w:left="-30"/>
              <w:rPr>
                <w:sz w:val="18"/>
                <w:szCs w:val="18"/>
              </w:rPr>
            </w:pPr>
            <w:r w:rsidRPr="002E2F7F">
              <w:rPr>
                <w:sz w:val="18"/>
                <w:szCs w:val="18"/>
              </w:rPr>
              <w:t>5</w:t>
            </w:r>
            <w:r>
              <w:rPr>
                <w:sz w:val="18"/>
                <w:szCs w:val="18"/>
              </w:rPr>
              <w:t>0</w:t>
            </w:r>
            <w:r w:rsidRPr="002E2F7F">
              <w:rPr>
                <w:sz w:val="18"/>
                <w:szCs w:val="18"/>
              </w:rPr>
              <w:t>7</w:t>
            </w:r>
          </w:p>
        </w:tc>
        <w:tc>
          <w:tcPr>
            <w:tcW w:w="1091" w:type="dxa"/>
            <w:shd w:val="clear" w:color="auto" w:fill="auto"/>
            <w:noWrap/>
            <w:hideMark/>
          </w:tcPr>
          <w:p w:rsidR="009F4ED6" w:rsidRPr="002E2F7F" w:rsidP="009F4ED6" w14:paraId="510FFB3D" w14:textId="1D8B7A9E">
            <w:pPr>
              <w:spacing w:after="0" w:line="240" w:lineRule="auto"/>
              <w:ind w:left="-57"/>
              <w:rPr>
                <w:sz w:val="18"/>
                <w:szCs w:val="18"/>
              </w:rPr>
            </w:pPr>
            <w:r>
              <w:rPr>
                <w:sz w:val="18"/>
                <w:szCs w:val="18"/>
                <w14:ligatures w14:val="standardContextual"/>
              </w:rPr>
              <w:t>41.66</w:t>
            </w:r>
          </w:p>
        </w:tc>
        <w:tc>
          <w:tcPr>
            <w:tcW w:w="1722" w:type="dxa"/>
            <w:shd w:val="clear" w:color="auto" w:fill="auto"/>
            <w:noWrap/>
            <w:hideMark/>
          </w:tcPr>
          <w:p w:rsidR="009F4ED6" w:rsidRPr="002E2F7F" w:rsidP="009F4ED6" w14:paraId="6D26316B" w14:textId="0AEBBD4B">
            <w:pPr>
              <w:spacing w:after="0" w:line="240" w:lineRule="auto"/>
              <w:ind w:left="0"/>
              <w:rPr>
                <w:sz w:val="18"/>
                <w:szCs w:val="18"/>
              </w:rPr>
            </w:pPr>
            <w:r w:rsidRPr="00877DA2">
              <w:rPr>
                <w:sz w:val="18"/>
                <w:szCs w:val="18"/>
              </w:rPr>
              <w:t>21,122</w:t>
            </w:r>
          </w:p>
        </w:tc>
      </w:tr>
      <w:tr w14:paraId="7EBCC84F" w14:textId="77777777" w:rsidTr="0040005A">
        <w:tblPrEx>
          <w:tblW w:w="9718" w:type="dxa"/>
          <w:tblInd w:w="355" w:type="dxa"/>
          <w:tblLook w:val="04A0"/>
        </w:tblPrEx>
        <w:trPr>
          <w:trHeight w:val="300"/>
        </w:trPr>
        <w:tc>
          <w:tcPr>
            <w:tcW w:w="1421" w:type="dxa"/>
            <w:shd w:val="clear" w:color="auto" w:fill="F2F2F2" w:themeFill="background1" w:themeFillShade="F2"/>
            <w:noWrap/>
            <w:hideMark/>
          </w:tcPr>
          <w:p w:rsidR="009F4ED6" w:rsidRPr="0040005A" w:rsidP="009F4ED6" w14:paraId="25CF8458" w14:textId="77777777">
            <w:pPr>
              <w:spacing w:after="0" w:line="240" w:lineRule="auto"/>
              <w:ind w:left="-24"/>
              <w:rPr>
                <w:b/>
                <w:bCs/>
                <w:sz w:val="18"/>
                <w:szCs w:val="18"/>
              </w:rPr>
            </w:pPr>
            <w:r w:rsidRPr="007820EF">
              <w:rPr>
                <w:b/>
                <w:bCs/>
                <w:sz w:val="18"/>
                <w:szCs w:val="18"/>
                <w14:ligatures w14:val="standardContextual"/>
              </w:rPr>
              <w:t>Total</w:t>
            </w:r>
          </w:p>
        </w:tc>
        <w:tc>
          <w:tcPr>
            <w:tcW w:w="1387" w:type="dxa"/>
            <w:shd w:val="clear" w:color="auto" w:fill="F2F2F2" w:themeFill="background1" w:themeFillShade="F2"/>
            <w:noWrap/>
            <w:hideMark/>
          </w:tcPr>
          <w:p w:rsidR="009F4ED6" w:rsidRPr="0040005A" w:rsidP="009F4ED6" w14:paraId="2514F3FF" w14:textId="77777777">
            <w:pPr>
              <w:spacing w:after="0" w:line="240" w:lineRule="auto"/>
              <w:ind w:left="-74"/>
              <w:rPr>
                <w:b/>
                <w:bCs/>
                <w:sz w:val="18"/>
                <w:szCs w:val="18"/>
              </w:rPr>
            </w:pPr>
          </w:p>
        </w:tc>
        <w:tc>
          <w:tcPr>
            <w:tcW w:w="1233" w:type="dxa"/>
            <w:shd w:val="clear" w:color="auto" w:fill="F2F2F2" w:themeFill="background1" w:themeFillShade="F2"/>
            <w:noWrap/>
            <w:hideMark/>
          </w:tcPr>
          <w:p w:rsidR="009F4ED6" w:rsidRPr="0040005A" w:rsidP="009F4ED6" w14:paraId="2FE147D1" w14:textId="4E4F82E8">
            <w:pPr>
              <w:spacing w:after="0" w:line="240" w:lineRule="auto"/>
              <w:ind w:left="-7"/>
              <w:rPr>
                <w:b/>
                <w:bCs/>
                <w:sz w:val="18"/>
                <w:szCs w:val="18"/>
              </w:rPr>
            </w:pPr>
            <w:r w:rsidRPr="0040005A">
              <w:rPr>
                <w:b/>
                <w:bCs/>
                <w:sz w:val="18"/>
                <w:szCs w:val="18"/>
              </w:rPr>
              <w:t>319</w:t>
            </w:r>
          </w:p>
        </w:tc>
        <w:tc>
          <w:tcPr>
            <w:tcW w:w="1034" w:type="dxa"/>
            <w:shd w:val="clear" w:color="auto" w:fill="F2F2F2" w:themeFill="background1" w:themeFillShade="F2"/>
            <w:noWrap/>
            <w:hideMark/>
          </w:tcPr>
          <w:p w:rsidR="009F4ED6" w:rsidRPr="0040005A" w:rsidP="009F4ED6" w14:paraId="708CF005" w14:textId="3DD38407">
            <w:pPr>
              <w:spacing w:after="0" w:line="240" w:lineRule="auto"/>
              <w:ind w:left="0"/>
              <w:rPr>
                <w:b/>
                <w:bCs/>
                <w:sz w:val="18"/>
                <w:szCs w:val="18"/>
              </w:rPr>
            </w:pPr>
            <w:r w:rsidRPr="0040005A">
              <w:rPr>
                <w:b/>
                <w:bCs/>
                <w:sz w:val="18"/>
                <w:szCs w:val="18"/>
              </w:rPr>
              <w:t>62,248</w:t>
            </w:r>
          </w:p>
        </w:tc>
        <w:tc>
          <w:tcPr>
            <w:tcW w:w="956" w:type="dxa"/>
            <w:shd w:val="clear" w:color="auto" w:fill="F2F2F2" w:themeFill="background1" w:themeFillShade="F2"/>
            <w:noWrap/>
            <w:hideMark/>
          </w:tcPr>
          <w:p w:rsidR="009F4ED6" w:rsidRPr="0040005A" w:rsidP="009F4ED6" w14:paraId="69E0DA83" w14:textId="77777777">
            <w:pPr>
              <w:spacing w:after="0" w:line="240" w:lineRule="auto"/>
              <w:ind w:left="29"/>
              <w:rPr>
                <w:b/>
                <w:bCs/>
                <w:sz w:val="18"/>
                <w:szCs w:val="18"/>
              </w:rPr>
            </w:pPr>
            <w:r w:rsidRPr="0040005A">
              <w:rPr>
                <w:b/>
                <w:bCs/>
                <w:sz w:val="18"/>
                <w:szCs w:val="18"/>
              </w:rPr>
              <w:t>Varies</w:t>
            </w:r>
          </w:p>
        </w:tc>
        <w:tc>
          <w:tcPr>
            <w:tcW w:w="874" w:type="dxa"/>
            <w:shd w:val="clear" w:color="auto" w:fill="F2F2F2" w:themeFill="background1" w:themeFillShade="F2"/>
            <w:noWrap/>
            <w:hideMark/>
          </w:tcPr>
          <w:p w:rsidR="009F4ED6" w:rsidRPr="0040005A" w:rsidP="009F4ED6" w14:paraId="146EFB2F" w14:textId="003EEE3C">
            <w:pPr>
              <w:spacing w:after="0" w:line="240" w:lineRule="auto"/>
              <w:ind w:left="-30"/>
              <w:rPr>
                <w:b/>
                <w:bCs/>
                <w:sz w:val="18"/>
                <w:szCs w:val="18"/>
              </w:rPr>
            </w:pPr>
            <w:r w:rsidRPr="0040005A">
              <w:rPr>
                <w:b/>
                <w:bCs/>
                <w:sz w:val="18"/>
                <w:szCs w:val="18"/>
              </w:rPr>
              <w:t>152,585</w:t>
            </w:r>
          </w:p>
        </w:tc>
        <w:tc>
          <w:tcPr>
            <w:tcW w:w="1091" w:type="dxa"/>
            <w:shd w:val="clear" w:color="auto" w:fill="F2F2F2" w:themeFill="background1" w:themeFillShade="F2"/>
            <w:noWrap/>
            <w:hideMark/>
          </w:tcPr>
          <w:p w:rsidR="009F4ED6" w:rsidRPr="0040005A" w:rsidP="009F4ED6" w14:paraId="00A6E9A8" w14:textId="10C99B13">
            <w:pPr>
              <w:spacing w:after="0" w:line="240" w:lineRule="auto"/>
              <w:ind w:left="-57"/>
              <w:rPr>
                <w:b/>
                <w:bCs/>
                <w:sz w:val="18"/>
                <w:szCs w:val="18"/>
              </w:rPr>
            </w:pPr>
            <w:r w:rsidRPr="00455E54">
              <w:rPr>
                <w:b/>
                <w:bCs/>
                <w:sz w:val="18"/>
                <w:szCs w:val="18"/>
              </w:rPr>
              <w:t>Varies</w:t>
            </w:r>
          </w:p>
        </w:tc>
        <w:tc>
          <w:tcPr>
            <w:tcW w:w="1722" w:type="dxa"/>
            <w:shd w:val="clear" w:color="auto" w:fill="F2F2F2" w:themeFill="background1" w:themeFillShade="F2"/>
            <w:noWrap/>
            <w:hideMark/>
          </w:tcPr>
          <w:p w:rsidR="009F4ED6" w:rsidRPr="0040005A" w:rsidP="009F4ED6" w14:paraId="2D2BA745" w14:textId="214EDD8E">
            <w:pPr>
              <w:spacing w:after="0" w:line="240" w:lineRule="auto"/>
              <w:ind w:left="0"/>
              <w:rPr>
                <w:b/>
                <w:bCs/>
                <w:sz w:val="18"/>
                <w:szCs w:val="18"/>
              </w:rPr>
            </w:pPr>
            <w:r>
              <w:rPr>
                <w:b/>
                <w:bCs/>
                <w:sz w:val="18"/>
                <w:szCs w:val="18"/>
              </w:rPr>
              <w:t>17,693,464</w:t>
            </w:r>
          </w:p>
        </w:tc>
      </w:tr>
    </w:tbl>
    <w:p w:rsidR="005C12A8" w:rsidRPr="002E2F7F" w:rsidP="00173BF2" w14:paraId="69E2291B" w14:textId="77777777">
      <w:pPr>
        <w:spacing w:after="0" w:line="240" w:lineRule="auto"/>
        <w:ind w:left="270"/>
      </w:pPr>
    </w:p>
    <w:p w:rsidR="0019541A" w:rsidP="00173BF2" w14:paraId="5DF207B7" w14:textId="450E67DD">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firstLine="0"/>
        <w:rPr>
          <w:szCs w:val="24"/>
        </w:rPr>
      </w:pPr>
      <w:r w:rsidRPr="002E2F7F">
        <w:rPr>
          <w:szCs w:val="24"/>
        </w:rPr>
        <w:t>In aggregate, the changes associated with this ICR result in an annual estimated reduction of responses (17,208), reduction in cost ($</w:t>
      </w:r>
      <w:r w:rsidR="004B4426">
        <w:rPr>
          <w:szCs w:val="24"/>
        </w:rPr>
        <w:t>3,172,559</w:t>
      </w:r>
      <w:r w:rsidRPr="002E2F7F">
        <w:rPr>
          <w:szCs w:val="24"/>
        </w:rPr>
        <w:t>), and reduction in hours (28,18</w:t>
      </w:r>
      <w:r w:rsidR="004B4426">
        <w:rPr>
          <w:szCs w:val="24"/>
        </w:rPr>
        <w:t>6</w:t>
      </w:r>
      <w:r w:rsidRPr="002E2F7F">
        <w:rPr>
          <w:szCs w:val="24"/>
        </w:rPr>
        <w:t>). The aggregate burden change (reduction) is presented in Table 5.</w:t>
      </w:r>
    </w:p>
    <w:p w:rsidR="0019541A" w:rsidRPr="002E2F7F" w:rsidP="00173BF2" w14:paraId="687281F0" w14:textId="77777777">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firstLine="0"/>
        <w:rPr>
          <w:szCs w:val="24"/>
        </w:rPr>
      </w:pPr>
    </w:p>
    <w:p w:rsidR="00382CF5" w:rsidRPr="002E2F7F" w:rsidP="00173BF2" w14:paraId="6E3724FC" w14:textId="7DCE8518">
      <w:pPr>
        <w:spacing w:after="0" w:line="240" w:lineRule="auto"/>
        <w:ind w:left="360"/>
        <w:rPr>
          <w:i/>
          <w:iCs/>
        </w:rPr>
      </w:pPr>
      <w:r w:rsidRPr="002E2F7F">
        <w:rPr>
          <w:b/>
          <w:bCs/>
          <w:i/>
          <w:iCs/>
        </w:rPr>
        <w:t>Table</w:t>
      </w:r>
      <w:r w:rsidRPr="002E2F7F">
        <w:rPr>
          <w:b/>
          <w:bCs/>
          <w:i/>
          <w:iCs/>
        </w:rPr>
        <w:t xml:space="preserve"> 5: Burden Changes</w:t>
      </w:r>
    </w:p>
    <w:tbl>
      <w:tblPr>
        <w:tblW w:w="839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
        <w:gridCol w:w="1553"/>
        <w:gridCol w:w="1108"/>
        <w:gridCol w:w="1023"/>
        <w:gridCol w:w="933"/>
        <w:gridCol w:w="824"/>
        <w:gridCol w:w="1482"/>
      </w:tblGrid>
      <w:tr w14:paraId="39A865BE" w14:textId="77777777" w:rsidTr="00360679">
        <w:tblPrEx>
          <w:tblW w:w="839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rPr>
        <w:tc>
          <w:tcPr>
            <w:tcW w:w="1470" w:type="dxa"/>
            <w:shd w:val="clear" w:color="auto" w:fill="auto"/>
            <w:hideMark/>
          </w:tcPr>
          <w:p w:rsidR="008166C6" w:rsidRPr="002E2F7F" w:rsidP="00173BF2" w14:paraId="002A479A" w14:textId="77777777">
            <w:pPr>
              <w:spacing w:after="0" w:line="240" w:lineRule="auto"/>
              <w:ind w:left="-114"/>
              <w:rPr>
                <w:b/>
                <w:bCs/>
                <w:sz w:val="18"/>
                <w:szCs w:val="18"/>
              </w:rPr>
            </w:pPr>
            <w:r w:rsidRPr="002E2F7F">
              <w:rPr>
                <w:b/>
                <w:bCs/>
                <w:sz w:val="18"/>
                <w:szCs w:val="18"/>
              </w:rPr>
              <w:t>Regulatory Citation</w:t>
            </w:r>
          </w:p>
        </w:tc>
        <w:tc>
          <w:tcPr>
            <w:tcW w:w="1553" w:type="dxa"/>
            <w:shd w:val="clear" w:color="auto" w:fill="auto"/>
            <w:hideMark/>
          </w:tcPr>
          <w:p w:rsidR="008166C6" w:rsidRPr="002E2F7F" w:rsidP="00173BF2" w14:paraId="7109968A" w14:textId="77777777">
            <w:pPr>
              <w:spacing w:after="0" w:line="240" w:lineRule="auto"/>
              <w:ind w:left="-63"/>
              <w:rPr>
                <w:b/>
                <w:bCs/>
                <w:sz w:val="18"/>
                <w:szCs w:val="18"/>
              </w:rPr>
            </w:pPr>
            <w:r w:rsidRPr="002E2F7F">
              <w:rPr>
                <w:b/>
                <w:bCs/>
                <w:sz w:val="18"/>
                <w:szCs w:val="18"/>
              </w:rPr>
              <w:t>Subject</w:t>
            </w:r>
          </w:p>
        </w:tc>
        <w:tc>
          <w:tcPr>
            <w:tcW w:w="1108" w:type="dxa"/>
            <w:shd w:val="clear" w:color="auto" w:fill="auto"/>
            <w:hideMark/>
          </w:tcPr>
          <w:p w:rsidR="008166C6" w:rsidRPr="002E2F7F" w:rsidP="00173BF2" w14:paraId="34FEA4BA" w14:textId="77777777">
            <w:pPr>
              <w:spacing w:after="0" w:line="240" w:lineRule="auto"/>
              <w:ind w:left="-31"/>
              <w:rPr>
                <w:b/>
                <w:bCs/>
                <w:sz w:val="18"/>
                <w:szCs w:val="18"/>
              </w:rPr>
            </w:pPr>
            <w:r w:rsidRPr="002E2F7F">
              <w:rPr>
                <w:b/>
                <w:bCs/>
                <w:sz w:val="18"/>
                <w:szCs w:val="18"/>
              </w:rPr>
              <w:t>Number</w:t>
            </w:r>
          </w:p>
          <w:p w:rsidR="008166C6" w:rsidRPr="002E2F7F" w:rsidP="00173BF2" w14:paraId="28024518" w14:textId="77777777">
            <w:pPr>
              <w:spacing w:after="0" w:line="240" w:lineRule="auto"/>
              <w:ind w:left="-31"/>
              <w:rPr>
                <w:b/>
                <w:bCs/>
                <w:sz w:val="18"/>
                <w:szCs w:val="18"/>
              </w:rPr>
            </w:pPr>
            <w:r w:rsidRPr="002E2F7F">
              <w:rPr>
                <w:b/>
                <w:bCs/>
                <w:sz w:val="18"/>
                <w:szCs w:val="18"/>
              </w:rPr>
              <w:t>of</w:t>
            </w:r>
          </w:p>
          <w:p w:rsidR="008166C6" w:rsidRPr="002E2F7F" w:rsidP="00173BF2" w14:paraId="7A21752B" w14:textId="77777777">
            <w:pPr>
              <w:spacing w:after="0" w:line="240" w:lineRule="auto"/>
              <w:ind w:left="-31"/>
              <w:rPr>
                <w:b/>
                <w:bCs/>
                <w:sz w:val="18"/>
                <w:szCs w:val="18"/>
              </w:rPr>
            </w:pPr>
            <w:r w:rsidRPr="002E2F7F">
              <w:rPr>
                <w:b/>
                <w:bCs/>
                <w:sz w:val="18"/>
                <w:szCs w:val="18"/>
              </w:rPr>
              <w:t>responses</w:t>
            </w:r>
          </w:p>
          <w:p w:rsidR="008166C6" w:rsidRPr="002E2F7F" w:rsidP="00173BF2" w14:paraId="33270E1F" w14:textId="032A3602">
            <w:pPr>
              <w:spacing w:after="0" w:line="240" w:lineRule="auto"/>
              <w:ind w:left="-31"/>
              <w:rPr>
                <w:b/>
                <w:bCs/>
                <w:sz w:val="18"/>
                <w:szCs w:val="18"/>
              </w:rPr>
            </w:pPr>
          </w:p>
        </w:tc>
        <w:tc>
          <w:tcPr>
            <w:tcW w:w="1023" w:type="dxa"/>
            <w:shd w:val="clear" w:color="auto" w:fill="auto"/>
            <w:hideMark/>
          </w:tcPr>
          <w:p w:rsidR="008166C6" w:rsidRPr="002E2F7F" w:rsidP="00173BF2" w14:paraId="7C5579E6" w14:textId="0D6421CD">
            <w:pPr>
              <w:spacing w:after="0" w:line="240" w:lineRule="auto"/>
              <w:ind w:left="-59"/>
              <w:rPr>
                <w:b/>
                <w:bCs/>
                <w:sz w:val="18"/>
                <w:szCs w:val="18"/>
              </w:rPr>
            </w:pPr>
            <w:r w:rsidRPr="002E2F7F">
              <w:rPr>
                <w:b/>
                <w:bCs/>
                <w:sz w:val="18"/>
                <w:szCs w:val="18"/>
              </w:rPr>
              <w:t>Time per response (hr)</w:t>
            </w:r>
          </w:p>
        </w:tc>
        <w:tc>
          <w:tcPr>
            <w:tcW w:w="933" w:type="dxa"/>
            <w:shd w:val="clear" w:color="auto" w:fill="auto"/>
            <w:hideMark/>
          </w:tcPr>
          <w:p w:rsidR="008166C6" w:rsidRPr="002E2F7F" w:rsidP="00173BF2" w14:paraId="7632670F" w14:textId="77777777">
            <w:pPr>
              <w:spacing w:after="0" w:line="240" w:lineRule="auto"/>
              <w:ind w:left="-62"/>
              <w:rPr>
                <w:b/>
                <w:bCs/>
                <w:sz w:val="18"/>
                <w:szCs w:val="18"/>
              </w:rPr>
            </w:pPr>
            <w:r w:rsidRPr="002E2F7F">
              <w:rPr>
                <w:b/>
                <w:bCs/>
                <w:sz w:val="18"/>
                <w:szCs w:val="18"/>
              </w:rPr>
              <w:t>Total Time (hr)</w:t>
            </w:r>
          </w:p>
        </w:tc>
        <w:tc>
          <w:tcPr>
            <w:tcW w:w="824" w:type="dxa"/>
            <w:shd w:val="clear" w:color="auto" w:fill="auto"/>
            <w:hideMark/>
          </w:tcPr>
          <w:p w:rsidR="008166C6" w:rsidRPr="002E2F7F" w:rsidP="00173BF2" w14:paraId="06A8AA0E" w14:textId="77777777">
            <w:pPr>
              <w:spacing w:after="0" w:line="240" w:lineRule="auto"/>
              <w:ind w:left="-97"/>
              <w:rPr>
                <w:b/>
                <w:bCs/>
                <w:sz w:val="18"/>
                <w:szCs w:val="18"/>
              </w:rPr>
            </w:pPr>
            <w:r w:rsidRPr="002E2F7F">
              <w:rPr>
                <w:b/>
                <w:bCs/>
                <w:sz w:val="18"/>
                <w:szCs w:val="18"/>
              </w:rPr>
              <w:t>Labor Cost ($/hr)</w:t>
            </w:r>
          </w:p>
        </w:tc>
        <w:tc>
          <w:tcPr>
            <w:tcW w:w="1482" w:type="dxa"/>
            <w:shd w:val="clear" w:color="auto" w:fill="auto"/>
            <w:hideMark/>
          </w:tcPr>
          <w:p w:rsidR="008166C6" w:rsidRPr="002E2F7F" w:rsidP="00173BF2" w14:paraId="50F929D3" w14:textId="77777777">
            <w:pPr>
              <w:spacing w:after="0" w:line="240" w:lineRule="auto"/>
              <w:ind w:left="-42"/>
              <w:rPr>
                <w:b/>
                <w:bCs/>
                <w:sz w:val="18"/>
                <w:szCs w:val="18"/>
              </w:rPr>
            </w:pPr>
            <w:r w:rsidRPr="002E2F7F">
              <w:rPr>
                <w:b/>
                <w:bCs/>
                <w:sz w:val="18"/>
                <w:szCs w:val="18"/>
              </w:rPr>
              <w:t>Total</w:t>
            </w:r>
          </w:p>
          <w:p w:rsidR="008166C6" w:rsidRPr="002E2F7F" w:rsidP="00173BF2" w14:paraId="0F909B74" w14:textId="76D4DD55">
            <w:pPr>
              <w:spacing w:after="0" w:line="240" w:lineRule="auto"/>
              <w:ind w:left="-42"/>
              <w:rPr>
                <w:b/>
                <w:bCs/>
                <w:sz w:val="18"/>
                <w:szCs w:val="18"/>
              </w:rPr>
            </w:pPr>
            <w:r>
              <w:rPr>
                <w:b/>
                <w:bCs/>
                <w:sz w:val="18"/>
                <w:szCs w:val="18"/>
              </w:rPr>
              <w:t xml:space="preserve"> Cost ($)</w:t>
            </w:r>
          </w:p>
        </w:tc>
      </w:tr>
      <w:tr w14:paraId="6747B861" w14:textId="77777777" w:rsidTr="00360679">
        <w:tblPrEx>
          <w:tblW w:w="8393" w:type="dxa"/>
          <w:tblInd w:w="355" w:type="dxa"/>
          <w:tblLook w:val="04A0"/>
        </w:tblPrEx>
        <w:trPr>
          <w:trHeight w:val="300"/>
        </w:trPr>
        <w:tc>
          <w:tcPr>
            <w:tcW w:w="1470" w:type="dxa"/>
            <w:shd w:val="clear" w:color="auto" w:fill="auto"/>
            <w:noWrap/>
            <w:hideMark/>
          </w:tcPr>
          <w:p w:rsidR="00403BAD" w:rsidRPr="0040005A" w:rsidP="00403BAD" w14:paraId="0C53F122" w14:textId="77777777">
            <w:pPr>
              <w:spacing w:after="0" w:line="240" w:lineRule="auto"/>
              <w:ind w:left="-24" w:right="40"/>
              <w:rPr>
                <w:bCs/>
                <w:sz w:val="18"/>
                <w:szCs w:val="18"/>
                <w14:ligatures w14:val="standardContextual"/>
              </w:rPr>
            </w:pPr>
            <w:r w:rsidRPr="0040005A">
              <w:rPr>
                <w:bCs/>
                <w:sz w:val="18"/>
                <w:szCs w:val="18"/>
                <w14:ligatures w14:val="standardContextual"/>
              </w:rPr>
              <w:t>423.153(f)(2)</w:t>
            </w:r>
          </w:p>
          <w:p w:rsidR="00403BAD" w:rsidRPr="007820EF" w:rsidP="00403BAD" w14:paraId="0B56674B" w14:textId="77777777">
            <w:pPr>
              <w:spacing w:after="0" w:line="240" w:lineRule="auto"/>
              <w:ind w:left="-24"/>
              <w:rPr>
                <w:bCs/>
                <w:sz w:val="18"/>
                <w:szCs w:val="18"/>
              </w:rPr>
            </w:pPr>
          </w:p>
        </w:tc>
        <w:tc>
          <w:tcPr>
            <w:tcW w:w="1553" w:type="dxa"/>
            <w:shd w:val="clear" w:color="auto" w:fill="auto"/>
            <w:noWrap/>
            <w:hideMark/>
          </w:tcPr>
          <w:p w:rsidR="00403BAD" w:rsidRPr="0040005A" w:rsidP="00403BAD" w14:paraId="0CC555BB" w14:textId="77777777">
            <w:pPr>
              <w:spacing w:after="0" w:line="240" w:lineRule="auto"/>
              <w:ind w:left="-74" w:right="40"/>
              <w:rPr>
                <w:bCs/>
                <w:sz w:val="18"/>
                <w:szCs w:val="18"/>
                <w14:ligatures w14:val="standardContextual"/>
              </w:rPr>
            </w:pPr>
            <w:r w:rsidRPr="0040005A">
              <w:rPr>
                <w:bCs/>
                <w:sz w:val="18"/>
                <w:szCs w:val="18"/>
                <w14:ligatures w14:val="standardContextual"/>
              </w:rPr>
              <w:t>Conduct Case Management</w:t>
            </w:r>
          </w:p>
          <w:p w:rsidR="00403BAD" w:rsidRPr="007820EF" w:rsidP="00403BAD" w14:paraId="0976A43B" w14:textId="77777777">
            <w:pPr>
              <w:spacing w:after="0" w:line="240" w:lineRule="auto"/>
              <w:ind w:left="-74"/>
              <w:rPr>
                <w:bCs/>
                <w:sz w:val="18"/>
                <w:szCs w:val="18"/>
              </w:rPr>
            </w:pPr>
            <w:r w:rsidRPr="0040005A">
              <w:rPr>
                <w:bCs/>
                <w:sz w:val="18"/>
                <w:szCs w:val="18"/>
                <w14:ligatures w14:val="standardContextual"/>
              </w:rPr>
              <w:t>(Annualized)</w:t>
            </w:r>
          </w:p>
        </w:tc>
        <w:tc>
          <w:tcPr>
            <w:tcW w:w="1108" w:type="dxa"/>
            <w:shd w:val="clear" w:color="auto" w:fill="auto"/>
            <w:noWrap/>
            <w:hideMark/>
          </w:tcPr>
          <w:p w:rsidR="00403BAD" w:rsidRPr="002E2F7F" w:rsidP="00403BAD" w14:paraId="03527DFF" w14:textId="029928AE">
            <w:pPr>
              <w:spacing w:after="0" w:line="240" w:lineRule="auto"/>
              <w:ind w:left="0"/>
              <w:rPr>
                <w:sz w:val="18"/>
                <w:szCs w:val="18"/>
              </w:rPr>
            </w:pPr>
            <w:r w:rsidRPr="002E2F7F">
              <w:rPr>
                <w:rFonts w:ascii="TimesNewRomanPSMT" w:hAnsi="TimesNewRomanPSMT" w:eastAsiaTheme="minorEastAsia" w:cs="TimesNewRomanPSMT"/>
                <w:color w:val="auto"/>
                <w:sz w:val="18"/>
                <w:szCs w:val="18"/>
              </w:rPr>
              <w:t>(5,406)</w:t>
            </w:r>
          </w:p>
        </w:tc>
        <w:tc>
          <w:tcPr>
            <w:tcW w:w="1023" w:type="dxa"/>
            <w:shd w:val="clear" w:color="auto" w:fill="auto"/>
            <w:noWrap/>
            <w:hideMark/>
          </w:tcPr>
          <w:p w:rsidR="00403BAD" w:rsidRPr="002E2F7F" w:rsidP="00403BAD" w14:paraId="0EB85237" w14:textId="77777777">
            <w:pPr>
              <w:spacing w:after="0" w:line="240" w:lineRule="auto"/>
              <w:ind w:left="29"/>
              <w:rPr>
                <w:sz w:val="18"/>
                <w:szCs w:val="18"/>
              </w:rPr>
            </w:pPr>
            <w:r w:rsidRPr="002E2F7F">
              <w:rPr>
                <w:sz w:val="18"/>
                <w:szCs w:val="18"/>
              </w:rPr>
              <w:t>5</w:t>
            </w:r>
          </w:p>
        </w:tc>
        <w:tc>
          <w:tcPr>
            <w:tcW w:w="933" w:type="dxa"/>
            <w:shd w:val="clear" w:color="auto" w:fill="auto"/>
            <w:noWrap/>
            <w:hideMark/>
          </w:tcPr>
          <w:p w:rsidR="00403BAD" w:rsidRPr="002E2F7F" w:rsidP="00403BAD" w14:paraId="5036D2C3" w14:textId="21404B6C">
            <w:pPr>
              <w:spacing w:after="0" w:line="240" w:lineRule="auto"/>
              <w:ind w:left="-30"/>
              <w:rPr>
                <w:sz w:val="18"/>
                <w:szCs w:val="18"/>
              </w:rPr>
            </w:pPr>
            <w:r w:rsidRPr="002E2F7F">
              <w:rPr>
                <w:sz w:val="18"/>
                <w:szCs w:val="18"/>
              </w:rPr>
              <w:t>(27,030)</w:t>
            </w:r>
          </w:p>
        </w:tc>
        <w:tc>
          <w:tcPr>
            <w:tcW w:w="824" w:type="dxa"/>
            <w:shd w:val="clear" w:color="auto" w:fill="auto"/>
            <w:noWrap/>
            <w:hideMark/>
          </w:tcPr>
          <w:p w:rsidR="00403BAD" w:rsidRPr="002E2F7F" w:rsidP="00403BAD" w14:paraId="624057F5" w14:textId="5F3BEA35">
            <w:pPr>
              <w:spacing w:after="0" w:line="240" w:lineRule="auto"/>
              <w:ind w:left="-57"/>
              <w:rPr>
                <w:sz w:val="18"/>
                <w:szCs w:val="18"/>
              </w:rPr>
            </w:pPr>
            <w:r w:rsidRPr="00D9634B">
              <w:rPr>
                <w:sz w:val="18"/>
                <w:szCs w:val="18"/>
              </w:rPr>
              <w:t>116.33</w:t>
            </w:r>
          </w:p>
        </w:tc>
        <w:tc>
          <w:tcPr>
            <w:tcW w:w="1482" w:type="dxa"/>
            <w:shd w:val="clear" w:color="auto" w:fill="auto"/>
            <w:noWrap/>
            <w:hideMark/>
          </w:tcPr>
          <w:p w:rsidR="00403BAD" w:rsidRPr="002E2F7F" w:rsidP="00403BAD" w14:paraId="597B3907" w14:textId="1894D57D">
            <w:pPr>
              <w:spacing w:after="0" w:line="240" w:lineRule="auto"/>
              <w:ind w:left="0"/>
              <w:rPr>
                <w:sz w:val="18"/>
                <w:szCs w:val="18"/>
              </w:rPr>
            </w:pPr>
            <w:r w:rsidRPr="002E2F7F">
              <w:rPr>
                <w:rFonts w:ascii="TimesNewRomanPSMT" w:hAnsi="TimesNewRomanPSMT" w:eastAsiaTheme="minorEastAsia" w:cs="TimesNewRomanPSMT"/>
                <w:color w:val="auto"/>
                <w:sz w:val="18"/>
                <w:szCs w:val="18"/>
              </w:rPr>
              <w:t>(3,</w:t>
            </w:r>
            <w:r>
              <w:rPr>
                <w:rFonts w:ascii="TimesNewRomanPSMT" w:hAnsi="TimesNewRomanPSMT" w:eastAsiaTheme="minorEastAsia" w:cs="TimesNewRomanPSMT"/>
                <w:color w:val="auto"/>
                <w:sz w:val="18"/>
                <w:szCs w:val="18"/>
              </w:rPr>
              <w:t>144,400</w:t>
            </w:r>
            <w:r w:rsidRPr="002E2F7F">
              <w:rPr>
                <w:rFonts w:ascii="TimesNewRomanPSMT" w:hAnsi="TimesNewRomanPSMT" w:eastAsiaTheme="minorEastAsia" w:cs="TimesNewRomanPSMT"/>
                <w:color w:val="auto"/>
                <w:sz w:val="18"/>
                <w:szCs w:val="18"/>
              </w:rPr>
              <w:t>)</w:t>
            </w:r>
          </w:p>
        </w:tc>
      </w:tr>
      <w:tr w14:paraId="46F7F091" w14:textId="77777777" w:rsidTr="00360679">
        <w:tblPrEx>
          <w:tblW w:w="8393" w:type="dxa"/>
          <w:tblInd w:w="355" w:type="dxa"/>
          <w:tblLook w:val="04A0"/>
        </w:tblPrEx>
        <w:trPr>
          <w:trHeight w:val="288"/>
        </w:trPr>
        <w:tc>
          <w:tcPr>
            <w:tcW w:w="1470" w:type="dxa"/>
            <w:shd w:val="clear" w:color="auto" w:fill="auto"/>
            <w:noWrap/>
            <w:hideMark/>
          </w:tcPr>
          <w:p w:rsidR="00403BAD" w:rsidRPr="0040005A" w:rsidP="00403BAD" w14:paraId="45793E39" w14:textId="26E0FBBA">
            <w:pPr>
              <w:spacing w:after="0" w:line="240" w:lineRule="auto"/>
              <w:ind w:left="-24" w:right="40"/>
              <w:rPr>
                <w:bCs/>
                <w:sz w:val="18"/>
                <w:szCs w:val="18"/>
                <w14:ligatures w14:val="standardContextual"/>
              </w:rPr>
            </w:pPr>
            <w:r w:rsidRPr="0040005A">
              <w:rPr>
                <w:bCs/>
                <w:sz w:val="18"/>
                <w:szCs w:val="18"/>
                <w14:ligatures w14:val="standardContextual"/>
              </w:rPr>
              <w:t xml:space="preserve">423.153(f)(5) – (8) </w:t>
            </w:r>
          </w:p>
          <w:p w:rsidR="00403BAD" w:rsidRPr="007820EF" w:rsidP="00403BAD" w14:paraId="5754FA81" w14:textId="77777777">
            <w:pPr>
              <w:spacing w:after="0" w:line="240" w:lineRule="auto"/>
              <w:ind w:left="-24"/>
              <w:rPr>
                <w:bCs/>
                <w:sz w:val="18"/>
                <w:szCs w:val="18"/>
              </w:rPr>
            </w:pPr>
          </w:p>
        </w:tc>
        <w:tc>
          <w:tcPr>
            <w:tcW w:w="1553" w:type="dxa"/>
            <w:shd w:val="clear" w:color="auto" w:fill="auto"/>
            <w:noWrap/>
            <w:hideMark/>
          </w:tcPr>
          <w:p w:rsidR="00403BAD" w:rsidRPr="0040005A" w:rsidP="00403BAD" w14:paraId="721B12FB" w14:textId="77777777">
            <w:pPr>
              <w:spacing w:after="0" w:line="240" w:lineRule="auto"/>
              <w:ind w:left="-74" w:right="40"/>
              <w:rPr>
                <w:bCs/>
                <w:sz w:val="18"/>
                <w:szCs w:val="18"/>
                <w14:ligatures w14:val="standardContextual"/>
              </w:rPr>
            </w:pPr>
            <w:r w:rsidRPr="0040005A">
              <w:rPr>
                <w:bCs/>
                <w:sz w:val="18"/>
                <w:szCs w:val="18"/>
                <w14:ligatures w14:val="standardContextual"/>
              </w:rPr>
              <w:t xml:space="preserve">Send </w:t>
            </w:r>
          </w:p>
          <w:p w:rsidR="00403BAD" w:rsidRPr="0040005A" w:rsidP="00403BAD" w14:paraId="13B42B83" w14:textId="77777777">
            <w:pPr>
              <w:spacing w:after="0" w:line="240" w:lineRule="auto"/>
              <w:ind w:left="-74" w:right="40"/>
              <w:rPr>
                <w:bCs/>
                <w:sz w:val="18"/>
                <w:szCs w:val="18"/>
                <w14:ligatures w14:val="standardContextual"/>
              </w:rPr>
            </w:pPr>
            <w:r w:rsidRPr="0040005A">
              <w:rPr>
                <w:bCs/>
                <w:sz w:val="18"/>
                <w:szCs w:val="18"/>
                <w14:ligatures w14:val="standardContextual"/>
              </w:rPr>
              <w:t>Notices</w:t>
            </w:r>
          </w:p>
          <w:p w:rsidR="00403BAD" w:rsidRPr="007820EF" w:rsidP="00403BAD" w14:paraId="01F5EBAD" w14:textId="77777777">
            <w:pPr>
              <w:spacing w:after="0" w:line="240" w:lineRule="auto"/>
              <w:ind w:left="-74"/>
              <w:rPr>
                <w:bCs/>
                <w:sz w:val="18"/>
                <w:szCs w:val="18"/>
              </w:rPr>
            </w:pPr>
            <w:r w:rsidRPr="0040005A">
              <w:rPr>
                <w:bCs/>
                <w:sz w:val="18"/>
                <w:szCs w:val="18"/>
                <w14:ligatures w14:val="standardContextual"/>
              </w:rPr>
              <w:t>(Annualized)</w:t>
            </w:r>
          </w:p>
        </w:tc>
        <w:tc>
          <w:tcPr>
            <w:tcW w:w="1108" w:type="dxa"/>
            <w:shd w:val="clear" w:color="auto" w:fill="auto"/>
            <w:noWrap/>
            <w:hideMark/>
          </w:tcPr>
          <w:p w:rsidR="00403BAD" w:rsidRPr="002E2F7F" w:rsidP="00403BAD" w14:paraId="24026779" w14:textId="4AB603F4">
            <w:pPr>
              <w:spacing w:after="0" w:line="240" w:lineRule="auto"/>
              <w:ind w:left="0"/>
              <w:rPr>
                <w:sz w:val="18"/>
                <w:szCs w:val="18"/>
              </w:rPr>
            </w:pPr>
            <w:r w:rsidRPr="002E2F7F">
              <w:rPr>
                <w:rFonts w:ascii="TimesNewRomanPSMT" w:hAnsi="TimesNewRomanPSMT" w:eastAsiaTheme="minorEastAsia" w:cs="TimesNewRomanPSMT"/>
                <w:color w:val="auto"/>
                <w:sz w:val="18"/>
                <w:szCs w:val="18"/>
              </w:rPr>
              <w:t>(6,393)</w:t>
            </w:r>
          </w:p>
        </w:tc>
        <w:tc>
          <w:tcPr>
            <w:tcW w:w="1023" w:type="dxa"/>
            <w:shd w:val="clear" w:color="auto" w:fill="auto"/>
            <w:noWrap/>
            <w:hideMark/>
          </w:tcPr>
          <w:p w:rsidR="00403BAD" w:rsidRPr="002E2F7F" w:rsidP="00403BAD" w14:paraId="0B48483B" w14:textId="77777777">
            <w:pPr>
              <w:spacing w:after="0" w:line="240" w:lineRule="auto"/>
              <w:ind w:left="29"/>
              <w:rPr>
                <w:sz w:val="18"/>
                <w:szCs w:val="18"/>
              </w:rPr>
            </w:pPr>
            <w:r w:rsidRPr="002E2F7F">
              <w:rPr>
                <w:sz w:val="18"/>
                <w:szCs w:val="18"/>
              </w:rPr>
              <w:t>0.1667</w:t>
            </w:r>
          </w:p>
        </w:tc>
        <w:tc>
          <w:tcPr>
            <w:tcW w:w="933" w:type="dxa"/>
            <w:shd w:val="clear" w:color="auto" w:fill="auto"/>
            <w:noWrap/>
            <w:hideMark/>
          </w:tcPr>
          <w:p w:rsidR="00403BAD" w:rsidRPr="002E2F7F" w:rsidP="00403BAD" w14:paraId="6F07A68B" w14:textId="0EE525A0">
            <w:pPr>
              <w:spacing w:after="0" w:line="240" w:lineRule="auto"/>
              <w:ind w:left="-30"/>
              <w:rPr>
                <w:sz w:val="18"/>
                <w:szCs w:val="18"/>
              </w:rPr>
            </w:pPr>
            <w:r w:rsidRPr="002E2F7F">
              <w:rPr>
                <w:sz w:val="18"/>
                <w:szCs w:val="18"/>
              </w:rPr>
              <w:t>(1,066)</w:t>
            </w:r>
          </w:p>
        </w:tc>
        <w:tc>
          <w:tcPr>
            <w:tcW w:w="824" w:type="dxa"/>
            <w:shd w:val="clear" w:color="auto" w:fill="auto"/>
            <w:noWrap/>
            <w:hideMark/>
          </w:tcPr>
          <w:p w:rsidR="00403BAD" w:rsidRPr="002E2F7F" w:rsidP="00403BAD" w14:paraId="138D1BA8" w14:textId="20CED4E9">
            <w:pPr>
              <w:spacing w:after="0" w:line="240" w:lineRule="auto"/>
              <w:ind w:left="-85" w:firstLine="0"/>
              <w:rPr>
                <w:sz w:val="18"/>
                <w:szCs w:val="18"/>
              </w:rPr>
            </w:pPr>
            <w:r w:rsidRPr="00151FAD">
              <w:rPr>
                <w:sz w:val="18"/>
                <w:szCs w:val="18"/>
              </w:rPr>
              <w:t>41.66</w:t>
            </w:r>
          </w:p>
        </w:tc>
        <w:tc>
          <w:tcPr>
            <w:tcW w:w="1482" w:type="dxa"/>
            <w:shd w:val="clear" w:color="auto" w:fill="auto"/>
            <w:noWrap/>
            <w:hideMark/>
          </w:tcPr>
          <w:p w:rsidR="00403BAD" w:rsidRPr="002E2F7F" w:rsidP="00403BAD" w14:paraId="276ACAEF" w14:textId="39CAA079">
            <w:pPr>
              <w:spacing w:after="0" w:line="240" w:lineRule="auto"/>
              <w:ind w:left="0" w:firstLine="0"/>
              <w:rPr>
                <w:sz w:val="18"/>
                <w:szCs w:val="18"/>
              </w:rPr>
            </w:pPr>
            <w:r w:rsidRPr="002E2F7F">
              <w:rPr>
                <w:rFonts w:ascii="TimesNewRomanPSMT" w:hAnsi="TimesNewRomanPSMT" w:eastAsiaTheme="minorEastAsia" w:cs="TimesNewRomanPSMT"/>
                <w:color w:val="auto"/>
                <w:sz w:val="18"/>
                <w:szCs w:val="18"/>
              </w:rPr>
              <w:t>(</w:t>
            </w:r>
            <w:r>
              <w:rPr>
                <w:rFonts w:ascii="TimesNewRomanPSMT" w:hAnsi="TimesNewRomanPSMT" w:eastAsiaTheme="minorEastAsia" w:cs="TimesNewRomanPSMT"/>
                <w:color w:val="auto"/>
                <w:sz w:val="18"/>
                <w:szCs w:val="18"/>
              </w:rPr>
              <w:t>44,410</w:t>
            </w:r>
            <w:r w:rsidRPr="002E2F7F">
              <w:rPr>
                <w:rFonts w:ascii="TimesNewRomanPSMT" w:hAnsi="TimesNewRomanPSMT" w:eastAsiaTheme="minorEastAsia" w:cs="TimesNewRomanPSMT"/>
                <w:color w:val="auto"/>
                <w:sz w:val="18"/>
                <w:szCs w:val="18"/>
              </w:rPr>
              <w:t>)</w:t>
            </w:r>
          </w:p>
        </w:tc>
      </w:tr>
      <w:tr w14:paraId="6910BB26" w14:textId="77777777" w:rsidTr="00360679">
        <w:tblPrEx>
          <w:tblW w:w="8393" w:type="dxa"/>
          <w:tblInd w:w="355" w:type="dxa"/>
          <w:tblLook w:val="04A0"/>
        </w:tblPrEx>
        <w:trPr>
          <w:trHeight w:val="288"/>
        </w:trPr>
        <w:tc>
          <w:tcPr>
            <w:tcW w:w="1470" w:type="dxa"/>
            <w:shd w:val="clear" w:color="auto" w:fill="auto"/>
            <w:noWrap/>
            <w:hideMark/>
          </w:tcPr>
          <w:p w:rsidR="00403BAD" w:rsidRPr="0040005A" w:rsidP="00403BAD" w14:paraId="30D4B7EE" w14:textId="77777777">
            <w:pPr>
              <w:spacing w:after="0" w:line="240" w:lineRule="auto"/>
              <w:ind w:left="-24" w:right="40"/>
              <w:rPr>
                <w:bCs/>
                <w:sz w:val="18"/>
                <w:szCs w:val="18"/>
                <w14:ligatures w14:val="standardContextual"/>
              </w:rPr>
            </w:pPr>
            <w:r w:rsidRPr="0040005A">
              <w:rPr>
                <w:bCs/>
                <w:sz w:val="18"/>
                <w:szCs w:val="18"/>
                <w14:ligatures w14:val="standardContextual"/>
              </w:rPr>
              <w:t>423.153(f)(15)</w:t>
            </w:r>
          </w:p>
          <w:p w:rsidR="00403BAD" w:rsidRPr="007820EF" w:rsidP="00403BAD" w14:paraId="6BA0E359" w14:textId="77777777">
            <w:pPr>
              <w:spacing w:after="0" w:line="240" w:lineRule="auto"/>
              <w:ind w:left="-24"/>
              <w:rPr>
                <w:bCs/>
                <w:sz w:val="18"/>
                <w:szCs w:val="18"/>
              </w:rPr>
            </w:pPr>
          </w:p>
        </w:tc>
        <w:tc>
          <w:tcPr>
            <w:tcW w:w="1553" w:type="dxa"/>
            <w:shd w:val="clear" w:color="auto" w:fill="auto"/>
            <w:noWrap/>
            <w:hideMark/>
          </w:tcPr>
          <w:p w:rsidR="00403BAD" w:rsidRPr="0040005A" w:rsidP="00403BAD" w14:paraId="163ECEE3" w14:textId="77777777">
            <w:pPr>
              <w:spacing w:after="0" w:line="240" w:lineRule="auto"/>
              <w:ind w:left="-74" w:right="40"/>
              <w:rPr>
                <w:bCs/>
                <w:sz w:val="18"/>
                <w:szCs w:val="18"/>
                <w14:ligatures w14:val="standardContextual"/>
              </w:rPr>
            </w:pPr>
            <w:r w:rsidRPr="0040005A">
              <w:rPr>
                <w:bCs/>
                <w:sz w:val="18"/>
                <w:szCs w:val="18"/>
                <w14:ligatures w14:val="standardContextual"/>
              </w:rPr>
              <w:t xml:space="preserve">Report to CMS </w:t>
            </w:r>
          </w:p>
          <w:p w:rsidR="00403BAD" w:rsidRPr="007820EF" w:rsidP="00403BAD" w14:paraId="02939031" w14:textId="77777777">
            <w:pPr>
              <w:spacing w:after="0" w:line="240" w:lineRule="auto"/>
              <w:ind w:left="-74"/>
              <w:rPr>
                <w:bCs/>
                <w:sz w:val="18"/>
                <w:szCs w:val="18"/>
              </w:rPr>
            </w:pPr>
            <w:r w:rsidRPr="0040005A">
              <w:rPr>
                <w:bCs/>
                <w:sz w:val="18"/>
                <w:szCs w:val="18"/>
                <w14:ligatures w14:val="standardContextual"/>
              </w:rPr>
              <w:t>(Annualized)</w:t>
            </w:r>
          </w:p>
        </w:tc>
        <w:tc>
          <w:tcPr>
            <w:tcW w:w="1108" w:type="dxa"/>
            <w:shd w:val="clear" w:color="auto" w:fill="auto"/>
            <w:noWrap/>
            <w:hideMark/>
          </w:tcPr>
          <w:p w:rsidR="00403BAD" w:rsidRPr="002E2F7F" w:rsidP="00403BAD" w14:paraId="538954D1" w14:textId="09FCE5E5">
            <w:pPr>
              <w:spacing w:after="0" w:line="240" w:lineRule="auto"/>
              <w:ind w:left="0"/>
              <w:rPr>
                <w:sz w:val="18"/>
                <w:szCs w:val="18"/>
              </w:rPr>
            </w:pPr>
            <w:r w:rsidRPr="002E2F7F">
              <w:rPr>
                <w:rFonts w:ascii="TimesNewRomanPSMT" w:hAnsi="TimesNewRomanPSMT" w:eastAsiaTheme="minorEastAsia" w:cs="TimesNewRomanPSMT"/>
                <w:color w:val="auto"/>
                <w:sz w:val="18"/>
                <w:szCs w:val="18"/>
              </w:rPr>
              <w:t>(5,406)</w:t>
            </w:r>
          </w:p>
        </w:tc>
        <w:tc>
          <w:tcPr>
            <w:tcW w:w="1023" w:type="dxa"/>
            <w:shd w:val="clear" w:color="auto" w:fill="auto"/>
            <w:noWrap/>
            <w:hideMark/>
          </w:tcPr>
          <w:p w:rsidR="00403BAD" w:rsidRPr="002E2F7F" w:rsidP="00403BAD" w14:paraId="5687C664" w14:textId="77777777">
            <w:pPr>
              <w:spacing w:after="0" w:line="240" w:lineRule="auto"/>
              <w:ind w:left="29"/>
              <w:rPr>
                <w:sz w:val="18"/>
                <w:szCs w:val="18"/>
              </w:rPr>
            </w:pPr>
            <w:r w:rsidRPr="002E2F7F">
              <w:rPr>
                <w:sz w:val="18"/>
                <w:szCs w:val="18"/>
              </w:rPr>
              <w:t>0.0167</w:t>
            </w:r>
          </w:p>
        </w:tc>
        <w:tc>
          <w:tcPr>
            <w:tcW w:w="933" w:type="dxa"/>
            <w:shd w:val="clear" w:color="auto" w:fill="auto"/>
            <w:noWrap/>
            <w:hideMark/>
          </w:tcPr>
          <w:p w:rsidR="00403BAD" w:rsidRPr="002E2F7F" w:rsidP="00403BAD" w14:paraId="31D2DCD2" w14:textId="567E2D64">
            <w:pPr>
              <w:spacing w:after="0" w:line="240" w:lineRule="auto"/>
              <w:ind w:left="-30"/>
              <w:rPr>
                <w:sz w:val="18"/>
                <w:szCs w:val="18"/>
              </w:rPr>
            </w:pPr>
            <w:r w:rsidRPr="002E2F7F">
              <w:rPr>
                <w:sz w:val="18"/>
                <w:szCs w:val="18"/>
              </w:rPr>
              <w:t>(90)</w:t>
            </w:r>
          </w:p>
        </w:tc>
        <w:tc>
          <w:tcPr>
            <w:tcW w:w="824" w:type="dxa"/>
            <w:shd w:val="clear" w:color="auto" w:fill="auto"/>
            <w:noWrap/>
            <w:hideMark/>
          </w:tcPr>
          <w:p w:rsidR="00403BAD" w:rsidRPr="002E2F7F" w:rsidP="00403BAD" w14:paraId="016E2CC0" w14:textId="2D7B13C8">
            <w:pPr>
              <w:spacing w:after="0" w:line="240" w:lineRule="auto"/>
              <w:ind w:left="-57"/>
              <w:rPr>
                <w:sz w:val="18"/>
                <w:szCs w:val="18"/>
              </w:rPr>
            </w:pPr>
            <w:r w:rsidRPr="00151FAD">
              <w:rPr>
                <w:sz w:val="18"/>
                <w:szCs w:val="18"/>
              </w:rPr>
              <w:t>41.66</w:t>
            </w:r>
          </w:p>
        </w:tc>
        <w:tc>
          <w:tcPr>
            <w:tcW w:w="1482" w:type="dxa"/>
            <w:shd w:val="clear" w:color="auto" w:fill="auto"/>
            <w:noWrap/>
            <w:hideMark/>
          </w:tcPr>
          <w:p w:rsidR="00403BAD" w:rsidRPr="002E2F7F" w:rsidP="00403BAD" w14:paraId="7AB767A9" w14:textId="65B2A09E">
            <w:pPr>
              <w:spacing w:after="0" w:line="240" w:lineRule="auto"/>
              <w:ind w:left="0"/>
              <w:rPr>
                <w:sz w:val="18"/>
                <w:szCs w:val="18"/>
              </w:rPr>
            </w:pPr>
            <w:r w:rsidRPr="002E2F7F">
              <w:rPr>
                <w:rFonts w:ascii="TimesNewRomanPSMT" w:hAnsi="TimesNewRomanPSMT" w:eastAsiaTheme="minorEastAsia" w:cs="TimesNewRomanPSMT"/>
                <w:color w:val="auto"/>
                <w:sz w:val="18"/>
                <w:szCs w:val="18"/>
              </w:rPr>
              <w:t>(3,</w:t>
            </w:r>
            <w:r>
              <w:rPr>
                <w:rFonts w:ascii="TimesNewRomanPSMT" w:hAnsi="TimesNewRomanPSMT" w:eastAsiaTheme="minorEastAsia" w:cs="TimesNewRomanPSMT"/>
                <w:color w:val="auto"/>
                <w:sz w:val="18"/>
                <w:szCs w:val="18"/>
              </w:rPr>
              <w:t>749</w:t>
            </w:r>
            <w:r w:rsidRPr="002E2F7F">
              <w:rPr>
                <w:rFonts w:ascii="TimesNewRomanPSMT" w:hAnsi="TimesNewRomanPSMT" w:eastAsiaTheme="minorEastAsia" w:cs="TimesNewRomanPSMT"/>
                <w:color w:val="auto"/>
                <w:sz w:val="18"/>
                <w:szCs w:val="18"/>
              </w:rPr>
              <w:t>)</w:t>
            </w:r>
          </w:p>
        </w:tc>
      </w:tr>
      <w:tr w14:paraId="45B7D0B3" w14:textId="77777777" w:rsidTr="0040005A">
        <w:tblPrEx>
          <w:tblW w:w="8393" w:type="dxa"/>
          <w:tblInd w:w="355" w:type="dxa"/>
          <w:tblLook w:val="04A0"/>
        </w:tblPrEx>
        <w:trPr>
          <w:trHeight w:val="300"/>
        </w:trPr>
        <w:tc>
          <w:tcPr>
            <w:tcW w:w="1470" w:type="dxa"/>
            <w:shd w:val="clear" w:color="auto" w:fill="F2F2F2" w:themeFill="background1" w:themeFillShade="F2"/>
            <w:noWrap/>
            <w:hideMark/>
          </w:tcPr>
          <w:p w:rsidR="008166C6" w:rsidRPr="0040005A" w:rsidP="00173BF2" w14:paraId="0E1F8213" w14:textId="77777777">
            <w:pPr>
              <w:spacing w:after="0" w:line="240" w:lineRule="auto"/>
              <w:ind w:left="-24"/>
              <w:rPr>
                <w:b/>
                <w:bCs/>
                <w:sz w:val="18"/>
                <w:szCs w:val="18"/>
              </w:rPr>
            </w:pPr>
            <w:r w:rsidRPr="007820EF">
              <w:rPr>
                <w:b/>
                <w:bCs/>
                <w:sz w:val="18"/>
                <w:szCs w:val="18"/>
                <w14:ligatures w14:val="standardContextual"/>
              </w:rPr>
              <w:t>Total</w:t>
            </w:r>
          </w:p>
        </w:tc>
        <w:tc>
          <w:tcPr>
            <w:tcW w:w="1553" w:type="dxa"/>
            <w:shd w:val="clear" w:color="auto" w:fill="F2F2F2" w:themeFill="background1" w:themeFillShade="F2"/>
            <w:noWrap/>
            <w:hideMark/>
          </w:tcPr>
          <w:p w:rsidR="008166C6" w:rsidRPr="0040005A" w:rsidP="00173BF2" w14:paraId="69CDD1C4" w14:textId="4AFED810">
            <w:pPr>
              <w:spacing w:after="0" w:line="240" w:lineRule="auto"/>
              <w:ind w:left="-74"/>
              <w:rPr>
                <w:b/>
                <w:bCs/>
                <w:sz w:val="18"/>
                <w:szCs w:val="18"/>
              </w:rPr>
            </w:pPr>
            <w:r w:rsidRPr="0040005A">
              <w:rPr>
                <w:b/>
                <w:bCs/>
                <w:sz w:val="18"/>
                <w:szCs w:val="18"/>
              </w:rPr>
              <w:t xml:space="preserve"> </w:t>
            </w:r>
          </w:p>
        </w:tc>
        <w:tc>
          <w:tcPr>
            <w:tcW w:w="1108" w:type="dxa"/>
            <w:shd w:val="clear" w:color="auto" w:fill="F2F2F2" w:themeFill="background1" w:themeFillShade="F2"/>
            <w:noWrap/>
            <w:hideMark/>
          </w:tcPr>
          <w:p w:rsidR="008166C6" w:rsidRPr="0040005A" w:rsidP="00173BF2" w14:paraId="3508CB6A" w14:textId="682805C8">
            <w:pPr>
              <w:spacing w:after="0" w:line="240" w:lineRule="auto"/>
              <w:ind w:left="0"/>
              <w:rPr>
                <w:b/>
                <w:bCs/>
                <w:sz w:val="18"/>
                <w:szCs w:val="18"/>
              </w:rPr>
            </w:pPr>
            <w:r w:rsidRPr="0040005A">
              <w:rPr>
                <w:b/>
                <w:bCs/>
                <w:sz w:val="18"/>
                <w:szCs w:val="18"/>
              </w:rPr>
              <w:t>Varies</w:t>
            </w:r>
          </w:p>
        </w:tc>
        <w:tc>
          <w:tcPr>
            <w:tcW w:w="1023" w:type="dxa"/>
            <w:shd w:val="clear" w:color="auto" w:fill="F2F2F2" w:themeFill="background1" w:themeFillShade="F2"/>
            <w:noWrap/>
            <w:hideMark/>
          </w:tcPr>
          <w:p w:rsidR="008166C6" w:rsidRPr="0040005A" w:rsidP="00173BF2" w14:paraId="2D708251" w14:textId="53387016">
            <w:pPr>
              <w:spacing w:after="0" w:line="240" w:lineRule="auto"/>
              <w:ind w:left="29"/>
              <w:rPr>
                <w:b/>
                <w:bCs/>
                <w:sz w:val="18"/>
                <w:szCs w:val="18"/>
              </w:rPr>
            </w:pPr>
            <w:r w:rsidRPr="0040005A">
              <w:rPr>
                <w:b/>
                <w:bCs/>
                <w:sz w:val="18"/>
                <w:szCs w:val="18"/>
              </w:rPr>
              <w:t>Varies</w:t>
            </w:r>
          </w:p>
        </w:tc>
        <w:tc>
          <w:tcPr>
            <w:tcW w:w="933" w:type="dxa"/>
            <w:shd w:val="clear" w:color="auto" w:fill="F2F2F2" w:themeFill="background1" w:themeFillShade="F2"/>
            <w:noWrap/>
            <w:hideMark/>
          </w:tcPr>
          <w:p w:rsidR="008166C6" w:rsidRPr="0040005A" w:rsidP="00173BF2" w14:paraId="62319295" w14:textId="2CE5693F">
            <w:pPr>
              <w:spacing w:after="0" w:line="240" w:lineRule="auto"/>
              <w:ind w:left="-30"/>
              <w:rPr>
                <w:b/>
                <w:bCs/>
                <w:sz w:val="18"/>
                <w:szCs w:val="18"/>
              </w:rPr>
            </w:pPr>
            <w:r w:rsidRPr="0040005A">
              <w:rPr>
                <w:b/>
                <w:bCs/>
                <w:sz w:val="18"/>
                <w:szCs w:val="18"/>
              </w:rPr>
              <w:t>(28,18</w:t>
            </w:r>
            <w:r w:rsidRPr="0040005A" w:rsidR="00493591">
              <w:rPr>
                <w:b/>
                <w:bCs/>
                <w:sz w:val="18"/>
                <w:szCs w:val="18"/>
              </w:rPr>
              <w:t>6</w:t>
            </w:r>
            <w:r w:rsidRPr="0040005A">
              <w:rPr>
                <w:b/>
                <w:bCs/>
                <w:sz w:val="18"/>
                <w:szCs w:val="18"/>
              </w:rPr>
              <w:t>)</w:t>
            </w:r>
          </w:p>
        </w:tc>
        <w:tc>
          <w:tcPr>
            <w:tcW w:w="824" w:type="dxa"/>
            <w:shd w:val="clear" w:color="auto" w:fill="F2F2F2" w:themeFill="background1" w:themeFillShade="F2"/>
            <w:noWrap/>
            <w:hideMark/>
          </w:tcPr>
          <w:p w:rsidR="008166C6" w:rsidRPr="0040005A" w:rsidP="00173BF2" w14:paraId="22D14F33" w14:textId="2A670203">
            <w:pPr>
              <w:spacing w:after="0" w:line="240" w:lineRule="auto"/>
              <w:ind w:left="-57"/>
              <w:rPr>
                <w:b/>
                <w:bCs/>
                <w:sz w:val="18"/>
                <w:szCs w:val="18"/>
              </w:rPr>
            </w:pPr>
            <w:r w:rsidRPr="0040005A">
              <w:rPr>
                <w:b/>
                <w:bCs/>
                <w:sz w:val="18"/>
                <w:szCs w:val="18"/>
              </w:rPr>
              <w:t>Varies</w:t>
            </w:r>
          </w:p>
        </w:tc>
        <w:tc>
          <w:tcPr>
            <w:tcW w:w="1482" w:type="dxa"/>
            <w:shd w:val="clear" w:color="auto" w:fill="F2F2F2" w:themeFill="background1" w:themeFillShade="F2"/>
            <w:noWrap/>
            <w:hideMark/>
          </w:tcPr>
          <w:p w:rsidR="008166C6" w:rsidRPr="0040005A" w:rsidP="00173BF2" w14:paraId="52D80EAC" w14:textId="7F8AA0E3">
            <w:pPr>
              <w:spacing w:after="0" w:line="240" w:lineRule="auto"/>
              <w:ind w:left="0"/>
              <w:rPr>
                <w:b/>
                <w:bCs/>
                <w:sz w:val="18"/>
                <w:szCs w:val="18"/>
              </w:rPr>
            </w:pPr>
            <w:r w:rsidRPr="0040005A">
              <w:rPr>
                <w:rFonts w:ascii="TimesNewRomanPSMT" w:hAnsi="TimesNewRomanPSMT" w:eastAsiaTheme="minorEastAsia" w:cs="TimesNewRomanPSMT"/>
                <w:b/>
                <w:bCs/>
                <w:color w:val="auto"/>
                <w:sz w:val="18"/>
                <w:szCs w:val="18"/>
              </w:rPr>
              <w:t>(</w:t>
            </w:r>
            <w:r w:rsidR="00403BAD">
              <w:rPr>
                <w:rFonts w:ascii="TimesNewRomanPSMT" w:hAnsi="TimesNewRomanPSMT" w:eastAsiaTheme="minorEastAsia" w:cs="TimesNewRomanPSMT"/>
                <w:b/>
                <w:bCs/>
                <w:color w:val="auto"/>
                <w:sz w:val="18"/>
                <w:szCs w:val="18"/>
              </w:rPr>
              <w:t>3,172,559</w:t>
            </w:r>
            <w:r w:rsidRPr="0040005A">
              <w:rPr>
                <w:rFonts w:ascii="TimesNewRomanPSMT" w:hAnsi="TimesNewRomanPSMT" w:eastAsiaTheme="minorEastAsia" w:cs="TimesNewRomanPSMT"/>
                <w:b/>
                <w:bCs/>
                <w:color w:val="auto"/>
                <w:sz w:val="18"/>
                <w:szCs w:val="18"/>
              </w:rPr>
              <w:t>)</w:t>
            </w:r>
          </w:p>
        </w:tc>
      </w:tr>
    </w:tbl>
    <w:p w:rsidR="00850181" w:rsidRPr="002E2F7F" w:rsidP="00173BF2" w14:paraId="156DBCAC" w14:textId="77777777">
      <w:pPr>
        <w:spacing w:after="0" w:line="240" w:lineRule="auto"/>
        <w:ind w:left="360"/>
        <w:rPr>
          <w:i/>
          <w:iCs/>
        </w:rPr>
      </w:pPr>
    </w:p>
    <w:p w:rsidR="003E13AF" w:rsidRPr="002E2F7F" w:rsidP="00173BF2" w14:paraId="1F1D3D10" w14:textId="77777777">
      <w:pPr>
        <w:pStyle w:val="ListParagraph"/>
        <w:numPr>
          <w:ilvl w:val="0"/>
          <w:numId w:val="6"/>
        </w:numPr>
        <w:spacing w:after="0" w:line="240" w:lineRule="auto"/>
        <w:ind w:left="360" w:right="40"/>
      </w:pPr>
      <w:r w:rsidRPr="002E2F7F">
        <w:rPr>
          <w:b/>
          <w:i/>
        </w:rPr>
        <w:t xml:space="preserve">Publication and Tabulation Dates </w:t>
      </w:r>
    </w:p>
    <w:p w:rsidR="003E13AF" w:rsidRPr="002E2F7F" w:rsidP="00173BF2" w14:paraId="38FA9412" w14:textId="77777777">
      <w:pPr>
        <w:pStyle w:val="ListParagraph"/>
        <w:spacing w:after="0" w:line="240" w:lineRule="auto"/>
        <w:ind w:left="360" w:right="40" w:firstLine="0"/>
      </w:pPr>
    </w:p>
    <w:p w:rsidR="003E13AF" w:rsidRPr="002E2F7F" w:rsidP="00173BF2" w14:paraId="000F5660" w14:textId="77777777">
      <w:pPr>
        <w:pStyle w:val="ListParagraph"/>
        <w:spacing w:after="0" w:line="240" w:lineRule="auto"/>
        <w:ind w:left="360" w:right="40" w:firstLine="0"/>
      </w:pPr>
      <w:r w:rsidRPr="002E2F7F">
        <w:t xml:space="preserve">Revisions to the notices will be </w:t>
      </w:r>
      <w:r w:rsidRPr="002E2F7F">
        <w:rPr>
          <w:sz w:val="23"/>
          <w:szCs w:val="23"/>
        </w:rPr>
        <w:t>announced through HPMS and published on cms.gov on unspecified dates. Results of this information collection will not be published for statistical use or analysis.</w:t>
      </w:r>
    </w:p>
    <w:p w:rsidR="003E13AF" w:rsidRPr="002E2F7F" w:rsidP="00173BF2" w14:paraId="5883A8A7" w14:textId="77777777">
      <w:pPr>
        <w:pStyle w:val="ListParagraph"/>
        <w:spacing w:after="0" w:line="240" w:lineRule="auto"/>
        <w:ind w:left="360" w:right="40" w:firstLine="0"/>
      </w:pPr>
    </w:p>
    <w:p w:rsidR="00D66164" w:rsidRPr="002E2F7F" w:rsidP="00173BF2" w14:paraId="2A7AF89C" w14:textId="0C2DAF8F">
      <w:pPr>
        <w:pStyle w:val="Heading4"/>
        <w:numPr>
          <w:ilvl w:val="0"/>
          <w:numId w:val="6"/>
        </w:numPr>
        <w:ind w:left="720" w:hanging="360"/>
        <w:jc w:val="left"/>
      </w:pPr>
      <w:r w:rsidRPr="002E2F7F">
        <w:t xml:space="preserve">Expiration Date </w:t>
      </w:r>
    </w:p>
    <w:p w:rsidR="003E13AF" w:rsidRPr="002E2F7F" w:rsidP="00173BF2" w14:paraId="3A8C14F1" w14:textId="77777777">
      <w:pPr>
        <w:spacing w:after="0" w:line="240" w:lineRule="auto"/>
        <w:ind w:left="360" w:right="40" w:hanging="900"/>
      </w:pPr>
    </w:p>
    <w:p w:rsidR="00D66164" w:rsidRPr="002E2F7F" w:rsidP="00173BF2" w14:paraId="4AA04D57" w14:textId="18601ED8">
      <w:pPr>
        <w:spacing w:after="0" w:line="240" w:lineRule="auto"/>
        <w:ind w:left="360" w:right="40" w:hanging="90"/>
      </w:pPr>
      <w:r w:rsidRPr="002E2F7F">
        <w:t>The expiration date is displayed on the collection instruments</w:t>
      </w:r>
      <w:r w:rsidRPr="002E2F7F" w:rsidR="005126B7">
        <w:t>.</w:t>
      </w:r>
    </w:p>
    <w:p w:rsidR="005A355A" w:rsidRPr="002E2F7F" w:rsidP="00173BF2" w14:paraId="58D2DA65" w14:textId="77777777">
      <w:pPr>
        <w:spacing w:after="0" w:line="240" w:lineRule="auto"/>
        <w:ind w:left="360" w:right="40" w:hanging="900"/>
      </w:pPr>
    </w:p>
    <w:p w:rsidR="00D66164" w:rsidRPr="002E2F7F" w:rsidP="00850181" w14:paraId="02C3E630" w14:textId="41043459">
      <w:pPr>
        <w:pStyle w:val="Heading4"/>
        <w:numPr>
          <w:ilvl w:val="0"/>
          <w:numId w:val="6"/>
        </w:numPr>
        <w:ind w:left="720" w:hanging="360"/>
        <w:jc w:val="left"/>
      </w:pPr>
      <w:r w:rsidRPr="002E2F7F">
        <w:t xml:space="preserve">Certification Statement </w:t>
      </w:r>
    </w:p>
    <w:p w:rsidR="00833FAE" w:rsidRPr="002E2F7F" w:rsidP="00173BF2" w14:paraId="1047C438" w14:textId="77777777">
      <w:pPr>
        <w:spacing w:after="0" w:line="240" w:lineRule="auto"/>
      </w:pPr>
    </w:p>
    <w:p w:rsidR="00D66164" w:rsidRPr="002E2F7F" w:rsidP="00173BF2" w14:paraId="30628246" w14:textId="77777777">
      <w:pPr>
        <w:spacing w:after="0" w:line="240" w:lineRule="auto"/>
        <w:ind w:left="360" w:right="40" w:firstLine="0"/>
        <w:rPr>
          <w:i/>
        </w:rPr>
      </w:pPr>
      <w:r w:rsidRPr="002E2F7F">
        <w:t>There are no exceptions to the certification statement</w:t>
      </w:r>
      <w:r w:rsidRPr="002E2F7F">
        <w:rPr>
          <w:i/>
        </w:rPr>
        <w:t xml:space="preserve">. </w:t>
      </w:r>
    </w:p>
    <w:p w:rsidR="005A355A" w:rsidRPr="002E2F7F" w:rsidP="00173BF2" w14:paraId="30CE438E" w14:textId="77777777">
      <w:pPr>
        <w:spacing w:after="0" w:line="240" w:lineRule="auto"/>
        <w:ind w:left="360" w:right="40" w:hanging="900"/>
      </w:pPr>
    </w:p>
    <w:p w:rsidR="00D66164" w:rsidRPr="002E2F7F" w:rsidP="00173BF2" w14:paraId="4E2C922B" w14:textId="5EC3FE7C">
      <w:pPr>
        <w:pStyle w:val="Heading3"/>
        <w:ind w:hanging="350"/>
        <w:jc w:val="left"/>
      </w:pPr>
      <w:r w:rsidRPr="002E2F7F">
        <w:t xml:space="preserve">COLLECTIONS OF INFORMATION EMPLOYING STATISTICAL METHODS </w:t>
      </w:r>
    </w:p>
    <w:p w:rsidR="00202713" w:rsidRPr="002E2F7F" w:rsidP="00173BF2" w14:paraId="170E299F" w14:textId="77777777">
      <w:pPr>
        <w:spacing w:after="0" w:line="240" w:lineRule="auto"/>
        <w:ind w:left="360" w:right="40"/>
      </w:pPr>
    </w:p>
    <w:p w:rsidR="00D66164" w:rsidP="00173BF2" w14:paraId="1EF06B31" w14:textId="4D6AD8DB">
      <w:pPr>
        <w:spacing w:after="0" w:line="240" w:lineRule="auto"/>
        <w:ind w:left="360" w:right="40"/>
      </w:pPr>
      <w:r w:rsidRPr="002E2F7F">
        <w:t xml:space="preserve">There are no statistical methods, surveys, or </w:t>
      </w:r>
      <w:r w:rsidRPr="002E2F7F" w:rsidR="00871483">
        <w:t>questionnaires</w:t>
      </w:r>
      <w:r w:rsidRPr="002E2F7F" w:rsidR="00D56F46">
        <w:t>.</w:t>
      </w:r>
      <w:r w:rsidR="00D56F46">
        <w:t xml:space="preserve"> </w:t>
      </w:r>
    </w:p>
    <w:sectPr w:rsidSect="00B00C0F">
      <w:footerReference w:type="even" r:id="rId12"/>
      <w:footerReference w:type="default" r:id="rId13"/>
      <w:footerReference w:type="first" r:id="rId14"/>
      <w:pgSz w:w="12240" w:h="15840"/>
      <w:pgMar w:top="1423" w:right="1436" w:bottom="1434" w:left="721" w:header="720" w:footer="7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595" w14:paraId="7D9B23A0" w14:textId="77777777">
    <w:pPr>
      <w:tabs>
        <w:tab w:val="center" w:pos="5064"/>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595" w:rsidRPr="002E4EA3" w14:paraId="36E570E2" w14:textId="77777777">
    <w:pPr>
      <w:tabs>
        <w:tab w:val="center" w:pos="5064"/>
      </w:tabs>
      <w:spacing w:after="0" w:line="259" w:lineRule="auto"/>
      <w:ind w:left="0" w:right="0" w:firstLine="0"/>
    </w:pPr>
    <w:r>
      <w:rPr>
        <w:sz w:val="20"/>
      </w:rPr>
      <w:t xml:space="preserve"> </w:t>
    </w:r>
    <w:r>
      <w:rPr>
        <w:sz w:val="20"/>
      </w:rPr>
      <w:tab/>
    </w:r>
    <w:r w:rsidRPr="00727BF2">
      <w:fldChar w:fldCharType="begin"/>
    </w:r>
    <w:r w:rsidRPr="002E4EA3">
      <w:instrText xml:space="preserve"> PAGE   \* MERGEFORMAT </w:instrText>
    </w:r>
    <w:r w:rsidRPr="00727BF2">
      <w:fldChar w:fldCharType="separate"/>
    </w:r>
    <w:r w:rsidRPr="00727BF2">
      <w:rPr>
        <w:rFonts w:eastAsia="Courier New"/>
      </w:rPr>
      <w:t>1</w:t>
    </w:r>
    <w:r w:rsidRPr="00727BF2">
      <w:rPr>
        <w:rFonts w:eastAsia="Courier New"/>
      </w:rPr>
      <w:fldChar w:fldCharType="end"/>
    </w:r>
    <w:r w:rsidRPr="00727BF2">
      <w:rPr>
        <w:rFonts w:eastAsia="Courier Ne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595" w14:paraId="797E6AD4" w14:textId="77777777">
    <w:pPr>
      <w:tabs>
        <w:tab w:val="center" w:pos="5064"/>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33A3" w14:paraId="38A0E5C0" w14:textId="77777777">
      <w:pPr>
        <w:spacing w:after="0" w:line="240" w:lineRule="auto"/>
      </w:pPr>
      <w:r>
        <w:separator/>
      </w:r>
    </w:p>
  </w:footnote>
  <w:footnote w:type="continuationSeparator" w:id="1">
    <w:p w:rsidR="00EE33A3" w14:paraId="3DD449F9" w14:textId="77777777">
      <w:pPr>
        <w:spacing w:after="0" w:line="240" w:lineRule="auto"/>
      </w:pPr>
      <w:r>
        <w:continuationSeparator/>
      </w:r>
    </w:p>
  </w:footnote>
  <w:footnote w:type="continuationNotice" w:id="2">
    <w:p w:rsidR="00EE33A3" w14:paraId="29B2B8B5" w14:textId="77777777">
      <w:pPr>
        <w:spacing w:after="0" w:line="240" w:lineRule="auto"/>
      </w:pPr>
    </w:p>
  </w:footnote>
  <w:footnote w:id="3">
    <w:p w:rsidR="00D261A0" w14:paraId="6ED111C3" w14:textId="615BDD6A">
      <w:pPr>
        <w:pStyle w:val="FootnoteText"/>
      </w:pPr>
      <w:r>
        <w:rPr>
          <w:rStyle w:val="FootnoteReference"/>
        </w:rPr>
        <w:footnoteRef/>
      </w:r>
      <w:r>
        <w:t xml:space="preserve"> </w:t>
      </w:r>
      <w:hyperlink r:id="rId1" w:history="1">
        <w:r w:rsidRPr="00282929" w:rsidR="00556205">
          <w:rPr>
            <w:rStyle w:val="Hyperlink"/>
          </w:rPr>
          <w:t>https://www.federalregister.gov/documents/2024/04/23/2024-07105/medicare-program-changes-to-the-medicare-advantage-and-the-medicare-prescription-drug-benefit</w:t>
        </w:r>
      </w:hyperlink>
      <w:r w:rsidR="00556205">
        <w:t xml:space="preserve"> </w:t>
      </w:r>
      <w:r w:rsidR="002D296D">
        <w:t xml:space="preserve"> </w:t>
      </w:r>
    </w:p>
  </w:footnote>
  <w:footnote w:id="4">
    <w:p w:rsidR="00383DA0" w14:paraId="029E9B76" w14:textId="4EA889E0">
      <w:pPr>
        <w:pStyle w:val="FootnoteText"/>
      </w:pPr>
      <w:r>
        <w:rPr>
          <w:rStyle w:val="FootnoteReference"/>
        </w:rPr>
        <w:footnoteRef/>
      </w:r>
      <w:r w:rsidR="00C90F9E">
        <w:t xml:space="preserve"> </w:t>
      </w:r>
      <w:hyperlink r:id="rId2" w:history="1">
        <w:r w:rsidRPr="001145A6" w:rsidR="00970F4A">
          <w:rPr>
            <w:rStyle w:val="Hyperlink"/>
          </w:rPr>
          <w:t>https://www.cms.gov/files/zip/cy-2023-part-d-dmp-guidance-april-20-2023.zip</w:t>
        </w:r>
      </w:hyperlink>
      <w:r w:rsidR="00970F4A">
        <w:rPr>
          <w:rStyle w:val="Hyperlink"/>
        </w:rPr>
        <w:t xml:space="preserve"> </w:t>
      </w:r>
    </w:p>
  </w:footnote>
  <w:footnote w:id="5">
    <w:p w:rsidR="00523F2B" w14:paraId="18C53333" w14:textId="62171BDA">
      <w:pPr>
        <w:pStyle w:val="FootnoteText"/>
      </w:pPr>
      <w:r>
        <w:rPr>
          <w:rStyle w:val="FootnoteReference"/>
        </w:rPr>
        <w:footnoteRef/>
      </w:r>
      <w:r>
        <w:t xml:space="preserve"> </w:t>
      </w:r>
      <w:hyperlink r:id="rId3" w:history="1">
        <w:r w:rsidRPr="004A024B">
          <w:rPr>
            <w:rStyle w:val="Hyperlink"/>
          </w:rPr>
          <w:t>https://www.federalregister.gov/documents/2023/11/15/2023-24118/medicare-program-contract-year-2025-policy-and-technical-changes-to-the-medicare-advantage-program</w:t>
        </w:r>
      </w:hyperlink>
    </w:p>
  </w:footnote>
  <w:footnote w:id="6">
    <w:p w:rsidR="005C035C" w14:paraId="7ECD3A1F" w14:textId="54F4554A">
      <w:pPr>
        <w:pStyle w:val="FootnoteText"/>
      </w:pPr>
      <w:r>
        <w:rPr>
          <w:rStyle w:val="FootnoteReference"/>
        </w:rPr>
        <w:footnoteRef/>
      </w:r>
      <w:r>
        <w:t xml:space="preserve"> </w:t>
      </w:r>
      <w:hyperlink r:id="rId1" w:history="1">
        <w:r w:rsidRPr="00282929" w:rsidR="00556205">
          <w:rPr>
            <w:rStyle w:val="Hyperlink"/>
          </w:rPr>
          <w:t>https://www.federalregister.gov/documents/2024/04/23/2024-07105/medicare-program-changes-to-the-medicare-advantage-and-the-medicare-prescription-drug-benefit</w:t>
        </w:r>
      </w:hyperlink>
      <w:r w:rsidR="00556205">
        <w:t xml:space="preserve"> </w:t>
      </w:r>
      <w:r>
        <w:t xml:space="preserve"> </w:t>
      </w:r>
    </w:p>
  </w:footnote>
  <w:footnote w:id="7">
    <w:p w:rsidR="005A329A" w14:paraId="1C818E84" w14:textId="1EAD4D01">
      <w:pPr>
        <w:pStyle w:val="FootnoteText"/>
      </w:pPr>
      <w:r>
        <w:rPr>
          <w:rStyle w:val="FootnoteReference"/>
        </w:rPr>
        <w:footnoteRef/>
      </w:r>
      <w:r>
        <w:t xml:space="preserve"> </w:t>
      </w:r>
      <w:hyperlink r:id="rId4" w:history="1">
        <w:r w:rsidRPr="00146235" w:rsidR="00122F6F">
          <w:rPr>
            <w:rStyle w:val="Hyperlink"/>
          </w:rPr>
          <w:t>https://www.federalregister.gov/documents/2024/05/06/2024-09812/agency-information-collection-activities-proposed-collection-comment-request</w:t>
        </w:r>
      </w:hyperlink>
      <w:r w:rsidR="00122F6F">
        <w:t xml:space="preserve"> </w:t>
      </w:r>
    </w:p>
  </w:footnote>
  <w:footnote w:id="8">
    <w:p w:rsidR="007172CA" w:rsidP="00556205" w14:paraId="722EBBF6" w14:textId="075EBB30">
      <w:pPr>
        <w:pStyle w:val="FootnoteText"/>
      </w:pPr>
      <w:r>
        <w:rPr>
          <w:rStyle w:val="FootnoteReference"/>
        </w:rPr>
        <w:footnoteRef/>
      </w:r>
      <w:hyperlink r:id="rId5" w:history="1">
        <w:r w:rsidRPr="00666CF9" w:rsidR="00306ACE">
          <w:rPr>
            <w:rStyle w:val="Hyperlink"/>
          </w:rPr>
          <w:t>www.opm.gov/policy-data-oversight/pay-leave/salaries-wages/salary-tables/pdf/2024/DCB_h.pdf</w:t>
        </w:r>
      </w:hyperlink>
    </w:p>
  </w:footnote>
  <w:footnote w:id="9">
    <w:p w:rsidR="00997876" w14:paraId="4C861CDD" w14:textId="5D3FB0EB">
      <w:pPr>
        <w:pStyle w:val="FootnoteText"/>
      </w:pPr>
      <w:r>
        <w:rPr>
          <w:rStyle w:val="FootnoteReference"/>
        </w:rPr>
        <w:footnoteRef/>
      </w:r>
      <w:r>
        <w:t xml:space="preserve"> </w:t>
      </w:r>
      <w:hyperlink r:id="rId1" w:history="1">
        <w:r w:rsidRPr="00282929" w:rsidR="00556205">
          <w:rPr>
            <w:rStyle w:val="Hyperlink"/>
          </w:rPr>
          <w:t>https://www.federalregister.gov/documents/2024/04/23/2024-07105/medicare-program-changes-to-the-medicare-advantage-and-the-medicare-prescription-drug-benefit</w:t>
        </w:r>
      </w:hyperlink>
      <w:r w:rsidR="0055620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847E2"/>
    <w:multiLevelType w:val="hybridMultilevel"/>
    <w:tmpl w:val="BBE242EA"/>
    <w:lvl w:ilvl="0">
      <w:start w:val="3"/>
      <w:numFmt w:val="lowerLetter"/>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AE2287F"/>
    <w:multiLevelType w:val="hybridMultilevel"/>
    <w:tmpl w:val="B082DAA2"/>
    <w:lvl w:ilvl="0">
      <w:start w:val="1"/>
      <w:numFmt w:val="bullet"/>
      <w:lvlText w:val=""/>
      <w:lvlJc w:val="left"/>
      <w:pPr>
        <w:ind w:left="144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70CAD"/>
    <w:multiLevelType w:val="hybridMultilevel"/>
    <w:tmpl w:val="0250F29C"/>
    <w:lvl w:ilvl="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7A36F72"/>
    <w:multiLevelType w:val="hybridMultilevel"/>
    <w:tmpl w:val="D7C07ABA"/>
    <w:lvl w:ilvl="0">
      <w:start w:val="16"/>
      <w:numFmt w:val="decimal"/>
      <w:lvlText w:val="%1."/>
      <w:lvlJc w:val="left"/>
      <w:pPr>
        <w:ind w:left="1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iCs/>
        <w:strike w:val="0"/>
        <w:dstrike w:val="0"/>
        <w:color w:val="000000"/>
        <w:sz w:val="24"/>
        <w:szCs w:val="24"/>
        <w:u w:val="single" w:color="000000"/>
        <w:bdr w:val="none" w:sz="0" w:space="0" w:color="auto"/>
        <w:shd w:val="clear" w:color="auto" w:fill="auto"/>
        <w:vertAlign w:val="baseline"/>
      </w:rPr>
    </w:lvl>
  </w:abstractNum>
  <w:abstractNum w:abstractNumId="4">
    <w:nsid w:val="1AF56DEE"/>
    <w:multiLevelType w:val="hybridMultilevel"/>
    <w:tmpl w:val="413881CC"/>
    <w:lvl w:ilvl="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6FE1FDE"/>
    <w:multiLevelType w:val="hybridMultilevel"/>
    <w:tmpl w:val="90269A84"/>
    <w:lvl w:ilvl="0">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ACB72CB"/>
    <w:multiLevelType w:val="hybridMultilevel"/>
    <w:tmpl w:val="39E0A8AE"/>
    <w:lvl w:ilvl="0">
      <w:start w:val="1"/>
      <w:numFmt w:val="bullet"/>
      <w:lvlText w:val="•"/>
      <w:lvlJc w:val="left"/>
      <w:pPr>
        <w:ind w:left="1081"/>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lvl w:ilvl="1">
      <w:start w:val="1"/>
      <w:numFmt w:val="bullet"/>
      <w:lvlText w:val="o"/>
      <w:lvlJc w:val="left"/>
      <w:pPr>
        <w:ind w:left="1140"/>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lvl w:ilvl="2">
      <w:start w:val="1"/>
      <w:numFmt w:val="bullet"/>
      <w:lvlText w:val="▪"/>
      <w:lvlJc w:val="left"/>
      <w:pPr>
        <w:ind w:left="1860"/>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lvl w:ilvl="3">
      <w:start w:val="1"/>
      <w:numFmt w:val="bullet"/>
      <w:lvlText w:val="•"/>
      <w:lvlJc w:val="left"/>
      <w:pPr>
        <w:ind w:left="2580"/>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lvl w:ilvl="4">
      <w:start w:val="1"/>
      <w:numFmt w:val="bullet"/>
      <w:lvlText w:val="o"/>
      <w:lvlJc w:val="left"/>
      <w:pPr>
        <w:ind w:left="3300"/>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lvl w:ilvl="5">
      <w:start w:val="1"/>
      <w:numFmt w:val="bullet"/>
      <w:lvlText w:val="▪"/>
      <w:lvlJc w:val="left"/>
      <w:pPr>
        <w:ind w:left="4020"/>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lvl w:ilvl="6">
      <w:start w:val="1"/>
      <w:numFmt w:val="bullet"/>
      <w:lvlText w:val="•"/>
      <w:lvlJc w:val="left"/>
      <w:pPr>
        <w:ind w:left="4740"/>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lvl w:ilvl="7">
      <w:start w:val="1"/>
      <w:numFmt w:val="bullet"/>
      <w:lvlText w:val="o"/>
      <w:lvlJc w:val="left"/>
      <w:pPr>
        <w:ind w:left="5460"/>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lvl w:ilvl="8">
      <w:start w:val="1"/>
      <w:numFmt w:val="bullet"/>
      <w:lvlText w:val="▪"/>
      <w:lvlJc w:val="left"/>
      <w:pPr>
        <w:ind w:left="6180"/>
      </w:pPr>
      <w:rPr>
        <w:rFonts w:ascii="Arial" w:eastAsia="Arial" w:hAnsi="Arial" w:cs="Arial"/>
        <w:b w:val="0"/>
        <w:i/>
        <w:iCs/>
        <w:strike w:val="0"/>
        <w:dstrike w:val="0"/>
        <w:color w:val="000000"/>
        <w:sz w:val="25"/>
        <w:szCs w:val="25"/>
        <w:u w:val="none" w:color="000000"/>
        <w:bdr w:val="none" w:sz="0" w:space="0" w:color="auto"/>
        <w:shd w:val="clear" w:color="auto" w:fill="auto"/>
        <w:vertAlign w:val="baseline"/>
      </w:rPr>
    </w:lvl>
  </w:abstractNum>
  <w:abstractNum w:abstractNumId="7">
    <w:nsid w:val="3A627680"/>
    <w:multiLevelType w:val="hybridMultilevel"/>
    <w:tmpl w:val="CF581ADE"/>
    <w:lvl w:ilvl="0">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D4208A"/>
    <w:multiLevelType w:val="hybridMultilevel"/>
    <w:tmpl w:val="027E1D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5183AAD"/>
    <w:multiLevelType w:val="hybridMultilevel"/>
    <w:tmpl w:val="914C9940"/>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10">
    <w:nsid w:val="5D33384F"/>
    <w:multiLevelType w:val="hybridMultilevel"/>
    <w:tmpl w:val="82FA22D8"/>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1">
    <w:nsid w:val="5DBB1698"/>
    <w:multiLevelType w:val="hybridMultilevel"/>
    <w:tmpl w:val="08DC5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F625A5"/>
    <w:multiLevelType w:val="hybridMultilevel"/>
    <w:tmpl w:val="55D086FE"/>
    <w:lvl w:ilvl="0">
      <w:start w:val="1"/>
      <w:numFmt w:val="upperLetter"/>
      <w:pStyle w:val="Heading3"/>
      <w:lvlText w:val="%1."/>
      <w:lvlJc w:val="left"/>
      <w:pPr>
        <w:ind w:left="710" w:hanging="360"/>
      </w:pPr>
      <w:rPr>
        <w:rFonts w:hint="default"/>
      </w:r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13">
    <w:nsid w:val="65F662C0"/>
    <w:multiLevelType w:val="hybridMultilevel"/>
    <w:tmpl w:val="069CCA3C"/>
    <w:lvl w:ilvl="0">
      <w:start w:val="1"/>
      <w:numFmt w:val="bullet"/>
      <w:lvlText w:val=""/>
      <w:lvlJc w:val="left"/>
      <w:pPr>
        <w:ind w:left="144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6A659D"/>
    <w:multiLevelType w:val="hybridMultilevel"/>
    <w:tmpl w:val="F9003FE4"/>
    <w:lvl w:ilvl="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76573514"/>
    <w:multiLevelType w:val="hybridMultilevel"/>
    <w:tmpl w:val="CB529A3C"/>
    <w:lvl w:ilvl="0">
      <w:start w:val="16"/>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79676F"/>
    <w:multiLevelType w:val="hybridMultilevel"/>
    <w:tmpl w:val="B8EA688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num w:numId="1" w16cid:durableId="2137750138">
    <w:abstractNumId w:val="2"/>
  </w:num>
  <w:num w:numId="2" w16cid:durableId="238173029">
    <w:abstractNumId w:val="6"/>
  </w:num>
  <w:num w:numId="3" w16cid:durableId="1184200382">
    <w:abstractNumId w:val="4"/>
  </w:num>
  <w:num w:numId="4" w16cid:durableId="858667045">
    <w:abstractNumId w:val="0"/>
  </w:num>
  <w:num w:numId="5" w16cid:durableId="1296134354">
    <w:abstractNumId w:val="14"/>
  </w:num>
  <w:num w:numId="6" w16cid:durableId="747111963">
    <w:abstractNumId w:val="3"/>
  </w:num>
  <w:num w:numId="7" w16cid:durableId="2038193940">
    <w:abstractNumId w:val="8"/>
  </w:num>
  <w:num w:numId="8" w16cid:durableId="2106681258">
    <w:abstractNumId w:val="16"/>
  </w:num>
  <w:num w:numId="9" w16cid:durableId="1034234951">
    <w:abstractNumId w:val="9"/>
  </w:num>
  <w:num w:numId="10" w16cid:durableId="969288220">
    <w:abstractNumId w:val="12"/>
  </w:num>
  <w:num w:numId="11" w16cid:durableId="421805262">
    <w:abstractNumId w:val="10"/>
  </w:num>
  <w:num w:numId="12" w16cid:durableId="1455247092">
    <w:abstractNumId w:val="5"/>
  </w:num>
  <w:num w:numId="13" w16cid:durableId="1022975924">
    <w:abstractNumId w:val="7"/>
  </w:num>
  <w:num w:numId="14" w16cid:durableId="1027953087">
    <w:abstractNumId w:val="1"/>
  </w:num>
  <w:num w:numId="15" w16cid:durableId="687830410">
    <w:abstractNumId w:val="13"/>
  </w:num>
  <w:num w:numId="16" w16cid:durableId="1257056840">
    <w:abstractNumId w:val="15"/>
  </w:num>
  <w:num w:numId="17" w16cid:durableId="1462576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64"/>
    <w:rsid w:val="00013728"/>
    <w:rsid w:val="00013857"/>
    <w:rsid w:val="000153FE"/>
    <w:rsid w:val="0002251B"/>
    <w:rsid w:val="000225F9"/>
    <w:rsid w:val="00032A2F"/>
    <w:rsid w:val="00034B01"/>
    <w:rsid w:val="0003506B"/>
    <w:rsid w:val="00035933"/>
    <w:rsid w:val="000426F4"/>
    <w:rsid w:val="000466A7"/>
    <w:rsid w:val="000728AC"/>
    <w:rsid w:val="000753C5"/>
    <w:rsid w:val="00076A76"/>
    <w:rsid w:val="000811EC"/>
    <w:rsid w:val="00081F70"/>
    <w:rsid w:val="000822A7"/>
    <w:rsid w:val="00083DE3"/>
    <w:rsid w:val="00091856"/>
    <w:rsid w:val="0009488C"/>
    <w:rsid w:val="000A6471"/>
    <w:rsid w:val="000B4A41"/>
    <w:rsid w:val="000B6D7B"/>
    <w:rsid w:val="000C2975"/>
    <w:rsid w:val="000C4026"/>
    <w:rsid w:val="000C4F8A"/>
    <w:rsid w:val="000C5B23"/>
    <w:rsid w:val="000C7397"/>
    <w:rsid w:val="000D0B2B"/>
    <w:rsid w:val="000D0E10"/>
    <w:rsid w:val="000D775D"/>
    <w:rsid w:val="000F385D"/>
    <w:rsid w:val="000F6998"/>
    <w:rsid w:val="000F751D"/>
    <w:rsid w:val="000F7E5F"/>
    <w:rsid w:val="00104BAA"/>
    <w:rsid w:val="00112651"/>
    <w:rsid w:val="001145A6"/>
    <w:rsid w:val="00116DFA"/>
    <w:rsid w:val="001202BD"/>
    <w:rsid w:val="00122F6F"/>
    <w:rsid w:val="00131729"/>
    <w:rsid w:val="00132AC8"/>
    <w:rsid w:val="00134E08"/>
    <w:rsid w:val="00141DA9"/>
    <w:rsid w:val="00145376"/>
    <w:rsid w:val="00146235"/>
    <w:rsid w:val="00147FF6"/>
    <w:rsid w:val="00151FAD"/>
    <w:rsid w:val="00154A75"/>
    <w:rsid w:val="0015696A"/>
    <w:rsid w:val="00157EB1"/>
    <w:rsid w:val="0016141F"/>
    <w:rsid w:val="00161D2A"/>
    <w:rsid w:val="001720E4"/>
    <w:rsid w:val="00172F8A"/>
    <w:rsid w:val="00173BF2"/>
    <w:rsid w:val="00175045"/>
    <w:rsid w:val="00187373"/>
    <w:rsid w:val="0019541A"/>
    <w:rsid w:val="00195519"/>
    <w:rsid w:val="00197262"/>
    <w:rsid w:val="001A04A3"/>
    <w:rsid w:val="001A1C4C"/>
    <w:rsid w:val="001B2595"/>
    <w:rsid w:val="001B6C72"/>
    <w:rsid w:val="001C664E"/>
    <w:rsid w:val="001D2926"/>
    <w:rsid w:val="001D4633"/>
    <w:rsid w:val="001D6ED1"/>
    <w:rsid w:val="001E5663"/>
    <w:rsid w:val="001F0575"/>
    <w:rsid w:val="001F420E"/>
    <w:rsid w:val="001F50F9"/>
    <w:rsid w:val="00202713"/>
    <w:rsid w:val="00203069"/>
    <w:rsid w:val="002061AC"/>
    <w:rsid w:val="002178D6"/>
    <w:rsid w:val="002214EF"/>
    <w:rsid w:val="00223735"/>
    <w:rsid w:val="00237F83"/>
    <w:rsid w:val="002435EC"/>
    <w:rsid w:val="00243AA7"/>
    <w:rsid w:val="00245E8A"/>
    <w:rsid w:val="00246089"/>
    <w:rsid w:val="00251AFE"/>
    <w:rsid w:val="00254D5C"/>
    <w:rsid w:val="00262227"/>
    <w:rsid w:val="00267050"/>
    <w:rsid w:val="00270174"/>
    <w:rsid w:val="002711BA"/>
    <w:rsid w:val="002735D4"/>
    <w:rsid w:val="00273AFB"/>
    <w:rsid w:val="00276DF1"/>
    <w:rsid w:val="0028045C"/>
    <w:rsid w:val="00282929"/>
    <w:rsid w:val="002864B8"/>
    <w:rsid w:val="00292D1B"/>
    <w:rsid w:val="002941C7"/>
    <w:rsid w:val="00294F59"/>
    <w:rsid w:val="00294FA6"/>
    <w:rsid w:val="002A2D66"/>
    <w:rsid w:val="002A513D"/>
    <w:rsid w:val="002B01A1"/>
    <w:rsid w:val="002B3ABC"/>
    <w:rsid w:val="002B5419"/>
    <w:rsid w:val="002C2258"/>
    <w:rsid w:val="002C46F8"/>
    <w:rsid w:val="002D291E"/>
    <w:rsid w:val="002D296D"/>
    <w:rsid w:val="002D2DC4"/>
    <w:rsid w:val="002D5219"/>
    <w:rsid w:val="002D6076"/>
    <w:rsid w:val="002D75A1"/>
    <w:rsid w:val="002E21A7"/>
    <w:rsid w:val="002E2F7F"/>
    <w:rsid w:val="002E4EA3"/>
    <w:rsid w:val="002E6664"/>
    <w:rsid w:val="002E6EA3"/>
    <w:rsid w:val="002F310E"/>
    <w:rsid w:val="002F3E57"/>
    <w:rsid w:val="002F7892"/>
    <w:rsid w:val="00302D65"/>
    <w:rsid w:val="00304AA2"/>
    <w:rsid w:val="00306ACE"/>
    <w:rsid w:val="00316766"/>
    <w:rsid w:val="00317B53"/>
    <w:rsid w:val="003277C5"/>
    <w:rsid w:val="00332451"/>
    <w:rsid w:val="00336AA6"/>
    <w:rsid w:val="003557C4"/>
    <w:rsid w:val="00356662"/>
    <w:rsid w:val="00360679"/>
    <w:rsid w:val="00361B2F"/>
    <w:rsid w:val="00370CA7"/>
    <w:rsid w:val="00371F61"/>
    <w:rsid w:val="003735A6"/>
    <w:rsid w:val="00382CF5"/>
    <w:rsid w:val="00383DA0"/>
    <w:rsid w:val="003845C9"/>
    <w:rsid w:val="00384FBD"/>
    <w:rsid w:val="00385C4D"/>
    <w:rsid w:val="003877BB"/>
    <w:rsid w:val="0039248C"/>
    <w:rsid w:val="003941AA"/>
    <w:rsid w:val="00397015"/>
    <w:rsid w:val="003A09E0"/>
    <w:rsid w:val="003C03CB"/>
    <w:rsid w:val="003C63E8"/>
    <w:rsid w:val="003C7961"/>
    <w:rsid w:val="003D0DF2"/>
    <w:rsid w:val="003D44A6"/>
    <w:rsid w:val="003E13AF"/>
    <w:rsid w:val="003E2FF6"/>
    <w:rsid w:val="003E415A"/>
    <w:rsid w:val="003E58BF"/>
    <w:rsid w:val="003E79AA"/>
    <w:rsid w:val="0040005A"/>
    <w:rsid w:val="00402C89"/>
    <w:rsid w:val="00403BAD"/>
    <w:rsid w:val="00403EA8"/>
    <w:rsid w:val="00425307"/>
    <w:rsid w:val="00426782"/>
    <w:rsid w:val="00427276"/>
    <w:rsid w:val="004277DE"/>
    <w:rsid w:val="00431006"/>
    <w:rsid w:val="00436F72"/>
    <w:rsid w:val="00443D26"/>
    <w:rsid w:val="00444CE9"/>
    <w:rsid w:val="00450390"/>
    <w:rsid w:val="00450D1B"/>
    <w:rsid w:val="00455E54"/>
    <w:rsid w:val="004576E7"/>
    <w:rsid w:val="0046083E"/>
    <w:rsid w:val="00461BAF"/>
    <w:rsid w:val="00462D79"/>
    <w:rsid w:val="0046607B"/>
    <w:rsid w:val="00481599"/>
    <w:rsid w:val="004857BB"/>
    <w:rsid w:val="0049099B"/>
    <w:rsid w:val="00491478"/>
    <w:rsid w:val="00493591"/>
    <w:rsid w:val="00496084"/>
    <w:rsid w:val="00496B07"/>
    <w:rsid w:val="00497011"/>
    <w:rsid w:val="0049751A"/>
    <w:rsid w:val="004A024B"/>
    <w:rsid w:val="004A076E"/>
    <w:rsid w:val="004A35EB"/>
    <w:rsid w:val="004A5191"/>
    <w:rsid w:val="004B3574"/>
    <w:rsid w:val="004B4426"/>
    <w:rsid w:val="004C0FBA"/>
    <w:rsid w:val="004C211A"/>
    <w:rsid w:val="004C3C9F"/>
    <w:rsid w:val="004D00E8"/>
    <w:rsid w:val="004D365E"/>
    <w:rsid w:val="004D75E6"/>
    <w:rsid w:val="004D795E"/>
    <w:rsid w:val="004E0DF8"/>
    <w:rsid w:val="004F23FD"/>
    <w:rsid w:val="004F678B"/>
    <w:rsid w:val="004F6D2B"/>
    <w:rsid w:val="0050223B"/>
    <w:rsid w:val="005126B7"/>
    <w:rsid w:val="00513D20"/>
    <w:rsid w:val="00522E63"/>
    <w:rsid w:val="00523B3E"/>
    <w:rsid w:val="00523DB0"/>
    <w:rsid w:val="00523F2B"/>
    <w:rsid w:val="005244FD"/>
    <w:rsid w:val="00530E48"/>
    <w:rsid w:val="00531394"/>
    <w:rsid w:val="0053148E"/>
    <w:rsid w:val="00531749"/>
    <w:rsid w:val="0053234E"/>
    <w:rsid w:val="00533D19"/>
    <w:rsid w:val="00535069"/>
    <w:rsid w:val="0053706D"/>
    <w:rsid w:val="005414BD"/>
    <w:rsid w:val="00541746"/>
    <w:rsid w:val="005448AC"/>
    <w:rsid w:val="0054553D"/>
    <w:rsid w:val="005522BA"/>
    <w:rsid w:val="00554AB5"/>
    <w:rsid w:val="00554BD6"/>
    <w:rsid w:val="00555ECA"/>
    <w:rsid w:val="00556205"/>
    <w:rsid w:val="005572F7"/>
    <w:rsid w:val="00563392"/>
    <w:rsid w:val="005643C2"/>
    <w:rsid w:val="0057377B"/>
    <w:rsid w:val="00574525"/>
    <w:rsid w:val="00575A84"/>
    <w:rsid w:val="00577F74"/>
    <w:rsid w:val="005849E2"/>
    <w:rsid w:val="0059490D"/>
    <w:rsid w:val="005A168B"/>
    <w:rsid w:val="005A2367"/>
    <w:rsid w:val="005A3260"/>
    <w:rsid w:val="005A329A"/>
    <w:rsid w:val="005A355A"/>
    <w:rsid w:val="005B1A49"/>
    <w:rsid w:val="005B4CD8"/>
    <w:rsid w:val="005B6A2C"/>
    <w:rsid w:val="005C035C"/>
    <w:rsid w:val="005C12A8"/>
    <w:rsid w:val="005C4053"/>
    <w:rsid w:val="005C5DCE"/>
    <w:rsid w:val="005C6B7D"/>
    <w:rsid w:val="005D379E"/>
    <w:rsid w:val="005E02DF"/>
    <w:rsid w:val="005E56D3"/>
    <w:rsid w:val="00606323"/>
    <w:rsid w:val="00610584"/>
    <w:rsid w:val="0061545E"/>
    <w:rsid w:val="006265FF"/>
    <w:rsid w:val="006342BD"/>
    <w:rsid w:val="00634402"/>
    <w:rsid w:val="00634A78"/>
    <w:rsid w:val="00650D4C"/>
    <w:rsid w:val="00651BB5"/>
    <w:rsid w:val="0065415E"/>
    <w:rsid w:val="00654554"/>
    <w:rsid w:val="00657390"/>
    <w:rsid w:val="00666CF9"/>
    <w:rsid w:val="00675A79"/>
    <w:rsid w:val="00683DAD"/>
    <w:rsid w:val="00691BB3"/>
    <w:rsid w:val="00693442"/>
    <w:rsid w:val="00693E0C"/>
    <w:rsid w:val="006A0486"/>
    <w:rsid w:val="006A19B1"/>
    <w:rsid w:val="006A2408"/>
    <w:rsid w:val="006A24B8"/>
    <w:rsid w:val="006A7B84"/>
    <w:rsid w:val="006B3A89"/>
    <w:rsid w:val="006B3D66"/>
    <w:rsid w:val="006B4520"/>
    <w:rsid w:val="006B5305"/>
    <w:rsid w:val="006B5DA0"/>
    <w:rsid w:val="006C1982"/>
    <w:rsid w:val="006C4796"/>
    <w:rsid w:val="006D2198"/>
    <w:rsid w:val="006E00BC"/>
    <w:rsid w:val="00700EDF"/>
    <w:rsid w:val="00701E84"/>
    <w:rsid w:val="00704AC1"/>
    <w:rsid w:val="00710673"/>
    <w:rsid w:val="00714815"/>
    <w:rsid w:val="007172CA"/>
    <w:rsid w:val="00727BF2"/>
    <w:rsid w:val="00733E6A"/>
    <w:rsid w:val="00734D06"/>
    <w:rsid w:val="00736B48"/>
    <w:rsid w:val="00741856"/>
    <w:rsid w:val="00747CEC"/>
    <w:rsid w:val="00760748"/>
    <w:rsid w:val="00760856"/>
    <w:rsid w:val="0076311B"/>
    <w:rsid w:val="00763365"/>
    <w:rsid w:val="0076390D"/>
    <w:rsid w:val="007736F7"/>
    <w:rsid w:val="00774782"/>
    <w:rsid w:val="007818FF"/>
    <w:rsid w:val="00781C2C"/>
    <w:rsid w:val="007820EF"/>
    <w:rsid w:val="00782449"/>
    <w:rsid w:val="007833DB"/>
    <w:rsid w:val="007901BA"/>
    <w:rsid w:val="00793F93"/>
    <w:rsid w:val="007A510F"/>
    <w:rsid w:val="007B0169"/>
    <w:rsid w:val="007B1E02"/>
    <w:rsid w:val="007B3E83"/>
    <w:rsid w:val="007B7CD1"/>
    <w:rsid w:val="007C0EF7"/>
    <w:rsid w:val="007D04FE"/>
    <w:rsid w:val="007D0BF7"/>
    <w:rsid w:val="007D14FC"/>
    <w:rsid w:val="007D1EF2"/>
    <w:rsid w:val="007D5F12"/>
    <w:rsid w:val="007F6C08"/>
    <w:rsid w:val="008057F4"/>
    <w:rsid w:val="00806E5A"/>
    <w:rsid w:val="008110DB"/>
    <w:rsid w:val="008142AA"/>
    <w:rsid w:val="00814D6A"/>
    <w:rsid w:val="008166C6"/>
    <w:rsid w:val="00833FAE"/>
    <w:rsid w:val="0084088C"/>
    <w:rsid w:val="00843CB3"/>
    <w:rsid w:val="00843E6E"/>
    <w:rsid w:val="0084511F"/>
    <w:rsid w:val="00850181"/>
    <w:rsid w:val="00850B9F"/>
    <w:rsid w:val="008539C3"/>
    <w:rsid w:val="00865905"/>
    <w:rsid w:val="00867B60"/>
    <w:rsid w:val="00871483"/>
    <w:rsid w:val="008736E9"/>
    <w:rsid w:val="0087554B"/>
    <w:rsid w:val="00877DA2"/>
    <w:rsid w:val="00880DF0"/>
    <w:rsid w:val="0088141B"/>
    <w:rsid w:val="00881F1D"/>
    <w:rsid w:val="0088216C"/>
    <w:rsid w:val="00883710"/>
    <w:rsid w:val="00890668"/>
    <w:rsid w:val="00890730"/>
    <w:rsid w:val="00893139"/>
    <w:rsid w:val="008959DE"/>
    <w:rsid w:val="008A78D7"/>
    <w:rsid w:val="008B43E1"/>
    <w:rsid w:val="008B6D2A"/>
    <w:rsid w:val="008B7A25"/>
    <w:rsid w:val="008C2A11"/>
    <w:rsid w:val="008C6DBE"/>
    <w:rsid w:val="008C7684"/>
    <w:rsid w:val="008D3323"/>
    <w:rsid w:val="008D3D12"/>
    <w:rsid w:val="008D7FDE"/>
    <w:rsid w:val="008E5A93"/>
    <w:rsid w:val="008E6980"/>
    <w:rsid w:val="008F56F2"/>
    <w:rsid w:val="008F5DDA"/>
    <w:rsid w:val="00904D78"/>
    <w:rsid w:val="00913320"/>
    <w:rsid w:val="00913B88"/>
    <w:rsid w:val="009162FE"/>
    <w:rsid w:val="00917248"/>
    <w:rsid w:val="00924D27"/>
    <w:rsid w:val="00943CED"/>
    <w:rsid w:val="0094666D"/>
    <w:rsid w:val="00950746"/>
    <w:rsid w:val="0095253F"/>
    <w:rsid w:val="0095429A"/>
    <w:rsid w:val="00960303"/>
    <w:rsid w:val="00970F4A"/>
    <w:rsid w:val="00974F5E"/>
    <w:rsid w:val="00975106"/>
    <w:rsid w:val="00975928"/>
    <w:rsid w:val="00977817"/>
    <w:rsid w:val="00992499"/>
    <w:rsid w:val="00993E82"/>
    <w:rsid w:val="00997876"/>
    <w:rsid w:val="009A59F7"/>
    <w:rsid w:val="009A5D7A"/>
    <w:rsid w:val="009B6BB1"/>
    <w:rsid w:val="009C070D"/>
    <w:rsid w:val="009C19BE"/>
    <w:rsid w:val="009C4375"/>
    <w:rsid w:val="009D1702"/>
    <w:rsid w:val="009D2F88"/>
    <w:rsid w:val="009E217D"/>
    <w:rsid w:val="009E49A0"/>
    <w:rsid w:val="009F4ED6"/>
    <w:rsid w:val="009F7214"/>
    <w:rsid w:val="009F7FD7"/>
    <w:rsid w:val="00A0107E"/>
    <w:rsid w:val="00A01D3E"/>
    <w:rsid w:val="00A05C8F"/>
    <w:rsid w:val="00A139ED"/>
    <w:rsid w:val="00A1493F"/>
    <w:rsid w:val="00A14F43"/>
    <w:rsid w:val="00A1757F"/>
    <w:rsid w:val="00A17D23"/>
    <w:rsid w:val="00A26A2A"/>
    <w:rsid w:val="00A33B8A"/>
    <w:rsid w:val="00A35AF8"/>
    <w:rsid w:val="00A36C87"/>
    <w:rsid w:val="00A40053"/>
    <w:rsid w:val="00A419E6"/>
    <w:rsid w:val="00A42E71"/>
    <w:rsid w:val="00A44F75"/>
    <w:rsid w:val="00A4510C"/>
    <w:rsid w:val="00A456A0"/>
    <w:rsid w:val="00A47463"/>
    <w:rsid w:val="00A52997"/>
    <w:rsid w:val="00A55D20"/>
    <w:rsid w:val="00A65D50"/>
    <w:rsid w:val="00A6692A"/>
    <w:rsid w:val="00A6698D"/>
    <w:rsid w:val="00A676D0"/>
    <w:rsid w:val="00A73EAC"/>
    <w:rsid w:val="00A74FE8"/>
    <w:rsid w:val="00A77EF0"/>
    <w:rsid w:val="00A8172C"/>
    <w:rsid w:val="00A82D49"/>
    <w:rsid w:val="00A8338A"/>
    <w:rsid w:val="00A8489C"/>
    <w:rsid w:val="00A87C74"/>
    <w:rsid w:val="00AA1456"/>
    <w:rsid w:val="00AA51D3"/>
    <w:rsid w:val="00AD054F"/>
    <w:rsid w:val="00AD297C"/>
    <w:rsid w:val="00AD4AAA"/>
    <w:rsid w:val="00AE0029"/>
    <w:rsid w:val="00AE5C94"/>
    <w:rsid w:val="00AE5E1E"/>
    <w:rsid w:val="00AF255F"/>
    <w:rsid w:val="00AF2965"/>
    <w:rsid w:val="00AF41D2"/>
    <w:rsid w:val="00AF589B"/>
    <w:rsid w:val="00AF7B71"/>
    <w:rsid w:val="00B00C0F"/>
    <w:rsid w:val="00B02FD4"/>
    <w:rsid w:val="00B05E59"/>
    <w:rsid w:val="00B12296"/>
    <w:rsid w:val="00B12337"/>
    <w:rsid w:val="00B171DF"/>
    <w:rsid w:val="00B2003C"/>
    <w:rsid w:val="00B26EC8"/>
    <w:rsid w:val="00B306A4"/>
    <w:rsid w:val="00B36B99"/>
    <w:rsid w:val="00B41A57"/>
    <w:rsid w:val="00B42915"/>
    <w:rsid w:val="00B52739"/>
    <w:rsid w:val="00B53DFD"/>
    <w:rsid w:val="00B579F4"/>
    <w:rsid w:val="00B61A9A"/>
    <w:rsid w:val="00B63027"/>
    <w:rsid w:val="00B67304"/>
    <w:rsid w:val="00B67B01"/>
    <w:rsid w:val="00B700C9"/>
    <w:rsid w:val="00B73595"/>
    <w:rsid w:val="00B75E96"/>
    <w:rsid w:val="00B807C7"/>
    <w:rsid w:val="00B81958"/>
    <w:rsid w:val="00B844DA"/>
    <w:rsid w:val="00B87989"/>
    <w:rsid w:val="00B90648"/>
    <w:rsid w:val="00B9137C"/>
    <w:rsid w:val="00BA1F7B"/>
    <w:rsid w:val="00BA487C"/>
    <w:rsid w:val="00BA502B"/>
    <w:rsid w:val="00BA5B42"/>
    <w:rsid w:val="00BB7977"/>
    <w:rsid w:val="00BC19FD"/>
    <w:rsid w:val="00BC242B"/>
    <w:rsid w:val="00BC32E4"/>
    <w:rsid w:val="00BD2E3C"/>
    <w:rsid w:val="00BE1A4F"/>
    <w:rsid w:val="00BF027D"/>
    <w:rsid w:val="00BF7916"/>
    <w:rsid w:val="00C00DF2"/>
    <w:rsid w:val="00C05385"/>
    <w:rsid w:val="00C07478"/>
    <w:rsid w:val="00C1067D"/>
    <w:rsid w:val="00C11367"/>
    <w:rsid w:val="00C12F5E"/>
    <w:rsid w:val="00C133AF"/>
    <w:rsid w:val="00C13FB4"/>
    <w:rsid w:val="00C23C26"/>
    <w:rsid w:val="00C531C8"/>
    <w:rsid w:val="00C53AE0"/>
    <w:rsid w:val="00C55818"/>
    <w:rsid w:val="00C5676E"/>
    <w:rsid w:val="00C6339B"/>
    <w:rsid w:val="00C701BD"/>
    <w:rsid w:val="00C7179E"/>
    <w:rsid w:val="00C75E6F"/>
    <w:rsid w:val="00C80C95"/>
    <w:rsid w:val="00C86700"/>
    <w:rsid w:val="00C90F9E"/>
    <w:rsid w:val="00C931ED"/>
    <w:rsid w:val="00C943FE"/>
    <w:rsid w:val="00C94C4C"/>
    <w:rsid w:val="00CA419C"/>
    <w:rsid w:val="00CB758A"/>
    <w:rsid w:val="00CB77FB"/>
    <w:rsid w:val="00CC095E"/>
    <w:rsid w:val="00CD124E"/>
    <w:rsid w:val="00CD63AA"/>
    <w:rsid w:val="00CE2A42"/>
    <w:rsid w:val="00CE46F1"/>
    <w:rsid w:val="00CF0D25"/>
    <w:rsid w:val="00D02669"/>
    <w:rsid w:val="00D06BD1"/>
    <w:rsid w:val="00D06E7B"/>
    <w:rsid w:val="00D2389A"/>
    <w:rsid w:val="00D24366"/>
    <w:rsid w:val="00D261A0"/>
    <w:rsid w:val="00D3145B"/>
    <w:rsid w:val="00D35A4D"/>
    <w:rsid w:val="00D430A6"/>
    <w:rsid w:val="00D43A88"/>
    <w:rsid w:val="00D53A1A"/>
    <w:rsid w:val="00D56F46"/>
    <w:rsid w:val="00D57856"/>
    <w:rsid w:val="00D66164"/>
    <w:rsid w:val="00D81167"/>
    <w:rsid w:val="00D824CE"/>
    <w:rsid w:val="00D90510"/>
    <w:rsid w:val="00D9634B"/>
    <w:rsid w:val="00DA04FA"/>
    <w:rsid w:val="00DA3AFD"/>
    <w:rsid w:val="00DB65A5"/>
    <w:rsid w:val="00DD10D9"/>
    <w:rsid w:val="00DE1D3A"/>
    <w:rsid w:val="00DE2C96"/>
    <w:rsid w:val="00DE4DBC"/>
    <w:rsid w:val="00DE4F95"/>
    <w:rsid w:val="00DE50A2"/>
    <w:rsid w:val="00E01FDE"/>
    <w:rsid w:val="00E0794E"/>
    <w:rsid w:val="00E112CE"/>
    <w:rsid w:val="00E2122C"/>
    <w:rsid w:val="00E21DB8"/>
    <w:rsid w:val="00E40615"/>
    <w:rsid w:val="00E43B59"/>
    <w:rsid w:val="00E44B7A"/>
    <w:rsid w:val="00E51D6B"/>
    <w:rsid w:val="00E55081"/>
    <w:rsid w:val="00E57A8A"/>
    <w:rsid w:val="00E605ED"/>
    <w:rsid w:val="00E61193"/>
    <w:rsid w:val="00E7511B"/>
    <w:rsid w:val="00E812FD"/>
    <w:rsid w:val="00E96B49"/>
    <w:rsid w:val="00EA1432"/>
    <w:rsid w:val="00EA70CF"/>
    <w:rsid w:val="00EB328E"/>
    <w:rsid w:val="00EB4843"/>
    <w:rsid w:val="00EB6993"/>
    <w:rsid w:val="00ED1182"/>
    <w:rsid w:val="00ED1238"/>
    <w:rsid w:val="00ED1B1B"/>
    <w:rsid w:val="00EE33A3"/>
    <w:rsid w:val="00EF3112"/>
    <w:rsid w:val="00EF476B"/>
    <w:rsid w:val="00EF5F75"/>
    <w:rsid w:val="00EF6A7A"/>
    <w:rsid w:val="00EF78C1"/>
    <w:rsid w:val="00F07407"/>
    <w:rsid w:val="00F12E49"/>
    <w:rsid w:val="00F24D93"/>
    <w:rsid w:val="00F26A06"/>
    <w:rsid w:val="00F40506"/>
    <w:rsid w:val="00F42BC2"/>
    <w:rsid w:val="00F53183"/>
    <w:rsid w:val="00F54A21"/>
    <w:rsid w:val="00F616B6"/>
    <w:rsid w:val="00F62606"/>
    <w:rsid w:val="00F6412E"/>
    <w:rsid w:val="00F81197"/>
    <w:rsid w:val="00F81A51"/>
    <w:rsid w:val="00F82865"/>
    <w:rsid w:val="00F835BF"/>
    <w:rsid w:val="00F84259"/>
    <w:rsid w:val="00F86777"/>
    <w:rsid w:val="00F901BE"/>
    <w:rsid w:val="00F901CB"/>
    <w:rsid w:val="00F94F14"/>
    <w:rsid w:val="00FA391D"/>
    <w:rsid w:val="00FA4C59"/>
    <w:rsid w:val="00FA57F8"/>
    <w:rsid w:val="00FA6B5A"/>
    <w:rsid w:val="00FA6C37"/>
    <w:rsid w:val="00FB2669"/>
    <w:rsid w:val="00FB55BE"/>
    <w:rsid w:val="00FB79CA"/>
    <w:rsid w:val="00FB7B4D"/>
    <w:rsid w:val="00FD2736"/>
    <w:rsid w:val="00FE7EA1"/>
    <w:rsid w:val="00FF17AC"/>
    <w:rsid w:val="7FAB17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BFEDA8"/>
  <w15:docId w15:val="{DF3ECE88-41CE-4BCB-AFF6-4F23AD19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B99"/>
    <w:pPr>
      <w:spacing w:after="150" w:line="248" w:lineRule="auto"/>
      <w:ind w:left="730" w:right="31"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AE5E1E"/>
    <w:pPr>
      <w:spacing w:after="0" w:line="240" w:lineRule="auto"/>
      <w:ind w:left="360" w:right="0"/>
      <w:jc w:val="center"/>
      <w:outlineLvl w:val="0"/>
    </w:pPr>
    <w:rPr>
      <w:b/>
      <w:szCs w:val="24"/>
    </w:rPr>
  </w:style>
  <w:style w:type="paragraph" w:styleId="Heading2">
    <w:name w:val="heading 2"/>
    <w:basedOn w:val="Heading1"/>
    <w:next w:val="Normal"/>
    <w:link w:val="Heading2Char"/>
    <w:uiPriority w:val="9"/>
    <w:unhideWhenUsed/>
    <w:qFormat/>
    <w:rsid w:val="00AE5E1E"/>
    <w:pPr>
      <w:outlineLvl w:val="1"/>
    </w:pPr>
  </w:style>
  <w:style w:type="paragraph" w:styleId="Heading3">
    <w:name w:val="heading 3"/>
    <w:basedOn w:val="Heading2"/>
    <w:next w:val="Normal"/>
    <w:link w:val="Heading3Char"/>
    <w:uiPriority w:val="9"/>
    <w:unhideWhenUsed/>
    <w:qFormat/>
    <w:rsid w:val="00AE5E1E"/>
    <w:pPr>
      <w:numPr>
        <w:numId w:val="10"/>
      </w:numPr>
      <w:outlineLvl w:val="2"/>
    </w:pPr>
  </w:style>
  <w:style w:type="paragraph" w:styleId="Heading4">
    <w:name w:val="heading 4"/>
    <w:basedOn w:val="Heading2"/>
    <w:next w:val="Normal"/>
    <w:link w:val="Heading4Char"/>
    <w:uiPriority w:val="9"/>
    <w:unhideWhenUsed/>
    <w:qFormat/>
    <w:rsid w:val="00317B53"/>
    <w:pPr>
      <w:ind w:left="715"/>
      <w:outlineLvl w:val="3"/>
    </w:pPr>
    <w:rPr>
      <w:i/>
    </w:rPr>
  </w:style>
  <w:style w:type="paragraph" w:styleId="Heading5">
    <w:name w:val="heading 5"/>
    <w:basedOn w:val="Heading4"/>
    <w:next w:val="Normal"/>
    <w:link w:val="Heading5Char"/>
    <w:uiPriority w:val="9"/>
    <w:unhideWhenUsed/>
    <w:qFormat/>
    <w:rsid w:val="00317B53"/>
    <w:pPr>
      <w:outlineLvl w:val="4"/>
    </w:pPr>
  </w:style>
  <w:style w:type="paragraph" w:styleId="Heading6">
    <w:name w:val="heading 6"/>
    <w:basedOn w:val="Normal"/>
    <w:next w:val="Normal"/>
    <w:link w:val="Heading6Char"/>
    <w:uiPriority w:val="9"/>
    <w:unhideWhenUsed/>
    <w:qFormat/>
    <w:rsid w:val="00317B53"/>
    <w:pPr>
      <w:spacing w:after="11" w:line="247" w:lineRule="auto"/>
      <w:ind w:left="1386" w:right="1043"/>
      <w:outlineLvl w:val="5"/>
    </w:pPr>
    <w:rPr>
      <w:i/>
      <w:sz w:val="22"/>
    </w:rPr>
  </w:style>
  <w:style w:type="paragraph" w:styleId="Heading7">
    <w:name w:val="heading 7"/>
    <w:next w:val="Normal"/>
    <w:link w:val="Heading7Char"/>
    <w:uiPriority w:val="9"/>
    <w:unhideWhenUsed/>
    <w:qFormat/>
    <w:pPr>
      <w:keepNext/>
      <w:keepLines/>
      <w:spacing w:after="150" w:line="248" w:lineRule="auto"/>
      <w:ind w:left="730" w:hanging="10"/>
      <w:jc w:val="both"/>
      <w:outlineLvl w:val="6"/>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E5E1E"/>
    <w:rPr>
      <w:rFonts w:ascii="Times New Roman" w:eastAsia="Times New Roman" w:hAnsi="Times New Roman" w:cs="Times New Roman"/>
      <w:b/>
      <w:color w:val="000000"/>
      <w:sz w:val="24"/>
      <w:szCs w:val="24"/>
    </w:rPr>
  </w:style>
  <w:style w:type="character" w:customStyle="1" w:styleId="Heading7Char">
    <w:name w:val="Heading 7 Char"/>
    <w:link w:val="Heading7"/>
    <w:rPr>
      <w:rFonts w:ascii="Times New Roman" w:eastAsia="Times New Roman" w:hAnsi="Times New Roman" w:cs="Times New Roman"/>
      <w:i/>
      <w:color w:val="000000"/>
      <w:sz w:val="24"/>
    </w:rPr>
  </w:style>
  <w:style w:type="character" w:customStyle="1" w:styleId="Heading4Char">
    <w:name w:val="Heading 4 Char"/>
    <w:link w:val="Heading4"/>
    <w:uiPriority w:val="9"/>
    <w:rsid w:val="00317B53"/>
    <w:rPr>
      <w:rFonts w:ascii="Times New Roman" w:eastAsia="Times New Roman" w:hAnsi="Times New Roman" w:cs="Times New Roman"/>
      <w:color w:val="000000"/>
      <w:sz w:val="24"/>
      <w:u w:val="single" w:color="000000"/>
    </w:rPr>
  </w:style>
  <w:style w:type="character" w:customStyle="1" w:styleId="Heading2Char">
    <w:name w:val="Heading 2 Char"/>
    <w:link w:val="Heading2"/>
    <w:uiPriority w:val="9"/>
    <w:rsid w:val="00AE5E1E"/>
    <w:rPr>
      <w:rFonts w:ascii="Times New Roman" w:eastAsia="Times New Roman" w:hAnsi="Times New Roman" w:cs="Times New Roman"/>
      <w:b/>
      <w:color w:val="000000"/>
      <w:sz w:val="24"/>
      <w:szCs w:val="24"/>
    </w:rPr>
  </w:style>
  <w:style w:type="character" w:customStyle="1" w:styleId="Heading3Char">
    <w:name w:val="Heading 3 Char"/>
    <w:link w:val="Heading3"/>
    <w:uiPriority w:val="9"/>
    <w:rsid w:val="00AE5E1E"/>
    <w:rPr>
      <w:rFonts w:ascii="Times New Roman" w:eastAsia="Times New Roman" w:hAnsi="Times New Roman" w:cs="Times New Roman"/>
      <w:b/>
      <w:color w:val="000000"/>
      <w:sz w:val="24"/>
      <w:szCs w:val="24"/>
    </w:rPr>
  </w:style>
  <w:style w:type="character" w:customStyle="1" w:styleId="Heading5Char">
    <w:name w:val="Heading 5 Char"/>
    <w:link w:val="Heading5"/>
    <w:uiPriority w:val="9"/>
    <w:rsid w:val="00317B53"/>
    <w:rPr>
      <w:rFonts w:ascii="Times New Roman" w:eastAsia="Times New Roman" w:hAnsi="Times New Roman" w:cs="Times New Roman"/>
      <w:i/>
      <w:color w:val="000000"/>
      <w:sz w:val="24"/>
    </w:rPr>
  </w:style>
  <w:style w:type="character" w:customStyle="1" w:styleId="Heading6Char">
    <w:name w:val="Heading 6 Char"/>
    <w:link w:val="Heading6"/>
    <w:uiPriority w:val="9"/>
    <w:rsid w:val="00317B53"/>
    <w:rPr>
      <w:rFonts w:ascii="Times New Roman" w:eastAsia="Times New Roman" w:hAnsi="Times New Roman" w:cs="Times New Roman"/>
      <w:i/>
      <w:color w:val="000000"/>
    </w:rPr>
  </w:style>
  <w:style w:type="paragraph" w:styleId="Revision">
    <w:name w:val="Revision"/>
    <w:hidden/>
    <w:uiPriority w:val="99"/>
    <w:semiHidden/>
    <w:rsid w:val="00B700C9"/>
    <w:pPr>
      <w:spacing w:after="0" w:line="240" w:lineRule="auto"/>
    </w:pPr>
    <w:rPr>
      <w:rFonts w:ascii="Times New Roman" w:eastAsia="Times New Roman" w:hAnsi="Times New Roman" w:cs="Times New Roman"/>
      <w:color w:val="000000"/>
      <w:sz w:val="24"/>
    </w:rPr>
  </w:style>
  <w:style w:type="paragraph" w:customStyle="1" w:styleId="Default">
    <w:name w:val="Default"/>
    <w:rsid w:val="00B700C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3234E"/>
    <w:rPr>
      <w:sz w:val="16"/>
      <w:szCs w:val="16"/>
    </w:rPr>
  </w:style>
  <w:style w:type="paragraph" w:styleId="CommentText">
    <w:name w:val="annotation text"/>
    <w:basedOn w:val="Normal"/>
    <w:link w:val="CommentTextChar"/>
    <w:uiPriority w:val="99"/>
    <w:unhideWhenUsed/>
    <w:rsid w:val="0053234E"/>
    <w:pPr>
      <w:spacing w:line="240" w:lineRule="auto"/>
    </w:pPr>
    <w:rPr>
      <w:sz w:val="20"/>
      <w:szCs w:val="20"/>
    </w:rPr>
  </w:style>
  <w:style w:type="character" w:customStyle="1" w:styleId="CommentTextChar">
    <w:name w:val="Comment Text Char"/>
    <w:basedOn w:val="DefaultParagraphFont"/>
    <w:link w:val="CommentText"/>
    <w:uiPriority w:val="99"/>
    <w:rsid w:val="0053234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3234E"/>
    <w:rPr>
      <w:b/>
      <w:bCs/>
    </w:rPr>
  </w:style>
  <w:style w:type="character" w:customStyle="1" w:styleId="CommentSubjectChar">
    <w:name w:val="Comment Subject Char"/>
    <w:basedOn w:val="CommentTextChar"/>
    <w:link w:val="CommentSubject"/>
    <w:uiPriority w:val="99"/>
    <w:semiHidden/>
    <w:rsid w:val="0053234E"/>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2F310E"/>
    <w:pPr>
      <w:ind w:left="720"/>
      <w:contextualSpacing/>
    </w:pPr>
  </w:style>
  <w:style w:type="paragraph" w:customStyle="1" w:styleId="paragraph">
    <w:name w:val="paragraph"/>
    <w:basedOn w:val="Normal"/>
    <w:rsid w:val="00AF41D2"/>
    <w:pPr>
      <w:spacing w:before="100" w:beforeAutospacing="1" w:after="100" w:afterAutospacing="1" w:line="240" w:lineRule="auto"/>
      <w:ind w:left="0" w:right="0" w:firstLine="0"/>
    </w:pPr>
    <w:rPr>
      <w:color w:val="auto"/>
      <w:szCs w:val="24"/>
    </w:rPr>
  </w:style>
  <w:style w:type="character" w:customStyle="1" w:styleId="normaltextrun">
    <w:name w:val="normaltextrun"/>
    <w:basedOn w:val="DefaultParagraphFont"/>
    <w:rsid w:val="00AF41D2"/>
  </w:style>
  <w:style w:type="character" w:customStyle="1" w:styleId="eop">
    <w:name w:val="eop"/>
    <w:basedOn w:val="DefaultParagraphFont"/>
    <w:rsid w:val="00AF41D2"/>
  </w:style>
  <w:style w:type="paragraph" w:styleId="FootnoteText">
    <w:name w:val="footnote text"/>
    <w:basedOn w:val="Normal"/>
    <w:link w:val="FootnoteTextChar"/>
    <w:uiPriority w:val="99"/>
    <w:semiHidden/>
    <w:unhideWhenUsed/>
    <w:rsid w:val="00704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AC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04AC1"/>
    <w:rPr>
      <w:vertAlign w:val="superscript"/>
    </w:rPr>
  </w:style>
  <w:style w:type="character" w:styleId="Hyperlink">
    <w:name w:val="Hyperlink"/>
    <w:basedOn w:val="DefaultParagraphFont"/>
    <w:uiPriority w:val="99"/>
    <w:unhideWhenUsed/>
    <w:rsid w:val="00704AC1"/>
    <w:rPr>
      <w:color w:val="0563C1" w:themeColor="hyperlink"/>
      <w:u w:val="single"/>
    </w:rPr>
  </w:style>
  <w:style w:type="paragraph" w:styleId="Header">
    <w:name w:val="header"/>
    <w:basedOn w:val="Normal"/>
    <w:link w:val="HeaderChar"/>
    <w:uiPriority w:val="99"/>
    <w:unhideWhenUsed/>
    <w:rsid w:val="00246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089"/>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2460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6089"/>
    <w:rPr>
      <w:rFonts w:ascii="Times New Roman" w:eastAsia="Times New Roman" w:hAnsi="Times New Roman" w:cs="Times New Roman"/>
      <w:color w:val="000000"/>
      <w:sz w:val="24"/>
    </w:rPr>
  </w:style>
  <w:style w:type="character" w:styleId="UnresolvedMention">
    <w:name w:val="Unresolved Mention"/>
    <w:basedOn w:val="DefaultParagraphFont"/>
    <w:uiPriority w:val="99"/>
    <w:semiHidden/>
    <w:unhideWhenUsed/>
    <w:rsid w:val="00383DA0"/>
    <w:rPr>
      <w:color w:val="605E5C"/>
      <w:shd w:val="clear" w:color="auto" w:fill="E1DFDD"/>
    </w:rPr>
  </w:style>
  <w:style w:type="table" w:customStyle="1" w:styleId="TableGrid1">
    <w:name w:val="Table Grid1"/>
    <w:rsid w:val="003E79AA"/>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3E7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29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2023/may/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4/23/2024-07105/medicare-program-changes-to-the-medicare-advantage-and-the-medicare-prescription-drug-benefit" TargetMode="External" /><Relationship Id="rId2" Type="http://schemas.openxmlformats.org/officeDocument/2006/relationships/hyperlink" Target="https://www.cms.gov/files/zip/cy-2023-part-d-dmp-guidance-april-20-2023.zip" TargetMode="External" /><Relationship Id="rId3" Type="http://schemas.openxmlformats.org/officeDocument/2006/relationships/hyperlink" Target="https://www.federalregister.gov/documents/2023/11/15/2023-24118/medicare-program-contract-year-2025-policy-and-technical-changes-to-the-medicare-advantage-program" TargetMode="External" /><Relationship Id="rId4" Type="http://schemas.openxmlformats.org/officeDocument/2006/relationships/hyperlink" Target="https://www.federalregister.gov/documents/2024/05/06/2024-09812/agency-information-collection-activities-proposed-collection-comment-request" TargetMode="External" /><Relationship Id="rId5" Type="http://schemas.openxmlformats.org/officeDocument/2006/relationships/hyperlink" Target="http://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801fd7645ea1fb95b02516e85a8daa27">
  <xsd:schema xmlns:xsd="http://www.w3.org/2001/XMLSchema" xmlns:xs="http://www.w3.org/2001/XMLSchema" xmlns:p="http://schemas.microsoft.com/office/2006/metadata/properties" xmlns:ns2="2fa35c44-77c6-4c84-bdcc-a4839ec33289" targetNamespace="http://schemas.microsoft.com/office/2006/metadata/properties" ma:root="true" ma:fieldsID="8f6830f45f11b1c53c6de3847c5ed2af"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B8E85-C9D7-4937-A7C6-95C0BFAACB64}">
  <ds:schemaRefs>
    <ds:schemaRef ds:uri="Microsoft.SharePoint.Taxonomy.ContentTypeSync"/>
  </ds:schemaRefs>
</ds:datastoreItem>
</file>

<file path=customXml/itemProps2.xml><?xml version="1.0" encoding="utf-8"?>
<ds:datastoreItem xmlns:ds="http://schemas.openxmlformats.org/officeDocument/2006/customXml" ds:itemID="{688BA50A-A4AF-4A0B-B655-0EB41454F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86D2F-3D4A-4E1A-9743-340FB12D7879}">
  <ds:schemaRefs>
    <ds:schemaRef ds:uri="http://schemas.openxmlformats.org/officeDocument/2006/bibliography"/>
  </ds:schemaRefs>
</ds:datastoreItem>
</file>

<file path=customXml/itemProps4.xml><?xml version="1.0" encoding="utf-8"?>
<ds:datastoreItem xmlns:ds="http://schemas.openxmlformats.org/officeDocument/2006/customXml" ds:itemID="{6D5E5FA1-57C5-4CC7-942A-567219EFD7C8}">
  <ds:schemaRefs>
    <ds:schemaRef ds:uri="http://schemas.microsoft.com/office/2006/documentManagement/types"/>
    <ds:schemaRef ds:uri="2fa35c44-77c6-4c84-bdcc-a4839ec33289"/>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BD8DA11-BEE0-404A-AFD3-8ECD61E0B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4136</Words>
  <Characters>23578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CMS-10141 - Supporting Statement A</vt:lpstr>
    </vt:vector>
  </TitlesOfParts>
  <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CMS-10141 - Supporting Statement A</dc:title>
  <dc:creator>CMS</dc:creator>
  <cp:lastModifiedBy>Bryman, Mitch (CMS/OSORA)</cp:lastModifiedBy>
  <cp:revision>14</cp:revision>
  <cp:lastPrinted>2024-05-14T21:38:00Z</cp:lastPrinted>
  <dcterms:created xsi:type="dcterms:W3CDTF">2024-08-08T17:19:00Z</dcterms:created>
  <dcterms:modified xsi:type="dcterms:W3CDTF">2024-08-08T19:04:00Z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ies>
</file>