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14:paraId="1D687BB3" w14:textId="566CF562">
      <w:pPr>
        <w:pStyle w:val="Title1"/>
      </w:pPr>
      <w:r w:rsidRPr="00F23EE6">
        <w:t>Supporting Statement - Part B</w:t>
      </w:r>
    </w:p>
    <w:p w:rsidR="00F23EE6" w14:paraId="4C5E4ADB" w14:textId="010D0C91">
      <w:pPr>
        <w:pStyle w:val="Title1"/>
      </w:pPr>
      <w:r w:rsidRPr="00EC5521">
        <w:t xml:space="preserve">Submission of Information for the </w:t>
      </w:r>
      <w:r w:rsidR="00D16ACF">
        <w:t>Rural Emergency Hospital</w:t>
      </w:r>
      <w:r w:rsidRPr="00EC5521">
        <w:t xml:space="preserve"> Quality Reporting</w:t>
      </w:r>
      <w:r w:rsidR="00C811CA">
        <w:t xml:space="preserve"> (</w:t>
      </w:r>
      <w:r w:rsidR="00D16ACF">
        <w:t>REH</w:t>
      </w:r>
      <w:r w:rsidR="00CD47F6">
        <w:t>QR)</w:t>
      </w:r>
      <w:r w:rsidRPr="00EC5521">
        <w:t xml:space="preserve"> Program</w:t>
      </w:r>
    </w:p>
    <w:p w:rsidR="007A0EB1" w:rsidP="0090053C" w14:paraId="0DEFAF00" w14:textId="77777777">
      <w:pPr>
        <w:spacing w:after="240"/>
      </w:pPr>
      <w:r>
        <w:t>Collection of Information Employing Statistical Methods</w:t>
      </w:r>
    </w:p>
    <w:p w:rsidR="007A0EB1" w:rsidRPr="00AE68B4" w14:paraId="4A74A82D" w14:textId="5467DDFC">
      <w:pPr>
        <w:pStyle w:val="Header1"/>
        <w:rPr>
          <w:u w:val="single"/>
        </w:rPr>
      </w:pPr>
      <w:r>
        <w:t>1.</w:t>
      </w:r>
      <w:r>
        <w:tab/>
      </w:r>
      <w:r w:rsidRPr="00AE68B4">
        <w:rPr>
          <w:u w:val="single"/>
        </w:rPr>
        <w:t>Describe potential respondent universe.</w:t>
      </w:r>
    </w:p>
    <w:p w:rsidR="007A0EB1" w:rsidP="0090053C" w14:paraId="2A20E339" w14:textId="3F96D276">
      <w:pPr>
        <w:spacing w:after="240"/>
        <w:rPr>
          <w:color w:val="000000" w:themeColor="text1"/>
        </w:rPr>
      </w:pPr>
      <w:r w:rsidRPr="23C87F25">
        <w:rPr>
          <w:color w:val="000000" w:themeColor="text1"/>
        </w:rPr>
        <w:t xml:space="preserve">Based on the actual number of acute care and </w:t>
      </w:r>
      <w:r w:rsidRPr="23C87F25" w:rsidR="2DDDFCBE">
        <w:rPr>
          <w:color w:val="000000" w:themeColor="text1"/>
        </w:rPr>
        <w:t>critical access hospital</w:t>
      </w:r>
      <w:r w:rsidRPr="23C87F25">
        <w:rPr>
          <w:color w:val="000000" w:themeColor="text1"/>
        </w:rPr>
        <w:t xml:space="preserve"> conversions to REH status as of </w:t>
      </w:r>
      <w:r w:rsidR="00F5759D">
        <w:rPr>
          <w:color w:val="000000" w:themeColor="text1"/>
        </w:rPr>
        <w:t>April 11</w:t>
      </w:r>
      <w:r w:rsidRPr="23C87F25">
        <w:rPr>
          <w:color w:val="000000" w:themeColor="text1"/>
        </w:rPr>
        <w:t>, 202</w:t>
      </w:r>
      <w:r w:rsidR="00F5759D">
        <w:rPr>
          <w:color w:val="000000" w:themeColor="text1"/>
        </w:rPr>
        <w:t>5</w:t>
      </w:r>
      <w:r w:rsidRPr="23C87F25">
        <w:rPr>
          <w:color w:val="000000" w:themeColor="text1"/>
        </w:rPr>
        <w:t xml:space="preserve">, we estimate that </w:t>
      </w:r>
      <w:r w:rsidR="00351381">
        <w:rPr>
          <w:color w:val="000000" w:themeColor="text1"/>
        </w:rPr>
        <w:t>3</w:t>
      </w:r>
      <w:r w:rsidR="00F5759D">
        <w:rPr>
          <w:color w:val="000000" w:themeColor="text1"/>
        </w:rPr>
        <w:t>8</w:t>
      </w:r>
      <w:r w:rsidRPr="23C87F25">
        <w:rPr>
          <w:color w:val="000000" w:themeColor="text1"/>
        </w:rPr>
        <w:t xml:space="preserve"> REHs would report data to the REHQR Program during the CY 202</w:t>
      </w:r>
      <w:r w:rsidR="00F5759D">
        <w:rPr>
          <w:color w:val="000000" w:themeColor="text1"/>
        </w:rPr>
        <w:t>6</w:t>
      </w:r>
      <w:r w:rsidRPr="23C87F25">
        <w:rPr>
          <w:color w:val="000000" w:themeColor="text1"/>
        </w:rPr>
        <w:t xml:space="preserve"> reporting period. While the exact number of REHs required to submit data may vary due to status changes to and from an REH, REHs are required by statute to submit quality data.</w:t>
      </w:r>
    </w:p>
    <w:p w:rsidR="007A0EB1" w:rsidRPr="0090053C" w14:paraId="4AB9D6AD" w14:textId="77777777">
      <w:pPr>
        <w:pStyle w:val="Header1"/>
        <w:rPr>
          <w:u w:val="none"/>
        </w:rPr>
      </w:pPr>
      <w:r>
        <w:t>2.</w:t>
      </w:r>
      <w:r>
        <w:tab/>
      </w:r>
      <w:r w:rsidRPr="0090053C">
        <w:rPr>
          <w:u w:val="single"/>
        </w:rPr>
        <w:t>Describe procedures for collecting information.</w:t>
      </w:r>
    </w:p>
    <w:p w:rsidR="007A0EB1" w:rsidP="0090053C" w14:paraId="2D578828" w14:textId="2A3C2E14">
      <w:pPr>
        <w:spacing w:after="240"/>
      </w:pPr>
      <w:r>
        <w:t>Data may be patient-level</w:t>
      </w:r>
      <w:r w:rsidR="00CB4FDB">
        <w:t>,</w:t>
      </w:r>
      <w:r>
        <w:t xml:space="preserve"> </w:t>
      </w:r>
      <w:r>
        <w:t>summary</w:t>
      </w:r>
      <w:r w:rsidR="00CB4FDB">
        <w:t>,</w:t>
      </w:r>
      <w:r>
        <w:t xml:space="preserve"> or aggregate data submitted directly to CMS via a secure web portal </w:t>
      </w:r>
      <w:r w:rsidR="00691935">
        <w:t>(currently, the Hospital Quality Reporting</w:t>
      </w:r>
      <w:r w:rsidR="00691935">
        <w:t xml:space="preserve"> system) by </w:t>
      </w:r>
      <w:r>
        <w:t xml:space="preserve">either the </w:t>
      </w:r>
      <w:r w:rsidR="00E60AD8">
        <w:t>facility</w:t>
      </w:r>
      <w:r>
        <w:t xml:space="preserve"> or their authorized vendor</w:t>
      </w:r>
      <w:r w:rsidR="003318CF">
        <w:t>(</w:t>
      </w:r>
      <w:r>
        <w:t>s</w:t>
      </w:r>
      <w:r w:rsidR="003318CF">
        <w:t>)</w:t>
      </w:r>
      <w:r>
        <w:t>, as specified</w:t>
      </w:r>
      <w:r w:rsidR="00691935">
        <w:t>.</w:t>
      </w:r>
    </w:p>
    <w:p w:rsidR="007A0EB1" w:rsidRPr="0090053C" w14:paraId="120F3103" w14:textId="77777777">
      <w:pPr>
        <w:pStyle w:val="Header1"/>
        <w:rPr>
          <w:u w:val="none"/>
        </w:rPr>
      </w:pPr>
      <w:r>
        <w:t>3.</w:t>
      </w:r>
      <w:r>
        <w:tab/>
      </w:r>
      <w:r w:rsidRPr="0090053C">
        <w:rPr>
          <w:u w:val="single"/>
        </w:rPr>
        <w:t>Describe methods to maximize response rates.</w:t>
      </w:r>
    </w:p>
    <w:p w:rsidR="008F4A00" w:rsidP="0090053C" w14:paraId="73D1CF53" w14:textId="379C04AB">
      <w:pPr>
        <w:spacing w:after="240"/>
      </w:pPr>
      <w:r>
        <w:t>T</w:t>
      </w:r>
      <w:r w:rsidR="00D56FB8">
        <w:t xml:space="preserve">o </w:t>
      </w:r>
      <w:r w:rsidR="00EC7DE2">
        <w:t xml:space="preserve">reduce burden and thereby </w:t>
      </w:r>
      <w:r w:rsidR="00D56FB8">
        <w:t xml:space="preserve">maximize response rates, </w:t>
      </w:r>
      <w:r w:rsidR="00D16ACF">
        <w:t>REH</w:t>
      </w:r>
      <w:r w:rsidR="00D56FB8">
        <w:t xml:space="preserve">s </w:t>
      </w:r>
      <w:r w:rsidR="00CB4FDB">
        <w:t>can</w:t>
      </w:r>
      <w:r w:rsidR="00D56FB8">
        <w:t xml:space="preserve"> sample for </w:t>
      </w:r>
      <w:r w:rsidR="00D16ACF">
        <w:t>the</w:t>
      </w:r>
      <w:r w:rsidR="0009250D">
        <w:t xml:space="preserve"> </w:t>
      </w:r>
      <w:r w:rsidR="00D16ACF">
        <w:t xml:space="preserve">Median Time from Emergency Department (ED) Arrival to ED Departure for Discharged ED </w:t>
      </w:r>
      <w:r w:rsidR="00D16ACF">
        <w:t>Patients measure</w:t>
      </w:r>
      <w:r w:rsidR="00D16ACF">
        <w:t xml:space="preserve"> as it requires direct data entry</w:t>
      </w:r>
      <w:r w:rsidR="00586A5D">
        <w:t xml:space="preserve">. Sample size requirements per </w:t>
      </w:r>
      <w:r w:rsidR="00D16ACF">
        <w:t>quarter per REH</w:t>
      </w:r>
      <w:r w:rsidR="00586A5D">
        <w:t xml:space="preserve"> for th</w:t>
      </w:r>
      <w:r w:rsidR="00D16ACF">
        <w:t>is</w:t>
      </w:r>
      <w:r w:rsidR="00586A5D">
        <w:t xml:space="preserve"> measure </w:t>
      </w:r>
      <w:r>
        <w:t>are</w:t>
      </w:r>
      <w:r w:rsidR="00586A5D">
        <w:t xml:space="preserve"> based on an </w:t>
      </w:r>
      <w:r w:rsidR="00D16ACF">
        <w:t>REH’</w:t>
      </w:r>
      <w:r w:rsidR="00586A5D">
        <w:t>s denominator populati</w:t>
      </w:r>
      <w:r w:rsidR="00D16ACF">
        <w:t>on</w:t>
      </w:r>
      <w:r w:rsidR="009B0D49">
        <w:t xml:space="preserve">. </w:t>
      </w:r>
      <w:r w:rsidR="00D16ACF">
        <w:t>REH</w:t>
      </w:r>
      <w:r w:rsidR="00223594">
        <w:t xml:space="preserve">s </w:t>
      </w:r>
      <w:r>
        <w:t xml:space="preserve">can </w:t>
      </w:r>
      <w:r w:rsidR="00223594">
        <w:t>utilize sampling techniques of their choosing</w:t>
      </w:r>
      <w:r w:rsidR="00D16ACF">
        <w:t>.</w:t>
      </w:r>
      <w:r w:rsidR="00EC36D6">
        <w:t xml:space="preserve"> Additionally, in the CY 2026 OPPS/ASC proposed rule, we are proposing </w:t>
      </w:r>
      <w:r w:rsidR="00EC36D6">
        <w:t xml:space="preserve">to adopt the </w:t>
      </w:r>
      <w:r w:rsidRPr="00F67568" w:rsidR="00C1223F">
        <w:rPr>
          <w:bCs/>
        </w:rPr>
        <w:t>Emergency Care Access &amp; Timeliness</w:t>
      </w:r>
      <w:r w:rsidRPr="008177B4" w:rsidR="00C1223F">
        <w:rPr>
          <w:bCs/>
        </w:rPr>
        <w:t xml:space="preserve"> </w:t>
      </w:r>
      <w:r w:rsidR="00C1223F">
        <w:rPr>
          <w:bCs/>
        </w:rPr>
        <w:t>electronic clinical quality measure (</w:t>
      </w:r>
      <w:r w:rsidRPr="008177B4" w:rsidR="00C1223F">
        <w:rPr>
          <w:bCs/>
        </w:rPr>
        <w:t>eCQM</w:t>
      </w:r>
      <w:r w:rsidR="00C1223F">
        <w:rPr>
          <w:bCs/>
        </w:rPr>
        <w:t>)</w:t>
      </w:r>
      <w:r w:rsidRPr="008177B4" w:rsidR="00C1223F">
        <w:rPr>
          <w:bCs/>
        </w:rPr>
        <w:t xml:space="preserve"> beginning with the CY 2027 reporting period/CY 2029 program determination</w:t>
      </w:r>
      <w:r w:rsidR="00C1223F">
        <w:rPr>
          <w:bCs/>
        </w:rPr>
        <w:t xml:space="preserve"> as an </w:t>
      </w:r>
      <w:r w:rsidR="006E2FB1">
        <w:rPr>
          <w:bCs/>
        </w:rPr>
        <w:t xml:space="preserve">alternative to </w:t>
      </w:r>
      <w:r w:rsidRPr="008177B4" w:rsidR="00C1223F">
        <w:rPr>
          <w:bCs/>
        </w:rPr>
        <w:t xml:space="preserve">reporting the </w:t>
      </w:r>
      <w:r w:rsidR="006E2FB1">
        <w:t xml:space="preserve">Median Time from ED Arrival to ED Departure for Discharged ED Patients measure </w:t>
      </w:r>
      <w:r w:rsidRPr="008177B4" w:rsidR="00C1223F">
        <w:rPr>
          <w:bCs/>
        </w:rPr>
        <w:t>to meet program requirements</w:t>
      </w:r>
      <w:r w:rsidR="006E2FB1">
        <w:rPr>
          <w:bCs/>
        </w:rPr>
        <w:t>.</w:t>
      </w:r>
    </w:p>
    <w:p w:rsidR="007A0EB1" w:rsidRPr="0090053C" w14:paraId="56419E9C" w14:textId="77777777">
      <w:pPr>
        <w:pStyle w:val="Header1"/>
        <w:rPr>
          <w:u w:val="none"/>
        </w:rPr>
      </w:pPr>
      <w:r>
        <w:t>4.</w:t>
      </w:r>
      <w:r>
        <w:tab/>
      </w:r>
      <w:r w:rsidRPr="0090053C">
        <w:rPr>
          <w:u w:val="single"/>
        </w:rPr>
        <w:t>Describe any tests of procedures or methods.</w:t>
      </w:r>
    </w:p>
    <w:p w:rsidR="00E7157B" w:rsidRPr="00294528" w:rsidP="0090053C" w14:paraId="14D13273" w14:textId="6850F109">
      <w:pPr>
        <w:spacing w:after="240"/>
        <w:rPr>
          <w:rStyle w:val="normaltextrun"/>
          <w:b/>
          <w:bCs/>
          <w:color w:val="000000"/>
        </w:rPr>
      </w:pPr>
      <w:r w:rsidRPr="00294528">
        <w:rPr>
          <w:rStyle w:val="normaltextrun"/>
          <w:b/>
          <w:bCs/>
          <w:color w:val="000000"/>
        </w:rPr>
        <w:t>Sampling for Chart-Abstracted Data for the REHQR Program</w:t>
      </w:r>
    </w:p>
    <w:p w:rsidR="00E7157B" w:rsidP="0090053C" w14:paraId="30ACC5A9" w14:textId="77777777">
      <w:pPr>
        <w:spacing w:after="240"/>
      </w:pPr>
      <w:r>
        <w:t xml:space="preserve">For one measure under the REHQR Program, </w:t>
      </w:r>
      <w:r w:rsidR="00C165D0">
        <w:t xml:space="preserve">to reduce burden </w:t>
      </w:r>
      <w:r>
        <w:t xml:space="preserve">REHs may submit </w:t>
      </w:r>
      <w:r w:rsidR="00E60AD8">
        <w:t xml:space="preserve">data for </w:t>
      </w:r>
      <w:r>
        <w:t>sample case sizes of their population</w:t>
      </w:r>
      <w:r w:rsidR="00E60AD8">
        <w:t xml:space="preserve">; for case populations of less than 63, data for all cases would be submitted, for </w:t>
      </w:r>
      <w:r>
        <w:t xml:space="preserve">a population size between </w:t>
      </w:r>
      <w:r w:rsidR="00E60AD8">
        <w:t xml:space="preserve">63 and </w:t>
      </w:r>
      <w:r>
        <w:t>900</w:t>
      </w:r>
      <w:r w:rsidR="00E60AD8">
        <w:t xml:space="preserve">, data for a minimum of 63 cases would be submitted, and for case </w:t>
      </w:r>
      <w:r>
        <w:t>population size</w:t>
      </w:r>
      <w:r w:rsidR="00E60AD8">
        <w:t>s</w:t>
      </w:r>
      <w:r>
        <w:t xml:space="preserve"> of greater than 900</w:t>
      </w:r>
      <w:r w:rsidR="00E60AD8">
        <w:t>, data for 96 cases would be submitted</w:t>
      </w:r>
      <w:r>
        <w:t xml:space="preserve">.  REHs that choose to sample </w:t>
      </w:r>
      <w:r w:rsidR="00C165D0">
        <w:t>should</w:t>
      </w:r>
      <w:r>
        <w:t xml:space="preserve"> ensure that the sampled data represents their outpatient population by using either </w:t>
      </w:r>
      <w:r>
        <w:t>the simple</w:t>
      </w:r>
      <w:r>
        <w:t xml:space="preserve"> random sampling or systematic random sampling </w:t>
      </w:r>
      <w:r>
        <w:t xml:space="preserve">and that the sampling techniques are applied consistently.  </w:t>
      </w:r>
      <w:r>
        <w:rPr>
          <w:rStyle w:val="normaltextrun"/>
          <w:color w:val="000000"/>
        </w:rPr>
        <w:t>REHs may also submit measure data for the entire applicable patient population in lieu of sampling.</w:t>
      </w:r>
    </w:p>
    <w:p w:rsidR="0090053C" w:rsidRPr="0090053C" w14:paraId="2CF94FED" w14:textId="77777777">
      <w:pPr>
        <w:pStyle w:val="Header1"/>
        <w:rPr>
          <w:u w:val="none"/>
        </w:rPr>
      </w:pPr>
      <w:r>
        <w:t>5.</w:t>
      </w:r>
      <w:r>
        <w:tab/>
      </w:r>
      <w:r w:rsidRPr="0090053C">
        <w:rPr>
          <w:u w:val="single"/>
        </w:rPr>
        <w:t xml:space="preserve">Provide </w:t>
      </w:r>
      <w:r w:rsidRPr="0090053C">
        <w:rPr>
          <w:u w:val="single"/>
        </w:rPr>
        <w:t>name</w:t>
      </w:r>
      <w:r w:rsidRPr="0090053C">
        <w:rPr>
          <w:u w:val="single"/>
        </w:rPr>
        <w:t xml:space="preserve"> and telephone number of individuals consulted on statistical aspects.</w:t>
      </w:r>
    </w:p>
    <w:p w:rsidR="0090053C" w:rsidRPr="0090053C" w14:paraId="1257C0B7" w14:textId="77777777">
      <w:pPr>
        <w:pStyle w:val="Header1"/>
        <w:rPr>
          <w:u w:val="none"/>
        </w:rPr>
        <w:sectPr>
          <w:pgSz w:w="12240" w:h="15840"/>
          <w:pgMar w:top="1440" w:right="1800" w:bottom="1440" w:left="1800" w:header="720" w:footer="720" w:gutter="0"/>
          <w:cols w:space="720"/>
          <w:docGrid w:linePitch="360"/>
        </w:sectPr>
      </w:pPr>
    </w:p>
    <w:p w:rsidR="0090053C" w:rsidP="0090053C" w14:paraId="5909041B" w14:textId="77777777">
      <w:pPr>
        <w:ind w:firstLine="720"/>
      </w:pPr>
      <w:r>
        <w:t>Anita Bhatia, PhD, MPH</w:t>
      </w:r>
    </w:p>
    <w:p w:rsidR="00C43E89" w:rsidRPr="0028313F" w:rsidP="0090053C" w14:paraId="7E3A6059" w14:textId="42C6B91D">
      <w:pPr>
        <w:ind w:firstLine="720"/>
      </w:pPr>
      <w:r w:rsidRPr="0028313F">
        <w:t>410-786-7236</w:t>
      </w:r>
      <w:r>
        <w:br w:type="column"/>
      </w:r>
      <w:r w:rsidRPr="0028313F" w:rsidR="00E81360">
        <w:t>Grace Snyder</w:t>
      </w:r>
      <w:r w:rsidR="00F64C2D">
        <w:t>, JD</w:t>
      </w:r>
      <w:r w:rsidR="006A79C9">
        <w:t>, MPH</w:t>
      </w:r>
    </w:p>
    <w:p w:rsidR="007A0EB1" w:rsidRPr="007A0EB1" w:rsidP="00203E4B" w14:paraId="46043333" w14:textId="78D83E97">
      <w:r w:rsidRPr="0028313F">
        <w:t>410-786-</w:t>
      </w:r>
      <w:r w:rsidRPr="0028313F" w:rsidR="00E81360">
        <w:t>0700</w:t>
      </w:r>
    </w:p>
    <w:sectPr w:rsidSect="0090053C">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8606C"/>
    <w:multiLevelType w:val="hybridMultilevel"/>
    <w:tmpl w:val="23469D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0A38E4"/>
    <w:multiLevelType w:val="hybridMultilevel"/>
    <w:tmpl w:val="8A1485B4"/>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0306899">
    <w:abstractNumId w:val="2"/>
  </w:num>
  <w:num w:numId="2" w16cid:durableId="361832007">
    <w:abstractNumId w:val="2"/>
    <w:lvlOverride w:ilvl="0">
      <w:startOverride w:val="1"/>
    </w:lvlOverride>
    <w:lvlOverride w:ilvl="1">
      <w:startOverride w:val="5"/>
    </w:lvlOverride>
  </w:num>
  <w:num w:numId="3" w16cid:durableId="1428036684">
    <w:abstractNumId w:val="1"/>
  </w:num>
  <w:num w:numId="4" w16cid:durableId="1151141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rold Hicks">
    <w15:presenceInfo w15:providerId="AD" w15:userId="S::hhicks@hsag.com::38d2eaf5-4bc1-40c7-a77c-058b7dfb4f36"/>
  </w15:person>
  <w15:person w15:author="Gareth E Embrey">
    <w15:presenceInfo w15:providerId="AD" w15:userId="S::GEMBREY@MITRE.ORG::1391a7c2-0511-4306-8458-885eda4cd0bc"/>
  </w15:person>
  <w15:person w15:author="Bhatia, Anita (CMS/CCSQ)">
    <w15:presenceInfo w15:providerId="AD" w15:userId="S::anita.bhatia@cms.hhs.gov::127da6f5-7249-4bf4-a417-80df6b7d9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07439"/>
    <w:rsid w:val="000112C2"/>
    <w:rsid w:val="00053200"/>
    <w:rsid w:val="000733C2"/>
    <w:rsid w:val="0009250D"/>
    <w:rsid w:val="0009611A"/>
    <w:rsid w:val="000B03B1"/>
    <w:rsid w:val="000D1628"/>
    <w:rsid w:val="000F7FD8"/>
    <w:rsid w:val="00122019"/>
    <w:rsid w:val="00134828"/>
    <w:rsid w:val="001450CD"/>
    <w:rsid w:val="00163721"/>
    <w:rsid w:val="00177813"/>
    <w:rsid w:val="00180221"/>
    <w:rsid w:val="0018114B"/>
    <w:rsid w:val="001E1147"/>
    <w:rsid w:val="001F3127"/>
    <w:rsid w:val="00201A5E"/>
    <w:rsid w:val="00203E4B"/>
    <w:rsid w:val="00212A17"/>
    <w:rsid w:val="00223594"/>
    <w:rsid w:val="00236D35"/>
    <w:rsid w:val="002433CA"/>
    <w:rsid w:val="00243BC9"/>
    <w:rsid w:val="00245EC0"/>
    <w:rsid w:val="0026072B"/>
    <w:rsid w:val="00260DFA"/>
    <w:rsid w:val="0028313F"/>
    <w:rsid w:val="00284D5B"/>
    <w:rsid w:val="00294528"/>
    <w:rsid w:val="002A3F76"/>
    <w:rsid w:val="002C55EE"/>
    <w:rsid w:val="002C7E90"/>
    <w:rsid w:val="002D4914"/>
    <w:rsid w:val="003057AA"/>
    <w:rsid w:val="003318CF"/>
    <w:rsid w:val="00346B4E"/>
    <w:rsid w:val="003471BE"/>
    <w:rsid w:val="00350899"/>
    <w:rsid w:val="00351381"/>
    <w:rsid w:val="0036134A"/>
    <w:rsid w:val="00361FBF"/>
    <w:rsid w:val="00364790"/>
    <w:rsid w:val="00372519"/>
    <w:rsid w:val="00380E99"/>
    <w:rsid w:val="00395234"/>
    <w:rsid w:val="003A44DE"/>
    <w:rsid w:val="003D1D12"/>
    <w:rsid w:val="003D349A"/>
    <w:rsid w:val="004160C0"/>
    <w:rsid w:val="004379C3"/>
    <w:rsid w:val="00452169"/>
    <w:rsid w:val="00466232"/>
    <w:rsid w:val="0049138C"/>
    <w:rsid w:val="004A3D78"/>
    <w:rsid w:val="004A6A87"/>
    <w:rsid w:val="004D6F26"/>
    <w:rsid w:val="004E4E38"/>
    <w:rsid w:val="004F6136"/>
    <w:rsid w:val="005021AE"/>
    <w:rsid w:val="00523714"/>
    <w:rsid w:val="00554014"/>
    <w:rsid w:val="00563B36"/>
    <w:rsid w:val="00574B67"/>
    <w:rsid w:val="00586A5D"/>
    <w:rsid w:val="005F5659"/>
    <w:rsid w:val="00647FA0"/>
    <w:rsid w:val="00663698"/>
    <w:rsid w:val="0066757B"/>
    <w:rsid w:val="00667DFE"/>
    <w:rsid w:val="00670797"/>
    <w:rsid w:val="00690F8E"/>
    <w:rsid w:val="00691935"/>
    <w:rsid w:val="006A4B76"/>
    <w:rsid w:val="006A737B"/>
    <w:rsid w:val="006A79C9"/>
    <w:rsid w:val="006C6B6C"/>
    <w:rsid w:val="006E2FB1"/>
    <w:rsid w:val="0070511F"/>
    <w:rsid w:val="0073176A"/>
    <w:rsid w:val="00734D13"/>
    <w:rsid w:val="007438C8"/>
    <w:rsid w:val="007714BF"/>
    <w:rsid w:val="007715BA"/>
    <w:rsid w:val="00782D9C"/>
    <w:rsid w:val="007A0EB1"/>
    <w:rsid w:val="007A71F9"/>
    <w:rsid w:val="007C1729"/>
    <w:rsid w:val="007F1452"/>
    <w:rsid w:val="007F707F"/>
    <w:rsid w:val="008177B4"/>
    <w:rsid w:val="0083667C"/>
    <w:rsid w:val="008554EB"/>
    <w:rsid w:val="008640BD"/>
    <w:rsid w:val="008839CC"/>
    <w:rsid w:val="00896837"/>
    <w:rsid w:val="008A0BB0"/>
    <w:rsid w:val="008A2EEE"/>
    <w:rsid w:val="008C4681"/>
    <w:rsid w:val="008F3769"/>
    <w:rsid w:val="008F4A00"/>
    <w:rsid w:val="008F71B8"/>
    <w:rsid w:val="0090053C"/>
    <w:rsid w:val="009033DC"/>
    <w:rsid w:val="009239E1"/>
    <w:rsid w:val="00936362"/>
    <w:rsid w:val="009553EF"/>
    <w:rsid w:val="00956B22"/>
    <w:rsid w:val="009A7670"/>
    <w:rsid w:val="009B0D49"/>
    <w:rsid w:val="009B3727"/>
    <w:rsid w:val="009D26E8"/>
    <w:rsid w:val="009E06C1"/>
    <w:rsid w:val="009E23CA"/>
    <w:rsid w:val="00A03B56"/>
    <w:rsid w:val="00A04AE4"/>
    <w:rsid w:val="00A5267D"/>
    <w:rsid w:val="00A80411"/>
    <w:rsid w:val="00AA53CA"/>
    <w:rsid w:val="00AC2DFD"/>
    <w:rsid w:val="00AD4129"/>
    <w:rsid w:val="00AD45FA"/>
    <w:rsid w:val="00AE52A1"/>
    <w:rsid w:val="00AE68B4"/>
    <w:rsid w:val="00B030F2"/>
    <w:rsid w:val="00B3184F"/>
    <w:rsid w:val="00B33091"/>
    <w:rsid w:val="00B44EA1"/>
    <w:rsid w:val="00B65015"/>
    <w:rsid w:val="00B8551A"/>
    <w:rsid w:val="00BA1B1A"/>
    <w:rsid w:val="00BD4CEA"/>
    <w:rsid w:val="00BE24E5"/>
    <w:rsid w:val="00BE7AA3"/>
    <w:rsid w:val="00BF5276"/>
    <w:rsid w:val="00C1223F"/>
    <w:rsid w:val="00C165D0"/>
    <w:rsid w:val="00C42526"/>
    <w:rsid w:val="00C43E89"/>
    <w:rsid w:val="00C64388"/>
    <w:rsid w:val="00C811CA"/>
    <w:rsid w:val="00CB4FDB"/>
    <w:rsid w:val="00CD3737"/>
    <w:rsid w:val="00CD47F6"/>
    <w:rsid w:val="00CE1DAA"/>
    <w:rsid w:val="00D14CE1"/>
    <w:rsid w:val="00D16ACF"/>
    <w:rsid w:val="00D273DC"/>
    <w:rsid w:val="00D32FC3"/>
    <w:rsid w:val="00D47CDB"/>
    <w:rsid w:val="00D56FB8"/>
    <w:rsid w:val="00DA6B9E"/>
    <w:rsid w:val="00DD3BE3"/>
    <w:rsid w:val="00E03E7E"/>
    <w:rsid w:val="00E13C3B"/>
    <w:rsid w:val="00E17719"/>
    <w:rsid w:val="00E60AD8"/>
    <w:rsid w:val="00E7157B"/>
    <w:rsid w:val="00E801E9"/>
    <w:rsid w:val="00E81360"/>
    <w:rsid w:val="00E95CA5"/>
    <w:rsid w:val="00E95DE8"/>
    <w:rsid w:val="00EC36D6"/>
    <w:rsid w:val="00EC5521"/>
    <w:rsid w:val="00EC69BA"/>
    <w:rsid w:val="00EC7DE2"/>
    <w:rsid w:val="00ED0D36"/>
    <w:rsid w:val="00ED3BC4"/>
    <w:rsid w:val="00F16230"/>
    <w:rsid w:val="00F23EE6"/>
    <w:rsid w:val="00F56329"/>
    <w:rsid w:val="00F5759D"/>
    <w:rsid w:val="00F64C2D"/>
    <w:rsid w:val="00F67568"/>
    <w:rsid w:val="00F72DAD"/>
    <w:rsid w:val="00F83A27"/>
    <w:rsid w:val="00F841D6"/>
    <w:rsid w:val="00F86568"/>
    <w:rsid w:val="00FA369E"/>
    <w:rsid w:val="00FE1179"/>
    <w:rsid w:val="00FF61F5"/>
    <w:rsid w:val="0CF88668"/>
    <w:rsid w:val="1B51DDDA"/>
    <w:rsid w:val="1BE97D91"/>
    <w:rsid w:val="1C1FE054"/>
    <w:rsid w:val="20B40424"/>
    <w:rsid w:val="23C87F25"/>
    <w:rsid w:val="2DDDFCBE"/>
    <w:rsid w:val="2EDB74E8"/>
    <w:rsid w:val="303CCB07"/>
    <w:rsid w:val="3C01938B"/>
    <w:rsid w:val="44FAA480"/>
    <w:rsid w:val="45F7ACCD"/>
    <w:rsid w:val="4A0BF9D6"/>
    <w:rsid w:val="4A3B4C47"/>
    <w:rsid w:val="4E2CF273"/>
    <w:rsid w:val="50925206"/>
    <w:rsid w:val="5D57ACB1"/>
    <w:rsid w:val="683EEB0B"/>
    <w:rsid w:val="6ADFAFA0"/>
    <w:rsid w:val="74D88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9891E"/>
  <w15:chartTrackingRefBased/>
  <w15:docId w15:val="{CD80A021-0CA5-4E2B-A1E9-B592C33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Revision">
    <w:name w:val="Revision"/>
    <w:hidden/>
    <w:uiPriority w:val="99"/>
    <w:semiHidden/>
    <w:rsid w:val="00ED3BC4"/>
    <w:rPr>
      <w:sz w:val="24"/>
      <w:szCs w:val="24"/>
    </w:rPr>
  </w:style>
  <w:style w:type="character" w:customStyle="1" w:styleId="normaltextrun">
    <w:name w:val="normaltextrun"/>
    <w:basedOn w:val="DefaultParagraphFont"/>
    <w:rsid w:val="008A2EEE"/>
  </w:style>
  <w:style w:type="character" w:customStyle="1" w:styleId="CommentTextChar">
    <w:name w:val="Comment Text Char"/>
    <w:link w:val="CommentText"/>
    <w:uiPriority w:val="99"/>
    <w:semiHidden/>
    <w:rsid w:val="00372519"/>
  </w:style>
  <w:style w:type="paragraph" w:styleId="ListParagraph">
    <w:name w:val="List Paragraph"/>
    <w:basedOn w:val="Normal"/>
    <w:uiPriority w:val="34"/>
    <w:qFormat/>
    <w:rsid w:val="00E7157B"/>
    <w:pPr>
      <w:ind w:left="720"/>
      <w:contextualSpacing/>
    </w:pPr>
  </w:style>
  <w:style w:type="paragraph" w:customStyle="1" w:styleId="Title1">
    <w:name w:val="Title 1"/>
    <w:basedOn w:val="Normal"/>
    <w:link w:val="Title1Char"/>
    <w:qFormat/>
    <w:rsid w:val="0090053C"/>
    <w:pPr>
      <w:spacing w:after="240"/>
      <w:jc w:val="center"/>
      <w:outlineLvl w:val="0"/>
    </w:pPr>
    <w:rPr>
      <w:b/>
      <w:sz w:val="24"/>
      <w:szCs w:val="24"/>
      <w:lang w:val="en-US" w:eastAsia="en-US" w:bidi="ar-SA"/>
    </w:rPr>
  </w:style>
  <w:style w:type="character" w:customStyle="1" w:styleId="Title1Char">
    <w:name w:val="Title 1 Char"/>
    <w:basedOn w:val="DefaultParagraphFont"/>
    <w:link w:val="Title1"/>
    <w:rsid w:val="0090053C"/>
    <w:rPr>
      <w:b/>
      <w:sz w:val="24"/>
      <w:szCs w:val="24"/>
    </w:rPr>
  </w:style>
  <w:style w:type="paragraph" w:customStyle="1" w:styleId="Header1">
    <w:name w:val="Header 1"/>
    <w:basedOn w:val="Normal"/>
    <w:next w:val="BodyText"/>
    <w:link w:val="Header1Char"/>
    <w:qFormat/>
    <w:rsid w:val="0090053C"/>
    <w:pPr>
      <w:spacing w:after="240"/>
      <w:outlineLvl w:val="1"/>
    </w:pPr>
    <w:rPr>
      <w:sz w:val="24"/>
      <w:szCs w:val="24"/>
      <w:lang w:val="en-US" w:eastAsia="en-US" w:bidi="ar-SA"/>
    </w:rPr>
  </w:style>
  <w:style w:type="character" w:customStyle="1" w:styleId="Header1Char">
    <w:name w:val="Header 1 Char"/>
    <w:basedOn w:val="DefaultParagraphFont"/>
    <w:link w:val="Header1"/>
    <w:rsid w:val="0090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E2275-2947-4A76-BB1A-5E4D497C4DCD}">
  <ds:schemaRefs>
    <ds:schemaRef ds:uri="http://schemas.microsoft.com/sharepoint/v3/contenttype/forms"/>
  </ds:schemaRefs>
</ds:datastoreItem>
</file>

<file path=customXml/itemProps2.xml><?xml version="1.0" encoding="utf-8"?>
<ds:datastoreItem xmlns:ds="http://schemas.openxmlformats.org/officeDocument/2006/customXml" ds:itemID="{91580214-0DC2-4F3C-8352-81289FFE7A43}">
  <ds:schemaRefs>
    <ds:schemaRef ds:uri="http://schemas.openxmlformats.org/officeDocument/2006/bibliography"/>
  </ds:schemaRefs>
</ds:datastoreItem>
</file>

<file path=customXml/itemProps3.xml><?xml version="1.0" encoding="utf-8"?>
<ds:datastoreItem xmlns:ds="http://schemas.openxmlformats.org/officeDocument/2006/customXml" ds:itemID="{9A8008C6-1850-44E5-B693-19D4549E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928BC7-34B3-4585-8CDA-58C9955C4107}">
  <ds:schemaRefs>
    <ds:schemaRef ds:uri="http://schemas.microsoft.com/office/2006/metadata/longProperties"/>
  </ds:schemaRefs>
</ds:datastoreItem>
</file>

<file path=customXml/itemProps5.xml><?xml version="1.0" encoding="utf-8"?>
<ds:datastoreItem xmlns:ds="http://schemas.openxmlformats.org/officeDocument/2006/customXml" ds:itemID="{865FEEDA-39C8-43BD-A9D0-E0C2F22C9C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Supporting Statement - Part B: Submission of Information for the Rural Emergency Hospital Quality Reporting (REHQR) Program</vt:lpstr>
    </vt:vector>
  </TitlesOfParts>
  <Company>CMS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Submission of Information for the Rural Emergency Hospital Quality Reporting (REHQR) Program</dc:title>
  <dc:subject>Supporting Statement - Part B: Submission of Information for the Rural Emergency Hospital Quality Reporting (REHQR) Program</dc:subject>
  <dc:creator>CMS</dc:creator>
  <cp:lastModifiedBy>Harold Hicks</cp:lastModifiedBy>
  <cp:revision>14</cp:revision>
  <dcterms:created xsi:type="dcterms:W3CDTF">2024-10-11T16:28:00Z</dcterms:created>
  <dcterms:modified xsi:type="dcterms:W3CDTF">2025-08-17T21:11:00Z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Categories">
    <vt:lpwstr>Non-Clearance</vt:lpwstr>
  </property>
  <property fmtid="{D5CDD505-2E9C-101B-9397-08002B2CF9AE}" pid="3" name="CMS Provided">
    <vt:lpwstr>0</vt:lpwstr>
  </property>
  <property fmtid="{D5CDD505-2E9C-101B-9397-08002B2CF9AE}" pid="4" name="ContentTypeId">
    <vt:lpwstr>0x0101004AAAF4C6F9653243BF979EA5EF77C73B</vt:lpwstr>
  </property>
  <property fmtid="{D5CDD505-2E9C-101B-9397-08002B2CF9AE}" pid="5" name="Date Delivered to CMS">
    <vt:lpwstr/>
  </property>
  <property fmtid="{D5CDD505-2E9C-101B-9397-08002B2CF9AE}" pid="6" name="Delivered to CMS">
    <vt:lpwstr>No</vt:lpwstr>
  </property>
  <property fmtid="{D5CDD505-2E9C-101B-9397-08002B2CF9AE}" pid="7" name="Document Type">
    <vt:lpwstr>PRA Statement</vt:lpwstr>
  </property>
  <property fmtid="{D5CDD505-2E9C-101B-9397-08002B2CF9AE}" pid="8" name="MediaServiceImageTags">
    <vt:lpwstr/>
  </property>
  <property fmtid="{D5CDD505-2E9C-101B-9397-08002B2CF9AE}" pid="9" name="MITRE Sensitivity">
    <vt:lpwstr>Internal MITRE Information</vt:lpwstr>
  </property>
  <property fmtid="{D5CDD505-2E9C-101B-9397-08002B2CF9AE}" pid="10" name="Multiple Programs">
    <vt:lpwstr>;#ASCQR;#</vt:lpwstr>
  </property>
  <property fmtid="{D5CDD505-2E9C-101B-9397-08002B2CF9AE}" pid="11" name="Release Statement">
    <vt:lpwstr>For Internal MITRE Use</vt:lpwstr>
  </property>
  <property fmtid="{D5CDD505-2E9C-101B-9397-08002B2CF9AE}" pid="12" name="Rule Year">
    <vt:lpwstr>CY 2021</vt:lpwstr>
  </property>
  <property fmtid="{D5CDD505-2E9C-101B-9397-08002B2CF9AE}" pid="13" name="Subtask">
    <vt:lpwstr>PRA</vt:lpwstr>
  </property>
  <property fmtid="{D5CDD505-2E9C-101B-9397-08002B2CF9AE}" pid="14" name="Task Management or Program">
    <vt:lpwstr>Program</vt:lpwstr>
  </property>
  <property fmtid="{D5CDD505-2E9C-101B-9397-08002B2CF9AE}" pid="15" name="Work Product">
    <vt:lpwstr>---</vt:lpwstr>
  </property>
  <property fmtid="{D5CDD505-2E9C-101B-9397-08002B2CF9AE}" pid="16" name="_Contributor">
    <vt:lpwstr/>
  </property>
  <property fmtid="{D5CDD505-2E9C-101B-9397-08002B2CF9AE}" pid="17" name="_NewReviewCycle">
    <vt:lpwstr/>
  </property>
</Properties>
</file>