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24E5" w:rsidP="007A0EB1" w14:paraId="4D8D97FF" w14:textId="77777777">
      <w:pPr>
        <w:jc w:val="center"/>
        <w:rPr>
          <w:b/>
        </w:rPr>
      </w:pPr>
      <w:r w:rsidRPr="00F23EE6">
        <w:rPr>
          <w:b/>
        </w:rPr>
        <w:t>Supporting Statement - Part B</w:t>
      </w:r>
    </w:p>
    <w:p w:rsidR="00F23EE6" w:rsidP="00F23EE6" w14:paraId="4C0CE5A2" w14:textId="3D35A08B">
      <w:pPr>
        <w:pStyle w:val="BodyText"/>
        <w:rPr>
          <w:b/>
        </w:rPr>
      </w:pPr>
      <w:r w:rsidRPr="00EC5521">
        <w:rPr>
          <w:b/>
        </w:rPr>
        <w:t>Submission of Information for the Hospital Outpatient Quality Reporting</w:t>
      </w:r>
      <w:r w:rsidR="00CD47F6">
        <w:rPr>
          <w:b/>
        </w:rPr>
        <w:t xml:space="preserve"> (OQR)</w:t>
      </w:r>
      <w:r w:rsidRPr="00EC5521">
        <w:rPr>
          <w:b/>
        </w:rPr>
        <w:t xml:space="preserve"> Program</w:t>
      </w:r>
    </w:p>
    <w:p w:rsidR="00C43E89" w:rsidP="00F23EE6" w14:paraId="25D24315" w14:textId="77777777">
      <w:pPr>
        <w:pStyle w:val="BodyText"/>
        <w:rPr>
          <w:b/>
        </w:rPr>
      </w:pPr>
    </w:p>
    <w:p w:rsidR="007A0EB1" w:rsidP="007A0EB1" w14:paraId="0E643E32" w14:textId="77777777">
      <w:r>
        <w:t>Collection of Information Employing Statistical Methods</w:t>
      </w:r>
    </w:p>
    <w:p w:rsidR="007A0EB1" w:rsidP="007A0EB1" w14:paraId="36B2B52B" w14:textId="77777777"/>
    <w:p w:rsidR="007A0EB1" w:rsidP="007A0EB1" w14:paraId="00DD0486" w14:textId="77777777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:rsidR="007A0EB1" w:rsidRPr="007A0EB1" w:rsidP="007A0EB1" w14:paraId="3A032A40" w14:textId="77777777"/>
    <w:p w:rsidR="007A0EB1" w:rsidP="007A0EB1" w14:paraId="26789B1D" w14:textId="090D3994">
      <w:r>
        <w:t xml:space="preserve">All </w:t>
      </w:r>
      <w:r w:rsidR="00CD47F6">
        <w:t xml:space="preserve">subsection (d) </w:t>
      </w:r>
      <w:r>
        <w:t>hospitals</w:t>
      </w:r>
      <w:r w:rsidR="00CD47F6">
        <w:t xml:space="preserve"> receiving reimbursement under the Outpatient Prospective Payment System (OPPS)</w:t>
      </w:r>
      <w:r>
        <w:t xml:space="preserve"> in the United States</w:t>
      </w:r>
      <w:r w:rsidR="00956B22">
        <w:t xml:space="preserve">; </w:t>
      </w:r>
      <w:r>
        <w:t xml:space="preserve">approximately </w:t>
      </w:r>
      <w:r w:rsidR="00466232">
        <w:t>3,</w:t>
      </w:r>
      <w:r w:rsidR="00936FCC">
        <w:t>20</w:t>
      </w:r>
      <w:r w:rsidR="00E95CA5">
        <w:t xml:space="preserve">0 </w:t>
      </w:r>
      <w:r w:rsidRPr="00E95CA5">
        <w:t>hospital</w:t>
      </w:r>
      <w:r w:rsidR="00852897">
        <w:t xml:space="preserve"> outpatient department</w:t>
      </w:r>
      <w:r w:rsidRPr="00E95CA5">
        <w:t>s</w:t>
      </w:r>
      <w:r w:rsidR="00852897">
        <w:t xml:space="preserve"> (HOPDs)</w:t>
      </w:r>
      <w:r w:rsidRPr="00E95CA5">
        <w:t>.</w:t>
      </w:r>
    </w:p>
    <w:p w:rsidR="007A0EB1" w:rsidP="007A0EB1" w14:paraId="7BE37FDF" w14:textId="77777777"/>
    <w:p w:rsidR="007A0EB1" w:rsidRPr="00673726" w:rsidP="00673726" w14:paraId="61AD9422" w14:textId="672258FE">
      <w:pPr>
        <w:pStyle w:val="Heading1"/>
        <w:numPr>
          <w:ilvl w:val="0"/>
          <w:numId w:val="0"/>
        </w:numPr>
        <w:rPr>
          <w:u w:val="none"/>
        </w:rPr>
      </w:pPr>
      <w:r w:rsidRPr="00673726">
        <w:rPr>
          <w:u w:val="none"/>
        </w:rPr>
        <w:t>2.</w:t>
      </w:r>
      <w:r w:rsidRPr="00673726">
        <w:rPr>
          <w:u w:val="none"/>
        </w:rPr>
        <w:tab/>
      </w:r>
      <w:r w:rsidRPr="00673726">
        <w:t>Describe procedures for collecting information.</w:t>
      </w:r>
    </w:p>
    <w:p w:rsidR="007A0EB1" w:rsidP="007A0EB1" w14:paraId="5B18BB96" w14:textId="77777777"/>
    <w:p w:rsidR="006800DE" w:rsidP="007A0EB1" w14:paraId="508EB326" w14:textId="4B52D0FE">
      <w:r>
        <w:t>Data may be patient-level</w:t>
      </w:r>
      <w:r w:rsidR="008A26FA">
        <w:t>,</w:t>
      </w:r>
      <w:r>
        <w:t xml:space="preserve"> or summary or aggregate data submitted directly to </w:t>
      </w:r>
      <w:r w:rsidR="00C342D3">
        <w:t xml:space="preserve">CMS </w:t>
      </w:r>
      <w:r>
        <w:t xml:space="preserve">via a secure web portal </w:t>
      </w:r>
      <w:bookmarkStart w:id="0" w:name="_Hlk173825036"/>
      <w:r w:rsidR="00983DF9">
        <w:t>(currently, the</w:t>
      </w:r>
      <w:r w:rsidR="008A26FA">
        <w:t xml:space="preserve"> Hospital Quality Reporting (HQR) system</w:t>
      </w:r>
      <w:r w:rsidR="00983DF9">
        <w:t>)</w:t>
      </w:r>
      <w:bookmarkEnd w:id="0"/>
      <w:r w:rsidR="008A26FA">
        <w:t xml:space="preserve">, </w:t>
      </w:r>
      <w:r>
        <w:t xml:space="preserve">or the Centers for Disease Control and Prevention’s (CDC) National Healthcare Safety Network (NHSN) by either the </w:t>
      </w:r>
      <w:r w:rsidR="00852897">
        <w:t>HOPD</w:t>
      </w:r>
      <w:r>
        <w:t xml:space="preserve"> or their authorized vendor</w:t>
      </w:r>
      <w:r w:rsidR="002E2BAE">
        <w:t>(</w:t>
      </w:r>
      <w:r>
        <w:t>s</w:t>
      </w:r>
      <w:r w:rsidR="002E2BAE">
        <w:t>)</w:t>
      </w:r>
      <w:r>
        <w:t>, as specified.</w:t>
      </w:r>
      <w:r w:rsidR="008A26FA">
        <w:t xml:space="preserve"> </w:t>
      </w:r>
    </w:p>
    <w:p w:rsidR="007A0EB1" w:rsidP="007A0EB1" w14:paraId="021A8E7A" w14:textId="50D0E7B9"/>
    <w:p w:rsidR="007A0EB1" w:rsidRPr="00673726" w:rsidP="00673726" w14:paraId="4FD8A128" w14:textId="0A96E90D">
      <w:pPr>
        <w:pStyle w:val="Heading1"/>
        <w:numPr>
          <w:ilvl w:val="0"/>
          <w:numId w:val="0"/>
        </w:numPr>
        <w:rPr>
          <w:u w:val="none"/>
        </w:rPr>
      </w:pPr>
      <w:r w:rsidRPr="00673726">
        <w:rPr>
          <w:u w:val="none"/>
        </w:rPr>
        <w:t>3.</w:t>
      </w:r>
      <w:r w:rsidRPr="00673726">
        <w:rPr>
          <w:u w:val="none"/>
        </w:rPr>
        <w:tab/>
      </w:r>
      <w:r w:rsidRPr="00673726">
        <w:t>Describe methods to maximize response rates.</w:t>
      </w:r>
    </w:p>
    <w:p w:rsidR="007A0EB1" w:rsidP="007A0EB1" w14:paraId="44AB5646" w14:textId="77777777"/>
    <w:p w:rsidR="006B15D2" w:rsidP="007A0EB1" w14:paraId="6D74FF66" w14:textId="13589DB6">
      <w:r>
        <w:t>To maximize response rates</w:t>
      </w:r>
      <w:r w:rsidR="00C43E89">
        <w:t xml:space="preserve">, </w:t>
      </w:r>
      <w:r w:rsidR="00CD47F6">
        <w:t xml:space="preserve">the Hospital OQR Program </w:t>
      </w:r>
      <w:r>
        <w:t xml:space="preserve">provides </w:t>
      </w:r>
      <w:r w:rsidR="002A1B4A">
        <w:t xml:space="preserve">for </w:t>
      </w:r>
      <w:r>
        <w:t xml:space="preserve">payment </w:t>
      </w:r>
      <w:r w:rsidR="008A567A">
        <w:t>consequences related to program</w:t>
      </w:r>
      <w:r w:rsidR="00CD47F6">
        <w:t xml:space="preserve"> </w:t>
      </w:r>
      <w:r>
        <w:t>participation</w:t>
      </w:r>
      <w:r w:rsidR="00CD47F6">
        <w:t xml:space="preserve">. </w:t>
      </w:r>
      <w:r w:rsidR="008A567A">
        <w:t xml:space="preserve">Specifically, </w:t>
      </w:r>
      <w:r w:rsidR="00852897">
        <w:t>HOPD</w:t>
      </w:r>
      <w:r w:rsidR="00CD47F6">
        <w:t xml:space="preserve">s that do not meet program requirements </w:t>
      </w:r>
      <w:r w:rsidR="009B4BE8">
        <w:t xml:space="preserve">will </w:t>
      </w:r>
      <w:r w:rsidR="00A23D22">
        <w:t>receive</w:t>
      </w:r>
      <w:r w:rsidR="009B4BE8">
        <w:t xml:space="preserve"> </w:t>
      </w:r>
      <w:r w:rsidR="00CD47F6">
        <w:t xml:space="preserve">a 2.0 percentage point reduction </w:t>
      </w:r>
      <w:r w:rsidR="001A15F9">
        <w:t xml:space="preserve">to </w:t>
      </w:r>
      <w:r w:rsidR="00CD47F6">
        <w:t>their OPPS annual payment update</w:t>
      </w:r>
      <w:r>
        <w:t>.</w:t>
      </w:r>
      <w:r w:rsidR="00152725">
        <w:t xml:space="preserve"> </w:t>
      </w:r>
      <w:r w:rsidR="00AB6126">
        <w:t>T</w:t>
      </w:r>
      <w:r w:rsidR="00B16806">
        <w:t>o reduce burden and thereby maximize response rates, t</w:t>
      </w:r>
      <w:r w:rsidR="00827049">
        <w:t>he Hospital OQR Program al</w:t>
      </w:r>
      <w:r w:rsidR="00B655A9">
        <w:t>lows</w:t>
      </w:r>
      <w:r w:rsidR="00827049">
        <w:t xml:space="preserve"> HOPDs to sample for measures that require direct data entry (i.e., Median Time </w:t>
      </w:r>
      <w:r w:rsidR="00852897">
        <w:t>from E</w:t>
      </w:r>
      <w:r>
        <w:t>mergency Department (E</w:t>
      </w:r>
      <w:r w:rsidR="00852897">
        <w:t>D</w:t>
      </w:r>
      <w:r>
        <w:t>)</w:t>
      </w:r>
      <w:r w:rsidR="00852897">
        <w:t xml:space="preserve"> Arrival to ED Departure </w:t>
      </w:r>
      <w:r w:rsidR="00827049">
        <w:t>for Discharged ED Patients; Cataract Visual Function</w:t>
      </w:r>
      <w:r w:rsidR="00B16806">
        <w:t>; Stroke, and Appropriate Follow-up Interval for Colonoscopy</w:t>
      </w:r>
      <w:r w:rsidR="00827049">
        <w:t>)</w:t>
      </w:r>
      <w:r w:rsidR="007633A5">
        <w:t>.</w:t>
      </w:r>
      <w:r w:rsidR="004E3085">
        <w:t xml:space="preserve"> </w:t>
      </w:r>
      <w:r>
        <w:t>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>, education</w:t>
      </w:r>
      <w:r w:rsidR="00D26AED">
        <w:t xml:space="preserve"> and outreach</w:t>
      </w:r>
      <w:r w:rsidR="00CD47F6">
        <w:t xml:space="preserve">, and </w:t>
      </w:r>
      <w:r>
        <w:t xml:space="preserve">technical assistance to any </w:t>
      </w:r>
      <w:r w:rsidR="00852897">
        <w:t>HOPD</w:t>
      </w:r>
      <w:r>
        <w:t xml:space="preserve">s </w:t>
      </w:r>
      <w:r w:rsidR="00827049">
        <w:t xml:space="preserve">needing </w:t>
      </w:r>
      <w:r>
        <w:t>assistance</w:t>
      </w:r>
      <w:r w:rsidR="00466232">
        <w:t xml:space="preserve"> with </w:t>
      </w:r>
      <w:r w:rsidR="00CD47F6">
        <w:t>program requirements</w:t>
      </w:r>
      <w:r>
        <w:t>.</w:t>
      </w:r>
      <w:r w:rsidR="00852897">
        <w:t xml:space="preserve">  In the CY 2026 OPPS/ASC proposed rule, we proposed to remove the Median Time from ED Arrival to ED Departure for Discharged ED Patients measure beginning with the </w:t>
      </w:r>
      <w:r w:rsidRPr="00D95404" w:rsidR="00852897">
        <w:t>CY 2028 reporting period/CY 2030 payment determination</w:t>
      </w:r>
      <w:r w:rsidR="00852897">
        <w:t>.</w:t>
      </w:r>
    </w:p>
    <w:p w:rsidR="007A0EB1" w:rsidP="007A0EB1" w14:paraId="7A022672" w14:textId="77777777"/>
    <w:p w:rsidR="007A0EB1" w:rsidP="007A0EB1" w14:paraId="3F89DD53" w14:textId="3B7F61F9">
      <w:pPr>
        <w:rPr>
          <w:u w:val="single"/>
        </w:rPr>
      </w:pPr>
      <w:r>
        <w:t>4.</w:t>
      </w:r>
      <w:r>
        <w:tab/>
      </w:r>
      <w:r>
        <w:rPr>
          <w:u w:val="single"/>
        </w:rPr>
        <w:t>Describe any tests of procedures or methods.</w:t>
      </w:r>
    </w:p>
    <w:p w:rsidR="007A0EB1" w:rsidP="007A0EB1" w14:paraId="26FC8103" w14:textId="77777777"/>
    <w:p w:rsidR="00B2428F" w:rsidP="00936FCC" w14:paraId="31C02F6A" w14:textId="6FD18FF4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>
        <w:rPr>
          <w:rStyle w:val="normaltextrun"/>
          <w:b/>
          <w:bCs/>
          <w:color w:val="000000"/>
        </w:rPr>
        <w:t>Sampling for Chart-Abstracted Data for the Hospital OQR Program</w:t>
      </w:r>
    </w:p>
    <w:p w:rsidR="00B2428F" w:rsidP="00B2428F" w14:paraId="46DF3797" w14:textId="77777777">
      <w:pPr>
        <w:rPr>
          <w:rStyle w:val="normaltextrun"/>
          <w:b/>
          <w:bCs/>
          <w:color w:val="000000"/>
        </w:rPr>
      </w:pPr>
    </w:p>
    <w:p w:rsidR="00B2428F" w:rsidRPr="00BC4F58" w:rsidP="00B2428F" w14:paraId="5777D5BF" w14:textId="788B7BC8">
      <w:r>
        <w:t>In an effort to</w:t>
      </w:r>
      <w:r>
        <w:t xml:space="preserve"> reduce burden, for measures </w:t>
      </w:r>
      <w:r w:rsidR="000E3DAA">
        <w:t xml:space="preserve">that require direct data entry </w:t>
      </w:r>
      <w:r>
        <w:t>under the Hospital OQR Program</w:t>
      </w:r>
      <w:r w:rsidR="00852897">
        <w:t>,</w:t>
      </w:r>
      <w:r>
        <w:t xml:space="preserve"> </w:t>
      </w:r>
      <w:r w:rsidR="00852897">
        <w:t>HOPD</w:t>
      </w:r>
      <w:r>
        <w:t xml:space="preserve">s may submit </w:t>
      </w:r>
      <w:r w:rsidR="000E3DAA">
        <w:t xml:space="preserve">a representative </w:t>
      </w:r>
      <w:r>
        <w:t>sample</w:t>
      </w:r>
      <w:r w:rsidR="000E3DAA">
        <w:t xml:space="preserve"> of the denominator population instead of including all eligible cases. </w:t>
      </w:r>
      <w:r>
        <w:t xml:space="preserve"> </w:t>
      </w:r>
      <w:r w:rsidR="000E3DAA">
        <w:t>A sample may consist</w:t>
      </w:r>
      <w:r>
        <w:t xml:space="preserve"> of either 63 cases for </w:t>
      </w:r>
      <w:r w:rsidR="00852897">
        <w:t>HOPD</w:t>
      </w:r>
      <w:r>
        <w:t>s with a population size between 0 and 900</w:t>
      </w:r>
      <w:r w:rsidR="000E3DAA">
        <w:t>, or</w:t>
      </w:r>
      <w:r>
        <w:t xml:space="preserve"> 96 cases for </w:t>
      </w:r>
      <w:r w:rsidR="00852897">
        <w:t>HOPD</w:t>
      </w:r>
      <w:r>
        <w:t>s with a population size of greater than 900</w:t>
      </w:r>
      <w:r w:rsidRPr="00D631C9" w:rsidR="00D631C9">
        <w:t xml:space="preserve">, but </w:t>
      </w:r>
      <w:r w:rsidR="00AB6126">
        <w:t xml:space="preserve">HOPDs </w:t>
      </w:r>
      <w:r w:rsidRPr="00D631C9" w:rsidR="00D631C9">
        <w:t>are able to submit more</w:t>
      </w:r>
      <w:r w:rsidR="00AB6126">
        <w:t xml:space="preserve"> cases</w:t>
      </w:r>
      <w:r w:rsidRPr="00D631C9" w:rsidR="00D631C9">
        <w:t xml:space="preserve"> if </w:t>
      </w:r>
      <w:r w:rsidRPr="00D631C9" w:rsidR="00011A69">
        <w:t>they</w:t>
      </w:r>
      <w:r w:rsidRPr="00D631C9" w:rsidR="00D631C9">
        <w:t xml:space="preserve"> choos</w:t>
      </w:r>
      <w:r w:rsidR="00D631C9">
        <w:t>e</w:t>
      </w:r>
      <w:r>
        <w:t>.  H</w:t>
      </w:r>
      <w:r w:rsidR="00852897">
        <w:t>OPD</w:t>
      </w:r>
      <w:r>
        <w:t>s that choose to sample must ensure that the sampled data represents their outpatient population by using either simple random sampling or systematic random sampling</w:t>
      </w:r>
      <w:r w:rsidR="000E3DAA">
        <w:t>,</w:t>
      </w:r>
      <w:r>
        <w:t xml:space="preserve"> and that the sampling techniques are applied consistently within a quarter.  For </w:t>
      </w:r>
      <w:r>
        <w:t xml:space="preserve">example, quarterly samples for a sampling population must use consistent sampling techniques across the quarterly submission period.  </w:t>
      </w:r>
      <w:r>
        <w:rPr>
          <w:rStyle w:val="normaltextrun"/>
          <w:color w:val="000000"/>
        </w:rPr>
        <w:t>H</w:t>
      </w:r>
      <w:r w:rsidR="00852897">
        <w:rPr>
          <w:rStyle w:val="normaltextrun"/>
          <w:color w:val="000000"/>
        </w:rPr>
        <w:t>OPD</w:t>
      </w:r>
      <w:r>
        <w:rPr>
          <w:rStyle w:val="normaltextrun"/>
          <w:color w:val="000000"/>
        </w:rPr>
        <w:t>s may also submit measure data for the entire applicable patient population in lieu of sampling.</w:t>
      </w:r>
    </w:p>
    <w:p w:rsidR="00B2428F" w:rsidRPr="00B2428F" w:rsidP="00B2428F" w14:paraId="04FC2082" w14:textId="77777777">
      <w:pPr>
        <w:rPr>
          <w:rStyle w:val="normaltextrun"/>
          <w:b/>
          <w:bCs/>
          <w:color w:val="000000"/>
        </w:rPr>
      </w:pPr>
    </w:p>
    <w:p w:rsidR="00694C35" w:rsidRPr="00936FCC" w:rsidP="00936FCC" w14:paraId="39AC320C" w14:textId="17FBCBA5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 w:rsidRPr="00936FCC">
        <w:rPr>
          <w:rStyle w:val="normaltextrun"/>
          <w:b/>
          <w:bCs/>
          <w:color w:val="000000"/>
        </w:rPr>
        <w:t xml:space="preserve">Validation Policy for </w:t>
      </w:r>
      <w:r w:rsidR="00936FCC">
        <w:rPr>
          <w:rStyle w:val="normaltextrun"/>
          <w:b/>
          <w:bCs/>
          <w:color w:val="000000"/>
        </w:rPr>
        <w:t xml:space="preserve">Chart-Abstracted Data for the </w:t>
      </w:r>
      <w:r w:rsidRPr="00936FCC">
        <w:rPr>
          <w:rStyle w:val="normaltextrun"/>
          <w:b/>
          <w:bCs/>
          <w:color w:val="000000"/>
        </w:rPr>
        <w:t>Hospital OQR Program</w:t>
      </w:r>
    </w:p>
    <w:p w:rsidR="00694C35" w:rsidP="00966B35" w14:paraId="1E08CE67" w14:textId="77777777"/>
    <w:p w:rsidR="00936FCC" w:rsidP="003275F5" w14:paraId="78F68EBA" w14:textId="5AF80F6E">
      <w:pPr>
        <w:rPr>
          <w:rStyle w:val="normaltextrun"/>
          <w:color w:val="000000"/>
        </w:rPr>
      </w:pPr>
      <w:r w:rsidRPr="00A0048A">
        <w:t xml:space="preserve">CMS selects 500 </w:t>
      </w:r>
      <w:r w:rsidR="00852897">
        <w:t>HOPD</w:t>
      </w:r>
      <w:r w:rsidRPr="00A0048A">
        <w:t>s for valida</w:t>
      </w:r>
      <w:r>
        <w:t xml:space="preserve">tion; 450 are selected randomly, </w:t>
      </w:r>
      <w:r w:rsidRPr="00A0048A">
        <w:t>and the remaining 50 are selected</w:t>
      </w:r>
      <w:r>
        <w:t xml:space="preserve"> </w:t>
      </w:r>
      <w:r w:rsidRPr="00FF65AF">
        <w:t>using targeting criteria on an annual basis for validation</w:t>
      </w:r>
      <w:r w:rsidRPr="006109B3">
        <w:t>.</w:t>
      </w:r>
      <w:r w:rsidR="008C3609">
        <w:t xml:space="preserve"> Each </w:t>
      </w:r>
      <w:r w:rsidR="00852897">
        <w:t>HOPD</w:t>
      </w:r>
      <w:r w:rsidR="008C3609">
        <w:t xml:space="preserve"> will be required to submit up to 12 cases per quarter and 48 cases per year.</w:t>
      </w:r>
      <w:r w:rsidRPr="0005028E">
        <w:t xml:space="preserve"> </w:t>
      </w:r>
      <w:r w:rsidRPr="0001776F" w:rsidR="0001776F">
        <w:t>To be eligible for random selection for validation, a</w:t>
      </w:r>
      <w:r w:rsidR="00852897">
        <w:t>n</w:t>
      </w:r>
      <w:r w:rsidRPr="0001776F" w:rsidR="0001776F">
        <w:t xml:space="preserve"> </w:t>
      </w:r>
      <w:r w:rsidR="00852897">
        <w:t>HOPD</w:t>
      </w:r>
      <w:r w:rsidRPr="0001776F" w:rsidR="0001776F">
        <w:t xml:space="preserve"> </w:t>
      </w:r>
      <w:r w:rsidR="001255E8">
        <w:t>must have submitted at least 12</w:t>
      </w:r>
      <w:r w:rsidRPr="0001776F" w:rsidR="0001776F">
        <w:t xml:space="preserve"> encounters to the </w:t>
      </w:r>
      <w:r w:rsidR="0001776F">
        <w:t xml:space="preserve">Hospital OQR Program </w:t>
      </w:r>
      <w:r w:rsidRPr="0001776F" w:rsidR="0001776F">
        <w:t xml:space="preserve">Clinical Warehouse during the quarter containing the most recent available data. The quarter containing the most </w:t>
      </w:r>
      <w:r w:rsidRPr="0001776F" w:rsidR="00C721D6">
        <w:t>recent</w:t>
      </w:r>
      <w:r w:rsidRPr="0001776F" w:rsidR="0001776F">
        <w:t xml:space="preserve"> </w:t>
      </w:r>
      <w:r w:rsidRPr="00936FCC" w:rsidR="0001776F">
        <w:rPr>
          <w:rStyle w:val="normaltextrun"/>
          <w:color w:val="000000"/>
        </w:rPr>
        <w:t xml:space="preserve">available data </w:t>
      </w:r>
      <w:r w:rsidRPr="00936FCC" w:rsidR="00833383">
        <w:rPr>
          <w:rStyle w:val="normaltextrun"/>
          <w:color w:val="000000"/>
        </w:rPr>
        <w:t>is</w:t>
      </w:r>
      <w:r w:rsidRPr="00936FCC" w:rsidR="0001776F">
        <w:rPr>
          <w:rStyle w:val="normaltextrun"/>
          <w:color w:val="000000"/>
        </w:rPr>
        <w:t xml:space="preserve"> defined based on when the random sample is drawn.</w:t>
      </w:r>
      <w:r w:rsidRPr="00936FCC" w:rsidR="00CE5F3E">
        <w:rPr>
          <w:rStyle w:val="normaltextrun"/>
          <w:color w:val="000000"/>
        </w:rPr>
        <w:t xml:space="preserve"> </w:t>
      </w:r>
      <w:r>
        <w:rPr>
          <w:rStyle w:val="normaltextrun"/>
          <w:color w:val="000000"/>
        </w:rPr>
        <w:t xml:space="preserve">To be eligible for targeted selection for validation, the </w:t>
      </w:r>
      <w:r w:rsidR="00852897">
        <w:rPr>
          <w:rStyle w:val="normaltextrun"/>
          <w:color w:val="000000"/>
        </w:rPr>
        <w:t>HOPD</w:t>
      </w:r>
      <w:r>
        <w:rPr>
          <w:rStyle w:val="normaltextrun"/>
          <w:color w:val="000000"/>
        </w:rPr>
        <w:t xml:space="preserve"> must be a subsection (d) hospital and meet one or more of the following criteria:</w:t>
      </w:r>
    </w:p>
    <w:p w:rsidR="00936FCC" w:rsidP="003275F5" w14:paraId="7A94D52D" w14:textId="77777777">
      <w:pPr>
        <w:rPr>
          <w:rStyle w:val="normaltextrun"/>
          <w:color w:val="000000"/>
        </w:rPr>
      </w:pPr>
    </w:p>
    <w:p w:rsidR="00936FCC" w:rsidP="00936FCC" w14:paraId="0510F39A" w14:textId="7974C414">
      <w:pPr>
        <w:pStyle w:val="ListParagraph"/>
        <w:numPr>
          <w:ilvl w:val="0"/>
          <w:numId w:val="7"/>
        </w:numPr>
      </w:pPr>
      <w:r w:rsidRPr="79693405">
        <w:rPr>
          <w:rStyle w:val="normaltextrun"/>
          <w:color w:val="000000" w:themeColor="text1"/>
        </w:rPr>
        <w:t xml:space="preserve">any </w:t>
      </w:r>
      <w:r w:rsidR="00852897">
        <w:rPr>
          <w:rStyle w:val="normaltextrun"/>
          <w:color w:val="000000" w:themeColor="text1"/>
        </w:rPr>
        <w:t>HOPD</w:t>
      </w:r>
      <w:r w:rsidRPr="79693405">
        <w:rPr>
          <w:rStyle w:val="normaltextrun"/>
          <w:color w:val="000000" w:themeColor="text1"/>
        </w:rPr>
        <w:t xml:space="preserve"> which</w:t>
      </w:r>
      <w:r w:rsidRPr="79693405" w:rsidR="00CE5F3E">
        <w:rPr>
          <w:rStyle w:val="normaltextrun"/>
          <w:color w:val="000000" w:themeColor="text1"/>
        </w:rPr>
        <w:t xml:space="preserve"> failed </w:t>
      </w:r>
      <w:r w:rsidRPr="79693405" w:rsidR="00966B35">
        <w:rPr>
          <w:rStyle w:val="normaltextrun"/>
          <w:color w:val="000000" w:themeColor="text1"/>
        </w:rPr>
        <w:t>the</w:t>
      </w:r>
      <w:r w:rsidR="00966B35">
        <w:t xml:space="preserve"> validation requirement that applie</w:t>
      </w:r>
      <w:r w:rsidR="00CE5F3E">
        <w:t>d</w:t>
      </w:r>
      <w:r w:rsidR="00966B35">
        <w:t xml:space="preserve"> to the previous year's payment </w:t>
      </w:r>
      <w:bookmarkStart w:id="1" w:name="_Int_U8XJTHIv"/>
      <w:r w:rsidR="00E7716D">
        <w:t>determination</w:t>
      </w:r>
      <w:r w:rsidR="00B2428F">
        <w:t>;</w:t>
      </w:r>
      <w:bookmarkEnd w:id="1"/>
    </w:p>
    <w:p w:rsidR="00B2428F" w:rsidP="00936FCC" w14:paraId="6C9EC6B1" w14:textId="19647FCC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>
        <w:t xml:space="preserve"> </w:t>
      </w:r>
      <w:r w:rsidR="00CE5F3E">
        <w:t>having</w:t>
      </w:r>
      <w:r w:rsidRPr="0005028E" w:rsidR="00966B35">
        <w:t xml:space="preserve"> </w:t>
      </w:r>
      <w:r>
        <w:t xml:space="preserve">an outlier value for a measure, e.g. </w:t>
      </w:r>
      <w:r w:rsidRPr="0005028E" w:rsidR="00966B35">
        <w:t>a</w:t>
      </w:r>
      <w:r>
        <w:t xml:space="preserve"> measure value that appears to deviate markedly from the measure values for other </w:t>
      </w:r>
      <w:r w:rsidR="00852897">
        <w:rPr>
          <w:rStyle w:val="normaltextrun"/>
          <w:color w:val="000000" w:themeColor="text1"/>
        </w:rPr>
        <w:t>HOPD</w:t>
      </w:r>
      <w:r>
        <w:t>s;</w:t>
      </w:r>
    </w:p>
    <w:p w:rsidR="00B2428F" w:rsidP="003275F5" w14:paraId="535E69C4" w14:textId="4A4822B4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 w:rsidR="00ED1BE7">
        <w:t xml:space="preserve"> with outlier values indicating specifically poor scores on a </w:t>
      </w:r>
      <w:r w:rsidR="00ED1BE7">
        <w:t>measur</w:t>
      </w:r>
      <w:r>
        <w:t>e;</w:t>
      </w:r>
    </w:p>
    <w:p w:rsidR="00B2428F" w:rsidP="003275F5" w14:paraId="3C0DCE5A" w14:textId="4C683FE3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>
        <w:t xml:space="preserve"> that has not been randomly selected for validation in any of the previous 3 </w:t>
      </w:r>
      <w:r>
        <w:t>years;</w:t>
      </w:r>
      <w:r>
        <w:t xml:space="preserve"> </w:t>
      </w:r>
    </w:p>
    <w:p w:rsidR="00B2428F" w:rsidP="003275F5" w14:paraId="366CE0AA" w14:textId="5667C1E7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>
        <w:t xml:space="preserve"> that passed validation in the previous year but had a two-tailed confidence interval that included 75 percent; and </w:t>
      </w:r>
    </w:p>
    <w:p w:rsidR="00A0048A" w:rsidP="00A0048A" w14:paraId="6AE8BE8A" w14:textId="65869DF9">
      <w:pPr>
        <w:pStyle w:val="ListParagraph"/>
        <w:numPr>
          <w:ilvl w:val="0"/>
          <w:numId w:val="7"/>
        </w:numPr>
      </w:pPr>
      <w:r>
        <w:t xml:space="preserve">any </w:t>
      </w:r>
      <w:r w:rsidR="00852897">
        <w:rPr>
          <w:rStyle w:val="normaltextrun"/>
          <w:color w:val="000000" w:themeColor="text1"/>
        </w:rPr>
        <w:t>HOPD</w:t>
      </w:r>
      <w:r w:rsidRPr="00AC596C" w:rsidR="00AC596C">
        <w:t xml:space="preserve"> with less than four quarters of data subject to validation due to receiving an E</w:t>
      </w:r>
      <w:r w:rsidR="00C7514E">
        <w:t xml:space="preserve">xtraordinary </w:t>
      </w:r>
      <w:r w:rsidRPr="00AC596C" w:rsidR="00AC596C">
        <w:t>C</w:t>
      </w:r>
      <w:r w:rsidR="00C7514E">
        <w:t xml:space="preserve">ircumstance </w:t>
      </w:r>
      <w:r w:rsidRPr="00AC596C" w:rsidR="00AC596C">
        <w:t>E</w:t>
      </w:r>
      <w:r w:rsidR="00C7514E">
        <w:t>xceptions (ECE)</w:t>
      </w:r>
      <w:r w:rsidRPr="00AC596C" w:rsidR="00AC596C">
        <w:t xml:space="preserve"> for one or more quarters and with a two-tailed confidence interval that is less than 75</w:t>
      </w:r>
      <w:r>
        <w:t xml:space="preserve"> percent</w:t>
      </w:r>
      <w:r w:rsidR="001B55A3">
        <w:t>.</w:t>
      </w:r>
    </w:p>
    <w:p w:rsidR="00B2428F" w:rsidP="00B2428F" w14:paraId="16107D91" w14:textId="77777777">
      <w:pPr>
        <w:pStyle w:val="ListParagraph"/>
      </w:pPr>
    </w:p>
    <w:p w:rsidR="00CE5F3E" w:rsidRPr="00782BC3" w:rsidP="00CE5F3E" w14:paraId="7DE29FBA" w14:textId="3F963C54">
      <w:pPr>
        <w:widowControl w:val="0"/>
        <w:autoSpaceDE w:val="0"/>
        <w:autoSpaceDN w:val="0"/>
        <w:adjustRightInd w:val="0"/>
        <w:rPr>
          <w:color w:val="000000"/>
        </w:rPr>
      </w:pPr>
      <w:r>
        <w:t xml:space="preserve">After </w:t>
      </w:r>
      <w:r w:rsidRPr="00782BC3">
        <w:rPr>
          <w:color w:val="000000"/>
        </w:rPr>
        <w:t xml:space="preserve">the random selection has been completed, the </w:t>
      </w:r>
      <w:r w:rsidRPr="00782BC3" w:rsidR="00890DAA">
        <w:t>CMS Clinical Data Abstraction Center (</w:t>
      </w:r>
      <w:r w:rsidRPr="00782BC3">
        <w:rPr>
          <w:color w:val="000000"/>
        </w:rPr>
        <w:t>CDAC</w:t>
      </w:r>
      <w:r w:rsidR="00890DAA">
        <w:rPr>
          <w:color w:val="000000"/>
        </w:rPr>
        <w:t>)</w:t>
      </w:r>
      <w:r w:rsidRPr="00782BC3">
        <w:rPr>
          <w:color w:val="000000"/>
        </w:rPr>
        <w:t xml:space="preserve"> sends record requests by a trackable mail method to the </w:t>
      </w:r>
      <w:r w:rsidR="00B96C3C">
        <w:rPr>
          <w:color w:val="000000"/>
        </w:rPr>
        <w:t xml:space="preserve">designated </w:t>
      </w:r>
      <w:r w:rsidRPr="00782BC3">
        <w:rPr>
          <w:color w:val="000000"/>
        </w:rPr>
        <w:t xml:space="preserve">Medical Record Contact at the </w:t>
      </w:r>
      <w:r w:rsidR="00852897">
        <w:rPr>
          <w:rStyle w:val="normaltextrun"/>
          <w:color w:val="000000" w:themeColor="text1"/>
        </w:rPr>
        <w:t>HOPD</w:t>
      </w:r>
      <w:r w:rsidRPr="00782BC3">
        <w:rPr>
          <w:color w:val="000000"/>
        </w:rPr>
        <w:t xml:space="preserve">. </w:t>
      </w:r>
      <w:r w:rsidR="00A505AB">
        <w:rPr>
          <w:color w:val="000000"/>
        </w:rPr>
        <w:t xml:space="preserve"> </w:t>
      </w:r>
      <w:r w:rsidRPr="00782BC3">
        <w:rPr>
          <w:color w:val="000000"/>
        </w:rPr>
        <w:t xml:space="preserve">Each </w:t>
      </w:r>
      <w:r w:rsidR="00852897">
        <w:rPr>
          <w:rStyle w:val="normaltextrun"/>
          <w:color w:val="000000" w:themeColor="text1"/>
        </w:rPr>
        <w:t>HOPD</w:t>
      </w:r>
      <w:r w:rsidRPr="00782BC3">
        <w:rPr>
          <w:color w:val="000000"/>
        </w:rPr>
        <w:t xml:space="preserve"> </w:t>
      </w:r>
      <w:r w:rsidR="00AC596C">
        <w:rPr>
          <w:color w:val="000000"/>
        </w:rPr>
        <w:t>is</w:t>
      </w:r>
      <w:r w:rsidR="003275F5">
        <w:rPr>
          <w:color w:val="000000"/>
        </w:rPr>
        <w:t xml:space="preserve"> required to</w:t>
      </w:r>
      <w:r w:rsidRPr="00782BC3">
        <w:rPr>
          <w:color w:val="000000"/>
        </w:rPr>
        <w:t xml:space="preserve"> submit </w:t>
      </w:r>
      <w:r>
        <w:rPr>
          <w:color w:val="000000"/>
        </w:rPr>
        <w:t xml:space="preserve">the </w:t>
      </w:r>
      <w:r w:rsidRPr="00782BC3">
        <w:rPr>
          <w:color w:val="000000"/>
        </w:rPr>
        <w:t xml:space="preserve">requested documentation to the </w:t>
      </w:r>
      <w:r w:rsidRPr="00782BC3">
        <w:t>CDAC</w:t>
      </w:r>
      <w:r w:rsidRPr="00782BC3">
        <w:rPr>
          <w:color w:val="000000"/>
        </w:rPr>
        <w:t xml:space="preserve"> within </w:t>
      </w:r>
      <w:r w:rsidR="003275F5">
        <w:rPr>
          <w:color w:val="000000"/>
        </w:rPr>
        <w:t>30</w:t>
      </w:r>
      <w:r w:rsidRPr="00782BC3">
        <w:rPr>
          <w:color w:val="000000"/>
        </w:rPr>
        <w:t xml:space="preserve"> calendar days of the date of the request (as documented on the request letter). </w:t>
      </w:r>
      <w:r w:rsidR="00B2428F">
        <w:rPr>
          <w:color w:val="000000"/>
        </w:rPr>
        <w:t xml:space="preserve"> </w:t>
      </w:r>
      <w:r w:rsidRPr="00782BC3">
        <w:rPr>
          <w:color w:val="000000"/>
        </w:rPr>
        <w:t xml:space="preserve">If the </w:t>
      </w:r>
      <w:r w:rsidR="00852897">
        <w:rPr>
          <w:rStyle w:val="normaltextrun"/>
          <w:color w:val="000000" w:themeColor="text1"/>
        </w:rPr>
        <w:t>HOPD</w:t>
      </w:r>
      <w:r w:rsidRPr="00782BC3">
        <w:rPr>
          <w:color w:val="000000"/>
        </w:rPr>
        <w:t xml:space="preserve"> fails to comply within </w:t>
      </w:r>
      <w:r w:rsidR="003275F5">
        <w:rPr>
          <w:color w:val="000000"/>
        </w:rPr>
        <w:t>30</w:t>
      </w:r>
      <w:r w:rsidRPr="00782BC3">
        <w:rPr>
          <w:color w:val="000000"/>
        </w:rPr>
        <w:t xml:space="preserve"> days, a “zero” score </w:t>
      </w:r>
      <w:r w:rsidR="003E447A">
        <w:rPr>
          <w:color w:val="000000"/>
        </w:rPr>
        <w:t>is</w:t>
      </w:r>
      <w:r w:rsidRPr="00782BC3">
        <w:rPr>
          <w:color w:val="000000"/>
        </w:rPr>
        <w:t xml:space="preserve"> assigned to each data element for each selected case, and the case will fail for all measures in the same topic. </w:t>
      </w:r>
    </w:p>
    <w:p w:rsidR="00337678" w:rsidP="003F4AA3" w14:paraId="7A169C7A" w14:textId="77777777"/>
    <w:p w:rsidR="00694C35" w:rsidRPr="00B2428F" w:rsidP="00B2428F" w14:paraId="507DE28A" w14:textId="77777777">
      <w:pPr>
        <w:pStyle w:val="ListParagraph"/>
        <w:numPr>
          <w:ilvl w:val="0"/>
          <w:numId w:val="6"/>
        </w:numPr>
        <w:rPr>
          <w:rStyle w:val="normaltextrun"/>
          <w:b/>
          <w:bCs/>
          <w:color w:val="000000"/>
        </w:rPr>
      </w:pPr>
      <w:r w:rsidRPr="00B2428F">
        <w:rPr>
          <w:rStyle w:val="normaltextrun"/>
          <w:b/>
          <w:bCs/>
          <w:color w:val="000000"/>
        </w:rPr>
        <w:t>Validation Response Rates for the Hospital OQR Program</w:t>
      </w:r>
    </w:p>
    <w:p w:rsidR="00694C35" w:rsidP="003F4AA3" w14:paraId="0868A978" w14:textId="77777777"/>
    <w:p w:rsidR="00337678" w:rsidP="00BC4F58" w14:paraId="4CB022CC" w14:textId="396A6054">
      <w:r w:rsidRPr="00BC4F58">
        <w:t>To ensure consistently high response rates</w:t>
      </w:r>
      <w:r>
        <w:t xml:space="preserve"> from selected </w:t>
      </w:r>
      <w:r w:rsidR="00852897">
        <w:rPr>
          <w:rStyle w:val="normaltextrun"/>
          <w:color w:val="000000" w:themeColor="text1"/>
        </w:rPr>
        <w:t>HOPD</w:t>
      </w:r>
      <w:r>
        <w:t>s for validation</w:t>
      </w:r>
      <w:r w:rsidRPr="00BC4F58">
        <w:t>,</w:t>
      </w:r>
      <w:r>
        <w:t xml:space="preserve"> the CMS-designated contractor </w:t>
      </w:r>
      <w:r w:rsidR="00C13CBA">
        <w:t>provide</w:t>
      </w:r>
      <w:r>
        <w:t xml:space="preserve">s </w:t>
      </w:r>
      <w:r w:rsidR="003E447A">
        <w:t>a</w:t>
      </w:r>
      <w:r>
        <w:t xml:space="preserve"> </w:t>
      </w:r>
      <w:r w:rsidR="00DB280B">
        <w:t>15</w:t>
      </w:r>
      <w:r w:rsidR="003F4AA3">
        <w:t>-day reminder notice</w:t>
      </w:r>
      <w:r>
        <w:t xml:space="preserve"> to </w:t>
      </w:r>
      <w:r w:rsidR="00852897">
        <w:rPr>
          <w:rStyle w:val="normaltextrun"/>
          <w:color w:val="000000" w:themeColor="text1"/>
        </w:rPr>
        <w:t>HOPD</w:t>
      </w:r>
      <w:r>
        <w:t>s that have outstanding</w:t>
      </w:r>
      <w:r w:rsidR="00C13CBA">
        <w:t xml:space="preserve"> medical</w:t>
      </w:r>
      <w:r>
        <w:t xml:space="preserve"> records</w:t>
      </w:r>
      <w:r w:rsidR="007B315C">
        <w:t xml:space="preserve">. In addition, </w:t>
      </w:r>
      <w:r w:rsidR="003E447A">
        <w:t xml:space="preserve">during the last week of the submission period, </w:t>
      </w:r>
      <w:r w:rsidR="00C13CBA">
        <w:t>CMS</w:t>
      </w:r>
      <w:r w:rsidR="003F4AA3">
        <w:t xml:space="preserve"> provide</w:t>
      </w:r>
      <w:r>
        <w:t>s</w:t>
      </w:r>
      <w:r w:rsidR="003F4AA3">
        <w:t xml:space="preserve"> a daily list of </w:t>
      </w:r>
      <w:r w:rsidR="00852897">
        <w:rPr>
          <w:rStyle w:val="normaltextrun"/>
          <w:color w:val="000000" w:themeColor="text1"/>
        </w:rPr>
        <w:t>HOPD</w:t>
      </w:r>
      <w:r w:rsidR="003D4839">
        <w:t>s</w:t>
      </w:r>
      <w:r w:rsidR="003F4AA3">
        <w:t xml:space="preserve"> with outstanding records to</w:t>
      </w:r>
      <w:r w:rsidR="00C13CBA">
        <w:t xml:space="preserve"> </w:t>
      </w:r>
      <w:r w:rsidR="007B315C">
        <w:t>the</w:t>
      </w:r>
      <w:r w:rsidR="00C13CBA">
        <w:t xml:space="preserve"> CMS-designated contractor </w:t>
      </w:r>
      <w:r w:rsidR="007B315C">
        <w:t>who</w:t>
      </w:r>
      <w:r w:rsidR="00370C3B">
        <w:t xml:space="preserve"> then</w:t>
      </w:r>
      <w:r w:rsidR="007B315C">
        <w:t xml:space="preserve"> makes</w:t>
      </w:r>
      <w:r>
        <w:t xml:space="preserve"> </w:t>
      </w:r>
      <w:r w:rsidR="007B315C">
        <w:t xml:space="preserve">targeted </w:t>
      </w:r>
      <w:r>
        <w:t>phone calls to th</w:t>
      </w:r>
      <w:r w:rsidR="00370C3B">
        <w:t>e</w:t>
      </w:r>
      <w:r>
        <w:t xml:space="preserve"> </w:t>
      </w:r>
      <w:r w:rsidR="00852897">
        <w:rPr>
          <w:rStyle w:val="normaltextrun"/>
          <w:color w:val="000000" w:themeColor="text1"/>
        </w:rPr>
        <w:t>HOPD</w:t>
      </w:r>
      <w:r w:rsidR="000E6F86">
        <w:t>s</w:t>
      </w:r>
      <w:r>
        <w:t xml:space="preserve">. </w:t>
      </w:r>
    </w:p>
    <w:p w:rsidR="007B315C" w:rsidP="00BC4F58" w14:paraId="1C33D9BB" w14:textId="77777777"/>
    <w:p w:rsidR="005903F1" w:rsidP="005903F1" w14:paraId="2050C967" w14:textId="73AEAF26">
      <w:pPr>
        <w:rPr>
          <w:rFonts w:eastAsia="Calibri"/>
        </w:rPr>
      </w:pPr>
      <w:r w:rsidRPr="00782BC3">
        <w:t xml:space="preserve">Once the CDAC receives the requested medical documentation, it independently re-abstracts the same quality measure data elements that the </w:t>
      </w:r>
      <w:r w:rsidR="00852897">
        <w:rPr>
          <w:rStyle w:val="normaltextrun"/>
          <w:color w:val="000000" w:themeColor="text1"/>
        </w:rPr>
        <w:t>HOPD</w:t>
      </w:r>
      <w:r w:rsidRPr="00782BC3">
        <w:t xml:space="preserve"> previously abstracted and submitted</w:t>
      </w:r>
      <w:r>
        <w:t>,</w:t>
      </w:r>
      <w:r w:rsidRPr="00782BC3">
        <w:t xml:space="preserve"> and </w:t>
      </w:r>
      <w:r>
        <w:t xml:space="preserve">it </w:t>
      </w:r>
      <w:r w:rsidRPr="00782BC3">
        <w:t>compares the two sets of data to determine whether they match.</w:t>
      </w:r>
      <w:r w:rsidR="009F5BDC">
        <w:t xml:space="preserve"> A confidence interval using a binomial approach is used in the calculation of validation scores to account for sample variability</w:t>
      </w:r>
      <w:r w:rsidR="006E4B43">
        <w:t xml:space="preserve"> and the possibility of small sample sizes</w:t>
      </w:r>
      <w:r w:rsidR="009F5BDC">
        <w:t>,</w:t>
      </w:r>
      <w:r w:rsidR="006E4B43">
        <w:t xml:space="preserve"> and that</w:t>
      </w:r>
      <w:r w:rsidR="00B655A9">
        <w:t xml:space="preserve"> </w:t>
      </w:r>
      <w:r w:rsidR="009F5BDC">
        <w:t xml:space="preserve">data being analyzed are binary (match, do not match). </w:t>
      </w:r>
      <w:r w:rsidRPr="00AD3FEB">
        <w:rPr>
          <w:bCs/>
          <w:iCs/>
          <w:color w:val="000000"/>
        </w:rPr>
        <w:t xml:space="preserve">To receive a full annual payment update, </w:t>
      </w:r>
      <w:r w:rsidR="00852897">
        <w:rPr>
          <w:rStyle w:val="normaltextrun"/>
          <w:color w:val="000000" w:themeColor="text1"/>
        </w:rPr>
        <w:t>HOPD</w:t>
      </w:r>
      <w:r w:rsidRPr="00AD3FEB">
        <w:rPr>
          <w:bCs/>
          <w:iCs/>
          <w:color w:val="000000"/>
        </w:rPr>
        <w:t>s must obtain at least a 75 percent validation score for the designated time</w:t>
      </w:r>
      <w:r w:rsidR="00D22EC6">
        <w:rPr>
          <w:bCs/>
          <w:iCs/>
          <w:color w:val="000000"/>
        </w:rPr>
        <w:t>-</w:t>
      </w:r>
      <w:r w:rsidRPr="00AD3FEB">
        <w:rPr>
          <w:bCs/>
          <w:iCs/>
          <w:color w:val="000000"/>
        </w:rPr>
        <w:t>period based upon this validation process.</w:t>
      </w:r>
      <w:bookmarkStart w:id="2" w:name="_Hlk143505408"/>
    </w:p>
    <w:bookmarkEnd w:id="2"/>
    <w:p w:rsidR="007A0EB1" w:rsidP="007A0EB1" w14:paraId="50FBC880" w14:textId="77777777"/>
    <w:p w:rsidR="007A0EB1" w:rsidRPr="00CB5EE2" w:rsidP="007A0EB1" w14:paraId="6647AA45" w14:textId="239082CB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Provide name and telephone number of individuals consulted on statistical </w:t>
      </w:r>
      <w:r w:rsidRPr="00CB5EE2">
        <w:rPr>
          <w:u w:val="single"/>
        </w:rPr>
        <w:t>aspects.</w:t>
      </w:r>
    </w:p>
    <w:p w:rsidR="007A0EB1" w:rsidRPr="00CB5EE2" w:rsidP="007A0EB1" w14:paraId="665BF5C0" w14:textId="77777777"/>
    <w:p w:rsidR="00304B1F" w:rsidP="00BC239E" w14:paraId="427A3190" w14:textId="4DEBAC1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Kimberly Go</w:t>
      </w:r>
      <w:r w:rsidR="00D47F2A">
        <w:rPr>
          <w:rStyle w:val="normaltextrun"/>
        </w:rPr>
        <w:t>, MPA</w:t>
      </w:r>
      <w:r>
        <w:rPr>
          <w:rStyle w:val="normaltextrun"/>
        </w:rPr>
        <w:tab/>
      </w:r>
      <w:r>
        <w:rPr>
          <w:rStyle w:val="normaltextrun"/>
        </w:rPr>
        <w:tab/>
      </w:r>
      <w:r w:rsidR="008857B5">
        <w:tab/>
      </w:r>
      <w:r w:rsidR="008857B5">
        <w:tab/>
      </w:r>
      <w:r w:rsidR="008857B5">
        <w:tab/>
      </w:r>
      <w:r w:rsidR="008857B5">
        <w:rPr>
          <w:rStyle w:val="normaltextrun"/>
        </w:rPr>
        <w:t>Grace Snyder, JD, MPH</w:t>
      </w:r>
      <w:r w:rsidR="008857B5">
        <w:rPr>
          <w:rStyle w:val="eop"/>
        </w:rPr>
        <w:t> </w:t>
      </w:r>
    </w:p>
    <w:p w:rsidR="007A0EB1" w:rsidRPr="004E2BD2" w:rsidP="004E2BD2" w14:paraId="3E4A21E9" w14:textId="2BCD084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410-786-4560</w:t>
      </w:r>
      <w:r w:rsidR="00304B1F">
        <w:rPr>
          <w:rStyle w:val="tabchar"/>
          <w:rFonts w:ascii="Calibri" w:hAnsi="Calibri" w:cs="Calibri"/>
        </w:rPr>
        <w:tab/>
      </w:r>
      <w:r w:rsidR="00304B1F">
        <w:rPr>
          <w:rStyle w:val="tabchar"/>
          <w:rFonts w:ascii="Calibri" w:hAnsi="Calibri" w:cs="Calibri"/>
        </w:rPr>
        <w:tab/>
      </w:r>
      <w:r w:rsidR="008857B5">
        <w:rPr>
          <w:rStyle w:val="tabchar"/>
          <w:rFonts w:ascii="Calibri" w:hAnsi="Calibri" w:cs="Calibri"/>
        </w:rPr>
        <w:tab/>
      </w:r>
      <w:r w:rsidR="00304B1F">
        <w:rPr>
          <w:rStyle w:val="tabchar"/>
          <w:rFonts w:ascii="Calibri" w:hAnsi="Calibri" w:cs="Calibri"/>
        </w:rPr>
        <w:tab/>
      </w:r>
      <w:r w:rsidR="00B01FE6">
        <w:rPr>
          <w:rStyle w:val="tabchar"/>
          <w:rFonts w:ascii="Calibri" w:hAnsi="Calibri" w:cs="Calibri"/>
        </w:rPr>
        <w:tab/>
      </w:r>
      <w:r w:rsidR="00B01FE6">
        <w:rPr>
          <w:rStyle w:val="tabchar"/>
          <w:rFonts w:ascii="Calibri" w:hAnsi="Calibri" w:cs="Calibri"/>
        </w:rPr>
        <w:tab/>
      </w:r>
      <w:r w:rsidR="00304B1F">
        <w:rPr>
          <w:rStyle w:val="normaltextrun"/>
        </w:rPr>
        <w:t>410-786-0700</w:t>
      </w: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62E0D99"/>
    <w:multiLevelType w:val="hybridMultilevel"/>
    <w:tmpl w:val="BA3415EE"/>
    <w:lvl w:ilvl="0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0820C6E"/>
    <w:multiLevelType w:val="hybridMultilevel"/>
    <w:tmpl w:val="0930D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A38E4"/>
    <w:multiLevelType w:val="hybridMultilevel"/>
    <w:tmpl w:val="8A1485B4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D23084"/>
    <w:multiLevelType w:val="hybridMultilevel"/>
    <w:tmpl w:val="D68C6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A4E47"/>
    <w:multiLevelType w:val="hybridMultilevel"/>
    <w:tmpl w:val="5C7EB49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1E151F"/>
    <w:multiLevelType w:val="hybridMultilevel"/>
    <w:tmpl w:val="1ECA7F88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9157402">
    <w:abstractNumId w:val="5"/>
  </w:num>
  <w:num w:numId="2" w16cid:durableId="489710463">
    <w:abstractNumId w:val="5"/>
    <w:lvlOverride w:ilvl="0">
      <w:startOverride w:val="1"/>
    </w:lvlOverride>
    <w:lvlOverride w:ilvl="1">
      <w:startOverride w:val="5"/>
    </w:lvlOverride>
  </w:num>
  <w:num w:numId="3" w16cid:durableId="2137484909">
    <w:abstractNumId w:val="0"/>
  </w:num>
  <w:num w:numId="4" w16cid:durableId="1322853444">
    <w:abstractNumId w:val="1"/>
  </w:num>
  <w:num w:numId="5" w16cid:durableId="1952394708">
    <w:abstractNumId w:val="4"/>
  </w:num>
  <w:num w:numId="6" w16cid:durableId="1428036684">
    <w:abstractNumId w:val="2"/>
  </w:num>
  <w:num w:numId="7" w16cid:durableId="1534534643">
    <w:abstractNumId w:val="3"/>
  </w:num>
  <w:num w:numId="8" w16cid:durableId="1975910607">
    <w:abstractNumId w:val="5"/>
  </w:num>
  <w:num w:numId="9" w16cid:durableId="1242180018">
    <w:abstractNumId w:val="5"/>
  </w:num>
  <w:num w:numId="10" w16cid:durableId="543102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EB1"/>
    <w:rsid w:val="00002C72"/>
    <w:rsid w:val="00003DB0"/>
    <w:rsid w:val="00011A69"/>
    <w:rsid w:val="0001776F"/>
    <w:rsid w:val="00023EFE"/>
    <w:rsid w:val="00033485"/>
    <w:rsid w:val="000426F6"/>
    <w:rsid w:val="00047C55"/>
    <w:rsid w:val="0005028E"/>
    <w:rsid w:val="00052982"/>
    <w:rsid w:val="000626F9"/>
    <w:rsid w:val="00062EE0"/>
    <w:rsid w:val="000712E9"/>
    <w:rsid w:val="00091F3B"/>
    <w:rsid w:val="00094E9B"/>
    <w:rsid w:val="000B1480"/>
    <w:rsid w:val="000B25AA"/>
    <w:rsid w:val="000B6D53"/>
    <w:rsid w:val="000B70A9"/>
    <w:rsid w:val="000C3542"/>
    <w:rsid w:val="000C5CA3"/>
    <w:rsid w:val="000D56E1"/>
    <w:rsid w:val="000E0DB6"/>
    <w:rsid w:val="000E3DAA"/>
    <w:rsid w:val="000E6F86"/>
    <w:rsid w:val="000F1251"/>
    <w:rsid w:val="000F339D"/>
    <w:rsid w:val="000F4D5E"/>
    <w:rsid w:val="000F5DD3"/>
    <w:rsid w:val="00104802"/>
    <w:rsid w:val="00116B1B"/>
    <w:rsid w:val="001255E8"/>
    <w:rsid w:val="00136B6D"/>
    <w:rsid w:val="00143C78"/>
    <w:rsid w:val="00152725"/>
    <w:rsid w:val="00153D82"/>
    <w:rsid w:val="001625E1"/>
    <w:rsid w:val="001660BE"/>
    <w:rsid w:val="0016654C"/>
    <w:rsid w:val="00167D37"/>
    <w:rsid w:val="001756A1"/>
    <w:rsid w:val="00180221"/>
    <w:rsid w:val="001804F8"/>
    <w:rsid w:val="001811B8"/>
    <w:rsid w:val="00181483"/>
    <w:rsid w:val="00185024"/>
    <w:rsid w:val="00186819"/>
    <w:rsid w:val="001A15F9"/>
    <w:rsid w:val="001A6D24"/>
    <w:rsid w:val="001B55A3"/>
    <w:rsid w:val="001F1A8A"/>
    <w:rsid w:val="001F1EF3"/>
    <w:rsid w:val="001F5CD7"/>
    <w:rsid w:val="00232FEA"/>
    <w:rsid w:val="00236D35"/>
    <w:rsid w:val="00240CDA"/>
    <w:rsid w:val="002426EA"/>
    <w:rsid w:val="00242CBB"/>
    <w:rsid w:val="00242D3C"/>
    <w:rsid w:val="002434F5"/>
    <w:rsid w:val="00245DE7"/>
    <w:rsid w:val="00246B6C"/>
    <w:rsid w:val="00253957"/>
    <w:rsid w:val="00271F47"/>
    <w:rsid w:val="00280496"/>
    <w:rsid w:val="0029058C"/>
    <w:rsid w:val="002A08DB"/>
    <w:rsid w:val="002A1B4A"/>
    <w:rsid w:val="002A3F76"/>
    <w:rsid w:val="002C2319"/>
    <w:rsid w:val="002C4D85"/>
    <w:rsid w:val="002C7E90"/>
    <w:rsid w:val="002E2BAE"/>
    <w:rsid w:val="002F2440"/>
    <w:rsid w:val="0030109B"/>
    <w:rsid w:val="00304B1F"/>
    <w:rsid w:val="00310D77"/>
    <w:rsid w:val="00314873"/>
    <w:rsid w:val="003275F5"/>
    <w:rsid w:val="00332429"/>
    <w:rsid w:val="00337678"/>
    <w:rsid w:val="00343E13"/>
    <w:rsid w:val="003529AD"/>
    <w:rsid w:val="00370C3B"/>
    <w:rsid w:val="003864B1"/>
    <w:rsid w:val="00387B87"/>
    <w:rsid w:val="003A074A"/>
    <w:rsid w:val="003A44DE"/>
    <w:rsid w:val="003A7114"/>
    <w:rsid w:val="003A7C47"/>
    <w:rsid w:val="003B5260"/>
    <w:rsid w:val="003B5627"/>
    <w:rsid w:val="003C2A10"/>
    <w:rsid w:val="003C4587"/>
    <w:rsid w:val="003C4D30"/>
    <w:rsid w:val="003C7C27"/>
    <w:rsid w:val="003D0F3C"/>
    <w:rsid w:val="003D349A"/>
    <w:rsid w:val="003D4839"/>
    <w:rsid w:val="003E04D1"/>
    <w:rsid w:val="003E447A"/>
    <w:rsid w:val="003F4985"/>
    <w:rsid w:val="003F4AA3"/>
    <w:rsid w:val="003F6EC4"/>
    <w:rsid w:val="00400F66"/>
    <w:rsid w:val="00401ECE"/>
    <w:rsid w:val="00411950"/>
    <w:rsid w:val="00416E27"/>
    <w:rsid w:val="00421478"/>
    <w:rsid w:val="00423DF0"/>
    <w:rsid w:val="00431619"/>
    <w:rsid w:val="004342DB"/>
    <w:rsid w:val="004379C3"/>
    <w:rsid w:val="00441612"/>
    <w:rsid w:val="0044384F"/>
    <w:rsid w:val="00444972"/>
    <w:rsid w:val="0045358A"/>
    <w:rsid w:val="00466232"/>
    <w:rsid w:val="0046654E"/>
    <w:rsid w:val="00470443"/>
    <w:rsid w:val="00486699"/>
    <w:rsid w:val="0049138C"/>
    <w:rsid w:val="004A62C9"/>
    <w:rsid w:val="004C2ED2"/>
    <w:rsid w:val="004C63C9"/>
    <w:rsid w:val="004D2EF8"/>
    <w:rsid w:val="004D30AB"/>
    <w:rsid w:val="004D6F26"/>
    <w:rsid w:val="004E2BD2"/>
    <w:rsid w:val="004E3085"/>
    <w:rsid w:val="004F1C55"/>
    <w:rsid w:val="005012F8"/>
    <w:rsid w:val="00505B9A"/>
    <w:rsid w:val="005248DE"/>
    <w:rsid w:val="00571B43"/>
    <w:rsid w:val="00574B67"/>
    <w:rsid w:val="00577485"/>
    <w:rsid w:val="00583E4D"/>
    <w:rsid w:val="005903F1"/>
    <w:rsid w:val="005C3F1C"/>
    <w:rsid w:val="005C5001"/>
    <w:rsid w:val="005C6085"/>
    <w:rsid w:val="005C692F"/>
    <w:rsid w:val="005C7970"/>
    <w:rsid w:val="005D2260"/>
    <w:rsid w:val="005F037D"/>
    <w:rsid w:val="006109B3"/>
    <w:rsid w:val="006117C2"/>
    <w:rsid w:val="00620448"/>
    <w:rsid w:val="00631D36"/>
    <w:rsid w:val="00644B4F"/>
    <w:rsid w:val="00673726"/>
    <w:rsid w:val="006759B1"/>
    <w:rsid w:val="00676021"/>
    <w:rsid w:val="006800DE"/>
    <w:rsid w:val="00691E01"/>
    <w:rsid w:val="00692ABD"/>
    <w:rsid w:val="00694C35"/>
    <w:rsid w:val="0069511B"/>
    <w:rsid w:val="006B15D2"/>
    <w:rsid w:val="006B537D"/>
    <w:rsid w:val="006C1727"/>
    <w:rsid w:val="006D17D4"/>
    <w:rsid w:val="006D5C1A"/>
    <w:rsid w:val="006D6247"/>
    <w:rsid w:val="006E17D5"/>
    <w:rsid w:val="006E20F1"/>
    <w:rsid w:val="006E4B43"/>
    <w:rsid w:val="00713E9A"/>
    <w:rsid w:val="00716C51"/>
    <w:rsid w:val="00720417"/>
    <w:rsid w:val="00723E45"/>
    <w:rsid w:val="00724DC5"/>
    <w:rsid w:val="007305E4"/>
    <w:rsid w:val="00733D82"/>
    <w:rsid w:val="00743FB8"/>
    <w:rsid w:val="00750F0B"/>
    <w:rsid w:val="007516B2"/>
    <w:rsid w:val="007633A5"/>
    <w:rsid w:val="0077455D"/>
    <w:rsid w:val="00780848"/>
    <w:rsid w:val="007828A2"/>
    <w:rsid w:val="00782BC3"/>
    <w:rsid w:val="007A0EB1"/>
    <w:rsid w:val="007B315C"/>
    <w:rsid w:val="007B760E"/>
    <w:rsid w:val="007B7B64"/>
    <w:rsid w:val="007D70F2"/>
    <w:rsid w:val="007F0B70"/>
    <w:rsid w:val="007F6F7D"/>
    <w:rsid w:val="00804E04"/>
    <w:rsid w:val="008222DF"/>
    <w:rsid w:val="00827049"/>
    <w:rsid w:val="00830647"/>
    <w:rsid w:val="00833383"/>
    <w:rsid w:val="008470F8"/>
    <w:rsid w:val="00852897"/>
    <w:rsid w:val="0085661D"/>
    <w:rsid w:val="00856FBD"/>
    <w:rsid w:val="008640BD"/>
    <w:rsid w:val="0086629A"/>
    <w:rsid w:val="008731F3"/>
    <w:rsid w:val="00873A99"/>
    <w:rsid w:val="008809AF"/>
    <w:rsid w:val="00880C45"/>
    <w:rsid w:val="008857B5"/>
    <w:rsid w:val="008908EB"/>
    <w:rsid w:val="00890DAA"/>
    <w:rsid w:val="00895F66"/>
    <w:rsid w:val="008A0FBF"/>
    <w:rsid w:val="008A1221"/>
    <w:rsid w:val="008A26FA"/>
    <w:rsid w:val="008A567A"/>
    <w:rsid w:val="008B0576"/>
    <w:rsid w:val="008C3609"/>
    <w:rsid w:val="008D544A"/>
    <w:rsid w:val="008F005A"/>
    <w:rsid w:val="008F3769"/>
    <w:rsid w:val="008F3F30"/>
    <w:rsid w:val="008F71B8"/>
    <w:rsid w:val="00910994"/>
    <w:rsid w:val="0091332C"/>
    <w:rsid w:val="00920742"/>
    <w:rsid w:val="00936FCC"/>
    <w:rsid w:val="0094454C"/>
    <w:rsid w:val="00950EA6"/>
    <w:rsid w:val="0095456F"/>
    <w:rsid w:val="009551E2"/>
    <w:rsid w:val="00956B22"/>
    <w:rsid w:val="00965D69"/>
    <w:rsid w:val="00966B35"/>
    <w:rsid w:val="00983DF9"/>
    <w:rsid w:val="009845B4"/>
    <w:rsid w:val="009845C9"/>
    <w:rsid w:val="00987E10"/>
    <w:rsid w:val="00995470"/>
    <w:rsid w:val="00995C73"/>
    <w:rsid w:val="009A6D21"/>
    <w:rsid w:val="009B2F76"/>
    <w:rsid w:val="009B4589"/>
    <w:rsid w:val="009B4BE8"/>
    <w:rsid w:val="009D0AEC"/>
    <w:rsid w:val="009D708A"/>
    <w:rsid w:val="009E4363"/>
    <w:rsid w:val="009F0B24"/>
    <w:rsid w:val="009F5BDC"/>
    <w:rsid w:val="009F5CF3"/>
    <w:rsid w:val="00A0048A"/>
    <w:rsid w:val="00A10305"/>
    <w:rsid w:val="00A14CB3"/>
    <w:rsid w:val="00A23D22"/>
    <w:rsid w:val="00A3489D"/>
    <w:rsid w:val="00A3702A"/>
    <w:rsid w:val="00A37EA2"/>
    <w:rsid w:val="00A42DB8"/>
    <w:rsid w:val="00A505AB"/>
    <w:rsid w:val="00A64705"/>
    <w:rsid w:val="00A65CC0"/>
    <w:rsid w:val="00A661FE"/>
    <w:rsid w:val="00A66A15"/>
    <w:rsid w:val="00A71376"/>
    <w:rsid w:val="00A81C53"/>
    <w:rsid w:val="00A92211"/>
    <w:rsid w:val="00AA0672"/>
    <w:rsid w:val="00AB17F1"/>
    <w:rsid w:val="00AB6126"/>
    <w:rsid w:val="00AC0281"/>
    <w:rsid w:val="00AC3E5C"/>
    <w:rsid w:val="00AC419A"/>
    <w:rsid w:val="00AC4946"/>
    <w:rsid w:val="00AC596C"/>
    <w:rsid w:val="00AD1A98"/>
    <w:rsid w:val="00AD3FEB"/>
    <w:rsid w:val="00B01FE6"/>
    <w:rsid w:val="00B0252F"/>
    <w:rsid w:val="00B02D4A"/>
    <w:rsid w:val="00B043A5"/>
    <w:rsid w:val="00B13827"/>
    <w:rsid w:val="00B16806"/>
    <w:rsid w:val="00B2061C"/>
    <w:rsid w:val="00B2428F"/>
    <w:rsid w:val="00B33D8B"/>
    <w:rsid w:val="00B41932"/>
    <w:rsid w:val="00B44EA1"/>
    <w:rsid w:val="00B52732"/>
    <w:rsid w:val="00B53C3B"/>
    <w:rsid w:val="00B655A9"/>
    <w:rsid w:val="00B709AC"/>
    <w:rsid w:val="00B762B2"/>
    <w:rsid w:val="00B83420"/>
    <w:rsid w:val="00B912C2"/>
    <w:rsid w:val="00B92965"/>
    <w:rsid w:val="00B96C3C"/>
    <w:rsid w:val="00BA3D2F"/>
    <w:rsid w:val="00BA41D5"/>
    <w:rsid w:val="00BB2AFA"/>
    <w:rsid w:val="00BB3904"/>
    <w:rsid w:val="00BB3C69"/>
    <w:rsid w:val="00BC239E"/>
    <w:rsid w:val="00BC2CB5"/>
    <w:rsid w:val="00BC4F58"/>
    <w:rsid w:val="00BD4CEA"/>
    <w:rsid w:val="00BE24E5"/>
    <w:rsid w:val="00BF0FFF"/>
    <w:rsid w:val="00BF366F"/>
    <w:rsid w:val="00BF49CE"/>
    <w:rsid w:val="00BF5276"/>
    <w:rsid w:val="00C13CBA"/>
    <w:rsid w:val="00C145E5"/>
    <w:rsid w:val="00C342D3"/>
    <w:rsid w:val="00C43E89"/>
    <w:rsid w:val="00C5138C"/>
    <w:rsid w:val="00C5190D"/>
    <w:rsid w:val="00C71D86"/>
    <w:rsid w:val="00C721D6"/>
    <w:rsid w:val="00C726B6"/>
    <w:rsid w:val="00C7281F"/>
    <w:rsid w:val="00C7514E"/>
    <w:rsid w:val="00C85DF9"/>
    <w:rsid w:val="00C90D3E"/>
    <w:rsid w:val="00CB0083"/>
    <w:rsid w:val="00CB5EE2"/>
    <w:rsid w:val="00CC0C11"/>
    <w:rsid w:val="00CC0F6E"/>
    <w:rsid w:val="00CC1D83"/>
    <w:rsid w:val="00CC41F3"/>
    <w:rsid w:val="00CD47F6"/>
    <w:rsid w:val="00CD7845"/>
    <w:rsid w:val="00CE5726"/>
    <w:rsid w:val="00CE5F3E"/>
    <w:rsid w:val="00CE6989"/>
    <w:rsid w:val="00CF4737"/>
    <w:rsid w:val="00D172C9"/>
    <w:rsid w:val="00D22EC6"/>
    <w:rsid w:val="00D237A7"/>
    <w:rsid w:val="00D26AED"/>
    <w:rsid w:val="00D33581"/>
    <w:rsid w:val="00D36776"/>
    <w:rsid w:val="00D42795"/>
    <w:rsid w:val="00D434D6"/>
    <w:rsid w:val="00D47F2A"/>
    <w:rsid w:val="00D52CAD"/>
    <w:rsid w:val="00D6040C"/>
    <w:rsid w:val="00D631C9"/>
    <w:rsid w:val="00D742BC"/>
    <w:rsid w:val="00D74B32"/>
    <w:rsid w:val="00D767E5"/>
    <w:rsid w:val="00D95404"/>
    <w:rsid w:val="00D96B2C"/>
    <w:rsid w:val="00DA3D90"/>
    <w:rsid w:val="00DA6B2E"/>
    <w:rsid w:val="00DA7BF2"/>
    <w:rsid w:val="00DB0197"/>
    <w:rsid w:val="00DB280B"/>
    <w:rsid w:val="00DB464D"/>
    <w:rsid w:val="00DC02F3"/>
    <w:rsid w:val="00DD125E"/>
    <w:rsid w:val="00DF20D4"/>
    <w:rsid w:val="00DF3C9F"/>
    <w:rsid w:val="00E01B6E"/>
    <w:rsid w:val="00E06272"/>
    <w:rsid w:val="00E13C3B"/>
    <w:rsid w:val="00E23B1E"/>
    <w:rsid w:val="00E33E7B"/>
    <w:rsid w:val="00E355F7"/>
    <w:rsid w:val="00E50D7D"/>
    <w:rsid w:val="00E53BBF"/>
    <w:rsid w:val="00E56360"/>
    <w:rsid w:val="00E60742"/>
    <w:rsid w:val="00E61DA0"/>
    <w:rsid w:val="00E70B80"/>
    <w:rsid w:val="00E73C16"/>
    <w:rsid w:val="00E7716D"/>
    <w:rsid w:val="00E91C2A"/>
    <w:rsid w:val="00E95CA5"/>
    <w:rsid w:val="00E95DE8"/>
    <w:rsid w:val="00EA1FF5"/>
    <w:rsid w:val="00EC4201"/>
    <w:rsid w:val="00EC5521"/>
    <w:rsid w:val="00ED1BE7"/>
    <w:rsid w:val="00ED2E81"/>
    <w:rsid w:val="00ED37AB"/>
    <w:rsid w:val="00ED79FA"/>
    <w:rsid w:val="00ED7F0B"/>
    <w:rsid w:val="00EE23FB"/>
    <w:rsid w:val="00EF1CB0"/>
    <w:rsid w:val="00F118C2"/>
    <w:rsid w:val="00F12DBD"/>
    <w:rsid w:val="00F23EE6"/>
    <w:rsid w:val="00F35D4F"/>
    <w:rsid w:val="00F4022A"/>
    <w:rsid w:val="00F44A34"/>
    <w:rsid w:val="00F91B15"/>
    <w:rsid w:val="00FA0A9C"/>
    <w:rsid w:val="00FA577A"/>
    <w:rsid w:val="00FA7305"/>
    <w:rsid w:val="00FA7D4F"/>
    <w:rsid w:val="00FB40FC"/>
    <w:rsid w:val="00FB718C"/>
    <w:rsid w:val="00FC5223"/>
    <w:rsid w:val="00FE604E"/>
    <w:rsid w:val="00FF5837"/>
    <w:rsid w:val="00FF632D"/>
    <w:rsid w:val="00FF65AF"/>
    <w:rsid w:val="05234EAA"/>
    <w:rsid w:val="07F03C4C"/>
    <w:rsid w:val="2ADFF47E"/>
    <w:rsid w:val="63D8A480"/>
    <w:rsid w:val="7969340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B02C5C"/>
  <w15:chartTrackingRefBased/>
  <w15:docId w15:val="{D7EA6D67-2D64-4071-AFC2-E27A5BAF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7A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FootnoteText">
    <w:name w:val="footnote text"/>
    <w:basedOn w:val="Normal"/>
    <w:link w:val="FootnoteTextChar"/>
    <w:rsid w:val="00CC1D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C1D83"/>
  </w:style>
  <w:style w:type="character" w:styleId="FootnoteReference">
    <w:name w:val="footnote reference"/>
    <w:rsid w:val="00CC1D83"/>
    <w:rPr>
      <w:vertAlign w:val="superscript"/>
    </w:rPr>
  </w:style>
  <w:style w:type="paragraph" w:styleId="Revision">
    <w:name w:val="Revision"/>
    <w:hidden/>
    <w:uiPriority w:val="99"/>
    <w:semiHidden/>
    <w:rsid w:val="00CC1D83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66B35"/>
  </w:style>
  <w:style w:type="paragraph" w:customStyle="1" w:styleId="paragraph">
    <w:name w:val="paragraph"/>
    <w:basedOn w:val="Normal"/>
    <w:rsid w:val="00304B1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04B1F"/>
  </w:style>
  <w:style w:type="character" w:customStyle="1" w:styleId="tabchar">
    <w:name w:val="tabchar"/>
    <w:basedOn w:val="DefaultParagraphFont"/>
    <w:rsid w:val="00304B1F"/>
  </w:style>
  <w:style w:type="character" w:customStyle="1" w:styleId="eop">
    <w:name w:val="eop"/>
    <w:basedOn w:val="DefaultParagraphFont"/>
    <w:rsid w:val="00304B1F"/>
  </w:style>
  <w:style w:type="paragraph" w:styleId="ListParagraph">
    <w:name w:val="List Paragraph"/>
    <w:basedOn w:val="Normal"/>
    <w:uiPriority w:val="34"/>
    <w:qFormat/>
    <w:rsid w:val="00936FCC"/>
    <w:pPr>
      <w:ind w:left="720"/>
      <w:contextualSpacing/>
    </w:pPr>
  </w:style>
  <w:style w:type="paragraph" w:styleId="Header">
    <w:name w:val="header"/>
    <w:basedOn w:val="Normal"/>
    <w:link w:val="HeaderChar"/>
    <w:rsid w:val="005012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12F8"/>
    <w:rPr>
      <w:sz w:val="24"/>
      <w:szCs w:val="24"/>
    </w:rPr>
  </w:style>
  <w:style w:type="paragraph" w:styleId="Footer">
    <w:name w:val="footer"/>
    <w:basedOn w:val="Normal"/>
    <w:link w:val="FooterChar"/>
    <w:rsid w:val="005012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1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44311-ed64-4a72-909f-c9dc6973bde2" xsi:nil="true"/>
    <lcf76f155ced4ddcb4097134ff3c332f xmlns="5b1e431e-bcae-4e37-b115-6b2c2f3733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834C4AEC55C47AF0D6BD5B84A2501" ma:contentTypeVersion="13" ma:contentTypeDescription="Create a new document." ma:contentTypeScope="" ma:versionID="98d52baa67f9ec1d12de85b7da3c12e8">
  <xsd:schema xmlns:xsd="http://www.w3.org/2001/XMLSchema" xmlns:xs="http://www.w3.org/2001/XMLSchema" xmlns:p="http://schemas.microsoft.com/office/2006/metadata/properties" xmlns:ns2="5b1e431e-bcae-4e37-b115-6b2c2f373327" xmlns:ns3="6d5431cc-db4f-47e0-852e-251df4164bac" xmlns:ns4="b5a44311-ed64-4a72-909f-c9dc6973bde2" targetNamespace="http://schemas.microsoft.com/office/2006/metadata/properties" ma:root="true" ma:fieldsID="16a7496dcfffddf7e935f32523165e69" ns2:_="" ns3:_="" ns4:_="">
    <xsd:import namespace="5b1e431e-bcae-4e37-b115-6b2c2f373327"/>
    <xsd:import namespace="6d5431cc-db4f-47e0-852e-251df4164bac"/>
    <xsd:import namespace="b5a44311-ed64-4a72-909f-c9dc6973b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e431e-bcae-4e37-b115-6b2c2f37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ea1a638-fe8f-4e55-a8a3-ec1a1fdf4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31cc-db4f-47e0-852e-251df4164b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44311-ed64-4a72-909f-c9dc6973bde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22f3ea-528d-4a17-b009-10cd72bf568b}" ma:internalName="TaxCatchAll" ma:showField="CatchAllData" ma:web="6d5431cc-db4f-47e0-852e-251df4164b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14303-6BD0-4959-8578-3AFA8E0795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FB3F2-8B7A-46A4-8171-5E709E2CC795}">
  <ds:schemaRefs>
    <ds:schemaRef ds:uri="http://schemas.microsoft.com/office/2006/metadata/properties"/>
    <ds:schemaRef ds:uri="http://schemas.microsoft.com/office/infopath/2007/PartnerControls"/>
    <ds:schemaRef ds:uri="b5a44311-ed64-4a72-909f-c9dc6973bde2"/>
    <ds:schemaRef ds:uri="5b1e431e-bcae-4e37-b115-6b2c2f373327"/>
  </ds:schemaRefs>
</ds:datastoreItem>
</file>

<file path=customXml/itemProps3.xml><?xml version="1.0" encoding="utf-8"?>
<ds:datastoreItem xmlns:ds="http://schemas.openxmlformats.org/officeDocument/2006/customXml" ds:itemID="{DD3EB36A-484A-45FC-8ABF-E95D5DB33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E522EC-7709-45CD-9612-18E3707F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e431e-bcae-4e37-b115-6b2c2f373327"/>
    <ds:schemaRef ds:uri="6d5431cc-db4f-47e0-852e-251df4164bac"/>
    <ds:schemaRef ds:uri="b5a44311-ed64-4a72-909f-c9dc6973b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948</Words>
  <Characters>5284</Characters>
  <Application>Microsoft Office Word</Application>
  <DocSecurity>0</DocSecurity>
  <Lines>170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Part B: Submission of Information for the Hospital Outpatient Quality Reporting (OQR) Program</vt:lpstr>
    </vt:vector>
  </TitlesOfParts>
  <Company>CMS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Part B: Submission of Information for the Hospital Outpatient Quality Reporting (OQR) Program</dc:title>
  <dc:subject>Supporting Statement - Part B: Submission of Information for the Hospital Outpatient Quality Reporting (OQR) Program</dc:subject>
  <dc:creator>CMS</dc:creator>
  <cp:lastModifiedBy>Harold Hicks</cp:lastModifiedBy>
  <cp:revision>17</cp:revision>
  <dcterms:created xsi:type="dcterms:W3CDTF">2025-01-10T18:38:00Z</dcterms:created>
  <dcterms:modified xsi:type="dcterms:W3CDTF">2025-08-08T00:05:00Z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0x010100258834C4AEC55C47AF0D6BD5B84A2501</vt:lpwstr>
  </property>
  <property fmtid="{D5CDD505-2E9C-101B-9397-08002B2CF9AE}" pid="3" name="GrammarlyDocumentId">
    <vt:lpwstr>83d7a76c0766173d8f8b5bb2b213675c62e31e1b5e56e61e906b412b06012dc5</vt:lpwstr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