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2011D9" w:rsidRPr="002011D9" w:rsidP="002011D9" w14:paraId="5F482E7D" w14:textId="77777777">
      <w:pPr>
        <w:pStyle w:val="Heading2"/>
      </w:pPr>
      <w:bookmarkStart w:id="1" w:name="_Toc29312645"/>
      <w:bookmarkStart w:id="2" w:name="_Toc94175921"/>
      <w:r w:rsidRPr="002011D9">
        <w:t>National Outbreak Reporting System</w:t>
      </w:r>
      <w:bookmarkEnd w:id="1"/>
      <w:bookmarkEnd w:id="2"/>
    </w:p>
    <w:bookmarkEnd w:id="0"/>
    <w:p w:rsidR="004A13E8" w:rsidP="004A13E8" w14:paraId="55FE1773" w14:textId="77777777">
      <w:pPr>
        <w:spacing w:after="0" w:line="240" w:lineRule="auto"/>
        <w:jc w:val="center"/>
        <w:rPr>
          <w:b/>
        </w:rPr>
      </w:pPr>
    </w:p>
    <w:p w:rsidR="00CC5BB4" w:rsidP="00CC5BB4" w14:paraId="0A71CAC2" w14:textId="7861F4A9">
      <w:pPr>
        <w:pStyle w:val="Header"/>
        <w:tabs>
          <w:tab w:val="clear" w:pos="4680"/>
        </w:tabs>
        <w:jc w:val="center"/>
        <w:rPr>
          <w:rFonts w:eastAsia="Calibri" w:cs="Times New Roman"/>
          <w:b/>
          <w:szCs w:val="24"/>
        </w:rPr>
      </w:pPr>
      <w:bookmarkStart w:id="3" w:name="_Toc473880016"/>
      <w:r w:rsidRPr="004A13E8">
        <w:t xml:space="preserve">Request for OMB </w:t>
      </w:r>
      <w:r w:rsidRPr="002011D9">
        <w:t>approval of a</w:t>
      </w:r>
      <w:r w:rsidRPr="002011D9" w:rsidR="001F4427">
        <w:t xml:space="preserve"> Revision</w:t>
      </w:r>
      <w:r w:rsidR="001F4427">
        <w:t xml:space="preserve"> for </w:t>
      </w:r>
      <w:r w:rsidR="00DC74EE">
        <w:t xml:space="preserve">Information </w:t>
      </w:r>
      <w:r w:rsidR="001F4427">
        <w:t>Collection</w:t>
      </w:r>
    </w:p>
    <w:p w:rsidR="00CC5BB4" w:rsidP="00CC5BB4" w14:paraId="60F873C2" w14:textId="77777777">
      <w:pPr>
        <w:pStyle w:val="Header"/>
        <w:tabs>
          <w:tab w:val="clear" w:pos="4680"/>
        </w:tabs>
        <w:jc w:val="center"/>
        <w:rPr>
          <w:rFonts w:eastAsia="Calibri" w:cs="Times New Roman"/>
          <w:b/>
          <w:szCs w:val="24"/>
        </w:rPr>
      </w:pPr>
      <w:r>
        <w:rPr>
          <w:rFonts w:eastAsia="Calibri" w:cs="Times New Roman"/>
          <w:b/>
          <w:szCs w:val="24"/>
        </w:rPr>
        <w:t>OMB No. 0920-1304</w:t>
      </w:r>
    </w:p>
    <w:p w:rsidR="00CC5BB4" w:rsidP="00CC5BB4" w14:paraId="367DD6C2" w14:textId="570EFED5">
      <w:pPr>
        <w:pStyle w:val="Header"/>
        <w:tabs>
          <w:tab w:val="clear" w:pos="4680"/>
        </w:tabs>
        <w:jc w:val="center"/>
        <w:rPr>
          <w:rFonts w:eastAsia="Calibri" w:cs="Times New Roman"/>
          <w:b/>
          <w:szCs w:val="24"/>
        </w:rPr>
      </w:pPr>
      <w:r>
        <w:rPr>
          <w:rFonts w:eastAsia="Calibri" w:cs="Times New Roman"/>
          <w:b/>
          <w:szCs w:val="24"/>
        </w:rPr>
        <w:t>(Exp. 08/31/2025)</w:t>
      </w:r>
    </w:p>
    <w:bookmarkEnd w:id="3"/>
    <w:p w:rsidR="004A13E8" w:rsidP="00CC5BB4" w14:paraId="55FE1775" w14:textId="77777777">
      <w:pPr>
        <w:pStyle w:val="Heading3"/>
        <w:rPr>
          <w:b/>
        </w:rPr>
      </w:pPr>
    </w:p>
    <w:p w:rsidR="004A13E8" w:rsidRPr="004A13E8" w:rsidP="004A13E8" w14:paraId="55FE1776" w14:textId="5DAFF819">
      <w:pPr>
        <w:pStyle w:val="Heading4"/>
      </w:pPr>
      <w:r w:rsidRPr="009765E7">
        <w:t>Date of Submission</w:t>
      </w:r>
    </w:p>
    <w:p w:rsidR="009765E7" w:rsidP="004A13E8" w14:paraId="35ADD9EF" w14:textId="77777777">
      <w:pPr>
        <w:spacing w:after="0" w:line="240" w:lineRule="auto"/>
        <w:jc w:val="center"/>
        <w:rPr>
          <w:b/>
        </w:rPr>
      </w:pPr>
    </w:p>
    <w:p w:rsidR="004A13E8" w:rsidP="004A13E8" w14:paraId="55FE1777" w14:textId="4827B093">
      <w:pPr>
        <w:spacing w:after="0" w:line="240" w:lineRule="auto"/>
        <w:jc w:val="center"/>
        <w:rPr>
          <w:b/>
        </w:rPr>
      </w:pPr>
      <w:r>
        <w:rPr>
          <w:b/>
        </w:rPr>
        <w:t>8/7/2025</w:t>
      </w:r>
    </w:p>
    <w:p w:rsidR="004A13E8" w:rsidP="009A79E1" w14:paraId="55FE1778"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9"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3857625"/>
                <wp:effectExtent l="0" t="0" r="19050" b="28575"/>
                <wp:wrapTight wrapText="bothSides">
                  <wp:wrapPolygon>
                    <wp:start x="0" y="0"/>
                    <wp:lineTo x="0" y="21653"/>
                    <wp:lineTo x="21600" y="21653"/>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3857625"/>
                        </a:xfrm>
                        <a:prstGeom prst="rect">
                          <a:avLst/>
                        </a:prstGeom>
                        <a:solidFill>
                          <a:srgbClr val="FFFFFF"/>
                        </a:solidFill>
                        <a:ln w="9525">
                          <a:solidFill>
                            <a:srgbClr val="000000"/>
                          </a:solidFill>
                          <a:miter lim="800000"/>
                          <a:headEnd/>
                          <a:tailEnd/>
                        </a:ln>
                      </wps:spPr>
                      <wps:txbx>
                        <w:txbxContent>
                          <w:p w:rsidR="004A13E8" w:rsidRPr="001A58BE" w:rsidP="004A13E8" w14:textId="53545143">
                            <w:pPr>
                              <w:pStyle w:val="Bullets"/>
                              <w:rPr>
                                <w:b/>
                              </w:rPr>
                            </w:pPr>
                            <w:r w:rsidRPr="001A58BE">
                              <w:rPr>
                                <w:b/>
                              </w:rPr>
                              <w:t>Goal of the study:</w:t>
                            </w:r>
                            <w:r w:rsidR="001A58BE">
                              <w:rPr>
                                <w:b/>
                              </w:rPr>
                              <w:t xml:space="preserve"> </w:t>
                            </w:r>
                            <w:r w:rsidRPr="00ED1E06" w:rsidR="00CC5BB4">
                              <w:t>The National Outbreak Reporting System (NORS) is a web-based platform that is used by local, state, and territorial health departments in the United States to report</w:t>
                            </w:r>
                            <w:r w:rsidR="001F4427">
                              <w:t xml:space="preserve"> to CDC</w:t>
                            </w:r>
                            <w:r w:rsidRPr="00ED1E06" w:rsidR="00CC5BB4">
                              <w:t xml:space="preserve"> all waterborne and foodborne disease outbreaks, certain fungal disease outbreaks, and enteric disease outbreaks transmitted by contact with environmental sources, infected persons or animals, or unknown modes of transmission to CDC. </w:t>
                            </w:r>
                          </w:p>
                          <w:p w:rsidR="004A13E8" w:rsidRPr="001A58BE" w:rsidP="004A13E8" w14:textId="63AAA280">
                            <w:pPr>
                              <w:pStyle w:val="Bullets"/>
                              <w:rPr>
                                <w:b/>
                              </w:rPr>
                            </w:pPr>
                            <w:r w:rsidRPr="001A58BE">
                              <w:rPr>
                                <w:b/>
                              </w:rPr>
                              <w:t>Intended use of the resulting data:</w:t>
                            </w:r>
                            <w:r w:rsidR="001A58BE">
                              <w:rPr>
                                <w:b/>
                              </w:rPr>
                              <w:t xml:space="preserve"> </w:t>
                            </w:r>
                            <w:r w:rsidRPr="00ED1E06" w:rsidR="00CC5BB4">
                              <w:t>CDC analyzes outbreak data to determine trends and develop and refine recommendations for prevention and control of foodborne, waterborne, and enteric disease outbreaks, as well as certain fungal disease outbreaks.</w:t>
                            </w:r>
                            <w:r w:rsidR="00CC5BB4">
                              <w:t xml:space="preserve"> </w:t>
                            </w:r>
                          </w:p>
                          <w:p w:rsidR="001F4427" w:rsidP="004A13E8" w14:textId="77777777">
                            <w:pPr>
                              <w:pStyle w:val="Bullets"/>
                            </w:pPr>
                            <w:r w:rsidRPr="001A58BE">
                              <w:rPr>
                                <w:b/>
                              </w:rPr>
                              <w:t xml:space="preserve">Methods to be used to </w:t>
                            </w:r>
                            <w:r w:rsidRPr="001A58BE">
                              <w:rPr>
                                <w:b/>
                              </w:rPr>
                              <w:t>collect:</w:t>
                            </w:r>
                            <w:r w:rsidR="001A58BE">
                              <w:rPr>
                                <w:b/>
                              </w:rPr>
                              <w:t xml:space="preserve"> </w:t>
                            </w:r>
                            <w:r w:rsidRPr="00ED1E06" w:rsidR="00CC5BB4">
                              <w:t>State, local, and territorial health departments in the US submit data on outbreaks to CDC through NORS on an ongoing basis, through a secure, web-based platform.</w:t>
                            </w:r>
                          </w:p>
                          <w:p w:rsidR="001F4427" w:rsidP="004A13E8" w14:textId="16268D1C">
                            <w:pPr>
                              <w:pStyle w:val="Bullets"/>
                            </w:pPr>
                            <w:r w:rsidRPr="001F4427">
                              <w:rPr>
                                <w:b/>
                              </w:rPr>
                              <w:t>The subpopulation to be studied:</w:t>
                            </w:r>
                            <w:r w:rsidRPr="001F4427" w:rsidR="001A58BE">
                              <w:rPr>
                                <w:b/>
                              </w:rPr>
                              <w:t xml:space="preserve"> </w:t>
                            </w:r>
                            <w:r w:rsidRPr="00ED1E06" w:rsidR="00CC5BB4">
                              <w:t>All state, local, and territorial health departments in the US can submit data to CDC on waterborne and foodborne disease outbreaks, certain fungal disease outbreaks, and enteric disease outbreaks transmitted by contact with environmental sources, infected persons or animals, or unknown modes of transmission, that occur in the United States.</w:t>
                            </w:r>
                            <w:r w:rsidR="00CC5BB4">
                              <w:t xml:space="preserve"> </w:t>
                            </w:r>
                          </w:p>
                          <w:p w:rsidR="004A13E8" w:rsidP="00626D26" w14:textId="5E1E12B5">
                            <w:pPr>
                              <w:pStyle w:val="Bullets"/>
                            </w:pPr>
                            <w:r w:rsidRPr="00F15936">
                              <w:rPr>
                                <w:b/>
                              </w:rPr>
                              <w:t>How data will be analyzed:</w:t>
                            </w:r>
                            <w:r w:rsidRPr="00F15936" w:rsidR="001A58BE">
                              <w:rPr>
                                <w:b/>
                              </w:rPr>
                              <w:t xml:space="preserve"> </w:t>
                            </w:r>
                            <w:r w:rsidRPr="00ED1E06" w:rsidR="00CC5BB4">
                              <w:t xml:space="preserve">Data are cleaned and aggregated annually and included in surveillance summaries, scientific publications, as well as made publicly available on the CDC BEAM </w:t>
                            </w:r>
                            <w:bookmarkStart w:id="4" w:name="_Hlk197095573"/>
                            <w:r w:rsidRPr="00ED1E06" w:rsidR="00CC5BB4">
                              <w:t xml:space="preserve">(Bacteria, </w:t>
                            </w:r>
                            <w:r w:rsidRPr="00ED1E06" w:rsidR="00CC5BB4">
                              <w:t>Enterics</w:t>
                            </w:r>
                            <w:r w:rsidRPr="00ED1E06" w:rsidR="00CC5BB4">
                              <w:t xml:space="preserve">, Ameba, and </w:t>
                            </w:r>
                            <w:r w:rsidRPr="00ED1E06" w:rsidR="00CC5BB4">
                              <w:t>Mycotics</w:t>
                            </w:r>
                            <w:r w:rsidRPr="00ED1E06" w:rsidR="00CC5BB4">
                              <w:t xml:space="preserve">) </w:t>
                            </w:r>
                            <w:bookmarkEnd w:id="4"/>
                            <w:r w:rsidRPr="00ED1E06" w:rsidR="00CC5BB4">
                              <w:t>Dashboard.</w:t>
                            </w:r>
                            <w:r w:rsidR="00CC5BB4">
                              <w:t xml:space="preserv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303.7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53545143">
                      <w:pPr>
                        <w:pStyle w:val="Bullets"/>
                        <w:rPr>
                          <w:b/>
                        </w:rPr>
                      </w:pPr>
                      <w:r w:rsidRPr="001A58BE">
                        <w:rPr>
                          <w:b/>
                        </w:rPr>
                        <w:t>Goal of the study:</w:t>
                      </w:r>
                      <w:r w:rsidR="001A58BE">
                        <w:rPr>
                          <w:b/>
                        </w:rPr>
                        <w:t xml:space="preserve"> </w:t>
                      </w:r>
                      <w:r w:rsidRPr="00ED1E06" w:rsidR="00CC5BB4">
                        <w:t>The National Outbreak Reporting System (NORS) is a web-based platform that is used by local, state, and territorial health departments in the United States to report</w:t>
                      </w:r>
                      <w:r w:rsidR="001F4427">
                        <w:t xml:space="preserve"> to CDC</w:t>
                      </w:r>
                      <w:r w:rsidRPr="00ED1E06" w:rsidR="00CC5BB4">
                        <w:t xml:space="preserve"> all waterborne and foodborne disease outbreaks, certain fungal disease outbreaks, and enteric disease outbreaks transmitted by contact with environmental sources, infected persons or animals, or unknown modes of transmission to CDC. </w:t>
                      </w:r>
                    </w:p>
                    <w:p w:rsidR="004A13E8" w:rsidRPr="001A58BE" w:rsidP="004A13E8" w14:paraId="55FE1838" w14:textId="63AAA280">
                      <w:pPr>
                        <w:pStyle w:val="Bullets"/>
                        <w:rPr>
                          <w:b/>
                        </w:rPr>
                      </w:pPr>
                      <w:r w:rsidRPr="001A58BE">
                        <w:rPr>
                          <w:b/>
                        </w:rPr>
                        <w:t>Intended use of the resulting data:</w:t>
                      </w:r>
                      <w:r w:rsidR="001A58BE">
                        <w:rPr>
                          <w:b/>
                        </w:rPr>
                        <w:t xml:space="preserve"> </w:t>
                      </w:r>
                      <w:r w:rsidRPr="00ED1E06" w:rsidR="00CC5BB4">
                        <w:t>CDC analyzes outbreak data to determine trends and develop and refine recommendations for prevention and control of foodborne, waterborne, and enteric disease outbreaks, as well as certain fungal disease outbreaks.</w:t>
                      </w:r>
                      <w:r w:rsidR="00CC5BB4">
                        <w:t xml:space="preserve"> </w:t>
                      </w:r>
                    </w:p>
                    <w:p w:rsidR="001F4427" w:rsidP="004A13E8" w14:paraId="60001F9F" w14:textId="77777777">
                      <w:pPr>
                        <w:pStyle w:val="Bullets"/>
                      </w:pPr>
                      <w:r w:rsidRPr="001A58BE">
                        <w:rPr>
                          <w:b/>
                        </w:rPr>
                        <w:t xml:space="preserve">Methods to be used to </w:t>
                      </w:r>
                      <w:r w:rsidRPr="001A58BE">
                        <w:rPr>
                          <w:b/>
                        </w:rPr>
                        <w:t>collect:</w:t>
                      </w:r>
                      <w:r w:rsidR="001A58BE">
                        <w:rPr>
                          <w:b/>
                        </w:rPr>
                        <w:t xml:space="preserve"> </w:t>
                      </w:r>
                      <w:r w:rsidRPr="00ED1E06" w:rsidR="00CC5BB4">
                        <w:t>State, local, and territorial health departments in the US submit data on outbreaks to CDC through NORS on an ongoing basis, through a secure, web-based platform.</w:t>
                      </w:r>
                    </w:p>
                    <w:p w:rsidR="001F4427" w:rsidP="004A13E8" w14:paraId="42C08551" w14:textId="16268D1C">
                      <w:pPr>
                        <w:pStyle w:val="Bullets"/>
                      </w:pPr>
                      <w:r w:rsidRPr="001F4427">
                        <w:rPr>
                          <w:b/>
                        </w:rPr>
                        <w:t>The subpopulation to be studied:</w:t>
                      </w:r>
                      <w:r w:rsidRPr="001F4427" w:rsidR="001A58BE">
                        <w:rPr>
                          <w:b/>
                        </w:rPr>
                        <w:t xml:space="preserve"> </w:t>
                      </w:r>
                      <w:r w:rsidRPr="00ED1E06" w:rsidR="00CC5BB4">
                        <w:t>All state, local, and territorial health departments in the US can submit data to CDC on waterborne and foodborne disease outbreaks, certain fungal disease outbreaks, and enteric disease outbreaks transmitted by contact with environmental sources, infected persons or animals, or unknown modes of transmission, that occur in the United States.</w:t>
                      </w:r>
                      <w:r w:rsidR="00CC5BB4">
                        <w:t xml:space="preserve"> </w:t>
                      </w:r>
                    </w:p>
                    <w:p w:rsidR="004A13E8" w:rsidP="00626D26" w14:paraId="55FE183D" w14:textId="5E1E12B5">
                      <w:pPr>
                        <w:pStyle w:val="Bullets"/>
                      </w:pPr>
                      <w:r w:rsidRPr="00F15936">
                        <w:rPr>
                          <w:b/>
                        </w:rPr>
                        <w:t>How data will be analyzed:</w:t>
                      </w:r>
                      <w:r w:rsidRPr="00F15936" w:rsidR="001A58BE">
                        <w:rPr>
                          <w:b/>
                        </w:rPr>
                        <w:t xml:space="preserve"> </w:t>
                      </w:r>
                      <w:r w:rsidRPr="00ED1E06" w:rsidR="00CC5BB4">
                        <w:t xml:space="preserve">Data are cleaned and aggregated annually and included in surveillance summaries, scientific publications, as well as made publicly available on the CDC BEAM </w:t>
                      </w:r>
                      <w:bookmarkStart w:id="4" w:name="_Hlk197095573"/>
                      <w:r w:rsidRPr="00ED1E06" w:rsidR="00CC5BB4">
                        <w:t xml:space="preserve">(Bacteria, </w:t>
                      </w:r>
                      <w:r w:rsidRPr="00ED1E06" w:rsidR="00CC5BB4">
                        <w:t>Enterics</w:t>
                      </w:r>
                      <w:r w:rsidRPr="00ED1E06" w:rsidR="00CC5BB4">
                        <w:t xml:space="preserve">, Ameba, and </w:t>
                      </w:r>
                      <w:r w:rsidRPr="00ED1E06" w:rsidR="00CC5BB4">
                        <w:t>Mycotics</w:t>
                      </w:r>
                      <w:r w:rsidRPr="00ED1E06" w:rsidR="00CC5BB4">
                        <w:t xml:space="preserve">) </w:t>
                      </w:r>
                      <w:bookmarkEnd w:id="4"/>
                      <w:r w:rsidRPr="00ED1E06" w:rsidR="00CC5BB4">
                        <w:t>Dashboard.</w:t>
                      </w:r>
                      <w:r w:rsidR="00CC5BB4">
                        <w:t xml:space="preserve"> </w:t>
                      </w:r>
                    </w:p>
                  </w:txbxContent>
                </v:textbox>
                <w10:wrap type="tight"/>
              </v:shape>
            </w:pict>
          </mc:Fallback>
        </mc:AlternateContent>
      </w:r>
    </w:p>
    <w:p w:rsidR="004A13E8" w:rsidP="004A13E8" w14:paraId="55FE17B3" w14:textId="77777777">
      <w:pPr>
        <w:pStyle w:val="Heading1"/>
      </w:pPr>
      <w:bookmarkStart w:id="5" w:name="_Toc473880017"/>
      <w:r w:rsidRPr="004A13E8">
        <w:t>Circumstances Making the Collection of Information Necessary</w:t>
      </w:r>
      <w:bookmarkEnd w:id="5"/>
    </w:p>
    <w:p w:rsidR="00CC5BB4" w:rsidRPr="00ED1E06" w:rsidP="00CC5BB4" w14:paraId="55AAD04B" w14:textId="77777777">
      <w:r w:rsidRPr="00ED1E06">
        <w:t>The Centers for Disease Control and Prevention (CDC) reque</w:t>
      </w:r>
      <w:r w:rsidRPr="002011D9">
        <w:t>sts extension of the approval for the National Outbreak Reporting System (NORS) for an additional 3 years. Data</w:t>
      </w:r>
      <w:r w:rsidRPr="00ED1E06">
        <w:t xml:space="preserve"> collection through this surveillance system is currently approved as part of OMB Control Number </w:t>
      </w:r>
      <w:r w:rsidRPr="00ED1E06">
        <w:rPr>
          <w:bCs/>
        </w:rPr>
        <w:t>0920-1304</w:t>
      </w:r>
      <w:r w:rsidRPr="00ED1E06">
        <w:t xml:space="preserve">. </w:t>
      </w:r>
    </w:p>
    <w:p w:rsidR="00CC5BB4" w:rsidRPr="00ED1E06" w:rsidP="00CC5BB4" w14:paraId="16211A92" w14:textId="77777777">
      <w:r w:rsidRPr="00ED1E06">
        <w:t>Surveillance of the incidence and distribution of disease has been an important function of the U.S. Public Health Service since 1878. Through the years, PHS/CDC has formulated practical methods of disease control through field investigations. The CDC surveillance program is based on the premise that diseases cannot be diagnosed, prevented, or controlled until existing knowledge is expanded and new ideas developed and implemented. This surveillance program is authorized under the provisions of Section 301 of the Public Health Service Act (42 USC 241).</w:t>
      </w:r>
    </w:p>
    <w:p w:rsidR="00CC5BB4" w:rsidRPr="00ED1E06" w:rsidP="00CC5BB4" w14:paraId="5072D521" w14:textId="77777777">
      <w:r w:rsidRPr="00ED1E06">
        <w:t xml:space="preserve">Data on disease and preventable conditions are collected in accordance with jointly approved plans by CDC and the Council of State and Territorial Epidemiologists (CSTE). Changes in the surveillance program and in reporting methods are affected in the same manner. In 1968, at the beginning of this surveillance program, CSTE and CDC decided which diseases warranted surveillance. These diseases are reviewed and revised based on variations in the public’s health. Since infectious disease agents and environmental hazards often cross geographical boundaries, public health departments must be able to share data on certain diseases across jurisdictions and to coordinate program activities to prevent and control illness. </w:t>
      </w:r>
    </w:p>
    <w:p w:rsidR="00CC5BB4" w:rsidRPr="00ED1E06" w:rsidP="00CC5BB4" w14:paraId="74CA492C" w14:textId="3E28E418">
      <w:r>
        <w:t>Through NORS, CDC</w:t>
      </w:r>
      <w:r w:rsidRPr="00ED1E06">
        <w:t xml:space="preserve"> </w:t>
      </w:r>
      <w:r w:rsidRPr="00ED1E06">
        <w:t xml:space="preserve">collects data on all waterborne and foodborne disease outbreaks, certain fungal disease outbreaks, </w:t>
      </w:r>
      <w:bookmarkStart w:id="6" w:name="_Hlk197093403"/>
      <w:r w:rsidRPr="00ED1E06">
        <w:t>and enteric disease outbreaks transmitted by contact with environmental sources, infected persons or animals, or unknown modes of transmission</w:t>
      </w:r>
      <w:bookmarkEnd w:id="6"/>
      <w:r w:rsidRPr="00ED1E06">
        <w:t>.</w:t>
      </w:r>
      <w:r w:rsidR="00EC1C28">
        <w:t xml:space="preserve"> Outbreaks are defined, generally, as two or more people whose illnesses have been linked to a common exposure.</w:t>
      </w:r>
      <w:r w:rsidRPr="00ED1E06">
        <w:t xml:space="preserve"> </w:t>
      </w:r>
      <w:bookmarkStart w:id="7" w:name="_Hlk197093093"/>
      <w:r w:rsidRPr="00ED1E06">
        <w:t>State, local, and territorial health departments investigate these outbreaks within their jurisdictions in accordance with respective jurisdictional guidelines. NORS reporting forms are then completed based on information collected through the state or local health department investigation</w:t>
      </w:r>
      <w:bookmarkEnd w:id="7"/>
      <w:r w:rsidRPr="00ED1E06">
        <w:t xml:space="preserve">; that is, NORS is a secondary data collection platform. Between August 9, 2022 (date of prior approval) and April 30, 2025, over 11,300 outbreaks have been reported to CDC through NORS. Though reporting to NORS is voluntary, NORS serves as the platform by which state, local, and territorial health departments submit data on foodborne and waterborne disease outbreaks, which are nationally notifiable. By analyzing data reported through NORS, CDC can better characterize such outbreaks and develop recommendations for prevention and control. </w:t>
      </w:r>
    </w:p>
    <w:p w:rsidR="004A13E8" w:rsidP="004A13E8" w14:paraId="55FE17B7" w14:textId="77777777">
      <w:pPr>
        <w:pStyle w:val="Heading1"/>
      </w:pPr>
      <w:bookmarkStart w:id="8" w:name="_Toc473880018"/>
      <w:r>
        <w:t>Purpose and Use of Information Collection</w:t>
      </w:r>
      <w:bookmarkEnd w:id="8"/>
    </w:p>
    <w:p w:rsidR="00CC5BB4" w:rsidRPr="00850CF4" w:rsidP="00CC5BB4" w14:paraId="60550191" w14:textId="6215C4C7">
      <w:pPr>
        <w:widowControl w:val="0"/>
        <w:rPr>
          <w:szCs w:val="24"/>
        </w:rPr>
      </w:pPr>
      <w:bookmarkStart w:id="9" w:name="_Hlk28349644"/>
      <w:r w:rsidRPr="00850CF4">
        <w:rPr>
          <w:szCs w:val="24"/>
        </w:rPr>
        <w:t>State</w:t>
      </w:r>
      <w:r>
        <w:rPr>
          <w:szCs w:val="24"/>
        </w:rPr>
        <w:t>, local, and t</w:t>
      </w:r>
      <w:r w:rsidRPr="00850CF4">
        <w:rPr>
          <w:szCs w:val="24"/>
        </w:rPr>
        <w:t xml:space="preserve">erritorial </w:t>
      </w:r>
      <w:r>
        <w:rPr>
          <w:szCs w:val="24"/>
        </w:rPr>
        <w:t>e</w:t>
      </w:r>
      <w:r w:rsidRPr="00850CF4">
        <w:rPr>
          <w:szCs w:val="24"/>
        </w:rPr>
        <w:t>pidemiologists are responsible for the collection, interpretation</w:t>
      </w:r>
      <w:r>
        <w:rPr>
          <w:szCs w:val="24"/>
        </w:rPr>
        <w:t>,</w:t>
      </w:r>
      <w:r w:rsidRPr="00850CF4">
        <w:rPr>
          <w:szCs w:val="24"/>
        </w:rPr>
        <w:t xml:space="preserve"> and transmission of </w:t>
      </w:r>
      <w:r>
        <w:rPr>
          <w:szCs w:val="24"/>
        </w:rPr>
        <w:t>e</w:t>
      </w:r>
      <w:r w:rsidRPr="00850CF4">
        <w:rPr>
          <w:szCs w:val="24"/>
        </w:rPr>
        <w:t>pidemiologic information at the sta</w:t>
      </w:r>
      <w:r>
        <w:rPr>
          <w:szCs w:val="24"/>
        </w:rPr>
        <w:t>te level. Health departments</w:t>
      </w:r>
      <w:r w:rsidRPr="00850CF4">
        <w:rPr>
          <w:szCs w:val="24"/>
        </w:rPr>
        <w:t xml:space="preserve"> </w:t>
      </w:r>
      <w:r>
        <w:rPr>
          <w:szCs w:val="24"/>
        </w:rPr>
        <w:t xml:space="preserve">submit data collected through routine outbreak investigations </w:t>
      </w:r>
      <w:r w:rsidRPr="00850CF4">
        <w:rPr>
          <w:szCs w:val="24"/>
        </w:rPr>
        <w:t>to CDC</w:t>
      </w:r>
      <w:r>
        <w:rPr>
          <w:szCs w:val="24"/>
        </w:rPr>
        <w:t>, and CDC tabulates, analyzes the data</w:t>
      </w:r>
      <w:r w:rsidRPr="00850CF4">
        <w:rPr>
          <w:szCs w:val="24"/>
        </w:rPr>
        <w:t xml:space="preserve"> for t</w:t>
      </w:r>
      <w:r>
        <w:rPr>
          <w:szCs w:val="24"/>
        </w:rPr>
        <w:t>rends, publishes, and distributes the data</w:t>
      </w:r>
      <w:r w:rsidRPr="00850CF4">
        <w:rPr>
          <w:szCs w:val="24"/>
        </w:rPr>
        <w:t xml:space="preserve"> </w:t>
      </w:r>
      <w:r>
        <w:rPr>
          <w:szCs w:val="24"/>
        </w:rPr>
        <w:t>both publicly and through analyses within the scientific community</w:t>
      </w:r>
      <w:r w:rsidRPr="00850CF4">
        <w:rPr>
          <w:szCs w:val="24"/>
        </w:rPr>
        <w:t xml:space="preserve">. By coordinating nationwide collection of epidemiological data, CDC can </w:t>
      </w:r>
      <w:r>
        <w:rPr>
          <w:szCs w:val="24"/>
        </w:rPr>
        <w:t xml:space="preserve">determine both national and state-specific estimates and </w:t>
      </w:r>
      <w:r w:rsidRPr="00850CF4">
        <w:rPr>
          <w:szCs w:val="24"/>
        </w:rPr>
        <w:t xml:space="preserve">comparisons of </w:t>
      </w:r>
      <w:r>
        <w:rPr>
          <w:szCs w:val="24"/>
        </w:rPr>
        <w:t>foodborne, waterborne, enteric disease, and certain fungal outbreaks.</w:t>
      </w:r>
    </w:p>
    <w:p w:rsidR="00CC5BB4" w:rsidRPr="0059127C" w:rsidP="00CC5BB4" w14:paraId="3829FB08" w14:textId="77A47707">
      <w:r>
        <w:t>Though a paper form for NORS is available as a reference tool, no p</w:t>
      </w:r>
      <w:r w:rsidRPr="007E3905">
        <w:t xml:space="preserve">aper forms </w:t>
      </w:r>
      <w:r>
        <w:t>are</w:t>
      </w:r>
      <w:r w:rsidRPr="007E3905">
        <w:t xml:space="preserve"> collected by CDC</w:t>
      </w:r>
      <w:r>
        <w:t xml:space="preserve">; all data must be submitted electronically to CDC via the cloud-based platform. </w:t>
      </w:r>
      <w:r>
        <w:rPr>
          <w:szCs w:val="24"/>
        </w:rPr>
        <w:t xml:space="preserve">Attachment </w:t>
      </w:r>
      <w:r w:rsidRPr="00410ABA">
        <w:rPr>
          <w:szCs w:val="24"/>
        </w:rPr>
        <w:t>3</w:t>
      </w:r>
      <w:r>
        <w:rPr>
          <w:szCs w:val="24"/>
        </w:rPr>
        <w:t xml:space="preserve"> is the data dictionary for the NORS platform and details all possible data elements. Attachment 4 is the reference tool for NORS. The reference tool is used to assist users with data collection for NORS and outlines the data elements collected for investigations of all foodborne and waterborne disease outbreaks,</w:t>
      </w:r>
      <w:r>
        <w:rPr>
          <w:szCs w:val="24"/>
        </w:rPr>
        <w:t xml:space="preserve"> certain fungal disease outbreaks,</w:t>
      </w:r>
      <w:r>
        <w:rPr>
          <w:szCs w:val="24"/>
        </w:rPr>
        <w:t xml:space="preserve"> as well as enteric disease outbreaks caused p</w:t>
      </w:r>
      <w:r w:rsidRPr="00693E6B">
        <w:rPr>
          <w:szCs w:val="24"/>
        </w:rPr>
        <w:t>erson-to-</w:t>
      </w:r>
      <w:r>
        <w:rPr>
          <w:szCs w:val="24"/>
        </w:rPr>
        <w:t>p</w:t>
      </w:r>
      <w:r w:rsidRPr="00693E6B">
        <w:rPr>
          <w:szCs w:val="24"/>
        </w:rPr>
        <w:t xml:space="preserve">erson </w:t>
      </w:r>
      <w:r>
        <w:rPr>
          <w:szCs w:val="24"/>
        </w:rPr>
        <w:t>transmission, a</w:t>
      </w:r>
      <w:r w:rsidRPr="00693E6B">
        <w:rPr>
          <w:szCs w:val="24"/>
        </w:rPr>
        <w:t>nimal</w:t>
      </w:r>
      <w:r>
        <w:rPr>
          <w:szCs w:val="24"/>
        </w:rPr>
        <w:t xml:space="preserve"> c</w:t>
      </w:r>
      <w:r w:rsidRPr="00693E6B">
        <w:rPr>
          <w:szCs w:val="24"/>
        </w:rPr>
        <w:t xml:space="preserve">ontact, </w:t>
      </w:r>
      <w:r>
        <w:rPr>
          <w:szCs w:val="24"/>
        </w:rPr>
        <w:t>e</w:t>
      </w:r>
      <w:r w:rsidRPr="00693E6B">
        <w:rPr>
          <w:szCs w:val="24"/>
        </w:rPr>
        <w:t xml:space="preserve">nvironmental </w:t>
      </w:r>
      <w:r>
        <w:rPr>
          <w:szCs w:val="24"/>
        </w:rPr>
        <w:t>c</w:t>
      </w:r>
      <w:r w:rsidRPr="00693E6B">
        <w:rPr>
          <w:szCs w:val="24"/>
        </w:rPr>
        <w:t xml:space="preserve">ontamination, </w:t>
      </w:r>
      <w:r>
        <w:rPr>
          <w:szCs w:val="24"/>
        </w:rPr>
        <w:t>and those that were spread by an u</w:t>
      </w:r>
      <w:r w:rsidRPr="00693E6B">
        <w:rPr>
          <w:szCs w:val="24"/>
        </w:rPr>
        <w:t xml:space="preserve">nknown </w:t>
      </w:r>
      <w:r>
        <w:rPr>
          <w:szCs w:val="24"/>
        </w:rPr>
        <w:t>mode of t</w:t>
      </w:r>
      <w:r w:rsidRPr="00693E6B">
        <w:rPr>
          <w:szCs w:val="24"/>
        </w:rPr>
        <w:t>ransmission</w:t>
      </w:r>
      <w:r>
        <w:rPr>
          <w:szCs w:val="24"/>
        </w:rPr>
        <w:t xml:space="preserve">. </w:t>
      </w:r>
    </w:p>
    <w:p w:rsidR="00CC5BB4" w:rsidP="00CC5BB4" w14:paraId="3D903633" w14:textId="25294D3D">
      <w:pPr>
        <w:rPr>
          <w:szCs w:val="24"/>
        </w:rPr>
      </w:pPr>
      <w:r>
        <w:rPr>
          <w:szCs w:val="24"/>
        </w:rPr>
        <w:t>Data collected through NORS</w:t>
      </w:r>
      <w:r w:rsidRPr="00413481">
        <w:rPr>
          <w:szCs w:val="24"/>
        </w:rPr>
        <w:t xml:space="preserve"> are essential for measuring trends in </w:t>
      </w:r>
      <w:r>
        <w:rPr>
          <w:szCs w:val="24"/>
        </w:rPr>
        <w:t>foodborne, waterborne,</w:t>
      </w:r>
      <w:r w:rsidR="00191653">
        <w:rPr>
          <w:szCs w:val="24"/>
        </w:rPr>
        <w:t xml:space="preserve"> certain fungal, and</w:t>
      </w:r>
      <w:r>
        <w:rPr>
          <w:szCs w:val="24"/>
        </w:rPr>
        <w:t xml:space="preserve"> enteric</w:t>
      </w:r>
      <w:r w:rsidR="00191653">
        <w:rPr>
          <w:szCs w:val="24"/>
        </w:rPr>
        <w:t xml:space="preserve"> </w:t>
      </w:r>
      <w:r>
        <w:rPr>
          <w:szCs w:val="24"/>
        </w:rPr>
        <w:t>disease outbreaks</w:t>
      </w:r>
      <w:r w:rsidRPr="00413481">
        <w:rPr>
          <w:szCs w:val="24"/>
        </w:rPr>
        <w:t>, evaluating the effectiveness of current preventi</w:t>
      </w:r>
      <w:r w:rsidR="001F4427">
        <w:rPr>
          <w:szCs w:val="24"/>
        </w:rPr>
        <w:t>on</w:t>
      </w:r>
      <w:r w:rsidRPr="00413481">
        <w:rPr>
          <w:szCs w:val="24"/>
        </w:rPr>
        <w:t xml:space="preserve"> strategies, and determining the need to modify </w:t>
      </w:r>
      <w:r w:rsidR="001F4427">
        <w:rPr>
          <w:szCs w:val="24"/>
        </w:rPr>
        <w:t>these</w:t>
      </w:r>
      <w:r w:rsidRPr="00413481">
        <w:rPr>
          <w:szCs w:val="24"/>
        </w:rPr>
        <w:t xml:space="preserve"> measures. </w:t>
      </w:r>
      <w:r>
        <w:rPr>
          <w:szCs w:val="24"/>
        </w:rPr>
        <w:t>Data on outbreaks for which NORS reporting is applicable can be transmitted to CDC at any time. Rapid reporting is encouraged as soon as officials are notified of the outbreak, as this timely reporting is helpful for control of outbreaks, understanding of any pathogen-specific trends, and development of recommendations for prevention. NORS</w:t>
      </w:r>
      <w:r w:rsidRPr="00413481">
        <w:rPr>
          <w:szCs w:val="24"/>
        </w:rPr>
        <w:t xml:space="preserve"> data</w:t>
      </w:r>
      <w:r>
        <w:rPr>
          <w:szCs w:val="24"/>
        </w:rPr>
        <w:t xml:space="preserve"> may thus</w:t>
      </w:r>
      <w:r w:rsidRPr="00413481">
        <w:rPr>
          <w:szCs w:val="24"/>
        </w:rPr>
        <w:t xml:space="preserve"> enable </w:t>
      </w:r>
      <w:r w:rsidR="00D64D0A">
        <w:rPr>
          <w:szCs w:val="24"/>
        </w:rPr>
        <w:t>more timely</w:t>
      </w:r>
      <w:r w:rsidRPr="00413481" w:rsidR="00D64D0A">
        <w:rPr>
          <w:szCs w:val="24"/>
        </w:rPr>
        <w:t xml:space="preserve"> </w:t>
      </w:r>
      <w:r w:rsidRPr="00413481">
        <w:rPr>
          <w:szCs w:val="24"/>
        </w:rPr>
        <w:t xml:space="preserve">detection and characterization of </w:t>
      </w:r>
      <w:r>
        <w:rPr>
          <w:szCs w:val="24"/>
        </w:rPr>
        <w:t>outbreak-associated pathogens and vehicles of transmission.</w:t>
      </w:r>
    </w:p>
    <w:p w:rsidR="00CC5BB4" w:rsidRPr="00413481" w:rsidP="00CC5BB4" w14:paraId="607C29A1" w14:textId="77777777">
      <w:pPr>
        <w:rPr>
          <w:szCs w:val="24"/>
        </w:rPr>
      </w:pPr>
      <w:r>
        <w:rPr>
          <w:szCs w:val="24"/>
        </w:rPr>
        <w:t>The burden for data collected through NORS is estimated at 20 minutes per form or approximately 1,160 burden hours.</w:t>
      </w:r>
      <w:r w:rsidRPr="00413481">
        <w:rPr>
          <w:szCs w:val="24"/>
        </w:rPr>
        <w:t xml:space="preserve"> There are no costs to the respondents other than their time.</w:t>
      </w:r>
    </w:p>
    <w:p w:rsidR="004A13E8" w:rsidP="004A13E8" w14:paraId="55FE17B9" w14:textId="77777777">
      <w:pPr>
        <w:pStyle w:val="Heading1"/>
      </w:pPr>
      <w:bookmarkStart w:id="10" w:name="_Toc473880019"/>
      <w:bookmarkEnd w:id="9"/>
      <w:r>
        <w:t>Use of Improved Information Technology and Burden Reduction</w:t>
      </w:r>
      <w:bookmarkEnd w:id="10"/>
    </w:p>
    <w:p w:rsidR="005D0E06" w:rsidP="005D0E06" w14:paraId="61843643" w14:textId="73C63D85">
      <w:pPr>
        <w:widowControl w:val="0"/>
        <w:rPr>
          <w:szCs w:val="24"/>
        </w:rPr>
      </w:pPr>
      <w:bookmarkStart w:id="11" w:name="_Hlk28349828"/>
      <w:r w:rsidRPr="000F76C2">
        <w:rPr>
          <w:szCs w:val="24"/>
        </w:rPr>
        <w:t xml:space="preserve">Historically, the </w:t>
      </w:r>
      <w:r>
        <w:rPr>
          <w:szCs w:val="24"/>
        </w:rPr>
        <w:t>F</w:t>
      </w:r>
      <w:r w:rsidRPr="000F76C2">
        <w:rPr>
          <w:szCs w:val="24"/>
        </w:rPr>
        <w:t xml:space="preserve">oodborne </w:t>
      </w:r>
      <w:r>
        <w:rPr>
          <w:szCs w:val="24"/>
        </w:rPr>
        <w:t>D</w:t>
      </w:r>
      <w:r w:rsidRPr="000F76C2">
        <w:rPr>
          <w:szCs w:val="24"/>
        </w:rPr>
        <w:t xml:space="preserve">isease </w:t>
      </w:r>
      <w:r>
        <w:rPr>
          <w:szCs w:val="24"/>
        </w:rPr>
        <w:t>O</w:t>
      </w:r>
      <w:r w:rsidRPr="000F76C2">
        <w:rPr>
          <w:szCs w:val="24"/>
        </w:rPr>
        <w:t xml:space="preserve">utbreak </w:t>
      </w:r>
      <w:r>
        <w:rPr>
          <w:szCs w:val="24"/>
        </w:rPr>
        <w:t>S</w:t>
      </w:r>
      <w:r w:rsidRPr="000F76C2">
        <w:rPr>
          <w:szCs w:val="24"/>
        </w:rPr>
        <w:t xml:space="preserve">urveillance </w:t>
      </w:r>
      <w:r>
        <w:rPr>
          <w:szCs w:val="24"/>
        </w:rPr>
        <w:t>S</w:t>
      </w:r>
      <w:r w:rsidRPr="000F76C2">
        <w:rPr>
          <w:szCs w:val="24"/>
        </w:rPr>
        <w:t xml:space="preserve">ystem and the </w:t>
      </w:r>
      <w:r>
        <w:rPr>
          <w:szCs w:val="24"/>
        </w:rPr>
        <w:t>W</w:t>
      </w:r>
      <w:r w:rsidRPr="000F76C2">
        <w:rPr>
          <w:szCs w:val="24"/>
        </w:rPr>
        <w:t xml:space="preserve">aterborne </w:t>
      </w:r>
      <w:r>
        <w:rPr>
          <w:szCs w:val="24"/>
        </w:rPr>
        <w:t>D</w:t>
      </w:r>
      <w:r w:rsidRPr="000F76C2">
        <w:rPr>
          <w:szCs w:val="24"/>
        </w:rPr>
        <w:t xml:space="preserve">isease and </w:t>
      </w:r>
      <w:r>
        <w:rPr>
          <w:szCs w:val="24"/>
        </w:rPr>
        <w:t>O</w:t>
      </w:r>
      <w:r w:rsidRPr="000F76C2">
        <w:rPr>
          <w:szCs w:val="24"/>
        </w:rPr>
        <w:t xml:space="preserve">utbreak </w:t>
      </w:r>
      <w:r>
        <w:rPr>
          <w:szCs w:val="24"/>
        </w:rPr>
        <w:t>S</w:t>
      </w:r>
      <w:r w:rsidRPr="000F76C2">
        <w:rPr>
          <w:szCs w:val="24"/>
        </w:rPr>
        <w:t xml:space="preserve">urveillance </w:t>
      </w:r>
      <w:r>
        <w:rPr>
          <w:szCs w:val="24"/>
        </w:rPr>
        <w:t>S</w:t>
      </w:r>
      <w:r w:rsidRPr="000F76C2">
        <w:rPr>
          <w:szCs w:val="24"/>
        </w:rPr>
        <w:t xml:space="preserve">ystem </w:t>
      </w:r>
      <w:r w:rsidR="00D64D0A">
        <w:rPr>
          <w:szCs w:val="24"/>
        </w:rPr>
        <w:t xml:space="preserve">collected data via paper forms. Once these forms were received at CDC, data analysis and interpretation were hampered by the </w:t>
      </w:r>
      <w:r w:rsidRPr="000F76C2">
        <w:rPr>
          <w:szCs w:val="24"/>
        </w:rPr>
        <w:t>time required for data entry. In 1998, CDC introduced electronic reporting of foodborne outbreak data through the electronic Foodborne Outbreak Reporting System (</w:t>
      </w:r>
      <w:r w:rsidRPr="000F76C2">
        <w:rPr>
          <w:szCs w:val="24"/>
        </w:rPr>
        <w:t>eFORS</w:t>
      </w:r>
      <w:r w:rsidRPr="000F76C2">
        <w:rPr>
          <w:szCs w:val="24"/>
        </w:rPr>
        <w:t xml:space="preserve">). </w:t>
      </w:r>
      <w:r w:rsidRPr="000F76C2">
        <w:rPr>
          <w:szCs w:val="24"/>
        </w:rPr>
        <w:t>eFORS</w:t>
      </w:r>
      <w:r w:rsidRPr="000F76C2">
        <w:rPr>
          <w:szCs w:val="24"/>
        </w:rPr>
        <w:t xml:space="preserve"> was a web-based reporting system used by local, county, or state organizations to enter, edit, analyze, and transmit data electronically to other state or federal offices. Beginning in 1998, all </w:t>
      </w:r>
      <w:r>
        <w:rPr>
          <w:szCs w:val="24"/>
        </w:rPr>
        <w:t xml:space="preserve">foodborne outbreak </w:t>
      </w:r>
      <w:r w:rsidRPr="000F76C2">
        <w:rPr>
          <w:szCs w:val="24"/>
        </w:rPr>
        <w:t xml:space="preserve">reports were entered into </w:t>
      </w:r>
      <w:r w:rsidRPr="000F76C2">
        <w:rPr>
          <w:szCs w:val="24"/>
        </w:rPr>
        <w:t>eFORS</w:t>
      </w:r>
      <w:r w:rsidRPr="000F76C2">
        <w:rPr>
          <w:szCs w:val="24"/>
        </w:rPr>
        <w:t>. In 2009, this system was phased out in lieu of the National Outbreak Reporting System (NORS)</w:t>
      </w:r>
      <w:r>
        <w:rPr>
          <w:szCs w:val="24"/>
        </w:rPr>
        <w:t xml:space="preserve">. </w:t>
      </w:r>
      <w:r w:rsidRPr="000F76C2">
        <w:rPr>
          <w:szCs w:val="24"/>
        </w:rPr>
        <w:t>NORS</w:t>
      </w:r>
      <w:r>
        <w:rPr>
          <w:szCs w:val="24"/>
        </w:rPr>
        <w:t xml:space="preserve"> was designed to integrate the outbreak reporting systems and enhance national outbreak reporting by allowing for </w:t>
      </w:r>
      <w:r w:rsidRPr="000F76C2">
        <w:rPr>
          <w:szCs w:val="24"/>
        </w:rPr>
        <w:t xml:space="preserve">ongoing reporting of all foodborne and waterborne disease outbreaks, </w:t>
      </w:r>
      <w:r>
        <w:rPr>
          <w:szCs w:val="24"/>
        </w:rPr>
        <w:t>certain fungal disease outbreaks</w:t>
      </w:r>
      <w:r w:rsidR="001804F9">
        <w:rPr>
          <w:szCs w:val="24"/>
        </w:rPr>
        <w:t xml:space="preserve"> (starting in 2022)</w:t>
      </w:r>
      <w:r>
        <w:rPr>
          <w:szCs w:val="24"/>
        </w:rPr>
        <w:t xml:space="preserve">, and </w:t>
      </w:r>
      <w:r w:rsidRPr="000F76C2">
        <w:rPr>
          <w:szCs w:val="24"/>
        </w:rPr>
        <w:t>enteric disease outbreaks transmitted by contact with environmental sources, infected persons or animals, or unknown modes of transmission</w:t>
      </w:r>
      <w:r>
        <w:rPr>
          <w:szCs w:val="24"/>
        </w:rPr>
        <w:t>. All data are collected electronically through the NORS web-based platform.</w:t>
      </w:r>
    </w:p>
    <w:p w:rsidR="005D0E06" w:rsidRPr="00850CF4" w:rsidP="005D0E06" w14:paraId="2822894D" w14:textId="5F179761">
      <w:pPr>
        <w:widowControl w:val="0"/>
        <w:rPr>
          <w:szCs w:val="24"/>
        </w:rPr>
      </w:pPr>
      <w:r>
        <w:rPr>
          <w:szCs w:val="24"/>
        </w:rPr>
        <w:t xml:space="preserve">Currently, </w:t>
      </w:r>
      <w:r w:rsidRPr="00A74F29">
        <w:rPr>
          <w:szCs w:val="24"/>
        </w:rPr>
        <w:t>NORS</w:t>
      </w:r>
      <w:r>
        <w:rPr>
          <w:szCs w:val="24"/>
        </w:rPr>
        <w:t xml:space="preserve"> data are collected electronically, through a password-protected, web-based platform hosted by CDC </w:t>
      </w:r>
      <w:r>
        <w:t>(ITSO/AHB</w:t>
      </w:r>
      <w:r w:rsidRPr="002011D9">
        <w:t>)</w:t>
      </w:r>
      <w:r w:rsidRPr="002011D9">
        <w:rPr>
          <w:szCs w:val="24"/>
        </w:rPr>
        <w:t xml:space="preserve">. </w:t>
      </w:r>
      <w:r w:rsidRPr="002011D9">
        <w:t xml:space="preserve">Starting approximately </w:t>
      </w:r>
      <w:r w:rsidRPr="002011D9" w:rsidR="001804F9">
        <w:t xml:space="preserve">October </w:t>
      </w:r>
      <w:r w:rsidRPr="002011D9">
        <w:t xml:space="preserve">2025, NORS will become a module housed within </w:t>
      </w:r>
      <w:r w:rsidRPr="002011D9" w:rsidR="001804F9">
        <w:t xml:space="preserve">the </w:t>
      </w:r>
      <w:r w:rsidRPr="002011D9">
        <w:t xml:space="preserve">One CDC Data Platform (1CDP), </w:t>
      </w:r>
      <w:r w:rsidRPr="002011D9" w:rsidR="001804F9">
        <w:t xml:space="preserve">which is </w:t>
      </w:r>
      <w:r w:rsidRPr="002011D9">
        <w:t xml:space="preserve">a secure, cloud-based platform. </w:t>
      </w:r>
      <w:r w:rsidRPr="002011D9">
        <w:rPr>
          <w:szCs w:val="24"/>
        </w:rPr>
        <w:t>Attachment 3 is the data dictionary for the NORS platform. Attachment 4 (NORS Foodborne Disease Transmission, Waterborne Disease Transmission, Person</w:t>
      </w:r>
      <w:r w:rsidRPr="00693E6B">
        <w:rPr>
          <w:szCs w:val="24"/>
        </w:rPr>
        <w:t>-to-Person Disease Transmission, Animal</w:t>
      </w:r>
      <w:r>
        <w:rPr>
          <w:szCs w:val="24"/>
        </w:rPr>
        <w:t xml:space="preserve"> </w:t>
      </w:r>
      <w:r w:rsidRPr="00693E6B">
        <w:rPr>
          <w:szCs w:val="24"/>
        </w:rPr>
        <w:t>Contact, Environmental Contamination, Unknown Transmission Mode</w:t>
      </w:r>
      <w:r>
        <w:rPr>
          <w:szCs w:val="24"/>
        </w:rPr>
        <w:t xml:space="preserve">, Form </w:t>
      </w:r>
      <w:r w:rsidRPr="00850CF4">
        <w:rPr>
          <w:szCs w:val="24"/>
        </w:rPr>
        <w:t>52.1</w:t>
      </w:r>
      <w:r>
        <w:rPr>
          <w:szCs w:val="24"/>
        </w:rPr>
        <w:t xml:space="preserve">4) is the reference tool for NORS. State, local, and territorial health departments may use form 52.14 to assist in gathering information for submission to NORS, however no data are submitted to CDC using paper forms; all data must be submitted electronically. </w:t>
      </w:r>
      <w:r w:rsidRPr="00850CF4">
        <w:rPr>
          <w:szCs w:val="24"/>
        </w:rPr>
        <w:t xml:space="preserve">The information requested is the minimum amount required to maintain surveillance </w:t>
      </w:r>
      <w:r>
        <w:rPr>
          <w:szCs w:val="24"/>
        </w:rPr>
        <w:t xml:space="preserve">for foodborne, waterborne, and enteric disease outbreaks. </w:t>
      </w:r>
    </w:p>
    <w:p w:rsidR="004A13E8" w:rsidP="004A13E8" w14:paraId="55FE17BC" w14:textId="77777777">
      <w:pPr>
        <w:pStyle w:val="Heading1"/>
      </w:pPr>
      <w:bookmarkStart w:id="12" w:name="_Toc473880020"/>
      <w:bookmarkEnd w:id="11"/>
      <w:r>
        <w:t>Efforts to Identify Duplication and Use of Similar Information</w:t>
      </w:r>
      <w:bookmarkEnd w:id="12"/>
    </w:p>
    <w:p w:rsidR="005D0E06" w:rsidRPr="00850CF4" w:rsidP="005D0E06" w14:paraId="5B4B1B8A" w14:textId="5FA081B0">
      <w:r w:rsidRPr="0010767A">
        <w:t>The specific variables included in this information collection request are not included in any other nationwide outbreak-specific surveillance system. While similar information may be collected from limited geographic areas or collected in one-time studies, for most outbreaks, sampling would not be sufficient for state prevention and control programs. NORS collects outbreak data from all US states and territories in a uniform manner.</w:t>
      </w:r>
    </w:p>
    <w:p w:rsidR="00DC57CC" w:rsidP="004A13E8" w14:paraId="55FE17BF" w14:textId="77777777">
      <w:pPr>
        <w:pStyle w:val="Heading1"/>
      </w:pPr>
      <w:bookmarkStart w:id="13" w:name="_Toc473880021"/>
      <w:r>
        <w:t>Impact on Small Businesses or Other Small Entities</w:t>
      </w:r>
      <w:bookmarkEnd w:id="13"/>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14" w:name="_Toc473880022"/>
      <w:r>
        <w:t>Consequences of Collecting the Information Less Frequently</w:t>
      </w:r>
      <w:bookmarkEnd w:id="14"/>
    </w:p>
    <w:p w:rsidR="005D0E06" w:rsidRPr="00850CF4" w:rsidP="005D0E06" w14:paraId="6ECE11CF" w14:textId="0B8E304C">
      <w:pPr>
        <w:widowControl w:val="0"/>
        <w:rPr>
          <w:szCs w:val="24"/>
        </w:rPr>
      </w:pPr>
      <w:r>
        <w:rPr>
          <w:szCs w:val="24"/>
        </w:rPr>
        <w:t xml:space="preserve">Outbreak </w:t>
      </w:r>
      <w:r w:rsidRPr="00850CF4">
        <w:rPr>
          <w:szCs w:val="24"/>
        </w:rPr>
        <w:t xml:space="preserve">reporting varies to the extent that </w:t>
      </w:r>
      <w:r>
        <w:rPr>
          <w:szCs w:val="24"/>
        </w:rPr>
        <w:t>pathogens</w:t>
      </w:r>
      <w:r w:rsidRPr="00850CF4">
        <w:rPr>
          <w:szCs w:val="24"/>
        </w:rPr>
        <w:t xml:space="preserve"> differ in occurrence, modes of transmission, infectious agents, susceptibility and resistance, the immediate environment, and epidemiologic measures. The first step in the control of a given </w:t>
      </w:r>
      <w:r>
        <w:rPr>
          <w:szCs w:val="24"/>
        </w:rPr>
        <w:t>outbreak</w:t>
      </w:r>
      <w:r w:rsidRPr="00850CF4">
        <w:rPr>
          <w:szCs w:val="24"/>
        </w:rPr>
        <w:t xml:space="preserve"> is its rapid identification followed by notification to the local health authority</w:t>
      </w:r>
      <w:r>
        <w:rPr>
          <w:szCs w:val="24"/>
        </w:rPr>
        <w:t>.</w:t>
      </w:r>
      <w:r w:rsidRPr="00850CF4">
        <w:rPr>
          <w:szCs w:val="24"/>
        </w:rPr>
        <w:t xml:space="preserve"> Prompt notification to CDC allows for </w:t>
      </w:r>
      <w:r>
        <w:rPr>
          <w:szCs w:val="24"/>
        </w:rPr>
        <w:t xml:space="preserve">further </w:t>
      </w:r>
      <w:r w:rsidRPr="00850CF4">
        <w:rPr>
          <w:szCs w:val="24"/>
        </w:rPr>
        <w:t xml:space="preserve">identification </w:t>
      </w:r>
      <w:r>
        <w:rPr>
          <w:szCs w:val="24"/>
        </w:rPr>
        <w:t xml:space="preserve">of </w:t>
      </w:r>
      <w:r>
        <w:rPr>
          <w:szCs w:val="24"/>
        </w:rPr>
        <w:t>any</w:t>
      </w:r>
      <w:r w:rsidRPr="00850CF4">
        <w:rPr>
          <w:szCs w:val="24"/>
        </w:rPr>
        <w:t xml:space="preserve"> </w:t>
      </w:r>
      <w:r>
        <w:rPr>
          <w:szCs w:val="24"/>
        </w:rPr>
        <w:t xml:space="preserve">larger-scale </w:t>
      </w:r>
      <w:r w:rsidRPr="00850CF4">
        <w:rPr>
          <w:szCs w:val="24"/>
        </w:rPr>
        <w:t>outbreaks</w:t>
      </w:r>
      <w:r>
        <w:rPr>
          <w:szCs w:val="24"/>
        </w:rPr>
        <w:t xml:space="preserve"> as well as any potential increase in pathogen prevalence during a given </w:t>
      </w:r>
      <w:r>
        <w:rPr>
          <w:szCs w:val="24"/>
        </w:rPr>
        <w:t>time</w:t>
      </w:r>
      <w:r w:rsidRPr="00850CF4">
        <w:rPr>
          <w:szCs w:val="24"/>
        </w:rPr>
        <w:t xml:space="preserve"> </w:t>
      </w:r>
      <w:r>
        <w:rPr>
          <w:szCs w:val="24"/>
        </w:rPr>
        <w:t>period</w:t>
      </w:r>
      <w:r>
        <w:rPr>
          <w:szCs w:val="24"/>
        </w:rPr>
        <w:t xml:space="preserve">, </w:t>
      </w:r>
      <w:r w:rsidRPr="00850CF4">
        <w:rPr>
          <w:szCs w:val="24"/>
        </w:rPr>
        <w:t xml:space="preserve">so that prevention and control measures can be taken. </w:t>
      </w:r>
      <w:r>
        <w:rPr>
          <w:szCs w:val="24"/>
        </w:rPr>
        <w:t>Outbreaks caused by various pathogens are reported with varying frequency to CDC as they occur. Since NORS was established in 2009, approximately 2,000–4,500 outbreaks have been reported to CDC each year.</w:t>
      </w:r>
    </w:p>
    <w:p w:rsidR="005D0E06" w:rsidRPr="00850CF4" w:rsidP="005D0E06" w14:paraId="728E2B48" w14:textId="77777777">
      <w:pPr>
        <w:widowControl w:val="0"/>
        <w:rPr>
          <w:szCs w:val="24"/>
        </w:rPr>
      </w:pPr>
      <w:r w:rsidRPr="00850CF4">
        <w:rPr>
          <w:szCs w:val="24"/>
        </w:rPr>
        <w:t>There are no legal obstacles to reduce the burden.</w:t>
      </w:r>
    </w:p>
    <w:p w:rsidR="004A13E8" w:rsidP="004A13E8" w14:paraId="55FE17C6" w14:textId="77777777">
      <w:pPr>
        <w:pStyle w:val="Heading1"/>
      </w:pPr>
      <w:bookmarkStart w:id="15" w:name="_Toc473880023"/>
      <w:r>
        <w:t>Special Circumstances Relating to the Guidelines of 5 CFR 1320.5</w:t>
      </w:r>
      <w:bookmarkEnd w:id="15"/>
    </w:p>
    <w:p w:rsidR="005D0E06" w:rsidRPr="00850CF4" w:rsidP="005D0E06" w14:paraId="01E4434B" w14:textId="6EA768D9">
      <w:pPr>
        <w:widowControl w:val="0"/>
        <w:rPr>
          <w:szCs w:val="24"/>
        </w:rPr>
      </w:pPr>
      <w:r w:rsidRPr="00850CF4">
        <w:rPr>
          <w:szCs w:val="24"/>
        </w:rPr>
        <w:t xml:space="preserve">As described in section </w:t>
      </w:r>
      <w:r w:rsidRPr="00850CF4">
        <w:rPr>
          <w:szCs w:val="24"/>
        </w:rPr>
        <w:t>6,</w:t>
      </w:r>
      <w:r w:rsidRPr="00850CF4">
        <w:rPr>
          <w:szCs w:val="24"/>
        </w:rPr>
        <w:t xml:space="preserve"> in order to permit rapid response to </w:t>
      </w:r>
      <w:r>
        <w:rPr>
          <w:szCs w:val="24"/>
        </w:rPr>
        <w:t>outbreaks</w:t>
      </w:r>
      <w:r w:rsidRPr="00850CF4">
        <w:rPr>
          <w:szCs w:val="24"/>
        </w:rPr>
        <w:t xml:space="preserve"> and</w:t>
      </w:r>
      <w:r>
        <w:rPr>
          <w:szCs w:val="24"/>
        </w:rPr>
        <w:t xml:space="preserve"> timely</w:t>
      </w:r>
      <w:r w:rsidRPr="00850CF4">
        <w:rPr>
          <w:szCs w:val="24"/>
        </w:rPr>
        <w:t xml:space="preserve"> initiation of prevention and control measures, </w:t>
      </w:r>
      <w:r>
        <w:rPr>
          <w:szCs w:val="24"/>
        </w:rPr>
        <w:t>health departments are encouraged to report outbreak data to CDC as soon as possible after identification of the outbreak. As outbreaks may occur at any time</w:t>
      </w:r>
      <w:r w:rsidR="00E451EA">
        <w:rPr>
          <w:szCs w:val="24"/>
        </w:rPr>
        <w:t xml:space="preserve"> and investigations may take several weeks to months to finalize</w:t>
      </w:r>
      <w:r>
        <w:rPr>
          <w:szCs w:val="24"/>
        </w:rPr>
        <w:t>, reporting may occur more or less frequently than once per quarter.</w:t>
      </w:r>
      <w:r w:rsidRPr="00850CF4">
        <w:rPr>
          <w:szCs w:val="24"/>
        </w:rPr>
        <w:t xml:space="preserve"> </w:t>
      </w:r>
      <w:r>
        <w:rPr>
          <w:szCs w:val="24"/>
        </w:rPr>
        <w:t xml:space="preserve">Given this, reports may be entered into NORS and/or edited at any time </w:t>
      </w:r>
      <w:r>
        <w:rPr>
          <w:szCs w:val="24"/>
        </w:rPr>
        <w:t>in order to</w:t>
      </w:r>
      <w:r>
        <w:rPr>
          <w:szCs w:val="24"/>
        </w:rPr>
        <w:t xml:space="preserve"> allow for all available information to be reported to CDC</w:t>
      </w:r>
      <w:r w:rsidRPr="00850CF4">
        <w:rPr>
          <w:szCs w:val="24"/>
        </w:rPr>
        <w:t>. There are no other special circumstances.</w:t>
      </w:r>
      <w:r>
        <w:rPr>
          <w:szCs w:val="24"/>
        </w:rPr>
        <w:t xml:space="preserve"> </w:t>
      </w:r>
      <w:r w:rsidRPr="00850CF4">
        <w:rPr>
          <w:szCs w:val="24"/>
        </w:rPr>
        <w:t xml:space="preserve">This request fully complies with regulation 5 CFR 1320.5 with the exception to quarterly reporting. </w:t>
      </w:r>
    </w:p>
    <w:p w:rsidR="004A13E8" w:rsidP="004A13E8" w14:paraId="55FE17C8" w14:textId="77777777">
      <w:pPr>
        <w:pStyle w:val="Heading1"/>
      </w:pPr>
      <w:bookmarkStart w:id="16" w:name="_Toc473880024"/>
      <w:r>
        <w:t>Comments in Response to the Federal Register Notice and Efforts to Consult Outside the Agency</w:t>
      </w:r>
      <w:bookmarkEnd w:id="16"/>
    </w:p>
    <w:p w:rsidR="005D0E06" w:rsidRPr="009765E7" w:rsidP="005D0E06" w14:paraId="1C75C981" w14:textId="6B492BF8">
      <w:pPr>
        <w:pStyle w:val="ListParagraph"/>
        <w:numPr>
          <w:ilvl w:val="0"/>
          <w:numId w:val="4"/>
        </w:numPr>
        <w:spacing w:after="0"/>
        <w:rPr>
          <w:rFonts w:eastAsia="Calibri"/>
          <w:szCs w:val="24"/>
        </w:rPr>
      </w:pPr>
      <w:r w:rsidRPr="009765E7">
        <w:t xml:space="preserve">A 60-day Federal Register Notice was published in the Federal Register on </w:t>
      </w:r>
      <w:r w:rsidRPr="009765E7" w:rsidR="00F15936">
        <w:t>June 16, 2025</w:t>
      </w:r>
      <w:r w:rsidRPr="009765E7">
        <w:t xml:space="preserve">, vol. </w:t>
      </w:r>
      <w:r w:rsidRPr="009765E7" w:rsidR="009765E7">
        <w:t>90</w:t>
      </w:r>
      <w:r w:rsidRPr="009765E7">
        <w:t xml:space="preserve">, No. </w:t>
      </w:r>
      <w:r w:rsidRPr="009765E7" w:rsidR="009765E7">
        <w:t>114</w:t>
      </w:r>
      <w:r w:rsidRPr="009765E7">
        <w:t xml:space="preserve">, pp. </w:t>
      </w:r>
      <w:r w:rsidRPr="009765E7" w:rsidR="009765E7">
        <w:t xml:space="preserve">25284 </w:t>
      </w:r>
      <w:r w:rsidRPr="009765E7">
        <w:t xml:space="preserve">(Attachment </w:t>
      </w:r>
      <w:r w:rsidRPr="009765E7" w:rsidR="00AB2B9F">
        <w:t>2</w:t>
      </w:r>
      <w:r w:rsidRPr="009765E7">
        <w:t>). CDC</w:t>
      </w:r>
      <w:r w:rsidR="002527E5">
        <w:t xml:space="preserve"> received one non-substantive comment (Attachment </w:t>
      </w:r>
      <w:r w:rsidR="00C813BC">
        <w:t>8)</w:t>
      </w:r>
      <w:r w:rsidRPr="009765E7">
        <w:t xml:space="preserve">. </w:t>
      </w:r>
    </w:p>
    <w:p w:rsidR="005D0E06" w:rsidRPr="006C6ADB" w:rsidP="005D0E06" w14:paraId="6DC025D7" w14:textId="0EB900A4">
      <w:pPr>
        <w:pStyle w:val="ListParagraph"/>
        <w:numPr>
          <w:ilvl w:val="0"/>
          <w:numId w:val="4"/>
        </w:numPr>
        <w:spacing w:after="0"/>
        <w:rPr>
          <w:rFonts w:eastAsia="Calibri"/>
          <w:szCs w:val="24"/>
        </w:rPr>
      </w:pPr>
      <w:r>
        <w:rPr>
          <w:szCs w:val="24"/>
        </w:rPr>
        <w:t>Members of t</w:t>
      </w:r>
      <w:r w:rsidRPr="00850CF4">
        <w:rPr>
          <w:szCs w:val="24"/>
        </w:rPr>
        <w:t xml:space="preserve">he Council of State and Territorial Epidemiologists (CSTE) </w:t>
      </w:r>
      <w:r>
        <w:rPr>
          <w:szCs w:val="24"/>
        </w:rPr>
        <w:t>are</w:t>
      </w:r>
      <w:r w:rsidRPr="00850CF4">
        <w:rPr>
          <w:szCs w:val="24"/>
        </w:rPr>
        <w:t xml:space="preserve"> routinely consulted regarding the availability of data, the frequency of collection, and the revisions of any forms. 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w:t>
      </w:r>
      <w:r w:rsidRPr="00850CF4">
        <w:rPr>
          <w:szCs w:val="24"/>
        </w:rPr>
        <w:t>continue on</w:t>
      </w:r>
      <w:r w:rsidRPr="00850CF4">
        <w:rPr>
          <w:szCs w:val="24"/>
        </w:rPr>
        <w:t xml:space="preserve"> a regular basis throughout the year. </w:t>
      </w:r>
    </w:p>
    <w:p w:rsidR="00E451EA" w:rsidRPr="00850CF4" w:rsidP="006C6ADB" w14:paraId="129A04A2" w14:textId="77777777">
      <w:pPr>
        <w:pStyle w:val="ListParagraph"/>
        <w:spacing w:after="0"/>
        <w:ind w:left="810"/>
        <w:rPr>
          <w:rFonts w:eastAsia="Calibri"/>
          <w:szCs w:val="24"/>
        </w:rPr>
      </w:pPr>
    </w:p>
    <w:p w:rsidR="004A13E8" w:rsidP="004A13E8" w14:paraId="55FE17CB" w14:textId="77777777">
      <w:pPr>
        <w:pStyle w:val="Heading1"/>
      </w:pPr>
      <w:bookmarkStart w:id="17" w:name="_Toc473880025"/>
      <w:r>
        <w:t>Explanation of Any Payment or Gift to Respondents</w:t>
      </w:r>
      <w:bookmarkEnd w:id="17"/>
    </w:p>
    <w:p w:rsidR="005D0E06" w:rsidRPr="00850CF4" w:rsidP="005D0E06" w14:paraId="062830C3" w14:textId="77777777">
      <w:pPr>
        <w:widowControl w:val="0"/>
        <w:rPr>
          <w:szCs w:val="24"/>
        </w:rPr>
      </w:pPr>
      <w:r w:rsidRPr="000F76C2">
        <w:rPr>
          <w:szCs w:val="24"/>
        </w:rPr>
        <w:t>There are no payments or gifts to respondents.</w:t>
      </w:r>
    </w:p>
    <w:p w:rsidR="004A13E8" w:rsidP="004A13E8" w14:paraId="55FE17CD" w14:textId="77777777">
      <w:pPr>
        <w:pStyle w:val="Heading1"/>
      </w:pPr>
      <w:bookmarkStart w:id="18" w:name="_Toc473880026"/>
      <w:r>
        <w:t>Protection of the Privacy and Confidentiality of Information Provided by Respondents</w:t>
      </w:r>
      <w:bookmarkEnd w:id="18"/>
    </w:p>
    <w:p w:rsidR="005D0E06" w:rsidRPr="00850CF4" w:rsidP="005D0E06" w14:paraId="64171D7B" w14:textId="58D10067">
      <w:pPr>
        <w:rPr>
          <w:szCs w:val="24"/>
        </w:rPr>
      </w:pPr>
      <w:r>
        <w:rPr>
          <w:szCs w:val="24"/>
        </w:rPr>
        <w:t>A</w:t>
      </w:r>
      <w:r w:rsidR="00E06E3C">
        <w:rPr>
          <w:szCs w:val="24"/>
        </w:rPr>
        <w:t xml:space="preserve"> </w:t>
      </w:r>
      <w:r>
        <w:rPr>
          <w:szCs w:val="24"/>
        </w:rPr>
        <w:t>CDC</w:t>
      </w:r>
      <w:r w:rsidRPr="00850CF4">
        <w:rPr>
          <w:szCs w:val="24"/>
        </w:rPr>
        <w:t xml:space="preserve"> Information Systems Security Officer reviewed this submission and determined that </w:t>
      </w:r>
      <w:r w:rsidR="00E06E3C">
        <w:rPr>
          <w:szCs w:val="24"/>
        </w:rPr>
        <w:t>the Privacy Act</w:t>
      </w:r>
      <w:r w:rsidRPr="00850CF4">
        <w:rPr>
          <w:szCs w:val="24"/>
        </w:rPr>
        <w:t xml:space="preserve"> is not applicable </w:t>
      </w:r>
      <w:r w:rsidR="00E06E3C">
        <w:rPr>
          <w:szCs w:val="24"/>
        </w:rPr>
        <w:t xml:space="preserve">to it </w:t>
      </w:r>
      <w:r w:rsidRPr="00850CF4">
        <w:rPr>
          <w:szCs w:val="24"/>
        </w:rPr>
        <w:t>because the information is not retrieved by personal identifiers</w:t>
      </w:r>
      <w:r w:rsidR="002011D9">
        <w:rPr>
          <w:szCs w:val="24"/>
        </w:rPr>
        <w:t xml:space="preserve"> (Attachment 6)</w:t>
      </w:r>
      <w:r w:rsidRPr="00850CF4">
        <w:rPr>
          <w:szCs w:val="24"/>
        </w:rPr>
        <w:t xml:space="preserve">. </w:t>
      </w:r>
      <w:r w:rsidRPr="000F76C2">
        <w:rPr>
          <w:szCs w:val="24"/>
        </w:rPr>
        <w:t>PII related to outbreak surveillance is not submitted to CDC. Non-personally identifiable data relating to foodborne, person-to-person, animal contact, environmental, unknown, and waterborne outbreaks are submitted</w:t>
      </w:r>
      <w:r>
        <w:rPr>
          <w:szCs w:val="24"/>
        </w:rPr>
        <w:t xml:space="preserve"> in aggregate</w:t>
      </w:r>
      <w:r w:rsidRPr="000F76C2">
        <w:rPr>
          <w:szCs w:val="24"/>
        </w:rPr>
        <w:t xml:space="preserve"> to CDC via NORS</w:t>
      </w:r>
      <w:r>
        <w:rPr>
          <w:szCs w:val="24"/>
        </w:rPr>
        <w:t>. The NORS platform is housed in a secure system; only those users with password-protected accounts may access and/or enter NORS data.</w:t>
      </w:r>
      <w:r w:rsidR="00357E78">
        <w:rPr>
          <w:szCs w:val="24"/>
        </w:rPr>
        <w:t xml:space="preserve"> Following the move to 1CDP, users will require authentication through the Secure Access Management System </w:t>
      </w:r>
      <w:r w:rsidR="00357E78">
        <w:rPr>
          <w:szCs w:val="24"/>
        </w:rPr>
        <w:t>in order to</w:t>
      </w:r>
      <w:r w:rsidR="00357E78">
        <w:rPr>
          <w:szCs w:val="24"/>
        </w:rPr>
        <w:t xml:space="preserve"> access NORS. </w:t>
      </w:r>
    </w:p>
    <w:p w:rsidR="005D0E06" w:rsidRPr="00850CF4" w:rsidP="005D0E06" w14:paraId="65D2E00F" w14:textId="77777777">
      <w:pPr>
        <w:widowControl w:val="0"/>
        <w:rPr>
          <w:szCs w:val="24"/>
        </w:rPr>
      </w:pPr>
      <w:r w:rsidRPr="00850CF4">
        <w:rPr>
          <w:szCs w:val="24"/>
        </w:rPr>
        <w:t xml:space="preserve">Records are safeguarded appropriately. Access is limited to personnel whose official job duties require </w:t>
      </w:r>
      <w:r w:rsidRPr="00850CF4">
        <w:rPr>
          <w:szCs w:val="24"/>
        </w:rPr>
        <w:t xml:space="preserve">them to use the records.  </w:t>
      </w:r>
      <w:r>
        <w:rPr>
          <w:szCs w:val="24"/>
        </w:rPr>
        <w:t>Any paper or computer files are stored according to state and local health department privacy standards; paper files are not submitted to CDC.</w:t>
      </w:r>
    </w:p>
    <w:p w:rsidR="004A13E8" w:rsidP="004A13E8" w14:paraId="55FE17D0" w14:textId="77777777">
      <w:pPr>
        <w:pStyle w:val="Heading1"/>
      </w:pPr>
      <w:bookmarkStart w:id="19" w:name="_Toc473880027"/>
      <w:r>
        <w:t>Institutional Review Board (IRB) and Justification for Sensitive Questions</w:t>
      </w:r>
      <w:bookmarkEnd w:id="19"/>
    </w:p>
    <w:p w:rsidR="004A13E8" w:rsidP="004A13E8" w14:paraId="55FE17D1" w14:textId="77777777">
      <w:pPr>
        <w:rPr>
          <w:u w:val="single"/>
        </w:rPr>
      </w:pPr>
      <w:r>
        <w:rPr>
          <w:u w:val="single"/>
        </w:rPr>
        <w:t>Institutional Review Board (IRB)</w:t>
      </w:r>
    </w:p>
    <w:p w:rsidR="005D0E06" w:rsidRPr="00850CF4" w:rsidP="005D0E06" w14:paraId="4FB2340E" w14:textId="02A1C6D0">
      <w:pPr>
        <w:widowControl w:val="0"/>
        <w:rPr>
          <w:szCs w:val="24"/>
        </w:rPr>
      </w:pPr>
      <w:r w:rsidRPr="00850CF4">
        <w:rPr>
          <w:szCs w:val="24"/>
        </w:rPr>
        <w:t xml:space="preserve">A CDC human </w:t>
      </w:r>
      <w:r w:rsidRPr="00850CF4">
        <w:rPr>
          <w:szCs w:val="24"/>
        </w:rPr>
        <w:t>subjects</w:t>
      </w:r>
      <w:r w:rsidRPr="00850CF4">
        <w:rPr>
          <w:szCs w:val="24"/>
        </w:rPr>
        <w:t xml:space="preserve"> advisor has determined that the activities in 0920-</w:t>
      </w:r>
      <w:r w:rsidRPr="00AB2B9F">
        <w:rPr>
          <w:szCs w:val="24"/>
        </w:rPr>
        <w:t xml:space="preserve">1304 </w:t>
      </w:r>
      <w:r w:rsidRPr="00850CF4">
        <w:rPr>
          <w:szCs w:val="24"/>
        </w:rPr>
        <w:t>are considered routine</w:t>
      </w:r>
      <w:r>
        <w:rPr>
          <w:szCs w:val="24"/>
        </w:rPr>
        <w:t xml:space="preserve"> public health </w:t>
      </w:r>
      <w:r w:rsidRPr="00850CF4">
        <w:rPr>
          <w:szCs w:val="24"/>
        </w:rPr>
        <w:t>surveillance activities</w:t>
      </w:r>
      <w:r w:rsidR="001A1889">
        <w:rPr>
          <w:szCs w:val="24"/>
        </w:rPr>
        <w:t xml:space="preserve"> (Attachment 7)</w:t>
      </w:r>
      <w:r w:rsidRPr="00850CF4">
        <w:rPr>
          <w:szCs w:val="24"/>
        </w:rPr>
        <w:t>. Consistent with current CDC policy, routine surveillance activities do not meet the regulatory definition of research and are therefore outside the scope of IRB review requirements.</w:t>
      </w:r>
      <w:r>
        <w:rPr>
          <w:szCs w:val="24"/>
        </w:rPr>
        <w:t xml:space="preserve"> </w:t>
      </w:r>
    </w:p>
    <w:p w:rsidR="005D0E06" w:rsidRPr="00850CF4" w:rsidP="005D0E06" w14:paraId="0283E158" w14:textId="77777777">
      <w:pPr>
        <w:widowControl w:val="0"/>
        <w:rPr>
          <w:szCs w:val="24"/>
          <w:u w:val="single"/>
        </w:rPr>
      </w:pPr>
      <w:r w:rsidRPr="00850CF4">
        <w:rPr>
          <w:szCs w:val="24"/>
          <w:u w:val="single"/>
        </w:rPr>
        <w:t>Sensitive Questions</w:t>
      </w:r>
    </w:p>
    <w:p w:rsidR="005D0E06" w:rsidRPr="00850CF4" w:rsidP="005D0E06" w14:paraId="1868A1CC" w14:textId="77777777">
      <w:pPr>
        <w:widowControl w:val="0"/>
        <w:rPr>
          <w:szCs w:val="24"/>
        </w:rPr>
      </w:pPr>
      <w:r w:rsidRPr="00850CF4">
        <w:rPr>
          <w:szCs w:val="24"/>
        </w:rPr>
        <w:t>Epidemiologic characteristics such as age, sex, and geographic location</w:t>
      </w:r>
      <w:r>
        <w:rPr>
          <w:szCs w:val="24"/>
        </w:rPr>
        <w:t xml:space="preserve">, as well as clinical laboratory data </w:t>
      </w:r>
      <w:r w:rsidRPr="00850CF4">
        <w:rPr>
          <w:szCs w:val="24"/>
        </w:rPr>
        <w:t>are routinely collected because of their significance in resolving public health problems</w:t>
      </w:r>
      <w:r>
        <w:rPr>
          <w:szCs w:val="24"/>
        </w:rPr>
        <w:t>. All outbreak data are collected in aggregate, and o</w:t>
      </w:r>
      <w:r w:rsidRPr="00850CF4">
        <w:rPr>
          <w:szCs w:val="24"/>
        </w:rPr>
        <w:t xml:space="preserve">nly the minimum data necessary </w:t>
      </w:r>
      <w:r>
        <w:rPr>
          <w:szCs w:val="24"/>
        </w:rPr>
        <w:t>for public health surveillance are collected.</w:t>
      </w:r>
    </w:p>
    <w:p w:rsidR="004A13E8" w:rsidP="004A13E8" w14:paraId="55FE17D7" w14:textId="77777777">
      <w:pPr>
        <w:pStyle w:val="Heading1"/>
      </w:pPr>
      <w:bookmarkStart w:id="20" w:name="_Toc473880028"/>
      <w:r>
        <w:t>Estimates of Annualized Burden Hours and Costs</w:t>
      </w:r>
      <w:bookmarkEnd w:id="20"/>
    </w:p>
    <w:p w:rsidR="00C553B7" w:rsidP="009B0947" w14:paraId="093B700D" w14:textId="77777777">
      <w:r>
        <w:t xml:space="preserve">A. </w:t>
      </w:r>
      <w:r>
        <w:t>Estimated Annualized Burden Hours</w:t>
      </w:r>
    </w:p>
    <w:p w:rsidR="005D0E06" w:rsidRPr="00432BE0" w:rsidP="005D0E06" w14:paraId="057B914F" w14:textId="77777777">
      <w:pPr>
        <w:widowControl w:val="0"/>
        <w:tabs>
          <w:tab w:val="center" w:pos="4680"/>
        </w:tabs>
      </w:pPr>
      <w:r w:rsidRPr="00ED1E06">
        <w:t>State, local, and territorial epidemiologists report data to CDC through NORS. The burden estimate for the NORS form, represented below, is 1,160 burden hours, based on an average response burden of 20 minutes per form. The frequency of response for the NORS form will vary depending on the pathogen and surveillance need but was previously estimated based on completion of the form for each mode of transmission (e.g., foodborne, waterborne) at least three times. The average of each mode was weighed, based on the reporting frequency of each mode over a three-year period (2019-2021).</w:t>
      </w:r>
      <w:r w:rsidRPr="00432BE0">
        <w:t xml:space="preserve"> </w:t>
      </w:r>
    </w:p>
    <w:p w:rsidR="005D0E06" w:rsidRPr="00432BE0" w:rsidP="005D0E06" w14:paraId="70823B98" w14:textId="77777777">
      <w:pPr>
        <w:widowControl w:val="0"/>
        <w:tabs>
          <w:tab w:val="center" w:pos="4680"/>
        </w:tabs>
      </w:pPr>
    </w:p>
    <w:tbl>
      <w:tblPr>
        <w:tblStyle w:val="TableGrid"/>
        <w:tblCaption w:val="Example Table, Table A12: Estimated Annualized Burden Costs"/>
        <w:tblDescription w:val="Example Table, Table A12: Estimated Annualized Burden Costs"/>
        <w:tblW w:w="8693" w:type="dxa"/>
        <w:jc w:val="center"/>
        <w:tblLook w:val="04A0"/>
      </w:tblPr>
      <w:tblGrid>
        <w:gridCol w:w="1769"/>
        <w:gridCol w:w="1219"/>
        <w:gridCol w:w="1652"/>
        <w:gridCol w:w="1500"/>
        <w:gridCol w:w="1390"/>
        <w:gridCol w:w="1163"/>
      </w:tblGrid>
      <w:tr w14:paraId="2428B478" w14:textId="77777777" w:rsidTr="002C6735">
        <w:tblPrEx>
          <w:tblW w:w="8693" w:type="dxa"/>
          <w:jc w:val="center"/>
          <w:tblLook w:val="04A0"/>
        </w:tblPrEx>
        <w:trPr>
          <w:trHeight w:val="1134"/>
          <w:tblHeader/>
          <w:jc w:val="center"/>
        </w:trPr>
        <w:tc>
          <w:tcPr>
            <w:tcW w:w="1769" w:type="dxa"/>
          </w:tcPr>
          <w:p w:rsidR="005D0E06" w:rsidRPr="00432BE0" w:rsidP="002C6735" w14:paraId="4F352364" w14:textId="77777777">
            <w:pPr>
              <w:spacing w:line="276" w:lineRule="auto"/>
              <w:rPr>
                <w:rFonts w:ascii="Arial Nova" w:hAnsi="Arial Nova" w:cstheme="minorHAnsi"/>
                <w:sz w:val="22"/>
              </w:rPr>
            </w:pPr>
            <w:r w:rsidRPr="00432BE0">
              <w:rPr>
                <w:rFonts w:ascii="Arial Nova" w:hAnsi="Arial Nova" w:cstheme="minorHAnsi"/>
                <w:sz w:val="22"/>
              </w:rPr>
              <w:t>Type of Respondents</w:t>
            </w:r>
          </w:p>
        </w:tc>
        <w:tc>
          <w:tcPr>
            <w:tcW w:w="1219" w:type="dxa"/>
          </w:tcPr>
          <w:p w:rsidR="005D0E06" w:rsidRPr="00432BE0" w:rsidP="002C6735" w14:paraId="449B7FD4" w14:textId="77777777">
            <w:pPr>
              <w:spacing w:line="276" w:lineRule="auto"/>
              <w:rPr>
                <w:rFonts w:ascii="Arial Nova" w:hAnsi="Arial Nova" w:cstheme="minorHAnsi"/>
                <w:sz w:val="22"/>
              </w:rPr>
            </w:pPr>
            <w:r w:rsidRPr="00432BE0">
              <w:rPr>
                <w:rFonts w:ascii="Arial Nova" w:hAnsi="Arial Nova" w:cstheme="minorHAnsi"/>
                <w:sz w:val="22"/>
              </w:rPr>
              <w:t>Form Name</w:t>
            </w:r>
          </w:p>
        </w:tc>
        <w:tc>
          <w:tcPr>
            <w:tcW w:w="1652" w:type="dxa"/>
          </w:tcPr>
          <w:p w:rsidR="005D0E06" w:rsidRPr="00432BE0" w:rsidP="002C6735" w14:paraId="1C83D351" w14:textId="77777777">
            <w:pPr>
              <w:spacing w:line="276" w:lineRule="auto"/>
              <w:rPr>
                <w:rFonts w:ascii="Arial Nova" w:hAnsi="Arial Nova" w:cstheme="minorHAnsi"/>
                <w:sz w:val="22"/>
              </w:rPr>
            </w:pPr>
            <w:r w:rsidRPr="00432BE0">
              <w:rPr>
                <w:rFonts w:ascii="Arial Nova" w:hAnsi="Arial Nova" w:cstheme="minorHAnsi"/>
                <w:sz w:val="22"/>
              </w:rPr>
              <w:t>No. of Respondents</w:t>
            </w:r>
          </w:p>
        </w:tc>
        <w:tc>
          <w:tcPr>
            <w:tcW w:w="1500" w:type="dxa"/>
          </w:tcPr>
          <w:p w:rsidR="005D0E06" w:rsidRPr="00432BE0" w:rsidP="002C6735" w14:paraId="084E821A" w14:textId="77777777">
            <w:pPr>
              <w:spacing w:line="276" w:lineRule="auto"/>
              <w:rPr>
                <w:rFonts w:ascii="Arial Nova" w:hAnsi="Arial Nova" w:cstheme="minorHAnsi"/>
                <w:sz w:val="22"/>
              </w:rPr>
            </w:pPr>
            <w:r w:rsidRPr="00432BE0">
              <w:rPr>
                <w:rFonts w:ascii="Arial Nova" w:hAnsi="Arial Nova" w:cstheme="minorHAnsi"/>
                <w:sz w:val="22"/>
              </w:rPr>
              <w:t>No. of Responses per Respondent</w:t>
            </w:r>
          </w:p>
        </w:tc>
        <w:tc>
          <w:tcPr>
            <w:tcW w:w="1390" w:type="dxa"/>
          </w:tcPr>
          <w:p w:rsidR="005D0E06" w:rsidRPr="00432BE0" w:rsidP="002C6735" w14:paraId="46E1D159" w14:textId="77777777">
            <w:pPr>
              <w:spacing w:line="276" w:lineRule="auto"/>
              <w:rPr>
                <w:rFonts w:ascii="Arial Nova" w:hAnsi="Arial Nova" w:cstheme="minorHAnsi"/>
                <w:sz w:val="22"/>
              </w:rPr>
            </w:pPr>
            <w:r w:rsidRPr="00432BE0">
              <w:rPr>
                <w:rFonts w:ascii="Arial Nova" w:hAnsi="Arial Nova" w:cstheme="minorHAnsi"/>
                <w:sz w:val="22"/>
              </w:rPr>
              <w:t>Average Burden per Response (in hours)</w:t>
            </w:r>
          </w:p>
        </w:tc>
        <w:tc>
          <w:tcPr>
            <w:tcW w:w="1163" w:type="dxa"/>
          </w:tcPr>
          <w:p w:rsidR="005D0E06" w:rsidRPr="00432BE0" w:rsidP="002C6735" w14:paraId="60291C1F" w14:textId="77777777">
            <w:pPr>
              <w:spacing w:line="276" w:lineRule="auto"/>
              <w:rPr>
                <w:rFonts w:ascii="Arial Nova" w:hAnsi="Arial Nova" w:cstheme="minorHAnsi"/>
                <w:sz w:val="22"/>
              </w:rPr>
            </w:pPr>
            <w:r w:rsidRPr="00432BE0">
              <w:rPr>
                <w:rFonts w:ascii="Arial Nova" w:hAnsi="Arial Nova" w:cstheme="minorHAnsi"/>
                <w:sz w:val="22"/>
              </w:rPr>
              <w:t>Total Burden Hours</w:t>
            </w:r>
          </w:p>
        </w:tc>
      </w:tr>
      <w:tr w14:paraId="3BBAAC14" w14:textId="77777777" w:rsidTr="002C6735">
        <w:tblPrEx>
          <w:tblW w:w="8693" w:type="dxa"/>
          <w:jc w:val="center"/>
          <w:tblLook w:val="04A0"/>
        </w:tblPrEx>
        <w:trPr>
          <w:jc w:val="center"/>
        </w:trPr>
        <w:tc>
          <w:tcPr>
            <w:tcW w:w="1769" w:type="dxa"/>
          </w:tcPr>
          <w:p w:rsidR="005D0E06" w:rsidRPr="00321D2B" w:rsidP="002C6735" w14:paraId="48A025F4" w14:textId="77777777">
            <w:pPr>
              <w:spacing w:line="276" w:lineRule="auto"/>
              <w:rPr>
                <w:rFonts w:cs="Times New Roman"/>
              </w:rPr>
            </w:pPr>
            <w:r w:rsidRPr="00321D2B">
              <w:rPr>
                <w:rFonts w:cs="Times New Roman"/>
              </w:rPr>
              <w:t>Epidemiologist</w:t>
            </w:r>
          </w:p>
        </w:tc>
        <w:tc>
          <w:tcPr>
            <w:tcW w:w="1219" w:type="dxa"/>
          </w:tcPr>
          <w:p w:rsidR="005D0E06" w:rsidRPr="00321D2B" w:rsidP="002C6735" w14:paraId="42DCCA9F" w14:textId="77777777">
            <w:pPr>
              <w:spacing w:line="276" w:lineRule="auto"/>
              <w:rPr>
                <w:rFonts w:cs="Times New Roman"/>
              </w:rPr>
            </w:pPr>
            <w:r w:rsidRPr="00321D2B">
              <w:rPr>
                <w:rFonts w:cs="Times New Roman"/>
              </w:rPr>
              <w:t>Form 52.14</w:t>
            </w:r>
          </w:p>
        </w:tc>
        <w:tc>
          <w:tcPr>
            <w:tcW w:w="1652" w:type="dxa"/>
          </w:tcPr>
          <w:p w:rsidR="005D0E06" w:rsidRPr="00321D2B" w:rsidP="002C6735" w14:paraId="2B560C75" w14:textId="77777777">
            <w:pPr>
              <w:spacing w:line="276" w:lineRule="auto"/>
              <w:rPr>
                <w:rFonts w:cs="Times New Roman"/>
              </w:rPr>
            </w:pPr>
            <w:r w:rsidRPr="00321D2B">
              <w:rPr>
                <w:rFonts w:cs="Times New Roman"/>
              </w:rPr>
              <w:t>59</w:t>
            </w:r>
          </w:p>
        </w:tc>
        <w:tc>
          <w:tcPr>
            <w:tcW w:w="1500" w:type="dxa"/>
          </w:tcPr>
          <w:p w:rsidR="005D0E06" w:rsidRPr="00321D2B" w:rsidP="002C6735" w14:paraId="1F289E0D" w14:textId="77777777">
            <w:pPr>
              <w:spacing w:line="276" w:lineRule="auto"/>
              <w:rPr>
                <w:rFonts w:cs="Times New Roman"/>
              </w:rPr>
            </w:pPr>
            <w:r w:rsidRPr="00321D2B">
              <w:rPr>
                <w:rFonts w:cs="Times New Roman"/>
              </w:rPr>
              <w:t>59</w:t>
            </w:r>
          </w:p>
        </w:tc>
        <w:tc>
          <w:tcPr>
            <w:tcW w:w="1390" w:type="dxa"/>
          </w:tcPr>
          <w:p w:rsidR="005D0E06" w:rsidRPr="00321D2B" w:rsidP="002C6735" w14:paraId="74441F61" w14:textId="77777777">
            <w:pPr>
              <w:spacing w:line="276" w:lineRule="auto"/>
              <w:rPr>
                <w:rFonts w:cs="Times New Roman"/>
              </w:rPr>
            </w:pPr>
            <w:r w:rsidRPr="00321D2B">
              <w:rPr>
                <w:rFonts w:cs="Times New Roman"/>
              </w:rPr>
              <w:t xml:space="preserve">20/60 </w:t>
            </w:r>
          </w:p>
        </w:tc>
        <w:tc>
          <w:tcPr>
            <w:tcW w:w="1163" w:type="dxa"/>
          </w:tcPr>
          <w:p w:rsidR="005D0E06" w:rsidRPr="00321D2B" w:rsidP="002C6735" w14:paraId="7474B117" w14:textId="77777777">
            <w:pPr>
              <w:spacing w:line="276" w:lineRule="auto"/>
              <w:rPr>
                <w:rFonts w:cs="Times New Roman"/>
              </w:rPr>
            </w:pPr>
            <w:r w:rsidRPr="00321D2B">
              <w:rPr>
                <w:rFonts w:cs="Times New Roman"/>
              </w:rPr>
              <w:t>1,160</w:t>
            </w:r>
          </w:p>
        </w:tc>
      </w:tr>
    </w:tbl>
    <w:p w:rsidR="00C553B7" w:rsidP="004A13E8" w14:paraId="505C920E" w14:textId="20E63586">
      <w:pPr>
        <w:spacing w:before="240"/>
      </w:pPr>
      <w:r>
        <w:t>B.</w:t>
      </w:r>
      <w:r>
        <w:t xml:space="preserve"> Estimated Annualized Burden Costs</w:t>
      </w:r>
      <w:r w:rsidR="009B0947">
        <w:t xml:space="preserve"> </w:t>
      </w:r>
    </w:p>
    <w:p w:rsidR="005D0E06" w:rsidRPr="00850CF4" w:rsidP="005D0E06" w14:paraId="68189231" w14:textId="5BF4776D">
      <w:pPr>
        <w:rPr>
          <w:szCs w:val="24"/>
        </w:rPr>
      </w:pPr>
      <w:r w:rsidRPr="0054671A">
        <w:rPr>
          <w:szCs w:val="24"/>
        </w:rPr>
        <w:t>The proposed estimated annual cost for the NORS form is $</w:t>
      </w:r>
      <w:r w:rsidRPr="0054671A" w:rsidR="00B76C45">
        <w:rPr>
          <w:szCs w:val="24"/>
        </w:rPr>
        <w:t>4</w:t>
      </w:r>
      <w:r w:rsidR="00B76C45">
        <w:rPr>
          <w:szCs w:val="24"/>
        </w:rPr>
        <w:t>6</w:t>
      </w:r>
      <w:r w:rsidRPr="0054671A">
        <w:rPr>
          <w:szCs w:val="24"/>
        </w:rPr>
        <w:t>,</w:t>
      </w:r>
      <w:r w:rsidR="00B76C45">
        <w:rPr>
          <w:szCs w:val="24"/>
        </w:rPr>
        <w:t>840.8</w:t>
      </w:r>
      <w:r w:rsidRPr="0054671A">
        <w:rPr>
          <w:szCs w:val="24"/>
        </w:rPr>
        <w:t>0. This is based on the 202</w:t>
      </w:r>
      <w:r w:rsidR="00B76C45">
        <w:rPr>
          <w:szCs w:val="24"/>
        </w:rPr>
        <w:t>4</w:t>
      </w:r>
      <w:r w:rsidRPr="0054671A">
        <w:rPr>
          <w:szCs w:val="24"/>
        </w:rPr>
        <w:t xml:space="preserve"> median hourly wage of $</w:t>
      </w:r>
      <w:r w:rsidR="00B76C45">
        <w:rPr>
          <w:szCs w:val="24"/>
        </w:rPr>
        <w:t>40.38</w:t>
      </w:r>
      <w:r w:rsidRPr="0054671A">
        <w:rPr>
          <w:szCs w:val="24"/>
        </w:rPr>
        <w:t xml:space="preserve"> for an epidemiologist, as indicated on the Bureau of Labor Statistics website (https://www.bls.gov/ooh/life-physical-and-social-science/epidemiologists.htm). This reflects an increase of $</w:t>
      </w:r>
      <w:r w:rsidR="00B76C45">
        <w:rPr>
          <w:szCs w:val="24"/>
        </w:rPr>
        <w:t>5,266.40</w:t>
      </w:r>
      <w:r w:rsidRPr="0054671A">
        <w:rPr>
          <w:szCs w:val="24"/>
        </w:rPr>
        <w:t xml:space="preserve"> from the </w:t>
      </w:r>
      <w:r w:rsidR="00B76C45">
        <w:rPr>
          <w:szCs w:val="24"/>
        </w:rPr>
        <w:t xml:space="preserve">previously </w:t>
      </w:r>
      <w:r w:rsidRPr="0054671A">
        <w:rPr>
          <w:szCs w:val="24"/>
        </w:rPr>
        <w:t>approved</w:t>
      </w:r>
      <w:r w:rsidR="00B76C45">
        <w:rPr>
          <w:szCs w:val="24"/>
        </w:rPr>
        <w:t xml:space="preserve"> total</w:t>
      </w:r>
      <w:r w:rsidRPr="0054671A">
        <w:rPr>
          <w:szCs w:val="24"/>
        </w:rPr>
        <w:t xml:space="preserve"> respondent cost of $</w:t>
      </w:r>
      <w:r w:rsidR="00B76C45">
        <w:rPr>
          <w:szCs w:val="24"/>
        </w:rPr>
        <w:t>41,574.40</w:t>
      </w:r>
      <w:r w:rsidRPr="0054671A">
        <w:rPr>
          <w:szCs w:val="24"/>
        </w:rPr>
        <w:t>. The increase in cost is due to the increase in median hourly wage for an epidemiologist (previously reported as $</w:t>
      </w:r>
      <w:r w:rsidR="00B76C45">
        <w:rPr>
          <w:szCs w:val="24"/>
        </w:rPr>
        <w:t>35.84</w:t>
      </w:r>
      <w:r w:rsidRPr="0054671A">
        <w:rPr>
          <w:szCs w:val="24"/>
        </w:rPr>
        <w:t xml:space="preserve"> </w:t>
      </w:r>
      <w:r w:rsidRPr="0054671A">
        <w:rPr>
          <w:szCs w:val="24"/>
        </w:rPr>
        <w:t xml:space="preserve">based on </w:t>
      </w:r>
      <w:r w:rsidRPr="0054671A" w:rsidR="00B76C45">
        <w:rPr>
          <w:szCs w:val="24"/>
        </w:rPr>
        <w:t>20</w:t>
      </w:r>
      <w:r w:rsidR="00B76C45">
        <w:rPr>
          <w:szCs w:val="24"/>
        </w:rPr>
        <w:t>20 median</w:t>
      </w:r>
      <w:r w:rsidRPr="0054671A" w:rsidR="00B76C45">
        <w:rPr>
          <w:szCs w:val="24"/>
        </w:rPr>
        <w:t xml:space="preserve"> </w:t>
      </w:r>
      <w:r w:rsidR="00B76C45">
        <w:rPr>
          <w:szCs w:val="24"/>
        </w:rPr>
        <w:t>hourly wage</w:t>
      </w:r>
      <w:r w:rsidRPr="0054671A">
        <w:rPr>
          <w:szCs w:val="24"/>
        </w:rPr>
        <w:t xml:space="preserve">). </w:t>
      </w:r>
      <w:r w:rsidRPr="00AB2B9F">
        <w:rPr>
          <w:szCs w:val="24"/>
        </w:rPr>
        <w:t xml:space="preserve">Attachment 4 is a reference tool for </w:t>
      </w:r>
      <w:r w:rsidRPr="00AB2B9F" w:rsidR="00936F63">
        <w:rPr>
          <w:szCs w:val="24"/>
        </w:rPr>
        <w:t>A</w:t>
      </w:r>
      <w:r w:rsidRPr="00AB2B9F">
        <w:rPr>
          <w:szCs w:val="24"/>
        </w:rPr>
        <w:t>ttachment 3 and reflects</w:t>
      </w:r>
      <w:r>
        <w:rPr>
          <w:szCs w:val="24"/>
        </w:rPr>
        <w:t xml:space="preserve"> $0 cost burden.</w:t>
      </w:r>
    </w:p>
    <w:tbl>
      <w:tblPr>
        <w:tblW w:w="5000" w:type="pct"/>
        <w:jc w:val="center"/>
        <w:tblLook w:val="04A0"/>
      </w:tblPr>
      <w:tblGrid>
        <w:gridCol w:w="1842"/>
        <w:gridCol w:w="1243"/>
        <w:gridCol w:w="1415"/>
        <w:gridCol w:w="1329"/>
        <w:gridCol w:w="1097"/>
        <w:gridCol w:w="926"/>
        <w:gridCol w:w="889"/>
        <w:gridCol w:w="1329"/>
      </w:tblGrid>
      <w:tr w14:paraId="7A1E80F7" w14:textId="77777777" w:rsidTr="002C6735">
        <w:tblPrEx>
          <w:tblW w:w="5000" w:type="pct"/>
          <w:jc w:val="center"/>
          <w:tblLook w:val="04A0"/>
        </w:tblPrEx>
        <w:trPr>
          <w:trHeight w:val="1025"/>
          <w:jc w:val="center"/>
        </w:trPr>
        <w:tc>
          <w:tcPr>
            <w:tcW w:w="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0E06" w:rsidRPr="00913A99" w:rsidP="002C6735" w14:paraId="11AD5040" w14:textId="77777777">
            <w:pPr>
              <w:rPr>
                <w:b/>
                <w:bCs/>
                <w:sz w:val="22"/>
              </w:rPr>
            </w:pPr>
            <w:r w:rsidRPr="00913A99">
              <w:rPr>
                <w:b/>
                <w:bCs/>
                <w:sz w:val="22"/>
              </w:rPr>
              <w:t xml:space="preserve">Type of Respondent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5D0E06" w:rsidRPr="00913A99" w:rsidP="002C6735" w14:paraId="40EC50B0" w14:textId="77777777">
            <w:pPr>
              <w:rPr>
                <w:b/>
                <w:bCs/>
                <w:sz w:val="22"/>
              </w:rPr>
            </w:pPr>
            <w:r w:rsidRPr="00913A99">
              <w:rPr>
                <w:b/>
                <w:bCs/>
                <w:sz w:val="22"/>
              </w:rPr>
              <w:t>Form Name</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5D0E06" w:rsidRPr="00913A99" w:rsidP="002C6735" w14:paraId="44E03492" w14:textId="77777777">
            <w:pPr>
              <w:rPr>
                <w:b/>
                <w:bCs/>
                <w:sz w:val="22"/>
              </w:rPr>
            </w:pPr>
            <w:r w:rsidRPr="00913A99">
              <w:rPr>
                <w:b/>
                <w:bCs/>
                <w:sz w:val="22"/>
              </w:rPr>
              <w:t>No. of Respondents</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5D0E06" w:rsidRPr="00913A99" w:rsidP="002C6735" w14:paraId="684DAD90" w14:textId="77777777">
            <w:pPr>
              <w:rPr>
                <w:b/>
                <w:bCs/>
                <w:sz w:val="22"/>
              </w:rPr>
            </w:pPr>
            <w:r w:rsidRPr="00913A99">
              <w:rPr>
                <w:b/>
                <w:bCs/>
                <w:sz w:val="22"/>
              </w:rPr>
              <w:t>No. of Responses per Respondent</w:t>
            </w:r>
          </w:p>
        </w:tc>
        <w:tc>
          <w:tcPr>
            <w:tcW w:w="551" w:type="pct"/>
            <w:tcBorders>
              <w:top w:val="single" w:sz="4" w:space="0" w:color="auto"/>
              <w:left w:val="nil"/>
              <w:bottom w:val="single" w:sz="4" w:space="0" w:color="auto"/>
              <w:right w:val="single" w:sz="4" w:space="0" w:color="auto"/>
            </w:tcBorders>
            <w:shd w:val="clear" w:color="auto" w:fill="auto"/>
            <w:vAlign w:val="center"/>
            <w:hideMark/>
          </w:tcPr>
          <w:p w:rsidR="005D0E06" w:rsidRPr="00913A99" w:rsidP="002C6735" w14:paraId="07085611" w14:textId="77777777">
            <w:pPr>
              <w:rPr>
                <w:b/>
                <w:bCs/>
                <w:sz w:val="22"/>
              </w:rPr>
            </w:pPr>
            <w:r w:rsidRPr="00913A99">
              <w:rPr>
                <w:b/>
                <w:bCs/>
                <w:sz w:val="22"/>
              </w:rPr>
              <w:t>Avg. Burden per Response (in hours)</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5D0E06" w:rsidRPr="00913A99" w:rsidP="002C6735" w14:paraId="65DA7B1A" w14:textId="77777777">
            <w:pPr>
              <w:rPr>
                <w:b/>
                <w:bCs/>
                <w:sz w:val="22"/>
              </w:rPr>
            </w:pPr>
            <w:r w:rsidRPr="00913A99">
              <w:rPr>
                <w:b/>
                <w:bCs/>
                <w:sz w:val="22"/>
              </w:rPr>
              <w:t xml:space="preserve">Total Burden Hours  </w:t>
            </w:r>
          </w:p>
        </w:tc>
        <w:tc>
          <w:tcPr>
            <w:tcW w:w="446" w:type="pct"/>
            <w:tcBorders>
              <w:top w:val="single" w:sz="4" w:space="0" w:color="auto"/>
              <w:left w:val="nil"/>
              <w:bottom w:val="single" w:sz="4" w:space="0" w:color="auto"/>
              <w:right w:val="single" w:sz="4" w:space="0" w:color="auto"/>
            </w:tcBorders>
            <w:shd w:val="clear" w:color="auto" w:fill="auto"/>
            <w:vAlign w:val="center"/>
            <w:hideMark/>
          </w:tcPr>
          <w:p w:rsidR="005D0E06" w:rsidRPr="00913A99" w:rsidP="002C6735" w14:paraId="09B185BE" w14:textId="77777777">
            <w:pPr>
              <w:rPr>
                <w:b/>
                <w:bCs/>
                <w:sz w:val="22"/>
              </w:rPr>
            </w:pPr>
            <w:r w:rsidRPr="00913A99">
              <w:rPr>
                <w:b/>
                <w:bCs/>
                <w:sz w:val="22"/>
              </w:rPr>
              <w:t>Hourly Wage Rate</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5D0E06" w:rsidRPr="00913A99" w:rsidP="002C6735" w14:paraId="7A646FB6" w14:textId="77777777">
            <w:pPr>
              <w:rPr>
                <w:b/>
                <w:bCs/>
                <w:sz w:val="22"/>
              </w:rPr>
            </w:pPr>
            <w:r w:rsidRPr="00913A99">
              <w:rPr>
                <w:b/>
                <w:bCs/>
                <w:sz w:val="22"/>
              </w:rPr>
              <w:t>Total Respondent Costs</w:t>
            </w:r>
          </w:p>
        </w:tc>
      </w:tr>
      <w:tr w14:paraId="66A8C966" w14:textId="77777777" w:rsidTr="002C6735">
        <w:tblPrEx>
          <w:tblW w:w="5000" w:type="pct"/>
          <w:jc w:val="center"/>
          <w:tblLook w:val="04A0"/>
        </w:tblPrEx>
        <w:trPr>
          <w:trHeight w:val="818"/>
          <w:jc w:val="center"/>
        </w:trPr>
        <w:tc>
          <w:tcPr>
            <w:tcW w:w="936" w:type="pct"/>
            <w:tcBorders>
              <w:top w:val="nil"/>
              <w:left w:val="single" w:sz="4" w:space="0" w:color="auto"/>
              <w:bottom w:val="single" w:sz="4" w:space="0" w:color="auto"/>
              <w:right w:val="single" w:sz="4" w:space="0" w:color="auto"/>
            </w:tcBorders>
            <w:shd w:val="clear" w:color="auto" w:fill="auto"/>
            <w:vAlign w:val="center"/>
          </w:tcPr>
          <w:p w:rsidR="005D0E06" w:rsidRPr="00913A99" w:rsidP="002C6735" w14:paraId="7F467AA3" w14:textId="77777777">
            <w:pPr>
              <w:rPr>
                <w:sz w:val="22"/>
              </w:rPr>
            </w:pPr>
            <w:r w:rsidRPr="00913A99">
              <w:rPr>
                <w:sz w:val="22"/>
              </w:rPr>
              <w:t>Epidemiologist</w:t>
            </w:r>
          </w:p>
        </w:tc>
        <w:tc>
          <w:tcPr>
            <w:tcW w:w="554" w:type="pct"/>
            <w:tcBorders>
              <w:top w:val="nil"/>
              <w:left w:val="nil"/>
              <w:bottom w:val="single" w:sz="4" w:space="0" w:color="auto"/>
              <w:right w:val="single" w:sz="4" w:space="0" w:color="auto"/>
            </w:tcBorders>
            <w:shd w:val="clear" w:color="auto" w:fill="auto"/>
            <w:vAlign w:val="center"/>
          </w:tcPr>
          <w:p w:rsidR="005D0E06" w:rsidRPr="00AB2B9F" w:rsidP="002C6735" w14:paraId="4DDBC99B" w14:textId="77777777">
            <w:pPr>
              <w:rPr>
                <w:sz w:val="22"/>
              </w:rPr>
            </w:pPr>
            <w:r w:rsidRPr="00AB2B9F">
              <w:rPr>
                <w:sz w:val="22"/>
              </w:rPr>
              <w:t>Attachment 3_National Outbreak Reporting System, Data Dictionary</w:t>
            </w:r>
          </w:p>
          <w:p w:rsidR="005D0E06" w:rsidRPr="00AB2B9F" w:rsidP="002C6735" w14:paraId="03D22C09" w14:textId="77777777">
            <w:pPr>
              <w:rPr>
                <w:sz w:val="22"/>
              </w:rPr>
            </w:pPr>
          </w:p>
          <w:p w:rsidR="005D0E06" w:rsidRPr="00AB2B9F" w:rsidP="002C6735" w14:paraId="30EFF7E3" w14:textId="77777777">
            <w:pPr>
              <w:rPr>
                <w:sz w:val="22"/>
                <w:highlight w:val="yellow"/>
              </w:rPr>
            </w:pPr>
            <w:r w:rsidRPr="00AB2B9F">
              <w:rPr>
                <w:sz w:val="22"/>
              </w:rPr>
              <w:t>Attachment 4_Form 52.14</w:t>
            </w:r>
          </w:p>
        </w:tc>
        <w:tc>
          <w:tcPr>
            <w:tcW w:w="711" w:type="pct"/>
            <w:tcBorders>
              <w:top w:val="nil"/>
              <w:left w:val="nil"/>
              <w:bottom w:val="single" w:sz="4" w:space="0" w:color="auto"/>
              <w:right w:val="single" w:sz="4" w:space="0" w:color="auto"/>
            </w:tcBorders>
            <w:shd w:val="clear" w:color="auto" w:fill="auto"/>
            <w:vAlign w:val="center"/>
          </w:tcPr>
          <w:p w:rsidR="005D0E06" w:rsidRPr="00913A99" w:rsidP="002C6735" w14:paraId="01059629" w14:textId="77777777">
            <w:pPr>
              <w:rPr>
                <w:sz w:val="22"/>
              </w:rPr>
            </w:pPr>
            <w:r w:rsidRPr="00913A99">
              <w:rPr>
                <w:sz w:val="22"/>
              </w:rPr>
              <w:t>59</w:t>
            </w:r>
          </w:p>
        </w:tc>
        <w:tc>
          <w:tcPr>
            <w:tcW w:w="668" w:type="pct"/>
            <w:tcBorders>
              <w:top w:val="nil"/>
              <w:left w:val="nil"/>
              <w:bottom w:val="single" w:sz="4" w:space="0" w:color="auto"/>
              <w:right w:val="single" w:sz="4" w:space="0" w:color="auto"/>
            </w:tcBorders>
            <w:shd w:val="clear" w:color="auto" w:fill="auto"/>
            <w:vAlign w:val="center"/>
          </w:tcPr>
          <w:p w:rsidR="005D0E06" w:rsidRPr="00913A99" w:rsidP="002C6735" w14:paraId="4E5E5C70" w14:textId="77777777">
            <w:pPr>
              <w:rPr>
                <w:sz w:val="22"/>
              </w:rPr>
            </w:pPr>
            <w:r w:rsidRPr="00913A99">
              <w:rPr>
                <w:sz w:val="22"/>
              </w:rPr>
              <w:t>59</w:t>
            </w:r>
          </w:p>
        </w:tc>
        <w:tc>
          <w:tcPr>
            <w:tcW w:w="551" w:type="pct"/>
            <w:tcBorders>
              <w:top w:val="nil"/>
              <w:left w:val="nil"/>
              <w:bottom w:val="single" w:sz="4" w:space="0" w:color="auto"/>
              <w:right w:val="single" w:sz="4" w:space="0" w:color="auto"/>
            </w:tcBorders>
            <w:shd w:val="clear" w:color="auto" w:fill="auto"/>
            <w:vAlign w:val="center"/>
          </w:tcPr>
          <w:p w:rsidR="005D0E06" w:rsidRPr="00913A99" w:rsidP="002C6735" w14:paraId="150D21B6" w14:textId="77777777">
            <w:pPr>
              <w:rPr>
                <w:sz w:val="22"/>
              </w:rPr>
            </w:pPr>
            <w:r w:rsidRPr="00913A99">
              <w:rPr>
                <w:sz w:val="22"/>
              </w:rPr>
              <w:t>20/60</w:t>
            </w:r>
          </w:p>
        </w:tc>
        <w:tc>
          <w:tcPr>
            <w:tcW w:w="465" w:type="pct"/>
            <w:tcBorders>
              <w:top w:val="nil"/>
              <w:left w:val="nil"/>
              <w:bottom w:val="single" w:sz="4" w:space="0" w:color="auto"/>
              <w:right w:val="single" w:sz="4" w:space="0" w:color="auto"/>
            </w:tcBorders>
            <w:shd w:val="clear" w:color="auto" w:fill="auto"/>
            <w:vAlign w:val="center"/>
          </w:tcPr>
          <w:p w:rsidR="005D0E06" w:rsidRPr="00913A99" w:rsidP="002C6735" w14:paraId="33D30D13" w14:textId="77777777">
            <w:pPr>
              <w:rPr>
                <w:sz w:val="22"/>
              </w:rPr>
            </w:pPr>
            <w:r w:rsidRPr="00913A99">
              <w:rPr>
                <w:sz w:val="22"/>
              </w:rPr>
              <w:t>1,160</w:t>
            </w:r>
          </w:p>
        </w:tc>
        <w:tc>
          <w:tcPr>
            <w:tcW w:w="446" w:type="pct"/>
            <w:tcBorders>
              <w:top w:val="nil"/>
              <w:left w:val="nil"/>
              <w:bottom w:val="single" w:sz="4" w:space="0" w:color="auto"/>
              <w:right w:val="single" w:sz="4" w:space="0" w:color="auto"/>
            </w:tcBorders>
            <w:shd w:val="clear" w:color="auto" w:fill="auto"/>
            <w:vAlign w:val="center"/>
          </w:tcPr>
          <w:p w:rsidR="005D0E06" w:rsidRPr="00913A99" w:rsidP="002C6735" w14:paraId="42A95018" w14:textId="2B4AF4D7">
            <w:pPr>
              <w:rPr>
                <w:sz w:val="22"/>
              </w:rPr>
            </w:pPr>
            <w:r w:rsidRPr="00913A99">
              <w:rPr>
                <w:sz w:val="22"/>
              </w:rPr>
              <w:t>$</w:t>
            </w:r>
            <w:r w:rsidR="00B76C45">
              <w:rPr>
                <w:sz w:val="22"/>
              </w:rPr>
              <w:t>40.38</w:t>
            </w:r>
          </w:p>
        </w:tc>
        <w:tc>
          <w:tcPr>
            <w:tcW w:w="668" w:type="pct"/>
            <w:tcBorders>
              <w:top w:val="nil"/>
              <w:left w:val="nil"/>
              <w:bottom w:val="single" w:sz="4" w:space="0" w:color="auto"/>
              <w:right w:val="single" w:sz="4" w:space="0" w:color="auto"/>
            </w:tcBorders>
            <w:shd w:val="clear" w:color="auto" w:fill="auto"/>
            <w:vAlign w:val="center"/>
          </w:tcPr>
          <w:p w:rsidR="005D0E06" w:rsidRPr="00913A99" w:rsidP="002C6735" w14:paraId="7472796A" w14:textId="3AE6EFEE">
            <w:pPr>
              <w:rPr>
                <w:sz w:val="22"/>
              </w:rPr>
            </w:pPr>
            <w:r w:rsidRPr="00913A99">
              <w:rPr>
                <w:sz w:val="22"/>
              </w:rPr>
              <w:t>$4</w:t>
            </w:r>
            <w:r w:rsidR="00B76C45">
              <w:rPr>
                <w:sz w:val="22"/>
              </w:rPr>
              <w:t>6</w:t>
            </w:r>
            <w:r w:rsidRPr="00913A99">
              <w:rPr>
                <w:sz w:val="22"/>
              </w:rPr>
              <w:t>,</w:t>
            </w:r>
            <w:r w:rsidR="00B76C45">
              <w:rPr>
                <w:sz w:val="22"/>
              </w:rPr>
              <w:t>840</w:t>
            </w:r>
            <w:r w:rsidRPr="00913A99">
              <w:rPr>
                <w:sz w:val="22"/>
              </w:rPr>
              <w:t>.</w:t>
            </w:r>
            <w:r w:rsidR="00B76C45">
              <w:rPr>
                <w:sz w:val="22"/>
              </w:rPr>
              <w:t>8</w:t>
            </w:r>
            <w:r w:rsidRPr="00913A99">
              <w:rPr>
                <w:sz w:val="22"/>
              </w:rPr>
              <w:t>0</w:t>
            </w:r>
          </w:p>
        </w:tc>
      </w:tr>
      <w:tr w14:paraId="5721AA33" w14:textId="77777777" w:rsidTr="002C6735">
        <w:tblPrEx>
          <w:tblW w:w="5000" w:type="pct"/>
          <w:jc w:val="center"/>
          <w:tblLook w:val="04A0"/>
        </w:tblPrEx>
        <w:trPr>
          <w:trHeight w:val="620"/>
          <w:jc w:val="center"/>
        </w:trPr>
        <w:tc>
          <w:tcPr>
            <w:tcW w:w="936" w:type="pct"/>
            <w:tcBorders>
              <w:top w:val="nil"/>
              <w:left w:val="single" w:sz="4" w:space="0" w:color="auto"/>
              <w:bottom w:val="single" w:sz="4" w:space="0" w:color="auto"/>
              <w:right w:val="single" w:sz="4" w:space="0" w:color="auto"/>
            </w:tcBorders>
            <w:shd w:val="clear" w:color="auto" w:fill="auto"/>
            <w:vAlign w:val="center"/>
            <w:hideMark/>
          </w:tcPr>
          <w:p w:rsidR="005D0E06" w:rsidRPr="00913A99" w:rsidP="002C6735" w14:paraId="74432B7D" w14:textId="77777777">
            <w:pPr>
              <w:rPr>
                <w:sz w:val="22"/>
              </w:rPr>
            </w:pPr>
            <w:r w:rsidRPr="00913A99">
              <w:rPr>
                <w:sz w:val="22"/>
              </w:rPr>
              <w:t>Total</w:t>
            </w:r>
          </w:p>
        </w:tc>
        <w:tc>
          <w:tcPr>
            <w:tcW w:w="554" w:type="pct"/>
            <w:tcBorders>
              <w:top w:val="nil"/>
              <w:left w:val="nil"/>
              <w:bottom w:val="single" w:sz="4" w:space="0" w:color="auto"/>
              <w:right w:val="single" w:sz="4" w:space="0" w:color="auto"/>
            </w:tcBorders>
            <w:shd w:val="clear" w:color="auto" w:fill="auto"/>
            <w:vAlign w:val="center"/>
            <w:hideMark/>
          </w:tcPr>
          <w:p w:rsidR="005D0E06" w:rsidRPr="00913A99" w:rsidP="002C6735" w14:paraId="4FE847A8" w14:textId="77777777">
            <w:pPr>
              <w:rPr>
                <w:sz w:val="22"/>
              </w:rPr>
            </w:pPr>
            <w:r w:rsidRPr="00913A99">
              <w:rPr>
                <w:sz w:val="22"/>
              </w:rPr>
              <w:t> </w:t>
            </w:r>
          </w:p>
        </w:tc>
        <w:tc>
          <w:tcPr>
            <w:tcW w:w="711" w:type="pct"/>
            <w:tcBorders>
              <w:top w:val="nil"/>
              <w:left w:val="nil"/>
              <w:bottom w:val="single" w:sz="4" w:space="0" w:color="auto"/>
              <w:right w:val="single" w:sz="4" w:space="0" w:color="auto"/>
            </w:tcBorders>
            <w:shd w:val="clear" w:color="auto" w:fill="auto"/>
            <w:vAlign w:val="center"/>
          </w:tcPr>
          <w:p w:rsidR="005D0E06" w:rsidRPr="00913A99" w:rsidP="002C6735" w14:paraId="1D11CB94" w14:textId="77777777">
            <w:pPr>
              <w:rPr>
                <w:sz w:val="22"/>
              </w:rPr>
            </w:pPr>
          </w:p>
        </w:tc>
        <w:tc>
          <w:tcPr>
            <w:tcW w:w="668" w:type="pct"/>
            <w:tcBorders>
              <w:top w:val="nil"/>
              <w:left w:val="nil"/>
              <w:bottom w:val="single" w:sz="4" w:space="0" w:color="auto"/>
              <w:right w:val="single" w:sz="4" w:space="0" w:color="auto"/>
            </w:tcBorders>
            <w:shd w:val="clear" w:color="auto" w:fill="auto"/>
            <w:vAlign w:val="center"/>
            <w:hideMark/>
          </w:tcPr>
          <w:p w:rsidR="005D0E06" w:rsidRPr="00913A99" w:rsidP="002C6735" w14:paraId="4EBBB48C" w14:textId="77777777">
            <w:pPr>
              <w:rPr>
                <w:sz w:val="22"/>
              </w:rPr>
            </w:pPr>
            <w:r w:rsidRPr="00913A99">
              <w:rPr>
                <w:sz w:val="22"/>
              </w:rPr>
              <w:t> </w:t>
            </w:r>
          </w:p>
        </w:tc>
        <w:tc>
          <w:tcPr>
            <w:tcW w:w="551" w:type="pct"/>
            <w:tcBorders>
              <w:top w:val="nil"/>
              <w:left w:val="nil"/>
              <w:bottom w:val="single" w:sz="4" w:space="0" w:color="auto"/>
              <w:right w:val="single" w:sz="4" w:space="0" w:color="auto"/>
            </w:tcBorders>
            <w:shd w:val="clear" w:color="auto" w:fill="auto"/>
            <w:vAlign w:val="center"/>
            <w:hideMark/>
          </w:tcPr>
          <w:p w:rsidR="005D0E06" w:rsidRPr="00913A99" w:rsidP="002C6735" w14:paraId="120A3927" w14:textId="77777777">
            <w:pPr>
              <w:rPr>
                <w:sz w:val="22"/>
              </w:rPr>
            </w:pPr>
            <w:r w:rsidRPr="00913A99">
              <w:rPr>
                <w:sz w:val="22"/>
              </w:rPr>
              <w:t> </w:t>
            </w:r>
          </w:p>
        </w:tc>
        <w:tc>
          <w:tcPr>
            <w:tcW w:w="465" w:type="pct"/>
            <w:tcBorders>
              <w:top w:val="nil"/>
              <w:left w:val="nil"/>
              <w:bottom w:val="single" w:sz="4" w:space="0" w:color="auto"/>
              <w:right w:val="single" w:sz="4" w:space="0" w:color="auto"/>
            </w:tcBorders>
            <w:shd w:val="clear" w:color="auto" w:fill="auto"/>
            <w:vAlign w:val="center"/>
            <w:hideMark/>
          </w:tcPr>
          <w:p w:rsidR="005D0E06" w:rsidRPr="00913A99" w:rsidP="002C6735" w14:paraId="2D3F3BED" w14:textId="77777777">
            <w:pPr>
              <w:rPr>
                <w:sz w:val="22"/>
              </w:rPr>
            </w:pPr>
          </w:p>
        </w:tc>
        <w:tc>
          <w:tcPr>
            <w:tcW w:w="446" w:type="pct"/>
            <w:tcBorders>
              <w:top w:val="nil"/>
              <w:left w:val="nil"/>
              <w:bottom w:val="single" w:sz="4" w:space="0" w:color="auto"/>
              <w:right w:val="single" w:sz="4" w:space="0" w:color="auto"/>
            </w:tcBorders>
            <w:shd w:val="clear" w:color="auto" w:fill="auto"/>
            <w:vAlign w:val="center"/>
            <w:hideMark/>
          </w:tcPr>
          <w:p w:rsidR="005D0E06" w:rsidRPr="00913A99" w:rsidP="002C6735" w14:paraId="6DEAB3C2" w14:textId="77777777">
            <w:pPr>
              <w:rPr>
                <w:sz w:val="22"/>
              </w:rPr>
            </w:pPr>
            <w:r w:rsidRPr="00913A99">
              <w:rPr>
                <w:sz w:val="22"/>
              </w:rPr>
              <w:t> </w:t>
            </w:r>
          </w:p>
        </w:tc>
        <w:tc>
          <w:tcPr>
            <w:tcW w:w="668" w:type="pct"/>
            <w:tcBorders>
              <w:top w:val="nil"/>
              <w:left w:val="nil"/>
              <w:bottom w:val="single" w:sz="4" w:space="0" w:color="auto"/>
              <w:right w:val="single" w:sz="4" w:space="0" w:color="auto"/>
            </w:tcBorders>
            <w:shd w:val="clear" w:color="auto" w:fill="auto"/>
            <w:vAlign w:val="center"/>
            <w:hideMark/>
          </w:tcPr>
          <w:p w:rsidR="005D0E06" w:rsidRPr="00913A99" w:rsidP="002C6735" w14:paraId="5FFF1050" w14:textId="2310C47A">
            <w:pPr>
              <w:rPr>
                <w:sz w:val="22"/>
              </w:rPr>
            </w:pPr>
            <w:r w:rsidRPr="00913A99">
              <w:rPr>
                <w:sz w:val="22"/>
              </w:rPr>
              <w:t>$4</w:t>
            </w:r>
            <w:r>
              <w:rPr>
                <w:sz w:val="22"/>
              </w:rPr>
              <w:t>6</w:t>
            </w:r>
            <w:r w:rsidRPr="00913A99">
              <w:rPr>
                <w:sz w:val="22"/>
              </w:rPr>
              <w:t>,</w:t>
            </w:r>
            <w:r>
              <w:rPr>
                <w:sz w:val="22"/>
              </w:rPr>
              <w:t>840</w:t>
            </w:r>
            <w:r w:rsidRPr="00913A99">
              <w:rPr>
                <w:sz w:val="22"/>
              </w:rPr>
              <w:t>.</w:t>
            </w:r>
            <w:r>
              <w:rPr>
                <w:sz w:val="22"/>
              </w:rPr>
              <w:t>8</w:t>
            </w:r>
            <w:r w:rsidRPr="00913A99">
              <w:rPr>
                <w:sz w:val="22"/>
              </w:rPr>
              <w:t>0</w:t>
            </w:r>
          </w:p>
        </w:tc>
      </w:tr>
    </w:tbl>
    <w:p w:rsidR="004A13E8" w:rsidP="0025156B" w14:paraId="55FE17FE" w14:textId="77777777">
      <w:pPr>
        <w:pStyle w:val="Heading1"/>
        <w:spacing w:before="240"/>
      </w:pPr>
      <w:bookmarkStart w:id="21" w:name="_Toc473880029"/>
      <w:r>
        <w:t>Estimates of Other Total Annual Cost Burden to Respondents or Record Keepers</w:t>
      </w:r>
      <w:bookmarkEnd w:id="21"/>
    </w:p>
    <w:p w:rsidR="005D0E06" w:rsidRPr="00850CF4" w:rsidP="005D0E06" w14:paraId="50A15B18" w14:textId="0A787A7E">
      <w:pPr>
        <w:widowControl w:val="0"/>
        <w:rPr>
          <w:szCs w:val="24"/>
        </w:rPr>
      </w:pPr>
      <w:r w:rsidRPr="00850CF4">
        <w:rPr>
          <w:szCs w:val="24"/>
        </w:rPr>
        <w:t>There are no capital and maintenance costs incurred by respondents</w:t>
      </w:r>
      <w:r>
        <w:rPr>
          <w:szCs w:val="24"/>
        </w:rPr>
        <w:t xml:space="preserve"> other than their time to </w:t>
      </w:r>
      <w:r w:rsidR="0080309A">
        <w:rPr>
          <w:szCs w:val="24"/>
        </w:rPr>
        <w:t>complete the reporting form</w:t>
      </w:r>
      <w:r>
        <w:rPr>
          <w:szCs w:val="24"/>
        </w:rPr>
        <w:t>.</w:t>
      </w:r>
    </w:p>
    <w:p w:rsidR="004A13E8" w:rsidP="004A13E8" w14:paraId="55FE1801" w14:textId="77777777">
      <w:pPr>
        <w:pStyle w:val="Heading1"/>
      </w:pPr>
      <w:bookmarkStart w:id="22" w:name="_Toc473880030"/>
      <w:r>
        <w:t>Annualized Cost to the Government</w:t>
      </w:r>
      <w:bookmarkEnd w:id="22"/>
    </w:p>
    <w:p w:rsidR="002C47A4" w:rsidRPr="00B77BD2" w:rsidP="002C47A4" w14:paraId="6939F9BF" w14:textId="77BCEEDF">
      <w:pPr>
        <w:rPr>
          <w:szCs w:val="24"/>
        </w:rPr>
      </w:pPr>
      <w:r>
        <w:rPr>
          <w:szCs w:val="24"/>
        </w:rPr>
        <w:t>Outbreak reports submitted to CDC</w:t>
      </w:r>
      <w:r w:rsidRPr="00B77BD2">
        <w:rPr>
          <w:szCs w:val="24"/>
        </w:rPr>
        <w:t xml:space="preserve"> result in action taken by multiple programs in response to the required CDC mandate </w:t>
      </w:r>
      <w:r>
        <w:rPr>
          <w:szCs w:val="24"/>
        </w:rPr>
        <w:t>to</w:t>
      </w:r>
      <w:r w:rsidRPr="00B77BD2">
        <w:rPr>
          <w:szCs w:val="24"/>
        </w:rPr>
        <w:t xml:space="preserve"> maintain</w:t>
      </w:r>
      <w:r>
        <w:rPr>
          <w:szCs w:val="24"/>
        </w:rPr>
        <w:t xml:space="preserve"> </w:t>
      </w:r>
      <w:r w:rsidRPr="00B77BD2">
        <w:rPr>
          <w:szCs w:val="24"/>
        </w:rPr>
        <w:t xml:space="preserve">preventive health activities and surveillance systems. </w:t>
      </w:r>
      <w:r>
        <w:rPr>
          <w:szCs w:val="24"/>
        </w:rPr>
        <w:t>Actions taken in response to each report</w:t>
      </w:r>
      <w:r w:rsidRPr="00B77BD2">
        <w:rPr>
          <w:szCs w:val="24"/>
        </w:rPr>
        <w:t xml:space="preserve"> will vary, depending on </w:t>
      </w:r>
      <w:r>
        <w:rPr>
          <w:szCs w:val="24"/>
        </w:rPr>
        <w:t>the specifics of the outbreak</w:t>
      </w:r>
      <w:r w:rsidRPr="00475514">
        <w:rPr>
          <w:szCs w:val="24"/>
        </w:rPr>
        <w:t>.</w:t>
      </w:r>
      <w:bookmarkStart w:id="23" w:name="_Hlk94173298"/>
      <w:r w:rsidR="00AB2B9F">
        <w:rPr>
          <w:szCs w:val="24"/>
        </w:rPr>
        <w:t xml:space="preserve"> </w:t>
      </w:r>
      <w:r w:rsidRPr="00B71662" w:rsidR="00B71662">
        <w:rPr>
          <w:szCs w:val="24"/>
        </w:rPr>
        <w:t xml:space="preserve">In </w:t>
      </w:r>
      <w:r w:rsidR="00357E78">
        <w:rPr>
          <w:szCs w:val="24"/>
        </w:rPr>
        <w:t xml:space="preserve">October </w:t>
      </w:r>
      <w:r w:rsidRPr="00B71662" w:rsidR="00B71662">
        <w:rPr>
          <w:szCs w:val="24"/>
        </w:rPr>
        <w:t xml:space="preserve">2025, NORS </w:t>
      </w:r>
      <w:r w:rsidR="00357E78">
        <w:rPr>
          <w:szCs w:val="24"/>
        </w:rPr>
        <w:t>will be</w:t>
      </w:r>
      <w:r w:rsidRPr="00B71662" w:rsidR="00357E78">
        <w:rPr>
          <w:szCs w:val="24"/>
        </w:rPr>
        <w:t xml:space="preserve"> </w:t>
      </w:r>
      <w:r w:rsidRPr="00B71662" w:rsidR="00B71662">
        <w:rPr>
          <w:szCs w:val="24"/>
        </w:rPr>
        <w:t xml:space="preserve">launched as an activity with CDC’s One CDC Data Platform (1CDP). Licensing and cloud costs associated with 1CDP will be assessed and accounted for at the CIO level in 2026, and at the program level in 2027. </w:t>
      </w:r>
      <w:r w:rsidR="00AB2B9F">
        <w:rPr>
          <w:szCs w:val="24"/>
        </w:rPr>
        <w:t xml:space="preserve">Staff support for </w:t>
      </w:r>
      <w:r w:rsidRPr="00475514">
        <w:rPr>
          <w:szCs w:val="24"/>
        </w:rPr>
        <w:t xml:space="preserve">NORS </w:t>
      </w:r>
      <w:r w:rsidR="00AB2B9F">
        <w:rPr>
          <w:szCs w:val="24"/>
        </w:rPr>
        <w:t>costs</w:t>
      </w:r>
      <w:r w:rsidRPr="00475514">
        <w:rPr>
          <w:szCs w:val="24"/>
        </w:rPr>
        <w:t xml:space="preserve"> </w:t>
      </w:r>
      <w:r w:rsidRPr="005D166F">
        <w:rPr>
          <w:szCs w:val="24"/>
        </w:rPr>
        <w:t xml:space="preserve">an estimated </w:t>
      </w:r>
      <w:r w:rsidRPr="005D166F">
        <w:rPr>
          <w:bCs/>
          <w:szCs w:val="24"/>
        </w:rPr>
        <w:t>$1,</w:t>
      </w:r>
      <w:r w:rsidRPr="005D166F" w:rsidR="005D166F">
        <w:rPr>
          <w:bCs/>
          <w:szCs w:val="24"/>
        </w:rPr>
        <w:t>300</w:t>
      </w:r>
      <w:r w:rsidRPr="005D166F">
        <w:rPr>
          <w:bCs/>
          <w:szCs w:val="24"/>
        </w:rPr>
        <w:t>,000</w:t>
      </w:r>
      <w:r w:rsidRPr="005D166F" w:rsidR="00AB2B9F">
        <w:rPr>
          <w:bCs/>
          <w:szCs w:val="24"/>
        </w:rPr>
        <w:t xml:space="preserve"> for</w:t>
      </w:r>
      <w:r w:rsidR="00AB2B9F">
        <w:rPr>
          <w:bCs/>
          <w:szCs w:val="24"/>
        </w:rPr>
        <w:t xml:space="preserve"> personnel </w:t>
      </w:r>
      <w:r w:rsidRPr="00475514">
        <w:rPr>
          <w:bCs/>
          <w:szCs w:val="24"/>
        </w:rPr>
        <w:t>across two CIOs (NCIRD and NCEZID).</w:t>
      </w:r>
      <w:bookmarkEnd w:id="23"/>
    </w:p>
    <w:p w:rsidR="004A13E8" w:rsidP="0025156B" w14:paraId="55FE1810" w14:textId="77777777">
      <w:pPr>
        <w:pStyle w:val="Heading1"/>
        <w:spacing w:before="240"/>
      </w:pPr>
      <w:bookmarkStart w:id="24" w:name="_Toc473880031"/>
      <w:r>
        <w:t>Explanation for Program Changes or Adjustments</w:t>
      </w:r>
      <w:bookmarkEnd w:id="24"/>
    </w:p>
    <w:p w:rsidR="002C47A4" w:rsidP="002C47A4" w14:paraId="1955A217" w14:textId="77777777">
      <w:bookmarkStart w:id="25" w:name="_Hlk197092499"/>
      <w:r w:rsidRPr="00ED1E06">
        <w:t>No changes have been made to the data elements collected. Minor clarifications have been made to the description of select (&lt;5) fields to ensure compliance with Executive Order 14168: Defending Women From Gender Ideology Extremism And Restoring Biological Truth To The Federal Government.</w:t>
      </w:r>
      <w:r>
        <w:t xml:space="preserve"> </w:t>
      </w:r>
    </w:p>
    <w:p w:rsidR="002C47A4" w:rsidP="002C47A4" w14:paraId="4F58CBD2" w14:textId="2A4A463B">
      <w:bookmarkStart w:id="26" w:name="_Hlk197529340"/>
      <w:r>
        <w:t xml:space="preserve">NORS data are currently transmitted to CDC through a secure, web-based reporting system hosted by CDC (ITSO/AHB). Starting approximately </w:t>
      </w:r>
      <w:r w:rsidR="00357E78">
        <w:t xml:space="preserve">October </w:t>
      </w:r>
      <w:r>
        <w:t>2025, NORS will become a module housed in 1CDP</w:t>
      </w:r>
      <w:r w:rsidRPr="00B126B8">
        <w:t>,</w:t>
      </w:r>
      <w:r w:rsidR="00E06E3C">
        <w:t xml:space="preserve"> which is</w:t>
      </w:r>
      <w:r w:rsidRPr="00B126B8">
        <w:t xml:space="preserve"> a secure, cloud-based platform. </w:t>
      </w:r>
      <w:r>
        <w:t>Though a paper form for NORS (attached) is available as a reference tool, no p</w:t>
      </w:r>
      <w:r w:rsidRPr="007E3905">
        <w:t xml:space="preserve">aper forms </w:t>
      </w:r>
      <w:r>
        <w:t>are</w:t>
      </w:r>
      <w:r w:rsidRPr="007E3905">
        <w:t xml:space="preserve"> collected by CDC</w:t>
      </w:r>
      <w:r>
        <w:t xml:space="preserve">; all data must be submitted electronically to CDC via the cloud-based platform. </w:t>
      </w:r>
    </w:p>
    <w:p w:rsidR="004A13E8" w:rsidP="004A13E8" w14:paraId="55FE1812" w14:textId="77777777">
      <w:pPr>
        <w:pStyle w:val="Heading1"/>
      </w:pPr>
      <w:bookmarkStart w:id="27" w:name="_Toc473880032"/>
      <w:bookmarkEnd w:id="25"/>
      <w:bookmarkEnd w:id="26"/>
      <w:r>
        <w:t>Plans for Tabulation and Publication and Project Time Schedule</w:t>
      </w:r>
      <w:bookmarkEnd w:id="27"/>
    </w:p>
    <w:p w:rsidR="002C47A4" w:rsidRPr="00850CF4" w:rsidP="002C47A4" w14:paraId="64C02FC6" w14:textId="7BAC64E8">
      <w:pPr>
        <w:widowControl w:val="0"/>
        <w:rPr>
          <w:szCs w:val="24"/>
        </w:rPr>
      </w:pPr>
      <w:r>
        <w:rPr>
          <w:szCs w:val="24"/>
        </w:rPr>
        <w:t xml:space="preserve">NORS data are collected on an ongoing basis and undergo a rigorous cleaning process with state submitters approximately once a year, per mode of transmission. Cleaned data are </w:t>
      </w:r>
      <w:r>
        <w:t>published periodically in surveillance summaries, as part of MMWR, and included in various program specific analyses. In addition, a</w:t>
      </w:r>
      <w:r>
        <w:rPr>
          <w:szCs w:val="24"/>
        </w:rPr>
        <w:t xml:space="preserve"> subset of cleaned data are made available annually on the </w:t>
      </w:r>
      <w:r w:rsidR="0080309A">
        <w:rPr>
          <w:szCs w:val="24"/>
        </w:rPr>
        <w:t>BEAM</w:t>
      </w:r>
      <w:r>
        <w:rPr>
          <w:szCs w:val="24"/>
        </w:rPr>
        <w:t xml:space="preserve"> Dashboard (</w:t>
      </w:r>
      <w:r w:rsidRPr="0080309A" w:rsidR="0080309A">
        <w:t>https://www.cdc.gov/ncezid/dfwed/BEAM-dashboard.html</w:t>
      </w:r>
      <w:r>
        <w:t>); larger datasets are available to the public upon request to CDC.</w:t>
      </w:r>
    </w:p>
    <w:p w:rsidR="004A13E8" w:rsidP="0025156B" w14:paraId="55FE1826" w14:textId="77777777">
      <w:pPr>
        <w:pStyle w:val="Heading1"/>
        <w:spacing w:before="240"/>
      </w:pPr>
      <w:bookmarkStart w:id="28" w:name="_Toc473880033"/>
      <w:r>
        <w:t>Reason(s) Display of OMB Expiration Date is Inappropriate</w:t>
      </w:r>
      <w:bookmarkEnd w:id="28"/>
    </w:p>
    <w:p w:rsidR="002C47A4" w:rsidRPr="00850CF4" w:rsidP="002C47A4" w14:paraId="624933D5" w14:textId="6AD0BFEB">
      <w:pPr>
        <w:widowControl w:val="0"/>
        <w:rPr>
          <w:szCs w:val="24"/>
        </w:rPr>
      </w:pPr>
      <w:r>
        <w:rPr>
          <w:szCs w:val="24"/>
        </w:rPr>
        <w:t xml:space="preserve">NORS data are collected through a web-based platform, for which Attachment 3 is the data dictionary, and Attachment 4 is the reference </w:t>
      </w:r>
      <w:r w:rsidRPr="00A645A0">
        <w:rPr>
          <w:szCs w:val="24"/>
        </w:rPr>
        <w:t>tool.</w:t>
      </w:r>
      <w:r w:rsidR="00A645A0">
        <w:rPr>
          <w:szCs w:val="24"/>
        </w:rPr>
        <w:t xml:space="preserve"> </w:t>
      </w:r>
      <w:r w:rsidRPr="00A645A0">
        <w:rPr>
          <w:szCs w:val="24"/>
        </w:rPr>
        <w:t>No data</w:t>
      </w:r>
      <w:r>
        <w:rPr>
          <w:szCs w:val="24"/>
        </w:rPr>
        <w:t xml:space="preserve"> are submitted to CDC using the </w:t>
      </w:r>
      <w:r w:rsidR="00A645A0">
        <w:rPr>
          <w:szCs w:val="24"/>
        </w:rPr>
        <w:t>reference tool</w:t>
      </w:r>
      <w:r>
        <w:rPr>
          <w:szCs w:val="24"/>
        </w:rPr>
        <w:t>; all data must be submitted electronically. As such, permission is requested</w:t>
      </w:r>
      <w:r w:rsidRPr="00850CF4">
        <w:rPr>
          <w:szCs w:val="24"/>
        </w:rPr>
        <w:t xml:space="preserve"> to exclude the expiration date </w:t>
      </w:r>
      <w:r>
        <w:rPr>
          <w:szCs w:val="24"/>
        </w:rPr>
        <w:t xml:space="preserve">from the </w:t>
      </w:r>
      <w:r w:rsidR="0080309A">
        <w:rPr>
          <w:szCs w:val="24"/>
        </w:rPr>
        <w:t>electronic reporting portal</w:t>
      </w:r>
      <w:r>
        <w:rPr>
          <w:szCs w:val="24"/>
        </w:rPr>
        <w:t>.</w:t>
      </w:r>
    </w:p>
    <w:p w:rsidR="004A13E8" w:rsidP="004A13E8" w14:paraId="55FE1828" w14:textId="77777777">
      <w:pPr>
        <w:pStyle w:val="Heading1"/>
      </w:pPr>
      <w:bookmarkStart w:id="29" w:name="_Toc473880034"/>
      <w:r>
        <w:t>Exceptions to Certification for Paperwork Reduction Act Submissions</w:t>
      </w:r>
      <w:bookmarkEnd w:id="29"/>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30" w:name="_Toc473880035"/>
      <w:r>
        <w:t>Attachments</w:t>
      </w:r>
      <w:bookmarkEnd w:id="30"/>
    </w:p>
    <w:p w:rsidR="004A13E8" w:rsidP="004A0034" w14:paraId="55FE182B" w14:textId="77777777">
      <w:pPr>
        <w:pStyle w:val="ListParagraph"/>
        <w:numPr>
          <w:ilvl w:val="0"/>
          <w:numId w:val="3"/>
        </w:numPr>
        <w:ind w:left="360"/>
      </w:pPr>
      <w:r>
        <w:t>Authorizing Legislation</w:t>
      </w:r>
    </w:p>
    <w:p w:rsidR="00AD2F36" w:rsidP="004A0034" w14:paraId="55FE182C" w14:textId="636E09B3">
      <w:pPr>
        <w:pStyle w:val="ListParagraph"/>
        <w:numPr>
          <w:ilvl w:val="0"/>
          <w:numId w:val="3"/>
        </w:numPr>
        <w:ind w:left="360"/>
      </w:pPr>
      <w:r>
        <w:t xml:space="preserve">Published </w:t>
      </w:r>
      <w:r>
        <w:t>60-Day FRN</w:t>
      </w:r>
    </w:p>
    <w:p w:rsidR="00AD2F36" w:rsidP="004A0034" w14:paraId="55FE182D" w14:textId="596F35BB">
      <w:pPr>
        <w:pStyle w:val="ListParagraph"/>
        <w:numPr>
          <w:ilvl w:val="0"/>
          <w:numId w:val="3"/>
        </w:numPr>
        <w:ind w:left="360"/>
      </w:pPr>
      <w:r>
        <w:t>Information Collection instrument</w:t>
      </w:r>
      <w:r w:rsidR="00ED6CEE">
        <w:t xml:space="preserve">, </w:t>
      </w:r>
      <w:r w:rsidR="00A645A0">
        <w:t>d</w:t>
      </w:r>
      <w:r w:rsidR="00ED6CEE">
        <w:t>ata dictionary for the National Outbreak Reporting System</w:t>
      </w:r>
    </w:p>
    <w:p w:rsidR="00ED6CEE" w:rsidRPr="00FF05FB" w:rsidP="00AB2B9F" w14:paraId="78606E2F" w14:textId="4E6FD39C">
      <w:pPr>
        <w:pStyle w:val="ListParagraph"/>
        <w:numPr>
          <w:ilvl w:val="0"/>
          <w:numId w:val="3"/>
        </w:numPr>
        <w:ind w:left="360"/>
      </w:pPr>
      <w:r w:rsidRPr="00ED6CEE">
        <w:t>Reference tool, NORS Foodborne Disease Transmission, Waterborne Disease Transmission, Person-to-Person Disease Transmission, Animal Contact, Environmental Contamination, Unknown Transmission Mode, Form 52.14</w:t>
      </w:r>
    </w:p>
    <w:p w:rsidR="00AD2F36" w:rsidP="00ED6CEE" w14:paraId="55FE182E" w14:textId="6D3EAF51">
      <w:pPr>
        <w:pStyle w:val="ListParagraph"/>
        <w:numPr>
          <w:ilvl w:val="0"/>
          <w:numId w:val="3"/>
        </w:numPr>
        <w:ind w:left="360"/>
      </w:pPr>
      <w:r>
        <w:t xml:space="preserve">Description of Documents </w:t>
      </w:r>
    </w:p>
    <w:p w:rsidR="00877305" w:rsidP="00ED6CEE" w14:paraId="15175FB0" w14:textId="6D0C86A8">
      <w:pPr>
        <w:pStyle w:val="ListParagraph"/>
        <w:numPr>
          <w:ilvl w:val="0"/>
          <w:numId w:val="3"/>
        </w:numPr>
        <w:ind w:left="360"/>
      </w:pPr>
      <w:r>
        <w:t xml:space="preserve">Privacy Impact Assessment </w:t>
      </w:r>
    </w:p>
    <w:p w:rsidR="00C639BB" w:rsidP="00ED6CEE" w14:paraId="05079F9B" w14:textId="15D6F646">
      <w:pPr>
        <w:pStyle w:val="ListParagraph"/>
        <w:numPr>
          <w:ilvl w:val="0"/>
          <w:numId w:val="3"/>
        </w:numPr>
        <w:ind w:left="360"/>
      </w:pPr>
      <w:r>
        <w:t xml:space="preserve">Human Subjects Determination </w:t>
      </w:r>
    </w:p>
    <w:p w:rsidR="00C813BC" w:rsidRPr="004A13E8" w:rsidP="00ED6CEE" w14:paraId="00C6A912" w14:textId="6B2B4708">
      <w:pPr>
        <w:pStyle w:val="ListParagraph"/>
        <w:numPr>
          <w:ilvl w:val="0"/>
          <w:numId w:val="3"/>
        </w:numPr>
        <w:ind w:left="360"/>
      </w:pPr>
      <w:r>
        <w:t xml:space="preserve">Public Comment </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0B06"/>
    <w:multiLevelType w:val="hybridMultilevel"/>
    <w:tmpl w:val="493030FA"/>
    <w:lvl w:ilvl="0">
      <w:start w:val="1"/>
      <w:numFmt w:val="upperLetter"/>
      <w:lvlText w:val="%1."/>
      <w:lvlJc w:val="left"/>
      <w:pPr>
        <w:ind w:left="810" w:hanging="360"/>
      </w:pPr>
      <w:rPr>
        <w:rFonts w:eastAsia="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6EE551B"/>
    <w:multiLevelType w:val="hybridMultilevel"/>
    <w:tmpl w:val="81DA0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4"/>
  </w:num>
  <w:num w:numId="2" w16cid:durableId="1268074816">
    <w:abstractNumId w:val="1"/>
  </w:num>
  <w:num w:numId="3" w16cid:durableId="433329173">
    <w:abstractNumId w:val="2"/>
  </w:num>
  <w:num w:numId="4" w16cid:durableId="1311208955">
    <w:abstractNumId w:val="0"/>
  </w:num>
  <w:num w:numId="5" w16cid:durableId="1349065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54421"/>
    <w:rsid w:val="0005699B"/>
    <w:rsid w:val="00077A77"/>
    <w:rsid w:val="000A5C12"/>
    <w:rsid w:val="000C1760"/>
    <w:rsid w:val="000F76C2"/>
    <w:rsid w:val="0010767A"/>
    <w:rsid w:val="00113E95"/>
    <w:rsid w:val="00124128"/>
    <w:rsid w:val="001250ED"/>
    <w:rsid w:val="001523DF"/>
    <w:rsid w:val="001804F9"/>
    <w:rsid w:val="00181DB5"/>
    <w:rsid w:val="00191653"/>
    <w:rsid w:val="001A1889"/>
    <w:rsid w:val="001A58BE"/>
    <w:rsid w:val="001E08A8"/>
    <w:rsid w:val="001F4427"/>
    <w:rsid w:val="002011D9"/>
    <w:rsid w:val="00231975"/>
    <w:rsid w:val="00237BB7"/>
    <w:rsid w:val="002441B9"/>
    <w:rsid w:val="0025156B"/>
    <w:rsid w:val="002527E5"/>
    <w:rsid w:val="00252E6F"/>
    <w:rsid w:val="00265D8C"/>
    <w:rsid w:val="002A15BE"/>
    <w:rsid w:val="002A7CC4"/>
    <w:rsid w:val="002C47A4"/>
    <w:rsid w:val="002C6735"/>
    <w:rsid w:val="002F1B39"/>
    <w:rsid w:val="00304BBB"/>
    <w:rsid w:val="00321D2B"/>
    <w:rsid w:val="003419B3"/>
    <w:rsid w:val="00357E78"/>
    <w:rsid w:val="003B2FB4"/>
    <w:rsid w:val="003C26A1"/>
    <w:rsid w:val="003F60CF"/>
    <w:rsid w:val="00410ABA"/>
    <w:rsid w:val="00413481"/>
    <w:rsid w:val="00432BE0"/>
    <w:rsid w:val="0043440D"/>
    <w:rsid w:val="00436957"/>
    <w:rsid w:val="00446A7C"/>
    <w:rsid w:val="00457614"/>
    <w:rsid w:val="00475514"/>
    <w:rsid w:val="004841D1"/>
    <w:rsid w:val="00490660"/>
    <w:rsid w:val="004A0034"/>
    <w:rsid w:val="004A13E8"/>
    <w:rsid w:val="004A6DE8"/>
    <w:rsid w:val="004C24FD"/>
    <w:rsid w:val="004D0CD2"/>
    <w:rsid w:val="00537A36"/>
    <w:rsid w:val="0054671A"/>
    <w:rsid w:val="00583FDC"/>
    <w:rsid w:val="0059127C"/>
    <w:rsid w:val="005D0E06"/>
    <w:rsid w:val="005D166F"/>
    <w:rsid w:val="00626D26"/>
    <w:rsid w:val="00653FB3"/>
    <w:rsid w:val="00674026"/>
    <w:rsid w:val="00693E6B"/>
    <w:rsid w:val="006C6578"/>
    <w:rsid w:val="006C6ADB"/>
    <w:rsid w:val="006F45C2"/>
    <w:rsid w:val="006F5A08"/>
    <w:rsid w:val="00713C81"/>
    <w:rsid w:val="007335B2"/>
    <w:rsid w:val="00766B83"/>
    <w:rsid w:val="00780DC1"/>
    <w:rsid w:val="00781CE1"/>
    <w:rsid w:val="007E3905"/>
    <w:rsid w:val="007F46E9"/>
    <w:rsid w:val="0080309A"/>
    <w:rsid w:val="00804687"/>
    <w:rsid w:val="0082375F"/>
    <w:rsid w:val="00827F0C"/>
    <w:rsid w:val="00830A0C"/>
    <w:rsid w:val="00843909"/>
    <w:rsid w:val="00850CF4"/>
    <w:rsid w:val="00877305"/>
    <w:rsid w:val="008B5D54"/>
    <w:rsid w:val="008C2A1E"/>
    <w:rsid w:val="008D5AEA"/>
    <w:rsid w:val="008F1415"/>
    <w:rsid w:val="00913A99"/>
    <w:rsid w:val="00936F63"/>
    <w:rsid w:val="00937D6B"/>
    <w:rsid w:val="00963E7C"/>
    <w:rsid w:val="009765E7"/>
    <w:rsid w:val="00984FE5"/>
    <w:rsid w:val="00997D0E"/>
    <w:rsid w:val="009A126C"/>
    <w:rsid w:val="009A79E1"/>
    <w:rsid w:val="009B0947"/>
    <w:rsid w:val="009B4620"/>
    <w:rsid w:val="00A046EF"/>
    <w:rsid w:val="00A60A0B"/>
    <w:rsid w:val="00A645A0"/>
    <w:rsid w:val="00A67086"/>
    <w:rsid w:val="00A74F29"/>
    <w:rsid w:val="00AB2B9F"/>
    <w:rsid w:val="00AC5C23"/>
    <w:rsid w:val="00AD2F36"/>
    <w:rsid w:val="00AE15A5"/>
    <w:rsid w:val="00B101C8"/>
    <w:rsid w:val="00B126B8"/>
    <w:rsid w:val="00B55735"/>
    <w:rsid w:val="00B608AC"/>
    <w:rsid w:val="00B64B9E"/>
    <w:rsid w:val="00B71662"/>
    <w:rsid w:val="00B76C45"/>
    <w:rsid w:val="00B77BD2"/>
    <w:rsid w:val="00B91400"/>
    <w:rsid w:val="00BA6B1A"/>
    <w:rsid w:val="00BC7BBC"/>
    <w:rsid w:val="00C00E6E"/>
    <w:rsid w:val="00C03B21"/>
    <w:rsid w:val="00C32380"/>
    <w:rsid w:val="00C543A0"/>
    <w:rsid w:val="00C553B7"/>
    <w:rsid w:val="00C639BB"/>
    <w:rsid w:val="00C70D29"/>
    <w:rsid w:val="00C813BC"/>
    <w:rsid w:val="00C82D4E"/>
    <w:rsid w:val="00C90B13"/>
    <w:rsid w:val="00CA3902"/>
    <w:rsid w:val="00CC5BB4"/>
    <w:rsid w:val="00CD2AA4"/>
    <w:rsid w:val="00D13EA1"/>
    <w:rsid w:val="00D42969"/>
    <w:rsid w:val="00D64D0A"/>
    <w:rsid w:val="00D952DF"/>
    <w:rsid w:val="00DC57CC"/>
    <w:rsid w:val="00DC74EE"/>
    <w:rsid w:val="00E06E3C"/>
    <w:rsid w:val="00E451EA"/>
    <w:rsid w:val="00E60F45"/>
    <w:rsid w:val="00E80D2C"/>
    <w:rsid w:val="00EA0B47"/>
    <w:rsid w:val="00EC1C28"/>
    <w:rsid w:val="00EC309D"/>
    <w:rsid w:val="00ED1E06"/>
    <w:rsid w:val="00ED419C"/>
    <w:rsid w:val="00ED6CEE"/>
    <w:rsid w:val="00EF7B22"/>
    <w:rsid w:val="00F00226"/>
    <w:rsid w:val="00F15936"/>
    <w:rsid w:val="00F548DB"/>
    <w:rsid w:val="00F56C86"/>
    <w:rsid w:val="00F97A17"/>
    <w:rsid w:val="00FE0398"/>
    <w:rsid w:val="00FF05FB"/>
    <w:rsid w:val="00FF40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Revision">
    <w:name w:val="Revision"/>
    <w:hidden/>
    <w:uiPriority w:val="99"/>
    <w:semiHidden/>
    <w:rsid w:val="00CC5BB4"/>
    <w:pPr>
      <w:spacing w:after="0" w:line="240" w:lineRule="auto"/>
    </w:pPr>
    <w:rPr>
      <w:rFonts w:ascii="Times New Roman" w:hAnsi="Times New Roman"/>
      <w:sz w:val="24"/>
    </w:rPr>
  </w:style>
  <w:style w:type="character" w:styleId="CommentReference">
    <w:name w:val="annotation reference"/>
    <w:basedOn w:val="DefaultParagraphFont"/>
    <w:semiHidden/>
    <w:unhideWhenUsed/>
    <w:rsid w:val="005D0E06"/>
    <w:rPr>
      <w:sz w:val="16"/>
      <w:szCs w:val="16"/>
    </w:rPr>
  </w:style>
  <w:style w:type="paragraph" w:styleId="CommentText">
    <w:name w:val="annotation text"/>
    <w:basedOn w:val="Normal"/>
    <w:link w:val="CommentTextChar"/>
    <w:unhideWhenUsed/>
    <w:rsid w:val="005D0E06"/>
    <w:pPr>
      <w:spacing w:line="240" w:lineRule="auto"/>
    </w:pPr>
    <w:rPr>
      <w:sz w:val="20"/>
      <w:szCs w:val="20"/>
    </w:rPr>
  </w:style>
  <w:style w:type="character" w:customStyle="1" w:styleId="CommentTextChar">
    <w:name w:val="Comment Text Char"/>
    <w:basedOn w:val="DefaultParagraphFont"/>
    <w:link w:val="CommentText"/>
    <w:rsid w:val="005D0E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D0E06"/>
    <w:rPr>
      <w:b/>
      <w:bCs/>
    </w:rPr>
  </w:style>
  <w:style w:type="character" w:customStyle="1" w:styleId="CommentSubjectChar">
    <w:name w:val="Comment Subject Char"/>
    <w:basedOn w:val="CommentTextChar"/>
    <w:link w:val="CommentSubject"/>
    <w:uiPriority w:val="99"/>
    <w:semiHidden/>
    <w:rsid w:val="005D0E0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4.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C21317-D8DA-4166-A653-ABCE83E313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10</cp:revision>
  <dcterms:created xsi:type="dcterms:W3CDTF">2025-08-07T12:55:00Z</dcterms:created>
  <dcterms:modified xsi:type="dcterms:W3CDTF">2025-08-07T14:08:00Z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