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5D6F89" w:rsidP="00CE5AA9" w14:paraId="22E2A2ED" w14:textId="77777777">
      <w:pPr>
        <w:tabs>
          <w:tab w:val="center" w:pos="4680"/>
        </w:tabs>
        <w:spacing w:before="120"/>
        <w:jc w:val="center"/>
        <w:rPr>
          <w:rFonts w:ascii="Arial" w:hAnsi="Arial" w:cs="Arial"/>
          <w:b/>
          <w:bCs/>
          <w:sz w:val="32"/>
          <w:szCs w:val="32"/>
        </w:rPr>
      </w:pPr>
      <w:r w:rsidRPr="005D6F89">
        <w:rPr>
          <w:rFonts w:ascii="Arial" w:hAnsi="Arial" w:cs="Arial"/>
          <w:b/>
          <w:bCs/>
          <w:sz w:val="32"/>
          <w:szCs w:val="32"/>
        </w:rPr>
        <w:t xml:space="preserve">Supporting </w:t>
      </w:r>
      <w:r w:rsidRPr="005D6F89">
        <w:rPr>
          <w:rFonts w:ascii="Arial" w:hAnsi="Arial" w:cs="Arial"/>
          <w:b/>
          <w:bCs/>
          <w:sz w:val="32"/>
          <w:szCs w:val="32"/>
        </w:rPr>
        <w:t>Statement</w:t>
      </w:r>
      <w:r w:rsidRPr="005D6F89">
        <w:rPr>
          <w:rFonts w:ascii="Arial" w:hAnsi="Arial" w:cs="Arial"/>
          <w:b/>
          <w:bCs/>
          <w:sz w:val="32"/>
          <w:szCs w:val="32"/>
        </w:rPr>
        <w:t xml:space="preserve"> A</w:t>
      </w:r>
    </w:p>
    <w:p w:rsidR="00BA1A0C" w:rsidRPr="005D6F89" w:rsidP="00CE5AA9" w14:paraId="22E2A2EE" w14:textId="77777777">
      <w:pPr>
        <w:tabs>
          <w:tab w:val="center" w:pos="4680"/>
        </w:tabs>
        <w:spacing w:before="120"/>
        <w:jc w:val="center"/>
        <w:rPr>
          <w:rFonts w:ascii="Arial" w:hAnsi="Arial" w:cs="Arial"/>
          <w:b/>
          <w:bCs/>
          <w:sz w:val="32"/>
          <w:szCs w:val="32"/>
        </w:rPr>
      </w:pPr>
    </w:p>
    <w:p w:rsidR="009B3794" w:rsidRPr="005D6F89" w:rsidP="00CE5AA9" w14:paraId="22E2A2EF" w14:textId="155FE510">
      <w:pPr>
        <w:tabs>
          <w:tab w:val="center" w:pos="4680"/>
        </w:tabs>
        <w:spacing w:before="120"/>
        <w:jc w:val="center"/>
        <w:rPr>
          <w:rFonts w:ascii="Arial" w:hAnsi="Arial" w:cs="Arial"/>
          <w:b/>
          <w:bCs/>
          <w:sz w:val="32"/>
          <w:szCs w:val="32"/>
        </w:rPr>
      </w:pPr>
      <w:r w:rsidRPr="005D6F89">
        <w:rPr>
          <w:rFonts w:ascii="Arial" w:hAnsi="Arial" w:cs="Arial"/>
          <w:b/>
          <w:bCs/>
          <w:sz w:val="32"/>
          <w:szCs w:val="32"/>
        </w:rPr>
        <w:t>Health Resources and Services Administration Maternal and Child Health Bureau Pediatric Mental Health Care Access Program National Impact Study</w:t>
      </w:r>
    </w:p>
    <w:p w:rsidR="00BA1A0C" w:rsidRPr="005D6F89" w:rsidP="00CE5AA9" w14:paraId="22E2A2F0" w14:textId="77777777">
      <w:pPr>
        <w:tabs>
          <w:tab w:val="center" w:pos="4680"/>
        </w:tabs>
        <w:spacing w:before="120"/>
        <w:jc w:val="center"/>
        <w:rPr>
          <w:rFonts w:ascii="Arial" w:hAnsi="Arial" w:cs="Arial"/>
          <w:b/>
          <w:bCs/>
          <w:sz w:val="32"/>
          <w:szCs w:val="32"/>
        </w:rPr>
      </w:pPr>
    </w:p>
    <w:p w:rsidR="00BA1A0C" w:rsidRPr="005D6F89" w:rsidP="00CE5AA9" w14:paraId="22E2A2F1" w14:textId="77777777">
      <w:pPr>
        <w:tabs>
          <w:tab w:val="center" w:pos="4680"/>
        </w:tabs>
        <w:spacing w:before="120"/>
        <w:jc w:val="center"/>
        <w:rPr>
          <w:rFonts w:ascii="Arial" w:hAnsi="Arial" w:cs="Arial"/>
          <w:b/>
          <w:bCs/>
          <w:sz w:val="32"/>
          <w:szCs w:val="32"/>
        </w:rPr>
      </w:pPr>
      <w:r w:rsidRPr="005D6F89">
        <w:rPr>
          <w:rFonts w:ascii="Arial" w:hAnsi="Arial" w:cs="Arial"/>
          <w:b/>
          <w:bCs/>
          <w:sz w:val="32"/>
          <w:szCs w:val="32"/>
        </w:rPr>
        <w:t>OMB Control No. 09</w:t>
      </w:r>
      <w:r w:rsidRPr="005D6F89" w:rsidR="00E34A1F">
        <w:rPr>
          <w:rFonts w:ascii="Arial" w:hAnsi="Arial" w:cs="Arial"/>
          <w:b/>
          <w:bCs/>
          <w:sz w:val="32"/>
          <w:szCs w:val="32"/>
        </w:rPr>
        <w:t>15</w:t>
      </w:r>
      <w:r w:rsidRPr="005D6F89">
        <w:rPr>
          <w:rFonts w:ascii="Arial" w:hAnsi="Arial" w:cs="Arial"/>
          <w:b/>
          <w:bCs/>
          <w:sz w:val="32"/>
          <w:szCs w:val="32"/>
        </w:rPr>
        <w:t>-XXXX</w:t>
      </w:r>
    </w:p>
    <w:p w:rsidR="00BA1A0C" w:rsidRPr="005D6F89" w:rsidP="00CE5AA9" w14:paraId="22E2A2F2" w14:textId="77777777">
      <w:pPr>
        <w:tabs>
          <w:tab w:val="center" w:pos="4680"/>
        </w:tabs>
        <w:spacing w:before="120"/>
        <w:jc w:val="center"/>
        <w:rPr>
          <w:rFonts w:ascii="Arial" w:hAnsi="Arial" w:cs="Arial"/>
          <w:b/>
          <w:bCs/>
          <w:sz w:val="32"/>
          <w:szCs w:val="32"/>
        </w:rPr>
      </w:pPr>
    </w:p>
    <w:p w:rsidR="009B3794" w:rsidRPr="005D6F89" w:rsidP="00CE5AA9" w14:paraId="22E2A2F3" w14:textId="77777777">
      <w:pPr>
        <w:tabs>
          <w:tab w:val="center" w:pos="4680"/>
        </w:tabs>
        <w:spacing w:before="120"/>
        <w:jc w:val="center"/>
        <w:rPr>
          <w:rFonts w:ascii="Arial" w:hAnsi="Arial" w:cs="Arial"/>
          <w:b/>
          <w:bCs/>
          <w:sz w:val="32"/>
          <w:szCs w:val="32"/>
        </w:rPr>
      </w:pPr>
    </w:p>
    <w:p w:rsidR="009B3794" w:rsidRPr="005D6F89" w:rsidP="00CE5AA9" w14:paraId="22E2A2F4" w14:textId="0C31587F">
      <w:pPr>
        <w:spacing w:before="120"/>
        <w:rPr>
          <w:rFonts w:ascii="Arial" w:hAnsi="Arial" w:cs="Arial"/>
          <w:b/>
          <w:sz w:val="24"/>
        </w:rPr>
      </w:pPr>
      <w:r w:rsidRPr="005D6F89">
        <w:rPr>
          <w:rFonts w:ascii="Arial" w:hAnsi="Arial" w:cs="Arial"/>
          <w:b/>
          <w:sz w:val="24"/>
        </w:rPr>
        <w:t>Terms of Clearance</w:t>
      </w:r>
      <w:r w:rsidRPr="005D6F89" w:rsidR="00BA1A0C">
        <w:rPr>
          <w:rFonts w:ascii="Arial" w:hAnsi="Arial" w:cs="Arial"/>
          <w:b/>
          <w:sz w:val="24"/>
        </w:rPr>
        <w:t>:</w:t>
      </w:r>
      <w:r w:rsidRPr="005D6F89" w:rsidR="00BA1A0C">
        <w:rPr>
          <w:rFonts w:ascii="Arial" w:hAnsi="Arial" w:cs="Arial"/>
          <w:sz w:val="24"/>
        </w:rPr>
        <w:t xml:space="preserve"> </w:t>
      </w:r>
      <w:r w:rsidRPr="005D6F89" w:rsidR="00D61FDA">
        <w:rPr>
          <w:rFonts w:ascii="Arial" w:hAnsi="Arial" w:cs="Arial"/>
          <w:sz w:val="24"/>
        </w:rPr>
        <w:t>None</w:t>
      </w:r>
      <w:r w:rsidRPr="005D6F89" w:rsidR="00BA1A0C">
        <w:rPr>
          <w:rFonts w:ascii="Arial" w:hAnsi="Arial" w:cs="Arial"/>
          <w:b/>
          <w:sz w:val="24"/>
        </w:rPr>
        <w:t xml:space="preserve"> </w:t>
      </w:r>
    </w:p>
    <w:p w:rsidR="009B3794" w:rsidRPr="005D6F89" w:rsidP="00CA3DA6" w14:paraId="22E2A2F5" w14:textId="77777777">
      <w:pPr>
        <w:spacing w:before="120"/>
        <w:rPr>
          <w:rFonts w:ascii="Arial" w:hAnsi="Arial" w:cs="Arial"/>
          <w:b/>
          <w:bCs/>
          <w:sz w:val="24"/>
        </w:rPr>
      </w:pPr>
      <w:r w:rsidRPr="005D6F89">
        <w:rPr>
          <w:rFonts w:ascii="Arial" w:hAnsi="Arial" w:cs="Arial"/>
          <w:b/>
          <w:bCs/>
          <w:sz w:val="24"/>
        </w:rPr>
        <w:t>A.</w:t>
      </w:r>
      <w:r w:rsidRPr="005D6F89">
        <w:rPr>
          <w:rFonts w:ascii="Arial" w:hAnsi="Arial" w:cs="Arial"/>
          <w:b/>
          <w:bCs/>
          <w:sz w:val="24"/>
        </w:rPr>
        <w:tab/>
        <w:t>Justification</w:t>
      </w:r>
    </w:p>
    <w:p w:rsidR="009B3794" w:rsidRPr="005D6F89" w:rsidP="00B81E5E" w14:paraId="22E2A2F6"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Circumstances Making the Collection of Information Necessary</w:t>
      </w:r>
    </w:p>
    <w:p w:rsidR="00A001F8" w:rsidRPr="005D6F89" w:rsidP="00A001F8" w14:paraId="54245D70" w14:textId="1A00E421">
      <w:pPr>
        <w:spacing w:before="120"/>
        <w:rPr>
          <w:rFonts w:ascii="Arial" w:hAnsi="Arial" w:cs="Arial"/>
          <w:color w:val="000000"/>
          <w:sz w:val="24"/>
        </w:rPr>
      </w:pPr>
      <w:r w:rsidRPr="005D6F89">
        <w:rPr>
          <w:rFonts w:ascii="Arial" w:hAnsi="Arial" w:cs="Arial"/>
          <w:color w:val="000000"/>
          <w:sz w:val="24"/>
        </w:rPr>
        <w:t>In compliance with Section 3506(c)(2)(A) of the Paperwork Reduction Act of 1995, this submission requests Office of Management and Budget (OMB) approval of a 3-year clearance for the Health Resources and Services Administration (HRSA) to examine the impact of the Maternal and Child Health Bureau (MCHB) Pediatric Mental Health Care Access (PMHCA) program</w:t>
      </w:r>
      <w:r w:rsidRPr="005D6F89" w:rsidR="00410493">
        <w:rPr>
          <w:rFonts w:ascii="Arial" w:hAnsi="Arial" w:cs="Arial"/>
          <w:color w:val="000000"/>
          <w:sz w:val="24"/>
        </w:rPr>
        <w:t xml:space="preserve"> (the Impact Study)</w:t>
      </w:r>
      <w:r w:rsidRPr="005D6F89">
        <w:rPr>
          <w:rFonts w:ascii="Arial" w:hAnsi="Arial" w:cs="Arial"/>
          <w:color w:val="000000"/>
          <w:sz w:val="24"/>
        </w:rPr>
        <w:t>. This project will collect data to provide HRSA with information to guide future program decisions regarding</w:t>
      </w:r>
      <w:r w:rsidRPr="005D6F89" w:rsidR="001D1C7E">
        <w:rPr>
          <w:rFonts w:ascii="Arial" w:hAnsi="Arial" w:cs="Arial"/>
          <w:color w:val="000000"/>
          <w:sz w:val="24"/>
        </w:rPr>
        <w:t xml:space="preserve"> the PMHCA </w:t>
      </w:r>
      <w:r w:rsidRPr="005D6F89" w:rsidR="00B9543B">
        <w:rPr>
          <w:rFonts w:ascii="Arial" w:hAnsi="Arial" w:cs="Arial"/>
          <w:color w:val="000000"/>
          <w:sz w:val="24"/>
        </w:rPr>
        <w:t>p</w:t>
      </w:r>
      <w:r w:rsidRPr="005D6F89" w:rsidR="001D1C7E">
        <w:rPr>
          <w:rFonts w:ascii="Arial" w:hAnsi="Arial" w:cs="Arial"/>
          <w:color w:val="000000"/>
          <w:sz w:val="24"/>
        </w:rPr>
        <w:t>rogram as it relates to</w:t>
      </w:r>
      <w:r w:rsidRPr="005D6F89" w:rsidR="004931BD">
        <w:rPr>
          <w:rFonts w:ascii="Arial" w:hAnsi="Arial" w:cs="Arial"/>
          <w:color w:val="000000"/>
          <w:sz w:val="24"/>
        </w:rPr>
        <w:t xml:space="preserve"> (1) the impact of HRSA’s PMHCA program on changes in children</w:t>
      </w:r>
      <w:r w:rsidRPr="005D6F89" w:rsidR="00C4025C">
        <w:rPr>
          <w:rFonts w:ascii="Arial" w:hAnsi="Arial" w:cs="Arial"/>
          <w:color w:val="000000"/>
          <w:sz w:val="24"/>
        </w:rPr>
        <w:t>/</w:t>
      </w:r>
      <w:r w:rsidRPr="005D6F89" w:rsidR="004931BD">
        <w:rPr>
          <w:rFonts w:ascii="Arial" w:hAnsi="Arial" w:cs="Arial"/>
          <w:color w:val="000000"/>
          <w:sz w:val="24"/>
        </w:rPr>
        <w:t xml:space="preserve">adolescents’ and </w:t>
      </w:r>
      <w:r w:rsidRPr="005D6F89" w:rsidR="00C4025C">
        <w:rPr>
          <w:rFonts w:ascii="Arial" w:hAnsi="Arial" w:cs="Arial"/>
          <w:color w:val="000000"/>
          <w:sz w:val="24"/>
        </w:rPr>
        <w:t xml:space="preserve">their </w:t>
      </w:r>
      <w:r w:rsidRPr="005D6F89" w:rsidR="004931BD">
        <w:rPr>
          <w:rFonts w:ascii="Arial" w:hAnsi="Arial" w:cs="Arial"/>
          <w:color w:val="000000"/>
          <w:sz w:val="24"/>
        </w:rPr>
        <w:t xml:space="preserve">families/caregivers’ access to behavioral health care; their subsequent receipt and utilization of </w:t>
      </w:r>
      <w:r w:rsidRPr="005D6F89" w:rsidR="00EB355A">
        <w:rPr>
          <w:rFonts w:ascii="Arial" w:hAnsi="Arial" w:cs="Arial"/>
          <w:color w:val="000000"/>
          <w:sz w:val="24"/>
        </w:rPr>
        <w:t>behavioral health care</w:t>
      </w:r>
      <w:r w:rsidRPr="005D6F89" w:rsidR="004931BD">
        <w:rPr>
          <w:rFonts w:ascii="Arial" w:hAnsi="Arial" w:cs="Arial"/>
          <w:color w:val="000000"/>
          <w:sz w:val="24"/>
        </w:rPr>
        <w:t xml:space="preserve"> services, including culturally and linguistically appropriate care</w:t>
      </w:r>
      <w:r w:rsidRPr="005D6F89" w:rsidR="0010150C">
        <w:rPr>
          <w:rFonts w:ascii="Arial" w:hAnsi="Arial" w:cs="Arial"/>
          <w:color w:val="000000"/>
          <w:sz w:val="24"/>
        </w:rPr>
        <w:t>;</w:t>
      </w:r>
      <w:r w:rsidRPr="005D6F89" w:rsidR="004931BD">
        <w:rPr>
          <w:rFonts w:ascii="Arial" w:hAnsi="Arial" w:cs="Arial"/>
          <w:color w:val="000000"/>
          <w:sz w:val="24"/>
        </w:rPr>
        <w:t xml:space="preserve"> and related </w:t>
      </w:r>
      <w:r w:rsidRPr="005D6F89" w:rsidR="00EB355A">
        <w:rPr>
          <w:rFonts w:ascii="Arial" w:hAnsi="Arial" w:cs="Arial"/>
          <w:color w:val="000000"/>
          <w:sz w:val="24"/>
        </w:rPr>
        <w:t>behavior health</w:t>
      </w:r>
      <w:r w:rsidRPr="005D6F89" w:rsidR="004931BD">
        <w:rPr>
          <w:rFonts w:ascii="Arial" w:hAnsi="Arial" w:cs="Arial"/>
          <w:color w:val="000000"/>
          <w:sz w:val="24"/>
        </w:rPr>
        <w:t xml:space="preserve"> impacts, and (2) monetary and societal PMHCA program cost</w:t>
      </w:r>
      <w:r w:rsidRPr="005D6F89" w:rsidR="00655385">
        <w:rPr>
          <w:rFonts w:ascii="Arial" w:hAnsi="Arial" w:cs="Arial"/>
          <w:color w:val="000000"/>
          <w:sz w:val="24"/>
        </w:rPr>
        <w:t xml:space="preserve">s and </w:t>
      </w:r>
      <w:r w:rsidRPr="005D6F89" w:rsidR="004931BD">
        <w:rPr>
          <w:rFonts w:ascii="Arial" w:hAnsi="Arial" w:cs="Arial"/>
          <w:color w:val="000000"/>
          <w:sz w:val="24"/>
        </w:rPr>
        <w:t>benefits.</w:t>
      </w:r>
      <w:r w:rsidRPr="005D6F89">
        <w:rPr>
          <w:rFonts w:ascii="Arial" w:hAnsi="Arial" w:cs="Arial"/>
          <w:color w:val="000000"/>
          <w:sz w:val="24"/>
        </w:rPr>
        <w:t xml:space="preserve"> </w:t>
      </w:r>
    </w:p>
    <w:p w:rsidR="0010150C" w:rsidRPr="005D6F89" w:rsidP="00A001F8" w14:paraId="34BAE750" w14:textId="5AE39F6B">
      <w:pPr>
        <w:spacing w:before="120"/>
        <w:rPr>
          <w:rFonts w:ascii="Arial" w:hAnsi="Arial" w:cs="Arial"/>
          <w:color w:val="000000"/>
          <w:sz w:val="24"/>
        </w:rPr>
      </w:pPr>
      <w:r w:rsidRPr="005D6F89">
        <w:rPr>
          <w:rFonts w:ascii="Arial" w:hAnsi="Arial" w:cs="Arial"/>
          <w:color w:val="000000"/>
          <w:sz w:val="24"/>
        </w:rPr>
        <w:t>Title X,</w:t>
      </w:r>
      <w:r w:rsidRPr="005D6F89" w:rsidR="003129C7">
        <w:rPr>
          <w:rFonts w:ascii="Arial" w:hAnsi="Arial" w:cs="Arial"/>
          <w:color w:val="000000"/>
          <w:sz w:val="24"/>
        </w:rPr>
        <w:t xml:space="preserve"> Section 1002 of the </w:t>
      </w:r>
      <w:r w:rsidRPr="005D6F89">
        <w:rPr>
          <w:rFonts w:ascii="Arial" w:hAnsi="Arial" w:cs="Arial"/>
          <w:color w:val="000000"/>
          <w:sz w:val="24"/>
        </w:rPr>
        <w:t>21</w:t>
      </w:r>
      <w:r w:rsidRPr="005D6F89">
        <w:rPr>
          <w:rFonts w:ascii="Arial" w:hAnsi="Arial" w:cs="Arial"/>
          <w:color w:val="000000"/>
          <w:sz w:val="24"/>
          <w:vertAlign w:val="superscript"/>
        </w:rPr>
        <w:t>st</w:t>
      </w:r>
      <w:r w:rsidRPr="005D6F89">
        <w:rPr>
          <w:rFonts w:ascii="Arial" w:hAnsi="Arial" w:cs="Arial"/>
          <w:color w:val="000000"/>
          <w:sz w:val="24"/>
        </w:rPr>
        <w:t xml:space="preserve"> Century </w:t>
      </w:r>
      <w:r w:rsidRPr="005D6F89" w:rsidR="003129C7">
        <w:rPr>
          <w:rFonts w:ascii="Arial" w:hAnsi="Arial" w:cs="Arial"/>
          <w:color w:val="000000"/>
          <w:sz w:val="24"/>
        </w:rPr>
        <w:t>Cures Act support</w:t>
      </w:r>
      <w:r w:rsidRPr="005D6F89">
        <w:rPr>
          <w:rFonts w:ascii="Arial" w:hAnsi="Arial" w:cs="Arial"/>
          <w:color w:val="000000"/>
          <w:sz w:val="24"/>
        </w:rPr>
        <w:t>ed</w:t>
      </w:r>
      <w:r w:rsidRPr="005D6F89" w:rsidR="003129C7">
        <w:rPr>
          <w:rFonts w:ascii="Arial" w:hAnsi="Arial" w:cs="Arial"/>
          <w:color w:val="000000"/>
          <w:sz w:val="24"/>
        </w:rPr>
        <w:t xml:space="preserve"> increased access to pediatric mental health care</w:t>
      </w:r>
      <w:r w:rsidRPr="005D6F89">
        <w:rPr>
          <w:rFonts w:ascii="Arial" w:hAnsi="Arial" w:cs="Arial"/>
          <w:color w:val="000000"/>
          <w:sz w:val="24"/>
        </w:rPr>
        <w:t xml:space="preserve"> and authorized</w:t>
      </w:r>
      <w:r w:rsidRPr="005D6F89" w:rsidR="00484B5A">
        <w:rPr>
          <w:rFonts w:ascii="Arial" w:hAnsi="Arial" w:cs="Arial"/>
          <w:color w:val="000000"/>
          <w:sz w:val="24"/>
        </w:rPr>
        <w:t xml:space="preserve"> funding to </w:t>
      </w:r>
      <w:r w:rsidRPr="005D6F89" w:rsidR="00484B5A">
        <w:rPr>
          <w:rFonts w:ascii="Arial" w:hAnsi="Arial" w:cs="Arial"/>
          <w:sz w:val="24"/>
        </w:rPr>
        <w:t>increase access to pediatric mental health care</w:t>
      </w:r>
      <w:r w:rsidRPr="005D6F89" w:rsidR="00484B5A">
        <w:rPr>
          <w:rFonts w:ascii="Arial" w:hAnsi="Arial" w:cs="Arial"/>
          <w:color w:val="000000"/>
          <w:sz w:val="24"/>
        </w:rPr>
        <w:t xml:space="preserve"> by supporting the development of new and </w:t>
      </w:r>
      <w:r w:rsidRPr="005D6F89">
        <w:rPr>
          <w:rFonts w:ascii="Arial" w:hAnsi="Arial" w:cs="Arial"/>
          <w:color w:val="000000"/>
          <w:sz w:val="24"/>
        </w:rPr>
        <w:t xml:space="preserve">the </w:t>
      </w:r>
      <w:r w:rsidRPr="005D6F89" w:rsidR="00484B5A">
        <w:rPr>
          <w:rFonts w:ascii="Arial" w:hAnsi="Arial" w:cs="Arial"/>
          <w:color w:val="000000"/>
          <w:sz w:val="24"/>
        </w:rPr>
        <w:t>expansion of existing PMHCA programs</w:t>
      </w:r>
      <w:r w:rsidRPr="005D6F89" w:rsidR="003129C7">
        <w:rPr>
          <w:rFonts w:ascii="Arial" w:hAnsi="Arial" w:cs="Arial"/>
          <w:color w:val="000000"/>
          <w:sz w:val="24"/>
        </w:rPr>
        <w:t>.</w:t>
      </w:r>
      <w:r w:rsidRPr="005D6F89" w:rsidR="004931BD">
        <w:rPr>
          <w:rFonts w:ascii="Arial" w:hAnsi="Arial" w:cs="Arial"/>
          <w:color w:val="000000"/>
          <w:sz w:val="24"/>
        </w:rPr>
        <w:t xml:space="preserve"> </w:t>
      </w:r>
      <w:r w:rsidRPr="005D6F89">
        <w:rPr>
          <w:rFonts w:ascii="Arial" w:hAnsi="Arial" w:cs="Arial"/>
          <w:color w:val="000000"/>
          <w:sz w:val="24"/>
        </w:rPr>
        <w:t xml:space="preserve">Section 10002 authorized the appropriation of $9 million each fiscal year (FY) for FYs 2018–2022 for this initiative. </w:t>
      </w:r>
    </w:p>
    <w:p w:rsidR="008773EA" w:rsidRPr="005D6F89" w:rsidP="00A001F8" w14:paraId="68D559A7" w14:textId="21AE9102">
      <w:pPr>
        <w:spacing w:before="120"/>
        <w:rPr>
          <w:rFonts w:ascii="Arial" w:hAnsi="Arial" w:cs="Arial"/>
          <w:color w:val="000000"/>
          <w:sz w:val="24"/>
        </w:rPr>
      </w:pPr>
      <w:r w:rsidRPr="005D6F89">
        <w:rPr>
          <w:rFonts w:ascii="Arial" w:hAnsi="Arial" w:cs="Arial"/>
          <w:color w:val="000000"/>
          <w:sz w:val="24"/>
        </w:rPr>
        <w:t>Section 2712 of the American Rescue Plan Act allowed for additional funding for PMHCA programs. In addition to amounts otherwise available, Section 2712 appropriate</w:t>
      </w:r>
      <w:r w:rsidRPr="005D6F89" w:rsidR="00655385">
        <w:rPr>
          <w:rFonts w:ascii="Arial" w:hAnsi="Arial" w:cs="Arial"/>
          <w:color w:val="000000"/>
          <w:sz w:val="24"/>
        </w:rPr>
        <w:t>d</w:t>
      </w:r>
      <w:r w:rsidRPr="005D6F89">
        <w:rPr>
          <w:rFonts w:ascii="Arial" w:hAnsi="Arial" w:cs="Arial"/>
          <w:color w:val="000000"/>
          <w:sz w:val="24"/>
        </w:rPr>
        <w:t xml:space="preserve"> to the Secretary of Health and Human Services for FY 2021, out of any money in the Treasury not otherwise appropriated, $80</w:t>
      </w:r>
      <w:r w:rsidRPr="005D6F89" w:rsidR="0010150C">
        <w:rPr>
          <w:rFonts w:ascii="Arial" w:hAnsi="Arial" w:cs="Arial"/>
          <w:color w:val="000000"/>
          <w:sz w:val="24"/>
        </w:rPr>
        <w:t xml:space="preserve"> million</w:t>
      </w:r>
      <w:r w:rsidRPr="005D6F89" w:rsidR="00B749F6">
        <w:rPr>
          <w:rFonts w:ascii="Arial" w:hAnsi="Arial" w:cs="Arial"/>
          <w:color w:val="000000"/>
          <w:sz w:val="24"/>
        </w:rPr>
        <w:t xml:space="preserve"> </w:t>
      </w:r>
      <w:r w:rsidRPr="005D6F89">
        <w:rPr>
          <w:rFonts w:ascii="Arial" w:hAnsi="Arial" w:cs="Arial"/>
          <w:color w:val="000000"/>
          <w:sz w:val="24"/>
        </w:rPr>
        <w:t>to remain available, until expended, for carrying out Section 330M of the Public Health Service Act (42 U.S.C. 254c–19).</w:t>
      </w:r>
      <w:r w:rsidRPr="005D6F89" w:rsidR="00655385">
        <w:rPr>
          <w:rFonts w:ascii="Arial" w:hAnsi="Arial" w:cs="Arial"/>
          <w:color w:val="000000"/>
          <w:sz w:val="24"/>
        </w:rPr>
        <w:t xml:space="preserve"> </w:t>
      </w:r>
    </w:p>
    <w:p w:rsidR="00484B5A" w:rsidRPr="005D6F89" w:rsidP="00A001F8" w14:paraId="1046029C" w14:textId="14DFE468">
      <w:pPr>
        <w:spacing w:before="120"/>
        <w:rPr>
          <w:rFonts w:ascii="Arial" w:hAnsi="Arial" w:cs="Arial"/>
          <w:color w:val="000000"/>
          <w:sz w:val="24"/>
        </w:rPr>
      </w:pPr>
      <w:r w:rsidRPr="005D6F89">
        <w:rPr>
          <w:rFonts w:ascii="Arial" w:hAnsi="Arial" w:cs="Arial"/>
          <w:color w:val="000000"/>
          <w:sz w:val="24"/>
        </w:rPr>
        <w:t xml:space="preserve">Section 11005 of the Bipartisan Safer Communities Act added new program requirements and allowed for additional funding for PMHCA programs. Section 11005 authorized the appropriation of $31 million each FY for FYs 2023–2027 for this initiative. </w:t>
      </w:r>
      <w:r w:rsidRPr="005D6F89" w:rsidR="00C4025C">
        <w:rPr>
          <w:rFonts w:ascii="Arial" w:hAnsi="Arial" w:cs="Arial"/>
          <w:color w:val="000000"/>
          <w:sz w:val="24"/>
        </w:rPr>
        <w:t xml:space="preserve">See </w:t>
      </w:r>
      <w:r w:rsidRPr="005D6F89" w:rsidR="00426401">
        <w:rPr>
          <w:rFonts w:ascii="Arial" w:hAnsi="Arial" w:cs="Arial"/>
          <w:color w:val="000000"/>
          <w:sz w:val="24"/>
        </w:rPr>
        <w:t>A</w:t>
      </w:r>
      <w:r w:rsidRPr="005D6F89" w:rsidR="00C62C9B">
        <w:rPr>
          <w:rFonts w:ascii="Arial" w:hAnsi="Arial" w:cs="Arial"/>
          <w:color w:val="000000"/>
          <w:sz w:val="24"/>
        </w:rPr>
        <w:t>ttachment</w:t>
      </w:r>
      <w:r w:rsidRPr="005D6F89" w:rsidR="00C4025C">
        <w:rPr>
          <w:rFonts w:ascii="Arial" w:hAnsi="Arial" w:cs="Arial"/>
          <w:color w:val="000000"/>
          <w:sz w:val="24"/>
        </w:rPr>
        <w:t xml:space="preserve"> </w:t>
      </w:r>
      <w:r w:rsidRPr="005D6F89" w:rsidR="00C62C9B">
        <w:rPr>
          <w:rFonts w:ascii="Arial" w:hAnsi="Arial" w:cs="Arial"/>
          <w:color w:val="000000"/>
          <w:sz w:val="24"/>
        </w:rPr>
        <w:t>A</w:t>
      </w:r>
      <w:r w:rsidR="00A6654C">
        <w:rPr>
          <w:rFonts w:ascii="Arial" w:hAnsi="Arial" w:cs="Arial"/>
          <w:color w:val="000000"/>
          <w:sz w:val="24"/>
        </w:rPr>
        <w:t>1</w:t>
      </w:r>
      <w:r w:rsidR="000A2308">
        <w:rPr>
          <w:rFonts w:ascii="Arial" w:hAnsi="Arial" w:cs="Arial"/>
          <w:color w:val="000000"/>
          <w:sz w:val="24"/>
        </w:rPr>
        <w:t xml:space="preserve"> for a description of the legislation</w:t>
      </w:r>
      <w:r w:rsidRPr="005D6F89" w:rsidR="00C4025C">
        <w:rPr>
          <w:rFonts w:ascii="Arial" w:hAnsi="Arial" w:cs="Arial"/>
          <w:color w:val="000000"/>
          <w:sz w:val="24"/>
        </w:rPr>
        <w:t xml:space="preserve">. </w:t>
      </w:r>
    </w:p>
    <w:p w:rsidR="00E46A4D" w:rsidRPr="005D6F89" w:rsidP="00A001F8" w14:paraId="6DD9B16D" w14:textId="6D86ACF3">
      <w:pPr>
        <w:spacing w:before="120"/>
        <w:rPr>
          <w:rFonts w:ascii="Arial" w:hAnsi="Arial" w:cs="Arial"/>
          <w:color w:val="000000"/>
          <w:sz w:val="24"/>
        </w:rPr>
      </w:pPr>
      <w:r w:rsidRPr="005D6F89">
        <w:rPr>
          <w:rFonts w:ascii="Arial" w:hAnsi="Arial" w:cs="Arial"/>
          <w:color w:val="000000"/>
          <w:sz w:val="24"/>
        </w:rPr>
        <w:t xml:space="preserve">HRSA-funded PMHCA programs aim to increase the identification and treatment of </w:t>
      </w:r>
      <w:r w:rsidRPr="005D6F89" w:rsidR="00EB355A">
        <w:rPr>
          <w:rFonts w:ascii="Arial" w:hAnsi="Arial" w:cs="Arial"/>
          <w:color w:val="000000"/>
          <w:sz w:val="24"/>
        </w:rPr>
        <w:t>behavioral health</w:t>
      </w:r>
      <w:r w:rsidRPr="005D6F89">
        <w:rPr>
          <w:rFonts w:ascii="Arial" w:hAnsi="Arial" w:cs="Arial"/>
          <w:color w:val="000000"/>
          <w:sz w:val="24"/>
        </w:rPr>
        <w:t xml:space="preserve"> conditions for children</w:t>
      </w:r>
      <w:r w:rsidRPr="005D6F89" w:rsidR="00C1423C">
        <w:rPr>
          <w:rFonts w:ascii="Arial" w:hAnsi="Arial" w:cs="Arial"/>
          <w:color w:val="000000"/>
          <w:sz w:val="24"/>
        </w:rPr>
        <w:t>/</w:t>
      </w:r>
      <w:r w:rsidRPr="005D6F89">
        <w:rPr>
          <w:rFonts w:ascii="Arial" w:hAnsi="Arial" w:cs="Arial"/>
          <w:color w:val="000000"/>
          <w:sz w:val="24"/>
        </w:rPr>
        <w:t>adolescents by:</w:t>
      </w:r>
    </w:p>
    <w:p w:rsidR="004057E7" w:rsidRPr="005D6F89" w:rsidP="005D6F89" w14:paraId="092ED083" w14:textId="4F913B5D">
      <w:pPr>
        <w:pStyle w:val="ListParagraph"/>
        <w:numPr>
          <w:ilvl w:val="0"/>
          <w:numId w:val="32"/>
        </w:numPr>
        <w:spacing w:before="120"/>
        <w:rPr>
          <w:rFonts w:ascii="Arial" w:hAnsi="Arial" w:cs="Arial"/>
          <w:color w:val="000000"/>
          <w:sz w:val="24"/>
        </w:rPr>
      </w:pPr>
      <w:r w:rsidRPr="005D6F89">
        <w:rPr>
          <w:rFonts w:ascii="Arial" w:hAnsi="Arial" w:cs="Arial"/>
          <w:color w:val="000000"/>
          <w:sz w:val="24"/>
        </w:rPr>
        <w:t>P</w:t>
      </w:r>
      <w:r w:rsidRPr="005D6F89" w:rsidR="00484B5A">
        <w:rPr>
          <w:rFonts w:ascii="Arial" w:hAnsi="Arial" w:cs="Arial"/>
          <w:color w:val="000000"/>
          <w:sz w:val="24"/>
        </w:rPr>
        <w:t xml:space="preserve">roviding </w:t>
      </w:r>
      <w:r w:rsidRPr="005D6F89" w:rsidR="004931BD">
        <w:rPr>
          <w:rFonts w:ascii="Arial" w:hAnsi="Arial" w:cs="Arial"/>
          <w:color w:val="000000"/>
          <w:sz w:val="24"/>
        </w:rPr>
        <w:t>support</w:t>
      </w:r>
      <w:r w:rsidRPr="005D6F89" w:rsidR="00484B5A">
        <w:rPr>
          <w:rFonts w:ascii="Arial" w:hAnsi="Arial" w:cs="Arial"/>
          <w:color w:val="000000"/>
          <w:sz w:val="24"/>
        </w:rPr>
        <w:t xml:space="preserve"> to</w:t>
      </w:r>
      <w:r w:rsidRPr="005D6F89" w:rsidR="004931BD">
        <w:rPr>
          <w:rFonts w:ascii="Arial" w:hAnsi="Arial" w:cs="Arial"/>
          <w:color w:val="000000"/>
          <w:sz w:val="24"/>
        </w:rPr>
        <w:t xml:space="preserve"> health professionals (HPs) in their delivery of high-quality and timely screening, assessment, treatment, and referrals for children</w:t>
      </w:r>
      <w:r w:rsidRPr="005D6F89" w:rsidR="00C1423C">
        <w:rPr>
          <w:rFonts w:ascii="Arial" w:hAnsi="Arial" w:cs="Arial"/>
          <w:color w:val="000000"/>
          <w:sz w:val="24"/>
        </w:rPr>
        <w:t>/</w:t>
      </w:r>
      <w:r w:rsidRPr="005D6F89" w:rsidR="004931BD">
        <w:rPr>
          <w:rFonts w:ascii="Arial" w:hAnsi="Arial" w:cs="Arial"/>
          <w:color w:val="000000"/>
          <w:sz w:val="24"/>
        </w:rPr>
        <w:t xml:space="preserve">adolescents with </w:t>
      </w:r>
      <w:r w:rsidRPr="005D6F89" w:rsidR="00EB355A">
        <w:rPr>
          <w:rFonts w:ascii="Arial" w:hAnsi="Arial" w:cs="Arial"/>
          <w:color w:val="000000"/>
          <w:sz w:val="24"/>
        </w:rPr>
        <w:t>behavioral health</w:t>
      </w:r>
      <w:r w:rsidRPr="005D6F89" w:rsidR="004931BD">
        <w:rPr>
          <w:rFonts w:ascii="Arial" w:hAnsi="Arial" w:cs="Arial"/>
          <w:color w:val="000000"/>
          <w:sz w:val="24"/>
        </w:rPr>
        <w:t xml:space="preserve"> conditions</w:t>
      </w:r>
      <w:r w:rsidRPr="005D6F89" w:rsidR="00E8326C">
        <w:rPr>
          <w:rFonts w:ascii="Arial" w:hAnsi="Arial" w:cs="Arial"/>
          <w:color w:val="000000"/>
          <w:sz w:val="24"/>
        </w:rPr>
        <w:t>,</w:t>
      </w:r>
      <w:r w:rsidRPr="005D6F89" w:rsidR="004931BD">
        <w:rPr>
          <w:rFonts w:ascii="Arial" w:hAnsi="Arial" w:cs="Arial"/>
          <w:color w:val="000000"/>
          <w:sz w:val="24"/>
        </w:rPr>
        <w:t xml:space="preserve"> through the provision of </w:t>
      </w:r>
      <w:r w:rsidRPr="005D6F89" w:rsidR="00484B5A">
        <w:rPr>
          <w:rFonts w:ascii="Arial" w:hAnsi="Arial" w:cs="Arial"/>
          <w:color w:val="000000"/>
          <w:sz w:val="24"/>
        </w:rPr>
        <w:t xml:space="preserve">clinical </w:t>
      </w:r>
      <w:r w:rsidRPr="005D6F89" w:rsidR="00EB355A">
        <w:rPr>
          <w:rFonts w:ascii="Arial" w:hAnsi="Arial" w:cs="Arial"/>
          <w:color w:val="000000"/>
          <w:sz w:val="24"/>
        </w:rPr>
        <w:t>behavioral health</w:t>
      </w:r>
      <w:r w:rsidRPr="005D6F89" w:rsidR="00484B5A">
        <w:rPr>
          <w:rFonts w:ascii="Arial" w:hAnsi="Arial" w:cs="Arial"/>
          <w:color w:val="000000"/>
          <w:sz w:val="24"/>
        </w:rPr>
        <w:t xml:space="preserve"> consultation</w:t>
      </w:r>
      <w:r w:rsidRPr="005D6F89" w:rsidR="004931BD">
        <w:rPr>
          <w:rFonts w:ascii="Arial" w:hAnsi="Arial" w:cs="Arial"/>
          <w:color w:val="000000"/>
          <w:sz w:val="24"/>
        </w:rPr>
        <w:t>, care coordination</w:t>
      </w:r>
      <w:r w:rsidRPr="005D6F89" w:rsidR="00484B5A">
        <w:rPr>
          <w:rFonts w:ascii="Arial" w:hAnsi="Arial" w:cs="Arial"/>
          <w:color w:val="000000"/>
          <w:sz w:val="24"/>
        </w:rPr>
        <w:t xml:space="preserve"> support services (i.e., communication/collaboration, accessing resources, referral services)</w:t>
      </w:r>
      <w:r w:rsidRPr="005D6F89" w:rsidR="003129C7">
        <w:rPr>
          <w:rFonts w:ascii="Arial" w:hAnsi="Arial" w:cs="Arial"/>
          <w:color w:val="000000"/>
          <w:sz w:val="24"/>
        </w:rPr>
        <w:t>, and training to HPs</w:t>
      </w:r>
    </w:p>
    <w:p w:rsidR="004057E7" w:rsidRPr="005D6F89" w:rsidP="005D6F89" w14:paraId="243E3636" w14:textId="04C99134">
      <w:pPr>
        <w:pStyle w:val="ListParagraph"/>
        <w:numPr>
          <w:ilvl w:val="0"/>
          <w:numId w:val="32"/>
        </w:numPr>
        <w:spacing w:before="120"/>
        <w:rPr>
          <w:rFonts w:ascii="Arial" w:hAnsi="Arial" w:cs="Arial"/>
          <w:color w:val="000000"/>
          <w:sz w:val="24"/>
        </w:rPr>
      </w:pPr>
      <w:r w:rsidRPr="005D6F89">
        <w:rPr>
          <w:rFonts w:ascii="Arial" w:hAnsi="Arial" w:cs="Arial"/>
          <w:color w:val="000000"/>
          <w:sz w:val="24"/>
        </w:rPr>
        <w:t>I</w:t>
      </w:r>
      <w:r w:rsidRPr="005D6F89" w:rsidR="003129C7">
        <w:rPr>
          <w:rFonts w:ascii="Arial" w:hAnsi="Arial" w:cs="Arial"/>
          <w:color w:val="000000"/>
          <w:sz w:val="24"/>
        </w:rPr>
        <w:t>ncreasing access to clinical interventions, including by telehealth</w:t>
      </w:r>
    </w:p>
    <w:p w:rsidR="003129C7" w:rsidRPr="005D6F89" w:rsidP="004057E7" w14:paraId="25D3B7BE" w14:textId="36A173DF">
      <w:pPr>
        <w:spacing w:before="120"/>
        <w:rPr>
          <w:rFonts w:ascii="Arial" w:hAnsi="Arial" w:cs="Arial"/>
          <w:color w:val="000000"/>
          <w:sz w:val="24"/>
        </w:rPr>
      </w:pPr>
      <w:r w:rsidRPr="005D6F89">
        <w:rPr>
          <w:rFonts w:ascii="Arial" w:hAnsi="Arial" w:cs="Arial"/>
          <w:color w:val="000000"/>
          <w:sz w:val="24"/>
        </w:rPr>
        <w:t xml:space="preserve">PMHCA recipients also focus on achieving health equity related to racial, ethnic, and geographic disparities in access to care, especially in rural and other underserved areas. </w:t>
      </w:r>
    </w:p>
    <w:p w:rsidR="00A001F8" w:rsidRPr="005D6F89" w:rsidP="00A001F8" w14:paraId="54E39C47" w14:textId="57FE28D0">
      <w:pPr>
        <w:spacing w:before="120"/>
        <w:rPr>
          <w:rFonts w:ascii="Arial" w:hAnsi="Arial" w:cs="Arial"/>
          <w:color w:val="000000"/>
          <w:sz w:val="24"/>
        </w:rPr>
      </w:pPr>
      <w:r w:rsidRPr="005D6F89">
        <w:rPr>
          <w:rFonts w:ascii="Arial" w:hAnsi="Arial" w:cs="Arial"/>
          <w:color w:val="000000"/>
          <w:sz w:val="24"/>
        </w:rPr>
        <w:t>JBS International, Inc. (JBS)</w:t>
      </w:r>
      <w:r w:rsidRPr="005D6F89" w:rsidR="00CF1DE6">
        <w:rPr>
          <w:rFonts w:ascii="Arial" w:hAnsi="Arial" w:cs="Arial"/>
          <w:color w:val="000000"/>
          <w:sz w:val="24"/>
        </w:rPr>
        <w:t xml:space="preserve"> will implement the Impact Study</w:t>
      </w:r>
      <w:r w:rsidRPr="005D6F89">
        <w:rPr>
          <w:rFonts w:ascii="Arial" w:hAnsi="Arial" w:cs="Arial"/>
          <w:color w:val="000000"/>
          <w:sz w:val="24"/>
        </w:rPr>
        <w:t xml:space="preserve"> as part of a contract that is funded by HRSA </w:t>
      </w:r>
      <w:r w:rsidRPr="005D6F89" w:rsidR="003129C7">
        <w:rPr>
          <w:rFonts w:ascii="Arial" w:hAnsi="Arial" w:cs="Arial"/>
          <w:color w:val="000000"/>
          <w:sz w:val="24"/>
        </w:rPr>
        <w:t xml:space="preserve">(Contract Number: 75R60219D00046/Task Number: 75R60223F34003). </w:t>
      </w:r>
    </w:p>
    <w:p w:rsidR="009B3794" w:rsidRPr="005D6F89" w:rsidP="00B81E5E" w14:paraId="22E2A2FB"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Purpose and Use of Information Collection</w:t>
      </w:r>
    </w:p>
    <w:p w:rsidR="002828AD" w:rsidRPr="005D6F89" w:rsidP="002828AD" w14:paraId="3AD90F16" w14:textId="2F3C8049">
      <w:pPr>
        <w:spacing w:before="120"/>
        <w:rPr>
          <w:rFonts w:ascii="Arial" w:hAnsi="Arial" w:cs="Arial"/>
          <w:color w:val="000000"/>
          <w:sz w:val="24"/>
        </w:rPr>
      </w:pPr>
      <w:r w:rsidRPr="005D6F89">
        <w:rPr>
          <w:rFonts w:ascii="Arial" w:hAnsi="Arial" w:cs="Arial"/>
          <w:bCs/>
          <w:color w:val="000000"/>
          <w:sz w:val="24"/>
        </w:rPr>
        <w:t xml:space="preserve">As stated in Section A.1, the goal of this project is to provide HRSA with information to guide future program decisions </w:t>
      </w:r>
      <w:r w:rsidRPr="005D6F89">
        <w:rPr>
          <w:rFonts w:ascii="Arial" w:hAnsi="Arial" w:cs="Arial"/>
          <w:color w:val="000000"/>
          <w:sz w:val="24"/>
        </w:rPr>
        <w:t xml:space="preserve">regarding the PMHCA </w:t>
      </w:r>
      <w:r w:rsidRPr="005D6F89" w:rsidR="00776698">
        <w:rPr>
          <w:rFonts w:ascii="Arial" w:hAnsi="Arial" w:cs="Arial"/>
          <w:color w:val="000000"/>
          <w:sz w:val="24"/>
        </w:rPr>
        <w:t>p</w:t>
      </w:r>
      <w:r w:rsidRPr="005D6F89">
        <w:rPr>
          <w:rFonts w:ascii="Arial" w:hAnsi="Arial" w:cs="Arial"/>
          <w:color w:val="000000"/>
          <w:sz w:val="24"/>
        </w:rPr>
        <w:t>rogram as it relates to (1) the impact of HRSA’s PMHCA program on changes in children</w:t>
      </w:r>
      <w:r w:rsidRPr="005D6F89" w:rsidR="00C4025C">
        <w:rPr>
          <w:rFonts w:ascii="Arial" w:hAnsi="Arial" w:cs="Arial"/>
          <w:color w:val="000000"/>
          <w:sz w:val="24"/>
        </w:rPr>
        <w:t>/</w:t>
      </w:r>
      <w:r w:rsidRPr="005D6F89">
        <w:rPr>
          <w:rFonts w:ascii="Arial" w:hAnsi="Arial" w:cs="Arial"/>
          <w:color w:val="000000"/>
          <w:sz w:val="24"/>
        </w:rPr>
        <w:t xml:space="preserve">adolescents’ and </w:t>
      </w:r>
      <w:r w:rsidRPr="005D6F89" w:rsidR="00C4025C">
        <w:rPr>
          <w:rFonts w:ascii="Arial" w:hAnsi="Arial" w:cs="Arial"/>
          <w:color w:val="000000"/>
          <w:sz w:val="24"/>
        </w:rPr>
        <w:t xml:space="preserve">their </w:t>
      </w:r>
      <w:r w:rsidRPr="005D6F89">
        <w:rPr>
          <w:rFonts w:ascii="Arial" w:hAnsi="Arial" w:cs="Arial"/>
          <w:color w:val="000000"/>
          <w:sz w:val="24"/>
        </w:rPr>
        <w:t xml:space="preserve">families/caregivers’ access to behavioral health care; their subsequent receipt and utilization of </w:t>
      </w:r>
      <w:r w:rsidRPr="005D6F89" w:rsidR="00EB355A">
        <w:rPr>
          <w:rFonts w:ascii="Arial" w:hAnsi="Arial" w:cs="Arial"/>
          <w:color w:val="000000"/>
          <w:sz w:val="24"/>
        </w:rPr>
        <w:t>behavioral health care</w:t>
      </w:r>
      <w:r w:rsidRPr="005D6F89">
        <w:rPr>
          <w:rFonts w:ascii="Arial" w:hAnsi="Arial" w:cs="Arial"/>
          <w:color w:val="000000"/>
          <w:sz w:val="24"/>
        </w:rPr>
        <w:t xml:space="preserve"> services, including culturally and linguistically appropriate care</w:t>
      </w:r>
      <w:r w:rsidRPr="005D6F89" w:rsidR="00B926E1">
        <w:rPr>
          <w:rFonts w:ascii="Arial" w:hAnsi="Arial" w:cs="Arial"/>
          <w:color w:val="000000"/>
          <w:sz w:val="24"/>
        </w:rPr>
        <w:t>;</w:t>
      </w:r>
      <w:r w:rsidRPr="005D6F89">
        <w:rPr>
          <w:rFonts w:ascii="Arial" w:hAnsi="Arial" w:cs="Arial"/>
          <w:color w:val="000000"/>
          <w:sz w:val="24"/>
        </w:rPr>
        <w:t xml:space="preserve"> and related </w:t>
      </w:r>
      <w:r w:rsidRPr="005D6F89" w:rsidR="00EB355A">
        <w:rPr>
          <w:rFonts w:ascii="Arial" w:hAnsi="Arial" w:cs="Arial"/>
          <w:color w:val="000000"/>
          <w:sz w:val="24"/>
        </w:rPr>
        <w:t>behavioral health</w:t>
      </w:r>
      <w:r w:rsidRPr="005D6F89">
        <w:rPr>
          <w:rFonts w:ascii="Arial" w:hAnsi="Arial" w:cs="Arial"/>
          <w:color w:val="000000"/>
          <w:sz w:val="24"/>
        </w:rPr>
        <w:t xml:space="preserve"> impacts, and (2) monetary and societal PMHCA program cost</w:t>
      </w:r>
      <w:r w:rsidRPr="005D6F89" w:rsidR="00975CA1">
        <w:rPr>
          <w:rFonts w:ascii="Arial" w:hAnsi="Arial" w:cs="Arial"/>
          <w:color w:val="000000"/>
          <w:sz w:val="24"/>
        </w:rPr>
        <w:t xml:space="preserve">s and </w:t>
      </w:r>
      <w:r w:rsidRPr="005D6F89">
        <w:rPr>
          <w:rFonts w:ascii="Arial" w:hAnsi="Arial" w:cs="Arial"/>
          <w:color w:val="000000"/>
          <w:sz w:val="24"/>
        </w:rPr>
        <w:t xml:space="preserve">benefits. </w:t>
      </w:r>
    </w:p>
    <w:p w:rsidR="00B65945" w:rsidRPr="005D6F89" w:rsidP="00B65945" w14:paraId="7BE270BA" w14:textId="54748D92">
      <w:pPr>
        <w:widowControl/>
        <w:autoSpaceDE/>
        <w:autoSpaceDN/>
        <w:adjustRightInd/>
        <w:spacing w:before="120"/>
        <w:rPr>
          <w:rFonts w:ascii="Arial" w:hAnsi="Arial" w:cs="Arial"/>
          <w:bCs/>
          <w:color w:val="000000"/>
          <w:sz w:val="24"/>
        </w:rPr>
      </w:pPr>
      <w:r w:rsidRPr="005D6F89">
        <w:rPr>
          <w:rFonts w:ascii="Arial" w:hAnsi="Arial" w:cs="Arial"/>
          <w:bCs/>
          <w:color w:val="000000"/>
          <w:sz w:val="24"/>
        </w:rPr>
        <w:t xml:space="preserve">The </w:t>
      </w:r>
      <w:r w:rsidRPr="005D6F89" w:rsidR="00B926E1">
        <w:rPr>
          <w:rFonts w:ascii="Arial" w:hAnsi="Arial" w:cs="Arial"/>
          <w:bCs/>
          <w:color w:val="000000"/>
          <w:sz w:val="24"/>
        </w:rPr>
        <w:t xml:space="preserve">Impact Study </w:t>
      </w:r>
      <w:r w:rsidRPr="005D6F89">
        <w:rPr>
          <w:rFonts w:ascii="Arial" w:hAnsi="Arial" w:cs="Arial"/>
          <w:bCs/>
          <w:color w:val="000000"/>
          <w:sz w:val="24"/>
        </w:rPr>
        <w:t>uses a mixed methods design with data collection activities</w:t>
      </w:r>
      <w:r w:rsidR="00AD7D74">
        <w:rPr>
          <w:rFonts w:ascii="Arial" w:hAnsi="Arial" w:cs="Arial"/>
          <w:bCs/>
          <w:color w:val="000000"/>
          <w:sz w:val="24"/>
        </w:rPr>
        <w:t xml:space="preserve"> with participants in</w:t>
      </w:r>
      <w:r w:rsidRPr="005D6F89">
        <w:rPr>
          <w:rFonts w:ascii="Arial" w:hAnsi="Arial" w:cs="Arial"/>
          <w:bCs/>
          <w:color w:val="000000"/>
          <w:sz w:val="24"/>
        </w:rPr>
        <w:t xml:space="preserve"> all HRSA MCHB PMHCA award</w:t>
      </w:r>
      <w:r w:rsidR="00AD7D74">
        <w:rPr>
          <w:rFonts w:ascii="Arial" w:hAnsi="Arial" w:cs="Arial"/>
          <w:bCs/>
          <w:color w:val="000000"/>
          <w:sz w:val="24"/>
        </w:rPr>
        <w:t xml:space="preserve"> recipient programs that were funded in 2021, 2022, and 2023</w:t>
      </w:r>
      <w:r w:rsidRPr="005D6F89">
        <w:rPr>
          <w:rFonts w:ascii="Arial" w:hAnsi="Arial" w:cs="Arial"/>
          <w:bCs/>
          <w:color w:val="000000"/>
          <w:sz w:val="24"/>
        </w:rPr>
        <w:t>. Methodologies for this study include a survey (</w:t>
      </w:r>
      <w:r w:rsidRPr="005D6F89" w:rsidR="002828AD">
        <w:rPr>
          <w:rFonts w:ascii="Arial" w:hAnsi="Arial" w:cs="Arial"/>
          <w:bCs/>
          <w:color w:val="000000"/>
          <w:sz w:val="24"/>
        </w:rPr>
        <w:t>i.e</w:t>
      </w:r>
      <w:r w:rsidRPr="005D6F89">
        <w:rPr>
          <w:rFonts w:ascii="Arial" w:hAnsi="Arial" w:cs="Arial"/>
          <w:bCs/>
          <w:color w:val="000000"/>
          <w:sz w:val="24"/>
        </w:rPr>
        <w:t xml:space="preserve">., online, mailed) and </w:t>
      </w:r>
      <w:r w:rsidRPr="005D6F89" w:rsidR="00C4025C">
        <w:rPr>
          <w:rFonts w:ascii="Arial" w:hAnsi="Arial" w:cs="Arial"/>
          <w:bCs/>
          <w:color w:val="000000"/>
          <w:sz w:val="24"/>
        </w:rPr>
        <w:t xml:space="preserve">virtual </w:t>
      </w:r>
      <w:r w:rsidRPr="005D6F89">
        <w:rPr>
          <w:rFonts w:ascii="Arial" w:hAnsi="Arial" w:cs="Arial"/>
          <w:bCs/>
          <w:color w:val="000000"/>
          <w:sz w:val="24"/>
        </w:rPr>
        <w:t xml:space="preserve">focus group discussions (FGDs). </w:t>
      </w:r>
    </w:p>
    <w:p w:rsidR="00B65945" w:rsidP="00B65945" w14:paraId="390B9A43" w14:textId="00C7E52F">
      <w:pPr>
        <w:widowControl/>
        <w:autoSpaceDE/>
        <w:autoSpaceDN/>
        <w:adjustRightInd/>
        <w:spacing w:before="120"/>
        <w:rPr>
          <w:rFonts w:ascii="Arial" w:hAnsi="Arial" w:cs="Arial"/>
          <w:bCs/>
          <w:color w:val="000000"/>
          <w:sz w:val="24"/>
        </w:rPr>
      </w:pPr>
      <w:r w:rsidRPr="005D6F89">
        <w:rPr>
          <w:rFonts w:ascii="Arial" w:hAnsi="Arial" w:cs="Arial"/>
          <w:bCs/>
          <w:color w:val="000000"/>
          <w:sz w:val="24"/>
        </w:rPr>
        <w:t>As indicated in Exhibit 1 below, the project will collect survey data from HPs enrolled</w:t>
      </w:r>
      <w:r w:rsidRPr="005D6F89" w:rsidR="002828AD">
        <w:rPr>
          <w:rFonts w:ascii="Arial" w:hAnsi="Arial" w:cs="Arial"/>
          <w:bCs/>
          <w:color w:val="000000"/>
          <w:sz w:val="24"/>
        </w:rPr>
        <w:t xml:space="preserve"> and/or </w:t>
      </w:r>
      <w:r w:rsidRPr="005D6F89">
        <w:rPr>
          <w:rFonts w:ascii="Arial" w:hAnsi="Arial" w:cs="Arial"/>
          <w:bCs/>
          <w:color w:val="000000"/>
          <w:sz w:val="24"/>
        </w:rPr>
        <w:t xml:space="preserve">participating in the 2021, 2022, and 2023 PMHCA programs and conduct </w:t>
      </w:r>
      <w:r w:rsidRPr="005D6F89" w:rsidR="00625189">
        <w:rPr>
          <w:rFonts w:ascii="Arial" w:hAnsi="Arial" w:cs="Arial"/>
          <w:bCs/>
          <w:color w:val="000000"/>
          <w:sz w:val="24"/>
        </w:rPr>
        <w:t>FGDs with</w:t>
      </w:r>
      <w:r w:rsidRPr="005D6F89">
        <w:rPr>
          <w:rFonts w:ascii="Arial" w:hAnsi="Arial" w:cs="Arial"/>
          <w:bCs/>
          <w:color w:val="000000"/>
          <w:sz w:val="24"/>
        </w:rPr>
        <w:t xml:space="preserve"> families</w:t>
      </w:r>
      <w:r w:rsidRPr="005D6F89" w:rsidR="002828AD">
        <w:rPr>
          <w:rFonts w:ascii="Arial" w:hAnsi="Arial" w:cs="Arial"/>
          <w:bCs/>
          <w:color w:val="000000"/>
          <w:sz w:val="24"/>
        </w:rPr>
        <w:t>/</w:t>
      </w:r>
      <w:r w:rsidRPr="005D6F89">
        <w:rPr>
          <w:rFonts w:ascii="Arial" w:hAnsi="Arial" w:cs="Arial"/>
          <w:bCs/>
          <w:color w:val="000000"/>
          <w:sz w:val="24"/>
        </w:rPr>
        <w:t xml:space="preserve">caregivers who have sought and/or received </w:t>
      </w:r>
      <w:r w:rsidRPr="005D6F89" w:rsidR="00EB355A">
        <w:rPr>
          <w:rFonts w:ascii="Arial" w:hAnsi="Arial" w:cs="Arial"/>
          <w:bCs/>
          <w:color w:val="000000"/>
          <w:sz w:val="24"/>
        </w:rPr>
        <w:t>behavioral health care</w:t>
      </w:r>
      <w:r w:rsidRPr="005D6F89">
        <w:rPr>
          <w:rFonts w:ascii="Arial" w:hAnsi="Arial" w:cs="Arial"/>
          <w:bCs/>
          <w:color w:val="000000"/>
          <w:sz w:val="24"/>
        </w:rPr>
        <w:t xml:space="preserve"> for their child(ren)/adolescent(s)</w:t>
      </w:r>
      <w:r w:rsidRPr="005D6F89" w:rsidR="008267A6">
        <w:rPr>
          <w:rFonts w:ascii="Arial" w:hAnsi="Arial" w:cs="Arial"/>
          <w:bCs/>
          <w:color w:val="000000"/>
          <w:sz w:val="24"/>
        </w:rPr>
        <w:t>,</w:t>
      </w:r>
      <w:r w:rsidRPr="005D6F89" w:rsidR="00C4025C">
        <w:rPr>
          <w:rFonts w:ascii="Arial" w:hAnsi="Arial" w:cs="Arial"/>
          <w:bCs/>
          <w:color w:val="000000"/>
          <w:sz w:val="24"/>
        </w:rPr>
        <w:t xml:space="preserve"> </w:t>
      </w:r>
      <w:r w:rsidRPr="005D6F89" w:rsidR="00975CA1">
        <w:rPr>
          <w:rFonts w:ascii="Arial" w:hAnsi="Arial" w:cs="Arial"/>
          <w:bCs/>
          <w:color w:val="000000"/>
          <w:sz w:val="24"/>
        </w:rPr>
        <w:t xml:space="preserve">as </w:t>
      </w:r>
      <w:r w:rsidRPr="005D6F89" w:rsidR="00C4025C">
        <w:rPr>
          <w:rFonts w:ascii="Arial" w:hAnsi="Arial" w:cs="Arial"/>
          <w:bCs/>
          <w:color w:val="000000"/>
          <w:sz w:val="24"/>
        </w:rPr>
        <w:t>identified by 2021, 2022, and 2023 PMHCA programs</w:t>
      </w:r>
      <w:r w:rsidRPr="005D6F89">
        <w:rPr>
          <w:rFonts w:ascii="Arial" w:hAnsi="Arial" w:cs="Arial"/>
          <w:bCs/>
          <w:color w:val="000000"/>
          <w:sz w:val="24"/>
        </w:rPr>
        <w:t>.</w:t>
      </w:r>
      <w:r w:rsidR="00AD7D74">
        <w:rPr>
          <w:rFonts w:ascii="Arial" w:hAnsi="Arial" w:cs="Arial"/>
          <w:bCs/>
          <w:color w:val="000000"/>
          <w:sz w:val="24"/>
        </w:rPr>
        <w:t xml:space="preserve"> </w:t>
      </w:r>
      <w:r w:rsidR="00290917">
        <w:rPr>
          <w:rFonts w:ascii="Arial" w:hAnsi="Arial" w:cs="Arial"/>
          <w:bCs/>
          <w:color w:val="000000"/>
          <w:sz w:val="24"/>
        </w:rPr>
        <w:t>Additionally, families/caregivers identified by the PMHCA programs to participate in the Family/Caregiver FGD will be asked demographic questions (Family/Caregiver Demographic Questionnaire) over the phone for the purpose of FGD</w:t>
      </w:r>
      <w:r w:rsidR="00AD7D74">
        <w:rPr>
          <w:rFonts w:ascii="Arial" w:hAnsi="Arial" w:cs="Arial"/>
          <w:bCs/>
          <w:color w:val="000000"/>
          <w:sz w:val="24"/>
        </w:rPr>
        <w:t xml:space="preserve"> </w:t>
      </w:r>
      <w:r w:rsidR="00290917">
        <w:rPr>
          <w:rFonts w:ascii="Arial" w:hAnsi="Arial" w:cs="Arial"/>
          <w:bCs/>
          <w:color w:val="000000"/>
          <w:sz w:val="24"/>
        </w:rPr>
        <w:t xml:space="preserve">sampling and to </w:t>
      </w:r>
      <w:r w:rsidR="00290917">
        <w:rPr>
          <w:rFonts w:ascii="Arial" w:hAnsi="Arial" w:cs="Arial"/>
          <w:bCs/>
          <w:color w:val="000000"/>
          <w:sz w:val="24"/>
        </w:rPr>
        <w:t xml:space="preserve">inform qualitative analyses. </w:t>
      </w:r>
      <w:r w:rsidRPr="005D6F89">
        <w:rPr>
          <w:rFonts w:ascii="Arial" w:hAnsi="Arial" w:cs="Arial"/>
          <w:bCs/>
          <w:color w:val="000000"/>
          <w:sz w:val="24"/>
        </w:rPr>
        <w:t xml:space="preserve">HPs will complete surveys </w:t>
      </w:r>
      <w:r w:rsidRPr="005D6F89" w:rsidR="00625189">
        <w:rPr>
          <w:rFonts w:ascii="Arial" w:hAnsi="Arial" w:cs="Arial"/>
          <w:bCs/>
          <w:color w:val="000000"/>
          <w:sz w:val="24"/>
        </w:rPr>
        <w:t xml:space="preserve">at </w:t>
      </w:r>
      <w:r w:rsidRPr="005D6F89" w:rsidR="00E31210">
        <w:rPr>
          <w:rFonts w:ascii="Arial" w:hAnsi="Arial" w:cs="Arial"/>
          <w:bCs/>
          <w:color w:val="000000"/>
          <w:sz w:val="24"/>
        </w:rPr>
        <w:t>2</w:t>
      </w:r>
      <w:r w:rsidRPr="005D6F89" w:rsidR="00625189">
        <w:rPr>
          <w:rFonts w:ascii="Arial" w:hAnsi="Arial" w:cs="Arial"/>
          <w:bCs/>
          <w:color w:val="000000"/>
          <w:sz w:val="24"/>
        </w:rPr>
        <w:t xml:space="preserve"> time points, 1 year apart,</w:t>
      </w:r>
      <w:r w:rsidRPr="005D6F89">
        <w:rPr>
          <w:rFonts w:ascii="Arial" w:hAnsi="Arial" w:cs="Arial"/>
          <w:bCs/>
          <w:color w:val="000000"/>
          <w:sz w:val="24"/>
        </w:rPr>
        <w:t xml:space="preserve"> </w:t>
      </w:r>
      <w:r w:rsidRPr="005D6F89" w:rsidR="00625189">
        <w:rPr>
          <w:rFonts w:ascii="Arial" w:hAnsi="Arial" w:cs="Arial"/>
          <w:bCs/>
          <w:color w:val="000000"/>
          <w:sz w:val="24"/>
        </w:rPr>
        <w:t>in 2024 and 2025</w:t>
      </w:r>
      <w:r w:rsidRPr="005D6F89">
        <w:rPr>
          <w:rFonts w:ascii="Arial" w:hAnsi="Arial" w:cs="Arial"/>
          <w:bCs/>
          <w:color w:val="000000"/>
          <w:sz w:val="24"/>
        </w:rPr>
        <w:t xml:space="preserve">. </w:t>
      </w:r>
      <w:r w:rsidR="008A72CC">
        <w:rPr>
          <w:rFonts w:ascii="Arial" w:hAnsi="Arial" w:cs="Arial"/>
          <w:bCs/>
          <w:color w:val="000000"/>
          <w:sz w:val="24"/>
        </w:rPr>
        <w:t>FGDs</w:t>
      </w:r>
      <w:r w:rsidRPr="005D6F89">
        <w:rPr>
          <w:rFonts w:ascii="Arial" w:hAnsi="Arial" w:cs="Arial"/>
          <w:bCs/>
          <w:color w:val="000000"/>
          <w:sz w:val="24"/>
        </w:rPr>
        <w:t xml:space="preserve"> with </w:t>
      </w:r>
      <w:r w:rsidRPr="005D6F89" w:rsidR="00625189">
        <w:rPr>
          <w:rFonts w:ascii="Arial" w:hAnsi="Arial" w:cs="Arial"/>
          <w:bCs/>
          <w:color w:val="000000"/>
          <w:sz w:val="24"/>
        </w:rPr>
        <w:t>families/caregivers</w:t>
      </w:r>
      <w:r w:rsidRPr="005D6F89">
        <w:rPr>
          <w:rFonts w:ascii="Arial" w:hAnsi="Arial" w:cs="Arial"/>
          <w:bCs/>
          <w:color w:val="000000"/>
          <w:sz w:val="24"/>
        </w:rPr>
        <w:t xml:space="preserve"> will be conducted once in 2025. </w:t>
      </w:r>
    </w:p>
    <w:p w:rsidR="00B65945" w:rsidRPr="005D6F89" w:rsidP="00B65945" w14:paraId="0D29DE93" w14:textId="5C30749D">
      <w:pPr>
        <w:widowControl/>
        <w:autoSpaceDE/>
        <w:autoSpaceDN/>
        <w:adjustRightInd/>
        <w:spacing w:before="120"/>
        <w:rPr>
          <w:rFonts w:ascii="Arial" w:hAnsi="Arial" w:cs="Arial"/>
          <w:b/>
          <w:color w:val="000000"/>
          <w:sz w:val="22"/>
          <w:szCs w:val="22"/>
        </w:rPr>
      </w:pPr>
      <w:r w:rsidRPr="005D6F89">
        <w:rPr>
          <w:rFonts w:ascii="Arial" w:hAnsi="Arial" w:cs="Arial"/>
          <w:b/>
          <w:color w:val="000000"/>
          <w:sz w:val="22"/>
          <w:szCs w:val="22"/>
        </w:rPr>
        <w:t>Exhibit 1. Data Collection Activities</w:t>
      </w:r>
    </w:p>
    <w:tbl>
      <w:tblPr>
        <w:tblStyle w:val="TableGrid"/>
        <w:tblW w:w="3632" w:type="pct"/>
        <w:tblBorders>
          <w:top w:val="single" w:sz="8" w:space="0" w:color="991C21"/>
          <w:left w:val="single" w:sz="8" w:space="0" w:color="991C21"/>
          <w:bottom w:val="single" w:sz="8" w:space="0" w:color="991C21"/>
          <w:right w:val="single" w:sz="8" w:space="0" w:color="991C21"/>
          <w:insideH w:val="single" w:sz="8" w:space="0" w:color="991C21"/>
          <w:insideV w:val="single" w:sz="8" w:space="0" w:color="991C21"/>
        </w:tblBorders>
        <w:tblLook w:val="04A0"/>
      </w:tblPr>
      <w:tblGrid>
        <w:gridCol w:w="2655"/>
        <w:gridCol w:w="1457"/>
        <w:gridCol w:w="1513"/>
        <w:gridCol w:w="1160"/>
      </w:tblGrid>
      <w:tr w14:paraId="467995EA" w14:textId="77777777" w:rsidTr="00521F97">
        <w:tblPrEx>
          <w:tblW w:w="3632" w:type="pct"/>
          <w:tblBorders>
            <w:top w:val="single" w:sz="8" w:space="0" w:color="991C21"/>
            <w:left w:val="single" w:sz="8" w:space="0" w:color="991C21"/>
            <w:bottom w:val="single" w:sz="8" w:space="0" w:color="991C21"/>
            <w:right w:val="single" w:sz="8" w:space="0" w:color="991C21"/>
            <w:insideH w:val="single" w:sz="8" w:space="0" w:color="991C21"/>
            <w:insideV w:val="single" w:sz="8" w:space="0" w:color="991C21"/>
          </w:tblBorders>
          <w:tblLook w:val="04A0"/>
        </w:tblPrEx>
        <w:trPr>
          <w:tblHeader/>
        </w:trPr>
        <w:tc>
          <w:tcPr>
            <w:tcW w:w="1956" w:type="pct"/>
            <w:tcBorders>
              <w:bottom w:val="single" w:sz="8" w:space="0" w:color="991C21"/>
              <w:right w:val="single" w:sz="8" w:space="0" w:color="0550B3"/>
            </w:tcBorders>
            <w:shd w:val="clear" w:color="auto" w:fill="0550B3"/>
          </w:tcPr>
          <w:p w:rsidR="00625189" w:rsidRPr="005D6F89" w:rsidP="00A11D50" w14:paraId="1C2A0908" w14:textId="77777777">
            <w:pPr>
              <w:spacing w:before="120" w:after="120"/>
              <w:jc w:val="center"/>
              <w:rPr>
                <w:rFonts w:ascii="Arial" w:hAnsi="Arial" w:cs="Arial"/>
                <w:b/>
                <w:bCs/>
                <w:color w:val="FFFFFF" w:themeColor="background1"/>
                <w:sz w:val="22"/>
                <w:szCs w:val="22"/>
              </w:rPr>
            </w:pPr>
            <w:r w:rsidRPr="005D6F89">
              <w:rPr>
                <w:rFonts w:ascii="Arial" w:hAnsi="Arial" w:cs="Arial"/>
                <w:b/>
                <w:bCs/>
                <w:color w:val="FFFFFF" w:themeColor="background1"/>
                <w:sz w:val="22"/>
                <w:szCs w:val="22"/>
              </w:rPr>
              <w:t>Tool</w:t>
            </w:r>
          </w:p>
        </w:tc>
        <w:tc>
          <w:tcPr>
            <w:tcW w:w="1074" w:type="pct"/>
            <w:tcBorders>
              <w:bottom w:val="single" w:sz="8" w:space="0" w:color="991C21"/>
              <w:right w:val="single" w:sz="8" w:space="0" w:color="0550B3"/>
            </w:tcBorders>
            <w:shd w:val="clear" w:color="auto" w:fill="0550B3"/>
          </w:tcPr>
          <w:p w:rsidR="00625189" w:rsidRPr="005D6F89" w:rsidP="00A11D50" w14:paraId="1F845D25" w14:textId="77777777">
            <w:pPr>
              <w:spacing w:before="120" w:after="120"/>
              <w:jc w:val="center"/>
              <w:rPr>
                <w:rFonts w:ascii="Arial" w:hAnsi="Arial" w:cs="Arial"/>
                <w:b/>
                <w:bCs/>
                <w:color w:val="FFFFFF" w:themeColor="background1"/>
                <w:sz w:val="22"/>
                <w:szCs w:val="22"/>
              </w:rPr>
            </w:pPr>
            <w:r w:rsidRPr="005D6F89">
              <w:rPr>
                <w:rFonts w:ascii="Arial" w:hAnsi="Arial" w:cs="Arial"/>
                <w:b/>
                <w:bCs/>
                <w:color w:val="FFFFFF" w:themeColor="background1"/>
                <w:sz w:val="22"/>
                <w:szCs w:val="22"/>
              </w:rPr>
              <w:t>2024</w:t>
            </w:r>
          </w:p>
        </w:tc>
        <w:tc>
          <w:tcPr>
            <w:tcW w:w="1115" w:type="pct"/>
            <w:tcBorders>
              <w:bottom w:val="single" w:sz="8" w:space="0" w:color="991C21"/>
              <w:right w:val="single" w:sz="8" w:space="0" w:color="0550B3"/>
            </w:tcBorders>
            <w:shd w:val="clear" w:color="auto" w:fill="0550B3"/>
          </w:tcPr>
          <w:p w:rsidR="00625189" w:rsidRPr="005D6F89" w:rsidP="00A11D50" w14:paraId="33F622F8" w14:textId="77777777">
            <w:pPr>
              <w:spacing w:before="120" w:after="120"/>
              <w:jc w:val="center"/>
              <w:rPr>
                <w:rFonts w:ascii="Arial" w:hAnsi="Arial" w:cs="Arial"/>
                <w:b/>
                <w:bCs/>
                <w:color w:val="FFFFFF" w:themeColor="background1"/>
                <w:sz w:val="22"/>
                <w:szCs w:val="22"/>
              </w:rPr>
            </w:pPr>
            <w:r w:rsidRPr="005D6F89">
              <w:rPr>
                <w:rFonts w:ascii="Arial" w:hAnsi="Arial" w:cs="Arial"/>
                <w:b/>
                <w:bCs/>
                <w:color w:val="FFFFFF" w:themeColor="background1"/>
                <w:sz w:val="22"/>
                <w:szCs w:val="22"/>
              </w:rPr>
              <w:t>2025</w:t>
            </w:r>
          </w:p>
        </w:tc>
        <w:tc>
          <w:tcPr>
            <w:tcW w:w="855" w:type="pct"/>
            <w:tcBorders>
              <w:bottom w:val="single" w:sz="8" w:space="0" w:color="991C21"/>
              <w:right w:val="single" w:sz="8" w:space="0" w:color="0550B3"/>
            </w:tcBorders>
            <w:shd w:val="clear" w:color="auto" w:fill="0550B3"/>
          </w:tcPr>
          <w:p w:rsidR="00625189" w:rsidRPr="005D6F89" w:rsidP="00A11D50" w14:paraId="04A8455C" w14:textId="77777777">
            <w:pPr>
              <w:spacing w:before="120" w:after="120"/>
              <w:jc w:val="center"/>
              <w:rPr>
                <w:rFonts w:ascii="Arial" w:hAnsi="Arial" w:cs="Arial"/>
                <w:b/>
                <w:bCs/>
                <w:color w:val="FFFFFF" w:themeColor="background1"/>
                <w:sz w:val="22"/>
                <w:szCs w:val="22"/>
              </w:rPr>
            </w:pPr>
            <w:r w:rsidRPr="005D6F89">
              <w:rPr>
                <w:rFonts w:ascii="Arial" w:hAnsi="Arial" w:cs="Arial"/>
                <w:b/>
                <w:bCs/>
                <w:color w:val="FFFFFF" w:themeColor="background1"/>
                <w:sz w:val="22"/>
                <w:szCs w:val="22"/>
              </w:rPr>
              <w:t>2026</w:t>
            </w:r>
          </w:p>
        </w:tc>
      </w:tr>
      <w:tr w14:paraId="4D40120B" w14:textId="77777777" w:rsidTr="00521F97">
        <w:tblPrEx>
          <w:tblW w:w="3632" w:type="pct"/>
          <w:tblLook w:val="04A0"/>
        </w:tblPrEx>
        <w:trPr>
          <w:trHeight w:val="358"/>
        </w:trPr>
        <w:tc>
          <w:tcPr>
            <w:tcW w:w="1956" w:type="pct"/>
            <w:tcBorders>
              <w:top w:val="single" w:sz="8" w:space="0" w:color="991C21"/>
              <w:bottom w:val="single" w:sz="8" w:space="0" w:color="991C21"/>
            </w:tcBorders>
          </w:tcPr>
          <w:p w:rsidR="00625189" w:rsidRPr="005D6F89" w:rsidP="00A11D50" w14:paraId="41791464" w14:textId="7B2F74A6">
            <w:pPr>
              <w:rPr>
                <w:rFonts w:ascii="Arial" w:hAnsi="Arial" w:cs="Arial"/>
                <w:sz w:val="22"/>
                <w:szCs w:val="22"/>
              </w:rPr>
            </w:pPr>
            <w:r w:rsidRPr="005D6F89">
              <w:rPr>
                <w:rFonts w:ascii="Arial" w:hAnsi="Arial" w:cs="Arial"/>
                <w:sz w:val="22"/>
                <w:szCs w:val="22"/>
              </w:rPr>
              <w:t>HP Impact Survey</w:t>
            </w:r>
          </w:p>
        </w:tc>
        <w:tc>
          <w:tcPr>
            <w:tcW w:w="1074" w:type="pct"/>
            <w:tcBorders>
              <w:top w:val="single" w:sz="8" w:space="0" w:color="991C21"/>
              <w:bottom w:val="single" w:sz="8" w:space="0" w:color="991C21"/>
            </w:tcBorders>
          </w:tcPr>
          <w:p w:rsidR="00625189" w:rsidRPr="005D6F89" w:rsidP="00A11D50" w14:paraId="16A2B5F5" w14:textId="36769482">
            <w:pPr>
              <w:rPr>
                <w:rFonts w:ascii="Arial" w:hAnsi="Arial" w:cs="Arial"/>
                <w:sz w:val="22"/>
                <w:szCs w:val="22"/>
              </w:rPr>
            </w:pPr>
            <w:r w:rsidRPr="005D6F89">
              <w:rPr>
                <w:rFonts w:ascii="Arial" w:hAnsi="Arial" w:cs="Arial"/>
                <w:sz w:val="22"/>
                <w:szCs w:val="22"/>
              </w:rPr>
              <w:t>Fall 2024</w:t>
            </w:r>
          </w:p>
        </w:tc>
        <w:tc>
          <w:tcPr>
            <w:tcW w:w="1115" w:type="pct"/>
            <w:tcBorders>
              <w:top w:val="single" w:sz="8" w:space="0" w:color="991C21"/>
              <w:bottom w:val="single" w:sz="8" w:space="0" w:color="991C21"/>
            </w:tcBorders>
          </w:tcPr>
          <w:p w:rsidR="00625189" w:rsidRPr="005D6F89" w:rsidP="00A11D50" w14:paraId="7B2B31EC" w14:textId="33FA33CB">
            <w:pPr>
              <w:rPr>
                <w:rFonts w:ascii="Arial" w:hAnsi="Arial" w:cs="Arial"/>
                <w:sz w:val="22"/>
                <w:szCs w:val="22"/>
              </w:rPr>
            </w:pPr>
            <w:r w:rsidRPr="005D6F89">
              <w:rPr>
                <w:rFonts w:ascii="Arial" w:hAnsi="Arial" w:cs="Arial"/>
                <w:sz w:val="22"/>
                <w:szCs w:val="22"/>
              </w:rPr>
              <w:t>Fall 2025</w:t>
            </w:r>
          </w:p>
        </w:tc>
        <w:tc>
          <w:tcPr>
            <w:tcW w:w="855" w:type="pct"/>
            <w:tcBorders>
              <w:top w:val="single" w:sz="8" w:space="0" w:color="991C21"/>
              <w:bottom w:val="single" w:sz="8" w:space="0" w:color="991C21"/>
            </w:tcBorders>
          </w:tcPr>
          <w:p w:rsidR="00625189" w:rsidRPr="005D6F89" w:rsidP="00A11D50" w14:paraId="4327143C" w14:textId="77777777">
            <w:pPr>
              <w:rPr>
                <w:rFonts w:ascii="Arial" w:hAnsi="Arial" w:cs="Arial"/>
                <w:sz w:val="22"/>
                <w:szCs w:val="22"/>
              </w:rPr>
            </w:pPr>
            <w:r w:rsidRPr="005D6F89">
              <w:rPr>
                <w:rFonts w:ascii="Arial" w:hAnsi="Arial" w:cs="Arial"/>
                <w:sz w:val="22"/>
                <w:szCs w:val="22"/>
              </w:rPr>
              <w:t>N/A</w:t>
            </w:r>
          </w:p>
        </w:tc>
      </w:tr>
      <w:tr w14:paraId="5D6348B1" w14:textId="77777777" w:rsidTr="00521F97">
        <w:tblPrEx>
          <w:tblW w:w="3632" w:type="pct"/>
          <w:tblLook w:val="04A0"/>
        </w:tblPrEx>
        <w:trPr>
          <w:trHeight w:val="349"/>
        </w:trPr>
        <w:tc>
          <w:tcPr>
            <w:tcW w:w="1956" w:type="pct"/>
            <w:tcBorders>
              <w:top w:val="single" w:sz="8" w:space="0" w:color="991C21"/>
              <w:bottom w:val="single" w:sz="8" w:space="0" w:color="991C21"/>
            </w:tcBorders>
            <w:shd w:val="clear" w:color="auto" w:fill="F0EEE8"/>
          </w:tcPr>
          <w:p w:rsidR="00625189" w:rsidRPr="005D6F89" w:rsidP="00A11D50" w14:paraId="2E011E71" w14:textId="188DCA4A">
            <w:pPr>
              <w:rPr>
                <w:rFonts w:ascii="Arial" w:hAnsi="Arial" w:cs="Arial"/>
                <w:sz w:val="22"/>
                <w:szCs w:val="22"/>
              </w:rPr>
            </w:pPr>
            <w:r w:rsidRPr="005D6F89">
              <w:rPr>
                <w:rFonts w:ascii="Arial" w:hAnsi="Arial" w:cs="Arial"/>
                <w:sz w:val="22"/>
                <w:szCs w:val="22"/>
              </w:rPr>
              <w:t>Family/Caregiver FGD</w:t>
            </w:r>
          </w:p>
        </w:tc>
        <w:tc>
          <w:tcPr>
            <w:tcW w:w="1074" w:type="pct"/>
            <w:tcBorders>
              <w:top w:val="single" w:sz="8" w:space="0" w:color="991C21"/>
              <w:bottom w:val="single" w:sz="8" w:space="0" w:color="991C21"/>
            </w:tcBorders>
            <w:shd w:val="clear" w:color="auto" w:fill="F0EEE8"/>
          </w:tcPr>
          <w:p w:rsidR="00625189" w:rsidRPr="005D6F89" w:rsidP="00A11D50" w14:paraId="3A3DC48B" w14:textId="0C135DD5">
            <w:pPr>
              <w:rPr>
                <w:rFonts w:ascii="Arial" w:hAnsi="Arial" w:cs="Arial"/>
                <w:sz w:val="22"/>
                <w:szCs w:val="22"/>
              </w:rPr>
            </w:pPr>
            <w:r w:rsidRPr="005D6F89">
              <w:rPr>
                <w:rFonts w:ascii="Arial" w:hAnsi="Arial" w:cs="Arial"/>
                <w:sz w:val="22"/>
                <w:szCs w:val="22"/>
              </w:rPr>
              <w:t>N/A</w:t>
            </w:r>
          </w:p>
        </w:tc>
        <w:tc>
          <w:tcPr>
            <w:tcW w:w="1115" w:type="pct"/>
            <w:tcBorders>
              <w:top w:val="single" w:sz="8" w:space="0" w:color="991C21"/>
              <w:bottom w:val="single" w:sz="8" w:space="0" w:color="991C21"/>
            </w:tcBorders>
            <w:shd w:val="clear" w:color="auto" w:fill="F0EEE8"/>
          </w:tcPr>
          <w:p w:rsidR="00625189" w:rsidRPr="005D6F89" w:rsidP="00A11D50" w14:paraId="6EA9CAE1" w14:textId="09B7B74E">
            <w:pPr>
              <w:rPr>
                <w:rFonts w:ascii="Arial" w:hAnsi="Arial" w:cs="Arial"/>
                <w:sz w:val="22"/>
                <w:szCs w:val="22"/>
              </w:rPr>
            </w:pPr>
            <w:r w:rsidRPr="005D6F89">
              <w:rPr>
                <w:rFonts w:ascii="Arial" w:hAnsi="Arial" w:cs="Arial"/>
                <w:sz w:val="22"/>
                <w:szCs w:val="22"/>
              </w:rPr>
              <w:t>Spring 2025</w:t>
            </w:r>
          </w:p>
        </w:tc>
        <w:tc>
          <w:tcPr>
            <w:tcW w:w="855" w:type="pct"/>
            <w:tcBorders>
              <w:top w:val="single" w:sz="8" w:space="0" w:color="991C21"/>
              <w:bottom w:val="single" w:sz="8" w:space="0" w:color="991C21"/>
            </w:tcBorders>
            <w:shd w:val="clear" w:color="auto" w:fill="F0EEE8"/>
          </w:tcPr>
          <w:p w:rsidR="00625189" w:rsidRPr="005D6F89" w:rsidP="00A11D50" w14:paraId="02D91766" w14:textId="77777777">
            <w:pPr>
              <w:rPr>
                <w:rFonts w:ascii="Arial" w:hAnsi="Arial" w:cs="Arial"/>
                <w:sz w:val="22"/>
                <w:szCs w:val="22"/>
              </w:rPr>
            </w:pPr>
            <w:r w:rsidRPr="005D6F89">
              <w:rPr>
                <w:rFonts w:ascii="Arial" w:hAnsi="Arial" w:cs="Arial"/>
                <w:sz w:val="22"/>
                <w:szCs w:val="22"/>
              </w:rPr>
              <w:t>N/A</w:t>
            </w:r>
          </w:p>
        </w:tc>
      </w:tr>
      <w:tr w14:paraId="64820EF1" w14:textId="77777777" w:rsidTr="00290917">
        <w:tblPrEx>
          <w:tblW w:w="3632" w:type="pct"/>
          <w:tblLook w:val="04A0"/>
        </w:tblPrEx>
        <w:trPr>
          <w:trHeight w:val="349"/>
        </w:trPr>
        <w:tc>
          <w:tcPr>
            <w:tcW w:w="1956" w:type="pct"/>
            <w:tcBorders>
              <w:top w:val="single" w:sz="8" w:space="0" w:color="991C21"/>
              <w:bottom w:val="single" w:sz="8" w:space="0" w:color="991C21"/>
            </w:tcBorders>
            <w:shd w:val="clear" w:color="auto" w:fill="auto"/>
          </w:tcPr>
          <w:p w:rsidR="00290917" w:rsidRPr="005D6F89" w:rsidP="00A11D50" w14:paraId="6FFD3B7C" w14:textId="1B20493D">
            <w:pPr>
              <w:rPr>
                <w:rFonts w:ascii="Arial" w:hAnsi="Arial" w:cs="Arial"/>
                <w:sz w:val="22"/>
                <w:szCs w:val="22"/>
              </w:rPr>
            </w:pPr>
            <w:r>
              <w:rPr>
                <w:rFonts w:ascii="Arial" w:hAnsi="Arial" w:cs="Arial"/>
                <w:sz w:val="22"/>
                <w:szCs w:val="22"/>
              </w:rPr>
              <w:t>Family/Caregiver Demographic Questionnaire</w:t>
            </w:r>
          </w:p>
        </w:tc>
        <w:tc>
          <w:tcPr>
            <w:tcW w:w="1074" w:type="pct"/>
            <w:tcBorders>
              <w:top w:val="single" w:sz="8" w:space="0" w:color="991C21"/>
              <w:bottom w:val="single" w:sz="8" w:space="0" w:color="991C21"/>
            </w:tcBorders>
            <w:shd w:val="clear" w:color="auto" w:fill="auto"/>
          </w:tcPr>
          <w:p w:rsidR="00290917" w:rsidRPr="005D6F89" w:rsidP="00A11D50" w14:paraId="60DFF410" w14:textId="306D0C3B">
            <w:pPr>
              <w:rPr>
                <w:rFonts w:ascii="Arial" w:hAnsi="Arial" w:cs="Arial"/>
                <w:sz w:val="22"/>
                <w:szCs w:val="22"/>
              </w:rPr>
            </w:pPr>
            <w:r>
              <w:rPr>
                <w:rFonts w:ascii="Arial" w:hAnsi="Arial" w:cs="Arial"/>
                <w:sz w:val="22"/>
                <w:szCs w:val="22"/>
              </w:rPr>
              <w:t>N/A</w:t>
            </w:r>
          </w:p>
        </w:tc>
        <w:tc>
          <w:tcPr>
            <w:tcW w:w="1115" w:type="pct"/>
            <w:tcBorders>
              <w:top w:val="single" w:sz="8" w:space="0" w:color="991C21"/>
              <w:bottom w:val="single" w:sz="8" w:space="0" w:color="991C21"/>
            </w:tcBorders>
            <w:shd w:val="clear" w:color="auto" w:fill="auto"/>
          </w:tcPr>
          <w:p w:rsidR="00290917" w:rsidRPr="005D6F89" w:rsidP="00A11D50" w14:paraId="0AA2F8EF" w14:textId="181089E2">
            <w:pPr>
              <w:rPr>
                <w:rFonts w:ascii="Arial" w:hAnsi="Arial" w:cs="Arial"/>
                <w:sz w:val="22"/>
                <w:szCs w:val="22"/>
              </w:rPr>
            </w:pPr>
            <w:r>
              <w:rPr>
                <w:rFonts w:ascii="Arial" w:hAnsi="Arial" w:cs="Arial"/>
                <w:sz w:val="22"/>
                <w:szCs w:val="22"/>
              </w:rPr>
              <w:t>Winter 2025 (prior to the FGDs)</w:t>
            </w:r>
          </w:p>
        </w:tc>
        <w:tc>
          <w:tcPr>
            <w:tcW w:w="855" w:type="pct"/>
            <w:tcBorders>
              <w:top w:val="single" w:sz="8" w:space="0" w:color="991C21"/>
              <w:bottom w:val="single" w:sz="8" w:space="0" w:color="991C21"/>
            </w:tcBorders>
            <w:shd w:val="clear" w:color="auto" w:fill="auto"/>
          </w:tcPr>
          <w:p w:rsidR="00290917" w:rsidRPr="005D6F89" w:rsidP="00A11D50" w14:paraId="2934AA9D" w14:textId="646CCCBF">
            <w:pPr>
              <w:rPr>
                <w:rFonts w:ascii="Arial" w:hAnsi="Arial" w:cs="Arial"/>
                <w:sz w:val="22"/>
                <w:szCs w:val="22"/>
              </w:rPr>
            </w:pPr>
            <w:r>
              <w:rPr>
                <w:rFonts w:ascii="Arial" w:hAnsi="Arial" w:cs="Arial"/>
                <w:sz w:val="22"/>
                <w:szCs w:val="22"/>
              </w:rPr>
              <w:t>N/A</w:t>
            </w:r>
          </w:p>
        </w:tc>
      </w:tr>
    </w:tbl>
    <w:p w:rsidR="00B65945" w:rsidRPr="005D6F89" w:rsidP="00B65945" w14:paraId="7356806A" w14:textId="77777777">
      <w:pPr>
        <w:widowControl/>
        <w:autoSpaceDE/>
        <w:autoSpaceDN/>
        <w:adjustRightInd/>
        <w:spacing w:before="120"/>
        <w:rPr>
          <w:rFonts w:ascii="Arial" w:hAnsi="Arial" w:cs="Arial"/>
          <w:bCs/>
          <w:color w:val="000000"/>
          <w:sz w:val="24"/>
        </w:rPr>
      </w:pPr>
      <w:r w:rsidRPr="005D6F89">
        <w:rPr>
          <w:rFonts w:ascii="Arial" w:hAnsi="Arial" w:cs="Arial"/>
          <w:bCs/>
          <w:color w:val="000000"/>
          <w:sz w:val="24"/>
        </w:rPr>
        <w:t xml:space="preserve">Specifically, HRSA is requesting approval for the following: </w:t>
      </w:r>
    </w:p>
    <w:p w:rsidR="00EB355A" w:rsidRPr="005D6F89" w:rsidP="00B65945" w14:paraId="2077994B" w14:textId="38A5E5F4">
      <w:pPr>
        <w:widowControl/>
        <w:autoSpaceDE/>
        <w:autoSpaceDN/>
        <w:adjustRightInd/>
        <w:spacing w:before="120"/>
        <w:rPr>
          <w:rFonts w:ascii="Arial" w:hAnsi="Arial" w:cs="Arial"/>
          <w:bCs/>
          <w:color w:val="000000"/>
          <w:sz w:val="24"/>
        </w:rPr>
      </w:pPr>
      <w:r w:rsidRPr="005D6F89">
        <w:rPr>
          <w:rFonts w:ascii="Arial" w:hAnsi="Arial" w:cs="Arial"/>
          <w:b/>
          <w:color w:val="000000"/>
          <w:sz w:val="24"/>
        </w:rPr>
        <w:t>HP</w:t>
      </w:r>
      <w:r w:rsidRPr="005D6F89" w:rsidR="00625189">
        <w:rPr>
          <w:rFonts w:ascii="Arial" w:hAnsi="Arial" w:cs="Arial"/>
          <w:b/>
          <w:color w:val="000000"/>
          <w:sz w:val="24"/>
        </w:rPr>
        <w:t xml:space="preserve"> Impact</w:t>
      </w:r>
      <w:r w:rsidRPr="005D6F89">
        <w:rPr>
          <w:rFonts w:ascii="Arial" w:hAnsi="Arial" w:cs="Arial"/>
          <w:b/>
          <w:color w:val="000000"/>
          <w:sz w:val="24"/>
        </w:rPr>
        <w:t xml:space="preserve"> Survey –</w:t>
      </w:r>
      <w:r w:rsidRPr="005D6F89">
        <w:rPr>
          <w:rFonts w:ascii="Arial" w:hAnsi="Arial" w:cs="Arial"/>
          <w:bCs/>
          <w:color w:val="000000"/>
          <w:sz w:val="24"/>
        </w:rPr>
        <w:t xml:space="preserve"> survey of enrolled/participating 2021</w:t>
      </w:r>
      <w:r w:rsidRPr="005D6F89" w:rsidR="00625189">
        <w:rPr>
          <w:rFonts w:ascii="Arial" w:hAnsi="Arial" w:cs="Arial"/>
          <w:bCs/>
          <w:color w:val="000000"/>
          <w:sz w:val="24"/>
        </w:rPr>
        <w:t>, 2022, and 2023</w:t>
      </w:r>
      <w:r w:rsidRPr="005D6F89">
        <w:rPr>
          <w:rFonts w:ascii="Arial" w:hAnsi="Arial" w:cs="Arial"/>
          <w:bCs/>
          <w:color w:val="000000"/>
          <w:sz w:val="24"/>
        </w:rPr>
        <w:t xml:space="preserve"> PMHCA program HPs, examining their experiences with screening, diagnosing, treating, and referring children</w:t>
      </w:r>
      <w:r w:rsidRPr="005D6F89" w:rsidR="00675FA7">
        <w:rPr>
          <w:rFonts w:ascii="Arial" w:hAnsi="Arial" w:cs="Arial"/>
          <w:bCs/>
          <w:color w:val="000000"/>
          <w:sz w:val="24"/>
        </w:rPr>
        <w:t>/</w:t>
      </w:r>
      <w:r w:rsidRPr="005D6F89">
        <w:rPr>
          <w:rFonts w:ascii="Arial" w:hAnsi="Arial" w:cs="Arial"/>
          <w:bCs/>
          <w:color w:val="000000"/>
          <w:sz w:val="24"/>
        </w:rPr>
        <w:t xml:space="preserve">adolescents with behavioral health conditions and their perception of behavioral health impact. HPs' first and last names and ZIP </w:t>
      </w:r>
      <w:r w:rsidRPr="005D6F89" w:rsidR="00975CA1">
        <w:rPr>
          <w:rFonts w:ascii="Arial" w:hAnsi="Arial" w:cs="Arial"/>
          <w:bCs/>
          <w:color w:val="000000"/>
          <w:sz w:val="24"/>
        </w:rPr>
        <w:t>C</w:t>
      </w:r>
      <w:r w:rsidRPr="005D6F89">
        <w:rPr>
          <w:rFonts w:ascii="Arial" w:hAnsi="Arial" w:cs="Arial"/>
          <w:bCs/>
          <w:color w:val="000000"/>
          <w:sz w:val="24"/>
        </w:rPr>
        <w:t>ode will also be collected to link their data with other data sources (e.g., Medicaid</w:t>
      </w:r>
      <w:r w:rsidRPr="005D6F89" w:rsidR="008516DF">
        <w:rPr>
          <w:rFonts w:ascii="Arial" w:hAnsi="Arial" w:cs="Arial"/>
          <w:bCs/>
          <w:color w:val="000000"/>
          <w:sz w:val="24"/>
        </w:rPr>
        <w:t xml:space="preserve"> data</w:t>
      </w:r>
      <w:r w:rsidRPr="005D6F89">
        <w:rPr>
          <w:rFonts w:ascii="Arial" w:hAnsi="Arial" w:cs="Arial"/>
          <w:bCs/>
          <w:color w:val="000000"/>
          <w:sz w:val="24"/>
        </w:rPr>
        <w:t>) for the purpose of identifying impacts of the PMHCA program on access to behavioral health care.</w:t>
      </w:r>
    </w:p>
    <w:p w:rsidR="00EB355A" w:rsidP="00B65945" w14:paraId="2DD9A935" w14:textId="794CFA9B">
      <w:pPr>
        <w:widowControl/>
        <w:autoSpaceDE/>
        <w:autoSpaceDN/>
        <w:adjustRightInd/>
        <w:spacing w:before="120"/>
        <w:rPr>
          <w:rFonts w:ascii="Arial" w:hAnsi="Arial" w:cs="Arial"/>
          <w:bCs/>
          <w:color w:val="000000"/>
          <w:sz w:val="24"/>
        </w:rPr>
      </w:pPr>
      <w:r w:rsidRPr="005D6F89">
        <w:rPr>
          <w:rFonts w:ascii="Arial" w:hAnsi="Arial" w:cs="Arial"/>
          <w:b/>
          <w:color w:val="000000"/>
          <w:sz w:val="24"/>
        </w:rPr>
        <w:t>Family/Caregiver FGD</w:t>
      </w:r>
      <w:r w:rsidRPr="005D6F89" w:rsidR="00B65945">
        <w:rPr>
          <w:rFonts w:ascii="Arial" w:hAnsi="Arial" w:cs="Arial"/>
          <w:b/>
          <w:color w:val="000000"/>
          <w:sz w:val="24"/>
        </w:rPr>
        <w:t xml:space="preserve"> –</w:t>
      </w:r>
      <w:r w:rsidRPr="005D6F89" w:rsidR="00B65945">
        <w:rPr>
          <w:rFonts w:ascii="Arial" w:hAnsi="Arial" w:cs="Arial"/>
          <w:bCs/>
          <w:color w:val="000000"/>
          <w:sz w:val="24"/>
        </w:rPr>
        <w:t xml:space="preserve"> </w:t>
      </w:r>
      <w:r w:rsidRPr="005D6F89">
        <w:rPr>
          <w:rFonts w:ascii="Arial" w:hAnsi="Arial" w:cs="Arial"/>
          <w:bCs/>
          <w:color w:val="000000"/>
          <w:sz w:val="24"/>
        </w:rPr>
        <w:t>discussions</w:t>
      </w:r>
      <w:r w:rsidRPr="005D6F89" w:rsidR="00B65945">
        <w:rPr>
          <w:rFonts w:ascii="Arial" w:hAnsi="Arial" w:cs="Arial"/>
          <w:bCs/>
          <w:color w:val="000000"/>
          <w:sz w:val="24"/>
        </w:rPr>
        <w:t xml:space="preserve"> with </w:t>
      </w:r>
      <w:r w:rsidRPr="005D6F89">
        <w:rPr>
          <w:rFonts w:ascii="Arial" w:hAnsi="Arial" w:cs="Arial"/>
          <w:bCs/>
          <w:color w:val="000000"/>
          <w:sz w:val="24"/>
        </w:rPr>
        <w:t>families/caregivers who have sought and/or received behavioral health care for their child/adolescent</w:t>
      </w:r>
      <w:r w:rsidRPr="005D6F89" w:rsidR="00B65945">
        <w:rPr>
          <w:rFonts w:ascii="Arial" w:hAnsi="Arial" w:cs="Arial"/>
          <w:bCs/>
          <w:color w:val="000000"/>
          <w:sz w:val="24"/>
        </w:rPr>
        <w:t xml:space="preserve"> about their </w:t>
      </w:r>
      <w:r w:rsidRPr="005D6F89">
        <w:rPr>
          <w:rFonts w:ascii="Arial" w:hAnsi="Arial" w:cs="Arial"/>
          <w:bCs/>
          <w:color w:val="000000"/>
          <w:sz w:val="24"/>
        </w:rPr>
        <w:t>experiences with behavioral health care access, receipt, and utilization; satisfaction with behavioral health care services; and impact of the behavioral health services on their child/adolescent</w:t>
      </w:r>
      <w:r w:rsidRPr="005D6F89" w:rsidR="00B9543B">
        <w:rPr>
          <w:rFonts w:ascii="Arial" w:hAnsi="Arial" w:cs="Arial"/>
          <w:bCs/>
          <w:color w:val="000000"/>
          <w:sz w:val="24"/>
        </w:rPr>
        <w:t xml:space="preserve">. </w:t>
      </w:r>
    </w:p>
    <w:p w:rsidR="00290917" w:rsidRPr="00290917" w:rsidP="00B65945" w14:paraId="19370F96" w14:textId="7A7EBB09">
      <w:pPr>
        <w:widowControl/>
        <w:autoSpaceDE/>
        <w:autoSpaceDN/>
        <w:adjustRightInd/>
        <w:spacing w:before="120"/>
        <w:rPr>
          <w:rFonts w:ascii="Arial" w:hAnsi="Arial" w:cs="Arial"/>
          <w:bCs/>
          <w:color w:val="000000"/>
          <w:sz w:val="24"/>
        </w:rPr>
      </w:pPr>
      <w:r>
        <w:rPr>
          <w:rFonts w:ascii="Arial" w:hAnsi="Arial" w:cs="Arial"/>
          <w:b/>
          <w:color w:val="000000"/>
          <w:sz w:val="24"/>
        </w:rPr>
        <w:t>Family/Caregiver Demographic Questionnaire –</w:t>
      </w:r>
      <w:r>
        <w:rPr>
          <w:rFonts w:ascii="Arial" w:hAnsi="Arial" w:cs="Arial"/>
          <w:bCs/>
          <w:color w:val="000000"/>
          <w:sz w:val="24"/>
        </w:rPr>
        <w:t xml:space="preserve"> demographic questionnaire of families/caregivers identified by PMHCA programs to participate in the Family/Caregiver FGD about themselves and their child/adolescent for the purpose of FGD sampling and to inform qualitative data analyses. </w:t>
      </w:r>
    </w:p>
    <w:p w:rsidR="00EB355A" w:rsidRPr="005D6F89" w:rsidP="00EB355A" w14:paraId="68F5F17A" w14:textId="52C8237B">
      <w:pPr>
        <w:widowControl/>
        <w:autoSpaceDE/>
        <w:autoSpaceDN/>
        <w:adjustRightInd/>
        <w:spacing w:before="120"/>
        <w:rPr>
          <w:rFonts w:ascii="Arial" w:hAnsi="Arial" w:cs="Arial"/>
          <w:bCs/>
          <w:color w:val="000000"/>
          <w:sz w:val="24"/>
        </w:rPr>
      </w:pPr>
      <w:r w:rsidRPr="005D6F89">
        <w:rPr>
          <w:rFonts w:ascii="Arial" w:hAnsi="Arial" w:cs="Arial"/>
          <w:bCs/>
          <w:color w:val="000000"/>
          <w:sz w:val="24"/>
        </w:rPr>
        <w:t>After careful consideration of existing data</w:t>
      </w:r>
      <w:r w:rsidRPr="005D6F89" w:rsidR="00291C28">
        <w:rPr>
          <w:rFonts w:ascii="Arial" w:hAnsi="Arial" w:cs="Arial"/>
          <w:bCs/>
          <w:color w:val="000000"/>
          <w:sz w:val="24"/>
        </w:rPr>
        <w:t xml:space="preserve"> and literature</w:t>
      </w:r>
      <w:r w:rsidRPr="005D6F89">
        <w:rPr>
          <w:rFonts w:ascii="Arial" w:hAnsi="Arial" w:cs="Arial"/>
          <w:bCs/>
          <w:color w:val="000000"/>
          <w:sz w:val="24"/>
        </w:rPr>
        <w:t xml:space="preserve">, the HP Impact Survey and Family/Caregiver FGD address the unavailability of quantitative and qualitative data that are essential for </w:t>
      </w:r>
      <w:r w:rsidRPr="005D6F89" w:rsidR="00291C28">
        <w:rPr>
          <w:rFonts w:ascii="Arial" w:hAnsi="Arial" w:cs="Arial"/>
          <w:bCs/>
          <w:color w:val="000000"/>
          <w:sz w:val="24"/>
        </w:rPr>
        <w:t>understanding the impact of the PMHCA program</w:t>
      </w:r>
      <w:r w:rsidRPr="005D6F89">
        <w:rPr>
          <w:rFonts w:ascii="Arial" w:hAnsi="Arial" w:cs="Arial"/>
          <w:bCs/>
          <w:color w:val="000000"/>
          <w:sz w:val="24"/>
        </w:rPr>
        <w:t xml:space="preserve">. Specifically, the </w:t>
      </w:r>
      <w:r w:rsidRPr="005D6F89" w:rsidR="00975CA1">
        <w:rPr>
          <w:rFonts w:ascii="Arial" w:hAnsi="Arial" w:cs="Arial"/>
          <w:bCs/>
          <w:color w:val="000000"/>
          <w:sz w:val="24"/>
        </w:rPr>
        <w:t>HP Impact S</w:t>
      </w:r>
      <w:r w:rsidRPr="005D6F89">
        <w:rPr>
          <w:rFonts w:ascii="Arial" w:hAnsi="Arial" w:cs="Arial"/>
          <w:bCs/>
          <w:color w:val="000000"/>
          <w:sz w:val="24"/>
        </w:rPr>
        <w:t>urvey will collect</w:t>
      </w:r>
      <w:r w:rsidRPr="005D6F89" w:rsidR="00291C28">
        <w:rPr>
          <w:rFonts w:ascii="Arial" w:hAnsi="Arial" w:cs="Arial"/>
          <w:bCs/>
          <w:color w:val="000000"/>
          <w:sz w:val="24"/>
        </w:rPr>
        <w:t xml:space="preserve"> data on</w:t>
      </w:r>
      <w:r w:rsidRPr="005D6F89">
        <w:rPr>
          <w:rFonts w:ascii="Arial" w:hAnsi="Arial" w:cs="Arial"/>
          <w:bCs/>
          <w:color w:val="000000"/>
          <w:sz w:val="24"/>
        </w:rPr>
        <w:t>:</w:t>
      </w:r>
    </w:p>
    <w:p w:rsidR="00EB355A" w:rsidRPr="005D6F89" w:rsidP="00B81E5E" w14:paraId="2340A270" w14:textId="609A795C">
      <w:pPr>
        <w:pStyle w:val="ListParagraph"/>
        <w:widowControl/>
        <w:numPr>
          <w:ilvl w:val="0"/>
          <w:numId w:val="19"/>
        </w:numPr>
        <w:autoSpaceDE/>
        <w:autoSpaceDN/>
        <w:adjustRightInd/>
        <w:spacing w:before="120"/>
        <w:rPr>
          <w:rFonts w:ascii="Arial" w:hAnsi="Arial" w:cs="Arial"/>
          <w:bCs/>
          <w:color w:val="000000"/>
          <w:sz w:val="24"/>
        </w:rPr>
      </w:pPr>
      <w:r w:rsidRPr="005D6F89">
        <w:rPr>
          <w:rFonts w:ascii="Arial" w:hAnsi="Arial" w:cs="Arial"/>
          <w:bCs/>
          <w:color w:val="000000"/>
          <w:sz w:val="24"/>
        </w:rPr>
        <w:t xml:space="preserve">Provider estimates of the number of patients </w:t>
      </w:r>
      <w:r w:rsidRPr="005D6F89">
        <w:rPr>
          <w:rFonts w:ascii="Arial" w:hAnsi="Arial" w:cs="Arial"/>
          <w:bCs/>
          <w:color w:val="000000"/>
          <w:sz w:val="24"/>
        </w:rPr>
        <w:t>screened</w:t>
      </w:r>
    </w:p>
    <w:p w:rsidR="00EB355A" w:rsidRPr="005D6F89" w:rsidP="00B81E5E" w14:paraId="01A47244" w14:textId="7FA9038A">
      <w:pPr>
        <w:pStyle w:val="ListParagraph"/>
        <w:widowControl/>
        <w:numPr>
          <w:ilvl w:val="0"/>
          <w:numId w:val="19"/>
        </w:numPr>
        <w:autoSpaceDE/>
        <w:autoSpaceDN/>
        <w:adjustRightInd/>
        <w:spacing w:before="120"/>
        <w:rPr>
          <w:rFonts w:ascii="Arial" w:hAnsi="Arial" w:cs="Arial"/>
          <w:bCs/>
          <w:color w:val="000000"/>
          <w:sz w:val="24"/>
        </w:rPr>
      </w:pPr>
      <w:r w:rsidRPr="005D6F89">
        <w:rPr>
          <w:rFonts w:ascii="Arial" w:hAnsi="Arial" w:cs="Arial"/>
          <w:bCs/>
          <w:color w:val="000000"/>
          <w:sz w:val="24"/>
        </w:rPr>
        <w:t xml:space="preserve">Types of behavioral health disorders </w:t>
      </w:r>
      <w:r w:rsidRPr="005D6F89">
        <w:rPr>
          <w:rFonts w:ascii="Arial" w:hAnsi="Arial" w:cs="Arial"/>
          <w:bCs/>
          <w:color w:val="000000"/>
          <w:sz w:val="24"/>
        </w:rPr>
        <w:t>screened</w:t>
      </w:r>
    </w:p>
    <w:p w:rsidR="00EB355A" w:rsidRPr="005D6F89" w:rsidP="00B81E5E" w14:paraId="1CC04A6F" w14:textId="7DB5D7D7">
      <w:pPr>
        <w:pStyle w:val="ListParagraph"/>
        <w:widowControl/>
        <w:numPr>
          <w:ilvl w:val="0"/>
          <w:numId w:val="19"/>
        </w:numPr>
        <w:autoSpaceDE/>
        <w:autoSpaceDN/>
        <w:adjustRightInd/>
        <w:spacing w:before="120"/>
        <w:rPr>
          <w:rFonts w:ascii="Arial" w:hAnsi="Arial" w:cs="Arial"/>
          <w:bCs/>
          <w:color w:val="000000"/>
          <w:sz w:val="24"/>
        </w:rPr>
      </w:pPr>
      <w:r w:rsidRPr="005D6F89">
        <w:rPr>
          <w:rFonts w:ascii="Arial" w:hAnsi="Arial" w:cs="Arial"/>
          <w:bCs/>
          <w:color w:val="000000"/>
          <w:sz w:val="24"/>
        </w:rPr>
        <w:t>Number of patients diagnosed with behavioral health disorder</w:t>
      </w:r>
      <w:r w:rsidRPr="005D6F89" w:rsidR="00AA61BA">
        <w:rPr>
          <w:rFonts w:ascii="Arial" w:hAnsi="Arial" w:cs="Arial"/>
          <w:bCs/>
          <w:color w:val="000000"/>
          <w:sz w:val="24"/>
        </w:rPr>
        <w:t>s</w:t>
      </w:r>
      <w:r w:rsidRPr="005D6F89">
        <w:rPr>
          <w:rFonts w:ascii="Arial" w:hAnsi="Arial" w:cs="Arial"/>
          <w:bCs/>
          <w:color w:val="000000"/>
          <w:sz w:val="24"/>
        </w:rPr>
        <w:t xml:space="preserve"> and resulting diagnostic </w:t>
      </w:r>
      <w:r w:rsidRPr="005D6F89">
        <w:rPr>
          <w:rFonts w:ascii="Arial" w:hAnsi="Arial" w:cs="Arial"/>
          <w:bCs/>
          <w:color w:val="000000"/>
          <w:sz w:val="24"/>
        </w:rPr>
        <w:t>classifications</w:t>
      </w:r>
    </w:p>
    <w:p w:rsidR="00EB355A" w:rsidRPr="005D6F89" w:rsidP="00B81E5E" w14:paraId="17F452DA" w14:textId="79B24BE1">
      <w:pPr>
        <w:pStyle w:val="ListParagraph"/>
        <w:widowControl/>
        <w:numPr>
          <w:ilvl w:val="0"/>
          <w:numId w:val="19"/>
        </w:numPr>
        <w:autoSpaceDE/>
        <w:autoSpaceDN/>
        <w:adjustRightInd/>
        <w:spacing w:before="120"/>
        <w:rPr>
          <w:rFonts w:ascii="Arial" w:hAnsi="Arial" w:cs="Arial"/>
          <w:bCs/>
          <w:color w:val="000000"/>
          <w:sz w:val="24"/>
        </w:rPr>
      </w:pPr>
      <w:r w:rsidRPr="005D6F89">
        <w:rPr>
          <w:rFonts w:ascii="Arial" w:hAnsi="Arial" w:cs="Arial"/>
          <w:bCs/>
          <w:color w:val="000000"/>
          <w:sz w:val="24"/>
        </w:rPr>
        <w:t xml:space="preserve">Number of patients referred to behavioral health specialty </w:t>
      </w:r>
      <w:r w:rsidRPr="005D6F89">
        <w:rPr>
          <w:rFonts w:ascii="Arial" w:hAnsi="Arial" w:cs="Arial"/>
          <w:bCs/>
          <w:color w:val="000000"/>
          <w:sz w:val="24"/>
        </w:rPr>
        <w:t>treatment</w:t>
      </w:r>
    </w:p>
    <w:p w:rsidR="00EB355A" w:rsidRPr="005D6F89" w:rsidP="00B81E5E" w14:paraId="131B41F6" w14:textId="6D7F1CD3">
      <w:pPr>
        <w:pStyle w:val="ListParagraph"/>
        <w:widowControl/>
        <w:numPr>
          <w:ilvl w:val="0"/>
          <w:numId w:val="19"/>
        </w:numPr>
        <w:autoSpaceDE/>
        <w:autoSpaceDN/>
        <w:adjustRightInd/>
        <w:spacing w:before="120"/>
        <w:rPr>
          <w:rFonts w:ascii="Arial" w:hAnsi="Arial" w:cs="Arial"/>
          <w:bCs/>
          <w:color w:val="000000"/>
          <w:sz w:val="24"/>
        </w:rPr>
      </w:pPr>
      <w:r w:rsidRPr="005D6F89">
        <w:rPr>
          <w:rFonts w:ascii="Arial" w:hAnsi="Arial" w:cs="Arial"/>
          <w:bCs/>
          <w:color w:val="000000"/>
          <w:sz w:val="24"/>
        </w:rPr>
        <w:t xml:space="preserve">Type of behavioral health resources to which patients are </w:t>
      </w:r>
      <w:r w:rsidRPr="005D6F89">
        <w:rPr>
          <w:rFonts w:ascii="Arial" w:hAnsi="Arial" w:cs="Arial"/>
          <w:bCs/>
          <w:color w:val="000000"/>
          <w:sz w:val="24"/>
        </w:rPr>
        <w:t>referred</w:t>
      </w:r>
    </w:p>
    <w:p w:rsidR="00EB355A" w:rsidRPr="005D6F89" w:rsidP="00B81E5E" w14:paraId="17BE4483" w14:textId="77FF6A6F">
      <w:pPr>
        <w:pStyle w:val="ListParagraph"/>
        <w:widowControl/>
        <w:numPr>
          <w:ilvl w:val="0"/>
          <w:numId w:val="19"/>
        </w:numPr>
        <w:autoSpaceDE/>
        <w:autoSpaceDN/>
        <w:adjustRightInd/>
        <w:spacing w:before="120"/>
        <w:rPr>
          <w:rFonts w:ascii="Arial" w:hAnsi="Arial" w:cs="Arial"/>
          <w:bCs/>
          <w:color w:val="000000"/>
          <w:sz w:val="24"/>
        </w:rPr>
      </w:pPr>
      <w:r w:rsidRPr="005D6F89">
        <w:rPr>
          <w:rFonts w:ascii="Arial" w:hAnsi="Arial" w:cs="Arial"/>
          <w:bCs/>
          <w:color w:val="000000"/>
          <w:sz w:val="24"/>
        </w:rPr>
        <w:t xml:space="preserve">Number of those referrals resulting in a visit to a behavioral health specialist </w:t>
      </w:r>
    </w:p>
    <w:p w:rsidR="00291C28" w:rsidRPr="005D6F89" w:rsidP="00291C28" w14:paraId="1CA313BF" w14:textId="2DED463B">
      <w:pPr>
        <w:widowControl/>
        <w:autoSpaceDE/>
        <w:autoSpaceDN/>
        <w:adjustRightInd/>
        <w:spacing w:before="120"/>
        <w:rPr>
          <w:rFonts w:ascii="Arial" w:hAnsi="Arial" w:cs="Arial"/>
          <w:bCs/>
          <w:color w:val="000000"/>
          <w:sz w:val="24"/>
        </w:rPr>
      </w:pPr>
      <w:r w:rsidRPr="005D6F89">
        <w:rPr>
          <w:rFonts w:ascii="Arial" w:hAnsi="Arial" w:cs="Arial"/>
          <w:bCs/>
          <w:color w:val="000000"/>
          <w:sz w:val="24"/>
        </w:rPr>
        <w:t xml:space="preserve">Specifically, the </w:t>
      </w:r>
      <w:r w:rsidRPr="005D6F89" w:rsidR="00975CA1">
        <w:rPr>
          <w:rFonts w:ascii="Arial" w:hAnsi="Arial" w:cs="Arial"/>
          <w:bCs/>
          <w:color w:val="000000"/>
          <w:sz w:val="24"/>
        </w:rPr>
        <w:t>Family</w:t>
      </w:r>
      <w:r w:rsidRPr="005D6F89" w:rsidR="00206F09">
        <w:rPr>
          <w:rFonts w:ascii="Arial" w:hAnsi="Arial" w:cs="Arial"/>
          <w:bCs/>
          <w:color w:val="000000"/>
          <w:sz w:val="24"/>
        </w:rPr>
        <w:t>/</w:t>
      </w:r>
      <w:r w:rsidRPr="005D6F89" w:rsidR="00975CA1">
        <w:rPr>
          <w:rFonts w:ascii="Arial" w:hAnsi="Arial" w:cs="Arial"/>
          <w:bCs/>
          <w:color w:val="000000"/>
          <w:sz w:val="24"/>
        </w:rPr>
        <w:t xml:space="preserve">Caregiver </w:t>
      </w:r>
      <w:r w:rsidRPr="005D6F89">
        <w:rPr>
          <w:rFonts w:ascii="Arial" w:hAnsi="Arial" w:cs="Arial"/>
          <w:bCs/>
          <w:color w:val="000000"/>
          <w:sz w:val="24"/>
        </w:rPr>
        <w:t>FGD will collect the perspectives and viewpoints of PMHCA program beneficiaries (i.e., families/caregivers) on their:</w:t>
      </w:r>
    </w:p>
    <w:p w:rsidR="00291C28" w:rsidRPr="005D6F89" w:rsidP="00B81E5E" w14:paraId="1294BB8E" w14:textId="714BE613">
      <w:pPr>
        <w:pStyle w:val="ListParagraph"/>
        <w:widowControl/>
        <w:numPr>
          <w:ilvl w:val="0"/>
          <w:numId w:val="20"/>
        </w:numPr>
        <w:autoSpaceDE/>
        <w:autoSpaceDN/>
        <w:adjustRightInd/>
        <w:spacing w:before="120"/>
        <w:rPr>
          <w:rFonts w:ascii="Arial" w:hAnsi="Arial" w:cs="Arial"/>
          <w:bCs/>
          <w:color w:val="000000"/>
          <w:sz w:val="24"/>
        </w:rPr>
      </w:pPr>
      <w:r w:rsidRPr="005D6F89">
        <w:rPr>
          <w:rFonts w:ascii="Arial" w:hAnsi="Arial" w:cs="Arial"/>
          <w:bCs/>
          <w:color w:val="000000"/>
          <w:sz w:val="24"/>
        </w:rPr>
        <w:t>Experiences with behavioral health care access, receipt, and utilization</w:t>
      </w:r>
      <w:r w:rsidRPr="005D6F89" w:rsidR="00975CA1">
        <w:rPr>
          <w:rFonts w:ascii="Arial" w:hAnsi="Arial" w:cs="Arial"/>
          <w:bCs/>
          <w:color w:val="000000"/>
          <w:sz w:val="24"/>
        </w:rPr>
        <w:t xml:space="preserve"> for their child/adolescent</w:t>
      </w:r>
    </w:p>
    <w:p w:rsidR="00291C28" w:rsidRPr="005D6F89" w:rsidP="00B81E5E" w14:paraId="71FBA799" w14:textId="1C3E4CB2">
      <w:pPr>
        <w:pStyle w:val="ListParagraph"/>
        <w:widowControl/>
        <w:numPr>
          <w:ilvl w:val="0"/>
          <w:numId w:val="20"/>
        </w:numPr>
        <w:autoSpaceDE/>
        <w:autoSpaceDN/>
        <w:adjustRightInd/>
        <w:spacing w:before="120"/>
        <w:rPr>
          <w:rFonts w:ascii="Arial" w:hAnsi="Arial" w:cs="Arial"/>
          <w:bCs/>
          <w:color w:val="000000"/>
          <w:sz w:val="24"/>
        </w:rPr>
      </w:pPr>
      <w:r w:rsidRPr="005D6F89">
        <w:rPr>
          <w:rFonts w:ascii="Arial" w:hAnsi="Arial" w:cs="Arial"/>
          <w:bCs/>
          <w:color w:val="000000"/>
          <w:sz w:val="24"/>
        </w:rPr>
        <w:t>Satisfaction with behavioral health care services</w:t>
      </w:r>
      <w:r w:rsidRPr="005D6F89" w:rsidR="00975CA1">
        <w:rPr>
          <w:rFonts w:ascii="Arial" w:hAnsi="Arial" w:cs="Arial"/>
          <w:bCs/>
          <w:color w:val="000000"/>
          <w:sz w:val="24"/>
        </w:rPr>
        <w:t xml:space="preserve"> for their child/adolescent</w:t>
      </w:r>
    </w:p>
    <w:p w:rsidR="00291C28" w:rsidP="00B81E5E" w14:paraId="54F2D081" w14:textId="46FD5D44">
      <w:pPr>
        <w:pStyle w:val="ListParagraph"/>
        <w:widowControl/>
        <w:numPr>
          <w:ilvl w:val="0"/>
          <w:numId w:val="20"/>
        </w:numPr>
        <w:autoSpaceDE/>
        <w:autoSpaceDN/>
        <w:adjustRightInd/>
        <w:spacing w:before="120"/>
        <w:rPr>
          <w:rFonts w:ascii="Arial" w:hAnsi="Arial" w:cs="Arial"/>
          <w:bCs/>
          <w:color w:val="000000"/>
          <w:sz w:val="24"/>
        </w:rPr>
      </w:pPr>
      <w:r w:rsidRPr="005D6F89">
        <w:rPr>
          <w:rFonts w:ascii="Arial" w:hAnsi="Arial" w:cs="Arial"/>
          <w:bCs/>
          <w:color w:val="000000"/>
          <w:sz w:val="24"/>
        </w:rPr>
        <w:t>Impact of the behavioral health services on their child/adolescent</w:t>
      </w:r>
    </w:p>
    <w:p w:rsidR="008D30EE" w:rsidP="008D30EE" w14:paraId="00EFE18F" w14:textId="74D35DF7">
      <w:pPr>
        <w:widowControl/>
        <w:autoSpaceDE/>
        <w:autoSpaceDN/>
        <w:adjustRightInd/>
        <w:spacing w:before="120"/>
        <w:rPr>
          <w:rFonts w:ascii="Arial" w:hAnsi="Arial" w:cs="Arial"/>
          <w:bCs/>
          <w:color w:val="000000"/>
          <w:sz w:val="24"/>
        </w:rPr>
      </w:pPr>
      <w:r>
        <w:rPr>
          <w:rFonts w:ascii="Arial" w:hAnsi="Arial" w:cs="Arial"/>
          <w:bCs/>
          <w:color w:val="000000"/>
          <w:sz w:val="24"/>
        </w:rPr>
        <w:t xml:space="preserve">The Family/Caregiver Demographic Questionnaire will collect information </w:t>
      </w:r>
      <w:r w:rsidR="00E87548">
        <w:rPr>
          <w:rFonts w:ascii="Arial" w:hAnsi="Arial" w:cs="Arial"/>
          <w:bCs/>
          <w:color w:val="000000"/>
          <w:sz w:val="24"/>
        </w:rPr>
        <w:t>from</w:t>
      </w:r>
      <w:r>
        <w:rPr>
          <w:rFonts w:ascii="Arial" w:hAnsi="Arial" w:cs="Arial"/>
          <w:bCs/>
          <w:color w:val="000000"/>
          <w:sz w:val="24"/>
        </w:rPr>
        <w:t xml:space="preserve"> PMHCA program beneficiaries (i.e., families/caregivers and their child/adolescent) including:</w:t>
      </w:r>
    </w:p>
    <w:p w:rsidR="008D30EE" w:rsidP="008D30EE" w14:paraId="1A0FC7D9" w14:textId="4EC1A55C">
      <w:pPr>
        <w:pStyle w:val="ListParagraph"/>
        <w:widowControl/>
        <w:numPr>
          <w:ilvl w:val="0"/>
          <w:numId w:val="33"/>
        </w:numPr>
        <w:autoSpaceDE/>
        <w:autoSpaceDN/>
        <w:adjustRightInd/>
        <w:spacing w:before="120"/>
        <w:rPr>
          <w:rFonts w:ascii="Arial" w:hAnsi="Arial" w:cs="Arial"/>
          <w:bCs/>
          <w:color w:val="000000"/>
          <w:sz w:val="24"/>
        </w:rPr>
      </w:pPr>
      <w:r>
        <w:rPr>
          <w:rFonts w:ascii="Arial" w:hAnsi="Arial" w:cs="Arial"/>
          <w:bCs/>
          <w:color w:val="000000"/>
          <w:sz w:val="24"/>
        </w:rPr>
        <w:t>Family/caregiver contact information</w:t>
      </w:r>
    </w:p>
    <w:p w:rsidR="008D30EE" w:rsidP="008D30EE" w14:paraId="54EA8170" w14:textId="6818A9E9">
      <w:pPr>
        <w:pStyle w:val="ListParagraph"/>
        <w:widowControl/>
        <w:numPr>
          <w:ilvl w:val="0"/>
          <w:numId w:val="33"/>
        </w:numPr>
        <w:autoSpaceDE/>
        <w:autoSpaceDN/>
        <w:adjustRightInd/>
        <w:spacing w:before="120"/>
        <w:rPr>
          <w:rFonts w:ascii="Arial" w:hAnsi="Arial" w:cs="Arial"/>
          <w:bCs/>
          <w:color w:val="000000"/>
          <w:sz w:val="24"/>
        </w:rPr>
      </w:pPr>
      <w:r>
        <w:rPr>
          <w:rFonts w:ascii="Arial" w:hAnsi="Arial" w:cs="Arial"/>
          <w:bCs/>
          <w:color w:val="000000"/>
          <w:sz w:val="24"/>
        </w:rPr>
        <w:t xml:space="preserve">Family/caregiver ZIP </w:t>
      </w:r>
      <w:r w:rsidR="008D5A5B">
        <w:rPr>
          <w:rFonts w:ascii="Arial" w:hAnsi="Arial" w:cs="Arial"/>
          <w:bCs/>
          <w:color w:val="000000"/>
          <w:sz w:val="24"/>
        </w:rPr>
        <w:t>C</w:t>
      </w:r>
      <w:r>
        <w:rPr>
          <w:rFonts w:ascii="Arial" w:hAnsi="Arial" w:cs="Arial"/>
          <w:bCs/>
          <w:color w:val="000000"/>
          <w:sz w:val="24"/>
        </w:rPr>
        <w:t>ode</w:t>
      </w:r>
    </w:p>
    <w:p w:rsidR="008D30EE" w:rsidP="008D30EE" w14:paraId="4715221C" w14:textId="57E41A57">
      <w:pPr>
        <w:pStyle w:val="ListParagraph"/>
        <w:widowControl/>
        <w:numPr>
          <w:ilvl w:val="0"/>
          <w:numId w:val="33"/>
        </w:numPr>
        <w:autoSpaceDE/>
        <w:autoSpaceDN/>
        <w:adjustRightInd/>
        <w:spacing w:before="120"/>
        <w:rPr>
          <w:rFonts w:ascii="Arial" w:hAnsi="Arial" w:cs="Arial"/>
          <w:bCs/>
          <w:color w:val="000000"/>
          <w:sz w:val="24"/>
        </w:rPr>
      </w:pPr>
      <w:r>
        <w:rPr>
          <w:rFonts w:ascii="Arial" w:hAnsi="Arial" w:cs="Arial"/>
          <w:bCs/>
          <w:color w:val="000000"/>
          <w:sz w:val="24"/>
        </w:rPr>
        <w:t>Family/caregiver preferred language</w:t>
      </w:r>
    </w:p>
    <w:p w:rsidR="008D30EE" w:rsidP="008D30EE" w14:paraId="0AEDAD96" w14:textId="68C3A096">
      <w:pPr>
        <w:pStyle w:val="ListParagraph"/>
        <w:widowControl/>
        <w:numPr>
          <w:ilvl w:val="0"/>
          <w:numId w:val="33"/>
        </w:numPr>
        <w:autoSpaceDE/>
        <w:autoSpaceDN/>
        <w:adjustRightInd/>
        <w:spacing w:before="120"/>
        <w:rPr>
          <w:rFonts w:ascii="Arial" w:hAnsi="Arial" w:cs="Arial"/>
          <w:bCs/>
          <w:color w:val="000000"/>
          <w:sz w:val="24"/>
        </w:rPr>
      </w:pPr>
      <w:r>
        <w:rPr>
          <w:rFonts w:ascii="Arial" w:hAnsi="Arial" w:cs="Arial"/>
          <w:bCs/>
          <w:color w:val="000000"/>
          <w:sz w:val="24"/>
        </w:rPr>
        <w:t>Child/adolescent age</w:t>
      </w:r>
    </w:p>
    <w:p w:rsidR="008D30EE" w:rsidP="008D30EE" w14:paraId="4D0554F8" w14:textId="64CF7D73">
      <w:pPr>
        <w:pStyle w:val="ListParagraph"/>
        <w:widowControl/>
        <w:numPr>
          <w:ilvl w:val="0"/>
          <w:numId w:val="33"/>
        </w:numPr>
        <w:autoSpaceDE/>
        <w:autoSpaceDN/>
        <w:adjustRightInd/>
        <w:spacing w:before="120"/>
        <w:rPr>
          <w:rFonts w:ascii="Arial" w:hAnsi="Arial" w:cs="Arial"/>
          <w:bCs/>
          <w:color w:val="000000"/>
          <w:sz w:val="24"/>
        </w:rPr>
      </w:pPr>
      <w:r>
        <w:rPr>
          <w:rFonts w:ascii="Arial" w:hAnsi="Arial" w:cs="Arial"/>
          <w:bCs/>
          <w:color w:val="000000"/>
          <w:sz w:val="24"/>
        </w:rPr>
        <w:t>Child/adolescent race/ethnicity</w:t>
      </w:r>
    </w:p>
    <w:p w:rsidR="008D30EE" w:rsidRPr="008D30EE" w:rsidP="008D30EE" w14:paraId="4F7526EE" w14:textId="7D4668A5">
      <w:pPr>
        <w:pStyle w:val="ListParagraph"/>
        <w:widowControl/>
        <w:numPr>
          <w:ilvl w:val="0"/>
          <w:numId w:val="33"/>
        </w:numPr>
        <w:autoSpaceDE/>
        <w:autoSpaceDN/>
        <w:adjustRightInd/>
        <w:spacing w:before="120"/>
        <w:rPr>
          <w:rFonts w:ascii="Arial" w:hAnsi="Arial" w:cs="Arial"/>
          <w:bCs/>
          <w:color w:val="000000"/>
          <w:sz w:val="24"/>
        </w:rPr>
      </w:pPr>
      <w:r>
        <w:rPr>
          <w:rFonts w:ascii="Arial" w:hAnsi="Arial" w:cs="Arial"/>
          <w:bCs/>
          <w:color w:val="000000"/>
          <w:sz w:val="24"/>
        </w:rPr>
        <w:t xml:space="preserve">Child/adolescent gender identity </w:t>
      </w:r>
    </w:p>
    <w:p w:rsidR="00B65945" w:rsidRPr="005D6F89" w:rsidP="00B65945" w14:paraId="365F61FD" w14:textId="767D828F">
      <w:pPr>
        <w:widowControl/>
        <w:autoSpaceDE/>
        <w:autoSpaceDN/>
        <w:adjustRightInd/>
        <w:spacing w:before="120"/>
        <w:rPr>
          <w:rFonts w:ascii="Arial" w:hAnsi="Arial" w:cs="Arial"/>
          <w:bCs/>
          <w:color w:val="000000"/>
          <w:sz w:val="24"/>
        </w:rPr>
      </w:pPr>
      <w:r w:rsidRPr="005D6F89">
        <w:rPr>
          <w:rFonts w:ascii="Arial" w:hAnsi="Arial" w:cs="Arial"/>
          <w:bCs/>
          <w:color w:val="000000"/>
          <w:sz w:val="24"/>
        </w:rPr>
        <w:t xml:space="preserve">In coordination with HRSA MCHB, </w:t>
      </w:r>
      <w:r w:rsidRPr="005D6F89" w:rsidR="00EB355A">
        <w:rPr>
          <w:rFonts w:ascii="Arial" w:hAnsi="Arial" w:cs="Arial"/>
          <w:bCs/>
          <w:color w:val="000000"/>
          <w:sz w:val="24"/>
        </w:rPr>
        <w:t xml:space="preserve">JBS will use the </w:t>
      </w:r>
      <w:r w:rsidRPr="005D6F89" w:rsidR="008C7907">
        <w:rPr>
          <w:rFonts w:ascii="Arial" w:hAnsi="Arial" w:cs="Arial"/>
          <w:bCs/>
          <w:color w:val="000000"/>
          <w:sz w:val="24"/>
        </w:rPr>
        <w:t>data</w:t>
      </w:r>
      <w:r w:rsidRPr="005D6F89" w:rsidR="00EB355A">
        <w:rPr>
          <w:rFonts w:ascii="Arial" w:hAnsi="Arial" w:cs="Arial"/>
          <w:bCs/>
          <w:color w:val="000000"/>
          <w:sz w:val="24"/>
        </w:rPr>
        <w:t xml:space="preserve"> collected to</w:t>
      </w:r>
      <w:r w:rsidRPr="005D6F89">
        <w:rPr>
          <w:rFonts w:ascii="Arial" w:hAnsi="Arial" w:cs="Arial"/>
          <w:bCs/>
          <w:color w:val="000000"/>
          <w:sz w:val="24"/>
        </w:rPr>
        <w:t>:</w:t>
      </w:r>
    </w:p>
    <w:p w:rsidR="00837C60" w:rsidRPr="005D6F89" w:rsidP="00B81E5E" w14:paraId="05A21607" w14:textId="44FCDA21">
      <w:pPr>
        <w:pStyle w:val="ListParagraph"/>
        <w:widowControl/>
        <w:numPr>
          <w:ilvl w:val="0"/>
          <w:numId w:val="21"/>
        </w:numPr>
        <w:autoSpaceDE/>
        <w:autoSpaceDN/>
        <w:adjustRightInd/>
        <w:spacing w:before="120"/>
        <w:rPr>
          <w:rFonts w:ascii="Arial" w:hAnsi="Arial" w:cs="Arial"/>
          <w:bCs/>
          <w:color w:val="000000"/>
          <w:sz w:val="24"/>
        </w:rPr>
      </w:pPr>
      <w:r w:rsidRPr="005D6F89">
        <w:rPr>
          <w:rFonts w:ascii="Arial" w:hAnsi="Arial" w:cs="Arial"/>
          <w:bCs/>
          <w:color w:val="000000"/>
          <w:sz w:val="24"/>
        </w:rPr>
        <w:t xml:space="preserve">Enhance our understanding of the </w:t>
      </w:r>
      <w:r w:rsidRPr="005D6F89" w:rsidR="00975CA1">
        <w:rPr>
          <w:rFonts w:ascii="Arial" w:hAnsi="Arial" w:cs="Arial"/>
          <w:bCs/>
          <w:color w:val="000000"/>
          <w:sz w:val="24"/>
        </w:rPr>
        <w:t xml:space="preserve">impact of the </w:t>
      </w:r>
      <w:r w:rsidRPr="005D6F89">
        <w:rPr>
          <w:rFonts w:ascii="Arial" w:hAnsi="Arial" w:cs="Arial"/>
          <w:bCs/>
          <w:color w:val="000000"/>
          <w:sz w:val="24"/>
        </w:rPr>
        <w:t xml:space="preserve">PMHCA program, including how </w:t>
      </w:r>
      <w:r w:rsidRPr="005D6F89" w:rsidR="00A15D45">
        <w:rPr>
          <w:rFonts w:ascii="Arial" w:hAnsi="Arial" w:cs="Arial"/>
          <w:bCs/>
          <w:color w:val="000000"/>
          <w:sz w:val="24"/>
        </w:rPr>
        <w:t>it</w:t>
      </w:r>
      <w:r w:rsidRPr="005D6F89">
        <w:rPr>
          <w:rFonts w:ascii="Arial" w:hAnsi="Arial" w:cs="Arial"/>
          <w:bCs/>
          <w:color w:val="000000"/>
          <w:sz w:val="24"/>
        </w:rPr>
        <w:t xml:space="preserve"> improves access to and receipt and utilization of behavioral health </w:t>
      </w:r>
      <w:r w:rsidRPr="005D6F89">
        <w:rPr>
          <w:rFonts w:ascii="Arial" w:hAnsi="Arial" w:cs="Arial"/>
          <w:bCs/>
          <w:color w:val="000000"/>
          <w:sz w:val="24"/>
        </w:rPr>
        <w:t>care</w:t>
      </w:r>
      <w:r w:rsidRPr="005D6F89">
        <w:rPr>
          <w:rFonts w:ascii="Arial" w:hAnsi="Arial" w:cs="Arial"/>
          <w:bCs/>
          <w:sz w:val="24"/>
        </w:rPr>
        <w:t xml:space="preserve"> </w:t>
      </w:r>
    </w:p>
    <w:p w:rsidR="00837C60" w:rsidRPr="005D6F89" w:rsidP="00B81E5E" w14:paraId="7C0A6098" w14:textId="1DA5CF5C">
      <w:pPr>
        <w:pStyle w:val="ListParagraph"/>
        <w:widowControl/>
        <w:numPr>
          <w:ilvl w:val="0"/>
          <w:numId w:val="21"/>
        </w:numPr>
        <w:autoSpaceDE/>
        <w:autoSpaceDN/>
        <w:adjustRightInd/>
        <w:spacing w:before="120"/>
        <w:rPr>
          <w:rFonts w:ascii="Arial" w:hAnsi="Arial" w:cs="Arial"/>
          <w:bCs/>
          <w:color w:val="000000"/>
          <w:sz w:val="24"/>
        </w:rPr>
      </w:pPr>
      <w:r w:rsidRPr="005D6F89">
        <w:rPr>
          <w:rFonts w:ascii="Arial" w:hAnsi="Arial" w:cs="Arial"/>
          <w:bCs/>
          <w:color w:val="000000"/>
          <w:sz w:val="24"/>
        </w:rPr>
        <w:t xml:space="preserve">Study the impact of the PMHCA program on unmet behavioral health </w:t>
      </w:r>
      <w:r w:rsidRPr="005D6F89">
        <w:rPr>
          <w:rFonts w:ascii="Arial" w:hAnsi="Arial" w:cs="Arial"/>
          <w:bCs/>
          <w:color w:val="000000"/>
          <w:sz w:val="24"/>
        </w:rPr>
        <w:t>needs</w:t>
      </w:r>
    </w:p>
    <w:p w:rsidR="00837C60" w:rsidRPr="005D6F89" w:rsidP="00B81E5E" w14:paraId="0FF82D06" w14:textId="28E9AB6D">
      <w:pPr>
        <w:pStyle w:val="ListParagraph"/>
        <w:widowControl/>
        <w:numPr>
          <w:ilvl w:val="0"/>
          <w:numId w:val="21"/>
        </w:numPr>
        <w:autoSpaceDE/>
        <w:autoSpaceDN/>
        <w:adjustRightInd/>
        <w:spacing w:before="120"/>
        <w:rPr>
          <w:rFonts w:ascii="Arial" w:hAnsi="Arial" w:cs="Arial"/>
          <w:bCs/>
          <w:color w:val="000000"/>
          <w:sz w:val="24"/>
        </w:rPr>
      </w:pPr>
      <w:r w:rsidRPr="005D6F89">
        <w:rPr>
          <w:rFonts w:ascii="Arial" w:hAnsi="Arial" w:cs="Arial"/>
          <w:bCs/>
          <w:sz w:val="24"/>
        </w:rPr>
        <w:t xml:space="preserve">Examine differences between PMHCA program </w:t>
      </w:r>
      <w:r w:rsidRPr="005D6F89" w:rsidR="00975CA1">
        <w:rPr>
          <w:rFonts w:ascii="Arial" w:hAnsi="Arial" w:cs="Arial"/>
          <w:bCs/>
          <w:sz w:val="24"/>
        </w:rPr>
        <w:t>impact</w:t>
      </w:r>
      <w:r w:rsidRPr="005D6F89" w:rsidR="00867A32">
        <w:rPr>
          <w:rFonts w:ascii="Arial" w:hAnsi="Arial" w:cs="Arial"/>
          <w:bCs/>
          <w:sz w:val="24"/>
        </w:rPr>
        <w:t>,</w:t>
      </w:r>
      <w:r w:rsidRPr="005D6F89" w:rsidR="00975CA1">
        <w:rPr>
          <w:rFonts w:ascii="Arial" w:hAnsi="Arial" w:cs="Arial"/>
          <w:bCs/>
          <w:sz w:val="24"/>
        </w:rPr>
        <w:t xml:space="preserve"> </w:t>
      </w:r>
      <w:r w:rsidRPr="005D6F89">
        <w:rPr>
          <w:rFonts w:ascii="Arial" w:hAnsi="Arial" w:cs="Arial"/>
          <w:bCs/>
          <w:sz w:val="24"/>
        </w:rPr>
        <w:t xml:space="preserve">based on child/adolescent and community characteristics and/or locations in which PMHCA programs are </w:t>
      </w:r>
      <w:r w:rsidRPr="005D6F89">
        <w:rPr>
          <w:rFonts w:ascii="Arial" w:hAnsi="Arial" w:cs="Arial"/>
          <w:bCs/>
          <w:sz w:val="24"/>
        </w:rPr>
        <w:t>implemented</w:t>
      </w:r>
    </w:p>
    <w:p w:rsidR="00A83414" w:rsidRPr="005D6F89" w:rsidP="00B81E5E" w14:paraId="6F2EDC16" w14:textId="3DF2ABCD">
      <w:pPr>
        <w:pStyle w:val="ListParagraph"/>
        <w:widowControl/>
        <w:numPr>
          <w:ilvl w:val="0"/>
          <w:numId w:val="21"/>
        </w:numPr>
        <w:autoSpaceDE/>
        <w:autoSpaceDN/>
        <w:adjustRightInd/>
        <w:spacing w:before="120"/>
        <w:rPr>
          <w:rFonts w:ascii="Arial" w:hAnsi="Arial" w:cs="Arial"/>
          <w:bCs/>
          <w:color w:val="000000"/>
          <w:sz w:val="24"/>
        </w:rPr>
      </w:pPr>
      <w:r w:rsidRPr="005D6F89">
        <w:rPr>
          <w:rFonts w:ascii="Arial" w:hAnsi="Arial" w:cs="Arial"/>
          <w:bCs/>
          <w:color w:val="000000"/>
          <w:sz w:val="24"/>
        </w:rPr>
        <w:t>Explore PMHCA program cost-benefit (both monetary and societal)</w:t>
      </w:r>
    </w:p>
    <w:p w:rsidR="00837C60" w:rsidRPr="005D6F89" w:rsidP="00B81E5E" w14:paraId="61949A1C" w14:textId="14056B99">
      <w:pPr>
        <w:pStyle w:val="ListParagraph"/>
        <w:widowControl/>
        <w:numPr>
          <w:ilvl w:val="0"/>
          <w:numId w:val="21"/>
        </w:numPr>
        <w:autoSpaceDE/>
        <w:autoSpaceDN/>
        <w:adjustRightInd/>
        <w:spacing w:before="120"/>
        <w:rPr>
          <w:rFonts w:ascii="Arial" w:hAnsi="Arial" w:cs="Arial"/>
          <w:bCs/>
          <w:color w:val="000000"/>
          <w:sz w:val="24"/>
        </w:rPr>
      </w:pPr>
      <w:r w:rsidRPr="005D6F89">
        <w:rPr>
          <w:rFonts w:ascii="Arial" w:hAnsi="Arial" w:cs="Arial"/>
          <w:bCs/>
          <w:color w:val="000000"/>
          <w:sz w:val="24"/>
        </w:rPr>
        <w:t xml:space="preserve">Provide data in reports </w:t>
      </w:r>
      <w:r w:rsidRPr="005D6F89" w:rsidR="00C62C9B">
        <w:rPr>
          <w:rFonts w:ascii="Arial" w:hAnsi="Arial" w:cs="Arial"/>
          <w:bCs/>
          <w:color w:val="000000"/>
          <w:sz w:val="24"/>
        </w:rPr>
        <w:t xml:space="preserve">and webinars </w:t>
      </w:r>
      <w:r w:rsidRPr="005D6F89">
        <w:rPr>
          <w:rFonts w:ascii="Arial" w:hAnsi="Arial" w:cs="Arial"/>
          <w:bCs/>
          <w:color w:val="000000"/>
          <w:sz w:val="24"/>
        </w:rPr>
        <w:t>to HRSA MCHB</w:t>
      </w:r>
      <w:r w:rsidRPr="005D6F89" w:rsidR="00C62C9B">
        <w:rPr>
          <w:rFonts w:ascii="Arial" w:hAnsi="Arial" w:cs="Arial"/>
          <w:bCs/>
          <w:color w:val="000000"/>
          <w:sz w:val="24"/>
        </w:rPr>
        <w:t xml:space="preserve"> and PMHCA </w:t>
      </w:r>
      <w:r w:rsidRPr="005D6F89" w:rsidR="00C62C9B">
        <w:rPr>
          <w:rFonts w:ascii="Arial" w:hAnsi="Arial" w:cs="Arial"/>
          <w:bCs/>
          <w:color w:val="000000"/>
          <w:sz w:val="24"/>
        </w:rPr>
        <w:t>programs</w:t>
      </w:r>
    </w:p>
    <w:p w:rsidR="00B65945" w:rsidRPr="005D6F89" w:rsidP="00B65945" w14:paraId="1FB3E65F" w14:textId="389A78C0">
      <w:pPr>
        <w:widowControl/>
        <w:autoSpaceDE/>
        <w:autoSpaceDN/>
        <w:adjustRightInd/>
        <w:spacing w:before="120"/>
        <w:rPr>
          <w:rFonts w:ascii="Arial" w:hAnsi="Arial" w:cs="Arial"/>
          <w:bCs/>
          <w:color w:val="000000"/>
          <w:sz w:val="24"/>
        </w:rPr>
      </w:pPr>
      <w:r w:rsidRPr="005D6F89">
        <w:rPr>
          <w:rFonts w:ascii="Arial" w:hAnsi="Arial" w:cs="Arial"/>
          <w:bCs/>
          <w:color w:val="000000"/>
          <w:sz w:val="24"/>
        </w:rPr>
        <w:t>Supporting Statement B contains additional information on study procedures on the collection of information using these data collection tools</w:t>
      </w:r>
      <w:r w:rsidRPr="005D6F89" w:rsidR="00867A32">
        <w:rPr>
          <w:rFonts w:ascii="Arial" w:hAnsi="Arial" w:cs="Arial"/>
          <w:bCs/>
          <w:color w:val="000000"/>
          <w:sz w:val="24"/>
        </w:rPr>
        <w:t>, which</w:t>
      </w:r>
      <w:r w:rsidRPr="005D6F89">
        <w:rPr>
          <w:rFonts w:ascii="Arial" w:hAnsi="Arial" w:cs="Arial"/>
          <w:bCs/>
          <w:color w:val="000000"/>
          <w:sz w:val="24"/>
        </w:rPr>
        <w:t xml:space="preserve"> are also included as attachments in Supporting Statement B.</w:t>
      </w:r>
    </w:p>
    <w:p w:rsidR="009B3794" w:rsidRPr="005D6F89" w:rsidP="005D6F89" w14:paraId="22E2A304" w14:textId="0B9BFDBB">
      <w:pPr>
        <w:numPr>
          <w:ilvl w:val="0"/>
          <w:numId w:val="1"/>
        </w:numPr>
        <w:tabs>
          <w:tab w:val="num" w:pos="360"/>
        </w:tabs>
        <w:spacing w:before="240"/>
        <w:ind w:left="360"/>
        <w:rPr>
          <w:rFonts w:ascii="Arial" w:hAnsi="Arial" w:cs="Arial"/>
          <w:sz w:val="24"/>
        </w:rPr>
      </w:pPr>
      <w:r w:rsidRPr="005D6F89">
        <w:rPr>
          <w:rFonts w:ascii="Arial" w:hAnsi="Arial" w:cs="Arial"/>
          <w:b/>
          <w:sz w:val="24"/>
          <w:u w:val="single"/>
        </w:rPr>
        <w:t>Use of Improved Information Technology and Burden Reduction</w:t>
      </w:r>
    </w:p>
    <w:p w:rsidR="00625189" w:rsidRPr="005D6F89" w:rsidP="00625189" w14:paraId="2B61B2F1" w14:textId="678961A0">
      <w:pPr>
        <w:widowControl/>
        <w:spacing w:before="120"/>
        <w:rPr>
          <w:rFonts w:ascii="Arial" w:hAnsi="Arial" w:cs="Arial"/>
          <w:sz w:val="24"/>
        </w:rPr>
      </w:pPr>
      <w:r w:rsidRPr="005D6F89">
        <w:rPr>
          <w:rFonts w:ascii="Arial" w:hAnsi="Arial" w:cs="Arial"/>
          <w:sz w:val="24"/>
        </w:rPr>
        <w:t>The Impact Study will follow a multimethod approach. Data collection methodologies for this evaluation will use a survey (i.e., web-based, email</w:t>
      </w:r>
      <w:r w:rsidRPr="005D6F89" w:rsidR="00837C60">
        <w:rPr>
          <w:rFonts w:ascii="Arial" w:hAnsi="Arial" w:cs="Arial"/>
          <w:sz w:val="24"/>
        </w:rPr>
        <w:t>)</w:t>
      </w:r>
      <w:r w:rsidR="008D30EE">
        <w:rPr>
          <w:rFonts w:ascii="Arial" w:hAnsi="Arial" w:cs="Arial"/>
          <w:sz w:val="24"/>
        </w:rPr>
        <w:t>,</w:t>
      </w:r>
      <w:r w:rsidRPr="005D6F89">
        <w:rPr>
          <w:rFonts w:ascii="Arial" w:hAnsi="Arial" w:cs="Arial"/>
          <w:sz w:val="24"/>
        </w:rPr>
        <w:t xml:space="preserve"> </w:t>
      </w:r>
      <w:r w:rsidRPr="005D6F89" w:rsidR="0082478E">
        <w:rPr>
          <w:rFonts w:ascii="Arial" w:hAnsi="Arial" w:cs="Arial"/>
          <w:sz w:val="24"/>
        </w:rPr>
        <w:t xml:space="preserve">virtual </w:t>
      </w:r>
      <w:r w:rsidRPr="005D6F89">
        <w:rPr>
          <w:rFonts w:ascii="Arial" w:hAnsi="Arial" w:cs="Arial"/>
          <w:sz w:val="24"/>
        </w:rPr>
        <w:t>FGD (</w:t>
      </w:r>
      <w:r w:rsidRPr="005D6F89" w:rsidR="00975CA1">
        <w:rPr>
          <w:rFonts w:ascii="Arial" w:hAnsi="Arial" w:cs="Arial"/>
          <w:sz w:val="24"/>
        </w:rPr>
        <w:t>e.g</w:t>
      </w:r>
      <w:r w:rsidRPr="005D6F89">
        <w:rPr>
          <w:rFonts w:ascii="Arial" w:hAnsi="Arial" w:cs="Arial"/>
          <w:sz w:val="24"/>
        </w:rPr>
        <w:t>., Microsoft Teams, Zoom)</w:t>
      </w:r>
      <w:r w:rsidR="008D30EE">
        <w:rPr>
          <w:rFonts w:ascii="Arial" w:hAnsi="Arial" w:cs="Arial"/>
          <w:sz w:val="24"/>
        </w:rPr>
        <w:t>, and questionnaire (i.e., phone)</w:t>
      </w:r>
      <w:r w:rsidRPr="005D6F89">
        <w:rPr>
          <w:rFonts w:ascii="Arial" w:hAnsi="Arial" w:cs="Arial"/>
          <w:sz w:val="24"/>
        </w:rPr>
        <w:t>. All technology used for the survey administration (i.e., web-linked survey administered via email and via survey platform) will meet Federal requirements for Section 508 accessibility. Information technology will be used in the following ways:</w:t>
      </w:r>
    </w:p>
    <w:p w:rsidR="00625189" w:rsidRPr="005D6F89" w:rsidP="00B81E5E" w14:paraId="5E1AA1B0" w14:textId="1C7337EE">
      <w:pPr>
        <w:pStyle w:val="ListParagraph"/>
        <w:widowControl/>
        <w:numPr>
          <w:ilvl w:val="0"/>
          <w:numId w:val="22"/>
        </w:numPr>
        <w:spacing w:before="120"/>
        <w:rPr>
          <w:rFonts w:ascii="Arial" w:hAnsi="Arial" w:cs="Arial"/>
          <w:sz w:val="24"/>
        </w:rPr>
      </w:pPr>
      <w:r w:rsidRPr="005D6F89">
        <w:rPr>
          <w:rFonts w:ascii="Arial" w:hAnsi="Arial" w:cs="Arial"/>
          <w:sz w:val="24"/>
        </w:rPr>
        <w:t xml:space="preserve">All survey participants will receive the web-linked survey via email. Electronic responses will be downloaded directly into a securely stored </w:t>
      </w:r>
      <w:r w:rsidR="00CB3A86">
        <w:rPr>
          <w:rFonts w:ascii="Arial" w:hAnsi="Arial" w:cs="Arial"/>
          <w:sz w:val="24"/>
        </w:rPr>
        <w:t>server</w:t>
      </w:r>
      <w:r w:rsidRPr="005D6F89" w:rsidR="00B9543B">
        <w:rPr>
          <w:rFonts w:ascii="Arial" w:hAnsi="Arial" w:cs="Arial"/>
          <w:sz w:val="24"/>
        </w:rPr>
        <w:t xml:space="preserve">. </w:t>
      </w:r>
    </w:p>
    <w:p w:rsidR="00625189" w:rsidRPr="005D6F89" w:rsidP="00B81E5E" w14:paraId="3EB9CA7C" w14:textId="33F40AAF">
      <w:pPr>
        <w:pStyle w:val="ListParagraph"/>
        <w:widowControl/>
        <w:numPr>
          <w:ilvl w:val="0"/>
          <w:numId w:val="22"/>
        </w:numPr>
        <w:spacing w:before="120"/>
        <w:rPr>
          <w:rFonts w:ascii="Arial" w:hAnsi="Arial" w:cs="Arial"/>
          <w:sz w:val="24"/>
        </w:rPr>
      </w:pPr>
      <w:r w:rsidRPr="005D6F89">
        <w:rPr>
          <w:rFonts w:ascii="Arial" w:hAnsi="Arial" w:cs="Arial"/>
          <w:sz w:val="24"/>
        </w:rPr>
        <w:t>All FGDs will be conducted via a web-based platform (e.g., Microsoft Teams, Zoom). All respondents must agree to be recorded</w:t>
      </w:r>
      <w:r w:rsidRPr="005D6F89" w:rsidR="00617F83">
        <w:rPr>
          <w:rFonts w:ascii="Arial" w:hAnsi="Arial" w:cs="Arial"/>
          <w:sz w:val="24"/>
        </w:rPr>
        <w:t>;</w:t>
      </w:r>
      <w:r w:rsidRPr="005D6F89">
        <w:rPr>
          <w:rFonts w:ascii="Arial" w:hAnsi="Arial" w:cs="Arial"/>
          <w:sz w:val="24"/>
        </w:rPr>
        <w:t xml:space="preserve"> individuals who do not agree will not be eligible to participate. Interviewers will record responses as they are given and upload the recordings to a secured </w:t>
      </w:r>
      <w:r w:rsidR="00CB3A86">
        <w:rPr>
          <w:rFonts w:ascii="Arial" w:hAnsi="Arial" w:cs="Arial"/>
          <w:sz w:val="24"/>
        </w:rPr>
        <w:t>server</w:t>
      </w:r>
      <w:r w:rsidRPr="005D6F89">
        <w:rPr>
          <w:rFonts w:ascii="Arial" w:hAnsi="Arial" w:cs="Arial"/>
          <w:sz w:val="24"/>
        </w:rPr>
        <w:t xml:space="preserve">. </w:t>
      </w:r>
    </w:p>
    <w:p w:rsidR="00CB3A86" w:rsidP="00B81E5E" w14:paraId="1B1BBCC1" w14:textId="12E474C3">
      <w:pPr>
        <w:pStyle w:val="ListParagraph"/>
        <w:widowControl/>
        <w:numPr>
          <w:ilvl w:val="0"/>
          <w:numId w:val="22"/>
        </w:numPr>
        <w:spacing w:before="120"/>
        <w:rPr>
          <w:rFonts w:ascii="Arial" w:hAnsi="Arial" w:cs="Arial"/>
          <w:sz w:val="24"/>
        </w:rPr>
      </w:pPr>
      <w:r>
        <w:rPr>
          <w:rFonts w:ascii="Arial" w:hAnsi="Arial" w:cs="Arial"/>
          <w:sz w:val="24"/>
        </w:rPr>
        <w:t xml:space="preserve">All demographic questionnaires will be conducted over the phone. The Impact Study staff will record responses as they are given and save responses to a secured server. </w:t>
      </w:r>
    </w:p>
    <w:p w:rsidR="00625189" w:rsidRPr="005D6F89" w:rsidP="00B81E5E" w14:paraId="7899BFF3" w14:textId="601B8720">
      <w:pPr>
        <w:pStyle w:val="ListParagraph"/>
        <w:widowControl/>
        <w:numPr>
          <w:ilvl w:val="0"/>
          <w:numId w:val="22"/>
        </w:numPr>
        <w:spacing w:before="120"/>
        <w:rPr>
          <w:rFonts w:ascii="Arial" w:hAnsi="Arial" w:cs="Arial"/>
          <w:sz w:val="24"/>
        </w:rPr>
      </w:pPr>
      <w:r w:rsidRPr="005D6F89">
        <w:rPr>
          <w:rFonts w:ascii="Arial" w:hAnsi="Arial" w:cs="Arial"/>
          <w:sz w:val="24"/>
        </w:rPr>
        <w:t>Reports and materials (e.g., resources) generated from this project may be made available to the public.</w:t>
      </w:r>
    </w:p>
    <w:p w:rsidR="00625189" w:rsidRPr="005D6F89" w:rsidP="00625189" w14:paraId="3D65C35D" w14:textId="46970E8E">
      <w:pPr>
        <w:widowControl/>
        <w:spacing w:before="120"/>
        <w:rPr>
          <w:rFonts w:ascii="Arial" w:hAnsi="Arial" w:cs="Arial"/>
          <w:sz w:val="24"/>
        </w:rPr>
      </w:pPr>
      <w:r w:rsidRPr="005D6F89">
        <w:rPr>
          <w:rFonts w:ascii="Arial" w:hAnsi="Arial" w:cs="Arial"/>
          <w:sz w:val="24"/>
        </w:rPr>
        <w:t xml:space="preserve">The data collection methods were selected for the </w:t>
      </w:r>
      <w:r w:rsidRPr="005D6F89" w:rsidR="0089413E">
        <w:rPr>
          <w:rFonts w:ascii="Arial" w:hAnsi="Arial" w:cs="Arial"/>
          <w:sz w:val="24"/>
        </w:rPr>
        <w:t xml:space="preserve">Impact Study </w:t>
      </w:r>
      <w:r w:rsidRPr="005D6F89">
        <w:rPr>
          <w:rFonts w:ascii="Arial" w:hAnsi="Arial" w:cs="Arial"/>
          <w:sz w:val="24"/>
        </w:rPr>
        <w:t xml:space="preserve">because they will reduce participant burden while providing the study with necessary data. Offering a web-based survey reduces burden to participants by eliminating the time it takes to write responses on a paper-based, mail-in survey. In addition, having participants respond to an online survey eliminates the time needed to mail back a paper-based survey. The burden is reduced for respondents participating in </w:t>
      </w:r>
      <w:r w:rsidRPr="005D6F89" w:rsidR="00837C60">
        <w:rPr>
          <w:rFonts w:ascii="Arial" w:hAnsi="Arial" w:cs="Arial"/>
          <w:sz w:val="24"/>
        </w:rPr>
        <w:t>focus group discussions</w:t>
      </w:r>
      <w:r w:rsidRPr="005D6F89">
        <w:rPr>
          <w:rFonts w:ascii="Arial" w:hAnsi="Arial" w:cs="Arial"/>
          <w:sz w:val="24"/>
        </w:rPr>
        <w:t xml:space="preserve"> via a web-based platform (e.g., Microsoft Teams, Zoom) because they will not have to write responses to the questionnaires</w:t>
      </w:r>
      <w:r w:rsidRPr="005D6F89" w:rsidR="00A83414">
        <w:rPr>
          <w:rFonts w:ascii="Arial" w:hAnsi="Arial" w:cs="Arial"/>
          <w:sz w:val="24"/>
        </w:rPr>
        <w:t xml:space="preserve"> or travel to participate in an in-person FGD</w:t>
      </w:r>
      <w:r w:rsidRPr="005D6F89">
        <w:rPr>
          <w:rFonts w:ascii="Arial" w:hAnsi="Arial" w:cs="Arial"/>
          <w:sz w:val="24"/>
        </w:rPr>
        <w:t xml:space="preserve">. </w:t>
      </w:r>
      <w:r w:rsidR="00CB3A86">
        <w:rPr>
          <w:rFonts w:ascii="Arial" w:hAnsi="Arial" w:cs="Arial"/>
          <w:sz w:val="24"/>
        </w:rPr>
        <w:t xml:space="preserve">Similarly, the burden is reduced for potential FGD participants completing the demographic questionnaire over the phone because they will not have to write responses to the questionnaires or access the questionnaire via an online platform. </w:t>
      </w:r>
    </w:p>
    <w:p w:rsidR="00625189" w:rsidRPr="005D6F89" w:rsidP="00625189" w14:paraId="122BC55E" w14:textId="5FD69B69">
      <w:pPr>
        <w:widowControl/>
        <w:spacing w:before="120"/>
        <w:rPr>
          <w:rFonts w:ascii="Arial" w:hAnsi="Arial" w:cs="Arial"/>
          <w:sz w:val="24"/>
        </w:rPr>
      </w:pPr>
      <w:r w:rsidRPr="005D6F89">
        <w:rPr>
          <w:rFonts w:ascii="Arial" w:hAnsi="Arial" w:cs="Arial"/>
          <w:sz w:val="24"/>
        </w:rPr>
        <w:t xml:space="preserve">Using protected electronic data is the most secure form of data management because it eliminates the possibility of </w:t>
      </w:r>
      <w:r w:rsidRPr="005D6F89" w:rsidR="00D95DFB">
        <w:rPr>
          <w:rFonts w:ascii="Arial" w:hAnsi="Arial" w:cs="Arial"/>
          <w:sz w:val="24"/>
        </w:rPr>
        <w:t xml:space="preserve">either </w:t>
      </w:r>
      <w:r w:rsidRPr="005D6F89">
        <w:rPr>
          <w:rFonts w:ascii="Arial" w:hAnsi="Arial" w:cs="Arial"/>
          <w:sz w:val="24"/>
        </w:rPr>
        <w:t xml:space="preserve">paper documents </w:t>
      </w:r>
      <w:r w:rsidRPr="005D6F89" w:rsidR="00D95DFB">
        <w:rPr>
          <w:rFonts w:ascii="Arial" w:hAnsi="Arial" w:cs="Arial"/>
          <w:sz w:val="24"/>
        </w:rPr>
        <w:t xml:space="preserve">or </w:t>
      </w:r>
      <w:r w:rsidRPr="005D6F89">
        <w:rPr>
          <w:rFonts w:ascii="Arial" w:hAnsi="Arial" w:cs="Arial"/>
          <w:sz w:val="24"/>
        </w:rPr>
        <w:t>of data being lost in transit or delivered to an incorrect location. However, because not all respondents may prefer to complete a web-based survey, and to maximize completion rates, we may use alternative forms of administration (i.e., providing a printable PDF to participants). In this case, the printable PDF surveys can be returned either as attachments through encrypted emails or via mail, depending on the respondent’s preference. All hard copies will be entered into the online system at JBS</w:t>
      </w:r>
      <w:r w:rsidRPr="005D6F89" w:rsidR="00D743AB">
        <w:rPr>
          <w:rFonts w:ascii="Arial" w:hAnsi="Arial" w:cs="Arial"/>
          <w:sz w:val="24"/>
        </w:rPr>
        <w:t xml:space="preserve"> and</w:t>
      </w:r>
      <w:r w:rsidRPr="005D6F89">
        <w:rPr>
          <w:rFonts w:ascii="Arial" w:hAnsi="Arial" w:cs="Arial"/>
          <w:sz w:val="24"/>
        </w:rPr>
        <w:t xml:space="preserve"> stored in a locked file cabinet</w:t>
      </w:r>
      <w:r w:rsidRPr="005D6F89" w:rsidR="00D743AB">
        <w:rPr>
          <w:rFonts w:ascii="Arial" w:hAnsi="Arial" w:cs="Arial"/>
          <w:sz w:val="24"/>
        </w:rPr>
        <w:t>,</w:t>
      </w:r>
      <w:r w:rsidRPr="005D6F89">
        <w:rPr>
          <w:rFonts w:ascii="Arial" w:hAnsi="Arial" w:cs="Arial"/>
          <w:sz w:val="24"/>
        </w:rPr>
        <w:t xml:space="preserve"> with </w:t>
      </w:r>
      <w:r w:rsidRPr="005D6F89" w:rsidR="003D0C61">
        <w:rPr>
          <w:rFonts w:ascii="Arial" w:hAnsi="Arial" w:cs="Arial"/>
          <w:sz w:val="24"/>
        </w:rPr>
        <w:t>participants’</w:t>
      </w:r>
      <w:r w:rsidRPr="005D6F89">
        <w:rPr>
          <w:rFonts w:ascii="Arial" w:hAnsi="Arial" w:cs="Arial"/>
          <w:sz w:val="24"/>
        </w:rPr>
        <w:t xml:space="preserve"> name</w:t>
      </w:r>
      <w:r w:rsidRPr="005D6F89" w:rsidR="003D0C61">
        <w:rPr>
          <w:rFonts w:ascii="Arial" w:hAnsi="Arial" w:cs="Arial"/>
          <w:sz w:val="24"/>
        </w:rPr>
        <w:t>s</w:t>
      </w:r>
      <w:r w:rsidRPr="005D6F89">
        <w:rPr>
          <w:rFonts w:ascii="Arial" w:hAnsi="Arial" w:cs="Arial"/>
          <w:sz w:val="24"/>
        </w:rPr>
        <w:t xml:space="preserve"> </w:t>
      </w:r>
      <w:r w:rsidRPr="005D6F89" w:rsidR="003D0C61">
        <w:rPr>
          <w:rFonts w:ascii="Arial" w:hAnsi="Arial" w:cs="Arial"/>
          <w:sz w:val="24"/>
        </w:rPr>
        <w:t>and</w:t>
      </w:r>
      <w:r w:rsidRPr="005D6F89">
        <w:rPr>
          <w:rFonts w:ascii="Arial" w:hAnsi="Arial" w:cs="Arial"/>
          <w:sz w:val="24"/>
        </w:rPr>
        <w:t xml:space="preserve"> identifying information </w:t>
      </w:r>
      <w:r w:rsidRPr="005D6F89" w:rsidR="003D0C61">
        <w:rPr>
          <w:rFonts w:ascii="Arial" w:hAnsi="Arial" w:cs="Arial"/>
          <w:sz w:val="24"/>
        </w:rPr>
        <w:t>removed</w:t>
      </w:r>
      <w:r w:rsidRPr="005D6F89">
        <w:rPr>
          <w:rFonts w:ascii="Arial" w:hAnsi="Arial" w:cs="Arial"/>
          <w:sz w:val="24"/>
        </w:rPr>
        <w:t>.</w:t>
      </w:r>
    </w:p>
    <w:p w:rsidR="009B3794" w:rsidRPr="005D6F89" w:rsidP="00B81E5E" w14:paraId="22E2A305" w14:textId="18BC404D">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Efforts to Identify Duplication and Use of Similar Information</w:t>
      </w:r>
    </w:p>
    <w:p w:rsidR="00837C60" w:rsidRPr="005D6F89" w:rsidP="004F2EA2" w14:paraId="71735ECF" w14:textId="1536A136">
      <w:pPr>
        <w:spacing w:before="120"/>
        <w:rPr>
          <w:rFonts w:ascii="Arial" w:hAnsi="Arial" w:cs="Arial"/>
          <w:sz w:val="24"/>
        </w:rPr>
      </w:pPr>
      <w:r w:rsidRPr="005D6F89">
        <w:rPr>
          <w:rFonts w:ascii="Arial" w:hAnsi="Arial" w:cs="Arial"/>
          <w:sz w:val="24"/>
        </w:rPr>
        <w:t xml:space="preserve">During the initial planning phase of the </w:t>
      </w:r>
      <w:r w:rsidRPr="005D6F89" w:rsidR="00F575A0">
        <w:rPr>
          <w:rFonts w:ascii="Arial" w:hAnsi="Arial" w:cs="Arial"/>
          <w:sz w:val="24"/>
        </w:rPr>
        <w:t>Impact Study</w:t>
      </w:r>
      <w:r w:rsidRPr="005D6F89">
        <w:rPr>
          <w:rFonts w:ascii="Arial" w:hAnsi="Arial" w:cs="Arial"/>
          <w:sz w:val="24"/>
        </w:rPr>
        <w:t xml:space="preserve">, </w:t>
      </w:r>
      <w:r w:rsidRPr="005D6F89" w:rsidR="00F575A0">
        <w:rPr>
          <w:rFonts w:ascii="Arial" w:hAnsi="Arial" w:cs="Arial"/>
          <w:sz w:val="24"/>
        </w:rPr>
        <w:t xml:space="preserve">JBS conducted </w:t>
      </w:r>
      <w:r w:rsidRPr="005D6F89">
        <w:rPr>
          <w:rFonts w:ascii="Arial" w:hAnsi="Arial" w:cs="Arial"/>
          <w:sz w:val="24"/>
        </w:rPr>
        <w:t xml:space="preserve">a literature review </w:t>
      </w:r>
      <w:r w:rsidRPr="005D6F89" w:rsidR="007F6561">
        <w:rPr>
          <w:rFonts w:ascii="Arial" w:hAnsi="Arial" w:cs="Arial"/>
          <w:sz w:val="24"/>
        </w:rPr>
        <w:t xml:space="preserve">and review of existing data sources. </w:t>
      </w:r>
      <w:r w:rsidRPr="005D6F89" w:rsidR="004F2685">
        <w:rPr>
          <w:rFonts w:ascii="Arial" w:hAnsi="Arial" w:cs="Arial"/>
          <w:sz w:val="24"/>
        </w:rPr>
        <w:t>T</w:t>
      </w:r>
      <w:r w:rsidRPr="005D6F89" w:rsidR="007F6561">
        <w:rPr>
          <w:rFonts w:ascii="Arial" w:hAnsi="Arial" w:cs="Arial"/>
          <w:sz w:val="24"/>
        </w:rPr>
        <w:t>hese reviews</w:t>
      </w:r>
      <w:r w:rsidRPr="005D6F89" w:rsidR="004F2685">
        <w:rPr>
          <w:rFonts w:ascii="Arial" w:hAnsi="Arial" w:cs="Arial"/>
          <w:sz w:val="24"/>
        </w:rPr>
        <w:t xml:space="preserve"> found that</w:t>
      </w:r>
      <w:r w:rsidRPr="005D6F89" w:rsidR="007F6561">
        <w:rPr>
          <w:rFonts w:ascii="Arial" w:hAnsi="Arial" w:cs="Arial"/>
          <w:sz w:val="24"/>
        </w:rPr>
        <w:t xml:space="preserve"> no similar data collection is being conducted to examine the impact of the PMHCA </w:t>
      </w:r>
      <w:r w:rsidRPr="005D6F89" w:rsidR="004F2685">
        <w:rPr>
          <w:rFonts w:ascii="Arial" w:hAnsi="Arial" w:cs="Arial"/>
          <w:sz w:val="24"/>
        </w:rPr>
        <w:t>p</w:t>
      </w:r>
      <w:r w:rsidRPr="005D6F89" w:rsidR="007F6561">
        <w:rPr>
          <w:rFonts w:ascii="Arial" w:hAnsi="Arial" w:cs="Arial"/>
          <w:sz w:val="24"/>
        </w:rPr>
        <w:t>rogram</w:t>
      </w:r>
      <w:r w:rsidRPr="005D6F89" w:rsidR="00B9543B">
        <w:rPr>
          <w:rFonts w:ascii="Arial" w:hAnsi="Arial" w:cs="Arial"/>
          <w:sz w:val="24"/>
        </w:rPr>
        <w:t xml:space="preserve">. </w:t>
      </w:r>
    </w:p>
    <w:p w:rsidR="007F6561" w:rsidRPr="005D6F89" w:rsidP="007F6561" w14:paraId="3176DC0C" w14:textId="2485DDB2">
      <w:pPr>
        <w:spacing w:before="120"/>
        <w:rPr>
          <w:rFonts w:ascii="Arial" w:hAnsi="Arial" w:cs="Arial"/>
          <w:sz w:val="24"/>
        </w:rPr>
      </w:pPr>
      <w:r w:rsidRPr="005D6F89">
        <w:rPr>
          <w:rFonts w:ascii="Arial" w:hAnsi="Arial" w:cs="Arial"/>
          <w:sz w:val="24"/>
        </w:rPr>
        <w:t>An outcome evaluation of the HRSA MCHB PMHCA and Screening and Treatment for Maternal Mental Health and Substance Use Disorders</w:t>
      </w:r>
      <w:r w:rsidR="00CB3A86">
        <w:rPr>
          <w:rFonts w:ascii="Arial" w:hAnsi="Arial" w:cs="Arial"/>
          <w:sz w:val="24"/>
        </w:rPr>
        <w:t xml:space="preserve"> (</w:t>
      </w:r>
      <w:r w:rsidR="00E87548">
        <w:rPr>
          <w:rFonts w:ascii="Arial" w:hAnsi="Arial" w:cs="Arial"/>
          <w:sz w:val="24"/>
        </w:rPr>
        <w:t>formerly</w:t>
      </w:r>
      <w:r w:rsidR="00CB3A86">
        <w:rPr>
          <w:rFonts w:ascii="Arial" w:hAnsi="Arial" w:cs="Arial"/>
          <w:sz w:val="24"/>
        </w:rPr>
        <w:t xml:space="preserve"> Screening and Treatment for Maternal Depression and Related Behavioral Disorders)</w:t>
      </w:r>
      <w:r w:rsidRPr="005D6F89">
        <w:rPr>
          <w:rFonts w:ascii="Arial" w:hAnsi="Arial" w:cs="Arial"/>
          <w:sz w:val="24"/>
        </w:rPr>
        <w:t xml:space="preserve"> cooperative agreement-funded programs is being conducted by JBS and is ongoing through 2026. </w:t>
      </w:r>
      <w:r w:rsidRPr="005D6F89">
        <w:rPr>
          <w:rFonts w:ascii="Arial" w:hAnsi="Arial" w:cs="Arial"/>
          <w:sz w:val="24"/>
        </w:rPr>
        <w:t>However, no duplication of efforts</w:t>
      </w:r>
      <w:r w:rsidRPr="005D6F89" w:rsidR="00C538B6">
        <w:rPr>
          <w:rFonts w:ascii="Arial" w:hAnsi="Arial" w:cs="Arial"/>
          <w:sz w:val="24"/>
        </w:rPr>
        <w:t xml:space="preserve"> between the evaluation and </w:t>
      </w:r>
      <w:r w:rsidRPr="005D6F89" w:rsidR="000D588C">
        <w:rPr>
          <w:rFonts w:ascii="Arial" w:hAnsi="Arial" w:cs="Arial"/>
          <w:sz w:val="24"/>
        </w:rPr>
        <w:t xml:space="preserve">Impact Study </w:t>
      </w:r>
      <w:r w:rsidRPr="005D6F89" w:rsidR="00000FC7">
        <w:rPr>
          <w:rFonts w:ascii="Arial" w:hAnsi="Arial" w:cs="Arial"/>
          <w:sz w:val="24"/>
        </w:rPr>
        <w:t xml:space="preserve">exists </w:t>
      </w:r>
      <w:r w:rsidRPr="005D6F89" w:rsidR="00C538B6">
        <w:rPr>
          <w:rFonts w:ascii="Arial" w:hAnsi="Arial" w:cs="Arial"/>
          <w:sz w:val="24"/>
        </w:rPr>
        <w:t xml:space="preserve">because the data collection instruments for the </w:t>
      </w:r>
      <w:r w:rsidRPr="005D6F89" w:rsidR="004A3EB8">
        <w:rPr>
          <w:rFonts w:ascii="Arial" w:hAnsi="Arial" w:cs="Arial"/>
          <w:sz w:val="24"/>
        </w:rPr>
        <w:t xml:space="preserve">Impact Study </w:t>
      </w:r>
      <w:r w:rsidRPr="005D6F89" w:rsidR="00C538B6">
        <w:rPr>
          <w:rFonts w:ascii="Arial" w:hAnsi="Arial" w:cs="Arial"/>
          <w:sz w:val="24"/>
        </w:rPr>
        <w:t xml:space="preserve">were developed considering the </w:t>
      </w:r>
      <w:r w:rsidRPr="005D6F89" w:rsidR="007D4A29">
        <w:rPr>
          <w:rFonts w:ascii="Arial" w:hAnsi="Arial" w:cs="Arial"/>
          <w:sz w:val="24"/>
        </w:rPr>
        <w:t xml:space="preserve">HRSA-required </w:t>
      </w:r>
      <w:r w:rsidRPr="005D6F89" w:rsidR="00C538B6">
        <w:rPr>
          <w:rFonts w:ascii="Arial" w:hAnsi="Arial" w:cs="Arial"/>
          <w:sz w:val="24"/>
        </w:rPr>
        <w:t xml:space="preserve">data awardees </w:t>
      </w:r>
      <w:r w:rsidRPr="005D6F89" w:rsidR="00691061">
        <w:rPr>
          <w:rFonts w:ascii="Arial" w:hAnsi="Arial" w:cs="Arial"/>
          <w:sz w:val="24"/>
        </w:rPr>
        <w:t xml:space="preserve">already </w:t>
      </w:r>
      <w:r w:rsidRPr="005D6F89" w:rsidR="00C538B6">
        <w:rPr>
          <w:rFonts w:ascii="Arial" w:hAnsi="Arial" w:cs="Arial"/>
          <w:sz w:val="24"/>
        </w:rPr>
        <w:t>report and the data collected to support the evaluation of the programs</w:t>
      </w:r>
      <w:r w:rsidRPr="005D6F89">
        <w:rPr>
          <w:rFonts w:ascii="Arial" w:hAnsi="Arial" w:cs="Arial"/>
          <w:sz w:val="24"/>
        </w:rPr>
        <w:t>. No other bureaus or agencies are currently conducting an impact study of the PMHCA programs.</w:t>
      </w:r>
    </w:p>
    <w:p w:rsidR="009B3794" w:rsidRPr="005D6F89" w:rsidP="004F2EA2" w14:paraId="22E2A306" w14:textId="58BCEAFB">
      <w:pPr>
        <w:spacing w:before="120"/>
        <w:rPr>
          <w:rFonts w:ascii="Arial" w:hAnsi="Arial" w:cs="Arial"/>
          <w:b/>
          <w:sz w:val="24"/>
        </w:rPr>
      </w:pPr>
      <w:r w:rsidRPr="005D6F89">
        <w:rPr>
          <w:rFonts w:ascii="Arial" w:hAnsi="Arial" w:cs="Arial"/>
          <w:sz w:val="24"/>
        </w:rPr>
        <w:t>All potential data items were mapped to the evaluation questions to ensure no duplication of information and to reduce participant burden.</w:t>
      </w:r>
    </w:p>
    <w:p w:rsidR="009B3794" w:rsidRPr="005D6F89" w:rsidP="00B81E5E" w14:paraId="22E2A307" w14:textId="77777777">
      <w:pPr>
        <w:numPr>
          <w:ilvl w:val="0"/>
          <w:numId w:val="1"/>
        </w:numPr>
        <w:tabs>
          <w:tab w:val="num" w:pos="360"/>
        </w:tabs>
        <w:spacing w:before="240"/>
        <w:ind w:left="360"/>
        <w:rPr>
          <w:rFonts w:ascii="Arial" w:hAnsi="Arial" w:cs="Arial"/>
          <w:color w:val="000000"/>
          <w:sz w:val="24"/>
        </w:rPr>
      </w:pPr>
      <w:r w:rsidRPr="005D6F89">
        <w:rPr>
          <w:rFonts w:ascii="Arial" w:hAnsi="Arial" w:cs="Arial"/>
          <w:b/>
          <w:sz w:val="24"/>
          <w:u w:val="single"/>
        </w:rPr>
        <w:t>Impact on Small Businesses or Other Small Entities</w:t>
      </w:r>
    </w:p>
    <w:p w:rsidR="004F2EA2" w:rsidRPr="005D6F89" w:rsidP="004F2EA2" w14:paraId="59CBBFE4" w14:textId="4050091E">
      <w:pPr>
        <w:spacing w:before="120"/>
        <w:rPr>
          <w:rFonts w:ascii="Arial" w:hAnsi="Arial" w:cs="Arial"/>
          <w:bCs/>
          <w:sz w:val="24"/>
        </w:rPr>
      </w:pPr>
      <w:r w:rsidRPr="005D6F89">
        <w:rPr>
          <w:rFonts w:ascii="Arial" w:hAnsi="Arial" w:cs="Arial"/>
          <w:bCs/>
          <w:sz w:val="24"/>
        </w:rPr>
        <w:t>Physicians, as part of participating HPs</w:t>
      </w:r>
      <w:r w:rsidRPr="005D6F89" w:rsidR="00672361">
        <w:rPr>
          <w:rFonts w:ascii="Arial" w:hAnsi="Arial" w:cs="Arial"/>
          <w:bCs/>
          <w:sz w:val="24"/>
        </w:rPr>
        <w:t>,</w:t>
      </w:r>
      <w:r w:rsidRPr="005D6F89" w:rsidR="00C538B6">
        <w:rPr>
          <w:rFonts w:ascii="Arial" w:hAnsi="Arial" w:cs="Arial"/>
          <w:bCs/>
          <w:sz w:val="24"/>
        </w:rPr>
        <w:t xml:space="preserve"> </w:t>
      </w:r>
      <w:r w:rsidRPr="005D6F89">
        <w:rPr>
          <w:rFonts w:ascii="Arial" w:hAnsi="Arial" w:cs="Arial"/>
          <w:bCs/>
          <w:sz w:val="24"/>
        </w:rPr>
        <w:t>are included in the data collection efforts (</w:t>
      </w:r>
      <w:r w:rsidRPr="005D6F89" w:rsidR="00C538B6">
        <w:rPr>
          <w:rFonts w:ascii="Arial" w:hAnsi="Arial" w:cs="Arial"/>
          <w:bCs/>
          <w:sz w:val="24"/>
        </w:rPr>
        <w:t>i.e</w:t>
      </w:r>
      <w:r w:rsidRPr="005D6F89">
        <w:rPr>
          <w:rFonts w:ascii="Arial" w:hAnsi="Arial" w:cs="Arial"/>
          <w:bCs/>
          <w:sz w:val="24"/>
        </w:rPr>
        <w:t xml:space="preserve">., surveys) for this </w:t>
      </w:r>
      <w:r w:rsidRPr="005D6F89" w:rsidR="007E1946">
        <w:rPr>
          <w:rFonts w:ascii="Arial" w:hAnsi="Arial" w:cs="Arial"/>
          <w:bCs/>
          <w:sz w:val="24"/>
        </w:rPr>
        <w:t>Impact Study</w:t>
      </w:r>
      <w:r w:rsidRPr="005D6F89">
        <w:rPr>
          <w:rFonts w:ascii="Arial" w:hAnsi="Arial" w:cs="Arial"/>
          <w:bCs/>
          <w:sz w:val="24"/>
        </w:rPr>
        <w:t xml:space="preserve">. Although a portion of physicians may be employed by large hospitals or health systems, none of which are considered small businesses, some may be in a private practice or practice in small groups of physicians. Information collection for this </w:t>
      </w:r>
      <w:r w:rsidRPr="005D6F89" w:rsidR="00C538B6">
        <w:rPr>
          <w:rFonts w:ascii="Arial" w:hAnsi="Arial" w:cs="Arial"/>
          <w:bCs/>
          <w:sz w:val="24"/>
        </w:rPr>
        <w:t>study</w:t>
      </w:r>
      <w:r w:rsidRPr="005D6F89">
        <w:rPr>
          <w:rFonts w:ascii="Arial" w:hAnsi="Arial" w:cs="Arial"/>
          <w:bCs/>
          <w:sz w:val="24"/>
        </w:rPr>
        <w:t xml:space="preserve"> is not anticipated to have a significant impact on physicians. </w:t>
      </w:r>
    </w:p>
    <w:p w:rsidR="004F2EA2" w:rsidRPr="005D6F89" w:rsidP="004F2EA2" w14:paraId="65144046" w14:textId="18543DBE">
      <w:pPr>
        <w:spacing w:before="120"/>
        <w:rPr>
          <w:rFonts w:ascii="Arial" w:hAnsi="Arial" w:cs="Arial"/>
          <w:bCs/>
          <w:sz w:val="24"/>
        </w:rPr>
      </w:pPr>
      <w:r w:rsidRPr="005D6F89">
        <w:rPr>
          <w:rFonts w:ascii="Arial" w:hAnsi="Arial" w:cs="Arial"/>
          <w:bCs/>
          <w:sz w:val="24"/>
        </w:rPr>
        <w:t xml:space="preserve">The information to be obtained from physicians is the minimum required for the intended use of the data and to achieve the objectives of the </w:t>
      </w:r>
      <w:r w:rsidRPr="005D6F89" w:rsidR="00C538B6">
        <w:rPr>
          <w:rFonts w:ascii="Arial" w:hAnsi="Arial" w:cs="Arial"/>
          <w:bCs/>
          <w:sz w:val="24"/>
        </w:rPr>
        <w:t>impact study</w:t>
      </w:r>
      <w:r w:rsidRPr="005D6F89">
        <w:rPr>
          <w:rFonts w:ascii="Arial" w:hAnsi="Arial" w:cs="Arial"/>
          <w:bCs/>
          <w:sz w:val="24"/>
        </w:rPr>
        <w:t>; however, completion of</w:t>
      </w:r>
      <w:r w:rsidRPr="005D6F89" w:rsidR="0063716F">
        <w:rPr>
          <w:rFonts w:ascii="Arial" w:hAnsi="Arial" w:cs="Arial"/>
          <w:bCs/>
          <w:sz w:val="24"/>
        </w:rPr>
        <w:t xml:space="preserve"> the</w:t>
      </w:r>
      <w:r w:rsidRPr="005D6F89">
        <w:rPr>
          <w:rFonts w:ascii="Arial" w:hAnsi="Arial" w:cs="Arial"/>
          <w:bCs/>
          <w:sz w:val="24"/>
        </w:rPr>
        <w:t xml:space="preserve"> survey instrument will likely induce minimum burden. To reduce this burden,</w:t>
      </w:r>
      <w:r w:rsidRPr="005D6F89" w:rsidR="00D30C02">
        <w:rPr>
          <w:rFonts w:ascii="Arial" w:hAnsi="Arial" w:cs="Arial"/>
          <w:bCs/>
          <w:sz w:val="24"/>
        </w:rPr>
        <w:t xml:space="preserve"> we have developed </w:t>
      </w:r>
      <w:r w:rsidRPr="005D6F89">
        <w:rPr>
          <w:rFonts w:ascii="Arial" w:hAnsi="Arial" w:cs="Arial"/>
          <w:bCs/>
          <w:sz w:val="24"/>
        </w:rPr>
        <w:t xml:space="preserve">the survey to be as short as possible, while still collecting necessary data, and </w:t>
      </w:r>
      <w:r w:rsidRPr="005D6F89" w:rsidR="00416C76">
        <w:rPr>
          <w:rFonts w:ascii="Arial" w:hAnsi="Arial" w:cs="Arial"/>
          <w:bCs/>
          <w:sz w:val="24"/>
        </w:rPr>
        <w:t xml:space="preserve">made </w:t>
      </w:r>
      <w:r w:rsidRPr="005D6F89">
        <w:rPr>
          <w:rFonts w:ascii="Arial" w:hAnsi="Arial" w:cs="Arial"/>
          <w:bCs/>
          <w:sz w:val="24"/>
        </w:rPr>
        <w:t>attempts to move respondents quickly through questions</w:t>
      </w:r>
      <w:r w:rsidRPr="005D6F89" w:rsidR="00416C76">
        <w:rPr>
          <w:rFonts w:ascii="Arial" w:hAnsi="Arial" w:cs="Arial"/>
          <w:bCs/>
          <w:sz w:val="24"/>
        </w:rPr>
        <w:t xml:space="preserve"> (e.g.,</w:t>
      </w:r>
      <w:r w:rsidRPr="005D6F89">
        <w:rPr>
          <w:rFonts w:ascii="Arial" w:hAnsi="Arial" w:cs="Arial"/>
          <w:bCs/>
          <w:sz w:val="24"/>
        </w:rPr>
        <w:t xml:space="preserve"> skip patterns have been added to the surveys so respondents do not need to answer questions that may not be relevant to them</w:t>
      </w:r>
      <w:r w:rsidRPr="005D6F89" w:rsidR="00125C6A">
        <w:rPr>
          <w:rFonts w:ascii="Arial" w:hAnsi="Arial" w:cs="Arial"/>
          <w:bCs/>
          <w:sz w:val="24"/>
        </w:rPr>
        <w:t>)</w:t>
      </w:r>
      <w:r w:rsidRPr="005D6F89">
        <w:rPr>
          <w:rFonts w:ascii="Arial" w:hAnsi="Arial" w:cs="Arial"/>
          <w:bCs/>
          <w:sz w:val="24"/>
        </w:rPr>
        <w:t>.</w:t>
      </w:r>
    </w:p>
    <w:p w:rsidR="009B3794" w:rsidRPr="005D6F89" w:rsidP="00B81E5E" w14:paraId="22E2A30D"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Consequences of Collecting the Information Less Frequent</w:t>
      </w:r>
      <w:r w:rsidRPr="005D6F89" w:rsidR="001325B2">
        <w:rPr>
          <w:rFonts w:ascii="Arial" w:hAnsi="Arial" w:cs="Arial"/>
          <w:b/>
          <w:sz w:val="24"/>
          <w:u w:val="single"/>
        </w:rPr>
        <w:t>ly</w:t>
      </w:r>
    </w:p>
    <w:p w:rsidR="004F2EA2" w:rsidRPr="005D6F89" w:rsidP="004F2EA2" w14:paraId="6BF7BA69" w14:textId="7BE39652">
      <w:pPr>
        <w:widowControl/>
        <w:autoSpaceDE/>
        <w:autoSpaceDN/>
        <w:adjustRightInd/>
        <w:spacing w:before="120"/>
        <w:rPr>
          <w:rFonts w:ascii="Arial" w:hAnsi="Arial" w:cs="Arial"/>
          <w:sz w:val="24"/>
        </w:rPr>
      </w:pPr>
      <w:r w:rsidRPr="005D6F89">
        <w:rPr>
          <w:rFonts w:ascii="Arial" w:hAnsi="Arial" w:cs="Arial"/>
          <w:sz w:val="24"/>
        </w:rPr>
        <w:t xml:space="preserve">As noted above in Section A.2, the collection of these data is critical to assessing the </w:t>
      </w:r>
      <w:r w:rsidRPr="005D6F89" w:rsidR="0063716F">
        <w:rPr>
          <w:rFonts w:ascii="Arial" w:hAnsi="Arial" w:cs="Arial"/>
          <w:sz w:val="24"/>
        </w:rPr>
        <w:t>impact</w:t>
      </w:r>
      <w:r w:rsidRPr="005D6F89">
        <w:rPr>
          <w:rFonts w:ascii="Arial" w:hAnsi="Arial" w:cs="Arial"/>
          <w:sz w:val="24"/>
        </w:rPr>
        <w:t xml:space="preserve"> of </w:t>
      </w:r>
      <w:r w:rsidRPr="005D6F89" w:rsidR="0063716F">
        <w:rPr>
          <w:rFonts w:ascii="Arial" w:hAnsi="Arial" w:cs="Arial"/>
          <w:sz w:val="24"/>
        </w:rPr>
        <w:t xml:space="preserve">PMHCA </w:t>
      </w:r>
      <w:r w:rsidRPr="005D6F89">
        <w:rPr>
          <w:rFonts w:ascii="Arial" w:hAnsi="Arial" w:cs="Arial"/>
          <w:sz w:val="24"/>
        </w:rPr>
        <w:t>awardee programs</w:t>
      </w:r>
      <w:r w:rsidRPr="005D6F89" w:rsidR="0063716F">
        <w:rPr>
          <w:rFonts w:ascii="Arial" w:hAnsi="Arial" w:cs="Arial"/>
          <w:sz w:val="24"/>
        </w:rPr>
        <w:t xml:space="preserve">. </w:t>
      </w:r>
      <w:r w:rsidRPr="005D6F89">
        <w:rPr>
          <w:rFonts w:ascii="Arial" w:hAnsi="Arial" w:cs="Arial"/>
          <w:sz w:val="24"/>
        </w:rPr>
        <w:t>The frequency of data collection</w:t>
      </w:r>
      <w:r w:rsidRPr="005D6F89" w:rsidR="001D772D">
        <w:rPr>
          <w:rFonts w:ascii="Arial" w:hAnsi="Arial" w:cs="Arial"/>
          <w:sz w:val="24"/>
        </w:rPr>
        <w:t>,</w:t>
      </w:r>
      <w:r w:rsidRPr="005D6F89">
        <w:rPr>
          <w:rFonts w:ascii="Arial" w:hAnsi="Arial" w:cs="Arial"/>
          <w:sz w:val="24"/>
        </w:rPr>
        <w:t xml:space="preserve"> as specified below</w:t>
      </w:r>
      <w:r w:rsidRPr="005D6F89" w:rsidR="001D772D">
        <w:rPr>
          <w:rFonts w:ascii="Arial" w:hAnsi="Arial" w:cs="Arial"/>
          <w:sz w:val="24"/>
        </w:rPr>
        <w:t>,</w:t>
      </w:r>
      <w:r w:rsidRPr="005D6F89">
        <w:rPr>
          <w:rFonts w:ascii="Arial" w:hAnsi="Arial" w:cs="Arial"/>
          <w:sz w:val="24"/>
        </w:rPr>
        <w:t xml:space="preserve"> is held to the minimum necessary to meet the needs of the </w:t>
      </w:r>
      <w:r w:rsidRPr="005D6F89" w:rsidR="001D772D">
        <w:rPr>
          <w:rFonts w:ascii="Arial" w:hAnsi="Arial" w:cs="Arial"/>
          <w:sz w:val="24"/>
        </w:rPr>
        <w:t xml:space="preserve">Impact Study </w:t>
      </w:r>
      <w:r w:rsidRPr="005D6F89">
        <w:rPr>
          <w:rFonts w:ascii="Arial" w:hAnsi="Arial" w:cs="Arial"/>
          <w:sz w:val="24"/>
        </w:rPr>
        <w:t xml:space="preserve">goals and objectives. </w:t>
      </w:r>
    </w:p>
    <w:p w:rsidR="003C4B88" w:rsidRPr="005D6F89" w:rsidP="004F2EA2" w14:paraId="3A4B8FEB" w14:textId="77777777">
      <w:pPr>
        <w:widowControl/>
        <w:autoSpaceDE/>
        <w:autoSpaceDN/>
        <w:adjustRightInd/>
        <w:spacing w:before="120"/>
        <w:rPr>
          <w:rFonts w:ascii="Arial" w:hAnsi="Arial" w:cs="Arial"/>
          <w:sz w:val="24"/>
        </w:rPr>
      </w:pPr>
      <w:r w:rsidRPr="005D6F89">
        <w:rPr>
          <w:rFonts w:ascii="Arial" w:hAnsi="Arial" w:cs="Arial"/>
          <w:b/>
          <w:bCs/>
          <w:sz w:val="24"/>
        </w:rPr>
        <w:t>HP</w:t>
      </w:r>
      <w:r w:rsidRPr="005D6F89" w:rsidR="0063716F">
        <w:rPr>
          <w:rFonts w:ascii="Arial" w:hAnsi="Arial" w:cs="Arial"/>
          <w:b/>
          <w:bCs/>
          <w:sz w:val="24"/>
        </w:rPr>
        <w:t xml:space="preserve"> Impact</w:t>
      </w:r>
      <w:r w:rsidRPr="005D6F89">
        <w:rPr>
          <w:rFonts w:ascii="Arial" w:hAnsi="Arial" w:cs="Arial"/>
          <w:b/>
          <w:bCs/>
          <w:sz w:val="24"/>
        </w:rPr>
        <w:t xml:space="preserve"> Survey.</w:t>
      </w:r>
      <w:r w:rsidRPr="005D6F89">
        <w:rPr>
          <w:rFonts w:ascii="Arial" w:hAnsi="Arial" w:cs="Arial"/>
          <w:sz w:val="24"/>
        </w:rPr>
        <w:t xml:space="preserve"> </w:t>
      </w:r>
      <w:r w:rsidRPr="005D6F89" w:rsidR="0063716F">
        <w:rPr>
          <w:rFonts w:ascii="Arial" w:hAnsi="Arial" w:cs="Arial"/>
          <w:sz w:val="24"/>
        </w:rPr>
        <w:t xml:space="preserve">The </w:t>
      </w:r>
      <w:r w:rsidRPr="005D6F89">
        <w:rPr>
          <w:rFonts w:ascii="Arial" w:hAnsi="Arial" w:cs="Arial"/>
          <w:sz w:val="24"/>
        </w:rPr>
        <w:t xml:space="preserve">HP </w:t>
      </w:r>
      <w:r w:rsidRPr="005D6F89" w:rsidR="0063716F">
        <w:rPr>
          <w:rFonts w:ascii="Arial" w:hAnsi="Arial" w:cs="Arial"/>
          <w:sz w:val="24"/>
        </w:rPr>
        <w:t xml:space="preserve">Impact </w:t>
      </w:r>
      <w:r w:rsidRPr="005D6F89">
        <w:rPr>
          <w:rFonts w:ascii="Arial" w:hAnsi="Arial" w:cs="Arial"/>
          <w:sz w:val="24"/>
        </w:rPr>
        <w:t>Survey will be administered annually to HPs enrolled</w:t>
      </w:r>
      <w:r w:rsidRPr="005D6F89" w:rsidR="0063716F">
        <w:rPr>
          <w:rFonts w:ascii="Arial" w:hAnsi="Arial" w:cs="Arial"/>
          <w:sz w:val="24"/>
        </w:rPr>
        <w:t>/participating</w:t>
      </w:r>
      <w:r w:rsidRPr="005D6F89">
        <w:rPr>
          <w:rFonts w:ascii="Arial" w:hAnsi="Arial" w:cs="Arial"/>
          <w:sz w:val="24"/>
        </w:rPr>
        <w:t xml:space="preserve"> in 2021</w:t>
      </w:r>
      <w:r w:rsidRPr="005D6F89" w:rsidR="0063716F">
        <w:rPr>
          <w:rFonts w:ascii="Arial" w:hAnsi="Arial" w:cs="Arial"/>
          <w:sz w:val="24"/>
        </w:rPr>
        <w:t>, 2022, 2023</w:t>
      </w:r>
      <w:r w:rsidRPr="005D6F89">
        <w:rPr>
          <w:rFonts w:ascii="Arial" w:hAnsi="Arial" w:cs="Arial"/>
          <w:sz w:val="24"/>
        </w:rPr>
        <w:t xml:space="preserve"> PMHCA programs, with anticipated data collection in 2024 and 2025. Annual HP </w:t>
      </w:r>
      <w:r w:rsidRPr="005D6F89" w:rsidR="0063716F">
        <w:rPr>
          <w:rFonts w:ascii="Arial" w:hAnsi="Arial" w:cs="Arial"/>
          <w:sz w:val="24"/>
        </w:rPr>
        <w:t xml:space="preserve">Impact </w:t>
      </w:r>
      <w:r w:rsidRPr="005D6F89">
        <w:rPr>
          <w:rFonts w:ascii="Arial" w:hAnsi="Arial" w:cs="Arial"/>
          <w:sz w:val="24"/>
        </w:rPr>
        <w:t>Survey administration will allow for:</w:t>
      </w:r>
    </w:p>
    <w:p w:rsidR="003C4B88" w:rsidRPr="005D6F89" w:rsidP="003C4B88" w14:paraId="7C302195" w14:textId="7BB41907">
      <w:pPr>
        <w:pStyle w:val="ListParagraph"/>
        <w:widowControl/>
        <w:numPr>
          <w:ilvl w:val="0"/>
          <w:numId w:val="28"/>
        </w:numPr>
        <w:autoSpaceDE/>
        <w:autoSpaceDN/>
        <w:adjustRightInd/>
        <w:spacing w:before="120"/>
        <w:rPr>
          <w:rFonts w:ascii="Arial" w:hAnsi="Arial" w:cs="Arial"/>
          <w:sz w:val="24"/>
        </w:rPr>
      </w:pPr>
      <w:r w:rsidRPr="005D6F89">
        <w:rPr>
          <w:rFonts w:ascii="Arial" w:hAnsi="Arial" w:cs="Arial"/>
          <w:sz w:val="24"/>
        </w:rPr>
        <w:t>D</w:t>
      </w:r>
      <w:r w:rsidRPr="005D6F89" w:rsidR="004F2EA2">
        <w:rPr>
          <w:rFonts w:ascii="Arial" w:hAnsi="Arial" w:cs="Arial"/>
          <w:sz w:val="24"/>
        </w:rPr>
        <w:t xml:space="preserve">ata collection from all potentially enrolled/participating HPs because they may enroll/participate in PMHCA programs on a rolling </w:t>
      </w:r>
      <w:r w:rsidRPr="005D6F89" w:rsidR="004F2EA2">
        <w:rPr>
          <w:rFonts w:ascii="Arial" w:hAnsi="Arial" w:cs="Arial"/>
          <w:sz w:val="24"/>
        </w:rPr>
        <w:t>basis</w:t>
      </w:r>
    </w:p>
    <w:p w:rsidR="004F2EA2" w:rsidRPr="005D6F89" w:rsidP="008E6DFD" w14:paraId="11F0DFAD" w14:textId="20D064C7">
      <w:pPr>
        <w:pStyle w:val="ListParagraph"/>
        <w:widowControl/>
        <w:numPr>
          <w:ilvl w:val="0"/>
          <w:numId w:val="28"/>
        </w:numPr>
        <w:autoSpaceDE/>
        <w:autoSpaceDN/>
        <w:adjustRightInd/>
        <w:spacing w:before="120"/>
        <w:rPr>
          <w:rFonts w:ascii="Arial" w:hAnsi="Arial" w:cs="Arial"/>
          <w:sz w:val="24"/>
        </w:rPr>
      </w:pPr>
      <w:r w:rsidRPr="005D6F89">
        <w:rPr>
          <w:rFonts w:ascii="Arial" w:hAnsi="Arial" w:cs="Arial"/>
          <w:sz w:val="24"/>
        </w:rPr>
        <w:t xml:space="preserve">Examination of changes over time </w:t>
      </w:r>
      <w:r w:rsidRPr="005D6F89" w:rsidR="0063716F">
        <w:rPr>
          <w:rFonts w:ascii="Arial" w:hAnsi="Arial" w:cs="Arial"/>
          <w:sz w:val="24"/>
        </w:rPr>
        <w:t>related to screening, diagnosing, treating, and referring children</w:t>
      </w:r>
      <w:r w:rsidRPr="005D6F89">
        <w:rPr>
          <w:rFonts w:ascii="Arial" w:hAnsi="Arial" w:cs="Arial"/>
          <w:sz w:val="24"/>
        </w:rPr>
        <w:t>/</w:t>
      </w:r>
      <w:r w:rsidRPr="005D6F89" w:rsidR="0063716F">
        <w:rPr>
          <w:rFonts w:ascii="Arial" w:hAnsi="Arial" w:cs="Arial"/>
          <w:sz w:val="24"/>
        </w:rPr>
        <w:t>adolescents with behavioral health conditions and on their perception of behavioral health impact</w:t>
      </w:r>
      <w:r w:rsidRPr="005D6F89">
        <w:rPr>
          <w:rFonts w:ascii="Arial" w:hAnsi="Arial" w:cs="Arial"/>
          <w:sz w:val="24"/>
        </w:rPr>
        <w:t xml:space="preserve"> for HPs who complete the survey </w:t>
      </w:r>
      <w:r w:rsidRPr="005D6F89" w:rsidR="0063716F">
        <w:rPr>
          <w:rFonts w:ascii="Arial" w:hAnsi="Arial" w:cs="Arial"/>
          <w:sz w:val="24"/>
        </w:rPr>
        <w:t xml:space="preserve">at both </w:t>
      </w:r>
      <w:r w:rsidRPr="005D6F89" w:rsidR="0063716F">
        <w:rPr>
          <w:rFonts w:ascii="Arial" w:hAnsi="Arial" w:cs="Arial"/>
          <w:sz w:val="24"/>
        </w:rPr>
        <w:t>timepoints</w:t>
      </w:r>
    </w:p>
    <w:p w:rsidR="004F2EA2" w:rsidP="004F2EA2" w14:paraId="47A24F5A" w14:textId="13A53A4A">
      <w:pPr>
        <w:widowControl/>
        <w:autoSpaceDE/>
        <w:autoSpaceDN/>
        <w:adjustRightInd/>
        <w:spacing w:before="120"/>
        <w:rPr>
          <w:rFonts w:ascii="Arial" w:hAnsi="Arial" w:cs="Arial"/>
          <w:sz w:val="24"/>
        </w:rPr>
      </w:pPr>
      <w:r w:rsidRPr="005D6F89">
        <w:rPr>
          <w:rFonts w:ascii="Arial" w:hAnsi="Arial" w:cs="Arial"/>
          <w:b/>
          <w:bCs/>
          <w:sz w:val="24"/>
        </w:rPr>
        <w:t xml:space="preserve">Family/Caregiver FGD. </w:t>
      </w:r>
      <w:r w:rsidRPr="005D6F89">
        <w:rPr>
          <w:rFonts w:ascii="Arial" w:hAnsi="Arial" w:cs="Arial"/>
          <w:sz w:val="24"/>
        </w:rPr>
        <w:t>The Family/Caregiver FGDs will be administered via a web-based platform (e.g., Microsoft Teams, Zoom) to family members/caregivers identified by the PMHCA awardees, with anticipated data collection once in 2025. T</w:t>
      </w:r>
      <w:r w:rsidRPr="005D6F89" w:rsidR="00BB0114">
        <w:rPr>
          <w:rFonts w:ascii="Arial" w:hAnsi="Arial" w:cs="Arial"/>
          <w:sz w:val="24"/>
        </w:rPr>
        <w:t>o complement and expand on data collected from other sources, t</w:t>
      </w:r>
      <w:r w:rsidRPr="005D6F89">
        <w:rPr>
          <w:rFonts w:ascii="Arial" w:hAnsi="Arial" w:cs="Arial"/>
          <w:sz w:val="24"/>
        </w:rPr>
        <w:t xml:space="preserve">he FGDs will collect in-depth, </w:t>
      </w:r>
      <w:r w:rsidRPr="005D6F89">
        <w:rPr>
          <w:rFonts w:ascii="Arial" w:hAnsi="Arial" w:cs="Arial"/>
          <w:sz w:val="24"/>
        </w:rPr>
        <w:t>contextual, qualitative information from families/caregivers who have sought and/or received behavioral health care services for their child/adolescent</w:t>
      </w:r>
      <w:r w:rsidRPr="005D6F89" w:rsidR="00490DF0">
        <w:rPr>
          <w:rFonts w:ascii="Arial" w:hAnsi="Arial" w:cs="Arial"/>
          <w:sz w:val="24"/>
        </w:rPr>
        <w:t>,</w:t>
      </w:r>
      <w:r w:rsidRPr="005D6F89">
        <w:rPr>
          <w:rFonts w:ascii="Arial" w:hAnsi="Arial" w:cs="Arial"/>
          <w:sz w:val="24"/>
        </w:rPr>
        <w:t xml:space="preserve"> regarding behavioral health care access, receipt, and utilization; culturally and linguistically appropriate services; PMHCA cost-benefit; and satisfaction</w:t>
      </w:r>
      <w:r w:rsidRPr="005D6F89" w:rsidR="00BB0114">
        <w:rPr>
          <w:rFonts w:ascii="Arial" w:hAnsi="Arial" w:cs="Arial"/>
          <w:sz w:val="24"/>
        </w:rPr>
        <w:t>.</w:t>
      </w:r>
      <w:r w:rsidRPr="005D6F89">
        <w:rPr>
          <w:rFonts w:ascii="Arial" w:hAnsi="Arial" w:cs="Arial"/>
          <w:sz w:val="24"/>
        </w:rPr>
        <w:t xml:space="preserve"> </w:t>
      </w:r>
    </w:p>
    <w:p w:rsidR="00CB3A86" w:rsidRPr="00CB3A86" w:rsidP="004F2EA2" w14:paraId="44B9EC78" w14:textId="5A26285C">
      <w:pPr>
        <w:widowControl/>
        <w:autoSpaceDE/>
        <w:autoSpaceDN/>
        <w:adjustRightInd/>
        <w:spacing w:before="120"/>
        <w:rPr>
          <w:rFonts w:ascii="Arial" w:hAnsi="Arial" w:cs="Arial"/>
          <w:sz w:val="24"/>
        </w:rPr>
      </w:pPr>
      <w:r>
        <w:rPr>
          <w:rFonts w:ascii="Arial" w:hAnsi="Arial" w:cs="Arial"/>
          <w:b/>
          <w:bCs/>
          <w:sz w:val="24"/>
        </w:rPr>
        <w:t xml:space="preserve">Family/Caregiver Demographic Questionnaire. </w:t>
      </w:r>
      <w:r>
        <w:rPr>
          <w:rFonts w:ascii="Arial" w:hAnsi="Arial" w:cs="Arial"/>
          <w:sz w:val="24"/>
        </w:rPr>
        <w:t xml:space="preserve">The Family/Caregiver Demographic Questionnaire will be administered over the phone </w:t>
      </w:r>
      <w:r w:rsidR="00E87548">
        <w:rPr>
          <w:rFonts w:ascii="Arial" w:hAnsi="Arial" w:cs="Arial"/>
          <w:sz w:val="24"/>
        </w:rPr>
        <w:t>to</w:t>
      </w:r>
      <w:r>
        <w:rPr>
          <w:rFonts w:ascii="Arial" w:hAnsi="Arial" w:cs="Arial"/>
          <w:sz w:val="24"/>
        </w:rPr>
        <w:t xml:space="preserve"> family members/caregivers identified by the PMHCA awardees as eligible to participate in the Family/Caregiver FGD, with anticipated data collection once in 2025, prior to conducting the FGDs. </w:t>
      </w:r>
      <w:r w:rsidR="004C7ADD">
        <w:rPr>
          <w:rFonts w:ascii="Arial" w:hAnsi="Arial" w:cs="Arial"/>
          <w:sz w:val="24"/>
        </w:rPr>
        <w:t xml:space="preserve">The questionnaire will collect demographic information (e.g., ZIP </w:t>
      </w:r>
      <w:r w:rsidR="008D5A5B">
        <w:rPr>
          <w:rFonts w:ascii="Arial" w:hAnsi="Arial" w:cs="Arial"/>
          <w:sz w:val="24"/>
        </w:rPr>
        <w:t>C</w:t>
      </w:r>
      <w:r w:rsidR="004C7ADD">
        <w:rPr>
          <w:rFonts w:ascii="Arial" w:hAnsi="Arial" w:cs="Arial"/>
          <w:sz w:val="24"/>
        </w:rPr>
        <w:t xml:space="preserve">ode, preferred language, child/adolescent age) about the family member/caregiver and their child/adolescent for the purpose of Family/Caregiver FGD sampling and to inform qualitative data analyses. </w:t>
      </w:r>
    </w:p>
    <w:p w:rsidR="004F2EA2" w:rsidRPr="005D6F89" w:rsidP="004F2EA2" w14:paraId="38CB02CB" w14:textId="77777777">
      <w:pPr>
        <w:widowControl/>
        <w:autoSpaceDE/>
        <w:autoSpaceDN/>
        <w:adjustRightInd/>
        <w:spacing w:before="120"/>
        <w:rPr>
          <w:rFonts w:ascii="Arial" w:hAnsi="Arial" w:cs="Arial"/>
          <w:sz w:val="24"/>
        </w:rPr>
      </w:pPr>
      <w:r w:rsidRPr="005D6F89">
        <w:rPr>
          <w:rFonts w:ascii="Arial" w:hAnsi="Arial" w:cs="Arial"/>
          <w:sz w:val="24"/>
        </w:rPr>
        <w:t>There are no legal obstacles to reduce the burden.</w:t>
      </w:r>
    </w:p>
    <w:p w:rsidR="009B3794" w:rsidRPr="005D6F89" w:rsidP="00B81E5E" w14:paraId="22E2A312"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Special Circumstances Relating to the Guidelines of 5 CFR 1320.5</w:t>
      </w:r>
    </w:p>
    <w:p w:rsidR="004F2EA2" w:rsidRPr="005D6F89" w:rsidP="002C79A6" w14:paraId="53B3809F" w14:textId="4B49CFEE">
      <w:pPr>
        <w:widowControl/>
        <w:spacing w:before="120"/>
        <w:rPr>
          <w:rFonts w:ascii="Arial" w:hAnsi="Arial" w:cs="Arial"/>
          <w:bCs/>
          <w:sz w:val="24"/>
        </w:rPr>
      </w:pPr>
      <w:r w:rsidRPr="005D6F89">
        <w:rPr>
          <w:rFonts w:ascii="Arial" w:hAnsi="Arial" w:cs="Arial"/>
          <w:bCs/>
          <w:sz w:val="24"/>
        </w:rPr>
        <w:t>The request fully complies with the regulation.</w:t>
      </w:r>
    </w:p>
    <w:p w:rsidR="009B3794" w:rsidRPr="005D6F89" w:rsidP="00B81E5E" w14:paraId="22E2A31C" w14:textId="77777777">
      <w:pPr>
        <w:numPr>
          <w:ilvl w:val="0"/>
          <w:numId w:val="1"/>
        </w:numPr>
        <w:tabs>
          <w:tab w:val="num" w:pos="360"/>
        </w:tabs>
        <w:spacing w:before="240"/>
        <w:ind w:left="360"/>
        <w:rPr>
          <w:rFonts w:ascii="Arial" w:hAnsi="Arial" w:cs="Arial"/>
          <w:b/>
          <w:sz w:val="24"/>
        </w:rPr>
      </w:pPr>
      <w:r w:rsidRPr="005D6F89">
        <w:rPr>
          <w:rFonts w:ascii="Arial" w:hAnsi="Arial" w:cs="Arial"/>
          <w:b/>
          <w:iCs/>
          <w:sz w:val="24"/>
          <w:u w:val="single"/>
        </w:rPr>
        <w:t>Comments in Response to the Federal Register</w:t>
      </w:r>
      <w:r w:rsidRPr="005D6F89">
        <w:rPr>
          <w:rFonts w:ascii="Arial" w:hAnsi="Arial" w:cs="Arial"/>
          <w:b/>
          <w:sz w:val="24"/>
          <w:u w:val="single"/>
        </w:rPr>
        <w:t xml:space="preserve"> Notice/Outside Consultation</w:t>
      </w:r>
    </w:p>
    <w:p w:rsidR="00DE3A45" w:rsidRPr="005D6F89" w:rsidP="00CA3DA6" w14:paraId="22E2A31D" w14:textId="77777777">
      <w:pPr>
        <w:spacing w:before="120"/>
        <w:rPr>
          <w:rFonts w:ascii="Arial" w:hAnsi="Arial" w:cs="Arial"/>
          <w:b/>
          <w:sz w:val="28"/>
          <w:szCs w:val="28"/>
        </w:rPr>
      </w:pPr>
      <w:r w:rsidRPr="005D6F89">
        <w:rPr>
          <w:rFonts w:ascii="Arial" w:hAnsi="Arial" w:cs="Arial"/>
          <w:b/>
          <w:sz w:val="28"/>
          <w:szCs w:val="28"/>
        </w:rPr>
        <w:t>Section 8A:</w:t>
      </w:r>
    </w:p>
    <w:p w:rsidR="004F2EA2" w:rsidRPr="005D6F89" w:rsidP="004F2EA2" w14:paraId="020C6F44" w14:textId="5985E5DD">
      <w:pPr>
        <w:spacing w:before="120"/>
        <w:rPr>
          <w:rFonts w:ascii="Arial" w:hAnsi="Arial" w:cs="Arial"/>
          <w:bCs/>
          <w:sz w:val="24"/>
        </w:rPr>
      </w:pPr>
      <w:r w:rsidRPr="005D6F89">
        <w:rPr>
          <w:rFonts w:ascii="Arial" w:hAnsi="Arial" w:cs="Arial"/>
          <w:bCs/>
          <w:sz w:val="24"/>
        </w:rPr>
        <w:t xml:space="preserve">A 60-day Federal Register Notice was published in the </w:t>
      </w:r>
      <w:r w:rsidRPr="005D6F89">
        <w:rPr>
          <w:rFonts w:ascii="Arial" w:hAnsi="Arial" w:cs="Arial"/>
          <w:bCs/>
          <w:i/>
          <w:iCs/>
          <w:sz w:val="24"/>
        </w:rPr>
        <w:t>Federal Register</w:t>
      </w:r>
      <w:r w:rsidRPr="005D6F89">
        <w:rPr>
          <w:rFonts w:ascii="Arial" w:hAnsi="Arial" w:cs="Arial"/>
          <w:bCs/>
          <w:sz w:val="24"/>
        </w:rPr>
        <w:t xml:space="preserve"> on </w:t>
      </w:r>
      <w:r w:rsidR="002D1524">
        <w:rPr>
          <w:rFonts w:ascii="Arial" w:hAnsi="Arial" w:cs="Arial"/>
          <w:bCs/>
          <w:sz w:val="24"/>
        </w:rPr>
        <w:t>February 06, 2024</w:t>
      </w:r>
      <w:r w:rsidRPr="005D6F89">
        <w:rPr>
          <w:rFonts w:ascii="Arial" w:hAnsi="Arial" w:cs="Arial"/>
          <w:bCs/>
          <w:sz w:val="24"/>
        </w:rPr>
        <w:t xml:space="preserve">, </w:t>
      </w:r>
      <w:r w:rsidRPr="005D6F89" w:rsidR="003D0C61">
        <w:rPr>
          <w:rFonts w:ascii="Arial" w:hAnsi="Arial" w:cs="Arial"/>
          <w:bCs/>
          <w:sz w:val="24"/>
        </w:rPr>
        <w:t>v</w:t>
      </w:r>
      <w:r w:rsidRPr="005D6F89">
        <w:rPr>
          <w:rFonts w:ascii="Arial" w:hAnsi="Arial" w:cs="Arial"/>
          <w:bCs/>
          <w:sz w:val="24"/>
        </w:rPr>
        <w:t xml:space="preserve">ol. </w:t>
      </w:r>
      <w:r w:rsidR="002D1524">
        <w:rPr>
          <w:rFonts w:ascii="Arial" w:hAnsi="Arial" w:cs="Arial"/>
          <w:bCs/>
          <w:sz w:val="24"/>
        </w:rPr>
        <w:t>89</w:t>
      </w:r>
      <w:r w:rsidRPr="005D6F89">
        <w:rPr>
          <w:rFonts w:ascii="Arial" w:hAnsi="Arial" w:cs="Arial"/>
          <w:bCs/>
          <w:sz w:val="24"/>
        </w:rPr>
        <w:t xml:space="preserve">, No. </w:t>
      </w:r>
      <w:r w:rsidR="002D1524">
        <w:rPr>
          <w:rFonts w:ascii="Arial" w:hAnsi="Arial" w:cs="Arial"/>
          <w:bCs/>
          <w:sz w:val="24"/>
        </w:rPr>
        <w:t>25</w:t>
      </w:r>
      <w:r w:rsidRPr="005D6F89">
        <w:rPr>
          <w:rFonts w:ascii="Arial" w:hAnsi="Arial" w:cs="Arial"/>
          <w:bCs/>
          <w:sz w:val="24"/>
        </w:rPr>
        <w:t xml:space="preserve">, pp. </w:t>
      </w:r>
      <w:r w:rsidR="002D1524">
        <w:rPr>
          <w:rFonts w:ascii="Arial" w:hAnsi="Arial" w:cs="Arial"/>
          <w:bCs/>
          <w:sz w:val="24"/>
        </w:rPr>
        <w:t>8210</w:t>
      </w:r>
      <w:r w:rsidRPr="005D6F89">
        <w:rPr>
          <w:rFonts w:ascii="Arial" w:hAnsi="Arial" w:cs="Arial"/>
          <w:bCs/>
          <w:sz w:val="24"/>
        </w:rPr>
        <w:t>-</w:t>
      </w:r>
      <w:r w:rsidR="002D1524">
        <w:rPr>
          <w:rFonts w:ascii="Arial" w:hAnsi="Arial" w:cs="Arial"/>
          <w:bCs/>
          <w:sz w:val="24"/>
        </w:rPr>
        <w:t>11</w:t>
      </w:r>
      <w:r w:rsidRPr="005D6F89">
        <w:rPr>
          <w:rFonts w:ascii="Arial" w:hAnsi="Arial" w:cs="Arial"/>
          <w:bCs/>
          <w:sz w:val="24"/>
        </w:rPr>
        <w:t xml:space="preserve"> (see Attachment </w:t>
      </w:r>
      <w:r w:rsidR="00A6654C">
        <w:rPr>
          <w:rFonts w:ascii="Arial" w:hAnsi="Arial" w:cs="Arial"/>
          <w:bCs/>
          <w:sz w:val="24"/>
        </w:rPr>
        <w:t>A2</w:t>
      </w:r>
      <w:r w:rsidRPr="005D6F89">
        <w:rPr>
          <w:rFonts w:ascii="Arial" w:hAnsi="Arial" w:cs="Arial"/>
          <w:bCs/>
          <w:sz w:val="24"/>
        </w:rPr>
        <w:t xml:space="preserve">). There </w:t>
      </w:r>
      <w:r w:rsidR="002D1524">
        <w:rPr>
          <w:rFonts w:ascii="Arial" w:hAnsi="Arial" w:cs="Arial"/>
          <w:bCs/>
          <w:sz w:val="24"/>
        </w:rPr>
        <w:t>were</w:t>
      </w:r>
      <w:r w:rsidRPr="005D6F89" w:rsidR="00FB249C">
        <w:rPr>
          <w:rFonts w:ascii="Arial" w:hAnsi="Arial" w:cs="Arial"/>
          <w:bCs/>
          <w:sz w:val="24"/>
        </w:rPr>
        <w:t xml:space="preserve"> </w:t>
      </w:r>
      <w:r w:rsidR="001F5227">
        <w:rPr>
          <w:rFonts w:ascii="Arial" w:hAnsi="Arial" w:cs="Arial"/>
          <w:bCs/>
          <w:sz w:val="24"/>
        </w:rPr>
        <w:t xml:space="preserve">two </w:t>
      </w:r>
      <w:r w:rsidRPr="005D6F89">
        <w:rPr>
          <w:rFonts w:ascii="Arial" w:hAnsi="Arial" w:cs="Arial"/>
          <w:bCs/>
          <w:sz w:val="24"/>
        </w:rPr>
        <w:t xml:space="preserve">public comments. </w:t>
      </w:r>
      <w:r w:rsidR="002D1524">
        <w:rPr>
          <w:rFonts w:ascii="Arial" w:hAnsi="Arial" w:cs="Arial"/>
          <w:bCs/>
          <w:sz w:val="24"/>
        </w:rPr>
        <w:t>The public</w:t>
      </w:r>
      <w:r w:rsidRPr="005D6F89">
        <w:rPr>
          <w:rFonts w:ascii="Arial" w:hAnsi="Arial" w:cs="Arial"/>
          <w:bCs/>
          <w:sz w:val="24"/>
        </w:rPr>
        <w:t xml:space="preserve"> comment</w:t>
      </w:r>
      <w:r w:rsidR="002632CD">
        <w:rPr>
          <w:rFonts w:ascii="Arial" w:hAnsi="Arial" w:cs="Arial"/>
          <w:bCs/>
          <w:sz w:val="24"/>
        </w:rPr>
        <w:t>s</w:t>
      </w:r>
      <w:r w:rsidRPr="005D6F89">
        <w:rPr>
          <w:rFonts w:ascii="Arial" w:hAnsi="Arial" w:cs="Arial"/>
          <w:bCs/>
          <w:sz w:val="24"/>
        </w:rPr>
        <w:t xml:space="preserve"> and response</w:t>
      </w:r>
      <w:r w:rsidR="002632CD">
        <w:rPr>
          <w:rFonts w:ascii="Arial" w:hAnsi="Arial" w:cs="Arial"/>
          <w:bCs/>
          <w:sz w:val="24"/>
        </w:rPr>
        <w:t>s</w:t>
      </w:r>
      <w:r w:rsidRPr="005D6F89">
        <w:rPr>
          <w:rFonts w:ascii="Arial" w:hAnsi="Arial" w:cs="Arial"/>
          <w:bCs/>
          <w:sz w:val="24"/>
        </w:rPr>
        <w:t xml:space="preserve"> to </w:t>
      </w:r>
      <w:r w:rsidR="002D1524">
        <w:rPr>
          <w:rFonts w:ascii="Arial" w:hAnsi="Arial" w:cs="Arial"/>
          <w:bCs/>
          <w:sz w:val="24"/>
        </w:rPr>
        <w:t xml:space="preserve">the </w:t>
      </w:r>
      <w:r w:rsidRPr="005D6F89">
        <w:rPr>
          <w:rFonts w:ascii="Arial" w:hAnsi="Arial" w:cs="Arial"/>
          <w:bCs/>
          <w:sz w:val="24"/>
        </w:rPr>
        <w:t xml:space="preserve">comment are provided as an attachment to this supporting statement (see Attachment </w:t>
      </w:r>
      <w:r w:rsidR="00A6654C">
        <w:rPr>
          <w:rFonts w:ascii="Arial" w:hAnsi="Arial" w:cs="Arial"/>
          <w:bCs/>
          <w:sz w:val="24"/>
        </w:rPr>
        <w:t>A3</w:t>
      </w:r>
      <w:r w:rsidRPr="005D6F89">
        <w:rPr>
          <w:rFonts w:ascii="Arial" w:hAnsi="Arial" w:cs="Arial"/>
          <w:bCs/>
          <w:sz w:val="24"/>
        </w:rPr>
        <w:t>).</w:t>
      </w:r>
      <w:r w:rsidR="00F439F5">
        <w:rPr>
          <w:rFonts w:ascii="Arial" w:hAnsi="Arial" w:cs="Arial"/>
          <w:bCs/>
          <w:sz w:val="24"/>
        </w:rPr>
        <w:t xml:space="preserve"> </w:t>
      </w:r>
      <w:r w:rsidR="005E44F6">
        <w:rPr>
          <w:rFonts w:ascii="Arial" w:hAnsi="Arial" w:cs="Arial"/>
          <w:bCs/>
          <w:sz w:val="24"/>
        </w:rPr>
        <w:t xml:space="preserve">No substantive changes were made </w:t>
      </w:r>
      <w:r w:rsidR="005E44F6">
        <w:rPr>
          <w:rFonts w:ascii="Arial" w:hAnsi="Arial" w:cs="Arial"/>
          <w:bCs/>
          <w:sz w:val="24"/>
        </w:rPr>
        <w:t>as a result of</w:t>
      </w:r>
      <w:r w:rsidR="005E44F6">
        <w:rPr>
          <w:rFonts w:ascii="Arial" w:hAnsi="Arial" w:cs="Arial"/>
          <w:bCs/>
          <w:sz w:val="24"/>
        </w:rPr>
        <w:t xml:space="preserve"> the public comments. </w:t>
      </w:r>
      <w:r w:rsidRPr="005D6F89" w:rsidR="00F439F5">
        <w:rPr>
          <w:rFonts w:ascii="Arial" w:hAnsi="Arial" w:cs="Arial"/>
          <w:bCs/>
          <w:sz w:val="24"/>
        </w:rPr>
        <w:t xml:space="preserve">A </w:t>
      </w:r>
      <w:r w:rsidR="00F439F5">
        <w:rPr>
          <w:rFonts w:ascii="Arial" w:hAnsi="Arial" w:cs="Arial"/>
          <w:bCs/>
          <w:sz w:val="24"/>
        </w:rPr>
        <w:t>30</w:t>
      </w:r>
      <w:r w:rsidRPr="005D6F89" w:rsidR="00F439F5">
        <w:rPr>
          <w:rFonts w:ascii="Arial" w:hAnsi="Arial" w:cs="Arial"/>
          <w:bCs/>
          <w:sz w:val="24"/>
        </w:rPr>
        <w:t xml:space="preserve">-day Federal Register Notice was published in the </w:t>
      </w:r>
      <w:r w:rsidRPr="005D6F89" w:rsidR="00F439F5">
        <w:rPr>
          <w:rFonts w:ascii="Arial" w:hAnsi="Arial" w:cs="Arial"/>
          <w:bCs/>
          <w:i/>
          <w:iCs/>
          <w:sz w:val="24"/>
        </w:rPr>
        <w:t>Federal Register</w:t>
      </w:r>
      <w:r w:rsidRPr="005D6F89" w:rsidR="00F439F5">
        <w:rPr>
          <w:rFonts w:ascii="Arial" w:hAnsi="Arial" w:cs="Arial"/>
          <w:bCs/>
          <w:sz w:val="24"/>
        </w:rPr>
        <w:t xml:space="preserve"> on </w:t>
      </w:r>
      <w:r w:rsidR="00F439F5">
        <w:rPr>
          <w:rFonts w:ascii="Arial" w:hAnsi="Arial" w:cs="Arial"/>
          <w:bCs/>
          <w:sz w:val="24"/>
        </w:rPr>
        <w:t>April 24, 2024</w:t>
      </w:r>
      <w:r w:rsidRPr="005D6F89" w:rsidR="00F439F5">
        <w:rPr>
          <w:rFonts w:ascii="Arial" w:hAnsi="Arial" w:cs="Arial"/>
          <w:bCs/>
          <w:sz w:val="24"/>
        </w:rPr>
        <w:t xml:space="preserve">, vol. </w:t>
      </w:r>
      <w:r w:rsidR="00F439F5">
        <w:rPr>
          <w:rFonts w:ascii="Arial" w:hAnsi="Arial" w:cs="Arial"/>
          <w:bCs/>
          <w:sz w:val="24"/>
        </w:rPr>
        <w:t>89</w:t>
      </w:r>
      <w:r w:rsidRPr="005D6F89" w:rsidR="00F439F5">
        <w:rPr>
          <w:rFonts w:ascii="Arial" w:hAnsi="Arial" w:cs="Arial"/>
          <w:bCs/>
          <w:sz w:val="24"/>
        </w:rPr>
        <w:t xml:space="preserve">, No. </w:t>
      </w:r>
      <w:r w:rsidR="00F439F5">
        <w:rPr>
          <w:rFonts w:ascii="Arial" w:hAnsi="Arial" w:cs="Arial"/>
          <w:bCs/>
          <w:sz w:val="24"/>
        </w:rPr>
        <w:t>80</w:t>
      </w:r>
      <w:r w:rsidRPr="005D6F89" w:rsidR="00F439F5">
        <w:rPr>
          <w:rFonts w:ascii="Arial" w:hAnsi="Arial" w:cs="Arial"/>
          <w:bCs/>
          <w:sz w:val="24"/>
        </w:rPr>
        <w:t xml:space="preserve">, pp. </w:t>
      </w:r>
      <w:r w:rsidR="00F439F5">
        <w:rPr>
          <w:rFonts w:ascii="Arial" w:hAnsi="Arial" w:cs="Arial"/>
          <w:bCs/>
          <w:sz w:val="24"/>
        </w:rPr>
        <w:t>31210</w:t>
      </w:r>
      <w:r w:rsidRPr="005D6F89" w:rsidR="00F439F5">
        <w:rPr>
          <w:rFonts w:ascii="Arial" w:hAnsi="Arial" w:cs="Arial"/>
          <w:bCs/>
          <w:sz w:val="24"/>
        </w:rPr>
        <w:t>-</w:t>
      </w:r>
      <w:r w:rsidR="00F439F5">
        <w:rPr>
          <w:rFonts w:ascii="Arial" w:hAnsi="Arial" w:cs="Arial"/>
          <w:bCs/>
          <w:sz w:val="24"/>
        </w:rPr>
        <w:t>11</w:t>
      </w:r>
      <w:r w:rsidR="00FB42CA">
        <w:rPr>
          <w:rFonts w:ascii="Arial" w:hAnsi="Arial" w:cs="Arial"/>
          <w:bCs/>
          <w:sz w:val="24"/>
        </w:rPr>
        <w:t>.</w:t>
      </w:r>
    </w:p>
    <w:p w:rsidR="00DE3A45" w:rsidRPr="005D6F89" w:rsidP="00CA3DA6" w14:paraId="22E2A321" w14:textId="77777777">
      <w:pPr>
        <w:spacing w:before="120"/>
        <w:rPr>
          <w:rFonts w:ascii="Arial" w:hAnsi="Arial" w:cs="Arial"/>
          <w:b/>
          <w:sz w:val="28"/>
          <w:szCs w:val="28"/>
        </w:rPr>
      </w:pPr>
      <w:r w:rsidRPr="005D6F89">
        <w:rPr>
          <w:rFonts w:ascii="Arial" w:hAnsi="Arial" w:cs="Arial"/>
          <w:b/>
          <w:sz w:val="28"/>
          <w:szCs w:val="28"/>
        </w:rPr>
        <w:t>Section 8B:</w:t>
      </w:r>
    </w:p>
    <w:p w:rsidR="004F2EA2" w:rsidRPr="005D6F89" w:rsidP="004F2EA2" w14:paraId="4E7FDF7A" w14:textId="701C4C95">
      <w:pPr>
        <w:spacing w:before="120"/>
        <w:rPr>
          <w:rFonts w:ascii="Arial" w:hAnsi="Arial" w:cs="Arial"/>
          <w:sz w:val="24"/>
        </w:rPr>
      </w:pPr>
      <w:r w:rsidRPr="005D6F89">
        <w:rPr>
          <w:rFonts w:ascii="Arial" w:hAnsi="Arial" w:cs="Arial"/>
          <w:sz w:val="24"/>
        </w:rPr>
        <w:t xml:space="preserve">Consultations on the </w:t>
      </w:r>
      <w:r w:rsidRPr="005D6F89" w:rsidR="000F7ACA">
        <w:rPr>
          <w:rFonts w:ascii="Arial" w:hAnsi="Arial" w:cs="Arial"/>
          <w:sz w:val="24"/>
        </w:rPr>
        <w:t xml:space="preserve">Impact Study's </w:t>
      </w:r>
      <w:r w:rsidRPr="005D6F89" w:rsidR="00FB249C">
        <w:rPr>
          <w:rFonts w:ascii="Arial" w:hAnsi="Arial" w:cs="Arial"/>
          <w:sz w:val="24"/>
        </w:rPr>
        <w:t xml:space="preserve">key research questions, </w:t>
      </w:r>
      <w:r w:rsidRPr="005D6F89">
        <w:rPr>
          <w:rFonts w:ascii="Arial" w:hAnsi="Arial" w:cs="Arial"/>
          <w:sz w:val="24"/>
        </w:rPr>
        <w:t>design, data collection instruments (i.e., HP</w:t>
      </w:r>
      <w:r w:rsidRPr="005D6F89" w:rsidR="002C79A6">
        <w:rPr>
          <w:rFonts w:ascii="Arial" w:hAnsi="Arial" w:cs="Arial"/>
          <w:sz w:val="24"/>
        </w:rPr>
        <w:t xml:space="preserve"> Impact</w:t>
      </w:r>
      <w:r w:rsidRPr="005D6F89">
        <w:rPr>
          <w:rFonts w:ascii="Arial" w:hAnsi="Arial" w:cs="Arial"/>
          <w:sz w:val="24"/>
        </w:rPr>
        <w:t xml:space="preserve"> Surve</w:t>
      </w:r>
      <w:r w:rsidRPr="005D6F89" w:rsidR="002C79A6">
        <w:rPr>
          <w:rFonts w:ascii="Arial" w:hAnsi="Arial" w:cs="Arial"/>
          <w:sz w:val="24"/>
        </w:rPr>
        <w:t>y</w:t>
      </w:r>
      <w:r w:rsidRPr="005D6F89" w:rsidR="00EF7545">
        <w:rPr>
          <w:rFonts w:ascii="Arial" w:hAnsi="Arial" w:cs="Arial"/>
          <w:sz w:val="24"/>
        </w:rPr>
        <w:t>,</w:t>
      </w:r>
      <w:r w:rsidRPr="005D6F89" w:rsidR="002C79A6">
        <w:rPr>
          <w:rFonts w:ascii="Arial" w:hAnsi="Arial" w:cs="Arial"/>
          <w:sz w:val="24"/>
        </w:rPr>
        <w:t xml:space="preserve"> Family/Caregiver FGD</w:t>
      </w:r>
      <w:r w:rsidRPr="005D6F89">
        <w:rPr>
          <w:rFonts w:ascii="Arial" w:hAnsi="Arial" w:cs="Arial"/>
          <w:sz w:val="24"/>
        </w:rPr>
        <w:t xml:space="preserve">) and protocols, </w:t>
      </w:r>
      <w:bookmarkStart w:id="0" w:name="_Hlk151562905"/>
      <w:r w:rsidRPr="005D6F89">
        <w:rPr>
          <w:rFonts w:ascii="Arial" w:hAnsi="Arial" w:cs="Arial"/>
          <w:sz w:val="24"/>
        </w:rPr>
        <w:t xml:space="preserve">data management, </w:t>
      </w:r>
      <w:r w:rsidRPr="005D6F89" w:rsidR="002C79A6">
        <w:rPr>
          <w:rFonts w:ascii="Arial" w:hAnsi="Arial" w:cs="Arial"/>
          <w:sz w:val="24"/>
        </w:rPr>
        <w:t xml:space="preserve">data quality plan, </w:t>
      </w:r>
      <w:r w:rsidRPr="005D6F89">
        <w:rPr>
          <w:rFonts w:ascii="Arial" w:hAnsi="Arial" w:cs="Arial"/>
          <w:sz w:val="24"/>
        </w:rPr>
        <w:t xml:space="preserve">and analysis </w:t>
      </w:r>
      <w:bookmarkEnd w:id="0"/>
      <w:r w:rsidRPr="005D6F89">
        <w:rPr>
          <w:rFonts w:ascii="Arial" w:hAnsi="Arial" w:cs="Arial"/>
          <w:sz w:val="24"/>
        </w:rPr>
        <w:t xml:space="preserve">occurred throughout the planning phase of the </w:t>
      </w:r>
      <w:r w:rsidRPr="005D6F89" w:rsidR="002C79A6">
        <w:rPr>
          <w:rFonts w:ascii="Arial" w:hAnsi="Arial" w:cs="Arial"/>
          <w:sz w:val="24"/>
        </w:rPr>
        <w:t>project</w:t>
      </w:r>
      <w:r w:rsidRPr="005D6F89">
        <w:rPr>
          <w:rFonts w:ascii="Arial" w:hAnsi="Arial" w:cs="Arial"/>
          <w:sz w:val="24"/>
        </w:rPr>
        <w:t xml:space="preserve"> </w:t>
      </w:r>
      <w:r w:rsidRPr="005D6F89" w:rsidR="002C79A6">
        <w:rPr>
          <w:rFonts w:ascii="Arial" w:hAnsi="Arial" w:cs="Arial"/>
          <w:sz w:val="24"/>
        </w:rPr>
        <w:t>in 2023</w:t>
      </w:r>
      <w:r w:rsidRPr="005D6F89">
        <w:rPr>
          <w:rFonts w:ascii="Arial" w:hAnsi="Arial" w:cs="Arial"/>
          <w:sz w:val="24"/>
        </w:rPr>
        <w:t xml:space="preserve">. </w:t>
      </w:r>
      <w:r w:rsidRPr="005D6F89" w:rsidR="00CB0C79">
        <w:rPr>
          <w:rFonts w:ascii="Arial" w:hAnsi="Arial" w:cs="Arial"/>
          <w:sz w:val="24"/>
        </w:rPr>
        <w:t xml:space="preserve">Consultations were provided by </w:t>
      </w:r>
      <w:r w:rsidRPr="005D6F89" w:rsidR="00D71A18">
        <w:rPr>
          <w:rFonts w:ascii="Arial" w:hAnsi="Arial" w:cs="Arial"/>
          <w:sz w:val="24"/>
        </w:rPr>
        <w:t xml:space="preserve">External Partner Group </w:t>
      </w:r>
      <w:r w:rsidRPr="005D6F89" w:rsidR="00CB0C79">
        <w:rPr>
          <w:rFonts w:ascii="Arial" w:hAnsi="Arial" w:cs="Arial"/>
          <w:sz w:val="24"/>
        </w:rPr>
        <w:t>(EPG) members identified and convened specifically for the Impact Study to advise on key contract activities</w:t>
      </w:r>
      <w:r w:rsidRPr="005D6F89" w:rsidR="007937AB">
        <w:rPr>
          <w:rFonts w:ascii="Arial" w:hAnsi="Arial" w:cs="Arial"/>
          <w:sz w:val="24"/>
        </w:rPr>
        <w:t>; they</w:t>
      </w:r>
      <w:r w:rsidRPr="005D6F89" w:rsidR="00CB0C79">
        <w:rPr>
          <w:rFonts w:ascii="Arial" w:hAnsi="Arial" w:cs="Arial"/>
          <w:sz w:val="24"/>
        </w:rPr>
        <w:t xml:space="preserve"> include non-</w:t>
      </w:r>
      <w:r w:rsidRPr="005D6F89" w:rsidR="00C61EDB">
        <w:rPr>
          <w:rFonts w:ascii="Arial" w:hAnsi="Arial" w:cs="Arial"/>
          <w:sz w:val="24"/>
        </w:rPr>
        <w:t>F</w:t>
      </w:r>
      <w:r w:rsidRPr="005D6F89" w:rsidR="00CB0C79">
        <w:rPr>
          <w:rFonts w:ascii="Arial" w:hAnsi="Arial" w:cs="Arial"/>
          <w:sz w:val="24"/>
        </w:rPr>
        <w:t xml:space="preserve">ederal and </w:t>
      </w:r>
      <w:r w:rsidRPr="005D6F89" w:rsidR="00C61EDB">
        <w:rPr>
          <w:rFonts w:ascii="Arial" w:hAnsi="Arial" w:cs="Arial"/>
          <w:sz w:val="24"/>
        </w:rPr>
        <w:t>F</w:t>
      </w:r>
      <w:r w:rsidRPr="005D6F89" w:rsidR="00CB0C79">
        <w:rPr>
          <w:rFonts w:ascii="Arial" w:hAnsi="Arial" w:cs="Arial"/>
          <w:sz w:val="24"/>
        </w:rPr>
        <w:t xml:space="preserve">ederal leaders of pediatric mental health and individuals with lived experience. In addition, </w:t>
      </w:r>
      <w:r w:rsidRPr="005D6F89" w:rsidR="00297161">
        <w:rPr>
          <w:rFonts w:ascii="Arial" w:hAnsi="Arial" w:cs="Arial"/>
          <w:sz w:val="24"/>
        </w:rPr>
        <w:t>T</w:t>
      </w:r>
      <w:r w:rsidRPr="005D6F89" w:rsidR="00CB0C79">
        <w:rPr>
          <w:rFonts w:ascii="Arial" w:hAnsi="Arial" w:cs="Arial"/>
          <w:sz w:val="24"/>
        </w:rPr>
        <w:t>he RAND Corporation</w:t>
      </w:r>
      <w:r w:rsidRPr="005D6F89" w:rsidR="00766005">
        <w:rPr>
          <w:rFonts w:ascii="Arial" w:hAnsi="Arial" w:cs="Arial"/>
          <w:sz w:val="24"/>
        </w:rPr>
        <w:t xml:space="preserve"> (RAND)</w:t>
      </w:r>
      <w:r w:rsidRPr="005D6F89" w:rsidR="00CB0C79">
        <w:rPr>
          <w:rFonts w:ascii="Arial" w:hAnsi="Arial" w:cs="Arial"/>
          <w:sz w:val="24"/>
        </w:rPr>
        <w:t xml:space="preserve"> is the subcontractor to JBS on the Impact Study </w:t>
      </w:r>
      <w:r w:rsidRPr="005D6F89" w:rsidR="00CB0C79">
        <w:rPr>
          <w:rFonts w:ascii="Arial" w:hAnsi="Arial" w:cs="Arial"/>
          <w:sz w:val="24"/>
        </w:rPr>
        <w:t>and also</w:t>
      </w:r>
      <w:r w:rsidRPr="005D6F89" w:rsidR="00CB0C79">
        <w:rPr>
          <w:rFonts w:ascii="Arial" w:hAnsi="Arial" w:cs="Arial"/>
          <w:sz w:val="24"/>
        </w:rPr>
        <w:t xml:space="preserve"> provided consultation for the Impact Study activities. </w:t>
      </w:r>
      <w:r w:rsidRPr="005D6F89">
        <w:rPr>
          <w:rFonts w:ascii="Arial" w:hAnsi="Arial" w:cs="Arial"/>
          <w:sz w:val="24"/>
        </w:rPr>
        <w:t xml:space="preserve">These consultations provided, and will continue to provide, the opportunity to ensure the technical quality and appropriateness of the overall </w:t>
      </w:r>
      <w:r w:rsidRPr="005D6F89" w:rsidR="00724813">
        <w:rPr>
          <w:rFonts w:ascii="Arial" w:hAnsi="Arial" w:cs="Arial"/>
          <w:sz w:val="24"/>
        </w:rPr>
        <w:t xml:space="preserve">Impact Study </w:t>
      </w:r>
      <w:r w:rsidRPr="005D6F89">
        <w:rPr>
          <w:rFonts w:ascii="Arial" w:hAnsi="Arial" w:cs="Arial"/>
          <w:sz w:val="24"/>
        </w:rPr>
        <w:t xml:space="preserve">design and data analysis plans, obtain advice and recommendations concerning the data collection instruments, and structure the </w:t>
      </w:r>
      <w:r w:rsidRPr="005D6F89" w:rsidR="00772B9C">
        <w:rPr>
          <w:rFonts w:ascii="Arial" w:hAnsi="Arial" w:cs="Arial"/>
          <w:sz w:val="24"/>
        </w:rPr>
        <w:t>impact study</w:t>
      </w:r>
      <w:r w:rsidRPr="005D6F89">
        <w:rPr>
          <w:rFonts w:ascii="Arial" w:hAnsi="Arial" w:cs="Arial"/>
          <w:sz w:val="24"/>
        </w:rPr>
        <w:t xml:space="preserve"> and instruments to minimize overall and individual response burden. Consultations have occurred with the following individuals in connection with this study (listed in </w:t>
      </w:r>
      <w:r w:rsidRPr="005D6F89" w:rsidR="006E6363">
        <w:rPr>
          <w:rFonts w:ascii="Arial" w:hAnsi="Arial" w:cs="Arial"/>
          <w:sz w:val="24"/>
        </w:rPr>
        <w:t>Exhibit 2</w:t>
      </w:r>
      <w:r w:rsidRPr="005D6F89" w:rsidR="00CB0C79">
        <w:rPr>
          <w:rFonts w:ascii="Arial" w:hAnsi="Arial" w:cs="Arial"/>
          <w:sz w:val="24"/>
        </w:rPr>
        <w:t xml:space="preserve"> below by affiliation</w:t>
      </w:r>
      <w:r w:rsidRPr="005D6F89">
        <w:rPr>
          <w:rFonts w:ascii="Arial" w:hAnsi="Arial" w:cs="Arial"/>
          <w:sz w:val="24"/>
        </w:rPr>
        <w:t>):</w:t>
      </w:r>
    </w:p>
    <w:p w:rsidR="00B13BAA" w:rsidP="006E6363" w14:paraId="4BB2C371" w14:textId="77777777">
      <w:pPr>
        <w:widowControl/>
        <w:autoSpaceDE/>
        <w:autoSpaceDN/>
        <w:adjustRightInd/>
        <w:spacing w:before="120"/>
        <w:rPr>
          <w:rFonts w:ascii="Arial" w:hAnsi="Arial" w:cs="Arial"/>
          <w:b/>
          <w:color w:val="000000"/>
          <w:sz w:val="22"/>
          <w:szCs w:val="22"/>
        </w:rPr>
      </w:pPr>
    </w:p>
    <w:p w:rsidR="00B13BAA" w:rsidP="006E6363" w14:paraId="4816B316" w14:textId="77777777">
      <w:pPr>
        <w:widowControl/>
        <w:autoSpaceDE/>
        <w:autoSpaceDN/>
        <w:adjustRightInd/>
        <w:spacing w:before="120"/>
        <w:rPr>
          <w:rFonts w:ascii="Arial" w:hAnsi="Arial" w:cs="Arial"/>
          <w:b/>
          <w:color w:val="000000"/>
          <w:sz w:val="22"/>
          <w:szCs w:val="22"/>
        </w:rPr>
      </w:pPr>
    </w:p>
    <w:p w:rsidR="006E6363" w:rsidP="006E6363" w14:paraId="27F168C4" w14:textId="2400A716">
      <w:pPr>
        <w:widowControl/>
        <w:autoSpaceDE/>
        <w:autoSpaceDN/>
        <w:adjustRightInd/>
        <w:spacing w:before="120"/>
        <w:rPr>
          <w:rFonts w:ascii="Arial" w:hAnsi="Arial" w:cs="Arial"/>
          <w:b/>
          <w:color w:val="000000"/>
          <w:sz w:val="22"/>
          <w:szCs w:val="22"/>
        </w:rPr>
      </w:pPr>
      <w:r w:rsidRPr="005D6F89">
        <w:rPr>
          <w:rFonts w:ascii="Arial" w:hAnsi="Arial" w:cs="Arial"/>
          <w:b/>
          <w:color w:val="000000"/>
          <w:sz w:val="22"/>
          <w:szCs w:val="22"/>
        </w:rPr>
        <w:t>Exhibit 2. Consultants</w:t>
      </w:r>
    </w:p>
    <w:tbl>
      <w:tblPr>
        <w:tblStyle w:val="TableGrid"/>
        <w:tblW w:w="10710" w:type="dxa"/>
        <w:tblInd w:w="-725" w:type="dxa"/>
        <w:tblBorders>
          <w:top w:val="single" w:sz="4" w:space="0" w:color="991C21"/>
          <w:left w:val="single" w:sz="4" w:space="0" w:color="991C21"/>
          <w:bottom w:val="single" w:sz="4" w:space="0" w:color="991C21"/>
          <w:right w:val="single" w:sz="4" w:space="0" w:color="991C21"/>
          <w:insideH w:val="single" w:sz="4" w:space="0" w:color="991C21"/>
          <w:insideV w:val="single" w:sz="4" w:space="0" w:color="991C21"/>
        </w:tblBorders>
        <w:tblLook w:val="04A0"/>
      </w:tblPr>
      <w:tblGrid>
        <w:gridCol w:w="3596"/>
        <w:gridCol w:w="2164"/>
        <w:gridCol w:w="4950"/>
      </w:tblGrid>
      <w:tr w14:paraId="3F979820" w14:textId="77777777" w:rsidTr="00F26386">
        <w:tblPrEx>
          <w:tblW w:w="10710" w:type="dxa"/>
          <w:tblInd w:w="-725" w:type="dxa"/>
          <w:tblBorders>
            <w:top w:val="single" w:sz="4" w:space="0" w:color="991C21"/>
            <w:left w:val="single" w:sz="4" w:space="0" w:color="991C21"/>
            <w:bottom w:val="single" w:sz="4" w:space="0" w:color="991C21"/>
            <w:right w:val="single" w:sz="4" w:space="0" w:color="991C21"/>
            <w:insideH w:val="single" w:sz="4" w:space="0" w:color="991C21"/>
            <w:insideV w:val="single" w:sz="4" w:space="0" w:color="991C21"/>
          </w:tblBorders>
          <w:tblLook w:val="04A0"/>
        </w:tblPrEx>
        <w:trPr>
          <w:trHeight w:val="620"/>
          <w:tblHeader/>
        </w:trPr>
        <w:tc>
          <w:tcPr>
            <w:tcW w:w="3596" w:type="dxa"/>
            <w:shd w:val="clear" w:color="auto" w:fill="991C21"/>
          </w:tcPr>
          <w:p w:rsidR="000C534A" w:rsidRPr="005D6F89" w:rsidP="00F26386" w14:paraId="56B9049A" w14:textId="77777777">
            <w:pPr>
              <w:pStyle w:val="L1HRSA"/>
              <w:spacing w:after="0"/>
              <w:jc w:val="left"/>
              <w:rPr>
                <w:rFonts w:ascii="Arial" w:hAnsi="Arial" w:cs="Arial"/>
                <w:b/>
                <w:bCs/>
                <w:color w:val="FFFFFF" w:themeColor="background1"/>
                <w:sz w:val="24"/>
                <w:szCs w:val="24"/>
              </w:rPr>
            </w:pPr>
            <w:r w:rsidRPr="005D6F89">
              <w:rPr>
                <w:rFonts w:ascii="Arial" w:hAnsi="Arial" w:cs="Arial"/>
                <w:b/>
                <w:bCs/>
                <w:color w:val="FFFFFF" w:themeColor="background1"/>
                <w:sz w:val="24"/>
                <w:szCs w:val="24"/>
              </w:rPr>
              <w:t>Affiliation</w:t>
            </w:r>
          </w:p>
        </w:tc>
        <w:tc>
          <w:tcPr>
            <w:tcW w:w="2164" w:type="dxa"/>
            <w:shd w:val="clear" w:color="auto" w:fill="991C21"/>
          </w:tcPr>
          <w:p w:rsidR="000C534A" w:rsidRPr="005D6F89" w:rsidP="00F26386" w14:paraId="12F25CB1" w14:textId="77777777">
            <w:pPr>
              <w:pStyle w:val="L1HRSA"/>
              <w:spacing w:after="0"/>
              <w:jc w:val="left"/>
              <w:rPr>
                <w:rFonts w:ascii="Arial" w:hAnsi="Arial" w:cs="Arial"/>
                <w:b/>
                <w:bCs/>
                <w:color w:val="FFFFFF" w:themeColor="background1"/>
                <w:sz w:val="24"/>
                <w:szCs w:val="24"/>
              </w:rPr>
            </w:pPr>
            <w:r w:rsidRPr="005D6F89">
              <w:rPr>
                <w:rFonts w:ascii="Arial" w:hAnsi="Arial" w:cs="Arial"/>
                <w:b/>
                <w:bCs/>
                <w:color w:val="FFFFFF" w:themeColor="background1"/>
                <w:sz w:val="24"/>
                <w:szCs w:val="24"/>
              </w:rPr>
              <w:t>Title</w:t>
            </w:r>
          </w:p>
        </w:tc>
        <w:tc>
          <w:tcPr>
            <w:tcW w:w="4950" w:type="dxa"/>
            <w:shd w:val="clear" w:color="auto" w:fill="991C21"/>
          </w:tcPr>
          <w:p w:rsidR="000C534A" w:rsidRPr="005D6F89" w:rsidP="00F26386" w14:paraId="76DAB67C" w14:textId="77777777">
            <w:pPr>
              <w:pStyle w:val="L1HRSA"/>
              <w:spacing w:after="0"/>
              <w:jc w:val="left"/>
              <w:rPr>
                <w:rFonts w:ascii="Arial" w:hAnsi="Arial" w:cs="Arial"/>
                <w:b/>
                <w:bCs/>
                <w:color w:val="FFFFFF" w:themeColor="background1"/>
                <w:sz w:val="24"/>
                <w:szCs w:val="24"/>
              </w:rPr>
            </w:pPr>
            <w:r w:rsidRPr="005D6F89">
              <w:rPr>
                <w:rFonts w:ascii="Arial" w:hAnsi="Arial" w:cs="Arial"/>
                <w:b/>
                <w:bCs/>
                <w:color w:val="FFFFFF" w:themeColor="background1"/>
                <w:sz w:val="24"/>
                <w:szCs w:val="24"/>
              </w:rPr>
              <w:t>Years and Areas of Consultation</w:t>
            </w:r>
          </w:p>
        </w:tc>
      </w:tr>
      <w:tr w14:paraId="55FABC86" w14:textId="77777777" w:rsidTr="00642FB7">
        <w:tblPrEx>
          <w:tblW w:w="10710" w:type="dxa"/>
          <w:tblInd w:w="-725" w:type="dxa"/>
          <w:tblLook w:val="04A0"/>
        </w:tblPrEx>
        <w:trPr>
          <w:trHeight w:val="790"/>
        </w:trPr>
        <w:tc>
          <w:tcPr>
            <w:tcW w:w="3596" w:type="dxa"/>
            <w:shd w:val="clear" w:color="auto" w:fill="F0EEE8"/>
          </w:tcPr>
          <w:p w:rsidR="000C534A" w:rsidRPr="005D6F89" w:rsidP="00642FB7" w14:paraId="35B3DED0" w14:textId="77777777">
            <w:pPr>
              <w:pStyle w:val="BodyText"/>
              <w:rPr>
                <w:rFonts w:ascii="Arial" w:hAnsi="Arial" w:cs="Arial"/>
                <w:sz w:val="24"/>
              </w:rPr>
            </w:pPr>
            <w:r w:rsidRPr="005D6F89">
              <w:rPr>
                <w:rFonts w:ascii="Arial" w:hAnsi="Arial" w:cs="Arial"/>
                <w:sz w:val="24"/>
              </w:rPr>
              <w:t>Johns Hopkins Medicine, Department of Psychiatry and Behavioral Sciences; Maryland PMHCA; National Network of Child Psychiatry Access Programs (NNCPAP) member</w:t>
            </w:r>
          </w:p>
        </w:tc>
        <w:tc>
          <w:tcPr>
            <w:tcW w:w="2164" w:type="dxa"/>
            <w:shd w:val="clear" w:color="auto" w:fill="F0EEE8"/>
          </w:tcPr>
          <w:p w:rsidR="000C534A" w:rsidRPr="005D6F89" w:rsidP="00642FB7" w14:paraId="5077AD93" w14:textId="77777777">
            <w:pPr>
              <w:pStyle w:val="BodyText"/>
              <w:rPr>
                <w:rFonts w:ascii="Arial" w:hAnsi="Arial" w:cs="Arial"/>
                <w:sz w:val="24"/>
              </w:rPr>
            </w:pPr>
            <w:r w:rsidRPr="005D6F89">
              <w:rPr>
                <w:rFonts w:ascii="Arial" w:hAnsi="Arial" w:cs="Arial"/>
                <w:sz w:val="24"/>
              </w:rPr>
              <w:t>Assistant Professor, Clinician (EPG Chair)</w:t>
            </w:r>
          </w:p>
        </w:tc>
        <w:tc>
          <w:tcPr>
            <w:tcW w:w="4950" w:type="dxa"/>
            <w:shd w:val="clear" w:color="auto" w:fill="F0EEE8"/>
          </w:tcPr>
          <w:p w:rsidR="000C534A" w:rsidRPr="005D6F89" w:rsidP="00642FB7" w14:paraId="1A4ABC58"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40282A93"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5FF6227E"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0096147E"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189CDBA6" w14:textId="77777777">
            <w:pPr>
              <w:pStyle w:val="BodyText"/>
              <w:numPr>
                <w:ilvl w:val="0"/>
                <w:numId w:val="24"/>
              </w:numPr>
              <w:rPr>
                <w:rFonts w:ascii="Arial" w:hAnsi="Arial" w:cs="Arial"/>
                <w:sz w:val="24"/>
              </w:rPr>
            </w:pPr>
            <w:r w:rsidRPr="005D6F89">
              <w:rPr>
                <w:rFonts w:ascii="Arial" w:hAnsi="Arial" w:cs="Arial"/>
                <w:sz w:val="24"/>
              </w:rPr>
              <w:t>Study design</w:t>
            </w:r>
          </w:p>
          <w:p w:rsidR="000C534A" w:rsidRPr="005D6F89" w:rsidP="000C534A" w14:paraId="54A339C9"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14ECA821"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r w14:paraId="70B8FF1E" w14:textId="77777777" w:rsidTr="00642FB7">
        <w:tblPrEx>
          <w:tblW w:w="10710" w:type="dxa"/>
          <w:tblInd w:w="-725" w:type="dxa"/>
          <w:tblLook w:val="04A0"/>
        </w:tblPrEx>
        <w:trPr>
          <w:trHeight w:val="262"/>
        </w:trPr>
        <w:tc>
          <w:tcPr>
            <w:tcW w:w="3596" w:type="dxa"/>
          </w:tcPr>
          <w:p w:rsidR="000C534A" w:rsidRPr="005D6F89" w:rsidP="00642FB7" w14:paraId="0F1F45E9" w14:textId="77777777">
            <w:pPr>
              <w:pStyle w:val="BodyText"/>
              <w:rPr>
                <w:rFonts w:ascii="Arial" w:hAnsi="Arial" w:cs="Arial"/>
                <w:sz w:val="24"/>
              </w:rPr>
            </w:pPr>
            <w:r w:rsidRPr="005D6F89">
              <w:rPr>
                <w:rFonts w:ascii="Arial" w:hAnsi="Arial" w:cs="Arial"/>
                <w:sz w:val="24"/>
              </w:rPr>
              <w:t>Integrated Service Division; Chickasaw Nation PMHCA</w:t>
            </w:r>
          </w:p>
        </w:tc>
        <w:tc>
          <w:tcPr>
            <w:tcW w:w="2164" w:type="dxa"/>
          </w:tcPr>
          <w:p w:rsidR="000C534A" w:rsidRPr="005D6F89" w:rsidP="00642FB7" w14:paraId="3DC9BE55" w14:textId="77777777">
            <w:pPr>
              <w:pStyle w:val="BodyText"/>
              <w:rPr>
                <w:rFonts w:ascii="Arial" w:hAnsi="Arial" w:cs="Arial"/>
                <w:sz w:val="24"/>
              </w:rPr>
            </w:pPr>
            <w:r w:rsidRPr="005D6F89">
              <w:rPr>
                <w:rFonts w:ascii="Arial" w:hAnsi="Arial" w:cs="Arial"/>
                <w:sz w:val="24"/>
              </w:rPr>
              <w:t>Executive Officer</w:t>
            </w:r>
          </w:p>
        </w:tc>
        <w:tc>
          <w:tcPr>
            <w:tcW w:w="4950" w:type="dxa"/>
          </w:tcPr>
          <w:p w:rsidR="000C534A" w:rsidRPr="005D6F89" w:rsidP="00642FB7" w14:paraId="7F978FAD"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746FE704"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03FE785F"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545C87FD"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7CD9C694" w14:textId="77777777">
            <w:pPr>
              <w:pStyle w:val="BodyText"/>
              <w:numPr>
                <w:ilvl w:val="0"/>
                <w:numId w:val="24"/>
              </w:numPr>
              <w:rPr>
                <w:rFonts w:ascii="Arial" w:hAnsi="Arial" w:cs="Arial"/>
                <w:sz w:val="24"/>
              </w:rPr>
            </w:pPr>
            <w:r w:rsidRPr="005D6F89">
              <w:rPr>
                <w:rFonts w:ascii="Arial" w:hAnsi="Arial" w:cs="Arial"/>
                <w:sz w:val="24"/>
              </w:rPr>
              <w:t>Study design</w:t>
            </w:r>
          </w:p>
          <w:p w:rsidR="000C534A" w:rsidRPr="005D6F89" w:rsidP="000C534A" w14:paraId="49A41B85"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37C08B9E"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r w14:paraId="18460647" w14:textId="77777777" w:rsidTr="00642FB7">
        <w:tblPrEx>
          <w:tblW w:w="10710" w:type="dxa"/>
          <w:tblInd w:w="-725" w:type="dxa"/>
          <w:tblLook w:val="04A0"/>
        </w:tblPrEx>
        <w:trPr>
          <w:trHeight w:val="262"/>
        </w:trPr>
        <w:tc>
          <w:tcPr>
            <w:tcW w:w="3596" w:type="dxa"/>
            <w:shd w:val="clear" w:color="auto" w:fill="F0EEE8"/>
          </w:tcPr>
          <w:p w:rsidR="000C534A" w:rsidRPr="005D6F89" w:rsidP="00642FB7" w14:paraId="0420101F" w14:textId="77777777">
            <w:pPr>
              <w:pStyle w:val="BodyText"/>
              <w:rPr>
                <w:rFonts w:ascii="Arial" w:hAnsi="Arial" w:cs="Arial"/>
                <w:sz w:val="24"/>
              </w:rPr>
            </w:pPr>
            <w:r w:rsidRPr="005D6F89">
              <w:rPr>
                <w:rFonts w:ascii="Arial" w:hAnsi="Arial" w:cs="Arial"/>
                <w:sz w:val="24"/>
              </w:rPr>
              <w:t>American Academy of Pediatrics</w:t>
            </w:r>
          </w:p>
        </w:tc>
        <w:tc>
          <w:tcPr>
            <w:tcW w:w="2164" w:type="dxa"/>
            <w:shd w:val="clear" w:color="auto" w:fill="F0EEE8"/>
          </w:tcPr>
          <w:p w:rsidR="000C534A" w:rsidRPr="005D6F89" w:rsidP="00642FB7" w14:paraId="5D17303B" w14:textId="77777777">
            <w:pPr>
              <w:pStyle w:val="BodyText"/>
              <w:rPr>
                <w:rFonts w:ascii="Arial" w:hAnsi="Arial" w:cs="Arial"/>
                <w:sz w:val="24"/>
              </w:rPr>
            </w:pPr>
            <w:r w:rsidRPr="005D6F89">
              <w:rPr>
                <w:rFonts w:ascii="Arial" w:hAnsi="Arial" w:cs="Arial"/>
                <w:sz w:val="24"/>
              </w:rPr>
              <w:t>Director</w:t>
            </w:r>
          </w:p>
        </w:tc>
        <w:tc>
          <w:tcPr>
            <w:tcW w:w="4950" w:type="dxa"/>
            <w:shd w:val="clear" w:color="auto" w:fill="F0EEE8"/>
          </w:tcPr>
          <w:p w:rsidR="000C534A" w:rsidRPr="005D6F89" w:rsidP="00642FB7" w14:paraId="5DA21F66"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2F9B6F56"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790B0391"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3694BCE6"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031F9AB3" w14:textId="77777777">
            <w:pPr>
              <w:pStyle w:val="BodyText"/>
              <w:numPr>
                <w:ilvl w:val="0"/>
                <w:numId w:val="24"/>
              </w:numPr>
              <w:rPr>
                <w:rFonts w:ascii="Arial" w:hAnsi="Arial" w:cs="Arial"/>
                <w:sz w:val="24"/>
              </w:rPr>
            </w:pPr>
            <w:r w:rsidRPr="005D6F89">
              <w:rPr>
                <w:rFonts w:ascii="Arial" w:hAnsi="Arial" w:cs="Arial"/>
                <w:sz w:val="24"/>
              </w:rPr>
              <w:t>Study design</w:t>
            </w:r>
          </w:p>
          <w:p w:rsidR="000C534A" w:rsidRPr="005D6F89" w:rsidP="000C534A" w14:paraId="6E7E8204"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064ECE1E"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r w14:paraId="355F0E3E" w14:textId="77777777" w:rsidTr="00642FB7">
        <w:tblPrEx>
          <w:tblW w:w="10710" w:type="dxa"/>
          <w:tblInd w:w="-725" w:type="dxa"/>
          <w:tblLook w:val="04A0"/>
        </w:tblPrEx>
        <w:trPr>
          <w:trHeight w:val="262"/>
        </w:trPr>
        <w:tc>
          <w:tcPr>
            <w:tcW w:w="3596" w:type="dxa"/>
          </w:tcPr>
          <w:p w:rsidR="000C534A" w:rsidRPr="005D6F89" w:rsidP="00642FB7" w14:paraId="516BA02B" w14:textId="77777777">
            <w:pPr>
              <w:pStyle w:val="BodyText"/>
              <w:rPr>
                <w:rFonts w:ascii="Arial" w:hAnsi="Arial" w:cs="Arial"/>
                <w:sz w:val="24"/>
              </w:rPr>
            </w:pPr>
            <w:r w:rsidRPr="005D6F89">
              <w:rPr>
                <w:rFonts w:ascii="Arial" w:hAnsi="Arial" w:cs="Arial"/>
                <w:sz w:val="24"/>
              </w:rPr>
              <w:t>Families as Allies</w:t>
            </w:r>
          </w:p>
        </w:tc>
        <w:tc>
          <w:tcPr>
            <w:tcW w:w="2164" w:type="dxa"/>
          </w:tcPr>
          <w:p w:rsidR="000C534A" w:rsidRPr="005D6F89" w:rsidP="00642FB7" w14:paraId="28EC6B50" w14:textId="77777777">
            <w:pPr>
              <w:pStyle w:val="BodyText"/>
              <w:rPr>
                <w:rFonts w:ascii="Arial" w:hAnsi="Arial" w:cs="Arial"/>
                <w:sz w:val="24"/>
              </w:rPr>
            </w:pPr>
            <w:r w:rsidRPr="005D6F89">
              <w:rPr>
                <w:rFonts w:ascii="Arial" w:hAnsi="Arial" w:cs="Arial"/>
                <w:sz w:val="24"/>
              </w:rPr>
              <w:t>Executive Director</w:t>
            </w:r>
          </w:p>
        </w:tc>
        <w:tc>
          <w:tcPr>
            <w:tcW w:w="4950" w:type="dxa"/>
          </w:tcPr>
          <w:p w:rsidR="000C534A" w:rsidRPr="005D6F89" w:rsidP="00642FB7" w14:paraId="10DD9FCD"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214836BE"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6A68E47F"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5512D54B" w14:textId="77777777">
            <w:pPr>
              <w:pStyle w:val="BodyText"/>
              <w:numPr>
                <w:ilvl w:val="0"/>
                <w:numId w:val="24"/>
              </w:numPr>
              <w:rPr>
                <w:rFonts w:ascii="Arial" w:hAnsi="Arial" w:cs="Arial"/>
                <w:sz w:val="24"/>
              </w:rPr>
            </w:pPr>
            <w:r w:rsidRPr="005D6F89">
              <w:rPr>
                <w:rFonts w:ascii="Arial" w:hAnsi="Arial" w:cs="Arial"/>
                <w:sz w:val="24"/>
              </w:rPr>
              <w:t>Study design</w:t>
            </w:r>
          </w:p>
          <w:p w:rsidR="000C534A" w:rsidRPr="005D6F89" w:rsidP="000C534A" w14:paraId="4E8D936F"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285DE676"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r w14:paraId="13FF2062" w14:textId="77777777" w:rsidTr="00642FB7">
        <w:tblPrEx>
          <w:tblW w:w="10710" w:type="dxa"/>
          <w:tblInd w:w="-725" w:type="dxa"/>
          <w:tblLook w:val="04A0"/>
        </w:tblPrEx>
        <w:trPr>
          <w:trHeight w:val="262"/>
        </w:trPr>
        <w:tc>
          <w:tcPr>
            <w:tcW w:w="3596" w:type="dxa"/>
            <w:shd w:val="clear" w:color="auto" w:fill="F0EEE8"/>
          </w:tcPr>
          <w:p w:rsidR="000C534A" w:rsidRPr="005D6F89" w:rsidP="00642FB7" w14:paraId="1AB21E0B" w14:textId="77777777">
            <w:pPr>
              <w:pStyle w:val="BodyText"/>
              <w:rPr>
                <w:rFonts w:ascii="Arial" w:hAnsi="Arial" w:cs="Arial"/>
                <w:sz w:val="24"/>
              </w:rPr>
            </w:pPr>
            <w:r w:rsidRPr="005D6F89">
              <w:rPr>
                <w:rFonts w:ascii="Arial" w:hAnsi="Arial" w:cs="Arial"/>
                <w:sz w:val="24"/>
              </w:rPr>
              <w:t>Consultant in school health, mental health, and social and emotional learning</w:t>
            </w:r>
          </w:p>
        </w:tc>
        <w:tc>
          <w:tcPr>
            <w:tcW w:w="2164" w:type="dxa"/>
            <w:shd w:val="clear" w:color="auto" w:fill="F0EEE8"/>
          </w:tcPr>
          <w:p w:rsidR="000C534A" w:rsidRPr="005D6F89" w:rsidP="00642FB7" w14:paraId="3E374458" w14:textId="77777777">
            <w:pPr>
              <w:pStyle w:val="BodyText"/>
              <w:rPr>
                <w:rFonts w:ascii="Arial" w:hAnsi="Arial" w:cs="Arial"/>
                <w:sz w:val="24"/>
              </w:rPr>
            </w:pPr>
            <w:r w:rsidRPr="005D6F89">
              <w:rPr>
                <w:rFonts w:ascii="Arial" w:hAnsi="Arial" w:cs="Arial"/>
                <w:sz w:val="24"/>
              </w:rPr>
              <w:t xml:space="preserve">LCSW </w:t>
            </w:r>
          </w:p>
        </w:tc>
        <w:tc>
          <w:tcPr>
            <w:tcW w:w="4950" w:type="dxa"/>
            <w:shd w:val="clear" w:color="auto" w:fill="F0EEE8"/>
          </w:tcPr>
          <w:p w:rsidR="000C534A" w:rsidRPr="005D6F89" w:rsidP="00642FB7" w14:paraId="6945AE38"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31399AC6"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09F35E26"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586F7E77"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485390F1" w14:textId="77777777">
            <w:pPr>
              <w:pStyle w:val="BodyText"/>
              <w:numPr>
                <w:ilvl w:val="0"/>
                <w:numId w:val="24"/>
              </w:numPr>
              <w:rPr>
                <w:rFonts w:ascii="Arial" w:hAnsi="Arial" w:cs="Arial"/>
                <w:sz w:val="24"/>
              </w:rPr>
            </w:pPr>
            <w:r w:rsidRPr="005D6F89">
              <w:rPr>
                <w:rFonts w:ascii="Arial" w:hAnsi="Arial" w:cs="Arial"/>
                <w:sz w:val="24"/>
              </w:rPr>
              <w:t>Study design</w:t>
            </w:r>
          </w:p>
          <w:p w:rsidR="000C534A" w:rsidRPr="005D6F89" w:rsidP="000C534A" w14:paraId="48EC551A"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2D89A156"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r w14:paraId="74CE3482" w14:textId="77777777" w:rsidTr="00642FB7">
        <w:tblPrEx>
          <w:tblW w:w="10710" w:type="dxa"/>
          <w:tblInd w:w="-725" w:type="dxa"/>
          <w:tblLook w:val="04A0"/>
        </w:tblPrEx>
        <w:trPr>
          <w:trHeight w:val="544"/>
        </w:trPr>
        <w:tc>
          <w:tcPr>
            <w:tcW w:w="3596" w:type="dxa"/>
          </w:tcPr>
          <w:p w:rsidR="000C534A" w:rsidRPr="005D6F89" w:rsidP="00642FB7" w14:paraId="3D8A15A9" w14:textId="77777777">
            <w:pPr>
              <w:pStyle w:val="BodyText"/>
              <w:rPr>
                <w:rFonts w:ascii="Arial" w:hAnsi="Arial" w:cs="Arial"/>
                <w:sz w:val="24"/>
              </w:rPr>
            </w:pPr>
            <w:r w:rsidRPr="005D6F89">
              <w:rPr>
                <w:rFonts w:ascii="Arial" w:hAnsi="Arial" w:cs="Arial"/>
                <w:sz w:val="24"/>
              </w:rPr>
              <w:t>University of Texas (TX) at Austin; TX Institute for Excellence in Mental Health</w:t>
            </w:r>
          </w:p>
        </w:tc>
        <w:tc>
          <w:tcPr>
            <w:tcW w:w="2164" w:type="dxa"/>
          </w:tcPr>
          <w:p w:rsidR="000C534A" w:rsidRPr="005D6F89" w:rsidP="00642FB7" w14:paraId="756DC7DD" w14:textId="77777777">
            <w:pPr>
              <w:pStyle w:val="BodyText"/>
              <w:rPr>
                <w:rFonts w:ascii="Arial" w:hAnsi="Arial" w:cs="Arial"/>
                <w:sz w:val="24"/>
              </w:rPr>
            </w:pPr>
            <w:r w:rsidRPr="005D6F89">
              <w:rPr>
                <w:rFonts w:ascii="Arial" w:hAnsi="Arial" w:cs="Arial"/>
                <w:sz w:val="24"/>
              </w:rPr>
              <w:t>Senior Research Analyst</w:t>
            </w:r>
          </w:p>
        </w:tc>
        <w:tc>
          <w:tcPr>
            <w:tcW w:w="4950" w:type="dxa"/>
          </w:tcPr>
          <w:p w:rsidR="000C534A" w:rsidRPr="005D6F89" w:rsidP="00642FB7" w14:paraId="0F995077"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07B09D5B"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1D916169"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6D52B935"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19980BB6"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7905F67E"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r w14:paraId="7DCAFCE4" w14:textId="77777777" w:rsidTr="00642FB7">
        <w:tblPrEx>
          <w:tblW w:w="10710" w:type="dxa"/>
          <w:tblInd w:w="-725" w:type="dxa"/>
          <w:tblLook w:val="04A0"/>
        </w:tblPrEx>
        <w:trPr>
          <w:trHeight w:val="526"/>
        </w:trPr>
        <w:tc>
          <w:tcPr>
            <w:tcW w:w="3596" w:type="dxa"/>
            <w:shd w:val="clear" w:color="auto" w:fill="F0EEE8"/>
          </w:tcPr>
          <w:p w:rsidR="000C534A" w:rsidRPr="005D6F89" w:rsidP="00642FB7" w14:paraId="25C15F6E" w14:textId="77777777">
            <w:pPr>
              <w:pStyle w:val="BodyText"/>
              <w:rPr>
                <w:rFonts w:ascii="Arial" w:hAnsi="Arial" w:cs="Arial"/>
                <w:sz w:val="24"/>
              </w:rPr>
            </w:pPr>
            <w:r w:rsidRPr="005D6F89">
              <w:rPr>
                <w:rFonts w:ascii="Arial" w:hAnsi="Arial" w:cs="Arial"/>
                <w:sz w:val="24"/>
              </w:rPr>
              <w:t>George Mason University; National Bureau of Economic Research; Institute for Labor Economics</w:t>
            </w:r>
          </w:p>
        </w:tc>
        <w:tc>
          <w:tcPr>
            <w:tcW w:w="2164" w:type="dxa"/>
            <w:shd w:val="clear" w:color="auto" w:fill="F0EEE8"/>
          </w:tcPr>
          <w:p w:rsidR="000C534A" w:rsidRPr="005D6F89" w:rsidP="00642FB7" w14:paraId="0676D0B6" w14:textId="77777777">
            <w:pPr>
              <w:pStyle w:val="BodyText"/>
              <w:rPr>
                <w:rFonts w:ascii="Arial" w:hAnsi="Arial" w:cs="Arial"/>
                <w:sz w:val="24"/>
              </w:rPr>
            </w:pPr>
            <w:r w:rsidRPr="005D6F89">
              <w:rPr>
                <w:rFonts w:ascii="Arial" w:hAnsi="Arial" w:cs="Arial"/>
                <w:sz w:val="24"/>
              </w:rPr>
              <w:t>Health and Labor Economist, Associate Professor</w:t>
            </w:r>
          </w:p>
        </w:tc>
        <w:tc>
          <w:tcPr>
            <w:tcW w:w="4950" w:type="dxa"/>
            <w:shd w:val="clear" w:color="auto" w:fill="F0EEE8"/>
          </w:tcPr>
          <w:p w:rsidR="000C534A" w:rsidRPr="005D6F89" w:rsidP="00642FB7" w14:paraId="1731901D"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637272A3"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38A4C9B5"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24DAED36" w14:textId="77777777">
            <w:pPr>
              <w:pStyle w:val="BodyText"/>
              <w:numPr>
                <w:ilvl w:val="0"/>
                <w:numId w:val="24"/>
              </w:numPr>
              <w:rPr>
                <w:rFonts w:ascii="Arial" w:hAnsi="Arial" w:cs="Arial"/>
                <w:sz w:val="24"/>
              </w:rPr>
            </w:pPr>
            <w:r w:rsidRPr="005D6F89">
              <w:rPr>
                <w:rFonts w:ascii="Arial" w:hAnsi="Arial" w:cs="Arial"/>
                <w:sz w:val="24"/>
              </w:rPr>
              <w:t>Key research questions</w:t>
            </w:r>
          </w:p>
        </w:tc>
      </w:tr>
      <w:tr w14:paraId="3B06E8D7" w14:textId="77777777" w:rsidTr="00642FB7">
        <w:tblPrEx>
          <w:tblW w:w="10710" w:type="dxa"/>
          <w:tblInd w:w="-725" w:type="dxa"/>
          <w:tblLook w:val="04A0"/>
        </w:tblPrEx>
        <w:trPr>
          <w:trHeight w:val="262"/>
        </w:trPr>
        <w:tc>
          <w:tcPr>
            <w:tcW w:w="3596" w:type="dxa"/>
            <w:shd w:val="clear" w:color="auto" w:fill="auto"/>
          </w:tcPr>
          <w:p w:rsidR="000C534A" w:rsidRPr="005D6F89" w:rsidP="00642FB7" w14:paraId="6F54B395" w14:textId="77777777">
            <w:pPr>
              <w:pStyle w:val="BodyText"/>
              <w:rPr>
                <w:rFonts w:ascii="Arial" w:hAnsi="Arial" w:cs="Arial"/>
                <w:sz w:val="24"/>
              </w:rPr>
            </w:pPr>
            <w:r w:rsidRPr="005D6F89">
              <w:rPr>
                <w:rFonts w:ascii="Arial" w:hAnsi="Arial" w:cs="Arial"/>
                <w:sz w:val="24"/>
              </w:rPr>
              <w:t>Massachusetts PMHCA, NNCPAP</w:t>
            </w:r>
          </w:p>
        </w:tc>
        <w:tc>
          <w:tcPr>
            <w:tcW w:w="2164" w:type="dxa"/>
          </w:tcPr>
          <w:p w:rsidR="000C534A" w:rsidRPr="005D6F89" w:rsidP="00642FB7" w14:paraId="1F7A459B" w14:textId="77777777">
            <w:pPr>
              <w:pStyle w:val="BodyText"/>
              <w:rPr>
                <w:rFonts w:ascii="Arial" w:hAnsi="Arial" w:cs="Arial"/>
                <w:sz w:val="24"/>
              </w:rPr>
            </w:pPr>
            <w:r w:rsidRPr="005D6F89">
              <w:rPr>
                <w:rFonts w:ascii="Arial" w:hAnsi="Arial" w:cs="Arial"/>
                <w:sz w:val="24"/>
              </w:rPr>
              <w:t>Founding Director</w:t>
            </w:r>
          </w:p>
        </w:tc>
        <w:tc>
          <w:tcPr>
            <w:tcW w:w="4950" w:type="dxa"/>
            <w:shd w:val="clear" w:color="auto" w:fill="auto"/>
          </w:tcPr>
          <w:p w:rsidR="000C534A" w:rsidRPr="005D6F89" w:rsidP="00642FB7" w14:paraId="30CD0322"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43FDEF31"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7FCDFB58"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1C30694A"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0843FB5A" w14:textId="77777777">
            <w:pPr>
              <w:pStyle w:val="BodyText"/>
              <w:numPr>
                <w:ilvl w:val="0"/>
                <w:numId w:val="24"/>
              </w:numPr>
              <w:rPr>
                <w:rFonts w:ascii="Arial" w:hAnsi="Arial" w:cs="Arial"/>
                <w:sz w:val="24"/>
              </w:rPr>
            </w:pPr>
            <w:r w:rsidRPr="005D6F89">
              <w:rPr>
                <w:rFonts w:ascii="Arial" w:hAnsi="Arial" w:cs="Arial"/>
                <w:sz w:val="24"/>
              </w:rPr>
              <w:t>Study design</w:t>
            </w:r>
          </w:p>
          <w:p w:rsidR="000C534A" w:rsidRPr="005D6F89" w:rsidP="000C534A" w14:paraId="330E5967"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4888969D"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r w14:paraId="1F6C6C8E" w14:textId="77777777" w:rsidTr="00642FB7">
        <w:tblPrEx>
          <w:tblW w:w="10710" w:type="dxa"/>
          <w:tblInd w:w="-725" w:type="dxa"/>
          <w:tblLook w:val="04A0"/>
        </w:tblPrEx>
        <w:trPr>
          <w:trHeight w:val="1055"/>
        </w:trPr>
        <w:tc>
          <w:tcPr>
            <w:tcW w:w="3596" w:type="dxa"/>
            <w:shd w:val="clear" w:color="auto" w:fill="F0EEE8"/>
          </w:tcPr>
          <w:p w:rsidR="000C534A" w:rsidRPr="005D6F89" w:rsidP="00642FB7" w14:paraId="131F57D9" w14:textId="77777777">
            <w:pPr>
              <w:pStyle w:val="BodyText"/>
              <w:rPr>
                <w:rFonts w:ascii="Arial" w:hAnsi="Arial" w:cs="Arial"/>
                <w:sz w:val="24"/>
              </w:rPr>
            </w:pPr>
            <w:r w:rsidRPr="005D6F89">
              <w:rPr>
                <w:rFonts w:ascii="Arial" w:hAnsi="Arial" w:cs="Arial"/>
                <w:sz w:val="24"/>
              </w:rPr>
              <w:t>Tribal Early Childhood; Tribal Home Visiting Program; Office of Early Childhood Development; Administration for Children and Families</w:t>
            </w:r>
          </w:p>
        </w:tc>
        <w:tc>
          <w:tcPr>
            <w:tcW w:w="2164" w:type="dxa"/>
            <w:shd w:val="clear" w:color="auto" w:fill="F0EEE8"/>
          </w:tcPr>
          <w:p w:rsidR="000C534A" w:rsidRPr="005D6F89" w:rsidP="00642FB7" w14:paraId="3479EE35" w14:textId="77777777">
            <w:pPr>
              <w:pStyle w:val="BodyText"/>
              <w:rPr>
                <w:rFonts w:ascii="Arial" w:hAnsi="Arial" w:cs="Arial"/>
                <w:sz w:val="24"/>
              </w:rPr>
            </w:pPr>
            <w:r w:rsidRPr="005D6F89">
              <w:rPr>
                <w:rFonts w:ascii="Arial" w:hAnsi="Arial" w:cs="Arial"/>
                <w:sz w:val="24"/>
              </w:rPr>
              <w:t>Senior Policy Advisor (SPA), Director</w:t>
            </w:r>
          </w:p>
        </w:tc>
        <w:tc>
          <w:tcPr>
            <w:tcW w:w="4950" w:type="dxa"/>
            <w:shd w:val="clear" w:color="auto" w:fill="F0EEE8"/>
          </w:tcPr>
          <w:p w:rsidR="000C534A" w:rsidRPr="005D6F89" w:rsidP="00642FB7" w14:paraId="44B440F1"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522C47A6"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07C58CF1"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40BCA0AA" w14:textId="77777777">
            <w:pPr>
              <w:pStyle w:val="BodyText"/>
              <w:numPr>
                <w:ilvl w:val="0"/>
                <w:numId w:val="24"/>
              </w:numPr>
              <w:rPr>
                <w:rFonts w:ascii="Arial" w:hAnsi="Arial" w:cs="Arial"/>
                <w:sz w:val="24"/>
              </w:rPr>
            </w:pPr>
            <w:r w:rsidRPr="005D6F89">
              <w:rPr>
                <w:rFonts w:ascii="Arial" w:hAnsi="Arial" w:cs="Arial"/>
                <w:sz w:val="24"/>
              </w:rPr>
              <w:t>Key research questions</w:t>
            </w:r>
          </w:p>
        </w:tc>
      </w:tr>
      <w:tr w14:paraId="5222914A" w14:textId="77777777" w:rsidTr="00642FB7">
        <w:tblPrEx>
          <w:tblW w:w="10710" w:type="dxa"/>
          <w:tblInd w:w="-725" w:type="dxa"/>
          <w:tblLook w:val="04A0"/>
        </w:tblPrEx>
        <w:trPr>
          <w:trHeight w:val="262"/>
        </w:trPr>
        <w:tc>
          <w:tcPr>
            <w:tcW w:w="3596" w:type="dxa"/>
            <w:shd w:val="clear" w:color="auto" w:fill="auto"/>
          </w:tcPr>
          <w:p w:rsidR="000C534A" w:rsidRPr="005D6F89" w:rsidP="00642FB7" w14:paraId="1D8D526A" w14:textId="77777777">
            <w:pPr>
              <w:pStyle w:val="BodyText"/>
              <w:rPr>
                <w:rFonts w:ascii="Arial" w:hAnsi="Arial" w:cs="Arial"/>
                <w:sz w:val="24"/>
              </w:rPr>
            </w:pPr>
            <w:r w:rsidRPr="005D6F89">
              <w:rPr>
                <w:rFonts w:ascii="Arial" w:hAnsi="Arial" w:cs="Arial"/>
                <w:sz w:val="24"/>
              </w:rPr>
              <w:t>HRSA MCHB Office of Epidemiology and Research (OER)</w:t>
            </w:r>
          </w:p>
        </w:tc>
        <w:tc>
          <w:tcPr>
            <w:tcW w:w="2164" w:type="dxa"/>
          </w:tcPr>
          <w:p w:rsidR="000C534A" w:rsidRPr="005D6F89" w:rsidP="00642FB7" w14:paraId="519F6348" w14:textId="77777777">
            <w:pPr>
              <w:pStyle w:val="BodyText"/>
              <w:rPr>
                <w:rFonts w:ascii="Arial" w:hAnsi="Arial" w:cs="Arial"/>
                <w:sz w:val="24"/>
              </w:rPr>
            </w:pPr>
            <w:r w:rsidRPr="005D6F89">
              <w:rPr>
                <w:rFonts w:ascii="Arial" w:hAnsi="Arial" w:cs="Arial"/>
                <w:sz w:val="24"/>
              </w:rPr>
              <w:t>Public Health Analyst (PHA)</w:t>
            </w:r>
          </w:p>
        </w:tc>
        <w:tc>
          <w:tcPr>
            <w:tcW w:w="4950" w:type="dxa"/>
            <w:shd w:val="clear" w:color="auto" w:fill="auto"/>
          </w:tcPr>
          <w:p w:rsidR="000C534A" w:rsidRPr="005D6F89" w:rsidP="00642FB7" w14:paraId="6AB09287"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12F228ED"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6F18C471"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243513AC"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23406143" w14:textId="77777777">
            <w:pPr>
              <w:pStyle w:val="BodyText"/>
              <w:numPr>
                <w:ilvl w:val="0"/>
                <w:numId w:val="24"/>
              </w:numPr>
              <w:rPr>
                <w:rFonts w:ascii="Arial" w:hAnsi="Arial" w:cs="Arial"/>
                <w:sz w:val="24"/>
              </w:rPr>
            </w:pPr>
            <w:r w:rsidRPr="005D6F89">
              <w:rPr>
                <w:rFonts w:ascii="Arial" w:hAnsi="Arial" w:cs="Arial"/>
                <w:sz w:val="24"/>
              </w:rPr>
              <w:t>Study design</w:t>
            </w:r>
          </w:p>
          <w:p w:rsidR="000C534A" w:rsidRPr="005D6F89" w:rsidP="000C534A" w14:paraId="77E00E85"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6999F395"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r w14:paraId="4201A2AF" w14:textId="77777777" w:rsidTr="00642FB7">
        <w:tblPrEx>
          <w:tblW w:w="10710" w:type="dxa"/>
          <w:tblInd w:w="-725" w:type="dxa"/>
          <w:tblLook w:val="04A0"/>
        </w:tblPrEx>
        <w:trPr>
          <w:trHeight w:val="262"/>
        </w:trPr>
        <w:tc>
          <w:tcPr>
            <w:tcW w:w="3596" w:type="dxa"/>
            <w:shd w:val="clear" w:color="auto" w:fill="F0EEE8"/>
          </w:tcPr>
          <w:p w:rsidR="000C534A" w:rsidRPr="005D6F89" w:rsidP="00642FB7" w14:paraId="132CAEE2" w14:textId="77777777">
            <w:pPr>
              <w:pStyle w:val="BodyText"/>
              <w:rPr>
                <w:rFonts w:ascii="Arial" w:hAnsi="Arial" w:cs="Arial"/>
                <w:sz w:val="24"/>
              </w:rPr>
            </w:pPr>
            <w:r w:rsidRPr="005D6F89">
              <w:rPr>
                <w:rFonts w:ascii="Arial" w:hAnsi="Arial" w:cs="Arial"/>
                <w:sz w:val="24"/>
              </w:rPr>
              <w:t>HRSA MCHB Division of State and Community Health</w:t>
            </w:r>
          </w:p>
        </w:tc>
        <w:tc>
          <w:tcPr>
            <w:tcW w:w="2164" w:type="dxa"/>
            <w:shd w:val="clear" w:color="auto" w:fill="F0EEE8"/>
          </w:tcPr>
          <w:p w:rsidR="000C534A" w:rsidRPr="005D6F89" w:rsidP="00642FB7" w14:paraId="343DD644" w14:textId="77777777">
            <w:pPr>
              <w:pStyle w:val="BodyText"/>
              <w:rPr>
                <w:rFonts w:ascii="Arial" w:hAnsi="Arial" w:cs="Arial"/>
                <w:sz w:val="24"/>
              </w:rPr>
            </w:pPr>
            <w:r w:rsidRPr="005D6F89">
              <w:rPr>
                <w:rFonts w:ascii="Arial" w:hAnsi="Arial" w:cs="Arial"/>
                <w:sz w:val="24"/>
              </w:rPr>
              <w:t>Deputy Director</w:t>
            </w:r>
          </w:p>
        </w:tc>
        <w:tc>
          <w:tcPr>
            <w:tcW w:w="4950" w:type="dxa"/>
            <w:shd w:val="clear" w:color="auto" w:fill="F0EEE8"/>
          </w:tcPr>
          <w:p w:rsidR="000C534A" w:rsidRPr="005D6F89" w:rsidP="00642FB7" w14:paraId="4351B117"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300396A6"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14B7293C"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51B5AED9" w14:textId="77777777">
            <w:pPr>
              <w:pStyle w:val="BodyText"/>
              <w:numPr>
                <w:ilvl w:val="0"/>
                <w:numId w:val="24"/>
              </w:numPr>
              <w:rPr>
                <w:rFonts w:ascii="Arial" w:hAnsi="Arial" w:cs="Arial"/>
                <w:sz w:val="24"/>
              </w:rPr>
            </w:pPr>
            <w:r w:rsidRPr="005D6F89">
              <w:rPr>
                <w:rFonts w:ascii="Arial" w:hAnsi="Arial" w:cs="Arial"/>
                <w:sz w:val="24"/>
              </w:rPr>
              <w:t>Key research questions</w:t>
            </w:r>
          </w:p>
        </w:tc>
      </w:tr>
      <w:tr w14:paraId="7765C422" w14:textId="77777777" w:rsidTr="00642FB7">
        <w:tblPrEx>
          <w:tblW w:w="10710" w:type="dxa"/>
          <w:tblInd w:w="-725" w:type="dxa"/>
          <w:tblLook w:val="04A0"/>
        </w:tblPrEx>
        <w:trPr>
          <w:trHeight w:val="544"/>
        </w:trPr>
        <w:tc>
          <w:tcPr>
            <w:tcW w:w="3596" w:type="dxa"/>
            <w:shd w:val="clear" w:color="auto" w:fill="auto"/>
          </w:tcPr>
          <w:p w:rsidR="000C534A" w:rsidRPr="005D6F89" w:rsidP="00642FB7" w14:paraId="53CAE3F9" w14:textId="77777777">
            <w:pPr>
              <w:pStyle w:val="BodyText"/>
              <w:rPr>
                <w:rFonts w:ascii="Arial" w:hAnsi="Arial" w:cs="Arial"/>
                <w:sz w:val="24"/>
              </w:rPr>
            </w:pPr>
            <w:r w:rsidRPr="005D6F89">
              <w:rPr>
                <w:rFonts w:ascii="Arial" w:hAnsi="Arial" w:cs="Arial"/>
                <w:sz w:val="24"/>
              </w:rPr>
              <w:t>Centers for Medicaid &amp; Medicare Services; CHIP Services Office of the Center Director</w:t>
            </w:r>
          </w:p>
        </w:tc>
        <w:tc>
          <w:tcPr>
            <w:tcW w:w="2164" w:type="dxa"/>
          </w:tcPr>
          <w:p w:rsidR="000C534A" w:rsidRPr="00A90A17" w:rsidP="00642FB7" w14:paraId="29989D7A" w14:textId="77777777">
            <w:pPr>
              <w:pStyle w:val="BodyText"/>
              <w:rPr>
                <w:rFonts w:ascii="Arial" w:hAnsi="Arial" w:cs="Arial"/>
                <w:sz w:val="24"/>
                <w:highlight w:val="yellow"/>
              </w:rPr>
            </w:pPr>
            <w:r w:rsidRPr="00A90A17">
              <w:rPr>
                <w:rFonts w:ascii="Arial" w:hAnsi="Arial" w:cs="Arial"/>
                <w:sz w:val="24"/>
              </w:rPr>
              <w:t>Senior Policy Advisor for Youth</w:t>
            </w:r>
          </w:p>
        </w:tc>
        <w:tc>
          <w:tcPr>
            <w:tcW w:w="4950" w:type="dxa"/>
            <w:shd w:val="clear" w:color="auto" w:fill="auto"/>
          </w:tcPr>
          <w:p w:rsidR="000C534A" w:rsidRPr="005D6F89" w:rsidP="00642FB7" w14:paraId="5EDE18E0"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096D3520"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3D9BC7BE"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1C4AA9EE" w14:textId="77777777">
            <w:pPr>
              <w:pStyle w:val="BodyText"/>
              <w:numPr>
                <w:ilvl w:val="0"/>
                <w:numId w:val="24"/>
              </w:numPr>
              <w:rPr>
                <w:rFonts w:ascii="Arial" w:hAnsi="Arial" w:cs="Arial"/>
                <w:sz w:val="24"/>
              </w:rPr>
            </w:pPr>
            <w:r w:rsidRPr="005D6F89">
              <w:rPr>
                <w:rFonts w:ascii="Arial" w:hAnsi="Arial" w:cs="Arial"/>
                <w:sz w:val="24"/>
              </w:rPr>
              <w:t>Key research questions</w:t>
            </w:r>
          </w:p>
        </w:tc>
      </w:tr>
      <w:tr w14:paraId="5FD96AF7" w14:textId="77777777" w:rsidTr="00642FB7">
        <w:tblPrEx>
          <w:tblW w:w="10710" w:type="dxa"/>
          <w:tblInd w:w="-725" w:type="dxa"/>
          <w:tblLook w:val="04A0"/>
        </w:tblPrEx>
        <w:trPr>
          <w:trHeight w:val="262"/>
        </w:trPr>
        <w:tc>
          <w:tcPr>
            <w:tcW w:w="3596" w:type="dxa"/>
            <w:shd w:val="clear" w:color="auto" w:fill="F0EEE8"/>
          </w:tcPr>
          <w:p w:rsidR="000C534A" w:rsidRPr="005D6F89" w:rsidP="00642FB7" w14:paraId="162240CB" w14:textId="77777777">
            <w:pPr>
              <w:pStyle w:val="BodyText"/>
              <w:rPr>
                <w:rFonts w:ascii="Arial" w:hAnsi="Arial" w:cs="Arial"/>
                <w:sz w:val="24"/>
              </w:rPr>
            </w:pPr>
            <w:r w:rsidRPr="005D6F89">
              <w:rPr>
                <w:rFonts w:ascii="Arial" w:hAnsi="Arial" w:cs="Arial"/>
                <w:sz w:val="24"/>
              </w:rPr>
              <w:t>HRSA MCHB O</w:t>
            </w:r>
            <w:r>
              <w:rPr>
                <w:rFonts w:ascii="Arial" w:hAnsi="Arial" w:cs="Arial"/>
                <w:sz w:val="24"/>
              </w:rPr>
              <w:t xml:space="preserve">ffice of Epidemiology and Research </w:t>
            </w:r>
          </w:p>
        </w:tc>
        <w:tc>
          <w:tcPr>
            <w:tcW w:w="2164" w:type="dxa"/>
            <w:shd w:val="clear" w:color="auto" w:fill="F0EEE8"/>
          </w:tcPr>
          <w:p w:rsidR="000C534A" w:rsidRPr="005D6F89" w:rsidP="00642FB7" w14:paraId="3B1C69B6" w14:textId="77777777">
            <w:pPr>
              <w:pStyle w:val="BodyText"/>
              <w:rPr>
                <w:rFonts w:ascii="Arial" w:hAnsi="Arial" w:cs="Arial"/>
                <w:sz w:val="24"/>
              </w:rPr>
            </w:pPr>
            <w:r w:rsidRPr="005D6F89">
              <w:rPr>
                <w:rFonts w:ascii="Arial" w:hAnsi="Arial" w:cs="Arial"/>
                <w:sz w:val="24"/>
              </w:rPr>
              <w:t>Director</w:t>
            </w:r>
          </w:p>
        </w:tc>
        <w:tc>
          <w:tcPr>
            <w:tcW w:w="4950" w:type="dxa"/>
            <w:shd w:val="clear" w:color="auto" w:fill="F0EEE8"/>
          </w:tcPr>
          <w:p w:rsidR="000C534A" w:rsidRPr="005D6F89" w:rsidP="00642FB7" w14:paraId="4C104D46"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28714E53"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1DD67C1A" w14:textId="77777777">
            <w:pPr>
              <w:pStyle w:val="BodyText"/>
              <w:numPr>
                <w:ilvl w:val="0"/>
                <w:numId w:val="24"/>
              </w:numPr>
              <w:rPr>
                <w:rFonts w:ascii="Arial" w:hAnsi="Arial" w:cs="Arial"/>
                <w:sz w:val="24"/>
              </w:rPr>
            </w:pPr>
            <w:r w:rsidRPr="005D6F89">
              <w:rPr>
                <w:rFonts w:ascii="Arial" w:hAnsi="Arial" w:cs="Arial"/>
                <w:sz w:val="24"/>
              </w:rPr>
              <w:t xml:space="preserve">Formative research (e.g., literature </w:t>
            </w:r>
            <w:r w:rsidRPr="005D6F89">
              <w:rPr>
                <w:rFonts w:ascii="Arial" w:hAnsi="Arial" w:cs="Arial"/>
                <w:sz w:val="24"/>
              </w:rPr>
              <w:t>review, existing data sources)</w:t>
            </w:r>
          </w:p>
          <w:p w:rsidR="000C534A" w:rsidRPr="005D6F89" w:rsidP="000C534A" w14:paraId="4863C2E4"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36388FAD" w14:textId="77777777">
            <w:pPr>
              <w:pStyle w:val="BodyText"/>
              <w:numPr>
                <w:ilvl w:val="0"/>
                <w:numId w:val="24"/>
              </w:numPr>
              <w:rPr>
                <w:rFonts w:ascii="Arial" w:hAnsi="Arial" w:cs="Arial"/>
                <w:sz w:val="24"/>
              </w:rPr>
            </w:pPr>
            <w:r w:rsidRPr="005D6F89">
              <w:rPr>
                <w:rFonts w:ascii="Arial" w:hAnsi="Arial" w:cs="Arial"/>
                <w:sz w:val="24"/>
              </w:rPr>
              <w:t>Study design</w:t>
            </w:r>
          </w:p>
          <w:p w:rsidR="000C534A" w:rsidRPr="005D6F89" w:rsidP="000C534A" w14:paraId="32ECBA70"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3EB92551"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r w14:paraId="2F8E963E" w14:textId="77777777" w:rsidTr="00642FB7">
        <w:tblPrEx>
          <w:tblW w:w="10710" w:type="dxa"/>
          <w:tblInd w:w="-725" w:type="dxa"/>
          <w:tblLook w:val="04A0"/>
        </w:tblPrEx>
        <w:trPr>
          <w:trHeight w:val="262"/>
        </w:trPr>
        <w:tc>
          <w:tcPr>
            <w:tcW w:w="3596" w:type="dxa"/>
            <w:shd w:val="clear" w:color="auto" w:fill="auto"/>
          </w:tcPr>
          <w:p w:rsidR="000C534A" w:rsidRPr="005D6F89" w:rsidP="00642FB7" w14:paraId="32E97E11" w14:textId="77777777">
            <w:pPr>
              <w:pStyle w:val="BodyText"/>
              <w:rPr>
                <w:rFonts w:ascii="Arial" w:hAnsi="Arial" w:cs="Arial"/>
                <w:sz w:val="24"/>
              </w:rPr>
            </w:pPr>
            <w:r w:rsidRPr="005D6F89">
              <w:rPr>
                <w:rFonts w:ascii="Arial" w:hAnsi="Arial" w:cs="Arial"/>
                <w:sz w:val="24"/>
              </w:rPr>
              <w:t xml:space="preserve">HRSA MCHB Office of the Associate Administrator </w:t>
            </w:r>
          </w:p>
        </w:tc>
        <w:tc>
          <w:tcPr>
            <w:tcW w:w="2164" w:type="dxa"/>
          </w:tcPr>
          <w:p w:rsidR="000C534A" w:rsidRPr="005D6F89" w:rsidP="00642FB7" w14:paraId="42962113" w14:textId="77777777">
            <w:pPr>
              <w:pStyle w:val="BodyText"/>
              <w:rPr>
                <w:rFonts w:ascii="Arial" w:hAnsi="Arial" w:cs="Arial"/>
                <w:sz w:val="24"/>
              </w:rPr>
            </w:pPr>
            <w:r w:rsidRPr="005D6F89">
              <w:rPr>
                <w:rFonts w:ascii="Arial" w:hAnsi="Arial" w:cs="Arial"/>
                <w:sz w:val="24"/>
              </w:rPr>
              <w:t>Senior PHA</w:t>
            </w:r>
          </w:p>
        </w:tc>
        <w:tc>
          <w:tcPr>
            <w:tcW w:w="4950" w:type="dxa"/>
            <w:shd w:val="clear" w:color="auto" w:fill="auto"/>
          </w:tcPr>
          <w:p w:rsidR="000C534A" w:rsidRPr="005D6F89" w:rsidP="00642FB7" w14:paraId="147FBA02"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030FABFB"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0B457A14"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03690619" w14:textId="77777777">
            <w:pPr>
              <w:pStyle w:val="BodyText"/>
              <w:numPr>
                <w:ilvl w:val="0"/>
                <w:numId w:val="24"/>
              </w:numPr>
              <w:rPr>
                <w:rFonts w:ascii="Arial" w:hAnsi="Arial" w:cs="Arial"/>
                <w:sz w:val="24"/>
              </w:rPr>
            </w:pPr>
            <w:r w:rsidRPr="005D6F89">
              <w:rPr>
                <w:rFonts w:ascii="Arial" w:hAnsi="Arial" w:cs="Arial"/>
                <w:sz w:val="24"/>
              </w:rPr>
              <w:t>Study design</w:t>
            </w:r>
          </w:p>
          <w:p w:rsidR="000C534A" w:rsidRPr="005D6F89" w:rsidP="000C534A" w14:paraId="6F1B935C"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0FF11A67"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r w14:paraId="272F37CF" w14:textId="77777777" w:rsidTr="00642FB7">
        <w:tblPrEx>
          <w:tblW w:w="10710" w:type="dxa"/>
          <w:tblInd w:w="-725" w:type="dxa"/>
          <w:tblLook w:val="04A0"/>
        </w:tblPrEx>
        <w:trPr>
          <w:trHeight w:val="790"/>
        </w:trPr>
        <w:tc>
          <w:tcPr>
            <w:tcW w:w="3596" w:type="dxa"/>
            <w:shd w:val="clear" w:color="auto" w:fill="F0EEE8"/>
          </w:tcPr>
          <w:p w:rsidR="000C534A" w:rsidRPr="005D6F89" w:rsidP="00642FB7" w14:paraId="0C26A48A" w14:textId="77777777">
            <w:pPr>
              <w:pStyle w:val="BodyText"/>
              <w:rPr>
                <w:rFonts w:ascii="Arial" w:hAnsi="Arial" w:cs="Arial"/>
                <w:sz w:val="24"/>
              </w:rPr>
            </w:pPr>
            <w:r w:rsidRPr="005D6F89">
              <w:rPr>
                <w:rFonts w:ascii="Arial" w:hAnsi="Arial" w:cs="Arial"/>
                <w:sz w:val="24"/>
              </w:rPr>
              <w:t>Substance Abuse and Mental Health Services Administration; National Center of Excellence for Integrated Health Solutions</w:t>
            </w:r>
          </w:p>
        </w:tc>
        <w:tc>
          <w:tcPr>
            <w:tcW w:w="2164" w:type="dxa"/>
            <w:shd w:val="clear" w:color="auto" w:fill="F0EEE8"/>
          </w:tcPr>
          <w:p w:rsidR="000C534A" w:rsidRPr="005D6F89" w:rsidP="00642FB7" w14:paraId="4182F7B5" w14:textId="77777777">
            <w:pPr>
              <w:pStyle w:val="BodyText"/>
              <w:rPr>
                <w:rFonts w:ascii="Arial" w:hAnsi="Arial" w:cs="Arial"/>
                <w:sz w:val="24"/>
              </w:rPr>
            </w:pPr>
            <w:r w:rsidRPr="005D6F89">
              <w:rPr>
                <w:rFonts w:ascii="Arial" w:hAnsi="Arial" w:cs="Arial"/>
                <w:sz w:val="24"/>
              </w:rPr>
              <w:t>Lieutenant Commander</w:t>
            </w:r>
          </w:p>
        </w:tc>
        <w:tc>
          <w:tcPr>
            <w:tcW w:w="4950" w:type="dxa"/>
            <w:shd w:val="clear" w:color="auto" w:fill="F0EEE8"/>
          </w:tcPr>
          <w:p w:rsidR="000C534A" w:rsidRPr="005D6F89" w:rsidP="00642FB7" w14:paraId="5865AFB9"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5013254C"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098AAD54"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28282564" w14:textId="77777777">
            <w:pPr>
              <w:pStyle w:val="BodyText"/>
              <w:numPr>
                <w:ilvl w:val="0"/>
                <w:numId w:val="24"/>
              </w:numPr>
              <w:rPr>
                <w:rFonts w:ascii="Arial" w:hAnsi="Arial" w:cs="Arial"/>
                <w:sz w:val="24"/>
              </w:rPr>
            </w:pPr>
            <w:r w:rsidRPr="005D6F89">
              <w:rPr>
                <w:rFonts w:ascii="Arial" w:hAnsi="Arial" w:cs="Arial"/>
                <w:sz w:val="24"/>
              </w:rPr>
              <w:t>Key research questions</w:t>
            </w:r>
          </w:p>
        </w:tc>
      </w:tr>
      <w:tr w14:paraId="69FF0636" w14:textId="77777777" w:rsidTr="00642FB7">
        <w:tblPrEx>
          <w:tblW w:w="10710" w:type="dxa"/>
          <w:tblInd w:w="-725" w:type="dxa"/>
          <w:tblLook w:val="04A0"/>
        </w:tblPrEx>
        <w:trPr>
          <w:trHeight w:val="790"/>
        </w:trPr>
        <w:tc>
          <w:tcPr>
            <w:tcW w:w="3596" w:type="dxa"/>
          </w:tcPr>
          <w:p w:rsidR="000C534A" w:rsidRPr="005D6F89" w:rsidP="00642FB7" w14:paraId="597CC8CE" w14:textId="77777777">
            <w:pPr>
              <w:pStyle w:val="BodyText"/>
              <w:rPr>
                <w:rFonts w:ascii="Arial" w:hAnsi="Arial" w:cs="Arial"/>
                <w:sz w:val="24"/>
              </w:rPr>
            </w:pPr>
            <w:r w:rsidRPr="005D6F89">
              <w:rPr>
                <w:rFonts w:ascii="Arial" w:hAnsi="Arial" w:cs="Arial"/>
                <w:sz w:val="24"/>
              </w:rPr>
              <w:t>RAND</w:t>
            </w:r>
          </w:p>
        </w:tc>
        <w:tc>
          <w:tcPr>
            <w:tcW w:w="2164" w:type="dxa"/>
          </w:tcPr>
          <w:p w:rsidR="000C534A" w:rsidRPr="00A90A17" w:rsidP="00642FB7" w14:paraId="2330610D" w14:textId="77777777">
            <w:pPr>
              <w:rPr>
                <w:rFonts w:ascii="Arial" w:hAnsi="Arial" w:cs="Arial"/>
                <w:sz w:val="24"/>
                <w:highlight w:val="yellow"/>
              </w:rPr>
            </w:pPr>
            <w:r w:rsidRPr="00A90A17">
              <w:rPr>
                <w:rFonts w:ascii="Arial" w:hAnsi="Arial" w:cs="Arial"/>
                <w:sz w:val="24"/>
              </w:rPr>
              <w:t>Economist</w:t>
            </w:r>
            <w:r>
              <w:rPr>
                <w:rFonts w:ascii="Arial" w:hAnsi="Arial" w:cs="Arial"/>
                <w:sz w:val="24"/>
              </w:rPr>
              <w:t xml:space="preserve">; </w:t>
            </w:r>
            <w:r w:rsidRPr="00A90A17">
              <w:rPr>
                <w:rFonts w:ascii="Arial" w:hAnsi="Arial" w:cs="Arial"/>
                <w:sz w:val="24"/>
              </w:rPr>
              <w:t>Professor of Policy Analysis</w:t>
            </w:r>
          </w:p>
        </w:tc>
        <w:tc>
          <w:tcPr>
            <w:tcW w:w="4950" w:type="dxa"/>
          </w:tcPr>
          <w:p w:rsidR="000C534A" w:rsidRPr="005D6F89" w:rsidP="00642FB7" w14:paraId="1207FDE0"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57A33F28"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2CBAD7FF" w14:textId="77777777">
            <w:pPr>
              <w:pStyle w:val="BodyText"/>
              <w:numPr>
                <w:ilvl w:val="0"/>
                <w:numId w:val="26"/>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16FD0BC9" w14:textId="77777777">
            <w:pPr>
              <w:pStyle w:val="BodyText"/>
              <w:numPr>
                <w:ilvl w:val="0"/>
                <w:numId w:val="26"/>
              </w:numPr>
              <w:rPr>
                <w:rFonts w:ascii="Arial" w:hAnsi="Arial" w:cs="Arial"/>
                <w:sz w:val="24"/>
              </w:rPr>
            </w:pPr>
            <w:r w:rsidRPr="005D6F89">
              <w:rPr>
                <w:rFonts w:ascii="Arial" w:hAnsi="Arial" w:cs="Arial"/>
                <w:sz w:val="24"/>
              </w:rPr>
              <w:t>Key research questions</w:t>
            </w:r>
          </w:p>
          <w:p w:rsidR="000C534A" w:rsidRPr="005D6F89" w:rsidP="000C534A" w14:paraId="04B9CFB3" w14:textId="77777777">
            <w:pPr>
              <w:pStyle w:val="BodyText"/>
              <w:numPr>
                <w:ilvl w:val="0"/>
                <w:numId w:val="26"/>
              </w:numPr>
              <w:rPr>
                <w:rFonts w:ascii="Arial" w:hAnsi="Arial" w:cs="Arial"/>
                <w:sz w:val="24"/>
              </w:rPr>
            </w:pPr>
            <w:r w:rsidRPr="005D6F89">
              <w:rPr>
                <w:rFonts w:ascii="Arial" w:hAnsi="Arial" w:cs="Arial"/>
                <w:sz w:val="24"/>
              </w:rPr>
              <w:t>Study design</w:t>
            </w:r>
          </w:p>
          <w:p w:rsidR="000C534A" w:rsidRPr="005D6F89" w:rsidP="000C534A" w14:paraId="6761C9E9" w14:textId="77777777">
            <w:pPr>
              <w:pStyle w:val="BodyText"/>
              <w:numPr>
                <w:ilvl w:val="0"/>
                <w:numId w:val="26"/>
              </w:numPr>
              <w:rPr>
                <w:rFonts w:ascii="Arial" w:hAnsi="Arial" w:cs="Arial"/>
                <w:sz w:val="24"/>
              </w:rPr>
            </w:pPr>
            <w:r w:rsidRPr="005D6F89">
              <w:rPr>
                <w:rFonts w:ascii="Arial" w:hAnsi="Arial" w:cs="Arial"/>
                <w:sz w:val="24"/>
              </w:rPr>
              <w:t>Data quality plan</w:t>
            </w:r>
          </w:p>
          <w:p w:rsidR="000C534A" w:rsidRPr="005D6F89" w:rsidP="000C534A" w14:paraId="2D8BDF37" w14:textId="77777777">
            <w:pPr>
              <w:pStyle w:val="BodyText"/>
              <w:numPr>
                <w:ilvl w:val="0"/>
                <w:numId w:val="26"/>
              </w:numPr>
              <w:rPr>
                <w:rFonts w:ascii="Arial" w:hAnsi="Arial" w:cs="Arial"/>
                <w:sz w:val="24"/>
              </w:rPr>
            </w:pPr>
            <w:r w:rsidRPr="005D6F89">
              <w:rPr>
                <w:rFonts w:ascii="Arial" w:hAnsi="Arial" w:cs="Arial"/>
                <w:sz w:val="24"/>
              </w:rPr>
              <w:t>Primary data collection instruments</w:t>
            </w:r>
          </w:p>
        </w:tc>
      </w:tr>
      <w:tr w14:paraId="01615E35" w14:textId="77777777" w:rsidTr="00642FB7">
        <w:tblPrEx>
          <w:tblW w:w="10710" w:type="dxa"/>
          <w:tblInd w:w="-725" w:type="dxa"/>
          <w:tblLook w:val="04A0"/>
        </w:tblPrEx>
        <w:trPr>
          <w:trHeight w:val="790"/>
        </w:trPr>
        <w:tc>
          <w:tcPr>
            <w:tcW w:w="3596" w:type="dxa"/>
            <w:shd w:val="clear" w:color="auto" w:fill="F0EEE8"/>
          </w:tcPr>
          <w:p w:rsidR="000C534A" w:rsidRPr="005D6F89" w:rsidP="00642FB7" w14:paraId="779E3F86" w14:textId="77777777">
            <w:pPr>
              <w:pStyle w:val="BodyText"/>
              <w:rPr>
                <w:rFonts w:ascii="Arial" w:hAnsi="Arial" w:cs="Arial"/>
                <w:sz w:val="24"/>
              </w:rPr>
            </w:pPr>
            <w:r w:rsidRPr="005D6F89">
              <w:rPr>
                <w:rFonts w:ascii="Arial" w:hAnsi="Arial" w:cs="Arial"/>
                <w:sz w:val="24"/>
              </w:rPr>
              <w:t>RAND</w:t>
            </w:r>
          </w:p>
        </w:tc>
        <w:tc>
          <w:tcPr>
            <w:tcW w:w="2164" w:type="dxa"/>
            <w:shd w:val="clear" w:color="auto" w:fill="F0EEE8"/>
          </w:tcPr>
          <w:p w:rsidR="000C534A" w:rsidRPr="00A90A17" w:rsidP="00642FB7" w14:paraId="0CF7E5D4" w14:textId="77777777">
            <w:pPr>
              <w:pStyle w:val="BodyText"/>
              <w:rPr>
                <w:rFonts w:ascii="Arial" w:hAnsi="Arial" w:cs="Arial"/>
                <w:sz w:val="24"/>
              </w:rPr>
            </w:pPr>
            <w:r w:rsidRPr="00A90A17">
              <w:rPr>
                <w:rFonts w:ascii="Arial" w:hAnsi="Arial" w:cs="Arial"/>
                <w:sz w:val="24"/>
              </w:rPr>
              <w:t>Senior Analyst</w:t>
            </w:r>
          </w:p>
        </w:tc>
        <w:tc>
          <w:tcPr>
            <w:tcW w:w="4950" w:type="dxa"/>
            <w:shd w:val="clear" w:color="auto" w:fill="F0EEE8"/>
          </w:tcPr>
          <w:p w:rsidR="000C534A" w:rsidRPr="005D6F89" w:rsidP="00642FB7" w14:paraId="1D38AA18"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21E2176A"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79A8F5ED"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61EF7CAE"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3B8F1B84" w14:textId="77777777">
            <w:pPr>
              <w:pStyle w:val="BodyText"/>
              <w:numPr>
                <w:ilvl w:val="0"/>
                <w:numId w:val="24"/>
              </w:numPr>
              <w:rPr>
                <w:rFonts w:ascii="Arial" w:hAnsi="Arial" w:cs="Arial"/>
                <w:sz w:val="24"/>
              </w:rPr>
            </w:pPr>
            <w:r w:rsidRPr="005D6F89">
              <w:rPr>
                <w:rFonts w:ascii="Arial" w:hAnsi="Arial" w:cs="Arial"/>
                <w:sz w:val="24"/>
              </w:rPr>
              <w:t>Study design</w:t>
            </w:r>
          </w:p>
          <w:p w:rsidR="000C534A" w:rsidRPr="005D6F89" w:rsidP="000C534A" w14:paraId="7C1F7DE7"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5F2DF6C9"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r w14:paraId="69E095AF" w14:textId="77777777" w:rsidTr="00642FB7">
        <w:tblPrEx>
          <w:tblW w:w="10710" w:type="dxa"/>
          <w:tblInd w:w="-725" w:type="dxa"/>
          <w:tblLook w:val="04A0"/>
        </w:tblPrEx>
        <w:trPr>
          <w:trHeight w:val="790"/>
        </w:trPr>
        <w:tc>
          <w:tcPr>
            <w:tcW w:w="3596" w:type="dxa"/>
          </w:tcPr>
          <w:p w:rsidR="000C534A" w:rsidRPr="005D6F89" w:rsidP="00642FB7" w14:paraId="0F67BAEC" w14:textId="77777777">
            <w:pPr>
              <w:pStyle w:val="BodyText"/>
              <w:rPr>
                <w:rFonts w:ascii="Arial" w:hAnsi="Arial" w:cs="Arial"/>
                <w:sz w:val="24"/>
              </w:rPr>
            </w:pPr>
            <w:r w:rsidRPr="005D6F89">
              <w:rPr>
                <w:rFonts w:ascii="Arial" w:hAnsi="Arial" w:cs="Arial"/>
                <w:sz w:val="24"/>
              </w:rPr>
              <w:t>RAND</w:t>
            </w:r>
          </w:p>
        </w:tc>
        <w:tc>
          <w:tcPr>
            <w:tcW w:w="2164" w:type="dxa"/>
          </w:tcPr>
          <w:p w:rsidR="000C534A" w:rsidRPr="00A90A17" w:rsidP="00642FB7" w14:paraId="197AB4E6" w14:textId="77777777">
            <w:pPr>
              <w:pStyle w:val="BodyText"/>
              <w:rPr>
                <w:rFonts w:ascii="Arial" w:hAnsi="Arial" w:cs="Arial"/>
                <w:sz w:val="24"/>
              </w:rPr>
            </w:pPr>
            <w:r w:rsidRPr="00A90A17">
              <w:rPr>
                <w:rFonts w:ascii="Arial" w:hAnsi="Arial" w:cs="Arial"/>
                <w:sz w:val="24"/>
              </w:rPr>
              <w:t>Director</w:t>
            </w:r>
          </w:p>
        </w:tc>
        <w:tc>
          <w:tcPr>
            <w:tcW w:w="4950" w:type="dxa"/>
          </w:tcPr>
          <w:p w:rsidR="000C534A" w:rsidRPr="005D6F89" w:rsidP="00642FB7" w14:paraId="137A8D46" w14:textId="77777777">
            <w:pPr>
              <w:pStyle w:val="BodyText"/>
              <w:rPr>
                <w:rFonts w:ascii="Arial" w:hAnsi="Arial" w:cs="Arial"/>
                <w:sz w:val="24"/>
              </w:rPr>
            </w:pPr>
            <w:r w:rsidRPr="005D6F89">
              <w:rPr>
                <w:rFonts w:ascii="Arial" w:hAnsi="Arial" w:cs="Arial"/>
                <w:sz w:val="24"/>
              </w:rPr>
              <w:t>Consultation Year: 2023</w:t>
            </w:r>
          </w:p>
          <w:p w:rsidR="000C534A" w:rsidRPr="005D6F89" w:rsidP="00642FB7" w14:paraId="5F8A6A9E" w14:textId="77777777">
            <w:pPr>
              <w:pStyle w:val="BodyText"/>
              <w:rPr>
                <w:rFonts w:ascii="Arial" w:hAnsi="Arial" w:cs="Arial"/>
                <w:sz w:val="24"/>
              </w:rPr>
            </w:pPr>
            <w:r w:rsidRPr="005D6F89">
              <w:rPr>
                <w:rFonts w:ascii="Arial" w:hAnsi="Arial" w:cs="Arial"/>
                <w:sz w:val="24"/>
              </w:rPr>
              <w:t xml:space="preserve">Reviewed/Consulted on: </w:t>
            </w:r>
          </w:p>
          <w:p w:rsidR="000C534A" w:rsidRPr="005D6F89" w:rsidP="000C534A" w14:paraId="5C2909B9" w14:textId="77777777">
            <w:pPr>
              <w:pStyle w:val="BodyText"/>
              <w:numPr>
                <w:ilvl w:val="0"/>
                <w:numId w:val="24"/>
              </w:numPr>
              <w:rPr>
                <w:rFonts w:ascii="Arial" w:hAnsi="Arial" w:cs="Arial"/>
                <w:sz w:val="24"/>
              </w:rPr>
            </w:pPr>
            <w:r w:rsidRPr="005D6F89">
              <w:rPr>
                <w:rFonts w:ascii="Arial" w:hAnsi="Arial" w:cs="Arial"/>
                <w:sz w:val="24"/>
              </w:rPr>
              <w:t>Formative research (e.g., literature review, existing data sources)</w:t>
            </w:r>
          </w:p>
          <w:p w:rsidR="000C534A" w:rsidRPr="005D6F89" w:rsidP="000C534A" w14:paraId="2D66E9F5" w14:textId="77777777">
            <w:pPr>
              <w:pStyle w:val="BodyText"/>
              <w:numPr>
                <w:ilvl w:val="0"/>
                <w:numId w:val="24"/>
              </w:numPr>
              <w:rPr>
                <w:rFonts w:ascii="Arial" w:hAnsi="Arial" w:cs="Arial"/>
                <w:sz w:val="24"/>
              </w:rPr>
            </w:pPr>
            <w:r w:rsidRPr="005D6F89">
              <w:rPr>
                <w:rFonts w:ascii="Arial" w:hAnsi="Arial" w:cs="Arial"/>
                <w:sz w:val="24"/>
              </w:rPr>
              <w:t>Key research questions</w:t>
            </w:r>
          </w:p>
          <w:p w:rsidR="000C534A" w:rsidRPr="005D6F89" w:rsidP="000C534A" w14:paraId="602A171F" w14:textId="77777777">
            <w:pPr>
              <w:pStyle w:val="BodyText"/>
              <w:numPr>
                <w:ilvl w:val="0"/>
                <w:numId w:val="24"/>
              </w:numPr>
              <w:rPr>
                <w:rFonts w:ascii="Arial" w:hAnsi="Arial" w:cs="Arial"/>
                <w:sz w:val="24"/>
              </w:rPr>
            </w:pPr>
            <w:r w:rsidRPr="005D6F89">
              <w:rPr>
                <w:rFonts w:ascii="Arial" w:hAnsi="Arial" w:cs="Arial"/>
                <w:sz w:val="24"/>
              </w:rPr>
              <w:t>Study design</w:t>
            </w:r>
          </w:p>
          <w:p w:rsidR="000C534A" w:rsidRPr="005D6F89" w:rsidP="000C534A" w14:paraId="49C5E62A" w14:textId="77777777">
            <w:pPr>
              <w:pStyle w:val="BodyText"/>
              <w:numPr>
                <w:ilvl w:val="0"/>
                <w:numId w:val="24"/>
              </w:numPr>
              <w:rPr>
                <w:rFonts w:ascii="Arial" w:hAnsi="Arial" w:cs="Arial"/>
                <w:sz w:val="24"/>
              </w:rPr>
            </w:pPr>
            <w:r w:rsidRPr="005D6F89">
              <w:rPr>
                <w:rFonts w:ascii="Arial" w:hAnsi="Arial" w:cs="Arial"/>
                <w:sz w:val="24"/>
              </w:rPr>
              <w:t>Data quality plan</w:t>
            </w:r>
          </w:p>
          <w:p w:rsidR="000C534A" w:rsidRPr="005D6F89" w:rsidP="000C534A" w14:paraId="481BB44C" w14:textId="77777777">
            <w:pPr>
              <w:pStyle w:val="BodyText"/>
              <w:numPr>
                <w:ilvl w:val="0"/>
                <w:numId w:val="24"/>
              </w:numPr>
              <w:rPr>
                <w:rFonts w:ascii="Arial" w:hAnsi="Arial" w:cs="Arial"/>
                <w:sz w:val="24"/>
              </w:rPr>
            </w:pPr>
            <w:r w:rsidRPr="005D6F89">
              <w:rPr>
                <w:rFonts w:ascii="Arial" w:hAnsi="Arial" w:cs="Arial"/>
                <w:sz w:val="24"/>
              </w:rPr>
              <w:t>Primary data collection instruments</w:t>
            </w:r>
          </w:p>
        </w:tc>
      </w:tr>
    </w:tbl>
    <w:p w:rsidR="000C534A" w:rsidP="006E6363" w14:paraId="6C64310F" w14:textId="77777777">
      <w:pPr>
        <w:widowControl/>
        <w:autoSpaceDE/>
        <w:autoSpaceDN/>
        <w:adjustRightInd/>
        <w:spacing w:before="120"/>
        <w:rPr>
          <w:rFonts w:ascii="Arial" w:hAnsi="Arial" w:cs="Arial"/>
          <w:b/>
          <w:color w:val="000000"/>
          <w:sz w:val="22"/>
          <w:szCs w:val="22"/>
        </w:rPr>
      </w:pPr>
    </w:p>
    <w:p w:rsidR="009B3794" w:rsidRPr="005D6F89" w:rsidP="00B81E5E" w14:paraId="22E2A32A"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Explanation of any Payment/Gift to Respondents</w:t>
      </w:r>
    </w:p>
    <w:p w:rsidR="00766005" w:rsidRPr="005D6F89" w:rsidP="00766005" w14:paraId="561CA295" w14:textId="77777777">
      <w:pPr>
        <w:spacing w:before="120"/>
        <w:rPr>
          <w:rFonts w:ascii="Arial" w:hAnsi="Arial" w:cs="Arial"/>
          <w:bCs/>
          <w:sz w:val="24"/>
        </w:rPr>
      </w:pPr>
      <w:r w:rsidRPr="005D6F89">
        <w:rPr>
          <w:rFonts w:ascii="Arial" w:hAnsi="Arial" w:cs="Arial"/>
          <w:bCs/>
          <w:sz w:val="24"/>
        </w:rPr>
        <w:t xml:space="preserve">HP Impact Survey respondents will not receive any payments or gifts. </w:t>
      </w:r>
    </w:p>
    <w:p w:rsidR="004F2EA2" w:rsidRPr="005D6F89" w:rsidP="00766005" w14:paraId="1D00ADEF" w14:textId="7CC29ED2">
      <w:pPr>
        <w:spacing w:before="120"/>
        <w:rPr>
          <w:rFonts w:ascii="Arial" w:hAnsi="Arial" w:cs="Arial"/>
          <w:bCs/>
          <w:sz w:val="24"/>
        </w:rPr>
      </w:pPr>
      <w:r w:rsidRPr="005D6F89">
        <w:rPr>
          <w:rFonts w:ascii="Arial" w:hAnsi="Arial" w:cs="Arial"/>
          <w:bCs/>
          <w:sz w:val="24"/>
        </w:rPr>
        <w:t xml:space="preserve">To encourage participation </w:t>
      </w:r>
      <w:r w:rsidRPr="005D6F89" w:rsidR="00591ECB">
        <w:rPr>
          <w:rFonts w:ascii="Arial" w:hAnsi="Arial" w:cs="Arial"/>
          <w:bCs/>
          <w:sz w:val="24"/>
        </w:rPr>
        <w:t xml:space="preserve">in </w:t>
      </w:r>
      <w:r w:rsidRPr="005D6F89">
        <w:rPr>
          <w:rFonts w:ascii="Arial" w:hAnsi="Arial" w:cs="Arial"/>
          <w:bCs/>
          <w:sz w:val="24"/>
        </w:rPr>
        <w:t xml:space="preserve">the </w:t>
      </w:r>
      <w:r w:rsidRPr="005D6F89" w:rsidR="004974D3">
        <w:rPr>
          <w:rFonts w:ascii="Arial" w:hAnsi="Arial" w:cs="Arial"/>
          <w:bCs/>
          <w:sz w:val="24"/>
        </w:rPr>
        <w:t>Family</w:t>
      </w:r>
      <w:r w:rsidRPr="005D6F89" w:rsidR="004974D3">
        <w:rPr>
          <w:rFonts w:ascii="Arial" w:hAnsi="Arial" w:cs="Arial"/>
          <w:bCs/>
          <w:sz w:val="24"/>
        </w:rPr>
        <w:t xml:space="preserve">/Caregiver </w:t>
      </w:r>
      <w:r w:rsidRPr="005D6F89">
        <w:rPr>
          <w:rFonts w:ascii="Arial" w:hAnsi="Arial" w:cs="Arial"/>
          <w:bCs/>
          <w:sz w:val="24"/>
        </w:rPr>
        <w:t>FGDs</w:t>
      </w:r>
      <w:r w:rsidRPr="005D6F89" w:rsidR="004974D3">
        <w:rPr>
          <w:rFonts w:ascii="Arial" w:hAnsi="Arial" w:cs="Arial"/>
          <w:bCs/>
          <w:sz w:val="24"/>
        </w:rPr>
        <w:t>,</w:t>
      </w:r>
      <w:r w:rsidRPr="005D6F89">
        <w:rPr>
          <w:rFonts w:ascii="Arial" w:hAnsi="Arial" w:cs="Arial"/>
          <w:bCs/>
          <w:sz w:val="24"/>
        </w:rPr>
        <w:t xml:space="preserve"> a payment of $25 will be provided to each family member/caregiver who participates</w:t>
      </w:r>
      <w:r w:rsidR="004F6FC7">
        <w:rPr>
          <w:rFonts w:ascii="Arial" w:hAnsi="Arial" w:cs="Arial"/>
          <w:bCs/>
          <w:sz w:val="24"/>
        </w:rPr>
        <w:t xml:space="preserve"> in a </w:t>
      </w:r>
      <w:r w:rsidR="008D5A5B">
        <w:rPr>
          <w:rFonts w:ascii="Arial" w:hAnsi="Arial" w:cs="Arial"/>
          <w:bCs/>
          <w:sz w:val="24"/>
        </w:rPr>
        <w:t>focus group</w:t>
      </w:r>
      <w:r w:rsidRPr="005D6F89">
        <w:rPr>
          <w:rFonts w:ascii="Arial" w:hAnsi="Arial" w:cs="Arial"/>
          <w:bCs/>
          <w:sz w:val="24"/>
        </w:rPr>
        <w:t>.</w:t>
      </w:r>
      <w:r w:rsidRPr="005D6F89" w:rsidR="00161969">
        <w:rPr>
          <w:rFonts w:ascii="Arial" w:hAnsi="Arial" w:cs="Arial"/>
          <w:bCs/>
          <w:sz w:val="24"/>
        </w:rPr>
        <w:t xml:space="preserve"> The payment amount is realistic in that it is $4.76 less than the mean hourly wage ($29.76) for all occupations included in the B</w:t>
      </w:r>
      <w:r w:rsidRPr="005D6F89" w:rsidR="00BB02FB">
        <w:rPr>
          <w:rFonts w:ascii="Arial" w:hAnsi="Arial" w:cs="Arial"/>
          <w:bCs/>
          <w:sz w:val="24"/>
        </w:rPr>
        <w:t xml:space="preserve">ureau of Labor </w:t>
      </w:r>
      <w:r w:rsidRPr="005D6F89" w:rsidR="00521CB1">
        <w:rPr>
          <w:rFonts w:ascii="Arial" w:hAnsi="Arial" w:cs="Arial"/>
          <w:bCs/>
          <w:sz w:val="24"/>
        </w:rPr>
        <w:t>Statistics</w:t>
      </w:r>
      <w:r w:rsidRPr="005D6F89" w:rsidR="00290DED">
        <w:rPr>
          <w:rFonts w:ascii="Arial" w:hAnsi="Arial" w:cs="Arial"/>
          <w:bCs/>
          <w:sz w:val="24"/>
        </w:rPr>
        <w:t xml:space="preserve"> (B</w:t>
      </w:r>
      <w:r w:rsidRPr="005D6F89" w:rsidR="00161969">
        <w:rPr>
          <w:rFonts w:ascii="Arial" w:hAnsi="Arial" w:cs="Arial"/>
          <w:bCs/>
          <w:sz w:val="24"/>
        </w:rPr>
        <w:t>LS</w:t>
      </w:r>
      <w:r w:rsidRPr="005D6F89" w:rsidR="00290DED">
        <w:rPr>
          <w:rFonts w:ascii="Arial" w:hAnsi="Arial" w:cs="Arial"/>
          <w:bCs/>
          <w:sz w:val="24"/>
        </w:rPr>
        <w:t>)</w:t>
      </w:r>
      <w:r w:rsidRPr="005D6F89" w:rsidR="00161969">
        <w:rPr>
          <w:rFonts w:ascii="Arial" w:hAnsi="Arial" w:cs="Arial"/>
          <w:bCs/>
          <w:sz w:val="24"/>
        </w:rPr>
        <w:t>.</w:t>
      </w:r>
      <w:r w:rsidRPr="005D6F89">
        <w:rPr>
          <w:rFonts w:ascii="Arial" w:hAnsi="Arial" w:cs="Arial"/>
          <w:bCs/>
          <w:sz w:val="24"/>
        </w:rPr>
        <w:t xml:space="preserve"> This incentive is justified by the following factors:</w:t>
      </w:r>
    </w:p>
    <w:p w:rsidR="00C5163A" w:rsidRPr="005D6F89" w:rsidP="00B81E5E" w14:paraId="790D35AF" w14:textId="24365257">
      <w:pPr>
        <w:pStyle w:val="ListParagraph"/>
        <w:numPr>
          <w:ilvl w:val="0"/>
          <w:numId w:val="23"/>
        </w:numPr>
        <w:spacing w:before="120"/>
        <w:rPr>
          <w:rFonts w:ascii="Arial" w:hAnsi="Arial" w:cs="Arial"/>
          <w:bCs/>
          <w:sz w:val="24"/>
        </w:rPr>
      </w:pPr>
      <w:r w:rsidRPr="005D6F89">
        <w:rPr>
          <w:rFonts w:ascii="Arial" w:hAnsi="Arial" w:cs="Arial"/>
          <w:b/>
          <w:sz w:val="24"/>
        </w:rPr>
        <w:t xml:space="preserve">Time and Expertise: </w:t>
      </w:r>
      <w:r w:rsidRPr="005D6F89">
        <w:rPr>
          <w:rFonts w:ascii="Arial" w:hAnsi="Arial" w:cs="Arial"/>
          <w:bCs/>
          <w:sz w:val="24"/>
        </w:rPr>
        <w:t>Respondents are dedicating their time and sharing their experiences/expertise to contribute to the understanding of the impact of the PMHCA program. Payment is a way to communicate the importance of their insights to the Impact Study</w:t>
      </w:r>
      <w:r w:rsidRPr="005D6F89" w:rsidR="00521CB1">
        <w:rPr>
          <w:rFonts w:ascii="Arial" w:hAnsi="Arial" w:cs="Arial"/>
          <w:bCs/>
          <w:sz w:val="24"/>
        </w:rPr>
        <w:t>,</w:t>
      </w:r>
      <w:r w:rsidRPr="005D6F89">
        <w:rPr>
          <w:rFonts w:ascii="Arial" w:hAnsi="Arial" w:cs="Arial"/>
          <w:bCs/>
          <w:sz w:val="24"/>
        </w:rPr>
        <w:t xml:space="preserve"> as well as demonstrates respect for their commitment and effort required to participate. </w:t>
      </w:r>
    </w:p>
    <w:p w:rsidR="00C5163A" w:rsidRPr="005D6F89" w:rsidP="00B81E5E" w14:paraId="6FC5B0B8" w14:textId="4AF3A79C">
      <w:pPr>
        <w:pStyle w:val="ListParagraph"/>
        <w:numPr>
          <w:ilvl w:val="0"/>
          <w:numId w:val="23"/>
        </w:numPr>
        <w:spacing w:before="120"/>
        <w:rPr>
          <w:rFonts w:ascii="Arial" w:hAnsi="Arial" w:cs="Arial"/>
          <w:bCs/>
          <w:sz w:val="24"/>
        </w:rPr>
      </w:pPr>
      <w:r w:rsidRPr="005D6F89">
        <w:rPr>
          <w:rFonts w:ascii="Arial" w:hAnsi="Arial" w:cs="Arial"/>
          <w:b/>
          <w:sz w:val="24"/>
        </w:rPr>
        <w:t xml:space="preserve">Enhancing Response Rates: </w:t>
      </w:r>
      <w:r w:rsidRPr="005D6F89">
        <w:rPr>
          <w:rFonts w:ascii="Arial" w:hAnsi="Arial" w:cs="Arial"/>
          <w:bCs/>
          <w:sz w:val="24"/>
        </w:rPr>
        <w:t xml:space="preserve">Offering payment increases the likelihood of participation in the FGDs, ultimately contributing to the overall quality of the data collection. </w:t>
      </w:r>
    </w:p>
    <w:p w:rsidR="00C5163A" w:rsidRPr="005D6F89" w:rsidP="00C5163A" w14:paraId="0071F699" w14:textId="399AD29B">
      <w:pPr>
        <w:spacing w:before="120"/>
        <w:rPr>
          <w:rFonts w:ascii="Arial" w:hAnsi="Arial" w:cs="Arial"/>
          <w:bCs/>
          <w:sz w:val="24"/>
        </w:rPr>
      </w:pPr>
      <w:r w:rsidRPr="005D6F89">
        <w:rPr>
          <w:rFonts w:ascii="Arial" w:hAnsi="Arial" w:cs="Arial"/>
          <w:bCs/>
          <w:sz w:val="24"/>
        </w:rPr>
        <w:t xml:space="preserve">The research literature supports offering </w:t>
      </w:r>
      <w:r w:rsidRPr="005D6F89" w:rsidR="000C6162">
        <w:rPr>
          <w:rFonts w:ascii="Arial" w:hAnsi="Arial" w:cs="Arial"/>
          <w:bCs/>
          <w:sz w:val="24"/>
        </w:rPr>
        <w:t>monetary incentives</w:t>
      </w:r>
      <w:r w:rsidRPr="005D6F89">
        <w:rPr>
          <w:rFonts w:ascii="Arial" w:hAnsi="Arial" w:cs="Arial"/>
          <w:bCs/>
          <w:sz w:val="24"/>
        </w:rPr>
        <w:t xml:space="preserve"> to FGD participants</w:t>
      </w:r>
      <w:r w:rsidRPr="005D6F89" w:rsidR="00CD03E3">
        <w:rPr>
          <w:rFonts w:ascii="Arial" w:hAnsi="Arial" w:cs="Arial"/>
          <w:bCs/>
          <w:sz w:val="24"/>
        </w:rPr>
        <w:t xml:space="preserve"> (i.e.,</w:t>
      </w:r>
      <w:r w:rsidRPr="005D6F89" w:rsidR="000C6162">
        <w:rPr>
          <w:rFonts w:ascii="Arial" w:hAnsi="Arial" w:cs="Arial"/>
          <w:bCs/>
          <w:sz w:val="24"/>
        </w:rPr>
        <w:t xml:space="preserve"> researchers found that participants were more likely to participate in qualitative research if provided a monetary incentive</w:t>
      </w:r>
      <w:r w:rsidRPr="005D6F89" w:rsidR="00D30391">
        <w:rPr>
          <w:rFonts w:ascii="Arial" w:hAnsi="Arial" w:cs="Arial"/>
          <w:bCs/>
          <w:sz w:val="24"/>
        </w:rPr>
        <w:t>,</w:t>
      </w:r>
      <w:r w:rsidRPr="005D6F89" w:rsidR="000C6162">
        <w:rPr>
          <w:rFonts w:ascii="Arial" w:hAnsi="Arial" w:cs="Arial"/>
          <w:bCs/>
          <w:sz w:val="24"/>
        </w:rPr>
        <w:t xml:space="preserve"> </w:t>
      </w:r>
      <w:r w:rsidRPr="005D6F89" w:rsidR="003C5193">
        <w:rPr>
          <w:rFonts w:ascii="Arial" w:hAnsi="Arial" w:cs="Arial"/>
          <w:bCs/>
          <w:sz w:val="24"/>
        </w:rPr>
        <w:t>as compared</w:t>
      </w:r>
      <w:r w:rsidRPr="005D6F89" w:rsidR="000C6162">
        <w:rPr>
          <w:rFonts w:ascii="Arial" w:hAnsi="Arial" w:cs="Arial"/>
          <w:bCs/>
          <w:sz w:val="24"/>
        </w:rPr>
        <w:t xml:space="preserve"> to a nonmonetary incentive or no incentive</w:t>
      </w:r>
      <w:r w:rsidRPr="005D6F89" w:rsidR="00CD03E3">
        <w:rPr>
          <w:rFonts w:ascii="Arial" w:hAnsi="Arial" w:cs="Arial"/>
          <w:bCs/>
          <w:sz w:val="24"/>
        </w:rPr>
        <w:t>)</w:t>
      </w:r>
      <w:r w:rsidRPr="005D6F89" w:rsidR="000C6162">
        <w:rPr>
          <w:rFonts w:ascii="Arial" w:hAnsi="Arial" w:cs="Arial"/>
          <w:bCs/>
          <w:sz w:val="24"/>
        </w:rPr>
        <w:t>.</w:t>
      </w:r>
      <w:r>
        <w:rPr>
          <w:rStyle w:val="FootnoteReference"/>
          <w:rFonts w:ascii="Arial" w:hAnsi="Arial" w:cs="Arial"/>
          <w:bCs/>
          <w:sz w:val="24"/>
          <w:vertAlign w:val="superscript"/>
        </w:rPr>
        <w:footnoteReference w:id="2"/>
      </w:r>
      <w:r w:rsidRPr="005D6F89" w:rsidR="000C6162">
        <w:rPr>
          <w:rFonts w:ascii="Arial" w:hAnsi="Arial" w:cs="Arial"/>
          <w:bCs/>
          <w:sz w:val="24"/>
        </w:rPr>
        <w:t xml:space="preserve"> Similarly, </w:t>
      </w:r>
      <w:r w:rsidRPr="005D6F89" w:rsidR="00E1458C">
        <w:rPr>
          <w:rFonts w:ascii="Arial" w:hAnsi="Arial" w:cs="Arial"/>
          <w:bCs/>
          <w:sz w:val="24"/>
        </w:rPr>
        <w:t>other researchers</w:t>
      </w:r>
      <w:r w:rsidRPr="005D6F89" w:rsidR="000C6162">
        <w:rPr>
          <w:rFonts w:ascii="Arial" w:hAnsi="Arial" w:cs="Arial"/>
          <w:bCs/>
          <w:sz w:val="24"/>
        </w:rPr>
        <w:t xml:space="preserve"> discussed that focus group participants should </w:t>
      </w:r>
      <w:r w:rsidRPr="005D6F89" w:rsidR="000C6162">
        <w:rPr>
          <w:rFonts w:ascii="Arial" w:hAnsi="Arial" w:cs="Arial"/>
          <w:bCs/>
          <w:sz w:val="24"/>
        </w:rPr>
        <w:t>receive incentives as it takes time and effort to participate</w:t>
      </w:r>
      <w:r w:rsidRPr="005D6F89" w:rsidR="00E1458C">
        <w:rPr>
          <w:rFonts w:ascii="Arial" w:hAnsi="Arial" w:cs="Arial"/>
          <w:bCs/>
          <w:sz w:val="24"/>
        </w:rPr>
        <w:t>.</w:t>
      </w:r>
      <w:r>
        <w:rPr>
          <w:rStyle w:val="FootnoteReference"/>
          <w:rFonts w:ascii="Arial" w:hAnsi="Arial" w:cs="Arial"/>
          <w:bCs/>
          <w:sz w:val="24"/>
          <w:vertAlign w:val="superscript"/>
        </w:rPr>
        <w:footnoteReference w:id="3"/>
      </w:r>
    </w:p>
    <w:p w:rsidR="009B3794" w:rsidRPr="005D6F89" w:rsidP="00B81E5E" w14:paraId="22E2A32E"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Assurance of Confidentiality Provided to Respondents</w:t>
      </w:r>
    </w:p>
    <w:p w:rsidR="004F2EA2" w:rsidRPr="005D6F89" w:rsidP="004F2EA2" w14:paraId="4D407705" w14:textId="66FB9FC5">
      <w:pPr>
        <w:widowControl/>
        <w:spacing w:before="120"/>
        <w:rPr>
          <w:rFonts w:ascii="Arial" w:hAnsi="Arial" w:cs="Arial"/>
          <w:sz w:val="24"/>
        </w:rPr>
      </w:pPr>
      <w:r w:rsidRPr="005D6F89">
        <w:rPr>
          <w:rFonts w:ascii="Arial" w:hAnsi="Arial" w:cs="Arial"/>
          <w:sz w:val="24"/>
        </w:rPr>
        <w:t xml:space="preserve">The current </w:t>
      </w:r>
      <w:r w:rsidRPr="005D6F89">
        <w:rPr>
          <w:rFonts w:ascii="Arial" w:hAnsi="Arial" w:cs="Arial"/>
          <w:sz w:val="24"/>
        </w:rPr>
        <w:t xml:space="preserve">project will fully comply with the </w:t>
      </w:r>
      <w:hyperlink r:id="rId10" w:history="1">
        <w:r w:rsidRPr="005D6F89">
          <w:rPr>
            <w:rStyle w:val="Hyperlink"/>
            <w:rFonts w:ascii="Arial" w:hAnsi="Arial" w:cs="Arial"/>
            <w:sz w:val="24"/>
          </w:rPr>
          <w:t>Privacy Act of 1974</w:t>
        </w:r>
      </w:hyperlink>
      <w:r w:rsidRPr="005D6F89">
        <w:rPr>
          <w:rFonts w:ascii="Arial" w:hAnsi="Arial" w:cs="Arial"/>
          <w:sz w:val="24"/>
        </w:rPr>
        <w:t xml:space="preserve"> (5 U.S.C. Section 552a, 1998</w:t>
      </w:r>
      <w:r w:rsidRPr="005D6F89" w:rsidR="009A6A3C">
        <w:rPr>
          <w:rFonts w:ascii="Arial" w:hAnsi="Arial" w:cs="Arial"/>
          <w:sz w:val="24"/>
        </w:rPr>
        <w:t>).</w:t>
      </w:r>
      <w:r w:rsidRPr="005D6F89">
        <w:rPr>
          <w:rFonts w:ascii="Arial" w:hAnsi="Arial" w:cs="Arial"/>
          <w:sz w:val="24"/>
        </w:rPr>
        <w:t xml:space="preserve"> The Act may apply to some data collection activities (e.g., the study will collect </w:t>
      </w:r>
      <w:r w:rsidRPr="005D6F89" w:rsidR="00620B98">
        <w:rPr>
          <w:rFonts w:ascii="Arial" w:hAnsi="Arial" w:cs="Arial"/>
          <w:sz w:val="24"/>
        </w:rPr>
        <w:t xml:space="preserve">first name, last name, practice ZIP </w:t>
      </w:r>
      <w:r w:rsidRPr="005D6F89" w:rsidR="003F14E5">
        <w:rPr>
          <w:rFonts w:ascii="Arial" w:hAnsi="Arial" w:cs="Arial"/>
          <w:sz w:val="24"/>
        </w:rPr>
        <w:t>C</w:t>
      </w:r>
      <w:r w:rsidRPr="005D6F89" w:rsidR="00620B98">
        <w:rPr>
          <w:rFonts w:ascii="Arial" w:hAnsi="Arial" w:cs="Arial"/>
          <w:sz w:val="24"/>
        </w:rPr>
        <w:t xml:space="preserve">ode, and </w:t>
      </w:r>
      <w:r w:rsidRPr="005D6F89">
        <w:rPr>
          <w:rFonts w:ascii="Arial" w:hAnsi="Arial" w:cs="Arial"/>
          <w:sz w:val="24"/>
        </w:rPr>
        <w:t xml:space="preserve">email addresses from </w:t>
      </w:r>
      <w:r w:rsidRPr="005D6F89" w:rsidR="00620B98">
        <w:rPr>
          <w:rFonts w:ascii="Arial" w:hAnsi="Arial" w:cs="Arial"/>
          <w:sz w:val="24"/>
        </w:rPr>
        <w:t xml:space="preserve">survey </w:t>
      </w:r>
      <w:r w:rsidRPr="000035AC" w:rsidR="00620B98">
        <w:rPr>
          <w:rFonts w:ascii="Arial" w:hAnsi="Arial" w:cs="Arial"/>
          <w:sz w:val="24"/>
        </w:rPr>
        <w:t>respondents</w:t>
      </w:r>
      <w:r w:rsidRPr="000035AC">
        <w:rPr>
          <w:rFonts w:ascii="Arial" w:hAnsi="Arial" w:cs="Arial"/>
          <w:sz w:val="24"/>
        </w:rPr>
        <w:t>).</w:t>
      </w:r>
      <w:r w:rsidRPr="000035AC" w:rsidR="00DF48D3">
        <w:t xml:space="preserve"> </w:t>
      </w:r>
    </w:p>
    <w:p w:rsidR="004F2EA2" w:rsidRPr="005D6F89" w:rsidP="004F2EA2" w14:paraId="5CBEC610" w14:textId="677D5375">
      <w:pPr>
        <w:widowControl/>
        <w:spacing w:before="120"/>
        <w:rPr>
          <w:rFonts w:ascii="Arial" w:hAnsi="Arial" w:cs="Arial"/>
          <w:sz w:val="24"/>
        </w:rPr>
      </w:pPr>
      <w:r w:rsidRPr="005D6F89">
        <w:rPr>
          <w:rFonts w:ascii="Arial" w:hAnsi="Arial" w:cs="Arial"/>
          <w:sz w:val="24"/>
        </w:rPr>
        <w:t xml:space="preserve">We will assure all respondents that their data will be kept private to the extent allowed by law. In addition, </w:t>
      </w:r>
      <w:r w:rsidR="00A37726">
        <w:rPr>
          <w:rFonts w:ascii="Arial" w:hAnsi="Arial" w:cs="Arial"/>
          <w:sz w:val="24"/>
        </w:rPr>
        <w:t>communications</w:t>
      </w:r>
      <w:r w:rsidRPr="005D6F89">
        <w:rPr>
          <w:rFonts w:ascii="Arial" w:hAnsi="Arial" w:cs="Arial"/>
          <w:sz w:val="24"/>
        </w:rPr>
        <w:t xml:space="preserve"> to inform participants about the data collection and any other introductory materials about the data collection will indicate HRSA’s Federal status and the purpose of the data collection. Please see Attachments </w:t>
      </w:r>
      <w:r w:rsidR="00A6654C">
        <w:rPr>
          <w:rFonts w:ascii="Arial" w:hAnsi="Arial" w:cs="Arial"/>
          <w:sz w:val="24"/>
        </w:rPr>
        <w:t>A4</w:t>
      </w:r>
      <w:r w:rsidRPr="005D6F89" w:rsidR="00FB249C">
        <w:rPr>
          <w:rFonts w:ascii="Arial" w:hAnsi="Arial" w:cs="Arial"/>
          <w:sz w:val="24"/>
        </w:rPr>
        <w:t>-</w:t>
      </w:r>
      <w:r w:rsidR="00A6654C">
        <w:rPr>
          <w:rFonts w:ascii="Arial" w:hAnsi="Arial" w:cs="Arial"/>
          <w:sz w:val="24"/>
        </w:rPr>
        <w:t>A11</w:t>
      </w:r>
      <w:r w:rsidRPr="005D6F89">
        <w:rPr>
          <w:rFonts w:ascii="Arial" w:hAnsi="Arial" w:cs="Arial"/>
          <w:sz w:val="24"/>
        </w:rPr>
        <w:t xml:space="preserve"> for </w:t>
      </w:r>
      <w:r w:rsidR="00A37726">
        <w:rPr>
          <w:rFonts w:ascii="Arial" w:hAnsi="Arial" w:cs="Arial"/>
          <w:sz w:val="24"/>
        </w:rPr>
        <w:t xml:space="preserve">communication/recruitment </w:t>
      </w:r>
      <w:r w:rsidR="00A37726">
        <w:rPr>
          <w:rFonts w:ascii="Arial" w:hAnsi="Arial" w:cs="Arial"/>
          <w:sz w:val="24"/>
        </w:rPr>
        <w:t>materials (e.g., email</w:t>
      </w:r>
      <w:r w:rsidRPr="005D6F89">
        <w:rPr>
          <w:rFonts w:ascii="Arial" w:hAnsi="Arial" w:cs="Arial"/>
          <w:sz w:val="24"/>
        </w:rPr>
        <w:t xml:space="preserve"> notifications</w:t>
      </w:r>
      <w:r w:rsidR="00A37726">
        <w:rPr>
          <w:rFonts w:ascii="Arial" w:hAnsi="Arial" w:cs="Arial"/>
          <w:sz w:val="24"/>
        </w:rPr>
        <w:t>)</w:t>
      </w:r>
      <w:r w:rsidRPr="005D6F89">
        <w:rPr>
          <w:rFonts w:ascii="Arial" w:hAnsi="Arial" w:cs="Arial"/>
          <w:sz w:val="24"/>
        </w:rPr>
        <w:t xml:space="preserve">. Supporting Statement B contains additional information on study procedures related to </w:t>
      </w:r>
      <w:r w:rsidR="00A37726">
        <w:rPr>
          <w:rFonts w:ascii="Arial" w:hAnsi="Arial" w:cs="Arial"/>
          <w:sz w:val="24"/>
        </w:rPr>
        <w:t>the</w:t>
      </w:r>
      <w:r w:rsidRPr="005D6F89">
        <w:rPr>
          <w:rFonts w:ascii="Arial" w:hAnsi="Arial" w:cs="Arial"/>
          <w:sz w:val="24"/>
        </w:rPr>
        <w:t xml:space="preserve"> communication</w:t>
      </w:r>
      <w:r w:rsidR="00A37726">
        <w:rPr>
          <w:rFonts w:ascii="Arial" w:hAnsi="Arial" w:cs="Arial"/>
          <w:sz w:val="24"/>
        </w:rPr>
        <w:t>s</w:t>
      </w:r>
      <w:r w:rsidRPr="005D6F89">
        <w:rPr>
          <w:rFonts w:ascii="Arial" w:hAnsi="Arial" w:cs="Arial"/>
          <w:sz w:val="24"/>
        </w:rPr>
        <w:t>.</w:t>
      </w:r>
    </w:p>
    <w:p w:rsidR="004F2EA2" w:rsidRPr="005D6F89" w:rsidP="00161969" w14:paraId="0D4599D3" w14:textId="65834A04">
      <w:pPr>
        <w:widowControl/>
        <w:spacing w:before="120"/>
        <w:rPr>
          <w:rFonts w:ascii="Arial" w:hAnsi="Arial" w:cs="Arial"/>
          <w:sz w:val="24"/>
        </w:rPr>
      </w:pPr>
      <w:r w:rsidRPr="005D6F89">
        <w:rPr>
          <w:rFonts w:ascii="Arial" w:hAnsi="Arial" w:cs="Arial"/>
          <w:sz w:val="24"/>
        </w:rPr>
        <w:t xml:space="preserve">The study </w:t>
      </w:r>
      <w:r w:rsidR="001217C9">
        <w:rPr>
          <w:rFonts w:ascii="Arial" w:hAnsi="Arial" w:cs="Arial"/>
          <w:sz w:val="24"/>
        </w:rPr>
        <w:t>fulfills the criteria for expedited review under 45 CFR 46.110, category #7, and was approved by expedited review by the JBS Institutional Review Board (IRB) without requirement for Continuing Review</w:t>
      </w:r>
      <w:r w:rsidR="00A37726">
        <w:rPr>
          <w:rFonts w:ascii="Arial" w:hAnsi="Arial" w:cs="Arial"/>
          <w:sz w:val="24"/>
        </w:rPr>
        <w:t xml:space="preserve"> (see Attachment </w:t>
      </w:r>
      <w:r w:rsidR="00A6654C">
        <w:rPr>
          <w:rFonts w:ascii="Arial" w:hAnsi="Arial" w:cs="Arial"/>
          <w:sz w:val="24"/>
        </w:rPr>
        <w:t>A12</w:t>
      </w:r>
      <w:r w:rsidR="00A37726">
        <w:rPr>
          <w:rFonts w:ascii="Arial" w:hAnsi="Arial" w:cs="Arial"/>
          <w:sz w:val="24"/>
        </w:rPr>
        <w:t xml:space="preserve">). </w:t>
      </w:r>
    </w:p>
    <w:p w:rsidR="009B3794" w:rsidRPr="005D6F89" w:rsidP="00B81E5E" w14:paraId="22E2A336"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Justification for Sensitive Questions</w:t>
      </w:r>
    </w:p>
    <w:p w:rsidR="00554CD6" w:rsidRPr="005D6F89" w:rsidP="00620B98" w14:paraId="15A06FEC" w14:textId="23F5BCEC">
      <w:pPr>
        <w:widowControl/>
        <w:spacing w:before="120"/>
        <w:rPr>
          <w:rFonts w:ascii="Arial" w:hAnsi="Arial" w:cs="Arial"/>
          <w:sz w:val="24"/>
        </w:rPr>
      </w:pPr>
      <w:r w:rsidRPr="005D6F89">
        <w:rPr>
          <w:rFonts w:ascii="Arial" w:hAnsi="Arial" w:cs="Arial"/>
          <w:sz w:val="24"/>
        </w:rPr>
        <w:t>Personally identifiable information (PII), including participants’ names and email addresses, will be collected for administration of the surveys</w:t>
      </w:r>
      <w:r w:rsidRPr="005D6F89" w:rsidR="00620B98">
        <w:rPr>
          <w:rFonts w:ascii="Arial" w:hAnsi="Arial" w:cs="Arial"/>
          <w:sz w:val="24"/>
        </w:rPr>
        <w:t xml:space="preserve"> </w:t>
      </w:r>
      <w:r w:rsidRPr="005D6F89">
        <w:rPr>
          <w:rFonts w:ascii="Arial" w:hAnsi="Arial" w:cs="Arial"/>
          <w:sz w:val="24"/>
        </w:rPr>
        <w:t xml:space="preserve">and FGDs. The surveys ask for </w:t>
      </w:r>
      <w:r w:rsidRPr="005D6F89" w:rsidR="00620B98">
        <w:rPr>
          <w:rFonts w:ascii="Arial" w:hAnsi="Arial" w:cs="Arial"/>
          <w:sz w:val="24"/>
        </w:rPr>
        <w:t xml:space="preserve">first and last names and practice ZIP Code(s) to link their data with other data sources (e.g., Medicaid data). </w:t>
      </w:r>
      <w:r w:rsidRPr="005D6F89">
        <w:rPr>
          <w:rFonts w:ascii="Arial" w:hAnsi="Arial" w:cs="Arial"/>
          <w:sz w:val="24"/>
        </w:rPr>
        <w:t xml:space="preserve">Collection of these data are necessary for the </w:t>
      </w:r>
      <w:r w:rsidRPr="005D6F89" w:rsidR="00825F12">
        <w:rPr>
          <w:rFonts w:ascii="Arial" w:hAnsi="Arial" w:cs="Arial"/>
          <w:sz w:val="24"/>
        </w:rPr>
        <w:t xml:space="preserve">Impact Study </w:t>
      </w:r>
      <w:r w:rsidRPr="005D6F89">
        <w:rPr>
          <w:rFonts w:ascii="Arial" w:hAnsi="Arial" w:cs="Arial"/>
          <w:sz w:val="24"/>
        </w:rPr>
        <w:t xml:space="preserve">to link data solely for the purpose of identifying impacts of the entire PMHCA program on access to behavioral health care; individual HPs and their practices will not be individually evaluated. For the </w:t>
      </w:r>
      <w:r w:rsidRPr="005D6F89" w:rsidR="00B37DAA">
        <w:rPr>
          <w:rFonts w:ascii="Arial" w:hAnsi="Arial" w:cs="Arial"/>
          <w:sz w:val="24"/>
        </w:rPr>
        <w:t xml:space="preserve">Family/Caregiver </w:t>
      </w:r>
      <w:r w:rsidRPr="005D6F89">
        <w:rPr>
          <w:rFonts w:ascii="Arial" w:hAnsi="Arial" w:cs="Arial"/>
          <w:sz w:val="24"/>
        </w:rPr>
        <w:t xml:space="preserve">FGDs, </w:t>
      </w:r>
      <w:r w:rsidRPr="005D6F89" w:rsidR="003F14E5">
        <w:rPr>
          <w:rFonts w:ascii="Arial" w:hAnsi="Arial" w:cs="Arial"/>
          <w:sz w:val="24"/>
        </w:rPr>
        <w:t>PII</w:t>
      </w:r>
      <w:r w:rsidRPr="005D6F89">
        <w:rPr>
          <w:rFonts w:ascii="Arial" w:hAnsi="Arial" w:cs="Arial"/>
          <w:sz w:val="24"/>
        </w:rPr>
        <w:t xml:space="preserve">, including participants’ names, contact information, </w:t>
      </w:r>
      <w:r w:rsidR="004F6FC7">
        <w:rPr>
          <w:rFonts w:ascii="Arial" w:hAnsi="Arial" w:cs="Arial"/>
          <w:sz w:val="24"/>
        </w:rPr>
        <w:t xml:space="preserve">preferred </w:t>
      </w:r>
      <w:r w:rsidR="00240820">
        <w:rPr>
          <w:rFonts w:ascii="Arial" w:hAnsi="Arial" w:cs="Arial"/>
          <w:sz w:val="24"/>
        </w:rPr>
        <w:t>language,</w:t>
      </w:r>
      <w:r w:rsidR="004F6FC7">
        <w:rPr>
          <w:rFonts w:ascii="Arial" w:hAnsi="Arial" w:cs="Arial"/>
          <w:sz w:val="24"/>
        </w:rPr>
        <w:t xml:space="preserve"> and </w:t>
      </w:r>
      <w:r w:rsidRPr="005D6F89">
        <w:rPr>
          <w:rFonts w:ascii="Arial" w:hAnsi="Arial" w:cs="Arial"/>
          <w:sz w:val="24"/>
        </w:rPr>
        <w:t xml:space="preserve">ZIP </w:t>
      </w:r>
      <w:r w:rsidRPr="005D6F89" w:rsidR="003F14E5">
        <w:rPr>
          <w:rFonts w:ascii="Arial" w:hAnsi="Arial" w:cs="Arial"/>
          <w:sz w:val="24"/>
        </w:rPr>
        <w:t>C</w:t>
      </w:r>
      <w:r w:rsidRPr="005D6F89">
        <w:rPr>
          <w:rFonts w:ascii="Arial" w:hAnsi="Arial" w:cs="Arial"/>
          <w:sz w:val="24"/>
        </w:rPr>
        <w:t xml:space="preserve">ode, </w:t>
      </w:r>
      <w:r w:rsidR="004F6FC7">
        <w:rPr>
          <w:rFonts w:ascii="Arial" w:hAnsi="Arial" w:cs="Arial"/>
          <w:sz w:val="24"/>
        </w:rPr>
        <w:t xml:space="preserve">as well as </w:t>
      </w:r>
      <w:r w:rsidR="00240820">
        <w:rPr>
          <w:rFonts w:ascii="Arial" w:hAnsi="Arial" w:cs="Arial"/>
          <w:sz w:val="24"/>
        </w:rPr>
        <w:t>their</w:t>
      </w:r>
      <w:r w:rsidR="004F6FC7">
        <w:rPr>
          <w:rFonts w:ascii="Arial" w:hAnsi="Arial" w:cs="Arial"/>
          <w:sz w:val="24"/>
        </w:rPr>
        <w:t xml:space="preserve"> </w:t>
      </w:r>
      <w:r w:rsidRPr="005D6F89">
        <w:rPr>
          <w:rFonts w:ascii="Arial" w:hAnsi="Arial" w:cs="Arial"/>
          <w:sz w:val="24"/>
        </w:rPr>
        <w:t>child’s</w:t>
      </w:r>
      <w:r w:rsidR="00D942FE">
        <w:rPr>
          <w:rFonts w:ascii="Arial" w:hAnsi="Arial" w:cs="Arial"/>
          <w:sz w:val="24"/>
        </w:rPr>
        <w:t>/adolescent’s</w:t>
      </w:r>
      <w:r w:rsidRPr="005D6F89">
        <w:rPr>
          <w:rFonts w:ascii="Arial" w:hAnsi="Arial" w:cs="Arial"/>
          <w:sz w:val="24"/>
        </w:rPr>
        <w:t xml:space="preserve"> age, </w:t>
      </w:r>
      <w:r w:rsidR="004F6FC7">
        <w:rPr>
          <w:rFonts w:ascii="Arial" w:hAnsi="Arial" w:cs="Arial"/>
          <w:sz w:val="24"/>
        </w:rPr>
        <w:t xml:space="preserve">gender identity, </w:t>
      </w:r>
      <w:r w:rsidRPr="005D6F89">
        <w:rPr>
          <w:rFonts w:ascii="Arial" w:hAnsi="Arial" w:cs="Arial"/>
          <w:sz w:val="24"/>
        </w:rPr>
        <w:t>and race and ethnicity will be collected from the identified families/</w:t>
      </w:r>
      <w:r w:rsidRPr="005D6F89">
        <w:rPr>
          <w:rFonts w:ascii="Arial" w:hAnsi="Arial" w:cs="Arial"/>
          <w:sz w:val="24"/>
        </w:rPr>
        <w:t xml:space="preserve">caregivers via a demographic </w:t>
      </w:r>
      <w:r w:rsidR="00240820">
        <w:rPr>
          <w:rFonts w:ascii="Arial" w:hAnsi="Arial" w:cs="Arial"/>
          <w:sz w:val="24"/>
        </w:rPr>
        <w:t>questionnaire</w:t>
      </w:r>
      <w:r w:rsidRPr="005D6F89">
        <w:rPr>
          <w:rFonts w:ascii="Arial" w:hAnsi="Arial" w:cs="Arial"/>
          <w:sz w:val="24"/>
        </w:rPr>
        <w:t xml:space="preserve"> prior to their participation in the focus group. </w:t>
      </w:r>
      <w:r w:rsidRPr="0039384F">
        <w:rPr>
          <w:rFonts w:ascii="Arial" w:hAnsi="Arial" w:cs="Arial"/>
          <w:sz w:val="24"/>
        </w:rPr>
        <w:t xml:space="preserve">Collection of these data are necessary for the </w:t>
      </w:r>
      <w:r w:rsidRPr="0039384F" w:rsidR="0054782A">
        <w:rPr>
          <w:rFonts w:ascii="Arial" w:hAnsi="Arial" w:cs="Arial"/>
          <w:sz w:val="24"/>
        </w:rPr>
        <w:t xml:space="preserve">Impact Study </w:t>
      </w:r>
      <w:r w:rsidRPr="0039384F">
        <w:rPr>
          <w:rFonts w:ascii="Arial" w:hAnsi="Arial" w:cs="Arial"/>
          <w:sz w:val="24"/>
        </w:rPr>
        <w:t>to ensure diverse sampling and</w:t>
      </w:r>
      <w:r w:rsidRPr="005D6F89">
        <w:rPr>
          <w:rFonts w:ascii="Arial" w:hAnsi="Arial" w:cs="Arial"/>
          <w:sz w:val="24"/>
        </w:rPr>
        <w:t xml:space="preserve"> to understand differences in experiences of families/caregivers based on the characteristics collected.</w:t>
      </w:r>
      <w:r w:rsidR="0039384F">
        <w:rPr>
          <w:rFonts w:ascii="Arial" w:hAnsi="Arial" w:cs="Arial"/>
          <w:sz w:val="24"/>
        </w:rPr>
        <w:t xml:space="preserve"> We have elected to include OMB’s SPD-15 race and ethnicity question with minimum </w:t>
      </w:r>
      <w:r w:rsidRPr="0039384F" w:rsidR="0039384F">
        <w:rPr>
          <w:rFonts w:ascii="Arial" w:hAnsi="Arial" w:cs="Arial"/>
          <w:sz w:val="24"/>
        </w:rPr>
        <w:t>categories only (i.e., American Indian or Alaska Native, Asian, Black or African American, Hispanic or Latino, Middle Eastern or North African, Native Hawaiian or Pacific Islander, White) as t</w:t>
      </w:r>
      <w:r w:rsidRPr="00DC4CB8" w:rsidR="0039384F">
        <w:rPr>
          <w:rFonts w:ascii="Arial" w:hAnsi="Arial" w:cs="Arial"/>
          <w:sz w:val="24"/>
        </w:rPr>
        <w:t xml:space="preserve">he potential benefit of detailed data in this collection would not justify the additional burden to the agency nor the public </w:t>
      </w:r>
      <w:r w:rsidRPr="0039384F" w:rsidR="0039384F">
        <w:rPr>
          <w:rFonts w:ascii="Arial" w:hAnsi="Arial" w:cs="Arial"/>
          <w:sz w:val="24"/>
        </w:rPr>
        <w:t>as the demographic data collected will primarily be used for FGD sampling</w:t>
      </w:r>
      <w:r w:rsidRPr="00DC4CB8" w:rsidR="0039384F">
        <w:rPr>
          <w:rFonts w:ascii="Arial" w:hAnsi="Arial" w:cs="Arial"/>
          <w:sz w:val="24"/>
        </w:rPr>
        <w:t>. Additionally, because the Family/Caregiver FGDs will occur only once (anticipated 2025) and this impact study will conclude in 2026, we will not adopt Figure 1 in the future.</w:t>
      </w:r>
      <w:r w:rsidRPr="0039384F" w:rsidR="0039384F">
        <w:rPr>
          <w:rFonts w:ascii="Arial" w:hAnsi="Arial" w:cs="Arial"/>
          <w:sz w:val="24"/>
        </w:rPr>
        <w:t xml:space="preserve"> </w:t>
      </w:r>
      <w:r w:rsidR="00E777C7">
        <w:rPr>
          <w:rFonts w:ascii="Arial" w:hAnsi="Arial" w:cs="Arial"/>
          <w:sz w:val="24"/>
        </w:rPr>
        <w:t xml:space="preserve"> </w:t>
      </w:r>
      <w:r w:rsidRPr="005D6F89" w:rsidR="006E6363">
        <w:rPr>
          <w:rFonts w:ascii="Arial" w:hAnsi="Arial" w:cs="Arial"/>
          <w:sz w:val="24"/>
        </w:rPr>
        <w:t xml:space="preserve">During the </w:t>
      </w:r>
      <w:r w:rsidRPr="005D6F89" w:rsidR="00C03555">
        <w:rPr>
          <w:rFonts w:ascii="Arial" w:hAnsi="Arial" w:cs="Arial"/>
          <w:sz w:val="24"/>
        </w:rPr>
        <w:t xml:space="preserve">Family/Caregiver </w:t>
      </w:r>
      <w:r w:rsidRPr="005D6F89" w:rsidR="006E6363">
        <w:rPr>
          <w:rFonts w:ascii="Arial" w:hAnsi="Arial" w:cs="Arial"/>
          <w:sz w:val="24"/>
        </w:rPr>
        <w:t xml:space="preserve">FGDs, participants will only be asked to </w:t>
      </w:r>
      <w:r w:rsidRPr="005D6F89" w:rsidR="006E6363">
        <w:rPr>
          <w:rFonts w:ascii="Arial" w:hAnsi="Arial" w:cs="Arial"/>
          <w:sz w:val="24"/>
        </w:rPr>
        <w:t xml:space="preserve">share their first name </w:t>
      </w:r>
      <w:r w:rsidRPr="005D6F89" w:rsidR="003F14E5">
        <w:rPr>
          <w:rFonts w:ascii="Arial" w:hAnsi="Arial" w:cs="Arial"/>
          <w:sz w:val="24"/>
        </w:rPr>
        <w:t xml:space="preserve">(or preferred name) </w:t>
      </w:r>
      <w:r w:rsidRPr="005D6F89" w:rsidR="006E6363">
        <w:rPr>
          <w:rFonts w:ascii="Arial" w:hAnsi="Arial" w:cs="Arial"/>
          <w:sz w:val="24"/>
        </w:rPr>
        <w:t>and age of child; however, participants will not be required to share this information</w:t>
      </w:r>
      <w:r w:rsidRPr="005D6F89" w:rsidR="00591ECB">
        <w:rPr>
          <w:rFonts w:ascii="Arial" w:hAnsi="Arial" w:cs="Arial"/>
          <w:sz w:val="24"/>
        </w:rPr>
        <w:t xml:space="preserve"> with the group</w:t>
      </w:r>
      <w:r w:rsidRPr="005D6F89" w:rsidR="006E6363">
        <w:rPr>
          <w:rFonts w:ascii="Arial" w:hAnsi="Arial" w:cs="Arial"/>
          <w:sz w:val="24"/>
        </w:rPr>
        <w:t xml:space="preserve">. </w:t>
      </w:r>
    </w:p>
    <w:p w:rsidR="004F2EA2" w:rsidRPr="005D6F89" w:rsidP="00620B98" w14:paraId="40FB6456" w14:textId="45140C54">
      <w:pPr>
        <w:widowControl/>
        <w:spacing w:before="120"/>
        <w:rPr>
          <w:rFonts w:ascii="Arial" w:hAnsi="Arial" w:cs="Arial"/>
          <w:sz w:val="24"/>
        </w:rPr>
      </w:pPr>
      <w:r w:rsidRPr="005D6F89">
        <w:rPr>
          <w:rFonts w:ascii="Arial" w:hAnsi="Arial" w:cs="Arial"/>
          <w:sz w:val="24"/>
        </w:rPr>
        <w:t xml:space="preserve">All data and information from participants will be stored in the secure facilities for </w:t>
      </w:r>
      <w:r w:rsidR="00432FFC">
        <w:rPr>
          <w:rFonts w:ascii="Arial" w:hAnsi="Arial" w:cs="Arial"/>
          <w:sz w:val="24"/>
        </w:rPr>
        <w:t>10</w:t>
      </w:r>
      <w:r w:rsidRPr="005D6F89">
        <w:rPr>
          <w:rFonts w:ascii="Arial" w:hAnsi="Arial" w:cs="Arial"/>
          <w:sz w:val="24"/>
        </w:rPr>
        <w:t xml:space="preserve"> years after the study is completed, and we will adhere to Federal requirements regarding collection and storage of PII.</w:t>
      </w:r>
    </w:p>
    <w:p w:rsidR="009B3794" w:rsidRPr="005D6F89" w:rsidP="00B81E5E" w14:paraId="22E2A33C" w14:textId="77777777">
      <w:pPr>
        <w:numPr>
          <w:ilvl w:val="0"/>
          <w:numId w:val="1"/>
        </w:numPr>
        <w:tabs>
          <w:tab w:val="num" w:pos="360"/>
        </w:tabs>
        <w:spacing w:before="240"/>
        <w:ind w:left="360"/>
        <w:rPr>
          <w:rFonts w:ascii="Arial" w:hAnsi="Arial" w:cs="Arial"/>
          <w:sz w:val="24"/>
        </w:rPr>
      </w:pPr>
      <w:r w:rsidRPr="005D6F89">
        <w:rPr>
          <w:rFonts w:ascii="Arial" w:hAnsi="Arial" w:cs="Arial"/>
          <w:b/>
          <w:sz w:val="24"/>
          <w:u w:val="single"/>
        </w:rPr>
        <w:t xml:space="preserve">Estimates of Annualized Hour and Cost Burden  </w:t>
      </w:r>
    </w:p>
    <w:p w:rsidR="008B112C" w:rsidRPr="005D6F89" w:rsidP="008B112C" w14:paraId="734A36D6" w14:textId="0F0FDBD6">
      <w:pPr>
        <w:spacing w:before="120"/>
        <w:rPr>
          <w:rFonts w:ascii="Arial" w:hAnsi="Arial" w:cs="Arial"/>
          <w:sz w:val="24"/>
        </w:rPr>
      </w:pPr>
      <w:r w:rsidRPr="005D6F89">
        <w:rPr>
          <w:rFonts w:ascii="Arial" w:hAnsi="Arial" w:cs="Arial"/>
          <w:sz w:val="24"/>
        </w:rPr>
        <w:t>This section summarizes the total burden hours for this information collection effort</w:t>
      </w:r>
      <w:r w:rsidRPr="005D6F89" w:rsidR="0033329B">
        <w:rPr>
          <w:rFonts w:ascii="Arial" w:hAnsi="Arial" w:cs="Arial"/>
          <w:sz w:val="24"/>
        </w:rPr>
        <w:t>,</w:t>
      </w:r>
      <w:r w:rsidRPr="005D6F89">
        <w:rPr>
          <w:rFonts w:ascii="Arial" w:hAnsi="Arial" w:cs="Arial"/>
          <w:sz w:val="24"/>
        </w:rPr>
        <w:t xml:space="preserve"> in addition to the cost associated with those hours. </w:t>
      </w:r>
    </w:p>
    <w:p w:rsidR="009B3794" w:rsidRPr="005D6F89" w:rsidP="00CA3DA6" w14:paraId="22E2A33F" w14:textId="06499C0A">
      <w:pPr>
        <w:widowControl/>
        <w:tabs>
          <w:tab w:val="num" w:pos="720"/>
        </w:tabs>
        <w:spacing w:before="120"/>
        <w:rPr>
          <w:rFonts w:ascii="Arial" w:hAnsi="Arial" w:cs="Arial"/>
          <w:b/>
          <w:sz w:val="24"/>
        </w:rPr>
      </w:pPr>
      <w:r w:rsidRPr="005D6F89">
        <w:rPr>
          <w:rFonts w:ascii="Arial" w:hAnsi="Arial" w:cs="Arial"/>
          <w:b/>
          <w:sz w:val="28"/>
          <w:szCs w:val="28"/>
        </w:rPr>
        <w:t>12A</w:t>
      </w:r>
      <w:r w:rsidRPr="005D6F89" w:rsidR="00B9543B">
        <w:rPr>
          <w:rFonts w:ascii="Arial" w:hAnsi="Arial" w:cs="Arial"/>
          <w:b/>
          <w:sz w:val="28"/>
          <w:szCs w:val="28"/>
        </w:rPr>
        <w:t xml:space="preserve">. </w:t>
      </w:r>
      <w:r w:rsidRPr="005D6F89">
        <w:rPr>
          <w:rFonts w:ascii="Arial" w:hAnsi="Arial" w:cs="Arial"/>
          <w:sz w:val="24"/>
        </w:rPr>
        <w:t xml:space="preserve">      </w:t>
      </w:r>
      <w:r w:rsidRPr="005D6F89">
        <w:rPr>
          <w:rFonts w:ascii="Arial" w:hAnsi="Arial" w:cs="Arial"/>
          <w:b/>
          <w:sz w:val="24"/>
        </w:rPr>
        <w:t>Estimated Annualized Burden Hours</w:t>
      </w:r>
    </w:p>
    <w:p w:rsidR="00E02327" w:rsidRPr="005D6F89" w:rsidP="00E02327" w14:paraId="7396817F" w14:textId="1182294C">
      <w:pPr>
        <w:keepNext/>
        <w:tabs>
          <w:tab w:val="left" w:pos="90"/>
        </w:tabs>
        <w:rPr>
          <w:rFonts w:ascii="Arial" w:hAnsi="Arial" w:cs="Arial"/>
          <w:sz w:val="24"/>
        </w:rPr>
      </w:pPr>
      <w:r w:rsidRPr="005D6F89">
        <w:rPr>
          <w:rFonts w:ascii="Arial" w:hAnsi="Arial" w:cs="Arial"/>
          <w:sz w:val="24"/>
        </w:rPr>
        <w:t xml:space="preserve">Exhibit 3 contains estimated response burdens for each subject population participating in the </w:t>
      </w:r>
      <w:r w:rsidRPr="005D6F89" w:rsidR="00E62063">
        <w:rPr>
          <w:rFonts w:ascii="Arial" w:hAnsi="Arial" w:cs="Arial"/>
          <w:sz w:val="24"/>
        </w:rPr>
        <w:t xml:space="preserve">Impact Study’s </w:t>
      </w:r>
      <w:r w:rsidRPr="005D6F89">
        <w:rPr>
          <w:rFonts w:ascii="Arial" w:hAnsi="Arial" w:cs="Arial"/>
          <w:sz w:val="24"/>
        </w:rPr>
        <w:t>data collection activities.</w:t>
      </w:r>
    </w:p>
    <w:p w:rsidR="00E02327" w:rsidRPr="005D6F89" w:rsidP="00E02327" w14:paraId="6FF2E736" w14:textId="77777777">
      <w:pPr>
        <w:rPr>
          <w:rFonts w:ascii="Arial" w:hAnsi="Arial" w:cs="Arial"/>
          <w:sz w:val="24"/>
        </w:rPr>
      </w:pPr>
    </w:p>
    <w:p w:rsidR="00E02327" w:rsidRPr="005D6F89" w:rsidP="00E02327" w14:paraId="549CE90B" w14:textId="35EC2213">
      <w:pPr>
        <w:rPr>
          <w:rFonts w:ascii="Arial" w:hAnsi="Arial" w:cs="Arial"/>
          <w:sz w:val="24"/>
        </w:rPr>
      </w:pPr>
      <w:r w:rsidRPr="005D6F89">
        <w:rPr>
          <w:rFonts w:ascii="Arial" w:hAnsi="Arial" w:cs="Arial"/>
          <w:sz w:val="24"/>
        </w:rPr>
        <w:t>We calculated estimates for the response-hour burden (1) based on the methodology being used with each respondent population and (2) using the average completion time based on instrument pilot testing. Supporting Statement B contains additional information on pilot tests of the data collection tools to be used in the evaluation, as well as summaries of pilot test feedback and changes made to the data collection tools based on this feedback.</w:t>
      </w:r>
    </w:p>
    <w:p w:rsidR="00E02327" w:rsidRPr="005D6F89" w:rsidP="00E02327" w14:paraId="22A53087" w14:textId="77777777">
      <w:pPr>
        <w:rPr>
          <w:rFonts w:ascii="Arial" w:hAnsi="Arial" w:cs="Arial"/>
          <w:sz w:val="24"/>
        </w:rPr>
      </w:pPr>
    </w:p>
    <w:p w:rsidR="00E02327" w:rsidRPr="005D6F89" w:rsidP="00E02327" w14:paraId="3643633D" w14:textId="2AC3E50F">
      <w:pPr>
        <w:rPr>
          <w:rFonts w:ascii="Arial" w:hAnsi="Arial" w:cs="Arial"/>
          <w:b/>
          <w:bCs/>
          <w:sz w:val="24"/>
        </w:rPr>
      </w:pPr>
      <w:bookmarkStart w:id="1" w:name="_Hlk26442457"/>
      <w:r w:rsidRPr="005D6F89">
        <w:rPr>
          <w:rFonts w:ascii="Arial" w:hAnsi="Arial" w:cs="Arial"/>
          <w:sz w:val="24"/>
        </w:rPr>
        <w:t xml:space="preserve">It should be noted that the </w:t>
      </w:r>
      <w:r w:rsidRPr="005D6F89">
        <w:rPr>
          <w:rFonts w:ascii="Arial" w:hAnsi="Arial" w:cs="Arial"/>
          <w:bCs/>
          <w:sz w:val="24"/>
        </w:rPr>
        <w:t xml:space="preserve">60- and 30-day Federal Register Notices were aggregated </w:t>
      </w:r>
      <w:r w:rsidRPr="005D6F89" w:rsidR="006E6363">
        <w:rPr>
          <w:rFonts w:ascii="Arial" w:hAnsi="Arial" w:cs="Arial"/>
          <w:bCs/>
          <w:sz w:val="24"/>
        </w:rPr>
        <w:t xml:space="preserve">by </w:t>
      </w:r>
      <w:r w:rsidRPr="005D6F89">
        <w:rPr>
          <w:rFonts w:ascii="Arial" w:hAnsi="Arial" w:cs="Arial"/>
          <w:bCs/>
          <w:sz w:val="24"/>
        </w:rPr>
        <w:t xml:space="preserve">types of </w:t>
      </w:r>
      <w:r w:rsidRPr="005D6F89" w:rsidR="00591ECB">
        <w:rPr>
          <w:rFonts w:ascii="Arial" w:hAnsi="Arial" w:cs="Arial"/>
          <w:bCs/>
          <w:sz w:val="24"/>
        </w:rPr>
        <w:t>respondents</w:t>
      </w:r>
      <w:r w:rsidRPr="005D6F89">
        <w:rPr>
          <w:rFonts w:ascii="Arial" w:hAnsi="Arial" w:cs="Arial"/>
          <w:bCs/>
          <w:sz w:val="24"/>
        </w:rPr>
        <w:t xml:space="preserve"> (e.g., physician; nurse practitioner; physician assistant; counselor, social worker, and other community and social service</w:t>
      </w:r>
      <w:r w:rsidRPr="005D6F89" w:rsidR="00D972A5">
        <w:rPr>
          <w:rFonts w:ascii="Arial" w:hAnsi="Arial" w:cs="Arial"/>
          <w:bCs/>
          <w:sz w:val="24"/>
        </w:rPr>
        <w:t>s</w:t>
      </w:r>
      <w:r w:rsidRPr="005D6F89">
        <w:rPr>
          <w:rFonts w:ascii="Arial" w:hAnsi="Arial" w:cs="Arial"/>
          <w:bCs/>
          <w:sz w:val="24"/>
        </w:rPr>
        <w:t xml:space="preserve"> specialist) </w:t>
      </w:r>
      <w:r w:rsidRPr="005D6F89" w:rsidR="002733EB">
        <w:rPr>
          <w:rFonts w:ascii="Arial" w:hAnsi="Arial" w:cs="Arial"/>
          <w:bCs/>
          <w:sz w:val="24"/>
        </w:rPr>
        <w:t xml:space="preserve">and </w:t>
      </w:r>
      <w:r w:rsidRPr="005D6F89">
        <w:rPr>
          <w:rFonts w:ascii="Arial" w:hAnsi="Arial" w:cs="Arial"/>
          <w:bCs/>
          <w:sz w:val="24"/>
        </w:rPr>
        <w:t>are disaggregated here</w:t>
      </w:r>
      <w:bookmarkEnd w:id="1"/>
      <w:r w:rsidRPr="005D6F89" w:rsidR="00B9543B">
        <w:rPr>
          <w:rFonts w:ascii="Arial" w:hAnsi="Arial" w:cs="Arial"/>
          <w:bCs/>
          <w:sz w:val="24"/>
        </w:rPr>
        <w:t xml:space="preserve">. </w:t>
      </w:r>
    </w:p>
    <w:p w:rsidR="00E02327" w:rsidRPr="005D6F89" w:rsidP="006E6363" w14:paraId="1BEAE54C" w14:textId="3C713A6C">
      <w:pPr>
        <w:widowControl/>
        <w:autoSpaceDE/>
        <w:autoSpaceDN/>
        <w:adjustRightInd/>
        <w:spacing w:before="120"/>
        <w:rPr>
          <w:rFonts w:ascii="Arial" w:hAnsi="Arial" w:cs="Arial"/>
          <w:sz w:val="24"/>
        </w:rPr>
      </w:pPr>
      <w:r w:rsidRPr="005D6F89">
        <w:rPr>
          <w:rFonts w:ascii="Arial" w:hAnsi="Arial" w:cs="Arial"/>
          <w:b/>
          <w:color w:val="000000"/>
          <w:sz w:val="22"/>
          <w:szCs w:val="22"/>
        </w:rPr>
        <w:t>Exhibit 3. Estimated Annualized Burden Hours</w:t>
      </w:r>
    </w:p>
    <w:tbl>
      <w:tblPr>
        <w:tblpPr w:leftFromText="180" w:rightFromText="180" w:vertAnchor="text" w:horzAnchor="margin" w:tblpXSpec="center" w:tblpY="3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19"/>
        <w:gridCol w:w="1729"/>
        <w:gridCol w:w="1597"/>
        <w:gridCol w:w="1492"/>
        <w:gridCol w:w="1361"/>
        <w:gridCol w:w="1152"/>
      </w:tblGrid>
      <w:tr w14:paraId="22E2A351" w14:textId="77777777" w:rsidTr="00D4398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079" w:type="pct"/>
          </w:tcPr>
          <w:p w:rsidR="00D43986" w:rsidRPr="00773D48" w:rsidP="00CA3DA6" w14:paraId="22E2A343" w14:textId="77777777">
            <w:pPr>
              <w:widowControl/>
              <w:tabs>
                <w:tab w:val="num" w:pos="1080"/>
              </w:tabs>
              <w:spacing w:before="120"/>
              <w:rPr>
                <w:rFonts w:ascii="Arial" w:hAnsi="Arial" w:cs="Arial"/>
                <w:b/>
                <w:bCs/>
                <w:sz w:val="22"/>
                <w:szCs w:val="22"/>
              </w:rPr>
            </w:pPr>
            <w:r w:rsidRPr="00773D48">
              <w:rPr>
                <w:rFonts w:ascii="Arial" w:hAnsi="Arial" w:cs="Arial"/>
                <w:b/>
                <w:bCs/>
                <w:sz w:val="22"/>
                <w:szCs w:val="22"/>
              </w:rPr>
              <w:t>Form</w:t>
            </w:r>
          </w:p>
          <w:p w:rsidR="00D43986" w:rsidRPr="00773D48" w:rsidP="00CA3DA6" w14:paraId="22E2A344" w14:textId="77777777">
            <w:pPr>
              <w:widowControl/>
              <w:tabs>
                <w:tab w:val="num" w:pos="1080"/>
              </w:tabs>
              <w:spacing w:before="120"/>
              <w:rPr>
                <w:rFonts w:ascii="Arial" w:hAnsi="Arial" w:cs="Arial"/>
                <w:b/>
                <w:bCs/>
                <w:sz w:val="22"/>
                <w:szCs w:val="22"/>
              </w:rPr>
            </w:pPr>
            <w:r w:rsidRPr="00773D48">
              <w:rPr>
                <w:rFonts w:ascii="Arial" w:hAnsi="Arial" w:cs="Arial"/>
                <w:b/>
                <w:bCs/>
                <w:sz w:val="22"/>
                <w:szCs w:val="22"/>
              </w:rPr>
              <w:t>Name</w:t>
            </w:r>
          </w:p>
          <w:p w:rsidR="00D43986" w:rsidRPr="00773D48" w:rsidP="00CA3DA6" w14:paraId="22E2A345" w14:textId="77777777">
            <w:pPr>
              <w:widowControl/>
              <w:tabs>
                <w:tab w:val="num" w:pos="1080"/>
              </w:tabs>
              <w:spacing w:before="120"/>
              <w:rPr>
                <w:rFonts w:ascii="Arial" w:hAnsi="Arial" w:cs="Arial"/>
                <w:b/>
                <w:bCs/>
                <w:sz w:val="22"/>
                <w:szCs w:val="22"/>
              </w:rPr>
            </w:pPr>
          </w:p>
        </w:tc>
        <w:tc>
          <w:tcPr>
            <w:tcW w:w="924" w:type="pct"/>
          </w:tcPr>
          <w:p w:rsidR="00D43986" w:rsidRPr="00773D48" w:rsidP="00CA3DA6" w14:paraId="22E2A346" w14:textId="77777777">
            <w:pPr>
              <w:widowControl/>
              <w:tabs>
                <w:tab w:val="num" w:pos="1080"/>
              </w:tabs>
              <w:spacing w:before="120"/>
              <w:rPr>
                <w:rFonts w:ascii="Arial" w:hAnsi="Arial" w:cs="Arial"/>
                <w:b/>
                <w:bCs/>
                <w:sz w:val="22"/>
                <w:szCs w:val="22"/>
              </w:rPr>
            </w:pPr>
            <w:r w:rsidRPr="00773D48">
              <w:rPr>
                <w:rFonts w:ascii="Arial" w:hAnsi="Arial" w:cs="Arial"/>
                <w:b/>
                <w:bCs/>
                <w:sz w:val="22"/>
                <w:szCs w:val="22"/>
              </w:rPr>
              <w:t>No. of</w:t>
            </w:r>
          </w:p>
          <w:p w:rsidR="00D43986" w:rsidRPr="00773D48" w:rsidP="00CA3DA6" w14:paraId="22E2A347" w14:textId="77777777">
            <w:pPr>
              <w:widowControl/>
              <w:tabs>
                <w:tab w:val="num" w:pos="1080"/>
              </w:tabs>
              <w:spacing w:before="120"/>
              <w:rPr>
                <w:rFonts w:ascii="Arial" w:hAnsi="Arial" w:cs="Arial"/>
                <w:b/>
                <w:bCs/>
                <w:sz w:val="22"/>
                <w:szCs w:val="22"/>
              </w:rPr>
            </w:pPr>
            <w:r w:rsidRPr="00773D48">
              <w:rPr>
                <w:rFonts w:ascii="Arial" w:hAnsi="Arial" w:cs="Arial"/>
                <w:b/>
                <w:bCs/>
                <w:sz w:val="22"/>
                <w:szCs w:val="22"/>
              </w:rPr>
              <w:t>Respondents</w:t>
            </w:r>
          </w:p>
        </w:tc>
        <w:tc>
          <w:tcPr>
            <w:tcW w:w="854" w:type="pct"/>
          </w:tcPr>
          <w:p w:rsidR="00D43986" w:rsidRPr="00773D48" w:rsidP="00CA3DA6" w14:paraId="22E2A348" w14:textId="77777777">
            <w:pPr>
              <w:widowControl/>
              <w:tabs>
                <w:tab w:val="num" w:pos="1080"/>
              </w:tabs>
              <w:spacing w:before="120"/>
              <w:rPr>
                <w:rFonts w:ascii="Arial" w:hAnsi="Arial" w:cs="Arial"/>
                <w:b/>
                <w:bCs/>
                <w:sz w:val="22"/>
                <w:szCs w:val="22"/>
              </w:rPr>
            </w:pPr>
            <w:r w:rsidRPr="00773D48">
              <w:rPr>
                <w:rFonts w:ascii="Arial" w:hAnsi="Arial" w:cs="Arial"/>
                <w:b/>
                <w:bCs/>
                <w:sz w:val="22"/>
                <w:szCs w:val="22"/>
              </w:rPr>
              <w:t>No.</w:t>
            </w:r>
          </w:p>
          <w:p w:rsidR="00D43986" w:rsidRPr="00773D48" w:rsidP="00CA3DA6" w14:paraId="22E2A349" w14:textId="77777777">
            <w:pPr>
              <w:widowControl/>
              <w:tabs>
                <w:tab w:val="num" w:pos="1080"/>
              </w:tabs>
              <w:spacing w:before="120"/>
              <w:rPr>
                <w:rFonts w:ascii="Arial" w:hAnsi="Arial" w:cs="Arial"/>
                <w:b/>
                <w:bCs/>
                <w:sz w:val="22"/>
                <w:szCs w:val="22"/>
              </w:rPr>
            </w:pPr>
            <w:r w:rsidRPr="00773D48">
              <w:rPr>
                <w:rFonts w:ascii="Arial" w:hAnsi="Arial" w:cs="Arial"/>
                <w:b/>
                <w:bCs/>
                <w:sz w:val="22"/>
                <w:szCs w:val="22"/>
              </w:rPr>
              <w:t>Responses</w:t>
            </w:r>
          </w:p>
          <w:p w:rsidR="00D43986" w:rsidRPr="00773D48" w:rsidP="00CA3DA6" w14:paraId="22E2A34A" w14:textId="77777777">
            <w:pPr>
              <w:widowControl/>
              <w:tabs>
                <w:tab w:val="num" w:pos="1080"/>
              </w:tabs>
              <w:spacing w:before="120"/>
              <w:rPr>
                <w:rFonts w:ascii="Arial" w:hAnsi="Arial" w:cs="Arial"/>
                <w:b/>
                <w:bCs/>
                <w:sz w:val="22"/>
                <w:szCs w:val="22"/>
              </w:rPr>
            </w:pPr>
            <w:r w:rsidRPr="00773D48">
              <w:rPr>
                <w:rFonts w:ascii="Arial" w:hAnsi="Arial" w:cs="Arial"/>
                <w:b/>
                <w:bCs/>
                <w:sz w:val="22"/>
                <w:szCs w:val="22"/>
              </w:rPr>
              <w:t>per</w:t>
            </w:r>
          </w:p>
          <w:p w:rsidR="00D43986" w:rsidRPr="00773D48" w:rsidP="00CA3DA6" w14:paraId="22E2A34B" w14:textId="77777777">
            <w:pPr>
              <w:widowControl/>
              <w:tabs>
                <w:tab w:val="num" w:pos="1080"/>
              </w:tabs>
              <w:spacing w:before="120"/>
              <w:rPr>
                <w:rFonts w:ascii="Arial" w:hAnsi="Arial" w:cs="Arial"/>
                <w:b/>
                <w:bCs/>
                <w:sz w:val="22"/>
                <w:szCs w:val="22"/>
              </w:rPr>
            </w:pPr>
            <w:r w:rsidRPr="00773D48">
              <w:rPr>
                <w:rFonts w:ascii="Arial" w:hAnsi="Arial" w:cs="Arial"/>
                <w:b/>
                <w:bCs/>
                <w:sz w:val="22"/>
                <w:szCs w:val="22"/>
              </w:rPr>
              <w:t>Respondent</w:t>
            </w:r>
          </w:p>
        </w:tc>
        <w:tc>
          <w:tcPr>
            <w:tcW w:w="798" w:type="pct"/>
          </w:tcPr>
          <w:p w:rsidR="00D43986" w:rsidRPr="00773D48" w:rsidP="00CA3DA6" w14:paraId="4E3D147A" w14:textId="3F7547C2">
            <w:pPr>
              <w:widowControl/>
              <w:tabs>
                <w:tab w:val="num" w:pos="1080"/>
              </w:tabs>
              <w:spacing w:before="120"/>
              <w:rPr>
                <w:rFonts w:ascii="Arial" w:hAnsi="Arial" w:cs="Arial"/>
                <w:b/>
                <w:bCs/>
                <w:sz w:val="22"/>
                <w:szCs w:val="22"/>
              </w:rPr>
            </w:pPr>
            <w:r w:rsidRPr="00773D48">
              <w:rPr>
                <w:rFonts w:ascii="Arial" w:hAnsi="Arial" w:cs="Arial"/>
                <w:b/>
                <w:bCs/>
                <w:sz w:val="22"/>
                <w:szCs w:val="22"/>
              </w:rPr>
              <w:t>Total Responses</w:t>
            </w:r>
          </w:p>
        </w:tc>
        <w:tc>
          <w:tcPr>
            <w:tcW w:w="728" w:type="pct"/>
          </w:tcPr>
          <w:p w:rsidR="00D43986" w:rsidRPr="00773D48" w:rsidP="00CA3DA6" w14:paraId="22E2A34C" w14:textId="75335B28">
            <w:pPr>
              <w:widowControl/>
              <w:tabs>
                <w:tab w:val="num" w:pos="1080"/>
              </w:tabs>
              <w:spacing w:before="120"/>
              <w:rPr>
                <w:rFonts w:ascii="Arial" w:hAnsi="Arial" w:cs="Arial"/>
                <w:b/>
                <w:bCs/>
                <w:sz w:val="22"/>
                <w:szCs w:val="22"/>
              </w:rPr>
            </w:pPr>
            <w:r w:rsidRPr="00773D48">
              <w:rPr>
                <w:rFonts w:ascii="Arial" w:hAnsi="Arial" w:cs="Arial"/>
                <w:b/>
                <w:bCs/>
                <w:sz w:val="22"/>
                <w:szCs w:val="22"/>
              </w:rPr>
              <w:t>Average</w:t>
            </w:r>
          </w:p>
          <w:p w:rsidR="00D43986" w:rsidRPr="00773D48" w:rsidP="00CA3DA6" w14:paraId="22E2A34D" w14:textId="77777777">
            <w:pPr>
              <w:widowControl/>
              <w:tabs>
                <w:tab w:val="num" w:pos="1080"/>
              </w:tabs>
              <w:spacing w:before="120"/>
              <w:rPr>
                <w:rFonts w:ascii="Arial" w:hAnsi="Arial" w:cs="Arial"/>
                <w:b/>
                <w:bCs/>
                <w:sz w:val="22"/>
                <w:szCs w:val="22"/>
              </w:rPr>
            </w:pPr>
            <w:r w:rsidRPr="00773D48">
              <w:rPr>
                <w:rFonts w:ascii="Arial" w:hAnsi="Arial" w:cs="Arial"/>
                <w:b/>
                <w:bCs/>
                <w:sz w:val="22"/>
                <w:szCs w:val="22"/>
              </w:rPr>
              <w:t>Burden per</w:t>
            </w:r>
          </w:p>
          <w:p w:rsidR="00D43986" w:rsidRPr="00773D48" w:rsidP="00CA3DA6" w14:paraId="22E2A34E" w14:textId="77777777">
            <w:pPr>
              <w:widowControl/>
              <w:tabs>
                <w:tab w:val="num" w:pos="1080"/>
              </w:tabs>
              <w:spacing w:before="120"/>
              <w:rPr>
                <w:rFonts w:ascii="Arial" w:hAnsi="Arial" w:cs="Arial"/>
                <w:b/>
                <w:bCs/>
                <w:sz w:val="22"/>
                <w:szCs w:val="22"/>
              </w:rPr>
            </w:pPr>
            <w:r w:rsidRPr="00773D48">
              <w:rPr>
                <w:rFonts w:ascii="Arial" w:hAnsi="Arial" w:cs="Arial"/>
                <w:b/>
                <w:bCs/>
                <w:sz w:val="22"/>
                <w:szCs w:val="22"/>
              </w:rPr>
              <w:t>Response</w:t>
            </w:r>
          </w:p>
          <w:p w:rsidR="00D43986" w:rsidRPr="00773D48" w:rsidP="00CA3DA6" w14:paraId="22E2A34F" w14:textId="77777777">
            <w:pPr>
              <w:widowControl/>
              <w:tabs>
                <w:tab w:val="num" w:pos="1080"/>
              </w:tabs>
              <w:spacing w:before="120"/>
              <w:rPr>
                <w:rFonts w:ascii="Arial" w:hAnsi="Arial" w:cs="Arial"/>
                <w:b/>
                <w:bCs/>
                <w:sz w:val="22"/>
                <w:szCs w:val="22"/>
              </w:rPr>
            </w:pPr>
            <w:r w:rsidRPr="00773D48">
              <w:rPr>
                <w:rFonts w:ascii="Arial" w:hAnsi="Arial" w:cs="Arial"/>
                <w:b/>
                <w:bCs/>
                <w:sz w:val="22"/>
                <w:szCs w:val="22"/>
              </w:rPr>
              <w:t>(</w:t>
            </w:r>
            <w:r w:rsidRPr="00773D48">
              <w:rPr>
                <w:rFonts w:ascii="Arial" w:hAnsi="Arial" w:cs="Arial"/>
                <w:b/>
                <w:bCs/>
                <w:sz w:val="22"/>
                <w:szCs w:val="22"/>
              </w:rPr>
              <w:t>in</w:t>
            </w:r>
            <w:r w:rsidRPr="00773D48">
              <w:rPr>
                <w:rFonts w:ascii="Arial" w:hAnsi="Arial" w:cs="Arial"/>
                <w:b/>
                <w:bCs/>
                <w:sz w:val="22"/>
                <w:szCs w:val="22"/>
              </w:rPr>
              <w:t xml:space="preserve"> hours)</w:t>
            </w:r>
          </w:p>
        </w:tc>
        <w:tc>
          <w:tcPr>
            <w:tcW w:w="616" w:type="pct"/>
          </w:tcPr>
          <w:p w:rsidR="00D43986" w:rsidRPr="00773D48" w:rsidP="00CA3DA6" w14:paraId="22E2A350" w14:textId="17D3050C">
            <w:pPr>
              <w:widowControl/>
              <w:tabs>
                <w:tab w:val="num" w:pos="1080"/>
              </w:tabs>
              <w:spacing w:before="120"/>
              <w:rPr>
                <w:rFonts w:ascii="Arial" w:hAnsi="Arial" w:cs="Arial"/>
                <w:b/>
                <w:bCs/>
                <w:sz w:val="22"/>
                <w:szCs w:val="22"/>
              </w:rPr>
            </w:pPr>
            <w:r w:rsidRPr="00773D48">
              <w:rPr>
                <w:rFonts w:ascii="Arial" w:hAnsi="Arial" w:cs="Arial"/>
                <w:b/>
                <w:bCs/>
                <w:sz w:val="22"/>
                <w:szCs w:val="22"/>
              </w:rPr>
              <w:t>Total Burden Hours</w:t>
            </w:r>
            <w:r>
              <w:rPr>
                <w:rFonts w:ascii="Arial" w:hAnsi="Arial" w:cs="Arial"/>
                <w:b/>
                <w:bCs/>
                <w:sz w:val="22"/>
                <w:szCs w:val="22"/>
              </w:rPr>
              <w:t>*</w:t>
            </w:r>
          </w:p>
        </w:tc>
      </w:tr>
      <w:tr w14:paraId="22E2A360" w14:textId="77777777" w:rsidTr="00D43986">
        <w:tblPrEx>
          <w:tblW w:w="5000" w:type="pct"/>
          <w:tblLook w:val="01E0"/>
        </w:tblPrEx>
        <w:trPr>
          <w:trHeight w:val="800"/>
        </w:trPr>
        <w:tc>
          <w:tcPr>
            <w:tcW w:w="1079" w:type="pct"/>
          </w:tcPr>
          <w:p w:rsidR="00D43986" w:rsidRPr="00773D48" w:rsidP="00E02327" w14:paraId="22E2A35A" w14:textId="282A06D1">
            <w:pPr>
              <w:widowControl/>
              <w:tabs>
                <w:tab w:val="num" w:pos="1080"/>
              </w:tabs>
              <w:spacing w:before="120"/>
              <w:rPr>
                <w:rFonts w:ascii="Arial" w:hAnsi="Arial" w:cs="Arial"/>
                <w:sz w:val="22"/>
                <w:szCs w:val="22"/>
              </w:rPr>
            </w:pPr>
            <w:r w:rsidRPr="00773D48">
              <w:rPr>
                <w:rFonts w:ascii="Arial" w:hAnsi="Arial" w:cs="Arial"/>
                <w:sz w:val="22"/>
                <w:szCs w:val="22"/>
              </w:rPr>
              <w:t>HP Impact Survey</w:t>
            </w:r>
          </w:p>
        </w:tc>
        <w:tc>
          <w:tcPr>
            <w:tcW w:w="924" w:type="pct"/>
          </w:tcPr>
          <w:p w:rsidR="00D43986" w:rsidRPr="00773D48" w:rsidP="00773D48" w14:paraId="22E2A35B" w14:textId="27DD5B11">
            <w:pPr>
              <w:widowControl/>
              <w:tabs>
                <w:tab w:val="num" w:pos="1080"/>
              </w:tabs>
              <w:spacing w:before="120"/>
              <w:jc w:val="right"/>
              <w:rPr>
                <w:rFonts w:ascii="Arial" w:hAnsi="Arial" w:cs="Arial"/>
                <w:sz w:val="22"/>
                <w:szCs w:val="22"/>
              </w:rPr>
            </w:pPr>
            <w:r w:rsidRPr="00D43986">
              <w:rPr>
                <w:rFonts w:ascii="Arial" w:hAnsi="Arial" w:cs="Arial"/>
                <w:sz w:val="22"/>
                <w:szCs w:val="22"/>
              </w:rPr>
              <w:t>21</w:t>
            </w:r>
            <w:r>
              <w:rPr>
                <w:rFonts w:ascii="Arial" w:hAnsi="Arial" w:cs="Arial"/>
                <w:sz w:val="22"/>
                <w:szCs w:val="22"/>
              </w:rPr>
              <w:t>,</w:t>
            </w:r>
            <w:r w:rsidRPr="00D43986">
              <w:rPr>
                <w:rFonts w:ascii="Arial" w:hAnsi="Arial" w:cs="Arial"/>
                <w:sz w:val="22"/>
                <w:szCs w:val="22"/>
              </w:rPr>
              <w:t>070</w:t>
            </w:r>
          </w:p>
        </w:tc>
        <w:tc>
          <w:tcPr>
            <w:tcW w:w="854" w:type="pct"/>
          </w:tcPr>
          <w:p w:rsidR="00D43986" w:rsidRPr="00773D48" w:rsidP="00773D48" w14:paraId="22E2A35C" w14:textId="6049AF80">
            <w:pPr>
              <w:widowControl/>
              <w:tabs>
                <w:tab w:val="num" w:pos="1080"/>
              </w:tabs>
              <w:spacing w:before="120"/>
              <w:jc w:val="right"/>
              <w:rPr>
                <w:rFonts w:ascii="Arial" w:hAnsi="Arial" w:cs="Arial"/>
                <w:sz w:val="22"/>
                <w:szCs w:val="22"/>
              </w:rPr>
            </w:pPr>
            <w:r w:rsidRPr="00773D48">
              <w:rPr>
                <w:rFonts w:ascii="Arial" w:hAnsi="Arial" w:cs="Arial"/>
                <w:sz w:val="22"/>
                <w:szCs w:val="22"/>
              </w:rPr>
              <w:t>2</w:t>
            </w:r>
          </w:p>
        </w:tc>
        <w:tc>
          <w:tcPr>
            <w:tcW w:w="798" w:type="pct"/>
          </w:tcPr>
          <w:p w:rsidR="00D43986" w:rsidRPr="00773D48" w:rsidP="00773D48" w14:paraId="4D89C1BC" w14:textId="7AAFF30E">
            <w:pPr>
              <w:widowControl/>
              <w:tabs>
                <w:tab w:val="num" w:pos="1080"/>
              </w:tabs>
              <w:spacing w:before="120"/>
              <w:jc w:val="right"/>
              <w:rPr>
                <w:rFonts w:ascii="Arial" w:hAnsi="Arial" w:cs="Arial"/>
                <w:sz w:val="22"/>
                <w:szCs w:val="22"/>
              </w:rPr>
            </w:pPr>
            <w:r>
              <w:rPr>
                <w:rFonts w:ascii="Arial" w:hAnsi="Arial" w:cs="Arial"/>
                <w:sz w:val="22"/>
                <w:szCs w:val="22"/>
              </w:rPr>
              <w:t>42,140</w:t>
            </w:r>
          </w:p>
        </w:tc>
        <w:tc>
          <w:tcPr>
            <w:tcW w:w="728" w:type="pct"/>
          </w:tcPr>
          <w:p w:rsidR="00D43986" w:rsidRPr="00773D48" w:rsidP="00773D48" w14:paraId="22E2A35D" w14:textId="15CF5202">
            <w:pPr>
              <w:widowControl/>
              <w:tabs>
                <w:tab w:val="num" w:pos="1080"/>
              </w:tabs>
              <w:spacing w:before="120"/>
              <w:jc w:val="right"/>
              <w:rPr>
                <w:rFonts w:ascii="Arial" w:hAnsi="Arial" w:cs="Arial"/>
                <w:sz w:val="22"/>
                <w:szCs w:val="22"/>
              </w:rPr>
            </w:pPr>
            <w:r w:rsidRPr="00773D48">
              <w:rPr>
                <w:rFonts w:ascii="Arial" w:hAnsi="Arial" w:cs="Arial"/>
                <w:sz w:val="22"/>
                <w:szCs w:val="22"/>
              </w:rPr>
              <w:t>0.17</w:t>
            </w:r>
          </w:p>
        </w:tc>
        <w:tc>
          <w:tcPr>
            <w:tcW w:w="616" w:type="pct"/>
          </w:tcPr>
          <w:p w:rsidR="00D43986" w:rsidRPr="00773D48" w:rsidP="00773D48" w14:paraId="22E2A35F" w14:textId="6F3D7561">
            <w:pPr>
              <w:widowControl/>
              <w:tabs>
                <w:tab w:val="num" w:pos="1080"/>
              </w:tabs>
              <w:spacing w:before="120"/>
              <w:jc w:val="right"/>
              <w:rPr>
                <w:rFonts w:ascii="Arial" w:hAnsi="Arial" w:cs="Arial"/>
                <w:sz w:val="22"/>
                <w:szCs w:val="22"/>
              </w:rPr>
            </w:pPr>
            <w:r>
              <w:rPr>
                <w:rFonts w:ascii="Arial" w:hAnsi="Arial" w:cs="Arial"/>
                <w:sz w:val="22"/>
                <w:szCs w:val="22"/>
              </w:rPr>
              <w:t>7163.80</w:t>
            </w:r>
          </w:p>
        </w:tc>
      </w:tr>
      <w:tr w14:paraId="651B5E2E" w14:textId="77777777" w:rsidTr="00D43986">
        <w:tblPrEx>
          <w:tblW w:w="5000" w:type="pct"/>
          <w:tblLook w:val="01E0"/>
        </w:tblPrEx>
        <w:trPr>
          <w:trHeight w:val="815"/>
        </w:trPr>
        <w:tc>
          <w:tcPr>
            <w:tcW w:w="1079" w:type="pct"/>
          </w:tcPr>
          <w:p w:rsidR="00D43986" w:rsidRPr="00773D48" w:rsidP="00CA3DA6" w14:paraId="66CCBD47" w14:textId="77375F67">
            <w:pPr>
              <w:widowControl/>
              <w:tabs>
                <w:tab w:val="num" w:pos="1080"/>
              </w:tabs>
              <w:spacing w:before="120"/>
              <w:rPr>
                <w:rFonts w:ascii="Arial" w:hAnsi="Arial" w:cs="Arial"/>
                <w:sz w:val="22"/>
                <w:szCs w:val="22"/>
              </w:rPr>
            </w:pPr>
            <w:r w:rsidRPr="00773D48">
              <w:rPr>
                <w:rFonts w:ascii="Arial" w:hAnsi="Arial" w:cs="Arial"/>
                <w:sz w:val="22"/>
                <w:szCs w:val="22"/>
              </w:rPr>
              <w:t>Family/Caregiver FGD</w:t>
            </w:r>
          </w:p>
        </w:tc>
        <w:tc>
          <w:tcPr>
            <w:tcW w:w="924" w:type="pct"/>
          </w:tcPr>
          <w:p w:rsidR="00D43986" w:rsidRPr="00773D48" w:rsidP="00773D48" w14:paraId="57864AD2" w14:textId="0382371C">
            <w:pPr>
              <w:widowControl/>
              <w:tabs>
                <w:tab w:val="num" w:pos="1080"/>
              </w:tabs>
              <w:spacing w:before="120"/>
              <w:jc w:val="right"/>
              <w:rPr>
                <w:rFonts w:ascii="Arial" w:hAnsi="Arial" w:cs="Arial"/>
                <w:sz w:val="22"/>
                <w:szCs w:val="22"/>
              </w:rPr>
            </w:pPr>
            <w:r w:rsidRPr="00773D48">
              <w:rPr>
                <w:rFonts w:ascii="Arial" w:hAnsi="Arial" w:cs="Arial"/>
                <w:sz w:val="22"/>
                <w:szCs w:val="22"/>
              </w:rPr>
              <w:t>42</w:t>
            </w:r>
          </w:p>
        </w:tc>
        <w:tc>
          <w:tcPr>
            <w:tcW w:w="854" w:type="pct"/>
          </w:tcPr>
          <w:p w:rsidR="00D43986" w:rsidRPr="00773D48" w:rsidP="00773D48" w14:paraId="55F1480F" w14:textId="3588F1BB">
            <w:pPr>
              <w:widowControl/>
              <w:tabs>
                <w:tab w:val="num" w:pos="1080"/>
              </w:tabs>
              <w:spacing w:before="120"/>
              <w:jc w:val="right"/>
              <w:rPr>
                <w:rFonts w:ascii="Arial" w:hAnsi="Arial" w:cs="Arial"/>
                <w:sz w:val="22"/>
                <w:szCs w:val="22"/>
              </w:rPr>
            </w:pPr>
            <w:r w:rsidRPr="00773D48">
              <w:rPr>
                <w:rFonts w:ascii="Arial" w:hAnsi="Arial" w:cs="Arial"/>
                <w:sz w:val="22"/>
                <w:szCs w:val="22"/>
              </w:rPr>
              <w:t>1</w:t>
            </w:r>
          </w:p>
        </w:tc>
        <w:tc>
          <w:tcPr>
            <w:tcW w:w="798" w:type="pct"/>
          </w:tcPr>
          <w:p w:rsidR="00D43986" w:rsidRPr="00773D48" w:rsidP="00773D48" w14:paraId="2503F60F" w14:textId="6D703216">
            <w:pPr>
              <w:widowControl/>
              <w:tabs>
                <w:tab w:val="num" w:pos="1080"/>
              </w:tabs>
              <w:spacing w:before="120"/>
              <w:jc w:val="right"/>
              <w:rPr>
                <w:rFonts w:ascii="Arial" w:hAnsi="Arial" w:cs="Arial"/>
                <w:sz w:val="22"/>
                <w:szCs w:val="22"/>
              </w:rPr>
            </w:pPr>
            <w:r w:rsidRPr="00773D48">
              <w:rPr>
                <w:rFonts w:ascii="Arial" w:hAnsi="Arial" w:cs="Arial"/>
                <w:sz w:val="22"/>
                <w:szCs w:val="22"/>
              </w:rPr>
              <w:t>42</w:t>
            </w:r>
          </w:p>
        </w:tc>
        <w:tc>
          <w:tcPr>
            <w:tcW w:w="728" w:type="pct"/>
          </w:tcPr>
          <w:p w:rsidR="00D43986" w:rsidRPr="00773D48" w:rsidP="00773D48" w14:paraId="24664543" w14:textId="38DA2D2D">
            <w:pPr>
              <w:widowControl/>
              <w:tabs>
                <w:tab w:val="num" w:pos="1080"/>
              </w:tabs>
              <w:spacing w:before="120"/>
              <w:jc w:val="right"/>
              <w:rPr>
                <w:rFonts w:ascii="Arial" w:hAnsi="Arial" w:cs="Arial"/>
                <w:sz w:val="22"/>
                <w:szCs w:val="22"/>
              </w:rPr>
            </w:pPr>
            <w:r w:rsidRPr="00773D48">
              <w:rPr>
                <w:rFonts w:ascii="Arial" w:hAnsi="Arial" w:cs="Arial"/>
                <w:sz w:val="22"/>
                <w:szCs w:val="22"/>
              </w:rPr>
              <w:t>1</w:t>
            </w:r>
          </w:p>
        </w:tc>
        <w:tc>
          <w:tcPr>
            <w:tcW w:w="616" w:type="pct"/>
          </w:tcPr>
          <w:p w:rsidR="00D43986" w:rsidRPr="00773D48" w:rsidP="00773D48" w14:paraId="027BDEB4" w14:textId="69A3F542">
            <w:pPr>
              <w:widowControl/>
              <w:tabs>
                <w:tab w:val="num" w:pos="1080"/>
              </w:tabs>
              <w:spacing w:before="120"/>
              <w:jc w:val="right"/>
              <w:rPr>
                <w:rFonts w:ascii="Arial" w:hAnsi="Arial" w:cs="Arial"/>
                <w:sz w:val="22"/>
                <w:szCs w:val="22"/>
              </w:rPr>
            </w:pPr>
            <w:r w:rsidRPr="00773D48">
              <w:rPr>
                <w:rFonts w:ascii="Arial" w:hAnsi="Arial" w:cs="Arial"/>
                <w:sz w:val="22"/>
                <w:szCs w:val="22"/>
              </w:rPr>
              <w:t>42</w:t>
            </w:r>
            <w:r>
              <w:rPr>
                <w:rFonts w:ascii="Arial" w:hAnsi="Arial" w:cs="Arial"/>
                <w:sz w:val="22"/>
                <w:szCs w:val="22"/>
              </w:rPr>
              <w:t>.00</w:t>
            </w:r>
          </w:p>
        </w:tc>
      </w:tr>
      <w:tr w14:paraId="14A5C173" w14:textId="77777777" w:rsidTr="00D43986">
        <w:tblPrEx>
          <w:tblW w:w="5000" w:type="pct"/>
          <w:tblLook w:val="01E0"/>
        </w:tblPrEx>
        <w:trPr>
          <w:trHeight w:val="815"/>
        </w:trPr>
        <w:tc>
          <w:tcPr>
            <w:tcW w:w="1079" w:type="pct"/>
          </w:tcPr>
          <w:p w:rsidR="00D43986" w:rsidRPr="00773D48" w:rsidP="00CA3DA6" w14:paraId="7ED4BC9C" w14:textId="714D88B5">
            <w:pPr>
              <w:widowControl/>
              <w:tabs>
                <w:tab w:val="num" w:pos="1080"/>
              </w:tabs>
              <w:spacing w:before="120"/>
              <w:rPr>
                <w:rFonts w:ascii="Arial" w:hAnsi="Arial" w:cs="Arial"/>
                <w:sz w:val="22"/>
                <w:szCs w:val="22"/>
              </w:rPr>
            </w:pPr>
            <w:r w:rsidRPr="00773D48">
              <w:rPr>
                <w:rFonts w:ascii="Arial" w:hAnsi="Arial" w:cs="Arial"/>
                <w:sz w:val="22"/>
                <w:szCs w:val="22"/>
              </w:rPr>
              <w:t>Family/Caregiver Demographic Questionnaire</w:t>
            </w:r>
          </w:p>
        </w:tc>
        <w:tc>
          <w:tcPr>
            <w:tcW w:w="924" w:type="pct"/>
          </w:tcPr>
          <w:p w:rsidR="00D43986" w:rsidRPr="00773D48" w:rsidP="00773D48" w14:paraId="4254AED3" w14:textId="661B4E4B">
            <w:pPr>
              <w:widowControl/>
              <w:tabs>
                <w:tab w:val="num" w:pos="1080"/>
              </w:tabs>
              <w:spacing w:before="120"/>
              <w:jc w:val="right"/>
              <w:rPr>
                <w:rFonts w:ascii="Arial" w:hAnsi="Arial" w:cs="Arial"/>
                <w:sz w:val="22"/>
                <w:szCs w:val="22"/>
              </w:rPr>
            </w:pPr>
            <w:r w:rsidRPr="00773D48">
              <w:rPr>
                <w:rFonts w:ascii="Arial" w:hAnsi="Arial" w:cs="Arial"/>
                <w:sz w:val="22"/>
                <w:szCs w:val="22"/>
              </w:rPr>
              <w:t>270</w:t>
            </w:r>
          </w:p>
        </w:tc>
        <w:tc>
          <w:tcPr>
            <w:tcW w:w="854" w:type="pct"/>
          </w:tcPr>
          <w:p w:rsidR="00D43986" w:rsidRPr="00773D48" w:rsidP="00773D48" w14:paraId="45C39BC2" w14:textId="7F2CDFB8">
            <w:pPr>
              <w:widowControl/>
              <w:tabs>
                <w:tab w:val="num" w:pos="1080"/>
              </w:tabs>
              <w:spacing w:before="120"/>
              <w:jc w:val="right"/>
              <w:rPr>
                <w:rFonts w:ascii="Arial" w:hAnsi="Arial" w:cs="Arial"/>
                <w:sz w:val="22"/>
                <w:szCs w:val="22"/>
              </w:rPr>
            </w:pPr>
            <w:r w:rsidRPr="00773D48">
              <w:rPr>
                <w:rFonts w:ascii="Arial" w:hAnsi="Arial" w:cs="Arial"/>
                <w:sz w:val="22"/>
                <w:szCs w:val="22"/>
              </w:rPr>
              <w:t>1</w:t>
            </w:r>
          </w:p>
        </w:tc>
        <w:tc>
          <w:tcPr>
            <w:tcW w:w="798" w:type="pct"/>
          </w:tcPr>
          <w:p w:rsidR="00D43986" w:rsidRPr="00773D48" w:rsidP="00773D48" w14:paraId="31AE3E75" w14:textId="0123B96F">
            <w:pPr>
              <w:widowControl/>
              <w:tabs>
                <w:tab w:val="num" w:pos="1080"/>
              </w:tabs>
              <w:spacing w:before="120"/>
              <w:jc w:val="right"/>
              <w:rPr>
                <w:rFonts w:ascii="Arial" w:hAnsi="Arial" w:cs="Arial"/>
                <w:sz w:val="22"/>
                <w:szCs w:val="22"/>
              </w:rPr>
            </w:pPr>
            <w:r w:rsidRPr="00773D48">
              <w:rPr>
                <w:rFonts w:ascii="Arial" w:hAnsi="Arial" w:cs="Arial"/>
                <w:sz w:val="22"/>
                <w:szCs w:val="22"/>
              </w:rPr>
              <w:t>270</w:t>
            </w:r>
          </w:p>
        </w:tc>
        <w:tc>
          <w:tcPr>
            <w:tcW w:w="728" w:type="pct"/>
          </w:tcPr>
          <w:p w:rsidR="00D43986" w:rsidRPr="00773D48" w:rsidP="00773D48" w14:paraId="7C3B49C6" w14:textId="240367B5">
            <w:pPr>
              <w:widowControl/>
              <w:tabs>
                <w:tab w:val="num" w:pos="1080"/>
              </w:tabs>
              <w:spacing w:before="120"/>
              <w:jc w:val="right"/>
              <w:rPr>
                <w:rFonts w:ascii="Arial" w:hAnsi="Arial" w:cs="Arial"/>
                <w:sz w:val="22"/>
                <w:szCs w:val="22"/>
              </w:rPr>
            </w:pPr>
            <w:r w:rsidRPr="00773D48">
              <w:rPr>
                <w:rFonts w:ascii="Arial" w:hAnsi="Arial" w:cs="Arial"/>
                <w:sz w:val="22"/>
                <w:szCs w:val="22"/>
              </w:rPr>
              <w:t>.08</w:t>
            </w:r>
          </w:p>
        </w:tc>
        <w:tc>
          <w:tcPr>
            <w:tcW w:w="616" w:type="pct"/>
          </w:tcPr>
          <w:p w:rsidR="00D43986" w:rsidRPr="00773D48" w:rsidP="00773D48" w14:paraId="098A2B24" w14:textId="1787C3FE">
            <w:pPr>
              <w:widowControl/>
              <w:tabs>
                <w:tab w:val="num" w:pos="1080"/>
              </w:tabs>
              <w:spacing w:before="120"/>
              <w:jc w:val="right"/>
              <w:rPr>
                <w:rFonts w:ascii="Arial" w:hAnsi="Arial" w:cs="Arial"/>
                <w:sz w:val="22"/>
                <w:szCs w:val="22"/>
              </w:rPr>
            </w:pPr>
            <w:r w:rsidRPr="00773D48">
              <w:rPr>
                <w:rFonts w:ascii="Arial" w:hAnsi="Arial" w:cs="Arial"/>
                <w:sz w:val="22"/>
                <w:szCs w:val="22"/>
              </w:rPr>
              <w:t>21.60</w:t>
            </w:r>
          </w:p>
        </w:tc>
      </w:tr>
      <w:tr w14:paraId="22E2A368" w14:textId="77777777" w:rsidTr="00D43986">
        <w:tblPrEx>
          <w:tblW w:w="5000" w:type="pct"/>
          <w:tblLook w:val="01E0"/>
        </w:tblPrEx>
        <w:trPr>
          <w:trHeight w:val="815"/>
        </w:trPr>
        <w:tc>
          <w:tcPr>
            <w:tcW w:w="1079" w:type="pct"/>
          </w:tcPr>
          <w:p w:rsidR="00D43986" w:rsidRPr="00D43986" w:rsidP="00CA3DA6" w14:paraId="22E2A362" w14:textId="7D98F163">
            <w:pPr>
              <w:widowControl/>
              <w:tabs>
                <w:tab w:val="num" w:pos="1080"/>
              </w:tabs>
              <w:spacing w:before="120"/>
              <w:rPr>
                <w:rFonts w:ascii="Arial" w:hAnsi="Arial" w:cs="Arial"/>
                <w:b/>
                <w:bCs/>
                <w:sz w:val="22"/>
                <w:szCs w:val="22"/>
              </w:rPr>
            </w:pPr>
            <w:r>
              <w:rPr>
                <w:rFonts w:ascii="Arial" w:hAnsi="Arial" w:cs="Arial"/>
                <w:b/>
                <w:bCs/>
                <w:sz w:val="22"/>
                <w:szCs w:val="22"/>
              </w:rPr>
              <w:t>Total</w:t>
            </w:r>
          </w:p>
        </w:tc>
        <w:tc>
          <w:tcPr>
            <w:tcW w:w="924" w:type="pct"/>
          </w:tcPr>
          <w:p w:rsidR="00D43986" w:rsidRPr="00773D48" w:rsidP="00773D48" w14:paraId="22E2A363" w14:textId="267070A9">
            <w:pPr>
              <w:widowControl/>
              <w:tabs>
                <w:tab w:val="num" w:pos="1080"/>
              </w:tabs>
              <w:spacing w:before="120"/>
              <w:jc w:val="right"/>
              <w:rPr>
                <w:rFonts w:ascii="Arial" w:hAnsi="Arial" w:cs="Arial"/>
                <w:sz w:val="22"/>
                <w:szCs w:val="22"/>
              </w:rPr>
            </w:pPr>
            <w:r w:rsidRPr="00773D48">
              <w:rPr>
                <w:rFonts w:ascii="Arial" w:hAnsi="Arial" w:cs="Arial"/>
                <w:sz w:val="22"/>
                <w:szCs w:val="22"/>
              </w:rPr>
              <w:t>21,382</w:t>
            </w:r>
          </w:p>
        </w:tc>
        <w:tc>
          <w:tcPr>
            <w:tcW w:w="854" w:type="pct"/>
          </w:tcPr>
          <w:p w:rsidR="00D43986" w:rsidRPr="00773D48" w:rsidP="00773D48" w14:paraId="22E2A364" w14:textId="77777777">
            <w:pPr>
              <w:widowControl/>
              <w:tabs>
                <w:tab w:val="num" w:pos="1080"/>
              </w:tabs>
              <w:spacing w:before="120"/>
              <w:jc w:val="right"/>
              <w:rPr>
                <w:rFonts w:ascii="Arial" w:hAnsi="Arial" w:cs="Arial"/>
                <w:sz w:val="22"/>
                <w:szCs w:val="22"/>
              </w:rPr>
            </w:pPr>
          </w:p>
        </w:tc>
        <w:tc>
          <w:tcPr>
            <w:tcW w:w="798" w:type="pct"/>
          </w:tcPr>
          <w:p w:rsidR="00D43986" w:rsidRPr="00773D48" w:rsidP="00773D48" w14:paraId="5B6D35DE" w14:textId="5B420F2B">
            <w:pPr>
              <w:widowControl/>
              <w:tabs>
                <w:tab w:val="num" w:pos="1080"/>
              </w:tabs>
              <w:spacing w:before="120"/>
              <w:jc w:val="right"/>
              <w:rPr>
                <w:rFonts w:ascii="Arial" w:hAnsi="Arial" w:cs="Arial"/>
                <w:sz w:val="22"/>
                <w:szCs w:val="22"/>
              </w:rPr>
            </w:pPr>
            <w:r w:rsidRPr="00773D48">
              <w:rPr>
                <w:rFonts w:ascii="Arial" w:hAnsi="Arial" w:cs="Arial"/>
                <w:sz w:val="22"/>
                <w:szCs w:val="22"/>
              </w:rPr>
              <w:t>42,452</w:t>
            </w:r>
          </w:p>
        </w:tc>
        <w:tc>
          <w:tcPr>
            <w:tcW w:w="728" w:type="pct"/>
          </w:tcPr>
          <w:p w:rsidR="00D43986" w:rsidRPr="00773D48" w:rsidP="00773D48" w14:paraId="22E2A365" w14:textId="049ECEB9">
            <w:pPr>
              <w:widowControl/>
              <w:tabs>
                <w:tab w:val="num" w:pos="1080"/>
              </w:tabs>
              <w:spacing w:before="120"/>
              <w:jc w:val="right"/>
              <w:rPr>
                <w:rFonts w:ascii="Arial" w:hAnsi="Arial" w:cs="Arial"/>
                <w:sz w:val="22"/>
                <w:szCs w:val="22"/>
              </w:rPr>
            </w:pPr>
          </w:p>
        </w:tc>
        <w:tc>
          <w:tcPr>
            <w:tcW w:w="616" w:type="pct"/>
          </w:tcPr>
          <w:p w:rsidR="00D43986" w:rsidRPr="00773D48" w:rsidP="00773D48" w14:paraId="22E2A367" w14:textId="74A70AF4">
            <w:pPr>
              <w:widowControl/>
              <w:tabs>
                <w:tab w:val="num" w:pos="1080"/>
              </w:tabs>
              <w:spacing w:before="120"/>
              <w:jc w:val="right"/>
              <w:rPr>
                <w:rFonts w:ascii="Arial" w:hAnsi="Arial" w:cs="Arial"/>
                <w:sz w:val="22"/>
                <w:szCs w:val="22"/>
              </w:rPr>
            </w:pPr>
            <w:r w:rsidRPr="00773D48">
              <w:rPr>
                <w:rFonts w:ascii="Arial" w:hAnsi="Arial" w:cs="Arial"/>
                <w:sz w:val="22"/>
                <w:szCs w:val="22"/>
              </w:rPr>
              <w:t>7,227.40</w:t>
            </w:r>
          </w:p>
        </w:tc>
      </w:tr>
    </w:tbl>
    <w:p w:rsidR="009B3794" w:rsidRPr="00773D48" w:rsidP="00CA3DA6" w14:paraId="22E2A369" w14:textId="09EB9BD6">
      <w:pPr>
        <w:widowControl/>
        <w:tabs>
          <w:tab w:val="num" w:pos="1080"/>
        </w:tabs>
        <w:spacing w:before="120"/>
        <w:rPr>
          <w:rFonts w:ascii="Arial" w:hAnsi="Arial" w:cs="Arial"/>
          <w:b/>
          <w:bCs/>
          <w:sz w:val="22"/>
          <w:szCs w:val="22"/>
        </w:rPr>
      </w:pPr>
      <w:r w:rsidRPr="00773D48">
        <w:rPr>
          <w:rFonts w:ascii="Arial" w:hAnsi="Arial" w:cs="Arial"/>
          <w:b/>
          <w:bCs/>
          <w:sz w:val="22"/>
          <w:szCs w:val="22"/>
        </w:rPr>
        <w:t>* Totals are rounded up in ROCIS.</w:t>
      </w:r>
      <w:r w:rsidRPr="00773D48" w:rsidR="00773D48">
        <w:rPr>
          <w:rFonts w:ascii="Arial" w:hAnsi="Arial" w:cs="Arial"/>
          <w:b/>
          <w:bCs/>
          <w:sz w:val="22"/>
          <w:szCs w:val="22"/>
        </w:rPr>
        <w:t xml:space="preserve"> </w:t>
      </w:r>
      <w:r w:rsidR="00773D48">
        <w:rPr>
          <w:rFonts w:ascii="Arial" w:hAnsi="Arial" w:cs="Arial"/>
          <w:b/>
          <w:bCs/>
          <w:sz w:val="22"/>
          <w:szCs w:val="22"/>
        </w:rPr>
        <w:t xml:space="preserve"> </w:t>
      </w:r>
    </w:p>
    <w:p w:rsidR="00452B92" w:rsidRPr="005D6F89" w:rsidP="00CA3DA6" w14:paraId="35B47857" w14:textId="77777777">
      <w:pPr>
        <w:widowControl/>
        <w:tabs>
          <w:tab w:val="num" w:pos="1080"/>
        </w:tabs>
        <w:spacing w:before="120"/>
        <w:rPr>
          <w:rFonts w:ascii="Arial" w:hAnsi="Arial" w:cs="Arial"/>
          <w:b/>
          <w:bCs/>
          <w:sz w:val="24"/>
        </w:rPr>
      </w:pPr>
    </w:p>
    <w:p w:rsidR="00D92E1D" w:rsidRPr="005D6F89" w:rsidP="00CA3DA6" w14:paraId="22E2A372" w14:textId="5DFFF5E7">
      <w:pPr>
        <w:widowControl/>
        <w:spacing w:before="120"/>
        <w:rPr>
          <w:rFonts w:ascii="Arial" w:hAnsi="Arial" w:cs="Arial"/>
          <w:sz w:val="28"/>
          <w:szCs w:val="28"/>
        </w:rPr>
      </w:pPr>
      <w:r w:rsidRPr="005D6F89">
        <w:rPr>
          <w:rFonts w:ascii="Arial" w:hAnsi="Arial" w:cs="Arial"/>
          <w:b/>
          <w:sz w:val="28"/>
          <w:szCs w:val="28"/>
        </w:rPr>
        <w:t>12B</w:t>
      </w:r>
      <w:r w:rsidRPr="005D6F89" w:rsidR="00B9543B">
        <w:rPr>
          <w:rFonts w:ascii="Arial" w:hAnsi="Arial" w:cs="Arial"/>
          <w:sz w:val="28"/>
          <w:szCs w:val="28"/>
        </w:rPr>
        <w:t xml:space="preserve">. </w:t>
      </w:r>
    </w:p>
    <w:p w:rsidR="00C11203" w:rsidRPr="005D6F89" w:rsidP="00C11203" w14:paraId="2984774A" w14:textId="10A0B877">
      <w:pPr>
        <w:widowControl/>
        <w:spacing w:before="120"/>
        <w:rPr>
          <w:rFonts w:ascii="Arial" w:hAnsi="Arial" w:cs="Arial"/>
          <w:sz w:val="24"/>
        </w:rPr>
      </w:pPr>
      <w:r w:rsidRPr="005D6F89">
        <w:rPr>
          <w:rFonts w:ascii="Arial" w:hAnsi="Arial" w:cs="Arial"/>
          <w:sz w:val="24"/>
        </w:rPr>
        <w:t>Exhibit 4 summarizes the estimated</w:t>
      </w:r>
      <w:r w:rsidRPr="005D6F89" w:rsidR="00290DED">
        <w:rPr>
          <w:rFonts w:ascii="Arial" w:hAnsi="Arial" w:cs="Arial"/>
          <w:sz w:val="24"/>
        </w:rPr>
        <w:t>,</w:t>
      </w:r>
      <w:r w:rsidRPr="005D6F89">
        <w:rPr>
          <w:rFonts w:ascii="Arial" w:hAnsi="Arial" w:cs="Arial"/>
          <w:sz w:val="24"/>
        </w:rPr>
        <w:t xml:space="preserve"> annualized cost burden to respondents of the </w:t>
      </w:r>
      <w:r w:rsidRPr="005D6F89" w:rsidR="00290DED">
        <w:rPr>
          <w:rFonts w:ascii="Arial" w:hAnsi="Arial" w:cs="Arial"/>
          <w:sz w:val="24"/>
        </w:rPr>
        <w:t>Impact Study</w:t>
      </w:r>
      <w:r w:rsidRPr="005D6F89">
        <w:rPr>
          <w:rFonts w:ascii="Arial" w:hAnsi="Arial" w:cs="Arial"/>
          <w:sz w:val="24"/>
        </w:rPr>
        <w:t xml:space="preserve">. </w:t>
      </w:r>
      <w:r w:rsidR="00394F41">
        <w:rPr>
          <w:rFonts w:ascii="Arial" w:hAnsi="Arial" w:cs="Arial"/>
          <w:sz w:val="24"/>
        </w:rPr>
        <w:t>Median</w:t>
      </w:r>
      <w:r w:rsidRPr="005D6F89" w:rsidR="00394F41">
        <w:rPr>
          <w:rFonts w:ascii="Arial" w:hAnsi="Arial" w:cs="Arial"/>
          <w:sz w:val="24"/>
        </w:rPr>
        <w:t xml:space="preserve"> </w:t>
      </w:r>
      <w:r w:rsidRPr="005D6F89">
        <w:rPr>
          <w:rFonts w:ascii="Arial" w:hAnsi="Arial" w:cs="Arial"/>
          <w:sz w:val="24"/>
        </w:rPr>
        <w:t xml:space="preserve">hourly wage estimates and occupational profile codes were obtained from the </w:t>
      </w:r>
      <w:r w:rsidRPr="005D6F89" w:rsidR="00290DED">
        <w:rPr>
          <w:rFonts w:ascii="Arial" w:hAnsi="Arial" w:cs="Arial"/>
          <w:sz w:val="24"/>
        </w:rPr>
        <w:t>BLS u</w:t>
      </w:r>
      <w:r w:rsidRPr="005D6F89">
        <w:rPr>
          <w:rFonts w:ascii="Arial" w:hAnsi="Arial" w:cs="Arial"/>
          <w:sz w:val="24"/>
        </w:rPr>
        <w:t xml:space="preserve">sing wage estimates from </w:t>
      </w:r>
      <w:r w:rsidR="00D54CC0">
        <w:rPr>
          <w:rFonts w:ascii="Arial" w:hAnsi="Arial" w:cs="Arial"/>
          <w:sz w:val="24"/>
        </w:rPr>
        <w:t>2023</w:t>
      </w:r>
      <w:r w:rsidRPr="005D6F89" w:rsidR="00D54CC0">
        <w:rPr>
          <w:rFonts w:ascii="Arial" w:hAnsi="Arial" w:cs="Arial"/>
          <w:sz w:val="24"/>
        </w:rPr>
        <w:t xml:space="preserve"> </w:t>
      </w:r>
      <w:r w:rsidRPr="005D6F89">
        <w:rPr>
          <w:rFonts w:ascii="Arial" w:hAnsi="Arial" w:cs="Arial"/>
          <w:sz w:val="24"/>
        </w:rPr>
        <w:t xml:space="preserve">(the most recently available estimates). The total respondent cost is calculated as </w:t>
      </w:r>
      <w:r w:rsidR="00096B52">
        <w:rPr>
          <w:rFonts w:ascii="Arial" w:hAnsi="Arial" w:cs="Arial"/>
          <w:sz w:val="24"/>
        </w:rPr>
        <w:t>(</w:t>
      </w:r>
      <w:r w:rsidRPr="005D6F89">
        <w:rPr>
          <w:rFonts w:ascii="Arial" w:hAnsi="Arial" w:cs="Arial"/>
          <w:sz w:val="24"/>
        </w:rPr>
        <w:t>hourly wage rate</w:t>
      </w:r>
      <w:r w:rsidR="00394F41">
        <w:rPr>
          <w:rFonts w:ascii="Arial" w:hAnsi="Arial" w:cs="Arial"/>
          <w:sz w:val="24"/>
        </w:rPr>
        <w:t xml:space="preserve"> X </w:t>
      </w:r>
      <w:r w:rsidR="006243B5">
        <w:rPr>
          <w:rFonts w:ascii="Arial" w:hAnsi="Arial" w:cs="Arial"/>
          <w:sz w:val="24"/>
        </w:rPr>
        <w:t>2</w:t>
      </w:r>
      <w:r w:rsidR="00394F41">
        <w:rPr>
          <w:rFonts w:ascii="Arial" w:hAnsi="Arial" w:cs="Arial"/>
          <w:sz w:val="24"/>
        </w:rPr>
        <w:t xml:space="preserve"> </w:t>
      </w:r>
      <w:r w:rsidR="00096B52">
        <w:rPr>
          <w:rFonts w:ascii="Arial" w:hAnsi="Arial" w:cs="Arial"/>
          <w:sz w:val="24"/>
        </w:rPr>
        <w:t>[</w:t>
      </w:r>
      <w:r w:rsidR="00394F41">
        <w:rPr>
          <w:rFonts w:ascii="Arial" w:hAnsi="Arial" w:cs="Arial"/>
          <w:sz w:val="24"/>
        </w:rPr>
        <w:t xml:space="preserve">to account for </w:t>
      </w:r>
      <w:r w:rsidR="00576ACD">
        <w:rPr>
          <w:rFonts w:ascii="Arial" w:hAnsi="Arial" w:cs="Arial"/>
          <w:sz w:val="24"/>
        </w:rPr>
        <w:t>overhead costs</w:t>
      </w:r>
      <w:r w:rsidR="00096B52">
        <w:rPr>
          <w:rFonts w:ascii="Arial" w:hAnsi="Arial" w:cs="Arial"/>
          <w:sz w:val="24"/>
        </w:rPr>
        <w:t>]</w:t>
      </w:r>
      <w:r w:rsidR="000148DE">
        <w:rPr>
          <w:rFonts w:ascii="Arial" w:hAnsi="Arial" w:cs="Arial"/>
          <w:sz w:val="24"/>
        </w:rPr>
        <w:t>)</w:t>
      </w:r>
      <w:r w:rsidRPr="005D6F89">
        <w:rPr>
          <w:rFonts w:ascii="Arial" w:hAnsi="Arial" w:cs="Arial"/>
          <w:sz w:val="24"/>
        </w:rPr>
        <w:t xml:space="preserve"> X </w:t>
      </w:r>
      <w:r w:rsidR="00096B52">
        <w:rPr>
          <w:rFonts w:ascii="Arial" w:hAnsi="Arial" w:cs="Arial"/>
          <w:sz w:val="24"/>
        </w:rPr>
        <w:t>(</w:t>
      </w:r>
      <w:r w:rsidRPr="005D6F89">
        <w:rPr>
          <w:rFonts w:ascii="Arial" w:hAnsi="Arial" w:cs="Arial"/>
          <w:sz w:val="24"/>
        </w:rPr>
        <w:t>time spent on the instrument X number of respon</w:t>
      </w:r>
      <w:r w:rsidR="000148DE">
        <w:rPr>
          <w:rFonts w:ascii="Arial" w:hAnsi="Arial" w:cs="Arial"/>
          <w:sz w:val="24"/>
        </w:rPr>
        <w:t>se</w:t>
      </w:r>
      <w:r w:rsidRPr="005D6F89">
        <w:rPr>
          <w:rFonts w:ascii="Arial" w:hAnsi="Arial" w:cs="Arial"/>
          <w:sz w:val="24"/>
        </w:rPr>
        <w:t>s</w:t>
      </w:r>
      <w:r w:rsidR="00096B52">
        <w:rPr>
          <w:rFonts w:ascii="Arial" w:hAnsi="Arial" w:cs="Arial"/>
          <w:sz w:val="24"/>
        </w:rPr>
        <w:t>)</w:t>
      </w:r>
      <w:r w:rsidRPr="005D6F89">
        <w:rPr>
          <w:rFonts w:ascii="Arial" w:hAnsi="Arial" w:cs="Arial"/>
          <w:sz w:val="24"/>
        </w:rPr>
        <w:t xml:space="preserve">. </w:t>
      </w:r>
    </w:p>
    <w:p w:rsidR="00C11203" w:rsidRPr="005D6F89" w:rsidP="00C11203" w14:paraId="77A72997" w14:textId="77777777">
      <w:pPr>
        <w:widowControl/>
        <w:tabs>
          <w:tab w:val="num" w:pos="720"/>
        </w:tabs>
        <w:spacing w:before="120"/>
        <w:rPr>
          <w:rFonts w:ascii="Arial" w:hAnsi="Arial" w:cs="Arial"/>
          <w:b/>
          <w:bCs/>
          <w:sz w:val="24"/>
        </w:rPr>
      </w:pPr>
      <w:r w:rsidRPr="005D6F89">
        <w:rPr>
          <w:rFonts w:ascii="Arial" w:hAnsi="Arial" w:cs="Arial"/>
          <w:b/>
          <w:bCs/>
          <w:sz w:val="24"/>
        </w:rPr>
        <w:t>Exhibit 4. Estimated Annualized Burden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4"/>
        <w:gridCol w:w="1440"/>
        <w:gridCol w:w="2134"/>
        <w:gridCol w:w="2992"/>
      </w:tblGrid>
      <w:tr w14:paraId="50DCEF7E" w14:textId="77777777" w:rsidTr="006F5240">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489" w:type="pct"/>
          </w:tcPr>
          <w:p w:rsidR="00C11203" w:rsidRPr="005D6F89" w:rsidP="006F5240" w14:paraId="62F37F50" w14:textId="77777777">
            <w:pPr>
              <w:widowControl/>
              <w:spacing w:before="120"/>
              <w:rPr>
                <w:rFonts w:ascii="Arial" w:hAnsi="Arial" w:cs="Arial"/>
                <w:b/>
                <w:bCs/>
                <w:sz w:val="24"/>
              </w:rPr>
            </w:pPr>
            <w:r w:rsidRPr="005D6F89">
              <w:rPr>
                <w:rFonts w:ascii="Arial" w:hAnsi="Arial" w:cs="Arial"/>
                <w:b/>
                <w:bCs/>
                <w:sz w:val="24"/>
              </w:rPr>
              <w:t>Type of</w:t>
            </w:r>
          </w:p>
          <w:p w:rsidR="00C11203" w:rsidRPr="005D6F89" w:rsidP="006F5240" w14:paraId="32680AD6" w14:textId="77777777">
            <w:pPr>
              <w:widowControl/>
              <w:spacing w:before="120"/>
              <w:rPr>
                <w:rFonts w:ascii="Arial" w:hAnsi="Arial" w:cs="Arial"/>
                <w:sz w:val="24"/>
              </w:rPr>
            </w:pPr>
            <w:r w:rsidRPr="005D6F89">
              <w:rPr>
                <w:rFonts w:ascii="Arial" w:hAnsi="Arial" w:cs="Arial"/>
                <w:b/>
                <w:bCs/>
                <w:sz w:val="24"/>
              </w:rPr>
              <w:t>Respondent (Occupational Profile Code)</w:t>
            </w:r>
          </w:p>
          <w:p w:rsidR="00C11203" w:rsidRPr="005D6F89" w:rsidP="006F5240" w14:paraId="5C74875C" w14:textId="77777777">
            <w:pPr>
              <w:widowControl/>
              <w:spacing w:before="120"/>
              <w:rPr>
                <w:rFonts w:ascii="Arial" w:hAnsi="Arial" w:cs="Arial"/>
                <w:b/>
                <w:bCs/>
                <w:sz w:val="24"/>
              </w:rPr>
            </w:pPr>
          </w:p>
        </w:tc>
        <w:tc>
          <w:tcPr>
            <w:tcW w:w="770" w:type="pct"/>
          </w:tcPr>
          <w:p w:rsidR="00C11203" w:rsidRPr="005D6F89" w:rsidP="006F5240" w14:paraId="7D79C988" w14:textId="77777777">
            <w:pPr>
              <w:widowControl/>
              <w:spacing w:before="120"/>
              <w:rPr>
                <w:rFonts w:ascii="Arial" w:hAnsi="Arial" w:cs="Arial"/>
                <w:b/>
                <w:bCs/>
                <w:sz w:val="24"/>
              </w:rPr>
            </w:pPr>
            <w:r w:rsidRPr="005D6F89">
              <w:rPr>
                <w:rFonts w:ascii="Arial" w:hAnsi="Arial" w:cs="Arial"/>
                <w:b/>
                <w:bCs/>
                <w:sz w:val="24"/>
              </w:rPr>
              <w:t>Total Burden</w:t>
            </w:r>
          </w:p>
          <w:p w:rsidR="00C11203" w:rsidRPr="005D6F89" w:rsidP="006F5240" w14:paraId="443562F0" w14:textId="77777777">
            <w:pPr>
              <w:widowControl/>
              <w:spacing w:before="120"/>
              <w:rPr>
                <w:rFonts w:ascii="Arial" w:hAnsi="Arial" w:cs="Arial"/>
                <w:sz w:val="24"/>
              </w:rPr>
            </w:pPr>
            <w:r w:rsidRPr="005D6F89">
              <w:rPr>
                <w:rFonts w:ascii="Arial" w:hAnsi="Arial" w:cs="Arial"/>
                <w:b/>
                <w:bCs/>
                <w:sz w:val="24"/>
              </w:rPr>
              <w:t>Hours</w:t>
            </w:r>
          </w:p>
          <w:p w:rsidR="00C11203" w:rsidRPr="005D6F89" w:rsidP="006F5240" w14:paraId="4F2166D4" w14:textId="77777777">
            <w:pPr>
              <w:widowControl/>
              <w:spacing w:before="120"/>
              <w:rPr>
                <w:rFonts w:ascii="Arial" w:hAnsi="Arial" w:cs="Arial"/>
                <w:b/>
                <w:bCs/>
                <w:sz w:val="24"/>
              </w:rPr>
            </w:pPr>
          </w:p>
        </w:tc>
        <w:tc>
          <w:tcPr>
            <w:tcW w:w="1141" w:type="pct"/>
          </w:tcPr>
          <w:p w:rsidR="00C11203" w:rsidRPr="005D6F89" w:rsidP="006F5240" w14:paraId="4F72C475" w14:textId="77777777">
            <w:pPr>
              <w:widowControl/>
              <w:spacing w:before="120"/>
              <w:rPr>
                <w:rFonts w:ascii="Arial" w:hAnsi="Arial" w:cs="Arial"/>
                <w:b/>
                <w:bCs/>
                <w:sz w:val="24"/>
              </w:rPr>
            </w:pPr>
            <w:r w:rsidRPr="005D6F89">
              <w:rPr>
                <w:rFonts w:ascii="Arial" w:hAnsi="Arial" w:cs="Arial"/>
                <w:b/>
                <w:bCs/>
                <w:sz w:val="24"/>
              </w:rPr>
              <w:t>Hourly</w:t>
            </w:r>
          </w:p>
          <w:p w:rsidR="00C11203" w:rsidRPr="005D6F89" w:rsidP="006F5240" w14:paraId="00E7967F" w14:textId="77777777">
            <w:pPr>
              <w:widowControl/>
              <w:spacing w:before="120"/>
              <w:rPr>
                <w:rFonts w:ascii="Arial" w:hAnsi="Arial" w:cs="Arial"/>
                <w:sz w:val="24"/>
              </w:rPr>
            </w:pPr>
            <w:r w:rsidRPr="005D6F89">
              <w:rPr>
                <w:rFonts w:ascii="Arial" w:hAnsi="Arial" w:cs="Arial"/>
                <w:b/>
                <w:bCs/>
                <w:sz w:val="24"/>
              </w:rPr>
              <w:t>Wage Rate*</w:t>
            </w:r>
          </w:p>
          <w:p w:rsidR="00C11203" w:rsidRPr="005D6F89" w:rsidP="006F5240" w14:paraId="4F853F62" w14:textId="77777777">
            <w:pPr>
              <w:widowControl/>
              <w:spacing w:before="120"/>
              <w:rPr>
                <w:rFonts w:ascii="Arial" w:hAnsi="Arial" w:cs="Arial"/>
                <w:b/>
                <w:bCs/>
                <w:sz w:val="24"/>
              </w:rPr>
            </w:pPr>
          </w:p>
        </w:tc>
        <w:tc>
          <w:tcPr>
            <w:tcW w:w="1600" w:type="pct"/>
          </w:tcPr>
          <w:p w:rsidR="00C11203" w:rsidRPr="005D6F89" w:rsidP="006F5240" w14:paraId="45DD63C0" w14:textId="77777777">
            <w:pPr>
              <w:widowControl/>
              <w:spacing w:before="120"/>
              <w:rPr>
                <w:rFonts w:ascii="Arial" w:hAnsi="Arial" w:cs="Arial"/>
                <w:sz w:val="24"/>
              </w:rPr>
            </w:pPr>
            <w:r w:rsidRPr="005D6F89">
              <w:rPr>
                <w:rFonts w:ascii="Arial" w:hAnsi="Arial" w:cs="Arial"/>
                <w:b/>
                <w:bCs/>
                <w:sz w:val="24"/>
              </w:rPr>
              <w:t>Total Respondent Costs</w:t>
            </w:r>
          </w:p>
          <w:p w:rsidR="00C11203" w:rsidRPr="005D6F89" w:rsidP="006F5240" w14:paraId="59489730" w14:textId="77777777">
            <w:pPr>
              <w:widowControl/>
              <w:spacing w:before="120"/>
              <w:rPr>
                <w:rFonts w:ascii="Arial" w:hAnsi="Arial" w:cs="Arial"/>
                <w:b/>
                <w:bCs/>
                <w:sz w:val="24"/>
              </w:rPr>
            </w:pPr>
          </w:p>
        </w:tc>
      </w:tr>
      <w:tr w14:paraId="475D6E3A" w14:textId="77777777" w:rsidTr="006F5240">
        <w:tblPrEx>
          <w:tblW w:w="5000" w:type="pct"/>
          <w:tblLayout w:type="fixed"/>
          <w:tblLook w:val="01E0"/>
        </w:tblPrEx>
        <w:tc>
          <w:tcPr>
            <w:tcW w:w="1489" w:type="pct"/>
          </w:tcPr>
          <w:p w:rsidR="00C11203" w:rsidRPr="005D6F89" w:rsidP="00C11203" w14:paraId="46DC938F" w14:textId="77777777">
            <w:pPr>
              <w:spacing w:before="120"/>
              <w:rPr>
                <w:rFonts w:ascii="Arial" w:hAnsi="Arial" w:cs="Arial"/>
                <w:sz w:val="24"/>
              </w:rPr>
            </w:pPr>
            <w:r w:rsidRPr="005D6F89">
              <w:rPr>
                <w:rFonts w:ascii="Arial" w:hAnsi="Arial" w:cs="Arial"/>
                <w:sz w:val="24"/>
              </w:rPr>
              <w:t xml:space="preserve">Physicians (29-1215;29-1216;29-1221) </w:t>
            </w:r>
          </w:p>
        </w:tc>
        <w:tc>
          <w:tcPr>
            <w:tcW w:w="770" w:type="pct"/>
          </w:tcPr>
          <w:p w:rsidR="00C11203" w:rsidRPr="005D6F89" w:rsidP="00C11203" w14:paraId="1715A62D" w14:textId="4E341D0D">
            <w:pPr>
              <w:spacing w:before="120"/>
              <w:rPr>
                <w:rFonts w:ascii="Arial" w:hAnsi="Arial" w:cs="Arial"/>
                <w:sz w:val="24"/>
              </w:rPr>
            </w:pPr>
            <w:r w:rsidRPr="005D6F89">
              <w:rPr>
                <w:rFonts w:ascii="Arial" w:hAnsi="Arial" w:cs="Arial"/>
                <w:sz w:val="24"/>
              </w:rPr>
              <w:t>4,584.</w:t>
            </w:r>
            <w:r w:rsidR="008253FA">
              <w:rPr>
                <w:rFonts w:ascii="Arial" w:hAnsi="Arial" w:cs="Arial"/>
                <w:sz w:val="24"/>
              </w:rPr>
              <w:t>90</w:t>
            </w:r>
          </w:p>
        </w:tc>
        <w:tc>
          <w:tcPr>
            <w:tcW w:w="1141" w:type="pct"/>
          </w:tcPr>
          <w:p w:rsidR="00C11203" w:rsidRPr="005D6F89" w:rsidP="000148DE" w14:paraId="3494BBEE" w14:textId="60059024">
            <w:pPr>
              <w:spacing w:before="120"/>
              <w:jc w:val="right"/>
              <w:rPr>
                <w:rFonts w:ascii="Arial" w:hAnsi="Arial" w:cs="Arial"/>
                <w:sz w:val="24"/>
              </w:rPr>
            </w:pPr>
            <w:r w:rsidRPr="005D6F89">
              <w:rPr>
                <w:rFonts w:ascii="Arial" w:hAnsi="Arial" w:cs="Arial"/>
                <w:sz w:val="24"/>
              </w:rPr>
              <w:t xml:space="preserve"> $</w:t>
            </w:r>
            <w:r w:rsidR="00531BD7">
              <w:rPr>
                <w:rFonts w:ascii="Arial" w:hAnsi="Arial" w:cs="Arial"/>
                <w:sz w:val="24"/>
              </w:rPr>
              <w:t>207.26</w:t>
            </w:r>
            <w:r w:rsidRPr="005D6F89">
              <w:rPr>
                <w:rFonts w:ascii="Arial" w:hAnsi="Arial" w:cs="Arial"/>
                <w:sz w:val="24"/>
              </w:rPr>
              <w:t xml:space="preserve"> </w:t>
            </w:r>
          </w:p>
        </w:tc>
        <w:tc>
          <w:tcPr>
            <w:tcW w:w="1600" w:type="pct"/>
          </w:tcPr>
          <w:p w:rsidR="00C11203" w:rsidRPr="005D6F89" w:rsidP="00C11203" w14:paraId="48FA5A0D" w14:textId="3CE21CD8">
            <w:pPr>
              <w:spacing w:before="120"/>
              <w:jc w:val="right"/>
              <w:rPr>
                <w:rFonts w:ascii="Arial" w:hAnsi="Arial" w:cs="Arial"/>
                <w:sz w:val="24"/>
              </w:rPr>
            </w:pPr>
            <w:r w:rsidRPr="005D6F89">
              <w:rPr>
                <w:rFonts w:ascii="Arial" w:hAnsi="Arial" w:cs="Arial"/>
                <w:sz w:val="24"/>
              </w:rPr>
              <w:t>$</w:t>
            </w:r>
            <w:r w:rsidR="006B1B97">
              <w:rPr>
                <w:rFonts w:ascii="Arial" w:hAnsi="Arial" w:cs="Arial"/>
                <w:sz w:val="24"/>
              </w:rPr>
              <w:t>950,266.37</w:t>
            </w:r>
          </w:p>
        </w:tc>
      </w:tr>
      <w:tr w14:paraId="06A6E6B8" w14:textId="77777777" w:rsidTr="006F5240">
        <w:tblPrEx>
          <w:tblW w:w="5000" w:type="pct"/>
          <w:tblLayout w:type="fixed"/>
          <w:tblLook w:val="01E0"/>
        </w:tblPrEx>
        <w:tc>
          <w:tcPr>
            <w:tcW w:w="1489" w:type="pct"/>
          </w:tcPr>
          <w:p w:rsidR="00C11203" w:rsidRPr="005D6F89" w:rsidP="00C11203" w14:paraId="665A882D" w14:textId="77777777">
            <w:pPr>
              <w:spacing w:before="120"/>
              <w:rPr>
                <w:rFonts w:ascii="Arial" w:hAnsi="Arial" w:cs="Arial"/>
                <w:sz w:val="24"/>
              </w:rPr>
            </w:pPr>
            <w:r w:rsidRPr="005D6F89">
              <w:rPr>
                <w:rFonts w:ascii="Arial" w:hAnsi="Arial" w:cs="Arial"/>
                <w:sz w:val="24"/>
              </w:rPr>
              <w:t xml:space="preserve">Nurse Practitioners (29-1171) </w:t>
            </w:r>
          </w:p>
        </w:tc>
        <w:tc>
          <w:tcPr>
            <w:tcW w:w="770" w:type="pct"/>
          </w:tcPr>
          <w:p w:rsidR="00C11203" w:rsidRPr="005D6F89" w:rsidP="00C11203" w14:paraId="3A270FC6" w14:textId="23CB163F">
            <w:pPr>
              <w:spacing w:before="120"/>
              <w:rPr>
                <w:rFonts w:ascii="Arial" w:hAnsi="Arial" w:cs="Arial"/>
                <w:sz w:val="24"/>
              </w:rPr>
            </w:pPr>
            <w:r w:rsidRPr="005D6F89">
              <w:rPr>
                <w:rFonts w:ascii="Arial" w:hAnsi="Arial" w:cs="Arial"/>
                <w:sz w:val="24"/>
              </w:rPr>
              <w:t>1,361.</w:t>
            </w:r>
            <w:r w:rsidR="008253FA">
              <w:rPr>
                <w:rFonts w:ascii="Arial" w:hAnsi="Arial" w:cs="Arial"/>
                <w:sz w:val="24"/>
              </w:rPr>
              <w:t>0</w:t>
            </w:r>
            <w:r w:rsidRPr="005D6F89">
              <w:rPr>
                <w:rFonts w:ascii="Arial" w:hAnsi="Arial" w:cs="Arial"/>
                <w:sz w:val="24"/>
              </w:rPr>
              <w:t>2</w:t>
            </w:r>
          </w:p>
        </w:tc>
        <w:tc>
          <w:tcPr>
            <w:tcW w:w="1141" w:type="pct"/>
          </w:tcPr>
          <w:p w:rsidR="00C11203" w:rsidRPr="005D6F89" w:rsidP="000148DE" w14:paraId="0794E837" w14:textId="5FE2AD8E">
            <w:pPr>
              <w:spacing w:before="120"/>
              <w:jc w:val="right"/>
              <w:rPr>
                <w:rFonts w:ascii="Arial" w:hAnsi="Arial" w:cs="Arial"/>
                <w:sz w:val="24"/>
              </w:rPr>
            </w:pPr>
            <w:r w:rsidRPr="005D6F89">
              <w:rPr>
                <w:rFonts w:ascii="Arial" w:hAnsi="Arial" w:cs="Arial"/>
                <w:sz w:val="24"/>
              </w:rPr>
              <w:t xml:space="preserve"> $</w:t>
            </w:r>
            <w:r w:rsidR="00531BD7">
              <w:rPr>
                <w:rFonts w:ascii="Arial" w:hAnsi="Arial" w:cs="Arial"/>
                <w:sz w:val="24"/>
              </w:rPr>
              <w:t>121.40</w:t>
            </w:r>
            <w:r w:rsidRPr="005D6F89">
              <w:rPr>
                <w:rFonts w:ascii="Arial" w:hAnsi="Arial" w:cs="Arial"/>
                <w:sz w:val="24"/>
              </w:rPr>
              <w:t xml:space="preserve"> </w:t>
            </w:r>
          </w:p>
        </w:tc>
        <w:tc>
          <w:tcPr>
            <w:tcW w:w="1600" w:type="pct"/>
          </w:tcPr>
          <w:p w:rsidR="00C11203" w:rsidRPr="005D6F89" w:rsidP="00C11203" w14:paraId="769D2BD1" w14:textId="0174A45D">
            <w:pPr>
              <w:spacing w:before="120"/>
              <w:jc w:val="right"/>
              <w:rPr>
                <w:rFonts w:ascii="Arial" w:hAnsi="Arial" w:cs="Arial"/>
                <w:sz w:val="24"/>
              </w:rPr>
            </w:pPr>
            <w:r w:rsidRPr="005D6F89">
              <w:rPr>
                <w:rFonts w:ascii="Arial" w:hAnsi="Arial" w:cs="Arial"/>
                <w:sz w:val="24"/>
              </w:rPr>
              <w:t xml:space="preserve"> $</w:t>
            </w:r>
            <w:r w:rsidR="006B1B97">
              <w:rPr>
                <w:rFonts w:ascii="Arial" w:hAnsi="Arial" w:cs="Arial"/>
                <w:sz w:val="24"/>
              </w:rPr>
              <w:t>165,227.83</w:t>
            </w:r>
          </w:p>
        </w:tc>
      </w:tr>
      <w:tr w14:paraId="14E7F86F" w14:textId="77777777" w:rsidTr="006F5240">
        <w:tblPrEx>
          <w:tblW w:w="5000" w:type="pct"/>
          <w:tblLayout w:type="fixed"/>
          <w:tblLook w:val="01E0"/>
        </w:tblPrEx>
        <w:tc>
          <w:tcPr>
            <w:tcW w:w="1489" w:type="pct"/>
          </w:tcPr>
          <w:p w:rsidR="00C11203" w:rsidRPr="005D6F89" w:rsidP="00C11203" w14:paraId="4BEDC2A3" w14:textId="77777777">
            <w:pPr>
              <w:spacing w:before="120"/>
              <w:rPr>
                <w:rFonts w:ascii="Arial" w:hAnsi="Arial" w:cs="Arial"/>
                <w:sz w:val="24"/>
              </w:rPr>
            </w:pPr>
            <w:r w:rsidRPr="005D6F89">
              <w:rPr>
                <w:rFonts w:ascii="Arial" w:hAnsi="Arial" w:cs="Arial"/>
                <w:sz w:val="24"/>
              </w:rPr>
              <w:t xml:space="preserve">Physician Assistants (29-1071) </w:t>
            </w:r>
          </w:p>
        </w:tc>
        <w:tc>
          <w:tcPr>
            <w:tcW w:w="770" w:type="pct"/>
          </w:tcPr>
          <w:p w:rsidR="00C11203" w:rsidRPr="005D6F89" w:rsidP="00C11203" w14:paraId="7B50BDFA" w14:textId="0EAD145C">
            <w:pPr>
              <w:spacing w:before="120"/>
              <w:rPr>
                <w:rFonts w:ascii="Arial" w:hAnsi="Arial" w:cs="Arial"/>
                <w:sz w:val="24"/>
              </w:rPr>
            </w:pPr>
            <w:r w:rsidRPr="005D6F89">
              <w:rPr>
                <w:rFonts w:ascii="Arial" w:hAnsi="Arial" w:cs="Arial"/>
                <w:sz w:val="24"/>
              </w:rPr>
              <w:t>429.</w:t>
            </w:r>
            <w:r w:rsidR="008253FA">
              <w:rPr>
                <w:rFonts w:ascii="Arial" w:hAnsi="Arial" w:cs="Arial"/>
                <w:sz w:val="24"/>
              </w:rPr>
              <w:t>76</w:t>
            </w:r>
          </w:p>
        </w:tc>
        <w:tc>
          <w:tcPr>
            <w:tcW w:w="1141" w:type="pct"/>
          </w:tcPr>
          <w:p w:rsidR="00C11203" w:rsidRPr="005D6F89" w:rsidP="000148DE" w14:paraId="63952D0F" w14:textId="6564599B">
            <w:pPr>
              <w:spacing w:before="120"/>
              <w:jc w:val="right"/>
              <w:rPr>
                <w:rFonts w:ascii="Arial" w:hAnsi="Arial" w:cs="Arial"/>
                <w:sz w:val="24"/>
              </w:rPr>
            </w:pPr>
            <w:r w:rsidRPr="005D6F89">
              <w:rPr>
                <w:rFonts w:ascii="Arial" w:hAnsi="Arial" w:cs="Arial"/>
                <w:sz w:val="24"/>
              </w:rPr>
              <w:t xml:space="preserve"> $</w:t>
            </w:r>
            <w:r w:rsidR="00531BD7">
              <w:rPr>
                <w:rFonts w:ascii="Arial" w:hAnsi="Arial" w:cs="Arial"/>
                <w:sz w:val="24"/>
              </w:rPr>
              <w:t>125.02</w:t>
            </w:r>
            <w:r w:rsidRPr="005D6F89">
              <w:rPr>
                <w:rFonts w:ascii="Arial" w:hAnsi="Arial" w:cs="Arial"/>
                <w:sz w:val="24"/>
              </w:rPr>
              <w:t xml:space="preserve"> </w:t>
            </w:r>
          </w:p>
        </w:tc>
        <w:tc>
          <w:tcPr>
            <w:tcW w:w="1600" w:type="pct"/>
          </w:tcPr>
          <w:p w:rsidR="00C11203" w:rsidRPr="005D6F89" w:rsidP="00C11203" w14:paraId="6CEE816C" w14:textId="0379DC15">
            <w:pPr>
              <w:spacing w:before="120"/>
              <w:jc w:val="right"/>
              <w:rPr>
                <w:rFonts w:ascii="Arial" w:hAnsi="Arial" w:cs="Arial"/>
                <w:sz w:val="24"/>
              </w:rPr>
            </w:pPr>
            <w:r w:rsidRPr="005D6F89">
              <w:rPr>
                <w:rFonts w:ascii="Arial" w:hAnsi="Arial" w:cs="Arial"/>
                <w:sz w:val="24"/>
              </w:rPr>
              <w:t xml:space="preserve"> $</w:t>
            </w:r>
            <w:r w:rsidR="006B1B97">
              <w:rPr>
                <w:rFonts w:ascii="Arial" w:hAnsi="Arial" w:cs="Arial"/>
                <w:sz w:val="24"/>
              </w:rPr>
              <w:t>53,728.60</w:t>
            </w:r>
          </w:p>
        </w:tc>
      </w:tr>
      <w:tr w14:paraId="1822D605" w14:textId="77777777" w:rsidTr="006F5240">
        <w:tblPrEx>
          <w:tblW w:w="5000" w:type="pct"/>
          <w:tblLayout w:type="fixed"/>
          <w:tblLook w:val="01E0"/>
        </w:tblPrEx>
        <w:tc>
          <w:tcPr>
            <w:tcW w:w="1489" w:type="pct"/>
          </w:tcPr>
          <w:p w:rsidR="00C11203" w:rsidRPr="005D6F89" w:rsidP="00C11203" w14:paraId="223278E4" w14:textId="4E3E621E">
            <w:pPr>
              <w:spacing w:before="120"/>
              <w:rPr>
                <w:rFonts w:ascii="Arial" w:hAnsi="Arial" w:cs="Arial"/>
                <w:sz w:val="24"/>
              </w:rPr>
            </w:pPr>
            <w:r w:rsidRPr="005D6F89">
              <w:rPr>
                <w:rFonts w:ascii="Arial" w:hAnsi="Arial" w:cs="Arial"/>
                <w:sz w:val="24"/>
              </w:rPr>
              <w:t>Counselor, Social Worker, and Other Community and Social Service</w:t>
            </w:r>
            <w:r w:rsidRPr="005D6F89" w:rsidR="003B0DE5">
              <w:rPr>
                <w:rFonts w:ascii="Arial" w:hAnsi="Arial" w:cs="Arial"/>
                <w:sz w:val="24"/>
              </w:rPr>
              <w:t>s</w:t>
            </w:r>
            <w:r w:rsidRPr="005D6F89">
              <w:rPr>
                <w:rFonts w:ascii="Arial" w:hAnsi="Arial" w:cs="Arial"/>
                <w:sz w:val="24"/>
              </w:rPr>
              <w:t xml:space="preserve"> Specialist (21-00</w:t>
            </w:r>
            <w:r w:rsidRPr="005D6F89" w:rsidR="001D1C7E">
              <w:rPr>
                <w:rFonts w:ascii="Arial" w:hAnsi="Arial" w:cs="Arial"/>
                <w:sz w:val="24"/>
              </w:rPr>
              <w:t>0</w:t>
            </w:r>
            <w:r w:rsidRPr="005D6F89">
              <w:rPr>
                <w:rFonts w:ascii="Arial" w:hAnsi="Arial" w:cs="Arial"/>
                <w:sz w:val="24"/>
              </w:rPr>
              <w:t>0)</w:t>
            </w:r>
          </w:p>
        </w:tc>
        <w:tc>
          <w:tcPr>
            <w:tcW w:w="770" w:type="pct"/>
          </w:tcPr>
          <w:p w:rsidR="00C11203" w:rsidRPr="005D6F89" w:rsidP="00C11203" w14:paraId="7BC07617" w14:textId="2F945BE4">
            <w:pPr>
              <w:widowControl/>
              <w:tabs>
                <w:tab w:val="num" w:pos="1080"/>
              </w:tabs>
              <w:spacing w:before="120"/>
              <w:rPr>
                <w:rFonts w:ascii="Arial" w:hAnsi="Arial" w:cs="Arial"/>
                <w:sz w:val="24"/>
              </w:rPr>
            </w:pPr>
            <w:r w:rsidRPr="005D6F89">
              <w:rPr>
                <w:rFonts w:ascii="Arial" w:hAnsi="Arial" w:cs="Arial"/>
                <w:sz w:val="24"/>
              </w:rPr>
              <w:t>573.</w:t>
            </w:r>
            <w:r w:rsidR="008253FA">
              <w:rPr>
                <w:rFonts w:ascii="Arial" w:hAnsi="Arial" w:cs="Arial"/>
                <w:sz w:val="24"/>
              </w:rPr>
              <w:t>24</w:t>
            </w:r>
          </w:p>
          <w:p w:rsidR="00C11203" w:rsidRPr="005D6F89" w:rsidP="00C11203" w14:paraId="182553A7" w14:textId="15B5D531">
            <w:pPr>
              <w:spacing w:before="120"/>
              <w:rPr>
                <w:rFonts w:ascii="Arial" w:hAnsi="Arial" w:cs="Arial"/>
                <w:sz w:val="24"/>
              </w:rPr>
            </w:pPr>
          </w:p>
        </w:tc>
        <w:tc>
          <w:tcPr>
            <w:tcW w:w="1141" w:type="pct"/>
          </w:tcPr>
          <w:p w:rsidR="00096B52" w:rsidRPr="005D6F89" w:rsidP="000148DE" w14:paraId="6B06E69C" w14:textId="5FC69FC5">
            <w:pPr>
              <w:spacing w:before="120"/>
              <w:jc w:val="right"/>
              <w:rPr>
                <w:rFonts w:ascii="Arial" w:hAnsi="Arial" w:cs="Arial"/>
                <w:sz w:val="24"/>
              </w:rPr>
            </w:pPr>
            <w:r w:rsidRPr="005D6F89">
              <w:rPr>
                <w:rFonts w:ascii="Arial" w:hAnsi="Arial" w:cs="Arial"/>
                <w:sz w:val="24"/>
              </w:rPr>
              <w:t>$</w:t>
            </w:r>
            <w:r w:rsidR="00531BD7">
              <w:rPr>
                <w:rFonts w:ascii="Arial" w:hAnsi="Arial" w:cs="Arial"/>
                <w:sz w:val="24"/>
              </w:rPr>
              <w:t>50.00</w:t>
            </w:r>
          </w:p>
        </w:tc>
        <w:tc>
          <w:tcPr>
            <w:tcW w:w="1600" w:type="pct"/>
          </w:tcPr>
          <w:p w:rsidR="00C11203" w:rsidRPr="005D6F89" w:rsidP="00C11203" w14:paraId="02C9F0AD" w14:textId="4423AF23">
            <w:pPr>
              <w:spacing w:before="120"/>
              <w:jc w:val="right"/>
              <w:rPr>
                <w:rFonts w:ascii="Arial" w:hAnsi="Arial" w:cs="Arial"/>
                <w:sz w:val="24"/>
              </w:rPr>
            </w:pPr>
            <w:r w:rsidRPr="005D6F89">
              <w:rPr>
                <w:rFonts w:ascii="Arial" w:hAnsi="Arial" w:cs="Arial"/>
                <w:sz w:val="24"/>
              </w:rPr>
              <w:t>$</w:t>
            </w:r>
            <w:r w:rsidR="006B1B97">
              <w:rPr>
                <w:rFonts w:ascii="Arial" w:hAnsi="Arial" w:cs="Arial"/>
                <w:sz w:val="24"/>
              </w:rPr>
              <w:t>28,662.00</w:t>
            </w:r>
          </w:p>
        </w:tc>
      </w:tr>
      <w:tr w14:paraId="64DDD0FB" w14:textId="77777777" w:rsidTr="006F5240">
        <w:tblPrEx>
          <w:tblW w:w="5000" w:type="pct"/>
          <w:tblLayout w:type="fixed"/>
          <w:tblLook w:val="01E0"/>
        </w:tblPrEx>
        <w:tc>
          <w:tcPr>
            <w:tcW w:w="1489" w:type="pct"/>
          </w:tcPr>
          <w:p w:rsidR="00C11203" w:rsidRPr="005D6F89" w:rsidP="00C11203" w14:paraId="0B794800" w14:textId="77777777">
            <w:pPr>
              <w:spacing w:before="120"/>
              <w:rPr>
                <w:rFonts w:ascii="Arial" w:hAnsi="Arial" w:cs="Arial"/>
                <w:sz w:val="24"/>
              </w:rPr>
            </w:pPr>
            <w:r w:rsidRPr="005D6F89">
              <w:rPr>
                <w:rFonts w:ascii="Arial" w:hAnsi="Arial" w:cs="Arial"/>
                <w:sz w:val="24"/>
              </w:rPr>
              <w:t>Other Health Care Professionals (29-0000)</w:t>
            </w:r>
          </w:p>
        </w:tc>
        <w:tc>
          <w:tcPr>
            <w:tcW w:w="770" w:type="pct"/>
          </w:tcPr>
          <w:p w:rsidR="00C11203" w:rsidRPr="005D6F89" w:rsidP="00C11203" w14:paraId="46CBEBBC" w14:textId="159AE1AB">
            <w:pPr>
              <w:spacing w:before="120"/>
              <w:rPr>
                <w:rFonts w:ascii="Arial" w:hAnsi="Arial" w:cs="Arial"/>
                <w:sz w:val="24"/>
              </w:rPr>
            </w:pPr>
            <w:r w:rsidRPr="005D6F89">
              <w:rPr>
                <w:rFonts w:ascii="Arial" w:hAnsi="Arial" w:cs="Arial"/>
                <w:sz w:val="24"/>
              </w:rPr>
              <w:t>214.</w:t>
            </w:r>
            <w:r w:rsidR="008253FA">
              <w:rPr>
                <w:rFonts w:ascii="Arial" w:hAnsi="Arial" w:cs="Arial"/>
                <w:sz w:val="24"/>
              </w:rPr>
              <w:t>88</w:t>
            </w:r>
          </w:p>
        </w:tc>
        <w:tc>
          <w:tcPr>
            <w:tcW w:w="1141" w:type="pct"/>
          </w:tcPr>
          <w:p w:rsidR="00096B52" w:rsidRPr="005D6F89" w:rsidP="000148DE" w14:paraId="181F6CEE" w14:textId="0D78E486">
            <w:pPr>
              <w:spacing w:before="120"/>
              <w:jc w:val="right"/>
              <w:rPr>
                <w:rFonts w:ascii="Arial" w:hAnsi="Arial" w:cs="Arial"/>
                <w:sz w:val="24"/>
              </w:rPr>
            </w:pPr>
            <w:r w:rsidRPr="005D6F89">
              <w:rPr>
                <w:rFonts w:ascii="Arial" w:hAnsi="Arial" w:cs="Arial"/>
                <w:sz w:val="24"/>
              </w:rPr>
              <w:t xml:space="preserve"> $</w:t>
            </w:r>
            <w:r w:rsidR="00531BD7">
              <w:rPr>
                <w:rFonts w:ascii="Arial" w:hAnsi="Arial" w:cs="Arial"/>
                <w:sz w:val="24"/>
              </w:rPr>
              <w:t>77.72</w:t>
            </w:r>
            <w:r w:rsidRPr="005D6F89">
              <w:rPr>
                <w:rFonts w:ascii="Arial" w:hAnsi="Arial" w:cs="Arial"/>
                <w:sz w:val="24"/>
              </w:rPr>
              <w:t xml:space="preserve"> </w:t>
            </w:r>
          </w:p>
        </w:tc>
        <w:tc>
          <w:tcPr>
            <w:tcW w:w="1600" w:type="pct"/>
          </w:tcPr>
          <w:p w:rsidR="00C11203" w:rsidRPr="005D6F89" w:rsidP="00C11203" w14:paraId="08A2B3F1" w14:textId="1C8E1145">
            <w:pPr>
              <w:spacing w:before="120"/>
              <w:jc w:val="right"/>
              <w:rPr>
                <w:rFonts w:ascii="Arial" w:hAnsi="Arial" w:cs="Arial"/>
                <w:sz w:val="24"/>
              </w:rPr>
            </w:pPr>
            <w:r w:rsidRPr="005D6F89">
              <w:rPr>
                <w:rFonts w:ascii="Arial" w:hAnsi="Arial" w:cs="Arial"/>
                <w:sz w:val="24"/>
              </w:rPr>
              <w:t>$</w:t>
            </w:r>
            <w:r w:rsidR="006B1B97">
              <w:rPr>
                <w:rFonts w:ascii="Arial" w:hAnsi="Arial" w:cs="Arial"/>
                <w:sz w:val="24"/>
              </w:rPr>
              <w:t>16,700.47</w:t>
            </w:r>
          </w:p>
        </w:tc>
      </w:tr>
      <w:tr w14:paraId="61EB12CD" w14:textId="77777777" w:rsidTr="006F5240">
        <w:tblPrEx>
          <w:tblW w:w="5000" w:type="pct"/>
          <w:tblLayout w:type="fixed"/>
          <w:tblLook w:val="01E0"/>
        </w:tblPrEx>
        <w:trPr>
          <w:trHeight w:val="440"/>
        </w:trPr>
        <w:tc>
          <w:tcPr>
            <w:tcW w:w="1489" w:type="pct"/>
          </w:tcPr>
          <w:p w:rsidR="00C11203" w:rsidRPr="005D6F89" w:rsidP="00C11203" w14:paraId="0ECD57F6" w14:textId="12DF520F">
            <w:pPr>
              <w:widowControl/>
              <w:rPr>
                <w:rFonts w:ascii="Arial" w:hAnsi="Arial" w:cs="Arial"/>
                <w:sz w:val="24"/>
              </w:rPr>
            </w:pPr>
            <w:r w:rsidRPr="005D6F89">
              <w:rPr>
                <w:rFonts w:ascii="Arial" w:hAnsi="Arial" w:cs="Arial"/>
                <w:sz w:val="24"/>
              </w:rPr>
              <w:t>Family member/Caregiver</w:t>
            </w:r>
            <w:r w:rsidRPr="005D6F89" w:rsidR="001D1C7E">
              <w:rPr>
                <w:rFonts w:ascii="Arial" w:hAnsi="Arial" w:cs="Arial"/>
                <w:sz w:val="24"/>
              </w:rPr>
              <w:t xml:space="preserve"> (00-</w:t>
            </w:r>
            <w:r w:rsidRPr="005D6F89" w:rsidR="001D1C7E">
              <w:rPr>
                <w:rFonts w:ascii="Arial" w:hAnsi="Arial" w:cs="Arial"/>
                <w:sz w:val="24"/>
              </w:rPr>
              <w:t>0000)</w:t>
            </w:r>
            <w:r w:rsidRPr="005D6F89" w:rsidR="003F14E5">
              <w:rPr>
                <w:rFonts w:ascii="Arial" w:hAnsi="Arial" w:cs="Arial"/>
                <w:sz w:val="24"/>
              </w:rPr>
              <w:t>*</w:t>
            </w:r>
            <w:r w:rsidRPr="005D6F89" w:rsidR="003F14E5">
              <w:rPr>
                <w:rFonts w:ascii="Arial" w:hAnsi="Arial" w:cs="Arial"/>
                <w:sz w:val="24"/>
              </w:rPr>
              <w:t>*</w:t>
            </w:r>
          </w:p>
        </w:tc>
        <w:tc>
          <w:tcPr>
            <w:tcW w:w="770" w:type="pct"/>
          </w:tcPr>
          <w:p w:rsidR="00C11203" w:rsidRPr="005D6F89" w:rsidP="00C11203" w14:paraId="76B41E81" w14:textId="6479F926">
            <w:pPr>
              <w:widowControl/>
              <w:spacing w:before="120"/>
              <w:rPr>
                <w:rFonts w:ascii="Arial" w:hAnsi="Arial" w:cs="Arial"/>
                <w:sz w:val="24"/>
              </w:rPr>
            </w:pPr>
            <w:r>
              <w:rPr>
                <w:rFonts w:ascii="Arial" w:hAnsi="Arial" w:cs="Arial"/>
                <w:sz w:val="24"/>
              </w:rPr>
              <w:t>63.60</w:t>
            </w:r>
          </w:p>
        </w:tc>
        <w:tc>
          <w:tcPr>
            <w:tcW w:w="1141" w:type="pct"/>
          </w:tcPr>
          <w:p w:rsidR="00096B52" w:rsidRPr="005D6F89" w:rsidP="000148DE" w14:paraId="77032628" w14:textId="170BF99E">
            <w:pPr>
              <w:widowControl/>
              <w:spacing w:before="120"/>
              <w:jc w:val="right"/>
              <w:rPr>
                <w:rFonts w:ascii="Arial" w:hAnsi="Arial" w:cs="Arial"/>
                <w:sz w:val="24"/>
              </w:rPr>
            </w:pPr>
            <w:r w:rsidRPr="005D6F89">
              <w:rPr>
                <w:rFonts w:ascii="Arial" w:hAnsi="Arial" w:cs="Arial"/>
                <w:sz w:val="24"/>
              </w:rPr>
              <w:t>$</w:t>
            </w:r>
            <w:r w:rsidR="006243B5">
              <w:rPr>
                <w:rFonts w:ascii="Arial" w:hAnsi="Arial" w:cs="Arial"/>
                <w:sz w:val="24"/>
              </w:rPr>
              <w:t>46.22</w:t>
            </w:r>
          </w:p>
        </w:tc>
        <w:tc>
          <w:tcPr>
            <w:tcW w:w="1600" w:type="pct"/>
          </w:tcPr>
          <w:p w:rsidR="00C11203" w:rsidRPr="005D6F89" w:rsidP="00C11203" w14:paraId="4EDBD0EE" w14:textId="05811693">
            <w:pPr>
              <w:widowControl/>
              <w:spacing w:before="120"/>
              <w:jc w:val="right"/>
              <w:rPr>
                <w:rFonts w:ascii="Arial" w:hAnsi="Arial" w:cs="Arial"/>
                <w:sz w:val="24"/>
              </w:rPr>
            </w:pPr>
            <w:r w:rsidRPr="005D6F89">
              <w:rPr>
                <w:rFonts w:ascii="Arial" w:hAnsi="Arial" w:cs="Arial"/>
                <w:sz w:val="24"/>
              </w:rPr>
              <w:t>$</w:t>
            </w:r>
            <w:r w:rsidR="006B1B97">
              <w:rPr>
                <w:rFonts w:ascii="Arial" w:hAnsi="Arial" w:cs="Arial"/>
                <w:sz w:val="24"/>
              </w:rPr>
              <w:t>2,939.59</w:t>
            </w:r>
          </w:p>
        </w:tc>
      </w:tr>
      <w:tr w14:paraId="583F123C" w14:textId="77777777" w:rsidTr="006F5240">
        <w:tblPrEx>
          <w:tblW w:w="5000" w:type="pct"/>
          <w:tblLayout w:type="fixed"/>
          <w:tblLook w:val="01E0"/>
        </w:tblPrEx>
        <w:trPr>
          <w:trHeight w:val="440"/>
        </w:trPr>
        <w:tc>
          <w:tcPr>
            <w:tcW w:w="1489" w:type="pct"/>
          </w:tcPr>
          <w:p w:rsidR="00C11203" w:rsidRPr="005D6F89" w:rsidP="00C11203" w14:paraId="123D223C" w14:textId="77777777">
            <w:pPr>
              <w:widowControl/>
              <w:spacing w:before="120"/>
              <w:rPr>
                <w:rFonts w:ascii="Arial" w:hAnsi="Arial" w:cs="Arial"/>
                <w:sz w:val="24"/>
              </w:rPr>
            </w:pPr>
            <w:r w:rsidRPr="005D6F89">
              <w:rPr>
                <w:rFonts w:ascii="Arial" w:hAnsi="Arial" w:cs="Arial"/>
                <w:sz w:val="24"/>
              </w:rPr>
              <w:t>Total</w:t>
            </w:r>
          </w:p>
        </w:tc>
        <w:tc>
          <w:tcPr>
            <w:tcW w:w="770" w:type="pct"/>
          </w:tcPr>
          <w:p w:rsidR="00C11203" w:rsidRPr="005D6F89" w:rsidP="00C11203" w14:paraId="265C5270" w14:textId="36C191A8">
            <w:pPr>
              <w:widowControl/>
              <w:tabs>
                <w:tab w:val="num" w:pos="1080"/>
              </w:tabs>
              <w:spacing w:before="120"/>
              <w:rPr>
                <w:rFonts w:ascii="Arial" w:hAnsi="Arial" w:cs="Arial"/>
                <w:sz w:val="24"/>
              </w:rPr>
            </w:pPr>
            <w:r w:rsidRPr="005D6F89">
              <w:rPr>
                <w:rFonts w:ascii="Arial" w:hAnsi="Arial" w:cs="Arial"/>
                <w:sz w:val="24"/>
              </w:rPr>
              <w:t>7,2</w:t>
            </w:r>
            <w:r w:rsidR="008253FA">
              <w:rPr>
                <w:rFonts w:ascii="Arial" w:hAnsi="Arial" w:cs="Arial"/>
                <w:sz w:val="24"/>
              </w:rPr>
              <w:t>27</w:t>
            </w:r>
            <w:r w:rsidRPr="005D6F89">
              <w:rPr>
                <w:rFonts w:ascii="Arial" w:hAnsi="Arial" w:cs="Arial"/>
                <w:sz w:val="24"/>
              </w:rPr>
              <w:t>.</w:t>
            </w:r>
            <w:r w:rsidR="008253FA">
              <w:rPr>
                <w:rFonts w:ascii="Arial" w:hAnsi="Arial" w:cs="Arial"/>
                <w:sz w:val="24"/>
              </w:rPr>
              <w:t>4</w:t>
            </w:r>
            <w:r w:rsidRPr="005D6F89">
              <w:rPr>
                <w:rFonts w:ascii="Arial" w:hAnsi="Arial" w:cs="Arial"/>
                <w:sz w:val="24"/>
              </w:rPr>
              <w:t>0</w:t>
            </w:r>
          </w:p>
          <w:p w:rsidR="00C11203" w:rsidRPr="005D6F89" w:rsidP="00C11203" w14:paraId="4E571084" w14:textId="4166F89C">
            <w:pPr>
              <w:widowControl/>
              <w:spacing w:before="120"/>
              <w:rPr>
                <w:rFonts w:ascii="Arial" w:hAnsi="Arial" w:cs="Arial"/>
                <w:sz w:val="24"/>
              </w:rPr>
            </w:pPr>
          </w:p>
        </w:tc>
        <w:tc>
          <w:tcPr>
            <w:tcW w:w="1141" w:type="pct"/>
          </w:tcPr>
          <w:p w:rsidR="00C11203" w:rsidRPr="005D6F89" w:rsidP="00C11203" w14:paraId="7D21850C" w14:textId="77777777">
            <w:pPr>
              <w:widowControl/>
              <w:spacing w:before="120"/>
              <w:jc w:val="right"/>
              <w:rPr>
                <w:rFonts w:ascii="Arial" w:hAnsi="Arial" w:cs="Arial"/>
                <w:sz w:val="24"/>
              </w:rPr>
            </w:pPr>
          </w:p>
        </w:tc>
        <w:tc>
          <w:tcPr>
            <w:tcW w:w="1600" w:type="pct"/>
          </w:tcPr>
          <w:p w:rsidR="00C11203" w:rsidRPr="005D6F89" w:rsidP="00C11203" w14:paraId="09FA092F" w14:textId="556BFE15">
            <w:pPr>
              <w:widowControl/>
              <w:spacing w:before="120"/>
              <w:jc w:val="right"/>
              <w:rPr>
                <w:rFonts w:ascii="Arial" w:hAnsi="Arial" w:cs="Arial"/>
                <w:sz w:val="24"/>
              </w:rPr>
            </w:pPr>
            <w:r w:rsidRPr="005D6F89">
              <w:rPr>
                <w:rFonts w:ascii="Arial" w:hAnsi="Arial" w:cs="Arial"/>
                <w:sz w:val="24"/>
              </w:rPr>
              <w:t>$</w:t>
            </w:r>
            <w:r w:rsidR="006B1B97">
              <w:rPr>
                <w:rFonts w:ascii="Arial" w:hAnsi="Arial" w:cs="Arial"/>
                <w:sz w:val="24"/>
              </w:rPr>
              <w:t>1,217,524.86</w:t>
            </w:r>
          </w:p>
        </w:tc>
      </w:tr>
    </w:tbl>
    <w:p w:rsidR="00C11203" w:rsidRPr="005D6F89" w:rsidP="00C11203" w14:paraId="06AB708D" w14:textId="65AA62B4">
      <w:pPr>
        <w:ind w:left="360"/>
        <w:rPr>
          <w:rStyle w:val="Hyperlink"/>
          <w:rFonts w:ascii="Arial" w:hAnsi="Arial" w:cs="Arial"/>
          <w:szCs w:val="20"/>
        </w:rPr>
      </w:pPr>
      <w:r w:rsidRPr="005D6F89">
        <w:rPr>
          <w:rFonts w:ascii="Arial" w:hAnsi="Arial" w:cs="Arial"/>
          <w:szCs w:val="20"/>
        </w:rPr>
        <w:t>*SOURCE: U.S. Department of Labor, Bureau of Labor Statistics. (202</w:t>
      </w:r>
      <w:r w:rsidR="00D54CC0">
        <w:rPr>
          <w:rFonts w:ascii="Arial" w:hAnsi="Arial" w:cs="Arial"/>
          <w:szCs w:val="20"/>
        </w:rPr>
        <w:t>4</w:t>
      </w:r>
      <w:r w:rsidRPr="005D6F89">
        <w:rPr>
          <w:rFonts w:ascii="Arial" w:hAnsi="Arial" w:cs="Arial"/>
          <w:szCs w:val="20"/>
        </w:rPr>
        <w:t xml:space="preserve">, </w:t>
      </w:r>
      <w:r w:rsidRPr="005D6F89" w:rsidR="001D1C7E">
        <w:rPr>
          <w:rFonts w:ascii="Arial" w:hAnsi="Arial" w:cs="Arial"/>
          <w:szCs w:val="20"/>
        </w:rPr>
        <w:t>April</w:t>
      </w:r>
      <w:r w:rsidRPr="005D6F89">
        <w:rPr>
          <w:rFonts w:ascii="Arial" w:hAnsi="Arial" w:cs="Arial"/>
          <w:szCs w:val="20"/>
        </w:rPr>
        <w:t xml:space="preserve">). </w:t>
      </w:r>
      <w:r w:rsidRPr="005D6F89">
        <w:rPr>
          <w:rFonts w:ascii="Arial" w:hAnsi="Arial" w:cs="Arial"/>
          <w:i/>
          <w:iCs/>
          <w:szCs w:val="20"/>
        </w:rPr>
        <w:t xml:space="preserve">Occupational employment and wage statistics. </w:t>
      </w:r>
      <w:hyperlink r:id="rId11" w:history="1">
        <w:r w:rsidRPr="005D6F89">
          <w:rPr>
            <w:rStyle w:val="Hyperlink"/>
            <w:rFonts w:ascii="Arial" w:hAnsi="Arial" w:cs="Arial"/>
            <w:szCs w:val="20"/>
          </w:rPr>
          <w:t>https://www.bls.gov/oes/current/oes_stru.htm</w:t>
        </w:r>
      </w:hyperlink>
    </w:p>
    <w:p w:rsidR="003F14E5" w:rsidRPr="005D6F89" w:rsidP="00C11203" w14:paraId="08FDA398" w14:textId="7AAF00EE">
      <w:pPr>
        <w:ind w:left="360"/>
        <w:rPr>
          <w:rFonts w:ascii="Arial" w:hAnsi="Arial" w:cs="Arial"/>
          <w:szCs w:val="20"/>
        </w:rPr>
      </w:pPr>
      <w:r w:rsidRPr="008A3E4D">
        <w:rPr>
          <w:rStyle w:val="Hyperlink"/>
          <w:rFonts w:ascii="Arial" w:hAnsi="Arial" w:cs="Arial"/>
          <w:color w:val="auto"/>
          <w:szCs w:val="20"/>
          <w:u w:val="none"/>
        </w:rPr>
        <w:t xml:space="preserve">**The </w:t>
      </w:r>
      <w:r w:rsidR="00576ACD">
        <w:rPr>
          <w:rStyle w:val="Hyperlink"/>
          <w:rFonts w:ascii="Arial" w:hAnsi="Arial" w:cs="Arial"/>
          <w:color w:val="auto"/>
          <w:szCs w:val="20"/>
          <w:u w:val="none"/>
        </w:rPr>
        <w:t>median</w:t>
      </w:r>
      <w:r w:rsidRPr="008A3E4D" w:rsidR="00576ACD">
        <w:rPr>
          <w:rStyle w:val="Hyperlink"/>
          <w:rFonts w:ascii="Arial" w:hAnsi="Arial" w:cs="Arial"/>
          <w:color w:val="auto"/>
          <w:szCs w:val="20"/>
          <w:u w:val="none"/>
        </w:rPr>
        <w:t xml:space="preserve"> </w:t>
      </w:r>
      <w:r w:rsidRPr="008A3E4D">
        <w:rPr>
          <w:rStyle w:val="Hyperlink"/>
          <w:rFonts w:ascii="Arial" w:hAnsi="Arial" w:cs="Arial"/>
          <w:color w:val="auto"/>
          <w:szCs w:val="20"/>
          <w:u w:val="none"/>
        </w:rPr>
        <w:t>hourly wage for all occupations included in the</w:t>
      </w:r>
      <w:r w:rsidRPr="008A3E4D">
        <w:rPr>
          <w:rStyle w:val="Hyperlink"/>
          <w:rFonts w:ascii="Arial" w:hAnsi="Arial" w:cs="Arial"/>
          <w:color w:val="auto"/>
          <w:szCs w:val="20"/>
        </w:rPr>
        <w:t xml:space="preserve"> </w:t>
      </w:r>
      <w:r w:rsidRPr="005D6F89">
        <w:rPr>
          <w:rFonts w:ascii="Arial" w:hAnsi="Arial" w:cs="Arial"/>
          <w:i/>
          <w:iCs/>
          <w:szCs w:val="20"/>
        </w:rPr>
        <w:t>Occupational employment and wage statistics</w:t>
      </w:r>
      <w:r w:rsidRPr="005D6F89">
        <w:rPr>
          <w:rFonts w:ascii="Arial" w:hAnsi="Arial" w:cs="Arial"/>
          <w:szCs w:val="20"/>
        </w:rPr>
        <w:t xml:space="preserve"> was used for </w:t>
      </w:r>
      <w:r w:rsidRPr="005D6F89" w:rsidR="00B40482">
        <w:rPr>
          <w:rFonts w:ascii="Arial" w:hAnsi="Arial" w:cs="Arial"/>
          <w:szCs w:val="20"/>
        </w:rPr>
        <w:t xml:space="preserve">the </w:t>
      </w:r>
      <w:r w:rsidRPr="005D6F89">
        <w:rPr>
          <w:rFonts w:ascii="Arial" w:hAnsi="Arial" w:cs="Arial"/>
          <w:szCs w:val="20"/>
        </w:rPr>
        <w:t xml:space="preserve">family/caregiver </w:t>
      </w:r>
      <w:r w:rsidRPr="005D6F89" w:rsidR="00B40482">
        <w:rPr>
          <w:rFonts w:ascii="Arial" w:hAnsi="Arial" w:cs="Arial"/>
          <w:szCs w:val="20"/>
        </w:rPr>
        <w:t>Hourly Wage Rate</w:t>
      </w:r>
      <w:r w:rsidRPr="005D6F89">
        <w:rPr>
          <w:rFonts w:ascii="Arial" w:hAnsi="Arial" w:cs="Arial"/>
          <w:szCs w:val="20"/>
        </w:rPr>
        <w:t>.</w:t>
      </w:r>
    </w:p>
    <w:p w:rsidR="009B3794" w:rsidRPr="005D6F89" w:rsidP="00B81E5E" w14:paraId="22E2A391"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Estimates of other Total Annual Cost Burden to Respondents or Recordkeepers/Capital Costs</w:t>
      </w:r>
    </w:p>
    <w:p w:rsidR="008B112C" w:rsidRPr="005D6F89" w:rsidP="008B112C" w14:paraId="59BE1A4E" w14:textId="77777777">
      <w:pPr>
        <w:pStyle w:val="BodyTextIndent"/>
        <w:tabs>
          <w:tab w:val="left" w:pos="0"/>
        </w:tabs>
        <w:spacing w:before="120"/>
        <w:ind w:left="0"/>
        <w:rPr>
          <w:rFonts w:ascii="Arial" w:hAnsi="Arial" w:cs="Arial"/>
        </w:rPr>
      </w:pPr>
      <w:r w:rsidRPr="005D6F89">
        <w:rPr>
          <w:rFonts w:ascii="Arial" w:hAnsi="Arial" w:cs="Arial"/>
        </w:rPr>
        <w:t>Other than time, there is no cost to respondents.</w:t>
      </w:r>
    </w:p>
    <w:p w:rsidR="009B3794" w:rsidRPr="005D6F89" w:rsidP="00B81E5E" w14:paraId="22E2A395"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Annualized Cost to Federal Government</w:t>
      </w:r>
    </w:p>
    <w:p w:rsidR="008B112C" w:rsidRPr="005D6F89" w:rsidP="008B112C" w14:paraId="63B76729" w14:textId="3B79D91D">
      <w:pPr>
        <w:pStyle w:val="BodyTextIndent"/>
        <w:spacing w:before="120"/>
        <w:ind w:left="0"/>
        <w:rPr>
          <w:rFonts w:ascii="Arial" w:hAnsi="Arial" w:cs="Arial"/>
        </w:rPr>
      </w:pPr>
      <w:r w:rsidRPr="005D6F89">
        <w:rPr>
          <w:rFonts w:ascii="Arial" w:hAnsi="Arial" w:cs="Arial"/>
        </w:rPr>
        <w:t xml:space="preserve">The cost to the Federal Government for this 4-year project is $3,170,965 or $792,741 per year on average. The total average cost for the project is $792,741 over a 1-year period. These costs cover all aspects of data collection design, testing, collection, and analysis. The method used to estimate the cost includes preparation of a detailed line-item budget that specifies all staff/consultant rates and labor hours by task, along with operational and other direct costs (e.g., telephone calls, reproduction). </w:t>
      </w:r>
    </w:p>
    <w:p w:rsidR="0023433C" w:rsidRPr="005D6F89" w:rsidP="0023433C" w14:paraId="417DD42D" w14:textId="261A9B9D">
      <w:pPr>
        <w:pStyle w:val="BodyTextIndent"/>
        <w:spacing w:before="120"/>
        <w:ind w:left="0"/>
        <w:rPr>
          <w:rFonts w:ascii="Arial" w:hAnsi="Arial" w:cs="Arial"/>
        </w:rPr>
      </w:pPr>
      <w:r w:rsidRPr="005D6F89">
        <w:rPr>
          <w:rFonts w:ascii="Arial" w:hAnsi="Arial" w:cs="Arial"/>
        </w:rPr>
        <w:t xml:space="preserve">In addition, it is estimated that one full-time equivalent HRSA staff member (Grade 13, Step </w:t>
      </w:r>
      <w:r>
        <w:rPr>
          <w:rFonts w:ascii="Arial" w:hAnsi="Arial" w:cs="Arial"/>
        </w:rPr>
        <w:t>4</w:t>
      </w:r>
      <w:r w:rsidRPr="005D6F89">
        <w:rPr>
          <w:rFonts w:ascii="Arial" w:hAnsi="Arial" w:cs="Arial"/>
        </w:rPr>
        <w:t xml:space="preserve">) will spend </w:t>
      </w:r>
      <w:r>
        <w:rPr>
          <w:rFonts w:ascii="Arial" w:hAnsi="Arial" w:cs="Arial"/>
        </w:rPr>
        <w:t>20</w:t>
      </w:r>
      <w:r w:rsidRPr="005D6F89">
        <w:rPr>
          <w:rFonts w:ascii="Arial" w:hAnsi="Arial" w:cs="Arial"/>
        </w:rPr>
        <w:t>% of his or her time (</w:t>
      </w:r>
      <w:r>
        <w:rPr>
          <w:rFonts w:ascii="Arial" w:hAnsi="Arial" w:cs="Arial"/>
        </w:rPr>
        <w:t>416</w:t>
      </w:r>
      <w:r w:rsidRPr="005D6F89">
        <w:rPr>
          <w:rFonts w:ascii="Arial" w:hAnsi="Arial" w:cs="Arial"/>
        </w:rPr>
        <w:t xml:space="preserve"> hours) to manage and administer the project. Assuming an annual salary of $</w:t>
      </w:r>
      <w:r>
        <w:rPr>
          <w:rFonts w:ascii="Arial" w:hAnsi="Arial" w:cs="Arial"/>
        </w:rPr>
        <w:t>194,638.50 ($129,759 x 1.5 to account for benefits)</w:t>
      </w:r>
      <w:r w:rsidRPr="005D6F89">
        <w:rPr>
          <w:rFonts w:ascii="Arial" w:hAnsi="Arial" w:cs="Arial"/>
        </w:rPr>
        <w:t>, Government personnel costs will be $</w:t>
      </w:r>
      <w:r>
        <w:rPr>
          <w:rFonts w:ascii="Arial" w:hAnsi="Arial" w:cs="Arial"/>
        </w:rPr>
        <w:t>38,927.70 ($25,951.80 x 1.5 to account for benefits)</w:t>
      </w:r>
      <w:r w:rsidRPr="005D6F89">
        <w:rPr>
          <w:rFonts w:ascii="Arial" w:hAnsi="Arial" w:cs="Arial"/>
        </w:rPr>
        <w:t xml:space="preserve"> over a 1-year period</w:t>
      </w:r>
      <w:r>
        <w:rPr>
          <w:rStyle w:val="FootnoteReference"/>
          <w:rFonts w:ascii="Arial" w:hAnsi="Arial" w:cs="Arial"/>
          <w:sz w:val="20"/>
          <w:szCs w:val="20"/>
          <w:vertAlign w:val="superscript"/>
        </w:rPr>
        <w:footnoteReference w:id="4"/>
      </w:r>
      <w:r w:rsidRPr="005D6F89">
        <w:rPr>
          <w:rFonts w:ascii="Arial" w:hAnsi="Arial" w:cs="Arial"/>
        </w:rPr>
        <w:t>.</w:t>
      </w:r>
    </w:p>
    <w:p w:rsidR="009B3794" w:rsidRPr="005D6F89" w:rsidP="00B81E5E" w14:paraId="22E2A398"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Explanation for Program Changes or Adjustments</w:t>
      </w:r>
    </w:p>
    <w:p w:rsidR="00B85D13" w:rsidRPr="005D6F89" w:rsidP="00CA3DA6" w14:paraId="79F64B9C" w14:textId="10FA27DE">
      <w:pPr>
        <w:pStyle w:val="BodyTextIndent"/>
        <w:spacing w:before="120"/>
        <w:ind w:left="360"/>
        <w:rPr>
          <w:rFonts w:ascii="Arial" w:hAnsi="Arial" w:cs="Arial"/>
        </w:rPr>
      </w:pPr>
      <w:r w:rsidRPr="005D6F89">
        <w:rPr>
          <w:rFonts w:ascii="Arial" w:hAnsi="Arial" w:cs="Arial"/>
          <w:bCs/>
        </w:rPr>
        <w:t>This is a new information collection effort.</w:t>
      </w:r>
    </w:p>
    <w:p w:rsidR="009B3794" w:rsidRPr="005D6F89" w:rsidP="00B81E5E" w14:paraId="22E2A3A0"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Plans for Tabulation</w:t>
      </w:r>
      <w:r w:rsidRPr="005D6F89" w:rsidR="002118B4">
        <w:rPr>
          <w:rFonts w:ascii="Arial" w:hAnsi="Arial" w:cs="Arial"/>
          <w:b/>
          <w:sz w:val="24"/>
          <w:u w:val="single"/>
        </w:rPr>
        <w:t xml:space="preserve">, </w:t>
      </w:r>
      <w:r w:rsidRPr="005D6F89">
        <w:rPr>
          <w:rFonts w:ascii="Arial" w:hAnsi="Arial" w:cs="Arial"/>
          <w:b/>
          <w:sz w:val="24"/>
          <w:u w:val="single"/>
        </w:rPr>
        <w:t>Publication</w:t>
      </w:r>
      <w:r w:rsidRPr="005D6F89" w:rsidR="002118B4">
        <w:rPr>
          <w:rFonts w:ascii="Arial" w:hAnsi="Arial" w:cs="Arial"/>
          <w:b/>
          <w:sz w:val="24"/>
          <w:u w:val="single"/>
        </w:rPr>
        <w:t>,</w:t>
      </w:r>
      <w:r w:rsidRPr="005D6F89">
        <w:rPr>
          <w:rFonts w:ascii="Arial" w:hAnsi="Arial" w:cs="Arial"/>
          <w:b/>
          <w:sz w:val="24"/>
          <w:u w:val="single"/>
        </w:rPr>
        <w:t xml:space="preserve"> and Project Time Schedule</w:t>
      </w:r>
    </w:p>
    <w:p w:rsidR="00EE4F8C" w:rsidRPr="005D6F89" w:rsidP="00EE4F8C" w14:paraId="3558A71B" w14:textId="77777777">
      <w:pPr>
        <w:pStyle w:val="BodyTextIndent"/>
        <w:ind w:left="0"/>
        <w:rPr>
          <w:rFonts w:ascii="Arial" w:hAnsi="Arial" w:cs="Arial"/>
          <w:b/>
        </w:rPr>
      </w:pPr>
    </w:p>
    <w:p w:rsidR="00EE4F8C" w:rsidRPr="005D6F89" w:rsidP="00EE4F8C" w14:paraId="6CEDF2CB" w14:textId="1B5614F9">
      <w:pPr>
        <w:pStyle w:val="BodyTextIndent"/>
        <w:ind w:left="0"/>
        <w:rPr>
          <w:rFonts w:ascii="Arial" w:hAnsi="Arial" w:cs="Arial"/>
        </w:rPr>
      </w:pPr>
      <w:r w:rsidRPr="005D6F89">
        <w:rPr>
          <w:rFonts w:ascii="Arial" w:hAnsi="Arial" w:cs="Arial"/>
          <w:b/>
        </w:rPr>
        <w:t xml:space="preserve">Project Time Schedule. </w:t>
      </w:r>
      <w:r w:rsidRPr="005D6F89">
        <w:rPr>
          <w:rFonts w:ascii="Arial" w:hAnsi="Arial" w:cs="Arial"/>
        </w:rPr>
        <w:t>As Exhibit 5</w:t>
      </w:r>
      <w:r w:rsidRPr="005D6F89" w:rsidR="00825530">
        <w:rPr>
          <w:rFonts w:ascii="Arial" w:hAnsi="Arial" w:cs="Arial"/>
        </w:rPr>
        <w:t xml:space="preserve"> shows</w:t>
      </w:r>
      <w:r w:rsidRPr="005D6F89">
        <w:rPr>
          <w:rFonts w:ascii="Arial" w:hAnsi="Arial" w:cs="Arial"/>
        </w:rPr>
        <w:t>, the project covers a 2-year period commencing upon receipt of OMB approval.</w:t>
      </w:r>
    </w:p>
    <w:p w:rsidR="00EE4F8C" w:rsidRPr="005D6F89" w:rsidP="00EE4F8C" w14:paraId="7F885306" w14:textId="77777777">
      <w:pPr>
        <w:pStyle w:val="BodyTextIndent"/>
        <w:ind w:left="0"/>
        <w:rPr>
          <w:rFonts w:ascii="Arial" w:hAnsi="Arial" w:cs="Arial"/>
          <w:b/>
        </w:rPr>
      </w:pPr>
    </w:p>
    <w:p w:rsidR="00EE4F8C" w:rsidRPr="005D6F89" w:rsidP="00EE4F8C" w14:paraId="2BE601FF" w14:textId="77777777">
      <w:pPr>
        <w:pStyle w:val="BodyTextIndent"/>
        <w:ind w:left="0"/>
        <w:rPr>
          <w:rFonts w:ascii="Arial" w:hAnsi="Arial" w:cs="Arial"/>
          <w:b/>
        </w:rPr>
      </w:pPr>
      <w:r w:rsidRPr="005D6F89">
        <w:rPr>
          <w:rFonts w:ascii="Arial" w:hAnsi="Arial" w:cs="Arial"/>
          <w:b/>
        </w:rPr>
        <w:t xml:space="preserve">Exhibit 5. Project Time Schedule </w:t>
      </w:r>
    </w:p>
    <w:tbl>
      <w:tblPr>
        <w:tblStyle w:val="TableGrid"/>
        <w:tblW w:w="0" w:type="auto"/>
        <w:tblInd w:w="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4502"/>
        <w:gridCol w:w="4488"/>
      </w:tblGrid>
      <w:tr w14:paraId="04DCD997" w14:textId="77777777" w:rsidTr="00065D57">
        <w:tblPrEx>
          <w:tblW w:w="0" w:type="auto"/>
          <w:tblInd w:w="36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Ex>
        <w:tc>
          <w:tcPr>
            <w:tcW w:w="4502" w:type="dxa"/>
            <w:shd w:val="clear" w:color="auto" w:fill="0550B3"/>
          </w:tcPr>
          <w:p w:rsidR="00EE4F8C" w:rsidRPr="005D6F89" w:rsidP="006F5240" w14:paraId="31E74E02" w14:textId="77777777">
            <w:pPr>
              <w:pStyle w:val="BodyTextIndent"/>
              <w:ind w:left="0"/>
              <w:jc w:val="center"/>
              <w:rPr>
                <w:rFonts w:ascii="Arial" w:hAnsi="Arial" w:cs="Arial"/>
                <w:b/>
                <w:color w:val="FFFFFF" w:themeColor="background1"/>
              </w:rPr>
            </w:pPr>
            <w:r w:rsidRPr="005D6F89">
              <w:rPr>
                <w:rFonts w:ascii="Arial" w:hAnsi="Arial" w:cs="Arial"/>
                <w:b/>
                <w:color w:val="FFFFFF" w:themeColor="background1"/>
              </w:rPr>
              <w:t>Activity</w:t>
            </w:r>
          </w:p>
        </w:tc>
        <w:tc>
          <w:tcPr>
            <w:tcW w:w="4488" w:type="dxa"/>
            <w:shd w:val="clear" w:color="auto" w:fill="0550B3"/>
          </w:tcPr>
          <w:p w:rsidR="00EE4F8C" w:rsidRPr="005D6F89" w:rsidP="006F5240" w14:paraId="11A86950" w14:textId="77777777">
            <w:pPr>
              <w:pStyle w:val="BodyTextIndent"/>
              <w:ind w:left="0"/>
              <w:jc w:val="center"/>
              <w:rPr>
                <w:rFonts w:ascii="Arial" w:hAnsi="Arial" w:cs="Arial"/>
                <w:b/>
                <w:color w:val="FFFFFF" w:themeColor="background1"/>
              </w:rPr>
            </w:pPr>
            <w:r w:rsidRPr="005D6F89">
              <w:rPr>
                <w:rFonts w:ascii="Arial" w:hAnsi="Arial" w:cs="Arial"/>
                <w:b/>
                <w:color w:val="FFFFFF" w:themeColor="background1"/>
              </w:rPr>
              <w:t>Time Schedule</w:t>
            </w:r>
          </w:p>
        </w:tc>
      </w:tr>
      <w:tr w14:paraId="2028223F" w14:textId="77777777" w:rsidTr="00065D57">
        <w:tblPrEx>
          <w:tblW w:w="0" w:type="auto"/>
          <w:tblInd w:w="360" w:type="dxa"/>
          <w:tblLook w:val="04A0"/>
        </w:tblPrEx>
        <w:tc>
          <w:tcPr>
            <w:tcW w:w="4502" w:type="dxa"/>
            <w:shd w:val="clear" w:color="auto" w:fill="F0EEE8"/>
          </w:tcPr>
          <w:p w:rsidR="00EE4F8C" w:rsidRPr="005D6F89" w:rsidP="006F5240" w14:paraId="279419D3" w14:textId="77777777">
            <w:pPr>
              <w:pStyle w:val="BodyTextIndent"/>
              <w:ind w:left="0"/>
              <w:rPr>
                <w:rFonts w:ascii="Arial" w:hAnsi="Arial" w:cs="Arial"/>
                <w:bCs/>
              </w:rPr>
            </w:pPr>
            <w:r w:rsidRPr="005D6F89">
              <w:rPr>
                <w:rFonts w:ascii="Arial" w:hAnsi="Arial" w:cs="Arial"/>
                <w:bCs/>
              </w:rPr>
              <w:t xml:space="preserve">Obtain OMB approval </w:t>
            </w:r>
          </w:p>
        </w:tc>
        <w:tc>
          <w:tcPr>
            <w:tcW w:w="4488" w:type="dxa"/>
            <w:shd w:val="clear" w:color="auto" w:fill="F0EEE8"/>
          </w:tcPr>
          <w:p w:rsidR="00EE4F8C" w:rsidRPr="005D6F89" w:rsidP="006F5240" w14:paraId="77AF6E51" w14:textId="7B635900">
            <w:pPr>
              <w:pStyle w:val="BodyTextIndent"/>
              <w:ind w:left="0"/>
              <w:rPr>
                <w:rFonts w:ascii="Arial" w:hAnsi="Arial" w:cs="Arial"/>
                <w:bCs/>
              </w:rPr>
            </w:pPr>
            <w:r w:rsidRPr="005D6F89">
              <w:rPr>
                <w:rFonts w:ascii="Arial" w:hAnsi="Arial" w:cs="Arial"/>
                <w:bCs/>
              </w:rPr>
              <w:t>June</w:t>
            </w:r>
            <w:r w:rsidRPr="005D6F89" w:rsidR="00825530">
              <w:rPr>
                <w:rFonts w:ascii="Arial" w:hAnsi="Arial" w:cs="Arial"/>
                <w:bCs/>
              </w:rPr>
              <w:t>–</w:t>
            </w:r>
            <w:r w:rsidR="00450993">
              <w:rPr>
                <w:rFonts w:ascii="Arial" w:hAnsi="Arial" w:cs="Arial"/>
                <w:bCs/>
              </w:rPr>
              <w:t>September</w:t>
            </w:r>
            <w:r w:rsidRPr="005D6F89">
              <w:rPr>
                <w:rFonts w:ascii="Arial" w:hAnsi="Arial" w:cs="Arial"/>
                <w:bCs/>
              </w:rPr>
              <w:t xml:space="preserve"> 202</w:t>
            </w:r>
            <w:r w:rsidRPr="005D6F89" w:rsidR="003F14E5">
              <w:rPr>
                <w:rFonts w:ascii="Arial" w:hAnsi="Arial" w:cs="Arial"/>
                <w:bCs/>
              </w:rPr>
              <w:t>4</w:t>
            </w:r>
          </w:p>
        </w:tc>
      </w:tr>
      <w:tr w14:paraId="4E835ED8" w14:textId="77777777" w:rsidTr="00065D57">
        <w:tblPrEx>
          <w:tblW w:w="0" w:type="auto"/>
          <w:tblInd w:w="360" w:type="dxa"/>
          <w:tblLook w:val="04A0"/>
        </w:tblPrEx>
        <w:tc>
          <w:tcPr>
            <w:tcW w:w="4502" w:type="dxa"/>
          </w:tcPr>
          <w:p w:rsidR="00EE4F8C" w:rsidRPr="005D6F89" w:rsidP="006F5240" w14:paraId="3EB69870" w14:textId="2C18F5D5">
            <w:pPr>
              <w:pStyle w:val="BodyTextIndent"/>
              <w:ind w:left="0"/>
              <w:rPr>
                <w:rFonts w:ascii="Arial" w:hAnsi="Arial" w:cs="Arial"/>
                <w:bCs/>
              </w:rPr>
            </w:pPr>
            <w:r w:rsidRPr="005D6F89">
              <w:rPr>
                <w:rFonts w:ascii="Arial" w:hAnsi="Arial" w:cs="Arial"/>
                <w:bCs/>
              </w:rPr>
              <w:t xml:space="preserve">Administer HP Impact Survey </w:t>
            </w:r>
          </w:p>
        </w:tc>
        <w:tc>
          <w:tcPr>
            <w:tcW w:w="4488" w:type="dxa"/>
          </w:tcPr>
          <w:p w:rsidR="00EE4F8C" w:rsidRPr="005D6F89" w:rsidP="006F5240" w14:paraId="7E02DA73" w14:textId="7E04D7BD">
            <w:pPr>
              <w:pStyle w:val="BodyTextIndent"/>
              <w:ind w:left="0"/>
              <w:rPr>
                <w:rFonts w:ascii="Arial" w:hAnsi="Arial" w:cs="Arial"/>
                <w:bCs/>
              </w:rPr>
            </w:pPr>
            <w:r>
              <w:rPr>
                <w:rFonts w:ascii="Arial" w:hAnsi="Arial" w:cs="Arial"/>
                <w:bCs/>
              </w:rPr>
              <w:t>1</w:t>
            </w:r>
            <w:r w:rsidRPr="005D6F89" w:rsidR="001C2D1B">
              <w:rPr>
                <w:rFonts w:ascii="Arial" w:hAnsi="Arial" w:cs="Arial"/>
                <w:bCs/>
              </w:rPr>
              <w:t>–</w:t>
            </w:r>
            <w:r w:rsidRPr="005D6F89">
              <w:rPr>
                <w:rFonts w:ascii="Arial" w:hAnsi="Arial" w:cs="Arial"/>
                <w:bCs/>
              </w:rPr>
              <w:t>4 months after OMB approval and at</w:t>
            </w:r>
            <w:r w:rsidRPr="005D6F89" w:rsidR="00065D57">
              <w:rPr>
                <w:rFonts w:ascii="Arial" w:hAnsi="Arial" w:cs="Arial"/>
                <w:bCs/>
              </w:rPr>
              <w:t xml:space="preserve"> the</w:t>
            </w:r>
            <w:r w:rsidRPr="005D6F89">
              <w:rPr>
                <w:rFonts w:ascii="Arial" w:hAnsi="Arial" w:cs="Arial"/>
                <w:bCs/>
              </w:rPr>
              <w:t xml:space="preserve"> same timeframe 1 year after OMB approval</w:t>
            </w:r>
          </w:p>
        </w:tc>
      </w:tr>
      <w:tr w14:paraId="4A9A9A6F" w14:textId="77777777" w:rsidTr="00065D57">
        <w:tblPrEx>
          <w:tblW w:w="0" w:type="auto"/>
          <w:tblInd w:w="360" w:type="dxa"/>
          <w:tblLook w:val="04A0"/>
        </w:tblPrEx>
        <w:tc>
          <w:tcPr>
            <w:tcW w:w="4502" w:type="dxa"/>
            <w:shd w:val="clear" w:color="auto" w:fill="F0EEE8"/>
          </w:tcPr>
          <w:p w:rsidR="00EE4F8C" w:rsidRPr="005D6F89" w:rsidP="006F5240" w14:paraId="20DA620E" w14:textId="2D7E7F6E">
            <w:pPr>
              <w:pStyle w:val="BodyTextIndent"/>
              <w:ind w:left="0"/>
              <w:rPr>
                <w:rFonts w:ascii="Arial" w:hAnsi="Arial" w:cs="Arial"/>
                <w:bCs/>
              </w:rPr>
            </w:pPr>
            <w:r w:rsidRPr="005D6F89">
              <w:rPr>
                <w:rFonts w:ascii="Arial" w:hAnsi="Arial" w:cs="Arial"/>
                <w:bCs/>
              </w:rPr>
              <w:t>Administer Family/Caregiver FGD</w:t>
            </w:r>
          </w:p>
        </w:tc>
        <w:tc>
          <w:tcPr>
            <w:tcW w:w="4488" w:type="dxa"/>
            <w:shd w:val="clear" w:color="auto" w:fill="F0EEE8"/>
          </w:tcPr>
          <w:p w:rsidR="00EE4F8C" w:rsidRPr="005D6F89" w:rsidP="006F5240" w14:paraId="74F087E7" w14:textId="09C79EE5">
            <w:pPr>
              <w:pStyle w:val="BodyTextIndent"/>
              <w:ind w:left="0"/>
              <w:rPr>
                <w:rFonts w:ascii="Arial" w:hAnsi="Arial" w:cs="Arial"/>
                <w:bCs/>
              </w:rPr>
            </w:pPr>
            <w:r>
              <w:rPr>
                <w:rFonts w:ascii="Arial" w:hAnsi="Arial" w:cs="Arial"/>
                <w:bCs/>
              </w:rPr>
              <w:t>6</w:t>
            </w:r>
            <w:r w:rsidRPr="005D6F89" w:rsidR="001C2D1B">
              <w:rPr>
                <w:rFonts w:ascii="Arial" w:hAnsi="Arial" w:cs="Arial"/>
                <w:bCs/>
              </w:rPr>
              <w:t>–</w:t>
            </w:r>
            <w:r w:rsidRPr="005D6F89">
              <w:rPr>
                <w:rFonts w:ascii="Arial" w:hAnsi="Arial" w:cs="Arial"/>
                <w:bCs/>
              </w:rPr>
              <w:t xml:space="preserve">9 months after OMB approval </w:t>
            </w:r>
          </w:p>
        </w:tc>
      </w:tr>
      <w:tr w14:paraId="05328D99" w14:textId="77777777" w:rsidTr="009A35D8">
        <w:tblPrEx>
          <w:tblW w:w="0" w:type="auto"/>
          <w:tblInd w:w="360" w:type="dxa"/>
          <w:tblLook w:val="04A0"/>
        </w:tblPrEx>
        <w:tc>
          <w:tcPr>
            <w:tcW w:w="4502" w:type="dxa"/>
            <w:shd w:val="clear" w:color="auto" w:fill="auto"/>
          </w:tcPr>
          <w:p w:rsidR="00C21791" w:rsidRPr="005D6F89" w:rsidP="006F5240" w14:paraId="0247F021" w14:textId="192CDD5C">
            <w:pPr>
              <w:pStyle w:val="BodyTextIndent"/>
              <w:ind w:left="0"/>
              <w:rPr>
                <w:rFonts w:ascii="Arial" w:hAnsi="Arial" w:cs="Arial"/>
                <w:bCs/>
              </w:rPr>
            </w:pPr>
            <w:r>
              <w:rPr>
                <w:rFonts w:ascii="Arial" w:hAnsi="Arial" w:cs="Arial"/>
                <w:bCs/>
              </w:rPr>
              <w:t>Administer Family/Caregiver Demographic Questionnaire</w:t>
            </w:r>
          </w:p>
        </w:tc>
        <w:tc>
          <w:tcPr>
            <w:tcW w:w="4488" w:type="dxa"/>
            <w:shd w:val="clear" w:color="auto" w:fill="auto"/>
          </w:tcPr>
          <w:p w:rsidR="00C21791" w:rsidRPr="005D6F89" w:rsidP="006F5240" w14:paraId="1CD3D22B" w14:textId="646D9CB7">
            <w:pPr>
              <w:pStyle w:val="BodyTextIndent"/>
              <w:ind w:left="0"/>
              <w:rPr>
                <w:rFonts w:ascii="Arial" w:hAnsi="Arial" w:cs="Arial"/>
                <w:bCs/>
              </w:rPr>
            </w:pPr>
            <w:r>
              <w:rPr>
                <w:rFonts w:ascii="Arial" w:hAnsi="Arial" w:cs="Arial"/>
                <w:bCs/>
              </w:rPr>
              <w:t>3-6 months after OMB approval</w:t>
            </w:r>
            <w:r w:rsidR="008D5A5B">
              <w:rPr>
                <w:rFonts w:ascii="Arial" w:hAnsi="Arial" w:cs="Arial"/>
                <w:bCs/>
              </w:rPr>
              <w:t xml:space="preserve"> (prior to FGDs)</w:t>
            </w:r>
          </w:p>
        </w:tc>
      </w:tr>
    </w:tbl>
    <w:p w:rsidR="00EE4F8C" w:rsidRPr="005D6F89" w:rsidP="00EE4F8C" w14:paraId="5EFF530A" w14:textId="1E97BF72">
      <w:pPr>
        <w:spacing w:before="120"/>
        <w:rPr>
          <w:rFonts w:ascii="Arial" w:hAnsi="Arial" w:cs="Arial"/>
          <w:sz w:val="24"/>
        </w:rPr>
      </w:pPr>
      <w:r w:rsidRPr="005D6F89">
        <w:rPr>
          <w:rFonts w:ascii="Arial" w:hAnsi="Arial" w:cs="Arial"/>
          <w:b/>
          <w:bCs/>
          <w:sz w:val="24"/>
        </w:rPr>
        <w:t>Analysis Plan.</w:t>
      </w:r>
      <w:r w:rsidRPr="005D6F89">
        <w:rPr>
          <w:rFonts w:ascii="Arial" w:hAnsi="Arial" w:cs="Arial"/>
          <w:sz w:val="24"/>
        </w:rPr>
        <w:t xml:space="preserve"> The HRSA MCHB </w:t>
      </w:r>
      <w:r w:rsidRPr="005D6F89" w:rsidR="002F636D">
        <w:rPr>
          <w:rFonts w:ascii="Arial" w:hAnsi="Arial" w:cs="Arial"/>
          <w:sz w:val="24"/>
        </w:rPr>
        <w:t>I</w:t>
      </w:r>
      <w:r w:rsidRPr="005D6F89" w:rsidR="00B85D13">
        <w:rPr>
          <w:rFonts w:ascii="Arial" w:hAnsi="Arial" w:cs="Arial"/>
          <w:sz w:val="24"/>
        </w:rPr>
        <w:t xml:space="preserve">mpact </w:t>
      </w:r>
      <w:r w:rsidRPr="005D6F89" w:rsidR="002F636D">
        <w:rPr>
          <w:rFonts w:ascii="Arial" w:hAnsi="Arial" w:cs="Arial"/>
          <w:sz w:val="24"/>
        </w:rPr>
        <w:t>S</w:t>
      </w:r>
      <w:r w:rsidRPr="005D6F89" w:rsidR="00B85D13">
        <w:rPr>
          <w:rFonts w:ascii="Arial" w:hAnsi="Arial" w:cs="Arial"/>
          <w:sz w:val="24"/>
        </w:rPr>
        <w:t>tudy</w:t>
      </w:r>
      <w:r w:rsidRPr="005D6F89">
        <w:rPr>
          <w:rFonts w:ascii="Arial" w:hAnsi="Arial" w:cs="Arial"/>
          <w:sz w:val="24"/>
        </w:rPr>
        <w:t xml:space="preserve"> will encompass the use of multiple instruments, collection of information, and analytical strategies. Both qualitative and quantitative data will be collected and analyzed to assess </w:t>
      </w:r>
      <w:r w:rsidRPr="005D6F89" w:rsidR="002F636D">
        <w:rPr>
          <w:rFonts w:ascii="Arial" w:hAnsi="Arial" w:cs="Arial"/>
          <w:color w:val="000000"/>
          <w:sz w:val="24"/>
        </w:rPr>
        <w:t xml:space="preserve">(1) the impact of HRSA’s </w:t>
      </w:r>
      <w:r w:rsidRPr="005D6F89" w:rsidR="002F636D">
        <w:rPr>
          <w:rFonts w:ascii="Arial" w:hAnsi="Arial" w:cs="Arial"/>
          <w:color w:val="000000"/>
          <w:sz w:val="24"/>
        </w:rPr>
        <w:t>PMHCA program on changes in children</w:t>
      </w:r>
      <w:r w:rsidRPr="005D6F89" w:rsidR="000468AD">
        <w:rPr>
          <w:rFonts w:ascii="Arial" w:hAnsi="Arial" w:cs="Arial"/>
          <w:color w:val="000000"/>
          <w:sz w:val="24"/>
        </w:rPr>
        <w:t>/</w:t>
      </w:r>
      <w:r w:rsidRPr="005D6F89" w:rsidR="002F636D">
        <w:rPr>
          <w:rFonts w:ascii="Arial" w:hAnsi="Arial" w:cs="Arial"/>
          <w:color w:val="000000"/>
          <w:sz w:val="24"/>
        </w:rPr>
        <w:t>adolescents’ and families/caregivers’ access to behavioral health care; their subsequent receipt and utilization of behavioral health care services, including culturally and linguistically appropriate care, and related behavior health impacts, and (2) monetary and societal PMHCA program cost</w:t>
      </w:r>
      <w:r w:rsidRPr="005D6F89" w:rsidR="003F14E5">
        <w:rPr>
          <w:rFonts w:ascii="Arial" w:hAnsi="Arial" w:cs="Arial"/>
          <w:color w:val="000000"/>
          <w:sz w:val="24"/>
        </w:rPr>
        <w:t xml:space="preserve">s and </w:t>
      </w:r>
      <w:r w:rsidRPr="005D6F89" w:rsidR="002F636D">
        <w:rPr>
          <w:rFonts w:ascii="Arial" w:hAnsi="Arial" w:cs="Arial"/>
          <w:color w:val="000000"/>
          <w:sz w:val="24"/>
        </w:rPr>
        <w:t>benefits</w:t>
      </w:r>
      <w:r w:rsidRPr="005D6F89" w:rsidR="002F636D">
        <w:rPr>
          <w:rFonts w:ascii="Arial" w:hAnsi="Arial" w:cs="Arial"/>
          <w:sz w:val="24"/>
        </w:rPr>
        <w:t xml:space="preserve">. </w:t>
      </w:r>
      <w:r w:rsidRPr="005D6F89">
        <w:rPr>
          <w:rFonts w:ascii="Arial" w:hAnsi="Arial" w:cs="Arial"/>
          <w:sz w:val="24"/>
        </w:rPr>
        <w:t xml:space="preserve">Qualitative data analysis will use a thematic approach to uncover underlying themes among the </w:t>
      </w:r>
      <w:r w:rsidRPr="005D6F89" w:rsidR="00021854">
        <w:rPr>
          <w:rFonts w:ascii="Arial" w:hAnsi="Arial" w:cs="Arial"/>
          <w:sz w:val="24"/>
        </w:rPr>
        <w:t xml:space="preserve">Family/Caregiver </w:t>
      </w:r>
      <w:r w:rsidRPr="005D6F89">
        <w:rPr>
          <w:rFonts w:ascii="Arial" w:hAnsi="Arial" w:cs="Arial"/>
          <w:sz w:val="24"/>
        </w:rPr>
        <w:t xml:space="preserve">FGD responses. Quantitative data analyses will include the use of descriptive statistics, univariate analysis, and multivariate analysis. Finally, triangulation of methods (i.e., </w:t>
      </w:r>
      <w:r w:rsidRPr="005D6F89">
        <w:rPr>
          <w:rFonts w:ascii="Arial" w:hAnsi="Arial" w:cs="Arial"/>
          <w:sz w:val="24"/>
        </w:rPr>
        <w:t>qualitative</w:t>
      </w:r>
      <w:r w:rsidRPr="005D6F89">
        <w:rPr>
          <w:rFonts w:ascii="Arial" w:hAnsi="Arial" w:cs="Arial"/>
          <w:sz w:val="24"/>
        </w:rPr>
        <w:t xml:space="preserve"> and quantitative data), when feasible, will be used to examine additional aspects of program achievements </w:t>
      </w:r>
      <w:r w:rsidRPr="005D6F89" w:rsidR="002F636D">
        <w:rPr>
          <w:rFonts w:ascii="Arial" w:hAnsi="Arial" w:cs="Arial"/>
          <w:sz w:val="24"/>
        </w:rPr>
        <w:t xml:space="preserve">and impact </w:t>
      </w:r>
      <w:r w:rsidRPr="005D6F89">
        <w:rPr>
          <w:rFonts w:ascii="Arial" w:hAnsi="Arial" w:cs="Arial"/>
          <w:sz w:val="24"/>
        </w:rPr>
        <w:t>that may not be accomplished with individual methods. The planned qualitative and quantitative data analyses are explained in more detail in the remainder of this section.</w:t>
      </w:r>
    </w:p>
    <w:p w:rsidR="002F636D" w:rsidRPr="005D6F89" w:rsidP="002F636D" w14:paraId="1D46A94B" w14:textId="33F2E28D">
      <w:pPr>
        <w:spacing w:before="120"/>
        <w:rPr>
          <w:rFonts w:ascii="Arial" w:hAnsi="Arial" w:cs="Arial"/>
          <w:sz w:val="24"/>
        </w:rPr>
      </w:pPr>
      <w:r w:rsidRPr="005D6F89">
        <w:rPr>
          <w:rFonts w:ascii="Arial" w:hAnsi="Arial" w:cs="Arial"/>
          <w:b/>
          <w:bCs/>
          <w:sz w:val="24"/>
          <w:u w:val="single"/>
        </w:rPr>
        <w:t>Qualitative Data Analysis:</w:t>
      </w:r>
      <w:r w:rsidRPr="005D6F89">
        <w:rPr>
          <w:rFonts w:ascii="Arial" w:hAnsi="Arial" w:cs="Arial"/>
          <w:sz w:val="24"/>
        </w:rPr>
        <w:t xml:space="preserve"> Analysis will begin with JBS cleaning transcripts based on audio recordings of the </w:t>
      </w:r>
      <w:r w:rsidRPr="005D6F89" w:rsidR="00D556AC">
        <w:rPr>
          <w:rFonts w:ascii="Arial" w:hAnsi="Arial" w:cs="Arial"/>
          <w:sz w:val="24"/>
        </w:rPr>
        <w:t xml:space="preserve">Family/Caregiver </w:t>
      </w:r>
      <w:r w:rsidRPr="005D6F89">
        <w:rPr>
          <w:rFonts w:ascii="Arial" w:hAnsi="Arial" w:cs="Arial"/>
          <w:sz w:val="24"/>
        </w:rPr>
        <w:t xml:space="preserve">FGDs. Data will be analyzed and coded both deductively (i.e., based on pre-existing concepts) and inductively (i.e., concepts arising from the transcripts) by a team using a process of thematic analysis. To guide analysis, the team will develop a qualitative codebook that contains initial codes (i.e., conceptual tags to apply to chunks of text) derived from the research questions, </w:t>
      </w:r>
      <w:r w:rsidRPr="005D6F89" w:rsidR="00B76861">
        <w:rPr>
          <w:rFonts w:ascii="Arial" w:hAnsi="Arial" w:cs="Arial"/>
          <w:sz w:val="24"/>
        </w:rPr>
        <w:t xml:space="preserve">Family/Caregiver </w:t>
      </w:r>
      <w:r w:rsidRPr="005D6F89">
        <w:rPr>
          <w:rFonts w:ascii="Arial" w:hAnsi="Arial" w:cs="Arial"/>
          <w:sz w:val="24"/>
        </w:rPr>
        <w:t>FGD guide questions, and literature on PMHCA/child psychiatric access programs. The codebook will include code descriptions, inclusion and exclusion criteria, and exemplars (i.e., example quotations) from the transcripts. The team lead, a trained qualitative researcher, will develop an analysis protocol, including use of the codebook, upon which the team will be trained.</w:t>
      </w:r>
    </w:p>
    <w:p w:rsidR="002F636D" w:rsidRPr="005D6F89" w:rsidP="002F636D" w14:paraId="3AD9763E" w14:textId="740EFC87">
      <w:pPr>
        <w:spacing w:before="120"/>
        <w:rPr>
          <w:rFonts w:ascii="Arial" w:hAnsi="Arial" w:cs="Arial"/>
          <w:sz w:val="24"/>
        </w:rPr>
      </w:pPr>
      <w:r w:rsidRPr="005D6F89">
        <w:rPr>
          <w:rFonts w:ascii="Arial" w:hAnsi="Arial" w:cs="Arial"/>
          <w:sz w:val="24"/>
        </w:rPr>
        <w:t xml:space="preserve">Analysis will begin with a deep reading of the transcripts to promote overall understanding of the perspectives. </w:t>
      </w:r>
      <w:r w:rsidRPr="005D6F89" w:rsidR="009C65EC">
        <w:rPr>
          <w:rFonts w:ascii="Arial" w:hAnsi="Arial" w:cs="Arial"/>
          <w:sz w:val="24"/>
        </w:rPr>
        <w:t>A primary analyst will code e</w:t>
      </w:r>
      <w:r w:rsidRPr="005D6F89">
        <w:rPr>
          <w:rFonts w:ascii="Arial" w:hAnsi="Arial" w:cs="Arial"/>
          <w:sz w:val="24"/>
        </w:rPr>
        <w:t>ach transcript</w:t>
      </w:r>
      <w:r w:rsidRPr="005D6F89" w:rsidR="00453D50">
        <w:rPr>
          <w:rFonts w:ascii="Arial" w:hAnsi="Arial" w:cs="Arial"/>
          <w:sz w:val="24"/>
        </w:rPr>
        <w:t>,</w:t>
      </w:r>
      <w:r w:rsidRPr="005D6F89">
        <w:rPr>
          <w:rFonts w:ascii="Arial" w:hAnsi="Arial" w:cs="Arial"/>
          <w:sz w:val="24"/>
        </w:rPr>
        <w:t xml:space="preserve"> with coding assessed by a reviewer. Primary coders and reviewers will use electronic memos embedded in the transcript files to exchange questions and answers between primary coders and reviewers and </w:t>
      </w:r>
      <w:r w:rsidRPr="005D6F89" w:rsidR="00453D50">
        <w:rPr>
          <w:rFonts w:ascii="Arial" w:hAnsi="Arial" w:cs="Arial"/>
          <w:sz w:val="24"/>
        </w:rPr>
        <w:t xml:space="preserve">to </w:t>
      </w:r>
      <w:r w:rsidRPr="005D6F89">
        <w:rPr>
          <w:rFonts w:ascii="Arial" w:hAnsi="Arial" w:cs="Arial"/>
          <w:sz w:val="24"/>
        </w:rPr>
        <w:t>refine coding. Interrater reliability (i.e., consistency between coders) will be accomplished by comparing analyses during weekly team meetings and through the primary coder and reviewer</w:t>
      </w:r>
      <w:r w:rsidRPr="005D6F89" w:rsidR="003C05DE">
        <w:rPr>
          <w:rFonts w:ascii="Arial" w:hAnsi="Arial" w:cs="Arial"/>
          <w:sz w:val="24"/>
        </w:rPr>
        <w:t>;</w:t>
      </w:r>
      <w:r w:rsidRPr="005D6F89">
        <w:rPr>
          <w:rFonts w:ascii="Arial" w:hAnsi="Arial" w:cs="Arial"/>
          <w:sz w:val="24"/>
        </w:rPr>
        <w:t xml:space="preserve"> we will also explore the use of a software algorithm for interrater reliability. Team use of </w:t>
      </w:r>
      <w:r w:rsidRPr="005D6F89">
        <w:rPr>
          <w:rFonts w:ascii="Arial" w:hAnsi="Arial" w:cs="Arial"/>
          <w:sz w:val="24"/>
        </w:rPr>
        <w:t>ATLAS.ti</w:t>
      </w:r>
      <w:r w:rsidRPr="005D6F89">
        <w:rPr>
          <w:rFonts w:ascii="Arial" w:hAnsi="Arial" w:cs="Arial"/>
          <w:sz w:val="24"/>
        </w:rPr>
        <w:t xml:space="preserve"> qualitative data analysis software will facilitate the coding and analytic process. </w:t>
      </w:r>
    </w:p>
    <w:p w:rsidR="002F636D" w:rsidRPr="005D6F89" w:rsidP="002F636D" w14:paraId="4399F3C0" w14:textId="2333C48C">
      <w:pPr>
        <w:spacing w:before="120"/>
        <w:rPr>
          <w:rFonts w:ascii="Arial" w:hAnsi="Arial" w:cs="Arial"/>
          <w:sz w:val="24"/>
        </w:rPr>
      </w:pPr>
      <w:r w:rsidRPr="005D6F89">
        <w:rPr>
          <w:rFonts w:ascii="Arial" w:hAnsi="Arial" w:cs="Arial"/>
          <w:sz w:val="24"/>
        </w:rPr>
        <w:t>As coding progresses, the analysts will identify potential key themes and subthemes. After finishing coding of the transcripts, a primary analyst and reviewer will be assigned to produce a summary of findings for each applicable research question</w:t>
      </w:r>
      <w:r w:rsidRPr="005D6F89" w:rsidR="003C05DE">
        <w:rPr>
          <w:rFonts w:ascii="Arial" w:hAnsi="Arial" w:cs="Arial"/>
          <w:sz w:val="24"/>
        </w:rPr>
        <w:t>,</w:t>
      </w:r>
      <w:r w:rsidRPr="005D6F89">
        <w:rPr>
          <w:rFonts w:ascii="Arial" w:hAnsi="Arial" w:cs="Arial"/>
          <w:sz w:val="24"/>
        </w:rPr>
        <w:t xml:space="preserve"> based on the coding and identification of themes, including example </w:t>
      </w:r>
      <w:r w:rsidRPr="005D6F89" w:rsidR="003F14E5">
        <w:rPr>
          <w:rFonts w:ascii="Arial" w:hAnsi="Arial" w:cs="Arial"/>
          <w:sz w:val="24"/>
        </w:rPr>
        <w:t xml:space="preserve">de-identified </w:t>
      </w:r>
      <w:r w:rsidRPr="005D6F89">
        <w:rPr>
          <w:rFonts w:ascii="Arial" w:hAnsi="Arial" w:cs="Arial"/>
          <w:sz w:val="24"/>
        </w:rPr>
        <w:t>quotations from the participants. During the summarization process, the team will discuss fit between the constructed themes and the coded data</w:t>
      </w:r>
      <w:r w:rsidRPr="005D6F89" w:rsidR="00C63308">
        <w:rPr>
          <w:rFonts w:ascii="Arial" w:hAnsi="Arial" w:cs="Arial"/>
          <w:sz w:val="24"/>
        </w:rPr>
        <w:t xml:space="preserve"> and</w:t>
      </w:r>
      <w:r w:rsidRPr="005D6F89">
        <w:rPr>
          <w:rFonts w:ascii="Arial" w:hAnsi="Arial" w:cs="Arial"/>
          <w:sz w:val="24"/>
        </w:rPr>
        <w:t xml:space="preserve"> refine the summaries as needed.</w:t>
      </w:r>
    </w:p>
    <w:p w:rsidR="002F636D" w:rsidRPr="005D6F89" w:rsidP="002F636D" w14:paraId="70514499" w14:textId="77777777">
      <w:pPr>
        <w:spacing w:before="120"/>
        <w:rPr>
          <w:rFonts w:ascii="Arial" w:hAnsi="Arial" w:cs="Arial"/>
          <w:sz w:val="24"/>
        </w:rPr>
      </w:pPr>
      <w:r w:rsidRPr="005D6F89">
        <w:rPr>
          <w:rFonts w:ascii="Arial" w:hAnsi="Arial" w:cs="Arial"/>
          <w:sz w:val="24"/>
        </w:rPr>
        <w:t xml:space="preserve">To enhance reliability and validity, the study team will triangulate findings by data type (i.e., quantitative data, qualitative data) and data source (i.e., qualitative data, literature review, expert opinion). Study team members will convene a series of analytical working sessions to </w:t>
      </w:r>
      <w:r w:rsidRPr="005D6F89">
        <w:rPr>
          <w:rFonts w:ascii="Arial" w:hAnsi="Arial" w:cs="Arial"/>
          <w:sz w:val="24"/>
        </w:rPr>
        <w:t>compare and contrast</w:t>
      </w:r>
      <w:r w:rsidRPr="005D6F89">
        <w:rPr>
          <w:rFonts w:ascii="Arial" w:hAnsi="Arial" w:cs="Arial"/>
          <w:sz w:val="24"/>
        </w:rPr>
        <w:t xml:space="preserve"> findings derived by data types and sources for each research question to identify potential areas requiring further analysis and refinement.</w:t>
      </w:r>
    </w:p>
    <w:p w:rsidR="002F636D" w:rsidRPr="005D6F89" w:rsidP="002F636D" w14:paraId="5C3DADD4" w14:textId="618C08DD">
      <w:pPr>
        <w:spacing w:before="120"/>
        <w:rPr>
          <w:rFonts w:ascii="Arial" w:hAnsi="Arial" w:cs="Arial"/>
          <w:sz w:val="24"/>
        </w:rPr>
      </w:pPr>
      <w:r w:rsidRPr="005D6F89">
        <w:rPr>
          <w:rFonts w:ascii="Arial" w:hAnsi="Arial" w:cs="Arial"/>
          <w:b/>
          <w:bCs/>
          <w:sz w:val="24"/>
          <w:u w:val="single"/>
        </w:rPr>
        <w:t>Quantitative Data Analysis:</w:t>
      </w:r>
      <w:r w:rsidRPr="005D6F89">
        <w:rPr>
          <w:rFonts w:ascii="Arial" w:hAnsi="Arial" w:cs="Arial"/>
          <w:sz w:val="24"/>
          <w:u w:val="single"/>
        </w:rPr>
        <w:t xml:space="preserve"> </w:t>
      </w:r>
      <w:r w:rsidRPr="005D6F89">
        <w:rPr>
          <w:rFonts w:ascii="Arial" w:hAnsi="Arial" w:cs="Arial"/>
          <w:sz w:val="24"/>
        </w:rPr>
        <w:t>The statistical analysis of quantitative data will consider the research questions, measurement characteristics of the selected variables, sample size, distribution of the data, scale of measurement of the variables in the analysis, assumptions underlying the potential statistical tests, statistical power, interpretability of findings and their accessibility for all stakeholders, and acceptability of the approach and results to the scientific community. The goal of the quantitative analytic approach is to produce findings that are credible and accepted by all PMHCA stakeholders.</w:t>
      </w:r>
    </w:p>
    <w:p w:rsidR="00EE4F8C" w:rsidRPr="005D6F89" w:rsidP="002F636D" w14:paraId="620077B3" w14:textId="630A1AC6">
      <w:pPr>
        <w:spacing w:before="120"/>
        <w:rPr>
          <w:rFonts w:ascii="Arial" w:hAnsi="Arial" w:cs="Arial"/>
          <w:sz w:val="24"/>
        </w:rPr>
      </w:pPr>
      <w:r w:rsidRPr="005D6F89">
        <w:rPr>
          <w:rFonts w:ascii="Arial" w:hAnsi="Arial" w:cs="Arial"/>
          <w:sz w:val="24"/>
        </w:rPr>
        <w:t>To guide quantitative data analysis, JBS’s analytic strategy will be implemented at three levels: (1) assessing the distribution of the variables in the primary and secondary data sets</w:t>
      </w:r>
      <w:r w:rsidRPr="005D6F89" w:rsidR="00CF6AF0">
        <w:rPr>
          <w:rFonts w:ascii="Arial" w:hAnsi="Arial" w:cs="Arial"/>
          <w:sz w:val="24"/>
        </w:rPr>
        <w:t>,</w:t>
      </w:r>
      <w:r w:rsidRPr="005D6F89">
        <w:rPr>
          <w:rFonts w:ascii="Arial" w:hAnsi="Arial" w:cs="Arial"/>
          <w:sz w:val="24"/>
        </w:rPr>
        <w:t xml:space="preserve"> (2) conducting bivariate analyses and assessing associations between variables to identify their interrelationships</w:t>
      </w:r>
      <w:r w:rsidRPr="005D6F89" w:rsidR="00CF6AF0">
        <w:rPr>
          <w:rFonts w:ascii="Arial" w:hAnsi="Arial" w:cs="Arial"/>
          <w:sz w:val="24"/>
        </w:rPr>
        <w:t>,</w:t>
      </w:r>
      <w:r w:rsidRPr="005D6F89">
        <w:rPr>
          <w:rFonts w:ascii="Arial" w:hAnsi="Arial" w:cs="Arial"/>
          <w:sz w:val="24"/>
        </w:rPr>
        <w:t xml:space="preserve"> and (3) conducting advanced multivariate and multivariable statistical tests to suggest meaningful inferences that can be put forward in response to the Impact Study’s key research questions.</w:t>
      </w:r>
    </w:p>
    <w:p w:rsidR="002F636D" w:rsidRPr="005D6F89" w:rsidP="002F636D" w14:paraId="74253EB8" w14:textId="1D689330">
      <w:pPr>
        <w:spacing w:before="120"/>
        <w:rPr>
          <w:rFonts w:ascii="Arial" w:hAnsi="Arial" w:cs="Arial"/>
          <w:sz w:val="24"/>
        </w:rPr>
      </w:pPr>
      <w:r w:rsidRPr="005D6F89">
        <w:rPr>
          <w:rFonts w:ascii="Arial" w:hAnsi="Arial" w:cs="Arial"/>
          <w:sz w:val="24"/>
          <w:u w:val="single"/>
        </w:rPr>
        <w:t>Level 1. Univariate Analyses and Assessment of the Distribution of Variables:</w:t>
      </w:r>
      <w:r w:rsidRPr="005D6F89">
        <w:rPr>
          <w:rFonts w:ascii="Arial" w:hAnsi="Arial" w:cs="Arial"/>
          <w:sz w:val="24"/>
        </w:rPr>
        <w:t xml:space="preserve"> Univariate analysis is the most basic consideration of singular variables in which there is only a unitary quantity that changes or varies. The main purpose of univariate analysis is to describe the data. We will calculate measures of central tendency (i.e., mean, median, mode) to provide a simple and concise summary of each variable. Such measures allow us to represent each variable at each time point, which will suggest the center value of each data element at individual points in time, as well as a general indication of change over time for variables with multiple time points.</w:t>
      </w:r>
    </w:p>
    <w:p w:rsidR="002F636D" w:rsidRPr="005D6F89" w:rsidP="002F636D" w14:paraId="53E40EEE" w14:textId="3778B078">
      <w:pPr>
        <w:spacing w:before="120"/>
        <w:rPr>
          <w:rFonts w:ascii="Arial" w:hAnsi="Arial" w:cs="Arial"/>
          <w:sz w:val="24"/>
        </w:rPr>
      </w:pPr>
      <w:r w:rsidRPr="005D6F89">
        <w:rPr>
          <w:rFonts w:ascii="Arial" w:hAnsi="Arial" w:cs="Arial"/>
          <w:sz w:val="24"/>
        </w:rPr>
        <w:t>We will calculate statistics that summarize the distribution of each included data element or measure to obtain a picture of how much spread there is within and between variables. These statistics will include standard deviation (</w:t>
      </w:r>
      <w:r w:rsidRPr="005D6F89" w:rsidR="00AB443D">
        <w:rPr>
          <w:rFonts w:ascii="Arial" w:hAnsi="Arial" w:cs="Arial"/>
          <w:sz w:val="24"/>
        </w:rPr>
        <w:t xml:space="preserve">i.e., </w:t>
      </w:r>
      <w:r w:rsidRPr="005D6F89">
        <w:rPr>
          <w:rFonts w:ascii="Arial" w:hAnsi="Arial" w:cs="Arial"/>
          <w:sz w:val="24"/>
        </w:rPr>
        <w:t>variability or spread of data), skewness (</w:t>
      </w:r>
      <w:r w:rsidRPr="005D6F89" w:rsidR="00AB443D">
        <w:rPr>
          <w:rFonts w:ascii="Arial" w:hAnsi="Arial" w:cs="Arial"/>
          <w:sz w:val="24"/>
        </w:rPr>
        <w:t xml:space="preserve">i.e., </w:t>
      </w:r>
      <w:r w:rsidRPr="005D6F89">
        <w:rPr>
          <w:rFonts w:ascii="Arial" w:hAnsi="Arial" w:cs="Arial"/>
          <w:sz w:val="24"/>
        </w:rPr>
        <w:t>symmetry of the data distribution), kurtosis (</w:t>
      </w:r>
      <w:r w:rsidRPr="005D6F89" w:rsidR="00AB443D">
        <w:rPr>
          <w:rFonts w:ascii="Arial" w:hAnsi="Arial" w:cs="Arial"/>
          <w:sz w:val="24"/>
        </w:rPr>
        <w:t xml:space="preserve">i.e., </w:t>
      </w:r>
      <w:r w:rsidRPr="005D6F89">
        <w:rPr>
          <w:rFonts w:ascii="Arial" w:hAnsi="Arial" w:cs="Arial"/>
          <w:sz w:val="24"/>
        </w:rPr>
        <w:t>peakedness</w:t>
      </w:r>
      <w:r w:rsidRPr="005D6F89">
        <w:rPr>
          <w:rFonts w:ascii="Arial" w:hAnsi="Arial" w:cs="Arial"/>
          <w:sz w:val="24"/>
        </w:rPr>
        <w:t xml:space="preserve"> or flatness of the data distribution), and range (</w:t>
      </w:r>
      <w:r w:rsidRPr="005D6F89" w:rsidR="00AB443D">
        <w:rPr>
          <w:rFonts w:ascii="Arial" w:hAnsi="Arial" w:cs="Arial"/>
          <w:sz w:val="24"/>
        </w:rPr>
        <w:t xml:space="preserve">i.e., </w:t>
      </w:r>
      <w:r w:rsidRPr="005D6F89">
        <w:rPr>
          <w:rFonts w:ascii="Arial" w:hAnsi="Arial" w:cs="Arial"/>
          <w:sz w:val="24"/>
        </w:rPr>
        <w:t xml:space="preserve">separation between low and high values for each variable). These statistics will also provide information important to assessing whether the assumptions of potential statistical tests are met and </w:t>
      </w:r>
      <w:r w:rsidRPr="005D6F89" w:rsidR="00030F4F">
        <w:rPr>
          <w:rFonts w:ascii="Arial" w:hAnsi="Arial" w:cs="Arial"/>
          <w:sz w:val="24"/>
        </w:rPr>
        <w:t xml:space="preserve">to </w:t>
      </w:r>
      <w:r w:rsidRPr="005D6F89">
        <w:rPr>
          <w:rFonts w:ascii="Arial" w:hAnsi="Arial" w:cs="Arial"/>
          <w:sz w:val="24"/>
        </w:rPr>
        <w:t>consequent analytic decisions.</w:t>
      </w:r>
    </w:p>
    <w:p w:rsidR="002F636D" w:rsidRPr="005D6F89" w:rsidP="002F636D" w14:paraId="6F1DA47D" w14:textId="0593387C">
      <w:pPr>
        <w:spacing w:before="120"/>
        <w:rPr>
          <w:rFonts w:ascii="Arial" w:hAnsi="Arial" w:cs="Arial"/>
          <w:sz w:val="24"/>
        </w:rPr>
      </w:pPr>
      <w:r w:rsidRPr="005D6F89">
        <w:rPr>
          <w:rFonts w:ascii="Arial" w:hAnsi="Arial" w:cs="Arial"/>
          <w:sz w:val="24"/>
        </w:rPr>
        <w:t>We will examine errors or anomalies in the data distributions</w:t>
      </w:r>
      <w:r w:rsidRPr="005D6F89" w:rsidR="00030F4F">
        <w:rPr>
          <w:rFonts w:ascii="Arial" w:hAnsi="Arial" w:cs="Arial"/>
          <w:sz w:val="24"/>
        </w:rPr>
        <w:t>,</w:t>
      </w:r>
      <w:r w:rsidRPr="005D6F89">
        <w:rPr>
          <w:rFonts w:ascii="Arial" w:hAnsi="Arial" w:cs="Arial"/>
          <w:sz w:val="24"/>
        </w:rPr>
        <w:t xml:space="preserve"> using appropriate visualization methods</w:t>
      </w:r>
      <w:r w:rsidRPr="005D6F89" w:rsidR="008B53EF">
        <w:rPr>
          <w:rFonts w:ascii="Arial" w:hAnsi="Arial" w:cs="Arial"/>
          <w:sz w:val="24"/>
        </w:rPr>
        <w:t xml:space="preserve"> (e.g.,</w:t>
      </w:r>
      <w:r w:rsidRPr="005D6F89">
        <w:rPr>
          <w:rFonts w:ascii="Arial" w:hAnsi="Arial" w:cs="Arial"/>
          <w:sz w:val="24"/>
        </w:rPr>
        <w:t xml:space="preserve"> histograms may identify spikes or gaps that suggest errors or outliers; box plots may graphically present central tendency, spread, and outliers; scatter plots of two variables may reveal patterns or clusters of related data points</w:t>
      </w:r>
      <w:r w:rsidRPr="005D6F89" w:rsidR="008B53EF">
        <w:rPr>
          <w:rFonts w:ascii="Arial" w:hAnsi="Arial" w:cs="Arial"/>
          <w:sz w:val="24"/>
        </w:rPr>
        <w:t>)</w:t>
      </w:r>
      <w:r w:rsidRPr="005D6F89">
        <w:rPr>
          <w:rFonts w:ascii="Arial" w:hAnsi="Arial" w:cs="Arial"/>
          <w:sz w:val="24"/>
        </w:rPr>
        <w:t>. All these measures may be useful in informing subsequent analyses and interpretations.</w:t>
      </w:r>
    </w:p>
    <w:p w:rsidR="002F636D" w:rsidRPr="005D6F89" w:rsidP="002F636D" w14:paraId="5F3C3C0E" w14:textId="0FC7B83A">
      <w:pPr>
        <w:spacing w:before="120"/>
        <w:rPr>
          <w:rFonts w:ascii="Arial" w:hAnsi="Arial" w:cs="Arial"/>
          <w:sz w:val="24"/>
        </w:rPr>
      </w:pPr>
      <w:r w:rsidRPr="005D6F89">
        <w:rPr>
          <w:rFonts w:ascii="Arial" w:hAnsi="Arial" w:cs="Arial"/>
          <w:sz w:val="24"/>
        </w:rPr>
        <w:t>We will assess the extent and nature of missing or suppressed values</w:t>
      </w:r>
      <w:r w:rsidRPr="005D6F89" w:rsidR="008B53EF">
        <w:rPr>
          <w:rFonts w:ascii="Arial" w:hAnsi="Arial" w:cs="Arial"/>
          <w:sz w:val="24"/>
        </w:rPr>
        <w:t>,</w:t>
      </w:r>
      <w:r w:rsidRPr="005D6F89">
        <w:rPr>
          <w:rFonts w:ascii="Arial" w:hAnsi="Arial" w:cs="Arial"/>
          <w:sz w:val="24"/>
        </w:rPr>
        <w:t xml:space="preserve"> using frequency distributions. Such an analysis will help guide decisions about imputation, which is an important decision point because restricting analysis to only observations with complete data could bias sample statistics</w:t>
      </w:r>
      <w:r w:rsidRPr="005D6F89" w:rsidR="00302C4F">
        <w:rPr>
          <w:rFonts w:ascii="Arial" w:hAnsi="Arial" w:cs="Arial"/>
          <w:sz w:val="24"/>
        </w:rPr>
        <w:t xml:space="preserve"> (e.g.,</w:t>
      </w:r>
      <w:r w:rsidRPr="005D6F89">
        <w:rPr>
          <w:rFonts w:ascii="Arial" w:hAnsi="Arial" w:cs="Arial"/>
          <w:sz w:val="24"/>
        </w:rPr>
        <w:t xml:space="preserve"> regression coefficients</w:t>
      </w:r>
      <w:r w:rsidRPr="005D6F89" w:rsidR="00302C4F">
        <w:rPr>
          <w:rFonts w:ascii="Arial" w:hAnsi="Arial" w:cs="Arial"/>
          <w:sz w:val="24"/>
        </w:rPr>
        <w:t>)</w:t>
      </w:r>
      <w:r w:rsidRPr="005D6F89">
        <w:rPr>
          <w:rFonts w:ascii="Arial" w:hAnsi="Arial" w:cs="Arial"/>
          <w:sz w:val="24"/>
        </w:rPr>
        <w:t xml:space="preserve">, resulting in less powerful and reliable estimates. To address these potential limitations, JBS will consider the imputation of missing values for all variables with a high number of missing values. We will review, select, and apply the most efficient method based on careful consideration </w:t>
      </w:r>
      <w:r w:rsidRPr="005D6F89">
        <w:rPr>
          <w:rFonts w:ascii="Arial" w:hAnsi="Arial" w:cs="Arial"/>
          <w:sz w:val="24"/>
        </w:rPr>
        <w:t>of the dataset and the type of missing data.</w:t>
      </w:r>
    </w:p>
    <w:p w:rsidR="002F636D" w:rsidRPr="005D6F89" w:rsidP="002F636D" w14:paraId="24D8CD9D" w14:textId="77777777">
      <w:pPr>
        <w:spacing w:before="120"/>
        <w:rPr>
          <w:rFonts w:ascii="Arial" w:hAnsi="Arial" w:cs="Arial"/>
          <w:sz w:val="24"/>
        </w:rPr>
      </w:pPr>
      <w:r w:rsidRPr="005D6F89">
        <w:rPr>
          <w:rFonts w:ascii="Arial" w:hAnsi="Arial" w:cs="Arial"/>
          <w:sz w:val="24"/>
        </w:rPr>
        <w:t>In summary, our first level of analysis will assess the accuracy of measurements, identify sources of error, suggest methods with which to address error, and provide essential descriptive information. Such analyses provide a foundation for subsequent more advanced statistical tests.</w:t>
      </w:r>
    </w:p>
    <w:p w:rsidR="002F636D" w:rsidRPr="005D6F89" w:rsidP="002F636D" w14:paraId="4AB38087" w14:textId="778E3789">
      <w:pPr>
        <w:spacing w:before="120"/>
        <w:rPr>
          <w:rFonts w:ascii="Arial" w:hAnsi="Arial" w:cs="Arial"/>
          <w:sz w:val="24"/>
        </w:rPr>
      </w:pPr>
      <w:r w:rsidRPr="005D6F89">
        <w:rPr>
          <w:rFonts w:ascii="Arial" w:hAnsi="Arial" w:cs="Arial"/>
          <w:sz w:val="24"/>
          <w:u w:val="single"/>
        </w:rPr>
        <w:t xml:space="preserve">Level 2. Bivariate Analyses and Assessing Interrelationships Between Variables: </w:t>
      </w:r>
      <w:r w:rsidRPr="005D6F89">
        <w:rPr>
          <w:rFonts w:ascii="Arial" w:hAnsi="Arial" w:cs="Arial"/>
          <w:sz w:val="24"/>
        </w:rPr>
        <w:t>Bivariate analyses are the building blocks on which subsequent</w:t>
      </w:r>
      <w:r w:rsidRPr="005D6F89" w:rsidR="008357CD">
        <w:rPr>
          <w:rFonts w:ascii="Arial" w:hAnsi="Arial" w:cs="Arial"/>
          <w:sz w:val="24"/>
        </w:rPr>
        <w:t>,</w:t>
      </w:r>
      <w:r w:rsidRPr="005D6F89">
        <w:rPr>
          <w:rFonts w:ascii="Arial" w:hAnsi="Arial" w:cs="Arial"/>
          <w:sz w:val="24"/>
        </w:rPr>
        <w:t xml:space="preserve"> more sophisticated multivariable analyses rest. Examples of bivariate analyses include the correlation of screening rates with measures of unmet need or the comparison of impacts in subgroups</w:t>
      </w:r>
      <w:r w:rsidRPr="005D6F89" w:rsidR="00BE3F86">
        <w:rPr>
          <w:rFonts w:ascii="Arial" w:hAnsi="Arial" w:cs="Arial"/>
          <w:sz w:val="24"/>
        </w:rPr>
        <w:t xml:space="preserve"> (e.g.,</w:t>
      </w:r>
      <w:r w:rsidRPr="005D6F89">
        <w:rPr>
          <w:rFonts w:ascii="Arial" w:hAnsi="Arial" w:cs="Arial"/>
          <w:sz w:val="24"/>
        </w:rPr>
        <w:t xml:space="preserve"> PMHCA versus non-PMHCA geographic areas</w:t>
      </w:r>
      <w:r w:rsidRPr="005D6F89" w:rsidR="00BE3F86">
        <w:rPr>
          <w:rFonts w:ascii="Arial" w:hAnsi="Arial" w:cs="Arial"/>
          <w:sz w:val="24"/>
        </w:rPr>
        <w:t xml:space="preserve"> and</w:t>
      </w:r>
      <w:r w:rsidRPr="005D6F89">
        <w:rPr>
          <w:rFonts w:ascii="Arial" w:hAnsi="Arial" w:cs="Arial"/>
          <w:sz w:val="24"/>
        </w:rPr>
        <w:t xml:space="preserve"> PMHCA-participating versus PMHCA-nonparticipating respondents to the HP Impact Survey</w:t>
      </w:r>
      <w:r w:rsidRPr="005D6F89" w:rsidR="00BE3F86">
        <w:rPr>
          <w:rFonts w:ascii="Arial" w:hAnsi="Arial" w:cs="Arial"/>
          <w:sz w:val="24"/>
        </w:rPr>
        <w:t>)</w:t>
      </w:r>
      <w:r w:rsidRPr="005D6F89">
        <w:rPr>
          <w:rFonts w:ascii="Arial" w:hAnsi="Arial" w:cs="Arial"/>
          <w:sz w:val="24"/>
        </w:rPr>
        <w:t xml:space="preserve">. In addition to providing insights into individual variables and sets of individual variables, bivariate analyses assist in making informed decisions about more advanced statistical tests. We will conduct bivariate tests as appropriate and based on whether the data </w:t>
      </w:r>
      <w:r w:rsidRPr="005D6F89" w:rsidR="000C14B2">
        <w:rPr>
          <w:rFonts w:ascii="Arial" w:hAnsi="Arial" w:cs="Arial"/>
          <w:sz w:val="24"/>
        </w:rPr>
        <w:t xml:space="preserve">(1) </w:t>
      </w:r>
      <w:r w:rsidRPr="005D6F89" w:rsidR="001D0CC7">
        <w:rPr>
          <w:rFonts w:ascii="Arial" w:hAnsi="Arial" w:cs="Arial"/>
          <w:sz w:val="24"/>
        </w:rPr>
        <w:t xml:space="preserve">are </w:t>
      </w:r>
      <w:r w:rsidRPr="005D6F89">
        <w:rPr>
          <w:rFonts w:ascii="Arial" w:hAnsi="Arial" w:cs="Arial"/>
          <w:sz w:val="24"/>
        </w:rPr>
        <w:t xml:space="preserve">nominal, ordinal, or continuous (i.e., interval or ratio), </w:t>
      </w:r>
      <w:r w:rsidRPr="005D6F89" w:rsidR="000C14B2">
        <w:rPr>
          <w:rFonts w:ascii="Arial" w:hAnsi="Arial" w:cs="Arial"/>
          <w:sz w:val="24"/>
        </w:rPr>
        <w:t>(2)</w:t>
      </w:r>
      <w:r w:rsidRPr="005D6F89">
        <w:rPr>
          <w:rFonts w:ascii="Arial" w:hAnsi="Arial" w:cs="Arial"/>
          <w:sz w:val="24"/>
        </w:rPr>
        <w:t xml:space="preserve"> </w:t>
      </w:r>
      <w:r w:rsidRPr="005D6F89" w:rsidR="001D0CC7">
        <w:rPr>
          <w:rFonts w:ascii="Arial" w:hAnsi="Arial" w:cs="Arial"/>
          <w:sz w:val="24"/>
        </w:rPr>
        <w:t xml:space="preserve">are </w:t>
      </w:r>
      <w:r w:rsidRPr="005D6F89">
        <w:rPr>
          <w:rFonts w:ascii="Arial" w:hAnsi="Arial" w:cs="Arial"/>
          <w:sz w:val="24"/>
        </w:rPr>
        <w:t xml:space="preserve">paired or independent, and </w:t>
      </w:r>
      <w:r w:rsidRPr="005D6F89" w:rsidR="001D0CC7">
        <w:rPr>
          <w:rFonts w:ascii="Arial" w:hAnsi="Arial" w:cs="Arial"/>
          <w:sz w:val="24"/>
        </w:rPr>
        <w:t xml:space="preserve">(3) </w:t>
      </w:r>
      <w:r w:rsidRPr="005D6F89">
        <w:rPr>
          <w:rFonts w:ascii="Arial" w:hAnsi="Arial" w:cs="Arial"/>
          <w:sz w:val="24"/>
        </w:rPr>
        <w:t>can be assumed to be normally distributed. Parametric tests will include Student’s t-test and ANOVA. Nonparametric tests will include chi-square (or Fisher’s exact), Mann–Whitney U, Kruskal–Wallis, and Wilcoxon. Comparisons of groups via the above tests will show the significance of differences in central tendency and variability or in observed versus expected frequencies.</w:t>
      </w:r>
    </w:p>
    <w:p w:rsidR="002F636D" w:rsidRPr="005D6F89" w:rsidP="002F636D" w14:paraId="635685F8" w14:textId="118F0A74">
      <w:pPr>
        <w:spacing w:before="120"/>
        <w:rPr>
          <w:rFonts w:ascii="Arial" w:hAnsi="Arial" w:cs="Arial"/>
          <w:sz w:val="24"/>
        </w:rPr>
      </w:pPr>
      <w:r w:rsidRPr="005D6F89">
        <w:rPr>
          <w:rFonts w:ascii="Arial" w:hAnsi="Arial" w:cs="Arial"/>
          <w:sz w:val="24"/>
        </w:rPr>
        <w:t>We will use correlation to test the strength of the relationship between variables, sometimes presented as the amount of variance the variables share (i.e., the square of the correlation coefficient, called the coefficient of determination) or, conversely, do not share (i.e., the amount of unexplained variance, called the coefficient of alienation). Correlation also identifies whether relationships between variables are positive, negative, or lacking. These tests can be applied to continuous variables (</w:t>
      </w:r>
      <w:r w:rsidRPr="005D6F89" w:rsidR="00687F11">
        <w:rPr>
          <w:rFonts w:ascii="Arial" w:hAnsi="Arial" w:cs="Arial"/>
          <w:sz w:val="24"/>
        </w:rPr>
        <w:t xml:space="preserve">i.e., </w:t>
      </w:r>
      <w:r w:rsidRPr="005D6F89">
        <w:rPr>
          <w:rFonts w:ascii="Arial" w:hAnsi="Arial" w:cs="Arial"/>
          <w:sz w:val="24"/>
        </w:rPr>
        <w:t>Pearson product-moment), continuous and dichotomous combinations (</w:t>
      </w:r>
      <w:r w:rsidRPr="005D6F89" w:rsidR="00687F11">
        <w:rPr>
          <w:rFonts w:ascii="Arial" w:hAnsi="Arial" w:cs="Arial"/>
          <w:sz w:val="24"/>
        </w:rPr>
        <w:t xml:space="preserve">i.e., </w:t>
      </w:r>
      <w:r w:rsidRPr="005D6F89">
        <w:rPr>
          <w:rFonts w:ascii="Arial" w:hAnsi="Arial" w:cs="Arial"/>
          <w:sz w:val="24"/>
        </w:rPr>
        <w:t>point-biserial), or two dichotomous variables (</w:t>
      </w:r>
      <w:r w:rsidRPr="005D6F89" w:rsidR="00687F11">
        <w:rPr>
          <w:rFonts w:ascii="Arial" w:hAnsi="Arial" w:cs="Arial"/>
          <w:sz w:val="24"/>
        </w:rPr>
        <w:t xml:space="preserve">i.e., </w:t>
      </w:r>
      <w:r w:rsidRPr="005D6F89">
        <w:rPr>
          <w:rFonts w:ascii="Arial" w:hAnsi="Arial" w:cs="Arial"/>
          <w:sz w:val="24"/>
        </w:rPr>
        <w:t>phi coefficient). In addition to assessing independence/dependence, correlation can be useful in identifying potential covariates for more advanced analyses.</w:t>
      </w:r>
    </w:p>
    <w:p w:rsidR="002F636D" w:rsidRPr="005D6F89" w:rsidP="002F636D" w14:paraId="069BFC15" w14:textId="6C36DF50">
      <w:pPr>
        <w:spacing w:before="120"/>
        <w:rPr>
          <w:rFonts w:ascii="Arial" w:hAnsi="Arial" w:cs="Arial"/>
          <w:sz w:val="24"/>
        </w:rPr>
      </w:pPr>
      <w:r w:rsidRPr="005D6F89">
        <w:rPr>
          <w:rFonts w:ascii="Arial" w:hAnsi="Arial" w:cs="Arial"/>
          <w:sz w:val="24"/>
          <w:u w:val="single"/>
        </w:rPr>
        <w:t>Level 3. Advanced Multivariable and Multivariate Statistical Tests to Suggest Meaningful Analytic Inferences</w:t>
      </w:r>
      <w:r w:rsidRPr="005D6F89" w:rsidR="001E2B12">
        <w:rPr>
          <w:rFonts w:ascii="Arial" w:hAnsi="Arial" w:cs="Arial"/>
          <w:sz w:val="24"/>
          <w:u w:val="single"/>
        </w:rPr>
        <w:t xml:space="preserve">: </w:t>
      </w:r>
      <w:r w:rsidRPr="005D6F89">
        <w:rPr>
          <w:rFonts w:ascii="Arial" w:hAnsi="Arial" w:cs="Arial"/>
          <w:sz w:val="24"/>
        </w:rPr>
        <w:t>Based on the Impact Study key research questions and consideration of individual variables in Level 1 analyses and Level 2 bivariate analyses, we will determine the appropriate multivariable (</w:t>
      </w:r>
      <w:r w:rsidRPr="005D6F89" w:rsidR="00573A62">
        <w:rPr>
          <w:rFonts w:ascii="Arial" w:hAnsi="Arial" w:cs="Arial"/>
          <w:sz w:val="24"/>
        </w:rPr>
        <w:t xml:space="preserve">i.e., </w:t>
      </w:r>
      <w:r w:rsidRPr="005D6F89">
        <w:rPr>
          <w:rFonts w:ascii="Arial" w:hAnsi="Arial" w:cs="Arial"/>
          <w:sz w:val="24"/>
        </w:rPr>
        <w:t>analysis with one outcome variable) and multivariate (</w:t>
      </w:r>
      <w:r w:rsidRPr="005D6F89" w:rsidR="00573A62">
        <w:rPr>
          <w:rFonts w:ascii="Arial" w:hAnsi="Arial" w:cs="Arial"/>
          <w:sz w:val="24"/>
        </w:rPr>
        <w:t xml:space="preserve">i.e., </w:t>
      </w:r>
      <w:r w:rsidRPr="005D6F89">
        <w:rPr>
          <w:rFonts w:ascii="Arial" w:hAnsi="Arial" w:cs="Arial"/>
          <w:sz w:val="24"/>
        </w:rPr>
        <w:t>analysis with more than one outcome variable) tests. The principal tests will include assessment of change over time.</w:t>
      </w:r>
    </w:p>
    <w:p w:rsidR="002F636D" w:rsidRPr="005D6F89" w:rsidP="002F636D" w14:paraId="29225BAA" w14:textId="5120BC95">
      <w:pPr>
        <w:spacing w:before="120"/>
        <w:rPr>
          <w:rFonts w:ascii="Arial" w:hAnsi="Arial" w:cs="Arial"/>
          <w:sz w:val="24"/>
        </w:rPr>
      </w:pPr>
      <w:r w:rsidRPr="005D6F89">
        <w:rPr>
          <w:rFonts w:ascii="Arial" w:hAnsi="Arial" w:cs="Arial"/>
          <w:sz w:val="24"/>
        </w:rPr>
        <w:t xml:space="preserve">We will conduct interrupted time series or event study models to examine trends before and after the implementation of PMHCA </w:t>
      </w:r>
      <w:r w:rsidRPr="005D6F89">
        <w:rPr>
          <w:rFonts w:ascii="Arial" w:hAnsi="Arial" w:cs="Arial"/>
          <w:sz w:val="24"/>
        </w:rPr>
        <w:t>in a given</w:t>
      </w:r>
      <w:r w:rsidRPr="005D6F89">
        <w:rPr>
          <w:rFonts w:ascii="Arial" w:hAnsi="Arial" w:cs="Arial"/>
          <w:sz w:val="24"/>
        </w:rPr>
        <w:t xml:space="preserve"> region or area. Because PMHCA programs were implemented at different time points in different places, we will conduct analyses standardized in “event time” (i.e., years relative to implementation) when combining areas with different implementation timelines. Depending on the outcome of </w:t>
      </w:r>
      <w:r w:rsidRPr="005D6F89">
        <w:rPr>
          <w:rFonts w:ascii="Arial" w:hAnsi="Arial" w:cs="Arial"/>
          <w:sz w:val="24"/>
        </w:rPr>
        <w:t>interest, we will use generalized linear models (GLM)</w:t>
      </w:r>
      <w:r w:rsidRPr="005D6F89" w:rsidR="0063191B">
        <w:rPr>
          <w:rFonts w:ascii="Arial" w:hAnsi="Arial" w:cs="Arial"/>
          <w:sz w:val="24"/>
        </w:rPr>
        <w:t>;</w:t>
      </w:r>
      <w:r w:rsidRPr="005D6F89">
        <w:rPr>
          <w:rFonts w:ascii="Arial" w:hAnsi="Arial" w:cs="Arial"/>
          <w:sz w:val="24"/>
        </w:rPr>
        <w:t xml:space="preserve"> generalized estimating equations</w:t>
      </w:r>
      <w:r w:rsidRPr="005D6F89" w:rsidR="0063191B">
        <w:rPr>
          <w:rFonts w:ascii="Arial" w:hAnsi="Arial" w:cs="Arial"/>
          <w:sz w:val="24"/>
        </w:rPr>
        <w:t>,</w:t>
      </w:r>
      <w:r w:rsidRPr="005D6F89">
        <w:rPr>
          <w:rFonts w:ascii="Arial" w:hAnsi="Arial" w:cs="Arial"/>
          <w:sz w:val="24"/>
        </w:rPr>
        <w:t xml:space="preserve"> an extension of </w:t>
      </w:r>
      <w:r w:rsidRPr="005D6F89" w:rsidR="00F26386">
        <w:rPr>
          <w:rFonts w:ascii="Arial" w:hAnsi="Arial" w:cs="Arial"/>
          <w:sz w:val="24"/>
        </w:rPr>
        <w:t>GLM;</w:t>
      </w:r>
      <w:r w:rsidRPr="005D6F89">
        <w:rPr>
          <w:rFonts w:ascii="Arial" w:hAnsi="Arial" w:cs="Arial"/>
          <w:sz w:val="24"/>
        </w:rPr>
        <w:t xml:space="preserve"> or repeated measures ANOVA, as appropriate</w:t>
      </w:r>
      <w:r w:rsidRPr="005D6F89" w:rsidR="00E65F4C">
        <w:rPr>
          <w:rFonts w:ascii="Arial" w:hAnsi="Arial" w:cs="Arial"/>
          <w:sz w:val="24"/>
        </w:rPr>
        <w:t>,</w:t>
      </w:r>
      <w:r w:rsidRPr="005D6F89">
        <w:rPr>
          <w:rFonts w:ascii="Arial" w:hAnsi="Arial" w:cs="Arial"/>
          <w:sz w:val="24"/>
        </w:rPr>
        <w:t xml:space="preserve"> based on the nature of the data under consideration and the assumptions and analytic merits of each test. </w:t>
      </w:r>
    </w:p>
    <w:p w:rsidR="002F636D" w:rsidRPr="005D6F89" w:rsidP="002F636D" w14:paraId="26235EC7" w14:textId="2A911B76">
      <w:pPr>
        <w:spacing w:before="120"/>
        <w:rPr>
          <w:rFonts w:ascii="Arial" w:hAnsi="Arial" w:cs="Arial"/>
          <w:sz w:val="24"/>
        </w:rPr>
      </w:pPr>
      <w:r w:rsidRPr="005D6F89">
        <w:rPr>
          <w:rFonts w:ascii="Arial" w:hAnsi="Arial" w:cs="Arial"/>
          <w:sz w:val="24"/>
        </w:rPr>
        <w:t>We will also use difference-in-difference (DID) analysis to assess the relative impact of PMHCA by comparing changes in outcomes over time between areas in which PMHCA was implemented with areas in which the program was not implemented. DID is particularly useful when it is not possible to randomly assign areas to treatment and control groups for comparison, as in our case. As such, this analysis can compare how outcomes unfold over time for children and families more likely to be exposed to PMHCA programs with how outcomes unfold over time for children and families less likely to be exposed to PMHCA due to being in the non-PMHCA areas. Assuming similar trends in the groups prior to exposure to PMHCA, DID allows an assessment of the impact of PMHCA by assessing the difference between these two groups before and after implementation of PMHCA. If tests of the pre-trends assumptions for DID analysis are not satisfied, we can conduct bounding exercises to assess the direction and extent of potential bias.</w:t>
      </w:r>
    </w:p>
    <w:p w:rsidR="002F636D" w:rsidRPr="005D6F89" w:rsidP="002F636D" w14:paraId="35F7BFDA" w14:textId="74835002">
      <w:pPr>
        <w:spacing w:before="120"/>
        <w:rPr>
          <w:rFonts w:ascii="Arial" w:hAnsi="Arial" w:cs="Arial"/>
          <w:sz w:val="24"/>
        </w:rPr>
      </w:pPr>
      <w:r w:rsidRPr="005D6F89">
        <w:rPr>
          <w:rFonts w:ascii="Arial" w:hAnsi="Arial" w:cs="Arial"/>
          <w:sz w:val="24"/>
        </w:rPr>
        <w:t>Because PMHCA implementation timing and methods vary by location, there will be variation in the populations served in different regions at different times. Therefore, after estimating our main DID models on the overall population, we will stratify our models</w:t>
      </w:r>
      <w:r w:rsidRPr="005D6F89" w:rsidR="00A25493">
        <w:rPr>
          <w:rFonts w:ascii="Arial" w:hAnsi="Arial" w:cs="Arial"/>
          <w:sz w:val="24"/>
        </w:rPr>
        <w:t>,</w:t>
      </w:r>
      <w:r w:rsidRPr="005D6F89">
        <w:rPr>
          <w:rFonts w:ascii="Arial" w:hAnsi="Arial" w:cs="Arial"/>
          <w:sz w:val="24"/>
        </w:rPr>
        <w:t xml:space="preserve"> to the extent possible</w:t>
      </w:r>
      <w:r w:rsidRPr="005D6F89" w:rsidR="00A25493">
        <w:rPr>
          <w:rFonts w:ascii="Arial" w:hAnsi="Arial" w:cs="Arial"/>
          <w:sz w:val="24"/>
        </w:rPr>
        <w:t>,</w:t>
      </w:r>
      <w:r w:rsidRPr="005D6F89">
        <w:rPr>
          <w:rFonts w:ascii="Arial" w:hAnsi="Arial" w:cs="Arial"/>
          <w:sz w:val="24"/>
        </w:rPr>
        <w:t xml:space="preserve"> based on information about the implementation method (e.g., whether a prescribing behavioral health provider was part of the program) or population characteristics (e.g., rurality, racia</w:t>
      </w:r>
      <w:r w:rsidRPr="005D6F89" w:rsidR="00B85DF7">
        <w:rPr>
          <w:rFonts w:ascii="Arial" w:hAnsi="Arial" w:cs="Arial"/>
          <w:sz w:val="24"/>
        </w:rPr>
        <w:t xml:space="preserve">l and </w:t>
      </w:r>
      <w:r w:rsidRPr="005D6F89">
        <w:rPr>
          <w:rFonts w:ascii="Arial" w:hAnsi="Arial" w:cs="Arial"/>
          <w:sz w:val="24"/>
        </w:rPr>
        <w:t xml:space="preserve">ethnic minority, Health Professional Shortage Areas). We will also stratify the model to target specific subgroups relevant for our extrapolation of downstream societal outcomes. </w:t>
      </w:r>
    </w:p>
    <w:p w:rsidR="002F636D" w:rsidRPr="005D6F89" w:rsidP="002F636D" w14:paraId="15379752" w14:textId="5210F0DB">
      <w:pPr>
        <w:spacing w:before="120"/>
        <w:rPr>
          <w:rFonts w:ascii="Arial" w:hAnsi="Arial" w:cs="Arial"/>
          <w:sz w:val="24"/>
        </w:rPr>
      </w:pPr>
      <w:r w:rsidRPr="005D6F89">
        <w:rPr>
          <w:rFonts w:ascii="Arial" w:hAnsi="Arial" w:cs="Arial"/>
          <w:sz w:val="24"/>
        </w:rPr>
        <w:t>We will use estimates derived from the DID and event study models as inputs into an exploratory cost-benefit analysis. Many of the downstream outcomes of interest (e.g., high school graduation, employment) have not yet been realized by patients currently being treated by physicians participating in PMHCA. Therefore, we will conduct a hypothetical exercise</w:t>
      </w:r>
      <w:r w:rsidRPr="005D6F89" w:rsidR="003C0A7A">
        <w:rPr>
          <w:rFonts w:ascii="Arial" w:hAnsi="Arial" w:cs="Arial"/>
          <w:sz w:val="24"/>
        </w:rPr>
        <w:t>,</w:t>
      </w:r>
      <w:r w:rsidRPr="005D6F89">
        <w:rPr>
          <w:rFonts w:ascii="Arial" w:hAnsi="Arial" w:cs="Arial"/>
          <w:sz w:val="24"/>
        </w:rPr>
        <w:t xml:space="preserve"> using estimates from the literature</w:t>
      </w:r>
      <w:r w:rsidRPr="005D6F89" w:rsidR="003C0A7A">
        <w:rPr>
          <w:rFonts w:ascii="Arial" w:hAnsi="Arial" w:cs="Arial"/>
          <w:sz w:val="24"/>
        </w:rPr>
        <w:t>,</w:t>
      </w:r>
      <w:r w:rsidRPr="005D6F89">
        <w:rPr>
          <w:rFonts w:ascii="Arial" w:hAnsi="Arial" w:cs="Arial"/>
          <w:sz w:val="24"/>
        </w:rPr>
        <w:t xml:space="preserve"> to extrapolate the potential impact of any observed changes in utilization or receipt of care on these </w:t>
      </w:r>
      <w:r w:rsidRPr="005D6F89" w:rsidR="0082713C">
        <w:rPr>
          <w:rFonts w:ascii="Arial" w:hAnsi="Arial" w:cs="Arial"/>
          <w:sz w:val="24"/>
        </w:rPr>
        <w:t>longer-term</w:t>
      </w:r>
      <w:r w:rsidRPr="005D6F89">
        <w:rPr>
          <w:rFonts w:ascii="Arial" w:hAnsi="Arial" w:cs="Arial"/>
          <w:sz w:val="24"/>
        </w:rPr>
        <w:t xml:space="preserve"> outcomes. </w:t>
      </w:r>
    </w:p>
    <w:p w:rsidR="00EE4F8C" w:rsidRPr="005D6F89" w:rsidP="00EE4F8C" w14:paraId="46FD047D" w14:textId="7A849BCE">
      <w:pPr>
        <w:spacing w:before="120"/>
        <w:rPr>
          <w:rFonts w:ascii="Arial" w:hAnsi="Arial" w:cs="Arial"/>
          <w:color w:val="000000"/>
          <w:sz w:val="24"/>
        </w:rPr>
      </w:pPr>
      <w:r w:rsidRPr="005D6F89">
        <w:rPr>
          <w:rFonts w:ascii="Arial" w:hAnsi="Arial" w:cs="Arial"/>
          <w:b/>
          <w:bCs/>
          <w:sz w:val="24"/>
        </w:rPr>
        <w:t>Publication Plan.</w:t>
      </w:r>
      <w:r w:rsidRPr="005D6F89">
        <w:rPr>
          <w:rFonts w:ascii="Arial" w:hAnsi="Arial" w:cs="Arial"/>
          <w:sz w:val="24"/>
        </w:rPr>
        <w:t xml:space="preserve"> As stated in Section A.2, the goal of the </w:t>
      </w:r>
      <w:r w:rsidRPr="005D6F89" w:rsidR="003449FC">
        <w:rPr>
          <w:rFonts w:ascii="Arial" w:hAnsi="Arial" w:cs="Arial"/>
          <w:sz w:val="24"/>
        </w:rPr>
        <w:t xml:space="preserve">Impact Study is to </w:t>
      </w:r>
      <w:r w:rsidRPr="005D6F89" w:rsidR="003449FC">
        <w:rPr>
          <w:rFonts w:ascii="Arial" w:hAnsi="Arial" w:cs="Arial"/>
          <w:bCs/>
          <w:color w:val="000000"/>
          <w:sz w:val="24"/>
        </w:rPr>
        <w:t xml:space="preserve">guide future program decisions </w:t>
      </w:r>
      <w:r w:rsidRPr="005D6F89" w:rsidR="003449FC">
        <w:rPr>
          <w:rFonts w:ascii="Arial" w:hAnsi="Arial" w:cs="Arial"/>
          <w:color w:val="000000"/>
          <w:sz w:val="24"/>
        </w:rPr>
        <w:t xml:space="preserve">regarding the PMHCA </w:t>
      </w:r>
      <w:r w:rsidRPr="005D6F89" w:rsidR="007C5E57">
        <w:rPr>
          <w:rFonts w:ascii="Arial" w:hAnsi="Arial" w:cs="Arial"/>
          <w:color w:val="000000"/>
          <w:sz w:val="24"/>
        </w:rPr>
        <w:t>p</w:t>
      </w:r>
      <w:r w:rsidRPr="005D6F89" w:rsidR="003449FC">
        <w:rPr>
          <w:rFonts w:ascii="Arial" w:hAnsi="Arial" w:cs="Arial"/>
          <w:color w:val="000000"/>
          <w:sz w:val="24"/>
        </w:rPr>
        <w:t xml:space="preserve">rogram. </w:t>
      </w:r>
      <w:r w:rsidRPr="005D6F89">
        <w:rPr>
          <w:rFonts w:ascii="Arial" w:hAnsi="Arial" w:cs="Arial"/>
          <w:sz w:val="24"/>
        </w:rPr>
        <w:t xml:space="preserve">It is therefore important to prepare and disseminate information that clearly and concisely presents </w:t>
      </w:r>
      <w:r w:rsidRPr="005D6F89" w:rsidR="007C5E57">
        <w:rPr>
          <w:rFonts w:ascii="Arial" w:hAnsi="Arial" w:cs="Arial"/>
          <w:sz w:val="24"/>
        </w:rPr>
        <w:t xml:space="preserve">Impact Study </w:t>
      </w:r>
      <w:r w:rsidRPr="005D6F89">
        <w:rPr>
          <w:rFonts w:ascii="Arial" w:hAnsi="Arial" w:cs="Arial"/>
          <w:sz w:val="24"/>
        </w:rPr>
        <w:t>results so that they can be appreciated by both technical and nontechnical audiences. Publication activities will include:</w:t>
      </w:r>
    </w:p>
    <w:p w:rsidR="003449FC" w:rsidRPr="005D6F89" w:rsidP="003449FC" w14:paraId="276D883A" w14:textId="6D896E76">
      <w:pPr>
        <w:pStyle w:val="ListParagraph"/>
        <w:numPr>
          <w:ilvl w:val="0"/>
          <w:numId w:val="18"/>
        </w:numPr>
        <w:spacing w:before="120"/>
        <w:rPr>
          <w:rFonts w:ascii="Arial" w:hAnsi="Arial" w:cs="Arial"/>
          <w:sz w:val="24"/>
        </w:rPr>
      </w:pPr>
      <w:r w:rsidRPr="005D6F89">
        <w:rPr>
          <w:rFonts w:ascii="Arial" w:hAnsi="Arial" w:cs="Arial"/>
          <w:sz w:val="24"/>
        </w:rPr>
        <w:t xml:space="preserve">Hosting two webinars annually—one for HRSA staff, and one for HRSA staff and PMHCA awardees—to provide an overview of the progress of the </w:t>
      </w:r>
      <w:r w:rsidRPr="005D6F89" w:rsidR="001262A0">
        <w:rPr>
          <w:rFonts w:ascii="Arial" w:hAnsi="Arial" w:cs="Arial"/>
          <w:sz w:val="24"/>
        </w:rPr>
        <w:t>Impact Study</w:t>
      </w:r>
      <w:r w:rsidRPr="005D6F89">
        <w:rPr>
          <w:rFonts w:ascii="Arial" w:hAnsi="Arial" w:cs="Arial"/>
          <w:sz w:val="24"/>
        </w:rPr>
        <w:t xml:space="preserve">, including: </w:t>
      </w:r>
    </w:p>
    <w:p w:rsidR="003449FC" w:rsidRPr="005D6F89" w:rsidP="00A151A8" w14:paraId="7C452481" w14:textId="1FD72737">
      <w:pPr>
        <w:pStyle w:val="ListParagraph"/>
        <w:numPr>
          <w:ilvl w:val="1"/>
          <w:numId w:val="29"/>
        </w:numPr>
        <w:spacing w:before="120"/>
        <w:rPr>
          <w:rFonts w:ascii="Arial" w:hAnsi="Arial" w:cs="Arial"/>
          <w:sz w:val="24"/>
        </w:rPr>
      </w:pPr>
      <w:r w:rsidRPr="005D6F89">
        <w:rPr>
          <w:rFonts w:ascii="Arial" w:hAnsi="Arial" w:cs="Arial"/>
          <w:sz w:val="24"/>
        </w:rPr>
        <w:t xml:space="preserve">Background on the current contract and </w:t>
      </w:r>
      <w:r w:rsidRPr="005D6F89" w:rsidR="0087230F">
        <w:rPr>
          <w:rFonts w:ascii="Arial" w:hAnsi="Arial" w:cs="Arial"/>
          <w:sz w:val="24"/>
        </w:rPr>
        <w:t xml:space="preserve">on </w:t>
      </w:r>
      <w:r w:rsidRPr="005D6F89">
        <w:rPr>
          <w:rFonts w:ascii="Arial" w:hAnsi="Arial" w:cs="Arial"/>
          <w:sz w:val="24"/>
        </w:rPr>
        <w:t xml:space="preserve">what the Bureau will get from </w:t>
      </w:r>
      <w:r w:rsidRPr="005D6F89">
        <w:rPr>
          <w:rFonts w:ascii="Arial" w:hAnsi="Arial" w:cs="Arial"/>
          <w:sz w:val="24"/>
        </w:rPr>
        <w:t xml:space="preserve">this </w:t>
      </w:r>
      <w:r w:rsidRPr="005D6F89">
        <w:rPr>
          <w:rFonts w:ascii="Arial" w:hAnsi="Arial" w:cs="Arial"/>
          <w:sz w:val="24"/>
        </w:rPr>
        <w:t>investment</w:t>
      </w:r>
    </w:p>
    <w:p w:rsidR="003449FC" w:rsidRPr="005D6F89" w:rsidP="00A151A8" w14:paraId="03966878" w14:textId="77777777">
      <w:pPr>
        <w:pStyle w:val="ListParagraph"/>
        <w:numPr>
          <w:ilvl w:val="1"/>
          <w:numId w:val="29"/>
        </w:numPr>
        <w:spacing w:before="120"/>
        <w:rPr>
          <w:rFonts w:ascii="Arial" w:hAnsi="Arial" w:cs="Arial"/>
          <w:sz w:val="24"/>
        </w:rPr>
      </w:pPr>
      <w:r w:rsidRPr="005D6F89">
        <w:rPr>
          <w:rFonts w:ascii="Arial" w:hAnsi="Arial" w:cs="Arial"/>
          <w:sz w:val="24"/>
        </w:rPr>
        <w:t xml:space="preserve">Accomplishments and lessons </w:t>
      </w:r>
      <w:r w:rsidRPr="005D6F89">
        <w:rPr>
          <w:rFonts w:ascii="Arial" w:hAnsi="Arial" w:cs="Arial"/>
          <w:sz w:val="24"/>
        </w:rPr>
        <w:t>learned</w:t>
      </w:r>
    </w:p>
    <w:p w:rsidR="003449FC" w:rsidRPr="005D6F89" w:rsidP="00A151A8" w14:paraId="3C3283F5" w14:textId="77777777">
      <w:pPr>
        <w:pStyle w:val="ListParagraph"/>
        <w:numPr>
          <w:ilvl w:val="1"/>
          <w:numId w:val="29"/>
        </w:numPr>
        <w:spacing w:before="120"/>
        <w:rPr>
          <w:rFonts w:ascii="Arial" w:hAnsi="Arial" w:cs="Arial"/>
          <w:sz w:val="24"/>
        </w:rPr>
      </w:pPr>
      <w:r w:rsidRPr="005D6F89">
        <w:rPr>
          <w:rFonts w:ascii="Arial" w:hAnsi="Arial" w:cs="Arial"/>
          <w:sz w:val="24"/>
        </w:rPr>
        <w:t>Cost-benefit of the PMHCA program</w:t>
      </w:r>
    </w:p>
    <w:p w:rsidR="003449FC" w:rsidRPr="005D6F89" w:rsidP="00A151A8" w14:paraId="78FD28F7" w14:textId="64FF3A9D">
      <w:pPr>
        <w:pStyle w:val="ListParagraph"/>
        <w:numPr>
          <w:ilvl w:val="1"/>
          <w:numId w:val="29"/>
        </w:numPr>
        <w:spacing w:before="120"/>
        <w:rPr>
          <w:rFonts w:ascii="Arial" w:hAnsi="Arial" w:cs="Arial"/>
          <w:sz w:val="24"/>
        </w:rPr>
      </w:pPr>
      <w:r w:rsidRPr="005D6F89">
        <w:rPr>
          <w:rFonts w:ascii="Arial" w:hAnsi="Arial" w:cs="Arial"/>
          <w:sz w:val="24"/>
        </w:rPr>
        <w:t xml:space="preserve">PMHCA </w:t>
      </w:r>
      <w:r w:rsidRPr="005D6F89" w:rsidR="0087230F">
        <w:rPr>
          <w:rFonts w:ascii="Arial" w:hAnsi="Arial" w:cs="Arial"/>
          <w:sz w:val="24"/>
        </w:rPr>
        <w:t>p</w:t>
      </w:r>
      <w:r w:rsidRPr="005D6F89">
        <w:rPr>
          <w:rFonts w:ascii="Arial" w:hAnsi="Arial" w:cs="Arial"/>
          <w:sz w:val="24"/>
        </w:rPr>
        <w:t>rogram impact on:</w:t>
      </w:r>
    </w:p>
    <w:p w:rsidR="003449FC" w:rsidRPr="005D6F89" w:rsidP="00A151A8" w14:paraId="23197934" w14:textId="4ED5CE9E">
      <w:pPr>
        <w:pStyle w:val="ListParagraph"/>
        <w:numPr>
          <w:ilvl w:val="2"/>
          <w:numId w:val="30"/>
        </w:numPr>
        <w:spacing w:before="120"/>
        <w:rPr>
          <w:rFonts w:ascii="Arial" w:hAnsi="Arial" w:cs="Arial"/>
          <w:sz w:val="24"/>
        </w:rPr>
      </w:pPr>
      <w:r w:rsidRPr="005D6F89">
        <w:rPr>
          <w:rFonts w:ascii="Arial" w:hAnsi="Arial" w:cs="Arial"/>
          <w:sz w:val="24"/>
        </w:rPr>
        <w:t>Children</w:t>
      </w:r>
      <w:r w:rsidRPr="005D6F89" w:rsidR="0087230F">
        <w:rPr>
          <w:rFonts w:ascii="Arial" w:hAnsi="Arial" w:cs="Arial"/>
          <w:sz w:val="24"/>
        </w:rPr>
        <w:t>/</w:t>
      </w:r>
      <w:r w:rsidRPr="005D6F89">
        <w:rPr>
          <w:rFonts w:ascii="Arial" w:hAnsi="Arial" w:cs="Arial"/>
          <w:sz w:val="24"/>
        </w:rPr>
        <w:t xml:space="preserve">adolescents’ access to </w:t>
      </w:r>
      <w:r w:rsidRPr="005D6F89" w:rsidR="0087230F">
        <w:rPr>
          <w:rFonts w:ascii="Arial" w:hAnsi="Arial" w:cs="Arial"/>
          <w:sz w:val="24"/>
        </w:rPr>
        <w:t>behavioral health care</w:t>
      </w:r>
      <w:r w:rsidRPr="005D6F89">
        <w:rPr>
          <w:rFonts w:ascii="Arial" w:hAnsi="Arial" w:cs="Arial"/>
          <w:sz w:val="24"/>
        </w:rPr>
        <w:t xml:space="preserve">, including among groups historically </w:t>
      </w:r>
      <w:r w:rsidRPr="005D6F89">
        <w:rPr>
          <w:rFonts w:ascii="Arial" w:hAnsi="Arial" w:cs="Arial"/>
          <w:sz w:val="24"/>
        </w:rPr>
        <w:t>underserved</w:t>
      </w:r>
    </w:p>
    <w:p w:rsidR="003449FC" w:rsidRPr="005D6F89" w:rsidP="00A151A8" w14:paraId="234B81E8" w14:textId="79531BDA">
      <w:pPr>
        <w:pStyle w:val="ListParagraph"/>
        <w:numPr>
          <w:ilvl w:val="2"/>
          <w:numId w:val="30"/>
        </w:numPr>
        <w:spacing w:before="120"/>
        <w:rPr>
          <w:rFonts w:ascii="Arial" w:hAnsi="Arial" w:cs="Arial"/>
          <w:sz w:val="24"/>
        </w:rPr>
      </w:pPr>
      <w:r w:rsidRPr="005D6F89">
        <w:rPr>
          <w:rFonts w:ascii="Arial" w:hAnsi="Arial" w:cs="Arial"/>
          <w:sz w:val="24"/>
        </w:rPr>
        <w:t>Children</w:t>
      </w:r>
      <w:r w:rsidRPr="005D6F89" w:rsidR="0087230F">
        <w:rPr>
          <w:rFonts w:ascii="Arial" w:hAnsi="Arial" w:cs="Arial"/>
          <w:sz w:val="24"/>
        </w:rPr>
        <w:t>/</w:t>
      </w:r>
      <w:r w:rsidRPr="005D6F89">
        <w:rPr>
          <w:rFonts w:ascii="Arial" w:hAnsi="Arial" w:cs="Arial"/>
          <w:sz w:val="24"/>
        </w:rPr>
        <w:t>adolescents</w:t>
      </w:r>
      <w:r w:rsidRPr="005D6F89" w:rsidR="0087230F">
        <w:rPr>
          <w:rFonts w:ascii="Arial" w:hAnsi="Arial" w:cs="Arial"/>
          <w:sz w:val="24"/>
        </w:rPr>
        <w:t>'</w:t>
      </w:r>
      <w:r w:rsidRPr="005D6F89">
        <w:rPr>
          <w:rFonts w:ascii="Arial" w:hAnsi="Arial" w:cs="Arial"/>
          <w:sz w:val="24"/>
        </w:rPr>
        <w:t xml:space="preserve"> receipt of behavioral health services</w:t>
      </w:r>
    </w:p>
    <w:p w:rsidR="003449FC" w:rsidRPr="005D6F89" w:rsidP="00A151A8" w14:paraId="22C355BC" w14:textId="16C65F8A">
      <w:pPr>
        <w:pStyle w:val="ListParagraph"/>
        <w:numPr>
          <w:ilvl w:val="2"/>
          <w:numId w:val="30"/>
        </w:numPr>
        <w:spacing w:before="120"/>
        <w:rPr>
          <w:rFonts w:ascii="Arial" w:hAnsi="Arial" w:cs="Arial"/>
          <w:sz w:val="24"/>
        </w:rPr>
      </w:pPr>
      <w:r w:rsidRPr="005D6F89">
        <w:rPr>
          <w:rFonts w:ascii="Arial" w:hAnsi="Arial" w:cs="Arial"/>
          <w:sz w:val="24"/>
        </w:rPr>
        <w:t>Children</w:t>
      </w:r>
      <w:r w:rsidRPr="005D6F89" w:rsidR="0087230F">
        <w:rPr>
          <w:rFonts w:ascii="Arial" w:hAnsi="Arial" w:cs="Arial"/>
          <w:sz w:val="24"/>
        </w:rPr>
        <w:t>/</w:t>
      </w:r>
      <w:r w:rsidRPr="005D6F89">
        <w:rPr>
          <w:rFonts w:ascii="Arial" w:hAnsi="Arial" w:cs="Arial"/>
          <w:sz w:val="24"/>
        </w:rPr>
        <w:t>adolescents</w:t>
      </w:r>
      <w:r w:rsidRPr="005D6F89" w:rsidR="0087230F">
        <w:rPr>
          <w:rFonts w:ascii="Arial" w:hAnsi="Arial" w:cs="Arial"/>
          <w:sz w:val="24"/>
        </w:rPr>
        <w:t xml:space="preserve">' </w:t>
      </w:r>
      <w:r w:rsidRPr="005D6F89">
        <w:rPr>
          <w:rFonts w:ascii="Arial" w:hAnsi="Arial" w:cs="Arial"/>
          <w:sz w:val="24"/>
        </w:rPr>
        <w:t xml:space="preserve">subsequent </w:t>
      </w:r>
      <w:r w:rsidRPr="005D6F89" w:rsidR="0087230F">
        <w:rPr>
          <w:rFonts w:ascii="Arial" w:hAnsi="Arial" w:cs="Arial"/>
          <w:sz w:val="24"/>
        </w:rPr>
        <w:t>behavioral health care</w:t>
      </w:r>
      <w:r w:rsidRPr="005D6F89">
        <w:rPr>
          <w:rFonts w:ascii="Arial" w:hAnsi="Arial" w:cs="Arial"/>
          <w:sz w:val="24"/>
        </w:rPr>
        <w:t xml:space="preserve"> utilization</w:t>
      </w:r>
    </w:p>
    <w:p w:rsidR="003449FC" w:rsidRPr="005D6F89" w:rsidP="00A151A8" w14:paraId="3ABCC678" w14:textId="56ED05D8">
      <w:pPr>
        <w:pStyle w:val="ListParagraph"/>
        <w:numPr>
          <w:ilvl w:val="2"/>
          <w:numId w:val="30"/>
        </w:numPr>
        <w:spacing w:before="120"/>
        <w:rPr>
          <w:rFonts w:ascii="Arial" w:hAnsi="Arial" w:cs="Arial"/>
          <w:sz w:val="24"/>
        </w:rPr>
      </w:pPr>
      <w:r w:rsidRPr="005D6F89">
        <w:rPr>
          <w:rFonts w:ascii="Arial" w:hAnsi="Arial" w:cs="Arial"/>
          <w:sz w:val="24"/>
        </w:rPr>
        <w:t xml:space="preserve">Receipt of culturally and linguistically appropriate </w:t>
      </w:r>
      <w:r w:rsidRPr="005D6F89" w:rsidR="00F674D2">
        <w:rPr>
          <w:rFonts w:ascii="Arial" w:hAnsi="Arial" w:cs="Arial"/>
          <w:sz w:val="24"/>
        </w:rPr>
        <w:t>behavioral health care</w:t>
      </w:r>
    </w:p>
    <w:p w:rsidR="003449FC" w:rsidRPr="005D6F89" w:rsidP="00A151A8" w14:paraId="7716B3C5" w14:textId="4C8C42BC">
      <w:pPr>
        <w:pStyle w:val="ListParagraph"/>
        <w:numPr>
          <w:ilvl w:val="2"/>
          <w:numId w:val="30"/>
        </w:numPr>
        <w:spacing w:before="120"/>
        <w:rPr>
          <w:rFonts w:ascii="Arial" w:hAnsi="Arial" w:cs="Arial"/>
          <w:sz w:val="24"/>
        </w:rPr>
      </w:pPr>
      <w:r w:rsidRPr="005D6F89">
        <w:rPr>
          <w:rFonts w:ascii="Arial" w:hAnsi="Arial" w:cs="Arial"/>
          <w:sz w:val="24"/>
        </w:rPr>
        <w:t>Children</w:t>
      </w:r>
      <w:r w:rsidRPr="005D6F89" w:rsidR="00F674D2">
        <w:rPr>
          <w:rFonts w:ascii="Arial" w:hAnsi="Arial" w:cs="Arial"/>
          <w:sz w:val="24"/>
        </w:rPr>
        <w:t>/</w:t>
      </w:r>
      <w:r w:rsidRPr="005D6F89">
        <w:rPr>
          <w:rFonts w:ascii="Arial" w:hAnsi="Arial" w:cs="Arial"/>
          <w:sz w:val="24"/>
        </w:rPr>
        <w:t>adolescents</w:t>
      </w:r>
      <w:r w:rsidRPr="005D6F89" w:rsidR="00F674D2">
        <w:rPr>
          <w:rFonts w:ascii="Arial" w:hAnsi="Arial" w:cs="Arial"/>
          <w:sz w:val="24"/>
        </w:rPr>
        <w:t>'</w:t>
      </w:r>
      <w:r w:rsidRPr="005D6F89">
        <w:rPr>
          <w:rFonts w:ascii="Arial" w:hAnsi="Arial" w:cs="Arial"/>
          <w:sz w:val="24"/>
        </w:rPr>
        <w:t xml:space="preserve"> behavioral health outcomes</w:t>
      </w:r>
    </w:p>
    <w:p w:rsidR="00903A40" w:rsidRPr="005D6F89" w:rsidP="00B81E5E" w14:paraId="43BBA0A7" w14:textId="77777777">
      <w:pPr>
        <w:pStyle w:val="ListParagraph"/>
        <w:numPr>
          <w:ilvl w:val="0"/>
          <w:numId w:val="18"/>
        </w:numPr>
        <w:spacing w:before="120"/>
        <w:rPr>
          <w:rFonts w:ascii="Arial" w:hAnsi="Arial" w:cs="Arial"/>
          <w:sz w:val="24"/>
        </w:rPr>
      </w:pPr>
      <w:r w:rsidRPr="005D6F89">
        <w:rPr>
          <w:rFonts w:ascii="Arial" w:hAnsi="Arial" w:cs="Arial"/>
          <w:sz w:val="24"/>
        </w:rPr>
        <w:t>Preparing and submitting:</w:t>
      </w:r>
    </w:p>
    <w:p w:rsidR="003449FC" w:rsidRPr="005D6F89" w:rsidP="00A151A8" w14:paraId="0FC727D8" w14:textId="16EEB823">
      <w:pPr>
        <w:pStyle w:val="ListParagraph"/>
        <w:numPr>
          <w:ilvl w:val="1"/>
          <w:numId w:val="31"/>
        </w:numPr>
        <w:spacing w:before="120"/>
        <w:rPr>
          <w:rFonts w:ascii="Arial" w:hAnsi="Arial" w:cs="Arial"/>
          <w:sz w:val="24"/>
        </w:rPr>
      </w:pPr>
      <w:r w:rsidRPr="005D6F89">
        <w:rPr>
          <w:rFonts w:ascii="Arial" w:hAnsi="Arial" w:cs="Arial"/>
          <w:sz w:val="24"/>
        </w:rPr>
        <w:t xml:space="preserve">An annual report that summarizes the findings presented in the webinar for HRSA </w:t>
      </w:r>
      <w:r w:rsidRPr="005D6F89">
        <w:rPr>
          <w:rFonts w:ascii="Arial" w:hAnsi="Arial" w:cs="Arial"/>
          <w:sz w:val="24"/>
        </w:rPr>
        <w:t>staff</w:t>
      </w:r>
      <w:r w:rsidRPr="005D6F89">
        <w:rPr>
          <w:rFonts w:ascii="Arial" w:hAnsi="Arial" w:cs="Arial"/>
          <w:sz w:val="24"/>
        </w:rPr>
        <w:t xml:space="preserve"> </w:t>
      </w:r>
    </w:p>
    <w:p w:rsidR="00EE4F8C" w:rsidRPr="005D6F89" w:rsidP="00A151A8" w14:paraId="73A20FEA" w14:textId="570BD71D">
      <w:pPr>
        <w:pStyle w:val="ListParagraph"/>
        <w:numPr>
          <w:ilvl w:val="1"/>
          <w:numId w:val="31"/>
        </w:numPr>
        <w:spacing w:before="120"/>
        <w:rPr>
          <w:rFonts w:ascii="Arial" w:hAnsi="Arial" w:cs="Arial"/>
          <w:sz w:val="24"/>
        </w:rPr>
      </w:pPr>
      <w:r w:rsidRPr="005D6F89">
        <w:rPr>
          <w:rFonts w:ascii="Arial" w:hAnsi="Arial" w:cs="Arial"/>
          <w:sz w:val="24"/>
        </w:rPr>
        <w:t>A</w:t>
      </w:r>
      <w:r w:rsidRPr="005D6F89" w:rsidR="003449FC">
        <w:rPr>
          <w:rFonts w:ascii="Arial" w:hAnsi="Arial" w:cs="Arial"/>
          <w:sz w:val="24"/>
        </w:rPr>
        <w:t xml:space="preserve"> comprehensive final report on the </w:t>
      </w:r>
      <w:r w:rsidR="00E51C14">
        <w:rPr>
          <w:rFonts w:ascii="Arial" w:hAnsi="Arial" w:cs="Arial"/>
          <w:sz w:val="24"/>
        </w:rPr>
        <w:t xml:space="preserve">aggregate </w:t>
      </w:r>
      <w:r w:rsidRPr="005D6F89" w:rsidR="003449FC">
        <w:rPr>
          <w:rFonts w:ascii="Arial" w:hAnsi="Arial" w:cs="Arial"/>
          <w:sz w:val="24"/>
        </w:rPr>
        <w:t xml:space="preserve">results of the national </w:t>
      </w:r>
      <w:r w:rsidRPr="005D6F89">
        <w:rPr>
          <w:rFonts w:ascii="Arial" w:hAnsi="Arial" w:cs="Arial"/>
          <w:sz w:val="24"/>
        </w:rPr>
        <w:t xml:space="preserve">Impact Study </w:t>
      </w:r>
      <w:r w:rsidRPr="005D6F89" w:rsidR="003449FC">
        <w:rPr>
          <w:rFonts w:ascii="Arial" w:hAnsi="Arial" w:cs="Arial"/>
          <w:sz w:val="24"/>
        </w:rPr>
        <w:t>based on the data collected and analyzed</w:t>
      </w:r>
      <w:r w:rsidR="00855FF5">
        <w:rPr>
          <w:rFonts w:ascii="Arial" w:hAnsi="Arial" w:cs="Arial"/>
          <w:sz w:val="24"/>
        </w:rPr>
        <w:t xml:space="preserve">. This comprehensive final report will be published on the </w:t>
      </w:r>
      <w:r w:rsidR="00855FF5">
        <w:rPr>
          <w:rFonts w:ascii="Arial" w:hAnsi="Arial" w:cs="Arial"/>
          <w:sz w:val="24"/>
        </w:rPr>
        <w:t>public-facing</w:t>
      </w:r>
      <w:r w:rsidR="00855FF5">
        <w:rPr>
          <w:rFonts w:ascii="Arial" w:hAnsi="Arial" w:cs="Arial"/>
          <w:sz w:val="24"/>
        </w:rPr>
        <w:t xml:space="preserve"> </w:t>
      </w:r>
      <w:r w:rsidR="00A334E1">
        <w:rPr>
          <w:rFonts w:ascii="Arial" w:hAnsi="Arial" w:cs="Arial"/>
          <w:sz w:val="24"/>
        </w:rPr>
        <w:t>PMHCA</w:t>
      </w:r>
      <w:r w:rsidR="00855FF5">
        <w:rPr>
          <w:rFonts w:ascii="Arial" w:hAnsi="Arial" w:cs="Arial"/>
          <w:sz w:val="24"/>
        </w:rPr>
        <w:t xml:space="preserve"> website.</w:t>
      </w:r>
    </w:p>
    <w:p w:rsidR="009B3794" w:rsidRPr="005D6F89" w:rsidP="00B81E5E" w14:paraId="22E2A3A3"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Reason(s) Display of OMB Expiration Date is Inappropriate</w:t>
      </w:r>
    </w:p>
    <w:p w:rsidR="00EE4F8C" w:rsidRPr="005D6F89" w:rsidP="00EE4F8C" w14:paraId="78565829" w14:textId="0E15389B">
      <w:pPr>
        <w:pStyle w:val="BodyTextIndent"/>
        <w:spacing w:before="120"/>
        <w:ind w:left="90"/>
        <w:rPr>
          <w:rFonts w:ascii="Arial" w:hAnsi="Arial" w:cs="Arial"/>
          <w:bCs/>
        </w:rPr>
      </w:pPr>
      <w:r w:rsidRPr="005D6F89">
        <w:rPr>
          <w:rFonts w:ascii="Arial" w:hAnsi="Arial" w:cs="Arial"/>
          <w:bCs/>
        </w:rPr>
        <w:t>The OMB number and expiration date will be displayed on every page of every form/instrument.</w:t>
      </w:r>
    </w:p>
    <w:p w:rsidR="009B3794" w:rsidRPr="005D6F89" w:rsidP="00B81E5E" w14:paraId="22E2A3A5" w14:textId="77777777">
      <w:pPr>
        <w:numPr>
          <w:ilvl w:val="0"/>
          <w:numId w:val="1"/>
        </w:numPr>
        <w:tabs>
          <w:tab w:val="num" w:pos="360"/>
        </w:tabs>
        <w:spacing w:before="240"/>
        <w:ind w:left="360"/>
        <w:rPr>
          <w:rFonts w:ascii="Arial" w:hAnsi="Arial" w:cs="Arial"/>
          <w:b/>
          <w:sz w:val="24"/>
        </w:rPr>
      </w:pPr>
      <w:r w:rsidRPr="005D6F89">
        <w:rPr>
          <w:rFonts w:ascii="Arial" w:hAnsi="Arial" w:cs="Arial"/>
          <w:b/>
          <w:sz w:val="24"/>
          <w:u w:val="single"/>
        </w:rPr>
        <w:t>Exceptions to Certification for Paperwork Reduction Act Submissions</w:t>
      </w:r>
    </w:p>
    <w:p w:rsidR="00EE4F8C" w:rsidP="00CA3DA6" w14:paraId="55F5FB7C" w14:textId="391613BC">
      <w:pPr>
        <w:pStyle w:val="BodyTextIndent"/>
        <w:spacing w:before="120"/>
        <w:ind w:left="360"/>
        <w:rPr>
          <w:rFonts w:ascii="Arial" w:hAnsi="Arial" w:cs="Arial"/>
          <w:bCs/>
        </w:rPr>
      </w:pPr>
      <w:r w:rsidRPr="005D6F89">
        <w:rPr>
          <w:rFonts w:ascii="Arial" w:hAnsi="Arial" w:cs="Arial"/>
          <w:bCs/>
        </w:rPr>
        <w:t>There are no exceptions to the certification.</w:t>
      </w:r>
    </w:p>
    <w:p w:rsidR="000C6162" w:rsidP="000C6162" w14:paraId="5875DA2B" w14:textId="3C3F7957">
      <w:pPr>
        <w:pStyle w:val="BodyTextIndent"/>
        <w:spacing w:before="120"/>
        <w:ind w:left="0"/>
        <w:rPr>
          <w:rFonts w:ascii="Arial" w:hAnsi="Arial" w:cs="Arial"/>
          <w:bCs/>
        </w:rPr>
      </w:pPr>
    </w:p>
    <w:p w:rsidR="000C6162" w:rsidRPr="00C45431" w:rsidP="005D6F89" w14:paraId="777E06A1" w14:textId="0A1F2783">
      <w:pPr>
        <w:pStyle w:val="BodyTextIndent"/>
        <w:spacing w:before="120"/>
        <w:ind w:left="0"/>
        <w:rPr>
          <w:rFonts w:ascii="Arial" w:hAnsi="Arial" w:cs="Arial"/>
        </w:rPr>
      </w:pPr>
    </w:p>
    <w:sectPr w:rsidSect="001D4856">
      <w:footerReference w:type="default" r:id="rId12"/>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E1D" w14:paraId="22E2A3AB" w14:textId="77777777">
    <w:pPr>
      <w:spacing w:line="240" w:lineRule="exact"/>
    </w:pPr>
  </w:p>
  <w:p w:rsidR="00D92E1D" w14:paraId="22E2A3AC" w14:textId="389F55EF">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BF2F34">
      <w:rPr>
        <w:noProof/>
        <w:sz w:val="24"/>
      </w:rPr>
      <w:t>2</w:t>
    </w:r>
    <w:r>
      <w:rPr>
        <w:sz w:val="24"/>
      </w:rPr>
      <w:fldChar w:fldCharType="end"/>
    </w:r>
  </w:p>
  <w:p w:rsidR="00D92E1D" w14:paraId="22E2A3AD" w14:textId="7777777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6766" w14:paraId="7789E5A9" w14:textId="77777777">
      <w:r>
        <w:separator/>
      </w:r>
    </w:p>
  </w:footnote>
  <w:footnote w:type="continuationSeparator" w:id="1">
    <w:p w:rsidR="00BE6766" w14:paraId="2C86D59B" w14:textId="77777777">
      <w:r>
        <w:continuationSeparator/>
      </w:r>
    </w:p>
  </w:footnote>
  <w:footnote w:id="2">
    <w:p w:rsidR="00D30391" w:rsidRPr="00A37726" w14:paraId="4CD5B220" w14:textId="659728B5">
      <w:pPr>
        <w:pStyle w:val="FootnoteText"/>
        <w:rPr>
          <w:rFonts w:ascii="Arial" w:hAnsi="Arial" w:cs="Arial"/>
          <w:sz w:val="22"/>
          <w:szCs w:val="22"/>
          <w:vertAlign w:val="superscript"/>
        </w:rPr>
      </w:pPr>
      <w:r w:rsidRPr="00A37726">
        <w:rPr>
          <w:rStyle w:val="FootnoteReference"/>
          <w:rFonts w:ascii="Arial" w:hAnsi="Arial" w:cs="Arial"/>
          <w:sz w:val="22"/>
          <w:szCs w:val="22"/>
          <w:vertAlign w:val="superscript"/>
        </w:rPr>
        <w:footnoteRef/>
      </w:r>
      <w:r w:rsidRPr="00A37726">
        <w:rPr>
          <w:rFonts w:ascii="Arial" w:hAnsi="Arial" w:cs="Arial"/>
          <w:sz w:val="22"/>
          <w:szCs w:val="22"/>
          <w:vertAlign w:val="superscript"/>
        </w:rPr>
        <w:t xml:space="preserve"> </w:t>
      </w:r>
      <w:r w:rsidRPr="00A37726">
        <w:rPr>
          <w:rFonts w:ascii="Arial" w:hAnsi="Arial" w:cs="Arial"/>
          <w:color w:val="222222"/>
          <w:sz w:val="22"/>
          <w:szCs w:val="22"/>
          <w:shd w:val="clear" w:color="auto" w:fill="FFFFFF"/>
          <w:vertAlign w:val="superscript"/>
        </w:rPr>
        <w:t xml:space="preserve">Kelly, B., Margolis, M., McCormack, L., </w:t>
      </w:r>
      <w:r w:rsidRPr="00A37726">
        <w:rPr>
          <w:rFonts w:ascii="Arial" w:hAnsi="Arial" w:cs="Arial"/>
          <w:color w:val="222222"/>
          <w:sz w:val="22"/>
          <w:szCs w:val="22"/>
          <w:shd w:val="clear" w:color="auto" w:fill="FFFFFF"/>
          <w:vertAlign w:val="superscript"/>
        </w:rPr>
        <w:t>LeBaron</w:t>
      </w:r>
      <w:r w:rsidRPr="00A37726">
        <w:rPr>
          <w:rFonts w:ascii="Arial" w:hAnsi="Arial" w:cs="Arial"/>
          <w:color w:val="222222"/>
          <w:sz w:val="22"/>
          <w:szCs w:val="22"/>
          <w:shd w:val="clear" w:color="auto" w:fill="FFFFFF"/>
          <w:vertAlign w:val="superscript"/>
        </w:rPr>
        <w:t>, P. A., &amp; Chowdhury, D. (2017). What affects people’s willingness to participate in qualitative research? An experimental comparison of five incentives. </w:t>
      </w:r>
      <w:r w:rsidRPr="00A37726">
        <w:rPr>
          <w:rFonts w:ascii="Arial" w:hAnsi="Arial" w:cs="Arial"/>
          <w:i/>
          <w:iCs/>
          <w:color w:val="222222"/>
          <w:sz w:val="22"/>
          <w:szCs w:val="22"/>
          <w:shd w:val="clear" w:color="auto" w:fill="FFFFFF"/>
          <w:vertAlign w:val="superscript"/>
        </w:rPr>
        <w:t>Field Methods</w:t>
      </w:r>
      <w:r w:rsidRPr="00A37726">
        <w:rPr>
          <w:rFonts w:ascii="Arial" w:hAnsi="Arial" w:cs="Arial"/>
          <w:color w:val="222222"/>
          <w:sz w:val="22"/>
          <w:szCs w:val="22"/>
          <w:shd w:val="clear" w:color="auto" w:fill="FFFFFF"/>
          <w:vertAlign w:val="superscript"/>
        </w:rPr>
        <w:t>, </w:t>
      </w:r>
      <w:r w:rsidRPr="00A37726">
        <w:rPr>
          <w:rFonts w:ascii="Arial" w:hAnsi="Arial" w:cs="Arial"/>
          <w:i/>
          <w:iCs/>
          <w:color w:val="222222"/>
          <w:sz w:val="22"/>
          <w:szCs w:val="22"/>
          <w:shd w:val="clear" w:color="auto" w:fill="FFFFFF"/>
          <w:vertAlign w:val="superscript"/>
        </w:rPr>
        <w:t>29</w:t>
      </w:r>
      <w:r w:rsidRPr="00A37726">
        <w:rPr>
          <w:rFonts w:ascii="Arial" w:hAnsi="Arial" w:cs="Arial"/>
          <w:color w:val="222222"/>
          <w:sz w:val="22"/>
          <w:szCs w:val="22"/>
          <w:shd w:val="clear" w:color="auto" w:fill="FFFFFF"/>
          <w:vertAlign w:val="superscript"/>
        </w:rPr>
        <w:t>(4), 333</w:t>
      </w:r>
      <w:r w:rsidRPr="00A37726" w:rsidR="00CA7031">
        <w:rPr>
          <w:rFonts w:ascii="Arial" w:hAnsi="Arial" w:cs="Arial"/>
          <w:color w:val="222222"/>
          <w:sz w:val="22"/>
          <w:szCs w:val="22"/>
          <w:shd w:val="clear" w:color="auto" w:fill="FFFFFF"/>
          <w:vertAlign w:val="superscript"/>
        </w:rPr>
        <w:t>–</w:t>
      </w:r>
      <w:r w:rsidRPr="00A37726">
        <w:rPr>
          <w:rFonts w:ascii="Arial" w:hAnsi="Arial" w:cs="Arial"/>
          <w:color w:val="222222"/>
          <w:sz w:val="22"/>
          <w:szCs w:val="22"/>
          <w:shd w:val="clear" w:color="auto" w:fill="FFFFFF"/>
          <w:vertAlign w:val="superscript"/>
        </w:rPr>
        <w:t>350.</w:t>
      </w:r>
      <w:r w:rsidRPr="00A37726" w:rsidR="00CA7031">
        <w:rPr>
          <w:rFonts w:ascii="Arial" w:hAnsi="Arial" w:cs="Arial"/>
          <w:color w:val="222222"/>
          <w:sz w:val="22"/>
          <w:szCs w:val="22"/>
          <w:shd w:val="clear" w:color="auto" w:fill="FFFFFF"/>
          <w:vertAlign w:val="superscript"/>
        </w:rPr>
        <w:t xml:space="preserve"> </w:t>
      </w:r>
      <w:hyperlink r:id="rId1" w:history="1">
        <w:r w:rsidRPr="00A37726" w:rsidR="00CA7031">
          <w:rPr>
            <w:rStyle w:val="Hyperlink"/>
            <w:rFonts w:ascii="Arial" w:hAnsi="Arial" w:cs="Arial"/>
            <w:sz w:val="22"/>
            <w:szCs w:val="22"/>
            <w:shd w:val="clear" w:color="auto" w:fill="FFFFFF"/>
            <w:vertAlign w:val="superscript"/>
          </w:rPr>
          <w:t>https://doi.org/10.1177/1525822X17698958</w:t>
        </w:r>
      </w:hyperlink>
      <w:r w:rsidRPr="00A37726" w:rsidR="00CA7031">
        <w:rPr>
          <w:rFonts w:ascii="Arial" w:hAnsi="Arial" w:cs="Arial"/>
          <w:color w:val="222222"/>
          <w:sz w:val="22"/>
          <w:szCs w:val="22"/>
          <w:shd w:val="clear" w:color="auto" w:fill="FFFFFF"/>
          <w:vertAlign w:val="superscript"/>
        </w:rPr>
        <w:t xml:space="preserve"> </w:t>
      </w:r>
    </w:p>
  </w:footnote>
  <w:footnote w:id="3">
    <w:p w:rsidR="001B0E34" w:rsidRPr="00A37726" w14:paraId="038E5349" w14:textId="04B975B2">
      <w:pPr>
        <w:pStyle w:val="FootnoteText"/>
        <w:rPr>
          <w:sz w:val="18"/>
          <w:szCs w:val="18"/>
          <w:vertAlign w:val="superscript"/>
        </w:rPr>
      </w:pPr>
      <w:r w:rsidRPr="00A37726">
        <w:rPr>
          <w:rStyle w:val="FootnoteReference"/>
          <w:rFonts w:ascii="Arial" w:hAnsi="Arial" w:cs="Arial"/>
          <w:sz w:val="22"/>
          <w:szCs w:val="22"/>
          <w:vertAlign w:val="superscript"/>
        </w:rPr>
        <w:footnoteRef/>
      </w:r>
      <w:r w:rsidRPr="00A37726">
        <w:rPr>
          <w:rFonts w:ascii="Arial" w:hAnsi="Arial" w:cs="Arial"/>
          <w:sz w:val="22"/>
          <w:szCs w:val="22"/>
          <w:vertAlign w:val="superscript"/>
        </w:rPr>
        <w:t xml:space="preserve"> Adler, K., </w:t>
      </w:r>
      <w:r w:rsidRPr="00A37726">
        <w:rPr>
          <w:rFonts w:ascii="Arial" w:hAnsi="Arial" w:cs="Arial"/>
          <w:sz w:val="22"/>
          <w:szCs w:val="22"/>
          <w:vertAlign w:val="superscript"/>
        </w:rPr>
        <w:t>Salanterä</w:t>
      </w:r>
      <w:r w:rsidRPr="00A37726">
        <w:rPr>
          <w:rFonts w:ascii="Arial" w:hAnsi="Arial" w:cs="Arial"/>
          <w:sz w:val="22"/>
          <w:szCs w:val="22"/>
          <w:vertAlign w:val="superscript"/>
        </w:rPr>
        <w:t xml:space="preserve">, S., &amp; </w:t>
      </w:r>
      <w:r w:rsidRPr="00A37726">
        <w:rPr>
          <w:rFonts w:ascii="Arial" w:hAnsi="Arial" w:cs="Arial"/>
          <w:sz w:val="22"/>
          <w:szCs w:val="22"/>
          <w:vertAlign w:val="superscript"/>
        </w:rPr>
        <w:t>Zumstein</w:t>
      </w:r>
      <w:r w:rsidRPr="00A37726">
        <w:rPr>
          <w:rFonts w:ascii="Arial" w:hAnsi="Arial" w:cs="Arial"/>
          <w:sz w:val="22"/>
          <w:szCs w:val="22"/>
          <w:vertAlign w:val="superscript"/>
        </w:rPr>
        <w:t xml:space="preserve">-Shaha, M. (2019). Focus Group Interviews in Child, Youth, and Parent Research: An Integrative Literature Review. International Journal of Qualitative Methods, 18. </w:t>
      </w:r>
      <w:hyperlink r:id="rId2" w:history="1">
        <w:r w:rsidRPr="00E4380B" w:rsidR="00A37726">
          <w:rPr>
            <w:rStyle w:val="Hyperlink"/>
            <w:rFonts w:ascii="Arial" w:hAnsi="Arial" w:cs="Arial"/>
            <w:sz w:val="22"/>
            <w:szCs w:val="22"/>
            <w:vertAlign w:val="superscript"/>
          </w:rPr>
          <w:t>https://doi.org/10.1177/1609406919887274</w:t>
        </w:r>
      </w:hyperlink>
      <w:r w:rsidR="00A37726">
        <w:rPr>
          <w:rFonts w:ascii="Arial" w:hAnsi="Arial" w:cs="Arial"/>
          <w:sz w:val="22"/>
          <w:szCs w:val="22"/>
          <w:vertAlign w:val="superscript"/>
        </w:rPr>
        <w:t xml:space="preserve"> </w:t>
      </w:r>
    </w:p>
  </w:footnote>
  <w:footnote w:id="4">
    <w:p w:rsidR="00FD3FCE" w14:paraId="65D0B02C" w14:textId="2CB41253">
      <w:pPr>
        <w:pStyle w:val="FootnoteText"/>
      </w:pPr>
      <w:r>
        <w:rPr>
          <w:rStyle w:val="FootnoteReference"/>
        </w:rPr>
        <w:footnoteRef/>
      </w:r>
      <w:r>
        <w:t xml:space="preserve"> SOURCE: </w:t>
      </w:r>
      <w:r w:rsidRPr="00111AE2">
        <w:rPr>
          <w:i/>
          <w:iCs/>
        </w:rPr>
        <w:t>Salary Table 2024-DCB</w:t>
      </w:r>
      <w:r w:rsidRPr="00111AE2">
        <w:t>. U.S. Office of Personnel Management. (n.d.). https://www.opm.gov/policy-data-oversight/pay-leave/salaries-wages/2024/general-schedule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7323A"/>
    <w:multiLevelType w:val="hybridMultilevel"/>
    <w:tmpl w:val="4E00EB2A"/>
    <w:lvl w:ilvl="0">
      <w:start w:val="1"/>
      <w:numFmt w:val="bullet"/>
      <w:lvlText w:val=""/>
      <w:lvlJc w:val="left"/>
      <w:pPr>
        <w:ind w:left="-1016" w:hanging="360"/>
      </w:pPr>
      <w:rPr>
        <w:rFonts w:ascii="Symbol" w:hAnsi="Symbol" w:hint="default"/>
      </w:rPr>
    </w:lvl>
    <w:lvl w:ilvl="1" w:tentative="1">
      <w:start w:val="1"/>
      <w:numFmt w:val="bullet"/>
      <w:lvlText w:val="o"/>
      <w:lvlJc w:val="left"/>
      <w:pPr>
        <w:ind w:left="-296" w:hanging="360"/>
      </w:pPr>
      <w:rPr>
        <w:rFonts w:ascii="Courier New" w:hAnsi="Courier New" w:cs="Courier New" w:hint="default"/>
      </w:rPr>
    </w:lvl>
    <w:lvl w:ilvl="2" w:tentative="1">
      <w:start w:val="1"/>
      <w:numFmt w:val="bullet"/>
      <w:lvlText w:val=""/>
      <w:lvlJc w:val="left"/>
      <w:pPr>
        <w:ind w:left="424" w:hanging="360"/>
      </w:pPr>
      <w:rPr>
        <w:rFonts w:ascii="Wingdings" w:hAnsi="Wingdings" w:hint="default"/>
      </w:rPr>
    </w:lvl>
    <w:lvl w:ilvl="3" w:tentative="1">
      <w:start w:val="1"/>
      <w:numFmt w:val="bullet"/>
      <w:lvlText w:val=""/>
      <w:lvlJc w:val="left"/>
      <w:pPr>
        <w:ind w:left="1144" w:hanging="360"/>
      </w:pPr>
      <w:rPr>
        <w:rFonts w:ascii="Symbol" w:hAnsi="Symbol" w:hint="default"/>
      </w:rPr>
    </w:lvl>
    <w:lvl w:ilvl="4" w:tentative="1">
      <w:start w:val="1"/>
      <w:numFmt w:val="bullet"/>
      <w:lvlText w:val="o"/>
      <w:lvlJc w:val="left"/>
      <w:pPr>
        <w:ind w:left="1864" w:hanging="360"/>
      </w:pPr>
      <w:rPr>
        <w:rFonts w:ascii="Courier New" w:hAnsi="Courier New" w:cs="Courier New" w:hint="default"/>
      </w:rPr>
    </w:lvl>
    <w:lvl w:ilvl="5" w:tentative="1">
      <w:start w:val="1"/>
      <w:numFmt w:val="bullet"/>
      <w:lvlText w:val=""/>
      <w:lvlJc w:val="left"/>
      <w:pPr>
        <w:ind w:left="2584" w:hanging="360"/>
      </w:pPr>
      <w:rPr>
        <w:rFonts w:ascii="Wingdings" w:hAnsi="Wingdings" w:hint="default"/>
      </w:rPr>
    </w:lvl>
    <w:lvl w:ilvl="6" w:tentative="1">
      <w:start w:val="1"/>
      <w:numFmt w:val="bullet"/>
      <w:lvlText w:val=""/>
      <w:lvlJc w:val="left"/>
      <w:pPr>
        <w:ind w:left="3304" w:hanging="360"/>
      </w:pPr>
      <w:rPr>
        <w:rFonts w:ascii="Symbol" w:hAnsi="Symbol" w:hint="default"/>
      </w:rPr>
    </w:lvl>
    <w:lvl w:ilvl="7" w:tentative="1">
      <w:start w:val="1"/>
      <w:numFmt w:val="bullet"/>
      <w:lvlText w:val="o"/>
      <w:lvlJc w:val="left"/>
      <w:pPr>
        <w:ind w:left="4024" w:hanging="360"/>
      </w:pPr>
      <w:rPr>
        <w:rFonts w:ascii="Courier New" w:hAnsi="Courier New" w:cs="Courier New" w:hint="default"/>
      </w:rPr>
    </w:lvl>
    <w:lvl w:ilvl="8" w:tentative="1">
      <w:start w:val="1"/>
      <w:numFmt w:val="bullet"/>
      <w:lvlText w:val=""/>
      <w:lvlJc w:val="left"/>
      <w:pPr>
        <w:ind w:left="4744" w:hanging="360"/>
      </w:pPr>
      <w:rPr>
        <w:rFonts w:ascii="Wingdings" w:hAnsi="Wingdings" w:hint="default"/>
      </w:rPr>
    </w:lvl>
  </w:abstractNum>
  <w:abstractNum w:abstractNumId="1">
    <w:nsid w:val="03684DB0"/>
    <w:multiLevelType w:val="hybridMultilevel"/>
    <w:tmpl w:val="80025406"/>
    <w:lvl w:ilvl="0">
      <w:start w:val="1"/>
      <w:numFmt w:val="bullet"/>
      <w:lvlText w:val=""/>
      <w:lvlJc w:val="left"/>
      <w:pPr>
        <w:tabs>
          <w:tab w:val="num" w:pos="720"/>
        </w:tabs>
        <w:ind w:left="720" w:hanging="360"/>
      </w:pPr>
      <w:rPr>
        <w:rFonts w:ascii="Symbol" w:hAnsi="Symbol" w:hint="default"/>
        <w:b w:val="0"/>
        <w:bCs w:val="0"/>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4">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7804D5"/>
    <w:multiLevelType w:val="hybridMultilevel"/>
    <w:tmpl w:val="A40844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4D51A7"/>
    <w:multiLevelType w:val="hybridMultilevel"/>
    <w:tmpl w:val="95D232F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8">
    <w:nsid w:val="11A229F7"/>
    <w:multiLevelType w:val="hybridMultilevel"/>
    <w:tmpl w:val="310618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BC643D4"/>
    <w:multiLevelType w:val="hybridMultilevel"/>
    <w:tmpl w:val="CD921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1">
    <w:nsid w:val="22327D8E"/>
    <w:multiLevelType w:val="hybridMultilevel"/>
    <w:tmpl w:val="055E34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5E15D17"/>
    <w:multiLevelType w:val="hybridMultilevel"/>
    <w:tmpl w:val="ECC4A9B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2853458E"/>
    <w:multiLevelType w:val="hybridMultilevel"/>
    <w:tmpl w:val="46E425C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4">
    <w:nsid w:val="35083D07"/>
    <w:multiLevelType w:val="hybridMultilevel"/>
    <w:tmpl w:val="E8D82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E57A96"/>
    <w:multiLevelType w:val="hybridMultilevel"/>
    <w:tmpl w:val="29723FF6"/>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16">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7">
    <w:nsid w:val="47850860"/>
    <w:multiLevelType w:val="hybridMultilevel"/>
    <w:tmpl w:val="0C1045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1D7109"/>
    <w:multiLevelType w:val="hybridMultilevel"/>
    <w:tmpl w:val="79E02008"/>
    <w:lvl w:ilvl="0">
      <w:start w:val="1"/>
      <w:numFmt w:val="decimal"/>
      <w:lvlText w:val="%1."/>
      <w:lvlJc w:val="left"/>
      <w:pPr>
        <w:tabs>
          <w:tab w:val="num" w:pos="540"/>
        </w:tabs>
        <w:ind w:left="54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0"/>
      <w:numFmt w:val="bullet"/>
      <w:lvlText w:val="•"/>
      <w:lvlJc w:val="left"/>
      <w:pPr>
        <w:ind w:left="5400" w:hanging="720"/>
      </w:pPr>
      <w:rPr>
        <w:rFonts w:ascii="Arial" w:eastAsia="Times New Roman" w:hAnsi="Arial" w:cs="Arial" w:hint="default"/>
      </w:r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55A2D9E"/>
    <w:multiLevelType w:val="hybridMultilevel"/>
    <w:tmpl w:val="6AD845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8F024FF"/>
    <w:multiLevelType w:val="hybridMultilevel"/>
    <w:tmpl w:val="9D487D18"/>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nsid w:val="5AA94C4C"/>
    <w:multiLevelType w:val="hybridMultilevel"/>
    <w:tmpl w:val="876CCAAA"/>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4">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5">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6">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7">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8">
    <w:nsid w:val="65B773ED"/>
    <w:multiLevelType w:val="hybridMultilevel"/>
    <w:tmpl w:val="188034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383575"/>
    <w:multiLevelType w:val="hybridMultilevel"/>
    <w:tmpl w:val="23D629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1">
    <w:nsid w:val="70094B28"/>
    <w:multiLevelType w:val="hybridMultilevel"/>
    <w:tmpl w:val="1DF008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3">
    <w:nsid w:val="78203472"/>
    <w:multiLevelType w:val="hybridMultilevel"/>
    <w:tmpl w:val="2FBA82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78397B3C"/>
    <w:multiLevelType w:val="hybridMultilevel"/>
    <w:tmpl w:val="1D78DE5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9B974A1"/>
    <w:multiLevelType w:val="hybridMultilevel"/>
    <w:tmpl w:val="BE96FD58"/>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val="0"/>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258559212">
    <w:abstractNumId w:val="18"/>
  </w:num>
  <w:num w:numId="2" w16cid:durableId="1484153411">
    <w:abstractNumId w:val="19"/>
  </w:num>
  <w:num w:numId="3" w16cid:durableId="2001036163">
    <w:abstractNumId w:val="7"/>
  </w:num>
  <w:num w:numId="4" w16cid:durableId="135954373">
    <w:abstractNumId w:val="2"/>
  </w:num>
  <w:num w:numId="5" w16cid:durableId="1005480326">
    <w:abstractNumId w:val="26"/>
  </w:num>
  <w:num w:numId="6" w16cid:durableId="2009164109">
    <w:abstractNumId w:val="24"/>
  </w:num>
  <w:num w:numId="7" w16cid:durableId="713702790">
    <w:abstractNumId w:val="25"/>
  </w:num>
  <w:num w:numId="8" w16cid:durableId="315647858">
    <w:abstractNumId w:val="35"/>
  </w:num>
  <w:num w:numId="9" w16cid:durableId="1063143124">
    <w:abstractNumId w:val="32"/>
  </w:num>
  <w:num w:numId="10" w16cid:durableId="1003244986">
    <w:abstractNumId w:val="3"/>
  </w:num>
  <w:num w:numId="11" w16cid:durableId="33311716">
    <w:abstractNumId w:val="16"/>
  </w:num>
  <w:num w:numId="12" w16cid:durableId="397096028">
    <w:abstractNumId w:val="30"/>
  </w:num>
  <w:num w:numId="13" w16cid:durableId="520440188">
    <w:abstractNumId w:val="27"/>
  </w:num>
  <w:num w:numId="14" w16cid:durableId="1154108673">
    <w:abstractNumId w:val="22"/>
  </w:num>
  <w:num w:numId="15" w16cid:durableId="2008633969">
    <w:abstractNumId w:val="10"/>
  </w:num>
  <w:num w:numId="16" w16cid:durableId="1306396158">
    <w:abstractNumId w:val="23"/>
  </w:num>
  <w:num w:numId="17" w16cid:durableId="757822610">
    <w:abstractNumId w:val="4"/>
  </w:num>
  <w:num w:numId="18" w16cid:durableId="976689804">
    <w:abstractNumId w:val="17"/>
  </w:num>
  <w:num w:numId="19" w16cid:durableId="123545561">
    <w:abstractNumId w:val="1"/>
  </w:num>
  <w:num w:numId="20" w16cid:durableId="1931154958">
    <w:abstractNumId w:val="20"/>
  </w:num>
  <w:num w:numId="21" w16cid:durableId="1793748788">
    <w:abstractNumId w:val="5"/>
  </w:num>
  <w:num w:numId="22" w16cid:durableId="353651451">
    <w:abstractNumId w:val="9"/>
  </w:num>
  <w:num w:numId="23" w16cid:durableId="681903868">
    <w:abstractNumId w:val="31"/>
  </w:num>
  <w:num w:numId="24" w16cid:durableId="2126851779">
    <w:abstractNumId w:val="33"/>
  </w:num>
  <w:num w:numId="25" w16cid:durableId="1185826820">
    <w:abstractNumId w:val="11"/>
  </w:num>
  <w:num w:numId="26" w16cid:durableId="1834444313">
    <w:abstractNumId w:val="12"/>
  </w:num>
  <w:num w:numId="27" w16cid:durableId="692732295">
    <w:abstractNumId w:val="0"/>
  </w:num>
  <w:num w:numId="28" w16cid:durableId="394665777">
    <w:abstractNumId w:val="15"/>
  </w:num>
  <w:num w:numId="29" w16cid:durableId="1922253488">
    <w:abstractNumId w:val="34"/>
  </w:num>
  <w:num w:numId="30" w16cid:durableId="509638837">
    <w:abstractNumId w:val="29"/>
  </w:num>
  <w:num w:numId="31" w16cid:durableId="1964457112">
    <w:abstractNumId w:val="6"/>
  </w:num>
  <w:num w:numId="32" w16cid:durableId="1028069581">
    <w:abstractNumId w:val="28"/>
  </w:num>
  <w:num w:numId="33" w16cid:durableId="1666014031">
    <w:abstractNumId w:val="8"/>
  </w:num>
  <w:num w:numId="34" w16cid:durableId="609626574">
    <w:abstractNumId w:val="14"/>
  </w:num>
  <w:num w:numId="35" w16cid:durableId="1048072952">
    <w:abstractNumId w:val="21"/>
  </w:num>
  <w:num w:numId="36" w16cid:durableId="513226878">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FC7"/>
    <w:rsid w:val="000035AC"/>
    <w:rsid w:val="000148DE"/>
    <w:rsid w:val="00015505"/>
    <w:rsid w:val="00021854"/>
    <w:rsid w:val="00030F4F"/>
    <w:rsid w:val="000468AD"/>
    <w:rsid w:val="00065D57"/>
    <w:rsid w:val="00066AA7"/>
    <w:rsid w:val="00073AC0"/>
    <w:rsid w:val="00081BDF"/>
    <w:rsid w:val="000918AB"/>
    <w:rsid w:val="0009450E"/>
    <w:rsid w:val="00096B52"/>
    <w:rsid w:val="000A2308"/>
    <w:rsid w:val="000C14B2"/>
    <w:rsid w:val="000C534A"/>
    <w:rsid w:val="000C6162"/>
    <w:rsid w:val="000D118B"/>
    <w:rsid w:val="000D588C"/>
    <w:rsid w:val="000E0AD3"/>
    <w:rsid w:val="000E1B1D"/>
    <w:rsid w:val="000E1EF8"/>
    <w:rsid w:val="000E5D56"/>
    <w:rsid w:val="000F7ACA"/>
    <w:rsid w:val="0010150C"/>
    <w:rsid w:val="00111AE2"/>
    <w:rsid w:val="001173A1"/>
    <w:rsid w:val="001217C9"/>
    <w:rsid w:val="00125C6A"/>
    <w:rsid w:val="001262A0"/>
    <w:rsid w:val="00130334"/>
    <w:rsid w:val="001325B2"/>
    <w:rsid w:val="00145B36"/>
    <w:rsid w:val="00161969"/>
    <w:rsid w:val="00187EC5"/>
    <w:rsid w:val="001920C3"/>
    <w:rsid w:val="001946E7"/>
    <w:rsid w:val="001B0E34"/>
    <w:rsid w:val="001C0E0F"/>
    <w:rsid w:val="001C1F2F"/>
    <w:rsid w:val="001C2D1B"/>
    <w:rsid w:val="001D0CC7"/>
    <w:rsid w:val="001D1C7E"/>
    <w:rsid w:val="001D4856"/>
    <w:rsid w:val="001D772D"/>
    <w:rsid w:val="001E2B12"/>
    <w:rsid w:val="001F5227"/>
    <w:rsid w:val="00206F09"/>
    <w:rsid w:val="002118B4"/>
    <w:rsid w:val="00211B3A"/>
    <w:rsid w:val="0023433C"/>
    <w:rsid w:val="00240820"/>
    <w:rsid w:val="002628C8"/>
    <w:rsid w:val="002632CD"/>
    <w:rsid w:val="002640E7"/>
    <w:rsid w:val="002733EB"/>
    <w:rsid w:val="00273AC4"/>
    <w:rsid w:val="00281924"/>
    <w:rsid w:val="002828AD"/>
    <w:rsid w:val="00284C5E"/>
    <w:rsid w:val="00290917"/>
    <w:rsid w:val="00290DED"/>
    <w:rsid w:val="00291C28"/>
    <w:rsid w:val="00297161"/>
    <w:rsid w:val="002A37EE"/>
    <w:rsid w:val="002C1861"/>
    <w:rsid w:val="002C79A6"/>
    <w:rsid w:val="002D1524"/>
    <w:rsid w:val="002D25AE"/>
    <w:rsid w:val="002F636D"/>
    <w:rsid w:val="00302C4F"/>
    <w:rsid w:val="00310497"/>
    <w:rsid w:val="003129C7"/>
    <w:rsid w:val="00322313"/>
    <w:rsid w:val="0033329B"/>
    <w:rsid w:val="00334062"/>
    <w:rsid w:val="003449FC"/>
    <w:rsid w:val="003523E4"/>
    <w:rsid w:val="003607EC"/>
    <w:rsid w:val="00391DF9"/>
    <w:rsid w:val="00391E16"/>
    <w:rsid w:val="0039384F"/>
    <w:rsid w:val="00394F41"/>
    <w:rsid w:val="003A1696"/>
    <w:rsid w:val="003A1EE6"/>
    <w:rsid w:val="003B0DE5"/>
    <w:rsid w:val="003B6C21"/>
    <w:rsid w:val="003C05DE"/>
    <w:rsid w:val="003C0A7A"/>
    <w:rsid w:val="003C4B88"/>
    <w:rsid w:val="003C5193"/>
    <w:rsid w:val="003D0C61"/>
    <w:rsid w:val="003D23B1"/>
    <w:rsid w:val="003E4B5C"/>
    <w:rsid w:val="003F14E5"/>
    <w:rsid w:val="004057E7"/>
    <w:rsid w:val="00410493"/>
    <w:rsid w:val="0041420B"/>
    <w:rsid w:val="00414596"/>
    <w:rsid w:val="00416C76"/>
    <w:rsid w:val="00426401"/>
    <w:rsid w:val="004318C7"/>
    <w:rsid w:val="00432FFC"/>
    <w:rsid w:val="00450993"/>
    <w:rsid w:val="00452B92"/>
    <w:rsid w:val="00453D50"/>
    <w:rsid w:val="00461E94"/>
    <w:rsid w:val="00472847"/>
    <w:rsid w:val="004746CA"/>
    <w:rsid w:val="00484B5A"/>
    <w:rsid w:val="004902E0"/>
    <w:rsid w:val="00490720"/>
    <w:rsid w:val="00490DF0"/>
    <w:rsid w:val="004931BD"/>
    <w:rsid w:val="00494DA3"/>
    <w:rsid w:val="004974D3"/>
    <w:rsid w:val="004A3EB8"/>
    <w:rsid w:val="004B43E6"/>
    <w:rsid w:val="004C7429"/>
    <w:rsid w:val="004C7ADD"/>
    <w:rsid w:val="004D0F21"/>
    <w:rsid w:val="004E687D"/>
    <w:rsid w:val="004F2685"/>
    <w:rsid w:val="004F2EA2"/>
    <w:rsid w:val="004F4727"/>
    <w:rsid w:val="004F6FC7"/>
    <w:rsid w:val="00503BAB"/>
    <w:rsid w:val="00503DF8"/>
    <w:rsid w:val="00521CB1"/>
    <w:rsid w:val="00521F97"/>
    <w:rsid w:val="005223DD"/>
    <w:rsid w:val="00531BD7"/>
    <w:rsid w:val="0053215F"/>
    <w:rsid w:val="00545764"/>
    <w:rsid w:val="0054782A"/>
    <w:rsid w:val="0055407A"/>
    <w:rsid w:val="00554CD6"/>
    <w:rsid w:val="00565191"/>
    <w:rsid w:val="00567584"/>
    <w:rsid w:val="00573A62"/>
    <w:rsid w:val="00576ACD"/>
    <w:rsid w:val="00591ECB"/>
    <w:rsid w:val="005C266C"/>
    <w:rsid w:val="005D0CA6"/>
    <w:rsid w:val="005D6F89"/>
    <w:rsid w:val="005D7625"/>
    <w:rsid w:val="005E1765"/>
    <w:rsid w:val="005E44F6"/>
    <w:rsid w:val="00616978"/>
    <w:rsid w:val="00617F83"/>
    <w:rsid w:val="00620B98"/>
    <w:rsid w:val="00624019"/>
    <w:rsid w:val="006243B5"/>
    <w:rsid w:val="00625189"/>
    <w:rsid w:val="006259EB"/>
    <w:rsid w:val="00627FFD"/>
    <w:rsid w:val="0063191B"/>
    <w:rsid w:val="0063716F"/>
    <w:rsid w:val="00642FB7"/>
    <w:rsid w:val="00655385"/>
    <w:rsid w:val="00672361"/>
    <w:rsid w:val="00675FA7"/>
    <w:rsid w:val="00680D76"/>
    <w:rsid w:val="0068513C"/>
    <w:rsid w:val="00687F11"/>
    <w:rsid w:val="00691061"/>
    <w:rsid w:val="006B1B97"/>
    <w:rsid w:val="006C66ED"/>
    <w:rsid w:val="006D3BF0"/>
    <w:rsid w:val="006D523D"/>
    <w:rsid w:val="006E3C5F"/>
    <w:rsid w:val="006E6363"/>
    <w:rsid w:val="006E63A2"/>
    <w:rsid w:val="006F5240"/>
    <w:rsid w:val="007007BB"/>
    <w:rsid w:val="00724813"/>
    <w:rsid w:val="0073114C"/>
    <w:rsid w:val="007368C3"/>
    <w:rsid w:val="007615C7"/>
    <w:rsid w:val="00766005"/>
    <w:rsid w:val="00772B9C"/>
    <w:rsid w:val="00773D48"/>
    <w:rsid w:val="00776698"/>
    <w:rsid w:val="007937AB"/>
    <w:rsid w:val="00794D53"/>
    <w:rsid w:val="007976BC"/>
    <w:rsid w:val="007C22E4"/>
    <w:rsid w:val="007C3FC5"/>
    <w:rsid w:val="007C5E57"/>
    <w:rsid w:val="007D4A29"/>
    <w:rsid w:val="007E1946"/>
    <w:rsid w:val="007F047A"/>
    <w:rsid w:val="007F6247"/>
    <w:rsid w:val="007F6561"/>
    <w:rsid w:val="008002AB"/>
    <w:rsid w:val="00820943"/>
    <w:rsid w:val="0082478E"/>
    <w:rsid w:val="008253FA"/>
    <w:rsid w:val="00825530"/>
    <w:rsid w:val="00825F12"/>
    <w:rsid w:val="008267A6"/>
    <w:rsid w:val="0082713C"/>
    <w:rsid w:val="00832F27"/>
    <w:rsid w:val="008357CD"/>
    <w:rsid w:val="00837C60"/>
    <w:rsid w:val="00843F02"/>
    <w:rsid w:val="008452D3"/>
    <w:rsid w:val="008516DF"/>
    <w:rsid w:val="00855FF5"/>
    <w:rsid w:val="008660B3"/>
    <w:rsid w:val="00867A32"/>
    <w:rsid w:val="0087230F"/>
    <w:rsid w:val="008773EA"/>
    <w:rsid w:val="0089413E"/>
    <w:rsid w:val="00894F26"/>
    <w:rsid w:val="008A3E4D"/>
    <w:rsid w:val="008A72CC"/>
    <w:rsid w:val="008B04CA"/>
    <w:rsid w:val="008B112C"/>
    <w:rsid w:val="008B53EF"/>
    <w:rsid w:val="008C7907"/>
    <w:rsid w:val="008D2D67"/>
    <w:rsid w:val="008D30EE"/>
    <w:rsid w:val="008D5A5B"/>
    <w:rsid w:val="008D626E"/>
    <w:rsid w:val="008E6DFD"/>
    <w:rsid w:val="008F4D2A"/>
    <w:rsid w:val="00903A40"/>
    <w:rsid w:val="0090713D"/>
    <w:rsid w:val="00925657"/>
    <w:rsid w:val="009356E2"/>
    <w:rsid w:val="00935E77"/>
    <w:rsid w:val="00945322"/>
    <w:rsid w:val="0095165F"/>
    <w:rsid w:val="00975CA1"/>
    <w:rsid w:val="00977764"/>
    <w:rsid w:val="009A22BD"/>
    <w:rsid w:val="009A35D8"/>
    <w:rsid w:val="009A6A3C"/>
    <w:rsid w:val="009B3794"/>
    <w:rsid w:val="009B7E4D"/>
    <w:rsid w:val="009C65EC"/>
    <w:rsid w:val="00A001F8"/>
    <w:rsid w:val="00A11D50"/>
    <w:rsid w:val="00A14C5C"/>
    <w:rsid w:val="00A151A8"/>
    <w:rsid w:val="00A15D45"/>
    <w:rsid w:val="00A1688A"/>
    <w:rsid w:val="00A25493"/>
    <w:rsid w:val="00A264AB"/>
    <w:rsid w:val="00A334E1"/>
    <w:rsid w:val="00A37726"/>
    <w:rsid w:val="00A6654C"/>
    <w:rsid w:val="00A73C72"/>
    <w:rsid w:val="00A83414"/>
    <w:rsid w:val="00A90A17"/>
    <w:rsid w:val="00A92CAB"/>
    <w:rsid w:val="00AA61BA"/>
    <w:rsid w:val="00AB443D"/>
    <w:rsid w:val="00AC0200"/>
    <w:rsid w:val="00AC64C5"/>
    <w:rsid w:val="00AC7E82"/>
    <w:rsid w:val="00AD7D74"/>
    <w:rsid w:val="00AE5DA8"/>
    <w:rsid w:val="00AE7154"/>
    <w:rsid w:val="00B13BAA"/>
    <w:rsid w:val="00B37DAA"/>
    <w:rsid w:val="00B40482"/>
    <w:rsid w:val="00B463F3"/>
    <w:rsid w:val="00B50275"/>
    <w:rsid w:val="00B655C6"/>
    <w:rsid w:val="00B65945"/>
    <w:rsid w:val="00B749F6"/>
    <w:rsid w:val="00B76861"/>
    <w:rsid w:val="00B80B00"/>
    <w:rsid w:val="00B81E5E"/>
    <w:rsid w:val="00B828FB"/>
    <w:rsid w:val="00B85D13"/>
    <w:rsid w:val="00B85DF7"/>
    <w:rsid w:val="00B926E1"/>
    <w:rsid w:val="00B9543B"/>
    <w:rsid w:val="00BA1A0C"/>
    <w:rsid w:val="00BB0114"/>
    <w:rsid w:val="00BB02FB"/>
    <w:rsid w:val="00BC1C6F"/>
    <w:rsid w:val="00BC531F"/>
    <w:rsid w:val="00BE3F86"/>
    <w:rsid w:val="00BE6766"/>
    <w:rsid w:val="00BF2F34"/>
    <w:rsid w:val="00C03555"/>
    <w:rsid w:val="00C11203"/>
    <w:rsid w:val="00C1423C"/>
    <w:rsid w:val="00C21791"/>
    <w:rsid w:val="00C21ACF"/>
    <w:rsid w:val="00C4025C"/>
    <w:rsid w:val="00C45431"/>
    <w:rsid w:val="00C45E4D"/>
    <w:rsid w:val="00C46F0B"/>
    <w:rsid w:val="00C5163A"/>
    <w:rsid w:val="00C53148"/>
    <w:rsid w:val="00C5346B"/>
    <w:rsid w:val="00C538B6"/>
    <w:rsid w:val="00C5556F"/>
    <w:rsid w:val="00C61EDB"/>
    <w:rsid w:val="00C62C9B"/>
    <w:rsid w:val="00C63308"/>
    <w:rsid w:val="00C74B86"/>
    <w:rsid w:val="00C874D9"/>
    <w:rsid w:val="00CA3DA6"/>
    <w:rsid w:val="00CA4C70"/>
    <w:rsid w:val="00CA7031"/>
    <w:rsid w:val="00CB0C79"/>
    <w:rsid w:val="00CB3A86"/>
    <w:rsid w:val="00CD03E3"/>
    <w:rsid w:val="00CD20F8"/>
    <w:rsid w:val="00CD36E7"/>
    <w:rsid w:val="00CE5AA9"/>
    <w:rsid w:val="00CF1DE6"/>
    <w:rsid w:val="00CF6AF0"/>
    <w:rsid w:val="00D11CA3"/>
    <w:rsid w:val="00D13FC0"/>
    <w:rsid w:val="00D30391"/>
    <w:rsid w:val="00D30C02"/>
    <w:rsid w:val="00D31B89"/>
    <w:rsid w:val="00D43986"/>
    <w:rsid w:val="00D46313"/>
    <w:rsid w:val="00D54CC0"/>
    <w:rsid w:val="00D556AC"/>
    <w:rsid w:val="00D56CC2"/>
    <w:rsid w:val="00D61FDA"/>
    <w:rsid w:val="00D659C4"/>
    <w:rsid w:val="00D71A18"/>
    <w:rsid w:val="00D743AB"/>
    <w:rsid w:val="00D74B86"/>
    <w:rsid w:val="00D75D88"/>
    <w:rsid w:val="00D91C40"/>
    <w:rsid w:val="00D92E1D"/>
    <w:rsid w:val="00D942FE"/>
    <w:rsid w:val="00D95DFB"/>
    <w:rsid w:val="00D972A5"/>
    <w:rsid w:val="00DC4CB8"/>
    <w:rsid w:val="00DC73E4"/>
    <w:rsid w:val="00DE2BB2"/>
    <w:rsid w:val="00DE2DEA"/>
    <w:rsid w:val="00DE3A45"/>
    <w:rsid w:val="00DF48D3"/>
    <w:rsid w:val="00E00CEE"/>
    <w:rsid w:val="00E02327"/>
    <w:rsid w:val="00E1458C"/>
    <w:rsid w:val="00E203FA"/>
    <w:rsid w:val="00E31210"/>
    <w:rsid w:val="00E34A1F"/>
    <w:rsid w:val="00E433DA"/>
    <w:rsid w:val="00E4380B"/>
    <w:rsid w:val="00E46A4D"/>
    <w:rsid w:val="00E51C14"/>
    <w:rsid w:val="00E62063"/>
    <w:rsid w:val="00E65F4C"/>
    <w:rsid w:val="00E777C7"/>
    <w:rsid w:val="00E8326C"/>
    <w:rsid w:val="00E87548"/>
    <w:rsid w:val="00E87554"/>
    <w:rsid w:val="00E9097A"/>
    <w:rsid w:val="00E962DB"/>
    <w:rsid w:val="00E96E9C"/>
    <w:rsid w:val="00EB355A"/>
    <w:rsid w:val="00EC38CD"/>
    <w:rsid w:val="00EC7435"/>
    <w:rsid w:val="00ED18EA"/>
    <w:rsid w:val="00EE4F8C"/>
    <w:rsid w:val="00EE529C"/>
    <w:rsid w:val="00EF7545"/>
    <w:rsid w:val="00F17578"/>
    <w:rsid w:val="00F24622"/>
    <w:rsid w:val="00F26386"/>
    <w:rsid w:val="00F303BE"/>
    <w:rsid w:val="00F4221E"/>
    <w:rsid w:val="00F439F5"/>
    <w:rsid w:val="00F54690"/>
    <w:rsid w:val="00F575A0"/>
    <w:rsid w:val="00F674D2"/>
    <w:rsid w:val="00F72A74"/>
    <w:rsid w:val="00F81E4C"/>
    <w:rsid w:val="00FA20AD"/>
    <w:rsid w:val="00FB249C"/>
    <w:rsid w:val="00FB42CA"/>
    <w:rsid w:val="00FC37C7"/>
    <w:rsid w:val="00FD3FCE"/>
    <w:rsid w:val="00FE3879"/>
    <w:rsid w:val="00FE6C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CA5EAE3D-0E1E-4718-89BB-0AA8F6C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link w:val="BodyTextIndentChar"/>
    <w:rsid w:val="001D4856"/>
    <w:pPr>
      <w:ind w:left="720"/>
    </w:pPr>
    <w:rPr>
      <w:rFonts w:ascii="Baskerville Old Face" w:hAnsi="Baskerville Old Face"/>
      <w:sz w:val="24"/>
    </w:rPr>
  </w:style>
  <w:style w:type="table" w:styleId="TableGrid">
    <w:name w:val="Table Grid"/>
    <w:basedOn w:val="TableNormal"/>
    <w:uiPriority w:val="39"/>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DE3A45"/>
    <w:pPr>
      <w:ind w:left="720"/>
    </w:pPr>
  </w:style>
  <w:style w:type="character" w:styleId="Hyperlink">
    <w:name w:val="Hyperlink"/>
    <w:basedOn w:val="DefaultParagraphFont"/>
    <w:uiPriority w:val="99"/>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A001F8"/>
    <w:rPr>
      <w:szCs w:val="24"/>
    </w:rPr>
  </w:style>
  <w:style w:type="character" w:styleId="CommentReference">
    <w:name w:val="annotation reference"/>
    <w:basedOn w:val="DefaultParagraphFont"/>
    <w:semiHidden/>
    <w:unhideWhenUsed/>
    <w:rsid w:val="00A001F8"/>
    <w:rPr>
      <w:sz w:val="16"/>
      <w:szCs w:val="16"/>
    </w:rPr>
  </w:style>
  <w:style w:type="paragraph" w:styleId="CommentText">
    <w:name w:val="annotation text"/>
    <w:basedOn w:val="Normal"/>
    <w:link w:val="CommentTextChar"/>
    <w:unhideWhenUsed/>
    <w:rsid w:val="00A001F8"/>
    <w:rPr>
      <w:szCs w:val="20"/>
    </w:rPr>
  </w:style>
  <w:style w:type="character" w:customStyle="1" w:styleId="CommentTextChar">
    <w:name w:val="Comment Text Char"/>
    <w:basedOn w:val="DefaultParagraphFont"/>
    <w:link w:val="CommentText"/>
    <w:rsid w:val="00A001F8"/>
  </w:style>
  <w:style w:type="paragraph" w:styleId="CommentSubject">
    <w:name w:val="annotation subject"/>
    <w:basedOn w:val="CommentText"/>
    <w:next w:val="CommentText"/>
    <w:link w:val="CommentSubjectChar"/>
    <w:semiHidden/>
    <w:unhideWhenUsed/>
    <w:rsid w:val="00A001F8"/>
    <w:rPr>
      <w:b/>
      <w:bCs/>
    </w:rPr>
  </w:style>
  <w:style w:type="character" w:customStyle="1" w:styleId="CommentSubjectChar">
    <w:name w:val="Comment Subject Char"/>
    <w:basedOn w:val="CommentTextChar"/>
    <w:link w:val="CommentSubject"/>
    <w:semiHidden/>
    <w:rsid w:val="00A001F8"/>
    <w:rPr>
      <w:b/>
      <w:bCs/>
    </w:rPr>
  </w:style>
  <w:style w:type="character" w:customStyle="1" w:styleId="ListParagraphChar">
    <w:name w:val="List Paragraph Char"/>
    <w:aliases w:val="3 Char,Bullet 1 Char,Bullet List Char,Bullet Points Char,Colorful List - Accent 11 Char,Dot pt Char,F5 List Paragraph Char,FooterText Char,Indicator Text Char,Issue Action POC Char,List Paragraph Char Char Char Char,MAIN CONTENT Char"/>
    <w:basedOn w:val="DefaultParagraphFont"/>
    <w:link w:val="ListParagraph"/>
    <w:uiPriority w:val="34"/>
    <w:locked/>
    <w:rsid w:val="00EE4F8C"/>
    <w:rPr>
      <w:szCs w:val="24"/>
    </w:rPr>
  </w:style>
  <w:style w:type="character" w:customStyle="1" w:styleId="BodyTextIndentChar">
    <w:name w:val="Body Text Indent Char"/>
    <w:basedOn w:val="DefaultParagraphFont"/>
    <w:link w:val="BodyTextIndent"/>
    <w:rsid w:val="008B112C"/>
    <w:rPr>
      <w:rFonts w:ascii="Baskerville Old Face" w:hAnsi="Baskerville Old Face"/>
      <w:sz w:val="24"/>
      <w:szCs w:val="24"/>
    </w:rPr>
  </w:style>
  <w:style w:type="character" w:styleId="UnresolvedMention">
    <w:name w:val="Unresolved Mention"/>
    <w:basedOn w:val="DefaultParagraphFont"/>
    <w:uiPriority w:val="99"/>
    <w:semiHidden/>
    <w:unhideWhenUsed/>
    <w:rsid w:val="00772B9C"/>
    <w:rPr>
      <w:color w:val="605E5C"/>
      <w:shd w:val="clear" w:color="auto" w:fill="E1DFDD"/>
    </w:rPr>
  </w:style>
  <w:style w:type="paragraph" w:styleId="BodyText">
    <w:name w:val="Body Text"/>
    <w:basedOn w:val="Normal"/>
    <w:link w:val="BodyTextChar"/>
    <w:uiPriority w:val="1"/>
    <w:unhideWhenUsed/>
    <w:qFormat/>
    <w:rsid w:val="00CB0C79"/>
    <w:pPr>
      <w:spacing w:after="120"/>
    </w:pPr>
  </w:style>
  <w:style w:type="character" w:customStyle="1" w:styleId="BodyTextChar">
    <w:name w:val="Body Text Char"/>
    <w:basedOn w:val="DefaultParagraphFont"/>
    <w:link w:val="BodyText"/>
    <w:uiPriority w:val="1"/>
    <w:rsid w:val="00CB0C79"/>
    <w:rPr>
      <w:szCs w:val="24"/>
    </w:rPr>
  </w:style>
  <w:style w:type="paragraph" w:customStyle="1" w:styleId="L1HRSA">
    <w:name w:val="L1_HRSA"/>
    <w:basedOn w:val="Heading1"/>
    <w:qFormat/>
    <w:rsid w:val="00CB0C79"/>
    <w:pPr>
      <w:keepLines/>
      <w:widowControl/>
      <w:autoSpaceDE/>
      <w:autoSpaceDN/>
      <w:adjustRightInd/>
      <w:spacing w:after="120"/>
      <w:jc w:val="both"/>
    </w:pPr>
    <w:rPr>
      <w:rFonts w:ascii="Arial Black" w:hAnsi="Arial Black" w:eastAsiaTheme="majorEastAsia" w:cstheme="majorBidi"/>
      <w:b w:val="0"/>
      <w:bCs w:val="0"/>
      <w:smallCaps/>
      <w:color w:val="991C21"/>
      <w:spacing w:val="4"/>
      <w:sz w:val="28"/>
      <w:szCs w:val="28"/>
    </w:rPr>
  </w:style>
  <w:style w:type="paragraph" w:styleId="FootnoteText">
    <w:name w:val="footnote text"/>
    <w:basedOn w:val="Normal"/>
    <w:link w:val="FootnoteTextChar"/>
    <w:semiHidden/>
    <w:unhideWhenUsed/>
    <w:rsid w:val="00D30391"/>
    <w:rPr>
      <w:szCs w:val="20"/>
    </w:rPr>
  </w:style>
  <w:style w:type="character" w:customStyle="1" w:styleId="FootnoteTextChar">
    <w:name w:val="Footnote Text Char"/>
    <w:basedOn w:val="DefaultParagraphFont"/>
    <w:link w:val="FootnoteText"/>
    <w:semiHidden/>
    <w:rsid w:val="00D30391"/>
  </w:style>
  <w:style w:type="character" w:styleId="FollowedHyperlink">
    <w:name w:val="FollowedHyperlink"/>
    <w:basedOn w:val="DefaultParagraphFont"/>
    <w:semiHidden/>
    <w:unhideWhenUsed/>
    <w:rsid w:val="008D626E"/>
    <w:rPr>
      <w:color w:val="800080" w:themeColor="followedHyperlink"/>
      <w:u w:val="single"/>
    </w:rPr>
  </w:style>
  <w:style w:type="paragraph" w:styleId="NormalWeb">
    <w:name w:val="Normal (Web)"/>
    <w:basedOn w:val="Normal"/>
    <w:uiPriority w:val="99"/>
    <w:semiHidden/>
    <w:unhideWhenUsed/>
    <w:rsid w:val="0023433C"/>
    <w:pPr>
      <w:widowControl/>
      <w:autoSpaceDE/>
      <w:autoSpaceDN/>
      <w:adjustRightInd/>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justice.gov/opcl/privacy-act-1974" TargetMode="External" /><Relationship Id="rId11" Type="http://schemas.openxmlformats.org/officeDocument/2006/relationships/hyperlink" Target="https://www.bls.gov/oes/current/oes_stru.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oi.org/10.1177/1525822X17698958" TargetMode="External" /><Relationship Id="rId2" Type="http://schemas.openxmlformats.org/officeDocument/2006/relationships/hyperlink" Target="https://doi.org/10.1177/160940691988727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D9414765D524DA28632E683BD9EE0" ma:contentTypeVersion="8" ma:contentTypeDescription="Create a new document." ma:contentTypeScope="" ma:versionID="bdbb42259863aa50287dd61716a154c9">
  <xsd:schema xmlns:xsd="http://www.w3.org/2001/XMLSchema" xmlns:xs="http://www.w3.org/2001/XMLSchema" xmlns:p="http://schemas.microsoft.com/office/2006/metadata/properties" xmlns:ns2="68c2e6f3-6ea4-42c3-835e-44e49d8f3a1e" xmlns:ns3="b07d60d0-a851-40d7-ab0c-f280ece78be0" targetNamespace="http://schemas.microsoft.com/office/2006/metadata/properties" ma:root="true" ma:fieldsID="daee0e76c835e5d3aa4ce3bbf3f1da82" ns2:_="" ns3:_="">
    <xsd:import namespace="68c2e6f3-6ea4-42c3-835e-44e49d8f3a1e"/>
    <xsd:import namespace="b07d60d0-a851-40d7-ab0c-f280ece78b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CurrentVersion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7d60d0-a851-40d7-ab0c-f280ece78b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CurrentVersion_x003f_" ma:index="13" nillable="true" ma:displayName="Current Version?" ma:default="1" ma:format="Dropdown" ma:internalName="CurrentVersion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8c2e6f3-6ea4-42c3-835e-44e49d8f3a1e">5C3YEWZCVWVS-1743964322-46</_dlc_DocId>
    <_dlc_DocIdUrl xmlns="68c2e6f3-6ea4-42c3-835e-44e49d8f3a1e">
      <Url>https://nih.sharepoint.com/sites/HRSA-OA-OPAE/_layouts/15/DocIdRedir.aspx?ID=5C3YEWZCVWVS-1743964322-46</Url>
      <Description>5C3YEWZCVWVS-1743964322-46</Description>
    </_dlc_DocIdUrl>
    <CurrentVersion_x003f_ xmlns="b07d60d0-a851-40d7-ab0c-f280ece78be0">true</CurrentVersion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EFF44F73-B819-48CB-86A8-1261CCE8A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b07d60d0-a851-40d7-ab0c-f280ece78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3.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68c2e6f3-6ea4-42c3-835e-44e49d8f3a1e"/>
    <ds:schemaRef ds:uri="b07d60d0-a851-40d7-ab0c-f280ece78be0"/>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4E96CAB2-4CB3-427C-BCA2-6FD00FC47C0A}">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21</Pages>
  <Words>6959</Words>
  <Characters>39670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46536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Dana Mason</cp:lastModifiedBy>
  <cp:revision>4</cp:revision>
  <cp:lastPrinted>2010-10-14T13:41:00Z</cp:lastPrinted>
  <dcterms:created xsi:type="dcterms:W3CDTF">2024-07-16T21:12:00Z</dcterms:created>
  <dcterms:modified xsi:type="dcterms:W3CDTF">2024-07-18T17:57:00Z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0x01010047DD9414765D524DA28632E683BD9EE0</vt:lpwstr>
  </property>
  <property fmtid="{D5CDD505-2E9C-101B-9397-08002B2CF9AE}" pid="3" name="GrammarlyDocumentId">
    <vt:lpwstr>d401b313a768ce5c7c7acb089305c21701fa580a932307900cc7a50478543b38</vt:lpwstr>
  </property>
  <property fmtid="{D5CDD505-2E9C-101B-9397-08002B2CF9AE}" pid="4" name="Order">
    <vt:r8>4600</vt:r8>
  </property>
  <property fmtid="{D5CDD505-2E9C-101B-9397-08002B2CF9AE}" pid="5" name="_dlc_DocIdItemGuid">
    <vt:lpwstr>c7618871-f6ab-424a-a524-284345fcb0dd</vt:lpwstr>
  </property>
</Properties>
</file>