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71B6" w14:paraId="2D5178FE" w14:textId="77777777">
      <w:pPr>
        <w:pStyle w:val="Heading1"/>
        <w:ind w:left="0"/>
        <w:jc w:val="center"/>
      </w:pPr>
      <w:r>
        <w:t>SUPPORTING STATEMENT</w:t>
      </w:r>
    </w:p>
    <w:p w:rsidR="00BA71B6" w14:paraId="299B83B0" w14:textId="77777777">
      <w:pPr>
        <w:spacing w:before="22" w:line="259" w:lineRule="auto"/>
        <w:ind w:firstLine="14"/>
        <w:jc w:val="center"/>
        <w:rPr>
          <w:b/>
        </w:rPr>
      </w:pPr>
      <w:r>
        <w:rPr>
          <w:b/>
        </w:rPr>
        <w:t>U.S. Department of Commerce</w:t>
      </w:r>
    </w:p>
    <w:p w:rsidR="00BA71B6" w14:paraId="4E17C17E" w14:textId="77777777">
      <w:pPr>
        <w:spacing w:before="22" w:line="259" w:lineRule="auto"/>
        <w:ind w:firstLine="14"/>
        <w:jc w:val="center"/>
        <w:rPr>
          <w:b/>
        </w:rPr>
      </w:pPr>
      <w:r>
        <w:rPr>
          <w:b/>
        </w:rPr>
        <w:t>National Oceanic &amp; Atmospheric Administration</w:t>
      </w:r>
    </w:p>
    <w:p w:rsidR="00BA71B6" w14:paraId="0066CE5A" w14:textId="77777777">
      <w:pPr>
        <w:spacing w:line="259" w:lineRule="auto"/>
        <w:ind w:hanging="6"/>
        <w:jc w:val="center"/>
        <w:rPr>
          <w:b/>
        </w:rPr>
      </w:pPr>
      <w:r>
        <w:rPr>
          <w:b/>
        </w:rPr>
        <w:t>Using Quick Response Surveys to Build a Public Perception and Response Database</w:t>
      </w:r>
    </w:p>
    <w:p w:rsidR="00BA71B6" w14:paraId="0307026E" w14:textId="77777777">
      <w:pPr>
        <w:spacing w:line="259" w:lineRule="auto"/>
        <w:ind w:hanging="6"/>
        <w:jc w:val="center"/>
        <w:rPr>
          <w:b/>
        </w:rPr>
      </w:pPr>
      <w:r>
        <w:rPr>
          <w:b/>
        </w:rPr>
        <w:t>OMB Control No. 0648-0805</w:t>
      </w:r>
    </w:p>
    <w:p w:rsidR="00BA71B6" w14:paraId="3EF4DE20" w14:textId="77777777">
      <w:pPr>
        <w:pBdr>
          <w:top w:val="nil"/>
          <w:left w:val="nil"/>
          <w:bottom w:val="nil"/>
          <w:right w:val="nil"/>
          <w:between w:val="nil"/>
        </w:pBdr>
        <w:spacing w:before="1"/>
        <w:jc w:val="center"/>
        <w:rPr>
          <w:b/>
        </w:rPr>
      </w:pPr>
    </w:p>
    <w:p w:rsidR="00BA71B6" w14:paraId="65A68479" w14:textId="77777777">
      <w:pPr>
        <w:pStyle w:val="Heading1"/>
        <w:spacing w:before="199"/>
        <w:ind w:left="0"/>
      </w:pPr>
      <w:r>
        <w:t>Abstract</w:t>
      </w:r>
    </w:p>
    <w:p w:rsidR="00BA71B6" w14:paraId="40350DB1" w14:textId="77777777"/>
    <w:p w:rsidR="00BA71B6" w14:paraId="4E5B232E" w14:textId="1BDF3C32">
      <w:pPr>
        <w:widowControl/>
        <w:spacing w:line="276" w:lineRule="auto"/>
      </w:pPr>
      <w:r>
        <w:t xml:space="preserve">This is a request for revision and extension of an approved information collection. The previously approved collection is called Phase I and the revision and extension </w:t>
      </w:r>
      <w:r w:rsidR="00F65DFD">
        <w:t>are</w:t>
      </w:r>
      <w:r>
        <w:t xml:space="preserve"> called Phase II.</w:t>
      </w:r>
    </w:p>
    <w:p w:rsidR="00BA71B6" w14:paraId="19617A6C" w14:textId="77777777">
      <w:pPr>
        <w:widowControl/>
        <w:spacing w:line="276" w:lineRule="auto"/>
        <w:ind w:firstLine="720"/>
      </w:pPr>
    </w:p>
    <w:p w:rsidR="00BA71B6" w14:paraId="4BA24B7D" w14:textId="77777777">
      <w:pPr>
        <w:widowControl/>
        <w:spacing w:line="276" w:lineRule="auto"/>
      </w:pPr>
      <w:r>
        <w:t>The Phase II collection is also sponsored by the NOAA National Weather Service (NWS) Office of Science and Technology Integration (OSTI). The collection is permitted under 15 USC Ch. 111, Weather Research and Forecasting Innovation, that directs NOAA to focus on improving its understanding of how the public receives, interprets, and responds to warnings and forecasts of high impact weather events that endanger life and property. The purpose of the collection is to improve how the NWS communicates risks posed by hazardous weather or water events to the public that are most likely to result in action to mitigate the risk. Information from this collection will help the agency meet its mission to “provide weather, water and climate data, forecasts, warnings, and impact-based decision support services for the protection of life and property and enhancement of the national economy.”</w:t>
      </w:r>
    </w:p>
    <w:p w:rsidR="00BA71B6" w14:paraId="2C36D47A" w14:textId="77777777">
      <w:pPr>
        <w:widowControl/>
        <w:spacing w:line="276" w:lineRule="auto"/>
      </w:pPr>
    </w:p>
    <w:p w:rsidR="00BA71B6" w14:paraId="4E820C89" w14:textId="787F95AF">
      <w:pPr>
        <w:widowControl/>
        <w:spacing w:line="276" w:lineRule="auto"/>
        <w:rPr>
          <w:highlight w:val="yellow"/>
        </w:rPr>
      </w:pPr>
      <w:r>
        <w:t xml:space="preserve">Phase II will continue the work </w:t>
      </w:r>
      <w:r w:rsidR="00F65DFD">
        <w:t>using</w:t>
      </w:r>
      <w:r>
        <w:t xml:space="preserve"> an online survey system for collecting data on the publics’ perception and response to four different hazards: tornados, thunderstorm winds over 70 miles per hour (mph), flash floods, and winter weather. The online surveys provide event-based reports on hazardous weather events for National Weather Service Forecast Offices, and are building blocks for a multi-year, cross-sectional organized collection of human perception and response data. The survey system enables individual National Weather Service Weather Forecast Offices (WFOs) to disseminate Quick Response Surveys (QRS) soon after a hazardous event occurs to collect perishable data on the publics’ perceptions and response to the event. WFOs distribute the QRS using web links on NWS social media and core partners’ social media or email lists. Surveys ask the public questions on timing, location, weather information sources, motivations and influences for taking protective action to gain insights into how NWS warning communications interact with these factors to result in protective action behaviors.</w:t>
      </w:r>
    </w:p>
    <w:p w:rsidR="00BA71B6" w14:paraId="6E27B0CB" w14:textId="77777777">
      <w:pPr>
        <w:widowControl/>
        <w:spacing w:line="276" w:lineRule="auto"/>
      </w:pPr>
    </w:p>
    <w:p w:rsidR="00BA71B6" w14:paraId="03B65176" w14:textId="0E4D085F">
      <w:pPr>
        <w:widowControl/>
        <w:spacing w:line="276" w:lineRule="auto"/>
      </w:pPr>
      <w:r>
        <w:t xml:space="preserve">The collection is being revised to remove the </w:t>
      </w:r>
      <w:r w:rsidR="008C72DA">
        <w:t xml:space="preserve">longitudinal </w:t>
      </w:r>
      <w:r>
        <w:t>Weather and Society Survey</w:t>
      </w:r>
      <w:r w:rsidR="008C72DA">
        <w:t>s</w:t>
      </w:r>
      <w:r>
        <w:t xml:space="preserve">. The agency no longer collects information using the </w:t>
      </w:r>
      <w:r w:rsidR="008C72DA">
        <w:t xml:space="preserve">longitudinal </w:t>
      </w:r>
      <w:r>
        <w:t>Weather and Society Survey</w:t>
      </w:r>
      <w:r w:rsidR="008C72DA">
        <w:t>s</w:t>
      </w:r>
      <w:r>
        <w:t>.</w:t>
      </w:r>
    </w:p>
    <w:p w:rsidR="00BA71B6" w14:paraId="045FDD22" w14:textId="77777777">
      <w:pPr>
        <w:pStyle w:val="Heading1"/>
        <w:spacing w:before="124"/>
        <w:ind w:left="0"/>
      </w:pPr>
    </w:p>
    <w:p w:rsidR="00BA71B6" w14:paraId="5996A94E" w14:textId="77777777">
      <w:pPr>
        <w:pStyle w:val="Heading1"/>
        <w:spacing w:before="124"/>
        <w:ind w:left="0"/>
      </w:pPr>
      <w:r>
        <w:t>Justification</w:t>
      </w:r>
    </w:p>
    <w:p w:rsidR="00BA71B6" w14:paraId="03EA0A27" w14:textId="77777777">
      <w:pPr>
        <w:pBdr>
          <w:top w:val="nil"/>
          <w:left w:val="nil"/>
          <w:bottom w:val="nil"/>
          <w:right w:val="nil"/>
          <w:between w:val="nil"/>
        </w:pBdr>
        <w:tabs>
          <w:tab w:val="left" w:pos="360"/>
        </w:tabs>
        <w:spacing w:before="182" w:line="259" w:lineRule="auto"/>
        <w:rPr>
          <w:b/>
        </w:rPr>
      </w:pPr>
      <w:r>
        <w:rPr>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A71B6" w14:paraId="44943476" w14:textId="77777777"/>
    <w:p w:rsidR="00BA71B6" w14:paraId="04AD78D9" w14:textId="77777777">
      <w:pPr>
        <w:spacing w:line="276" w:lineRule="auto"/>
      </w:pPr>
      <w:r>
        <w:t xml:space="preserve">The collection is permitted under 15 USC Ch. 111, Weather Research and Forecasting Information, that </w:t>
      </w:r>
      <w:r>
        <w:t>directs NOAA to focus on improving its understanding of how the public receives, interprets, and responds to warnings and forecasts of high impact weather events that endanger life and property. It will also address the Weather Research and Forecasting Innovation Act (WRFIA) of 2017. WRFIA (Sec. 102) directs NOAA to focus on improving its understanding of how the public receives, interprets, and responds to warnings and forecasts of high impact weather events that endanger life and property. The legislation also specified that the purpose of the NOAA watch/warning system is to inform action to prevent loss of life and property (Sec. 406), and that any changes to the system must preserve the benefits of the current system and be guided by the research-based findings.</w:t>
      </w:r>
    </w:p>
    <w:p w:rsidR="00BA71B6" w14:paraId="0E01D87A" w14:textId="77777777">
      <w:pPr>
        <w:spacing w:line="276" w:lineRule="auto"/>
      </w:pPr>
    </w:p>
    <w:p w:rsidR="00BA71B6" w14:paraId="77DA8A45" w14:textId="6A767420">
      <w:pPr>
        <w:spacing w:line="276" w:lineRule="auto"/>
      </w:pPr>
      <w:r>
        <w:t xml:space="preserve">NOAA currently lacks data that articulates and explains how members of the public receive, interpret, and respond to NOAA information and forecasts during high impact weather events, such as severe, winter, and tropical weather hazards. Thus, NOAA cannot determine if its messages are widely disseminated, understood, and acted upon. Furthermore, NOAA lacks the multi-year data needed to demonstrate if progress or improvements have been made in these areas; therefore, NOAA cannot evaluate performance and satisfy the requirements of the WRFIA. </w:t>
      </w:r>
    </w:p>
    <w:p w:rsidR="00BA71B6" w14:paraId="15F783FD" w14:textId="77777777">
      <w:pPr>
        <w:pBdr>
          <w:top w:val="nil"/>
          <w:left w:val="nil"/>
          <w:bottom w:val="nil"/>
          <w:right w:val="nil"/>
          <w:between w:val="nil"/>
        </w:pBdr>
        <w:spacing w:before="159" w:line="276" w:lineRule="auto"/>
      </w:pPr>
      <w:r>
        <w:t>Documents Cited:</w:t>
      </w:r>
    </w:p>
    <w:p w:rsidR="00BA71B6" w14:paraId="538F2B65" w14:textId="2B4ACB1D">
      <w:pPr>
        <w:pBdr>
          <w:top w:val="nil"/>
          <w:left w:val="nil"/>
          <w:bottom w:val="nil"/>
          <w:right w:val="nil"/>
          <w:between w:val="nil"/>
        </w:pBdr>
        <w:spacing w:before="159" w:line="276" w:lineRule="auto"/>
        <w:rPr>
          <w:b/>
        </w:rPr>
      </w:pPr>
      <w:hyperlink r:id="rId7">
        <w:r w:rsidR="00370984">
          <w:rPr>
            <w:u w:val="single"/>
          </w:rPr>
          <w:t>https://www.congress.gov/bill/115th-congress/house-bill/353/text</w:t>
        </w:r>
      </w:hyperlink>
      <w:r>
        <w:rPr>
          <w:rStyle w:val="FootnoteReference"/>
          <w:u w:val="single"/>
        </w:rPr>
        <w:footnoteReference w:id="2"/>
      </w:r>
      <w:r w:rsidR="00370984">
        <w:rPr>
          <w:b/>
        </w:rPr>
        <w:br/>
      </w:r>
    </w:p>
    <w:p w:rsidR="00BA71B6" w14:paraId="36809B28" w14:textId="77777777">
      <w:pPr>
        <w:pStyle w:val="Heading1"/>
        <w:tabs>
          <w:tab w:val="left" w:pos="360"/>
        </w:tabs>
        <w:spacing w:before="197"/>
        <w:ind w:left="0"/>
      </w:pPr>
      <w:r>
        <w:t>2. Indicate how, by whom, and for what purpose the information is to be used. Except for a new collection, indicate the actual use the agency has made of the information received from the current collection.</w:t>
      </w:r>
    </w:p>
    <w:p w:rsidR="00BA71B6" w14:paraId="7ECD22B9" w14:textId="27A7B1C0">
      <w:pPr>
        <w:widowControl/>
        <w:spacing w:before="160" w:line="276" w:lineRule="auto"/>
      </w:pPr>
      <w:r>
        <w:t>Data collected from Phase I of the QRS thus far were used by the NWS and other entities at NOAA for several purposes. OSTI is using the data from the flood survey as an input to develop a model for understanding motorist behavior. The surveys provide observational information on decisions people made when they encounter flooded roads, which helps train the model. Results of the QRS were presented as part of the Flash Flood and Intense Rainfall Experiment (</w:t>
      </w:r>
      <w:r>
        <w:t>FFaIR</w:t>
      </w:r>
      <w:r>
        <w:t xml:space="preserve">), an annual experiment that is part of the Hydrometeorological Testbed and brings together NWS forecasters, researchers, and developers to test new tools and techniques for predicting extreme rainfall and flash flooding in a pseudo-operational environment. </w:t>
      </w:r>
    </w:p>
    <w:p w:rsidR="00BA71B6" w14:paraId="1EBA0134" w14:textId="60E09AC5">
      <w:pPr>
        <w:widowControl/>
        <w:spacing w:before="160" w:line="276" w:lineRule="auto"/>
      </w:pPr>
      <w:r>
        <w:t>WFO Fort Worth along with the NOAA National Severe Storms Laboratory (NSSL) and the National Corporation for Atmospheric Research (NCAR) used the flood survey data to validate a new Flash Flood Severity Index</w:t>
      </w:r>
      <w:r w:rsidR="00F65DFD">
        <w:t xml:space="preserve"> (FFSI)</w:t>
      </w:r>
      <w:r>
        <w:t>. This project collected detailed hydrometeorological, impacts, road weather, and societal response data for six flash flood events. Ground and aerial assessments were collected to gather a more complete picture of the coverage and severity of the flash flood using Uncrewed Aircraft Systems (UAS), high resolution satellite imagery, local emergency manager reports, and NWS flash flood products. The societal impacts of the flash flood were assessed through post event surveys of the public and analysis of road traffic patterns. All data has been mapped in time and in space to explore correlations and disconnects among public perceptions, impacts, and weather products to assess and refine the FFSI.</w:t>
      </w:r>
    </w:p>
    <w:p w:rsidR="00BA71B6" w14:paraId="60CCF43E" w14:textId="716A8C8F">
      <w:pPr>
        <w:widowControl/>
        <w:spacing w:before="160" w:line="276" w:lineRule="auto"/>
      </w:pPr>
      <w:r>
        <w:t xml:space="preserve">Several other WFOs have also used the data. Data from the tornado survey were used by WFO Nashville to understand preparedness and sheltering behaviors which </w:t>
      </w:r>
      <w:r w:rsidR="00F65DFD">
        <w:t xml:space="preserve">are </w:t>
      </w:r>
      <w:r>
        <w:t xml:space="preserve">key predictors of optimal behavior. The WFO is using that information as they develop watches and warnings. WFOs Portland and Phoenix are using lessons from winter weather and flash flood surveys during meetings with public safety partners. More WFOs are opting into data collection as they learn about the data and their value for informing operations and effective local messaging. For example, NWS Eastern Region is expanding the number of offices participating in the survey collection following a presentation to the Science Operations Officers (SOOs). </w:t>
      </w:r>
    </w:p>
    <w:p w:rsidR="00BA71B6" w14:paraId="31C2CBE3" w14:textId="1F9F3600">
      <w:pPr>
        <w:widowControl/>
        <w:spacing w:before="160" w:line="276" w:lineRule="auto"/>
      </w:pPr>
      <w:r>
        <w:t xml:space="preserve">The QRS method continues to show promise as a strategy to collect this kind of data. Fourteen WFOs were involved in Phase I of the project. The goal is to add another 36 offices in Phase II. Given the need to use government resources more effectively and efficiently and the need for hazard-specific, region-specific and event-specific data collection, NWS will continue evaluating the strengths and weaknesses of using well-constructed, less costly convenience samples. One of the goals is to continue exploring to what extent convenience samples can be used for making statements about the public and for understanding how different factors contribute to perception and behavior. The NWS understands the potential limitations of convenience sampling compared to probability-based sampling and will make sure that all users are aware of these limitations by explicitly stating the following on all data, tools, and reports: </w:t>
      </w:r>
      <w:r>
        <w:rPr>
          <w:i/>
        </w:rPr>
        <w:t>All (or some) of these data come from non-probability samples that are not necessarily representative of the entire U.S. population. Use caution when making inferences and drawing conclusions.</w:t>
      </w:r>
    </w:p>
    <w:p w:rsidR="00BA71B6" w14:paraId="19148362" w14:textId="77777777">
      <w:pPr>
        <w:pBdr>
          <w:top w:val="nil"/>
          <w:left w:val="nil"/>
          <w:bottom w:val="nil"/>
          <w:right w:val="nil"/>
          <w:between w:val="nil"/>
        </w:pBdr>
        <w:tabs>
          <w:tab w:val="left" w:pos="360"/>
        </w:tabs>
        <w:spacing w:before="199"/>
        <w:rPr>
          <w:b/>
        </w:rPr>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A71B6" w14:paraId="4300F7C1" w14:textId="0A66F598">
      <w:pPr>
        <w:spacing w:before="161" w:line="276" w:lineRule="auto"/>
      </w:pPr>
      <w:r>
        <w:t>The collection will make use of electronic online platforms to collect data in keeping with the Government Paperwork Elimination Act. By using an electronic survey format, th</w:t>
      </w:r>
      <w:r w:rsidR="00F65DFD">
        <w:t>e</w:t>
      </w:r>
      <w:r>
        <w:t xml:space="preserve"> burden on the NWS and the general public taking the survey</w:t>
      </w:r>
      <w:r w:rsidR="00F65DFD">
        <w:t xml:space="preserve"> is reduced</w:t>
      </w:r>
      <w:r>
        <w:t xml:space="preserve">. </w:t>
      </w:r>
      <w:r>
        <w:br/>
      </w:r>
    </w:p>
    <w:p w:rsidR="00BA71B6" w14:paraId="172D86F3" w14:textId="77777777">
      <w:pPr>
        <w:pBdr>
          <w:top w:val="nil"/>
          <w:left w:val="nil"/>
          <w:bottom w:val="nil"/>
          <w:right w:val="nil"/>
          <w:between w:val="nil"/>
        </w:pBdr>
        <w:tabs>
          <w:tab w:val="left" w:pos="360"/>
        </w:tabs>
        <w:spacing w:before="80"/>
      </w:pPr>
      <w:r>
        <w:t xml:space="preserve">4. </w:t>
      </w:r>
      <w:r>
        <w:rPr>
          <w:b/>
        </w:rPr>
        <w:t>Describe efforts to identify duplication. Show specifically why any similar information already available cannot be used or modified for use for the purposes described in Question 2</w:t>
      </w:r>
    </w:p>
    <w:p w:rsidR="00BA71B6" w14:paraId="489ED7F7" w14:textId="77777777">
      <w:pPr>
        <w:spacing w:before="160" w:line="276" w:lineRule="auto"/>
      </w:pPr>
      <w:r>
        <w:t>No duplicate effort exists, nor can previous information collected be used to address the purpose of this collection. Other collection efforts such as the NWS Customer Satisfaction Survey (CSS), is a rigorous quarterly survey that provides satisfaction metrics for NWS products and services on a national level.  However, the CSS has a national focus, and does not address public perception and response to severe weather events directly at a forecast office level, nor to specific weather events. Thus, unique to this information collection effort is the “bottom-up” approach to data collection, surveying actual response to severe weather events at a forecast office level, as well as this project’s potential transition into operations and publicly available repository.</w:t>
      </w:r>
      <w:r>
        <w:br/>
      </w:r>
    </w:p>
    <w:p w:rsidR="00BA71B6" w14:paraId="10D007B5" w14:textId="77777777">
      <w:pPr>
        <w:pBdr>
          <w:top w:val="nil"/>
          <w:left w:val="nil"/>
          <w:bottom w:val="nil"/>
          <w:right w:val="nil"/>
          <w:between w:val="nil"/>
        </w:pBdr>
        <w:tabs>
          <w:tab w:val="left" w:pos="360"/>
        </w:tabs>
        <w:spacing w:before="80"/>
        <w:rPr>
          <w:b/>
        </w:rPr>
      </w:pPr>
      <w:r>
        <w:rPr>
          <w:b/>
        </w:rPr>
        <w:t xml:space="preserve">5. If the collection of information impacts small businesses or other small entities, describe any </w:t>
      </w:r>
      <w:r>
        <w:rPr>
          <w:b/>
        </w:rPr>
        <w:t>methods used to minimize burden.</w:t>
      </w:r>
    </w:p>
    <w:p w:rsidR="00BA71B6" w14:paraId="17C47097" w14:textId="77777777">
      <w:pPr>
        <w:pBdr>
          <w:top w:val="nil"/>
          <w:left w:val="nil"/>
          <w:bottom w:val="nil"/>
          <w:right w:val="nil"/>
          <w:between w:val="nil"/>
        </w:pBdr>
        <w:spacing w:before="160" w:line="276" w:lineRule="auto"/>
      </w:pPr>
      <w:r>
        <w:t>Data will only be collected from a public sample. No small business or other small entities will be impacted.</w:t>
      </w:r>
      <w:r>
        <w:br/>
      </w:r>
    </w:p>
    <w:p w:rsidR="00BA71B6" w14:paraId="66200F6B" w14:textId="77777777">
      <w:pPr>
        <w:pBdr>
          <w:top w:val="nil"/>
          <w:left w:val="nil"/>
          <w:bottom w:val="nil"/>
          <w:right w:val="nil"/>
          <w:between w:val="nil"/>
        </w:pBdr>
        <w:tabs>
          <w:tab w:val="left" w:pos="360"/>
        </w:tabs>
        <w:spacing w:before="80"/>
        <w:rPr>
          <w:b/>
        </w:rPr>
      </w:pPr>
      <w:r>
        <w:rPr>
          <w:b/>
        </w:rPr>
        <w:t>6. Describe the consequence to Federal program or policy activities if the collection is not conducted or is conducted less frequently, as well as any technical or legal obstacles to reducing burden.</w:t>
      </w:r>
    </w:p>
    <w:p w:rsidR="00BA71B6" w14:paraId="76FC6F68" w14:textId="3E447CD5">
      <w:pPr>
        <w:pBdr>
          <w:top w:val="nil"/>
          <w:left w:val="nil"/>
          <w:bottom w:val="nil"/>
          <w:right w:val="nil"/>
          <w:between w:val="nil"/>
        </w:pBdr>
        <w:spacing w:before="115" w:line="276" w:lineRule="auto"/>
      </w:pPr>
      <w:r>
        <w:t xml:space="preserve">If these data are not collected, NOAA will continue to be hampered in its efforts to evaluate whether its product and services are disseminated, understood, and acted upon. It will also prevent the agency from evaluating </w:t>
      </w:r>
      <w:r w:rsidR="0062509C">
        <w:t>the data’s</w:t>
      </w:r>
      <w:r>
        <w:t xml:space="preserve"> value over multiple years to meet its mission to provide weather, water and climate data, forecasts, warnings, and impact-based decision support services for the protection of life and property and enhancement of the national economy.</w:t>
      </w:r>
      <w:r>
        <w:br/>
      </w:r>
    </w:p>
    <w:p w:rsidR="00BA71B6" w14:paraId="4D4AEC6E" w14:textId="77777777">
      <w:pPr>
        <w:pBdr>
          <w:top w:val="nil"/>
          <w:left w:val="nil"/>
          <w:bottom w:val="nil"/>
          <w:right w:val="nil"/>
          <w:between w:val="nil"/>
        </w:pBdr>
        <w:tabs>
          <w:tab w:val="left" w:pos="360"/>
        </w:tabs>
        <w:spacing w:before="80"/>
        <w:rPr>
          <w:b/>
        </w:rPr>
      </w:pPr>
      <w:r>
        <w:rPr>
          <w:b/>
        </w:rPr>
        <w:t>7. Explain any special circumstances that would cause an information collection to be conducted in a manner inconsistent with OMB guidelines.</w:t>
      </w:r>
    </w:p>
    <w:p w:rsidR="00BA71B6" w14:paraId="4E5D1758" w14:textId="579BDBCC">
      <w:pPr>
        <w:pBdr>
          <w:top w:val="nil"/>
          <w:left w:val="nil"/>
          <w:bottom w:val="nil"/>
          <w:right w:val="nil"/>
          <w:between w:val="nil"/>
        </w:pBdr>
        <w:spacing w:before="115"/>
      </w:pPr>
      <w:r>
        <w:t>This information collection will be conducted in a manner consistent with OMB guidelines</w:t>
      </w:r>
      <w:r w:rsidRPr="00522502" w:rsidR="00522502">
        <w:t>, including race, ethnicity, and sex questions. To reduce respondent burden and minimize the risk of survey fatigue or dropout, we have included the minimum required categories for race and ethnicity as shown in Figure 2 of the Updated Required Statistical Directive No. 15</w:t>
      </w:r>
      <w:r>
        <w:t>.</w:t>
      </w:r>
    </w:p>
    <w:p w:rsidR="00BA71B6" w14:paraId="64556D93" w14:textId="77777777">
      <w:pPr>
        <w:pBdr>
          <w:top w:val="nil"/>
          <w:left w:val="nil"/>
          <w:bottom w:val="nil"/>
          <w:right w:val="nil"/>
          <w:between w:val="nil"/>
        </w:pBdr>
        <w:spacing w:before="115"/>
      </w:pPr>
    </w:p>
    <w:p w:rsidR="00BA71B6" w14:paraId="3C597BBE" w14:textId="77777777">
      <w:pPr>
        <w:pBdr>
          <w:top w:val="nil"/>
          <w:left w:val="nil"/>
          <w:bottom w:val="nil"/>
          <w:right w:val="nil"/>
          <w:between w:val="nil"/>
        </w:pBdr>
        <w:tabs>
          <w:tab w:val="left" w:pos="360"/>
        </w:tabs>
        <w:spacing w:before="80"/>
        <w:rPr>
          <w:b/>
        </w:rPr>
      </w:pPr>
      <w:r>
        <w:rPr>
          <w:b/>
        </w:rPr>
        <w:t>8. 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A71B6" w14:paraId="4FECEB9C" w14:textId="77777777">
      <w:pPr>
        <w:spacing w:before="160"/>
      </w:pPr>
      <w:r>
        <w:t>A Federal Register Notice published on March 31, 2025 (90 FR 14247) solicited public comments. No comments were received.</w:t>
      </w:r>
      <w:hyperlink r:id="rId8">
        <w:r>
          <w:t xml:space="preserve"> </w:t>
        </w:r>
      </w:hyperlink>
    </w:p>
    <w:p w:rsidR="00BA71B6" w14:paraId="4F17935E" w14:textId="6E9913C2">
      <w:pPr>
        <w:spacing w:before="160" w:line="276" w:lineRule="auto"/>
      </w:pPr>
      <w:r>
        <w:t xml:space="preserve">Details of the survey have been commented on and discussed during the last two annual meetings of the American Meteorological Society (AMS), which brings together 6,000 scientists, educators, students, and other professionals from across government agencies, academics, and private industry. Feedback has also been received during </w:t>
      </w:r>
      <w:r>
        <w:rPr>
          <w:highlight w:val="white"/>
        </w:rPr>
        <w:t xml:space="preserve">the past three years from approximately 150 scientists that attend and participate in </w:t>
      </w:r>
      <w:r>
        <w:rPr>
          <w:highlight w:val="white"/>
        </w:rPr>
        <w:t>FFaIR</w:t>
      </w:r>
      <w:r>
        <w:rPr>
          <w:highlight w:val="white"/>
        </w:rPr>
        <w:t xml:space="preserve">. </w:t>
      </w:r>
      <w:r>
        <w:t>The Phase II survey instruments were updated based on the conversations during these interactions.</w:t>
      </w:r>
      <w:r>
        <w:br/>
      </w:r>
    </w:p>
    <w:p w:rsidR="00BA71B6" w14:paraId="567D52DE" w14:textId="77777777">
      <w:pPr>
        <w:pBdr>
          <w:top w:val="nil"/>
          <w:left w:val="nil"/>
          <w:bottom w:val="nil"/>
          <w:right w:val="nil"/>
          <w:between w:val="nil"/>
        </w:pBdr>
        <w:tabs>
          <w:tab w:val="left" w:pos="360"/>
        </w:tabs>
        <w:spacing w:before="80"/>
        <w:rPr>
          <w:b/>
        </w:rPr>
      </w:pPr>
      <w:r>
        <w:rPr>
          <w:b/>
        </w:rPr>
        <w:t>9. Explain any decision to provide any payment or gift to respondents, other than remuneration of contractors or grantees.</w:t>
      </w:r>
    </w:p>
    <w:p w:rsidR="00BA71B6" w14:paraId="20E0E0B2" w14:textId="77777777">
      <w:pPr>
        <w:pBdr>
          <w:top w:val="nil"/>
          <w:left w:val="nil"/>
          <w:bottom w:val="nil"/>
          <w:right w:val="nil"/>
          <w:between w:val="nil"/>
        </w:pBdr>
        <w:tabs>
          <w:tab w:val="left" w:pos="360"/>
        </w:tabs>
        <w:spacing w:before="80"/>
      </w:pPr>
      <w:r>
        <w:t>No incentives will be provided for participation.</w:t>
      </w:r>
    </w:p>
    <w:p w:rsidR="00BA71B6" w14:paraId="6E18E288" w14:textId="77777777">
      <w:pPr>
        <w:pBdr>
          <w:top w:val="nil"/>
          <w:left w:val="nil"/>
          <w:bottom w:val="nil"/>
          <w:right w:val="nil"/>
          <w:between w:val="nil"/>
        </w:pBdr>
        <w:tabs>
          <w:tab w:val="left" w:pos="360"/>
        </w:tabs>
        <w:spacing w:before="80"/>
        <w:rPr>
          <w:b/>
        </w:rPr>
      </w:pPr>
    </w:p>
    <w:p w:rsidR="00BA71B6" w14:paraId="3F003859" w14:textId="77777777">
      <w:pPr>
        <w:pBdr>
          <w:top w:val="nil"/>
          <w:left w:val="nil"/>
          <w:bottom w:val="nil"/>
          <w:right w:val="nil"/>
          <w:between w:val="nil"/>
        </w:pBdr>
        <w:tabs>
          <w:tab w:val="left" w:pos="360"/>
        </w:tabs>
        <w:spacing w:before="80"/>
      </w:pPr>
      <w:r>
        <w:rPr>
          <w:b/>
        </w:rPr>
        <w:t xml:space="preserve">10. Describe any assurance of confidentiality provided to respondents and the basis for the assurance in statute, regulation, or agency policy. If the collection requires a </w:t>
      </w:r>
      <w:r>
        <w:rPr>
          <w:b/>
        </w:rPr>
        <w:t>systems of records notice (SORN)</w:t>
      </w:r>
      <w:r>
        <w:rPr>
          <w:b/>
        </w:rPr>
        <w:t xml:space="preserve"> or privacy impact assessment (PIA), those should be cited and described here.</w:t>
      </w:r>
    </w:p>
    <w:p w:rsidR="00BA71B6" w14:paraId="067E8C98" w14:textId="1850A110">
      <w:pPr>
        <w:spacing w:before="160"/>
      </w:pPr>
      <w:r>
        <w:t xml:space="preserve">No </w:t>
      </w:r>
      <w:r w:rsidR="0062509C">
        <w:t>p</w:t>
      </w:r>
      <w:r>
        <w:t xml:space="preserve">ersonal </w:t>
      </w:r>
      <w:r w:rsidR="0062509C">
        <w:t>i</w:t>
      </w:r>
      <w:r>
        <w:t xml:space="preserve">dentifiable </w:t>
      </w:r>
      <w:r w:rsidR="0062509C">
        <w:t>i</w:t>
      </w:r>
      <w:r>
        <w:t>nformation will be collected in this study.</w:t>
      </w:r>
    </w:p>
    <w:p w:rsidR="00BA71B6" w14:paraId="3FE46A07" w14:textId="77777777">
      <w:pPr>
        <w:spacing w:before="160"/>
      </w:pPr>
      <w:r>
        <w:t xml:space="preserve"> </w:t>
      </w:r>
    </w:p>
    <w:p w:rsidR="00BA71B6" w14:paraId="38C45AF8" w14:textId="77777777">
      <w:pPr>
        <w:pBdr>
          <w:top w:val="nil"/>
          <w:left w:val="nil"/>
          <w:bottom w:val="nil"/>
          <w:right w:val="nil"/>
          <w:between w:val="nil"/>
        </w:pBdr>
        <w:tabs>
          <w:tab w:val="left" w:pos="360"/>
        </w:tabs>
        <w:spacing w:before="80"/>
        <w:rPr>
          <w:b/>
        </w:rPr>
      </w:pPr>
      <w:r>
        <w:rPr>
          <w:b/>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A71B6" w14:paraId="5FE2C06C" w14:textId="77777777">
      <w:pPr>
        <w:spacing w:before="115"/>
        <w:sectPr w:rsidSect="00F65DFD">
          <w:footerReference w:type="default" r:id="rId9"/>
          <w:pgSz w:w="12240" w:h="15840"/>
          <w:pgMar w:top="900" w:right="1080" w:bottom="1200" w:left="1080" w:header="0" w:footer="714" w:gutter="0"/>
          <w:pgNumType w:start="1"/>
          <w:cols w:space="720"/>
        </w:sectPr>
      </w:pPr>
      <w:r>
        <w:t>No information collected will not be of sensitive nature.</w:t>
      </w:r>
    </w:p>
    <w:p w:rsidR="00BA71B6" w14:paraId="18FCD165" w14:textId="77777777">
      <w:pPr>
        <w:spacing w:line="259" w:lineRule="auto"/>
      </w:pPr>
    </w:p>
    <w:p w:rsidR="00BA71B6" w14:paraId="35F9C138" w14:textId="77777777">
      <w:pPr>
        <w:pBdr>
          <w:top w:val="nil"/>
          <w:left w:val="nil"/>
          <w:bottom w:val="nil"/>
          <w:right w:val="nil"/>
          <w:between w:val="nil"/>
        </w:pBdr>
        <w:tabs>
          <w:tab w:val="left" w:pos="360"/>
        </w:tabs>
        <w:spacing w:before="80"/>
        <w:rPr>
          <w:b/>
        </w:rPr>
      </w:pPr>
      <w:r>
        <w:rPr>
          <w:b/>
        </w:rPr>
        <w:t>12. Provide estimates of the hour burden of the collection of information.</w:t>
      </w:r>
    </w:p>
    <w:p w:rsidR="00BA71B6" w14:paraId="49765DA8" w14:textId="77777777">
      <w:pPr>
        <w:pBdr>
          <w:top w:val="nil"/>
          <w:left w:val="nil"/>
          <w:bottom w:val="nil"/>
          <w:right w:val="nil"/>
          <w:between w:val="nil"/>
        </w:pBdr>
        <w:tabs>
          <w:tab w:val="left" w:pos="360"/>
        </w:tabs>
        <w:spacing w:before="80"/>
        <w:rPr>
          <w:b/>
        </w:rPr>
      </w:pPr>
    </w:p>
    <w:tbl>
      <w:tblPr>
        <w:tblStyle w:val="ab"/>
        <w:tblW w:w="138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1443"/>
        <w:gridCol w:w="1443"/>
        <w:gridCol w:w="1444"/>
        <w:gridCol w:w="1444"/>
        <w:gridCol w:w="1444"/>
        <w:gridCol w:w="1444"/>
        <w:gridCol w:w="1444"/>
        <w:gridCol w:w="1444"/>
      </w:tblGrid>
      <w:tr w14:paraId="27E39EB0" w14:textId="77777777" w:rsidTr="00B213F9">
        <w:tblPrEx>
          <w:tblW w:w="138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2325"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BA71B6" w14:paraId="5CF3C77A" w14:textId="59646FA6">
            <w:pPr>
              <w:widowControl/>
              <w:jc w:val="center"/>
              <w:rPr>
                <w:b/>
                <w:sz w:val="22"/>
                <w:szCs w:val="22"/>
              </w:rPr>
            </w:pPr>
            <w:r>
              <w:rPr>
                <w:b/>
                <w:sz w:val="22"/>
                <w:szCs w:val="22"/>
              </w:rPr>
              <w:t>Information Collection</w:t>
            </w:r>
          </w:p>
        </w:tc>
        <w:tc>
          <w:tcPr>
            <w:tcW w:w="1443" w:type="dxa"/>
            <w:tcBorders>
              <w:top w:val="single" w:sz="8" w:space="0" w:color="000000"/>
              <w:left w:val="nil"/>
              <w:bottom w:val="single" w:sz="8" w:space="0" w:color="000000"/>
              <w:right w:val="single" w:sz="8" w:space="0" w:color="000000"/>
            </w:tcBorders>
            <w:shd w:val="clear" w:color="auto" w:fill="BDD7EE"/>
            <w:vAlign w:val="center"/>
          </w:tcPr>
          <w:p w:rsidR="00BA71B6" w14:paraId="0F387E2C" w14:textId="77777777">
            <w:pPr>
              <w:widowControl/>
              <w:jc w:val="center"/>
              <w:rPr>
                <w:b/>
                <w:sz w:val="22"/>
                <w:szCs w:val="22"/>
              </w:rPr>
            </w:pPr>
            <w:r>
              <w:rPr>
                <w:b/>
                <w:sz w:val="22"/>
                <w:szCs w:val="22"/>
              </w:rPr>
              <w:t xml:space="preserve">Type of Respondent </w:t>
            </w:r>
            <w:r>
              <w:rPr>
                <w:b/>
                <w:sz w:val="22"/>
                <w:szCs w:val="22"/>
              </w:rPr>
              <w:br/>
              <w:t>(e.g., Occupational Title)</w:t>
            </w:r>
          </w:p>
        </w:tc>
        <w:tc>
          <w:tcPr>
            <w:tcW w:w="1443" w:type="dxa"/>
            <w:tcBorders>
              <w:top w:val="single" w:sz="8" w:space="0" w:color="000000"/>
              <w:left w:val="nil"/>
              <w:bottom w:val="single" w:sz="8" w:space="0" w:color="000000"/>
              <w:right w:val="single" w:sz="8" w:space="0" w:color="000000"/>
            </w:tcBorders>
            <w:shd w:val="clear" w:color="auto" w:fill="BDD7EE"/>
            <w:vAlign w:val="center"/>
          </w:tcPr>
          <w:p w:rsidR="00BA71B6" w14:paraId="054D1237" w14:textId="77777777">
            <w:pPr>
              <w:widowControl/>
              <w:jc w:val="center"/>
              <w:rPr>
                <w:b/>
                <w:sz w:val="22"/>
                <w:szCs w:val="22"/>
                <w:vertAlign w:val="superscript"/>
              </w:rPr>
            </w:pPr>
            <w:r>
              <w:rPr>
                <w:b/>
                <w:sz w:val="22"/>
                <w:szCs w:val="22"/>
              </w:rPr>
              <w:t># of Respondents/year</w:t>
            </w:r>
            <w:r>
              <w:rPr>
                <w:b/>
                <w:sz w:val="22"/>
                <w:szCs w:val="22"/>
              </w:rPr>
              <w:br/>
              <w:t>(a)</w:t>
            </w:r>
          </w:p>
        </w:tc>
        <w:tc>
          <w:tcPr>
            <w:tcW w:w="1444" w:type="dxa"/>
            <w:tcBorders>
              <w:top w:val="single" w:sz="8" w:space="0" w:color="000000"/>
              <w:left w:val="nil"/>
              <w:bottom w:val="single" w:sz="8" w:space="0" w:color="000000"/>
              <w:right w:val="single" w:sz="8" w:space="0" w:color="000000"/>
            </w:tcBorders>
            <w:shd w:val="clear" w:color="auto" w:fill="BDD7EE"/>
            <w:vAlign w:val="center"/>
          </w:tcPr>
          <w:p w:rsidR="00BA71B6" w14:paraId="78C06C3E" w14:textId="77777777">
            <w:pPr>
              <w:widowControl/>
              <w:jc w:val="center"/>
              <w:rPr>
                <w:b/>
                <w:sz w:val="22"/>
                <w:szCs w:val="22"/>
              </w:rPr>
            </w:pPr>
            <w:r>
              <w:rPr>
                <w:b/>
                <w:sz w:val="22"/>
                <w:szCs w:val="22"/>
              </w:rPr>
              <w:t>Annual # of Responses / Respondent</w:t>
            </w:r>
            <w:r>
              <w:rPr>
                <w:b/>
                <w:sz w:val="22"/>
                <w:szCs w:val="22"/>
              </w:rPr>
              <w:br/>
              <w:t>(b)</w:t>
            </w:r>
          </w:p>
        </w:tc>
        <w:tc>
          <w:tcPr>
            <w:tcW w:w="1444" w:type="dxa"/>
            <w:tcBorders>
              <w:top w:val="single" w:sz="8" w:space="0" w:color="000000"/>
              <w:left w:val="nil"/>
              <w:bottom w:val="single" w:sz="8" w:space="0" w:color="000000"/>
              <w:right w:val="single" w:sz="8" w:space="0" w:color="000000"/>
            </w:tcBorders>
            <w:shd w:val="clear" w:color="auto" w:fill="BDD7EE"/>
            <w:vAlign w:val="center"/>
          </w:tcPr>
          <w:p w:rsidR="00BA71B6" w14:paraId="0905836F" w14:textId="77777777">
            <w:pPr>
              <w:widowControl/>
              <w:jc w:val="center"/>
              <w:rPr>
                <w:b/>
                <w:sz w:val="22"/>
                <w:szCs w:val="22"/>
              </w:rPr>
            </w:pPr>
            <w:r>
              <w:rPr>
                <w:b/>
                <w:sz w:val="22"/>
                <w:szCs w:val="22"/>
              </w:rPr>
              <w:t xml:space="preserve"> Total # of Annual Responses</w:t>
            </w:r>
            <w:r>
              <w:rPr>
                <w:b/>
                <w:sz w:val="22"/>
                <w:szCs w:val="22"/>
              </w:rPr>
              <w:br/>
              <w:t>(c) = (a) x (b)</w:t>
            </w:r>
          </w:p>
        </w:tc>
        <w:tc>
          <w:tcPr>
            <w:tcW w:w="1444" w:type="dxa"/>
            <w:tcBorders>
              <w:top w:val="single" w:sz="8" w:space="0" w:color="000000"/>
              <w:left w:val="nil"/>
              <w:bottom w:val="single" w:sz="8" w:space="0" w:color="000000"/>
              <w:right w:val="single" w:sz="8" w:space="0" w:color="000000"/>
            </w:tcBorders>
            <w:shd w:val="clear" w:color="auto" w:fill="BDD7EE"/>
            <w:vAlign w:val="center"/>
          </w:tcPr>
          <w:p w:rsidR="00BA71B6" w14:paraId="338FE502" w14:textId="77777777">
            <w:pPr>
              <w:widowControl/>
              <w:jc w:val="center"/>
              <w:rPr>
                <w:b/>
                <w:sz w:val="22"/>
                <w:szCs w:val="22"/>
              </w:rPr>
            </w:pPr>
            <w:r>
              <w:rPr>
                <w:b/>
                <w:sz w:val="22"/>
                <w:szCs w:val="22"/>
              </w:rPr>
              <w:t xml:space="preserve">Burden </w:t>
            </w:r>
            <w:r>
              <w:rPr>
                <w:b/>
                <w:sz w:val="22"/>
                <w:szCs w:val="22"/>
              </w:rPr>
              <w:t>Hrs</w:t>
            </w:r>
            <w:r>
              <w:rPr>
                <w:b/>
                <w:sz w:val="22"/>
                <w:szCs w:val="22"/>
              </w:rPr>
              <w:t xml:space="preserve"> / Response</w:t>
            </w:r>
            <w:r>
              <w:rPr>
                <w:b/>
                <w:sz w:val="22"/>
                <w:szCs w:val="22"/>
              </w:rPr>
              <w:br/>
              <w:t>(d)</w:t>
            </w:r>
          </w:p>
        </w:tc>
        <w:tc>
          <w:tcPr>
            <w:tcW w:w="1444" w:type="dxa"/>
            <w:tcBorders>
              <w:top w:val="single" w:sz="8" w:space="0" w:color="000000"/>
              <w:left w:val="nil"/>
              <w:bottom w:val="single" w:sz="8" w:space="0" w:color="000000"/>
              <w:right w:val="single" w:sz="8" w:space="0" w:color="000000"/>
            </w:tcBorders>
            <w:shd w:val="clear" w:color="auto" w:fill="BDD7EE"/>
            <w:vAlign w:val="center"/>
          </w:tcPr>
          <w:p w:rsidR="00BA71B6" w14:paraId="32515398" w14:textId="77777777">
            <w:pPr>
              <w:widowControl/>
              <w:jc w:val="center"/>
              <w:rPr>
                <w:b/>
                <w:sz w:val="22"/>
                <w:szCs w:val="22"/>
              </w:rPr>
            </w:pPr>
            <w:r>
              <w:rPr>
                <w:b/>
                <w:sz w:val="22"/>
                <w:szCs w:val="22"/>
              </w:rPr>
              <w:t xml:space="preserve">Total Annual Burden </w:t>
            </w:r>
            <w:r>
              <w:rPr>
                <w:b/>
                <w:sz w:val="22"/>
                <w:szCs w:val="22"/>
              </w:rPr>
              <w:t>Hrs</w:t>
            </w:r>
            <w:r>
              <w:rPr>
                <w:b/>
                <w:sz w:val="22"/>
                <w:szCs w:val="22"/>
              </w:rPr>
              <w:br/>
              <w:t>(e) = (c) x (d)</w:t>
            </w:r>
          </w:p>
        </w:tc>
        <w:tc>
          <w:tcPr>
            <w:tcW w:w="1444" w:type="dxa"/>
            <w:tcBorders>
              <w:top w:val="single" w:sz="8" w:space="0" w:color="000000"/>
              <w:left w:val="nil"/>
              <w:bottom w:val="single" w:sz="8" w:space="0" w:color="000000"/>
              <w:right w:val="single" w:sz="8" w:space="0" w:color="000000"/>
            </w:tcBorders>
            <w:shd w:val="clear" w:color="auto" w:fill="BDD7EE"/>
            <w:vAlign w:val="center"/>
          </w:tcPr>
          <w:p w:rsidR="00BA71B6" w14:paraId="7500CE33" w14:textId="67182F19">
            <w:pPr>
              <w:widowControl/>
              <w:jc w:val="center"/>
              <w:rPr>
                <w:b/>
                <w:sz w:val="22"/>
                <w:szCs w:val="22"/>
                <w:vertAlign w:val="superscript"/>
              </w:rPr>
            </w:pPr>
            <w:r>
              <w:rPr>
                <w:b/>
                <w:sz w:val="22"/>
                <w:szCs w:val="22"/>
              </w:rPr>
              <w:t>Hourly Wage Rate (for Type of Respondent)</w:t>
            </w:r>
            <w:r>
              <w:rPr>
                <w:b/>
                <w:sz w:val="22"/>
                <w:szCs w:val="22"/>
              </w:rPr>
              <w:br/>
              <w:t>(f)</w:t>
            </w:r>
          </w:p>
        </w:tc>
        <w:tc>
          <w:tcPr>
            <w:tcW w:w="1444" w:type="dxa"/>
            <w:tcBorders>
              <w:top w:val="single" w:sz="8" w:space="0" w:color="000000"/>
              <w:left w:val="nil"/>
              <w:bottom w:val="single" w:sz="8" w:space="0" w:color="000000"/>
              <w:right w:val="single" w:sz="8" w:space="0" w:color="000000"/>
            </w:tcBorders>
            <w:shd w:val="clear" w:color="auto" w:fill="BDD7EE"/>
            <w:vAlign w:val="center"/>
          </w:tcPr>
          <w:p w:rsidR="00BA71B6" w14:paraId="3AF36E84" w14:textId="77777777">
            <w:pPr>
              <w:widowControl/>
              <w:jc w:val="center"/>
              <w:rPr>
                <w:b/>
                <w:sz w:val="22"/>
                <w:szCs w:val="22"/>
              </w:rPr>
            </w:pPr>
            <w:r>
              <w:rPr>
                <w:b/>
                <w:sz w:val="22"/>
                <w:szCs w:val="22"/>
              </w:rPr>
              <w:t>Total Annual Wage Burden Costs</w:t>
            </w:r>
            <w:r>
              <w:rPr>
                <w:b/>
                <w:sz w:val="22"/>
                <w:szCs w:val="22"/>
              </w:rPr>
              <w:br/>
              <w:t>(g) = (e) x (f)</w:t>
            </w:r>
          </w:p>
        </w:tc>
      </w:tr>
      <w:tr w14:paraId="160E3AAB" w14:textId="77777777" w:rsidTr="00B213F9">
        <w:tblPrEx>
          <w:tblW w:w="13875" w:type="dxa"/>
          <w:tblLayout w:type="fixed"/>
          <w:tblLook w:val="0600"/>
        </w:tblPrEx>
        <w:tc>
          <w:tcPr>
            <w:tcW w:w="2325" w:type="dxa"/>
            <w:tcBorders>
              <w:top w:val="nil"/>
              <w:left w:val="single" w:sz="8" w:space="0" w:color="000000"/>
              <w:bottom w:val="single" w:sz="4" w:space="0" w:color="000000"/>
              <w:right w:val="single" w:sz="4" w:space="0" w:color="000000"/>
            </w:tcBorders>
            <w:shd w:val="clear" w:color="auto" w:fill="auto"/>
            <w:vAlign w:val="center"/>
          </w:tcPr>
          <w:p w:rsidR="00BA71B6" w14:paraId="624B8C85" w14:textId="77777777">
            <w:pPr>
              <w:spacing w:line="259" w:lineRule="auto"/>
              <w:ind w:left="-20"/>
              <w:rPr>
                <w:sz w:val="22"/>
                <w:szCs w:val="22"/>
              </w:rPr>
            </w:pPr>
            <w:r>
              <w:rPr>
                <w:sz w:val="22"/>
                <w:szCs w:val="22"/>
              </w:rPr>
              <w:t>QRS – Tornado and Severe Thunderstorm winds 70 MPH+ combined</w:t>
            </w:r>
          </w:p>
        </w:tc>
        <w:tc>
          <w:tcPr>
            <w:tcW w:w="1443" w:type="dxa"/>
            <w:tcBorders>
              <w:top w:val="nil"/>
              <w:left w:val="nil"/>
              <w:bottom w:val="single" w:sz="4" w:space="0" w:color="000000"/>
              <w:right w:val="single" w:sz="4" w:space="0" w:color="000000"/>
            </w:tcBorders>
            <w:shd w:val="clear" w:color="auto" w:fill="auto"/>
            <w:vAlign w:val="center"/>
          </w:tcPr>
          <w:p w:rsidR="00BA71B6" w14:paraId="075AA835" w14:textId="77777777">
            <w:pPr>
              <w:jc w:val="center"/>
              <w:rPr>
                <w:sz w:val="22"/>
                <w:szCs w:val="22"/>
              </w:rPr>
            </w:pPr>
            <w:r>
              <w:rPr>
                <w:sz w:val="22"/>
                <w:szCs w:val="22"/>
              </w:rPr>
              <w:t>General Public</w:t>
            </w:r>
          </w:p>
        </w:tc>
        <w:tc>
          <w:tcPr>
            <w:tcW w:w="1443" w:type="dxa"/>
            <w:shd w:val="clear" w:color="auto" w:fill="auto"/>
            <w:tcMar>
              <w:top w:w="100" w:type="dxa"/>
              <w:left w:w="100" w:type="dxa"/>
              <w:bottom w:w="100" w:type="dxa"/>
              <w:right w:w="100" w:type="dxa"/>
            </w:tcMar>
            <w:vAlign w:val="center"/>
          </w:tcPr>
          <w:p w:rsidR="00BA71B6" w14:paraId="3BF39D38" w14:textId="77777777">
            <w:pPr>
              <w:jc w:val="center"/>
              <w:rPr>
                <w:sz w:val="22"/>
                <w:szCs w:val="22"/>
              </w:rPr>
            </w:pPr>
            <w:r>
              <w:rPr>
                <w:sz w:val="22"/>
                <w:szCs w:val="22"/>
              </w:rPr>
              <w:t>12,123</w:t>
            </w:r>
          </w:p>
        </w:tc>
        <w:tc>
          <w:tcPr>
            <w:tcW w:w="1444" w:type="dxa"/>
            <w:shd w:val="clear" w:color="auto" w:fill="auto"/>
            <w:tcMar>
              <w:top w:w="100" w:type="dxa"/>
              <w:left w:w="100" w:type="dxa"/>
              <w:bottom w:w="100" w:type="dxa"/>
              <w:right w:w="100" w:type="dxa"/>
            </w:tcMar>
            <w:vAlign w:val="center"/>
          </w:tcPr>
          <w:p w:rsidR="00BA71B6" w14:paraId="0BE34E61" w14:textId="77777777">
            <w:pPr>
              <w:pBdr>
                <w:top w:val="nil"/>
                <w:left w:val="nil"/>
                <w:bottom w:val="nil"/>
                <w:right w:val="nil"/>
                <w:between w:val="nil"/>
              </w:pBdr>
              <w:jc w:val="center"/>
              <w:rPr>
                <w:sz w:val="22"/>
                <w:szCs w:val="22"/>
              </w:rPr>
            </w:pPr>
            <w:r>
              <w:rPr>
                <w:sz w:val="22"/>
                <w:szCs w:val="22"/>
              </w:rPr>
              <w:t>1</w:t>
            </w:r>
          </w:p>
        </w:tc>
        <w:tc>
          <w:tcPr>
            <w:tcW w:w="1444" w:type="dxa"/>
            <w:shd w:val="clear" w:color="auto" w:fill="auto"/>
            <w:tcMar>
              <w:top w:w="100" w:type="dxa"/>
              <w:left w:w="100" w:type="dxa"/>
              <w:bottom w:w="100" w:type="dxa"/>
              <w:right w:w="100" w:type="dxa"/>
            </w:tcMar>
            <w:vAlign w:val="center"/>
          </w:tcPr>
          <w:p w:rsidR="00BA71B6" w14:paraId="2A429B55" w14:textId="77777777">
            <w:pPr>
              <w:jc w:val="center"/>
              <w:rPr>
                <w:sz w:val="22"/>
                <w:szCs w:val="22"/>
              </w:rPr>
            </w:pPr>
            <w:r>
              <w:rPr>
                <w:sz w:val="22"/>
                <w:szCs w:val="22"/>
              </w:rPr>
              <w:t>12,123</w:t>
            </w:r>
          </w:p>
        </w:tc>
        <w:tc>
          <w:tcPr>
            <w:tcW w:w="1444" w:type="dxa"/>
            <w:shd w:val="clear" w:color="auto" w:fill="auto"/>
            <w:tcMar>
              <w:top w:w="100" w:type="dxa"/>
              <w:left w:w="100" w:type="dxa"/>
              <w:bottom w:w="100" w:type="dxa"/>
              <w:right w:w="100" w:type="dxa"/>
            </w:tcMar>
            <w:vAlign w:val="center"/>
          </w:tcPr>
          <w:p w:rsidR="00BA71B6" w14:paraId="584DD947" w14:textId="2C2AF8BC">
            <w:pPr>
              <w:pBdr>
                <w:top w:val="nil"/>
                <w:left w:val="nil"/>
                <w:bottom w:val="nil"/>
                <w:right w:val="nil"/>
                <w:between w:val="nil"/>
              </w:pBdr>
              <w:jc w:val="center"/>
              <w:rPr>
                <w:sz w:val="22"/>
                <w:szCs w:val="22"/>
              </w:rPr>
            </w:pPr>
            <w:r>
              <w:rPr>
                <w:sz w:val="22"/>
                <w:szCs w:val="22"/>
              </w:rPr>
              <w:t>10 min</w:t>
            </w:r>
          </w:p>
        </w:tc>
        <w:tc>
          <w:tcPr>
            <w:tcW w:w="1444" w:type="dxa"/>
            <w:shd w:val="clear" w:color="auto" w:fill="auto"/>
            <w:tcMar>
              <w:top w:w="100" w:type="dxa"/>
              <w:left w:w="100" w:type="dxa"/>
              <w:bottom w:w="100" w:type="dxa"/>
              <w:right w:w="100" w:type="dxa"/>
            </w:tcMar>
            <w:vAlign w:val="center"/>
          </w:tcPr>
          <w:p w:rsidR="00BA71B6" w14:paraId="3D956AFC" w14:textId="09873FE6">
            <w:pPr>
              <w:pBdr>
                <w:top w:val="nil"/>
                <w:left w:val="nil"/>
                <w:bottom w:val="nil"/>
                <w:right w:val="nil"/>
                <w:between w:val="nil"/>
              </w:pBdr>
              <w:jc w:val="center"/>
              <w:rPr>
                <w:sz w:val="22"/>
                <w:szCs w:val="22"/>
              </w:rPr>
            </w:pPr>
            <w:r>
              <w:rPr>
                <w:sz w:val="22"/>
                <w:szCs w:val="22"/>
              </w:rPr>
              <w:t>2,021</w:t>
            </w:r>
          </w:p>
        </w:tc>
        <w:tc>
          <w:tcPr>
            <w:tcW w:w="1444" w:type="dxa"/>
            <w:shd w:val="clear" w:color="auto" w:fill="auto"/>
            <w:tcMar>
              <w:top w:w="100" w:type="dxa"/>
              <w:left w:w="100" w:type="dxa"/>
              <w:bottom w:w="100" w:type="dxa"/>
              <w:right w:w="100" w:type="dxa"/>
            </w:tcMar>
            <w:vAlign w:val="center"/>
          </w:tcPr>
          <w:p w:rsidR="00BA71B6" w14:paraId="2836187F" w14:textId="77777777">
            <w:pPr>
              <w:pBdr>
                <w:top w:val="nil"/>
                <w:left w:val="nil"/>
                <w:bottom w:val="nil"/>
                <w:right w:val="nil"/>
                <w:between w:val="nil"/>
              </w:pBdr>
              <w:jc w:val="center"/>
              <w:rPr>
                <w:sz w:val="22"/>
                <w:szCs w:val="22"/>
              </w:rPr>
            </w:pPr>
            <w:r>
              <w:rPr>
                <w:sz w:val="22"/>
                <w:szCs w:val="22"/>
              </w:rPr>
              <w:t>$32.66</w:t>
            </w:r>
          </w:p>
        </w:tc>
        <w:tc>
          <w:tcPr>
            <w:tcW w:w="1444" w:type="dxa"/>
            <w:shd w:val="clear" w:color="auto" w:fill="auto"/>
            <w:tcMar>
              <w:top w:w="100" w:type="dxa"/>
              <w:left w:w="100" w:type="dxa"/>
              <w:bottom w:w="100" w:type="dxa"/>
              <w:right w:w="100" w:type="dxa"/>
            </w:tcMar>
            <w:vAlign w:val="center"/>
          </w:tcPr>
          <w:p w:rsidR="00BA71B6" w14:paraId="3E567689" w14:textId="1C89F11F">
            <w:pPr>
              <w:pBdr>
                <w:top w:val="nil"/>
                <w:left w:val="nil"/>
                <w:bottom w:val="nil"/>
                <w:right w:val="nil"/>
                <w:between w:val="nil"/>
              </w:pBdr>
              <w:jc w:val="center"/>
              <w:rPr>
                <w:sz w:val="22"/>
                <w:szCs w:val="22"/>
              </w:rPr>
            </w:pPr>
            <w:r>
              <w:rPr>
                <w:sz w:val="22"/>
                <w:szCs w:val="22"/>
              </w:rPr>
              <w:t>$</w:t>
            </w:r>
            <w:r w:rsidR="00B213F9">
              <w:rPr>
                <w:sz w:val="22"/>
                <w:szCs w:val="22"/>
              </w:rPr>
              <w:t>66,006</w:t>
            </w:r>
          </w:p>
        </w:tc>
      </w:tr>
      <w:tr w14:paraId="1F91935D" w14:textId="77777777" w:rsidTr="00B213F9">
        <w:tblPrEx>
          <w:tblW w:w="13875" w:type="dxa"/>
          <w:tblLayout w:type="fixed"/>
          <w:tblLook w:val="0600"/>
        </w:tblPrEx>
        <w:tc>
          <w:tcPr>
            <w:tcW w:w="2325" w:type="dxa"/>
            <w:tcBorders>
              <w:top w:val="nil"/>
              <w:left w:val="single" w:sz="8" w:space="0" w:color="000000"/>
              <w:bottom w:val="single" w:sz="4" w:space="0" w:color="000000"/>
              <w:right w:val="single" w:sz="4" w:space="0" w:color="000000"/>
            </w:tcBorders>
            <w:shd w:val="clear" w:color="auto" w:fill="auto"/>
            <w:vAlign w:val="center"/>
          </w:tcPr>
          <w:p w:rsidR="00B213F9" w:rsidP="00B213F9" w14:paraId="3AED5DE1" w14:textId="77777777">
            <w:pPr>
              <w:spacing w:line="259" w:lineRule="auto"/>
              <w:ind w:left="-20"/>
              <w:rPr>
                <w:sz w:val="22"/>
                <w:szCs w:val="22"/>
              </w:rPr>
            </w:pPr>
            <w:r>
              <w:rPr>
                <w:sz w:val="22"/>
                <w:szCs w:val="22"/>
              </w:rPr>
              <w:t xml:space="preserve"> QRS – Flash Flood</w:t>
            </w:r>
          </w:p>
        </w:tc>
        <w:tc>
          <w:tcPr>
            <w:tcW w:w="1443" w:type="dxa"/>
            <w:tcBorders>
              <w:top w:val="nil"/>
              <w:left w:val="nil"/>
              <w:bottom w:val="single" w:sz="4" w:space="0" w:color="000000"/>
              <w:right w:val="single" w:sz="4" w:space="0" w:color="000000"/>
            </w:tcBorders>
            <w:shd w:val="clear" w:color="auto" w:fill="auto"/>
            <w:vAlign w:val="center"/>
          </w:tcPr>
          <w:p w:rsidR="00B213F9" w:rsidP="00B213F9" w14:paraId="3F375D93" w14:textId="77777777">
            <w:pPr>
              <w:jc w:val="center"/>
              <w:rPr>
                <w:sz w:val="22"/>
                <w:szCs w:val="22"/>
              </w:rPr>
            </w:pPr>
            <w:r>
              <w:rPr>
                <w:sz w:val="22"/>
                <w:szCs w:val="22"/>
              </w:rPr>
              <w:t>General Public</w:t>
            </w:r>
          </w:p>
        </w:tc>
        <w:tc>
          <w:tcPr>
            <w:tcW w:w="1443" w:type="dxa"/>
            <w:shd w:val="clear" w:color="auto" w:fill="auto"/>
            <w:tcMar>
              <w:top w:w="100" w:type="dxa"/>
              <w:left w:w="100" w:type="dxa"/>
              <w:bottom w:w="100" w:type="dxa"/>
              <w:right w:w="100" w:type="dxa"/>
            </w:tcMar>
            <w:vAlign w:val="center"/>
          </w:tcPr>
          <w:p w:rsidR="00B213F9" w:rsidP="00B213F9" w14:paraId="4A0DAC44" w14:textId="77777777">
            <w:pPr>
              <w:jc w:val="center"/>
              <w:rPr>
                <w:sz w:val="22"/>
                <w:szCs w:val="22"/>
              </w:rPr>
            </w:pPr>
            <w:r>
              <w:rPr>
                <w:sz w:val="22"/>
                <w:szCs w:val="22"/>
              </w:rPr>
              <w:t>4,378</w:t>
            </w:r>
          </w:p>
        </w:tc>
        <w:tc>
          <w:tcPr>
            <w:tcW w:w="1444" w:type="dxa"/>
            <w:shd w:val="clear" w:color="auto" w:fill="auto"/>
            <w:tcMar>
              <w:top w:w="100" w:type="dxa"/>
              <w:left w:w="100" w:type="dxa"/>
              <w:bottom w:w="100" w:type="dxa"/>
              <w:right w:w="100" w:type="dxa"/>
            </w:tcMar>
            <w:vAlign w:val="center"/>
          </w:tcPr>
          <w:p w:rsidR="00B213F9" w:rsidP="00B213F9" w14:paraId="09967AB5" w14:textId="77777777">
            <w:pPr>
              <w:pBdr>
                <w:top w:val="nil"/>
                <w:left w:val="nil"/>
                <w:bottom w:val="nil"/>
                <w:right w:val="nil"/>
                <w:between w:val="nil"/>
              </w:pBdr>
              <w:jc w:val="center"/>
              <w:rPr>
                <w:sz w:val="22"/>
                <w:szCs w:val="22"/>
              </w:rPr>
            </w:pPr>
            <w:r>
              <w:rPr>
                <w:sz w:val="22"/>
                <w:szCs w:val="22"/>
              </w:rPr>
              <w:t>1</w:t>
            </w:r>
          </w:p>
        </w:tc>
        <w:tc>
          <w:tcPr>
            <w:tcW w:w="1444" w:type="dxa"/>
            <w:shd w:val="clear" w:color="auto" w:fill="auto"/>
            <w:tcMar>
              <w:top w:w="100" w:type="dxa"/>
              <w:left w:w="100" w:type="dxa"/>
              <w:bottom w:w="100" w:type="dxa"/>
              <w:right w:w="100" w:type="dxa"/>
            </w:tcMar>
            <w:vAlign w:val="center"/>
          </w:tcPr>
          <w:p w:rsidR="00B213F9" w:rsidP="00B213F9" w14:paraId="6CEE2899" w14:textId="77777777">
            <w:pPr>
              <w:jc w:val="center"/>
              <w:rPr>
                <w:sz w:val="22"/>
                <w:szCs w:val="22"/>
              </w:rPr>
            </w:pPr>
            <w:r>
              <w:rPr>
                <w:sz w:val="22"/>
                <w:szCs w:val="22"/>
              </w:rPr>
              <w:t>4,378</w:t>
            </w:r>
          </w:p>
        </w:tc>
        <w:tc>
          <w:tcPr>
            <w:tcW w:w="1444" w:type="dxa"/>
            <w:shd w:val="clear" w:color="auto" w:fill="auto"/>
            <w:tcMar>
              <w:top w:w="100" w:type="dxa"/>
              <w:left w:w="100" w:type="dxa"/>
              <w:bottom w:w="100" w:type="dxa"/>
              <w:right w:w="100" w:type="dxa"/>
            </w:tcMar>
            <w:vAlign w:val="center"/>
          </w:tcPr>
          <w:p w:rsidR="00B213F9" w:rsidP="00B213F9" w14:paraId="0798744A" w14:textId="50478E56">
            <w:pPr>
              <w:jc w:val="center"/>
              <w:rPr>
                <w:b/>
                <w:sz w:val="22"/>
                <w:szCs w:val="22"/>
              </w:rPr>
            </w:pPr>
            <w:r w:rsidRPr="00921848">
              <w:rPr>
                <w:sz w:val="22"/>
                <w:szCs w:val="22"/>
              </w:rPr>
              <w:t>10 min</w:t>
            </w:r>
          </w:p>
        </w:tc>
        <w:tc>
          <w:tcPr>
            <w:tcW w:w="1444" w:type="dxa"/>
            <w:shd w:val="clear" w:color="auto" w:fill="auto"/>
            <w:tcMar>
              <w:top w:w="100" w:type="dxa"/>
              <w:left w:w="100" w:type="dxa"/>
              <w:bottom w:w="100" w:type="dxa"/>
              <w:right w:w="100" w:type="dxa"/>
            </w:tcMar>
            <w:vAlign w:val="center"/>
          </w:tcPr>
          <w:p w:rsidR="00B213F9" w:rsidP="00B213F9" w14:paraId="7EB1F459" w14:textId="112BDC0F">
            <w:pPr>
              <w:pBdr>
                <w:top w:val="nil"/>
                <w:left w:val="nil"/>
                <w:bottom w:val="nil"/>
                <w:right w:val="nil"/>
                <w:between w:val="nil"/>
              </w:pBdr>
              <w:jc w:val="center"/>
              <w:rPr>
                <w:sz w:val="22"/>
                <w:szCs w:val="22"/>
              </w:rPr>
            </w:pPr>
            <w:r>
              <w:rPr>
                <w:sz w:val="22"/>
                <w:szCs w:val="22"/>
              </w:rPr>
              <w:t>730</w:t>
            </w:r>
          </w:p>
        </w:tc>
        <w:tc>
          <w:tcPr>
            <w:tcW w:w="1444" w:type="dxa"/>
            <w:shd w:val="clear" w:color="auto" w:fill="auto"/>
            <w:tcMar>
              <w:top w:w="100" w:type="dxa"/>
              <w:left w:w="100" w:type="dxa"/>
              <w:bottom w:w="100" w:type="dxa"/>
              <w:right w:w="100" w:type="dxa"/>
            </w:tcMar>
            <w:vAlign w:val="center"/>
          </w:tcPr>
          <w:p w:rsidR="00B213F9" w:rsidP="00B213F9" w14:paraId="0BF806C0" w14:textId="77777777">
            <w:pPr>
              <w:jc w:val="center"/>
              <w:rPr>
                <w:sz w:val="22"/>
                <w:szCs w:val="22"/>
              </w:rPr>
            </w:pPr>
            <w:r>
              <w:rPr>
                <w:sz w:val="22"/>
                <w:szCs w:val="22"/>
              </w:rPr>
              <w:t>$32.66</w:t>
            </w:r>
          </w:p>
        </w:tc>
        <w:tc>
          <w:tcPr>
            <w:tcW w:w="1444" w:type="dxa"/>
            <w:shd w:val="clear" w:color="auto" w:fill="auto"/>
            <w:tcMar>
              <w:top w:w="100" w:type="dxa"/>
              <w:left w:w="100" w:type="dxa"/>
              <w:bottom w:w="100" w:type="dxa"/>
              <w:right w:w="100" w:type="dxa"/>
            </w:tcMar>
            <w:vAlign w:val="center"/>
          </w:tcPr>
          <w:p w:rsidR="00B213F9" w:rsidP="00B213F9" w14:paraId="4527B683" w14:textId="48458B1C">
            <w:pPr>
              <w:pBdr>
                <w:top w:val="nil"/>
                <w:left w:val="nil"/>
                <w:bottom w:val="nil"/>
                <w:right w:val="nil"/>
                <w:between w:val="nil"/>
              </w:pBdr>
              <w:jc w:val="center"/>
              <w:rPr>
                <w:sz w:val="22"/>
                <w:szCs w:val="22"/>
              </w:rPr>
            </w:pPr>
            <w:r>
              <w:rPr>
                <w:sz w:val="22"/>
                <w:szCs w:val="22"/>
              </w:rPr>
              <w:t>$23,842</w:t>
            </w:r>
          </w:p>
        </w:tc>
      </w:tr>
      <w:tr w14:paraId="4658C338" w14:textId="77777777" w:rsidTr="00B213F9">
        <w:tblPrEx>
          <w:tblW w:w="13875" w:type="dxa"/>
          <w:tblLayout w:type="fixed"/>
          <w:tblLook w:val="0600"/>
        </w:tblPrEx>
        <w:tc>
          <w:tcPr>
            <w:tcW w:w="2325" w:type="dxa"/>
            <w:tcBorders>
              <w:top w:val="nil"/>
              <w:left w:val="single" w:sz="8" w:space="0" w:color="000000"/>
              <w:bottom w:val="single" w:sz="4" w:space="0" w:color="000000"/>
              <w:right w:val="single" w:sz="4" w:space="0" w:color="000000"/>
            </w:tcBorders>
            <w:shd w:val="clear" w:color="auto" w:fill="auto"/>
            <w:vAlign w:val="center"/>
          </w:tcPr>
          <w:p w:rsidR="00B213F9" w:rsidP="00B213F9" w14:paraId="2ECF0D1C" w14:textId="77777777">
            <w:pPr>
              <w:spacing w:line="259" w:lineRule="auto"/>
              <w:ind w:left="-20"/>
              <w:rPr>
                <w:sz w:val="22"/>
                <w:szCs w:val="22"/>
              </w:rPr>
            </w:pPr>
            <w:r>
              <w:rPr>
                <w:sz w:val="22"/>
                <w:szCs w:val="22"/>
              </w:rPr>
              <w:t>QRS – Winter Weather</w:t>
            </w:r>
          </w:p>
        </w:tc>
        <w:tc>
          <w:tcPr>
            <w:tcW w:w="1443" w:type="dxa"/>
            <w:tcBorders>
              <w:top w:val="nil"/>
              <w:left w:val="nil"/>
              <w:bottom w:val="single" w:sz="4" w:space="0" w:color="000000"/>
              <w:right w:val="single" w:sz="4" w:space="0" w:color="000000"/>
            </w:tcBorders>
            <w:shd w:val="clear" w:color="auto" w:fill="auto"/>
            <w:vAlign w:val="center"/>
          </w:tcPr>
          <w:p w:rsidR="00B213F9" w:rsidP="00B213F9" w14:paraId="5836B919" w14:textId="77777777">
            <w:pPr>
              <w:jc w:val="center"/>
              <w:rPr>
                <w:sz w:val="22"/>
                <w:szCs w:val="22"/>
              </w:rPr>
            </w:pPr>
            <w:r>
              <w:rPr>
                <w:sz w:val="22"/>
                <w:szCs w:val="22"/>
              </w:rPr>
              <w:t>General Public</w:t>
            </w:r>
          </w:p>
        </w:tc>
        <w:tc>
          <w:tcPr>
            <w:tcW w:w="1443" w:type="dxa"/>
            <w:shd w:val="clear" w:color="auto" w:fill="auto"/>
            <w:tcMar>
              <w:top w:w="100" w:type="dxa"/>
              <w:left w:w="100" w:type="dxa"/>
              <w:bottom w:w="100" w:type="dxa"/>
              <w:right w:w="100" w:type="dxa"/>
            </w:tcMar>
            <w:vAlign w:val="center"/>
          </w:tcPr>
          <w:p w:rsidR="00B213F9" w:rsidP="00B213F9" w14:paraId="4667CA53" w14:textId="77777777">
            <w:pPr>
              <w:jc w:val="center"/>
              <w:rPr>
                <w:sz w:val="22"/>
                <w:szCs w:val="22"/>
              </w:rPr>
            </w:pPr>
            <w:r>
              <w:rPr>
                <w:sz w:val="22"/>
                <w:szCs w:val="22"/>
              </w:rPr>
              <w:t>17,174</w:t>
            </w:r>
          </w:p>
        </w:tc>
        <w:tc>
          <w:tcPr>
            <w:tcW w:w="1444" w:type="dxa"/>
            <w:shd w:val="clear" w:color="auto" w:fill="auto"/>
            <w:tcMar>
              <w:top w:w="100" w:type="dxa"/>
              <w:left w:w="100" w:type="dxa"/>
              <w:bottom w:w="100" w:type="dxa"/>
              <w:right w:w="100" w:type="dxa"/>
            </w:tcMar>
            <w:vAlign w:val="center"/>
          </w:tcPr>
          <w:p w:rsidR="00B213F9" w:rsidP="00B213F9" w14:paraId="16C9AE9E" w14:textId="77777777">
            <w:pPr>
              <w:pBdr>
                <w:top w:val="nil"/>
                <w:left w:val="nil"/>
                <w:bottom w:val="nil"/>
                <w:right w:val="nil"/>
                <w:between w:val="nil"/>
              </w:pBdr>
              <w:jc w:val="center"/>
              <w:rPr>
                <w:sz w:val="22"/>
                <w:szCs w:val="22"/>
              </w:rPr>
            </w:pPr>
            <w:r>
              <w:rPr>
                <w:sz w:val="22"/>
                <w:szCs w:val="22"/>
              </w:rPr>
              <w:t>1</w:t>
            </w:r>
          </w:p>
        </w:tc>
        <w:tc>
          <w:tcPr>
            <w:tcW w:w="1444" w:type="dxa"/>
            <w:shd w:val="clear" w:color="auto" w:fill="auto"/>
            <w:tcMar>
              <w:top w:w="100" w:type="dxa"/>
              <w:left w:w="100" w:type="dxa"/>
              <w:bottom w:w="100" w:type="dxa"/>
              <w:right w:w="100" w:type="dxa"/>
            </w:tcMar>
            <w:vAlign w:val="center"/>
          </w:tcPr>
          <w:p w:rsidR="00B213F9" w:rsidP="00B213F9" w14:paraId="523C9C6B" w14:textId="77777777">
            <w:pPr>
              <w:jc w:val="center"/>
              <w:rPr>
                <w:sz w:val="22"/>
                <w:szCs w:val="22"/>
              </w:rPr>
            </w:pPr>
            <w:r>
              <w:rPr>
                <w:sz w:val="22"/>
                <w:szCs w:val="22"/>
              </w:rPr>
              <w:t>17,174</w:t>
            </w:r>
          </w:p>
        </w:tc>
        <w:tc>
          <w:tcPr>
            <w:tcW w:w="1444" w:type="dxa"/>
            <w:shd w:val="clear" w:color="auto" w:fill="auto"/>
            <w:tcMar>
              <w:top w:w="100" w:type="dxa"/>
              <w:left w:w="100" w:type="dxa"/>
              <w:bottom w:w="100" w:type="dxa"/>
              <w:right w:w="100" w:type="dxa"/>
            </w:tcMar>
            <w:vAlign w:val="center"/>
          </w:tcPr>
          <w:p w:rsidR="00B213F9" w:rsidP="00B213F9" w14:paraId="7A499779" w14:textId="1259CB5E">
            <w:pPr>
              <w:jc w:val="center"/>
              <w:rPr>
                <w:b/>
                <w:sz w:val="22"/>
                <w:szCs w:val="22"/>
              </w:rPr>
            </w:pPr>
            <w:r w:rsidRPr="00921848">
              <w:rPr>
                <w:sz w:val="22"/>
                <w:szCs w:val="22"/>
              </w:rPr>
              <w:t>10 min</w:t>
            </w:r>
          </w:p>
        </w:tc>
        <w:tc>
          <w:tcPr>
            <w:tcW w:w="1444" w:type="dxa"/>
            <w:shd w:val="clear" w:color="auto" w:fill="auto"/>
            <w:tcMar>
              <w:top w:w="100" w:type="dxa"/>
              <w:left w:w="100" w:type="dxa"/>
              <w:bottom w:w="100" w:type="dxa"/>
              <w:right w:w="100" w:type="dxa"/>
            </w:tcMar>
            <w:vAlign w:val="center"/>
          </w:tcPr>
          <w:p w:rsidR="00B213F9" w:rsidP="00B213F9" w14:paraId="7444FEA8" w14:textId="0072E423">
            <w:pPr>
              <w:pBdr>
                <w:top w:val="nil"/>
                <w:left w:val="nil"/>
                <w:bottom w:val="nil"/>
                <w:right w:val="nil"/>
                <w:between w:val="nil"/>
              </w:pBdr>
              <w:jc w:val="center"/>
              <w:rPr>
                <w:sz w:val="22"/>
                <w:szCs w:val="22"/>
              </w:rPr>
            </w:pPr>
            <w:r>
              <w:rPr>
                <w:sz w:val="22"/>
                <w:szCs w:val="22"/>
              </w:rPr>
              <w:t>2,862</w:t>
            </w:r>
          </w:p>
        </w:tc>
        <w:tc>
          <w:tcPr>
            <w:tcW w:w="1444" w:type="dxa"/>
            <w:shd w:val="clear" w:color="auto" w:fill="auto"/>
            <w:tcMar>
              <w:top w:w="100" w:type="dxa"/>
              <w:left w:w="100" w:type="dxa"/>
              <w:bottom w:w="100" w:type="dxa"/>
              <w:right w:w="100" w:type="dxa"/>
            </w:tcMar>
            <w:vAlign w:val="center"/>
          </w:tcPr>
          <w:p w:rsidR="00B213F9" w:rsidP="00B213F9" w14:paraId="15EA5D0F" w14:textId="77777777">
            <w:pPr>
              <w:jc w:val="center"/>
              <w:rPr>
                <w:sz w:val="22"/>
                <w:szCs w:val="22"/>
              </w:rPr>
            </w:pPr>
            <w:r>
              <w:rPr>
                <w:sz w:val="22"/>
                <w:szCs w:val="22"/>
              </w:rPr>
              <w:t>$32.66</w:t>
            </w:r>
          </w:p>
        </w:tc>
        <w:tc>
          <w:tcPr>
            <w:tcW w:w="1444" w:type="dxa"/>
            <w:shd w:val="clear" w:color="auto" w:fill="auto"/>
            <w:tcMar>
              <w:top w:w="100" w:type="dxa"/>
              <w:left w:w="100" w:type="dxa"/>
              <w:bottom w:w="100" w:type="dxa"/>
              <w:right w:w="100" w:type="dxa"/>
            </w:tcMar>
            <w:vAlign w:val="center"/>
          </w:tcPr>
          <w:p w:rsidR="00B213F9" w:rsidP="00B213F9" w14:paraId="5B00BCD3" w14:textId="5658ED93">
            <w:pPr>
              <w:pBdr>
                <w:top w:val="nil"/>
                <w:left w:val="nil"/>
                <w:bottom w:val="nil"/>
                <w:right w:val="nil"/>
                <w:between w:val="nil"/>
              </w:pBdr>
              <w:jc w:val="center"/>
              <w:rPr>
                <w:sz w:val="22"/>
                <w:szCs w:val="22"/>
              </w:rPr>
            </w:pPr>
            <w:r>
              <w:rPr>
                <w:sz w:val="22"/>
                <w:szCs w:val="22"/>
              </w:rPr>
              <w:t>$93,473</w:t>
            </w:r>
          </w:p>
        </w:tc>
      </w:tr>
      <w:tr w14:paraId="229A4ABB" w14:textId="77777777" w:rsidTr="00B213F9">
        <w:tblPrEx>
          <w:tblW w:w="13875" w:type="dxa"/>
          <w:tblLayout w:type="fixed"/>
          <w:tblLook w:val="0600"/>
        </w:tblPrEx>
        <w:tc>
          <w:tcPr>
            <w:tcW w:w="2325" w:type="dxa"/>
            <w:shd w:val="clear" w:color="auto" w:fill="auto"/>
            <w:tcMar>
              <w:top w:w="100" w:type="dxa"/>
              <w:left w:w="100" w:type="dxa"/>
              <w:bottom w:w="100" w:type="dxa"/>
              <w:right w:w="100" w:type="dxa"/>
            </w:tcMar>
          </w:tcPr>
          <w:p w:rsidR="00BA71B6" w14:paraId="564609A5" w14:textId="77777777">
            <w:pPr>
              <w:pBdr>
                <w:top w:val="nil"/>
                <w:left w:val="nil"/>
                <w:bottom w:val="nil"/>
                <w:right w:val="nil"/>
                <w:between w:val="nil"/>
              </w:pBdr>
              <w:rPr>
                <w:b/>
                <w:sz w:val="22"/>
                <w:szCs w:val="22"/>
              </w:rPr>
            </w:pPr>
            <w:r>
              <w:rPr>
                <w:b/>
                <w:sz w:val="22"/>
                <w:szCs w:val="22"/>
              </w:rPr>
              <w:t>Totals</w:t>
            </w:r>
          </w:p>
        </w:tc>
        <w:tc>
          <w:tcPr>
            <w:tcW w:w="1443" w:type="dxa"/>
            <w:shd w:val="clear" w:color="auto" w:fill="000000"/>
            <w:tcMar>
              <w:top w:w="100" w:type="dxa"/>
              <w:left w:w="100" w:type="dxa"/>
              <w:bottom w:w="100" w:type="dxa"/>
              <w:right w:w="100" w:type="dxa"/>
            </w:tcMar>
            <w:vAlign w:val="center"/>
          </w:tcPr>
          <w:p w:rsidR="00BA71B6" w14:paraId="57ECD1A9" w14:textId="77777777">
            <w:pPr>
              <w:pBdr>
                <w:top w:val="nil"/>
                <w:left w:val="nil"/>
                <w:bottom w:val="nil"/>
                <w:right w:val="nil"/>
                <w:between w:val="nil"/>
              </w:pBdr>
              <w:rPr>
                <w:b/>
                <w:sz w:val="22"/>
                <w:szCs w:val="22"/>
              </w:rPr>
            </w:pPr>
          </w:p>
        </w:tc>
        <w:tc>
          <w:tcPr>
            <w:tcW w:w="1443" w:type="dxa"/>
            <w:shd w:val="clear" w:color="auto" w:fill="C6D9F0" w:themeFill="text2" w:themeFillTint="33"/>
            <w:tcMar>
              <w:top w:w="100" w:type="dxa"/>
              <w:left w:w="100" w:type="dxa"/>
              <w:bottom w:w="100" w:type="dxa"/>
              <w:right w:w="100" w:type="dxa"/>
            </w:tcMar>
            <w:vAlign w:val="center"/>
          </w:tcPr>
          <w:p w:rsidR="00BA71B6" w:rsidP="00B213F9" w14:paraId="33342E9D" w14:textId="7318AB83">
            <w:pPr>
              <w:pBdr>
                <w:top w:val="nil"/>
                <w:left w:val="nil"/>
                <w:bottom w:val="nil"/>
                <w:right w:val="nil"/>
                <w:between w:val="nil"/>
              </w:pBdr>
              <w:jc w:val="center"/>
              <w:rPr>
                <w:b/>
                <w:sz w:val="22"/>
                <w:szCs w:val="22"/>
              </w:rPr>
            </w:pPr>
            <w:r>
              <w:rPr>
                <w:b/>
                <w:sz w:val="22"/>
                <w:szCs w:val="22"/>
              </w:rPr>
              <w:t>33,675</w:t>
            </w:r>
          </w:p>
        </w:tc>
        <w:tc>
          <w:tcPr>
            <w:tcW w:w="1444" w:type="dxa"/>
            <w:shd w:val="clear" w:color="auto" w:fill="000000"/>
            <w:tcMar>
              <w:top w:w="100" w:type="dxa"/>
              <w:left w:w="100" w:type="dxa"/>
              <w:bottom w:w="100" w:type="dxa"/>
              <w:right w:w="100" w:type="dxa"/>
            </w:tcMar>
            <w:vAlign w:val="center"/>
          </w:tcPr>
          <w:p w:rsidR="00BA71B6" w14:paraId="73ED1E4A" w14:textId="77777777">
            <w:pPr>
              <w:pBdr>
                <w:top w:val="nil"/>
                <w:left w:val="nil"/>
                <w:bottom w:val="nil"/>
                <w:right w:val="nil"/>
                <w:between w:val="nil"/>
              </w:pBdr>
              <w:rPr>
                <w:b/>
                <w:sz w:val="22"/>
                <w:szCs w:val="22"/>
              </w:rPr>
            </w:pPr>
          </w:p>
        </w:tc>
        <w:tc>
          <w:tcPr>
            <w:tcW w:w="1444" w:type="dxa"/>
            <w:shd w:val="clear" w:color="auto" w:fill="BDD7EE"/>
            <w:tcMar>
              <w:top w:w="100" w:type="dxa"/>
              <w:left w:w="100" w:type="dxa"/>
              <w:bottom w:w="100" w:type="dxa"/>
              <w:right w:w="100" w:type="dxa"/>
            </w:tcMar>
            <w:vAlign w:val="center"/>
          </w:tcPr>
          <w:p w:rsidR="00BA71B6" w14:paraId="6AAFF43E" w14:textId="77777777">
            <w:pPr>
              <w:pBdr>
                <w:top w:val="nil"/>
                <w:left w:val="nil"/>
                <w:bottom w:val="nil"/>
                <w:right w:val="nil"/>
                <w:between w:val="nil"/>
              </w:pBdr>
              <w:jc w:val="center"/>
              <w:rPr>
                <w:b/>
                <w:sz w:val="22"/>
                <w:szCs w:val="22"/>
              </w:rPr>
            </w:pPr>
            <w:r>
              <w:rPr>
                <w:b/>
                <w:sz w:val="22"/>
                <w:szCs w:val="22"/>
              </w:rPr>
              <w:t>33,675</w:t>
            </w:r>
          </w:p>
        </w:tc>
        <w:tc>
          <w:tcPr>
            <w:tcW w:w="1444" w:type="dxa"/>
            <w:shd w:val="clear" w:color="auto" w:fill="000000"/>
            <w:tcMar>
              <w:top w:w="100" w:type="dxa"/>
              <w:left w:w="100" w:type="dxa"/>
              <w:bottom w:w="100" w:type="dxa"/>
              <w:right w:w="100" w:type="dxa"/>
            </w:tcMar>
            <w:vAlign w:val="center"/>
          </w:tcPr>
          <w:p w:rsidR="00BA71B6" w14:paraId="7B39D5FF" w14:textId="77777777">
            <w:pPr>
              <w:pBdr>
                <w:top w:val="nil"/>
                <w:left w:val="nil"/>
                <w:bottom w:val="nil"/>
                <w:right w:val="nil"/>
                <w:between w:val="nil"/>
              </w:pBdr>
              <w:jc w:val="center"/>
              <w:rPr>
                <w:b/>
                <w:sz w:val="22"/>
                <w:szCs w:val="22"/>
              </w:rPr>
            </w:pPr>
          </w:p>
        </w:tc>
        <w:tc>
          <w:tcPr>
            <w:tcW w:w="1444" w:type="dxa"/>
            <w:shd w:val="clear" w:color="auto" w:fill="BDD7EE"/>
            <w:tcMar>
              <w:top w:w="100" w:type="dxa"/>
              <w:left w:w="100" w:type="dxa"/>
              <w:bottom w:w="100" w:type="dxa"/>
              <w:right w:w="100" w:type="dxa"/>
            </w:tcMar>
            <w:vAlign w:val="center"/>
          </w:tcPr>
          <w:p w:rsidR="00BA71B6" w14:paraId="74D391EB" w14:textId="25C90028">
            <w:pPr>
              <w:pBdr>
                <w:top w:val="nil"/>
                <w:left w:val="nil"/>
                <w:bottom w:val="nil"/>
                <w:right w:val="nil"/>
                <w:between w:val="nil"/>
              </w:pBdr>
              <w:jc w:val="center"/>
              <w:rPr>
                <w:b/>
                <w:sz w:val="22"/>
                <w:szCs w:val="22"/>
              </w:rPr>
            </w:pPr>
            <w:r>
              <w:rPr>
                <w:b/>
                <w:sz w:val="22"/>
                <w:szCs w:val="22"/>
              </w:rPr>
              <w:t>5,613</w:t>
            </w:r>
          </w:p>
        </w:tc>
        <w:tc>
          <w:tcPr>
            <w:tcW w:w="1444" w:type="dxa"/>
            <w:shd w:val="clear" w:color="auto" w:fill="000000"/>
            <w:tcMar>
              <w:top w:w="100" w:type="dxa"/>
              <w:left w:w="100" w:type="dxa"/>
              <w:bottom w:w="100" w:type="dxa"/>
              <w:right w:w="100" w:type="dxa"/>
            </w:tcMar>
            <w:vAlign w:val="center"/>
          </w:tcPr>
          <w:p w:rsidR="00BA71B6" w14:paraId="7391CEFE" w14:textId="77777777">
            <w:pPr>
              <w:pBdr>
                <w:top w:val="nil"/>
                <w:left w:val="nil"/>
                <w:bottom w:val="nil"/>
                <w:right w:val="nil"/>
                <w:between w:val="nil"/>
              </w:pBdr>
              <w:jc w:val="center"/>
              <w:rPr>
                <w:b/>
                <w:sz w:val="22"/>
                <w:szCs w:val="22"/>
              </w:rPr>
            </w:pPr>
          </w:p>
        </w:tc>
        <w:tc>
          <w:tcPr>
            <w:tcW w:w="1444" w:type="dxa"/>
            <w:shd w:val="clear" w:color="auto" w:fill="BDD7EE"/>
            <w:tcMar>
              <w:top w:w="100" w:type="dxa"/>
              <w:left w:w="100" w:type="dxa"/>
              <w:bottom w:w="100" w:type="dxa"/>
              <w:right w:w="100" w:type="dxa"/>
            </w:tcMar>
            <w:vAlign w:val="center"/>
          </w:tcPr>
          <w:p w:rsidR="00BA71B6" w14:paraId="3BBED265" w14:textId="386DCB2C">
            <w:pPr>
              <w:pBdr>
                <w:top w:val="nil"/>
                <w:left w:val="nil"/>
                <w:bottom w:val="nil"/>
                <w:right w:val="nil"/>
                <w:between w:val="nil"/>
              </w:pBdr>
              <w:jc w:val="center"/>
              <w:rPr>
                <w:b/>
                <w:sz w:val="22"/>
                <w:szCs w:val="22"/>
              </w:rPr>
            </w:pPr>
            <w:r>
              <w:rPr>
                <w:b/>
                <w:sz w:val="22"/>
                <w:szCs w:val="22"/>
              </w:rPr>
              <w:t>$183,321</w:t>
            </w:r>
          </w:p>
        </w:tc>
      </w:tr>
    </w:tbl>
    <w:p w:rsidR="00B213F9" w14:paraId="15D8D30F" w14:textId="77777777">
      <w:pPr>
        <w:spacing w:line="259" w:lineRule="auto"/>
        <w:rPr>
          <w:sz w:val="18"/>
          <w:szCs w:val="18"/>
          <w:vertAlign w:val="superscript"/>
        </w:rPr>
      </w:pPr>
    </w:p>
    <w:p w:rsidR="00BA71B6" w:rsidRPr="00B213F9" w14:paraId="143199D7" w14:textId="47F8260E">
      <w:pPr>
        <w:spacing w:line="259" w:lineRule="auto"/>
        <w:sectPr>
          <w:pgSz w:w="15840" w:h="12240" w:orient="landscape"/>
          <w:pgMar w:top="1080" w:right="1200" w:bottom="1080" w:left="640" w:header="0" w:footer="1014" w:gutter="0"/>
          <w:cols w:space="720"/>
        </w:sectPr>
      </w:pPr>
      <w:r w:rsidRPr="00B213F9">
        <w:rPr>
          <w:vertAlign w:val="superscript"/>
        </w:rPr>
        <w:t xml:space="preserve"> </w:t>
      </w:r>
      <w:r w:rsidRPr="00B213F9">
        <w:t xml:space="preserve">00-0000 code used for the general population given the variety of potential occupations among the respondents (Source: </w:t>
      </w:r>
      <w:hyperlink r:id="rId10" w:anchor="/industry/000000">
        <w:r w:rsidRPr="00B213F9">
          <w:rPr>
            <w:u w:val="single"/>
          </w:rPr>
          <w:t>https://data.bls.gov/oes/#/industry/000000</w:t>
        </w:r>
      </w:hyperlink>
      <w:r w:rsidRPr="00B213F9">
        <w:t>)</w:t>
      </w:r>
    </w:p>
    <w:p w:rsidR="00BA71B6" w14:paraId="4DE77F88" w14:textId="77777777">
      <w:pPr>
        <w:pBdr>
          <w:top w:val="nil"/>
          <w:left w:val="nil"/>
          <w:bottom w:val="nil"/>
          <w:right w:val="nil"/>
          <w:between w:val="nil"/>
        </w:pBdr>
        <w:tabs>
          <w:tab w:val="left" w:pos="360"/>
        </w:tabs>
        <w:spacing w:before="80"/>
        <w:rPr>
          <w:b/>
        </w:rPr>
      </w:pPr>
      <w:r>
        <w:rPr>
          <w:b/>
        </w:rPr>
        <w:t>13. Provide an estimate for the total annual cost burden to respondents or record keepers resulting from the collection of information. (Do not include the cost of any hour burden already reflected on the burden worksheet)</w:t>
      </w:r>
    </w:p>
    <w:p w:rsidR="00BA71B6" w14:paraId="4514679C" w14:textId="77777777">
      <w:pPr>
        <w:rPr>
          <w:b/>
        </w:rPr>
      </w:pPr>
      <w:r>
        <w:rPr>
          <w:b/>
        </w:rPr>
        <w:br/>
      </w:r>
      <w:r>
        <w:t>There are no capital costs or operating and maintenance costs associated with this information collection.</w:t>
      </w:r>
    </w:p>
    <w:p w:rsidR="00BA71B6" w14:paraId="3AD7B865" w14:textId="77777777">
      <w:pPr>
        <w:pBdr>
          <w:top w:val="nil"/>
          <w:left w:val="nil"/>
          <w:bottom w:val="nil"/>
          <w:right w:val="nil"/>
          <w:between w:val="nil"/>
        </w:pBdr>
        <w:spacing w:before="7"/>
        <w:rPr>
          <w:b/>
        </w:rPr>
      </w:pPr>
    </w:p>
    <w:p w:rsidR="00BA71B6" w14:paraId="00C9C3AD" w14:textId="77777777">
      <w:pPr>
        <w:pBdr>
          <w:top w:val="nil"/>
          <w:left w:val="nil"/>
          <w:bottom w:val="nil"/>
          <w:right w:val="nil"/>
          <w:between w:val="nil"/>
        </w:pBdr>
        <w:tabs>
          <w:tab w:val="left" w:pos="360"/>
        </w:tabs>
        <w:spacing w:before="80"/>
        <w:rPr>
          <w:b/>
        </w:rPr>
      </w:pPr>
      <w:r>
        <w:rPr>
          <w:b/>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A71B6" w14:paraId="5764742D" w14:textId="77777777">
      <w:pPr>
        <w:spacing w:before="9" w:after="1"/>
        <w:rPr>
          <w:b/>
        </w:rPr>
      </w:pPr>
    </w:p>
    <w:tbl>
      <w:tblPr>
        <w:tblStyle w:val="ac"/>
        <w:tblW w:w="10095" w:type="dxa"/>
        <w:tblBorders>
          <w:top w:val="nil"/>
          <w:left w:val="nil"/>
          <w:bottom w:val="nil"/>
          <w:right w:val="nil"/>
          <w:insideH w:val="nil"/>
          <w:insideV w:val="nil"/>
        </w:tblBorders>
        <w:tblLayout w:type="fixed"/>
        <w:tblLook w:val="0600"/>
      </w:tblPr>
      <w:tblGrid>
        <w:gridCol w:w="2820"/>
        <w:gridCol w:w="1410"/>
        <w:gridCol w:w="1380"/>
        <w:gridCol w:w="1230"/>
        <w:gridCol w:w="1740"/>
        <w:gridCol w:w="1515"/>
      </w:tblGrid>
      <w:tr w14:paraId="6F0C3221" w14:textId="77777777" w:rsidTr="00873F1E">
        <w:tblPrEx>
          <w:tblW w:w="10095" w:type="dxa"/>
          <w:tblBorders>
            <w:top w:val="nil"/>
            <w:left w:val="nil"/>
            <w:bottom w:val="nil"/>
            <w:right w:val="nil"/>
            <w:insideH w:val="nil"/>
            <w:insideV w:val="nil"/>
          </w:tblBorders>
          <w:tblLayout w:type="fixed"/>
          <w:tblLook w:val="0600"/>
        </w:tblPrEx>
        <w:trPr>
          <w:trHeight w:val="446"/>
        </w:trPr>
        <w:tc>
          <w:tcPr>
            <w:tcW w:w="2820" w:type="dxa"/>
            <w:tcBorders>
              <w:top w:val="single" w:sz="8" w:space="0" w:color="000000"/>
              <w:left w:val="single" w:sz="8" w:space="0" w:color="000000"/>
              <w:bottom w:val="nil"/>
              <w:right w:val="single" w:sz="8" w:space="0" w:color="000000"/>
            </w:tcBorders>
            <w:shd w:val="clear" w:color="auto" w:fill="BDD7EE"/>
            <w:tcMar>
              <w:top w:w="100" w:type="dxa"/>
              <w:left w:w="100" w:type="dxa"/>
              <w:bottom w:w="100" w:type="dxa"/>
              <w:right w:w="100" w:type="dxa"/>
            </w:tcMar>
            <w:vAlign w:val="center"/>
          </w:tcPr>
          <w:p w:rsidR="00BA71B6" w:rsidRPr="00873F1E" w14:paraId="43C9C242" w14:textId="77777777">
            <w:pPr>
              <w:spacing w:line="276" w:lineRule="auto"/>
              <w:rPr>
                <w:rFonts w:asciiTheme="minorHAnsi" w:hAnsiTheme="minorHAnsi" w:cstheme="minorHAnsi"/>
                <w:b/>
                <w:sz w:val="18"/>
                <w:szCs w:val="18"/>
              </w:rPr>
            </w:pPr>
            <w:r w:rsidRPr="00873F1E">
              <w:rPr>
                <w:rFonts w:asciiTheme="minorHAnsi" w:hAnsiTheme="minorHAnsi" w:cstheme="minorHAnsi"/>
                <w:b/>
                <w:sz w:val="18"/>
                <w:szCs w:val="18"/>
              </w:rPr>
              <w:t>Cost Descriptions</w:t>
            </w:r>
          </w:p>
        </w:tc>
        <w:tc>
          <w:tcPr>
            <w:tcW w:w="1410" w:type="dxa"/>
            <w:tcBorders>
              <w:top w:val="single" w:sz="8" w:space="0" w:color="000000"/>
              <w:left w:val="nil"/>
              <w:bottom w:val="nil"/>
              <w:right w:val="single" w:sz="8" w:space="0" w:color="000000"/>
            </w:tcBorders>
            <w:shd w:val="clear" w:color="auto" w:fill="BDD7EE"/>
            <w:tcMar>
              <w:top w:w="100" w:type="dxa"/>
              <w:left w:w="100" w:type="dxa"/>
              <w:bottom w:w="100" w:type="dxa"/>
              <w:right w:w="100" w:type="dxa"/>
            </w:tcMar>
            <w:vAlign w:val="center"/>
          </w:tcPr>
          <w:p w:rsidR="00BA71B6" w:rsidRPr="00873F1E" w14:paraId="2E2E3019" w14:textId="77777777">
            <w:pPr>
              <w:ind w:left="-20"/>
              <w:jc w:val="center"/>
              <w:rPr>
                <w:rFonts w:asciiTheme="minorHAnsi" w:hAnsiTheme="minorHAnsi" w:cstheme="minorHAnsi"/>
                <w:b/>
                <w:sz w:val="18"/>
                <w:szCs w:val="18"/>
              </w:rPr>
            </w:pPr>
            <w:r w:rsidRPr="00873F1E">
              <w:rPr>
                <w:rFonts w:asciiTheme="minorHAnsi" w:hAnsiTheme="minorHAnsi" w:cstheme="minorHAnsi"/>
                <w:b/>
                <w:sz w:val="18"/>
                <w:szCs w:val="18"/>
              </w:rPr>
              <w:t>Grade/Step</w:t>
            </w:r>
          </w:p>
        </w:tc>
        <w:tc>
          <w:tcPr>
            <w:tcW w:w="1380" w:type="dxa"/>
            <w:tcBorders>
              <w:top w:val="single" w:sz="8" w:space="0" w:color="000000"/>
              <w:left w:val="nil"/>
              <w:bottom w:val="nil"/>
              <w:right w:val="single" w:sz="8" w:space="0" w:color="000000"/>
            </w:tcBorders>
            <w:shd w:val="clear" w:color="auto" w:fill="BDD7EE"/>
            <w:tcMar>
              <w:top w:w="100" w:type="dxa"/>
              <w:left w:w="100" w:type="dxa"/>
              <w:bottom w:w="100" w:type="dxa"/>
              <w:right w:w="100" w:type="dxa"/>
            </w:tcMar>
            <w:vAlign w:val="center"/>
          </w:tcPr>
          <w:p w:rsidR="00BA71B6" w:rsidRPr="00873F1E" w14:paraId="3CF80BEB" w14:textId="77777777">
            <w:pPr>
              <w:ind w:left="-20"/>
              <w:jc w:val="center"/>
              <w:rPr>
                <w:rFonts w:asciiTheme="minorHAnsi" w:hAnsiTheme="minorHAnsi" w:cstheme="minorHAnsi"/>
                <w:b/>
                <w:sz w:val="18"/>
                <w:szCs w:val="18"/>
              </w:rPr>
            </w:pPr>
            <w:r w:rsidRPr="00873F1E">
              <w:rPr>
                <w:rFonts w:asciiTheme="minorHAnsi" w:hAnsiTheme="minorHAnsi" w:cstheme="minorHAnsi"/>
                <w:b/>
                <w:sz w:val="18"/>
                <w:szCs w:val="18"/>
              </w:rPr>
              <w:t>Loaded Labor Cost (Hourly)</w:t>
            </w:r>
          </w:p>
        </w:tc>
        <w:tc>
          <w:tcPr>
            <w:tcW w:w="1230" w:type="dxa"/>
            <w:tcBorders>
              <w:top w:val="single" w:sz="8" w:space="0" w:color="000000"/>
              <w:left w:val="nil"/>
              <w:bottom w:val="nil"/>
              <w:right w:val="single" w:sz="8" w:space="0" w:color="000000"/>
            </w:tcBorders>
            <w:shd w:val="clear" w:color="auto" w:fill="BDD7EE"/>
            <w:tcMar>
              <w:top w:w="100" w:type="dxa"/>
              <w:left w:w="100" w:type="dxa"/>
              <w:bottom w:w="100" w:type="dxa"/>
              <w:right w:w="100" w:type="dxa"/>
            </w:tcMar>
            <w:vAlign w:val="center"/>
          </w:tcPr>
          <w:p w:rsidR="00BA71B6" w:rsidRPr="00873F1E" w14:paraId="12EE123C" w14:textId="77777777">
            <w:pPr>
              <w:ind w:left="-20"/>
              <w:jc w:val="center"/>
              <w:rPr>
                <w:rFonts w:asciiTheme="minorHAnsi" w:hAnsiTheme="minorHAnsi" w:cstheme="minorHAnsi"/>
                <w:b/>
                <w:sz w:val="18"/>
                <w:szCs w:val="18"/>
              </w:rPr>
            </w:pPr>
            <w:r w:rsidRPr="00873F1E">
              <w:rPr>
                <w:rFonts w:asciiTheme="minorHAnsi" w:hAnsiTheme="minorHAnsi" w:cstheme="minorHAnsi"/>
                <w:b/>
                <w:sz w:val="18"/>
                <w:szCs w:val="18"/>
              </w:rPr>
              <w:t>Effort (Hours)</w:t>
            </w:r>
          </w:p>
        </w:tc>
        <w:tc>
          <w:tcPr>
            <w:tcW w:w="1740" w:type="dxa"/>
            <w:tcBorders>
              <w:top w:val="single" w:sz="8" w:space="0" w:color="000000"/>
              <w:left w:val="nil"/>
              <w:bottom w:val="nil"/>
              <w:right w:val="single" w:sz="8" w:space="0" w:color="000000"/>
            </w:tcBorders>
            <w:shd w:val="clear" w:color="auto" w:fill="BDD7EE"/>
            <w:tcMar>
              <w:top w:w="100" w:type="dxa"/>
              <w:left w:w="100" w:type="dxa"/>
              <w:bottom w:w="100" w:type="dxa"/>
              <w:right w:w="100" w:type="dxa"/>
            </w:tcMar>
            <w:vAlign w:val="center"/>
          </w:tcPr>
          <w:p w:rsidR="00BA71B6" w:rsidRPr="00873F1E" w14:paraId="523E55CC" w14:textId="77777777">
            <w:pPr>
              <w:ind w:left="-20"/>
              <w:jc w:val="center"/>
              <w:rPr>
                <w:rFonts w:asciiTheme="minorHAnsi" w:hAnsiTheme="minorHAnsi" w:cstheme="minorHAnsi"/>
                <w:b/>
                <w:sz w:val="18"/>
                <w:szCs w:val="18"/>
              </w:rPr>
            </w:pPr>
            <w:r w:rsidRPr="00873F1E">
              <w:rPr>
                <w:rFonts w:asciiTheme="minorHAnsi" w:hAnsiTheme="minorHAnsi" w:cstheme="minorHAnsi"/>
                <w:b/>
                <w:sz w:val="18"/>
                <w:szCs w:val="18"/>
              </w:rPr>
              <w:t xml:space="preserve">Fringe </w:t>
            </w:r>
            <w:r w:rsidRPr="00873F1E">
              <w:rPr>
                <w:rFonts w:asciiTheme="minorHAnsi" w:hAnsiTheme="minorHAnsi" w:cstheme="minorHAnsi"/>
                <w:b/>
                <w:sz w:val="18"/>
                <w:szCs w:val="18"/>
              </w:rPr>
              <w:br/>
              <w:t>(if Applicable)</w:t>
            </w:r>
          </w:p>
        </w:tc>
        <w:tc>
          <w:tcPr>
            <w:tcW w:w="1515" w:type="dxa"/>
            <w:tcBorders>
              <w:top w:val="single" w:sz="8" w:space="0" w:color="000000"/>
              <w:left w:val="nil"/>
              <w:bottom w:val="nil"/>
              <w:right w:val="single" w:sz="8" w:space="0" w:color="000000"/>
            </w:tcBorders>
            <w:shd w:val="clear" w:color="auto" w:fill="BDD7EE"/>
            <w:tcMar>
              <w:top w:w="100" w:type="dxa"/>
              <w:left w:w="100" w:type="dxa"/>
              <w:bottom w:w="100" w:type="dxa"/>
              <w:right w:w="100" w:type="dxa"/>
            </w:tcMar>
            <w:vAlign w:val="center"/>
          </w:tcPr>
          <w:p w:rsidR="00BA71B6" w:rsidRPr="00873F1E" w14:paraId="3C6E5052" w14:textId="77777777">
            <w:pPr>
              <w:ind w:left="-20"/>
              <w:jc w:val="center"/>
              <w:rPr>
                <w:rFonts w:asciiTheme="minorHAnsi" w:hAnsiTheme="minorHAnsi" w:cstheme="minorHAnsi"/>
                <w:b/>
                <w:sz w:val="18"/>
                <w:szCs w:val="18"/>
              </w:rPr>
            </w:pPr>
            <w:r w:rsidRPr="00873F1E">
              <w:rPr>
                <w:rFonts w:asciiTheme="minorHAnsi" w:hAnsiTheme="minorHAnsi" w:cstheme="minorHAnsi"/>
                <w:b/>
                <w:sz w:val="18"/>
                <w:szCs w:val="18"/>
              </w:rPr>
              <w:t>Cost to Government [a]</w:t>
            </w:r>
          </w:p>
        </w:tc>
      </w:tr>
      <w:tr w14:paraId="06F21C0B" w14:textId="77777777" w:rsidTr="00A348DA">
        <w:tblPrEx>
          <w:tblW w:w="10095" w:type="dxa"/>
          <w:tblLayout w:type="fixed"/>
          <w:tblLook w:val="0600"/>
        </w:tblPrEx>
        <w:trPr>
          <w:trHeight w:val="284"/>
        </w:trPr>
        <w:tc>
          <w:tcPr>
            <w:tcW w:w="28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A71B6" w:rsidRPr="00873F1E" w14:paraId="41EBFBBF" w14:textId="77777777">
            <w:pPr>
              <w:ind w:left="-20"/>
              <w:rPr>
                <w:rFonts w:asciiTheme="minorHAnsi" w:hAnsiTheme="minorHAnsi" w:cstheme="minorHAnsi"/>
                <w:sz w:val="18"/>
                <w:szCs w:val="18"/>
              </w:rPr>
            </w:pPr>
            <w:r w:rsidRPr="00873F1E">
              <w:rPr>
                <w:rFonts w:asciiTheme="minorHAnsi" w:hAnsiTheme="minorHAnsi" w:cstheme="minorHAnsi"/>
                <w:sz w:val="18"/>
                <w:szCs w:val="18"/>
              </w:rPr>
              <w:t>Federal Oversight</w:t>
            </w:r>
          </w:p>
        </w:tc>
        <w:tc>
          <w:tcPr>
            <w:tcW w:w="1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BA71B6" w:rsidRPr="00873F1E" w14:paraId="1525ADA0" w14:textId="77777777">
            <w:pPr>
              <w:ind w:left="-20"/>
              <w:jc w:val="center"/>
              <w:rPr>
                <w:rFonts w:asciiTheme="minorHAnsi" w:hAnsiTheme="minorHAnsi" w:cstheme="minorHAnsi"/>
                <w:b/>
                <w:sz w:val="18"/>
                <w:szCs w:val="18"/>
              </w:rPr>
            </w:pPr>
            <w:r w:rsidRPr="00873F1E">
              <w:rPr>
                <w:rFonts w:asciiTheme="minorHAnsi" w:hAnsiTheme="minorHAnsi" w:cstheme="minorHAnsi"/>
                <w:b/>
                <w:sz w:val="18"/>
                <w:szCs w:val="18"/>
              </w:rPr>
              <w:t xml:space="preserve"> </w:t>
            </w:r>
          </w:p>
        </w:tc>
        <w:tc>
          <w:tcPr>
            <w:tcW w:w="13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BA71B6" w:rsidRPr="00873F1E" w14:paraId="6182816E" w14:textId="77777777">
            <w:pPr>
              <w:ind w:left="-20"/>
              <w:jc w:val="center"/>
              <w:rPr>
                <w:rFonts w:asciiTheme="minorHAnsi" w:hAnsiTheme="minorHAnsi" w:cstheme="minorHAnsi"/>
                <w:b/>
                <w:sz w:val="18"/>
                <w:szCs w:val="18"/>
              </w:rPr>
            </w:pPr>
            <w:r w:rsidRPr="00873F1E">
              <w:rPr>
                <w:rFonts w:asciiTheme="minorHAnsi" w:hAnsiTheme="minorHAnsi" w:cstheme="minorHAnsi"/>
                <w:b/>
                <w:sz w:val="18"/>
                <w:szCs w:val="18"/>
              </w:rPr>
              <w:t xml:space="preserve"> </w:t>
            </w:r>
          </w:p>
        </w:tc>
        <w:tc>
          <w:tcPr>
            <w:tcW w:w="12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BA71B6" w:rsidRPr="00873F1E" w14:paraId="66AC3C8A" w14:textId="77777777">
            <w:pPr>
              <w:ind w:left="-20"/>
              <w:jc w:val="center"/>
              <w:rPr>
                <w:rFonts w:asciiTheme="minorHAnsi" w:hAnsiTheme="minorHAnsi" w:cstheme="minorHAnsi"/>
                <w:b/>
                <w:sz w:val="18"/>
                <w:szCs w:val="18"/>
              </w:rPr>
            </w:pPr>
            <w:r w:rsidRPr="00873F1E">
              <w:rPr>
                <w:rFonts w:asciiTheme="minorHAnsi" w:hAnsiTheme="minorHAnsi" w:cstheme="minorHAnsi"/>
                <w:b/>
                <w:sz w:val="18"/>
                <w:szCs w:val="18"/>
              </w:rPr>
              <w:t xml:space="preserve"> </w:t>
            </w:r>
          </w:p>
        </w:tc>
        <w:tc>
          <w:tcPr>
            <w:tcW w:w="17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BA71B6" w:rsidRPr="00873F1E" w14:paraId="789B6354" w14:textId="77777777">
            <w:pPr>
              <w:ind w:left="-20"/>
              <w:jc w:val="center"/>
              <w:rPr>
                <w:rFonts w:asciiTheme="minorHAnsi" w:hAnsiTheme="minorHAnsi" w:cstheme="minorHAnsi"/>
                <w:b/>
                <w:sz w:val="18"/>
                <w:szCs w:val="18"/>
              </w:rPr>
            </w:pPr>
            <w:r w:rsidRPr="00873F1E">
              <w:rPr>
                <w:rFonts w:asciiTheme="minorHAnsi" w:hAnsiTheme="minorHAnsi" w:cstheme="minorHAnsi"/>
                <w:b/>
                <w:sz w:val="18"/>
                <w:szCs w:val="18"/>
              </w:rPr>
              <w:t xml:space="preserve"> </w:t>
            </w:r>
          </w:p>
        </w:tc>
        <w:tc>
          <w:tcPr>
            <w:tcW w:w="1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BA71B6" w:rsidRPr="00873F1E" w14:paraId="7C3E8E9D" w14:textId="77777777">
            <w:pPr>
              <w:ind w:left="-20"/>
              <w:jc w:val="center"/>
              <w:rPr>
                <w:rFonts w:asciiTheme="minorHAnsi" w:hAnsiTheme="minorHAnsi" w:cstheme="minorHAnsi"/>
                <w:b/>
                <w:sz w:val="18"/>
                <w:szCs w:val="18"/>
              </w:rPr>
            </w:pPr>
            <w:r w:rsidRPr="00873F1E">
              <w:rPr>
                <w:rFonts w:asciiTheme="minorHAnsi" w:hAnsiTheme="minorHAnsi" w:cstheme="minorHAnsi"/>
                <w:b/>
                <w:sz w:val="18"/>
                <w:szCs w:val="18"/>
              </w:rPr>
              <w:t xml:space="preserve"> </w:t>
            </w:r>
          </w:p>
        </w:tc>
      </w:tr>
      <w:tr w14:paraId="506C57F2" w14:textId="77777777" w:rsidTr="00A348DA">
        <w:tblPrEx>
          <w:tblW w:w="10095" w:type="dxa"/>
          <w:tblLayout w:type="fixed"/>
          <w:tblLook w:val="0600"/>
        </w:tblPrEx>
        <w:trPr>
          <w:trHeight w:val="331"/>
        </w:trPr>
        <w:tc>
          <w:tcPr>
            <w:tcW w:w="28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A71B6" w:rsidRPr="00873F1E" w14:paraId="112A80FB" w14:textId="77777777">
            <w:pPr>
              <w:spacing w:line="256" w:lineRule="auto"/>
              <w:ind w:left="210"/>
              <w:rPr>
                <w:rFonts w:asciiTheme="minorHAnsi" w:hAnsiTheme="minorHAnsi" w:cstheme="minorHAnsi"/>
                <w:sz w:val="18"/>
                <w:szCs w:val="18"/>
              </w:rPr>
            </w:pPr>
            <w:r w:rsidRPr="00873F1E">
              <w:rPr>
                <w:rFonts w:asciiTheme="minorHAnsi" w:hAnsiTheme="minorHAnsi" w:cstheme="minorHAnsi"/>
                <w:sz w:val="18"/>
                <w:szCs w:val="18"/>
              </w:rPr>
              <w:t>Survey deployments</w:t>
            </w:r>
          </w:p>
        </w:tc>
        <w:tc>
          <w:tcPr>
            <w:tcW w:w="1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BA71B6" w:rsidRPr="00873F1E" w14:paraId="26A2CC64" w14:textId="77777777">
            <w:pPr>
              <w:ind w:left="-20"/>
              <w:jc w:val="center"/>
              <w:rPr>
                <w:rFonts w:asciiTheme="minorHAnsi" w:hAnsiTheme="minorHAnsi" w:cstheme="minorHAnsi"/>
                <w:sz w:val="18"/>
                <w:szCs w:val="18"/>
              </w:rPr>
            </w:pPr>
            <w:r w:rsidRPr="00873F1E">
              <w:rPr>
                <w:rFonts w:asciiTheme="minorHAnsi" w:hAnsiTheme="minorHAnsi" w:cstheme="minorHAnsi"/>
                <w:sz w:val="18"/>
                <w:szCs w:val="18"/>
              </w:rPr>
              <w:t>GS-14/GS-15</w:t>
            </w:r>
          </w:p>
        </w:tc>
        <w:tc>
          <w:tcPr>
            <w:tcW w:w="138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BA71B6" w:rsidRPr="00873F1E" w14:paraId="4E87DC70" w14:textId="50563FFA">
            <w:pPr>
              <w:ind w:left="-20"/>
              <w:jc w:val="center"/>
              <w:rPr>
                <w:rFonts w:asciiTheme="minorHAnsi" w:hAnsiTheme="minorHAnsi" w:cstheme="minorHAnsi"/>
                <w:sz w:val="18"/>
                <w:szCs w:val="18"/>
              </w:rPr>
            </w:pPr>
            <w:r w:rsidRPr="00873F1E">
              <w:rPr>
                <w:rFonts w:asciiTheme="minorHAnsi" w:hAnsiTheme="minorHAnsi" w:cstheme="minorHAnsi"/>
                <w:sz w:val="18"/>
                <w:szCs w:val="18"/>
              </w:rPr>
              <w:t xml:space="preserve"> $</w:t>
            </w:r>
            <w:r w:rsidRPr="00873F1E" w:rsidR="00901015">
              <w:rPr>
                <w:rFonts w:asciiTheme="minorHAnsi" w:hAnsiTheme="minorHAnsi" w:cstheme="minorHAnsi"/>
                <w:sz w:val="18"/>
                <w:szCs w:val="18"/>
              </w:rPr>
              <w:t>111</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BA71B6" w:rsidRPr="00873F1E" w14:paraId="4D2092CC" w14:textId="77777777">
            <w:pPr>
              <w:ind w:left="-20"/>
              <w:jc w:val="center"/>
              <w:rPr>
                <w:rFonts w:asciiTheme="minorHAnsi" w:hAnsiTheme="minorHAnsi" w:cstheme="minorHAnsi"/>
                <w:sz w:val="18"/>
                <w:szCs w:val="18"/>
              </w:rPr>
            </w:pPr>
            <w:r w:rsidRPr="00873F1E">
              <w:rPr>
                <w:rFonts w:asciiTheme="minorHAnsi" w:hAnsiTheme="minorHAnsi" w:cstheme="minorHAnsi"/>
                <w:sz w:val="18"/>
                <w:szCs w:val="18"/>
              </w:rPr>
              <w:t>32</w:t>
            </w:r>
          </w:p>
        </w:tc>
        <w:tc>
          <w:tcPr>
            <w:tcW w:w="174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BA71B6" w:rsidRPr="00873F1E" w14:paraId="75AC7B57" w14:textId="77777777">
            <w:pPr>
              <w:ind w:left="-20"/>
              <w:jc w:val="center"/>
              <w:rPr>
                <w:rFonts w:asciiTheme="minorHAnsi" w:hAnsiTheme="minorHAnsi" w:cstheme="minorHAnsi"/>
                <w:sz w:val="18"/>
                <w:szCs w:val="18"/>
              </w:rPr>
            </w:pPr>
            <w:r w:rsidRPr="00873F1E">
              <w:rPr>
                <w:rFonts w:asciiTheme="minorHAnsi" w:hAnsiTheme="minorHAnsi" w:cstheme="minorHAnsi"/>
                <w:sz w:val="18"/>
                <w:szCs w:val="18"/>
              </w:rPr>
              <w:t xml:space="preserve"> </w:t>
            </w:r>
          </w:p>
        </w:tc>
        <w:tc>
          <w:tcPr>
            <w:tcW w:w="151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BA71B6" w:rsidRPr="00873F1E" w14:paraId="7504B3A3" w14:textId="601F04B4">
            <w:pPr>
              <w:ind w:left="-20"/>
              <w:jc w:val="center"/>
              <w:rPr>
                <w:rFonts w:asciiTheme="minorHAnsi" w:hAnsiTheme="minorHAnsi" w:cstheme="minorHAnsi"/>
                <w:sz w:val="18"/>
                <w:szCs w:val="18"/>
              </w:rPr>
            </w:pPr>
            <w:r w:rsidRPr="00873F1E">
              <w:rPr>
                <w:rFonts w:asciiTheme="minorHAnsi" w:hAnsiTheme="minorHAnsi" w:cstheme="minorHAnsi"/>
                <w:sz w:val="18"/>
                <w:szCs w:val="18"/>
              </w:rPr>
              <w:t xml:space="preserve"> $3,</w:t>
            </w:r>
            <w:r w:rsidRPr="00873F1E" w:rsidR="00901015">
              <w:rPr>
                <w:rFonts w:asciiTheme="minorHAnsi" w:hAnsiTheme="minorHAnsi" w:cstheme="minorHAnsi"/>
                <w:sz w:val="18"/>
                <w:szCs w:val="18"/>
              </w:rPr>
              <w:t>552</w:t>
            </w:r>
          </w:p>
        </w:tc>
      </w:tr>
      <w:tr w14:paraId="5312D08F" w14:textId="77777777" w:rsidTr="00873F1E">
        <w:tblPrEx>
          <w:tblW w:w="10095" w:type="dxa"/>
          <w:tblLayout w:type="fixed"/>
          <w:tblLook w:val="0600"/>
        </w:tblPrEx>
        <w:trPr>
          <w:trHeight w:val="304"/>
        </w:trPr>
        <w:tc>
          <w:tcPr>
            <w:tcW w:w="28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A71B6" w:rsidRPr="00873F1E" w14:paraId="6776AFC2" w14:textId="77777777">
            <w:pPr>
              <w:ind w:left="180"/>
              <w:rPr>
                <w:rFonts w:asciiTheme="minorHAnsi" w:hAnsiTheme="minorHAnsi" w:cstheme="minorHAnsi"/>
                <w:sz w:val="18"/>
                <w:szCs w:val="18"/>
              </w:rPr>
            </w:pPr>
            <w:r w:rsidRPr="00873F1E">
              <w:rPr>
                <w:rFonts w:asciiTheme="minorHAnsi" w:hAnsiTheme="minorHAnsi" w:cstheme="minorHAnsi"/>
                <w:sz w:val="18"/>
                <w:szCs w:val="18"/>
              </w:rPr>
              <w:t>Progress and Final Presentations</w:t>
            </w:r>
          </w:p>
        </w:tc>
        <w:tc>
          <w:tcPr>
            <w:tcW w:w="141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BA71B6" w:rsidRPr="00873F1E" w14:paraId="4F41A54E" w14:textId="77777777">
            <w:pPr>
              <w:ind w:left="-20"/>
              <w:jc w:val="center"/>
              <w:rPr>
                <w:rFonts w:asciiTheme="minorHAnsi" w:hAnsiTheme="minorHAnsi" w:cstheme="minorHAnsi"/>
                <w:sz w:val="18"/>
                <w:szCs w:val="18"/>
              </w:rPr>
            </w:pPr>
            <w:r w:rsidRPr="00873F1E">
              <w:rPr>
                <w:rFonts w:asciiTheme="minorHAnsi" w:hAnsiTheme="minorHAnsi" w:cstheme="minorHAnsi"/>
                <w:sz w:val="18"/>
                <w:szCs w:val="18"/>
              </w:rPr>
              <w:t>GS-14/GS-15</w:t>
            </w:r>
          </w:p>
        </w:tc>
        <w:tc>
          <w:tcPr>
            <w:tcW w:w="138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BA71B6" w:rsidRPr="00873F1E" w14:paraId="246F7688" w14:textId="4B6B86B6">
            <w:pPr>
              <w:ind w:left="-20"/>
              <w:jc w:val="center"/>
              <w:rPr>
                <w:rFonts w:asciiTheme="minorHAnsi" w:hAnsiTheme="minorHAnsi" w:cstheme="minorHAnsi"/>
                <w:sz w:val="18"/>
                <w:szCs w:val="18"/>
              </w:rPr>
            </w:pPr>
            <w:r w:rsidRPr="00873F1E">
              <w:rPr>
                <w:rFonts w:asciiTheme="minorHAnsi" w:hAnsiTheme="minorHAnsi" w:cstheme="minorHAnsi"/>
                <w:sz w:val="18"/>
                <w:szCs w:val="18"/>
              </w:rPr>
              <w:t xml:space="preserve"> $</w:t>
            </w:r>
            <w:r w:rsidRPr="00873F1E" w:rsidR="00901015">
              <w:rPr>
                <w:rFonts w:asciiTheme="minorHAnsi" w:hAnsiTheme="minorHAnsi" w:cstheme="minorHAnsi"/>
                <w:sz w:val="18"/>
                <w:szCs w:val="18"/>
              </w:rPr>
              <w:t>111</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BA71B6" w:rsidRPr="00873F1E" w14:paraId="63230709" w14:textId="77777777">
            <w:pPr>
              <w:ind w:left="-20"/>
              <w:jc w:val="center"/>
              <w:rPr>
                <w:rFonts w:asciiTheme="minorHAnsi" w:hAnsiTheme="minorHAnsi" w:cstheme="minorHAnsi"/>
                <w:sz w:val="18"/>
                <w:szCs w:val="18"/>
              </w:rPr>
            </w:pPr>
            <w:r w:rsidRPr="00873F1E">
              <w:rPr>
                <w:rFonts w:asciiTheme="minorHAnsi" w:hAnsiTheme="minorHAnsi" w:cstheme="minorHAnsi"/>
                <w:sz w:val="18"/>
                <w:szCs w:val="18"/>
              </w:rPr>
              <w:t>100</w:t>
            </w:r>
          </w:p>
        </w:tc>
        <w:tc>
          <w:tcPr>
            <w:tcW w:w="1740"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BA71B6" w:rsidRPr="00873F1E" w14:paraId="51D1D6FC" w14:textId="77777777">
            <w:pPr>
              <w:ind w:left="-20"/>
              <w:jc w:val="center"/>
              <w:rPr>
                <w:rFonts w:asciiTheme="minorHAnsi" w:hAnsiTheme="minorHAnsi" w:cstheme="minorHAnsi"/>
                <w:sz w:val="18"/>
                <w:szCs w:val="18"/>
              </w:rPr>
            </w:pPr>
            <w:r w:rsidRPr="00873F1E">
              <w:rPr>
                <w:rFonts w:asciiTheme="minorHAnsi" w:hAnsiTheme="minorHAnsi" w:cstheme="minorHAnsi"/>
                <w:sz w:val="18"/>
                <w:szCs w:val="18"/>
              </w:rPr>
              <w:t xml:space="preserve"> </w:t>
            </w:r>
          </w:p>
        </w:tc>
        <w:tc>
          <w:tcPr>
            <w:tcW w:w="151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BA71B6" w:rsidRPr="00873F1E" w14:paraId="7A315EE8" w14:textId="25E5D740">
            <w:pPr>
              <w:ind w:left="-20"/>
              <w:jc w:val="center"/>
              <w:rPr>
                <w:rFonts w:asciiTheme="minorHAnsi" w:hAnsiTheme="minorHAnsi" w:cstheme="minorHAnsi"/>
                <w:sz w:val="18"/>
                <w:szCs w:val="18"/>
              </w:rPr>
            </w:pPr>
            <w:r w:rsidRPr="00873F1E">
              <w:rPr>
                <w:rFonts w:asciiTheme="minorHAnsi" w:hAnsiTheme="minorHAnsi" w:cstheme="minorHAnsi"/>
                <w:sz w:val="18"/>
                <w:szCs w:val="18"/>
              </w:rPr>
              <w:t xml:space="preserve"> $</w:t>
            </w:r>
            <w:r w:rsidRPr="00873F1E" w:rsidR="00901015">
              <w:rPr>
                <w:rFonts w:asciiTheme="minorHAnsi" w:hAnsiTheme="minorHAnsi" w:cstheme="minorHAnsi"/>
                <w:sz w:val="18"/>
                <w:szCs w:val="18"/>
              </w:rPr>
              <w:t>11,100</w:t>
            </w:r>
          </w:p>
        </w:tc>
      </w:tr>
      <w:tr w14:paraId="22BEB657" w14:textId="77777777" w:rsidTr="00873F1E">
        <w:tblPrEx>
          <w:tblW w:w="10095" w:type="dxa"/>
          <w:tblLayout w:type="fixed"/>
          <w:tblLook w:val="0600"/>
        </w:tblPrEx>
        <w:trPr>
          <w:trHeight w:val="313"/>
        </w:trPr>
        <w:tc>
          <w:tcPr>
            <w:tcW w:w="28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A71B6" w:rsidRPr="00873F1E" w14:paraId="13D7D58B" w14:textId="77777777">
            <w:pPr>
              <w:ind w:left="-20"/>
              <w:rPr>
                <w:rFonts w:asciiTheme="minorHAnsi" w:hAnsiTheme="minorHAnsi" w:cstheme="minorHAnsi"/>
                <w:sz w:val="18"/>
                <w:szCs w:val="18"/>
              </w:rPr>
            </w:pPr>
            <w:r w:rsidRPr="00873F1E">
              <w:rPr>
                <w:rFonts w:asciiTheme="minorHAnsi" w:hAnsiTheme="minorHAnsi" w:cstheme="minorHAnsi"/>
                <w:sz w:val="18"/>
                <w:szCs w:val="18"/>
              </w:rPr>
              <w:t>Total Federal Oversight Cost</w:t>
            </w:r>
          </w:p>
        </w:tc>
        <w:tc>
          <w:tcPr>
            <w:tcW w:w="1410" w:type="dxa"/>
            <w:tcBorders>
              <w:top w:val="nil"/>
              <w:left w:val="nil"/>
              <w:bottom w:val="single" w:sz="8" w:space="0" w:color="000000"/>
              <w:right w:val="single" w:sz="8" w:space="0" w:color="000000"/>
            </w:tcBorders>
            <w:shd w:val="clear" w:color="auto" w:fill="B7B7B7"/>
            <w:tcMar>
              <w:top w:w="100" w:type="dxa"/>
              <w:left w:w="100" w:type="dxa"/>
              <w:bottom w:w="100" w:type="dxa"/>
              <w:right w:w="100" w:type="dxa"/>
            </w:tcMar>
            <w:vAlign w:val="center"/>
          </w:tcPr>
          <w:p w:rsidR="00BA71B6" w:rsidRPr="00873F1E" w14:paraId="5A27F5EF" w14:textId="77777777">
            <w:pPr>
              <w:ind w:left="-20"/>
              <w:jc w:val="center"/>
              <w:rPr>
                <w:rFonts w:asciiTheme="minorHAnsi" w:hAnsiTheme="minorHAnsi" w:cstheme="minorHAnsi"/>
                <w:sz w:val="18"/>
                <w:szCs w:val="18"/>
              </w:rPr>
            </w:pPr>
            <w:r w:rsidRPr="00873F1E">
              <w:rPr>
                <w:rFonts w:asciiTheme="minorHAnsi" w:hAnsiTheme="minorHAnsi" w:cstheme="minorHAnsi"/>
                <w:sz w:val="18"/>
                <w:szCs w:val="18"/>
              </w:rPr>
              <w:t xml:space="preserve"> </w:t>
            </w:r>
          </w:p>
        </w:tc>
        <w:tc>
          <w:tcPr>
            <w:tcW w:w="1380" w:type="dxa"/>
            <w:tcBorders>
              <w:top w:val="nil"/>
              <w:left w:val="nil"/>
              <w:bottom w:val="single" w:sz="8" w:space="0" w:color="000000"/>
              <w:right w:val="single" w:sz="8" w:space="0" w:color="000000"/>
            </w:tcBorders>
            <w:shd w:val="clear" w:color="auto" w:fill="B7B7B7"/>
            <w:tcMar>
              <w:top w:w="100" w:type="dxa"/>
              <w:left w:w="100" w:type="dxa"/>
              <w:bottom w:w="100" w:type="dxa"/>
              <w:right w:w="100" w:type="dxa"/>
            </w:tcMar>
            <w:vAlign w:val="center"/>
          </w:tcPr>
          <w:p w:rsidR="00BA71B6" w:rsidRPr="00873F1E" w14:paraId="4A12B3C1" w14:textId="77777777">
            <w:pPr>
              <w:ind w:left="-20"/>
              <w:jc w:val="center"/>
              <w:rPr>
                <w:rFonts w:asciiTheme="minorHAnsi" w:hAnsiTheme="minorHAnsi" w:cstheme="minorHAnsi"/>
                <w:sz w:val="18"/>
                <w:szCs w:val="18"/>
              </w:rPr>
            </w:pPr>
            <w:r w:rsidRPr="00873F1E">
              <w:rPr>
                <w:rFonts w:asciiTheme="minorHAnsi" w:hAnsiTheme="minorHAnsi" w:cstheme="minorHAnsi"/>
                <w:sz w:val="18"/>
                <w:szCs w:val="18"/>
              </w:rPr>
              <w:t xml:space="preserve"> </w:t>
            </w:r>
          </w:p>
        </w:tc>
        <w:tc>
          <w:tcPr>
            <w:tcW w:w="1230" w:type="dxa"/>
            <w:tcBorders>
              <w:top w:val="nil"/>
              <w:left w:val="nil"/>
              <w:bottom w:val="single" w:sz="8" w:space="0" w:color="000000"/>
              <w:right w:val="single" w:sz="8" w:space="0" w:color="000000"/>
            </w:tcBorders>
            <w:shd w:val="clear" w:color="auto" w:fill="B7B7B7"/>
            <w:tcMar>
              <w:top w:w="100" w:type="dxa"/>
              <w:left w:w="100" w:type="dxa"/>
              <w:bottom w:w="100" w:type="dxa"/>
              <w:right w:w="100" w:type="dxa"/>
            </w:tcMar>
            <w:vAlign w:val="center"/>
          </w:tcPr>
          <w:p w:rsidR="00BA71B6" w:rsidRPr="00873F1E" w14:paraId="4A86DC76" w14:textId="77777777">
            <w:pPr>
              <w:ind w:left="-20"/>
              <w:jc w:val="center"/>
              <w:rPr>
                <w:rFonts w:asciiTheme="minorHAnsi" w:hAnsiTheme="minorHAnsi" w:cstheme="minorHAnsi"/>
                <w:sz w:val="18"/>
                <w:szCs w:val="18"/>
              </w:rPr>
            </w:pPr>
            <w:r w:rsidRPr="00873F1E">
              <w:rPr>
                <w:rFonts w:asciiTheme="minorHAnsi" w:hAnsiTheme="minorHAnsi" w:cstheme="minorHAnsi"/>
                <w:sz w:val="18"/>
                <w:szCs w:val="18"/>
              </w:rPr>
              <w:t xml:space="preserve"> </w:t>
            </w:r>
          </w:p>
        </w:tc>
        <w:tc>
          <w:tcPr>
            <w:tcW w:w="1740" w:type="dxa"/>
            <w:tcBorders>
              <w:top w:val="nil"/>
              <w:left w:val="nil"/>
              <w:bottom w:val="single" w:sz="8" w:space="0" w:color="000000"/>
              <w:right w:val="single" w:sz="8" w:space="0" w:color="000000"/>
            </w:tcBorders>
            <w:shd w:val="clear" w:color="auto" w:fill="B7B7B7"/>
            <w:tcMar>
              <w:top w:w="100" w:type="dxa"/>
              <w:left w:w="100" w:type="dxa"/>
              <w:bottom w:w="100" w:type="dxa"/>
              <w:right w:w="100" w:type="dxa"/>
            </w:tcMar>
            <w:vAlign w:val="center"/>
          </w:tcPr>
          <w:p w:rsidR="00BA71B6" w:rsidRPr="00873F1E" w14:paraId="32C4838B" w14:textId="77777777">
            <w:pPr>
              <w:ind w:left="-20"/>
              <w:jc w:val="center"/>
              <w:rPr>
                <w:rFonts w:asciiTheme="minorHAnsi" w:hAnsiTheme="minorHAnsi" w:cstheme="minorHAnsi"/>
                <w:sz w:val="18"/>
                <w:szCs w:val="18"/>
              </w:rPr>
            </w:pPr>
            <w:r w:rsidRPr="00873F1E">
              <w:rPr>
                <w:rFonts w:asciiTheme="minorHAnsi" w:hAnsiTheme="minorHAnsi" w:cstheme="minorHAnsi"/>
                <w:sz w:val="18"/>
                <w:szCs w:val="18"/>
              </w:rPr>
              <w:t xml:space="preserve"> </w:t>
            </w:r>
          </w:p>
        </w:tc>
        <w:tc>
          <w:tcPr>
            <w:tcW w:w="1515" w:type="dxa"/>
            <w:tcBorders>
              <w:top w:val="nil"/>
              <w:left w:val="nil"/>
              <w:bottom w:val="single" w:sz="8" w:space="0" w:color="000000"/>
              <w:right w:val="single" w:sz="8" w:space="0" w:color="000000"/>
            </w:tcBorders>
            <w:shd w:val="clear" w:color="auto" w:fill="FDEADA" w:themeFill="accent6" w:themeFillTint="33"/>
            <w:tcMar>
              <w:top w:w="100" w:type="dxa"/>
              <w:left w:w="100" w:type="dxa"/>
              <w:bottom w:w="100" w:type="dxa"/>
              <w:right w:w="100" w:type="dxa"/>
            </w:tcMar>
            <w:vAlign w:val="center"/>
          </w:tcPr>
          <w:p w:rsidR="00BA71B6" w:rsidRPr="00873F1E" w14:paraId="37F73BD2" w14:textId="436F24F4">
            <w:pPr>
              <w:ind w:left="-20"/>
              <w:jc w:val="center"/>
              <w:rPr>
                <w:rFonts w:asciiTheme="minorHAnsi" w:hAnsiTheme="minorHAnsi" w:cstheme="minorHAnsi"/>
                <w:b/>
                <w:bCs/>
                <w:sz w:val="18"/>
                <w:szCs w:val="18"/>
              </w:rPr>
            </w:pPr>
            <w:r w:rsidRPr="00873F1E">
              <w:rPr>
                <w:rFonts w:asciiTheme="minorHAnsi" w:hAnsiTheme="minorHAnsi" w:cstheme="minorHAnsi"/>
                <w:b/>
                <w:bCs/>
                <w:sz w:val="18"/>
                <w:szCs w:val="18"/>
              </w:rPr>
              <w:t xml:space="preserve"> $14,</w:t>
            </w:r>
            <w:r w:rsidRPr="00873F1E" w:rsidR="00901015">
              <w:rPr>
                <w:rFonts w:asciiTheme="minorHAnsi" w:hAnsiTheme="minorHAnsi" w:cstheme="minorHAnsi"/>
                <w:b/>
                <w:bCs/>
                <w:sz w:val="18"/>
                <w:szCs w:val="18"/>
              </w:rPr>
              <w:t>652</w:t>
            </w:r>
          </w:p>
        </w:tc>
      </w:tr>
      <w:tr w14:paraId="31DDEF30" w14:textId="77777777" w:rsidTr="00873F1E">
        <w:tblPrEx>
          <w:tblW w:w="10095" w:type="dxa"/>
          <w:tblLayout w:type="fixed"/>
          <w:tblLook w:val="0600"/>
        </w:tblPrEx>
        <w:trPr>
          <w:trHeight w:val="358"/>
        </w:trPr>
        <w:tc>
          <w:tcPr>
            <w:tcW w:w="2820" w:type="dxa"/>
            <w:tcBorders>
              <w:top w:val="nil"/>
              <w:left w:val="single" w:sz="8" w:space="0" w:color="000000"/>
              <w:bottom w:val="nil"/>
              <w:right w:val="single" w:sz="8" w:space="0" w:color="000000"/>
            </w:tcBorders>
            <w:tcMar>
              <w:top w:w="100" w:type="dxa"/>
              <w:left w:w="100" w:type="dxa"/>
              <w:bottom w:w="100" w:type="dxa"/>
              <w:right w:w="100" w:type="dxa"/>
            </w:tcMar>
            <w:vAlign w:val="center"/>
          </w:tcPr>
          <w:p w:rsidR="00BA71B6" w:rsidRPr="00873F1E" w14:paraId="0965F349" w14:textId="77777777">
            <w:pPr>
              <w:ind w:left="-20"/>
              <w:rPr>
                <w:rFonts w:asciiTheme="minorHAnsi" w:hAnsiTheme="minorHAnsi" w:cstheme="minorHAnsi"/>
                <w:sz w:val="18"/>
                <w:szCs w:val="18"/>
              </w:rPr>
            </w:pPr>
            <w:r w:rsidRPr="00873F1E">
              <w:rPr>
                <w:rFonts w:asciiTheme="minorHAnsi" w:hAnsiTheme="minorHAnsi" w:cstheme="minorHAnsi"/>
                <w:sz w:val="18"/>
                <w:szCs w:val="18"/>
              </w:rPr>
              <w:t>Total Contract Cost</w:t>
            </w:r>
          </w:p>
        </w:tc>
        <w:tc>
          <w:tcPr>
            <w:tcW w:w="1410" w:type="dxa"/>
            <w:tcBorders>
              <w:top w:val="nil"/>
              <w:left w:val="nil"/>
              <w:bottom w:val="single" w:sz="8" w:space="0" w:color="000000"/>
              <w:right w:val="single" w:sz="8" w:space="0" w:color="000000"/>
            </w:tcBorders>
            <w:shd w:val="clear" w:color="auto" w:fill="B7B7B7"/>
            <w:tcMar>
              <w:top w:w="100" w:type="dxa"/>
              <w:left w:w="100" w:type="dxa"/>
              <w:bottom w:w="100" w:type="dxa"/>
              <w:right w:w="100" w:type="dxa"/>
            </w:tcMar>
            <w:vAlign w:val="center"/>
          </w:tcPr>
          <w:p w:rsidR="00BA71B6" w:rsidRPr="00873F1E" w14:paraId="2732FC88" w14:textId="77777777">
            <w:pPr>
              <w:ind w:left="-20"/>
              <w:jc w:val="center"/>
              <w:rPr>
                <w:rFonts w:asciiTheme="minorHAnsi" w:hAnsiTheme="minorHAnsi" w:cstheme="minorHAnsi"/>
                <w:sz w:val="18"/>
                <w:szCs w:val="18"/>
              </w:rPr>
            </w:pPr>
            <w:r w:rsidRPr="00873F1E">
              <w:rPr>
                <w:rFonts w:asciiTheme="minorHAnsi" w:hAnsiTheme="minorHAnsi" w:cstheme="minorHAnsi"/>
                <w:sz w:val="18"/>
                <w:szCs w:val="18"/>
              </w:rPr>
              <w:t xml:space="preserve"> </w:t>
            </w:r>
          </w:p>
        </w:tc>
        <w:tc>
          <w:tcPr>
            <w:tcW w:w="1380" w:type="dxa"/>
            <w:tcBorders>
              <w:top w:val="nil"/>
              <w:left w:val="nil"/>
              <w:bottom w:val="single" w:sz="8" w:space="0" w:color="000000"/>
              <w:right w:val="single" w:sz="8" w:space="0" w:color="000000"/>
            </w:tcBorders>
            <w:shd w:val="clear" w:color="auto" w:fill="B7B7B7"/>
            <w:tcMar>
              <w:top w:w="100" w:type="dxa"/>
              <w:left w:w="100" w:type="dxa"/>
              <w:bottom w:w="100" w:type="dxa"/>
              <w:right w:w="100" w:type="dxa"/>
            </w:tcMar>
            <w:vAlign w:val="center"/>
          </w:tcPr>
          <w:p w:rsidR="00BA71B6" w:rsidRPr="00873F1E" w14:paraId="6A0EAC0B" w14:textId="77777777">
            <w:pPr>
              <w:ind w:left="-20"/>
              <w:jc w:val="center"/>
              <w:rPr>
                <w:rFonts w:asciiTheme="minorHAnsi" w:hAnsiTheme="minorHAnsi" w:cstheme="minorHAnsi"/>
                <w:sz w:val="18"/>
                <w:szCs w:val="18"/>
              </w:rPr>
            </w:pPr>
            <w:r w:rsidRPr="00873F1E">
              <w:rPr>
                <w:rFonts w:asciiTheme="minorHAnsi" w:hAnsiTheme="minorHAnsi" w:cstheme="minorHAnsi"/>
                <w:sz w:val="18"/>
                <w:szCs w:val="18"/>
              </w:rPr>
              <w:t xml:space="preserve"> </w:t>
            </w:r>
          </w:p>
        </w:tc>
        <w:tc>
          <w:tcPr>
            <w:tcW w:w="1230" w:type="dxa"/>
            <w:tcBorders>
              <w:top w:val="nil"/>
              <w:left w:val="nil"/>
              <w:bottom w:val="single" w:sz="8" w:space="0" w:color="000000"/>
              <w:right w:val="single" w:sz="8" w:space="0" w:color="000000"/>
            </w:tcBorders>
            <w:shd w:val="clear" w:color="auto" w:fill="B7B7B7"/>
            <w:tcMar>
              <w:top w:w="100" w:type="dxa"/>
              <w:left w:w="100" w:type="dxa"/>
              <w:bottom w:w="100" w:type="dxa"/>
              <w:right w:w="100" w:type="dxa"/>
            </w:tcMar>
            <w:vAlign w:val="center"/>
          </w:tcPr>
          <w:p w:rsidR="00BA71B6" w:rsidRPr="00873F1E" w14:paraId="4FEB1C81" w14:textId="77777777">
            <w:pPr>
              <w:ind w:left="-20"/>
              <w:jc w:val="center"/>
              <w:rPr>
                <w:rFonts w:asciiTheme="minorHAnsi" w:hAnsiTheme="minorHAnsi" w:cstheme="minorHAnsi"/>
                <w:sz w:val="18"/>
                <w:szCs w:val="18"/>
              </w:rPr>
            </w:pPr>
            <w:r w:rsidRPr="00873F1E">
              <w:rPr>
                <w:rFonts w:asciiTheme="minorHAnsi" w:hAnsiTheme="minorHAnsi" w:cstheme="minorHAnsi"/>
                <w:sz w:val="18"/>
                <w:szCs w:val="18"/>
              </w:rPr>
              <w:t xml:space="preserve"> </w:t>
            </w:r>
          </w:p>
        </w:tc>
        <w:tc>
          <w:tcPr>
            <w:tcW w:w="1740" w:type="dxa"/>
            <w:tcBorders>
              <w:top w:val="nil"/>
              <w:left w:val="nil"/>
              <w:bottom w:val="single" w:sz="8" w:space="0" w:color="000000"/>
              <w:right w:val="single" w:sz="8" w:space="0" w:color="000000"/>
            </w:tcBorders>
            <w:shd w:val="clear" w:color="auto" w:fill="B7B7B7"/>
            <w:tcMar>
              <w:top w:w="100" w:type="dxa"/>
              <w:left w:w="100" w:type="dxa"/>
              <w:bottom w:w="100" w:type="dxa"/>
              <w:right w:w="100" w:type="dxa"/>
            </w:tcMar>
            <w:vAlign w:val="center"/>
          </w:tcPr>
          <w:p w:rsidR="00BA71B6" w:rsidRPr="00873F1E" w14:paraId="09B15A08" w14:textId="77777777">
            <w:pPr>
              <w:ind w:left="-20"/>
              <w:jc w:val="center"/>
              <w:rPr>
                <w:rFonts w:asciiTheme="minorHAnsi" w:hAnsiTheme="minorHAnsi" w:cstheme="minorHAnsi"/>
                <w:sz w:val="18"/>
                <w:szCs w:val="18"/>
              </w:rPr>
            </w:pPr>
            <w:r w:rsidRPr="00873F1E">
              <w:rPr>
                <w:rFonts w:asciiTheme="minorHAnsi" w:hAnsiTheme="minorHAnsi" w:cstheme="minorHAnsi"/>
                <w:sz w:val="18"/>
                <w:szCs w:val="18"/>
              </w:rPr>
              <w:t xml:space="preserve"> </w:t>
            </w:r>
          </w:p>
        </w:tc>
        <w:tc>
          <w:tcPr>
            <w:tcW w:w="1515" w:type="dxa"/>
            <w:tcBorders>
              <w:top w:val="nil"/>
              <w:left w:val="nil"/>
              <w:bottom w:val="single" w:sz="8" w:space="0" w:color="000000"/>
              <w:right w:val="single" w:sz="8" w:space="0" w:color="000000"/>
            </w:tcBorders>
            <w:tcMar>
              <w:top w:w="100" w:type="dxa"/>
              <w:left w:w="100" w:type="dxa"/>
              <w:bottom w:w="100" w:type="dxa"/>
              <w:right w:w="100" w:type="dxa"/>
            </w:tcMar>
            <w:vAlign w:val="center"/>
          </w:tcPr>
          <w:p w:rsidR="00BA71B6" w:rsidRPr="00873F1E" w14:paraId="73D79E39" w14:textId="77777777">
            <w:pPr>
              <w:ind w:left="-20"/>
              <w:jc w:val="center"/>
              <w:rPr>
                <w:rFonts w:asciiTheme="minorHAnsi" w:hAnsiTheme="minorHAnsi" w:cstheme="minorHAnsi"/>
                <w:sz w:val="18"/>
                <w:szCs w:val="18"/>
              </w:rPr>
            </w:pPr>
            <w:r w:rsidRPr="00873F1E">
              <w:rPr>
                <w:rFonts w:asciiTheme="minorHAnsi" w:hAnsiTheme="minorHAnsi" w:cstheme="minorHAnsi"/>
                <w:sz w:val="18"/>
                <w:szCs w:val="18"/>
              </w:rPr>
              <w:t xml:space="preserve"> $129,372</w:t>
            </w:r>
          </w:p>
        </w:tc>
      </w:tr>
      <w:tr w14:paraId="75972E3B" w14:textId="77777777" w:rsidTr="00873F1E">
        <w:tblPrEx>
          <w:tblW w:w="10095" w:type="dxa"/>
          <w:tblLayout w:type="fixed"/>
          <w:tblLook w:val="0600"/>
        </w:tblPrEx>
        <w:trPr>
          <w:trHeight w:val="239"/>
        </w:trPr>
        <w:tc>
          <w:tcPr>
            <w:tcW w:w="2820" w:type="dxa"/>
            <w:tcBorders>
              <w:top w:val="single" w:sz="8" w:space="0" w:color="000000"/>
              <w:left w:val="single" w:sz="8" w:space="0" w:color="000000"/>
              <w:bottom w:val="single" w:sz="8" w:space="0" w:color="000000"/>
              <w:right w:val="single" w:sz="8" w:space="0" w:color="000000"/>
            </w:tcBorders>
            <w:shd w:val="clear" w:color="auto" w:fill="DDEBF7"/>
            <w:tcMar>
              <w:top w:w="100" w:type="dxa"/>
              <w:left w:w="100" w:type="dxa"/>
              <w:bottom w:w="100" w:type="dxa"/>
              <w:right w:w="100" w:type="dxa"/>
            </w:tcMar>
            <w:vAlign w:val="center"/>
          </w:tcPr>
          <w:p w:rsidR="00BA71B6" w:rsidRPr="00873F1E" w14:paraId="2A2DCF4B" w14:textId="77777777">
            <w:pPr>
              <w:ind w:left="-20"/>
              <w:rPr>
                <w:rFonts w:asciiTheme="minorHAnsi" w:hAnsiTheme="minorHAnsi" w:cstheme="minorHAnsi"/>
                <w:b/>
                <w:sz w:val="18"/>
                <w:szCs w:val="18"/>
              </w:rPr>
            </w:pPr>
            <w:r w:rsidRPr="00873F1E">
              <w:rPr>
                <w:rFonts w:asciiTheme="minorHAnsi" w:hAnsiTheme="minorHAnsi" w:cstheme="minorHAnsi"/>
                <w:b/>
                <w:sz w:val="18"/>
                <w:szCs w:val="18"/>
              </w:rPr>
              <w:t xml:space="preserve">Total Cost </w:t>
            </w:r>
            <w:r w:rsidRPr="00873F1E">
              <w:rPr>
                <w:rFonts w:asciiTheme="minorHAnsi" w:hAnsiTheme="minorHAnsi" w:cstheme="minorHAnsi"/>
                <w:b/>
                <w:sz w:val="18"/>
                <w:szCs w:val="18"/>
              </w:rPr>
              <w:t>To</w:t>
            </w:r>
            <w:r w:rsidRPr="00873F1E">
              <w:rPr>
                <w:rFonts w:asciiTheme="minorHAnsi" w:hAnsiTheme="minorHAnsi" w:cstheme="minorHAnsi"/>
                <w:b/>
                <w:sz w:val="18"/>
                <w:szCs w:val="18"/>
              </w:rPr>
              <w:t xml:space="preserve"> Government</w:t>
            </w:r>
          </w:p>
        </w:tc>
        <w:tc>
          <w:tcPr>
            <w:tcW w:w="1410" w:type="dxa"/>
            <w:tcBorders>
              <w:top w:val="nil"/>
              <w:left w:val="nil"/>
              <w:bottom w:val="single" w:sz="8" w:space="0" w:color="000000"/>
              <w:right w:val="single" w:sz="8" w:space="0" w:color="000000"/>
            </w:tcBorders>
            <w:shd w:val="clear" w:color="auto" w:fill="DDEBF7"/>
            <w:tcMar>
              <w:top w:w="100" w:type="dxa"/>
              <w:left w:w="100" w:type="dxa"/>
              <w:bottom w:w="100" w:type="dxa"/>
              <w:right w:w="100" w:type="dxa"/>
            </w:tcMar>
            <w:vAlign w:val="center"/>
          </w:tcPr>
          <w:p w:rsidR="00BA71B6" w:rsidRPr="00873F1E" w14:paraId="3A763555" w14:textId="77777777">
            <w:pPr>
              <w:ind w:left="-20"/>
              <w:jc w:val="center"/>
              <w:rPr>
                <w:rFonts w:asciiTheme="minorHAnsi" w:hAnsiTheme="minorHAnsi" w:cstheme="minorHAnsi"/>
                <w:b/>
                <w:sz w:val="18"/>
                <w:szCs w:val="18"/>
              </w:rPr>
            </w:pPr>
            <w:r w:rsidRPr="00873F1E">
              <w:rPr>
                <w:rFonts w:asciiTheme="minorHAnsi" w:hAnsiTheme="minorHAnsi" w:cstheme="minorHAnsi"/>
                <w:b/>
                <w:sz w:val="18"/>
                <w:szCs w:val="18"/>
              </w:rPr>
              <w:t xml:space="preserve"> </w:t>
            </w:r>
          </w:p>
        </w:tc>
        <w:tc>
          <w:tcPr>
            <w:tcW w:w="1380" w:type="dxa"/>
            <w:tcBorders>
              <w:top w:val="nil"/>
              <w:left w:val="nil"/>
              <w:bottom w:val="single" w:sz="8" w:space="0" w:color="000000"/>
              <w:right w:val="single" w:sz="8" w:space="0" w:color="000000"/>
            </w:tcBorders>
            <w:shd w:val="clear" w:color="auto" w:fill="DDEBF7"/>
            <w:tcMar>
              <w:top w:w="100" w:type="dxa"/>
              <w:left w:w="100" w:type="dxa"/>
              <w:bottom w:w="100" w:type="dxa"/>
              <w:right w:w="100" w:type="dxa"/>
            </w:tcMar>
            <w:vAlign w:val="center"/>
          </w:tcPr>
          <w:p w:rsidR="00BA71B6" w:rsidRPr="00873F1E" w14:paraId="63E8C37C" w14:textId="77777777">
            <w:pPr>
              <w:ind w:left="-20"/>
              <w:jc w:val="center"/>
              <w:rPr>
                <w:rFonts w:asciiTheme="minorHAnsi" w:hAnsiTheme="minorHAnsi" w:cstheme="minorHAnsi"/>
                <w:b/>
                <w:sz w:val="18"/>
                <w:szCs w:val="18"/>
              </w:rPr>
            </w:pPr>
            <w:r w:rsidRPr="00873F1E">
              <w:rPr>
                <w:rFonts w:asciiTheme="minorHAnsi" w:hAnsiTheme="minorHAnsi" w:cstheme="minorHAnsi"/>
                <w:b/>
                <w:sz w:val="18"/>
                <w:szCs w:val="18"/>
              </w:rPr>
              <w:t xml:space="preserve"> </w:t>
            </w:r>
          </w:p>
        </w:tc>
        <w:tc>
          <w:tcPr>
            <w:tcW w:w="1230" w:type="dxa"/>
            <w:tcBorders>
              <w:top w:val="nil"/>
              <w:left w:val="nil"/>
              <w:bottom w:val="single" w:sz="8" w:space="0" w:color="000000"/>
              <w:right w:val="single" w:sz="8" w:space="0" w:color="000000"/>
            </w:tcBorders>
            <w:shd w:val="clear" w:color="auto" w:fill="DDEBF7"/>
            <w:tcMar>
              <w:top w:w="100" w:type="dxa"/>
              <w:left w:w="100" w:type="dxa"/>
              <w:bottom w:w="100" w:type="dxa"/>
              <w:right w:w="100" w:type="dxa"/>
            </w:tcMar>
            <w:vAlign w:val="center"/>
          </w:tcPr>
          <w:p w:rsidR="00BA71B6" w:rsidRPr="00873F1E" w14:paraId="73A0626E" w14:textId="77777777">
            <w:pPr>
              <w:ind w:left="-20"/>
              <w:jc w:val="center"/>
              <w:rPr>
                <w:rFonts w:asciiTheme="minorHAnsi" w:hAnsiTheme="minorHAnsi" w:cstheme="minorHAnsi"/>
                <w:b/>
                <w:sz w:val="18"/>
                <w:szCs w:val="18"/>
              </w:rPr>
            </w:pPr>
            <w:r w:rsidRPr="00873F1E">
              <w:rPr>
                <w:rFonts w:asciiTheme="minorHAnsi" w:hAnsiTheme="minorHAnsi" w:cstheme="minorHAnsi"/>
                <w:b/>
                <w:sz w:val="18"/>
                <w:szCs w:val="18"/>
              </w:rPr>
              <w:t xml:space="preserve"> </w:t>
            </w:r>
          </w:p>
        </w:tc>
        <w:tc>
          <w:tcPr>
            <w:tcW w:w="1740" w:type="dxa"/>
            <w:tcBorders>
              <w:top w:val="nil"/>
              <w:left w:val="nil"/>
              <w:bottom w:val="single" w:sz="8" w:space="0" w:color="000000"/>
              <w:right w:val="single" w:sz="8" w:space="0" w:color="000000"/>
            </w:tcBorders>
            <w:shd w:val="clear" w:color="auto" w:fill="DDEBF7"/>
            <w:tcMar>
              <w:top w:w="100" w:type="dxa"/>
              <w:left w:w="100" w:type="dxa"/>
              <w:bottom w:w="100" w:type="dxa"/>
              <w:right w:w="100" w:type="dxa"/>
            </w:tcMar>
            <w:vAlign w:val="center"/>
          </w:tcPr>
          <w:p w:rsidR="00BA71B6" w:rsidRPr="00873F1E" w14:paraId="6AED15DC" w14:textId="77777777">
            <w:pPr>
              <w:ind w:left="-20"/>
              <w:jc w:val="center"/>
              <w:rPr>
                <w:rFonts w:asciiTheme="minorHAnsi" w:hAnsiTheme="minorHAnsi" w:cstheme="minorHAnsi"/>
                <w:b/>
                <w:sz w:val="18"/>
                <w:szCs w:val="18"/>
              </w:rPr>
            </w:pPr>
            <w:r w:rsidRPr="00873F1E">
              <w:rPr>
                <w:rFonts w:asciiTheme="minorHAnsi" w:hAnsiTheme="minorHAnsi" w:cstheme="minorHAnsi"/>
                <w:b/>
                <w:sz w:val="18"/>
                <w:szCs w:val="18"/>
              </w:rPr>
              <w:t xml:space="preserve"> </w:t>
            </w:r>
          </w:p>
        </w:tc>
        <w:tc>
          <w:tcPr>
            <w:tcW w:w="1515" w:type="dxa"/>
            <w:tcBorders>
              <w:top w:val="nil"/>
              <w:left w:val="nil"/>
              <w:bottom w:val="single" w:sz="8" w:space="0" w:color="000000"/>
              <w:right w:val="single" w:sz="8" w:space="0" w:color="000000"/>
            </w:tcBorders>
            <w:shd w:val="clear" w:color="auto" w:fill="DDEBF7"/>
            <w:tcMar>
              <w:top w:w="100" w:type="dxa"/>
              <w:left w:w="100" w:type="dxa"/>
              <w:bottom w:w="100" w:type="dxa"/>
              <w:right w:w="100" w:type="dxa"/>
            </w:tcMar>
            <w:vAlign w:val="center"/>
          </w:tcPr>
          <w:p w:rsidR="00BA71B6" w:rsidRPr="00873F1E" w14:paraId="246C9B86" w14:textId="648EC3DF">
            <w:pPr>
              <w:ind w:left="-20"/>
              <w:jc w:val="center"/>
              <w:rPr>
                <w:rFonts w:asciiTheme="minorHAnsi" w:hAnsiTheme="minorHAnsi" w:cstheme="minorHAnsi"/>
                <w:b/>
                <w:sz w:val="18"/>
                <w:szCs w:val="18"/>
              </w:rPr>
            </w:pPr>
            <w:r w:rsidRPr="00873F1E">
              <w:rPr>
                <w:rFonts w:asciiTheme="minorHAnsi" w:hAnsiTheme="minorHAnsi" w:cstheme="minorHAnsi"/>
                <w:b/>
                <w:sz w:val="18"/>
                <w:szCs w:val="18"/>
              </w:rPr>
              <w:t xml:space="preserve"> $</w:t>
            </w:r>
            <w:r w:rsidRPr="00873F1E" w:rsidR="00901015">
              <w:rPr>
                <w:rFonts w:asciiTheme="minorHAnsi" w:hAnsiTheme="minorHAnsi" w:cstheme="minorHAnsi"/>
                <w:b/>
                <w:sz w:val="18"/>
                <w:szCs w:val="18"/>
              </w:rPr>
              <w:t>144,024</w:t>
            </w:r>
          </w:p>
        </w:tc>
      </w:tr>
    </w:tbl>
    <w:p w:rsidR="00BA71B6" w14:paraId="43D5835F" w14:textId="77777777">
      <w:pPr>
        <w:spacing w:before="9" w:after="1"/>
        <w:rPr>
          <w:rFonts w:ascii="Calibri" w:eastAsia="Calibri" w:hAnsi="Calibri" w:cs="Calibri"/>
          <w:b/>
        </w:rPr>
      </w:pPr>
    </w:p>
    <w:p w:rsidR="00A348DA" w14:paraId="0B671594" w14:textId="036B5F10">
      <w:pPr>
        <w:spacing w:before="9" w:after="1"/>
        <w:rPr>
          <w:rFonts w:eastAsia="Calibri"/>
          <w:bCs/>
        </w:rPr>
      </w:pPr>
      <w:r w:rsidRPr="00901015">
        <w:rPr>
          <w:rFonts w:eastAsia="Calibri"/>
          <w:bCs/>
        </w:rPr>
        <w:t>The General Schedules</w:t>
      </w:r>
      <w:r>
        <w:rPr>
          <w:rFonts w:eastAsia="Calibri"/>
          <w:bCs/>
        </w:rPr>
        <w:t xml:space="preserve"> for the Rest of U.S. locality</w:t>
      </w:r>
      <w:r>
        <w:rPr>
          <w:rStyle w:val="FootnoteReference"/>
          <w:rFonts w:eastAsia="Calibri"/>
          <w:bCs/>
        </w:rPr>
        <w:footnoteReference w:id="3"/>
      </w:r>
      <w:r>
        <w:rPr>
          <w:rFonts w:eastAsia="Calibri"/>
          <w:bCs/>
        </w:rPr>
        <w:t xml:space="preserve"> was used to determine the base salary.  Step 5 of pay grades 14 and 15 was used to determine the average salary ($153,573) for the positions.  A multiplier of 1.5 was used to calculate the loaded salary ($230,360).  The loaded salary was divided by 2,080 hours to determine the hourly loaded wage rate.</w:t>
      </w:r>
    </w:p>
    <w:p w:rsidR="00901015" w:rsidRPr="00901015" w14:paraId="07890ADB" w14:textId="77777777">
      <w:pPr>
        <w:spacing w:before="9" w:after="1"/>
        <w:rPr>
          <w:rFonts w:eastAsia="Calibri"/>
          <w:bCs/>
        </w:rPr>
      </w:pPr>
    </w:p>
    <w:p w:rsidR="00BA71B6" w14:paraId="711DA9C0" w14:textId="77777777">
      <w:pPr>
        <w:pBdr>
          <w:top w:val="nil"/>
          <w:left w:val="nil"/>
          <w:bottom w:val="nil"/>
          <w:right w:val="nil"/>
          <w:between w:val="nil"/>
        </w:pBdr>
        <w:tabs>
          <w:tab w:val="left" w:pos="360"/>
        </w:tabs>
        <w:spacing w:before="80"/>
        <w:rPr>
          <w:b/>
        </w:rPr>
      </w:pPr>
      <w:r>
        <w:rPr>
          <w:b/>
        </w:rPr>
        <w:t>15. Explain the reasons for any program changes or adjustments reported in ROCIS.</w:t>
      </w:r>
    </w:p>
    <w:p w:rsidR="00BA71B6" w14:paraId="1A062D94" w14:textId="77777777">
      <w:pPr>
        <w:pBdr>
          <w:top w:val="nil"/>
          <w:left w:val="nil"/>
          <w:bottom w:val="nil"/>
          <w:right w:val="nil"/>
          <w:between w:val="nil"/>
        </w:pBdr>
        <w:spacing w:before="7"/>
        <w:rPr>
          <w:b/>
        </w:rPr>
      </w:pPr>
    </w:p>
    <w:tbl>
      <w:tblPr>
        <w:tblW w:w="11040" w:type="dxa"/>
        <w:tblLook w:val="04A0"/>
      </w:tblPr>
      <w:tblGrid>
        <w:gridCol w:w="1980"/>
        <w:gridCol w:w="1200"/>
        <w:gridCol w:w="1180"/>
        <w:gridCol w:w="1160"/>
        <w:gridCol w:w="1140"/>
        <w:gridCol w:w="1180"/>
        <w:gridCol w:w="1240"/>
        <w:gridCol w:w="1960"/>
      </w:tblGrid>
      <w:tr w14:paraId="185CA7C4" w14:textId="77777777" w:rsidTr="008C72DA">
        <w:tblPrEx>
          <w:tblW w:w="11040" w:type="dxa"/>
          <w:tblLook w:val="04A0"/>
        </w:tblPrEx>
        <w:trPr>
          <w:trHeight w:val="300"/>
        </w:trPr>
        <w:tc>
          <w:tcPr>
            <w:tcW w:w="1980" w:type="dxa"/>
            <w:vMerge w:val="restart"/>
            <w:tcBorders>
              <w:top w:val="single" w:sz="8" w:space="0" w:color="000000"/>
              <w:left w:val="single" w:sz="8" w:space="0" w:color="000000"/>
              <w:bottom w:val="single" w:sz="8" w:space="0" w:color="000000"/>
              <w:right w:val="single" w:sz="8" w:space="0" w:color="000000"/>
            </w:tcBorders>
            <w:shd w:val="clear" w:color="5B9BD5" w:fill="5B9BD5"/>
            <w:vAlign w:val="center"/>
            <w:hideMark/>
          </w:tcPr>
          <w:p w:rsidR="008C72DA" w:rsidRPr="008C72DA" w:rsidP="008C72DA" w14:paraId="6B65AAF0" w14:textId="77777777">
            <w:pPr>
              <w:widowControl/>
              <w:jc w:val="center"/>
              <w:rPr>
                <w:rFonts w:ascii="Calibri" w:hAnsi="Calibri" w:cs="Calibri"/>
                <w:b/>
                <w:bCs/>
                <w:color w:val="000000"/>
                <w:sz w:val="16"/>
                <w:szCs w:val="16"/>
                <w:lang w:val="en-US"/>
              </w:rPr>
            </w:pPr>
            <w:r w:rsidRPr="008C72DA">
              <w:rPr>
                <w:rFonts w:ascii="Calibri" w:hAnsi="Calibri" w:cs="Calibri"/>
                <w:b/>
                <w:bCs/>
                <w:color w:val="000000"/>
                <w:sz w:val="16"/>
                <w:szCs w:val="16"/>
                <w:lang w:val="en-US"/>
              </w:rPr>
              <w:t>Information Collection</w:t>
            </w:r>
          </w:p>
        </w:tc>
        <w:tc>
          <w:tcPr>
            <w:tcW w:w="2380" w:type="dxa"/>
            <w:gridSpan w:val="2"/>
            <w:tcBorders>
              <w:top w:val="single" w:sz="8" w:space="0" w:color="000000"/>
              <w:left w:val="nil"/>
              <w:bottom w:val="single" w:sz="8" w:space="0" w:color="000000"/>
              <w:right w:val="single" w:sz="8" w:space="0" w:color="000000"/>
            </w:tcBorders>
            <w:shd w:val="clear" w:color="5B9BD5" w:fill="5B9BD5"/>
            <w:vAlign w:val="center"/>
            <w:hideMark/>
          </w:tcPr>
          <w:p w:rsidR="008C72DA" w:rsidRPr="008C72DA" w:rsidP="008C72DA" w14:paraId="365BB365" w14:textId="77777777">
            <w:pPr>
              <w:widowControl/>
              <w:jc w:val="center"/>
              <w:rPr>
                <w:rFonts w:ascii="Calibri" w:hAnsi="Calibri" w:cs="Calibri"/>
                <w:b/>
                <w:bCs/>
                <w:color w:val="000000"/>
                <w:sz w:val="16"/>
                <w:szCs w:val="16"/>
                <w:lang w:val="en-US"/>
              </w:rPr>
            </w:pPr>
            <w:r w:rsidRPr="008C72DA">
              <w:rPr>
                <w:rFonts w:ascii="Calibri" w:hAnsi="Calibri" w:cs="Calibri"/>
                <w:b/>
                <w:bCs/>
                <w:color w:val="000000"/>
                <w:sz w:val="16"/>
                <w:szCs w:val="16"/>
                <w:lang w:val="en-US"/>
              </w:rPr>
              <w:t>Respondents</w:t>
            </w:r>
          </w:p>
        </w:tc>
        <w:tc>
          <w:tcPr>
            <w:tcW w:w="2300" w:type="dxa"/>
            <w:gridSpan w:val="2"/>
            <w:tcBorders>
              <w:top w:val="single" w:sz="8" w:space="0" w:color="000000"/>
              <w:left w:val="nil"/>
              <w:bottom w:val="single" w:sz="8" w:space="0" w:color="000000"/>
              <w:right w:val="single" w:sz="8" w:space="0" w:color="000000"/>
            </w:tcBorders>
            <w:shd w:val="clear" w:color="5B9BD5" w:fill="5B9BD5"/>
            <w:vAlign w:val="center"/>
            <w:hideMark/>
          </w:tcPr>
          <w:p w:rsidR="008C72DA" w:rsidRPr="008C72DA" w:rsidP="008C72DA" w14:paraId="76FE0D6B" w14:textId="77777777">
            <w:pPr>
              <w:widowControl/>
              <w:jc w:val="center"/>
              <w:rPr>
                <w:rFonts w:ascii="Calibri" w:hAnsi="Calibri" w:cs="Calibri"/>
                <w:b/>
                <w:bCs/>
                <w:color w:val="000000"/>
                <w:sz w:val="16"/>
                <w:szCs w:val="16"/>
                <w:lang w:val="en-US"/>
              </w:rPr>
            </w:pPr>
            <w:r w:rsidRPr="008C72DA">
              <w:rPr>
                <w:rFonts w:ascii="Calibri" w:hAnsi="Calibri" w:cs="Calibri"/>
                <w:b/>
                <w:bCs/>
                <w:color w:val="000000"/>
                <w:sz w:val="16"/>
                <w:szCs w:val="16"/>
                <w:lang w:val="en-US"/>
              </w:rPr>
              <w:t>Responses</w:t>
            </w:r>
          </w:p>
        </w:tc>
        <w:tc>
          <w:tcPr>
            <w:tcW w:w="2420" w:type="dxa"/>
            <w:gridSpan w:val="2"/>
            <w:tcBorders>
              <w:top w:val="single" w:sz="8" w:space="0" w:color="000000"/>
              <w:left w:val="nil"/>
              <w:bottom w:val="single" w:sz="8" w:space="0" w:color="000000"/>
              <w:right w:val="single" w:sz="8" w:space="0" w:color="000000"/>
            </w:tcBorders>
            <w:shd w:val="clear" w:color="5B9BD5" w:fill="5B9BD5"/>
            <w:vAlign w:val="center"/>
            <w:hideMark/>
          </w:tcPr>
          <w:p w:rsidR="008C72DA" w:rsidRPr="008C72DA" w:rsidP="008C72DA" w14:paraId="0B55B903" w14:textId="77777777">
            <w:pPr>
              <w:widowControl/>
              <w:jc w:val="center"/>
              <w:rPr>
                <w:rFonts w:ascii="Calibri" w:hAnsi="Calibri" w:cs="Calibri"/>
                <w:b/>
                <w:bCs/>
                <w:color w:val="000000"/>
                <w:sz w:val="16"/>
                <w:szCs w:val="16"/>
                <w:lang w:val="en-US"/>
              </w:rPr>
            </w:pPr>
            <w:r w:rsidRPr="008C72DA">
              <w:rPr>
                <w:rFonts w:ascii="Calibri" w:hAnsi="Calibri" w:cs="Calibri"/>
                <w:b/>
                <w:bCs/>
                <w:color w:val="000000"/>
                <w:sz w:val="16"/>
                <w:szCs w:val="16"/>
                <w:lang w:val="en-US"/>
              </w:rPr>
              <w:t>Burden Hours</w:t>
            </w:r>
          </w:p>
        </w:tc>
        <w:tc>
          <w:tcPr>
            <w:tcW w:w="1960" w:type="dxa"/>
            <w:vMerge w:val="restart"/>
            <w:tcBorders>
              <w:top w:val="single" w:sz="8" w:space="0" w:color="000000"/>
              <w:left w:val="single" w:sz="8" w:space="0" w:color="000000"/>
              <w:bottom w:val="single" w:sz="8" w:space="0" w:color="000000"/>
              <w:right w:val="single" w:sz="8" w:space="0" w:color="000000"/>
            </w:tcBorders>
            <w:shd w:val="clear" w:color="5B9BD5" w:fill="5B9BD5"/>
            <w:vAlign w:val="center"/>
            <w:hideMark/>
          </w:tcPr>
          <w:p w:rsidR="008C72DA" w:rsidRPr="008C72DA" w:rsidP="008C72DA" w14:paraId="72A7545F" w14:textId="77777777">
            <w:pPr>
              <w:widowControl/>
              <w:jc w:val="center"/>
              <w:rPr>
                <w:rFonts w:ascii="Calibri" w:hAnsi="Calibri" w:cs="Calibri"/>
                <w:b/>
                <w:bCs/>
                <w:color w:val="000000"/>
                <w:sz w:val="16"/>
                <w:szCs w:val="16"/>
                <w:lang w:val="en-US"/>
              </w:rPr>
            </w:pPr>
            <w:r w:rsidRPr="008C72DA">
              <w:rPr>
                <w:rFonts w:ascii="Calibri" w:hAnsi="Calibri" w:cs="Calibri"/>
                <w:b/>
                <w:bCs/>
                <w:color w:val="000000"/>
                <w:sz w:val="16"/>
                <w:szCs w:val="16"/>
                <w:lang w:val="en-US"/>
              </w:rPr>
              <w:t>Reason for change or adjustment</w:t>
            </w:r>
          </w:p>
        </w:tc>
      </w:tr>
      <w:tr w14:paraId="41C2E751" w14:textId="77777777" w:rsidTr="008C72DA">
        <w:tblPrEx>
          <w:tblW w:w="11040" w:type="dxa"/>
          <w:tblLook w:val="04A0"/>
        </w:tblPrEx>
        <w:trPr>
          <w:trHeight w:val="675"/>
        </w:trPr>
        <w:tc>
          <w:tcPr>
            <w:tcW w:w="1980" w:type="dxa"/>
            <w:vMerge/>
            <w:tcBorders>
              <w:top w:val="single" w:sz="8" w:space="0" w:color="000000"/>
              <w:left w:val="single" w:sz="8" w:space="0" w:color="000000"/>
              <w:bottom w:val="single" w:sz="8" w:space="0" w:color="000000"/>
              <w:right w:val="single" w:sz="8" w:space="0" w:color="000000"/>
            </w:tcBorders>
            <w:vAlign w:val="center"/>
            <w:hideMark/>
          </w:tcPr>
          <w:p w:rsidR="008C72DA" w:rsidRPr="008C72DA" w:rsidP="008C72DA" w14:paraId="359CC95E" w14:textId="77777777">
            <w:pPr>
              <w:widowControl/>
              <w:rPr>
                <w:rFonts w:ascii="Calibri" w:hAnsi="Calibri" w:cs="Calibri"/>
                <w:b/>
                <w:bCs/>
                <w:color w:val="000000"/>
                <w:sz w:val="16"/>
                <w:szCs w:val="16"/>
                <w:lang w:val="en-US"/>
              </w:rPr>
            </w:pPr>
          </w:p>
        </w:tc>
        <w:tc>
          <w:tcPr>
            <w:tcW w:w="1200" w:type="dxa"/>
            <w:tcBorders>
              <w:top w:val="nil"/>
              <w:left w:val="nil"/>
              <w:bottom w:val="single" w:sz="8" w:space="0" w:color="000000"/>
              <w:right w:val="dotted" w:sz="4" w:space="0" w:color="000000"/>
            </w:tcBorders>
            <w:shd w:val="clear" w:color="FBE4D5" w:fill="FBE4D5"/>
            <w:vAlign w:val="center"/>
            <w:hideMark/>
          </w:tcPr>
          <w:p w:rsidR="008C72DA" w:rsidRPr="008C72DA" w:rsidP="008C72DA" w14:paraId="5AE5F9B5" w14:textId="77777777">
            <w:pPr>
              <w:widowControl/>
              <w:jc w:val="center"/>
              <w:rPr>
                <w:rFonts w:ascii="Calibri" w:hAnsi="Calibri" w:cs="Calibri"/>
                <w:color w:val="000000"/>
                <w:sz w:val="16"/>
                <w:szCs w:val="16"/>
                <w:lang w:val="en-US"/>
              </w:rPr>
            </w:pPr>
            <w:r w:rsidRPr="008C72DA">
              <w:rPr>
                <w:rFonts w:ascii="Calibri" w:hAnsi="Calibri" w:cs="Calibri"/>
                <w:color w:val="000000"/>
                <w:sz w:val="16"/>
                <w:szCs w:val="16"/>
                <w:lang w:val="en-US"/>
              </w:rPr>
              <w:t>Current Renewal / Revision</w:t>
            </w:r>
          </w:p>
        </w:tc>
        <w:tc>
          <w:tcPr>
            <w:tcW w:w="1180" w:type="dxa"/>
            <w:tcBorders>
              <w:top w:val="nil"/>
              <w:left w:val="nil"/>
              <w:bottom w:val="single" w:sz="8" w:space="0" w:color="000000"/>
              <w:right w:val="single" w:sz="8" w:space="0" w:color="000000"/>
            </w:tcBorders>
            <w:shd w:val="clear" w:color="FBE4D5" w:fill="FBE4D5"/>
            <w:vAlign w:val="center"/>
            <w:hideMark/>
          </w:tcPr>
          <w:p w:rsidR="008C72DA" w:rsidRPr="008C72DA" w:rsidP="008C72DA" w14:paraId="43A9776F" w14:textId="77777777">
            <w:pPr>
              <w:widowControl/>
              <w:jc w:val="center"/>
              <w:rPr>
                <w:rFonts w:ascii="Calibri" w:hAnsi="Calibri" w:cs="Calibri"/>
                <w:color w:val="000000"/>
                <w:sz w:val="16"/>
                <w:szCs w:val="16"/>
                <w:lang w:val="en-US"/>
              </w:rPr>
            </w:pPr>
            <w:r w:rsidRPr="008C72DA">
              <w:rPr>
                <w:rFonts w:ascii="Calibri" w:hAnsi="Calibri" w:cs="Calibri"/>
                <w:color w:val="000000"/>
                <w:sz w:val="16"/>
                <w:szCs w:val="16"/>
                <w:lang w:val="en-US"/>
              </w:rPr>
              <w:t>Previous Renewal / Revision</w:t>
            </w:r>
          </w:p>
        </w:tc>
        <w:tc>
          <w:tcPr>
            <w:tcW w:w="1160" w:type="dxa"/>
            <w:tcBorders>
              <w:top w:val="nil"/>
              <w:left w:val="nil"/>
              <w:bottom w:val="single" w:sz="8" w:space="0" w:color="000000"/>
              <w:right w:val="dotted" w:sz="4" w:space="0" w:color="000000"/>
            </w:tcBorders>
            <w:shd w:val="clear" w:color="FBE4D5" w:fill="FBE4D5"/>
            <w:vAlign w:val="center"/>
            <w:hideMark/>
          </w:tcPr>
          <w:p w:rsidR="008C72DA" w:rsidRPr="008C72DA" w:rsidP="008C72DA" w14:paraId="5757BFA1" w14:textId="77777777">
            <w:pPr>
              <w:widowControl/>
              <w:jc w:val="center"/>
              <w:rPr>
                <w:rFonts w:ascii="Calibri" w:hAnsi="Calibri" w:cs="Calibri"/>
                <w:color w:val="000000"/>
                <w:sz w:val="16"/>
                <w:szCs w:val="16"/>
                <w:lang w:val="en-US"/>
              </w:rPr>
            </w:pPr>
            <w:r w:rsidRPr="008C72DA">
              <w:rPr>
                <w:rFonts w:ascii="Calibri" w:hAnsi="Calibri" w:cs="Calibri"/>
                <w:color w:val="000000"/>
                <w:sz w:val="16"/>
                <w:szCs w:val="16"/>
                <w:lang w:val="en-US"/>
              </w:rPr>
              <w:t>Current Renewal / Revision</w:t>
            </w:r>
          </w:p>
        </w:tc>
        <w:tc>
          <w:tcPr>
            <w:tcW w:w="1140" w:type="dxa"/>
            <w:tcBorders>
              <w:top w:val="nil"/>
              <w:left w:val="nil"/>
              <w:bottom w:val="single" w:sz="8" w:space="0" w:color="000000"/>
              <w:right w:val="single" w:sz="8" w:space="0" w:color="000000"/>
            </w:tcBorders>
            <w:shd w:val="clear" w:color="FBE4D5" w:fill="FBE4D5"/>
            <w:vAlign w:val="center"/>
            <w:hideMark/>
          </w:tcPr>
          <w:p w:rsidR="008C72DA" w:rsidRPr="008C72DA" w:rsidP="008C72DA" w14:paraId="5C5F6950" w14:textId="77777777">
            <w:pPr>
              <w:widowControl/>
              <w:jc w:val="center"/>
              <w:rPr>
                <w:rFonts w:ascii="Calibri" w:hAnsi="Calibri" w:cs="Calibri"/>
                <w:color w:val="000000"/>
                <w:sz w:val="16"/>
                <w:szCs w:val="16"/>
                <w:lang w:val="en-US"/>
              </w:rPr>
            </w:pPr>
            <w:r w:rsidRPr="008C72DA">
              <w:rPr>
                <w:rFonts w:ascii="Calibri" w:hAnsi="Calibri" w:cs="Calibri"/>
                <w:color w:val="000000"/>
                <w:sz w:val="16"/>
                <w:szCs w:val="16"/>
                <w:lang w:val="en-US"/>
              </w:rPr>
              <w:t>Previous Renewal / Revision</w:t>
            </w:r>
          </w:p>
        </w:tc>
        <w:tc>
          <w:tcPr>
            <w:tcW w:w="1180" w:type="dxa"/>
            <w:tcBorders>
              <w:top w:val="nil"/>
              <w:left w:val="nil"/>
              <w:bottom w:val="single" w:sz="8" w:space="0" w:color="000000"/>
              <w:right w:val="dotted" w:sz="4" w:space="0" w:color="000000"/>
            </w:tcBorders>
            <w:shd w:val="clear" w:color="FBE4D5" w:fill="FBE4D5"/>
            <w:vAlign w:val="center"/>
            <w:hideMark/>
          </w:tcPr>
          <w:p w:rsidR="008C72DA" w:rsidRPr="008C72DA" w:rsidP="008C72DA" w14:paraId="53581C7F" w14:textId="77777777">
            <w:pPr>
              <w:widowControl/>
              <w:jc w:val="center"/>
              <w:rPr>
                <w:rFonts w:ascii="Calibri" w:hAnsi="Calibri" w:cs="Calibri"/>
                <w:color w:val="000000"/>
                <w:sz w:val="16"/>
                <w:szCs w:val="16"/>
                <w:lang w:val="en-US"/>
              </w:rPr>
            </w:pPr>
            <w:r w:rsidRPr="008C72DA">
              <w:rPr>
                <w:rFonts w:ascii="Calibri" w:hAnsi="Calibri" w:cs="Calibri"/>
                <w:color w:val="000000"/>
                <w:sz w:val="16"/>
                <w:szCs w:val="16"/>
                <w:lang w:val="en-US"/>
              </w:rPr>
              <w:t>Current Renewal / Revision</w:t>
            </w:r>
          </w:p>
        </w:tc>
        <w:tc>
          <w:tcPr>
            <w:tcW w:w="1240" w:type="dxa"/>
            <w:tcBorders>
              <w:top w:val="nil"/>
              <w:left w:val="nil"/>
              <w:bottom w:val="single" w:sz="8" w:space="0" w:color="000000"/>
              <w:right w:val="single" w:sz="8" w:space="0" w:color="000000"/>
            </w:tcBorders>
            <w:shd w:val="clear" w:color="FBE4D5" w:fill="FBE4D5"/>
            <w:vAlign w:val="center"/>
            <w:hideMark/>
          </w:tcPr>
          <w:p w:rsidR="008C72DA" w:rsidRPr="008C72DA" w:rsidP="008C72DA" w14:paraId="764A0654" w14:textId="77777777">
            <w:pPr>
              <w:widowControl/>
              <w:jc w:val="center"/>
              <w:rPr>
                <w:rFonts w:ascii="Calibri" w:hAnsi="Calibri" w:cs="Calibri"/>
                <w:color w:val="000000"/>
                <w:sz w:val="16"/>
                <w:szCs w:val="16"/>
                <w:lang w:val="en-US"/>
              </w:rPr>
            </w:pPr>
            <w:r w:rsidRPr="008C72DA">
              <w:rPr>
                <w:rFonts w:ascii="Calibri" w:hAnsi="Calibri" w:cs="Calibri"/>
                <w:color w:val="000000"/>
                <w:sz w:val="16"/>
                <w:szCs w:val="16"/>
                <w:lang w:val="en-US"/>
              </w:rPr>
              <w:t>Previous Renewal / Revision</w:t>
            </w:r>
          </w:p>
        </w:tc>
        <w:tc>
          <w:tcPr>
            <w:tcW w:w="1960" w:type="dxa"/>
            <w:vMerge/>
            <w:tcBorders>
              <w:top w:val="single" w:sz="8" w:space="0" w:color="000000"/>
              <w:left w:val="single" w:sz="8" w:space="0" w:color="000000"/>
              <w:bottom w:val="single" w:sz="8" w:space="0" w:color="000000"/>
              <w:right w:val="single" w:sz="8" w:space="0" w:color="000000"/>
            </w:tcBorders>
            <w:vAlign w:val="center"/>
            <w:hideMark/>
          </w:tcPr>
          <w:p w:rsidR="008C72DA" w:rsidRPr="008C72DA" w:rsidP="008C72DA" w14:paraId="10E1CEB0" w14:textId="77777777">
            <w:pPr>
              <w:widowControl/>
              <w:rPr>
                <w:rFonts w:ascii="Calibri" w:hAnsi="Calibri" w:cs="Calibri"/>
                <w:b/>
                <w:bCs/>
                <w:color w:val="000000"/>
                <w:sz w:val="16"/>
                <w:szCs w:val="16"/>
                <w:lang w:val="en-US"/>
              </w:rPr>
            </w:pPr>
          </w:p>
        </w:tc>
      </w:tr>
      <w:tr w14:paraId="2186740F" w14:textId="77777777" w:rsidTr="008C72DA">
        <w:tblPrEx>
          <w:tblW w:w="11040" w:type="dxa"/>
          <w:tblLook w:val="04A0"/>
        </w:tblPrEx>
        <w:trPr>
          <w:trHeight w:val="690"/>
        </w:trPr>
        <w:tc>
          <w:tcPr>
            <w:tcW w:w="1980" w:type="dxa"/>
            <w:tcBorders>
              <w:top w:val="nil"/>
              <w:left w:val="single" w:sz="8" w:space="0" w:color="000000"/>
              <w:bottom w:val="single" w:sz="8" w:space="0" w:color="000000"/>
              <w:right w:val="single" w:sz="8" w:space="0" w:color="000000"/>
            </w:tcBorders>
            <w:shd w:val="clear" w:color="auto" w:fill="auto"/>
            <w:vAlign w:val="center"/>
            <w:hideMark/>
          </w:tcPr>
          <w:p w:rsidR="008C72DA" w:rsidRPr="008C72DA" w:rsidP="008C72DA" w14:paraId="6D30DCCC" w14:textId="77777777">
            <w:pPr>
              <w:widowControl/>
              <w:rPr>
                <w:rFonts w:ascii="Calibri" w:hAnsi="Calibri" w:cs="Calibri"/>
                <w:color w:val="000000"/>
                <w:sz w:val="16"/>
                <w:szCs w:val="16"/>
                <w:lang w:val="en-US"/>
              </w:rPr>
            </w:pPr>
            <w:r w:rsidRPr="008C72DA">
              <w:rPr>
                <w:rFonts w:ascii="Calibri" w:hAnsi="Calibri" w:cs="Calibri"/>
                <w:color w:val="000000"/>
                <w:sz w:val="16"/>
                <w:szCs w:val="16"/>
                <w:lang w:val="en-US"/>
              </w:rPr>
              <w:t xml:space="preserve">Longitudinal </w:t>
            </w:r>
            <w:r w:rsidRPr="008C72DA">
              <w:rPr>
                <w:rFonts w:ascii="Calibri" w:hAnsi="Calibri" w:cs="Calibri"/>
                <w:color w:val="000000"/>
                <w:sz w:val="16"/>
                <w:szCs w:val="16"/>
                <w:lang w:val="en-US"/>
              </w:rPr>
              <w:t>Wx</w:t>
            </w:r>
            <w:r w:rsidRPr="008C72DA">
              <w:rPr>
                <w:rFonts w:ascii="Calibri" w:hAnsi="Calibri" w:cs="Calibri"/>
                <w:color w:val="000000"/>
                <w:sz w:val="16"/>
                <w:szCs w:val="16"/>
                <w:lang w:val="en-US"/>
              </w:rPr>
              <w:t xml:space="preserve"> Surveys (Severe, Winter &amp; Tropical)</w:t>
            </w:r>
          </w:p>
        </w:tc>
        <w:tc>
          <w:tcPr>
            <w:tcW w:w="1200" w:type="dxa"/>
            <w:tcBorders>
              <w:top w:val="nil"/>
              <w:left w:val="nil"/>
              <w:bottom w:val="dotted" w:sz="4" w:space="0" w:color="000000"/>
              <w:right w:val="dotted" w:sz="4" w:space="0" w:color="000000"/>
            </w:tcBorders>
            <w:shd w:val="clear" w:color="auto" w:fill="auto"/>
            <w:vAlign w:val="center"/>
            <w:hideMark/>
          </w:tcPr>
          <w:p w:rsidR="008C72DA" w:rsidRPr="008C72DA" w:rsidP="008C72DA" w14:paraId="06937E2A" w14:textId="77777777">
            <w:pPr>
              <w:widowControl/>
              <w:jc w:val="center"/>
              <w:rPr>
                <w:rFonts w:ascii="Calibri" w:hAnsi="Calibri" w:cs="Calibri"/>
                <w:color w:val="000000"/>
                <w:sz w:val="16"/>
                <w:szCs w:val="16"/>
                <w:lang w:val="en-US"/>
              </w:rPr>
            </w:pPr>
            <w:r w:rsidRPr="008C72DA">
              <w:rPr>
                <w:rFonts w:ascii="Calibri" w:hAnsi="Calibri" w:cs="Calibri"/>
                <w:color w:val="000000"/>
                <w:sz w:val="16"/>
                <w:szCs w:val="16"/>
                <w:lang w:val="en-US"/>
              </w:rPr>
              <w:t>0</w:t>
            </w:r>
          </w:p>
        </w:tc>
        <w:tc>
          <w:tcPr>
            <w:tcW w:w="1180" w:type="dxa"/>
            <w:tcBorders>
              <w:top w:val="nil"/>
              <w:left w:val="nil"/>
              <w:bottom w:val="dotted" w:sz="4" w:space="0" w:color="000000"/>
              <w:right w:val="single" w:sz="8" w:space="0" w:color="000000"/>
            </w:tcBorders>
            <w:shd w:val="clear" w:color="auto" w:fill="auto"/>
            <w:vAlign w:val="center"/>
            <w:hideMark/>
          </w:tcPr>
          <w:p w:rsidR="008C72DA" w:rsidRPr="008C72DA" w:rsidP="008C72DA" w14:paraId="635BD511" w14:textId="77777777">
            <w:pPr>
              <w:widowControl/>
              <w:jc w:val="center"/>
              <w:rPr>
                <w:rFonts w:ascii="Calibri" w:hAnsi="Calibri" w:cs="Calibri"/>
                <w:color w:val="000000"/>
                <w:sz w:val="16"/>
                <w:szCs w:val="16"/>
                <w:lang w:val="en-US"/>
              </w:rPr>
            </w:pPr>
            <w:r w:rsidRPr="008C72DA">
              <w:rPr>
                <w:rFonts w:ascii="Calibri" w:hAnsi="Calibri" w:cs="Calibri"/>
                <w:color w:val="000000"/>
                <w:sz w:val="16"/>
                <w:szCs w:val="16"/>
                <w:lang w:val="en-US"/>
              </w:rPr>
              <w:t>4650</w:t>
            </w:r>
          </w:p>
        </w:tc>
        <w:tc>
          <w:tcPr>
            <w:tcW w:w="1160" w:type="dxa"/>
            <w:tcBorders>
              <w:top w:val="nil"/>
              <w:left w:val="nil"/>
              <w:bottom w:val="dotted" w:sz="4" w:space="0" w:color="000000"/>
              <w:right w:val="dotted" w:sz="4" w:space="0" w:color="000000"/>
            </w:tcBorders>
            <w:shd w:val="clear" w:color="auto" w:fill="auto"/>
            <w:vAlign w:val="center"/>
            <w:hideMark/>
          </w:tcPr>
          <w:p w:rsidR="008C72DA" w:rsidRPr="008C72DA" w:rsidP="008C72DA" w14:paraId="5509D5C6" w14:textId="77777777">
            <w:pPr>
              <w:widowControl/>
              <w:jc w:val="center"/>
              <w:rPr>
                <w:rFonts w:ascii="Calibri" w:hAnsi="Calibri" w:cs="Calibri"/>
                <w:color w:val="000000"/>
                <w:sz w:val="16"/>
                <w:szCs w:val="16"/>
                <w:lang w:val="en-US"/>
              </w:rPr>
            </w:pPr>
            <w:r w:rsidRPr="008C72DA">
              <w:rPr>
                <w:rFonts w:ascii="Calibri" w:hAnsi="Calibri" w:cs="Calibri"/>
                <w:color w:val="000000"/>
                <w:sz w:val="16"/>
                <w:szCs w:val="16"/>
                <w:lang w:val="en-US"/>
              </w:rPr>
              <w:t>0</w:t>
            </w:r>
          </w:p>
        </w:tc>
        <w:tc>
          <w:tcPr>
            <w:tcW w:w="1140" w:type="dxa"/>
            <w:tcBorders>
              <w:top w:val="nil"/>
              <w:left w:val="nil"/>
              <w:bottom w:val="dotted" w:sz="4" w:space="0" w:color="000000"/>
              <w:right w:val="single" w:sz="8" w:space="0" w:color="000000"/>
            </w:tcBorders>
            <w:shd w:val="clear" w:color="auto" w:fill="auto"/>
            <w:vAlign w:val="center"/>
            <w:hideMark/>
          </w:tcPr>
          <w:p w:rsidR="008C72DA" w:rsidRPr="008C72DA" w:rsidP="008C72DA" w14:paraId="755AFCA5" w14:textId="77777777">
            <w:pPr>
              <w:widowControl/>
              <w:jc w:val="center"/>
              <w:rPr>
                <w:rFonts w:ascii="Calibri" w:hAnsi="Calibri" w:cs="Calibri"/>
                <w:color w:val="000000"/>
                <w:sz w:val="16"/>
                <w:szCs w:val="16"/>
                <w:lang w:val="en-US"/>
              </w:rPr>
            </w:pPr>
            <w:r w:rsidRPr="008C72DA">
              <w:rPr>
                <w:rFonts w:ascii="Calibri" w:hAnsi="Calibri" w:cs="Calibri"/>
                <w:color w:val="000000"/>
                <w:sz w:val="16"/>
                <w:szCs w:val="16"/>
                <w:lang w:val="en-US"/>
              </w:rPr>
              <w:t>4650</w:t>
            </w:r>
          </w:p>
        </w:tc>
        <w:tc>
          <w:tcPr>
            <w:tcW w:w="1180" w:type="dxa"/>
            <w:tcBorders>
              <w:top w:val="nil"/>
              <w:left w:val="nil"/>
              <w:bottom w:val="dotted" w:sz="4" w:space="0" w:color="000000"/>
              <w:right w:val="dotted" w:sz="4" w:space="0" w:color="000000"/>
            </w:tcBorders>
            <w:shd w:val="clear" w:color="auto" w:fill="auto"/>
            <w:vAlign w:val="center"/>
            <w:hideMark/>
          </w:tcPr>
          <w:p w:rsidR="008C72DA" w:rsidRPr="008C72DA" w:rsidP="008C72DA" w14:paraId="3E9B3F7A" w14:textId="77777777">
            <w:pPr>
              <w:widowControl/>
              <w:jc w:val="center"/>
              <w:rPr>
                <w:rFonts w:ascii="Calibri" w:hAnsi="Calibri" w:cs="Calibri"/>
                <w:color w:val="000000"/>
                <w:sz w:val="16"/>
                <w:szCs w:val="16"/>
                <w:lang w:val="en-US"/>
              </w:rPr>
            </w:pPr>
            <w:r w:rsidRPr="008C72DA">
              <w:rPr>
                <w:rFonts w:ascii="Calibri" w:hAnsi="Calibri" w:cs="Calibri"/>
                <w:color w:val="000000"/>
                <w:sz w:val="16"/>
                <w:szCs w:val="16"/>
                <w:lang w:val="en-US"/>
              </w:rPr>
              <w:t>0</w:t>
            </w:r>
          </w:p>
        </w:tc>
        <w:tc>
          <w:tcPr>
            <w:tcW w:w="1240" w:type="dxa"/>
            <w:tcBorders>
              <w:top w:val="nil"/>
              <w:left w:val="nil"/>
              <w:bottom w:val="dotted" w:sz="4" w:space="0" w:color="000000"/>
              <w:right w:val="single" w:sz="8" w:space="0" w:color="000000"/>
            </w:tcBorders>
            <w:shd w:val="clear" w:color="auto" w:fill="auto"/>
            <w:vAlign w:val="center"/>
            <w:hideMark/>
          </w:tcPr>
          <w:p w:rsidR="008C72DA" w:rsidRPr="008C72DA" w:rsidP="008C72DA" w14:paraId="64DEF6C5" w14:textId="77777777">
            <w:pPr>
              <w:widowControl/>
              <w:jc w:val="center"/>
              <w:rPr>
                <w:rFonts w:ascii="Calibri" w:hAnsi="Calibri" w:cs="Calibri"/>
                <w:color w:val="000000"/>
                <w:sz w:val="16"/>
                <w:szCs w:val="16"/>
                <w:lang w:val="en-US"/>
              </w:rPr>
            </w:pPr>
            <w:r w:rsidRPr="008C72DA">
              <w:rPr>
                <w:rFonts w:ascii="Calibri" w:hAnsi="Calibri" w:cs="Calibri"/>
                <w:color w:val="000000"/>
                <w:sz w:val="16"/>
                <w:szCs w:val="16"/>
                <w:lang w:val="en-US"/>
              </w:rPr>
              <w:t>1860</w:t>
            </w:r>
          </w:p>
        </w:tc>
        <w:tc>
          <w:tcPr>
            <w:tcW w:w="1960" w:type="dxa"/>
            <w:tcBorders>
              <w:top w:val="nil"/>
              <w:left w:val="nil"/>
              <w:bottom w:val="dotted" w:sz="4" w:space="0" w:color="000000"/>
              <w:right w:val="single" w:sz="8" w:space="0" w:color="000000"/>
            </w:tcBorders>
            <w:shd w:val="clear" w:color="auto" w:fill="auto"/>
            <w:vAlign w:val="center"/>
            <w:hideMark/>
          </w:tcPr>
          <w:p w:rsidR="008C72DA" w:rsidRPr="008C72DA" w:rsidP="008C72DA" w14:paraId="58ADE065" w14:textId="77777777">
            <w:pPr>
              <w:widowControl/>
              <w:rPr>
                <w:rFonts w:ascii="Calibri" w:hAnsi="Calibri" w:cs="Calibri"/>
                <w:color w:val="000000"/>
                <w:sz w:val="16"/>
                <w:szCs w:val="16"/>
                <w:lang w:val="en-US"/>
              </w:rPr>
            </w:pPr>
            <w:r w:rsidRPr="008C72DA">
              <w:rPr>
                <w:rFonts w:ascii="Calibri" w:hAnsi="Calibri" w:cs="Calibri"/>
                <w:color w:val="000000"/>
                <w:sz w:val="16"/>
                <w:szCs w:val="16"/>
                <w:lang w:val="en-US"/>
              </w:rPr>
              <w:t>This set of surveys is no longer collected.</w:t>
            </w:r>
          </w:p>
        </w:tc>
      </w:tr>
      <w:tr w14:paraId="771B105C" w14:textId="77777777" w:rsidTr="00873F1E">
        <w:tblPrEx>
          <w:tblW w:w="11040" w:type="dxa"/>
          <w:tblLook w:val="04A0"/>
        </w:tblPrEx>
        <w:trPr>
          <w:trHeight w:val="1266"/>
        </w:trPr>
        <w:tc>
          <w:tcPr>
            <w:tcW w:w="1980" w:type="dxa"/>
            <w:tcBorders>
              <w:top w:val="nil"/>
              <w:left w:val="single" w:sz="8" w:space="0" w:color="000000"/>
              <w:bottom w:val="single" w:sz="8" w:space="0" w:color="000000"/>
              <w:right w:val="single" w:sz="8" w:space="0" w:color="000000"/>
            </w:tcBorders>
            <w:shd w:val="clear" w:color="auto" w:fill="auto"/>
            <w:vAlign w:val="center"/>
            <w:hideMark/>
          </w:tcPr>
          <w:p w:rsidR="008C72DA" w:rsidRPr="008C72DA" w:rsidP="008C72DA" w14:paraId="3E1F3678" w14:textId="77777777">
            <w:pPr>
              <w:widowControl/>
              <w:rPr>
                <w:rFonts w:ascii="Calibri" w:hAnsi="Calibri" w:cs="Calibri"/>
                <w:color w:val="000000"/>
                <w:sz w:val="16"/>
                <w:szCs w:val="16"/>
                <w:lang w:val="en-US"/>
              </w:rPr>
            </w:pPr>
            <w:r w:rsidRPr="008C72DA">
              <w:rPr>
                <w:rFonts w:ascii="Calibri" w:hAnsi="Calibri" w:cs="Calibri"/>
                <w:color w:val="000000"/>
                <w:sz w:val="16"/>
                <w:szCs w:val="16"/>
                <w:lang w:val="en-US"/>
              </w:rPr>
              <w:t xml:space="preserve">Quick Response Surveys (Flash Flood, Winter </w:t>
            </w:r>
            <w:r w:rsidRPr="008C72DA">
              <w:rPr>
                <w:rFonts w:ascii="Calibri" w:hAnsi="Calibri" w:cs="Calibri"/>
                <w:color w:val="000000"/>
                <w:sz w:val="16"/>
                <w:szCs w:val="16"/>
                <w:lang w:val="en-US"/>
              </w:rPr>
              <w:t>Wx</w:t>
            </w:r>
            <w:r w:rsidRPr="008C72DA">
              <w:rPr>
                <w:rFonts w:ascii="Calibri" w:hAnsi="Calibri" w:cs="Calibri"/>
                <w:color w:val="000000"/>
                <w:sz w:val="16"/>
                <w:szCs w:val="16"/>
                <w:lang w:val="en-US"/>
              </w:rPr>
              <w:t>, Tornado)</w:t>
            </w:r>
          </w:p>
        </w:tc>
        <w:tc>
          <w:tcPr>
            <w:tcW w:w="1200" w:type="dxa"/>
            <w:tcBorders>
              <w:top w:val="nil"/>
              <w:left w:val="nil"/>
              <w:bottom w:val="dotted" w:sz="4" w:space="0" w:color="000000"/>
              <w:right w:val="dotted" w:sz="4" w:space="0" w:color="000000"/>
            </w:tcBorders>
            <w:shd w:val="clear" w:color="auto" w:fill="auto"/>
            <w:vAlign w:val="center"/>
            <w:hideMark/>
          </w:tcPr>
          <w:p w:rsidR="008C72DA" w:rsidRPr="008C72DA" w:rsidP="008C72DA" w14:paraId="4E797D53" w14:textId="77777777">
            <w:pPr>
              <w:widowControl/>
              <w:jc w:val="center"/>
              <w:rPr>
                <w:rFonts w:ascii="Calibri" w:hAnsi="Calibri" w:cs="Calibri"/>
                <w:color w:val="000000"/>
                <w:sz w:val="16"/>
                <w:szCs w:val="16"/>
                <w:lang w:val="en-US"/>
              </w:rPr>
            </w:pPr>
            <w:r w:rsidRPr="008C72DA">
              <w:rPr>
                <w:rFonts w:ascii="Calibri" w:hAnsi="Calibri" w:cs="Calibri"/>
                <w:color w:val="000000"/>
                <w:sz w:val="16"/>
                <w:szCs w:val="16"/>
                <w:lang w:val="en-US"/>
              </w:rPr>
              <w:t>33675</w:t>
            </w:r>
          </w:p>
        </w:tc>
        <w:tc>
          <w:tcPr>
            <w:tcW w:w="1180" w:type="dxa"/>
            <w:tcBorders>
              <w:top w:val="nil"/>
              <w:left w:val="nil"/>
              <w:bottom w:val="dotted" w:sz="4" w:space="0" w:color="000000"/>
              <w:right w:val="single" w:sz="8" w:space="0" w:color="000000"/>
            </w:tcBorders>
            <w:shd w:val="clear" w:color="auto" w:fill="auto"/>
            <w:vAlign w:val="center"/>
            <w:hideMark/>
          </w:tcPr>
          <w:p w:rsidR="008C72DA" w:rsidRPr="008C72DA" w:rsidP="008C72DA" w14:paraId="25C9A9ED" w14:textId="77777777">
            <w:pPr>
              <w:widowControl/>
              <w:jc w:val="center"/>
              <w:rPr>
                <w:rFonts w:ascii="Calibri" w:hAnsi="Calibri" w:cs="Calibri"/>
                <w:color w:val="000000"/>
                <w:sz w:val="16"/>
                <w:szCs w:val="16"/>
                <w:lang w:val="en-US"/>
              </w:rPr>
            </w:pPr>
            <w:r w:rsidRPr="008C72DA">
              <w:rPr>
                <w:rFonts w:ascii="Calibri" w:hAnsi="Calibri" w:cs="Calibri"/>
                <w:color w:val="000000"/>
                <w:sz w:val="16"/>
                <w:szCs w:val="16"/>
                <w:lang w:val="en-US"/>
              </w:rPr>
              <w:t>33000</w:t>
            </w:r>
          </w:p>
        </w:tc>
        <w:tc>
          <w:tcPr>
            <w:tcW w:w="1160" w:type="dxa"/>
            <w:tcBorders>
              <w:top w:val="nil"/>
              <w:left w:val="nil"/>
              <w:bottom w:val="dotted" w:sz="4" w:space="0" w:color="000000"/>
              <w:right w:val="dotted" w:sz="4" w:space="0" w:color="000000"/>
            </w:tcBorders>
            <w:shd w:val="clear" w:color="auto" w:fill="auto"/>
            <w:vAlign w:val="center"/>
            <w:hideMark/>
          </w:tcPr>
          <w:p w:rsidR="008C72DA" w:rsidRPr="008C72DA" w:rsidP="008C72DA" w14:paraId="4488BB98" w14:textId="77777777">
            <w:pPr>
              <w:widowControl/>
              <w:jc w:val="center"/>
              <w:rPr>
                <w:rFonts w:ascii="Calibri" w:hAnsi="Calibri" w:cs="Calibri"/>
                <w:color w:val="000000"/>
                <w:sz w:val="16"/>
                <w:szCs w:val="16"/>
                <w:lang w:val="en-US"/>
              </w:rPr>
            </w:pPr>
            <w:r w:rsidRPr="008C72DA">
              <w:rPr>
                <w:rFonts w:ascii="Calibri" w:hAnsi="Calibri" w:cs="Calibri"/>
                <w:color w:val="000000"/>
                <w:sz w:val="16"/>
                <w:szCs w:val="16"/>
                <w:lang w:val="en-US"/>
              </w:rPr>
              <w:t>33675</w:t>
            </w:r>
          </w:p>
        </w:tc>
        <w:tc>
          <w:tcPr>
            <w:tcW w:w="1140" w:type="dxa"/>
            <w:tcBorders>
              <w:top w:val="nil"/>
              <w:left w:val="nil"/>
              <w:bottom w:val="dotted" w:sz="4" w:space="0" w:color="000000"/>
              <w:right w:val="single" w:sz="8" w:space="0" w:color="000000"/>
            </w:tcBorders>
            <w:shd w:val="clear" w:color="auto" w:fill="auto"/>
            <w:vAlign w:val="center"/>
            <w:hideMark/>
          </w:tcPr>
          <w:p w:rsidR="008C72DA" w:rsidRPr="008C72DA" w:rsidP="008C72DA" w14:paraId="4C918F88" w14:textId="77777777">
            <w:pPr>
              <w:widowControl/>
              <w:jc w:val="center"/>
              <w:rPr>
                <w:rFonts w:ascii="Calibri" w:hAnsi="Calibri" w:cs="Calibri"/>
                <w:color w:val="000000"/>
                <w:sz w:val="16"/>
                <w:szCs w:val="16"/>
                <w:lang w:val="en-US"/>
              </w:rPr>
            </w:pPr>
            <w:r w:rsidRPr="008C72DA">
              <w:rPr>
                <w:rFonts w:ascii="Calibri" w:hAnsi="Calibri" w:cs="Calibri"/>
                <w:color w:val="000000"/>
                <w:sz w:val="16"/>
                <w:szCs w:val="16"/>
                <w:lang w:val="en-US"/>
              </w:rPr>
              <w:t>33000</w:t>
            </w:r>
          </w:p>
        </w:tc>
        <w:tc>
          <w:tcPr>
            <w:tcW w:w="1180" w:type="dxa"/>
            <w:tcBorders>
              <w:top w:val="nil"/>
              <w:left w:val="nil"/>
              <w:bottom w:val="dotted" w:sz="4" w:space="0" w:color="000000"/>
              <w:right w:val="dotted" w:sz="4" w:space="0" w:color="000000"/>
            </w:tcBorders>
            <w:shd w:val="clear" w:color="auto" w:fill="auto"/>
            <w:vAlign w:val="center"/>
            <w:hideMark/>
          </w:tcPr>
          <w:p w:rsidR="008C72DA" w:rsidRPr="008C72DA" w:rsidP="008C72DA" w14:paraId="073C4208" w14:textId="77777777">
            <w:pPr>
              <w:widowControl/>
              <w:jc w:val="center"/>
              <w:rPr>
                <w:rFonts w:ascii="Calibri" w:hAnsi="Calibri" w:cs="Calibri"/>
                <w:color w:val="000000"/>
                <w:sz w:val="16"/>
                <w:szCs w:val="16"/>
                <w:lang w:val="en-US"/>
              </w:rPr>
            </w:pPr>
            <w:r w:rsidRPr="008C72DA">
              <w:rPr>
                <w:rFonts w:ascii="Calibri" w:hAnsi="Calibri" w:cs="Calibri"/>
                <w:color w:val="000000"/>
                <w:sz w:val="16"/>
                <w:szCs w:val="16"/>
                <w:lang w:val="en-US"/>
              </w:rPr>
              <w:t>5613</w:t>
            </w:r>
          </w:p>
        </w:tc>
        <w:tc>
          <w:tcPr>
            <w:tcW w:w="1240" w:type="dxa"/>
            <w:tcBorders>
              <w:top w:val="nil"/>
              <w:left w:val="nil"/>
              <w:bottom w:val="dotted" w:sz="4" w:space="0" w:color="000000"/>
              <w:right w:val="single" w:sz="8" w:space="0" w:color="000000"/>
            </w:tcBorders>
            <w:shd w:val="clear" w:color="auto" w:fill="auto"/>
            <w:vAlign w:val="center"/>
            <w:hideMark/>
          </w:tcPr>
          <w:p w:rsidR="008C72DA" w:rsidRPr="008C72DA" w:rsidP="008C72DA" w14:paraId="2DBDD66B" w14:textId="77777777">
            <w:pPr>
              <w:widowControl/>
              <w:jc w:val="center"/>
              <w:rPr>
                <w:rFonts w:ascii="Calibri" w:hAnsi="Calibri" w:cs="Calibri"/>
                <w:color w:val="000000"/>
                <w:sz w:val="16"/>
                <w:szCs w:val="16"/>
                <w:lang w:val="en-US"/>
              </w:rPr>
            </w:pPr>
            <w:r w:rsidRPr="008C72DA">
              <w:rPr>
                <w:rFonts w:ascii="Calibri" w:hAnsi="Calibri" w:cs="Calibri"/>
                <w:color w:val="000000"/>
                <w:sz w:val="16"/>
                <w:szCs w:val="16"/>
                <w:lang w:val="en-US"/>
              </w:rPr>
              <w:t>5280</w:t>
            </w:r>
          </w:p>
        </w:tc>
        <w:tc>
          <w:tcPr>
            <w:tcW w:w="1960" w:type="dxa"/>
            <w:tcBorders>
              <w:top w:val="nil"/>
              <w:left w:val="nil"/>
              <w:bottom w:val="dotted" w:sz="4" w:space="0" w:color="000000"/>
              <w:right w:val="single" w:sz="8" w:space="0" w:color="000000"/>
            </w:tcBorders>
            <w:shd w:val="clear" w:color="auto" w:fill="auto"/>
            <w:vAlign w:val="center"/>
            <w:hideMark/>
          </w:tcPr>
          <w:p w:rsidR="008C72DA" w:rsidRPr="008C72DA" w:rsidP="008C72DA" w14:paraId="66D79279" w14:textId="77777777">
            <w:pPr>
              <w:widowControl/>
              <w:rPr>
                <w:rFonts w:ascii="Calibri" w:hAnsi="Calibri" w:cs="Calibri"/>
                <w:color w:val="000000"/>
                <w:sz w:val="16"/>
                <w:szCs w:val="16"/>
                <w:lang w:val="en-US"/>
              </w:rPr>
            </w:pPr>
            <w:r w:rsidRPr="008C72DA">
              <w:rPr>
                <w:rFonts w:ascii="Calibri" w:hAnsi="Calibri" w:cs="Calibri"/>
                <w:color w:val="000000"/>
                <w:sz w:val="16"/>
                <w:szCs w:val="16"/>
                <w:lang w:val="en-US"/>
              </w:rPr>
              <w:t>The number of respondents has increased as NOAA hopes to expand usage of these surveys to additional Weather Forecast Offices.</w:t>
            </w:r>
          </w:p>
        </w:tc>
      </w:tr>
      <w:tr w14:paraId="78456C9B" w14:textId="77777777" w:rsidTr="008C72DA">
        <w:tblPrEx>
          <w:tblW w:w="11040" w:type="dxa"/>
          <w:tblLook w:val="04A0"/>
        </w:tblPrEx>
        <w:trPr>
          <w:trHeight w:val="465"/>
        </w:trPr>
        <w:tc>
          <w:tcPr>
            <w:tcW w:w="1980" w:type="dxa"/>
            <w:tcBorders>
              <w:top w:val="nil"/>
              <w:left w:val="single" w:sz="8" w:space="0" w:color="000000"/>
              <w:bottom w:val="nil"/>
              <w:right w:val="single" w:sz="8" w:space="0" w:color="000000"/>
            </w:tcBorders>
            <w:shd w:val="clear" w:color="BDD6EE" w:fill="BDD6EE"/>
            <w:vAlign w:val="center"/>
            <w:hideMark/>
          </w:tcPr>
          <w:p w:rsidR="008C72DA" w:rsidRPr="008C72DA" w:rsidP="008C72DA" w14:paraId="644F828B" w14:textId="77777777">
            <w:pPr>
              <w:widowControl/>
              <w:jc w:val="center"/>
              <w:rPr>
                <w:rFonts w:ascii="Calibri" w:hAnsi="Calibri" w:cs="Calibri"/>
                <w:b/>
                <w:bCs/>
                <w:color w:val="000000"/>
                <w:sz w:val="16"/>
                <w:szCs w:val="16"/>
                <w:lang w:val="en-US"/>
              </w:rPr>
            </w:pPr>
            <w:r w:rsidRPr="008C72DA">
              <w:rPr>
                <w:rFonts w:ascii="Calibri" w:hAnsi="Calibri" w:cs="Calibri"/>
                <w:b/>
                <w:bCs/>
                <w:color w:val="000000"/>
                <w:sz w:val="16"/>
                <w:szCs w:val="16"/>
                <w:lang w:val="en-US"/>
              </w:rPr>
              <w:t>Total for Collection</w:t>
            </w:r>
          </w:p>
        </w:tc>
        <w:tc>
          <w:tcPr>
            <w:tcW w:w="1200" w:type="dxa"/>
            <w:tcBorders>
              <w:top w:val="nil"/>
              <w:left w:val="nil"/>
              <w:bottom w:val="nil"/>
              <w:right w:val="dotted" w:sz="4" w:space="0" w:color="000000"/>
            </w:tcBorders>
            <w:shd w:val="clear" w:color="BDD6EE" w:fill="BDD6EE"/>
            <w:vAlign w:val="center"/>
            <w:hideMark/>
          </w:tcPr>
          <w:p w:rsidR="008C72DA" w:rsidRPr="008C72DA" w:rsidP="008C72DA" w14:paraId="595008B4" w14:textId="77777777">
            <w:pPr>
              <w:widowControl/>
              <w:jc w:val="center"/>
              <w:rPr>
                <w:rFonts w:ascii="Calibri" w:hAnsi="Calibri" w:cs="Calibri"/>
                <w:b/>
                <w:bCs/>
                <w:color w:val="000000"/>
                <w:sz w:val="16"/>
                <w:szCs w:val="16"/>
                <w:lang w:val="en-US"/>
              </w:rPr>
            </w:pPr>
            <w:r w:rsidRPr="008C72DA">
              <w:rPr>
                <w:rFonts w:ascii="Calibri" w:hAnsi="Calibri" w:cs="Calibri"/>
                <w:b/>
                <w:bCs/>
                <w:color w:val="000000"/>
                <w:sz w:val="16"/>
                <w:szCs w:val="16"/>
                <w:lang w:val="en-US"/>
              </w:rPr>
              <w:t>33675</w:t>
            </w:r>
          </w:p>
        </w:tc>
        <w:tc>
          <w:tcPr>
            <w:tcW w:w="1180" w:type="dxa"/>
            <w:tcBorders>
              <w:top w:val="nil"/>
              <w:left w:val="nil"/>
              <w:bottom w:val="nil"/>
              <w:right w:val="single" w:sz="8" w:space="0" w:color="000000"/>
            </w:tcBorders>
            <w:shd w:val="clear" w:color="BDD6EE" w:fill="BDD6EE"/>
            <w:vAlign w:val="center"/>
            <w:hideMark/>
          </w:tcPr>
          <w:p w:rsidR="008C72DA" w:rsidRPr="008C72DA" w:rsidP="008C72DA" w14:paraId="6E6AC50B" w14:textId="77777777">
            <w:pPr>
              <w:widowControl/>
              <w:jc w:val="center"/>
              <w:rPr>
                <w:rFonts w:ascii="Calibri" w:hAnsi="Calibri" w:cs="Calibri"/>
                <w:b/>
                <w:bCs/>
                <w:color w:val="000000"/>
                <w:sz w:val="16"/>
                <w:szCs w:val="16"/>
                <w:lang w:val="en-US"/>
              </w:rPr>
            </w:pPr>
            <w:r w:rsidRPr="008C72DA">
              <w:rPr>
                <w:rFonts w:ascii="Calibri" w:hAnsi="Calibri" w:cs="Calibri"/>
                <w:b/>
                <w:bCs/>
                <w:color w:val="000000"/>
                <w:sz w:val="16"/>
                <w:szCs w:val="16"/>
                <w:lang w:val="en-US"/>
              </w:rPr>
              <w:t>37650</w:t>
            </w:r>
          </w:p>
        </w:tc>
        <w:tc>
          <w:tcPr>
            <w:tcW w:w="1160" w:type="dxa"/>
            <w:tcBorders>
              <w:top w:val="nil"/>
              <w:left w:val="nil"/>
              <w:bottom w:val="nil"/>
              <w:right w:val="dotted" w:sz="4" w:space="0" w:color="000000"/>
            </w:tcBorders>
            <w:shd w:val="clear" w:color="BDD6EE" w:fill="BDD6EE"/>
            <w:vAlign w:val="center"/>
            <w:hideMark/>
          </w:tcPr>
          <w:p w:rsidR="008C72DA" w:rsidRPr="008C72DA" w:rsidP="008C72DA" w14:paraId="1116272B" w14:textId="77777777">
            <w:pPr>
              <w:widowControl/>
              <w:jc w:val="center"/>
              <w:rPr>
                <w:rFonts w:ascii="Calibri" w:hAnsi="Calibri" w:cs="Calibri"/>
                <w:b/>
                <w:bCs/>
                <w:color w:val="000000"/>
                <w:sz w:val="16"/>
                <w:szCs w:val="16"/>
                <w:lang w:val="en-US"/>
              </w:rPr>
            </w:pPr>
            <w:r w:rsidRPr="008C72DA">
              <w:rPr>
                <w:rFonts w:ascii="Calibri" w:hAnsi="Calibri" w:cs="Calibri"/>
                <w:b/>
                <w:bCs/>
                <w:color w:val="000000"/>
                <w:sz w:val="16"/>
                <w:szCs w:val="16"/>
                <w:lang w:val="en-US"/>
              </w:rPr>
              <w:t>33675</w:t>
            </w:r>
          </w:p>
        </w:tc>
        <w:tc>
          <w:tcPr>
            <w:tcW w:w="1140" w:type="dxa"/>
            <w:tcBorders>
              <w:top w:val="nil"/>
              <w:left w:val="nil"/>
              <w:bottom w:val="nil"/>
              <w:right w:val="single" w:sz="8" w:space="0" w:color="000000"/>
            </w:tcBorders>
            <w:shd w:val="clear" w:color="BDD6EE" w:fill="BDD6EE"/>
            <w:vAlign w:val="center"/>
            <w:hideMark/>
          </w:tcPr>
          <w:p w:rsidR="008C72DA" w:rsidRPr="008C72DA" w:rsidP="008C72DA" w14:paraId="19E94CF4" w14:textId="77777777">
            <w:pPr>
              <w:widowControl/>
              <w:jc w:val="center"/>
              <w:rPr>
                <w:rFonts w:ascii="Calibri" w:hAnsi="Calibri" w:cs="Calibri"/>
                <w:b/>
                <w:bCs/>
                <w:color w:val="000000"/>
                <w:sz w:val="16"/>
                <w:szCs w:val="16"/>
                <w:lang w:val="en-US"/>
              </w:rPr>
            </w:pPr>
            <w:r w:rsidRPr="008C72DA">
              <w:rPr>
                <w:rFonts w:ascii="Calibri" w:hAnsi="Calibri" w:cs="Calibri"/>
                <w:b/>
                <w:bCs/>
                <w:color w:val="000000"/>
                <w:sz w:val="16"/>
                <w:szCs w:val="16"/>
                <w:lang w:val="en-US"/>
              </w:rPr>
              <w:t>37650</w:t>
            </w:r>
          </w:p>
        </w:tc>
        <w:tc>
          <w:tcPr>
            <w:tcW w:w="1180" w:type="dxa"/>
            <w:tcBorders>
              <w:top w:val="nil"/>
              <w:left w:val="nil"/>
              <w:bottom w:val="nil"/>
              <w:right w:val="dotted" w:sz="4" w:space="0" w:color="000000"/>
            </w:tcBorders>
            <w:shd w:val="clear" w:color="BDD6EE" w:fill="BDD6EE"/>
            <w:vAlign w:val="center"/>
            <w:hideMark/>
          </w:tcPr>
          <w:p w:rsidR="008C72DA" w:rsidRPr="008C72DA" w:rsidP="008C72DA" w14:paraId="2639E630" w14:textId="77777777">
            <w:pPr>
              <w:widowControl/>
              <w:jc w:val="center"/>
              <w:rPr>
                <w:rFonts w:ascii="Calibri" w:hAnsi="Calibri" w:cs="Calibri"/>
                <w:b/>
                <w:bCs/>
                <w:color w:val="000000"/>
                <w:sz w:val="16"/>
                <w:szCs w:val="16"/>
                <w:lang w:val="en-US"/>
              </w:rPr>
            </w:pPr>
            <w:r w:rsidRPr="008C72DA">
              <w:rPr>
                <w:rFonts w:ascii="Calibri" w:hAnsi="Calibri" w:cs="Calibri"/>
                <w:b/>
                <w:bCs/>
                <w:color w:val="000000"/>
                <w:sz w:val="16"/>
                <w:szCs w:val="16"/>
                <w:lang w:val="en-US"/>
              </w:rPr>
              <w:t>5613</w:t>
            </w:r>
          </w:p>
        </w:tc>
        <w:tc>
          <w:tcPr>
            <w:tcW w:w="1240" w:type="dxa"/>
            <w:tcBorders>
              <w:top w:val="nil"/>
              <w:left w:val="nil"/>
              <w:bottom w:val="nil"/>
              <w:right w:val="single" w:sz="8" w:space="0" w:color="000000"/>
            </w:tcBorders>
            <w:shd w:val="clear" w:color="BDD6EE" w:fill="BDD6EE"/>
            <w:vAlign w:val="center"/>
            <w:hideMark/>
          </w:tcPr>
          <w:p w:rsidR="008C72DA" w:rsidRPr="008C72DA" w:rsidP="008C72DA" w14:paraId="16408619" w14:textId="77777777">
            <w:pPr>
              <w:widowControl/>
              <w:jc w:val="center"/>
              <w:rPr>
                <w:rFonts w:ascii="Calibri" w:hAnsi="Calibri" w:cs="Calibri"/>
                <w:b/>
                <w:bCs/>
                <w:color w:val="000000"/>
                <w:sz w:val="16"/>
                <w:szCs w:val="16"/>
                <w:lang w:val="en-US"/>
              </w:rPr>
            </w:pPr>
            <w:r w:rsidRPr="008C72DA">
              <w:rPr>
                <w:rFonts w:ascii="Calibri" w:hAnsi="Calibri" w:cs="Calibri"/>
                <w:b/>
                <w:bCs/>
                <w:color w:val="000000"/>
                <w:sz w:val="16"/>
                <w:szCs w:val="16"/>
                <w:lang w:val="en-US"/>
              </w:rPr>
              <w:t>7140</w:t>
            </w:r>
          </w:p>
        </w:tc>
        <w:tc>
          <w:tcPr>
            <w:tcW w:w="1960" w:type="dxa"/>
            <w:tcBorders>
              <w:top w:val="nil"/>
              <w:left w:val="nil"/>
              <w:bottom w:val="nil"/>
              <w:right w:val="single" w:sz="8" w:space="0" w:color="000000"/>
            </w:tcBorders>
            <w:shd w:val="clear" w:color="000000" w:fill="000000"/>
            <w:vAlign w:val="center"/>
            <w:hideMark/>
          </w:tcPr>
          <w:p w:rsidR="008C72DA" w:rsidRPr="008C72DA" w:rsidP="008C72DA" w14:paraId="44652B93" w14:textId="77777777">
            <w:pPr>
              <w:widowControl/>
              <w:jc w:val="center"/>
              <w:rPr>
                <w:rFonts w:ascii="Calibri" w:hAnsi="Calibri" w:cs="Calibri"/>
                <w:b/>
                <w:bCs/>
                <w:color w:val="000000"/>
                <w:sz w:val="16"/>
                <w:szCs w:val="16"/>
                <w:lang w:val="en-US"/>
              </w:rPr>
            </w:pPr>
            <w:r w:rsidRPr="008C72DA">
              <w:rPr>
                <w:rFonts w:ascii="Calibri" w:hAnsi="Calibri" w:cs="Calibri"/>
                <w:b/>
                <w:bCs/>
                <w:color w:val="000000"/>
                <w:sz w:val="16"/>
                <w:szCs w:val="16"/>
                <w:lang w:val="en-US"/>
              </w:rPr>
              <w:t> </w:t>
            </w:r>
          </w:p>
        </w:tc>
      </w:tr>
      <w:tr w14:paraId="73C845D4" w14:textId="77777777" w:rsidTr="008C72DA">
        <w:tblPrEx>
          <w:tblW w:w="11040" w:type="dxa"/>
          <w:tblLook w:val="04A0"/>
        </w:tblPrEx>
        <w:trPr>
          <w:trHeight w:val="300"/>
        </w:trPr>
        <w:tc>
          <w:tcPr>
            <w:tcW w:w="1980" w:type="dxa"/>
            <w:tcBorders>
              <w:top w:val="single" w:sz="8" w:space="0" w:color="000000"/>
              <w:left w:val="single" w:sz="8" w:space="0" w:color="000000"/>
              <w:bottom w:val="single" w:sz="8" w:space="0" w:color="000000"/>
              <w:right w:val="nil"/>
            </w:tcBorders>
            <w:shd w:val="clear" w:color="FBE4D5" w:fill="FBE4D5"/>
            <w:noWrap/>
            <w:vAlign w:val="bottom"/>
            <w:hideMark/>
          </w:tcPr>
          <w:p w:rsidR="008C72DA" w:rsidRPr="008C72DA" w:rsidP="008C72DA" w14:paraId="1A647E15" w14:textId="77777777">
            <w:pPr>
              <w:widowControl/>
              <w:jc w:val="center"/>
              <w:rPr>
                <w:rFonts w:ascii="Calibri" w:hAnsi="Calibri" w:cs="Calibri"/>
                <w:b/>
                <w:bCs/>
                <w:color w:val="000000"/>
                <w:sz w:val="16"/>
                <w:szCs w:val="16"/>
                <w:lang w:val="en-US"/>
              </w:rPr>
            </w:pPr>
            <w:r w:rsidRPr="008C72DA">
              <w:rPr>
                <w:rFonts w:ascii="Calibri" w:hAnsi="Calibri" w:cs="Calibri"/>
                <w:b/>
                <w:bCs/>
                <w:color w:val="000000"/>
                <w:sz w:val="16"/>
                <w:szCs w:val="16"/>
                <w:lang w:val="en-US"/>
              </w:rPr>
              <w:t>Difference</w:t>
            </w:r>
          </w:p>
        </w:tc>
        <w:tc>
          <w:tcPr>
            <w:tcW w:w="2380" w:type="dxa"/>
            <w:gridSpan w:val="2"/>
            <w:tcBorders>
              <w:top w:val="single" w:sz="8" w:space="0" w:color="000000"/>
              <w:left w:val="single" w:sz="8" w:space="0" w:color="000000"/>
              <w:bottom w:val="single" w:sz="8" w:space="0" w:color="000000"/>
              <w:right w:val="single" w:sz="8" w:space="0" w:color="000000"/>
            </w:tcBorders>
            <w:shd w:val="clear" w:color="FBE4D5" w:fill="FBE4D5"/>
            <w:noWrap/>
            <w:vAlign w:val="bottom"/>
            <w:hideMark/>
          </w:tcPr>
          <w:p w:rsidR="008C72DA" w:rsidRPr="008C72DA" w:rsidP="008C72DA" w14:paraId="1C45A434" w14:textId="77777777">
            <w:pPr>
              <w:widowControl/>
              <w:jc w:val="center"/>
              <w:rPr>
                <w:rFonts w:ascii="Calibri" w:hAnsi="Calibri" w:cs="Calibri"/>
                <w:color w:val="000000"/>
                <w:sz w:val="22"/>
                <w:szCs w:val="22"/>
                <w:lang w:val="en-US"/>
              </w:rPr>
            </w:pPr>
            <w:r w:rsidRPr="008C72DA">
              <w:rPr>
                <w:rFonts w:ascii="Calibri" w:hAnsi="Calibri" w:cs="Calibri"/>
                <w:color w:val="000000"/>
                <w:sz w:val="22"/>
                <w:szCs w:val="22"/>
                <w:lang w:val="en-US"/>
              </w:rPr>
              <w:t>-3975</w:t>
            </w:r>
          </w:p>
        </w:tc>
        <w:tc>
          <w:tcPr>
            <w:tcW w:w="2300" w:type="dxa"/>
            <w:gridSpan w:val="2"/>
            <w:tcBorders>
              <w:top w:val="single" w:sz="8" w:space="0" w:color="000000"/>
              <w:left w:val="nil"/>
              <w:bottom w:val="single" w:sz="8" w:space="0" w:color="000000"/>
              <w:right w:val="single" w:sz="8" w:space="0" w:color="000000"/>
            </w:tcBorders>
            <w:shd w:val="clear" w:color="FBE4D5" w:fill="FBE4D5"/>
            <w:noWrap/>
            <w:vAlign w:val="bottom"/>
            <w:hideMark/>
          </w:tcPr>
          <w:p w:rsidR="008C72DA" w:rsidRPr="008C72DA" w:rsidP="008C72DA" w14:paraId="36B917B0" w14:textId="77777777">
            <w:pPr>
              <w:widowControl/>
              <w:jc w:val="center"/>
              <w:rPr>
                <w:rFonts w:ascii="Calibri" w:hAnsi="Calibri" w:cs="Calibri"/>
                <w:color w:val="000000"/>
                <w:sz w:val="22"/>
                <w:szCs w:val="22"/>
                <w:lang w:val="en-US"/>
              </w:rPr>
            </w:pPr>
            <w:r w:rsidRPr="008C72DA">
              <w:rPr>
                <w:rFonts w:ascii="Calibri" w:hAnsi="Calibri" w:cs="Calibri"/>
                <w:color w:val="000000"/>
                <w:sz w:val="22"/>
                <w:szCs w:val="22"/>
                <w:lang w:val="en-US"/>
              </w:rPr>
              <w:t>-3975</w:t>
            </w:r>
          </w:p>
        </w:tc>
        <w:tc>
          <w:tcPr>
            <w:tcW w:w="2420" w:type="dxa"/>
            <w:gridSpan w:val="2"/>
            <w:tcBorders>
              <w:top w:val="single" w:sz="8" w:space="0" w:color="000000"/>
              <w:left w:val="nil"/>
              <w:bottom w:val="single" w:sz="8" w:space="0" w:color="000000"/>
              <w:right w:val="single" w:sz="4" w:space="0" w:color="000000"/>
            </w:tcBorders>
            <w:shd w:val="clear" w:color="FBE4D5" w:fill="FBE4D5"/>
            <w:noWrap/>
            <w:vAlign w:val="bottom"/>
            <w:hideMark/>
          </w:tcPr>
          <w:p w:rsidR="008C72DA" w:rsidRPr="008C72DA" w:rsidP="008C72DA" w14:paraId="75CE88A3" w14:textId="77777777">
            <w:pPr>
              <w:widowControl/>
              <w:jc w:val="center"/>
              <w:rPr>
                <w:rFonts w:ascii="Calibri" w:hAnsi="Calibri" w:cs="Calibri"/>
                <w:color w:val="000000"/>
                <w:sz w:val="22"/>
                <w:szCs w:val="22"/>
                <w:lang w:val="en-US"/>
              </w:rPr>
            </w:pPr>
            <w:r w:rsidRPr="008C72DA">
              <w:rPr>
                <w:rFonts w:ascii="Calibri" w:hAnsi="Calibri" w:cs="Calibri"/>
                <w:color w:val="000000"/>
                <w:sz w:val="22"/>
                <w:szCs w:val="22"/>
                <w:lang w:val="en-US"/>
              </w:rPr>
              <w:t>-1527</w:t>
            </w:r>
          </w:p>
        </w:tc>
        <w:tc>
          <w:tcPr>
            <w:tcW w:w="1960" w:type="dxa"/>
            <w:tcBorders>
              <w:top w:val="single" w:sz="8" w:space="0" w:color="000000"/>
              <w:left w:val="nil"/>
              <w:bottom w:val="single" w:sz="8" w:space="0" w:color="000000"/>
              <w:right w:val="single" w:sz="8" w:space="0" w:color="000000"/>
            </w:tcBorders>
            <w:shd w:val="clear" w:color="000000" w:fill="000000"/>
            <w:noWrap/>
            <w:vAlign w:val="bottom"/>
            <w:hideMark/>
          </w:tcPr>
          <w:p w:rsidR="008C72DA" w:rsidRPr="008C72DA" w:rsidP="008C72DA" w14:paraId="0F5CBCEB" w14:textId="77777777">
            <w:pPr>
              <w:widowControl/>
              <w:rPr>
                <w:rFonts w:ascii="Calibri" w:hAnsi="Calibri" w:cs="Calibri"/>
                <w:color w:val="000000"/>
                <w:sz w:val="22"/>
                <w:szCs w:val="22"/>
                <w:lang w:val="en-US"/>
              </w:rPr>
            </w:pPr>
            <w:r w:rsidRPr="008C72DA">
              <w:rPr>
                <w:rFonts w:ascii="Calibri" w:hAnsi="Calibri" w:cs="Calibri"/>
                <w:color w:val="000000"/>
                <w:sz w:val="22"/>
                <w:szCs w:val="22"/>
                <w:lang w:val="en-US"/>
              </w:rPr>
              <w:t> </w:t>
            </w:r>
          </w:p>
        </w:tc>
      </w:tr>
    </w:tbl>
    <w:p w:rsidR="00BA71B6" w14:paraId="3614A45E" w14:textId="77777777">
      <w:pPr>
        <w:pBdr>
          <w:top w:val="nil"/>
          <w:left w:val="nil"/>
          <w:bottom w:val="nil"/>
          <w:right w:val="nil"/>
          <w:between w:val="nil"/>
        </w:pBdr>
        <w:spacing w:before="7"/>
        <w:rPr>
          <w:b/>
        </w:rPr>
      </w:pPr>
    </w:p>
    <w:p w:rsidR="00BA71B6" w14:paraId="50F27D65" w14:textId="77777777">
      <w:pPr>
        <w:pBdr>
          <w:top w:val="nil"/>
          <w:left w:val="nil"/>
          <w:bottom w:val="nil"/>
          <w:right w:val="nil"/>
          <w:between w:val="nil"/>
        </w:pBdr>
        <w:tabs>
          <w:tab w:val="left" w:pos="360"/>
        </w:tabs>
        <w:spacing w:before="80"/>
        <w:rPr>
          <w:b/>
        </w:rPr>
      </w:pPr>
      <w:r>
        <w:rPr>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A71B6" w14:paraId="01C15DF7" w14:textId="2F35E0FC">
      <w:pPr>
        <w:spacing w:before="160" w:line="276" w:lineRule="auto"/>
      </w:pPr>
      <w:r>
        <w:t>Phase II of the project will last 3 years, until 2028. Results of Phase II Quick Response Surveys are planned to be published externally. Research results, including methods, and survey topic results, will be shared externally through professional conferences, as well as through peer reviewed journals upon completion. The following activities are planned:</w:t>
      </w:r>
    </w:p>
    <w:p w:rsidR="00BA71B6" w14:paraId="2AC5D4B0" w14:textId="77777777">
      <w:pPr>
        <w:spacing w:before="160"/>
        <w:rPr>
          <w:b/>
        </w:rPr>
      </w:pPr>
      <w:r>
        <w:rPr>
          <w:b/>
        </w:rPr>
        <w:t>Year 1 Tasks</w:t>
      </w:r>
    </w:p>
    <w:p w:rsidR="00BA71B6" w14:paraId="027D2175" w14:textId="77777777">
      <w:pPr>
        <w:numPr>
          <w:ilvl w:val="0"/>
          <w:numId w:val="2"/>
        </w:numPr>
        <w:spacing w:before="160"/>
      </w:pPr>
      <w:r>
        <w:t>Expansion of survey to 30 total forecast offices</w:t>
      </w:r>
    </w:p>
    <w:p w:rsidR="00BA71B6" w14:paraId="15793DDA" w14:textId="77777777">
      <w:pPr>
        <w:numPr>
          <w:ilvl w:val="0"/>
          <w:numId w:val="2"/>
        </w:numPr>
      </w:pPr>
      <w:r>
        <w:t xml:space="preserve">Development of operating procedures with NWS offices to disseminate surveys </w:t>
      </w:r>
    </w:p>
    <w:p w:rsidR="00BA71B6" w14:paraId="67469E73" w14:textId="77777777">
      <w:pPr>
        <w:numPr>
          <w:ilvl w:val="0"/>
          <w:numId w:val="2"/>
        </w:numPr>
      </w:pPr>
      <w:r>
        <w:t>Dissemination and evaluation of post event reports to forecast offices</w:t>
      </w:r>
    </w:p>
    <w:p w:rsidR="00BA71B6" w14:paraId="1B3992D9" w14:textId="77777777">
      <w:pPr>
        <w:numPr>
          <w:ilvl w:val="0"/>
          <w:numId w:val="2"/>
        </w:numPr>
      </w:pPr>
      <w:r>
        <w:t>Evaluate use of data in Agent-based Modelling</w:t>
      </w:r>
    </w:p>
    <w:p w:rsidR="00BA71B6" w14:paraId="0AC345FC" w14:textId="77777777">
      <w:pPr>
        <w:numPr>
          <w:ilvl w:val="0"/>
          <w:numId w:val="2"/>
        </w:numPr>
      </w:pPr>
      <w:r>
        <w:t>Conduct and Analyze Random Sample Experiments</w:t>
      </w:r>
    </w:p>
    <w:p w:rsidR="00BA71B6" w14:paraId="00607C0A" w14:textId="77777777">
      <w:pPr>
        <w:numPr>
          <w:ilvl w:val="0"/>
          <w:numId w:val="2"/>
        </w:numPr>
      </w:pPr>
      <w:r>
        <w:t>Develop concept for transition to operations</w:t>
      </w:r>
    </w:p>
    <w:p w:rsidR="00BA71B6" w14:paraId="1083348C" w14:textId="77777777">
      <w:pPr>
        <w:spacing w:before="160"/>
        <w:rPr>
          <w:b/>
        </w:rPr>
      </w:pPr>
      <w:r>
        <w:rPr>
          <w:b/>
        </w:rPr>
        <w:t>Year 2 Tasks</w:t>
      </w:r>
    </w:p>
    <w:p w:rsidR="00BA71B6" w14:paraId="14839915" w14:textId="77777777">
      <w:pPr>
        <w:numPr>
          <w:ilvl w:val="0"/>
          <w:numId w:val="3"/>
        </w:numPr>
        <w:spacing w:before="160"/>
      </w:pPr>
      <w:r>
        <w:t>Expansion of Survey to 40 total offices</w:t>
      </w:r>
    </w:p>
    <w:p w:rsidR="00BA71B6" w14:paraId="179481A5" w14:textId="77777777">
      <w:pPr>
        <w:numPr>
          <w:ilvl w:val="0"/>
          <w:numId w:val="3"/>
        </w:numPr>
      </w:pPr>
      <w:r>
        <w:t>Research to Operations planning</w:t>
      </w:r>
    </w:p>
    <w:p w:rsidR="00BA71B6" w14:paraId="373E59C2" w14:textId="77777777">
      <w:pPr>
        <w:numPr>
          <w:ilvl w:val="0"/>
          <w:numId w:val="3"/>
        </w:numPr>
      </w:pPr>
      <w:r>
        <w:t>Data collection and analysis</w:t>
      </w:r>
    </w:p>
    <w:p w:rsidR="00BA71B6" w14:paraId="6E064A10" w14:textId="77777777">
      <w:pPr>
        <w:numPr>
          <w:ilvl w:val="0"/>
          <w:numId w:val="3"/>
        </w:numPr>
      </w:pPr>
      <w:r>
        <w:t>Database Management</w:t>
      </w:r>
    </w:p>
    <w:p w:rsidR="00BA71B6" w14:paraId="02542B06" w14:textId="77777777">
      <w:pPr>
        <w:spacing w:before="160"/>
        <w:rPr>
          <w:b/>
        </w:rPr>
      </w:pPr>
      <w:r>
        <w:rPr>
          <w:b/>
        </w:rPr>
        <w:t>Year 3</w:t>
      </w:r>
    </w:p>
    <w:p w:rsidR="00BA71B6" w14:paraId="7203252C" w14:textId="77777777">
      <w:pPr>
        <w:numPr>
          <w:ilvl w:val="0"/>
          <w:numId w:val="1"/>
        </w:numPr>
        <w:spacing w:before="160"/>
      </w:pPr>
      <w:r>
        <w:t>Expansion of Survey to additional 50 offices</w:t>
      </w:r>
    </w:p>
    <w:p w:rsidR="00BA71B6" w14:paraId="7DB5F854" w14:textId="77777777">
      <w:pPr>
        <w:numPr>
          <w:ilvl w:val="0"/>
          <w:numId w:val="1"/>
        </w:numPr>
      </w:pPr>
      <w:r>
        <w:t>Research to operations.</w:t>
      </w:r>
    </w:p>
    <w:p w:rsidR="00BA71B6" w14:paraId="49049C49" w14:textId="77777777">
      <w:pPr>
        <w:numPr>
          <w:ilvl w:val="0"/>
          <w:numId w:val="1"/>
        </w:numPr>
      </w:pPr>
      <w:r>
        <w:t>Data collection and analysis</w:t>
      </w:r>
    </w:p>
    <w:p w:rsidR="00BA71B6" w14:paraId="50EC7A67" w14:textId="77777777">
      <w:pPr>
        <w:numPr>
          <w:ilvl w:val="0"/>
          <w:numId w:val="1"/>
        </w:numPr>
      </w:pPr>
      <w:r>
        <w:t>Database Management</w:t>
      </w:r>
    </w:p>
    <w:p w:rsidR="00BA71B6" w14:paraId="1B20B21D" w14:textId="77777777">
      <w:pPr>
        <w:numPr>
          <w:ilvl w:val="0"/>
          <w:numId w:val="1"/>
        </w:numPr>
      </w:pPr>
      <w:r>
        <w:t xml:space="preserve">Survey dissemination. </w:t>
      </w:r>
    </w:p>
    <w:p w:rsidR="00BA71B6" w14:paraId="505DBD34" w14:textId="77777777">
      <w:pPr>
        <w:spacing w:before="160"/>
      </w:pPr>
    </w:p>
    <w:p w:rsidR="00BA71B6" w14:paraId="37305659" w14:textId="77777777">
      <w:pPr>
        <w:spacing w:before="160"/>
        <w:rPr>
          <w:b/>
        </w:rPr>
      </w:pPr>
      <w:r>
        <w:rPr>
          <w:b/>
        </w:rPr>
        <w:t>17. If seeking approval to not display the expiration date for OMB approval of the information collection, explain the reasons that display would be inappropriate.</w:t>
      </w:r>
    </w:p>
    <w:p w:rsidR="00BA71B6" w14:paraId="546D61BB" w14:textId="77777777">
      <w:pPr>
        <w:spacing w:before="161"/>
        <w:rPr>
          <w:i/>
        </w:rPr>
      </w:pPr>
      <w:r>
        <w:t>The expiration date will be displayed on all collection instruments.</w:t>
      </w:r>
    </w:p>
    <w:p w:rsidR="00BA71B6" w14:paraId="034B3521" w14:textId="77777777">
      <w:pPr>
        <w:spacing w:before="161"/>
        <w:rPr>
          <w:i/>
        </w:rPr>
      </w:pPr>
    </w:p>
    <w:p w:rsidR="00BA71B6" w14:paraId="7741DF91" w14:textId="77777777">
      <w:pPr>
        <w:pBdr>
          <w:top w:val="nil"/>
          <w:left w:val="nil"/>
          <w:bottom w:val="nil"/>
          <w:right w:val="nil"/>
          <w:between w:val="nil"/>
        </w:pBdr>
        <w:tabs>
          <w:tab w:val="left" w:pos="360"/>
        </w:tabs>
        <w:spacing w:before="80"/>
        <w:rPr>
          <w:b/>
        </w:rPr>
      </w:pPr>
      <w:r>
        <w:rPr>
          <w:b/>
        </w:rPr>
        <w:t>18. Explain each exception to the certification statement identified in “Certification for Paperwork Reduction Act Submissions."</w:t>
      </w:r>
    </w:p>
    <w:p w:rsidR="00BA71B6" w:rsidP="00370984" w14:paraId="352AC0CE" w14:textId="77777777">
      <w:pPr>
        <w:spacing w:before="221" w:line="259" w:lineRule="auto"/>
        <w:jc w:val="both"/>
      </w:pPr>
      <w:bookmarkStart w:id="0" w:name="_heading=h.gjdgxs" w:colFirst="0" w:colLast="0"/>
      <w:bookmarkEnd w:id="0"/>
      <w:r>
        <w:t xml:space="preserve">The agency certifies compliance with </w:t>
      </w:r>
      <w:hyperlink r:id="rId11">
        <w:r>
          <w:rPr>
            <w:u w:val="single"/>
          </w:rPr>
          <w:t xml:space="preserve">5 CFR 1320.9 </w:t>
        </w:r>
      </w:hyperlink>
      <w:r>
        <w:t xml:space="preserve">and the related provisions of </w:t>
      </w:r>
      <w:hyperlink r:id="rId12">
        <w:r>
          <w:rPr>
            <w:u w:val="single"/>
          </w:rPr>
          <w:t>5 CFR</w:t>
        </w:r>
      </w:hyperlink>
      <w:r>
        <w:t xml:space="preserve"> </w:t>
      </w:r>
      <w:hyperlink r:id="rId12">
        <w:r>
          <w:rPr>
            <w:u w:val="single"/>
          </w:rPr>
          <w:t>1320.8(b)(3)</w:t>
        </w:r>
      </w:hyperlink>
      <w:r>
        <w:t>.</w:t>
      </w:r>
    </w:p>
    <w:sectPr w:rsidSect="00873F1E">
      <w:pgSz w:w="12240" w:h="15840"/>
      <w:pgMar w:top="108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71B6" w14:paraId="10EDA758" w14:textId="77777777">
    <w:pPr>
      <w:jc w:val="right"/>
    </w:pPr>
    <w:r>
      <w:rPr>
        <w:b/>
      </w:rPr>
      <w:fldChar w:fldCharType="begin"/>
    </w:r>
    <w:r>
      <w:rPr>
        <w:b/>
      </w:rPr>
      <w:instrText>PAGE</w:instrText>
    </w:r>
    <w:r>
      <w:rPr>
        <w:b/>
      </w:rPr>
      <w:fldChar w:fldCharType="separate"/>
    </w:r>
    <w:r w:rsidR="00F65DFD">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70984" w14:paraId="02A13971" w14:textId="77777777">
      <w:r>
        <w:separator/>
      </w:r>
    </w:p>
  </w:footnote>
  <w:footnote w:type="continuationSeparator" w:id="1">
    <w:p w:rsidR="00370984" w14:paraId="7990283B" w14:textId="77777777">
      <w:r>
        <w:continuationSeparator/>
      </w:r>
    </w:p>
  </w:footnote>
  <w:footnote w:id="2">
    <w:p w:rsidR="00F65DFD" w:rsidRPr="00F65DFD" w14:paraId="6F5ED187" w14:textId="48447058">
      <w:pPr>
        <w:pStyle w:val="FootnoteText"/>
        <w:rPr>
          <w:lang w:val="en-US"/>
        </w:rPr>
      </w:pPr>
      <w:r>
        <w:rPr>
          <w:rStyle w:val="FootnoteReference"/>
        </w:rPr>
        <w:footnoteRef/>
      </w:r>
      <w:r>
        <w:t xml:space="preserve"> </w:t>
      </w:r>
      <w:r w:rsidRPr="00F65DFD">
        <w:t>https://www.congress.gov/bill/115th-congress/house-bill/353/text</w:t>
      </w:r>
    </w:p>
  </w:footnote>
  <w:footnote w:id="3">
    <w:p w:rsidR="00901015" w:rsidRPr="00901015" w14:paraId="0E14772F" w14:textId="5729EFE8">
      <w:pPr>
        <w:pStyle w:val="FootnoteText"/>
        <w:rPr>
          <w:lang w:val="en-US"/>
        </w:rPr>
      </w:pPr>
      <w:r>
        <w:rPr>
          <w:rStyle w:val="FootnoteReference"/>
        </w:rPr>
        <w:footnoteRef/>
      </w:r>
      <w:r>
        <w:t xml:space="preserve"> </w:t>
      </w:r>
      <w:r w:rsidRPr="00901015">
        <w:t>https://www.opm.gov/policy-data-oversight/pay-leave/salaries-wages/salary-tables/pdf/2025/RUS.pdf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A062E8"/>
    <w:multiLevelType w:val="multilevel"/>
    <w:tmpl w:val="66B464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AF66C87"/>
    <w:multiLevelType w:val="multilevel"/>
    <w:tmpl w:val="791464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0E03551"/>
    <w:multiLevelType w:val="multilevel"/>
    <w:tmpl w:val="55B44F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941320">
    <w:abstractNumId w:val="0"/>
  </w:num>
  <w:num w:numId="2" w16cid:durableId="1291548484">
    <w:abstractNumId w:val="2"/>
  </w:num>
  <w:num w:numId="3" w16cid:durableId="994261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1B6"/>
    <w:rsid w:val="00370984"/>
    <w:rsid w:val="00522502"/>
    <w:rsid w:val="0062509C"/>
    <w:rsid w:val="00626117"/>
    <w:rsid w:val="00873F1E"/>
    <w:rsid w:val="008C72DA"/>
    <w:rsid w:val="00901015"/>
    <w:rsid w:val="00921848"/>
    <w:rsid w:val="00A348DA"/>
    <w:rsid w:val="00B213F9"/>
    <w:rsid w:val="00BA71B6"/>
    <w:rsid w:val="00F34497"/>
    <w:rsid w:val="00F65DFD"/>
    <w:rsid w:val="00FE26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6A0206"/>
  <w15:docId w15:val="{D441C738-C6C9-4B28-8100-E2676ADE2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before="80"/>
      <w:ind w:left="400"/>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00">
    <w:name w:val="TableNormal_0"/>
    <w:tblPr>
      <w:tblCellMar>
        <w:top w:w="0" w:type="dxa"/>
        <w:left w:w="0" w:type="dxa"/>
        <w:bottom w:w="0" w:type="dxa"/>
        <w:right w:w="0" w:type="dxa"/>
      </w:tblCellMar>
    </w:tbl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top w:w="100" w:type="dxa"/>
        <w:left w:w="100" w:type="dxa"/>
        <w:bottom w:w="100" w:type="dxa"/>
        <w:right w:w="100" w:type="dxa"/>
      </w:tblCellMar>
    </w:tblPr>
  </w:style>
  <w:style w:type="table" w:customStyle="1" w:styleId="a6">
    <w:name w:val="a6"/>
    <w:basedOn w:val="TableNormal"/>
    <w:tblPr>
      <w:tblStyleRowBandSize w:val="1"/>
      <w:tblStyleColBandSize w:val="1"/>
      <w:tblCellMar>
        <w:left w:w="115" w:type="dxa"/>
        <w:right w:w="115" w:type="dxa"/>
      </w:tblCellMar>
    </w:tblPr>
  </w:style>
  <w:style w:type="table" w:customStyle="1" w:styleId="a7">
    <w:name w:val="a7"/>
    <w:basedOn w:val="TableNormal"/>
    <w:tblPr>
      <w:tblStyleRowBandSize w:val="1"/>
      <w:tblStyleColBandSize w:val="1"/>
      <w:tblCellMar>
        <w:top w:w="100" w:type="dxa"/>
        <w:left w:w="100" w:type="dxa"/>
        <w:bottom w:w="100" w:type="dxa"/>
        <w:right w:w="100" w:type="dxa"/>
      </w:tblCellMar>
    </w:tblPr>
  </w:style>
  <w:style w:type="paragraph" w:styleId="CommentSubject">
    <w:name w:val="annotation subject"/>
    <w:basedOn w:val="CommentText"/>
    <w:next w:val="CommentText"/>
    <w:link w:val="CommentSubjectChar"/>
    <w:uiPriority w:val="99"/>
    <w:semiHidden/>
    <w:unhideWhenUsed/>
    <w:rsid w:val="00661435"/>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661435"/>
    <w:rPr>
      <w:rFonts w:ascii="Arial" w:eastAsia="Arial" w:hAnsi="Arial" w:cs="Arial"/>
      <w:b/>
      <w:bCs/>
      <w:color w:val="2E5395"/>
      <w:sz w:val="20"/>
      <w:szCs w:val="20"/>
    </w:rPr>
  </w:style>
  <w:style w:type="paragraph" w:styleId="Revision">
    <w:name w:val="Revision"/>
    <w:hidden/>
    <w:uiPriority w:val="99"/>
    <w:semiHidden/>
    <w:rsid w:val="0058601D"/>
    <w:pPr>
      <w:widowControl/>
    </w:pPr>
  </w:style>
  <w:style w:type="table" w:customStyle="1" w:styleId="a8">
    <w:name w:val="a8"/>
    <w:basedOn w:val="TableNormal"/>
    <w:tblPr>
      <w:tblStyleRowBandSize w:val="1"/>
      <w:tblStyleColBandSize w:val="1"/>
      <w:tblCellMar>
        <w:top w:w="100" w:type="dxa"/>
        <w:left w:w="100" w:type="dxa"/>
        <w:bottom w:w="100" w:type="dxa"/>
        <w:right w:w="100" w:type="dxa"/>
      </w:tblCellMar>
    </w:tblPr>
  </w:style>
  <w:style w:type="table" w:customStyle="1" w:styleId="a9">
    <w:name w:val="a9"/>
    <w:basedOn w:val="TableNormal"/>
    <w:tblPr>
      <w:tblStyleRowBandSize w:val="1"/>
      <w:tblStyleColBandSize w:val="1"/>
      <w:tblCellMar>
        <w:top w:w="100" w:type="dxa"/>
        <w:left w:w="100" w:type="dxa"/>
        <w:bottom w:w="100" w:type="dxa"/>
        <w:right w:w="100" w:type="dxa"/>
      </w:tblCellMar>
    </w:tblPr>
  </w:style>
  <w:style w:type="table" w:customStyle="1" w:styleId="aa">
    <w:name w:val="aa"/>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b">
    <w:name w:val="ab"/>
    <w:basedOn w:val="TableNormal"/>
    <w:tblPr>
      <w:tblStyleRowBandSize w:val="1"/>
      <w:tblStyleColBandSize w:val="1"/>
      <w:tblCellMar>
        <w:top w:w="100" w:type="dxa"/>
        <w:left w:w="100" w:type="dxa"/>
        <w:bottom w:w="100" w:type="dxa"/>
        <w:right w:w="100" w:type="dxa"/>
      </w:tblCellMar>
    </w:tblPr>
  </w:style>
  <w:style w:type="table" w:customStyle="1" w:styleId="ac">
    <w:name w:val="ac"/>
    <w:basedOn w:val="TableNormal"/>
    <w:tblPr>
      <w:tblStyleRowBandSize w:val="1"/>
      <w:tblStyleColBandSize w:val="1"/>
      <w:tblCellMar>
        <w:top w:w="100" w:type="dxa"/>
        <w:left w:w="100" w:type="dxa"/>
        <w:bottom w:w="100" w:type="dxa"/>
        <w:right w:w="100" w:type="dxa"/>
      </w:tblCellMar>
    </w:tblPr>
  </w:style>
  <w:style w:type="paragraph" w:styleId="FootnoteText">
    <w:name w:val="footnote text"/>
    <w:basedOn w:val="Normal"/>
    <w:link w:val="FootnoteTextChar"/>
    <w:uiPriority w:val="99"/>
    <w:semiHidden/>
    <w:unhideWhenUsed/>
    <w:rsid w:val="00F65DFD"/>
    <w:rPr>
      <w:sz w:val="20"/>
      <w:szCs w:val="20"/>
    </w:rPr>
  </w:style>
  <w:style w:type="character" w:customStyle="1" w:styleId="FootnoteTextChar">
    <w:name w:val="Footnote Text Char"/>
    <w:basedOn w:val="DefaultParagraphFont"/>
    <w:link w:val="FootnoteText"/>
    <w:uiPriority w:val="99"/>
    <w:semiHidden/>
    <w:rsid w:val="00F65DFD"/>
    <w:rPr>
      <w:sz w:val="20"/>
      <w:szCs w:val="20"/>
    </w:rPr>
  </w:style>
  <w:style w:type="character" w:styleId="FootnoteReference">
    <w:name w:val="footnote reference"/>
    <w:basedOn w:val="DefaultParagraphFont"/>
    <w:uiPriority w:val="99"/>
    <w:semiHidden/>
    <w:unhideWhenUsed/>
    <w:rsid w:val="00F65D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data.bls.gov/oes/" TargetMode="External" /><Relationship Id="rId11" Type="http://schemas.openxmlformats.org/officeDocument/2006/relationships/hyperlink" Target="http://www.gpo.gov/fdsys/pkg/CFR-2014-title5-vol3/pdf/CFR-2014-title5-vol3-sec1320-9.pdf" TargetMode="External" /><Relationship Id="rId12" Type="http://schemas.openxmlformats.org/officeDocument/2006/relationships/hyperlink" Target="http://www.gpo.gov/fdsys/pkg/CFR-2014-title5-vol3/pdf/CFR-2014-title5-vol3-sec1320-8.pdf"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s://www.congress.gov/bill/115th-congress/house-bill/353/text" TargetMode="External" /><Relationship Id="rId8" Type="http://schemas.openxmlformats.org/officeDocument/2006/relationships/hyperlink" Target="https://www.federalregister.gov/documents/2021/09/22/2021-20513/agency-information-collection-activities-submission-to-the-office-of-management-and-budget-omb-for"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iiEKDqlbgeSxlXLxeqhm+mpU5g==">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A7F17E78-0259-4F61-8392-4B0FF2A05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2813</Words>
  <Characters>16035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NOAA 1200 CORPSRV</Company>
  <LinksUpToDate>false</LinksUpToDate>
  <CharactersWithSpaces>18811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Adrienne.Thomas</cp:lastModifiedBy>
  <cp:revision>8</cp:revision>
  <dcterms:created xsi:type="dcterms:W3CDTF">2022-08-04T15:53:00Z</dcterms:created>
  <dcterms:modified xsi:type="dcterms:W3CDTF">2025-08-12T15:07:00Z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0x010100D250A597B2B9634FBFF658D906DC2ED5</vt:lpwstr>
  </property>
  <property fmtid="{D5CDD505-2E9C-101B-9397-08002B2CF9AE}" pid="4" name="Order">
    <vt:r8>4215100</vt:r8>
  </property>
  <property fmtid="{D5CDD505-2E9C-101B-9397-08002B2CF9AE}" pid="5" name="TriggerFlowInfo">
    <vt:lpwstr/>
  </property>
  <property fmtid="{D5CDD505-2E9C-101B-9397-08002B2CF9AE}" pid="6" name="_ExtendedDescription">
    <vt:lpwstr/>
  </property>
  <property fmtid="{D5CDD505-2E9C-101B-9397-08002B2CF9AE}" pid="7" name="_SharedFileIndex">
    <vt:lpwstr/>
  </property>
  <property fmtid="{D5CDD505-2E9C-101B-9397-08002B2CF9AE}" pid="8" name="_SourceUrl">
    <vt:lpwstr/>
  </property>
</Properties>
</file>