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6CA9" w:rsidRPr="002162C6" w:rsidP="00B06CA9" w14:paraId="5135A12E" w14:textId="77777777">
      <w:pPr>
        <w:spacing w:after="0" w:line="240" w:lineRule="auto"/>
        <w:jc w:val="center"/>
        <w:rPr>
          <w:b/>
          <w:bCs/>
        </w:rPr>
      </w:pPr>
      <w:r w:rsidRPr="002162C6">
        <w:rPr>
          <w:b/>
          <w:bCs/>
        </w:rPr>
        <w:t>Annual Integrated Economic Survey (AIES)</w:t>
      </w:r>
      <w:r>
        <w:rPr>
          <w:b/>
          <w:bCs/>
        </w:rPr>
        <w:t xml:space="preserve"> Usability Evaluation </w:t>
      </w:r>
    </w:p>
    <w:p w:rsidR="00B06CA9" w:rsidP="00B06CA9" w14:paraId="11752FCA" w14:textId="77777777">
      <w:pPr>
        <w:spacing w:after="0" w:line="240" w:lineRule="auto"/>
        <w:jc w:val="center"/>
      </w:pPr>
      <w:r>
        <w:t xml:space="preserve">Addendum Submitted Under Generic Clearance for Questionnaire Pretesting Research </w:t>
      </w:r>
    </w:p>
    <w:p w:rsidR="00B06CA9" w:rsidP="00B06CA9" w14:paraId="57B71633" w14:textId="77777777">
      <w:pPr>
        <w:pStyle w:val="NoSpacing"/>
      </w:pPr>
    </w:p>
    <w:p w:rsidR="00B06CA9" w:rsidP="00B06CA9" w14:paraId="25DB76C0" w14:textId="77777777">
      <w:r>
        <w:t>This document is an update to our plans for the usability evaluation of the AIES, scheduled to occur Summer 2024, and using Generic Clearance for Questionnaire Pretesting Research</w:t>
      </w:r>
      <w:r w:rsidRPr="00F85E5F">
        <w:rPr>
          <w:color w:val="000000" w:themeColor="text1"/>
        </w:rPr>
        <w:t xml:space="preserve"> (OMB</w:t>
      </w:r>
      <w:r>
        <w:rPr>
          <w:color w:val="000000" w:themeColor="text1"/>
        </w:rPr>
        <w:t xml:space="preserve"> Control N</w:t>
      </w:r>
      <w:r w:rsidRPr="00F85E5F">
        <w:rPr>
          <w:color w:val="000000" w:themeColor="text1"/>
        </w:rPr>
        <w:t>umber</w:t>
      </w:r>
      <w:r>
        <w:rPr>
          <w:color w:val="000000" w:themeColor="text1"/>
        </w:rPr>
        <w:t xml:space="preserve"> 0607-0725</w:t>
      </w:r>
      <w:r w:rsidRPr="00E14C14">
        <w:t xml:space="preserve"> expiration: </w:t>
      </w:r>
      <w:r w:rsidRPr="00EF0B72">
        <w:t>12/31/2025</w:t>
      </w:r>
      <w:r>
        <w:t>). Please reference the original submission to compare to updates outlined below.</w:t>
      </w:r>
    </w:p>
    <w:p w:rsidR="00C84CC0" w14:paraId="6F675D84" w14:textId="77777777"/>
    <w:p w:rsidR="00B06CA9" w:rsidRPr="002845B1" w14:paraId="6B7B92E0" w14:textId="77777777">
      <w:pPr>
        <w:rPr>
          <w:b/>
          <w:bCs/>
        </w:rPr>
      </w:pPr>
      <w:r w:rsidRPr="002845B1">
        <w:rPr>
          <w:b/>
          <w:bCs/>
        </w:rPr>
        <w:t>Additional Respondent Materials</w:t>
      </w:r>
    </w:p>
    <w:p w:rsidR="002845B1" w14:paraId="7EBE9A60" w14:textId="1C54767B">
      <w:r>
        <w:t>Additional design features will be included in the Usability evaluation</w:t>
      </w:r>
      <w:r w:rsidR="00C503AB">
        <w:t xml:space="preserve"> based off feedback we have received from respondents in the field</w:t>
      </w:r>
      <w:r>
        <w:t>. Thes</w:t>
      </w:r>
      <w:r>
        <w:t xml:space="preserve">e include a downloadable reporting spreadsheet and accompanying instruction guide. See Attachment </w:t>
      </w:r>
      <w:r w:rsidR="00DB7E35">
        <w:t>C_2</w:t>
      </w:r>
      <w:r>
        <w:t xml:space="preserve"> </w:t>
      </w:r>
      <w:r w:rsidR="00BE59B6">
        <w:t>for illustrations of these additional materials.</w:t>
      </w:r>
    </w:p>
    <w:p w:rsidR="00B06CA9" w14:paraId="71355094" w14:textId="74360A3F">
      <w:r>
        <w:t>Findings from prior usability tests reveal that</w:t>
      </w:r>
      <w:r w:rsidR="00EF0B72">
        <w:t xml:space="preserve"> additional design</w:t>
      </w:r>
      <w:r>
        <w:t xml:space="preserve"> features were needed to assist respondents with navigation </w:t>
      </w:r>
      <w:r w:rsidR="00B101CD">
        <w:t xml:space="preserve">to </w:t>
      </w:r>
      <w:r>
        <w:t>help facilitate reporting</w:t>
      </w:r>
      <w:r w:rsidR="00EF0B72">
        <w:t xml:space="preserve"> in the downloadable spreadsheet template for AIES</w:t>
      </w:r>
      <w:r w:rsidR="00E067B9">
        <w:t xml:space="preserve"> (See </w:t>
      </w:r>
      <w:r w:rsidRPr="00E067B9" w:rsidR="00E067B9">
        <w:t>Attachment E</w:t>
      </w:r>
      <w:r w:rsidR="00E067B9">
        <w:t>)</w:t>
      </w:r>
      <w:r>
        <w:t xml:space="preserve">. These include, highlighting data entry fields, </w:t>
      </w:r>
      <w:r w:rsidR="00B101CD">
        <w:t>visually grouping</w:t>
      </w:r>
      <w:r w:rsidR="00C503AB">
        <w:t xml:space="preserve"> location listings</w:t>
      </w:r>
      <w:r w:rsidR="00B101CD">
        <w:t xml:space="preserve"> by industry, </w:t>
      </w:r>
      <w:r w:rsidR="00DB7E35">
        <w:t xml:space="preserve">and </w:t>
      </w:r>
      <w:r w:rsidR="00B101CD">
        <w:t>providing resources/links for additional guidance on how to report</w:t>
      </w:r>
      <w:r w:rsidR="00DB7E35">
        <w:t xml:space="preserve"> </w:t>
      </w:r>
      <w:r w:rsidR="00B101CD">
        <w:t>within the spreadsheet template.</w:t>
      </w:r>
    </w:p>
    <w:p w:rsidR="00B101CD" w14:paraId="256139C6" w14:textId="7BA2E5FD">
      <w:r>
        <w:t>Usability tasks</w:t>
      </w:r>
      <w:r w:rsidR="00E067B9">
        <w:t xml:space="preserve"> and the corresponding probes/protocol</w:t>
      </w:r>
      <w:r>
        <w:t xml:space="preserve"> </w:t>
      </w:r>
      <w:r w:rsidR="00EF0B72">
        <w:t xml:space="preserve">(Attachment </w:t>
      </w:r>
      <w:r w:rsidR="00E067B9">
        <w:t>A_2</w:t>
      </w:r>
      <w:r w:rsidR="00EF0B72">
        <w:t xml:space="preserve">) </w:t>
      </w:r>
      <w:r>
        <w:t xml:space="preserve">have been designed to assess these new design features and iterative testing will occur within a single round of testing. </w:t>
      </w:r>
      <w:r w:rsidR="00BE59B6">
        <w:t xml:space="preserve">In other words, midway through testing, updates may be made to the protocol and or/design features, for further assessment. </w:t>
      </w:r>
    </w:p>
    <w:p w:rsidR="00B101CD" w:rsidP="00B101CD" w14:paraId="1DF22C16" w14:textId="77777777">
      <w:pPr>
        <w:rPr>
          <w:b/>
          <w:bCs/>
        </w:rPr>
      </w:pPr>
      <w:r>
        <w:rPr>
          <w:b/>
          <w:bCs/>
        </w:rPr>
        <w:t>Recruitment/Burden hours</w:t>
      </w:r>
    </w:p>
    <w:p w:rsidR="00B101CD" w:rsidRPr="00B101CD" w:rsidP="00B101CD" w14:paraId="6E920295" w14:textId="5C50F14B">
      <w:r>
        <w:t xml:space="preserve">There is no expected change in the original burden hours </w:t>
      </w:r>
      <w:r w:rsidR="00BE59B6">
        <w:t xml:space="preserve">or recruitment sample </w:t>
      </w:r>
      <w:r>
        <w:t>requested for this usability evaluation</w:t>
      </w:r>
      <w:r w:rsidR="00BE59B6">
        <w:t>.</w:t>
      </w:r>
      <w:r w:rsidR="009652D3">
        <w:t xml:space="preserve"> For these added materials/user tasks- only multi-unit (MU) </w:t>
      </w:r>
      <w:r w:rsidR="00C503AB">
        <w:t xml:space="preserve">companies </w:t>
      </w:r>
      <w:r w:rsidR="009652D3">
        <w:t>will be selected as they are the intended users of the spreadsheet reporting option.</w:t>
      </w:r>
    </w:p>
    <w:p w:rsidR="002845B1" w:rsidRPr="002845B1" w14:paraId="4FC3E1C8" w14:textId="671441CC">
      <w:pPr>
        <w:rPr>
          <w:b/>
          <w:bCs/>
        </w:rPr>
      </w:pPr>
      <w:r w:rsidRPr="002845B1">
        <w:rPr>
          <w:b/>
          <w:bCs/>
        </w:rPr>
        <w:t xml:space="preserve">Updated </w:t>
      </w:r>
      <w:r w:rsidR="00EF0B72">
        <w:rPr>
          <w:b/>
          <w:bCs/>
        </w:rPr>
        <w:t>Method</w:t>
      </w:r>
    </w:p>
    <w:p w:rsidR="002845B1" w14:paraId="28B98827" w14:textId="4B2F7ABE">
      <w:r>
        <w:t>I</w:t>
      </w:r>
      <w:r w:rsidR="00BE59B6">
        <w:t>n</w:t>
      </w:r>
      <w:r>
        <w:t xml:space="preserve"> light of</w:t>
      </w:r>
      <w:r w:rsidR="00EF0B72">
        <w:t xml:space="preserve"> the</w:t>
      </w:r>
      <w:r>
        <w:t xml:space="preserve"> additional </w:t>
      </w:r>
      <w:r w:rsidR="00BE59B6">
        <w:t xml:space="preserve">design </w:t>
      </w:r>
      <w:r>
        <w:t xml:space="preserve">features to be included in the evaluation, we are proposing an updated </w:t>
      </w:r>
      <w:r w:rsidR="00C503AB">
        <w:t xml:space="preserve">roll-out </w:t>
      </w:r>
      <w:r>
        <w:t>for this evaluation</w:t>
      </w:r>
      <w:r w:rsidR="00C503AB">
        <w:t xml:space="preserve"> to encompass three rounds of testing</w:t>
      </w:r>
      <w:r>
        <w:t xml:space="preserve">. The first round of testing will be focused primarily on this new </w:t>
      </w:r>
      <w:r w:rsidR="00EF0B72">
        <w:t xml:space="preserve">addendum to evaluate the updated </w:t>
      </w:r>
      <w:r>
        <w:t xml:space="preserve">spreadsheet </w:t>
      </w:r>
      <w:r w:rsidR="00EF0B72">
        <w:t>design</w:t>
      </w:r>
      <w:r>
        <w:t xml:space="preserve">. </w:t>
      </w:r>
      <w:r w:rsidR="00BE59B6">
        <w:t xml:space="preserve">There will be an additional </w:t>
      </w:r>
      <w:r w:rsidR="00C503AB">
        <w:t xml:space="preserve">two </w:t>
      </w:r>
      <w:r w:rsidR="00BE59B6">
        <w:t xml:space="preserve">rounds of testing to assess the design features proposed in the original request. </w:t>
      </w:r>
    </w:p>
    <w:p w:rsidR="00DB7E35" w14:paraId="17DEBF84" w14:textId="77777777"/>
    <w:p w:rsidR="00DB7E35" w:rsidRPr="00C128F1" w:rsidP="00DB7E35" w14:paraId="325FD122" w14:textId="77777777">
      <w:pPr>
        <w:rPr>
          <w:b/>
        </w:rPr>
      </w:pPr>
      <w:r w:rsidRPr="00C128F1">
        <w:rPr>
          <w:b/>
        </w:rPr>
        <w:t xml:space="preserve">Enclosures:  </w:t>
      </w:r>
    </w:p>
    <w:p w:rsidR="00DB7E35" w:rsidRPr="002162C6" w:rsidP="00DB7E35" w14:paraId="20E6D41A" w14:textId="77777777">
      <w:pPr>
        <w:rPr>
          <w:bCs/>
        </w:rPr>
      </w:pPr>
      <w:r w:rsidRPr="002162C6">
        <w:rPr>
          <w:bCs/>
        </w:rPr>
        <w:t xml:space="preserve">Included in this </w:t>
      </w:r>
      <w:r>
        <w:rPr>
          <w:bCs/>
        </w:rPr>
        <w:t>update</w:t>
      </w:r>
      <w:r w:rsidRPr="002162C6">
        <w:rPr>
          <w:bCs/>
        </w:rPr>
        <w:t xml:space="preserve"> are the following enclosures:</w:t>
      </w:r>
    </w:p>
    <w:p w:rsidR="00DB7E35" w:rsidP="00DB7E35" w14:paraId="5263BF9D" w14:textId="609B96BF">
      <w:pPr>
        <w:numPr>
          <w:ilvl w:val="0"/>
          <w:numId w:val="1"/>
        </w:numPr>
        <w:rPr>
          <w:bCs/>
        </w:rPr>
      </w:pPr>
      <w:bookmarkStart w:id="0" w:name="_Hlk85727766"/>
      <w:r w:rsidRPr="002162C6">
        <w:rPr>
          <w:bCs/>
        </w:rPr>
        <w:t xml:space="preserve">Attachment </w:t>
      </w:r>
      <w:r>
        <w:rPr>
          <w:bCs/>
        </w:rPr>
        <w:t>A:</w:t>
      </w:r>
      <w:r w:rsidRPr="002162C6">
        <w:rPr>
          <w:bCs/>
        </w:rPr>
        <w:t xml:space="preserve"> </w:t>
      </w:r>
      <w:r>
        <w:rPr>
          <w:bCs/>
        </w:rPr>
        <w:t>Original Protocol</w:t>
      </w:r>
    </w:p>
    <w:p w:rsidR="00DB7E35" w:rsidRPr="002162C6" w:rsidP="00DB7E35" w14:paraId="0FE7EB66" w14:textId="3F9F3C53">
      <w:pPr>
        <w:numPr>
          <w:ilvl w:val="0"/>
          <w:numId w:val="1"/>
        </w:numPr>
        <w:rPr>
          <w:bCs/>
        </w:rPr>
      </w:pPr>
      <w:r w:rsidRPr="00DB7E35">
        <w:rPr>
          <w:b/>
        </w:rPr>
        <w:t>Attachment A</w:t>
      </w:r>
      <w:r w:rsidR="00E067B9">
        <w:rPr>
          <w:b/>
        </w:rPr>
        <w:t>_</w:t>
      </w:r>
      <w:r w:rsidRPr="00DB7E35">
        <w:rPr>
          <w:b/>
        </w:rPr>
        <w:t xml:space="preserve">2: </w:t>
      </w:r>
      <w:r>
        <w:rPr>
          <w:bCs/>
        </w:rPr>
        <w:t>Addendum to the Original Protocol</w:t>
      </w:r>
    </w:p>
    <w:p w:rsidR="00DB7E35" w:rsidRPr="00DB7E35" w:rsidP="00DB7E35" w14:paraId="13F7D570" w14:textId="77777777">
      <w:pPr>
        <w:numPr>
          <w:ilvl w:val="0"/>
          <w:numId w:val="1"/>
        </w:numPr>
        <w:rPr>
          <w:bCs/>
        </w:rPr>
      </w:pPr>
      <w:r w:rsidRPr="00DB7E35">
        <w:rPr>
          <w:bCs/>
        </w:rPr>
        <w:t>Attachment B: Answer Key for respondent data entry tasks</w:t>
      </w:r>
    </w:p>
    <w:p w:rsidR="00DB7E35" w:rsidP="00DB7E35" w14:paraId="25C3D42C" w14:textId="77777777">
      <w:pPr>
        <w:numPr>
          <w:ilvl w:val="0"/>
          <w:numId w:val="1"/>
        </w:numPr>
        <w:rPr>
          <w:bCs/>
        </w:rPr>
      </w:pPr>
      <w:r w:rsidRPr="00DB7E35">
        <w:rPr>
          <w:bCs/>
        </w:rPr>
        <w:t>Attachment C: Screenshots of the production instrument and reporting spreadsheet.</w:t>
      </w:r>
    </w:p>
    <w:p w:rsidR="00DB7E35" w:rsidRPr="00DB7E35" w:rsidP="00DB7E35" w14:paraId="4D5CE0EC" w14:textId="2E9F6EE6">
      <w:pPr>
        <w:numPr>
          <w:ilvl w:val="0"/>
          <w:numId w:val="1"/>
        </w:numPr>
        <w:rPr>
          <w:bCs/>
        </w:rPr>
      </w:pPr>
      <w:r w:rsidRPr="00DB7E35">
        <w:rPr>
          <w:b/>
        </w:rPr>
        <w:t>Attachment C</w:t>
      </w:r>
      <w:r w:rsidR="00E067B9">
        <w:rPr>
          <w:b/>
        </w:rPr>
        <w:t>_</w:t>
      </w:r>
      <w:r w:rsidRPr="00DB7E35">
        <w:rPr>
          <w:b/>
        </w:rPr>
        <w:t>2</w:t>
      </w:r>
      <w:r w:rsidRPr="00DB7E35">
        <w:rPr>
          <w:bCs/>
        </w:rPr>
        <w:t xml:space="preserve">: </w:t>
      </w:r>
      <w:r>
        <w:rPr>
          <w:bCs/>
        </w:rPr>
        <w:t>Addendum</w:t>
      </w:r>
      <w:r w:rsidR="000065D2">
        <w:rPr>
          <w:bCs/>
        </w:rPr>
        <w:t xml:space="preserve">_draft of additional respondent materials for usability evaluation Note: The final draft of the spreadsheet template is subject to minor changes </w:t>
      </w:r>
    </w:p>
    <w:p w:rsidR="00DB7E35" w:rsidP="00DB7E35" w14:paraId="64AF7572" w14:textId="77777777">
      <w:pPr>
        <w:numPr>
          <w:ilvl w:val="0"/>
          <w:numId w:val="1"/>
        </w:numPr>
        <w:rPr>
          <w:bCs/>
        </w:rPr>
      </w:pPr>
      <w:r w:rsidRPr="00DB7E35">
        <w:rPr>
          <w:bCs/>
        </w:rPr>
        <w:t>Attachment D: Consent Form to obtain participant consent for participation and recording of the cognitive interview session</w:t>
      </w:r>
    </w:p>
    <w:p w:rsidR="00E067B9" w:rsidP="00DB7E35" w14:paraId="3D5CAC9C" w14:textId="171ADCCB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Attachment E: Report of prior usability findings warranting changes in design featured for the downloadable spreadsheet template reporting </w:t>
      </w:r>
    </w:p>
    <w:p w:rsidR="00DB7E35" w:rsidRPr="00DB7E35" w:rsidP="00DB7E35" w14:paraId="61045467" w14:textId="77777777">
      <w:pPr>
        <w:ind w:left="720"/>
        <w:rPr>
          <w:bCs/>
        </w:rPr>
      </w:pPr>
    </w:p>
    <w:bookmarkEnd w:id="0"/>
    <w:p w:rsidR="00DB7E35" w:rsidP="00DB7E35" w14:paraId="472526D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32FFF">
        <w:t>The contact person for questions regarding</w:t>
      </w:r>
      <w:r>
        <w:t xml:space="preserve"> data collection and statistical aspects of the design of </w:t>
      </w:r>
      <w:r w:rsidRPr="00B32FFF">
        <w:t>this research is</w:t>
      </w:r>
      <w:r>
        <w:t xml:space="preserve"> listed below</w:t>
      </w:r>
      <w:r w:rsidRPr="00B32FFF">
        <w:t>:</w:t>
      </w:r>
    </w:p>
    <w:p w:rsidR="00DB7E35" w:rsidRPr="009A1991" w:rsidP="00DB7E35" w14:paraId="77506B9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  <w:t>Rebecca Keegan</w:t>
      </w:r>
    </w:p>
    <w:p w:rsidR="00DB7E35" w:rsidRPr="009A1991" w:rsidP="00DB7E35" w14:paraId="633D278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:rsidR="00DB7E35" w:rsidRPr="009A1991" w:rsidP="00DB7E35" w14:paraId="3C22103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:rsidR="00DB7E35" w:rsidRPr="009A1991" w:rsidP="00DB7E35" w14:paraId="01D5650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:rsidR="00DB7E35" w:rsidRPr="009A1991" w:rsidP="00DB7E35" w14:paraId="72917CD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>
        <w:t>6003</w:t>
      </w:r>
    </w:p>
    <w:p w:rsidR="00DB7E35" w:rsidP="00DB7E35" w14:paraId="526FCA0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rebecca.keegan@census.gov</w:t>
      </w:r>
    </w:p>
    <w:p w:rsidR="00DB7E35" w:rsidP="00DB7E35" w14:paraId="25A76C9B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DB7E35" w:rsidP="00DB7E35" w14:paraId="22FE30E8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DB7E35" w:rsidRPr="00F40B2A" w:rsidP="00DB7E35" w14:paraId="0CA6E969" w14:textId="77777777">
      <w:pPr>
        <w:rPr>
          <w:rFonts w:cstheme="minorHAnsi"/>
        </w:rPr>
      </w:pPr>
      <w:r w:rsidRPr="00624BC1">
        <w:t>cc:</w:t>
      </w:r>
      <w:r>
        <w:t xml:space="preserve"> </w:t>
      </w:r>
      <w:r w:rsidRPr="00624BC1">
        <w:br/>
      </w:r>
      <w:r>
        <w:t>Nick Orsini</w:t>
      </w:r>
      <w:r>
        <w:tab/>
      </w:r>
      <w:r>
        <w:tab/>
      </w:r>
      <w:r>
        <w:tab/>
        <w:t xml:space="preserve">(ADEP) </w:t>
      </w:r>
    </w:p>
    <w:p w:rsidR="00DB7E35" w:rsidRPr="00F40B2A" w:rsidP="00DB7E35" w14:paraId="7A550C4D" w14:textId="77777777">
      <w:pPr>
        <w:rPr>
          <w:rFonts w:cstheme="minorHAnsi"/>
        </w:rPr>
      </w:pPr>
      <w:r w:rsidRPr="0060055F">
        <w:rPr>
          <w:rFonts w:cstheme="minorHAnsi"/>
        </w:rPr>
        <w:t>Stephanie Stud</w:t>
      </w:r>
      <w:r>
        <w:rPr>
          <w:rFonts w:cstheme="minorHAnsi"/>
        </w:rPr>
        <w:t>d</w:t>
      </w:r>
      <w:r w:rsidRPr="0060055F">
        <w:rPr>
          <w:rFonts w:cstheme="minorHAnsi"/>
        </w:rPr>
        <w:t>s</w:t>
      </w:r>
      <w:r w:rsidRPr="0060055F">
        <w:rPr>
          <w:rFonts w:cstheme="minorHAnsi"/>
        </w:rPr>
        <w:tab/>
      </w:r>
      <w:r w:rsidRPr="0060055F">
        <w:rPr>
          <w:rFonts w:cstheme="minorHAnsi"/>
        </w:rPr>
        <w:tab/>
        <w:t>(ADEP)</w:t>
      </w:r>
      <w:r w:rsidRPr="0060055F">
        <w:rPr>
          <w:rFonts w:cstheme="minorHAnsi"/>
        </w:rPr>
        <w:tab/>
      </w:r>
    </w:p>
    <w:p w:rsidR="00DB7E35" w:rsidRPr="00F40B2A" w:rsidP="00DB7E35" w14:paraId="2BC5D7CA" w14:textId="5DEA7ED3">
      <w:pPr>
        <w:rPr>
          <w:rFonts w:cstheme="minorHAnsi"/>
        </w:rPr>
      </w:pPr>
      <w:r w:rsidRPr="0060055F">
        <w:rPr>
          <w:rFonts w:cstheme="minorHAnsi"/>
        </w:rPr>
        <w:t>Blynda Metcalf</w:t>
      </w:r>
      <w:r w:rsidRPr="0060055F">
        <w:rPr>
          <w:rFonts w:cstheme="minorHAnsi"/>
        </w:rPr>
        <w:tab/>
      </w:r>
      <w:r w:rsidRPr="0060055F">
        <w:rPr>
          <w:rFonts w:cstheme="minorHAnsi"/>
        </w:rPr>
        <w:tab/>
      </w:r>
      <w:r>
        <w:rPr>
          <w:rFonts w:cstheme="minorHAnsi"/>
        </w:rPr>
        <w:tab/>
      </w:r>
      <w:r w:rsidRPr="0060055F">
        <w:rPr>
          <w:rFonts w:cstheme="minorHAnsi"/>
        </w:rPr>
        <w:t>(ADEP)</w:t>
      </w:r>
      <w:r>
        <w:rPr>
          <w:rFonts w:cstheme="minorHAnsi"/>
        </w:rPr>
        <w:tab/>
      </w:r>
    </w:p>
    <w:p w:rsidR="00DB7E35" w:rsidP="00DB7E35" w14:paraId="5FF436EC" w14:textId="08105726">
      <w:r w:rsidRPr="00624BC1">
        <w:t>Amy Anderson Riemer</w:t>
      </w:r>
      <w:r>
        <w:t xml:space="preserve"> </w:t>
      </w:r>
      <w:r w:rsidRPr="00624BC1">
        <w:tab/>
      </w:r>
      <w:r>
        <w:tab/>
      </w:r>
      <w:r w:rsidRPr="00624BC1">
        <w:t>(ESMD)</w:t>
      </w:r>
      <w:r>
        <w:t xml:space="preserve"> </w:t>
      </w:r>
      <w:r>
        <w:tab/>
      </w:r>
    </w:p>
    <w:p w:rsidR="00DB7E35" w:rsidRPr="00624BC1" w:rsidP="00DB7E35" w14:paraId="21EA0787" w14:textId="1CC1AD11">
      <w:r>
        <w:t xml:space="preserve">Temika Holland </w:t>
      </w:r>
      <w:r>
        <w:tab/>
      </w:r>
      <w:r>
        <w:tab/>
      </w:r>
      <w:r>
        <w:tab/>
        <w:t>(ESMD)</w:t>
      </w:r>
    </w:p>
    <w:p w:rsidR="00DB7E35" w:rsidP="00DB7E35" w14:paraId="36EBF412" w14:textId="75EBEEE5">
      <w:r>
        <w:t>Lisa Donaldson</w:t>
      </w:r>
      <w:r>
        <w:tab/>
      </w:r>
      <w:r>
        <w:tab/>
      </w:r>
      <w:r>
        <w:tab/>
        <w:t>(EMD)</w:t>
      </w:r>
      <w:r>
        <w:tab/>
      </w:r>
      <w:r>
        <w:tab/>
      </w:r>
    </w:p>
    <w:p w:rsidR="00DB7E35" w:rsidRPr="00F40B2A" w:rsidP="00DB7E35" w14:paraId="14FF2571" w14:textId="7738B9D4">
      <w:pPr>
        <w:rPr>
          <w:rFonts w:cstheme="minorHAnsi"/>
        </w:rPr>
      </w:pPr>
      <w:r w:rsidRPr="0060055F">
        <w:rPr>
          <w:rFonts w:cstheme="minorHAnsi"/>
        </w:rPr>
        <w:t>Shelley Karlsson</w:t>
      </w:r>
      <w:r w:rsidRPr="0060055F">
        <w:rPr>
          <w:rFonts w:cstheme="minorHAnsi"/>
        </w:rPr>
        <w:tab/>
      </w:r>
      <w:r w:rsidRPr="0060055F">
        <w:rPr>
          <w:rFonts w:cstheme="minorHAnsi"/>
        </w:rPr>
        <w:tab/>
      </w:r>
      <w:r>
        <w:rPr>
          <w:rFonts w:cstheme="minorHAnsi"/>
        </w:rPr>
        <w:tab/>
      </w:r>
      <w:r w:rsidRPr="0060055F">
        <w:rPr>
          <w:rFonts w:cstheme="minorHAnsi"/>
        </w:rPr>
        <w:t>(EMD)</w:t>
      </w:r>
      <w:r>
        <w:rPr>
          <w:rFonts w:cstheme="minorHAnsi"/>
        </w:rPr>
        <w:tab/>
      </w:r>
      <w:r w:rsidRPr="0060055F">
        <w:rPr>
          <w:rFonts w:cstheme="minorHAnsi"/>
        </w:rPr>
        <w:tab/>
      </w:r>
    </w:p>
    <w:p w:rsidR="00DB7E35" w:rsidP="00DB7E35" w14:paraId="1B4C1DCB" w14:textId="0E71486E">
      <w:r>
        <w:t>Melissa Cidade</w:t>
      </w:r>
      <w:r>
        <w:tab/>
      </w:r>
      <w:r>
        <w:tab/>
      </w:r>
      <w:r>
        <w:tab/>
        <w:t>(</w:t>
      </w:r>
      <w:r w:rsidR="00C503AB">
        <w:t>EWD</w:t>
      </w:r>
      <w:r>
        <w:t>)</w:t>
      </w:r>
      <w:r w:rsidRPr="007F39E2">
        <w:rPr>
          <w:rFonts w:cstheme="minorHAnsi"/>
        </w:rPr>
        <w:t xml:space="preserve"> </w:t>
      </w:r>
    </w:p>
    <w:p w:rsidR="00DB7E35" w:rsidRPr="00BD2AB0" w:rsidP="00DB7E35" w14:paraId="521FC1FF" w14:textId="77777777">
      <w:pPr>
        <w:rPr>
          <w:rFonts w:cstheme="minorHAnsi"/>
        </w:rPr>
      </w:pPr>
      <w:r w:rsidRPr="0060055F">
        <w:rPr>
          <w:rFonts w:cstheme="minorHAnsi"/>
        </w:rPr>
        <w:t>Edward Watkins</w:t>
      </w:r>
      <w:r w:rsidRPr="0060055F">
        <w:rPr>
          <w:rFonts w:cstheme="minorHAnsi"/>
        </w:rPr>
        <w:tab/>
      </w:r>
      <w:r w:rsidRPr="0060055F">
        <w:rPr>
          <w:rFonts w:cstheme="minorHAnsi"/>
        </w:rPr>
        <w:tab/>
        <w:t>(EWD)</w:t>
      </w:r>
      <w:r>
        <w:rPr>
          <w:rFonts w:cstheme="minorHAnsi"/>
        </w:rPr>
        <w:tab/>
      </w:r>
    </w:p>
    <w:p w:rsidR="00DB7E35" w:rsidRPr="00624BC1" w:rsidP="00DB7E35" w14:paraId="276237E5" w14:textId="77777777">
      <w:r w:rsidRPr="59C7140B">
        <w:t>Aleia Clark Fobia</w:t>
      </w:r>
      <w:r w:rsidRPr="00624BC1">
        <w:tab/>
      </w:r>
      <w:r>
        <w:tab/>
      </w:r>
      <w:r w:rsidRPr="00624BC1">
        <w:t>(ADRM)</w:t>
      </w:r>
      <w:r>
        <w:t xml:space="preserve"> </w:t>
      </w:r>
      <w:r>
        <w:tab/>
      </w:r>
    </w:p>
    <w:p w:rsidR="00DB7E35" w:rsidP="00DB7E35" w14:paraId="7E070103" w14:textId="77777777">
      <w:r w:rsidRPr="00624BC1">
        <w:t>Jasmine Luck</w:t>
      </w:r>
      <w:r w:rsidRPr="00624BC1">
        <w:tab/>
      </w:r>
      <w:r w:rsidRPr="00624BC1">
        <w:tab/>
      </w:r>
      <w:r w:rsidRPr="00624BC1">
        <w:tab/>
        <w:t>(ADRM)</w:t>
      </w:r>
      <w:r>
        <w:t xml:space="preserve"> </w:t>
      </w:r>
      <w:r>
        <w:tab/>
      </w:r>
    </w:p>
    <w:p w:rsidR="00DB7E35" w:rsidP="00DB7E35" w14:paraId="6DBED276" w14:textId="77777777"/>
    <w:p w:rsidR="00DB7E35" w:rsidRPr="00854043" w:rsidP="00DB7E35" w14:paraId="4C9CFB2B" w14:textId="77777777">
      <w:pPr>
        <w:rPr>
          <w:color w:val="FF3399"/>
        </w:rPr>
      </w:pPr>
    </w:p>
    <w:p w:rsidR="00DB7E35" w14:paraId="7A15D38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AD30BC"/>
    <w:multiLevelType w:val="hybridMultilevel"/>
    <w:tmpl w:val="AB1CE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A9"/>
    <w:rsid w:val="000065D2"/>
    <w:rsid w:val="001B0290"/>
    <w:rsid w:val="002162C6"/>
    <w:rsid w:val="002845B1"/>
    <w:rsid w:val="0060055F"/>
    <w:rsid w:val="00624BC1"/>
    <w:rsid w:val="007120E0"/>
    <w:rsid w:val="007F39E2"/>
    <w:rsid w:val="00854043"/>
    <w:rsid w:val="009652D3"/>
    <w:rsid w:val="009A1991"/>
    <w:rsid w:val="00B06CA9"/>
    <w:rsid w:val="00B101CD"/>
    <w:rsid w:val="00B32FFF"/>
    <w:rsid w:val="00BC2639"/>
    <w:rsid w:val="00BD2AB0"/>
    <w:rsid w:val="00BE59B6"/>
    <w:rsid w:val="00C128F1"/>
    <w:rsid w:val="00C503AB"/>
    <w:rsid w:val="00C84CC0"/>
    <w:rsid w:val="00DB7E35"/>
    <w:rsid w:val="00E067B9"/>
    <w:rsid w:val="00E14C14"/>
    <w:rsid w:val="00EF0B72"/>
    <w:rsid w:val="00F40B2A"/>
    <w:rsid w:val="00F85E5F"/>
    <w:rsid w:val="59C714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08FBD"/>
  <w15:chartTrackingRefBased/>
  <w15:docId w15:val="{A4117B9C-F6BA-460A-9662-76C45425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CA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CA9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E5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9B6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9B6"/>
    <w:rPr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DB7E35"/>
    <w:pPr>
      <w:ind w:left="720"/>
      <w:contextualSpacing/>
    </w:pPr>
  </w:style>
  <w:style w:type="paragraph" w:styleId="Revision">
    <w:name w:val="Revision"/>
    <w:hidden/>
    <w:uiPriority w:val="99"/>
    <w:semiHidden/>
    <w:rsid w:val="00C503A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 (CENSUS/ESMD FED)</dc:creator>
  <cp:lastModifiedBy>Temika Holland (CENSUS/ESMD FED)</cp:lastModifiedBy>
  <cp:revision>3</cp:revision>
  <dcterms:created xsi:type="dcterms:W3CDTF">2024-07-08T14:14:00Z</dcterms:created>
  <dcterms:modified xsi:type="dcterms:W3CDTF">2024-07-11T16:50:00Z</dcterms:modified>
</cp:coreProperties>
</file>