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14D20" w14:paraId="1773FCBF" w14:textId="77777777">
      <w:pPr>
        <w:pBdr>
          <w:top w:val="nil"/>
          <w:left w:val="nil"/>
          <w:bottom w:val="nil"/>
          <w:right w:val="nil"/>
          <w:between w:val="nil"/>
        </w:pBdr>
        <w:tabs>
          <w:tab w:val="center" w:pos="4320"/>
          <w:tab w:val="right" w:pos="8640"/>
        </w:tabs>
        <w:jc w:val="center"/>
        <w:rPr>
          <w:b/>
          <w:color w:val="000000"/>
          <w:sz w:val="24"/>
          <w:szCs w:val="24"/>
        </w:rPr>
      </w:pPr>
      <w:r>
        <w:rPr>
          <w:b/>
          <w:color w:val="000000"/>
          <w:sz w:val="24"/>
          <w:szCs w:val="24"/>
        </w:rPr>
        <w:t>General Services Administration</w:t>
      </w:r>
    </w:p>
    <w:p w:rsidR="00614D20" w14:paraId="57B3E681" w14:textId="77777777">
      <w:pPr>
        <w:pBdr>
          <w:top w:val="nil"/>
          <w:left w:val="nil"/>
          <w:bottom w:val="nil"/>
          <w:right w:val="nil"/>
          <w:between w:val="nil"/>
        </w:pBdr>
        <w:tabs>
          <w:tab w:val="center" w:pos="4320"/>
          <w:tab w:val="right" w:pos="8640"/>
        </w:tabs>
        <w:jc w:val="center"/>
        <w:rPr>
          <w:b/>
          <w:color w:val="000000"/>
          <w:sz w:val="24"/>
          <w:szCs w:val="24"/>
        </w:rPr>
      </w:pPr>
      <w:r>
        <w:rPr>
          <w:b/>
          <w:color w:val="000000"/>
          <w:sz w:val="24"/>
          <w:szCs w:val="24"/>
        </w:rPr>
        <w:t xml:space="preserve">Contractor Information Worksheet </w:t>
      </w:r>
    </w:p>
    <w:p w:rsidR="00614D20" w14:paraId="2B9EC8C4" w14:textId="77777777">
      <w:pPr>
        <w:pBdr>
          <w:top w:val="nil"/>
          <w:left w:val="nil"/>
          <w:bottom w:val="nil"/>
          <w:right w:val="nil"/>
          <w:between w:val="nil"/>
        </w:pBdr>
        <w:tabs>
          <w:tab w:val="center" w:pos="4320"/>
          <w:tab w:val="right" w:pos="8640"/>
        </w:tabs>
        <w:jc w:val="center"/>
        <w:rPr>
          <w:b/>
          <w:color w:val="000000"/>
          <w:sz w:val="24"/>
          <w:szCs w:val="24"/>
        </w:rPr>
      </w:pPr>
      <w:r>
        <w:rPr>
          <w:b/>
          <w:color w:val="000000"/>
          <w:sz w:val="24"/>
          <w:szCs w:val="24"/>
        </w:rPr>
        <w:t>OMB Control Number 3090-0283; GSA Form 850</w:t>
      </w:r>
    </w:p>
    <w:p w:rsidR="00614D20" w14:paraId="0588E23F" w14:textId="77777777">
      <w:pPr>
        <w:pBdr>
          <w:top w:val="nil"/>
          <w:left w:val="nil"/>
          <w:bottom w:val="nil"/>
          <w:right w:val="nil"/>
          <w:between w:val="nil"/>
        </w:pBdr>
        <w:tabs>
          <w:tab w:val="center" w:pos="4320"/>
          <w:tab w:val="right" w:pos="8640"/>
        </w:tabs>
        <w:jc w:val="center"/>
        <w:rPr>
          <w:b/>
          <w:color w:val="000000"/>
          <w:sz w:val="24"/>
          <w:szCs w:val="24"/>
        </w:rPr>
      </w:pPr>
      <w:r>
        <w:rPr>
          <w:b/>
          <w:color w:val="000000"/>
          <w:sz w:val="24"/>
          <w:szCs w:val="24"/>
        </w:rPr>
        <w:t xml:space="preserve">Justification – Part A Supporting Statement </w:t>
      </w:r>
    </w:p>
    <w:p w:rsidR="00614D20" w14:paraId="6F5C3299" w14:textId="77777777">
      <w:pPr>
        <w:pBdr>
          <w:top w:val="nil"/>
          <w:left w:val="nil"/>
          <w:bottom w:val="nil"/>
          <w:right w:val="nil"/>
          <w:between w:val="nil"/>
        </w:pBdr>
        <w:tabs>
          <w:tab w:val="center" w:pos="4320"/>
          <w:tab w:val="right" w:pos="8640"/>
        </w:tabs>
        <w:jc w:val="center"/>
        <w:rPr>
          <w:b/>
          <w:color w:val="000000"/>
          <w:sz w:val="24"/>
          <w:szCs w:val="24"/>
        </w:rPr>
      </w:pPr>
    </w:p>
    <w:p w:rsidR="00614D20" w14:paraId="3F0DFBC3" w14:textId="77777777">
      <w:pPr>
        <w:pStyle w:val="Heading2"/>
      </w:pPr>
    </w:p>
    <w:p w:rsidR="00614D20" w14:paraId="16803C23" w14:textId="77777777">
      <w:pPr>
        <w:pBdr>
          <w:top w:val="nil"/>
          <w:left w:val="nil"/>
          <w:bottom w:val="nil"/>
          <w:right w:val="nil"/>
          <w:between w:val="nil"/>
        </w:pBdr>
        <w:rPr>
          <w:b/>
          <w:color w:val="000000"/>
          <w:sz w:val="24"/>
          <w:szCs w:val="24"/>
          <w:u w:val="single"/>
        </w:rPr>
      </w:pPr>
      <w:r>
        <w:rPr>
          <w:b/>
          <w:color w:val="000000"/>
          <w:sz w:val="24"/>
          <w:szCs w:val="24"/>
          <w:u w:val="single"/>
        </w:rPr>
        <w:t xml:space="preserve">Overview of Information Collection:  </w:t>
      </w:r>
    </w:p>
    <w:p w:rsidR="00614D20" w14:paraId="508FCB74" w14:textId="77777777">
      <w:pPr>
        <w:pBdr>
          <w:top w:val="nil"/>
          <w:left w:val="nil"/>
          <w:bottom w:val="nil"/>
          <w:right w:val="nil"/>
          <w:between w:val="nil"/>
        </w:pBdr>
        <w:rPr>
          <w:b/>
          <w:sz w:val="24"/>
          <w:szCs w:val="24"/>
          <w:u w:val="single"/>
        </w:rPr>
      </w:pPr>
    </w:p>
    <w:p w:rsidR="00614D20" w14:paraId="377CF895" w14:textId="77777777">
      <w:pPr>
        <w:widowControl w:val="0"/>
        <w:tabs>
          <w:tab w:val="left" w:pos="820"/>
          <w:tab w:val="left" w:pos="821"/>
        </w:tabs>
        <w:ind w:right="195"/>
        <w:rPr>
          <w:sz w:val="24"/>
          <w:szCs w:val="24"/>
        </w:rPr>
      </w:pPr>
      <w:r>
        <w:rPr>
          <w:sz w:val="24"/>
          <w:szCs w:val="24"/>
        </w:rPr>
        <w:t>This is a request for approval of an extension of an existing information collection.</w:t>
      </w:r>
    </w:p>
    <w:p w:rsidR="00614D20" w14:paraId="505944FE" w14:textId="77777777">
      <w:pPr>
        <w:pBdr>
          <w:top w:val="nil"/>
          <w:left w:val="nil"/>
          <w:bottom w:val="nil"/>
          <w:right w:val="nil"/>
          <w:between w:val="nil"/>
        </w:pBdr>
        <w:ind w:right="195"/>
        <w:rPr>
          <w:color w:val="000000"/>
          <w:sz w:val="24"/>
          <w:szCs w:val="24"/>
        </w:rPr>
      </w:pPr>
    </w:p>
    <w:p w:rsidR="00614D20" w14:paraId="0BB8AE73" w14:textId="77777777">
      <w:pPr>
        <w:rPr>
          <w:sz w:val="24"/>
          <w:szCs w:val="24"/>
        </w:rPr>
      </w:pPr>
      <w:r>
        <w:rPr>
          <w:sz w:val="24"/>
          <w:szCs w:val="24"/>
        </w:rPr>
        <w:t xml:space="preserve">Information collected through GSA Form 850, Contractor Information Worksheet, is necessary to authorize and initiate background check requests for GSA contractor employees (sometimes referred to as applicants) and for such employees to obtain a GSA access card, if needed. A GSA access card allows a contractor employee to be granted access and work in GSA controlled facilities. </w:t>
      </w:r>
    </w:p>
    <w:p w:rsidR="00614D20" w14:paraId="47093404" w14:textId="77777777">
      <w:pPr>
        <w:rPr>
          <w:sz w:val="24"/>
          <w:szCs w:val="24"/>
        </w:rPr>
      </w:pPr>
    </w:p>
    <w:p w:rsidR="00614D20" w14:paraId="471D46CF" w14:textId="77777777">
      <w:pPr>
        <w:widowControl w:val="0"/>
        <w:rPr>
          <w:sz w:val="24"/>
          <w:szCs w:val="24"/>
        </w:rPr>
      </w:pPr>
      <w:r>
        <w:rPr>
          <w:sz w:val="24"/>
          <w:szCs w:val="24"/>
        </w:rPr>
        <w:t>The following are changes of importance that have occurred since the last extension approval:</w:t>
      </w:r>
    </w:p>
    <w:p w:rsidR="00614D20" w14:paraId="4932465F" w14:textId="77777777">
      <w:pPr>
        <w:widowControl w:val="0"/>
        <w:rPr>
          <w:sz w:val="24"/>
          <w:szCs w:val="24"/>
        </w:rPr>
      </w:pPr>
    </w:p>
    <w:p w:rsidR="00614D20" w14:paraId="28C275D1" w14:textId="77777777">
      <w:pPr>
        <w:numPr>
          <w:ilvl w:val="0"/>
          <w:numId w:val="3"/>
        </w:numPr>
        <w:rPr>
          <w:sz w:val="24"/>
          <w:szCs w:val="24"/>
        </w:rPr>
      </w:pPr>
      <w:r>
        <w:rPr>
          <w:sz w:val="24"/>
          <w:szCs w:val="24"/>
        </w:rPr>
        <w:t>The total estimated response per year decreased due to the use of updated data. The total estimated responses changed-</w:t>
      </w:r>
    </w:p>
    <w:p w:rsidR="00614D20" w14:paraId="472E9B75" w14:textId="77777777">
      <w:pPr>
        <w:numPr>
          <w:ilvl w:val="1"/>
          <w:numId w:val="3"/>
        </w:numPr>
        <w:rPr>
          <w:sz w:val="24"/>
          <w:szCs w:val="24"/>
        </w:rPr>
      </w:pPr>
      <w:r>
        <w:rPr>
          <w:sz w:val="24"/>
          <w:szCs w:val="24"/>
        </w:rPr>
        <w:t>From: 25,000</w:t>
      </w:r>
    </w:p>
    <w:p w:rsidR="00614D20" w14:paraId="620EAABF" w14:textId="77777777">
      <w:pPr>
        <w:numPr>
          <w:ilvl w:val="1"/>
          <w:numId w:val="3"/>
        </w:numPr>
        <w:rPr>
          <w:sz w:val="24"/>
          <w:szCs w:val="24"/>
        </w:rPr>
      </w:pPr>
      <w:r>
        <w:rPr>
          <w:sz w:val="24"/>
          <w:szCs w:val="24"/>
        </w:rPr>
        <w:t>To: 22,824</w:t>
      </w:r>
    </w:p>
    <w:p w:rsidR="00614D20" w14:paraId="67B95A05" w14:textId="77777777">
      <w:pPr>
        <w:ind w:left="1440"/>
        <w:rPr>
          <w:sz w:val="24"/>
          <w:szCs w:val="24"/>
        </w:rPr>
      </w:pPr>
    </w:p>
    <w:p w:rsidR="00614D20" w14:paraId="4CBF5C97" w14:textId="77777777">
      <w:pPr>
        <w:numPr>
          <w:ilvl w:val="0"/>
          <w:numId w:val="3"/>
        </w:numPr>
        <w:rPr>
          <w:sz w:val="24"/>
          <w:szCs w:val="24"/>
        </w:rPr>
      </w:pPr>
      <w:r>
        <w:rPr>
          <w:sz w:val="24"/>
          <w:szCs w:val="24"/>
        </w:rPr>
        <w:t>The total estimated annual public time burden (hours) decreased due to the use of updated data. The total estimated annual public time burden (hours) changed-</w:t>
      </w:r>
    </w:p>
    <w:p w:rsidR="00614D20" w14:paraId="644FE079" w14:textId="77777777">
      <w:pPr>
        <w:numPr>
          <w:ilvl w:val="1"/>
          <w:numId w:val="3"/>
        </w:numPr>
        <w:rPr>
          <w:sz w:val="24"/>
          <w:szCs w:val="24"/>
        </w:rPr>
      </w:pPr>
      <w:r>
        <w:rPr>
          <w:sz w:val="24"/>
          <w:szCs w:val="24"/>
        </w:rPr>
        <w:t>From: 6,250</w:t>
      </w:r>
    </w:p>
    <w:p w:rsidR="00614D20" w14:paraId="67637711" w14:textId="77777777">
      <w:pPr>
        <w:numPr>
          <w:ilvl w:val="1"/>
          <w:numId w:val="3"/>
        </w:numPr>
        <w:rPr>
          <w:sz w:val="24"/>
          <w:szCs w:val="24"/>
        </w:rPr>
      </w:pPr>
      <w:r>
        <w:rPr>
          <w:sz w:val="24"/>
          <w:szCs w:val="24"/>
        </w:rPr>
        <w:t>To: 5,706</w:t>
      </w:r>
    </w:p>
    <w:p w:rsidR="00614D20" w14:paraId="6DDBC3B4" w14:textId="77777777">
      <w:pPr>
        <w:ind w:left="1440"/>
        <w:rPr>
          <w:sz w:val="24"/>
          <w:szCs w:val="24"/>
        </w:rPr>
      </w:pPr>
    </w:p>
    <w:p w:rsidR="00614D20" w14:paraId="22EFCC40" w14:textId="77777777">
      <w:pPr>
        <w:numPr>
          <w:ilvl w:val="0"/>
          <w:numId w:val="3"/>
        </w:numPr>
        <w:rPr>
          <w:sz w:val="24"/>
          <w:szCs w:val="24"/>
        </w:rPr>
      </w:pPr>
      <w:r>
        <w:rPr>
          <w:sz w:val="24"/>
          <w:szCs w:val="24"/>
        </w:rPr>
        <w:t>The total estimated annual time burden (hours) to the Government decreased due to the use of updated data. The total estimated annual cost to the Government changed-</w:t>
      </w:r>
    </w:p>
    <w:p w:rsidR="00614D20" w14:paraId="647B7077" w14:textId="77777777">
      <w:pPr>
        <w:numPr>
          <w:ilvl w:val="1"/>
          <w:numId w:val="3"/>
        </w:numPr>
        <w:rPr>
          <w:sz w:val="24"/>
          <w:szCs w:val="24"/>
        </w:rPr>
      </w:pPr>
      <w:r>
        <w:rPr>
          <w:sz w:val="24"/>
          <w:szCs w:val="24"/>
        </w:rPr>
        <w:t>From: 4,000</w:t>
      </w:r>
    </w:p>
    <w:p w:rsidR="00614D20" w14:paraId="6E966E6D" w14:textId="77777777">
      <w:pPr>
        <w:numPr>
          <w:ilvl w:val="1"/>
          <w:numId w:val="3"/>
        </w:numPr>
        <w:rPr>
          <w:sz w:val="24"/>
          <w:szCs w:val="24"/>
        </w:rPr>
      </w:pPr>
      <w:r>
        <w:rPr>
          <w:sz w:val="24"/>
          <w:szCs w:val="24"/>
        </w:rPr>
        <w:t>To: 3,652</w:t>
      </w:r>
    </w:p>
    <w:p w:rsidR="00614D20" w14:paraId="1C174CB4" w14:textId="77777777">
      <w:pPr>
        <w:rPr>
          <w:sz w:val="24"/>
          <w:szCs w:val="24"/>
        </w:rPr>
      </w:pPr>
    </w:p>
    <w:p w:rsidR="00614D20" w14:paraId="44E647AB" w14:textId="77777777">
      <w:pPr>
        <w:pBdr>
          <w:top w:val="nil"/>
          <w:left w:val="nil"/>
          <w:bottom w:val="nil"/>
          <w:right w:val="nil"/>
          <w:between w:val="nil"/>
        </w:pBdr>
        <w:rPr>
          <w:b/>
          <w:color w:val="000000"/>
          <w:sz w:val="24"/>
          <w:szCs w:val="24"/>
        </w:rPr>
      </w:pPr>
      <w:r>
        <w:rPr>
          <w:color w:val="000000"/>
          <w:sz w:val="24"/>
          <w:szCs w:val="24"/>
        </w:rPr>
        <w:t>1.</w:t>
      </w:r>
      <w:r>
        <w:rPr>
          <w:b/>
          <w:color w:val="000000"/>
          <w:sz w:val="24"/>
          <w:szCs w:val="24"/>
        </w:rPr>
        <w:t xml:space="preserve">  </w:t>
      </w:r>
      <w:r>
        <w:rPr>
          <w:b/>
          <w:sz w:val="24"/>
          <w:szCs w:val="24"/>
          <w:u w:val="single"/>
        </w:rPr>
        <w:t>Need &amp; Method for the Information Collection</w:t>
      </w:r>
      <w:r>
        <w:rPr>
          <w:b/>
          <w:color w:val="000000"/>
          <w:sz w:val="24"/>
          <w:szCs w:val="24"/>
        </w:rPr>
        <w:t xml:space="preserve">. </w:t>
      </w:r>
    </w:p>
    <w:p w:rsidR="00614D20" w14:paraId="51584064" w14:textId="77777777">
      <w:pPr>
        <w:pBdr>
          <w:top w:val="nil"/>
          <w:left w:val="nil"/>
          <w:bottom w:val="nil"/>
          <w:right w:val="nil"/>
          <w:between w:val="nil"/>
        </w:pBdr>
        <w:rPr>
          <w:b/>
          <w:color w:val="000000"/>
          <w:sz w:val="24"/>
          <w:szCs w:val="24"/>
        </w:rPr>
      </w:pPr>
    </w:p>
    <w:p w:rsidR="00614D20" w14:paraId="41AB0AEE" w14:textId="77777777">
      <w:pPr>
        <w:rPr>
          <w:sz w:val="24"/>
          <w:szCs w:val="24"/>
        </w:rPr>
      </w:pPr>
      <w:r>
        <w:rPr>
          <w:sz w:val="24"/>
          <w:szCs w:val="24"/>
        </w:rPr>
        <w:t>Information collected through the Contractor Information Worksheet is necessary to meet:</w:t>
      </w:r>
    </w:p>
    <w:p w:rsidR="00614D20" w14:paraId="59CF14B1" w14:textId="77777777">
      <w:pPr>
        <w:numPr>
          <w:ilvl w:val="0"/>
          <w:numId w:val="2"/>
        </w:numPr>
        <w:rPr>
          <w:sz w:val="24"/>
          <w:szCs w:val="24"/>
        </w:rPr>
      </w:pPr>
      <w:r>
        <w:rPr>
          <w:sz w:val="24"/>
          <w:szCs w:val="24"/>
        </w:rPr>
        <w:t xml:space="preserve">The Office of Management and Budget (OMB) Guidance M-05-24 for Homeland Security Presidential Directive (HSPD) 12 which authorizes Federal departments and agencies to ensure that contractors/their employees have limited/controlled access to facilities and information systems, and </w:t>
      </w:r>
    </w:p>
    <w:p w:rsidR="00614D20" w14:paraId="7859A808" w14:textId="77777777">
      <w:pPr>
        <w:numPr>
          <w:ilvl w:val="0"/>
          <w:numId w:val="2"/>
        </w:numPr>
        <w:rPr>
          <w:sz w:val="24"/>
          <w:szCs w:val="24"/>
        </w:rPr>
      </w:pPr>
      <w:r>
        <w:rPr>
          <w:sz w:val="24"/>
          <w:szCs w:val="24"/>
        </w:rPr>
        <w:t>GSA Directive CIO P 2181.1 Homeland Security Presidential Directive-12 Personal Identity Verification and Credentialing which states that GSA contractors/their employees must undergo a minimum of a FBI National Criminal Information Check (NCIC) to receive unescorted physical access.</w:t>
      </w:r>
    </w:p>
    <w:p w:rsidR="00614D20" w14:paraId="22904407" w14:textId="77777777">
      <w:pPr>
        <w:rPr>
          <w:sz w:val="24"/>
          <w:szCs w:val="24"/>
        </w:rPr>
      </w:pPr>
    </w:p>
    <w:p w:rsidR="00614D20" w14:paraId="138E839B" w14:textId="77777777">
      <w:pPr>
        <w:rPr>
          <w:sz w:val="24"/>
          <w:szCs w:val="24"/>
        </w:rPr>
      </w:pPr>
      <w:r>
        <w:rPr>
          <w:sz w:val="24"/>
          <w:szCs w:val="24"/>
        </w:rPr>
        <w:t>GSA requires the collection of the information in the Contractor Information Worksheet to authorize and initiate background check requests for GSA contractor employees and for them to obtain a GSA access card. The background checks are carried out by the Office of Personnel Management, Facilities, Security &amp; Contracting-Personnel Security (OPM FSC) and the credentialing process is carried out by the GSA’s Managed Service Office (MSO) in accordance with the terms and conditions of separate Memoranda of Agreement (MOAs).</w:t>
      </w:r>
    </w:p>
    <w:p w:rsidR="00614D20" w14:paraId="5D5B9A96" w14:textId="77777777">
      <w:pPr>
        <w:rPr>
          <w:sz w:val="24"/>
          <w:szCs w:val="24"/>
        </w:rPr>
      </w:pPr>
    </w:p>
    <w:p w:rsidR="00614D20" w14:paraId="1E465F0F" w14:textId="77777777">
      <w:pPr>
        <w:rPr>
          <w:b/>
          <w:sz w:val="24"/>
          <w:szCs w:val="24"/>
        </w:rPr>
      </w:pPr>
      <w:r>
        <w:rPr>
          <w:b/>
          <w:sz w:val="24"/>
          <w:szCs w:val="24"/>
        </w:rPr>
        <w:t xml:space="preserve">2.  </w:t>
      </w:r>
      <w:r>
        <w:rPr>
          <w:b/>
          <w:sz w:val="24"/>
          <w:szCs w:val="24"/>
          <w:u w:val="single"/>
        </w:rPr>
        <w:t>Use of the Information.</w:t>
      </w:r>
      <w:r>
        <w:rPr>
          <w:b/>
          <w:sz w:val="24"/>
          <w:szCs w:val="24"/>
        </w:rPr>
        <w:t xml:space="preserve"> </w:t>
      </w:r>
    </w:p>
    <w:p w:rsidR="00614D20" w14:paraId="0CB991E0" w14:textId="77777777">
      <w:pPr>
        <w:pBdr>
          <w:top w:val="nil"/>
          <w:left w:val="nil"/>
          <w:bottom w:val="nil"/>
          <w:right w:val="nil"/>
          <w:between w:val="nil"/>
        </w:pBdr>
        <w:rPr>
          <w:color w:val="000000"/>
          <w:sz w:val="24"/>
          <w:szCs w:val="24"/>
        </w:rPr>
      </w:pPr>
    </w:p>
    <w:p w:rsidR="00614D20" w14:paraId="461E0688" w14:textId="77777777">
      <w:pPr>
        <w:pBdr>
          <w:top w:val="nil"/>
          <w:left w:val="nil"/>
          <w:bottom w:val="nil"/>
          <w:right w:val="nil"/>
          <w:between w:val="nil"/>
        </w:pBdr>
        <w:rPr>
          <w:color w:val="000000"/>
          <w:sz w:val="24"/>
          <w:szCs w:val="24"/>
        </w:rPr>
      </w:pPr>
      <w:r>
        <w:rPr>
          <w:color w:val="000000"/>
          <w:sz w:val="24"/>
          <w:szCs w:val="24"/>
        </w:rPr>
        <w:t xml:space="preserve">The GSA requesting official, referred to as “Sponsor,” collects and inputs the Contractor Information Worksheet data into the GSA Credential and Identity Management System (GCIMS).  GSA Office of Mission Assurance (OMA) Identity, Credential and Access Management (ICAM) Division then uploads the relevant contractor data from GCIMS to the OPM e-QIP system for initiation of the contractor background investigation process.  GCIMS automatically </w:t>
      </w:r>
      <w:r>
        <w:rPr>
          <w:sz w:val="24"/>
          <w:szCs w:val="24"/>
        </w:rPr>
        <w:t>sends</w:t>
      </w:r>
      <w:r>
        <w:rPr>
          <w:color w:val="000000"/>
          <w:sz w:val="24"/>
          <w:szCs w:val="24"/>
        </w:rPr>
        <w:t xml:space="preserve"> relevant data to the MSO for enrollment, including digital fingerprints for investigation and GSA </w:t>
      </w:r>
      <w:r>
        <w:rPr>
          <w:sz w:val="24"/>
          <w:szCs w:val="24"/>
        </w:rPr>
        <w:t>a</w:t>
      </w:r>
      <w:r>
        <w:rPr>
          <w:color w:val="000000"/>
          <w:sz w:val="24"/>
          <w:szCs w:val="24"/>
        </w:rPr>
        <w:t xml:space="preserve">ccess </w:t>
      </w:r>
      <w:r>
        <w:rPr>
          <w:sz w:val="24"/>
          <w:szCs w:val="24"/>
        </w:rPr>
        <w:t>c</w:t>
      </w:r>
      <w:r>
        <w:rPr>
          <w:color w:val="000000"/>
          <w:sz w:val="24"/>
          <w:szCs w:val="24"/>
        </w:rPr>
        <w:t xml:space="preserve">ard, if needed. The OPM FSC performs the required background checks for GSA contractor employees once the </w:t>
      </w:r>
      <w:r>
        <w:rPr>
          <w:sz w:val="24"/>
          <w:szCs w:val="24"/>
        </w:rPr>
        <w:t xml:space="preserve">applicant </w:t>
      </w:r>
      <w:r>
        <w:rPr>
          <w:color w:val="000000"/>
          <w:sz w:val="24"/>
          <w:szCs w:val="24"/>
        </w:rPr>
        <w:t xml:space="preserve">completes the e-QIP and fingerprinting process. The requesting official is responsible for requesting the investigation and/or GSA </w:t>
      </w:r>
      <w:r>
        <w:rPr>
          <w:sz w:val="24"/>
          <w:szCs w:val="24"/>
        </w:rPr>
        <w:t>a</w:t>
      </w:r>
      <w:r>
        <w:rPr>
          <w:color w:val="000000"/>
          <w:sz w:val="24"/>
          <w:szCs w:val="24"/>
        </w:rPr>
        <w:t xml:space="preserve">ccess </w:t>
      </w:r>
      <w:r>
        <w:rPr>
          <w:sz w:val="24"/>
          <w:szCs w:val="24"/>
        </w:rPr>
        <w:t>c</w:t>
      </w:r>
      <w:r>
        <w:rPr>
          <w:color w:val="000000"/>
          <w:sz w:val="24"/>
          <w:szCs w:val="24"/>
        </w:rPr>
        <w:t xml:space="preserve">ard.  Often the GSA requesting official is the Contracting Officer’s Representative (COR) for the contract, but this role may be fulfilled by a project manager, Public Buildings Service (PBS) building manager, or local Access Card Point of Contact (POC) as appropriate.    </w:t>
      </w:r>
    </w:p>
    <w:p w:rsidR="00614D20" w14:paraId="08ED662D" w14:textId="77777777">
      <w:pPr>
        <w:pBdr>
          <w:top w:val="nil"/>
          <w:left w:val="nil"/>
          <w:bottom w:val="nil"/>
          <w:right w:val="nil"/>
          <w:between w:val="nil"/>
        </w:pBdr>
        <w:rPr>
          <w:color w:val="000000"/>
          <w:sz w:val="24"/>
          <w:szCs w:val="24"/>
        </w:rPr>
      </w:pPr>
    </w:p>
    <w:p w:rsidR="00614D20" w14:paraId="16758CDD" w14:textId="77777777">
      <w:pPr>
        <w:pBdr>
          <w:top w:val="nil"/>
          <w:left w:val="nil"/>
          <w:bottom w:val="nil"/>
          <w:right w:val="nil"/>
          <w:between w:val="nil"/>
        </w:pBdr>
        <w:rPr>
          <w:color w:val="000000"/>
          <w:sz w:val="24"/>
          <w:szCs w:val="24"/>
        </w:rPr>
      </w:pPr>
      <w:r>
        <w:rPr>
          <w:color w:val="000000"/>
          <w:sz w:val="24"/>
          <w:szCs w:val="24"/>
        </w:rPr>
        <w:t xml:space="preserve">If the </w:t>
      </w:r>
      <w:r>
        <w:rPr>
          <w:sz w:val="24"/>
          <w:szCs w:val="24"/>
        </w:rPr>
        <w:t xml:space="preserve">applicant </w:t>
      </w:r>
      <w:r>
        <w:rPr>
          <w:color w:val="000000"/>
          <w:sz w:val="24"/>
          <w:szCs w:val="24"/>
        </w:rPr>
        <w:t xml:space="preserve">has a prior background check, OPM FSC uses the information in e-QIP to verify the prior determination.  When OPM FSC makes an access determination, they </w:t>
      </w:r>
      <w:r>
        <w:rPr>
          <w:sz w:val="24"/>
          <w:szCs w:val="24"/>
        </w:rPr>
        <w:t>notify the OMA</w:t>
      </w:r>
      <w:r>
        <w:rPr>
          <w:color w:val="000000"/>
          <w:sz w:val="24"/>
          <w:szCs w:val="24"/>
        </w:rPr>
        <w:t xml:space="preserve"> ICAM Division.  </w:t>
      </w:r>
      <w:r>
        <w:rPr>
          <w:sz w:val="24"/>
          <w:szCs w:val="24"/>
        </w:rPr>
        <w:t>The OMA ICAM</w:t>
      </w:r>
      <w:r>
        <w:rPr>
          <w:color w:val="000000"/>
          <w:sz w:val="24"/>
          <w:szCs w:val="24"/>
        </w:rPr>
        <w:t xml:space="preserve"> Division will input the results into GCIMS and </w:t>
      </w:r>
      <w:r>
        <w:rPr>
          <w:sz w:val="24"/>
          <w:szCs w:val="24"/>
        </w:rPr>
        <w:t>notify the applicant</w:t>
      </w:r>
      <w:r>
        <w:rPr>
          <w:color w:val="000000"/>
          <w:sz w:val="24"/>
          <w:szCs w:val="24"/>
        </w:rPr>
        <w:t xml:space="preserve">, GSA sponsor, GSA POCs, and contractor’s point of contact. </w:t>
      </w:r>
    </w:p>
    <w:p w:rsidR="00614D20" w14:paraId="36A9BCD3" w14:textId="77777777">
      <w:pPr>
        <w:pBdr>
          <w:top w:val="nil"/>
          <w:left w:val="nil"/>
          <w:bottom w:val="nil"/>
          <w:right w:val="nil"/>
          <w:between w:val="nil"/>
        </w:pBdr>
        <w:ind w:firstLine="720"/>
        <w:rPr>
          <w:color w:val="000000"/>
          <w:sz w:val="24"/>
          <w:szCs w:val="24"/>
        </w:rPr>
      </w:pPr>
    </w:p>
    <w:p w:rsidR="00614D20" w14:paraId="28BDA985" w14:textId="77777777">
      <w:pPr>
        <w:rPr>
          <w:b/>
          <w:sz w:val="24"/>
          <w:szCs w:val="24"/>
        </w:rPr>
      </w:pPr>
      <w:r>
        <w:rPr>
          <w:b/>
          <w:sz w:val="24"/>
          <w:szCs w:val="24"/>
        </w:rPr>
        <w:t xml:space="preserve">3.  </w:t>
      </w:r>
      <w:r>
        <w:rPr>
          <w:b/>
          <w:sz w:val="24"/>
          <w:szCs w:val="24"/>
          <w:u w:val="single"/>
        </w:rPr>
        <w:t xml:space="preserve">Use of Information Technology. </w:t>
      </w:r>
    </w:p>
    <w:p w:rsidR="00614D20" w14:paraId="0F1D1602" w14:textId="77777777">
      <w:pPr>
        <w:pBdr>
          <w:top w:val="nil"/>
          <w:left w:val="nil"/>
          <w:bottom w:val="nil"/>
          <w:right w:val="nil"/>
          <w:between w:val="nil"/>
        </w:pBdr>
        <w:rPr>
          <w:color w:val="000000"/>
          <w:sz w:val="24"/>
          <w:szCs w:val="24"/>
        </w:rPr>
      </w:pPr>
    </w:p>
    <w:p w:rsidR="00614D20" w14:paraId="69E1F12A" w14:textId="77777777">
      <w:pPr>
        <w:pBdr>
          <w:top w:val="nil"/>
          <w:left w:val="nil"/>
          <w:bottom w:val="nil"/>
          <w:right w:val="nil"/>
          <w:between w:val="nil"/>
        </w:pBdr>
        <w:rPr>
          <w:color w:val="000000"/>
          <w:sz w:val="24"/>
          <w:szCs w:val="24"/>
        </w:rPr>
      </w:pPr>
      <w:r>
        <w:rPr>
          <w:color w:val="000000"/>
          <w:sz w:val="24"/>
          <w:szCs w:val="24"/>
        </w:rPr>
        <w:t>Currently, the only way to collect information is by having the applicant complete the form using black or blue ink or by typing the data in the form and then submitting it.  GSA is working to pursue an automated way to receive the information required in the form through the GCIMS.</w:t>
      </w:r>
    </w:p>
    <w:p w:rsidR="00614D20" w14:paraId="1BEDB911" w14:textId="77777777">
      <w:pPr>
        <w:rPr>
          <w:b/>
          <w:sz w:val="24"/>
          <w:szCs w:val="24"/>
        </w:rPr>
      </w:pPr>
    </w:p>
    <w:p w:rsidR="00614D20" w14:paraId="09E18EBB" w14:textId="77777777">
      <w:pPr>
        <w:rPr>
          <w:b/>
          <w:sz w:val="24"/>
          <w:szCs w:val="24"/>
        </w:rPr>
      </w:pPr>
      <w:r>
        <w:rPr>
          <w:b/>
          <w:sz w:val="24"/>
          <w:szCs w:val="24"/>
        </w:rPr>
        <w:t xml:space="preserve">4. </w:t>
      </w:r>
      <w:r>
        <w:rPr>
          <w:sz w:val="24"/>
          <w:szCs w:val="24"/>
        </w:rPr>
        <w:t xml:space="preserve"> </w:t>
      </w:r>
      <w:r>
        <w:rPr>
          <w:b/>
          <w:sz w:val="24"/>
          <w:szCs w:val="24"/>
          <w:u w:val="single"/>
        </w:rPr>
        <w:t>Non-Duplication.</w:t>
      </w:r>
    </w:p>
    <w:p w:rsidR="00614D20" w14:paraId="2D2D4F56" w14:textId="77777777">
      <w:pPr>
        <w:rPr>
          <w:sz w:val="24"/>
          <w:szCs w:val="24"/>
        </w:rPr>
      </w:pPr>
    </w:p>
    <w:p w:rsidR="00614D20" w14:paraId="3E4960F2" w14:textId="77777777">
      <w:pPr>
        <w:rPr>
          <w:sz w:val="24"/>
          <w:szCs w:val="24"/>
        </w:rPr>
      </w:pPr>
      <w:r>
        <w:rPr>
          <w:sz w:val="24"/>
          <w:szCs w:val="24"/>
        </w:rPr>
        <w:t xml:space="preserve">The information provided on the Contractor Information Worksheet related to an individual is needed to identify the applicant and contact them as part of the background check processing by OPM FSC and credentialing by the MSO.  The Contractor Information Worksheet has some common data fields with Form SF-87, used to capture fingerprints for the Department of Justice Federal Bureau of Investigation (FBI). It is needed in order to conduct a FBI National Crime Information Check (NCIC), also known as the fingerprint check and with two supplemental forms: Optional Form (OF) 306 and GSA Form 3665.  In addition, the Contractor Information Worksheet requires information that is not collected on SF-87, OF 306, and GSA Form 3665. The </w:t>
      </w:r>
      <w:r>
        <w:rPr>
          <w:sz w:val="24"/>
          <w:szCs w:val="24"/>
        </w:rPr>
        <w:t xml:space="preserve">information not collected on those forms is required to tie contractors to GSA contracts, buildings, identifying vendor's POC information, notifying applicants concerning authority to collect background check related information, Privacy Act routine uses, and final determination. </w:t>
      </w:r>
      <w:r>
        <w:rPr>
          <w:sz w:val="24"/>
          <w:szCs w:val="24"/>
        </w:rPr>
        <w:br/>
      </w:r>
    </w:p>
    <w:p w:rsidR="00614D20" w14:paraId="2019016D" w14:textId="77777777">
      <w:pPr>
        <w:rPr>
          <w:b/>
          <w:sz w:val="24"/>
          <w:szCs w:val="24"/>
          <w:u w:val="single"/>
        </w:rPr>
      </w:pPr>
      <w:r>
        <w:rPr>
          <w:b/>
          <w:sz w:val="24"/>
          <w:szCs w:val="24"/>
        </w:rPr>
        <w:t xml:space="preserve">5.  </w:t>
      </w:r>
      <w:r>
        <w:rPr>
          <w:b/>
          <w:sz w:val="24"/>
          <w:szCs w:val="24"/>
          <w:u w:val="single"/>
        </w:rPr>
        <w:t>Burden on Small Business.</w:t>
      </w:r>
    </w:p>
    <w:p w:rsidR="00614D20" w14:paraId="7A588072" w14:textId="77777777">
      <w:pPr>
        <w:pBdr>
          <w:top w:val="nil"/>
          <w:left w:val="nil"/>
          <w:bottom w:val="nil"/>
          <w:right w:val="nil"/>
          <w:between w:val="nil"/>
        </w:pBdr>
        <w:rPr>
          <w:color w:val="000000"/>
          <w:sz w:val="24"/>
          <w:szCs w:val="24"/>
        </w:rPr>
      </w:pPr>
      <w:r>
        <w:rPr>
          <w:b/>
          <w:color w:val="000000"/>
          <w:sz w:val="24"/>
          <w:szCs w:val="24"/>
        </w:rPr>
        <w:br/>
      </w:r>
      <w:r>
        <w:rPr>
          <w:sz w:val="24"/>
          <w:szCs w:val="24"/>
        </w:rPr>
        <w:t xml:space="preserve">The burden applies equally to both other than small businesses and small businesses that perform work in GSA controlled facilities. GSA requires the collection of the information in the Contractor Information Worksheet to authorize and initiate background check requests for GSA contractor employees and for them to obtain a GSA access card. The GSA access card will allow a contractor employee to be granted access and work in GSA controlled facilities. </w:t>
      </w:r>
    </w:p>
    <w:p w:rsidR="00614D20" w14:paraId="30448B0E" w14:textId="77777777">
      <w:pPr>
        <w:rPr>
          <w:sz w:val="24"/>
          <w:szCs w:val="24"/>
        </w:rPr>
      </w:pPr>
    </w:p>
    <w:p w:rsidR="00614D20" w14:paraId="50975274" w14:textId="77777777">
      <w:pPr>
        <w:rPr>
          <w:b/>
          <w:sz w:val="24"/>
          <w:szCs w:val="24"/>
        </w:rPr>
      </w:pPr>
      <w:r>
        <w:rPr>
          <w:b/>
          <w:sz w:val="24"/>
          <w:szCs w:val="24"/>
        </w:rPr>
        <w:t xml:space="preserve">6.  </w:t>
      </w:r>
      <w:r>
        <w:rPr>
          <w:b/>
          <w:sz w:val="24"/>
          <w:szCs w:val="24"/>
          <w:u w:val="single"/>
        </w:rPr>
        <w:t xml:space="preserve">Less Frequent Collection. </w:t>
      </w:r>
    </w:p>
    <w:p w:rsidR="00614D20" w14:paraId="58431916" w14:textId="77777777">
      <w:pPr>
        <w:pBdr>
          <w:top w:val="nil"/>
          <w:left w:val="nil"/>
          <w:bottom w:val="nil"/>
          <w:right w:val="nil"/>
          <w:between w:val="nil"/>
        </w:pBdr>
        <w:rPr>
          <w:color w:val="000000"/>
          <w:sz w:val="24"/>
          <w:szCs w:val="24"/>
        </w:rPr>
      </w:pPr>
    </w:p>
    <w:p w:rsidR="00614D20" w14:paraId="21263EE1" w14:textId="77777777">
      <w:pPr>
        <w:pBdr>
          <w:top w:val="nil"/>
          <w:left w:val="nil"/>
          <w:bottom w:val="nil"/>
          <w:right w:val="nil"/>
          <w:between w:val="nil"/>
        </w:pBdr>
        <w:rPr>
          <w:color w:val="000000"/>
          <w:sz w:val="24"/>
          <w:szCs w:val="24"/>
        </w:rPr>
      </w:pPr>
      <w:r>
        <w:rPr>
          <w:color w:val="000000"/>
          <w:sz w:val="24"/>
          <w:szCs w:val="24"/>
        </w:rPr>
        <w:t xml:space="preserve">Collection of this information is necessary for GSA contractor employees to be granted access and work in GSA controlled facilities and obtain a GSA </w:t>
      </w:r>
      <w:r>
        <w:rPr>
          <w:sz w:val="24"/>
          <w:szCs w:val="24"/>
        </w:rPr>
        <w:t>a</w:t>
      </w:r>
      <w:r>
        <w:rPr>
          <w:color w:val="000000"/>
          <w:sz w:val="24"/>
          <w:szCs w:val="24"/>
        </w:rPr>
        <w:t xml:space="preserve">ccess card.  Without the specific information on the Contractor Information Worksheet, OPM would not be able to identify and contact the </w:t>
      </w:r>
      <w:r>
        <w:rPr>
          <w:sz w:val="24"/>
          <w:szCs w:val="24"/>
        </w:rPr>
        <w:t xml:space="preserve">applicant </w:t>
      </w:r>
      <w:r>
        <w:rPr>
          <w:color w:val="000000"/>
          <w:sz w:val="24"/>
          <w:szCs w:val="24"/>
        </w:rPr>
        <w:t>and conduct the appropriate background check, thus affecting GSA’s ability to hire contractors to meet the objectives of the OMB HSPD-12 guidance and GSA’s overall security posture.  Any alteration of the information to be collected on the Contractor Information Worksheet must be consistent with the terms of agreement in the current Memoranda of Agreement (MOAs) between GSA and OPM and MSO.</w:t>
      </w:r>
    </w:p>
    <w:p w:rsidR="00614D20" w14:paraId="53470811" w14:textId="77777777">
      <w:pPr>
        <w:rPr>
          <w:sz w:val="24"/>
          <w:szCs w:val="24"/>
        </w:rPr>
      </w:pPr>
    </w:p>
    <w:p w:rsidR="00614D20" w14:paraId="670D5535" w14:textId="77777777">
      <w:pPr>
        <w:rPr>
          <w:b/>
          <w:sz w:val="24"/>
          <w:szCs w:val="24"/>
          <w:u w:val="single"/>
        </w:rPr>
      </w:pPr>
      <w:r>
        <w:rPr>
          <w:b/>
          <w:sz w:val="24"/>
          <w:szCs w:val="24"/>
        </w:rPr>
        <w:t xml:space="preserve">7.  </w:t>
      </w:r>
      <w:r>
        <w:rPr>
          <w:b/>
          <w:sz w:val="24"/>
          <w:szCs w:val="24"/>
          <w:u w:val="single"/>
        </w:rPr>
        <w:t>Paperwork Reduction Act Guidelines.</w:t>
      </w:r>
    </w:p>
    <w:p w:rsidR="00614D20" w14:paraId="058AB4B7" w14:textId="77777777">
      <w:pPr>
        <w:rPr>
          <w:sz w:val="24"/>
          <w:szCs w:val="24"/>
        </w:rPr>
      </w:pPr>
    </w:p>
    <w:p w:rsidR="00614D20" w14:paraId="35437785" w14:textId="77777777">
      <w:pPr>
        <w:rPr>
          <w:sz w:val="24"/>
          <w:szCs w:val="24"/>
        </w:rPr>
      </w:pPr>
      <w:r>
        <w:rPr>
          <w:sz w:val="24"/>
          <w:szCs w:val="24"/>
        </w:rPr>
        <w:t>If OPM FSC identifies any determination issues during the background check, OPM FSC would contact the applicant directly to address those issues.  The applicant would then have 15 days to respond to inquiries made by OPM FSC.  If the contractor employee fails to submit security documents or respond completely to inquiries made by the OPM FSC within 15 calendar days, the applicant would no longer be considered for an unescorted access determination and the GSA requesting official, applicant, and contracting company will be notified of this decision in writing.</w:t>
      </w:r>
    </w:p>
    <w:p w:rsidR="00614D20" w14:paraId="784CF524" w14:textId="77777777">
      <w:pPr>
        <w:rPr>
          <w:sz w:val="24"/>
          <w:szCs w:val="24"/>
        </w:rPr>
      </w:pPr>
    </w:p>
    <w:p w:rsidR="00614D20" w14:paraId="3B655F63" w14:textId="187981E7">
      <w:pPr>
        <w:pBdr>
          <w:top w:val="nil"/>
          <w:left w:val="nil"/>
          <w:bottom w:val="nil"/>
          <w:right w:val="nil"/>
          <w:between w:val="nil"/>
        </w:pBdr>
        <w:rPr>
          <w:color w:val="000000"/>
          <w:sz w:val="24"/>
          <w:szCs w:val="24"/>
        </w:rPr>
      </w:pPr>
      <w:r>
        <w:rPr>
          <w:color w:val="000000"/>
          <w:sz w:val="24"/>
          <w:szCs w:val="24"/>
        </w:rPr>
        <w:t xml:space="preserve">If the result </w:t>
      </w:r>
      <w:r>
        <w:rPr>
          <w:sz w:val="24"/>
          <w:szCs w:val="24"/>
        </w:rPr>
        <w:t>of the applicant’s</w:t>
      </w:r>
      <w:r>
        <w:rPr>
          <w:color w:val="000000"/>
          <w:sz w:val="24"/>
          <w:szCs w:val="24"/>
        </w:rPr>
        <w:t xml:space="preserve"> investigation determination is unfavorable, OPM FSC would provide a written notification to the </w:t>
      </w:r>
      <w:r>
        <w:rPr>
          <w:sz w:val="24"/>
          <w:szCs w:val="24"/>
        </w:rPr>
        <w:t xml:space="preserve">applicant </w:t>
      </w:r>
      <w:r>
        <w:rPr>
          <w:color w:val="000000"/>
          <w:sz w:val="24"/>
          <w:szCs w:val="24"/>
        </w:rPr>
        <w:t xml:space="preserve">identifying the specific reasons for proposing to deny the </w:t>
      </w:r>
      <w:r>
        <w:rPr>
          <w:sz w:val="24"/>
          <w:szCs w:val="24"/>
        </w:rPr>
        <w:t xml:space="preserve">applicant’s </w:t>
      </w:r>
      <w:r>
        <w:rPr>
          <w:color w:val="000000"/>
          <w:sz w:val="24"/>
          <w:szCs w:val="24"/>
        </w:rPr>
        <w:t xml:space="preserve">participation in the contract due to the unfavorable determination if needed.  OPF FSC notifies GSA OMA ICAM Division.  ICAM Division will input the results into GCIMS and notify the </w:t>
      </w:r>
      <w:r>
        <w:rPr>
          <w:sz w:val="24"/>
          <w:szCs w:val="24"/>
        </w:rPr>
        <w:t>applicant</w:t>
      </w:r>
      <w:r>
        <w:rPr>
          <w:color w:val="000000"/>
          <w:sz w:val="24"/>
          <w:szCs w:val="24"/>
        </w:rPr>
        <w:t xml:space="preserve">, GSA sponsor, GSA POCs, and contractor’s point of contact of the unfavorable determination. </w:t>
      </w:r>
    </w:p>
    <w:p w:rsidR="00614D20" w14:paraId="3B0935CD" w14:textId="77777777">
      <w:pPr>
        <w:rPr>
          <w:sz w:val="24"/>
          <w:szCs w:val="24"/>
        </w:rPr>
      </w:pPr>
    </w:p>
    <w:p w:rsidR="00614D20" w14:paraId="6B61D555" w14:textId="77777777">
      <w:pPr>
        <w:rPr>
          <w:b/>
          <w:sz w:val="24"/>
          <w:szCs w:val="24"/>
          <w:u w:val="single"/>
        </w:rPr>
      </w:pPr>
      <w:r>
        <w:rPr>
          <w:b/>
          <w:sz w:val="24"/>
          <w:szCs w:val="24"/>
        </w:rPr>
        <w:t xml:space="preserve">8.  </w:t>
      </w:r>
      <w:r>
        <w:rPr>
          <w:b/>
          <w:sz w:val="24"/>
          <w:szCs w:val="24"/>
          <w:u w:val="single"/>
        </w:rPr>
        <w:t xml:space="preserve">Consultation and Public Comments. </w:t>
      </w:r>
    </w:p>
    <w:p w:rsidR="00614D20" w14:paraId="2342123F" w14:textId="77777777">
      <w:pPr>
        <w:rPr>
          <w:sz w:val="24"/>
          <w:szCs w:val="24"/>
        </w:rPr>
      </w:pPr>
    </w:p>
    <w:p w:rsidR="00C14D16" w:rsidRPr="00C14D16" w:rsidP="00C14D16" w14:paraId="3C695B3B" w14:textId="77777777">
      <w:pPr>
        <w:pBdr>
          <w:top w:val="nil"/>
          <w:left w:val="nil"/>
          <w:bottom w:val="nil"/>
          <w:right w:val="nil"/>
          <w:between w:val="nil"/>
        </w:pBdr>
        <w:rPr>
          <w:color w:val="000000"/>
          <w:sz w:val="24"/>
          <w:szCs w:val="24"/>
        </w:rPr>
      </w:pPr>
      <w:r w:rsidRPr="00C14D16">
        <w:rPr>
          <w:color w:val="000000"/>
          <w:sz w:val="24"/>
          <w:szCs w:val="24"/>
        </w:rPr>
        <w:t xml:space="preserve">A 60-day notice was published in the </w:t>
      </w:r>
      <w:r w:rsidRPr="00C14D16">
        <w:rPr>
          <w:i/>
          <w:iCs/>
          <w:color w:val="000000"/>
          <w:sz w:val="24"/>
          <w:szCs w:val="24"/>
        </w:rPr>
        <w:t>Federal Register</w:t>
      </w:r>
      <w:r w:rsidRPr="00C14D16">
        <w:rPr>
          <w:color w:val="000000"/>
          <w:sz w:val="24"/>
          <w:szCs w:val="24"/>
        </w:rPr>
        <w:t xml:space="preserve"> at 90 FR 21929 on May 22, 2025. No comments were received. </w:t>
      </w:r>
    </w:p>
    <w:p w:rsidR="00614D20" w14:paraId="202C3183" w14:textId="77777777">
      <w:pPr>
        <w:pBdr>
          <w:top w:val="nil"/>
          <w:left w:val="nil"/>
          <w:bottom w:val="nil"/>
          <w:right w:val="nil"/>
          <w:between w:val="nil"/>
        </w:pBdr>
        <w:rPr>
          <w:color w:val="000000"/>
          <w:sz w:val="24"/>
          <w:szCs w:val="24"/>
        </w:rPr>
      </w:pPr>
    </w:p>
    <w:p w:rsidR="00BE1A7F" w:rsidRPr="00C14D16" w:rsidP="00BE1A7F" w14:paraId="3F060FF2" w14:textId="3D667DCC">
      <w:pPr>
        <w:pBdr>
          <w:top w:val="nil"/>
          <w:left w:val="nil"/>
          <w:bottom w:val="nil"/>
          <w:right w:val="nil"/>
          <w:between w:val="nil"/>
        </w:pBdr>
        <w:rPr>
          <w:color w:val="000000"/>
          <w:sz w:val="24"/>
          <w:szCs w:val="24"/>
        </w:rPr>
      </w:pPr>
      <w:r w:rsidRPr="00C14D16">
        <w:rPr>
          <w:color w:val="000000"/>
          <w:sz w:val="24"/>
          <w:szCs w:val="24"/>
        </w:rPr>
        <w:t xml:space="preserve">A </w:t>
      </w:r>
      <w:r>
        <w:rPr>
          <w:color w:val="000000"/>
          <w:sz w:val="24"/>
          <w:szCs w:val="24"/>
        </w:rPr>
        <w:t>3</w:t>
      </w:r>
      <w:r w:rsidRPr="00C14D16">
        <w:rPr>
          <w:color w:val="000000"/>
          <w:sz w:val="24"/>
          <w:szCs w:val="24"/>
        </w:rPr>
        <w:t xml:space="preserve">0-day notice was published in the </w:t>
      </w:r>
      <w:r w:rsidRPr="00C14D16">
        <w:rPr>
          <w:i/>
          <w:iCs/>
          <w:color w:val="000000"/>
          <w:sz w:val="24"/>
          <w:szCs w:val="24"/>
        </w:rPr>
        <w:t>Federal Register</w:t>
      </w:r>
      <w:r w:rsidRPr="00C14D16">
        <w:rPr>
          <w:color w:val="000000"/>
          <w:sz w:val="24"/>
          <w:szCs w:val="24"/>
        </w:rPr>
        <w:t xml:space="preserve"> at 90 FR </w:t>
      </w:r>
      <w:r>
        <w:rPr>
          <w:color w:val="000000"/>
          <w:sz w:val="24"/>
          <w:szCs w:val="24"/>
        </w:rPr>
        <w:t>35302</w:t>
      </w:r>
      <w:r w:rsidRPr="00C14D16">
        <w:rPr>
          <w:color w:val="000000"/>
          <w:sz w:val="24"/>
          <w:szCs w:val="24"/>
        </w:rPr>
        <w:t xml:space="preserve"> on </w:t>
      </w:r>
      <w:r>
        <w:rPr>
          <w:color w:val="000000"/>
          <w:sz w:val="24"/>
          <w:szCs w:val="24"/>
        </w:rPr>
        <w:t>July 25</w:t>
      </w:r>
      <w:r w:rsidRPr="00C14D16">
        <w:rPr>
          <w:color w:val="000000"/>
          <w:sz w:val="24"/>
          <w:szCs w:val="24"/>
        </w:rPr>
        <w:t xml:space="preserve">, 2025. No comments were received. </w:t>
      </w:r>
    </w:p>
    <w:p w:rsidR="00BE1A7F" w14:paraId="58B5518A" w14:textId="77777777">
      <w:pPr>
        <w:pBdr>
          <w:top w:val="nil"/>
          <w:left w:val="nil"/>
          <w:bottom w:val="nil"/>
          <w:right w:val="nil"/>
          <w:between w:val="nil"/>
        </w:pBdr>
        <w:rPr>
          <w:color w:val="000000"/>
          <w:sz w:val="24"/>
          <w:szCs w:val="24"/>
        </w:rPr>
      </w:pPr>
    </w:p>
    <w:p w:rsidR="00614D20" w14:paraId="5A7423DD" w14:textId="77777777">
      <w:pPr>
        <w:rPr>
          <w:b/>
          <w:sz w:val="24"/>
          <w:szCs w:val="24"/>
          <w:u w:val="single"/>
        </w:rPr>
      </w:pPr>
      <w:r>
        <w:rPr>
          <w:b/>
          <w:sz w:val="24"/>
          <w:szCs w:val="24"/>
        </w:rPr>
        <w:t>9.</w:t>
      </w:r>
      <w:r>
        <w:rPr>
          <w:sz w:val="24"/>
          <w:szCs w:val="24"/>
        </w:rPr>
        <w:t xml:space="preserve">  </w:t>
      </w:r>
      <w:r>
        <w:rPr>
          <w:b/>
          <w:sz w:val="24"/>
          <w:szCs w:val="24"/>
          <w:u w:val="single"/>
        </w:rPr>
        <w:t>Gifts or Payment.</w:t>
      </w:r>
    </w:p>
    <w:p w:rsidR="00614D20" w14:paraId="3490B4BF" w14:textId="77777777">
      <w:pPr>
        <w:rPr>
          <w:sz w:val="24"/>
          <w:szCs w:val="24"/>
        </w:rPr>
      </w:pPr>
    </w:p>
    <w:p w:rsidR="00614D20" w14:paraId="2E72C699" w14:textId="77777777">
      <w:pPr>
        <w:widowControl w:val="0"/>
        <w:tabs>
          <w:tab w:val="left" w:pos="360"/>
          <w:tab w:val="left" w:pos="720"/>
          <w:tab w:val="left" w:pos="1080"/>
          <w:tab w:val="left" w:pos="1440"/>
        </w:tabs>
        <w:rPr>
          <w:color w:val="000000"/>
          <w:sz w:val="24"/>
          <w:szCs w:val="24"/>
        </w:rPr>
      </w:pPr>
      <w:r>
        <w:rPr>
          <w:sz w:val="24"/>
          <w:szCs w:val="24"/>
        </w:rPr>
        <w:t>Not applicable, GSA makes no such payments or gifts to respondents under this information collection.</w:t>
      </w:r>
    </w:p>
    <w:p w:rsidR="00614D20" w14:paraId="0439B2CD" w14:textId="77777777">
      <w:pPr>
        <w:rPr>
          <w:sz w:val="24"/>
          <w:szCs w:val="24"/>
        </w:rPr>
      </w:pPr>
    </w:p>
    <w:p w:rsidR="00614D20" w14:paraId="348D266F" w14:textId="77777777">
      <w:pPr>
        <w:rPr>
          <w:b/>
          <w:sz w:val="24"/>
          <w:szCs w:val="24"/>
          <w:u w:val="single"/>
        </w:rPr>
      </w:pPr>
      <w:r>
        <w:rPr>
          <w:b/>
          <w:sz w:val="24"/>
          <w:szCs w:val="24"/>
        </w:rPr>
        <w:t xml:space="preserve">10.  </w:t>
      </w:r>
      <w:r>
        <w:rPr>
          <w:b/>
          <w:sz w:val="24"/>
          <w:szCs w:val="24"/>
          <w:u w:val="single"/>
        </w:rPr>
        <w:t>Privacy &amp; Confidentiality.</w:t>
      </w:r>
    </w:p>
    <w:p w:rsidR="00614D20" w14:paraId="26084080" w14:textId="77777777">
      <w:pPr>
        <w:rPr>
          <w:b/>
          <w:sz w:val="24"/>
          <w:szCs w:val="24"/>
        </w:rPr>
      </w:pPr>
    </w:p>
    <w:p w:rsidR="00614D20" w14:paraId="259F2F9D" w14:textId="77777777">
      <w:pPr>
        <w:rPr>
          <w:sz w:val="24"/>
          <w:szCs w:val="24"/>
        </w:rPr>
      </w:pPr>
      <w:r>
        <w:rPr>
          <w:sz w:val="24"/>
          <w:szCs w:val="24"/>
        </w:rPr>
        <w:t>The Contractor Information Worksheet includes a Privacy Act Notice in compliance with the Privacy Act of 1974, and as authorized by the Federal Property and Administrative Services Act of 1949.  The entire notice states: In compliance with the Privacy Act of 1974, the following information is provided: Solicitation of information contained herein may be used as a basis for physical access determinations.  GSA describes how your information will be maintained in the Privacy Act system of record notice published in the Federal Register at 73 FR 35690 on June 24, 2008.  Your social security number is being requested pursuant to Executive Order 9397.  Disclosure of the information by you is voluntary.  Failure to provide information requested on this form may result in the government’s inability to grant unescorted physical access to GSA-controlled facilities and may affect your prospects for employment or continued employment under a government contract, or at a Federal facility, or with a government license.</w:t>
      </w:r>
    </w:p>
    <w:p w:rsidR="00614D20" w14:paraId="66F26DF4" w14:textId="77777777">
      <w:pPr>
        <w:ind w:left="720"/>
        <w:rPr>
          <w:sz w:val="24"/>
          <w:szCs w:val="24"/>
        </w:rPr>
      </w:pPr>
    </w:p>
    <w:p w:rsidR="00614D20" w14:paraId="7D711443" w14:textId="77777777">
      <w:pPr>
        <w:pBdr>
          <w:top w:val="nil"/>
          <w:left w:val="nil"/>
          <w:bottom w:val="nil"/>
          <w:right w:val="nil"/>
          <w:between w:val="nil"/>
        </w:pBdr>
        <w:rPr>
          <w:b/>
          <w:color w:val="000000"/>
          <w:sz w:val="24"/>
          <w:szCs w:val="24"/>
          <w:u w:val="single"/>
        </w:rPr>
      </w:pPr>
      <w:r>
        <w:rPr>
          <w:b/>
          <w:color w:val="000000"/>
          <w:sz w:val="24"/>
          <w:szCs w:val="24"/>
        </w:rPr>
        <w:t xml:space="preserve">11.  </w:t>
      </w:r>
      <w:r>
        <w:rPr>
          <w:b/>
          <w:sz w:val="24"/>
          <w:szCs w:val="24"/>
          <w:u w:val="single"/>
        </w:rPr>
        <w:t>Sensitive Questions.</w:t>
      </w:r>
    </w:p>
    <w:p w:rsidR="00614D20" w14:paraId="76233A62" w14:textId="77777777">
      <w:pPr>
        <w:rPr>
          <w:sz w:val="24"/>
          <w:szCs w:val="24"/>
          <w:highlight w:val="yellow"/>
        </w:rPr>
      </w:pPr>
    </w:p>
    <w:p w:rsidR="00614D20" w14:paraId="4083BF1B" w14:textId="39912CE2">
      <w:pPr>
        <w:rPr>
          <w:sz w:val="24"/>
          <w:szCs w:val="24"/>
        </w:rPr>
      </w:pPr>
      <w:r>
        <w:rPr>
          <w:sz w:val="24"/>
          <w:szCs w:val="24"/>
        </w:rPr>
        <w:t>GSA requires the sensitive questions to be answered in the Contractor Information Worksheet to authorize and initiate background check requests for GSA contractor employees and for them to obtain a GSA access card, if applicable. The background checks are carried out by the Office of Personnel Management, Facilities, Security &amp; Contracting-Personnel Security (OPM FSC) and the credentialing process is carried out by the GSA’s Managed Service Office (MSO) in accordance with the terms and conditions of separate MOAs.</w:t>
      </w:r>
    </w:p>
    <w:p w:rsidR="00614D20" w14:paraId="1947523E" w14:textId="77777777">
      <w:pPr>
        <w:rPr>
          <w:sz w:val="24"/>
          <w:szCs w:val="24"/>
        </w:rPr>
      </w:pPr>
    </w:p>
    <w:p w:rsidR="00614D20" w14:paraId="602AC96C" w14:textId="77777777">
      <w:pPr>
        <w:rPr>
          <w:b/>
          <w:sz w:val="24"/>
          <w:szCs w:val="24"/>
          <w:u w:val="single"/>
        </w:rPr>
      </w:pPr>
      <w:r>
        <w:rPr>
          <w:b/>
          <w:sz w:val="24"/>
          <w:szCs w:val="24"/>
        </w:rPr>
        <w:t xml:space="preserve">12.  </w:t>
      </w:r>
      <w:r>
        <w:rPr>
          <w:b/>
          <w:sz w:val="24"/>
          <w:szCs w:val="24"/>
          <w:u w:val="single"/>
        </w:rPr>
        <w:t xml:space="preserve">Burden Estimate.  </w:t>
      </w:r>
    </w:p>
    <w:p w:rsidR="00614D20" w14:paraId="647E1736" w14:textId="77777777">
      <w:r>
        <w:rPr>
          <w:sz w:val="24"/>
          <w:szCs w:val="24"/>
        </w:rPr>
        <w:t>The annual estimated total burden hours resulting from this information collection is 5,706 hours. This is based on the following calculation:</w:t>
      </w:r>
    </w:p>
    <w:p w:rsidR="00614D20" w14:paraId="544D70CC" w14:textId="77777777">
      <w:pPr>
        <w:rPr>
          <w:sz w:val="24"/>
          <w:szCs w:val="24"/>
        </w:rPr>
      </w:pPr>
    </w:p>
    <w:p w:rsidR="00614D20" w14:paraId="39ED1774" w14:textId="77777777">
      <w:pPr>
        <w:rPr>
          <w:sz w:val="24"/>
          <w:szCs w:val="24"/>
        </w:rPr>
      </w:pPr>
      <w:r>
        <w:rPr>
          <w:sz w:val="24"/>
          <w:szCs w:val="24"/>
        </w:rPr>
        <w:t xml:space="preserve">Estimated # of respondents (year) </w:t>
      </w:r>
      <w:r>
        <w:rPr>
          <w:sz w:val="24"/>
          <w:szCs w:val="24"/>
        </w:rPr>
        <w:tab/>
      </w:r>
      <w:r>
        <w:rPr>
          <w:sz w:val="24"/>
          <w:szCs w:val="24"/>
        </w:rPr>
        <w:tab/>
      </w:r>
      <w:r>
        <w:rPr>
          <w:sz w:val="24"/>
          <w:szCs w:val="24"/>
        </w:rPr>
        <w:tab/>
      </w:r>
      <w:r>
        <w:rPr>
          <w:sz w:val="24"/>
          <w:szCs w:val="24"/>
        </w:rPr>
        <w:tab/>
      </w:r>
      <w:r>
        <w:rPr>
          <w:sz w:val="24"/>
          <w:szCs w:val="24"/>
        </w:rPr>
        <w:tab/>
        <w:t xml:space="preserve">   22,824</w:t>
      </w:r>
    </w:p>
    <w:p w:rsidR="00614D20" w14:paraId="57A992B5" w14:textId="77777777">
      <w:pPr>
        <w:rPr>
          <w:sz w:val="24"/>
          <w:szCs w:val="24"/>
        </w:rPr>
      </w:pPr>
      <w:r>
        <w:rPr>
          <w:sz w:val="24"/>
          <w:szCs w:val="24"/>
        </w:rPr>
        <w:t xml:space="preserve">Estimated # of submissions per respondent   </w:t>
      </w:r>
      <w:r>
        <w:rPr>
          <w:sz w:val="24"/>
          <w:szCs w:val="24"/>
        </w:rPr>
        <w:tab/>
      </w:r>
      <w:r>
        <w:rPr>
          <w:sz w:val="24"/>
          <w:szCs w:val="24"/>
        </w:rPr>
        <w:tab/>
        <w:t xml:space="preserve">   </w:t>
      </w:r>
      <w:r>
        <w:rPr>
          <w:sz w:val="24"/>
          <w:szCs w:val="24"/>
        </w:rPr>
        <w:tab/>
      </w:r>
      <w:r>
        <w:rPr>
          <w:sz w:val="24"/>
          <w:szCs w:val="24"/>
        </w:rPr>
        <w:tab/>
        <w:t xml:space="preserve">   </w:t>
      </w:r>
      <w:r>
        <w:rPr>
          <w:sz w:val="24"/>
          <w:szCs w:val="24"/>
          <w:u w:val="single"/>
        </w:rPr>
        <w:t xml:space="preserve"> x  _1</w:t>
      </w:r>
    </w:p>
    <w:p w:rsidR="00614D20" w14:paraId="1F6E143B" w14:textId="77777777">
      <w:pPr>
        <w:rPr>
          <w:sz w:val="24"/>
          <w:szCs w:val="24"/>
        </w:rPr>
      </w:pPr>
      <w:r>
        <w:rPr>
          <w:sz w:val="24"/>
          <w:szCs w:val="24"/>
        </w:rPr>
        <w:t xml:space="preserve">Estimated total # of submissions (year) </w:t>
      </w:r>
      <w:r>
        <w:rPr>
          <w:sz w:val="24"/>
          <w:szCs w:val="24"/>
        </w:rPr>
        <w:tab/>
      </w:r>
      <w:r>
        <w:rPr>
          <w:sz w:val="24"/>
          <w:szCs w:val="24"/>
        </w:rPr>
        <w:tab/>
      </w:r>
      <w:r>
        <w:rPr>
          <w:sz w:val="24"/>
          <w:szCs w:val="24"/>
        </w:rPr>
        <w:tab/>
      </w:r>
      <w:r>
        <w:rPr>
          <w:sz w:val="24"/>
          <w:szCs w:val="24"/>
        </w:rPr>
        <w:tab/>
        <w:t xml:space="preserve">   22,824</w:t>
      </w:r>
    </w:p>
    <w:p w:rsidR="00614D20" w14:paraId="5D0AD32E" w14:textId="77777777">
      <w:pPr>
        <w:rPr>
          <w:sz w:val="24"/>
          <w:szCs w:val="24"/>
        </w:rPr>
      </w:pPr>
    </w:p>
    <w:p w:rsidR="00614D20" w14:paraId="03546AF3" w14:textId="77777777">
      <w:pPr>
        <w:rPr>
          <w:sz w:val="24"/>
          <w:szCs w:val="24"/>
        </w:rPr>
      </w:pPr>
      <w:r>
        <w:rPr>
          <w:sz w:val="24"/>
          <w:szCs w:val="24"/>
        </w:rPr>
        <w:t>Estimated hours per request</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 xml:space="preserve"> x .25 (15 min)  </w:t>
      </w:r>
    </w:p>
    <w:p w:rsidR="00614D20" w14:paraId="58979A95" w14:textId="77777777">
      <w:pPr>
        <w:widowControl w:val="0"/>
        <w:rPr>
          <w:sz w:val="24"/>
          <w:szCs w:val="24"/>
        </w:rPr>
      </w:pPr>
      <w:r>
        <w:rPr>
          <w:sz w:val="24"/>
          <w:szCs w:val="24"/>
        </w:rPr>
        <w:t>Estimated total burden hours</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5,706</w:t>
      </w:r>
    </w:p>
    <w:p w:rsidR="00614D20" w14:paraId="4B1229B6" w14:textId="77777777">
      <w:pPr>
        <w:widowControl w:val="0"/>
        <w:tabs>
          <w:tab w:val="left" w:pos="360"/>
          <w:tab w:val="left" w:pos="720"/>
          <w:tab w:val="left" w:pos="1080"/>
          <w:tab w:val="left" w:pos="1440"/>
        </w:tabs>
        <w:rPr>
          <w:sz w:val="24"/>
          <w:szCs w:val="24"/>
          <w:u w:val="single"/>
        </w:rPr>
      </w:pPr>
    </w:p>
    <w:p w:rsidR="00614D20" w14:paraId="12D704F6" w14:textId="77777777">
      <w:pPr>
        <w:widowControl w:val="0"/>
        <w:numPr>
          <w:ilvl w:val="0"/>
          <w:numId w:val="1"/>
        </w:numPr>
        <w:tabs>
          <w:tab w:val="left" w:pos="820"/>
          <w:tab w:val="left" w:pos="821"/>
        </w:tabs>
        <w:ind w:right="195"/>
        <w:rPr>
          <w:rFonts w:ascii="Noto Sans Symbols" w:eastAsia="Noto Sans Symbols" w:hAnsi="Noto Sans Symbols" w:cs="Noto Sans Symbols"/>
          <w:sz w:val="24"/>
          <w:szCs w:val="24"/>
        </w:rPr>
      </w:pPr>
      <w:r>
        <w:rPr>
          <w:sz w:val="24"/>
          <w:szCs w:val="24"/>
          <w:u w:val="single"/>
        </w:rPr>
        <w:t xml:space="preserve">Changes Due to Adjustment in Agency Estimate: </w:t>
      </w:r>
      <w:r>
        <w:rPr>
          <w:sz w:val="24"/>
          <w:szCs w:val="24"/>
        </w:rPr>
        <w:t xml:space="preserve"> </w:t>
      </w:r>
    </w:p>
    <w:tbl>
      <w:tblPr>
        <w:tblStyle w:val="a"/>
        <w:tblW w:w="9360" w:type="dxa"/>
        <w:tblLayout w:type="fixed"/>
        <w:tblLook w:val="0400"/>
      </w:tblPr>
      <w:tblGrid>
        <w:gridCol w:w="9360"/>
      </w:tblGrid>
      <w:tr w14:paraId="093CBD23" w14:textId="77777777">
        <w:tblPrEx>
          <w:tblW w:w="9360" w:type="dxa"/>
          <w:tblLayout w:type="fixed"/>
          <w:tblLook w:val="0400"/>
        </w:tblPrEx>
        <w:tc>
          <w:tcPr>
            <w:tcW w:w="9360" w:type="dxa"/>
            <w:tcMar>
              <w:top w:w="15" w:type="dxa"/>
              <w:left w:w="15" w:type="dxa"/>
              <w:bottom w:w="15" w:type="dxa"/>
              <w:right w:w="15" w:type="dxa"/>
            </w:tcMar>
            <w:vAlign w:val="bottom"/>
          </w:tcPr>
          <w:p w:rsidR="00614D20" w14:paraId="5DE5FCAD" w14:textId="77777777">
            <w:pPr>
              <w:widowControl w:val="0"/>
              <w:rPr>
                <w:sz w:val="24"/>
                <w:szCs w:val="24"/>
              </w:rPr>
            </w:pPr>
          </w:p>
          <w:p w:rsidR="00614D20" w14:paraId="5B1B523C" w14:textId="77777777">
            <w:pPr>
              <w:widowControl w:val="0"/>
              <w:rPr>
                <w:sz w:val="24"/>
                <w:szCs w:val="24"/>
              </w:rPr>
            </w:pPr>
            <w:r>
              <w:rPr>
                <w:sz w:val="24"/>
                <w:szCs w:val="24"/>
              </w:rPr>
              <w:t xml:space="preserve">An updated estimated # of respondents (year) was used. This updated number is calculated by adding the estimated total number of respondents for fiscal years 2023 and 2024 and then </w:t>
            </w:r>
            <w:r>
              <w:rPr>
                <w:sz w:val="24"/>
                <w:szCs w:val="24"/>
              </w:rPr>
              <w:t>dividing that number by 2. The prior agency estimate used data for fiscal years 2012-2015.</w:t>
            </w:r>
          </w:p>
          <w:p w:rsidR="00614D20" w14:paraId="422EBC63" w14:textId="77777777">
            <w:pPr>
              <w:widowControl w:val="0"/>
              <w:rPr>
                <w:sz w:val="24"/>
                <w:szCs w:val="24"/>
              </w:rPr>
            </w:pPr>
          </w:p>
          <w:p w:rsidR="00614D20" w14:paraId="15FDEDB8" w14:textId="77777777">
            <w:pPr>
              <w:widowControl w:val="0"/>
              <w:rPr>
                <w:sz w:val="24"/>
                <w:szCs w:val="24"/>
              </w:rPr>
            </w:pPr>
          </w:p>
          <w:p w:rsidR="00614D20" w14:paraId="499577D2" w14:textId="77777777">
            <w:pPr>
              <w:widowControl w:val="0"/>
              <w:rPr>
                <w:sz w:val="24"/>
                <w:szCs w:val="24"/>
              </w:rPr>
            </w:pPr>
          </w:p>
          <w:tbl>
            <w:tblPr>
              <w:tblStyle w:val="a0"/>
              <w:tblW w:w="9330" w:type="dxa"/>
              <w:tblBorders>
                <w:top w:val="single" w:sz="6" w:space="0" w:color="000000"/>
                <w:left w:val="single" w:sz="6" w:space="0" w:color="000000"/>
                <w:bottom w:val="single" w:sz="6" w:space="0" w:color="000000"/>
                <w:right w:val="single" w:sz="6" w:space="0" w:color="000000"/>
              </w:tblBorders>
              <w:tblLayout w:type="fixed"/>
              <w:tblLook w:val="0400"/>
            </w:tblPr>
            <w:tblGrid>
              <w:gridCol w:w="1796"/>
              <w:gridCol w:w="1255"/>
              <w:gridCol w:w="1255"/>
              <w:gridCol w:w="1256"/>
              <w:gridCol w:w="1256"/>
              <w:gridCol w:w="1256"/>
              <w:gridCol w:w="1256"/>
            </w:tblGrid>
            <w:tr w14:paraId="3AD50215" w14:textId="77777777">
              <w:tblPrEx>
                <w:tblW w:w="9330" w:type="dxa"/>
                <w:tblBorders>
                  <w:top w:val="single" w:sz="6" w:space="0" w:color="000000"/>
                  <w:left w:val="single" w:sz="6" w:space="0" w:color="000000"/>
                  <w:bottom w:val="single" w:sz="6" w:space="0" w:color="000000"/>
                  <w:right w:val="single" w:sz="6" w:space="0" w:color="000000"/>
                </w:tblBorders>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0622942D" w14:textId="77777777">
                  <w:pPr>
                    <w:widowControl w:val="0"/>
                    <w:rPr>
                      <w:b/>
                      <w:sz w:val="24"/>
                      <w:szCs w:val="24"/>
                    </w:rPr>
                  </w:pPr>
                </w:p>
              </w:tc>
              <w:tc>
                <w:tcPr>
                  <w:tcW w:w="125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779B3080" w14:textId="77777777">
                  <w:pPr>
                    <w:widowControl w:val="0"/>
                    <w:jc w:val="center"/>
                    <w:rPr>
                      <w:b/>
                      <w:sz w:val="24"/>
                      <w:szCs w:val="24"/>
                    </w:rPr>
                  </w:pPr>
                  <w:r>
                    <w:rPr>
                      <w:b/>
                      <w:sz w:val="24"/>
                      <w:szCs w:val="24"/>
                    </w:rPr>
                    <w:t>Requested</w:t>
                  </w:r>
                </w:p>
              </w:tc>
              <w:tc>
                <w:tcPr>
                  <w:tcW w:w="125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17A09A82" w14:textId="77777777">
                  <w:pPr>
                    <w:widowControl w:val="0"/>
                    <w:jc w:val="center"/>
                    <w:rPr>
                      <w:b/>
                      <w:sz w:val="24"/>
                      <w:szCs w:val="24"/>
                    </w:rPr>
                  </w:pPr>
                  <w:r>
                    <w:rPr>
                      <w:b/>
                      <w:sz w:val="24"/>
                      <w:szCs w:val="24"/>
                    </w:rPr>
                    <w:t>Change Due to New Statute</w:t>
                  </w:r>
                </w:p>
              </w:tc>
              <w:tc>
                <w:tcPr>
                  <w:tcW w:w="125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07543862" w14:textId="77777777">
                  <w:pPr>
                    <w:widowControl w:val="0"/>
                    <w:jc w:val="center"/>
                    <w:rPr>
                      <w:b/>
                      <w:sz w:val="24"/>
                      <w:szCs w:val="24"/>
                    </w:rPr>
                  </w:pPr>
                  <w:r>
                    <w:rPr>
                      <w:b/>
                      <w:sz w:val="24"/>
                      <w:szCs w:val="24"/>
                    </w:rPr>
                    <w:t>Change Due to Agency Discretion</w:t>
                  </w:r>
                </w:p>
              </w:tc>
              <w:tc>
                <w:tcPr>
                  <w:tcW w:w="125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4503C232" w14:textId="77777777">
                  <w:pPr>
                    <w:widowControl w:val="0"/>
                    <w:jc w:val="center"/>
                    <w:rPr>
                      <w:b/>
                      <w:sz w:val="24"/>
                      <w:szCs w:val="24"/>
                    </w:rPr>
                  </w:pPr>
                  <w:r>
                    <w:rPr>
                      <w:b/>
                      <w:sz w:val="24"/>
                      <w:szCs w:val="24"/>
                    </w:rPr>
                    <w:t xml:space="preserve">Change </w:t>
                  </w:r>
                </w:p>
                <w:p w:rsidR="00614D20" w14:paraId="3C3DD3A7" w14:textId="77777777">
                  <w:pPr>
                    <w:widowControl w:val="0"/>
                    <w:jc w:val="center"/>
                    <w:rPr>
                      <w:b/>
                      <w:sz w:val="24"/>
                      <w:szCs w:val="24"/>
                    </w:rPr>
                  </w:pPr>
                  <w:r>
                    <w:rPr>
                      <w:b/>
                      <w:sz w:val="24"/>
                      <w:szCs w:val="24"/>
                    </w:rPr>
                    <w:t>Due to Adjustment in Agency Estimate</w:t>
                  </w:r>
                </w:p>
              </w:tc>
              <w:tc>
                <w:tcPr>
                  <w:tcW w:w="125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2AED7F31" w14:textId="77777777">
                  <w:pPr>
                    <w:widowControl w:val="0"/>
                    <w:jc w:val="center"/>
                    <w:rPr>
                      <w:b/>
                      <w:sz w:val="24"/>
                      <w:szCs w:val="24"/>
                    </w:rPr>
                  </w:pPr>
                  <w:r>
                    <w:rPr>
                      <w:b/>
                      <w:sz w:val="24"/>
                      <w:szCs w:val="24"/>
                    </w:rPr>
                    <w:t>Change Due to Potential Violation of the PRA</w:t>
                  </w:r>
                </w:p>
              </w:tc>
              <w:tc>
                <w:tcPr>
                  <w:tcW w:w="125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74354640" w14:textId="77777777">
                  <w:pPr>
                    <w:widowControl w:val="0"/>
                    <w:jc w:val="center"/>
                    <w:rPr>
                      <w:b/>
                      <w:sz w:val="24"/>
                      <w:szCs w:val="24"/>
                    </w:rPr>
                  </w:pPr>
                  <w:r>
                    <w:rPr>
                      <w:b/>
                      <w:sz w:val="24"/>
                      <w:szCs w:val="24"/>
                    </w:rPr>
                    <w:t>Previously Approved</w:t>
                  </w:r>
                </w:p>
              </w:tc>
            </w:tr>
            <w:tr w14:paraId="6D2E7F9E" w14:textId="77777777">
              <w:tblPrEx>
                <w:tblW w:w="933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18BDAAC9" w14:textId="77777777">
                  <w:pPr>
                    <w:widowControl w:val="0"/>
                    <w:rPr>
                      <w:sz w:val="24"/>
                      <w:szCs w:val="24"/>
                    </w:rPr>
                  </w:pPr>
                  <w:r>
                    <w:rPr>
                      <w:sz w:val="24"/>
                      <w:szCs w:val="24"/>
                    </w:rPr>
                    <w:t>Annual Number of Responses for this IC</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3F4D9B9D" w14:textId="77777777">
                  <w:pPr>
                    <w:widowControl w:val="0"/>
                    <w:jc w:val="center"/>
                    <w:rPr>
                      <w:sz w:val="24"/>
                      <w:szCs w:val="24"/>
                    </w:rPr>
                  </w:pPr>
                  <w:r>
                    <w:rPr>
                      <w:sz w:val="24"/>
                      <w:szCs w:val="24"/>
                    </w:rPr>
                    <w:t>22,824</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1F57B186"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02423335"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40B31D58" w14:textId="77777777">
                  <w:pPr>
                    <w:widowControl w:val="0"/>
                    <w:jc w:val="center"/>
                    <w:rPr>
                      <w:sz w:val="24"/>
                      <w:szCs w:val="24"/>
                    </w:rPr>
                  </w:pPr>
                  <w:r>
                    <w:rPr>
                      <w:sz w:val="24"/>
                      <w:szCs w:val="24"/>
                    </w:rPr>
                    <w:t>(2,176)</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32798F71"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7C809DB1" w14:textId="77777777">
                  <w:pPr>
                    <w:widowControl w:val="0"/>
                    <w:jc w:val="center"/>
                    <w:rPr>
                      <w:sz w:val="24"/>
                      <w:szCs w:val="24"/>
                    </w:rPr>
                  </w:pPr>
                  <w:r>
                    <w:rPr>
                      <w:sz w:val="24"/>
                      <w:szCs w:val="24"/>
                    </w:rPr>
                    <w:t>25,000</w:t>
                  </w:r>
                </w:p>
              </w:tc>
            </w:tr>
            <w:tr w14:paraId="7D77137E" w14:textId="77777777">
              <w:tblPrEx>
                <w:tblW w:w="933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2BE2B507" w14:textId="77777777">
                  <w:pPr>
                    <w:widowControl w:val="0"/>
                    <w:rPr>
                      <w:sz w:val="24"/>
                      <w:szCs w:val="24"/>
                    </w:rPr>
                  </w:pPr>
                  <w:r>
                    <w:rPr>
                      <w:sz w:val="24"/>
                      <w:szCs w:val="24"/>
                    </w:rPr>
                    <w:t>Annual IC Time Burden (Hour)</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3347A549" w14:textId="77777777">
                  <w:pPr>
                    <w:widowControl w:val="0"/>
                    <w:jc w:val="center"/>
                    <w:rPr>
                      <w:sz w:val="24"/>
                      <w:szCs w:val="24"/>
                    </w:rPr>
                  </w:pPr>
                  <w:r>
                    <w:rPr>
                      <w:sz w:val="24"/>
                      <w:szCs w:val="24"/>
                    </w:rPr>
                    <w:t>5,706</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E9CAFE5"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3C14BDE2"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02C54AD7" w14:textId="77777777">
                  <w:pPr>
                    <w:widowControl w:val="0"/>
                    <w:jc w:val="center"/>
                    <w:rPr>
                      <w:sz w:val="24"/>
                      <w:szCs w:val="24"/>
                    </w:rPr>
                  </w:pPr>
                  <w:r>
                    <w:rPr>
                      <w:sz w:val="24"/>
                      <w:szCs w:val="24"/>
                    </w:rPr>
                    <w:t>(544)</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65D4D55F"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310A915B" w14:textId="77777777">
                  <w:pPr>
                    <w:widowControl w:val="0"/>
                    <w:jc w:val="center"/>
                    <w:rPr>
                      <w:sz w:val="24"/>
                      <w:szCs w:val="24"/>
                    </w:rPr>
                  </w:pPr>
                  <w:r>
                    <w:rPr>
                      <w:sz w:val="24"/>
                      <w:szCs w:val="24"/>
                    </w:rPr>
                    <w:t>6,250</w:t>
                  </w:r>
                </w:p>
              </w:tc>
            </w:tr>
            <w:tr w14:paraId="52E088AD" w14:textId="77777777">
              <w:tblPrEx>
                <w:tblW w:w="9330" w:type="dxa"/>
                <w:tblLayout w:type="fixed"/>
                <w:tblLook w:val="0400"/>
              </w:tblPrEx>
              <w:tc>
                <w:tcPr>
                  <w:tcW w:w="179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C33B4E5" w14:textId="77777777">
                  <w:pPr>
                    <w:widowControl w:val="0"/>
                    <w:rPr>
                      <w:sz w:val="24"/>
                      <w:szCs w:val="24"/>
                    </w:rPr>
                  </w:pPr>
                  <w:r>
                    <w:rPr>
                      <w:sz w:val="24"/>
                      <w:szCs w:val="24"/>
                    </w:rPr>
                    <w:t>Annual IC Cost Burden (Dollars)</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46AF933A" w14:textId="77777777">
                  <w:pPr>
                    <w:widowControl w:val="0"/>
                    <w:jc w:val="center"/>
                    <w:rPr>
                      <w:sz w:val="24"/>
                      <w:szCs w:val="24"/>
                    </w:rPr>
                  </w:pPr>
                  <w:r>
                    <w:rPr>
                      <w:sz w:val="24"/>
                      <w:szCs w:val="24"/>
                    </w:rPr>
                    <w:t>$358,012</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8AFF056"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70A3EC08"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BA2D21C" w14:textId="77777777">
                  <w:pPr>
                    <w:widowControl w:val="0"/>
                    <w:jc w:val="center"/>
                    <w:rPr>
                      <w:sz w:val="28"/>
                      <w:szCs w:val="28"/>
                    </w:rPr>
                  </w:pPr>
                  <w:r>
                    <w:rPr>
                      <w:sz w:val="24"/>
                      <w:szCs w:val="24"/>
                    </w:rPr>
                    <w:t>$109,387</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106368E5" w14:textId="77777777">
                  <w:pPr>
                    <w:widowControl w:val="0"/>
                    <w:jc w:val="center"/>
                    <w:rPr>
                      <w:sz w:val="24"/>
                      <w:szCs w:val="24"/>
                    </w:rPr>
                  </w:pPr>
                  <w:r>
                    <w:rPr>
                      <w:sz w:val="24"/>
                      <w:szCs w:val="24"/>
                    </w:rPr>
                    <w:t>N/A</w:t>
                  </w:r>
                </w:p>
              </w:tc>
              <w:tc>
                <w:tcPr>
                  <w:tcW w:w="125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0BBE22C" w14:textId="77777777">
                  <w:pPr>
                    <w:widowControl w:val="0"/>
                    <w:jc w:val="center"/>
                    <w:rPr>
                      <w:sz w:val="24"/>
                      <w:szCs w:val="24"/>
                    </w:rPr>
                  </w:pPr>
                  <w:r>
                    <w:rPr>
                      <w:sz w:val="24"/>
                      <w:szCs w:val="24"/>
                    </w:rPr>
                    <w:t>$248,625</w:t>
                  </w:r>
                </w:p>
              </w:tc>
            </w:tr>
          </w:tbl>
          <w:p w:rsidR="00614D20" w14:paraId="0AE834C2" w14:textId="77777777">
            <w:pPr>
              <w:widowControl w:val="0"/>
              <w:rPr>
                <w:sz w:val="24"/>
                <w:szCs w:val="24"/>
              </w:rPr>
            </w:pPr>
          </w:p>
        </w:tc>
      </w:tr>
    </w:tbl>
    <w:p w:rsidR="00614D20" w14:paraId="7A30A634" w14:textId="77777777">
      <w:pPr>
        <w:widowControl w:val="0"/>
        <w:rPr>
          <w:sz w:val="24"/>
          <w:szCs w:val="24"/>
        </w:rPr>
      </w:pPr>
    </w:p>
    <w:tbl>
      <w:tblPr>
        <w:tblStyle w:val="a1"/>
        <w:tblW w:w="9360" w:type="dxa"/>
        <w:tblLayout w:type="fixed"/>
        <w:tblLook w:val="0400"/>
      </w:tblPr>
      <w:tblGrid>
        <w:gridCol w:w="9248"/>
        <w:gridCol w:w="112"/>
      </w:tblGrid>
      <w:tr w14:paraId="0C47ED30" w14:textId="77777777">
        <w:tblPrEx>
          <w:tblW w:w="9360" w:type="dxa"/>
          <w:tblLayout w:type="fixed"/>
          <w:tblLook w:val="0400"/>
        </w:tblPrEx>
        <w:trPr>
          <w:gridAfter w:val="1"/>
          <w:wAfter w:w="112" w:type="dxa"/>
        </w:trPr>
        <w:tc>
          <w:tcPr>
            <w:tcW w:w="9248" w:type="dxa"/>
            <w:tcMar>
              <w:top w:w="15" w:type="dxa"/>
              <w:left w:w="15" w:type="dxa"/>
              <w:bottom w:w="15" w:type="dxa"/>
              <w:right w:w="15" w:type="dxa"/>
            </w:tcMar>
            <w:vAlign w:val="center"/>
          </w:tcPr>
          <w:p w:rsidR="00614D20" w14:paraId="37650576" w14:textId="77777777">
            <w:pPr>
              <w:widowControl w:val="0"/>
              <w:rPr>
                <w:sz w:val="24"/>
                <w:szCs w:val="24"/>
              </w:rPr>
            </w:pPr>
            <w:r>
              <w:rPr>
                <w:sz w:val="24"/>
                <w:szCs w:val="24"/>
              </w:rPr>
              <w:t xml:space="preserve">Burden per Response: </w:t>
            </w:r>
          </w:p>
          <w:tbl>
            <w:tblPr>
              <w:tblStyle w:val="a2"/>
              <w:tblW w:w="9218" w:type="dxa"/>
              <w:tblBorders>
                <w:top w:val="single" w:sz="6" w:space="0" w:color="000000"/>
                <w:left w:val="single" w:sz="6" w:space="0" w:color="000000"/>
                <w:bottom w:val="single" w:sz="6" w:space="0" w:color="000000"/>
                <w:right w:val="single" w:sz="6" w:space="0" w:color="000000"/>
              </w:tblBorders>
              <w:tblLayout w:type="fixed"/>
              <w:tblLook w:val="0400"/>
            </w:tblPr>
            <w:tblGrid>
              <w:gridCol w:w="1348"/>
              <w:gridCol w:w="3935"/>
              <w:gridCol w:w="3935"/>
            </w:tblGrid>
            <w:tr w14:paraId="33B79607" w14:textId="77777777">
              <w:tblPrEx>
                <w:tblW w:w="9218" w:type="dxa"/>
                <w:tblBorders>
                  <w:top w:val="single" w:sz="6" w:space="0" w:color="000000"/>
                  <w:left w:val="single" w:sz="6" w:space="0" w:color="000000"/>
                  <w:bottom w:val="single" w:sz="6" w:space="0" w:color="000000"/>
                  <w:right w:val="single" w:sz="6" w:space="0" w:color="000000"/>
                </w:tblBorders>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398F615A" w14:textId="77777777">
                  <w:pPr>
                    <w:widowControl w:val="0"/>
                    <w:jc w:val="center"/>
                    <w:rPr>
                      <w:b/>
                      <w:sz w:val="24"/>
                      <w:szCs w:val="24"/>
                    </w:rPr>
                  </w:pPr>
                  <w:r>
                    <w:rPr>
                      <w:b/>
                      <w:sz w:val="24"/>
                      <w:szCs w:val="24"/>
                    </w:rPr>
                    <w:t xml:space="preserve">  </w:t>
                  </w:r>
                </w:p>
              </w:tc>
              <w:tc>
                <w:tcPr>
                  <w:tcW w:w="393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4C96793C" w14:textId="77777777">
                  <w:pPr>
                    <w:widowControl w:val="0"/>
                    <w:jc w:val="center"/>
                    <w:rPr>
                      <w:b/>
                      <w:sz w:val="24"/>
                      <w:szCs w:val="24"/>
                    </w:rPr>
                  </w:pPr>
                  <w:r>
                    <w:rPr>
                      <w:b/>
                      <w:sz w:val="24"/>
                      <w:szCs w:val="24"/>
                    </w:rPr>
                    <w:t>Time Per Response</w:t>
                  </w:r>
                </w:p>
                <w:p w:rsidR="00614D20" w14:paraId="43B5CDD6" w14:textId="77777777">
                  <w:pPr>
                    <w:widowControl w:val="0"/>
                    <w:jc w:val="center"/>
                    <w:rPr>
                      <w:b/>
                      <w:sz w:val="24"/>
                      <w:szCs w:val="24"/>
                    </w:rPr>
                  </w:pPr>
                  <w:r>
                    <w:rPr>
                      <w:b/>
                      <w:sz w:val="24"/>
                      <w:szCs w:val="24"/>
                    </w:rPr>
                    <w:t>(Hours)</w:t>
                  </w:r>
                </w:p>
              </w:tc>
              <w:tc>
                <w:tcPr>
                  <w:tcW w:w="393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30A658D2" w14:textId="77777777">
                  <w:pPr>
                    <w:widowControl w:val="0"/>
                    <w:jc w:val="center"/>
                    <w:rPr>
                      <w:b/>
                      <w:sz w:val="24"/>
                      <w:szCs w:val="24"/>
                    </w:rPr>
                  </w:pPr>
                  <w:r>
                    <w:rPr>
                      <w:b/>
                      <w:sz w:val="24"/>
                      <w:szCs w:val="24"/>
                    </w:rPr>
                    <w:t xml:space="preserve">Cost Per Response </w:t>
                  </w:r>
                </w:p>
                <w:p w:rsidR="00614D20" w14:paraId="78AA2E1A" w14:textId="77777777">
                  <w:pPr>
                    <w:widowControl w:val="0"/>
                    <w:jc w:val="center"/>
                    <w:rPr>
                      <w:b/>
                      <w:sz w:val="24"/>
                      <w:szCs w:val="24"/>
                    </w:rPr>
                  </w:pPr>
                  <w:r>
                    <w:rPr>
                      <w:b/>
                      <w:sz w:val="24"/>
                      <w:szCs w:val="24"/>
                    </w:rPr>
                    <w:t>(Dollars)</w:t>
                  </w:r>
                </w:p>
              </w:tc>
            </w:tr>
            <w:tr w14:paraId="1F7B128D" w14:textId="77777777">
              <w:tblPrEx>
                <w:tblW w:w="921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25036AAE" w14:textId="77777777">
                  <w:pPr>
                    <w:widowControl w:val="0"/>
                    <w:rPr>
                      <w:sz w:val="24"/>
                      <w:szCs w:val="24"/>
                    </w:rPr>
                  </w:pPr>
                  <w:r>
                    <w:rPr>
                      <w:sz w:val="24"/>
                      <w:szCs w:val="24"/>
                    </w:rPr>
                    <w:t xml:space="preserve">Reporting </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0F204A6A" w14:textId="77777777">
                  <w:pPr>
                    <w:widowControl w:val="0"/>
                    <w:jc w:val="center"/>
                    <w:rPr>
                      <w:sz w:val="24"/>
                      <w:szCs w:val="24"/>
                    </w:rPr>
                  </w:pPr>
                  <w:r>
                    <w:rPr>
                      <w:sz w:val="24"/>
                      <w:szCs w:val="24"/>
                    </w:rPr>
                    <w:t>.25</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64D376A2" w14:textId="77777777">
                  <w:pPr>
                    <w:widowControl w:val="0"/>
                    <w:jc w:val="center"/>
                    <w:rPr>
                      <w:sz w:val="24"/>
                      <w:szCs w:val="24"/>
                    </w:rPr>
                  </w:pPr>
                  <w:r>
                    <w:rPr>
                      <w:sz w:val="24"/>
                      <w:szCs w:val="24"/>
                    </w:rPr>
                    <w:t>$16</w:t>
                  </w:r>
                </w:p>
              </w:tc>
            </w:tr>
            <w:tr w14:paraId="7356650F" w14:textId="77777777">
              <w:tblPrEx>
                <w:tblW w:w="921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4F835BB3" w14:textId="77777777">
                  <w:pPr>
                    <w:widowControl w:val="0"/>
                    <w:rPr>
                      <w:sz w:val="24"/>
                      <w:szCs w:val="24"/>
                    </w:rPr>
                  </w:pPr>
                  <w:r>
                    <w:rPr>
                      <w:sz w:val="24"/>
                      <w:szCs w:val="24"/>
                    </w:rPr>
                    <w:t xml:space="preserve">Record Keeping </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7D61CFDE" w14:textId="77777777">
                  <w:pPr>
                    <w:widowControl w:val="0"/>
                    <w:jc w:val="center"/>
                    <w:rPr>
                      <w:sz w:val="24"/>
                      <w:szCs w:val="24"/>
                    </w:rPr>
                  </w:pPr>
                  <w:r>
                    <w:rPr>
                      <w:sz w:val="24"/>
                      <w:szCs w:val="24"/>
                    </w:rPr>
                    <w:t>N/A</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2C7082CB" w14:textId="77777777">
                  <w:pPr>
                    <w:widowControl w:val="0"/>
                    <w:jc w:val="center"/>
                    <w:rPr>
                      <w:sz w:val="24"/>
                      <w:szCs w:val="24"/>
                    </w:rPr>
                  </w:pPr>
                  <w:r>
                    <w:rPr>
                      <w:sz w:val="24"/>
                      <w:szCs w:val="24"/>
                    </w:rPr>
                    <w:t>N/A</w:t>
                  </w:r>
                </w:p>
              </w:tc>
            </w:tr>
            <w:tr w14:paraId="3A9E0189" w14:textId="77777777">
              <w:tblPrEx>
                <w:tblW w:w="921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46FDCF2" w14:textId="77777777">
                  <w:pPr>
                    <w:widowControl w:val="0"/>
                    <w:rPr>
                      <w:sz w:val="24"/>
                      <w:szCs w:val="24"/>
                    </w:rPr>
                  </w:pPr>
                  <w:r>
                    <w:rPr>
                      <w:sz w:val="24"/>
                      <w:szCs w:val="24"/>
                    </w:rPr>
                    <w:t xml:space="preserve">Third Party Disclosure </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627C0A5A" w14:textId="77777777">
                  <w:pPr>
                    <w:widowControl w:val="0"/>
                    <w:jc w:val="center"/>
                    <w:rPr>
                      <w:sz w:val="24"/>
                      <w:szCs w:val="24"/>
                    </w:rPr>
                  </w:pPr>
                  <w:r>
                    <w:rPr>
                      <w:sz w:val="24"/>
                      <w:szCs w:val="24"/>
                    </w:rPr>
                    <w:t>N/A</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4BA601C0" w14:textId="77777777">
                  <w:pPr>
                    <w:widowControl w:val="0"/>
                    <w:jc w:val="center"/>
                    <w:rPr>
                      <w:sz w:val="24"/>
                      <w:szCs w:val="24"/>
                    </w:rPr>
                  </w:pPr>
                  <w:r>
                    <w:rPr>
                      <w:sz w:val="24"/>
                      <w:szCs w:val="24"/>
                    </w:rPr>
                    <w:t>N/A</w:t>
                  </w:r>
                </w:p>
              </w:tc>
            </w:tr>
            <w:tr w14:paraId="47C7CD54" w14:textId="77777777">
              <w:tblPrEx>
                <w:tblW w:w="9218" w:type="dxa"/>
                <w:tblLayout w:type="fixed"/>
                <w:tblLook w:val="0400"/>
              </w:tblPrEx>
              <w:tc>
                <w:tcPr>
                  <w:tcW w:w="1348"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AADB5FE" w14:textId="77777777">
                  <w:pPr>
                    <w:widowControl w:val="0"/>
                    <w:rPr>
                      <w:sz w:val="24"/>
                      <w:szCs w:val="24"/>
                    </w:rPr>
                  </w:pPr>
                  <w:r>
                    <w:rPr>
                      <w:sz w:val="24"/>
                      <w:szCs w:val="24"/>
                    </w:rPr>
                    <w:t xml:space="preserve">Total </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52BA737" w14:textId="77777777">
                  <w:pPr>
                    <w:widowControl w:val="0"/>
                    <w:jc w:val="center"/>
                    <w:rPr>
                      <w:sz w:val="24"/>
                      <w:szCs w:val="24"/>
                    </w:rPr>
                  </w:pPr>
                  <w:r>
                    <w:rPr>
                      <w:sz w:val="24"/>
                      <w:szCs w:val="24"/>
                    </w:rPr>
                    <w:t> .25</w:t>
                  </w:r>
                </w:p>
              </w:tc>
              <w:tc>
                <w:tcPr>
                  <w:tcW w:w="39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06BACFF0" w14:textId="77777777">
                  <w:pPr>
                    <w:widowControl w:val="0"/>
                    <w:jc w:val="center"/>
                    <w:rPr>
                      <w:sz w:val="24"/>
                      <w:szCs w:val="24"/>
                    </w:rPr>
                  </w:pPr>
                  <w:r>
                    <w:rPr>
                      <w:sz w:val="24"/>
                      <w:szCs w:val="24"/>
                    </w:rPr>
                    <w:t>$16</w:t>
                  </w:r>
                </w:p>
              </w:tc>
            </w:tr>
          </w:tbl>
          <w:p w:rsidR="00614D20" w14:paraId="571CF09F" w14:textId="77777777">
            <w:pPr>
              <w:widowControl w:val="0"/>
              <w:rPr>
                <w:sz w:val="24"/>
                <w:szCs w:val="24"/>
              </w:rPr>
            </w:pPr>
          </w:p>
        </w:tc>
      </w:tr>
      <w:tr w14:paraId="11BFA3DB" w14:textId="77777777">
        <w:tblPrEx>
          <w:tblW w:w="9360" w:type="dxa"/>
          <w:tblLayout w:type="fixed"/>
          <w:tblLook w:val="0400"/>
        </w:tblPrEx>
        <w:trPr>
          <w:trHeight w:val="8564"/>
        </w:trPr>
        <w:tc>
          <w:tcPr>
            <w:tcW w:w="9360" w:type="dxa"/>
            <w:gridSpan w:val="2"/>
            <w:tcMar>
              <w:top w:w="15" w:type="dxa"/>
              <w:left w:w="15" w:type="dxa"/>
              <w:bottom w:w="15" w:type="dxa"/>
              <w:right w:w="15" w:type="dxa"/>
            </w:tcMar>
            <w:vAlign w:val="center"/>
          </w:tcPr>
          <w:p w:rsidR="00614D20" w14:paraId="3E6313B8" w14:textId="77777777">
            <w:pPr>
              <w:widowControl w:val="0"/>
              <w:rPr>
                <w:sz w:val="24"/>
                <w:szCs w:val="24"/>
              </w:rPr>
            </w:pPr>
            <w:r>
              <w:rPr>
                <w:sz w:val="24"/>
                <w:szCs w:val="24"/>
              </w:rPr>
              <w:t xml:space="preserve">Annual Burden: </w:t>
            </w:r>
          </w:p>
          <w:tbl>
            <w:tblPr>
              <w:tblStyle w:val="a3"/>
              <w:tblW w:w="9218" w:type="dxa"/>
              <w:tblBorders>
                <w:top w:val="single" w:sz="6" w:space="0" w:color="000000"/>
                <w:left w:val="single" w:sz="6" w:space="0" w:color="000000"/>
                <w:bottom w:val="single" w:sz="6" w:space="0" w:color="000000"/>
                <w:right w:val="single" w:sz="6" w:space="0" w:color="000000"/>
              </w:tblBorders>
              <w:tblLayout w:type="fixed"/>
              <w:tblLook w:val="0400"/>
            </w:tblPr>
            <w:tblGrid>
              <w:gridCol w:w="1966"/>
              <w:gridCol w:w="3626"/>
              <w:gridCol w:w="3626"/>
            </w:tblGrid>
            <w:tr w14:paraId="1CC2EC6A" w14:textId="77777777">
              <w:tblPrEx>
                <w:tblW w:w="9218" w:type="dxa"/>
                <w:tblBorders>
                  <w:top w:val="single" w:sz="6" w:space="0" w:color="000000"/>
                  <w:left w:val="single" w:sz="6" w:space="0" w:color="000000"/>
                  <w:bottom w:val="single" w:sz="6" w:space="0" w:color="000000"/>
                  <w:right w:val="single" w:sz="6" w:space="0" w:color="000000"/>
                </w:tblBorders>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79F8460B" w14:textId="77777777">
                  <w:pPr>
                    <w:widowControl w:val="0"/>
                    <w:jc w:val="center"/>
                    <w:rPr>
                      <w:b/>
                      <w:sz w:val="24"/>
                      <w:szCs w:val="24"/>
                    </w:rPr>
                  </w:pPr>
                  <w:r>
                    <w:rPr>
                      <w:b/>
                      <w:sz w:val="24"/>
                      <w:szCs w:val="24"/>
                    </w:rPr>
                    <w:t xml:space="preserve">  </w:t>
                  </w:r>
                </w:p>
              </w:tc>
              <w:tc>
                <w:tcPr>
                  <w:tcW w:w="3626"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44A409C9" w14:textId="77777777">
                  <w:pPr>
                    <w:widowControl w:val="0"/>
                    <w:jc w:val="center"/>
                    <w:rPr>
                      <w:b/>
                      <w:sz w:val="24"/>
                      <w:szCs w:val="24"/>
                    </w:rPr>
                  </w:pPr>
                  <w:r>
                    <w:rPr>
                      <w:b/>
                      <w:sz w:val="24"/>
                      <w:szCs w:val="24"/>
                    </w:rPr>
                    <w:t xml:space="preserve">Annual Time Burden (Hours) </w:t>
                  </w:r>
                </w:p>
              </w:tc>
              <w:tc>
                <w:tcPr>
                  <w:tcW w:w="3626" w:type="dxa"/>
                  <w:tcBorders>
                    <w:top w:val="single" w:sz="6" w:space="0" w:color="000000"/>
                    <w:left w:val="single" w:sz="6" w:space="0" w:color="000000"/>
                    <w:bottom w:val="single" w:sz="6" w:space="0" w:color="000000"/>
                    <w:right w:val="single" w:sz="6" w:space="0" w:color="000000"/>
                  </w:tcBorders>
                  <w:shd w:val="clear" w:color="auto" w:fill="003399"/>
                  <w:vAlign w:val="center"/>
                </w:tcPr>
                <w:p w:rsidR="00614D20" w14:paraId="64182C2C" w14:textId="77777777">
                  <w:pPr>
                    <w:widowControl w:val="0"/>
                    <w:jc w:val="center"/>
                    <w:rPr>
                      <w:b/>
                      <w:sz w:val="24"/>
                      <w:szCs w:val="24"/>
                    </w:rPr>
                  </w:pPr>
                  <w:r>
                    <w:rPr>
                      <w:b/>
                      <w:sz w:val="24"/>
                      <w:szCs w:val="24"/>
                    </w:rPr>
                    <w:t>Annual Cost Burden</w:t>
                  </w:r>
                </w:p>
                <w:p w:rsidR="00614D20" w14:paraId="0E63911E" w14:textId="77777777">
                  <w:pPr>
                    <w:widowControl w:val="0"/>
                    <w:jc w:val="center"/>
                    <w:rPr>
                      <w:b/>
                      <w:sz w:val="24"/>
                      <w:szCs w:val="24"/>
                    </w:rPr>
                  </w:pPr>
                  <w:r>
                    <w:rPr>
                      <w:b/>
                      <w:sz w:val="24"/>
                      <w:szCs w:val="24"/>
                    </w:rPr>
                    <w:t xml:space="preserve">(Dollars) </w:t>
                  </w:r>
                </w:p>
              </w:tc>
            </w:tr>
            <w:tr w14:paraId="20A18E27" w14:textId="77777777">
              <w:tblPrEx>
                <w:tblW w:w="921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7CF4610A" w14:textId="77777777">
                  <w:pPr>
                    <w:widowControl w:val="0"/>
                    <w:rPr>
                      <w:sz w:val="24"/>
                      <w:szCs w:val="24"/>
                    </w:rPr>
                  </w:pPr>
                  <w:r>
                    <w:rPr>
                      <w:sz w:val="24"/>
                      <w:szCs w:val="24"/>
                    </w:rPr>
                    <w:t xml:space="preserve">Reporting </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463BC839" w14:textId="77777777">
                  <w:pPr>
                    <w:widowControl w:val="0"/>
                    <w:jc w:val="center"/>
                    <w:rPr>
                      <w:sz w:val="24"/>
                      <w:szCs w:val="24"/>
                    </w:rPr>
                  </w:pPr>
                  <w:r>
                    <w:rPr>
                      <w:sz w:val="24"/>
                      <w:szCs w:val="24"/>
                    </w:rPr>
                    <w:t>5,706</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7E7D1BD4" w14:textId="77777777">
                  <w:pPr>
                    <w:widowControl w:val="0"/>
                    <w:jc w:val="center"/>
                    <w:rPr>
                      <w:sz w:val="24"/>
                      <w:szCs w:val="24"/>
                    </w:rPr>
                  </w:pPr>
                  <w:r>
                    <w:rPr>
                      <w:sz w:val="24"/>
                      <w:szCs w:val="24"/>
                    </w:rPr>
                    <w:t>$358,012</w:t>
                  </w:r>
                </w:p>
              </w:tc>
            </w:tr>
            <w:tr w14:paraId="179B13AD" w14:textId="77777777">
              <w:tblPrEx>
                <w:tblW w:w="921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70D724A3" w14:textId="77777777">
                  <w:pPr>
                    <w:widowControl w:val="0"/>
                    <w:rPr>
                      <w:sz w:val="24"/>
                      <w:szCs w:val="24"/>
                    </w:rPr>
                  </w:pPr>
                  <w:r>
                    <w:rPr>
                      <w:sz w:val="24"/>
                      <w:szCs w:val="24"/>
                    </w:rPr>
                    <w:t xml:space="preserve">Record Keeping </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08A58372" w14:textId="77777777">
                  <w:pPr>
                    <w:widowControl w:val="0"/>
                    <w:jc w:val="center"/>
                    <w:rPr>
                      <w:sz w:val="24"/>
                      <w:szCs w:val="24"/>
                    </w:rPr>
                  </w:pPr>
                  <w:r>
                    <w:rPr>
                      <w:sz w:val="24"/>
                      <w:szCs w:val="24"/>
                    </w:rPr>
                    <w:t>N/A</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0B05433" w14:textId="77777777">
                  <w:pPr>
                    <w:widowControl w:val="0"/>
                    <w:jc w:val="center"/>
                    <w:rPr>
                      <w:sz w:val="24"/>
                      <w:szCs w:val="24"/>
                    </w:rPr>
                  </w:pPr>
                  <w:r>
                    <w:rPr>
                      <w:sz w:val="24"/>
                      <w:szCs w:val="24"/>
                    </w:rPr>
                    <w:t>N/A </w:t>
                  </w:r>
                </w:p>
              </w:tc>
            </w:tr>
            <w:tr w14:paraId="09B765C2" w14:textId="77777777">
              <w:tblPrEx>
                <w:tblW w:w="921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334EA3F2" w14:textId="77777777">
                  <w:pPr>
                    <w:widowControl w:val="0"/>
                    <w:rPr>
                      <w:sz w:val="24"/>
                      <w:szCs w:val="24"/>
                    </w:rPr>
                  </w:pPr>
                  <w:r>
                    <w:rPr>
                      <w:sz w:val="24"/>
                      <w:szCs w:val="24"/>
                    </w:rPr>
                    <w:t xml:space="preserve">Third Party Disclosure </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6AF45B6B" w14:textId="77777777">
                  <w:pPr>
                    <w:widowControl w:val="0"/>
                    <w:jc w:val="center"/>
                    <w:rPr>
                      <w:sz w:val="24"/>
                      <w:szCs w:val="24"/>
                    </w:rPr>
                  </w:pPr>
                  <w:r>
                    <w:rPr>
                      <w:sz w:val="24"/>
                      <w:szCs w:val="24"/>
                    </w:rPr>
                    <w:t>N/A</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3B641647" w14:textId="77777777">
                  <w:pPr>
                    <w:widowControl w:val="0"/>
                    <w:jc w:val="center"/>
                    <w:rPr>
                      <w:sz w:val="24"/>
                      <w:szCs w:val="24"/>
                    </w:rPr>
                  </w:pPr>
                  <w:r>
                    <w:rPr>
                      <w:sz w:val="24"/>
                      <w:szCs w:val="24"/>
                    </w:rPr>
                    <w:t>N/A</w:t>
                  </w:r>
                </w:p>
              </w:tc>
            </w:tr>
            <w:tr w14:paraId="47A8C435" w14:textId="77777777">
              <w:tblPrEx>
                <w:tblW w:w="9218" w:type="dxa"/>
                <w:tblLayout w:type="fixed"/>
                <w:tblLook w:val="0400"/>
              </w:tblPrEx>
              <w:tc>
                <w:tcPr>
                  <w:tcW w:w="196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5BC76D49" w14:textId="77777777">
                  <w:pPr>
                    <w:widowControl w:val="0"/>
                    <w:rPr>
                      <w:sz w:val="24"/>
                      <w:szCs w:val="24"/>
                    </w:rPr>
                  </w:pPr>
                  <w:r>
                    <w:rPr>
                      <w:sz w:val="24"/>
                      <w:szCs w:val="24"/>
                    </w:rPr>
                    <w:t xml:space="preserve">Total </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0CB87100" w14:textId="77777777">
                  <w:pPr>
                    <w:widowControl w:val="0"/>
                    <w:jc w:val="center"/>
                    <w:rPr>
                      <w:sz w:val="24"/>
                      <w:szCs w:val="24"/>
                    </w:rPr>
                  </w:pPr>
                  <w:r>
                    <w:rPr>
                      <w:sz w:val="24"/>
                      <w:szCs w:val="24"/>
                    </w:rPr>
                    <w:t>5,706</w:t>
                  </w:r>
                </w:p>
              </w:tc>
              <w:tc>
                <w:tcPr>
                  <w:tcW w:w="3626"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614D20" w14:paraId="1AD3BA8F" w14:textId="77777777">
                  <w:pPr>
                    <w:widowControl w:val="0"/>
                    <w:jc w:val="center"/>
                    <w:rPr>
                      <w:sz w:val="24"/>
                      <w:szCs w:val="24"/>
                    </w:rPr>
                  </w:pPr>
                  <w:r>
                    <w:rPr>
                      <w:sz w:val="24"/>
                      <w:szCs w:val="24"/>
                    </w:rPr>
                    <w:t>$358,012</w:t>
                  </w:r>
                </w:p>
              </w:tc>
            </w:tr>
          </w:tbl>
          <w:p w:rsidR="00614D20" w14:paraId="307C114D" w14:textId="77777777">
            <w:pPr>
              <w:widowControl w:val="0"/>
              <w:rPr>
                <w:sz w:val="24"/>
                <w:szCs w:val="24"/>
              </w:rPr>
            </w:pPr>
          </w:p>
          <w:p w:rsidR="00614D20" w14:paraId="22B08DF7" w14:textId="77777777">
            <w:r>
              <w:rPr>
                <w:sz w:val="24"/>
                <w:szCs w:val="24"/>
              </w:rPr>
              <w:t xml:space="preserve">The estimated total annual cost burden to the public is $358,012. This estimate is based on the following calculation: </w:t>
            </w:r>
          </w:p>
          <w:p w:rsidR="00614D20" w14:paraId="6A431225" w14:textId="77777777">
            <w:pPr>
              <w:rPr>
                <w:sz w:val="24"/>
                <w:szCs w:val="24"/>
              </w:rPr>
            </w:pPr>
          </w:p>
          <w:p w:rsidR="00614D20" w14:paraId="2A1C1858" w14:textId="77777777">
            <w:r>
              <w:rPr>
                <w:sz w:val="24"/>
                <w:szCs w:val="24"/>
              </w:rPr>
              <w:t xml:space="preserve">Estimated # of respondents (year)                                    </w:t>
            </w:r>
            <w:r>
              <w:rPr>
                <w:sz w:val="24"/>
                <w:szCs w:val="24"/>
              </w:rPr>
              <w:tab/>
            </w:r>
            <w:r>
              <w:rPr>
                <w:sz w:val="24"/>
                <w:szCs w:val="24"/>
              </w:rPr>
              <w:tab/>
            </w:r>
            <w:r>
              <w:rPr>
                <w:sz w:val="24"/>
                <w:szCs w:val="24"/>
              </w:rPr>
              <w:tab/>
            </w:r>
            <w:r>
              <w:rPr>
                <w:sz w:val="24"/>
                <w:szCs w:val="24"/>
              </w:rPr>
              <w:tab/>
              <w:t xml:space="preserve">22,824 </w:t>
            </w:r>
          </w:p>
          <w:p w:rsidR="00614D20" w14:paraId="12DEA7F6" w14:textId="77777777">
            <w:r>
              <w:rPr>
                <w:sz w:val="24"/>
                <w:szCs w:val="24"/>
              </w:rPr>
              <w:t xml:space="preserve">Estimated # of submissions per respondent </w:t>
            </w:r>
            <w:r>
              <w:rPr>
                <w:sz w:val="24"/>
                <w:szCs w:val="24"/>
              </w:rPr>
              <w:tab/>
              <w:t xml:space="preserve">                                                            x</w:t>
            </w:r>
            <w:r>
              <w:rPr>
                <w:sz w:val="24"/>
                <w:szCs w:val="24"/>
                <w:u w:val="single"/>
              </w:rPr>
              <w:t xml:space="preserve"> 1</w:t>
            </w:r>
            <w:r>
              <w:rPr>
                <w:sz w:val="24"/>
                <w:szCs w:val="24"/>
              </w:rPr>
              <w:t xml:space="preserve"> </w:t>
            </w:r>
          </w:p>
          <w:p w:rsidR="00614D20" w14:paraId="02DE407E" w14:textId="77777777">
            <w:r>
              <w:rPr>
                <w:sz w:val="24"/>
                <w:szCs w:val="24"/>
              </w:rPr>
              <w:t xml:space="preserve">Estimated total # of submissions (year) </w:t>
            </w:r>
            <w:r>
              <w:rPr>
                <w:sz w:val="24"/>
                <w:szCs w:val="24"/>
              </w:rPr>
              <w:tab/>
            </w:r>
            <w:r>
              <w:rPr>
                <w:sz w:val="24"/>
                <w:szCs w:val="24"/>
              </w:rPr>
              <w:tab/>
            </w:r>
            <w:r>
              <w:rPr>
                <w:sz w:val="24"/>
                <w:szCs w:val="24"/>
              </w:rPr>
              <w:tab/>
              <w:t xml:space="preserve">                                    22,824 </w:t>
            </w:r>
          </w:p>
          <w:p w:rsidR="00614D20" w14:paraId="235CD720" w14:textId="77777777">
            <w:pPr>
              <w:rPr>
                <w:sz w:val="24"/>
                <w:szCs w:val="24"/>
              </w:rPr>
            </w:pPr>
          </w:p>
          <w:p w:rsidR="00614D20" w14:paraId="3BB5A6B1" w14:textId="77777777">
            <w:r>
              <w:rPr>
                <w:sz w:val="24"/>
                <w:szCs w:val="24"/>
              </w:rPr>
              <w:t>Estimated hours per request</w:t>
            </w:r>
            <w:r>
              <w:rPr>
                <w:sz w:val="24"/>
                <w:szCs w:val="24"/>
              </w:rPr>
              <w:tab/>
            </w:r>
            <w:r>
              <w:rPr>
                <w:sz w:val="24"/>
                <w:szCs w:val="24"/>
              </w:rPr>
              <w:tab/>
            </w:r>
            <w:r>
              <w:rPr>
                <w:sz w:val="24"/>
                <w:szCs w:val="24"/>
              </w:rPr>
              <w:tab/>
            </w:r>
            <w:r>
              <w:rPr>
                <w:sz w:val="24"/>
                <w:szCs w:val="24"/>
              </w:rPr>
              <w:tab/>
            </w:r>
            <w:r>
              <w:rPr>
                <w:sz w:val="24"/>
                <w:szCs w:val="24"/>
              </w:rPr>
              <w:tab/>
              <w:t xml:space="preserve">                                    x</w:t>
            </w:r>
            <w:r>
              <w:rPr>
                <w:sz w:val="24"/>
                <w:szCs w:val="24"/>
                <w:u w:val="single"/>
              </w:rPr>
              <w:t xml:space="preserve"> .25 (15 min)</w:t>
            </w:r>
            <w:r>
              <w:rPr>
                <w:sz w:val="24"/>
                <w:szCs w:val="24"/>
              </w:rPr>
              <w:t xml:space="preserve"> </w:t>
            </w:r>
          </w:p>
          <w:p w:rsidR="00614D20" w14:paraId="42C8AA65" w14:textId="77777777">
            <w:r>
              <w:rPr>
                <w:sz w:val="24"/>
                <w:szCs w:val="24"/>
              </w:rPr>
              <w:t xml:space="preserve">Estimated total burden hours </w:t>
            </w:r>
            <w:r>
              <w:rPr>
                <w:sz w:val="24"/>
                <w:szCs w:val="24"/>
              </w:rPr>
              <w:tab/>
            </w:r>
            <w:r>
              <w:rPr>
                <w:sz w:val="24"/>
                <w:szCs w:val="24"/>
              </w:rPr>
              <w:tab/>
            </w:r>
            <w:r>
              <w:rPr>
                <w:sz w:val="24"/>
                <w:szCs w:val="24"/>
              </w:rPr>
              <w:tab/>
            </w:r>
            <w:r>
              <w:rPr>
                <w:sz w:val="24"/>
                <w:szCs w:val="24"/>
              </w:rPr>
              <w:tab/>
              <w:t xml:space="preserve">                                                  5,706 </w:t>
            </w:r>
          </w:p>
          <w:p w:rsidR="00614D20" w14:paraId="273DB338" w14:textId="77777777">
            <w:pPr>
              <w:rPr>
                <w:sz w:val="24"/>
                <w:szCs w:val="24"/>
              </w:rPr>
            </w:pPr>
          </w:p>
          <w:p w:rsidR="00614D20" w14:paraId="05112C9C" w14:textId="77777777">
            <w:r>
              <w:rPr>
                <w:sz w:val="24"/>
                <w:szCs w:val="24"/>
              </w:rPr>
              <w:t>Estimated cost per hour*</w:t>
            </w:r>
            <w:r>
              <w:rPr>
                <w:sz w:val="24"/>
                <w:szCs w:val="24"/>
              </w:rPr>
              <w:tab/>
              <w:t xml:space="preserve">                                                                                      </w:t>
            </w:r>
            <w:r>
              <w:rPr>
                <w:sz w:val="24"/>
                <w:szCs w:val="24"/>
                <w:u w:val="single"/>
              </w:rPr>
              <w:t>$62.74</w:t>
            </w:r>
            <w:r>
              <w:rPr>
                <w:sz w:val="24"/>
                <w:szCs w:val="24"/>
              </w:rPr>
              <w:t xml:space="preserve"> </w:t>
            </w:r>
          </w:p>
          <w:p w:rsidR="00614D20" w14:paraId="4F50E5A3" w14:textId="77777777">
            <w:pPr>
              <w:rPr>
                <w:sz w:val="24"/>
                <w:szCs w:val="24"/>
              </w:rPr>
            </w:pPr>
            <w:r>
              <w:rPr>
                <w:sz w:val="24"/>
                <w:szCs w:val="24"/>
              </w:rPr>
              <w:t>Estimated total annual cost burden to the public</w:t>
            </w:r>
            <w:r>
              <w:rPr>
                <w:sz w:val="24"/>
                <w:szCs w:val="24"/>
              </w:rPr>
              <w:tab/>
            </w:r>
            <w:r>
              <w:rPr>
                <w:sz w:val="24"/>
                <w:szCs w:val="24"/>
              </w:rPr>
              <w:tab/>
            </w:r>
            <w:r>
              <w:rPr>
                <w:sz w:val="24"/>
                <w:szCs w:val="24"/>
              </w:rPr>
              <w:tab/>
            </w:r>
            <w:r>
              <w:rPr>
                <w:sz w:val="24"/>
                <w:szCs w:val="24"/>
              </w:rPr>
              <w:tab/>
            </w:r>
            <w:r>
              <w:rPr>
                <w:sz w:val="24"/>
                <w:szCs w:val="24"/>
              </w:rPr>
              <w:tab/>
              <w:t xml:space="preserve">  $358,012</w:t>
            </w:r>
          </w:p>
          <w:p w:rsidR="00614D20" w14:paraId="6D868B15" w14:textId="77777777">
            <w:pPr>
              <w:rPr>
                <w:sz w:val="24"/>
                <w:szCs w:val="24"/>
              </w:rPr>
            </w:pPr>
          </w:p>
          <w:p w:rsidR="00614D20" w14:paraId="5D92A1E8" w14:textId="77777777">
            <w:pPr>
              <w:rPr>
                <w:sz w:val="24"/>
                <w:szCs w:val="24"/>
              </w:rPr>
            </w:pPr>
            <w:r>
              <w:rPr>
                <w:sz w:val="24"/>
                <w:szCs w:val="24"/>
              </w:rPr>
              <w:t>The estimated cost per submission is approximately $16.00. This number was calculated by dividing the estimated annual cost by the estimated # of submissions (year).</w:t>
            </w:r>
          </w:p>
          <w:p w:rsidR="00614D20" w14:paraId="5D5A3618" w14:textId="77777777">
            <w:pPr>
              <w:rPr>
                <w:sz w:val="24"/>
                <w:szCs w:val="24"/>
              </w:rPr>
            </w:pPr>
          </w:p>
          <w:p w:rsidR="00614D20" w14:paraId="68DA1760" w14:textId="77777777">
            <w:pPr>
              <w:rPr>
                <w:sz w:val="24"/>
                <w:szCs w:val="24"/>
              </w:rPr>
            </w:pPr>
            <w:r>
              <w:rPr>
                <w:sz w:val="24"/>
                <w:szCs w:val="24"/>
              </w:rPr>
              <w:t>*The estimated cost per hour is based on the Office of Personnel Management (OPM) GS-11, Step 10 salary of $46.05 per hour (see OPM Salary Table 2025-RUS, Effective January 2025), plus a fringe factor of 36.25% ($16.69) (see OMB Memo M-08-13 for use in public-private competition), which results in an hourly rate of $62.74.</w:t>
            </w:r>
          </w:p>
        </w:tc>
      </w:tr>
    </w:tbl>
    <w:p w:rsidR="00614D20" w14:paraId="7FFDC433" w14:textId="77777777">
      <w:pPr>
        <w:rPr>
          <w:sz w:val="24"/>
          <w:szCs w:val="24"/>
          <w:highlight w:val="yellow"/>
        </w:rPr>
      </w:pPr>
    </w:p>
    <w:p w:rsidR="00614D20" w14:paraId="455CC8D8" w14:textId="77777777">
      <w:pPr>
        <w:rPr>
          <w:b/>
          <w:sz w:val="24"/>
          <w:szCs w:val="24"/>
          <w:u w:val="single"/>
        </w:rPr>
      </w:pPr>
      <w:r>
        <w:rPr>
          <w:b/>
          <w:sz w:val="24"/>
          <w:szCs w:val="24"/>
        </w:rPr>
        <w:t xml:space="preserve">13.  </w:t>
      </w:r>
      <w:r>
        <w:rPr>
          <w:b/>
          <w:sz w:val="24"/>
          <w:szCs w:val="24"/>
          <w:u w:val="single"/>
        </w:rPr>
        <w:t>Estimated nonrecurring costs.</w:t>
      </w:r>
    </w:p>
    <w:p w:rsidR="00614D20" w14:paraId="1391EB1A" w14:textId="77777777">
      <w:pPr>
        <w:rPr>
          <w:b/>
          <w:sz w:val="24"/>
          <w:szCs w:val="24"/>
        </w:rPr>
      </w:pPr>
    </w:p>
    <w:p w:rsidR="00614D20" w14:paraId="5FF4F5BF" w14:textId="77777777">
      <w:pPr>
        <w:rPr>
          <w:sz w:val="24"/>
          <w:szCs w:val="24"/>
        </w:rPr>
      </w:pPr>
      <w:r>
        <w:rPr>
          <w:sz w:val="24"/>
          <w:szCs w:val="24"/>
        </w:rPr>
        <w:t>Not applicable to this information collection, as respondents do not have to record or maintain the information provided.</w:t>
      </w:r>
    </w:p>
    <w:p w:rsidR="00614D20" w14:paraId="53848E28" w14:textId="77777777">
      <w:pPr>
        <w:rPr>
          <w:b/>
          <w:sz w:val="24"/>
          <w:szCs w:val="24"/>
        </w:rPr>
      </w:pPr>
    </w:p>
    <w:p w:rsidR="00614D20" w14:paraId="1F4E7258" w14:textId="77777777">
      <w:pPr>
        <w:rPr>
          <w:b/>
          <w:sz w:val="24"/>
          <w:szCs w:val="24"/>
          <w:u w:val="single"/>
        </w:rPr>
      </w:pPr>
      <w:r>
        <w:rPr>
          <w:b/>
          <w:sz w:val="24"/>
          <w:szCs w:val="24"/>
        </w:rPr>
        <w:t xml:space="preserve">14.  </w:t>
      </w:r>
      <w:r>
        <w:rPr>
          <w:b/>
          <w:sz w:val="24"/>
          <w:szCs w:val="24"/>
          <w:u w:val="single"/>
        </w:rPr>
        <w:t xml:space="preserve">Estimated cost to the Government. </w:t>
      </w:r>
    </w:p>
    <w:p w:rsidR="00614D20" w14:paraId="1F855D55" w14:textId="77777777">
      <w:pPr>
        <w:widowControl w:val="0"/>
        <w:tabs>
          <w:tab w:val="left" w:pos="360"/>
          <w:tab w:val="left" w:pos="720"/>
          <w:tab w:val="left" w:pos="1080"/>
        </w:tabs>
        <w:rPr>
          <w:sz w:val="24"/>
          <w:szCs w:val="24"/>
        </w:rPr>
      </w:pPr>
      <w:r>
        <w:rPr>
          <w:sz w:val="24"/>
          <w:szCs w:val="24"/>
        </w:rPr>
        <w:t xml:space="preserve">The estimated total annual cost to the Government is $199,722. </w:t>
      </w:r>
    </w:p>
    <w:p w:rsidR="00614D20" w14:paraId="5A5A44AB" w14:textId="77777777">
      <w:pPr>
        <w:widowControl w:val="0"/>
        <w:tabs>
          <w:tab w:val="left" w:pos="360"/>
          <w:tab w:val="left" w:pos="720"/>
          <w:tab w:val="left" w:pos="1080"/>
        </w:tabs>
        <w:rPr>
          <w:sz w:val="24"/>
          <w:szCs w:val="24"/>
        </w:rPr>
      </w:pPr>
    </w:p>
    <w:p w:rsidR="00614D20" w14:paraId="54093634" w14:textId="77777777">
      <w:pPr>
        <w:widowControl w:val="0"/>
        <w:tabs>
          <w:tab w:val="left" w:pos="360"/>
          <w:tab w:val="left" w:pos="720"/>
          <w:tab w:val="left" w:pos="1080"/>
        </w:tabs>
        <w:rPr>
          <w:sz w:val="24"/>
          <w:szCs w:val="24"/>
        </w:rPr>
      </w:pPr>
      <w:r>
        <w:rPr>
          <w:sz w:val="24"/>
          <w:szCs w:val="24"/>
        </w:rPr>
        <w:t>This estimate is based on the following:</w:t>
      </w:r>
    </w:p>
    <w:p w:rsidR="00614D20" w14:paraId="007139D1" w14:textId="77777777">
      <w:pPr>
        <w:widowControl w:val="0"/>
        <w:tabs>
          <w:tab w:val="left" w:pos="360"/>
          <w:tab w:val="left" w:pos="720"/>
          <w:tab w:val="left" w:pos="1080"/>
        </w:tabs>
        <w:rPr>
          <w:sz w:val="24"/>
          <w:szCs w:val="24"/>
        </w:rPr>
      </w:pPr>
    </w:p>
    <w:p w:rsidR="00614D20" w14:paraId="12C3C100" w14:textId="77777777">
      <w:pPr>
        <w:widowControl w:val="0"/>
        <w:tabs>
          <w:tab w:val="left" w:pos="360"/>
          <w:tab w:val="left" w:pos="720"/>
          <w:tab w:val="left" w:pos="1080"/>
        </w:tabs>
        <w:rPr>
          <w:sz w:val="24"/>
          <w:szCs w:val="24"/>
        </w:rPr>
      </w:pPr>
      <w:r>
        <w:rPr>
          <w:sz w:val="24"/>
          <w:szCs w:val="24"/>
        </w:rPr>
        <w:t xml:space="preserve">Estimated # of responses per year </w:t>
      </w:r>
      <w:r>
        <w:rPr>
          <w:sz w:val="24"/>
          <w:szCs w:val="24"/>
        </w:rPr>
        <w:tab/>
      </w:r>
      <w:r>
        <w:rPr>
          <w:sz w:val="24"/>
          <w:szCs w:val="24"/>
        </w:rPr>
        <w:tab/>
      </w:r>
      <w:r>
        <w:rPr>
          <w:sz w:val="24"/>
          <w:szCs w:val="24"/>
        </w:rPr>
        <w:tab/>
        <w:t xml:space="preserve">     </w:t>
      </w:r>
      <w:r>
        <w:rPr>
          <w:sz w:val="24"/>
          <w:szCs w:val="24"/>
        </w:rPr>
        <w:tab/>
        <w:t xml:space="preserve">                22,824</w:t>
      </w:r>
    </w:p>
    <w:p w:rsidR="00614D20" w14:paraId="7ACFC7B5" w14:textId="77777777">
      <w:pPr>
        <w:widowControl w:val="0"/>
        <w:tabs>
          <w:tab w:val="left" w:pos="360"/>
          <w:tab w:val="left" w:pos="720"/>
          <w:tab w:val="left" w:pos="1080"/>
        </w:tabs>
        <w:rPr>
          <w:sz w:val="24"/>
          <w:szCs w:val="24"/>
          <w:u w:val="single"/>
        </w:rPr>
      </w:pPr>
      <w:r>
        <w:rPr>
          <w:sz w:val="24"/>
          <w:szCs w:val="24"/>
        </w:rPr>
        <w:t>Estimated review time per response (hours)</w:t>
      </w:r>
      <w:r>
        <w:rPr>
          <w:sz w:val="24"/>
          <w:szCs w:val="24"/>
        </w:rPr>
        <w:tab/>
        <w:t xml:space="preserve">        </w:t>
      </w:r>
      <w:r>
        <w:rPr>
          <w:sz w:val="24"/>
          <w:szCs w:val="24"/>
        </w:rPr>
        <w:tab/>
      </w:r>
      <w:r>
        <w:rPr>
          <w:sz w:val="24"/>
          <w:szCs w:val="24"/>
        </w:rPr>
        <w:tab/>
      </w:r>
      <w:r>
        <w:rPr>
          <w:sz w:val="24"/>
          <w:szCs w:val="24"/>
        </w:rPr>
        <w:tab/>
        <w:t xml:space="preserve">    </w:t>
      </w:r>
      <w:r>
        <w:rPr>
          <w:sz w:val="24"/>
          <w:szCs w:val="24"/>
          <w:u w:val="single"/>
        </w:rPr>
        <w:t>x .16 (9.6 minutes)</w:t>
      </w:r>
    </w:p>
    <w:p w:rsidR="00614D20" w14:paraId="102D64A1" w14:textId="77777777">
      <w:pPr>
        <w:widowControl w:val="0"/>
        <w:tabs>
          <w:tab w:val="left" w:pos="360"/>
          <w:tab w:val="left" w:pos="720"/>
          <w:tab w:val="left" w:pos="1080"/>
        </w:tabs>
        <w:rPr>
          <w:sz w:val="24"/>
          <w:szCs w:val="24"/>
        </w:rPr>
      </w:pPr>
      <w:r>
        <w:rPr>
          <w:sz w:val="24"/>
          <w:szCs w:val="24"/>
        </w:rPr>
        <w:t>Total review time per year (hours)</w:t>
      </w:r>
      <w:r>
        <w:rPr>
          <w:sz w:val="24"/>
          <w:szCs w:val="24"/>
        </w:rPr>
        <w:tab/>
      </w:r>
      <w:r>
        <w:rPr>
          <w:sz w:val="24"/>
          <w:szCs w:val="24"/>
        </w:rPr>
        <w:tab/>
      </w:r>
      <w:r>
        <w:rPr>
          <w:sz w:val="24"/>
          <w:szCs w:val="24"/>
        </w:rPr>
        <w:tab/>
      </w:r>
      <w:r>
        <w:rPr>
          <w:sz w:val="24"/>
          <w:szCs w:val="24"/>
        </w:rPr>
        <w:tab/>
      </w:r>
      <w:r>
        <w:rPr>
          <w:sz w:val="24"/>
          <w:szCs w:val="24"/>
        </w:rPr>
        <w:tab/>
        <w:t xml:space="preserve">    3,652</w:t>
      </w:r>
    </w:p>
    <w:p w:rsidR="00614D20" w14:paraId="387A25B8" w14:textId="77777777">
      <w:pPr>
        <w:widowControl w:val="0"/>
        <w:tabs>
          <w:tab w:val="left" w:pos="360"/>
          <w:tab w:val="left" w:pos="720"/>
          <w:tab w:val="left" w:pos="1080"/>
        </w:tabs>
        <w:rPr>
          <w:sz w:val="24"/>
          <w:szCs w:val="24"/>
        </w:rPr>
      </w:pPr>
    </w:p>
    <w:p w:rsidR="00614D20" w14:paraId="4105C448" w14:textId="77777777">
      <w:pPr>
        <w:widowControl w:val="0"/>
        <w:tabs>
          <w:tab w:val="left" w:pos="360"/>
          <w:tab w:val="left" w:pos="720"/>
          <w:tab w:val="left" w:pos="1080"/>
        </w:tabs>
        <w:rPr>
          <w:sz w:val="24"/>
          <w:szCs w:val="24"/>
          <w:u w:val="single"/>
        </w:rPr>
      </w:pPr>
      <w:r>
        <w:rPr>
          <w:sz w:val="24"/>
          <w:szCs w:val="24"/>
        </w:rPr>
        <w:t>Estimated cost per hour*</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x $62.59</w:t>
      </w:r>
    </w:p>
    <w:p w:rsidR="00614D20" w14:paraId="1547E017" w14:textId="77777777">
      <w:pPr>
        <w:widowControl w:val="0"/>
        <w:tabs>
          <w:tab w:val="left" w:pos="360"/>
          <w:tab w:val="left" w:pos="720"/>
          <w:tab w:val="left" w:pos="1080"/>
        </w:tabs>
        <w:rPr>
          <w:sz w:val="24"/>
          <w:szCs w:val="24"/>
        </w:rPr>
      </w:pPr>
      <w:r>
        <w:rPr>
          <w:sz w:val="24"/>
          <w:szCs w:val="24"/>
        </w:rPr>
        <w:t>Total estimated annual cost to the Government</w:t>
      </w:r>
      <w:r>
        <w:rPr>
          <w:sz w:val="24"/>
          <w:szCs w:val="24"/>
        </w:rPr>
        <w:tab/>
      </w:r>
      <w:r>
        <w:rPr>
          <w:sz w:val="24"/>
          <w:szCs w:val="24"/>
        </w:rPr>
        <w:tab/>
      </w:r>
      <w:r>
        <w:rPr>
          <w:sz w:val="24"/>
          <w:szCs w:val="24"/>
        </w:rPr>
        <w:tab/>
        <w:t xml:space="preserve">    $228,581</w:t>
      </w:r>
    </w:p>
    <w:p w:rsidR="00614D20" w14:paraId="016C9558" w14:textId="77777777">
      <w:pPr>
        <w:widowControl w:val="0"/>
        <w:tabs>
          <w:tab w:val="left" w:pos="360"/>
          <w:tab w:val="left" w:pos="720"/>
          <w:tab w:val="left" w:pos="1080"/>
        </w:tabs>
        <w:rPr>
          <w:sz w:val="24"/>
          <w:szCs w:val="24"/>
        </w:rPr>
      </w:pPr>
    </w:p>
    <w:p w:rsidR="00614D20" w14:paraId="3DAA1348" w14:textId="77777777">
      <w:pPr>
        <w:widowControl w:val="0"/>
        <w:tabs>
          <w:tab w:val="left" w:pos="360"/>
          <w:tab w:val="left" w:pos="720"/>
          <w:tab w:val="left" w:pos="1080"/>
        </w:tabs>
        <w:rPr>
          <w:sz w:val="24"/>
          <w:szCs w:val="24"/>
        </w:rPr>
      </w:pPr>
      <w:r>
        <w:rPr>
          <w:sz w:val="24"/>
          <w:szCs w:val="24"/>
        </w:rPr>
        <w:t>*The estimated cost per hour is based on the Office of Personnel Management (OPM) GS-11, Step 5 salary of $45.94 per hour (see OPM Salary Table 2025-DC Area, Effective January 2025), plus a fringe factor of 36.25% ($16.65) (see OMB Memo M-08-13 for use in public-private competition), which results in an hourly rate of $62.59.</w:t>
      </w:r>
    </w:p>
    <w:p w:rsidR="00614D20" w14:paraId="40B2817B" w14:textId="77777777">
      <w:pPr>
        <w:widowControl w:val="0"/>
        <w:tabs>
          <w:tab w:val="left" w:pos="360"/>
          <w:tab w:val="left" w:pos="720"/>
          <w:tab w:val="left" w:pos="1080"/>
        </w:tabs>
        <w:rPr>
          <w:sz w:val="24"/>
          <w:szCs w:val="24"/>
        </w:rPr>
      </w:pPr>
    </w:p>
    <w:p w:rsidR="00614D20" w14:paraId="1B1E2633" w14:textId="77777777">
      <w:pPr>
        <w:rPr>
          <w:b/>
          <w:sz w:val="24"/>
          <w:szCs w:val="24"/>
          <w:u w:val="single"/>
        </w:rPr>
      </w:pPr>
      <w:r>
        <w:rPr>
          <w:b/>
          <w:sz w:val="24"/>
          <w:szCs w:val="24"/>
        </w:rPr>
        <w:t xml:space="preserve">15.  </w:t>
      </w:r>
      <w:r>
        <w:rPr>
          <w:b/>
          <w:sz w:val="24"/>
          <w:szCs w:val="24"/>
          <w:u w:val="single"/>
        </w:rPr>
        <w:t>Reasons for changes.</w:t>
      </w:r>
    </w:p>
    <w:p w:rsidR="00614D20" w14:paraId="6EAC362F" w14:textId="77777777">
      <w:pPr>
        <w:rPr>
          <w:sz w:val="24"/>
          <w:szCs w:val="24"/>
        </w:rPr>
      </w:pPr>
    </w:p>
    <w:p w:rsidR="00614D20" w14:paraId="5FA7AA19" w14:textId="77777777">
      <w:pPr>
        <w:widowControl w:val="0"/>
        <w:tabs>
          <w:tab w:val="left" w:pos="360"/>
          <w:tab w:val="left" w:pos="720"/>
          <w:tab w:val="left" w:pos="1080"/>
        </w:tabs>
        <w:rPr>
          <w:sz w:val="24"/>
          <w:szCs w:val="24"/>
        </w:rPr>
      </w:pPr>
      <w:r>
        <w:rPr>
          <w:sz w:val="24"/>
          <w:szCs w:val="24"/>
        </w:rPr>
        <w:t xml:space="preserve">For Items 12 &amp; 14, an updated estimated # of respondents per year/responses per year was used. This number was calculated by adding the estimated total number of respondents/responses received over the past two fiscal years and then dividing that number by 2 (if necessary, the number was then rounded to the nearest whole number). The change in this number can be attributed to using updated data. Specifically, the updated data reflects estimated data for fiscal years 2024 and 2023, whereas the prior data reflected estimated data for fiscal years 2012 through 2015. </w:t>
      </w:r>
    </w:p>
    <w:p w:rsidR="00614D20" w14:paraId="3E357931" w14:textId="77777777">
      <w:pPr>
        <w:widowControl w:val="0"/>
        <w:tabs>
          <w:tab w:val="left" w:pos="360"/>
          <w:tab w:val="left" w:pos="720"/>
          <w:tab w:val="left" w:pos="1080"/>
        </w:tabs>
        <w:rPr>
          <w:sz w:val="24"/>
          <w:szCs w:val="24"/>
        </w:rPr>
      </w:pPr>
      <w:r>
        <w:rPr>
          <w:sz w:val="24"/>
          <w:szCs w:val="24"/>
          <w:highlight w:val="yellow"/>
        </w:rPr>
        <w:t xml:space="preserve"> </w:t>
      </w:r>
    </w:p>
    <w:p w:rsidR="00614D20" w14:paraId="24772D29" w14:textId="77777777">
      <w:pPr>
        <w:widowControl w:val="0"/>
        <w:tabs>
          <w:tab w:val="left" w:pos="360"/>
          <w:tab w:val="left" w:pos="720"/>
          <w:tab w:val="left" w:pos="1080"/>
        </w:tabs>
        <w:rPr>
          <w:sz w:val="24"/>
          <w:szCs w:val="24"/>
          <w:highlight w:val="yellow"/>
        </w:rPr>
      </w:pPr>
      <w:r>
        <w:rPr>
          <w:sz w:val="24"/>
          <w:szCs w:val="24"/>
        </w:rPr>
        <w:t>For Item 12, an updated estimated cost per hour was used. This number is based on the Office of Personnel Management (OPM) GS-11, Step 10 salary of $46.05 per hour (see OPM Salary Table 2025-RUS, Effective January 2025), plus a fringe factor of 36.25% ($16.69) (see OMB Memo M-08-13 for use in public-private competition). The change can be attributed to using current data (i.e., the previous extension used an amount of $39.78 and mentions using data from fiscal years Fiscal Years 2012-2015. There was no mention of fringe being applied).</w:t>
      </w:r>
    </w:p>
    <w:p w:rsidR="00614D20" w14:paraId="0B0C4801" w14:textId="77777777">
      <w:pPr>
        <w:widowControl w:val="0"/>
        <w:tabs>
          <w:tab w:val="left" w:pos="360"/>
          <w:tab w:val="left" w:pos="720"/>
          <w:tab w:val="left" w:pos="1080"/>
        </w:tabs>
        <w:rPr>
          <w:sz w:val="24"/>
          <w:szCs w:val="24"/>
        </w:rPr>
      </w:pPr>
    </w:p>
    <w:p w:rsidR="00614D20" w14:paraId="7132F420" w14:textId="77777777">
      <w:pPr>
        <w:widowControl w:val="0"/>
        <w:tabs>
          <w:tab w:val="left" w:pos="360"/>
          <w:tab w:val="left" w:pos="720"/>
          <w:tab w:val="left" w:pos="1080"/>
        </w:tabs>
        <w:rPr>
          <w:sz w:val="24"/>
          <w:szCs w:val="24"/>
        </w:rPr>
      </w:pPr>
      <w:r>
        <w:rPr>
          <w:sz w:val="24"/>
          <w:szCs w:val="24"/>
        </w:rPr>
        <w:t>For Item 14, an updated estimated cost per hour was used. This number is based on the Office of Personnel Management (OPM) GS-11, Step 5 salary of $45.94 per hour (see OPM Salary Table 2025-DC Area, Effective January 2025), plus a fringe factor of 36.25% ($16.65) (see OMB Memo M-08-13 for use in public-private competition). The change can be attributed to using current data (i.e., the previous extension states it used salary data from Fiscal Year 2014. There was no mention of fringe being applied).</w:t>
      </w:r>
    </w:p>
    <w:p w:rsidR="00614D20" w14:paraId="4ACC5E72" w14:textId="77777777">
      <w:pPr>
        <w:pBdr>
          <w:top w:val="nil"/>
          <w:left w:val="nil"/>
          <w:bottom w:val="nil"/>
          <w:right w:val="nil"/>
          <w:between w:val="nil"/>
        </w:pBdr>
        <w:rPr>
          <w:color w:val="000000"/>
          <w:sz w:val="24"/>
          <w:szCs w:val="24"/>
        </w:rPr>
      </w:pPr>
    </w:p>
    <w:p w:rsidR="00614D20" w14:paraId="1D5007C5" w14:textId="77777777">
      <w:pPr>
        <w:rPr>
          <w:b/>
          <w:sz w:val="24"/>
          <w:szCs w:val="24"/>
          <w:u w:val="single"/>
        </w:rPr>
      </w:pPr>
      <w:r>
        <w:rPr>
          <w:b/>
          <w:sz w:val="24"/>
          <w:szCs w:val="24"/>
        </w:rPr>
        <w:t xml:space="preserve">16.  </w:t>
      </w:r>
      <w:r>
        <w:rPr>
          <w:b/>
          <w:sz w:val="24"/>
          <w:szCs w:val="24"/>
          <w:u w:val="single"/>
        </w:rPr>
        <w:t xml:space="preserve">Publicizing Results. </w:t>
      </w:r>
    </w:p>
    <w:p w:rsidR="00614D20" w14:paraId="2246C791" w14:textId="77777777">
      <w:pPr>
        <w:rPr>
          <w:sz w:val="24"/>
          <w:szCs w:val="24"/>
        </w:rPr>
      </w:pPr>
    </w:p>
    <w:p w:rsidR="00614D20" w14:paraId="1062C598" w14:textId="04C90592">
      <w:pPr>
        <w:widowControl w:val="0"/>
        <w:tabs>
          <w:tab w:val="left" w:pos="360"/>
          <w:tab w:val="left" w:pos="720"/>
          <w:tab w:val="left" w:pos="1080"/>
        </w:tabs>
        <w:rPr>
          <w:sz w:val="24"/>
          <w:szCs w:val="24"/>
        </w:rPr>
      </w:pPr>
      <w:r>
        <w:rPr>
          <w:sz w:val="24"/>
          <w:szCs w:val="24"/>
        </w:rPr>
        <w:t>Not applicable, the results of this information collection will not be published. Information collected is used for internal purposes only.</w:t>
      </w:r>
    </w:p>
    <w:p w:rsidR="00614D20" w14:paraId="3843095F" w14:textId="77777777">
      <w:pPr>
        <w:rPr>
          <w:sz w:val="24"/>
          <w:szCs w:val="24"/>
        </w:rPr>
      </w:pPr>
    </w:p>
    <w:p w:rsidR="00614D20" w14:paraId="7ECB6157" w14:textId="77777777">
      <w:pPr>
        <w:rPr>
          <w:b/>
          <w:sz w:val="24"/>
          <w:szCs w:val="24"/>
          <w:u w:val="single"/>
        </w:rPr>
      </w:pPr>
      <w:r>
        <w:rPr>
          <w:b/>
          <w:sz w:val="24"/>
          <w:szCs w:val="24"/>
        </w:rPr>
        <w:t xml:space="preserve">17.  </w:t>
      </w:r>
      <w:r>
        <w:rPr>
          <w:b/>
          <w:sz w:val="24"/>
          <w:szCs w:val="24"/>
          <w:u w:val="single"/>
        </w:rPr>
        <w:t>OMB Not to Display Approval.</w:t>
      </w:r>
    </w:p>
    <w:p w:rsidR="00614D20" w14:paraId="5B625305" w14:textId="77777777">
      <w:pPr>
        <w:rPr>
          <w:sz w:val="24"/>
          <w:szCs w:val="24"/>
        </w:rPr>
      </w:pPr>
    </w:p>
    <w:p w:rsidR="00614D20" w14:paraId="6617CFF0" w14:textId="77777777">
      <w:pPr>
        <w:widowControl w:val="0"/>
        <w:tabs>
          <w:tab w:val="left" w:pos="360"/>
          <w:tab w:val="left" w:pos="720"/>
          <w:tab w:val="left" w:pos="1080"/>
        </w:tabs>
        <w:rPr>
          <w:color w:val="000000"/>
          <w:sz w:val="24"/>
          <w:szCs w:val="24"/>
        </w:rPr>
      </w:pPr>
      <w:r>
        <w:rPr>
          <w:sz w:val="24"/>
          <w:szCs w:val="24"/>
        </w:rPr>
        <w:t>Not applicable, GSA is not seeking such approval for this information collection.</w:t>
      </w:r>
    </w:p>
    <w:p w:rsidR="00614D20" w14:paraId="3A912452" w14:textId="77777777">
      <w:pPr>
        <w:rPr>
          <w:sz w:val="24"/>
          <w:szCs w:val="24"/>
        </w:rPr>
      </w:pPr>
    </w:p>
    <w:p w:rsidR="00614D20" w14:paraId="6D2B3A79" w14:textId="77777777">
      <w:pPr>
        <w:rPr>
          <w:b/>
          <w:sz w:val="24"/>
          <w:szCs w:val="24"/>
        </w:rPr>
      </w:pPr>
      <w:r>
        <w:rPr>
          <w:b/>
          <w:sz w:val="24"/>
          <w:szCs w:val="24"/>
        </w:rPr>
        <w:t xml:space="preserve">18.  </w:t>
      </w:r>
      <w:r>
        <w:rPr>
          <w:b/>
          <w:sz w:val="24"/>
          <w:szCs w:val="24"/>
          <w:u w:val="single"/>
        </w:rPr>
        <w:t>Exceptions to "Certification for Paperwork Reduction Submissions."</w:t>
      </w:r>
      <w:r>
        <w:rPr>
          <w:b/>
          <w:sz w:val="24"/>
          <w:szCs w:val="24"/>
        </w:rPr>
        <w:br/>
      </w:r>
      <w:r>
        <w:rPr>
          <w:b/>
        </w:rPr>
        <w:br/>
      </w:r>
      <w:r>
        <w:rPr>
          <w:sz w:val="24"/>
          <w:szCs w:val="24"/>
        </w:rPr>
        <w:t>Not applicable, GSA has no exceptions to the certification statement.</w:t>
      </w:r>
    </w:p>
    <w:p w:rsidR="00614D20" w14:paraId="2E6F283F" w14:textId="77777777">
      <w:pPr>
        <w:rPr>
          <w:b/>
          <w:sz w:val="24"/>
          <w:szCs w:val="24"/>
        </w:rPr>
      </w:pPr>
      <w:r>
        <w:rPr>
          <w:b/>
          <w:sz w:val="24"/>
          <w:szCs w:val="24"/>
        </w:rPr>
        <w:br/>
        <w:t xml:space="preserve">19. </w:t>
      </w:r>
      <w:r>
        <w:rPr>
          <w:b/>
          <w:sz w:val="24"/>
          <w:szCs w:val="24"/>
          <w:u w:val="single"/>
        </w:rPr>
        <w:t xml:space="preserve">Surveys, Censuses, and Other Collections that Employ Statistical Methods. </w:t>
      </w:r>
    </w:p>
    <w:p w:rsidR="00614D20" w14:paraId="7967CF20" w14:textId="77777777">
      <w:pPr>
        <w:rPr>
          <w:b/>
          <w:sz w:val="24"/>
          <w:szCs w:val="24"/>
        </w:rPr>
      </w:pPr>
    </w:p>
    <w:p w:rsidR="00614D20" w14:paraId="1E820174" w14:textId="77777777">
      <w:pPr>
        <w:rPr>
          <w:sz w:val="24"/>
          <w:szCs w:val="24"/>
        </w:rPr>
      </w:pPr>
      <w:r>
        <w:rPr>
          <w:sz w:val="24"/>
          <w:szCs w:val="24"/>
        </w:rPr>
        <w:t>Not applicable, Statistical methods are not used for this information collection.</w:t>
      </w:r>
    </w:p>
    <w:p w:rsidR="00614D20" w14:paraId="7C7E784F" w14:textId="77777777">
      <w:pPr>
        <w:rPr>
          <w:sz w:val="24"/>
          <w:szCs w:val="24"/>
        </w:rPr>
      </w:pPr>
    </w:p>
    <w:sectPr>
      <w:headerReference w:type="even" r:id="rId4"/>
      <w:headerReference w:type="default" r:id="rId5"/>
      <w:footerReference w:type="even" r:id="rId6"/>
      <w:footerReference w:type="default" r:id="rId7"/>
      <w:headerReference w:type="first" r:id="rId8"/>
      <w:footerReference w:type="first" r:id="rId9"/>
      <w:pgSz w:w="12240" w:h="15840"/>
      <w:pgMar w:top="1440" w:right="1800" w:bottom="100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1" w:csb1="00000000"/>
    <w:embedRegular r:id="rId1" w:fontKey="{F8A254C7-45AB-42CE-ACEC-D94A8A52477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76270DC-FD84-4ACE-A56D-70C019813AF7}"/>
    <w:embedItalic r:id="rId3" w:fontKey="{B34E64C6-BF34-411C-AB43-D2764C364EEA}"/>
  </w:font>
  <w:font w:name="Calibri">
    <w:panose1 w:val="020F0502020204030204"/>
    <w:charset w:val="00"/>
    <w:family w:val="swiss"/>
    <w:pitch w:val="variable"/>
    <w:sig w:usb0="E4002EFF" w:usb1="C000247B" w:usb2="00000009" w:usb3="00000000" w:csb0="000001FF" w:csb1="00000000"/>
    <w:embedRegular r:id="rId4" w:fontKey="{EC60F216-1C46-4CC4-9566-D9DDC55A5EDF}"/>
  </w:font>
  <w:font w:name="Cambria">
    <w:panose1 w:val="02040503050406030204"/>
    <w:charset w:val="00"/>
    <w:family w:val="roman"/>
    <w:pitch w:val="variable"/>
    <w:sig w:usb0="E00006FF" w:usb1="420024FF" w:usb2="02000000" w:usb3="00000000" w:csb0="0000019F" w:csb1="00000000"/>
    <w:embedRegular r:id="rId5" w:fontKey="{BBD30084-0210-4412-A7BB-EAA111F5C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14D20" w14:paraId="3650D97B"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14D20" w14:paraId="54EC25B9" w14:textId="77777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8256E">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F8256E">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14D20" w14:paraId="11C29240" w14:textId="77777777">
    <w:pPr>
      <w:pBdr>
        <w:top w:val="nil"/>
        <w:left w:val="nil"/>
        <w:bottom w:val="nil"/>
        <w:right w:val="nil"/>
        <w:between w:val="nil"/>
      </w:pBdr>
      <w:tabs>
        <w:tab w:val="center" w:pos="4320"/>
        <w:tab w:val="right" w:pos="8640"/>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14D20" w14:paraId="47147FB4" w14:textId="7777777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14D20" w14:paraId="147A9E72" w14:textId="77777777">
    <w:pPr>
      <w:pBdr>
        <w:top w:val="nil"/>
        <w:left w:val="nil"/>
        <w:bottom w:val="nil"/>
        <w:right w:val="nil"/>
        <w:between w:val="nil"/>
      </w:pBdr>
      <w:tabs>
        <w:tab w:val="center" w:pos="4320"/>
        <w:tab w:val="right" w:pos="8640"/>
      </w:tabs>
      <w:jc w:val="center"/>
      <w:rPr>
        <w:color w:val="000000"/>
      </w:rPr>
    </w:pPr>
    <w:r>
      <w:rPr>
        <w:b/>
        <w:color w:val="000000"/>
        <w:sz w:val="24"/>
        <w:szCs w:val="24"/>
      </w:rPr>
      <w:tab/>
    </w:r>
  </w:p>
  <w:p w:rsidR="00614D20" w14:paraId="3F1D26F3" w14:textId="77777777">
    <w:pPr>
      <w:pBdr>
        <w:top w:val="nil"/>
        <w:left w:val="nil"/>
        <w:bottom w:val="nil"/>
        <w:right w:val="nil"/>
        <w:between w:val="nil"/>
      </w:pBdr>
      <w:tabs>
        <w:tab w:val="center" w:pos="4320"/>
        <w:tab w:val="right" w:pos="8640"/>
      </w:tabs>
      <w:jc w:val="center"/>
      <w:rPr>
        <w:b/>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14D20" w14:paraId="21A24C24" w14:textId="7777777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A9F54D4"/>
    <w:multiLevelType w:val="multilevel"/>
    <w:tmpl w:val="08C6D23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nsid w:val="3E5D2939"/>
    <w:multiLevelType w:val="multilevel"/>
    <w:tmpl w:val="43183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BA363D8"/>
    <w:multiLevelType w:val="multilevel"/>
    <w:tmpl w:val="4B660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3693354">
    <w:abstractNumId w:val="0"/>
  </w:num>
  <w:num w:numId="2" w16cid:durableId="2072922346">
    <w:abstractNumId w:val="2"/>
  </w:num>
  <w:num w:numId="3" w16cid:durableId="211888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D20"/>
    <w:rsid w:val="00096854"/>
    <w:rsid w:val="005A1AC0"/>
    <w:rsid w:val="00614D20"/>
    <w:rsid w:val="00706FF7"/>
    <w:rsid w:val="0093062F"/>
    <w:rsid w:val="00A1522C"/>
    <w:rsid w:val="00A522A5"/>
    <w:rsid w:val="00BE1A7F"/>
    <w:rsid w:val="00C14D16"/>
    <w:rsid w:val="00E84E60"/>
    <w:rsid w:val="00F8256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C3926E1"/>
  <w15:docId w15:val="{1643B769-6C27-4ABC-9CCA-7215BACF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u w:val="single"/>
    </w:rPr>
  </w:style>
  <w:style w:type="paragraph" w:styleId="Heading2">
    <w:name w:val="heading 2"/>
    <w:basedOn w:val="Normal"/>
    <w:next w:val="Normal"/>
    <w:uiPriority w:val="9"/>
    <w:unhideWhenUsed/>
    <w:qFormat/>
    <w:pPr>
      <w:keepNext/>
      <w:outlineLvl w:val="1"/>
    </w:pPr>
    <w:rPr>
      <w:b/>
      <w:sz w:val="24"/>
      <w:szCs w:val="24"/>
    </w:rPr>
  </w:style>
  <w:style w:type="paragraph" w:styleId="Heading3">
    <w:name w:val="heading 3"/>
    <w:basedOn w:val="Normal"/>
    <w:next w:val="Normal"/>
    <w:uiPriority w:val="9"/>
    <w:semiHidden/>
    <w:unhideWhenUsed/>
    <w:qFormat/>
    <w:pPr>
      <w:keepNext/>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0" w:type="dxa"/>
        <w:right w:w="0" w:type="dxa"/>
      </w:tblCellMar>
    </w:tblPr>
  </w:style>
  <w:style w:type="table" w:customStyle="1" w:styleId="a1">
    <w:name w:val="a1"/>
    <w:basedOn w:val="TableNormal"/>
    <w:tblPr>
      <w:tblStyleRowBandSize w:val="1"/>
      <w:tblStyleColBandSize w:val="1"/>
      <w:tblCellMar>
        <w:left w:w="0" w:type="dxa"/>
        <w:right w:w="0" w:type="dxa"/>
      </w:tblCellMar>
    </w:tblPr>
  </w:style>
  <w:style w:type="table" w:customStyle="1" w:styleId="a2">
    <w:name w:val="a2"/>
    <w:basedOn w:val="TableNormal"/>
    <w:tblPr>
      <w:tblStyleRowBandSize w:val="1"/>
      <w:tblStyleColBandSize w:val="1"/>
      <w:tblCellMar>
        <w:left w:w="0" w:type="dxa"/>
        <w:right w:w="0" w:type="dxa"/>
      </w:tblCellMar>
    </w:tblPr>
  </w:style>
  <w:style w:type="table" w:customStyle="1" w:styleId="a3">
    <w:name w:val="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3.xml" /><Relationship Id="rId9" Type="http://schemas.openxmlformats.org/officeDocument/2006/relationships/footer" Target="footer3.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2327</Words>
  <Characters>13268</Characters>
  <Application>Microsoft Office Word</Application>
  <DocSecurity>0</DocSecurity>
  <Lines>110</Lines>
  <Paragraphs>31</Paragraphs>
  <ScaleCrop>false</ScaleCrop>
  <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ThomasO'Linn</dc:creator>
  <cp:lastModifiedBy>Nicole D. Bynum</cp:lastModifiedBy>
  <cp:revision>7</cp:revision>
  <dcterms:created xsi:type="dcterms:W3CDTF">2025-05-05T13:55:00Z</dcterms:created>
  <dcterms:modified xsi:type="dcterms:W3CDTF">2025-07-29T12:10:00Z</dcterms:modified>
</cp:coreProperties>
</file>