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2D0" w:rsidP="008962D0" w14:paraId="730C4278" w14:textId="77777777">
      <w:pPr>
        <w:widowControl/>
        <w:tabs>
          <w:tab w:val="center" w:pos="4752"/>
          <w:tab w:val="left" w:pos="5040"/>
          <w:tab w:val="left" w:pos="5760"/>
          <w:tab w:val="left" w:pos="6480"/>
          <w:tab w:val="left" w:pos="7200"/>
          <w:tab w:val="left" w:pos="7920"/>
          <w:tab w:val="left" w:pos="8640"/>
        </w:tabs>
        <w:jc w:val="right"/>
        <w:rPr>
          <w:rFonts w:ascii="Times New Roman" w:hAnsi="Times New Roman"/>
        </w:rPr>
      </w:pPr>
    </w:p>
    <w:p w:rsidR="0032126E" w:rsidP="0032126E" w14:paraId="385EE8C2" w14:textId="77777777">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SUPPORTING STATEMENT</w:t>
      </w:r>
    </w:p>
    <w:p w:rsidR="0032126E" w:rsidP="0032126E" w14:paraId="2C143B5C" w14:textId="77777777">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LOANSD IN AREAS HAVING SPECIAL FLOOD HAZARDS</w:t>
      </w:r>
    </w:p>
    <w:p w:rsidR="0032126E" w:rsidP="0032126E" w14:paraId="1F360CF1" w14:textId="77777777">
      <w:pPr>
        <w:widowControl/>
        <w:tabs>
          <w:tab w:val="left" w:pos="720"/>
          <w:tab w:val="left" w:pos="1440"/>
          <w:tab w:val="left" w:pos="2160"/>
          <w:tab w:val="left" w:pos="2880"/>
          <w:tab w:val="left" w:pos="3600"/>
          <w:tab w:val="left" w:pos="4320"/>
          <w:tab w:val="center" w:pos="4680"/>
          <w:tab w:val="left" w:pos="5040"/>
          <w:tab w:val="left" w:pos="5760"/>
          <w:tab w:val="left" w:pos="6480"/>
          <w:tab w:val="left" w:pos="6538"/>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(OMB No. 3064-0</w:t>
      </w:r>
      <w:r w:rsidR="0025670B">
        <w:rPr>
          <w:rFonts w:ascii="Times New Roman" w:hAnsi="Times New Roman"/>
        </w:rPr>
        <w:t>207</w:t>
      </w:r>
      <w:r>
        <w:rPr>
          <w:rFonts w:ascii="Times New Roman" w:hAnsi="Times New Roman"/>
        </w:rPr>
        <w:t>)</w:t>
      </w:r>
      <w:r>
        <w:rPr>
          <w:rFonts w:ascii="Times New Roman" w:hAnsi="Times New Roman"/>
        </w:rPr>
        <w:tab/>
      </w:r>
      <w:r>
        <w:rPr>
          <w:rFonts w:ascii="Times New Roman" w:hAnsi="Times New Roman"/>
        </w:rPr>
        <w:tab/>
      </w:r>
    </w:p>
    <w:p w:rsidR="0032126E" w:rsidP="0032126E" w14:paraId="779B4F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32126E" w:rsidP="0032126E" w14:paraId="1C39FC3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u w:val="single"/>
        </w:rPr>
        <w:t>INTRODUCTION</w:t>
      </w:r>
    </w:p>
    <w:p w:rsidR="0032126E" w:rsidP="0032126E" w14:paraId="778EB0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90B07" w:rsidP="0032126E" w14:paraId="381C30F1" w14:textId="4795C1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Cs w:val="24"/>
        </w:rPr>
      </w:pPr>
      <w:r>
        <w:rPr>
          <w:rFonts w:ascii="Times New Roman" w:hAnsi="Times New Roman"/>
        </w:rPr>
        <w:t xml:space="preserve">The FDIC is requesting OMB approval for </w:t>
      </w:r>
      <w:r w:rsidR="00CD5AD2">
        <w:rPr>
          <w:rFonts w:ascii="Times New Roman" w:hAnsi="Times New Roman"/>
        </w:rPr>
        <w:t>renewal, with revisions, of a</w:t>
      </w:r>
      <w:r>
        <w:rPr>
          <w:rFonts w:ascii="Times New Roman" w:hAnsi="Times New Roman"/>
        </w:rPr>
        <w:t xml:space="preserve"> collection of information</w:t>
      </w:r>
      <w:r>
        <w:rPr>
          <w:rFonts w:ascii="Times New Roman" w:hAnsi="Times New Roman"/>
        </w:rPr>
        <w:t xml:space="preserve"> </w:t>
      </w:r>
      <w:r>
        <w:rPr>
          <w:rFonts w:ascii="Times New Roman" w:hAnsi="Times New Roman"/>
        </w:rPr>
        <w:t xml:space="preserve">containing </w:t>
      </w:r>
      <w:r>
        <w:rPr>
          <w:rFonts w:ascii="Times New Roman" w:hAnsi="Times New Roman"/>
        </w:rPr>
        <w:t>recordkeeping and disclosure requirements included in Part 339 of the FDIC Rules and Regulations prescribing standards for loans in areas having special flood hazards</w:t>
      </w:r>
      <w:r w:rsidR="00CD5AD2">
        <w:rPr>
          <w:rFonts w:ascii="Times New Roman" w:hAnsi="Times New Roman"/>
        </w:rPr>
        <w:t xml:space="preserve">. The information collection expires on </w:t>
      </w:r>
      <w:r w:rsidR="00E3437E">
        <w:rPr>
          <w:rFonts w:ascii="Times New Roman" w:hAnsi="Times New Roman"/>
        </w:rPr>
        <w:t>July 31, 2025</w:t>
      </w:r>
      <w:r w:rsidR="00CD5AD2">
        <w:rPr>
          <w:rFonts w:ascii="Times New Roman" w:hAnsi="Times New Roman"/>
        </w:rPr>
        <w:t>.</w:t>
      </w:r>
    </w:p>
    <w:p w:rsidR="0032126E" w:rsidP="0032126E" w14:paraId="2C8E569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6B9D55F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t xml:space="preserve"> </w:t>
      </w:r>
      <w:r>
        <w:rPr>
          <w:rFonts w:ascii="Times New Roman" w:hAnsi="Times New Roman"/>
          <w:u w:val="single"/>
        </w:rPr>
        <w:t>JUSTIFICATION</w:t>
      </w:r>
    </w:p>
    <w:p w:rsidR="0032126E" w:rsidP="0032126E" w14:paraId="0DF7E6E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7A61333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w:t>
      </w:r>
      <w:r>
        <w:rPr>
          <w:rFonts w:ascii="Times New Roman" w:hAnsi="Times New Roman"/>
        </w:rPr>
        <w:tab/>
      </w:r>
      <w:r w:rsidRPr="0032126E">
        <w:rPr>
          <w:rFonts w:ascii="Times New Roman" w:hAnsi="Times New Roman"/>
          <w:bCs/>
          <w:u w:val="single"/>
        </w:rPr>
        <w:t>Circumstances that make the collection necessary:</w:t>
      </w:r>
    </w:p>
    <w:p w:rsidR="0032126E" w:rsidP="0032126E" w14:paraId="7DF6608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24077" w:rsidP="0032126E" w14:paraId="6FE2FB6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i/>
        </w:rPr>
      </w:pPr>
      <w:r>
        <w:rPr>
          <w:rFonts w:ascii="Times New Roman" w:hAnsi="Times New Roman"/>
          <w:b/>
          <w:i/>
        </w:rPr>
        <w:t>Background</w:t>
      </w:r>
      <w:r>
        <w:rPr>
          <w:rFonts w:ascii="Times New Roman" w:hAnsi="Times New Roman"/>
        </w:rPr>
        <w:t>:</w:t>
      </w:r>
      <w:r>
        <w:rPr>
          <w:rFonts w:ascii="Times New Roman" w:hAnsi="Times New Roman"/>
          <w:b/>
          <w:i/>
        </w:rPr>
        <w:t xml:space="preserve"> </w:t>
      </w:r>
    </w:p>
    <w:p w:rsidR="00924077" w:rsidP="0032126E" w14:paraId="71D48EB0"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E90B07" w:rsidP="0032126E" w14:paraId="0272ED2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r>
        <w:rPr>
          <w:rFonts w:ascii="Times New Roman" w:hAnsi="Times New Roman"/>
        </w:rPr>
        <w:t>A number of</w:t>
      </w:r>
      <w:r>
        <w:rPr>
          <w:rFonts w:ascii="Times New Roman" w:hAnsi="Times New Roman"/>
        </w:rPr>
        <w:t xml:space="preserve"> the sections of Title V of the </w:t>
      </w:r>
      <w:r w:rsidRPr="00963BA6">
        <w:rPr>
          <w:rFonts w:ascii="Times New Roman" w:hAnsi="Times New Roman"/>
          <w:iCs/>
          <w:szCs w:val="24"/>
        </w:rPr>
        <w:t>Riegle Community Development Act</w:t>
      </w:r>
      <w:r>
        <w:rPr>
          <w:rFonts w:ascii="Times New Roman" w:hAnsi="Times New Roman"/>
        </w:rPr>
        <w:t xml:space="preserve"> (</w:t>
      </w:r>
      <w:r>
        <w:rPr>
          <w:rFonts w:ascii="Times New Roman" w:hAnsi="Times New Roman"/>
        </w:rPr>
        <w:t>RCDRIA</w:t>
      </w:r>
      <w:r>
        <w:rPr>
          <w:rFonts w:ascii="Times New Roman" w:hAnsi="Times New Roman"/>
        </w:rPr>
        <w:t>)</w:t>
      </w:r>
      <w:r>
        <w:rPr>
          <w:rFonts w:ascii="Times New Roman" w:hAnsi="Times New Roman"/>
        </w:rPr>
        <w:t xml:space="preserve"> require </w:t>
      </w:r>
      <w:r>
        <w:rPr>
          <w:rFonts w:ascii="Times New Roman" w:hAnsi="Times New Roman"/>
        </w:rPr>
        <w:t>federal banking agencies</w:t>
      </w:r>
      <w:r>
        <w:rPr>
          <w:rFonts w:ascii="Times New Roman" w:hAnsi="Times New Roman"/>
        </w:rPr>
        <w:t xml:space="preserve"> (including the FDIC), and the Farm Credit Administration, to adopt implementing regulations.</w:t>
      </w:r>
      <w:r>
        <w:rPr>
          <w:rFonts w:ascii="Times New Roman" w:hAnsi="Times New Roman"/>
        </w:rPr>
        <w:t xml:space="preserve">  Under RCDRIA and its implementing regulations, e</w:t>
      </w:r>
      <w:r w:rsidRPr="00BF488A">
        <w:rPr>
          <w:rFonts w:ascii="Times New Roman" w:hAnsi="Times New Roman"/>
          <w:szCs w:val="24"/>
        </w:rPr>
        <w:t>ach supervised lending institution is currently required to provide notices of special flood hazards to each borrower with a loan secured by a building or mobile home located or to be located in an area identified by the Director of the Federal Emergency Management Administration (FEMA) as being subject to special flood hazards.  In addition, various other notices must also be provided to borrowers, servicers and FEMA.</w:t>
      </w:r>
      <w:r>
        <w:rPr>
          <w:rFonts w:ascii="Times New Roman" w:hAnsi="Times New Roman"/>
          <w:szCs w:val="24"/>
        </w:rPr>
        <w:t xml:space="preserve"> </w:t>
      </w:r>
      <w:r>
        <w:rPr>
          <w:rFonts w:ascii="Times New Roman" w:hAnsi="Times New Roman"/>
          <w:iCs/>
          <w:szCs w:val="24"/>
        </w:rPr>
        <w:t>RCDRIA</w:t>
      </w:r>
      <w:r w:rsidRPr="00963BA6">
        <w:rPr>
          <w:rFonts w:ascii="Times New Roman" w:hAnsi="Times New Roman"/>
          <w:iCs/>
          <w:szCs w:val="24"/>
        </w:rPr>
        <w:t xml:space="preserve"> requires that each institution also provide a copy of the notice to the servicer of the loan (if different from the originating lender).</w:t>
      </w:r>
    </w:p>
    <w:p w:rsidR="00E90B07" w:rsidP="0032126E" w14:paraId="0E00A459"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p>
    <w:p w:rsidR="00404297" w:rsidP="00E90B07" w14:paraId="49ADA02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24E512D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2.</w:t>
      </w:r>
      <w:r>
        <w:rPr>
          <w:rFonts w:ascii="Times New Roman" w:hAnsi="Times New Roman"/>
        </w:rPr>
        <w:tab/>
      </w:r>
      <w:r w:rsidR="009E3B33">
        <w:rPr>
          <w:rFonts w:ascii="Times New Roman" w:hAnsi="Times New Roman"/>
          <w:u w:val="single"/>
        </w:rPr>
        <w:t>Use of the i</w:t>
      </w:r>
      <w:r>
        <w:rPr>
          <w:rFonts w:ascii="Times New Roman" w:hAnsi="Times New Roman"/>
          <w:u w:val="single"/>
        </w:rPr>
        <w:t>nformation:</w:t>
      </w:r>
    </w:p>
    <w:p w:rsidR="0032126E" w:rsidP="0032126E" w14:paraId="03119250"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426BB5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The Notice to the Borrower provides information that the property securing the loan is located in a special flood hazard area and flood insurance is required to make the loan.  The Notice also provides additional information to the borrower about the availability of federal assistance in the event of a declared federal disaster finding because of a flood.  The Notice is also provided to the servicer of the loan (if the originating lender is not the servicer) so that the servicer will be aware of its responsibility to perform certain tasks on behalf of the lender, such as to collect flood insurance premiums.  The lender would be required to notify the Director of FEMA (or designee) if the identity of the servicer changes so that FEMA would know to whom to direct inquiries or notices of renewals of the insurance policies.  This later obligation is a one-time obligation on the lending institution.</w:t>
      </w:r>
    </w:p>
    <w:p w:rsidR="00E3437E" w14:paraId="6CEEB062" w14:textId="2755D841">
      <w:pPr>
        <w:widowControl/>
        <w:rPr>
          <w:rFonts w:ascii="Times New Roman" w:hAnsi="Times New Roman"/>
        </w:rPr>
      </w:pPr>
      <w:r>
        <w:rPr>
          <w:rFonts w:ascii="Times New Roman" w:hAnsi="Times New Roman"/>
        </w:rPr>
        <w:br w:type="page"/>
      </w:r>
    </w:p>
    <w:p w:rsidR="00BC50BD" w:rsidP="0032126E" w14:paraId="2355FEF8"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P="0032126E" w14:paraId="1BF18907" w14:textId="5BCBA6C5">
      <w:pPr>
        <w:widowControl/>
        <w:numPr>
          <w:ilvl w:val="0"/>
          <w:numId w:val="3"/>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TUR" w:hAnsi="Times New Roman TUR" w:cs="Times New Roman TUR"/>
          <w:bCs/>
          <w:u w:val="single"/>
        </w:rPr>
        <w:t>Use of the information</w:t>
      </w:r>
      <w:r w:rsidRPr="00647F97" w:rsidR="00BC50BD">
        <w:rPr>
          <w:rFonts w:ascii="Times New Roman TUR" w:hAnsi="Times New Roman TUR" w:cs="Times New Roman TUR"/>
          <w:bCs/>
          <w:u w:val="single"/>
        </w:rPr>
        <w:t>:</w:t>
      </w:r>
    </w:p>
    <w:p w:rsidR="0032126E" w:rsidP="0032126E" w14:paraId="1C229AE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P="0032126E" w14:paraId="769D3CB9"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Banks complying with the notice and recordkeeping requirements of Part 339 are expressly given the option of providing notices and maintaining records in hard copy or electronic format.     </w:t>
      </w:r>
    </w:p>
    <w:p w:rsidR="0032126E" w:rsidP="0032126E" w14:paraId="092F76E0"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7CF037FA"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4.</w:t>
      </w:r>
      <w:r>
        <w:rPr>
          <w:rFonts w:ascii="Times New Roman" w:hAnsi="Times New Roman"/>
        </w:rPr>
        <w:tab/>
      </w:r>
      <w:r w:rsidR="00BC50BD">
        <w:rPr>
          <w:rFonts w:ascii="Times New Roman" w:hAnsi="Times New Roman"/>
          <w:u w:val="single"/>
        </w:rPr>
        <w:t>Efforts to identify d</w:t>
      </w:r>
      <w:r>
        <w:rPr>
          <w:rFonts w:ascii="Times New Roman" w:hAnsi="Times New Roman"/>
          <w:u w:val="single"/>
        </w:rPr>
        <w:t>uplication</w:t>
      </w:r>
      <w:r w:rsidR="00BC50BD">
        <w:rPr>
          <w:rFonts w:ascii="Times New Roman" w:hAnsi="Times New Roman"/>
          <w:u w:val="single"/>
        </w:rPr>
        <w:t>:</w:t>
      </w:r>
    </w:p>
    <w:p w:rsidR="0032126E" w:rsidP="0032126E" w14:paraId="26A0726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7451813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Procedures may be necessary to provide the new notifications to servicers and to FEMA.  Generally, these requirements would be a supplement to a bank's existing procedures to provide notification to a borrower whose loan request was secured by a building located on property in a special flood hazard area</w:t>
      </w:r>
      <w:r w:rsidR="00F347D7">
        <w:rPr>
          <w:rFonts w:ascii="Times New Roman" w:hAnsi="Times New Roman"/>
        </w:rPr>
        <w:t>.</w:t>
      </w:r>
    </w:p>
    <w:p w:rsidR="0032126E" w:rsidP="0032126E" w14:paraId="75D69309"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43D3B6E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5.</w:t>
      </w:r>
      <w:r>
        <w:rPr>
          <w:rFonts w:ascii="Times New Roman" w:hAnsi="Times New Roman"/>
        </w:rPr>
        <w:tab/>
      </w:r>
      <w:r w:rsidRPr="00647F97" w:rsidR="008A2A14">
        <w:rPr>
          <w:rFonts w:ascii="Times New Roman TUR" w:hAnsi="Times New Roman TUR" w:cs="Times New Roman TUR"/>
          <w:bCs/>
          <w:u w:val="single"/>
        </w:rPr>
        <w:t xml:space="preserve">Methods used to minimize burden if the collection has a significant impact on </w:t>
      </w:r>
      <w:r w:rsidR="008A2A14">
        <w:rPr>
          <w:rFonts w:ascii="Times New Roman TUR" w:hAnsi="Times New Roman TUR" w:cs="Times New Roman TUR"/>
          <w:bCs/>
          <w:u w:val="single"/>
        </w:rPr>
        <w:t xml:space="preserve">a </w:t>
      </w:r>
      <w:r w:rsidRPr="00647F97" w:rsidR="008A2A14">
        <w:rPr>
          <w:rFonts w:ascii="Times New Roman TUR" w:hAnsi="Times New Roman TUR" w:cs="Times New Roman TUR"/>
          <w:bCs/>
          <w:u w:val="single"/>
        </w:rPr>
        <w:t>substantial number of small entities:</w:t>
      </w:r>
    </w:p>
    <w:p w:rsidR="0032126E" w:rsidP="0032126E" w14:paraId="2C1BC44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4044EEBE" w14:textId="489FA59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 </w:t>
      </w:r>
      <w:r w:rsidR="00E3437E">
        <w:rPr>
          <w:rFonts w:ascii="Times New Roman" w:hAnsi="Times New Roman"/>
        </w:rPr>
        <w:t>information collection</w:t>
      </w:r>
      <w:r>
        <w:rPr>
          <w:rFonts w:ascii="Times New Roman" w:hAnsi="Times New Roman"/>
        </w:rPr>
        <w:t xml:space="preserve"> is not expected to have a significant impact on a substantial number </w:t>
      </w:r>
      <w:r w:rsidR="00711828">
        <w:rPr>
          <w:rFonts w:ascii="Times New Roman" w:hAnsi="Times New Roman"/>
        </w:rPr>
        <w:t>of</w:t>
      </w:r>
      <w:r>
        <w:rPr>
          <w:rFonts w:ascii="Times New Roman" w:hAnsi="Times New Roman"/>
        </w:rPr>
        <w:t xml:space="preserve"> small entities.  </w:t>
      </w:r>
    </w:p>
    <w:p w:rsidR="0032126E" w:rsidP="0032126E" w14:paraId="2F87D5E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0925C17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6.</w:t>
      </w:r>
      <w:r>
        <w:rPr>
          <w:rFonts w:ascii="Times New Roman" w:hAnsi="Times New Roman"/>
        </w:rPr>
        <w:tab/>
      </w:r>
      <w:r w:rsidRPr="00647F97" w:rsidR="008A2A14">
        <w:rPr>
          <w:rFonts w:ascii="Times New Roman TUR" w:hAnsi="Times New Roman TUR" w:cs="Times New Roman TUR"/>
          <w:bCs/>
          <w:u w:val="single"/>
        </w:rPr>
        <w:t>Consequences to the Federal program if the collection were conducted less frequently:</w:t>
      </w:r>
    </w:p>
    <w:p w:rsidR="0032126E" w:rsidP="0032126E" w14:paraId="087B645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00C6533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These are occasional collections, </w:t>
      </w:r>
      <w:r w:rsidR="008231A2">
        <w:rPr>
          <w:rFonts w:ascii="Times New Roman" w:hAnsi="Times New Roman"/>
        </w:rPr>
        <w:t xml:space="preserve">required by statute.  Collecting the information less frequently would </w:t>
      </w:r>
      <w:r w:rsidR="003B6D42">
        <w:rPr>
          <w:rFonts w:ascii="Times New Roman" w:hAnsi="Times New Roman"/>
        </w:rPr>
        <w:t>be prejudicial to the administration of the NFIP.</w:t>
      </w:r>
      <w:r w:rsidR="009111FB">
        <w:rPr>
          <w:rFonts w:ascii="Times New Roman" w:hAnsi="Times New Roman"/>
        </w:rPr>
        <w:t xml:space="preserve">  </w:t>
      </w:r>
    </w:p>
    <w:p w:rsidR="0032126E" w:rsidP="0032126E" w14:paraId="5372985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A2A14" w:rsidP="00E3437E" w14:paraId="6E4AAF52" w14:textId="5EC3A1BF">
      <w:pPr>
        <w:tabs>
          <w:tab w:val="left" w:pos="1350"/>
        </w:tabs>
        <w:ind w:left="1260" w:hanging="450"/>
        <w:rPr>
          <w:rFonts w:ascii="Times New Roman" w:hAnsi="Times New Roman"/>
        </w:rPr>
      </w:pPr>
      <w:r>
        <w:rPr>
          <w:rFonts w:ascii="Times New Roman" w:hAnsi="Times New Roman"/>
        </w:rPr>
        <w:t>7</w:t>
      </w:r>
      <w:r w:rsidR="00E3437E">
        <w:rPr>
          <w:rFonts w:ascii="Times New Roman" w:hAnsi="Times New Roman"/>
        </w:rPr>
        <w:t xml:space="preserve">     </w:t>
      </w:r>
      <w:r w:rsidRPr="00647F97">
        <w:rPr>
          <w:rFonts w:ascii="Times New Roman TUR" w:hAnsi="Times New Roman TUR" w:cs="Times New Roman TUR"/>
          <w:bCs/>
          <w:u w:val="single"/>
        </w:rPr>
        <w:t>Special circumstances necessitating collection inconsistent with 5 CFR Part</w:t>
      </w:r>
      <w:r w:rsidR="00E3437E">
        <w:rPr>
          <w:rFonts w:ascii="Times New Roman TUR" w:hAnsi="Times New Roman TUR" w:cs="Times New Roman TUR"/>
          <w:bCs/>
          <w:u w:val="single"/>
        </w:rPr>
        <w:t xml:space="preserve"> </w:t>
      </w:r>
      <w:r w:rsidRPr="00647F97">
        <w:rPr>
          <w:rFonts w:ascii="Times New Roman TUR" w:hAnsi="Times New Roman TUR" w:cs="Times New Roman TUR"/>
          <w:bCs/>
          <w:u w:val="single"/>
        </w:rPr>
        <w:t>1320</w:t>
      </w:r>
      <w:r>
        <w:rPr>
          <w:rFonts w:ascii="Times New Roman TUR" w:hAnsi="Times New Roman TUR" w:cs="Times New Roman TUR"/>
          <w:bCs/>
          <w:u w:val="single"/>
        </w:rPr>
        <w:t>.5(d)(2)</w:t>
      </w:r>
      <w:r w:rsidRPr="00647F97">
        <w:rPr>
          <w:rFonts w:ascii="Times New Roman TUR" w:hAnsi="Times New Roman TUR" w:cs="Times New Roman TUR"/>
          <w:bCs/>
          <w:u w:val="single"/>
        </w:rPr>
        <w:t>:</w:t>
      </w:r>
    </w:p>
    <w:p w:rsidR="008A2A14" w:rsidP="008A2A14" w14:paraId="4234DC2B" w14:textId="77777777">
      <w:pPr>
        <w:rPr>
          <w:rFonts w:ascii="Times New Roman" w:hAnsi="Times New Roman"/>
        </w:rPr>
      </w:pPr>
    </w:p>
    <w:p w:rsidR="0032126E" w:rsidP="008A2A14" w14:paraId="00EF2F5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78042F">
        <w:rPr>
          <w:rFonts w:ascii="Times New Roman TUR" w:hAnsi="Times New Roman TUR" w:cs="Times New Roman TUR"/>
        </w:rPr>
        <w:t xml:space="preserve">There are no </w:t>
      </w:r>
      <w:r w:rsidRPr="008A2A14">
        <w:rPr>
          <w:rFonts w:ascii="Times New Roman" w:hAnsi="Times New Roman"/>
        </w:rPr>
        <w:t>special</w:t>
      </w:r>
      <w:r w:rsidRPr="0078042F">
        <w:rPr>
          <w:rFonts w:ascii="Times New Roman TUR" w:hAnsi="Times New Roman TUR" w:cs="Times New Roman TUR"/>
        </w:rPr>
        <w:t xml:space="preserve"> circumstances. This information collection is conducted in accordance with the guidelines in 5 CFR 1320.5(d)(2).</w:t>
      </w:r>
    </w:p>
    <w:p w:rsidR="0032126E" w:rsidP="0032126E" w14:paraId="72F90981"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6EE8A5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8.</w:t>
      </w:r>
      <w:r>
        <w:rPr>
          <w:rFonts w:ascii="Times New Roman" w:hAnsi="Times New Roman"/>
        </w:rPr>
        <w:tab/>
      </w:r>
      <w:r w:rsidRPr="00647F97" w:rsidR="008A2A14">
        <w:rPr>
          <w:rFonts w:ascii="Times New Roman TUR" w:hAnsi="Times New Roman TUR" w:cs="Times New Roman TUR"/>
          <w:bCs/>
          <w:u w:val="single"/>
        </w:rPr>
        <w:t>Efforts to consult with persons outside the agency:</w:t>
      </w:r>
    </w:p>
    <w:p w:rsidR="0032126E" w:rsidP="0032126E" w14:paraId="183DB69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A00DD" w:rsidRPr="00F347D7" w:rsidP="00F347D7" w14:paraId="1293C024" w14:textId="1AFBA5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On </w:t>
      </w:r>
      <w:r>
        <w:rPr>
          <w:rFonts w:ascii="Times New Roman" w:hAnsi="Times New Roman"/>
        </w:rPr>
        <w:t>April</w:t>
      </w:r>
      <w:r>
        <w:rPr>
          <w:rFonts w:ascii="Times New Roman" w:hAnsi="Times New Roman"/>
        </w:rPr>
        <w:t xml:space="preserve"> 25,2025 FDIC published a Federal Register notice seeking public comment for a 60-day period (90 FR </w:t>
      </w:r>
      <w:r>
        <w:rPr>
          <w:rFonts w:ascii="Times New Roman" w:hAnsi="Times New Roman"/>
        </w:rPr>
        <w:t>17433</w:t>
      </w:r>
      <w:r>
        <w:rPr>
          <w:rFonts w:ascii="Times New Roman" w:hAnsi="Times New Roman"/>
        </w:rPr>
        <w:t>).  No comments were received</w:t>
      </w:r>
      <w:r w:rsidR="00F347D7">
        <w:rPr>
          <w:rFonts w:ascii="Times New Roman" w:hAnsi="Times New Roman"/>
        </w:rPr>
        <w:t>.</w:t>
      </w:r>
    </w:p>
    <w:p w:rsidR="0032126E" w:rsidP="0032126E" w14:paraId="493ED86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0B00D18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w:t>
      </w:r>
      <w:r w:rsidR="00517530">
        <w:rPr>
          <w:rFonts w:ascii="Times New Roman" w:hAnsi="Times New Roman"/>
          <w:u w:val="single"/>
        </w:rPr>
        <w:t>s</w:t>
      </w:r>
      <w:r>
        <w:rPr>
          <w:rFonts w:ascii="Times New Roman" w:hAnsi="Times New Roman"/>
          <w:u w:val="single"/>
        </w:rPr>
        <w:t xml:space="preserve"> or </w:t>
      </w:r>
      <w:r w:rsidR="00517530">
        <w:rPr>
          <w:rFonts w:ascii="Times New Roman" w:hAnsi="Times New Roman"/>
          <w:u w:val="single"/>
        </w:rPr>
        <w:t>g</w:t>
      </w:r>
      <w:r>
        <w:rPr>
          <w:rFonts w:ascii="Times New Roman" w:hAnsi="Times New Roman"/>
          <w:u w:val="single"/>
        </w:rPr>
        <w:t>ift</w:t>
      </w:r>
      <w:r w:rsidR="00517530">
        <w:rPr>
          <w:rFonts w:ascii="Times New Roman" w:hAnsi="Times New Roman"/>
          <w:u w:val="single"/>
        </w:rPr>
        <w:t>s to r</w:t>
      </w:r>
      <w:r>
        <w:rPr>
          <w:rFonts w:ascii="Times New Roman" w:hAnsi="Times New Roman"/>
          <w:u w:val="single"/>
        </w:rPr>
        <w:t>espondents</w:t>
      </w:r>
      <w:r w:rsidR="00517530">
        <w:rPr>
          <w:rFonts w:ascii="Times New Roman" w:hAnsi="Times New Roman"/>
          <w:u w:val="single"/>
        </w:rPr>
        <w:t>:</w:t>
      </w:r>
    </w:p>
    <w:p w:rsidR="0032126E" w:rsidP="0032126E" w14:paraId="3972969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7C07C5F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P="0032126E" w14:paraId="51428DE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014A32B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10.</w:t>
      </w:r>
      <w:r>
        <w:rPr>
          <w:rFonts w:ascii="Times New Roman" w:hAnsi="Times New Roman"/>
        </w:rPr>
        <w:tab/>
      </w:r>
      <w:r w:rsidRPr="00647F97" w:rsidR="00517530">
        <w:rPr>
          <w:rFonts w:ascii="Times New Roman TUR" w:hAnsi="Times New Roman TUR" w:cs="Times New Roman TUR"/>
          <w:bCs/>
          <w:u w:val="single"/>
        </w:rPr>
        <w:t>Any assurance of confidentiality:</w:t>
      </w:r>
      <w:r>
        <w:rPr>
          <w:rFonts w:ascii="Times New Roman" w:hAnsi="Times New Roman"/>
        </w:rPr>
        <w:tab/>
      </w:r>
    </w:p>
    <w:p w:rsidR="0032126E" w:rsidP="0032126E" w14:paraId="1688EDA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1E12D31A"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All required records </w:t>
      </w:r>
      <w:r w:rsidRPr="000A3CF9">
        <w:rPr>
          <w:rFonts w:ascii="Times New Roman" w:hAnsi="Times New Roman"/>
          <w:szCs w:val="24"/>
        </w:rPr>
        <w:t xml:space="preserve">will be kept </w:t>
      </w:r>
      <w:r>
        <w:rPr>
          <w:rFonts w:ascii="Times New Roman" w:hAnsi="Times New Roman"/>
          <w:szCs w:val="24"/>
        </w:rPr>
        <w:t>private</w:t>
      </w:r>
      <w:r w:rsidRPr="000A3CF9">
        <w:rPr>
          <w:rFonts w:ascii="Times New Roman" w:hAnsi="Times New Roman"/>
          <w:szCs w:val="24"/>
        </w:rPr>
        <w:t xml:space="preserve"> to extent permitted by law</w:t>
      </w:r>
      <w:r>
        <w:rPr>
          <w:rFonts w:ascii="Times New Roman" w:hAnsi="Times New Roman"/>
          <w:szCs w:val="24"/>
        </w:rPr>
        <w:t>.</w:t>
      </w:r>
    </w:p>
    <w:p w:rsidR="00E3437E" w14:paraId="533955D6" w14:textId="4316099D">
      <w:pPr>
        <w:widowControl/>
        <w:rPr>
          <w:rFonts w:ascii="Times New Roman" w:hAnsi="Times New Roman"/>
        </w:rPr>
      </w:pPr>
      <w:r>
        <w:rPr>
          <w:rFonts w:ascii="Times New Roman" w:hAnsi="Times New Roman"/>
        </w:rPr>
        <w:br w:type="page"/>
      </w:r>
    </w:p>
    <w:p w:rsidR="0032126E" w:rsidP="0032126E" w14:paraId="3F7BA41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99EDC94" w14:textId="77777777">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47F97">
        <w:rPr>
          <w:rFonts w:ascii="Times New Roman TUR" w:hAnsi="Times New Roman TUR" w:cs="Times New Roman TUR"/>
          <w:bCs/>
          <w:u w:val="single"/>
        </w:rPr>
        <w:t>Justification for questions of a sensitive nature:</w:t>
      </w:r>
    </w:p>
    <w:p w:rsidR="0032126E" w:rsidP="0032126E" w14:paraId="3E80F63A"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14:paraId="7472EE7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00C71824">
        <w:rPr>
          <w:rFonts w:ascii="Times New Roman" w:hAnsi="Times New Roman"/>
        </w:rPr>
        <w:t>T</w:t>
      </w:r>
      <w:r w:rsidRPr="009E4FE6" w:rsidR="00C71824">
        <w:rPr>
          <w:rFonts w:ascii="Times New Roman" w:hAnsi="Times New Roman"/>
        </w:rPr>
        <w:t>he information collection does not request information of a sensitive nature</w:t>
      </w:r>
      <w:r>
        <w:rPr>
          <w:rFonts w:ascii="Times New Roman" w:hAnsi="Times New Roman"/>
        </w:rPr>
        <w:t>.</w:t>
      </w:r>
    </w:p>
    <w:p w:rsidR="0032126E" w:rsidP="0032126E" w14:paraId="7832BAB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4D330CB9" w14:textId="77777777">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4FE6">
        <w:rPr>
          <w:rFonts w:ascii="Times New Roman" w:hAnsi="Times New Roman"/>
          <w:u w:val="single"/>
        </w:rPr>
        <w:t xml:space="preserve">Estimate of </w:t>
      </w:r>
      <w:r>
        <w:rPr>
          <w:rFonts w:ascii="Times New Roman" w:hAnsi="Times New Roman"/>
          <w:u w:val="single"/>
        </w:rPr>
        <w:t>hour burden including annualized hourly c</w:t>
      </w:r>
      <w:r w:rsidRPr="009E4FE6">
        <w:rPr>
          <w:rFonts w:ascii="Times New Roman" w:hAnsi="Times New Roman"/>
          <w:u w:val="single"/>
        </w:rPr>
        <w:t>osts:</w:t>
      </w:r>
    </w:p>
    <w:p w:rsidR="0032126E" w:rsidP="0032126E" w14:paraId="3A7BFF3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tbl>
      <w:tblPr>
        <w:tblW w:w="9710" w:type="dxa"/>
        <w:tblInd w:w="-280" w:type="dxa"/>
        <w:tblCellMar>
          <w:top w:w="15" w:type="dxa"/>
        </w:tblCellMar>
        <w:tblLook w:val="04A0"/>
      </w:tblPr>
      <w:tblGrid>
        <w:gridCol w:w="2782"/>
        <w:gridCol w:w="1625"/>
        <w:gridCol w:w="1389"/>
        <w:gridCol w:w="1779"/>
        <w:gridCol w:w="1151"/>
        <w:gridCol w:w="996"/>
      </w:tblGrid>
      <w:tr w14:paraId="38DDFFDF" w14:textId="77777777" w:rsidTr="004D713C">
        <w:tblPrEx>
          <w:tblW w:w="9710" w:type="dxa"/>
          <w:tblInd w:w="-280" w:type="dxa"/>
          <w:tblCellMar>
            <w:top w:w="15" w:type="dxa"/>
          </w:tblCellMar>
          <w:tblLook w:val="04A0"/>
        </w:tblPrEx>
        <w:trPr>
          <w:trHeight w:val="358"/>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3437E" w:rsidRPr="00891D04" w:rsidP="00C07BDE" w14:paraId="2B7B6BA9" w14:textId="3962DB53">
            <w:pPr>
              <w:jc w:val="center"/>
              <w:rPr>
                <w:rFonts w:ascii="Times New Roman" w:hAnsi="Times New Roman"/>
                <w:color w:val="000000"/>
                <w:szCs w:val="24"/>
              </w:rPr>
            </w:pPr>
            <w:r w:rsidRPr="00891D04">
              <w:rPr>
                <w:rFonts w:ascii="Times New Roman" w:hAnsi="Times New Roman"/>
                <w:color w:val="000000"/>
                <w:szCs w:val="24"/>
              </w:rPr>
              <w:t>Summary of Estimated Annual Burden (OMB No. 3064-0207)</w:t>
            </w:r>
          </w:p>
        </w:tc>
      </w:tr>
      <w:tr w14:paraId="62D33E04" w14:textId="77777777" w:rsidTr="004D713C">
        <w:tblPrEx>
          <w:tblW w:w="9710" w:type="dxa"/>
          <w:tblInd w:w="-280" w:type="dxa"/>
          <w:tblCellMar>
            <w:top w:w="15" w:type="dxa"/>
          </w:tblCellMar>
          <w:tblLook w:val="04A0"/>
        </w:tblPrEx>
        <w:trPr>
          <w:trHeight w:val="1136"/>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37ADE0CF" w14:textId="77777777">
            <w:pPr>
              <w:rPr>
                <w:rFonts w:ascii="Times New Roman" w:hAnsi="Times New Roman"/>
                <w:color w:val="000000"/>
                <w:sz w:val="20"/>
              </w:rPr>
            </w:pPr>
            <w:r w:rsidRPr="00891D04">
              <w:rPr>
                <w:rFonts w:ascii="Times New Roman" w:hAnsi="Times New Roman"/>
                <w:color w:val="000000"/>
                <w:sz w:val="20"/>
              </w:rPr>
              <w:t>Information Collection (IC) (Obligation to Respond)</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24963407" w14:textId="77777777">
            <w:pPr>
              <w:jc w:val="center"/>
              <w:rPr>
                <w:rFonts w:ascii="Times New Roman" w:hAnsi="Times New Roman"/>
                <w:color w:val="000000"/>
                <w:sz w:val="20"/>
              </w:rPr>
            </w:pPr>
            <w:r w:rsidRPr="00891D04">
              <w:rPr>
                <w:rFonts w:ascii="Times New Roman" w:hAnsi="Times New Roman"/>
                <w:color w:val="000000"/>
                <w:sz w:val="20"/>
              </w:rPr>
              <w:t>Type of Burden</w:t>
            </w:r>
            <w:r w:rsidRPr="00891D04">
              <w:rPr>
                <w:rFonts w:ascii="Times New Roman" w:hAnsi="Times New Roman"/>
                <w:color w:val="000000"/>
                <w:sz w:val="20"/>
              </w:rPr>
              <w:br/>
              <w:t>(Frequency of Response)</w:t>
            </w:r>
          </w:p>
        </w:tc>
        <w:tc>
          <w:tcPr>
            <w:tcW w:w="1389" w:type="dxa"/>
            <w:tcBorders>
              <w:top w:val="nil"/>
              <w:left w:val="nil"/>
              <w:bottom w:val="single" w:sz="8" w:space="0" w:color="auto"/>
              <w:right w:val="single" w:sz="8" w:space="0" w:color="auto"/>
            </w:tcBorders>
            <w:shd w:val="clear" w:color="auto" w:fill="auto"/>
            <w:vAlign w:val="center"/>
            <w:hideMark/>
          </w:tcPr>
          <w:p w:rsidR="00E3437E" w:rsidRPr="00891D04" w:rsidP="00C07BDE" w14:paraId="3156A751" w14:textId="77777777">
            <w:pPr>
              <w:jc w:val="center"/>
              <w:rPr>
                <w:rFonts w:ascii="Times New Roman" w:hAnsi="Times New Roman"/>
                <w:color w:val="000000"/>
                <w:sz w:val="20"/>
              </w:rPr>
            </w:pPr>
            <w:r w:rsidRPr="00891D04">
              <w:rPr>
                <w:rFonts w:ascii="Times New Roman" w:hAnsi="Times New Roman"/>
                <w:color w:val="000000"/>
                <w:sz w:val="20"/>
              </w:rPr>
              <w:t xml:space="preserve"> Number of Respondents</w:t>
            </w:r>
          </w:p>
        </w:tc>
        <w:tc>
          <w:tcPr>
            <w:tcW w:w="1779" w:type="dxa"/>
            <w:tcBorders>
              <w:top w:val="nil"/>
              <w:left w:val="nil"/>
              <w:bottom w:val="single" w:sz="8" w:space="0" w:color="auto"/>
              <w:right w:val="single" w:sz="8" w:space="0" w:color="auto"/>
            </w:tcBorders>
            <w:shd w:val="clear" w:color="auto" w:fill="auto"/>
            <w:vAlign w:val="center"/>
            <w:hideMark/>
          </w:tcPr>
          <w:p w:rsidR="00E3437E" w:rsidRPr="00891D04" w:rsidP="00C07BDE" w14:paraId="645D9FCC" w14:textId="77777777">
            <w:pPr>
              <w:jc w:val="center"/>
              <w:rPr>
                <w:rFonts w:ascii="Times New Roman" w:hAnsi="Times New Roman"/>
                <w:color w:val="000000"/>
                <w:sz w:val="20"/>
              </w:rPr>
            </w:pPr>
            <w:r w:rsidRPr="00891D04">
              <w:rPr>
                <w:rFonts w:ascii="Times New Roman" w:hAnsi="Times New Roman"/>
                <w:color w:val="000000"/>
                <w:sz w:val="20"/>
              </w:rPr>
              <w:t xml:space="preserve"> Number of Responses per Respondent</w:t>
            </w:r>
          </w:p>
        </w:tc>
        <w:tc>
          <w:tcPr>
            <w:tcW w:w="1150" w:type="dxa"/>
            <w:tcBorders>
              <w:top w:val="nil"/>
              <w:left w:val="nil"/>
              <w:bottom w:val="single" w:sz="8" w:space="0" w:color="auto"/>
              <w:right w:val="single" w:sz="8" w:space="0" w:color="auto"/>
            </w:tcBorders>
            <w:shd w:val="clear" w:color="auto" w:fill="auto"/>
            <w:vAlign w:val="center"/>
            <w:hideMark/>
          </w:tcPr>
          <w:p w:rsidR="00E3437E" w:rsidRPr="00891D04" w:rsidP="00C07BDE" w14:paraId="76C838FC" w14:textId="77777777">
            <w:pPr>
              <w:jc w:val="center"/>
              <w:rPr>
                <w:rFonts w:ascii="Times New Roman" w:hAnsi="Times New Roman"/>
                <w:color w:val="000000"/>
                <w:sz w:val="20"/>
              </w:rPr>
            </w:pPr>
            <w:r w:rsidRPr="00891D04">
              <w:rPr>
                <w:rFonts w:ascii="Times New Roman" w:hAnsi="Times New Roman"/>
                <w:color w:val="000000"/>
                <w:sz w:val="20"/>
              </w:rPr>
              <w:t>Average Time per Response (HH:MM)</w:t>
            </w:r>
          </w:p>
        </w:tc>
        <w:tc>
          <w:tcPr>
            <w:tcW w:w="984" w:type="dxa"/>
            <w:tcBorders>
              <w:top w:val="nil"/>
              <w:left w:val="nil"/>
              <w:bottom w:val="single" w:sz="8" w:space="0" w:color="auto"/>
              <w:right w:val="single" w:sz="8" w:space="0" w:color="auto"/>
            </w:tcBorders>
            <w:shd w:val="clear" w:color="auto" w:fill="auto"/>
            <w:vAlign w:val="center"/>
            <w:hideMark/>
          </w:tcPr>
          <w:p w:rsidR="00E3437E" w:rsidRPr="00891D04" w:rsidP="00C07BDE" w14:paraId="7A3F209E" w14:textId="77777777">
            <w:pPr>
              <w:jc w:val="center"/>
              <w:rPr>
                <w:rFonts w:ascii="Times New Roman" w:hAnsi="Times New Roman"/>
                <w:color w:val="000000"/>
                <w:sz w:val="20"/>
              </w:rPr>
            </w:pPr>
            <w:r w:rsidRPr="00891D04">
              <w:rPr>
                <w:rFonts w:ascii="Times New Roman" w:hAnsi="Times New Roman"/>
                <w:color w:val="000000"/>
                <w:sz w:val="20"/>
              </w:rPr>
              <w:t>Annual Burden (Hours)</w:t>
            </w:r>
          </w:p>
        </w:tc>
      </w:tr>
      <w:tr w14:paraId="1F905131" w14:textId="77777777" w:rsidTr="004D713C">
        <w:tblPrEx>
          <w:tblW w:w="9710" w:type="dxa"/>
          <w:tblInd w:w="-280" w:type="dxa"/>
          <w:tblCellMar>
            <w:top w:w="15" w:type="dxa"/>
          </w:tblCellMar>
          <w:tblLook w:val="04A0"/>
        </w:tblPrEx>
        <w:trPr>
          <w:trHeight w:val="837"/>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5CFEF997" w14:textId="77777777">
            <w:pPr>
              <w:rPr>
                <w:rFonts w:ascii="Times New Roman" w:hAnsi="Times New Roman"/>
                <w:color w:val="000000"/>
                <w:sz w:val="20"/>
              </w:rPr>
            </w:pPr>
            <w:r w:rsidRPr="00891D04">
              <w:rPr>
                <w:rFonts w:ascii="Times New Roman" w:hAnsi="Times New Roman"/>
                <w:color w:val="000000"/>
                <w:sz w:val="20"/>
              </w:rPr>
              <w:t>1. Private flood insurance, 12 CFR 339.3(c)(3)(iv) and 3(c)(4)(iv)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3CBA0367" w14:textId="77777777">
            <w:pPr>
              <w:jc w:val="center"/>
              <w:rPr>
                <w:rFonts w:ascii="Times New Roman" w:hAnsi="Times New Roman"/>
                <w:color w:val="000000"/>
                <w:sz w:val="20"/>
              </w:rPr>
            </w:pPr>
            <w:r w:rsidRPr="00891D04">
              <w:rPr>
                <w:rFonts w:ascii="Times New Roman" w:hAnsi="Times New Roman"/>
                <w:color w:val="000000"/>
                <w:sz w:val="20"/>
              </w:rPr>
              <w:t>Recordkeeping</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47214F53"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63ECF2E0" w14:textId="77777777">
            <w:pPr>
              <w:jc w:val="right"/>
              <w:rPr>
                <w:rFonts w:ascii="Times New Roman" w:hAnsi="Times New Roman"/>
                <w:color w:val="000000"/>
                <w:sz w:val="20"/>
              </w:rPr>
            </w:pPr>
            <w:r w:rsidRPr="00891D04">
              <w:rPr>
                <w:rFonts w:ascii="Times New Roman" w:hAnsi="Times New Roman"/>
                <w:color w:val="000000"/>
                <w:sz w:val="20"/>
              </w:rPr>
              <w:t>2</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142E5F68" w14:textId="77777777">
            <w:pPr>
              <w:jc w:val="right"/>
              <w:rPr>
                <w:rFonts w:ascii="Times New Roman" w:hAnsi="Times New Roman"/>
                <w:color w:val="000000"/>
                <w:sz w:val="20"/>
              </w:rPr>
            </w:pPr>
            <w:r w:rsidRPr="00891D04">
              <w:rPr>
                <w:rFonts w:ascii="Times New Roman" w:hAnsi="Times New Roman"/>
                <w:color w:val="000000"/>
                <w:sz w:val="20"/>
              </w:rPr>
              <w:t>00:30</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520EDF10" w14:textId="77777777">
            <w:pPr>
              <w:jc w:val="right"/>
              <w:rPr>
                <w:rFonts w:ascii="Times New Roman" w:hAnsi="Times New Roman"/>
                <w:color w:val="000000"/>
                <w:sz w:val="20"/>
              </w:rPr>
            </w:pPr>
            <w:r w:rsidRPr="00891D04">
              <w:rPr>
                <w:rFonts w:ascii="Times New Roman" w:hAnsi="Times New Roman"/>
                <w:color w:val="000000"/>
                <w:sz w:val="20"/>
              </w:rPr>
              <w:t>2,825</w:t>
            </w:r>
          </w:p>
        </w:tc>
      </w:tr>
      <w:tr w14:paraId="4CE5E456" w14:textId="77777777" w:rsidTr="004D713C">
        <w:tblPrEx>
          <w:tblW w:w="9710" w:type="dxa"/>
          <w:tblInd w:w="-280" w:type="dxa"/>
          <w:tblCellMar>
            <w:top w:w="15" w:type="dxa"/>
          </w:tblCellMar>
          <w:tblLook w:val="04A0"/>
        </w:tblPrEx>
        <w:trPr>
          <w:trHeight w:val="837"/>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7E87793F" w14:textId="77777777">
            <w:pPr>
              <w:rPr>
                <w:rFonts w:ascii="Times New Roman" w:hAnsi="Times New Roman"/>
                <w:color w:val="000000"/>
                <w:sz w:val="20"/>
              </w:rPr>
            </w:pPr>
            <w:r w:rsidRPr="00891D04">
              <w:rPr>
                <w:rFonts w:ascii="Times New Roman" w:hAnsi="Times New Roman"/>
                <w:color w:val="000000"/>
                <w:sz w:val="20"/>
              </w:rPr>
              <w:t>2. Standard flood hazard determination form, 12 CFR 339.6(b)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2E436BC9" w14:textId="77777777">
            <w:pPr>
              <w:jc w:val="center"/>
              <w:rPr>
                <w:rFonts w:ascii="Times New Roman" w:hAnsi="Times New Roman"/>
                <w:color w:val="000000"/>
                <w:sz w:val="20"/>
              </w:rPr>
            </w:pPr>
            <w:r w:rsidRPr="00891D04">
              <w:rPr>
                <w:rFonts w:ascii="Times New Roman" w:hAnsi="Times New Roman"/>
                <w:color w:val="000000"/>
                <w:sz w:val="20"/>
              </w:rPr>
              <w:t>Recordkeeping</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6B8AC845"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4631FF7E" w14:textId="77777777">
            <w:pPr>
              <w:jc w:val="right"/>
              <w:rPr>
                <w:rFonts w:ascii="Times New Roman" w:hAnsi="Times New Roman"/>
                <w:color w:val="000000"/>
                <w:sz w:val="20"/>
              </w:rPr>
            </w:pPr>
            <w:r w:rsidRPr="00891D04">
              <w:rPr>
                <w:rFonts w:ascii="Times New Roman" w:hAnsi="Times New Roman"/>
                <w:color w:val="000000"/>
                <w:sz w:val="20"/>
              </w:rPr>
              <w:t>296</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07236B81" w14:textId="77777777">
            <w:pPr>
              <w:jc w:val="right"/>
              <w:rPr>
                <w:rFonts w:ascii="Times New Roman" w:hAnsi="Times New Roman"/>
                <w:color w:val="000000"/>
                <w:sz w:val="20"/>
              </w:rPr>
            </w:pPr>
            <w:r w:rsidRPr="00891D04">
              <w:rPr>
                <w:rFonts w:ascii="Times New Roman" w:hAnsi="Times New Roman"/>
                <w:color w:val="000000"/>
                <w:sz w:val="20"/>
              </w:rPr>
              <w:t>00:025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74DFE876" w14:textId="77777777">
            <w:pPr>
              <w:jc w:val="right"/>
              <w:rPr>
                <w:rFonts w:ascii="Times New Roman" w:hAnsi="Times New Roman"/>
                <w:color w:val="000000"/>
                <w:sz w:val="20"/>
              </w:rPr>
            </w:pPr>
            <w:r w:rsidRPr="00891D04">
              <w:rPr>
                <w:rFonts w:ascii="Times New Roman" w:hAnsi="Times New Roman"/>
                <w:color w:val="000000"/>
                <w:sz w:val="20"/>
              </w:rPr>
              <w:t>34,842</w:t>
            </w:r>
          </w:p>
        </w:tc>
      </w:tr>
      <w:tr w14:paraId="3C1E3177" w14:textId="77777777" w:rsidTr="004D713C">
        <w:tblPrEx>
          <w:tblW w:w="9710" w:type="dxa"/>
          <w:tblInd w:w="-280" w:type="dxa"/>
          <w:tblCellMar>
            <w:top w:w="15" w:type="dxa"/>
          </w:tblCellMar>
          <w:tblLook w:val="04A0"/>
        </w:tblPrEx>
        <w:trPr>
          <w:trHeight w:val="1401"/>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2A759F9E" w14:textId="77777777">
            <w:pPr>
              <w:rPr>
                <w:rFonts w:ascii="Times New Roman" w:hAnsi="Times New Roman"/>
                <w:color w:val="000000"/>
                <w:sz w:val="20"/>
              </w:rPr>
            </w:pPr>
            <w:r w:rsidRPr="00891D04">
              <w:rPr>
                <w:rFonts w:ascii="Times New Roman" w:hAnsi="Times New Roman"/>
                <w:color w:val="000000"/>
                <w:sz w:val="20"/>
              </w:rPr>
              <w:t>3. Record of receipt of notice of special flood hazards and availability of Federal disaster relief assistance, 12 CFR 339.9(d)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7D794B35" w14:textId="77777777">
            <w:pPr>
              <w:jc w:val="center"/>
              <w:rPr>
                <w:rFonts w:ascii="Times New Roman" w:hAnsi="Times New Roman"/>
                <w:color w:val="000000"/>
                <w:sz w:val="20"/>
              </w:rPr>
            </w:pPr>
            <w:r w:rsidRPr="00891D04">
              <w:rPr>
                <w:rFonts w:ascii="Times New Roman" w:hAnsi="Times New Roman"/>
                <w:color w:val="000000"/>
                <w:sz w:val="20"/>
              </w:rPr>
              <w:t>Recordkeeping</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31473627"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13F5406D" w14:textId="77777777">
            <w:pPr>
              <w:jc w:val="right"/>
              <w:rPr>
                <w:rFonts w:ascii="Times New Roman" w:hAnsi="Times New Roman"/>
                <w:color w:val="000000"/>
                <w:sz w:val="20"/>
              </w:rPr>
            </w:pPr>
            <w:r w:rsidRPr="00891D04">
              <w:rPr>
                <w:rFonts w:ascii="Times New Roman" w:hAnsi="Times New Roman"/>
                <w:color w:val="000000"/>
                <w:sz w:val="20"/>
              </w:rPr>
              <w:t>37</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42B5494C" w14:textId="77777777">
            <w:pPr>
              <w:jc w:val="right"/>
              <w:rPr>
                <w:rFonts w:ascii="Times New Roman" w:hAnsi="Times New Roman"/>
                <w:color w:val="000000"/>
                <w:sz w:val="20"/>
              </w:rPr>
            </w:pPr>
            <w:r w:rsidRPr="00891D04">
              <w:rPr>
                <w:rFonts w:ascii="Times New Roman" w:hAnsi="Times New Roman"/>
                <w:color w:val="000000"/>
                <w:sz w:val="20"/>
              </w:rPr>
              <w:t>00:15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3FC9CF30" w14:textId="77777777">
            <w:pPr>
              <w:jc w:val="right"/>
              <w:rPr>
                <w:rFonts w:ascii="Times New Roman" w:hAnsi="Times New Roman"/>
                <w:color w:val="000000"/>
                <w:sz w:val="20"/>
              </w:rPr>
            </w:pPr>
            <w:r w:rsidRPr="00891D04">
              <w:rPr>
                <w:rFonts w:ascii="Times New Roman" w:hAnsi="Times New Roman"/>
                <w:color w:val="000000"/>
                <w:sz w:val="20"/>
              </w:rPr>
              <w:t>26,131</w:t>
            </w:r>
          </w:p>
        </w:tc>
      </w:tr>
      <w:tr w14:paraId="09EC5F1F" w14:textId="77777777" w:rsidTr="004D713C">
        <w:tblPrEx>
          <w:tblW w:w="9710" w:type="dxa"/>
          <w:tblInd w:w="-280" w:type="dxa"/>
          <w:tblCellMar>
            <w:top w:w="15" w:type="dxa"/>
          </w:tblCellMar>
          <w:tblLook w:val="04A0"/>
        </w:tblPrEx>
        <w:trPr>
          <w:trHeight w:val="1112"/>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6D5C7194" w14:textId="77777777">
            <w:pPr>
              <w:rPr>
                <w:rFonts w:ascii="Times New Roman" w:hAnsi="Times New Roman"/>
                <w:color w:val="000000"/>
                <w:sz w:val="20"/>
              </w:rPr>
            </w:pPr>
            <w:r w:rsidRPr="00891D04">
              <w:rPr>
                <w:rFonts w:ascii="Times New Roman" w:hAnsi="Times New Roman"/>
                <w:color w:val="000000"/>
                <w:sz w:val="20"/>
              </w:rPr>
              <w:t>4. Notice of requirement to escrow flood insurance payments and fees, 12 CFR 339.5(b)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0E7E2252"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17F75877" w14:textId="77777777">
            <w:pPr>
              <w:jc w:val="right"/>
              <w:rPr>
                <w:rFonts w:ascii="Times New Roman" w:hAnsi="Times New Roman"/>
                <w:color w:val="000000"/>
                <w:sz w:val="20"/>
              </w:rPr>
            </w:pPr>
            <w:r w:rsidRPr="00891D04">
              <w:rPr>
                <w:rFonts w:ascii="Times New Roman" w:hAnsi="Times New Roman"/>
                <w:color w:val="000000"/>
                <w:sz w:val="20"/>
              </w:rPr>
              <w:t>494</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07099B4F" w14:textId="77777777">
            <w:pPr>
              <w:jc w:val="right"/>
              <w:rPr>
                <w:rFonts w:ascii="Times New Roman" w:hAnsi="Times New Roman"/>
                <w:color w:val="000000"/>
                <w:sz w:val="20"/>
              </w:rPr>
            </w:pPr>
            <w:r w:rsidRPr="00891D04">
              <w:rPr>
                <w:rFonts w:ascii="Times New Roman" w:hAnsi="Times New Roman"/>
                <w:color w:val="000000"/>
                <w:sz w:val="20"/>
              </w:rPr>
              <w:t>62</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1697E385" w14:textId="77777777">
            <w:pPr>
              <w:jc w:val="right"/>
              <w:rPr>
                <w:rFonts w:ascii="Times New Roman" w:hAnsi="Times New Roman"/>
                <w:color w:val="000000"/>
                <w:sz w:val="20"/>
              </w:rPr>
            </w:pPr>
            <w:r w:rsidRPr="00891D04">
              <w:rPr>
                <w:rFonts w:ascii="Times New Roman" w:hAnsi="Times New Roman"/>
                <w:color w:val="000000"/>
                <w:sz w:val="20"/>
              </w:rPr>
              <w:t>00:05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5C00132C" w14:textId="77777777">
            <w:pPr>
              <w:jc w:val="right"/>
              <w:rPr>
                <w:rFonts w:ascii="Times New Roman" w:hAnsi="Times New Roman"/>
                <w:color w:val="000000"/>
                <w:sz w:val="20"/>
              </w:rPr>
            </w:pPr>
            <w:r w:rsidRPr="00891D04">
              <w:rPr>
                <w:rFonts w:ascii="Times New Roman" w:hAnsi="Times New Roman"/>
                <w:color w:val="000000"/>
                <w:sz w:val="20"/>
              </w:rPr>
              <w:t>2,552</w:t>
            </w:r>
          </w:p>
        </w:tc>
      </w:tr>
      <w:tr w14:paraId="6F615141" w14:textId="77777777" w:rsidTr="004D713C">
        <w:tblPrEx>
          <w:tblW w:w="9710" w:type="dxa"/>
          <w:tblInd w:w="-280" w:type="dxa"/>
          <w:tblCellMar>
            <w:top w:w="15" w:type="dxa"/>
          </w:tblCellMar>
          <w:tblLook w:val="04A0"/>
        </w:tblPrEx>
        <w:trPr>
          <w:trHeight w:val="562"/>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4C09DD76" w14:textId="77777777">
            <w:pPr>
              <w:rPr>
                <w:rFonts w:ascii="Times New Roman" w:hAnsi="Times New Roman"/>
                <w:color w:val="000000"/>
                <w:sz w:val="20"/>
              </w:rPr>
            </w:pPr>
            <w:r w:rsidRPr="00891D04">
              <w:rPr>
                <w:rFonts w:ascii="Times New Roman" w:hAnsi="Times New Roman"/>
                <w:color w:val="000000"/>
                <w:sz w:val="20"/>
              </w:rPr>
              <w:t>5. Change in status, 12 CFR 339.5(c)(2)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3181D05C"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5C2320C1" w14:textId="77777777">
            <w:pPr>
              <w:jc w:val="right"/>
              <w:rPr>
                <w:rFonts w:ascii="Times New Roman" w:hAnsi="Times New Roman"/>
                <w:color w:val="000000"/>
                <w:sz w:val="20"/>
              </w:rPr>
            </w:pPr>
            <w:r w:rsidRPr="00891D04">
              <w:rPr>
                <w:rFonts w:ascii="Times New Roman" w:hAnsi="Times New Roman"/>
                <w:color w:val="000000"/>
                <w:sz w:val="20"/>
              </w:rPr>
              <w:t>29</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4AAC62F4" w14:textId="77777777">
            <w:pPr>
              <w:jc w:val="right"/>
              <w:rPr>
                <w:rFonts w:ascii="Times New Roman" w:hAnsi="Times New Roman"/>
                <w:color w:val="000000"/>
                <w:sz w:val="20"/>
              </w:rPr>
            </w:pPr>
            <w:r w:rsidRPr="00891D04">
              <w:rPr>
                <w:rFonts w:ascii="Times New Roman" w:hAnsi="Times New Roman"/>
                <w:color w:val="000000"/>
                <w:sz w:val="20"/>
              </w:rPr>
              <w:t>1</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525D187C" w14:textId="77777777">
            <w:pPr>
              <w:jc w:val="right"/>
              <w:rPr>
                <w:rFonts w:ascii="Times New Roman" w:hAnsi="Times New Roman"/>
                <w:color w:val="000000"/>
                <w:sz w:val="20"/>
              </w:rPr>
            </w:pPr>
            <w:r w:rsidRPr="00891D04">
              <w:rPr>
                <w:rFonts w:ascii="Times New Roman" w:hAnsi="Times New Roman"/>
                <w:color w:val="000000"/>
                <w:sz w:val="20"/>
              </w:rPr>
              <w:t>40:00</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588131D3" w14:textId="77777777">
            <w:pPr>
              <w:jc w:val="right"/>
              <w:rPr>
                <w:rFonts w:ascii="Times New Roman" w:hAnsi="Times New Roman"/>
                <w:color w:val="000000"/>
                <w:sz w:val="20"/>
              </w:rPr>
            </w:pPr>
            <w:r w:rsidRPr="00891D04">
              <w:rPr>
                <w:rFonts w:ascii="Times New Roman" w:hAnsi="Times New Roman"/>
                <w:color w:val="000000"/>
                <w:sz w:val="20"/>
              </w:rPr>
              <w:t>1,160</w:t>
            </w:r>
          </w:p>
        </w:tc>
      </w:tr>
      <w:tr w14:paraId="3F601293" w14:textId="77777777" w:rsidTr="004D713C">
        <w:tblPrEx>
          <w:tblW w:w="9710" w:type="dxa"/>
          <w:tblInd w:w="-280" w:type="dxa"/>
          <w:tblCellMar>
            <w:top w:w="15" w:type="dxa"/>
          </w:tblCellMar>
          <w:tblLook w:val="04A0"/>
        </w:tblPrEx>
        <w:trPr>
          <w:trHeight w:val="1112"/>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03771025" w14:textId="77777777">
            <w:pPr>
              <w:rPr>
                <w:rFonts w:ascii="Times New Roman" w:hAnsi="Times New Roman"/>
                <w:color w:val="000000"/>
                <w:sz w:val="20"/>
              </w:rPr>
            </w:pPr>
            <w:r w:rsidRPr="00891D04">
              <w:rPr>
                <w:rFonts w:ascii="Times New Roman" w:hAnsi="Times New Roman"/>
                <w:color w:val="000000"/>
                <w:sz w:val="20"/>
              </w:rPr>
              <w:t>6. Notice of option to escrow flood insurance payments and fees, 12 CFR 339.5(d)(2)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09B313B7"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360816C4" w14:textId="77777777">
            <w:pPr>
              <w:jc w:val="right"/>
              <w:rPr>
                <w:rFonts w:ascii="Times New Roman" w:hAnsi="Times New Roman"/>
                <w:color w:val="000000"/>
                <w:sz w:val="20"/>
              </w:rPr>
            </w:pPr>
            <w:r w:rsidRPr="00891D04">
              <w:rPr>
                <w:rFonts w:ascii="Times New Roman" w:hAnsi="Times New Roman"/>
                <w:color w:val="000000"/>
                <w:sz w:val="20"/>
              </w:rPr>
              <w:t>29</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6F5E3B63" w14:textId="77777777">
            <w:pPr>
              <w:jc w:val="right"/>
              <w:rPr>
                <w:rFonts w:ascii="Times New Roman" w:hAnsi="Times New Roman"/>
                <w:color w:val="000000"/>
                <w:sz w:val="20"/>
              </w:rPr>
            </w:pPr>
            <w:r w:rsidRPr="00891D04">
              <w:rPr>
                <w:rFonts w:ascii="Times New Roman" w:hAnsi="Times New Roman"/>
                <w:color w:val="000000"/>
                <w:sz w:val="20"/>
              </w:rPr>
              <w:t>17</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0D192B2C" w14:textId="77777777">
            <w:pPr>
              <w:jc w:val="right"/>
              <w:rPr>
                <w:rFonts w:ascii="Times New Roman" w:hAnsi="Times New Roman"/>
                <w:color w:val="000000"/>
                <w:sz w:val="20"/>
              </w:rPr>
            </w:pPr>
            <w:r w:rsidRPr="00891D04">
              <w:rPr>
                <w:rFonts w:ascii="Times New Roman" w:hAnsi="Times New Roman"/>
                <w:color w:val="000000"/>
                <w:sz w:val="20"/>
              </w:rPr>
              <w:t>00:05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1999E12C" w14:textId="77777777">
            <w:pPr>
              <w:jc w:val="right"/>
              <w:rPr>
                <w:rFonts w:ascii="Times New Roman" w:hAnsi="Times New Roman"/>
                <w:color w:val="000000"/>
                <w:sz w:val="20"/>
              </w:rPr>
            </w:pPr>
            <w:r w:rsidRPr="00891D04">
              <w:rPr>
                <w:rFonts w:ascii="Times New Roman" w:hAnsi="Times New Roman"/>
                <w:color w:val="000000"/>
                <w:sz w:val="20"/>
              </w:rPr>
              <w:t>41</w:t>
            </w:r>
          </w:p>
        </w:tc>
      </w:tr>
      <w:tr w14:paraId="65B179B4" w14:textId="77777777" w:rsidTr="004D713C">
        <w:tblPrEx>
          <w:tblW w:w="9710" w:type="dxa"/>
          <w:tblInd w:w="-280" w:type="dxa"/>
          <w:tblCellMar>
            <w:top w:w="15" w:type="dxa"/>
          </w:tblCellMar>
          <w:tblLook w:val="04A0"/>
        </w:tblPrEx>
        <w:trPr>
          <w:trHeight w:val="1112"/>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63B57714" w14:textId="77777777">
            <w:pPr>
              <w:rPr>
                <w:rFonts w:ascii="Times New Roman" w:hAnsi="Times New Roman"/>
                <w:color w:val="000000"/>
                <w:sz w:val="20"/>
              </w:rPr>
            </w:pPr>
            <w:r w:rsidRPr="00891D04">
              <w:rPr>
                <w:rFonts w:ascii="Times New Roman" w:hAnsi="Times New Roman"/>
                <w:color w:val="000000"/>
                <w:sz w:val="20"/>
              </w:rPr>
              <w:t>7. Notice to borrower to obtain or increase flood insurance coverage, 12 CFR 339.7(a)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43A626C3"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5829E147"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59B443D9" w14:textId="77777777">
            <w:pPr>
              <w:jc w:val="right"/>
              <w:rPr>
                <w:rFonts w:ascii="Times New Roman" w:hAnsi="Times New Roman"/>
                <w:color w:val="000000"/>
                <w:sz w:val="20"/>
              </w:rPr>
            </w:pPr>
            <w:r w:rsidRPr="00891D04">
              <w:rPr>
                <w:rFonts w:ascii="Times New Roman" w:hAnsi="Times New Roman"/>
                <w:color w:val="000000"/>
                <w:sz w:val="20"/>
              </w:rPr>
              <w:t>10</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739BBA9D" w14:textId="77777777">
            <w:pPr>
              <w:jc w:val="right"/>
              <w:rPr>
                <w:rFonts w:ascii="Times New Roman" w:hAnsi="Times New Roman"/>
                <w:color w:val="000000"/>
                <w:sz w:val="20"/>
              </w:rPr>
            </w:pPr>
            <w:r w:rsidRPr="00891D04">
              <w:rPr>
                <w:rFonts w:ascii="Times New Roman" w:hAnsi="Times New Roman"/>
                <w:color w:val="000000"/>
                <w:sz w:val="20"/>
              </w:rPr>
              <w:t>00:05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3853109F" w14:textId="77777777">
            <w:pPr>
              <w:jc w:val="right"/>
              <w:rPr>
                <w:rFonts w:ascii="Times New Roman" w:hAnsi="Times New Roman"/>
                <w:color w:val="000000"/>
                <w:sz w:val="20"/>
              </w:rPr>
            </w:pPr>
            <w:r w:rsidRPr="00891D04">
              <w:rPr>
                <w:rFonts w:ascii="Times New Roman" w:hAnsi="Times New Roman"/>
                <w:color w:val="000000"/>
                <w:sz w:val="20"/>
              </w:rPr>
              <w:t>2,354</w:t>
            </w:r>
          </w:p>
        </w:tc>
      </w:tr>
      <w:tr w14:paraId="2F12E10A" w14:textId="77777777" w:rsidTr="004D713C">
        <w:tblPrEx>
          <w:tblW w:w="9710" w:type="dxa"/>
          <w:tblInd w:w="-280" w:type="dxa"/>
          <w:tblCellMar>
            <w:top w:w="15" w:type="dxa"/>
          </w:tblCellMar>
          <w:tblLook w:val="04A0"/>
        </w:tblPrEx>
        <w:trPr>
          <w:trHeight w:val="1389"/>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6496D557" w14:textId="77777777">
            <w:pPr>
              <w:rPr>
                <w:rFonts w:ascii="Times New Roman" w:hAnsi="Times New Roman"/>
                <w:color w:val="000000"/>
                <w:sz w:val="20"/>
              </w:rPr>
            </w:pPr>
            <w:r w:rsidRPr="00891D04">
              <w:rPr>
                <w:rFonts w:ascii="Times New Roman" w:hAnsi="Times New Roman"/>
                <w:color w:val="000000"/>
                <w:sz w:val="20"/>
              </w:rPr>
              <w:t>8. Notification to terminate flood insurance purchased on behalf of a borrower, 12 CFR 339.7(b)(1)(</w:t>
            </w:r>
            <w:r w:rsidRPr="00891D04">
              <w:rPr>
                <w:rFonts w:ascii="Times New Roman" w:hAnsi="Times New Roman"/>
                <w:color w:val="000000"/>
                <w:sz w:val="20"/>
              </w:rPr>
              <w:t>i</w:t>
            </w:r>
            <w:r w:rsidRPr="00891D04">
              <w:rPr>
                <w:rFonts w:ascii="Times New Roman" w:hAnsi="Times New Roman"/>
                <w:color w:val="000000"/>
                <w:sz w:val="20"/>
              </w:rPr>
              <w:t>)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09835A7A"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0F32B511"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2759103D" w14:textId="77777777">
            <w:pPr>
              <w:jc w:val="right"/>
              <w:rPr>
                <w:rFonts w:ascii="Times New Roman" w:hAnsi="Times New Roman"/>
                <w:color w:val="000000"/>
                <w:sz w:val="20"/>
              </w:rPr>
            </w:pPr>
            <w:r w:rsidRPr="00891D04">
              <w:rPr>
                <w:rFonts w:ascii="Times New Roman" w:hAnsi="Times New Roman"/>
                <w:color w:val="000000"/>
                <w:sz w:val="20"/>
              </w:rPr>
              <w:t>1</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1ED0BD71" w14:textId="77777777">
            <w:pPr>
              <w:jc w:val="right"/>
              <w:rPr>
                <w:rFonts w:ascii="Times New Roman" w:hAnsi="Times New Roman"/>
                <w:color w:val="000000"/>
                <w:sz w:val="20"/>
              </w:rPr>
            </w:pPr>
            <w:r w:rsidRPr="00891D04">
              <w:rPr>
                <w:rFonts w:ascii="Times New Roman" w:hAnsi="Times New Roman"/>
                <w:color w:val="000000"/>
                <w:sz w:val="20"/>
              </w:rPr>
              <w:t>00:15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49006441" w14:textId="77777777">
            <w:pPr>
              <w:jc w:val="right"/>
              <w:rPr>
                <w:rFonts w:ascii="Times New Roman" w:hAnsi="Times New Roman"/>
                <w:color w:val="000000"/>
                <w:sz w:val="20"/>
              </w:rPr>
            </w:pPr>
            <w:r w:rsidRPr="00891D04">
              <w:rPr>
                <w:rFonts w:ascii="Times New Roman" w:hAnsi="Times New Roman"/>
                <w:color w:val="000000"/>
                <w:sz w:val="20"/>
              </w:rPr>
              <w:t>706</w:t>
            </w:r>
          </w:p>
        </w:tc>
      </w:tr>
      <w:tr w14:paraId="0E2793DD" w14:textId="77777777" w:rsidTr="004D713C">
        <w:tblPrEx>
          <w:tblW w:w="9710" w:type="dxa"/>
          <w:tblInd w:w="-280" w:type="dxa"/>
          <w:tblCellMar>
            <w:top w:w="15" w:type="dxa"/>
          </w:tblCellMar>
          <w:tblLook w:val="04A0"/>
        </w:tblPrEx>
        <w:trPr>
          <w:trHeight w:val="1389"/>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025004CB" w14:textId="77777777">
            <w:pPr>
              <w:rPr>
                <w:rFonts w:ascii="Times New Roman" w:hAnsi="Times New Roman"/>
                <w:color w:val="000000"/>
                <w:sz w:val="20"/>
              </w:rPr>
            </w:pPr>
            <w:r w:rsidRPr="00891D04">
              <w:rPr>
                <w:rFonts w:ascii="Times New Roman" w:hAnsi="Times New Roman"/>
                <w:color w:val="000000"/>
                <w:sz w:val="20"/>
              </w:rPr>
              <w:t>9. Notice of special flood hazards and availability of Federal disaster relief assistance, 12 CFR 339.9(a)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52D49026"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3FAAE8AF"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1AAD5B1E" w14:textId="77777777">
            <w:pPr>
              <w:jc w:val="right"/>
              <w:rPr>
                <w:rFonts w:ascii="Times New Roman" w:hAnsi="Times New Roman"/>
                <w:color w:val="000000"/>
                <w:sz w:val="20"/>
              </w:rPr>
            </w:pPr>
            <w:r w:rsidRPr="00891D04">
              <w:rPr>
                <w:rFonts w:ascii="Times New Roman" w:hAnsi="Times New Roman"/>
                <w:color w:val="000000"/>
                <w:sz w:val="20"/>
              </w:rPr>
              <w:t>37</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078D43B3" w14:textId="77777777">
            <w:pPr>
              <w:jc w:val="right"/>
              <w:rPr>
                <w:rFonts w:ascii="Times New Roman" w:hAnsi="Times New Roman"/>
                <w:color w:val="000000"/>
                <w:sz w:val="20"/>
              </w:rPr>
            </w:pPr>
            <w:r w:rsidRPr="00891D04">
              <w:rPr>
                <w:rFonts w:ascii="Times New Roman" w:hAnsi="Times New Roman"/>
                <w:color w:val="000000"/>
                <w:sz w:val="20"/>
              </w:rPr>
              <w:t>00:15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516AED89" w14:textId="77777777">
            <w:pPr>
              <w:jc w:val="right"/>
              <w:rPr>
                <w:rFonts w:ascii="Times New Roman" w:hAnsi="Times New Roman"/>
                <w:color w:val="000000"/>
                <w:sz w:val="20"/>
              </w:rPr>
            </w:pPr>
            <w:r w:rsidRPr="00891D04">
              <w:rPr>
                <w:rFonts w:ascii="Times New Roman" w:hAnsi="Times New Roman"/>
                <w:color w:val="000000"/>
                <w:sz w:val="20"/>
              </w:rPr>
              <w:t>26,131</w:t>
            </w:r>
          </w:p>
        </w:tc>
      </w:tr>
      <w:tr w14:paraId="4BA6034A" w14:textId="77777777" w:rsidTr="004D713C">
        <w:tblPrEx>
          <w:tblW w:w="9710" w:type="dxa"/>
          <w:tblInd w:w="-280" w:type="dxa"/>
          <w:tblCellMar>
            <w:top w:w="15" w:type="dxa"/>
          </w:tblCellMar>
          <w:tblLook w:val="04A0"/>
        </w:tblPrEx>
        <w:trPr>
          <w:trHeight w:val="1112"/>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1F6038C3" w14:textId="77777777">
            <w:pPr>
              <w:rPr>
                <w:rFonts w:ascii="Times New Roman" w:hAnsi="Times New Roman"/>
                <w:color w:val="000000"/>
                <w:sz w:val="20"/>
              </w:rPr>
            </w:pPr>
            <w:r w:rsidRPr="00891D04">
              <w:rPr>
                <w:rFonts w:ascii="Times New Roman" w:hAnsi="Times New Roman"/>
                <w:color w:val="000000"/>
                <w:sz w:val="20"/>
              </w:rPr>
              <w:t>10. Notice to Administrator of FEMA of the loan servicer’s identity, 12 CFR 339.10(a)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496E6283"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2AC614FB"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0C1FAF6A" w14:textId="77777777">
            <w:pPr>
              <w:jc w:val="right"/>
              <w:rPr>
                <w:rFonts w:ascii="Times New Roman" w:hAnsi="Times New Roman"/>
                <w:color w:val="000000"/>
                <w:sz w:val="20"/>
              </w:rPr>
            </w:pPr>
            <w:r w:rsidRPr="00891D04">
              <w:rPr>
                <w:rFonts w:ascii="Times New Roman" w:hAnsi="Times New Roman"/>
                <w:color w:val="000000"/>
                <w:sz w:val="20"/>
              </w:rPr>
              <w:t>19</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36991AE6" w14:textId="77777777">
            <w:pPr>
              <w:jc w:val="right"/>
              <w:rPr>
                <w:rFonts w:ascii="Times New Roman" w:hAnsi="Times New Roman"/>
                <w:color w:val="000000"/>
                <w:sz w:val="20"/>
              </w:rPr>
            </w:pPr>
            <w:r w:rsidRPr="00891D04">
              <w:rPr>
                <w:rFonts w:ascii="Times New Roman" w:hAnsi="Times New Roman"/>
                <w:color w:val="000000"/>
                <w:sz w:val="20"/>
              </w:rPr>
              <w:t>00:05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2AA9B589" w14:textId="77777777">
            <w:pPr>
              <w:jc w:val="right"/>
              <w:rPr>
                <w:rFonts w:ascii="Times New Roman" w:hAnsi="Times New Roman"/>
                <w:color w:val="000000"/>
                <w:sz w:val="20"/>
              </w:rPr>
            </w:pPr>
            <w:r w:rsidRPr="00891D04">
              <w:rPr>
                <w:rFonts w:ascii="Times New Roman" w:hAnsi="Times New Roman"/>
                <w:color w:val="000000"/>
                <w:sz w:val="20"/>
              </w:rPr>
              <w:t>4,473</w:t>
            </w:r>
          </w:p>
        </w:tc>
      </w:tr>
      <w:tr w14:paraId="0DA6CE59" w14:textId="77777777" w:rsidTr="004D713C">
        <w:tblPrEx>
          <w:tblW w:w="9710" w:type="dxa"/>
          <w:tblInd w:w="-280" w:type="dxa"/>
          <w:tblCellMar>
            <w:top w:w="15" w:type="dxa"/>
          </w:tblCellMar>
          <w:tblLook w:val="04A0"/>
        </w:tblPrEx>
        <w:trPr>
          <w:trHeight w:val="1389"/>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E3437E" w:rsidRPr="00891D04" w:rsidP="00C07BDE" w14:paraId="3AD90267" w14:textId="77777777">
            <w:pPr>
              <w:rPr>
                <w:rFonts w:ascii="Times New Roman" w:hAnsi="Times New Roman"/>
                <w:color w:val="000000"/>
                <w:sz w:val="20"/>
              </w:rPr>
            </w:pPr>
            <w:r w:rsidRPr="00891D04">
              <w:rPr>
                <w:rFonts w:ascii="Times New Roman" w:hAnsi="Times New Roman"/>
                <w:color w:val="000000"/>
                <w:sz w:val="20"/>
              </w:rPr>
              <w:t>11. Notice to the Administrator of FEMA of a change in the loan servicer, 12 CFR 339.10(b) (Mandatory)</w:t>
            </w:r>
          </w:p>
        </w:tc>
        <w:tc>
          <w:tcPr>
            <w:tcW w:w="1625" w:type="dxa"/>
            <w:tcBorders>
              <w:top w:val="nil"/>
              <w:left w:val="nil"/>
              <w:bottom w:val="single" w:sz="8" w:space="0" w:color="auto"/>
              <w:right w:val="single" w:sz="8" w:space="0" w:color="auto"/>
            </w:tcBorders>
            <w:shd w:val="clear" w:color="auto" w:fill="auto"/>
            <w:vAlign w:val="center"/>
            <w:hideMark/>
          </w:tcPr>
          <w:p w:rsidR="00E3437E" w:rsidRPr="00891D04" w:rsidP="00C07BDE" w14:paraId="323DFF10" w14:textId="77777777">
            <w:pPr>
              <w:jc w:val="center"/>
              <w:rPr>
                <w:rFonts w:ascii="Times New Roman" w:hAnsi="Times New Roman"/>
                <w:color w:val="000000"/>
                <w:sz w:val="20"/>
              </w:rPr>
            </w:pPr>
            <w:r w:rsidRPr="00891D04">
              <w:rPr>
                <w:rFonts w:ascii="Times New Roman" w:hAnsi="Times New Roman"/>
                <w:color w:val="000000"/>
                <w:sz w:val="20"/>
              </w:rPr>
              <w:t xml:space="preserve"> Disclosure</w:t>
            </w:r>
            <w:r w:rsidRPr="00891D04">
              <w:rPr>
                <w:rFonts w:ascii="Times New Roman" w:hAnsi="Times New Roman"/>
                <w:color w:val="000000"/>
                <w:sz w:val="20"/>
              </w:rPr>
              <w:br/>
              <w:t>(On Occasion)</w:t>
            </w:r>
          </w:p>
        </w:tc>
        <w:tc>
          <w:tcPr>
            <w:tcW w:w="138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0F6ED3E5" w14:textId="77777777">
            <w:pPr>
              <w:jc w:val="right"/>
              <w:rPr>
                <w:rFonts w:ascii="Times New Roman" w:hAnsi="Times New Roman"/>
                <w:color w:val="000000"/>
                <w:sz w:val="20"/>
              </w:rPr>
            </w:pPr>
            <w:r w:rsidRPr="00891D04">
              <w:rPr>
                <w:rFonts w:ascii="Times New Roman" w:hAnsi="Times New Roman"/>
                <w:color w:val="000000"/>
                <w:sz w:val="20"/>
              </w:rPr>
              <w:t>2,825</w:t>
            </w:r>
          </w:p>
        </w:tc>
        <w:tc>
          <w:tcPr>
            <w:tcW w:w="1779" w:type="dxa"/>
            <w:tcBorders>
              <w:top w:val="nil"/>
              <w:left w:val="nil"/>
              <w:bottom w:val="single" w:sz="8" w:space="0" w:color="auto"/>
              <w:right w:val="single" w:sz="8" w:space="0" w:color="auto"/>
            </w:tcBorders>
            <w:shd w:val="clear" w:color="auto" w:fill="auto"/>
            <w:noWrap/>
            <w:vAlign w:val="center"/>
            <w:hideMark/>
          </w:tcPr>
          <w:p w:rsidR="00E3437E" w:rsidRPr="00891D04" w:rsidP="00C07BDE" w14:paraId="29C3ABD2" w14:textId="77777777">
            <w:pPr>
              <w:jc w:val="right"/>
              <w:rPr>
                <w:rFonts w:ascii="Times New Roman" w:hAnsi="Times New Roman"/>
                <w:color w:val="000000"/>
                <w:sz w:val="20"/>
              </w:rPr>
            </w:pPr>
            <w:r w:rsidRPr="00891D04">
              <w:rPr>
                <w:rFonts w:ascii="Times New Roman" w:hAnsi="Times New Roman"/>
                <w:color w:val="000000"/>
                <w:sz w:val="20"/>
              </w:rPr>
              <w:t>19</w:t>
            </w:r>
          </w:p>
        </w:tc>
        <w:tc>
          <w:tcPr>
            <w:tcW w:w="1150" w:type="dxa"/>
            <w:tcBorders>
              <w:top w:val="nil"/>
              <w:left w:val="nil"/>
              <w:bottom w:val="single" w:sz="8" w:space="0" w:color="auto"/>
              <w:right w:val="nil"/>
            </w:tcBorders>
            <w:shd w:val="clear" w:color="auto" w:fill="auto"/>
            <w:vAlign w:val="center"/>
            <w:hideMark/>
          </w:tcPr>
          <w:p w:rsidR="00E3437E" w:rsidRPr="00891D04" w:rsidP="00C07BDE" w14:paraId="52A35089" w14:textId="77777777">
            <w:pPr>
              <w:jc w:val="right"/>
              <w:rPr>
                <w:rFonts w:ascii="Times New Roman" w:hAnsi="Times New Roman"/>
                <w:color w:val="000000"/>
                <w:sz w:val="20"/>
              </w:rPr>
            </w:pPr>
            <w:r w:rsidRPr="00891D04">
              <w:rPr>
                <w:rFonts w:ascii="Times New Roman" w:hAnsi="Times New Roman"/>
                <w:color w:val="000000"/>
                <w:sz w:val="20"/>
              </w:rPr>
              <w:t>00:05</w:t>
            </w:r>
          </w:p>
        </w:tc>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E3437E" w:rsidRPr="00891D04" w:rsidP="00C07BDE" w14:paraId="5E5568EA" w14:textId="77777777">
            <w:pPr>
              <w:jc w:val="right"/>
              <w:rPr>
                <w:rFonts w:ascii="Times New Roman" w:hAnsi="Times New Roman"/>
                <w:color w:val="000000"/>
                <w:sz w:val="20"/>
              </w:rPr>
            </w:pPr>
            <w:r w:rsidRPr="00891D04">
              <w:rPr>
                <w:rFonts w:ascii="Times New Roman" w:hAnsi="Times New Roman"/>
                <w:color w:val="000000"/>
                <w:sz w:val="20"/>
              </w:rPr>
              <w:t>4,473</w:t>
            </w:r>
          </w:p>
        </w:tc>
      </w:tr>
      <w:tr w14:paraId="256A3C41" w14:textId="77777777" w:rsidTr="004D713C">
        <w:tblPrEx>
          <w:tblW w:w="9710" w:type="dxa"/>
          <w:tblInd w:w="-280" w:type="dxa"/>
          <w:tblCellMar>
            <w:top w:w="15" w:type="dxa"/>
          </w:tblCellMar>
          <w:tblLook w:val="04A0"/>
        </w:tblPrEx>
        <w:trPr>
          <w:trHeight w:val="299"/>
        </w:trPr>
        <w:tc>
          <w:tcPr>
            <w:tcW w:w="8726"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3437E" w:rsidRPr="00891D04" w:rsidP="00C07BDE" w14:paraId="5346F10A" w14:textId="77777777">
            <w:pPr>
              <w:jc w:val="right"/>
              <w:rPr>
                <w:rFonts w:ascii="Times New Roman" w:hAnsi="Times New Roman"/>
                <w:b/>
                <w:bCs/>
                <w:i/>
                <w:iCs/>
                <w:color w:val="000000"/>
              </w:rPr>
            </w:pPr>
            <w:r w:rsidRPr="00891D04">
              <w:rPr>
                <w:rFonts w:ascii="Times New Roman" w:hAnsi="Times New Roman"/>
                <w:b/>
                <w:bCs/>
                <w:i/>
                <w:iCs/>
                <w:color w:val="000000"/>
              </w:rPr>
              <w:t>Total Annual Burden (Hours):</w:t>
            </w:r>
          </w:p>
        </w:tc>
        <w:tc>
          <w:tcPr>
            <w:tcW w:w="984" w:type="dxa"/>
            <w:tcBorders>
              <w:top w:val="nil"/>
              <w:left w:val="nil"/>
              <w:bottom w:val="single" w:sz="8" w:space="0" w:color="auto"/>
              <w:right w:val="single" w:sz="8" w:space="0" w:color="auto"/>
            </w:tcBorders>
            <w:shd w:val="clear" w:color="auto" w:fill="auto"/>
            <w:noWrap/>
            <w:vAlign w:val="bottom"/>
            <w:hideMark/>
          </w:tcPr>
          <w:p w:rsidR="00E3437E" w:rsidRPr="00891D04" w:rsidP="00C07BDE" w14:paraId="6399FC20" w14:textId="77777777">
            <w:pPr>
              <w:jc w:val="right"/>
              <w:rPr>
                <w:rFonts w:ascii="Times New Roman" w:hAnsi="Times New Roman"/>
                <w:b/>
                <w:bCs/>
                <w:i/>
                <w:iCs/>
                <w:color w:val="000000"/>
              </w:rPr>
            </w:pPr>
            <w:r w:rsidRPr="00891D04">
              <w:rPr>
                <w:rFonts w:ascii="Times New Roman" w:hAnsi="Times New Roman"/>
                <w:b/>
                <w:bCs/>
                <w:i/>
                <w:iCs/>
                <w:color w:val="000000"/>
              </w:rPr>
              <w:t>105,688</w:t>
            </w:r>
          </w:p>
        </w:tc>
      </w:tr>
      <w:tr w14:paraId="5F1ECE90" w14:textId="77777777" w:rsidTr="004D713C">
        <w:tblPrEx>
          <w:tblW w:w="9710" w:type="dxa"/>
          <w:tblInd w:w="-280" w:type="dxa"/>
          <w:tblCellMar>
            <w:top w:w="15" w:type="dxa"/>
          </w:tblCellMar>
          <w:tblLook w:val="04A0"/>
        </w:tblPrEx>
        <w:trPr>
          <w:trHeight w:val="251"/>
        </w:trPr>
        <w:tc>
          <w:tcPr>
            <w:tcW w:w="9710"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E3437E" w:rsidRPr="00891D04" w:rsidP="00C07BDE" w14:paraId="77966147" w14:textId="77777777">
            <w:pPr>
              <w:rPr>
                <w:rFonts w:ascii="Times New Roman" w:hAnsi="Times New Roman"/>
                <w:color w:val="000000"/>
                <w:sz w:val="18"/>
                <w:szCs w:val="18"/>
              </w:rPr>
            </w:pPr>
            <w:r w:rsidRPr="00891D04">
              <w:rPr>
                <w:rFonts w:ascii="Times New Roman" w:hAnsi="Times New Roman"/>
                <w:color w:val="000000"/>
                <w:sz w:val="18"/>
                <w:szCs w:val="18"/>
              </w:rPr>
              <w:t>Source: FDIC.</w:t>
            </w:r>
          </w:p>
        </w:tc>
      </w:tr>
    </w:tbl>
    <w:p w:rsidR="00847CB6" w:rsidP="00FA1FFF" w14:paraId="67BBCB6D" w14:textId="2E323E8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891D04" w:rsidP="00FA1FFF" w14:paraId="536982E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tbl>
      <w:tblPr>
        <w:tblW w:w="9907" w:type="dxa"/>
        <w:jc w:val="center"/>
        <w:tblLayout w:type="fixed"/>
        <w:tblCellMar>
          <w:top w:w="15" w:type="dxa"/>
        </w:tblCellMar>
        <w:tblLook w:val="04A0"/>
      </w:tblPr>
      <w:tblGrid>
        <w:gridCol w:w="1788"/>
        <w:gridCol w:w="849"/>
        <w:gridCol w:w="1043"/>
        <w:gridCol w:w="1080"/>
        <w:gridCol w:w="810"/>
        <w:gridCol w:w="900"/>
        <w:gridCol w:w="1080"/>
        <w:gridCol w:w="990"/>
        <w:gridCol w:w="1131"/>
        <w:gridCol w:w="236"/>
      </w:tblGrid>
      <w:tr w14:paraId="26811615" w14:textId="77777777" w:rsidTr="004D713C">
        <w:tblPrEx>
          <w:tblW w:w="9907" w:type="dxa"/>
          <w:jc w:val="center"/>
          <w:tblLayout w:type="fixed"/>
          <w:tblCellMar>
            <w:top w:w="15" w:type="dxa"/>
          </w:tblCellMar>
          <w:tblLook w:val="04A0"/>
        </w:tblPrEx>
        <w:trPr>
          <w:gridAfter w:val="1"/>
          <w:wAfter w:w="236" w:type="dxa"/>
          <w:trHeight w:val="360"/>
          <w:jc w:val="center"/>
        </w:trPr>
        <w:tc>
          <w:tcPr>
            <w:tcW w:w="967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D713C" w:rsidRPr="00891D04" w:rsidP="00C07BDE" w14:paraId="7DE71E44" w14:textId="75C7B290">
            <w:pPr>
              <w:jc w:val="center"/>
              <w:rPr>
                <w:rFonts w:ascii="Times New Roman" w:hAnsi="Times New Roman"/>
                <w:color w:val="000000"/>
                <w:szCs w:val="24"/>
              </w:rPr>
            </w:pPr>
            <w:r w:rsidRPr="00891D04">
              <w:rPr>
                <w:rFonts w:ascii="Times New Roman" w:hAnsi="Times New Roman"/>
                <w:color w:val="000000"/>
                <w:szCs w:val="24"/>
              </w:rPr>
              <w:t>Summary of Hourly Burden Cost Estimate (OMB No. 3064-0207)</w:t>
            </w:r>
          </w:p>
        </w:tc>
      </w:tr>
      <w:tr w14:paraId="2CFBA9D1" w14:textId="77777777" w:rsidTr="00891D04">
        <w:tblPrEx>
          <w:tblW w:w="9907" w:type="dxa"/>
          <w:jc w:val="center"/>
          <w:tblLayout w:type="fixed"/>
          <w:tblCellMar>
            <w:top w:w="15" w:type="dxa"/>
          </w:tblCellMar>
          <w:tblLook w:val="04A0"/>
        </w:tblPrEx>
        <w:trPr>
          <w:gridAfter w:val="1"/>
          <w:wAfter w:w="236" w:type="dxa"/>
          <w:trHeight w:val="600"/>
          <w:jc w:val="center"/>
        </w:trPr>
        <w:tc>
          <w:tcPr>
            <w:tcW w:w="1788"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4138F560" w14:textId="77777777">
            <w:pPr>
              <w:rPr>
                <w:rFonts w:ascii="Times New Roman" w:hAnsi="Times New Roman"/>
                <w:color w:val="000000"/>
                <w:sz w:val="20"/>
              </w:rPr>
            </w:pPr>
            <w:r w:rsidRPr="00891D04">
              <w:rPr>
                <w:rFonts w:ascii="Times New Roman" w:hAnsi="Times New Roman"/>
                <w:color w:val="000000"/>
                <w:sz w:val="20"/>
              </w:rPr>
              <w:t xml:space="preserve">Information Collection (IC) (Obligation to Respond) </w:t>
            </w:r>
          </w:p>
        </w:tc>
        <w:tc>
          <w:tcPr>
            <w:tcW w:w="849"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412A443C" w14:textId="77777777">
            <w:pPr>
              <w:jc w:val="center"/>
              <w:rPr>
                <w:rFonts w:ascii="Times New Roman" w:hAnsi="Times New Roman"/>
                <w:color w:val="000000"/>
                <w:sz w:val="20"/>
              </w:rPr>
            </w:pPr>
            <w:r w:rsidRPr="00891D04">
              <w:rPr>
                <w:rFonts w:ascii="Times New Roman" w:hAnsi="Times New Roman"/>
                <w:color w:val="000000"/>
                <w:sz w:val="20"/>
              </w:rPr>
              <w:t xml:space="preserve">Hourly Weight </w:t>
            </w:r>
            <w:r w:rsidRPr="00891D04">
              <w:rPr>
                <w:rFonts w:ascii="Times New Roman" w:hAnsi="Times New Roman"/>
                <w:color w:val="000000"/>
                <w:sz w:val="20"/>
              </w:rPr>
              <w:br/>
              <w:t>(%)</w:t>
            </w:r>
          </w:p>
        </w:tc>
        <w:tc>
          <w:tcPr>
            <w:tcW w:w="5903"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D713C" w:rsidRPr="00891D04" w:rsidP="00C07BDE" w14:paraId="0D887BE8" w14:textId="77777777">
            <w:pPr>
              <w:jc w:val="center"/>
              <w:rPr>
                <w:rFonts w:ascii="Times New Roman" w:hAnsi="Times New Roman"/>
                <w:color w:val="000000"/>
                <w:sz w:val="20"/>
              </w:rPr>
            </w:pPr>
            <w:r w:rsidRPr="00891D04">
              <w:rPr>
                <w:rFonts w:ascii="Times New Roman" w:hAnsi="Times New Roman"/>
                <w:color w:val="000000"/>
                <w:sz w:val="20"/>
              </w:rPr>
              <w:t xml:space="preserve">Percentage Shares of Hours Spent by and </w:t>
            </w:r>
            <w:r w:rsidRPr="00891D04">
              <w:rPr>
                <w:rFonts w:ascii="Times New Roman" w:hAnsi="Times New Roman"/>
                <w:color w:val="000000"/>
                <w:sz w:val="20"/>
              </w:rPr>
              <w:br/>
              <w:t xml:space="preserve">Hourly Compensation Rates for each Occupation Group </w:t>
            </w:r>
            <w:r w:rsidRPr="00891D04">
              <w:rPr>
                <w:rFonts w:ascii="Times New Roman" w:hAnsi="Times New Roman"/>
                <w:color w:val="000000"/>
                <w:sz w:val="20"/>
              </w:rPr>
              <w:br/>
              <w:t>(by Collection)</w:t>
            </w:r>
          </w:p>
        </w:tc>
        <w:tc>
          <w:tcPr>
            <w:tcW w:w="1131"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4806190C" w14:textId="77777777">
            <w:pPr>
              <w:jc w:val="center"/>
              <w:rPr>
                <w:rFonts w:ascii="Times New Roman" w:hAnsi="Times New Roman"/>
                <w:color w:val="000000"/>
                <w:sz w:val="20"/>
              </w:rPr>
            </w:pPr>
            <w:r w:rsidRPr="00891D04">
              <w:rPr>
                <w:rFonts w:ascii="Times New Roman" w:hAnsi="Times New Roman"/>
                <w:color w:val="000000"/>
                <w:sz w:val="20"/>
              </w:rPr>
              <w:t>Estimated Hourly Compensation Rate</w:t>
            </w:r>
          </w:p>
        </w:tc>
      </w:tr>
      <w:tr w14:paraId="73329C64" w14:textId="77777777" w:rsidTr="00891D04">
        <w:tblPrEx>
          <w:tblW w:w="9907" w:type="dxa"/>
          <w:jc w:val="center"/>
          <w:tblLayout w:type="fixed"/>
          <w:tblCellMar>
            <w:top w:w="15" w:type="dxa"/>
          </w:tblCellMar>
          <w:tblLook w:val="04A0"/>
        </w:tblPrEx>
        <w:trPr>
          <w:trHeight w:val="864"/>
          <w:jc w:val="center"/>
        </w:trPr>
        <w:tc>
          <w:tcPr>
            <w:tcW w:w="1788" w:type="dxa"/>
            <w:vMerge/>
            <w:tcBorders>
              <w:top w:val="nil"/>
              <w:left w:val="single" w:sz="8" w:space="0" w:color="auto"/>
              <w:bottom w:val="single" w:sz="8" w:space="0" w:color="auto"/>
              <w:right w:val="single" w:sz="8" w:space="0" w:color="auto"/>
            </w:tcBorders>
            <w:vAlign w:val="center"/>
            <w:hideMark/>
          </w:tcPr>
          <w:p w:rsidR="004D713C" w:rsidRPr="00891D04" w:rsidP="00C07BDE" w14:paraId="4DAE8334" w14:textId="77777777">
            <w:pPr>
              <w:rPr>
                <w:rFonts w:ascii="Times New Roman" w:hAnsi="Times New Roman"/>
                <w:color w:val="000000"/>
                <w:sz w:val="20"/>
              </w:rPr>
            </w:pPr>
          </w:p>
        </w:tc>
        <w:tc>
          <w:tcPr>
            <w:tcW w:w="849" w:type="dxa"/>
            <w:vMerge/>
            <w:tcBorders>
              <w:top w:val="nil"/>
              <w:left w:val="single" w:sz="8" w:space="0" w:color="auto"/>
              <w:bottom w:val="single" w:sz="8" w:space="0" w:color="auto"/>
              <w:right w:val="single" w:sz="8" w:space="0" w:color="auto"/>
            </w:tcBorders>
            <w:vAlign w:val="center"/>
            <w:hideMark/>
          </w:tcPr>
          <w:p w:rsidR="004D713C" w:rsidRPr="00891D04" w:rsidP="00C07BDE" w14:paraId="3AEC3849" w14:textId="77777777">
            <w:pPr>
              <w:rPr>
                <w:rFonts w:ascii="Times New Roman" w:hAnsi="Times New Roman"/>
                <w:color w:val="000000"/>
                <w:sz w:val="20"/>
              </w:rPr>
            </w:pPr>
          </w:p>
        </w:tc>
        <w:tc>
          <w:tcPr>
            <w:tcW w:w="5903" w:type="dxa"/>
            <w:gridSpan w:val="6"/>
            <w:vMerge/>
            <w:tcBorders>
              <w:top w:val="single" w:sz="8" w:space="0" w:color="auto"/>
              <w:left w:val="single" w:sz="8" w:space="0" w:color="auto"/>
              <w:bottom w:val="single" w:sz="8" w:space="0" w:color="auto"/>
              <w:right w:val="single" w:sz="8" w:space="0" w:color="auto"/>
            </w:tcBorders>
            <w:vAlign w:val="center"/>
            <w:hideMark/>
          </w:tcPr>
          <w:p w:rsidR="004D713C" w:rsidRPr="00891D04" w:rsidP="00C07BDE" w14:paraId="13380C8F" w14:textId="77777777">
            <w:pPr>
              <w:rPr>
                <w:rFonts w:ascii="Times New Roman" w:hAnsi="Times New Roman"/>
                <w:color w:val="000000"/>
                <w:sz w:val="20"/>
              </w:rPr>
            </w:pPr>
          </w:p>
        </w:tc>
        <w:tc>
          <w:tcPr>
            <w:tcW w:w="1131" w:type="dxa"/>
            <w:vMerge/>
            <w:tcBorders>
              <w:top w:val="nil"/>
              <w:left w:val="single" w:sz="8" w:space="0" w:color="auto"/>
              <w:bottom w:val="single" w:sz="8" w:space="0" w:color="auto"/>
              <w:right w:val="single" w:sz="8" w:space="0" w:color="auto"/>
            </w:tcBorders>
            <w:vAlign w:val="center"/>
            <w:hideMark/>
          </w:tcPr>
          <w:p w:rsidR="004D713C" w:rsidRPr="00891D04" w:rsidP="00C07BDE" w14:paraId="68467ABA" w14:textId="77777777">
            <w:pPr>
              <w:rPr>
                <w:rFonts w:ascii="Times New Roman" w:hAnsi="Times New Roman"/>
                <w:color w:val="000000"/>
                <w:sz w:val="20"/>
              </w:rPr>
            </w:pPr>
          </w:p>
        </w:tc>
        <w:tc>
          <w:tcPr>
            <w:tcW w:w="236" w:type="dxa"/>
            <w:tcBorders>
              <w:top w:val="nil"/>
              <w:left w:val="nil"/>
              <w:bottom w:val="nil"/>
              <w:right w:val="nil"/>
            </w:tcBorders>
            <w:shd w:val="clear" w:color="auto" w:fill="auto"/>
            <w:noWrap/>
            <w:vAlign w:val="bottom"/>
            <w:hideMark/>
          </w:tcPr>
          <w:p w:rsidR="004D713C" w:rsidRPr="00891D04" w:rsidP="00C07BDE" w14:paraId="72DF14EC" w14:textId="77777777">
            <w:pPr>
              <w:jc w:val="center"/>
              <w:rPr>
                <w:rFonts w:ascii="Times New Roman" w:hAnsi="Times New Roman"/>
                <w:color w:val="000000"/>
                <w:sz w:val="20"/>
              </w:rPr>
            </w:pPr>
          </w:p>
        </w:tc>
      </w:tr>
      <w:tr w14:paraId="01F4F4B7" w14:textId="77777777" w:rsidTr="00891D04">
        <w:tblPrEx>
          <w:tblW w:w="9907" w:type="dxa"/>
          <w:jc w:val="center"/>
          <w:tblLayout w:type="fixed"/>
          <w:tblCellMar>
            <w:top w:w="15" w:type="dxa"/>
          </w:tblCellMar>
          <w:tblLook w:val="04A0"/>
        </w:tblPrEx>
        <w:trPr>
          <w:trHeight w:val="360"/>
          <w:jc w:val="center"/>
        </w:trPr>
        <w:tc>
          <w:tcPr>
            <w:tcW w:w="1788" w:type="dxa"/>
            <w:vMerge/>
            <w:tcBorders>
              <w:top w:val="nil"/>
              <w:left w:val="single" w:sz="8" w:space="0" w:color="auto"/>
              <w:bottom w:val="single" w:sz="8" w:space="0" w:color="auto"/>
              <w:right w:val="single" w:sz="8" w:space="0" w:color="auto"/>
            </w:tcBorders>
            <w:vAlign w:val="center"/>
            <w:hideMark/>
          </w:tcPr>
          <w:p w:rsidR="004D713C" w:rsidRPr="00891D04" w:rsidP="00C07BDE" w14:paraId="77A68F80" w14:textId="77777777">
            <w:pPr>
              <w:rPr>
                <w:rFonts w:ascii="Times New Roman" w:hAnsi="Times New Roman"/>
                <w:color w:val="000000"/>
                <w:sz w:val="20"/>
              </w:rPr>
            </w:pPr>
          </w:p>
        </w:tc>
        <w:tc>
          <w:tcPr>
            <w:tcW w:w="849" w:type="dxa"/>
            <w:vMerge/>
            <w:tcBorders>
              <w:top w:val="nil"/>
              <w:left w:val="single" w:sz="8" w:space="0" w:color="auto"/>
              <w:bottom w:val="single" w:sz="8" w:space="0" w:color="auto"/>
              <w:right w:val="single" w:sz="8" w:space="0" w:color="auto"/>
            </w:tcBorders>
            <w:vAlign w:val="center"/>
            <w:hideMark/>
          </w:tcPr>
          <w:p w:rsidR="004D713C" w:rsidRPr="00891D04" w:rsidP="00C07BDE" w14:paraId="4BDC2659" w14:textId="77777777">
            <w:pPr>
              <w:rPr>
                <w:rFonts w:ascii="Times New Roman" w:hAnsi="Times New Roman"/>
                <w:color w:val="000000"/>
                <w:sz w:val="20"/>
              </w:rPr>
            </w:pPr>
          </w:p>
        </w:tc>
        <w:tc>
          <w:tcPr>
            <w:tcW w:w="1043"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57B8001E" w14:textId="77777777">
            <w:pPr>
              <w:jc w:val="center"/>
              <w:rPr>
                <w:rFonts w:ascii="Times New Roman" w:hAnsi="Times New Roman"/>
                <w:color w:val="000000"/>
                <w:sz w:val="20"/>
              </w:rPr>
            </w:pPr>
            <w:r w:rsidRPr="00891D04">
              <w:rPr>
                <w:rFonts w:ascii="Times New Roman" w:hAnsi="Times New Roman"/>
                <w:color w:val="000000"/>
                <w:sz w:val="20"/>
              </w:rPr>
              <w:t>Exec. &amp; Mgr.      ($149.41)</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48E96C4B" w14:textId="77777777">
            <w:pPr>
              <w:jc w:val="center"/>
              <w:rPr>
                <w:rFonts w:ascii="Times New Roman" w:hAnsi="Times New Roman"/>
                <w:color w:val="000000"/>
                <w:sz w:val="20"/>
              </w:rPr>
            </w:pPr>
            <w:r w:rsidRPr="00891D04">
              <w:rPr>
                <w:rFonts w:ascii="Times New Roman" w:hAnsi="Times New Roman"/>
                <w:color w:val="000000"/>
                <w:sz w:val="20"/>
              </w:rPr>
              <w:t>Lawyer</w:t>
            </w:r>
            <w:r w:rsidRPr="00891D04">
              <w:rPr>
                <w:rFonts w:ascii="Times New Roman" w:hAnsi="Times New Roman"/>
                <w:color w:val="000000"/>
                <w:sz w:val="20"/>
              </w:rPr>
              <w:t xml:space="preserve">   (</w:t>
            </w:r>
            <w:r w:rsidRPr="00891D04">
              <w:rPr>
                <w:rFonts w:ascii="Times New Roman" w:hAnsi="Times New Roman"/>
                <w:color w:val="000000"/>
                <w:sz w:val="20"/>
              </w:rPr>
              <w:t>$186.16)</w:t>
            </w:r>
          </w:p>
        </w:tc>
        <w:tc>
          <w:tcPr>
            <w:tcW w:w="810"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3DEC5A94" w14:textId="77777777">
            <w:pPr>
              <w:jc w:val="center"/>
              <w:rPr>
                <w:rFonts w:ascii="Times New Roman" w:hAnsi="Times New Roman"/>
                <w:color w:val="000000"/>
                <w:sz w:val="20"/>
              </w:rPr>
            </w:pPr>
            <w:r w:rsidRPr="00891D04">
              <w:rPr>
                <w:rFonts w:ascii="Times New Roman" w:hAnsi="Times New Roman"/>
                <w:color w:val="000000"/>
                <w:sz w:val="20"/>
              </w:rPr>
              <w:t>Compl</w:t>
            </w:r>
            <w:r w:rsidRPr="00891D04">
              <w:rPr>
                <w:rFonts w:ascii="Times New Roman" w:hAnsi="Times New Roman"/>
                <w:color w:val="000000"/>
                <w:sz w:val="20"/>
              </w:rPr>
              <w:t>. Ofc.   ($78.8)</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2F5BB7BC" w14:textId="77777777">
            <w:pPr>
              <w:jc w:val="center"/>
              <w:rPr>
                <w:rFonts w:ascii="Times New Roman" w:hAnsi="Times New Roman"/>
                <w:color w:val="000000"/>
                <w:sz w:val="20"/>
              </w:rPr>
            </w:pPr>
            <w:r w:rsidRPr="00891D04">
              <w:rPr>
                <w:rFonts w:ascii="Times New Roman" w:hAnsi="Times New Roman"/>
                <w:color w:val="000000"/>
                <w:sz w:val="20"/>
              </w:rPr>
              <w:t xml:space="preserve">IT </w:t>
            </w:r>
            <w:r w:rsidRPr="00891D04">
              <w:rPr>
                <w:rFonts w:ascii="Times New Roman" w:hAnsi="Times New Roman"/>
                <w:color w:val="000000"/>
                <w:sz w:val="20"/>
              </w:rPr>
              <w:t xml:space="preserve">   (</w:t>
            </w:r>
            <w:r w:rsidRPr="00891D04">
              <w:rPr>
                <w:rFonts w:ascii="Times New Roman" w:hAnsi="Times New Roman"/>
                <w:color w:val="000000"/>
                <w:sz w:val="20"/>
              </w:rPr>
              <w:t>$113.4)</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6CA46436" w14:textId="77777777">
            <w:pPr>
              <w:jc w:val="center"/>
              <w:rPr>
                <w:rFonts w:ascii="Times New Roman" w:hAnsi="Times New Roman"/>
                <w:color w:val="000000"/>
                <w:sz w:val="20"/>
              </w:rPr>
            </w:pPr>
            <w:r w:rsidRPr="00891D04">
              <w:rPr>
                <w:rFonts w:ascii="Times New Roman" w:hAnsi="Times New Roman"/>
                <w:color w:val="000000"/>
                <w:sz w:val="20"/>
              </w:rPr>
              <w:t xml:space="preserve">Fin. </w:t>
            </w:r>
            <w:r w:rsidRPr="00891D04">
              <w:rPr>
                <w:rFonts w:ascii="Times New Roman" w:hAnsi="Times New Roman"/>
                <w:color w:val="000000"/>
                <w:sz w:val="20"/>
              </w:rPr>
              <w:t>Anlst</w:t>
            </w:r>
            <w:r w:rsidRPr="00891D04">
              <w:rPr>
                <w:rFonts w:ascii="Times New Roman" w:hAnsi="Times New Roman"/>
                <w:color w:val="000000"/>
                <w:sz w:val="20"/>
              </w:rPr>
              <w:t>.    ($102.54)</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79A55F4E" w14:textId="77777777">
            <w:pPr>
              <w:jc w:val="center"/>
              <w:rPr>
                <w:rFonts w:ascii="Times New Roman" w:hAnsi="Times New Roman"/>
                <w:color w:val="000000"/>
                <w:sz w:val="20"/>
              </w:rPr>
            </w:pPr>
            <w:r w:rsidRPr="00891D04">
              <w:rPr>
                <w:rFonts w:ascii="Times New Roman" w:hAnsi="Times New Roman"/>
                <w:color w:val="000000"/>
                <w:sz w:val="20"/>
              </w:rPr>
              <w:t xml:space="preserve">Clerical </w:t>
            </w:r>
            <w:r w:rsidRPr="00891D04">
              <w:rPr>
                <w:rFonts w:ascii="Times New Roman" w:hAnsi="Times New Roman"/>
                <w:color w:val="000000"/>
                <w:sz w:val="20"/>
              </w:rPr>
              <w:t xml:space="preserve">   (</w:t>
            </w:r>
            <w:r w:rsidRPr="00891D04">
              <w:rPr>
                <w:rFonts w:ascii="Times New Roman" w:hAnsi="Times New Roman"/>
                <w:color w:val="000000"/>
                <w:sz w:val="20"/>
              </w:rPr>
              <w:t>$40.28)</w:t>
            </w:r>
          </w:p>
        </w:tc>
        <w:tc>
          <w:tcPr>
            <w:tcW w:w="1131" w:type="dxa"/>
            <w:vMerge/>
            <w:tcBorders>
              <w:top w:val="nil"/>
              <w:left w:val="single" w:sz="8" w:space="0" w:color="auto"/>
              <w:bottom w:val="single" w:sz="8" w:space="0" w:color="auto"/>
              <w:right w:val="single" w:sz="8" w:space="0" w:color="auto"/>
            </w:tcBorders>
            <w:vAlign w:val="center"/>
            <w:hideMark/>
          </w:tcPr>
          <w:p w:rsidR="004D713C" w:rsidRPr="00891D04" w:rsidP="00C07BDE" w14:paraId="58461E8F" w14:textId="77777777">
            <w:pPr>
              <w:rPr>
                <w:rFonts w:ascii="Times New Roman" w:hAnsi="Times New Roman"/>
                <w:color w:val="000000"/>
                <w:sz w:val="20"/>
              </w:rPr>
            </w:pPr>
          </w:p>
        </w:tc>
        <w:tc>
          <w:tcPr>
            <w:tcW w:w="236" w:type="dxa"/>
            <w:vAlign w:val="center"/>
            <w:hideMark/>
          </w:tcPr>
          <w:p w:rsidR="004D713C" w:rsidRPr="00891D04" w:rsidP="00C07BDE" w14:paraId="150F2B18" w14:textId="77777777">
            <w:pPr>
              <w:rPr>
                <w:rFonts w:ascii="Times New Roman" w:hAnsi="Times New Roman"/>
                <w:sz w:val="20"/>
              </w:rPr>
            </w:pPr>
          </w:p>
        </w:tc>
      </w:tr>
      <w:tr w14:paraId="64B912CD" w14:textId="77777777" w:rsidTr="00891D04">
        <w:tblPrEx>
          <w:tblW w:w="9907" w:type="dxa"/>
          <w:jc w:val="center"/>
          <w:tblLayout w:type="fixed"/>
          <w:tblCellMar>
            <w:top w:w="15" w:type="dxa"/>
          </w:tblCellMar>
          <w:tblLook w:val="04A0"/>
        </w:tblPrEx>
        <w:trPr>
          <w:trHeight w:val="1140"/>
          <w:jc w:val="center"/>
        </w:trPr>
        <w:tc>
          <w:tcPr>
            <w:tcW w:w="1788" w:type="dxa"/>
            <w:vMerge/>
            <w:tcBorders>
              <w:top w:val="nil"/>
              <w:left w:val="single" w:sz="8" w:space="0" w:color="auto"/>
              <w:bottom w:val="single" w:sz="8" w:space="0" w:color="auto"/>
              <w:right w:val="single" w:sz="8" w:space="0" w:color="auto"/>
            </w:tcBorders>
            <w:vAlign w:val="center"/>
            <w:hideMark/>
          </w:tcPr>
          <w:p w:rsidR="004D713C" w:rsidRPr="00891D04" w:rsidP="00C07BDE" w14:paraId="2D5CBE6A" w14:textId="77777777">
            <w:pPr>
              <w:rPr>
                <w:rFonts w:ascii="Times New Roman" w:hAnsi="Times New Roman"/>
                <w:color w:val="000000"/>
                <w:sz w:val="20"/>
              </w:rPr>
            </w:pPr>
          </w:p>
        </w:tc>
        <w:tc>
          <w:tcPr>
            <w:tcW w:w="849" w:type="dxa"/>
            <w:vMerge/>
            <w:tcBorders>
              <w:top w:val="nil"/>
              <w:left w:val="single" w:sz="8" w:space="0" w:color="auto"/>
              <w:bottom w:val="single" w:sz="8" w:space="0" w:color="auto"/>
              <w:right w:val="single" w:sz="8" w:space="0" w:color="auto"/>
            </w:tcBorders>
            <w:vAlign w:val="center"/>
            <w:hideMark/>
          </w:tcPr>
          <w:p w:rsidR="004D713C" w:rsidRPr="00891D04" w:rsidP="00C07BDE" w14:paraId="5A01A93F" w14:textId="77777777">
            <w:pPr>
              <w:rPr>
                <w:rFonts w:ascii="Times New Roman" w:hAnsi="Times New Roman"/>
                <w:color w:val="000000"/>
                <w:sz w:val="20"/>
              </w:rPr>
            </w:pPr>
          </w:p>
        </w:tc>
        <w:tc>
          <w:tcPr>
            <w:tcW w:w="1043" w:type="dxa"/>
            <w:vMerge/>
            <w:tcBorders>
              <w:top w:val="nil"/>
              <w:left w:val="single" w:sz="8" w:space="0" w:color="auto"/>
              <w:bottom w:val="single" w:sz="8" w:space="0" w:color="auto"/>
              <w:right w:val="single" w:sz="8" w:space="0" w:color="auto"/>
            </w:tcBorders>
            <w:vAlign w:val="center"/>
            <w:hideMark/>
          </w:tcPr>
          <w:p w:rsidR="004D713C" w:rsidRPr="00891D04" w:rsidP="00C07BDE" w14:paraId="0CC6C456" w14:textId="77777777">
            <w:pPr>
              <w:rPr>
                <w:rFonts w:ascii="Times New Roman" w:hAnsi="Times New Roman"/>
                <w:color w:val="000000"/>
                <w:sz w:val="20"/>
              </w:rPr>
            </w:pPr>
          </w:p>
        </w:tc>
        <w:tc>
          <w:tcPr>
            <w:tcW w:w="1080" w:type="dxa"/>
            <w:vMerge/>
            <w:tcBorders>
              <w:top w:val="nil"/>
              <w:left w:val="single" w:sz="8" w:space="0" w:color="auto"/>
              <w:bottom w:val="single" w:sz="8" w:space="0" w:color="auto"/>
              <w:right w:val="single" w:sz="8" w:space="0" w:color="auto"/>
            </w:tcBorders>
            <w:vAlign w:val="center"/>
            <w:hideMark/>
          </w:tcPr>
          <w:p w:rsidR="004D713C" w:rsidRPr="00891D04" w:rsidP="00C07BDE" w14:paraId="4066C0AE" w14:textId="77777777">
            <w:pPr>
              <w:rPr>
                <w:rFonts w:ascii="Times New Roman" w:hAnsi="Times New Roman"/>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4D713C" w:rsidRPr="00891D04" w:rsidP="00C07BDE" w14:paraId="40FA97D8"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4D713C" w:rsidRPr="00891D04" w:rsidP="00C07BDE" w14:paraId="68A021FE" w14:textId="77777777">
            <w:pPr>
              <w:rPr>
                <w:rFonts w:ascii="Times New Roman" w:hAnsi="Times New Roman"/>
                <w:color w:val="000000"/>
                <w:sz w:val="20"/>
              </w:rPr>
            </w:pPr>
          </w:p>
        </w:tc>
        <w:tc>
          <w:tcPr>
            <w:tcW w:w="1080" w:type="dxa"/>
            <w:vMerge/>
            <w:tcBorders>
              <w:top w:val="nil"/>
              <w:left w:val="single" w:sz="8" w:space="0" w:color="auto"/>
              <w:bottom w:val="single" w:sz="8" w:space="0" w:color="auto"/>
              <w:right w:val="single" w:sz="8" w:space="0" w:color="auto"/>
            </w:tcBorders>
            <w:vAlign w:val="center"/>
            <w:hideMark/>
          </w:tcPr>
          <w:p w:rsidR="004D713C" w:rsidRPr="00891D04" w:rsidP="00C07BDE" w14:paraId="6244F605" w14:textId="77777777">
            <w:pPr>
              <w:rPr>
                <w:rFonts w:ascii="Times New Roman" w:hAnsi="Times New Roman"/>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4D713C" w:rsidRPr="00891D04" w:rsidP="00C07BDE" w14:paraId="0A9F1B7A" w14:textId="77777777">
            <w:pPr>
              <w:rPr>
                <w:rFonts w:ascii="Times New Roman" w:hAnsi="Times New Roman"/>
                <w:color w:val="000000"/>
                <w:sz w:val="20"/>
              </w:rPr>
            </w:pPr>
          </w:p>
        </w:tc>
        <w:tc>
          <w:tcPr>
            <w:tcW w:w="1131" w:type="dxa"/>
            <w:vMerge/>
            <w:tcBorders>
              <w:top w:val="nil"/>
              <w:left w:val="single" w:sz="8" w:space="0" w:color="auto"/>
              <w:bottom w:val="single" w:sz="8" w:space="0" w:color="auto"/>
              <w:right w:val="single" w:sz="8" w:space="0" w:color="auto"/>
            </w:tcBorders>
            <w:vAlign w:val="center"/>
            <w:hideMark/>
          </w:tcPr>
          <w:p w:rsidR="004D713C" w:rsidRPr="00891D04" w:rsidP="00C07BDE" w14:paraId="14EDBBE3" w14:textId="77777777">
            <w:pPr>
              <w:rPr>
                <w:rFonts w:ascii="Times New Roman" w:hAnsi="Times New Roman"/>
                <w:color w:val="000000"/>
                <w:sz w:val="20"/>
              </w:rPr>
            </w:pPr>
          </w:p>
        </w:tc>
        <w:tc>
          <w:tcPr>
            <w:tcW w:w="236" w:type="dxa"/>
            <w:tcBorders>
              <w:top w:val="nil"/>
              <w:left w:val="nil"/>
              <w:bottom w:val="nil"/>
              <w:right w:val="nil"/>
            </w:tcBorders>
            <w:shd w:val="clear" w:color="auto" w:fill="auto"/>
            <w:noWrap/>
            <w:vAlign w:val="bottom"/>
            <w:hideMark/>
          </w:tcPr>
          <w:p w:rsidR="004D713C" w:rsidRPr="00891D04" w:rsidP="00C07BDE" w14:paraId="7F4DBF83" w14:textId="77777777">
            <w:pPr>
              <w:jc w:val="center"/>
              <w:rPr>
                <w:rFonts w:ascii="Times New Roman" w:hAnsi="Times New Roman"/>
                <w:color w:val="000000"/>
                <w:sz w:val="20"/>
              </w:rPr>
            </w:pPr>
          </w:p>
        </w:tc>
      </w:tr>
      <w:tr w14:paraId="14ACBE09" w14:textId="77777777" w:rsidTr="00891D04">
        <w:tblPrEx>
          <w:tblW w:w="9907" w:type="dxa"/>
          <w:jc w:val="center"/>
          <w:tblLayout w:type="fixed"/>
          <w:tblCellMar>
            <w:top w:w="15" w:type="dxa"/>
          </w:tblCellMar>
          <w:tblLook w:val="04A0"/>
        </w:tblPrEx>
        <w:trPr>
          <w:trHeight w:val="840"/>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2B133963" w14:textId="77777777">
            <w:pPr>
              <w:rPr>
                <w:rFonts w:ascii="Times New Roman" w:hAnsi="Times New Roman"/>
                <w:color w:val="000000"/>
                <w:sz w:val="20"/>
              </w:rPr>
            </w:pPr>
            <w:r w:rsidRPr="00891D04">
              <w:rPr>
                <w:rFonts w:ascii="Times New Roman" w:hAnsi="Times New Roman"/>
                <w:color w:val="000000"/>
                <w:sz w:val="20"/>
              </w:rPr>
              <w:t>1. Private flood insurance, 12 CFR 339.3(c)(3)(iv) and 3(c)(4)(iv)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1B8D488F" w14:textId="77777777">
            <w:pPr>
              <w:jc w:val="center"/>
              <w:rPr>
                <w:rFonts w:ascii="Times New Roman" w:hAnsi="Times New Roman"/>
                <w:color w:val="000000"/>
                <w:sz w:val="20"/>
              </w:rPr>
            </w:pPr>
            <w:r w:rsidRPr="00891D04">
              <w:rPr>
                <w:rFonts w:ascii="Times New Roman" w:hAnsi="Times New Roman"/>
                <w:color w:val="000000"/>
                <w:sz w:val="20"/>
              </w:rPr>
              <w:t>2.67</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16255544"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3144D7D6"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3919072E" w14:textId="77777777">
            <w:pPr>
              <w:jc w:val="center"/>
              <w:rPr>
                <w:rFonts w:ascii="Times New Roman" w:hAnsi="Times New Roman"/>
                <w:color w:val="000000"/>
                <w:sz w:val="20"/>
              </w:rPr>
            </w:pPr>
            <w:r w:rsidRPr="00891D04">
              <w:rPr>
                <w:rFonts w:ascii="Times New Roman" w:hAnsi="Times New Roman"/>
                <w:color w:val="000000"/>
                <w:sz w:val="20"/>
              </w:rPr>
              <w:t>80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103552C5"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68B507FC"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04004623" w14:textId="77777777">
            <w:pPr>
              <w:jc w:val="center"/>
              <w:rPr>
                <w:rFonts w:ascii="Times New Roman" w:hAnsi="Times New Roman"/>
                <w:color w:val="000000"/>
                <w:sz w:val="20"/>
              </w:rPr>
            </w:pPr>
            <w:r w:rsidRPr="00891D04">
              <w:rPr>
                <w:rFonts w:ascii="Times New Roman" w:hAnsi="Times New Roman"/>
                <w:color w:val="000000"/>
                <w:sz w:val="20"/>
              </w:rPr>
              <w:t>20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198F5C4C"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$71.10 </w:t>
            </w:r>
          </w:p>
        </w:tc>
        <w:tc>
          <w:tcPr>
            <w:tcW w:w="236" w:type="dxa"/>
            <w:vAlign w:val="center"/>
            <w:hideMark/>
          </w:tcPr>
          <w:p w:rsidR="004D713C" w:rsidRPr="00891D04" w:rsidP="00C07BDE" w14:paraId="2BD49033" w14:textId="77777777">
            <w:pPr>
              <w:rPr>
                <w:rFonts w:ascii="Times New Roman" w:hAnsi="Times New Roman"/>
                <w:sz w:val="20"/>
              </w:rPr>
            </w:pPr>
          </w:p>
        </w:tc>
      </w:tr>
      <w:tr w14:paraId="5AA2C1ED" w14:textId="77777777" w:rsidTr="00891D04">
        <w:tblPrEx>
          <w:tblW w:w="9907" w:type="dxa"/>
          <w:jc w:val="center"/>
          <w:tblLayout w:type="fixed"/>
          <w:tblCellMar>
            <w:top w:w="15" w:type="dxa"/>
          </w:tblCellMar>
          <w:tblLook w:val="04A0"/>
        </w:tblPrEx>
        <w:trPr>
          <w:trHeight w:val="840"/>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42031A03" w14:textId="77777777">
            <w:pPr>
              <w:rPr>
                <w:rFonts w:ascii="Times New Roman" w:hAnsi="Times New Roman"/>
                <w:color w:val="000000"/>
                <w:sz w:val="20"/>
              </w:rPr>
            </w:pPr>
            <w:r w:rsidRPr="00891D04">
              <w:rPr>
                <w:rFonts w:ascii="Times New Roman" w:hAnsi="Times New Roman"/>
                <w:color w:val="000000"/>
                <w:sz w:val="20"/>
              </w:rPr>
              <w:t>2. Standard flood hazard determination form, 12 CFR 339.6(b)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0C09CE84" w14:textId="77777777">
            <w:pPr>
              <w:jc w:val="center"/>
              <w:rPr>
                <w:rFonts w:ascii="Times New Roman" w:hAnsi="Times New Roman"/>
                <w:color w:val="000000"/>
                <w:sz w:val="20"/>
              </w:rPr>
            </w:pPr>
            <w:r w:rsidRPr="00891D04">
              <w:rPr>
                <w:rFonts w:ascii="Times New Roman" w:hAnsi="Times New Roman"/>
                <w:color w:val="000000"/>
                <w:sz w:val="20"/>
              </w:rPr>
              <w:t>32.97</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6F44673B"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2E393500"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63B3107F"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678CCD9F"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1FB945C6"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21B67DD2"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7105A04D"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7FE3A0F5" w14:textId="77777777">
            <w:pPr>
              <w:rPr>
                <w:rFonts w:ascii="Times New Roman" w:hAnsi="Times New Roman"/>
                <w:sz w:val="20"/>
              </w:rPr>
            </w:pPr>
          </w:p>
        </w:tc>
      </w:tr>
      <w:tr w14:paraId="29EE1CFE" w14:textId="77777777" w:rsidTr="00891D04">
        <w:tblPrEx>
          <w:tblW w:w="9907" w:type="dxa"/>
          <w:jc w:val="center"/>
          <w:tblLayout w:type="fixed"/>
          <w:tblCellMar>
            <w:top w:w="15" w:type="dxa"/>
          </w:tblCellMar>
          <w:tblLook w:val="04A0"/>
        </w:tblPrEx>
        <w:trPr>
          <w:trHeight w:val="1404"/>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30F682BB" w14:textId="77777777">
            <w:pPr>
              <w:rPr>
                <w:rFonts w:ascii="Times New Roman" w:hAnsi="Times New Roman"/>
                <w:color w:val="000000"/>
                <w:sz w:val="20"/>
              </w:rPr>
            </w:pPr>
            <w:r w:rsidRPr="00891D04">
              <w:rPr>
                <w:rFonts w:ascii="Times New Roman" w:hAnsi="Times New Roman"/>
                <w:color w:val="000000"/>
                <w:sz w:val="20"/>
              </w:rPr>
              <w:t xml:space="preserve">3. Record of receipt of notice of special flood hazards and availability of Federal disaster relief assistance, 12 </w:t>
            </w:r>
            <w:r w:rsidRPr="00891D04">
              <w:rPr>
                <w:rFonts w:ascii="Times New Roman" w:hAnsi="Times New Roman"/>
                <w:color w:val="000000"/>
                <w:sz w:val="20"/>
              </w:rPr>
              <w:t>CFR 339.9(d)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7C020D68" w14:textId="77777777">
            <w:pPr>
              <w:jc w:val="center"/>
              <w:rPr>
                <w:rFonts w:ascii="Times New Roman" w:hAnsi="Times New Roman"/>
                <w:color w:val="000000"/>
                <w:sz w:val="20"/>
              </w:rPr>
            </w:pPr>
            <w:r w:rsidRPr="00891D04">
              <w:rPr>
                <w:rFonts w:ascii="Times New Roman" w:hAnsi="Times New Roman"/>
                <w:color w:val="000000"/>
                <w:sz w:val="20"/>
              </w:rPr>
              <w:t>24.72</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75C947F0"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45D9B773"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4C5F9AF5"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0AC87D3A"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4878D3D7"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5E63BAAB"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32FD0A9D"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308CF05E" w14:textId="77777777">
            <w:pPr>
              <w:rPr>
                <w:rFonts w:ascii="Times New Roman" w:hAnsi="Times New Roman"/>
                <w:sz w:val="20"/>
              </w:rPr>
            </w:pPr>
          </w:p>
        </w:tc>
      </w:tr>
      <w:tr w14:paraId="6290B539" w14:textId="77777777" w:rsidTr="00891D04">
        <w:tblPrEx>
          <w:tblW w:w="9907" w:type="dxa"/>
          <w:jc w:val="center"/>
          <w:tblLayout w:type="fixed"/>
          <w:tblCellMar>
            <w:top w:w="15" w:type="dxa"/>
          </w:tblCellMar>
          <w:tblLook w:val="04A0"/>
        </w:tblPrEx>
        <w:trPr>
          <w:trHeight w:val="1116"/>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2EDB03C2" w14:textId="77777777">
            <w:pPr>
              <w:rPr>
                <w:rFonts w:ascii="Times New Roman" w:hAnsi="Times New Roman"/>
                <w:color w:val="000000"/>
                <w:sz w:val="20"/>
              </w:rPr>
            </w:pPr>
            <w:r w:rsidRPr="00891D04">
              <w:rPr>
                <w:rFonts w:ascii="Times New Roman" w:hAnsi="Times New Roman"/>
                <w:color w:val="000000"/>
                <w:sz w:val="20"/>
              </w:rPr>
              <w:t>4. Notice of requirement to escrow flood insurance payments and fees, 12 CFR 339.5(b)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232BE7E5" w14:textId="77777777">
            <w:pPr>
              <w:jc w:val="center"/>
              <w:rPr>
                <w:rFonts w:ascii="Times New Roman" w:hAnsi="Times New Roman"/>
                <w:color w:val="000000"/>
                <w:sz w:val="20"/>
              </w:rPr>
            </w:pPr>
            <w:r w:rsidRPr="00891D04">
              <w:rPr>
                <w:rFonts w:ascii="Times New Roman" w:hAnsi="Times New Roman"/>
                <w:color w:val="000000"/>
                <w:sz w:val="20"/>
              </w:rPr>
              <w:t>2.41</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666BFB6E"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5799907D"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3948E9F8"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3D44B1C6"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0F64DB3D"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2B3B72A0"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22A93832"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50DDA85C" w14:textId="77777777">
            <w:pPr>
              <w:rPr>
                <w:rFonts w:ascii="Times New Roman" w:hAnsi="Times New Roman"/>
                <w:sz w:val="20"/>
              </w:rPr>
            </w:pPr>
          </w:p>
        </w:tc>
      </w:tr>
      <w:tr w14:paraId="7617DC3A" w14:textId="77777777" w:rsidTr="00891D04">
        <w:tblPrEx>
          <w:tblW w:w="9907" w:type="dxa"/>
          <w:jc w:val="center"/>
          <w:tblLayout w:type="fixed"/>
          <w:tblCellMar>
            <w:top w:w="15" w:type="dxa"/>
          </w:tblCellMar>
          <w:tblLook w:val="04A0"/>
        </w:tblPrEx>
        <w:trPr>
          <w:trHeight w:val="564"/>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648549CF" w14:textId="77777777">
            <w:pPr>
              <w:rPr>
                <w:rFonts w:ascii="Times New Roman" w:hAnsi="Times New Roman"/>
                <w:color w:val="000000"/>
                <w:sz w:val="20"/>
              </w:rPr>
            </w:pPr>
            <w:r w:rsidRPr="00891D04">
              <w:rPr>
                <w:rFonts w:ascii="Times New Roman" w:hAnsi="Times New Roman"/>
                <w:color w:val="000000"/>
                <w:sz w:val="20"/>
              </w:rPr>
              <w:t>5. Change in status, 12 CFR 339.5(c)(2)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686D7EEF" w14:textId="77777777">
            <w:pPr>
              <w:jc w:val="center"/>
              <w:rPr>
                <w:rFonts w:ascii="Times New Roman" w:hAnsi="Times New Roman"/>
                <w:color w:val="000000"/>
                <w:sz w:val="20"/>
              </w:rPr>
            </w:pPr>
            <w:r w:rsidRPr="00891D04">
              <w:rPr>
                <w:rFonts w:ascii="Times New Roman" w:hAnsi="Times New Roman"/>
                <w:color w:val="000000"/>
                <w:sz w:val="20"/>
              </w:rPr>
              <w:t>1.10</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4BAB96E0"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10C7F97A"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62BA7896" w14:textId="77777777">
            <w:pPr>
              <w:jc w:val="center"/>
              <w:rPr>
                <w:rFonts w:ascii="Times New Roman" w:hAnsi="Times New Roman"/>
                <w:color w:val="000000"/>
                <w:sz w:val="20"/>
              </w:rPr>
            </w:pPr>
            <w:r w:rsidRPr="00891D04">
              <w:rPr>
                <w:rFonts w:ascii="Times New Roman" w:hAnsi="Times New Roman"/>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26B10655"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704CBDAC"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4B1564AC" w14:textId="77777777">
            <w:pPr>
              <w:jc w:val="center"/>
              <w:rPr>
                <w:rFonts w:ascii="Times New Roman" w:hAnsi="Times New Roman"/>
                <w:color w:val="000000"/>
                <w:sz w:val="20"/>
              </w:rPr>
            </w:pPr>
            <w:r w:rsidRPr="00891D04">
              <w:rPr>
                <w:rFonts w:ascii="Times New Roman" w:hAnsi="Times New Roman"/>
                <w:color w:val="000000"/>
                <w:sz w:val="20"/>
              </w:rPr>
              <w:t>50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0EC3F7A0"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$59.54 </w:t>
            </w:r>
          </w:p>
        </w:tc>
        <w:tc>
          <w:tcPr>
            <w:tcW w:w="236" w:type="dxa"/>
            <w:vAlign w:val="center"/>
            <w:hideMark/>
          </w:tcPr>
          <w:p w:rsidR="004D713C" w:rsidRPr="00891D04" w:rsidP="00C07BDE" w14:paraId="0EFF6023" w14:textId="77777777">
            <w:pPr>
              <w:rPr>
                <w:rFonts w:ascii="Times New Roman" w:hAnsi="Times New Roman"/>
                <w:sz w:val="20"/>
              </w:rPr>
            </w:pPr>
          </w:p>
        </w:tc>
      </w:tr>
      <w:tr w14:paraId="206ED7F3" w14:textId="77777777" w:rsidTr="00891D04">
        <w:tblPrEx>
          <w:tblW w:w="9907" w:type="dxa"/>
          <w:jc w:val="center"/>
          <w:tblLayout w:type="fixed"/>
          <w:tblCellMar>
            <w:top w:w="15" w:type="dxa"/>
          </w:tblCellMar>
          <w:tblLook w:val="04A0"/>
        </w:tblPrEx>
        <w:trPr>
          <w:trHeight w:val="1116"/>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0C68A225" w14:textId="77777777">
            <w:pPr>
              <w:rPr>
                <w:rFonts w:ascii="Times New Roman" w:hAnsi="Times New Roman"/>
                <w:color w:val="000000"/>
                <w:sz w:val="20"/>
              </w:rPr>
            </w:pPr>
            <w:r w:rsidRPr="00891D04">
              <w:rPr>
                <w:rFonts w:ascii="Times New Roman" w:hAnsi="Times New Roman"/>
                <w:color w:val="000000"/>
                <w:sz w:val="20"/>
              </w:rPr>
              <w:t>6. Notice of option to escrow flood insurance payments and fees, 12 CFR 339.5(d)(2)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25212FB3" w14:textId="77777777">
            <w:pPr>
              <w:jc w:val="center"/>
              <w:rPr>
                <w:rFonts w:ascii="Times New Roman" w:hAnsi="Times New Roman"/>
                <w:color w:val="000000"/>
                <w:sz w:val="20"/>
              </w:rPr>
            </w:pPr>
            <w:r w:rsidRPr="00891D04">
              <w:rPr>
                <w:rFonts w:ascii="Times New Roman" w:hAnsi="Times New Roman"/>
                <w:color w:val="000000"/>
                <w:sz w:val="20"/>
              </w:rPr>
              <w:t>0.04</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052F99BB"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0E295B27"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639A8DD4"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3B3FF3BB"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1F760E20"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0F089627"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5775164E"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41E59AC2" w14:textId="77777777">
            <w:pPr>
              <w:rPr>
                <w:rFonts w:ascii="Times New Roman" w:hAnsi="Times New Roman"/>
                <w:sz w:val="20"/>
              </w:rPr>
            </w:pPr>
          </w:p>
        </w:tc>
      </w:tr>
      <w:tr w14:paraId="528D2C88" w14:textId="77777777" w:rsidTr="00891D04">
        <w:tblPrEx>
          <w:tblW w:w="9907" w:type="dxa"/>
          <w:jc w:val="center"/>
          <w:tblLayout w:type="fixed"/>
          <w:tblCellMar>
            <w:top w:w="15" w:type="dxa"/>
          </w:tblCellMar>
          <w:tblLook w:val="04A0"/>
        </w:tblPrEx>
        <w:trPr>
          <w:trHeight w:val="1116"/>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575F4617" w14:textId="77777777">
            <w:pPr>
              <w:rPr>
                <w:rFonts w:ascii="Times New Roman" w:hAnsi="Times New Roman"/>
                <w:color w:val="000000"/>
                <w:sz w:val="20"/>
              </w:rPr>
            </w:pPr>
            <w:r w:rsidRPr="00891D04">
              <w:rPr>
                <w:rFonts w:ascii="Times New Roman" w:hAnsi="Times New Roman"/>
                <w:color w:val="000000"/>
                <w:sz w:val="20"/>
              </w:rPr>
              <w:t>7. Notice to borrower to obtain or increase flood insurance coverage, 12 CFR 339.7(a)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7D10BEC3" w14:textId="77777777">
            <w:pPr>
              <w:jc w:val="center"/>
              <w:rPr>
                <w:rFonts w:ascii="Times New Roman" w:hAnsi="Times New Roman"/>
                <w:color w:val="000000"/>
                <w:sz w:val="20"/>
              </w:rPr>
            </w:pPr>
            <w:r w:rsidRPr="00891D04">
              <w:rPr>
                <w:rFonts w:ascii="Times New Roman" w:hAnsi="Times New Roman"/>
                <w:color w:val="000000"/>
                <w:sz w:val="20"/>
              </w:rPr>
              <w:t>2.23</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067339F3"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0D82E38A"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715FEAD0"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07C02AEC"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723B4EDD"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684D57CA"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7A2DC29C"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488FDFE5" w14:textId="77777777">
            <w:pPr>
              <w:rPr>
                <w:rFonts w:ascii="Times New Roman" w:hAnsi="Times New Roman"/>
                <w:sz w:val="20"/>
              </w:rPr>
            </w:pPr>
          </w:p>
        </w:tc>
      </w:tr>
      <w:tr w14:paraId="05AD382A" w14:textId="77777777" w:rsidTr="00891D04">
        <w:tblPrEx>
          <w:tblW w:w="9907" w:type="dxa"/>
          <w:jc w:val="center"/>
          <w:tblLayout w:type="fixed"/>
          <w:tblCellMar>
            <w:top w:w="15" w:type="dxa"/>
          </w:tblCellMar>
          <w:tblLook w:val="04A0"/>
        </w:tblPrEx>
        <w:trPr>
          <w:trHeight w:val="1392"/>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0CF23D2B" w14:textId="77777777">
            <w:pPr>
              <w:rPr>
                <w:rFonts w:ascii="Times New Roman" w:hAnsi="Times New Roman"/>
                <w:color w:val="000000"/>
                <w:sz w:val="20"/>
              </w:rPr>
            </w:pPr>
            <w:r w:rsidRPr="00891D04">
              <w:rPr>
                <w:rFonts w:ascii="Times New Roman" w:hAnsi="Times New Roman"/>
                <w:color w:val="000000"/>
                <w:sz w:val="20"/>
              </w:rPr>
              <w:t>8. Notification to terminate flood insurance purchased on behalf of a borrower, 12 CFR 339.7(b)(1)(</w:t>
            </w:r>
            <w:r w:rsidRPr="00891D04">
              <w:rPr>
                <w:rFonts w:ascii="Times New Roman" w:hAnsi="Times New Roman"/>
                <w:color w:val="000000"/>
                <w:sz w:val="20"/>
              </w:rPr>
              <w:t>i</w:t>
            </w:r>
            <w:r w:rsidRPr="00891D04">
              <w:rPr>
                <w:rFonts w:ascii="Times New Roman" w:hAnsi="Times New Roman"/>
                <w:color w:val="000000"/>
                <w:sz w:val="20"/>
              </w:rPr>
              <w:t>)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44215358" w14:textId="77777777">
            <w:pPr>
              <w:jc w:val="center"/>
              <w:rPr>
                <w:rFonts w:ascii="Times New Roman" w:hAnsi="Times New Roman"/>
                <w:color w:val="000000"/>
                <w:sz w:val="20"/>
              </w:rPr>
            </w:pPr>
            <w:r w:rsidRPr="00891D04">
              <w:rPr>
                <w:rFonts w:ascii="Times New Roman" w:hAnsi="Times New Roman"/>
                <w:color w:val="000000"/>
                <w:sz w:val="20"/>
              </w:rPr>
              <w:t>0.67</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4D871DB3"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538B47D9"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21503849" w14:textId="77777777">
            <w:pPr>
              <w:jc w:val="center"/>
              <w:rPr>
                <w:rFonts w:ascii="Times New Roman" w:hAnsi="Times New Roman"/>
                <w:color w:val="000000"/>
                <w:sz w:val="20"/>
              </w:rPr>
            </w:pPr>
            <w:r w:rsidRPr="00891D04">
              <w:rPr>
                <w:rFonts w:ascii="Times New Roman" w:hAnsi="Times New Roman"/>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1D8C03F1"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1F7FE99A"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09318381" w14:textId="77777777">
            <w:pPr>
              <w:jc w:val="center"/>
              <w:rPr>
                <w:rFonts w:ascii="Times New Roman" w:hAnsi="Times New Roman"/>
                <w:color w:val="000000"/>
                <w:sz w:val="20"/>
              </w:rPr>
            </w:pPr>
            <w:r w:rsidRPr="00891D04">
              <w:rPr>
                <w:rFonts w:ascii="Times New Roman" w:hAnsi="Times New Roman"/>
                <w:color w:val="000000"/>
                <w:sz w:val="20"/>
              </w:rPr>
              <w:t>50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4B8E9513"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$59.54 </w:t>
            </w:r>
          </w:p>
        </w:tc>
        <w:tc>
          <w:tcPr>
            <w:tcW w:w="236" w:type="dxa"/>
            <w:vAlign w:val="center"/>
            <w:hideMark/>
          </w:tcPr>
          <w:p w:rsidR="004D713C" w:rsidRPr="00891D04" w:rsidP="00C07BDE" w14:paraId="37F9CFFF" w14:textId="77777777">
            <w:pPr>
              <w:rPr>
                <w:rFonts w:ascii="Times New Roman" w:hAnsi="Times New Roman"/>
                <w:sz w:val="20"/>
              </w:rPr>
            </w:pPr>
          </w:p>
        </w:tc>
      </w:tr>
      <w:tr w14:paraId="26B4F9D1" w14:textId="77777777" w:rsidTr="00891D04">
        <w:tblPrEx>
          <w:tblW w:w="9907" w:type="dxa"/>
          <w:jc w:val="center"/>
          <w:tblLayout w:type="fixed"/>
          <w:tblCellMar>
            <w:top w:w="15" w:type="dxa"/>
          </w:tblCellMar>
          <w:tblLook w:val="04A0"/>
        </w:tblPrEx>
        <w:trPr>
          <w:trHeight w:val="1392"/>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61506485" w14:textId="77777777">
            <w:pPr>
              <w:rPr>
                <w:rFonts w:ascii="Times New Roman" w:hAnsi="Times New Roman"/>
                <w:color w:val="000000"/>
                <w:sz w:val="20"/>
              </w:rPr>
            </w:pPr>
            <w:r w:rsidRPr="00891D04">
              <w:rPr>
                <w:rFonts w:ascii="Times New Roman" w:hAnsi="Times New Roman"/>
                <w:color w:val="000000"/>
                <w:sz w:val="20"/>
              </w:rPr>
              <w:t>9. Notice of special flood hazards and availability of Federal disaster relief assistance, 12 CFR 339.9(a)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642D242C" w14:textId="77777777">
            <w:pPr>
              <w:jc w:val="center"/>
              <w:rPr>
                <w:rFonts w:ascii="Times New Roman" w:hAnsi="Times New Roman"/>
                <w:color w:val="000000"/>
                <w:sz w:val="20"/>
              </w:rPr>
            </w:pPr>
            <w:r w:rsidRPr="00891D04">
              <w:rPr>
                <w:rFonts w:ascii="Times New Roman" w:hAnsi="Times New Roman"/>
                <w:color w:val="000000"/>
                <w:sz w:val="20"/>
              </w:rPr>
              <w:t>24.72</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32D18E5E"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2C4F7295"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7EEB8E13"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2DB667D7"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49BA5D2D"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0D95586C"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356DEF3E"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557FE65A" w14:textId="77777777">
            <w:pPr>
              <w:rPr>
                <w:rFonts w:ascii="Times New Roman" w:hAnsi="Times New Roman"/>
                <w:sz w:val="20"/>
              </w:rPr>
            </w:pPr>
          </w:p>
        </w:tc>
      </w:tr>
      <w:tr w14:paraId="40006392" w14:textId="77777777" w:rsidTr="00891D04">
        <w:tblPrEx>
          <w:tblW w:w="9907" w:type="dxa"/>
          <w:jc w:val="center"/>
          <w:tblLayout w:type="fixed"/>
          <w:tblCellMar>
            <w:top w:w="15" w:type="dxa"/>
          </w:tblCellMar>
          <w:tblLook w:val="04A0"/>
        </w:tblPrEx>
        <w:trPr>
          <w:trHeight w:val="1116"/>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07E088B7" w14:textId="77777777">
            <w:pPr>
              <w:rPr>
                <w:rFonts w:ascii="Times New Roman" w:hAnsi="Times New Roman"/>
                <w:color w:val="000000"/>
                <w:sz w:val="20"/>
              </w:rPr>
            </w:pPr>
            <w:r w:rsidRPr="00891D04">
              <w:rPr>
                <w:rFonts w:ascii="Times New Roman" w:hAnsi="Times New Roman"/>
                <w:color w:val="000000"/>
                <w:sz w:val="20"/>
              </w:rPr>
              <w:t>10. Notice to Administrator of FEMA of the loan servicer’s identity, 12 CFR 339.10(a)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4BE99A63" w14:textId="77777777">
            <w:pPr>
              <w:jc w:val="center"/>
              <w:rPr>
                <w:rFonts w:ascii="Times New Roman" w:hAnsi="Times New Roman"/>
                <w:color w:val="000000"/>
                <w:sz w:val="20"/>
              </w:rPr>
            </w:pPr>
            <w:r w:rsidRPr="00891D04">
              <w:rPr>
                <w:rFonts w:ascii="Times New Roman" w:hAnsi="Times New Roman"/>
                <w:color w:val="000000"/>
                <w:sz w:val="20"/>
              </w:rPr>
              <w:t>4.23</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5BD4B3DC"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0A04EE58"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7A385D43"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5F5ED57D"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543109E1"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7854E509"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6BE3847A"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125E200E" w14:textId="77777777">
            <w:pPr>
              <w:rPr>
                <w:rFonts w:ascii="Times New Roman" w:hAnsi="Times New Roman"/>
                <w:sz w:val="20"/>
              </w:rPr>
            </w:pPr>
          </w:p>
        </w:tc>
      </w:tr>
      <w:tr w14:paraId="15141618" w14:textId="77777777" w:rsidTr="00891D04">
        <w:tblPrEx>
          <w:tblW w:w="9907" w:type="dxa"/>
          <w:jc w:val="center"/>
          <w:tblLayout w:type="fixed"/>
          <w:tblCellMar>
            <w:top w:w="15" w:type="dxa"/>
          </w:tblCellMar>
          <w:tblLook w:val="04A0"/>
        </w:tblPrEx>
        <w:trPr>
          <w:trHeight w:val="1392"/>
          <w:jc w:val="center"/>
        </w:trPr>
        <w:tc>
          <w:tcPr>
            <w:tcW w:w="1788" w:type="dxa"/>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69F8B180" w14:textId="77777777">
            <w:pPr>
              <w:rPr>
                <w:rFonts w:ascii="Times New Roman" w:hAnsi="Times New Roman"/>
                <w:color w:val="000000"/>
                <w:sz w:val="20"/>
              </w:rPr>
            </w:pPr>
            <w:r w:rsidRPr="00891D04">
              <w:rPr>
                <w:rFonts w:ascii="Times New Roman" w:hAnsi="Times New Roman"/>
                <w:color w:val="000000"/>
                <w:sz w:val="20"/>
              </w:rPr>
              <w:t>11. Notice to the Administrator of FEMA of a change in the loan servicer, 12 CFR 339.10(b) (Mandatory)</w:t>
            </w:r>
          </w:p>
        </w:tc>
        <w:tc>
          <w:tcPr>
            <w:tcW w:w="849" w:type="dxa"/>
            <w:tcBorders>
              <w:top w:val="nil"/>
              <w:left w:val="nil"/>
              <w:bottom w:val="single" w:sz="8" w:space="0" w:color="auto"/>
              <w:right w:val="single" w:sz="8" w:space="0" w:color="auto"/>
            </w:tcBorders>
            <w:shd w:val="clear" w:color="auto" w:fill="auto"/>
            <w:vAlign w:val="center"/>
            <w:hideMark/>
          </w:tcPr>
          <w:p w:rsidR="004D713C" w:rsidRPr="00891D04" w:rsidP="00C07BDE" w14:paraId="04BE7710" w14:textId="77777777">
            <w:pPr>
              <w:jc w:val="center"/>
              <w:rPr>
                <w:rFonts w:ascii="Times New Roman" w:hAnsi="Times New Roman"/>
                <w:color w:val="000000"/>
                <w:sz w:val="20"/>
              </w:rPr>
            </w:pPr>
            <w:r w:rsidRPr="00891D04">
              <w:rPr>
                <w:rFonts w:ascii="Times New Roman" w:hAnsi="Times New Roman"/>
                <w:color w:val="000000"/>
                <w:sz w:val="20"/>
              </w:rPr>
              <w:t>4.23</w:t>
            </w:r>
          </w:p>
        </w:tc>
        <w:tc>
          <w:tcPr>
            <w:tcW w:w="1043" w:type="dxa"/>
            <w:tcBorders>
              <w:top w:val="nil"/>
              <w:left w:val="nil"/>
              <w:bottom w:val="single" w:sz="8" w:space="0" w:color="auto"/>
              <w:right w:val="single" w:sz="8" w:space="0" w:color="auto"/>
            </w:tcBorders>
            <w:shd w:val="clear" w:color="auto" w:fill="auto"/>
            <w:vAlign w:val="center"/>
            <w:hideMark/>
          </w:tcPr>
          <w:p w:rsidR="004D713C" w:rsidRPr="00891D04" w:rsidP="00C07BDE" w14:paraId="19EA4215"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4AF5EBFB" w14:textId="77777777">
            <w:pPr>
              <w:jc w:val="center"/>
              <w:rPr>
                <w:rFonts w:ascii="Times New Roman" w:hAnsi="Times New Roman"/>
                <w:color w:val="000000"/>
                <w:sz w:val="20"/>
              </w:rPr>
            </w:pPr>
            <w:r w:rsidRPr="00891D04">
              <w:rPr>
                <w:rFonts w:ascii="Times New Roman" w:hAnsi="Times New Roman"/>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4D713C" w:rsidRPr="00891D04" w:rsidP="00C07BDE" w14:paraId="576AD98B"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4D713C" w:rsidRPr="00891D04" w:rsidP="00C07BDE" w14:paraId="39288FC6" w14:textId="77777777">
            <w:pPr>
              <w:jc w:val="center"/>
              <w:rPr>
                <w:rFonts w:ascii="Times New Roman" w:hAnsi="Times New Roman"/>
                <w:color w:val="000000"/>
                <w:sz w:val="20"/>
              </w:rPr>
            </w:pPr>
            <w:r w:rsidRPr="00891D04">
              <w:rPr>
                <w:rFonts w:ascii="Times New Roman" w:hAnsi="Times New Roman"/>
                <w:color w:val="000000"/>
                <w:sz w:val="20"/>
              </w:rPr>
              <w:t>0</w:t>
            </w:r>
          </w:p>
        </w:tc>
        <w:tc>
          <w:tcPr>
            <w:tcW w:w="1080" w:type="dxa"/>
            <w:tcBorders>
              <w:top w:val="nil"/>
              <w:left w:val="nil"/>
              <w:bottom w:val="single" w:sz="8" w:space="0" w:color="auto"/>
              <w:right w:val="single" w:sz="8" w:space="0" w:color="auto"/>
            </w:tcBorders>
            <w:shd w:val="clear" w:color="auto" w:fill="auto"/>
            <w:vAlign w:val="center"/>
            <w:hideMark/>
          </w:tcPr>
          <w:p w:rsidR="004D713C" w:rsidRPr="00891D04" w:rsidP="00C07BDE" w14:paraId="64207672" w14:textId="77777777">
            <w:pPr>
              <w:jc w:val="center"/>
              <w:rPr>
                <w:rFonts w:ascii="Times New Roman" w:hAnsi="Times New Roman"/>
                <w:color w:val="000000"/>
                <w:sz w:val="20"/>
              </w:rPr>
            </w:pPr>
            <w:r w:rsidRPr="00891D04">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4D713C" w:rsidRPr="00891D04" w:rsidP="00C07BDE" w14:paraId="4C6CD33F" w14:textId="77777777">
            <w:pPr>
              <w:jc w:val="center"/>
              <w:rPr>
                <w:rFonts w:ascii="Times New Roman" w:hAnsi="Times New Roman"/>
                <w:color w:val="000000"/>
                <w:sz w:val="20"/>
              </w:rPr>
            </w:pPr>
            <w:r w:rsidRPr="00891D04">
              <w:rPr>
                <w:rFonts w:ascii="Times New Roman" w:hAnsi="Times New Roman"/>
                <w:color w:val="000000"/>
                <w:sz w:val="20"/>
              </w:rPr>
              <w:t>100</w:t>
            </w:r>
          </w:p>
        </w:tc>
        <w:tc>
          <w:tcPr>
            <w:tcW w:w="1131" w:type="dxa"/>
            <w:tcBorders>
              <w:top w:val="nil"/>
              <w:left w:val="nil"/>
              <w:bottom w:val="single" w:sz="8" w:space="0" w:color="auto"/>
              <w:right w:val="single" w:sz="8" w:space="0" w:color="auto"/>
            </w:tcBorders>
            <w:shd w:val="clear" w:color="auto" w:fill="auto"/>
            <w:vAlign w:val="center"/>
            <w:hideMark/>
          </w:tcPr>
          <w:p w:rsidR="004D713C" w:rsidRPr="00891D04" w:rsidP="00C07BDE" w14:paraId="05F0FDF1" w14:textId="77777777">
            <w:pPr>
              <w:ind w:firstLine="200" w:firstLineChars="100"/>
              <w:jc w:val="right"/>
              <w:rPr>
                <w:rFonts w:ascii="Times New Roman" w:hAnsi="Times New Roman"/>
                <w:color w:val="000000"/>
                <w:sz w:val="20"/>
              </w:rPr>
            </w:pPr>
            <w:r w:rsidRPr="00891D04">
              <w:rPr>
                <w:rFonts w:ascii="Times New Roman" w:hAnsi="Times New Roman"/>
                <w:color w:val="000000"/>
                <w:sz w:val="20"/>
              </w:rPr>
              <w:t xml:space="preserve">$40.28 </w:t>
            </w:r>
          </w:p>
        </w:tc>
        <w:tc>
          <w:tcPr>
            <w:tcW w:w="236" w:type="dxa"/>
            <w:vAlign w:val="center"/>
            <w:hideMark/>
          </w:tcPr>
          <w:p w:rsidR="004D713C" w:rsidRPr="00891D04" w:rsidP="00C07BDE" w14:paraId="094AC92A" w14:textId="77777777">
            <w:pPr>
              <w:rPr>
                <w:rFonts w:ascii="Times New Roman" w:hAnsi="Times New Roman"/>
                <w:sz w:val="20"/>
              </w:rPr>
            </w:pPr>
          </w:p>
        </w:tc>
      </w:tr>
      <w:tr w14:paraId="309A1C96" w14:textId="77777777" w:rsidTr="00891D04">
        <w:tblPrEx>
          <w:tblW w:w="9907" w:type="dxa"/>
          <w:jc w:val="center"/>
          <w:tblLayout w:type="fixed"/>
          <w:tblCellMar>
            <w:top w:w="15" w:type="dxa"/>
          </w:tblCellMar>
          <w:tblLook w:val="04A0"/>
        </w:tblPrEx>
        <w:trPr>
          <w:trHeight w:val="300"/>
          <w:jc w:val="center"/>
        </w:trPr>
        <w:tc>
          <w:tcPr>
            <w:tcW w:w="8540" w:type="dxa"/>
            <w:gridSpan w:val="8"/>
            <w:tcBorders>
              <w:top w:val="single" w:sz="8" w:space="0" w:color="auto"/>
              <w:left w:val="single" w:sz="8" w:space="0" w:color="auto"/>
              <w:bottom w:val="nil"/>
              <w:right w:val="single" w:sz="8" w:space="0" w:color="auto"/>
            </w:tcBorders>
            <w:shd w:val="clear" w:color="auto" w:fill="auto"/>
            <w:vAlign w:val="center"/>
            <w:hideMark/>
          </w:tcPr>
          <w:p w:rsidR="004D713C" w:rsidRPr="00891D04" w:rsidP="00C07BDE" w14:paraId="3EA05549" w14:textId="77777777">
            <w:pPr>
              <w:jc w:val="right"/>
              <w:rPr>
                <w:rFonts w:ascii="Times New Roman" w:hAnsi="Times New Roman"/>
                <w:b/>
                <w:bCs/>
                <w:i/>
                <w:iCs/>
                <w:color w:val="000000"/>
              </w:rPr>
            </w:pPr>
            <w:r w:rsidRPr="00891D04">
              <w:rPr>
                <w:rFonts w:ascii="Times New Roman" w:hAnsi="Times New Roman"/>
                <w:b/>
                <w:bCs/>
                <w:i/>
                <w:iCs/>
                <w:color w:val="000000"/>
              </w:rPr>
              <w:t>Weighted Average Hourly Compensation Rate:</w:t>
            </w:r>
          </w:p>
        </w:tc>
        <w:tc>
          <w:tcPr>
            <w:tcW w:w="1131" w:type="dxa"/>
            <w:tcBorders>
              <w:top w:val="nil"/>
              <w:left w:val="nil"/>
              <w:bottom w:val="nil"/>
              <w:right w:val="single" w:sz="8" w:space="0" w:color="auto"/>
            </w:tcBorders>
            <w:shd w:val="clear" w:color="auto" w:fill="auto"/>
            <w:vAlign w:val="center"/>
            <w:hideMark/>
          </w:tcPr>
          <w:p w:rsidR="004D713C" w:rsidRPr="00891D04" w:rsidP="00C07BDE" w14:paraId="27F49EB3" w14:textId="77777777">
            <w:pPr>
              <w:ind w:firstLine="240" w:firstLineChars="100"/>
              <w:jc w:val="right"/>
              <w:rPr>
                <w:rFonts w:ascii="Times New Roman" w:hAnsi="Times New Roman"/>
                <w:b/>
                <w:bCs/>
                <w:i/>
                <w:iCs/>
                <w:color w:val="000000"/>
              </w:rPr>
            </w:pPr>
            <w:r w:rsidRPr="00891D04">
              <w:rPr>
                <w:rFonts w:ascii="Times New Roman" w:hAnsi="Times New Roman"/>
                <w:b/>
                <w:bCs/>
                <w:i/>
                <w:iCs/>
                <w:color w:val="000000"/>
              </w:rPr>
              <w:t xml:space="preserve">$41.44 </w:t>
            </w:r>
          </w:p>
        </w:tc>
        <w:tc>
          <w:tcPr>
            <w:tcW w:w="236" w:type="dxa"/>
            <w:vAlign w:val="center"/>
            <w:hideMark/>
          </w:tcPr>
          <w:p w:rsidR="004D713C" w:rsidRPr="00891D04" w:rsidP="00C07BDE" w14:paraId="6E78EFF3" w14:textId="77777777">
            <w:pPr>
              <w:rPr>
                <w:rFonts w:ascii="Times New Roman" w:hAnsi="Times New Roman"/>
                <w:sz w:val="20"/>
              </w:rPr>
            </w:pPr>
          </w:p>
        </w:tc>
      </w:tr>
      <w:tr w14:paraId="11BBFDFE" w14:textId="77777777" w:rsidTr="004D713C">
        <w:tblPrEx>
          <w:tblW w:w="9907" w:type="dxa"/>
          <w:jc w:val="center"/>
          <w:tblLayout w:type="fixed"/>
          <w:tblCellMar>
            <w:top w:w="15" w:type="dxa"/>
          </w:tblCellMar>
          <w:tblLook w:val="04A0"/>
        </w:tblPrEx>
        <w:trPr>
          <w:trHeight w:val="252"/>
          <w:jc w:val="center"/>
        </w:trPr>
        <w:tc>
          <w:tcPr>
            <w:tcW w:w="9671"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4D713C" w:rsidRPr="00891D04" w:rsidP="00C07BDE" w14:paraId="23478222" w14:textId="77777777">
            <w:pPr>
              <w:rPr>
                <w:rFonts w:ascii="Times New Roman" w:hAnsi="Times New Roman"/>
                <w:color w:val="000000"/>
                <w:sz w:val="18"/>
                <w:szCs w:val="18"/>
              </w:rPr>
            </w:pPr>
            <w:r w:rsidRPr="00891D04">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891D04">
              <w:rPr>
                <w:rFonts w:ascii="Times New Roman" w:hAnsi="Times New Roman"/>
                <w:color w:val="000000"/>
                <w:sz w:val="18"/>
                <w:szCs w:val="18"/>
              </w:rPr>
              <w:t>Mgr</w:t>
            </w:r>
            <w:r w:rsidRPr="00891D04">
              <w:rPr>
                <w:rFonts w:ascii="Times New Roman" w:hAnsi="Times New Roman"/>
                <w:color w:val="000000"/>
                <w:sz w:val="18"/>
                <w:szCs w:val="18"/>
              </w:rPr>
              <w:t xml:space="preserve"> = 11-0000 Management Occupations; Lawyer = 23-0000 Legal Occupations; </w:t>
            </w:r>
            <w:r w:rsidRPr="00891D04">
              <w:rPr>
                <w:rFonts w:ascii="Times New Roman" w:hAnsi="Times New Roman"/>
                <w:color w:val="000000"/>
                <w:sz w:val="18"/>
                <w:szCs w:val="18"/>
              </w:rPr>
              <w:t>Compl</w:t>
            </w:r>
            <w:r w:rsidRPr="00891D04">
              <w:rPr>
                <w:rFonts w:ascii="Times New Roman" w:hAnsi="Times New Roman"/>
                <w:color w:val="000000"/>
                <w:sz w:val="18"/>
                <w:szCs w:val="18"/>
              </w:rPr>
              <w:t xml:space="preserve">. Ofc. = 13-1040 Compliance Officers; IT = 15-0000 Computer and Mathematical Occupations; Fin. </w:t>
            </w:r>
            <w:r w:rsidRPr="00891D04">
              <w:rPr>
                <w:rFonts w:ascii="Times New Roman" w:hAnsi="Times New Roman"/>
                <w:color w:val="000000"/>
                <w:sz w:val="18"/>
                <w:szCs w:val="18"/>
              </w:rPr>
              <w:t>Anlst</w:t>
            </w:r>
            <w:r w:rsidRPr="00891D04">
              <w:rPr>
                <w:rFonts w:ascii="Times New Roman" w:hAnsi="Times New Roman"/>
                <w:color w:val="000000"/>
                <w:sz w:val="18"/>
                <w:szCs w:val="18"/>
              </w:rPr>
              <w:t xml:space="preserve">. = 13-2051 Financial and Investment Analysts; Clerical = 43-0000 Office and Administrative Support Occupations. </w:t>
            </w:r>
          </w:p>
        </w:tc>
        <w:tc>
          <w:tcPr>
            <w:tcW w:w="236" w:type="dxa"/>
            <w:vAlign w:val="center"/>
            <w:hideMark/>
          </w:tcPr>
          <w:p w:rsidR="004D713C" w:rsidRPr="00891D04" w:rsidP="00C07BDE" w14:paraId="09580B73" w14:textId="77777777">
            <w:pPr>
              <w:rPr>
                <w:rFonts w:ascii="Times New Roman" w:hAnsi="Times New Roman"/>
                <w:sz w:val="20"/>
              </w:rPr>
            </w:pPr>
          </w:p>
        </w:tc>
      </w:tr>
      <w:tr w14:paraId="21287587" w14:textId="77777777" w:rsidTr="004D713C">
        <w:tblPrEx>
          <w:tblW w:w="9907" w:type="dxa"/>
          <w:jc w:val="center"/>
          <w:tblLayout w:type="fixed"/>
          <w:tblCellMar>
            <w:top w:w="15" w:type="dxa"/>
          </w:tblCellMar>
          <w:tblLook w:val="04A0"/>
        </w:tblPrEx>
        <w:trPr>
          <w:trHeight w:val="288"/>
          <w:jc w:val="center"/>
        </w:trPr>
        <w:tc>
          <w:tcPr>
            <w:tcW w:w="9671" w:type="dxa"/>
            <w:gridSpan w:val="9"/>
            <w:vMerge/>
            <w:tcBorders>
              <w:top w:val="single" w:sz="8" w:space="0" w:color="auto"/>
              <w:left w:val="single" w:sz="8" w:space="0" w:color="auto"/>
              <w:bottom w:val="nil"/>
              <w:right w:val="single" w:sz="8" w:space="0" w:color="000000"/>
            </w:tcBorders>
            <w:vAlign w:val="center"/>
            <w:hideMark/>
          </w:tcPr>
          <w:p w:rsidR="004D713C" w:rsidRPr="00891D04" w:rsidP="00C07BDE" w14:paraId="740BAA20"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7E8A77F2" w14:textId="77777777">
            <w:pPr>
              <w:rPr>
                <w:rFonts w:ascii="Times New Roman" w:hAnsi="Times New Roman"/>
                <w:color w:val="000000"/>
                <w:sz w:val="18"/>
                <w:szCs w:val="18"/>
              </w:rPr>
            </w:pPr>
          </w:p>
        </w:tc>
      </w:tr>
      <w:tr w14:paraId="151F7720" w14:textId="77777777" w:rsidTr="004D713C">
        <w:tblPrEx>
          <w:tblW w:w="9907" w:type="dxa"/>
          <w:jc w:val="center"/>
          <w:tblLayout w:type="fixed"/>
          <w:tblCellMar>
            <w:top w:w="15" w:type="dxa"/>
          </w:tblCellMar>
          <w:tblLook w:val="04A0"/>
        </w:tblPrEx>
        <w:trPr>
          <w:trHeight w:val="288"/>
          <w:jc w:val="center"/>
        </w:trPr>
        <w:tc>
          <w:tcPr>
            <w:tcW w:w="9671" w:type="dxa"/>
            <w:gridSpan w:val="9"/>
            <w:vMerge/>
            <w:tcBorders>
              <w:top w:val="single" w:sz="8" w:space="0" w:color="auto"/>
              <w:left w:val="single" w:sz="8" w:space="0" w:color="auto"/>
              <w:bottom w:val="nil"/>
              <w:right w:val="single" w:sz="8" w:space="0" w:color="000000"/>
            </w:tcBorders>
            <w:vAlign w:val="center"/>
            <w:hideMark/>
          </w:tcPr>
          <w:p w:rsidR="004D713C" w:rsidRPr="00891D04" w:rsidP="00C07BDE" w14:paraId="28318433"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0EA96F4C" w14:textId="77777777">
            <w:pPr>
              <w:rPr>
                <w:rFonts w:ascii="Times New Roman" w:hAnsi="Times New Roman"/>
                <w:sz w:val="20"/>
              </w:rPr>
            </w:pPr>
          </w:p>
        </w:tc>
      </w:tr>
      <w:tr w14:paraId="00AC0164" w14:textId="77777777" w:rsidTr="004D713C">
        <w:tblPrEx>
          <w:tblW w:w="9907" w:type="dxa"/>
          <w:jc w:val="center"/>
          <w:tblLayout w:type="fixed"/>
          <w:tblCellMar>
            <w:top w:w="15" w:type="dxa"/>
          </w:tblCellMar>
          <w:tblLook w:val="04A0"/>
        </w:tblPrEx>
        <w:trPr>
          <w:trHeight w:val="312"/>
          <w:jc w:val="center"/>
        </w:trPr>
        <w:tc>
          <w:tcPr>
            <w:tcW w:w="9671" w:type="dxa"/>
            <w:gridSpan w:val="9"/>
            <w:vMerge/>
            <w:tcBorders>
              <w:top w:val="single" w:sz="8" w:space="0" w:color="auto"/>
              <w:left w:val="single" w:sz="8" w:space="0" w:color="auto"/>
              <w:bottom w:val="nil"/>
              <w:right w:val="single" w:sz="8" w:space="0" w:color="000000"/>
            </w:tcBorders>
            <w:vAlign w:val="center"/>
            <w:hideMark/>
          </w:tcPr>
          <w:p w:rsidR="004D713C" w:rsidRPr="00891D04" w:rsidP="00C07BDE" w14:paraId="7329C929"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25170F20" w14:textId="77777777">
            <w:pPr>
              <w:rPr>
                <w:rFonts w:ascii="Times New Roman" w:hAnsi="Times New Roman"/>
                <w:sz w:val="20"/>
              </w:rPr>
            </w:pPr>
          </w:p>
        </w:tc>
      </w:tr>
      <w:tr w14:paraId="12EB3AF0" w14:textId="77777777" w:rsidTr="004D713C">
        <w:tblPrEx>
          <w:tblW w:w="9907" w:type="dxa"/>
          <w:jc w:val="center"/>
          <w:tblLayout w:type="fixed"/>
          <w:tblCellMar>
            <w:top w:w="15" w:type="dxa"/>
          </w:tblCellMar>
          <w:tblLook w:val="04A0"/>
        </w:tblPrEx>
        <w:trPr>
          <w:trHeight w:val="348"/>
          <w:jc w:val="center"/>
        </w:trPr>
        <w:tc>
          <w:tcPr>
            <w:tcW w:w="9671"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4D713C" w:rsidRPr="00891D04" w:rsidP="00C07BDE" w14:paraId="61BE06BC" w14:textId="77777777">
            <w:pPr>
              <w:rPr>
                <w:rFonts w:ascii="Times New Roman" w:hAnsi="Times New Roman"/>
                <w:color w:val="000000"/>
                <w:sz w:val="18"/>
                <w:szCs w:val="18"/>
              </w:rPr>
            </w:pPr>
            <w:r w:rsidRPr="00891D04">
              <w:rPr>
                <w:rFonts w:ascii="Times New Roman" w:hAnsi="Times New Roman"/>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36" w:type="dxa"/>
            <w:vAlign w:val="center"/>
            <w:hideMark/>
          </w:tcPr>
          <w:p w:rsidR="004D713C" w:rsidRPr="00891D04" w:rsidP="00C07BDE" w14:paraId="521536FC" w14:textId="77777777">
            <w:pPr>
              <w:rPr>
                <w:rFonts w:ascii="Times New Roman" w:hAnsi="Times New Roman"/>
                <w:sz w:val="20"/>
              </w:rPr>
            </w:pPr>
          </w:p>
        </w:tc>
      </w:tr>
      <w:tr w14:paraId="7DF9DB50" w14:textId="77777777" w:rsidTr="004D713C">
        <w:tblPrEx>
          <w:tblW w:w="9907" w:type="dxa"/>
          <w:jc w:val="center"/>
          <w:tblLayout w:type="fixed"/>
          <w:tblCellMar>
            <w:top w:w="15" w:type="dxa"/>
          </w:tblCellMar>
          <w:tblLook w:val="04A0"/>
        </w:tblPrEx>
        <w:trPr>
          <w:trHeight w:val="288"/>
          <w:jc w:val="center"/>
        </w:trPr>
        <w:tc>
          <w:tcPr>
            <w:tcW w:w="9671" w:type="dxa"/>
            <w:gridSpan w:val="9"/>
            <w:vMerge/>
            <w:tcBorders>
              <w:top w:val="nil"/>
              <w:left w:val="single" w:sz="8" w:space="0" w:color="auto"/>
              <w:bottom w:val="single" w:sz="8" w:space="0" w:color="auto"/>
              <w:right w:val="single" w:sz="8" w:space="0" w:color="auto"/>
            </w:tcBorders>
            <w:vAlign w:val="center"/>
            <w:hideMark/>
          </w:tcPr>
          <w:p w:rsidR="004D713C" w:rsidRPr="00891D04" w:rsidP="00C07BDE" w14:paraId="6540D769"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0394C944" w14:textId="77777777">
            <w:pPr>
              <w:rPr>
                <w:rFonts w:ascii="Times New Roman" w:hAnsi="Times New Roman"/>
                <w:color w:val="000000"/>
                <w:sz w:val="18"/>
                <w:szCs w:val="18"/>
              </w:rPr>
            </w:pPr>
          </w:p>
        </w:tc>
      </w:tr>
      <w:tr w14:paraId="0101A3F0" w14:textId="77777777" w:rsidTr="004D713C">
        <w:tblPrEx>
          <w:tblW w:w="9907" w:type="dxa"/>
          <w:jc w:val="center"/>
          <w:tblLayout w:type="fixed"/>
          <w:tblCellMar>
            <w:top w:w="15" w:type="dxa"/>
          </w:tblCellMar>
          <w:tblLook w:val="04A0"/>
        </w:tblPrEx>
        <w:trPr>
          <w:trHeight w:val="288"/>
          <w:jc w:val="center"/>
        </w:trPr>
        <w:tc>
          <w:tcPr>
            <w:tcW w:w="9671" w:type="dxa"/>
            <w:gridSpan w:val="9"/>
            <w:vMerge/>
            <w:tcBorders>
              <w:top w:val="nil"/>
              <w:left w:val="single" w:sz="8" w:space="0" w:color="auto"/>
              <w:bottom w:val="single" w:sz="8" w:space="0" w:color="auto"/>
              <w:right w:val="single" w:sz="8" w:space="0" w:color="auto"/>
            </w:tcBorders>
            <w:vAlign w:val="center"/>
            <w:hideMark/>
          </w:tcPr>
          <w:p w:rsidR="004D713C" w:rsidRPr="00891D04" w:rsidP="00C07BDE" w14:paraId="755F934E"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6EA3124A" w14:textId="77777777">
            <w:pPr>
              <w:rPr>
                <w:rFonts w:ascii="Times New Roman" w:hAnsi="Times New Roman"/>
                <w:sz w:val="20"/>
              </w:rPr>
            </w:pPr>
          </w:p>
        </w:tc>
      </w:tr>
      <w:tr w14:paraId="59CAEE17" w14:textId="77777777" w:rsidTr="004D713C">
        <w:tblPrEx>
          <w:tblW w:w="9907" w:type="dxa"/>
          <w:jc w:val="center"/>
          <w:tblLayout w:type="fixed"/>
          <w:tblCellMar>
            <w:top w:w="15" w:type="dxa"/>
          </w:tblCellMar>
          <w:tblLook w:val="04A0"/>
        </w:tblPrEx>
        <w:trPr>
          <w:trHeight w:val="300"/>
          <w:jc w:val="center"/>
        </w:trPr>
        <w:tc>
          <w:tcPr>
            <w:tcW w:w="9671" w:type="dxa"/>
            <w:gridSpan w:val="9"/>
            <w:vMerge/>
            <w:tcBorders>
              <w:top w:val="nil"/>
              <w:left w:val="single" w:sz="8" w:space="0" w:color="auto"/>
              <w:bottom w:val="single" w:sz="8" w:space="0" w:color="auto"/>
              <w:right w:val="single" w:sz="8" w:space="0" w:color="auto"/>
            </w:tcBorders>
            <w:vAlign w:val="center"/>
            <w:hideMark/>
          </w:tcPr>
          <w:p w:rsidR="004D713C" w:rsidRPr="00891D04" w:rsidP="00C07BDE" w14:paraId="36FAD5D3" w14:textId="77777777">
            <w:pPr>
              <w:rPr>
                <w:rFonts w:ascii="Times New Roman" w:hAnsi="Times New Roman"/>
                <w:color w:val="000000"/>
                <w:sz w:val="18"/>
                <w:szCs w:val="18"/>
              </w:rPr>
            </w:pPr>
          </w:p>
        </w:tc>
        <w:tc>
          <w:tcPr>
            <w:tcW w:w="236" w:type="dxa"/>
            <w:tcBorders>
              <w:top w:val="nil"/>
              <w:left w:val="nil"/>
              <w:bottom w:val="nil"/>
              <w:right w:val="nil"/>
            </w:tcBorders>
            <w:shd w:val="clear" w:color="auto" w:fill="auto"/>
            <w:noWrap/>
            <w:vAlign w:val="bottom"/>
            <w:hideMark/>
          </w:tcPr>
          <w:p w:rsidR="004D713C" w:rsidRPr="00891D04" w:rsidP="00C07BDE" w14:paraId="4FE9DCDD" w14:textId="77777777">
            <w:pPr>
              <w:rPr>
                <w:rFonts w:ascii="Times New Roman" w:hAnsi="Times New Roman"/>
                <w:sz w:val="20"/>
              </w:rPr>
            </w:pPr>
          </w:p>
        </w:tc>
      </w:tr>
    </w:tbl>
    <w:p w:rsidR="004D713C" w:rsidP="00FA1FFF" w14:paraId="05D71E3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tbl>
      <w:tblPr>
        <w:tblW w:w="9800" w:type="dxa"/>
        <w:jc w:val="center"/>
        <w:tblLayout w:type="fixed"/>
        <w:tblLook w:val="04A0"/>
      </w:tblPr>
      <w:tblGrid>
        <w:gridCol w:w="2562"/>
        <w:gridCol w:w="2989"/>
        <w:gridCol w:w="2899"/>
        <w:gridCol w:w="1350"/>
      </w:tblGrid>
      <w:tr w14:paraId="79B13C95" w14:textId="77777777" w:rsidTr="00891D04">
        <w:tblPrEx>
          <w:tblW w:w="9800" w:type="dxa"/>
          <w:jc w:val="center"/>
          <w:tblLayout w:type="fixed"/>
          <w:tblLook w:val="04A0"/>
        </w:tblPrEx>
        <w:trPr>
          <w:trHeight w:val="355"/>
          <w:jc w:val="center"/>
        </w:trPr>
        <w:tc>
          <w:tcPr>
            <w:tcW w:w="98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D713C" w:rsidRPr="004D713C" w:rsidP="00C07BDE" w14:paraId="0D791898" w14:textId="450CAEEC">
            <w:pPr>
              <w:jc w:val="center"/>
              <w:rPr>
                <w:rFonts w:ascii="Times New Roman" w:hAnsi="Times New Roman"/>
                <w:color w:val="000000"/>
                <w:szCs w:val="24"/>
              </w:rPr>
            </w:pPr>
            <w:r w:rsidRPr="004D713C">
              <w:rPr>
                <w:rFonts w:ascii="Times New Roman" w:hAnsi="Times New Roman"/>
                <w:color w:val="000000"/>
                <w:szCs w:val="24"/>
              </w:rPr>
              <w:t>Total Estimated Cost Burden (OMB No. 3064-0207)</w:t>
            </w:r>
          </w:p>
        </w:tc>
      </w:tr>
      <w:tr w14:paraId="29F1BBED" w14:textId="77777777" w:rsidTr="00891D04">
        <w:tblPrEx>
          <w:tblW w:w="9800" w:type="dxa"/>
          <w:jc w:val="center"/>
          <w:tblLayout w:type="fixed"/>
          <w:tblLook w:val="04A0"/>
        </w:tblPrEx>
        <w:trPr>
          <w:trHeight w:val="592"/>
          <w:jc w:val="center"/>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4D713C" w:rsidRPr="004D713C" w:rsidP="00C07BDE" w14:paraId="1F6E1744" w14:textId="77777777">
            <w:pPr>
              <w:rPr>
                <w:rFonts w:ascii="Times New Roman" w:hAnsi="Times New Roman"/>
                <w:color w:val="000000"/>
                <w:sz w:val="20"/>
              </w:rPr>
            </w:pPr>
            <w:r w:rsidRPr="004D713C">
              <w:rPr>
                <w:rFonts w:ascii="Times New Roman" w:hAnsi="Times New Roman"/>
                <w:color w:val="000000"/>
                <w:sz w:val="20"/>
              </w:rPr>
              <w:t>Information Collection Request</w:t>
            </w:r>
          </w:p>
        </w:tc>
        <w:tc>
          <w:tcPr>
            <w:tcW w:w="2989" w:type="dxa"/>
            <w:tcBorders>
              <w:top w:val="nil"/>
              <w:left w:val="nil"/>
              <w:bottom w:val="single" w:sz="8" w:space="0" w:color="auto"/>
              <w:right w:val="single" w:sz="8" w:space="0" w:color="auto"/>
            </w:tcBorders>
            <w:shd w:val="clear" w:color="auto" w:fill="auto"/>
            <w:vAlign w:val="center"/>
            <w:hideMark/>
          </w:tcPr>
          <w:p w:rsidR="004D713C" w:rsidRPr="004D713C" w:rsidP="00C07BDE" w14:paraId="5D7F5E59" w14:textId="77777777">
            <w:pPr>
              <w:jc w:val="center"/>
              <w:rPr>
                <w:rFonts w:ascii="Times New Roman" w:hAnsi="Times New Roman"/>
                <w:color w:val="000000"/>
                <w:sz w:val="20"/>
              </w:rPr>
            </w:pPr>
            <w:r w:rsidRPr="004D713C">
              <w:rPr>
                <w:rFonts w:ascii="Times New Roman" w:hAnsi="Times New Roman"/>
                <w:color w:val="000000"/>
                <w:sz w:val="20"/>
              </w:rPr>
              <w:t>Annual Burden (Hours)</w:t>
            </w:r>
          </w:p>
        </w:tc>
        <w:tc>
          <w:tcPr>
            <w:tcW w:w="2899" w:type="dxa"/>
            <w:tcBorders>
              <w:top w:val="nil"/>
              <w:left w:val="nil"/>
              <w:bottom w:val="single" w:sz="8" w:space="0" w:color="auto"/>
              <w:right w:val="single" w:sz="8" w:space="0" w:color="auto"/>
            </w:tcBorders>
            <w:shd w:val="clear" w:color="auto" w:fill="auto"/>
            <w:vAlign w:val="center"/>
            <w:hideMark/>
          </w:tcPr>
          <w:p w:rsidR="004D713C" w:rsidRPr="004D713C" w:rsidP="00C07BDE" w14:paraId="7A536394" w14:textId="77777777">
            <w:pPr>
              <w:jc w:val="center"/>
              <w:rPr>
                <w:rFonts w:ascii="Times New Roman" w:hAnsi="Times New Roman"/>
                <w:color w:val="000000"/>
                <w:sz w:val="20"/>
              </w:rPr>
            </w:pPr>
            <w:r w:rsidRPr="004D713C">
              <w:rPr>
                <w:rFonts w:ascii="Times New Roman" w:hAnsi="Times New Roman"/>
                <w:color w:val="000000"/>
                <w:sz w:val="20"/>
              </w:rPr>
              <w:t>Weighted Average Hourly Compensation Rate</w:t>
            </w:r>
          </w:p>
        </w:tc>
        <w:tc>
          <w:tcPr>
            <w:tcW w:w="1350" w:type="dxa"/>
            <w:tcBorders>
              <w:top w:val="nil"/>
              <w:left w:val="nil"/>
              <w:bottom w:val="single" w:sz="8" w:space="0" w:color="auto"/>
              <w:right w:val="single" w:sz="8" w:space="0" w:color="auto"/>
            </w:tcBorders>
            <w:shd w:val="clear" w:color="auto" w:fill="auto"/>
            <w:vAlign w:val="center"/>
            <w:hideMark/>
          </w:tcPr>
          <w:p w:rsidR="004D713C" w:rsidRPr="004D713C" w:rsidP="00C07BDE" w14:paraId="6C203081" w14:textId="77777777">
            <w:pPr>
              <w:jc w:val="center"/>
              <w:rPr>
                <w:rFonts w:ascii="Times New Roman" w:hAnsi="Times New Roman"/>
                <w:color w:val="000000"/>
                <w:sz w:val="20"/>
              </w:rPr>
            </w:pPr>
            <w:r w:rsidRPr="004D713C">
              <w:rPr>
                <w:rFonts w:ascii="Times New Roman" w:hAnsi="Times New Roman"/>
                <w:color w:val="000000"/>
                <w:sz w:val="20"/>
              </w:rPr>
              <w:t>Annual Respondent Cost</w:t>
            </w:r>
          </w:p>
        </w:tc>
      </w:tr>
      <w:tr w14:paraId="075AD688" w14:textId="77777777" w:rsidTr="00891D04">
        <w:tblPrEx>
          <w:tblW w:w="9800" w:type="dxa"/>
          <w:jc w:val="center"/>
          <w:tblLayout w:type="fixed"/>
          <w:tblLook w:val="04A0"/>
        </w:tblPrEx>
        <w:trPr>
          <w:trHeight w:val="853"/>
          <w:jc w:val="center"/>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4D713C" w:rsidRPr="004D713C" w:rsidP="00C07BDE" w14:paraId="39C33EB3" w14:textId="77777777">
            <w:pPr>
              <w:rPr>
                <w:rFonts w:ascii="Times New Roman" w:hAnsi="Times New Roman"/>
                <w:color w:val="000000"/>
                <w:sz w:val="20"/>
              </w:rPr>
            </w:pPr>
            <w:r w:rsidRPr="004D713C">
              <w:rPr>
                <w:rFonts w:ascii="Times New Roman" w:hAnsi="Times New Roman"/>
                <w:color w:val="000000"/>
                <w:sz w:val="20"/>
              </w:rPr>
              <w:t xml:space="preserve">Loans in Areas Having Special Flood Hazards </w:t>
            </w:r>
          </w:p>
        </w:tc>
        <w:tc>
          <w:tcPr>
            <w:tcW w:w="2989" w:type="dxa"/>
            <w:tcBorders>
              <w:top w:val="nil"/>
              <w:left w:val="nil"/>
              <w:bottom w:val="single" w:sz="8" w:space="0" w:color="auto"/>
              <w:right w:val="single" w:sz="8" w:space="0" w:color="auto"/>
            </w:tcBorders>
            <w:shd w:val="clear" w:color="auto" w:fill="auto"/>
            <w:noWrap/>
            <w:vAlign w:val="center"/>
            <w:hideMark/>
          </w:tcPr>
          <w:p w:rsidR="004D713C" w:rsidRPr="004D713C" w:rsidP="00C07BDE" w14:paraId="12493D6F" w14:textId="77777777">
            <w:pPr>
              <w:ind w:firstLine="400" w:firstLineChars="200"/>
              <w:jc w:val="right"/>
              <w:rPr>
                <w:rFonts w:ascii="Times New Roman" w:hAnsi="Times New Roman"/>
                <w:color w:val="000000"/>
                <w:sz w:val="20"/>
              </w:rPr>
            </w:pPr>
            <w:r w:rsidRPr="004D713C">
              <w:rPr>
                <w:rFonts w:ascii="Times New Roman" w:hAnsi="Times New Roman"/>
                <w:color w:val="000000"/>
                <w:sz w:val="20"/>
              </w:rPr>
              <w:t xml:space="preserve">                                         105,688 </w:t>
            </w:r>
          </w:p>
        </w:tc>
        <w:tc>
          <w:tcPr>
            <w:tcW w:w="2899" w:type="dxa"/>
            <w:tcBorders>
              <w:top w:val="nil"/>
              <w:left w:val="nil"/>
              <w:bottom w:val="single" w:sz="8" w:space="0" w:color="auto"/>
              <w:right w:val="single" w:sz="8" w:space="0" w:color="auto"/>
            </w:tcBorders>
            <w:shd w:val="clear" w:color="auto" w:fill="auto"/>
            <w:noWrap/>
            <w:vAlign w:val="center"/>
            <w:hideMark/>
          </w:tcPr>
          <w:p w:rsidR="004D713C" w:rsidRPr="004D713C" w:rsidP="00C07BDE" w14:paraId="1EC68E16" w14:textId="77777777">
            <w:pPr>
              <w:ind w:firstLine="200" w:firstLineChars="100"/>
              <w:jc w:val="right"/>
              <w:rPr>
                <w:rFonts w:ascii="Times New Roman" w:hAnsi="Times New Roman"/>
                <w:color w:val="000000"/>
                <w:sz w:val="20"/>
              </w:rPr>
            </w:pPr>
            <w:r w:rsidRPr="004D713C">
              <w:rPr>
                <w:rFonts w:ascii="Times New Roman" w:hAnsi="Times New Roman"/>
                <w:color w:val="000000"/>
                <w:sz w:val="20"/>
              </w:rPr>
              <w:t>$41.44</w:t>
            </w:r>
          </w:p>
        </w:tc>
        <w:tc>
          <w:tcPr>
            <w:tcW w:w="1350" w:type="dxa"/>
            <w:tcBorders>
              <w:top w:val="nil"/>
              <w:left w:val="nil"/>
              <w:bottom w:val="single" w:sz="8" w:space="0" w:color="auto"/>
              <w:right w:val="single" w:sz="8" w:space="0" w:color="auto"/>
            </w:tcBorders>
            <w:shd w:val="clear" w:color="auto" w:fill="auto"/>
            <w:noWrap/>
            <w:vAlign w:val="center"/>
            <w:hideMark/>
          </w:tcPr>
          <w:p w:rsidR="004D713C" w:rsidRPr="004D713C" w:rsidP="00C07BDE" w14:paraId="4245B5C3" w14:textId="77777777">
            <w:pPr>
              <w:ind w:firstLine="200" w:firstLineChars="100"/>
              <w:jc w:val="right"/>
              <w:rPr>
                <w:rFonts w:ascii="Times New Roman" w:hAnsi="Times New Roman"/>
                <w:color w:val="000000"/>
                <w:sz w:val="20"/>
              </w:rPr>
            </w:pPr>
            <w:r w:rsidRPr="004D713C">
              <w:rPr>
                <w:rFonts w:ascii="Times New Roman" w:hAnsi="Times New Roman"/>
                <w:color w:val="000000"/>
                <w:sz w:val="20"/>
              </w:rPr>
              <w:t>$4,379,711</w:t>
            </w:r>
          </w:p>
        </w:tc>
      </w:tr>
      <w:tr w14:paraId="0E1135B5" w14:textId="77777777" w:rsidTr="00891D04">
        <w:tblPrEx>
          <w:tblW w:w="9800" w:type="dxa"/>
          <w:jc w:val="center"/>
          <w:tblLayout w:type="fixed"/>
          <w:tblLook w:val="04A0"/>
        </w:tblPrEx>
        <w:trPr>
          <w:trHeight w:val="355"/>
          <w:jc w:val="center"/>
        </w:trPr>
        <w:tc>
          <w:tcPr>
            <w:tcW w:w="845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D713C" w:rsidRPr="004D713C" w:rsidP="00891D04" w14:paraId="42E4C6F8" w14:textId="1C9A18BE">
            <w:pPr>
              <w:jc w:val="right"/>
              <w:rPr>
                <w:rFonts w:ascii="Times New Roman" w:hAnsi="Times New Roman"/>
                <w:b/>
                <w:bCs/>
                <w:i/>
                <w:iCs/>
                <w:color w:val="000000"/>
              </w:rPr>
            </w:pPr>
            <w:r>
              <w:rPr>
                <w:rFonts w:ascii="Times New Roman" w:hAnsi="Times New Roman"/>
                <w:b/>
                <w:bCs/>
                <w:i/>
                <w:iCs/>
                <w:color w:val="000000"/>
              </w:rPr>
              <w:t>T</w:t>
            </w:r>
            <w:r w:rsidRPr="004D713C">
              <w:rPr>
                <w:rFonts w:ascii="Times New Roman" w:hAnsi="Times New Roman"/>
                <w:b/>
                <w:bCs/>
                <w:i/>
                <w:iCs/>
                <w:color w:val="000000"/>
              </w:rPr>
              <w:t>otal Annual Respondent Cost:</w:t>
            </w:r>
          </w:p>
        </w:tc>
        <w:tc>
          <w:tcPr>
            <w:tcW w:w="1350" w:type="dxa"/>
            <w:tcBorders>
              <w:top w:val="nil"/>
              <w:left w:val="nil"/>
              <w:bottom w:val="single" w:sz="8" w:space="0" w:color="auto"/>
              <w:right w:val="single" w:sz="8" w:space="0" w:color="auto"/>
            </w:tcBorders>
            <w:shd w:val="clear" w:color="000000" w:fill="FFFFFF"/>
            <w:vAlign w:val="center"/>
            <w:hideMark/>
          </w:tcPr>
          <w:p w:rsidR="004D713C" w:rsidRPr="004D713C" w:rsidP="00891D04" w14:paraId="5DB1EE56" w14:textId="2292053D">
            <w:pPr>
              <w:ind w:left="66" w:hanging="171"/>
              <w:rPr>
                <w:rFonts w:ascii="Times New Roman" w:hAnsi="Times New Roman"/>
                <w:b/>
                <w:bCs/>
                <w:i/>
                <w:iCs/>
                <w:color w:val="000000"/>
              </w:rPr>
            </w:pPr>
            <w:r w:rsidRPr="004D713C">
              <w:rPr>
                <w:rFonts w:ascii="Times New Roman" w:hAnsi="Times New Roman"/>
                <w:b/>
                <w:bCs/>
                <w:i/>
                <w:iCs/>
                <w:color w:val="000000"/>
              </w:rPr>
              <w:t xml:space="preserve">$4,379,711 </w:t>
            </w:r>
          </w:p>
        </w:tc>
      </w:tr>
      <w:tr w14:paraId="2D57A389" w14:textId="77777777" w:rsidTr="00891D04">
        <w:tblPrEx>
          <w:tblW w:w="9800" w:type="dxa"/>
          <w:jc w:val="center"/>
          <w:tblLayout w:type="fixed"/>
          <w:tblLook w:val="04A0"/>
        </w:tblPrEx>
        <w:trPr>
          <w:trHeight w:val="277"/>
          <w:jc w:val="center"/>
        </w:trPr>
        <w:tc>
          <w:tcPr>
            <w:tcW w:w="980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D713C" w:rsidRPr="004D713C" w:rsidP="00C07BDE" w14:paraId="454619C6" w14:textId="77777777">
            <w:pPr>
              <w:rPr>
                <w:rFonts w:ascii="Times New Roman" w:hAnsi="Times New Roman"/>
                <w:color w:val="000000"/>
                <w:sz w:val="18"/>
                <w:szCs w:val="18"/>
              </w:rPr>
            </w:pPr>
            <w:r w:rsidRPr="004D713C">
              <w:rPr>
                <w:rFonts w:ascii="Times New Roman" w:hAnsi="Times New Roman"/>
                <w:color w:val="000000"/>
                <w:sz w:val="18"/>
                <w:szCs w:val="18"/>
              </w:rPr>
              <w:t>Source: FDIC.</w:t>
            </w:r>
          </w:p>
        </w:tc>
      </w:tr>
    </w:tbl>
    <w:p w:rsidR="004D713C" w:rsidP="00FA1FFF" w14:paraId="0422287C"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847CB6" w:rsidP="004D713C" w14:paraId="2A77FDF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8561596" w14:textId="3D7E2A8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u w:val="single"/>
        </w:rPr>
        <w:t>Capital, Start-up, Operating, and Maintenance Estimate of Start-up Costs to Respondents</w:t>
      </w:r>
      <w:r>
        <w:rPr>
          <w:rFonts w:ascii="Times New Roman" w:hAnsi="Times New Roman"/>
          <w:bCs/>
          <w:u w:val="single"/>
        </w:rPr>
        <w:t>.</w:t>
      </w:r>
    </w:p>
    <w:p w:rsidR="0032126E" w:rsidP="0032126E" w14:paraId="7987122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14:paraId="4DD13DC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None.</w:t>
      </w:r>
    </w:p>
    <w:p w:rsidR="0032126E" w:rsidP="0032126E" w14:paraId="6F3B2D9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D13F8" w:rsidP="0032126E" w14:paraId="4C50EC3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14:paraId="57821B32" w14:textId="77777777">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17DAE">
        <w:rPr>
          <w:rFonts w:ascii="Times New Roman" w:hAnsi="Times New Roman"/>
          <w:bCs/>
          <w:u w:val="single"/>
        </w:rPr>
        <w:t>Estimate of annualized costs to the government:</w:t>
      </w:r>
    </w:p>
    <w:p w:rsidR="0032126E" w:rsidP="0032126E" w14:paraId="355A2F9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14:paraId="5FE1B42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P="0032126E" w14:paraId="70C97B15"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7C83CDEF"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r>
        <w:rPr>
          <w:rFonts w:ascii="Times New Roman" w:hAnsi="Times New Roman"/>
        </w:rPr>
        <w:t>15.</w:t>
      </w:r>
      <w:r>
        <w:rPr>
          <w:rFonts w:ascii="Times New Roman" w:hAnsi="Times New Roman"/>
        </w:rPr>
        <w:tab/>
      </w:r>
      <w:r w:rsidRPr="00817DAE" w:rsidR="008F76D4">
        <w:rPr>
          <w:rFonts w:ascii="Times New Roman" w:hAnsi="Times New Roman"/>
          <w:u w:val="single"/>
        </w:rPr>
        <w:t>Analysis of change in burden:</w:t>
      </w:r>
    </w:p>
    <w:p w:rsidR="0032126E" w:rsidP="0032126E" w14:paraId="67804D0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816515" w:rsidRPr="00816515" w:rsidP="00816515" w14:paraId="517CE848" w14:textId="53D518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ab/>
      </w:r>
      <w:r w:rsidRPr="00816515">
        <w:rPr>
          <w:rFonts w:ascii="Times New Roman" w:hAnsi="Times New Roman"/>
        </w:rPr>
        <w:t xml:space="preserve">There is no change in the method or substance of the collection.  The overall decrease in burden hours (from </w:t>
      </w:r>
      <w:r>
        <w:rPr>
          <w:rFonts w:ascii="Times New Roman" w:hAnsi="Times New Roman"/>
        </w:rPr>
        <w:t>117,613</w:t>
      </w:r>
      <w:r w:rsidRPr="00816515">
        <w:rPr>
          <w:rFonts w:ascii="Times New Roman" w:hAnsi="Times New Roman"/>
        </w:rPr>
        <w:t xml:space="preserve"> hours to </w:t>
      </w:r>
      <w:r>
        <w:rPr>
          <w:rFonts w:ascii="Times New Roman" w:hAnsi="Times New Roman"/>
        </w:rPr>
        <w:t>105,688</w:t>
      </w:r>
      <w:r w:rsidRPr="00816515">
        <w:rPr>
          <w:rFonts w:ascii="Times New Roman" w:hAnsi="Times New Roman"/>
        </w:rPr>
        <w:t xml:space="preserve"> hours) is the result of economic fluctuation.  In particular, the estimated number of</w:t>
      </w:r>
      <w:r>
        <w:rPr>
          <w:rFonts w:ascii="Times New Roman" w:hAnsi="Times New Roman"/>
        </w:rPr>
        <w:t xml:space="preserve"> respondents</w:t>
      </w:r>
      <w:r w:rsidRPr="00816515">
        <w:rPr>
          <w:rFonts w:ascii="Times New Roman" w:hAnsi="Times New Roman"/>
        </w:rPr>
        <w:t xml:space="preserve"> has decreased </w:t>
      </w:r>
      <w:r>
        <w:rPr>
          <w:rFonts w:ascii="Times New Roman" w:hAnsi="Times New Roman"/>
        </w:rPr>
        <w:t xml:space="preserve">as well as </w:t>
      </w:r>
      <w:r w:rsidR="00891D04">
        <w:rPr>
          <w:rFonts w:ascii="Times New Roman" w:hAnsi="Times New Roman"/>
        </w:rPr>
        <w:t>the number of FDIC-supervised institutions</w:t>
      </w:r>
      <w:r>
        <w:rPr>
          <w:rFonts w:ascii="Times New Roman" w:hAnsi="Times New Roman"/>
        </w:rPr>
        <w:t>.</w:t>
      </w:r>
    </w:p>
    <w:p w:rsidR="0032126E" w:rsidP="0032126E" w14:paraId="4017BB1E" w14:textId="3FE7E1C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p>
    <w:p w:rsidR="0032126E" w:rsidP="0032126E" w14:paraId="697242D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32126E" w:rsidP="0032126E" w14:paraId="5F7C17B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16.</w:t>
      </w:r>
      <w:r>
        <w:rPr>
          <w:rFonts w:ascii="Times New Roman" w:hAnsi="Times New Roman"/>
        </w:rPr>
        <w:tab/>
      </w:r>
      <w:r w:rsidRPr="00817DAE" w:rsidR="008F76D4">
        <w:rPr>
          <w:rFonts w:ascii="Times New Roman TUR" w:hAnsi="Times New Roman TUR" w:cs="Times New Roman TUR"/>
          <w:bCs/>
          <w:u w:val="single"/>
        </w:rPr>
        <w:t>Information</w:t>
      </w:r>
      <w:r w:rsidRPr="00817DAE" w:rsidR="008F76D4">
        <w:rPr>
          <w:rFonts w:ascii="Times New Roman" w:hAnsi="Times New Roman"/>
          <w:bCs/>
          <w:u w:val="single"/>
        </w:rPr>
        <w:t xml:space="preserve"> regarding collections whose results are planned to be published for statistical use:</w:t>
      </w:r>
    </w:p>
    <w:p w:rsidR="0032126E" w:rsidP="0032126E" w14:paraId="36A7866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3DAED1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firstLine="1152"/>
        <w:rPr>
          <w:rFonts w:ascii="Times New Roman" w:hAnsi="Times New Roman"/>
        </w:rPr>
      </w:pPr>
      <w:r w:rsidRPr="00817DAE">
        <w:rPr>
          <w:rFonts w:ascii="Times New Roman" w:hAnsi="Times New Roman"/>
        </w:rPr>
        <w:t>The results of this collection will not be published for statistical use.</w:t>
      </w:r>
    </w:p>
    <w:p w:rsidR="0032126E" w:rsidP="0032126E" w14:paraId="10C73C04"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46562E0F"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 xml:space="preserve">Display of </w:t>
      </w:r>
      <w:r w:rsidR="008F76D4">
        <w:rPr>
          <w:rFonts w:ascii="Times New Roman" w:hAnsi="Times New Roman"/>
          <w:u w:val="single"/>
        </w:rPr>
        <w:t>e</w:t>
      </w:r>
      <w:r>
        <w:rPr>
          <w:rFonts w:ascii="Times New Roman" w:hAnsi="Times New Roman"/>
          <w:u w:val="single"/>
        </w:rPr>
        <w:t xml:space="preserve">xpiration </w:t>
      </w:r>
      <w:r w:rsidR="008F76D4">
        <w:rPr>
          <w:rFonts w:ascii="Times New Roman" w:hAnsi="Times New Roman"/>
          <w:u w:val="single"/>
        </w:rPr>
        <w:t>d</w:t>
      </w:r>
      <w:r>
        <w:rPr>
          <w:rFonts w:ascii="Times New Roman" w:hAnsi="Times New Roman"/>
          <w:u w:val="single"/>
        </w:rPr>
        <w:t>ate</w:t>
      </w:r>
      <w:r w:rsidR="008F76D4">
        <w:rPr>
          <w:rFonts w:ascii="Times New Roman" w:hAnsi="Times New Roman"/>
          <w:u w:val="single"/>
        </w:rPr>
        <w:t>:</w:t>
      </w:r>
    </w:p>
    <w:p w:rsidR="0032126E" w:rsidP="0032126E" w14:paraId="7331CFA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14:paraId="58F87AE8"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Not applicable.</w:t>
      </w:r>
    </w:p>
    <w:p w:rsidR="00891D04" w:rsidP="0032126E" w14:paraId="5A149A3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891D04" w:rsidRPr="00891D04" w:rsidP="00891D04" w14:paraId="17E788BC" w14:textId="77777777">
      <w:pPr>
        <w:numPr>
          <w:ilvl w:val="0"/>
          <w:numId w:val="11"/>
        </w:numPr>
        <w:tabs>
          <w:tab w:val="left" w:pos="720"/>
          <w:tab w:val="left" w:pos="1152"/>
          <w:tab w:val="clear" w:pos="1155"/>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91D04">
        <w:rPr>
          <w:rFonts w:ascii="Times New Roman" w:hAnsi="Times New Roman"/>
          <w:u w:val="single"/>
        </w:rPr>
        <w:t>Exceptions to certification</w:t>
      </w:r>
    </w:p>
    <w:p w:rsidR="00891D04" w:rsidRPr="00891D04" w:rsidP="00891D04" w14:paraId="28753FC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891D04" w:rsidRPr="00891D04" w:rsidP="00891D04" w14:paraId="351BB671"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891D04">
        <w:rPr>
          <w:rFonts w:ascii="Times New Roman" w:hAnsi="Times New Roman"/>
        </w:rPr>
        <w:t>None.</w:t>
      </w:r>
    </w:p>
    <w:p w:rsidR="00891D04" w:rsidP="0032126E" w14:paraId="453BAC4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A11E8" w:rsidP="008F76D4" w14:paraId="4F900181" w14:textId="77777777">
      <w:pPr>
        <w:widowControl/>
        <w:tabs>
          <w:tab w:val="center" w:pos="4752"/>
          <w:tab w:val="left" w:pos="5040"/>
          <w:tab w:val="left" w:pos="5760"/>
          <w:tab w:val="left" w:pos="6480"/>
          <w:tab w:val="left" w:pos="7200"/>
          <w:tab w:val="left" w:pos="7920"/>
          <w:tab w:val="left" w:pos="8640"/>
        </w:tabs>
        <w:rPr>
          <w:rFonts w:ascii="Times New Roman" w:hAnsi="Times New Roman"/>
        </w:rPr>
      </w:pPr>
    </w:p>
    <w:p w:rsidR="008F76D4" w:rsidP="008F76D4" w14:paraId="629688EE" w14:textId="77777777">
      <w:pPr>
        <w:numPr>
          <w:ilvl w:val="0"/>
          <w:numId w:val="4"/>
        </w:numPr>
        <w:rPr>
          <w:rFonts w:ascii="Times New Roman" w:hAnsi="Times New Roman"/>
          <w:u w:val="single"/>
        </w:rPr>
      </w:pPr>
      <w:r>
        <w:rPr>
          <w:rFonts w:ascii="Times New Roman" w:hAnsi="Times New Roman"/>
          <w:u w:val="single"/>
        </w:rPr>
        <w:t xml:space="preserve">STATISTICAL METHODS </w:t>
      </w:r>
    </w:p>
    <w:p w:rsidR="008F76D4" w:rsidP="008F76D4" w14:paraId="440FEED9" w14:textId="77777777">
      <w:pPr>
        <w:rPr>
          <w:rFonts w:ascii="Times New Roman" w:hAnsi="Times New Roman"/>
          <w:u w:val="single"/>
        </w:rPr>
      </w:pPr>
    </w:p>
    <w:p w:rsidR="008F76D4" w:rsidRPr="00FE1733" w:rsidP="00FE1733" w14:paraId="324AD340" w14:textId="77777777">
      <w:pPr>
        <w:ind w:left="720"/>
        <w:rPr>
          <w:rFonts w:ascii="Times New Roman" w:hAnsi="Times New Roman"/>
        </w:rPr>
      </w:pPr>
      <w:r>
        <w:rPr>
          <w:rFonts w:ascii="Times New Roman" w:hAnsi="Times New Roman"/>
        </w:rPr>
        <w:t>Not Applicable</w:t>
      </w:r>
    </w:p>
    <w:sectPr w:rsidSect="005A114E">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297" w14:paraId="2FFC25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AEA" w14:paraId="56920596" w14:textId="77777777">
    <w:pPr>
      <w:spacing w:line="240" w:lineRule="exact"/>
    </w:pPr>
  </w:p>
  <w:p w:rsidR="00041AEA" w14:paraId="3AED22C9" w14:textId="77777777">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A1FFF">
      <w:rPr>
        <w:rFonts w:ascii="Times New Roman" w:hAnsi="Times New Roman"/>
        <w:noProof/>
      </w:rPr>
      <w:t>23</w:t>
    </w:r>
    <w:r>
      <w:rPr>
        <w:rFonts w:ascii="Times New Roman" w:hAnsi="Times New Roman"/>
      </w:rPr>
      <w:fldChar w:fldCharType="end"/>
    </w:r>
  </w:p>
  <w:p w:rsidR="00041AEA" w14:paraId="365C43F3" w14:textId="77777777">
    <w:pPr>
      <w:ind w:left="576"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297" w14:paraId="69830D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297" w14:paraId="6CA947DA" w14:textId="4BC06997">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298987930"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E3437E" w:rsidRPr="00E3437E" w:rsidP="00E3437E" w14:textId="0251EC4C">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E3437E" w:rsidRPr="00E3437E" w:rsidP="00E3437E" w14:paraId="11945372" w14:textId="0251EC4C">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297" w14:paraId="03A2CD3D" w14:textId="497628CC">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622600102"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E3437E" w:rsidRPr="00E3437E" w:rsidP="00E3437E" w14:textId="7E6871AE">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E3437E" w:rsidRPr="00E3437E" w:rsidP="00E3437E" w14:paraId="6BE9AB95" w14:textId="7E6871AE">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297" w14:paraId="12E5B75F" w14:textId="1739EFE2">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716426282"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E3437E" w:rsidRPr="00E3437E" w:rsidP="00E3437E" w14:textId="2C9D8ED4">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E3437E" w:rsidRPr="00E3437E" w:rsidP="00E3437E" w14:paraId="7066A38F" w14:textId="2C9D8ED4">
                    <w:pPr>
                      <w:rPr>
                        <w:rFonts w:ascii="Source Sans Pro Semibold" w:eastAsia="Source Sans Pro Semibold" w:hAnsi="Source Sans Pro Semibold" w:cs="Source Sans Pro Semibold"/>
                        <w:noProof/>
                        <w:color w:val="000000"/>
                        <w:szCs w:val="24"/>
                      </w:rPr>
                    </w:pPr>
                    <w:r w:rsidRPr="00E3437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324C1"/>
    <w:multiLevelType w:val="hybridMultilevel"/>
    <w:tmpl w:val="840AED0C"/>
    <w:lvl w:ilvl="0">
      <w:start w:val="18"/>
      <w:numFmt w:val="decimal"/>
      <w:lvlText w:val="%1."/>
      <w:lvlJc w:val="left"/>
      <w:pPr>
        <w:tabs>
          <w:tab w:val="num" w:pos="1155"/>
        </w:tabs>
        <w:ind w:left="115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65154E"/>
    <w:multiLevelType w:val="hybridMultilevel"/>
    <w:tmpl w:val="B142DDEC"/>
    <w:lvl w:ilvl="0">
      <w:start w:val="1"/>
      <w:numFmt w:val="decimal"/>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2">
    <w:nsid w:val="18F80C9E"/>
    <w:multiLevelType w:val="hybridMultilevel"/>
    <w:tmpl w:val="DBCA4F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4">
    <w:nsid w:val="1F8C6E6F"/>
    <w:multiLevelType w:val="hybridMultilevel"/>
    <w:tmpl w:val="90B04EB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D34C86"/>
    <w:multiLevelType w:val="singleLevel"/>
    <w:tmpl w:val="0D24A400"/>
    <w:lvl w:ilvl="0">
      <w:start w:val="3"/>
      <w:numFmt w:val="decimal"/>
      <w:lvlText w:val="%1."/>
      <w:lvlJc w:val="left"/>
      <w:pPr>
        <w:tabs>
          <w:tab w:val="num" w:pos="1080"/>
        </w:tabs>
        <w:ind w:left="1080" w:hanging="360"/>
      </w:pPr>
      <w:rPr>
        <w:rFonts w:hint="default"/>
      </w:rPr>
    </w:lvl>
  </w:abstractNum>
  <w:abstractNum w:abstractNumId="6">
    <w:nsid w:val="2A36168A"/>
    <w:multiLevelType w:val="hybridMultilevel"/>
    <w:tmpl w:val="F19EC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190654"/>
    <w:multiLevelType w:val="hybridMultilevel"/>
    <w:tmpl w:val="6FD8533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725393"/>
    <w:multiLevelType w:val="singleLevel"/>
    <w:tmpl w:val="C966DCF2"/>
    <w:lvl w:ilvl="0">
      <w:start w:val="11"/>
      <w:numFmt w:val="decimal"/>
      <w:lvlText w:val="%1."/>
      <w:lvlJc w:val="left"/>
      <w:pPr>
        <w:tabs>
          <w:tab w:val="num" w:pos="1155"/>
        </w:tabs>
        <w:ind w:left="1155" w:hanging="435"/>
      </w:pPr>
      <w:rPr>
        <w:rFonts w:hint="default"/>
      </w:rPr>
    </w:lvl>
  </w:abstractNum>
  <w:abstractNum w:abstractNumId="9">
    <w:nsid w:val="69982C7B"/>
    <w:multiLevelType w:val="singleLevel"/>
    <w:tmpl w:val="6BC0306E"/>
    <w:lvl w:ilvl="0">
      <w:start w:val="2"/>
      <w:numFmt w:val="upperLetter"/>
      <w:lvlText w:val="%1."/>
      <w:lvlJc w:val="left"/>
      <w:pPr>
        <w:tabs>
          <w:tab w:val="num" w:pos="720"/>
        </w:tabs>
        <w:ind w:left="720" w:hanging="720"/>
      </w:pPr>
      <w:rPr>
        <w:rFonts w:hint="default"/>
      </w:rPr>
    </w:lvl>
  </w:abstractNum>
  <w:abstractNum w:abstractNumId="10">
    <w:nsid w:val="7FDA14C6"/>
    <w:multiLevelType w:val="hybridMultilevel"/>
    <w:tmpl w:val="400454B2"/>
    <w:lvl w:ilvl="0">
      <w:start w:val="1"/>
      <w:numFmt w:val="decimal"/>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num w:numId="1" w16cid:durableId="1361858575">
    <w:abstractNumId w:val="8"/>
  </w:num>
  <w:num w:numId="2" w16cid:durableId="936592828">
    <w:abstractNumId w:val="9"/>
  </w:num>
  <w:num w:numId="3" w16cid:durableId="1497191643">
    <w:abstractNumId w:val="5"/>
  </w:num>
  <w:num w:numId="4" w16cid:durableId="1912035095">
    <w:abstractNumId w:val="3"/>
  </w:num>
  <w:num w:numId="5" w16cid:durableId="1482111551">
    <w:abstractNumId w:val="10"/>
  </w:num>
  <w:num w:numId="6" w16cid:durableId="388844173">
    <w:abstractNumId w:val="6"/>
  </w:num>
  <w:num w:numId="7" w16cid:durableId="117993435">
    <w:abstractNumId w:val="1"/>
  </w:num>
  <w:num w:numId="8" w16cid:durableId="1870332782">
    <w:abstractNumId w:val="4"/>
  </w:num>
  <w:num w:numId="9" w16cid:durableId="810708731">
    <w:abstractNumId w:val="7"/>
  </w:num>
  <w:num w:numId="10" w16cid:durableId="1571768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31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4E"/>
    <w:rsid w:val="00002D77"/>
    <w:rsid w:val="00005840"/>
    <w:rsid w:val="00006445"/>
    <w:rsid w:val="00007EE7"/>
    <w:rsid w:val="00010D0D"/>
    <w:rsid w:val="000110A3"/>
    <w:rsid w:val="00012E4F"/>
    <w:rsid w:val="00013B22"/>
    <w:rsid w:val="00014F59"/>
    <w:rsid w:val="00017D1F"/>
    <w:rsid w:val="00024288"/>
    <w:rsid w:val="000265ED"/>
    <w:rsid w:val="00027439"/>
    <w:rsid w:val="0003126E"/>
    <w:rsid w:val="00032BF9"/>
    <w:rsid w:val="00032F62"/>
    <w:rsid w:val="00034746"/>
    <w:rsid w:val="00035037"/>
    <w:rsid w:val="00035BCC"/>
    <w:rsid w:val="000404CA"/>
    <w:rsid w:val="00040748"/>
    <w:rsid w:val="00040ED1"/>
    <w:rsid w:val="00041AEA"/>
    <w:rsid w:val="00041D95"/>
    <w:rsid w:val="000443D0"/>
    <w:rsid w:val="00046CD7"/>
    <w:rsid w:val="00053088"/>
    <w:rsid w:val="00056936"/>
    <w:rsid w:val="00056B00"/>
    <w:rsid w:val="00057EA7"/>
    <w:rsid w:val="00060432"/>
    <w:rsid w:val="000619CF"/>
    <w:rsid w:val="00065F88"/>
    <w:rsid w:val="00066D30"/>
    <w:rsid w:val="0006746F"/>
    <w:rsid w:val="00071A1C"/>
    <w:rsid w:val="0007276A"/>
    <w:rsid w:val="00072F2B"/>
    <w:rsid w:val="00075C41"/>
    <w:rsid w:val="00075CE6"/>
    <w:rsid w:val="00080462"/>
    <w:rsid w:val="00082519"/>
    <w:rsid w:val="00084F89"/>
    <w:rsid w:val="000857D5"/>
    <w:rsid w:val="00086461"/>
    <w:rsid w:val="0009030D"/>
    <w:rsid w:val="000908AC"/>
    <w:rsid w:val="0009091A"/>
    <w:rsid w:val="000910C4"/>
    <w:rsid w:val="00093636"/>
    <w:rsid w:val="0009501E"/>
    <w:rsid w:val="00096F5D"/>
    <w:rsid w:val="0009767B"/>
    <w:rsid w:val="00097E26"/>
    <w:rsid w:val="000A00DD"/>
    <w:rsid w:val="000A03F7"/>
    <w:rsid w:val="000A0B56"/>
    <w:rsid w:val="000A17E7"/>
    <w:rsid w:val="000A25E4"/>
    <w:rsid w:val="000A3CF9"/>
    <w:rsid w:val="000A4315"/>
    <w:rsid w:val="000B0191"/>
    <w:rsid w:val="000B0A2E"/>
    <w:rsid w:val="000B0C58"/>
    <w:rsid w:val="000B364F"/>
    <w:rsid w:val="000B63B2"/>
    <w:rsid w:val="000B6E98"/>
    <w:rsid w:val="000C19F6"/>
    <w:rsid w:val="000C2D17"/>
    <w:rsid w:val="000C4862"/>
    <w:rsid w:val="000D3C9E"/>
    <w:rsid w:val="000D4BD8"/>
    <w:rsid w:val="000D580C"/>
    <w:rsid w:val="000D67C1"/>
    <w:rsid w:val="000D6BD8"/>
    <w:rsid w:val="000D7E89"/>
    <w:rsid w:val="000E0875"/>
    <w:rsid w:val="000E0B68"/>
    <w:rsid w:val="000E114B"/>
    <w:rsid w:val="000E15B5"/>
    <w:rsid w:val="000E31C4"/>
    <w:rsid w:val="000E400D"/>
    <w:rsid w:val="000E4A39"/>
    <w:rsid w:val="000E544F"/>
    <w:rsid w:val="000F02C6"/>
    <w:rsid w:val="000F28DB"/>
    <w:rsid w:val="000F38E7"/>
    <w:rsid w:val="000F68CE"/>
    <w:rsid w:val="000F7C05"/>
    <w:rsid w:val="00100D86"/>
    <w:rsid w:val="00100E00"/>
    <w:rsid w:val="0010153E"/>
    <w:rsid w:val="001059C4"/>
    <w:rsid w:val="00106BC5"/>
    <w:rsid w:val="00107E99"/>
    <w:rsid w:val="00107EED"/>
    <w:rsid w:val="00111A5C"/>
    <w:rsid w:val="00111F2B"/>
    <w:rsid w:val="00114648"/>
    <w:rsid w:val="00116176"/>
    <w:rsid w:val="001167E7"/>
    <w:rsid w:val="001176FF"/>
    <w:rsid w:val="001209A7"/>
    <w:rsid w:val="00122B4E"/>
    <w:rsid w:val="00124196"/>
    <w:rsid w:val="00125E7C"/>
    <w:rsid w:val="00127A9B"/>
    <w:rsid w:val="00130B34"/>
    <w:rsid w:val="001319EF"/>
    <w:rsid w:val="0013224A"/>
    <w:rsid w:val="00133EA6"/>
    <w:rsid w:val="00141A86"/>
    <w:rsid w:val="00143305"/>
    <w:rsid w:val="00143F12"/>
    <w:rsid w:val="00144468"/>
    <w:rsid w:val="00146969"/>
    <w:rsid w:val="00146AE4"/>
    <w:rsid w:val="00147E2E"/>
    <w:rsid w:val="001503E3"/>
    <w:rsid w:val="00150FAC"/>
    <w:rsid w:val="00151694"/>
    <w:rsid w:val="00151B74"/>
    <w:rsid w:val="00151E2E"/>
    <w:rsid w:val="001573E5"/>
    <w:rsid w:val="00160AA8"/>
    <w:rsid w:val="00160EF1"/>
    <w:rsid w:val="00163BDE"/>
    <w:rsid w:val="00163E8E"/>
    <w:rsid w:val="00163FF6"/>
    <w:rsid w:val="00164A28"/>
    <w:rsid w:val="001651AD"/>
    <w:rsid w:val="00170CC8"/>
    <w:rsid w:val="001716A4"/>
    <w:rsid w:val="001736D3"/>
    <w:rsid w:val="00173754"/>
    <w:rsid w:val="0017387C"/>
    <w:rsid w:val="00181F77"/>
    <w:rsid w:val="00182D3E"/>
    <w:rsid w:val="0018414B"/>
    <w:rsid w:val="001877C2"/>
    <w:rsid w:val="00190EC5"/>
    <w:rsid w:val="00192F21"/>
    <w:rsid w:val="0019707E"/>
    <w:rsid w:val="00197402"/>
    <w:rsid w:val="001975B7"/>
    <w:rsid w:val="001A1DE5"/>
    <w:rsid w:val="001A2039"/>
    <w:rsid w:val="001A261F"/>
    <w:rsid w:val="001A444B"/>
    <w:rsid w:val="001A4913"/>
    <w:rsid w:val="001A596F"/>
    <w:rsid w:val="001B1AEB"/>
    <w:rsid w:val="001B2635"/>
    <w:rsid w:val="001B3CEE"/>
    <w:rsid w:val="001B4149"/>
    <w:rsid w:val="001B45DB"/>
    <w:rsid w:val="001B4F6A"/>
    <w:rsid w:val="001B6A56"/>
    <w:rsid w:val="001B709A"/>
    <w:rsid w:val="001B7A7E"/>
    <w:rsid w:val="001C16F2"/>
    <w:rsid w:val="001C1754"/>
    <w:rsid w:val="001C4F8E"/>
    <w:rsid w:val="001C62A9"/>
    <w:rsid w:val="001C6886"/>
    <w:rsid w:val="001C75B1"/>
    <w:rsid w:val="001C7DB4"/>
    <w:rsid w:val="001D1CF7"/>
    <w:rsid w:val="001D7C2B"/>
    <w:rsid w:val="001D7F21"/>
    <w:rsid w:val="001E25C5"/>
    <w:rsid w:val="001E2ED6"/>
    <w:rsid w:val="001E3332"/>
    <w:rsid w:val="001E3562"/>
    <w:rsid w:val="001E41DB"/>
    <w:rsid w:val="001E420E"/>
    <w:rsid w:val="001E61E3"/>
    <w:rsid w:val="001E7434"/>
    <w:rsid w:val="001E77B6"/>
    <w:rsid w:val="001F2421"/>
    <w:rsid w:val="001F39DB"/>
    <w:rsid w:val="001F4654"/>
    <w:rsid w:val="001F6253"/>
    <w:rsid w:val="001F6E28"/>
    <w:rsid w:val="001F74FA"/>
    <w:rsid w:val="00201AA5"/>
    <w:rsid w:val="002042A9"/>
    <w:rsid w:val="00206EF6"/>
    <w:rsid w:val="00212490"/>
    <w:rsid w:val="00212A1F"/>
    <w:rsid w:val="00213461"/>
    <w:rsid w:val="00213C26"/>
    <w:rsid w:val="002158A7"/>
    <w:rsid w:val="00217E70"/>
    <w:rsid w:val="002202E7"/>
    <w:rsid w:val="0022271F"/>
    <w:rsid w:val="00226208"/>
    <w:rsid w:val="00226792"/>
    <w:rsid w:val="0022778A"/>
    <w:rsid w:val="00233F9B"/>
    <w:rsid w:val="002348A4"/>
    <w:rsid w:val="00234999"/>
    <w:rsid w:val="002355C9"/>
    <w:rsid w:val="00240358"/>
    <w:rsid w:val="002413B9"/>
    <w:rsid w:val="00244A24"/>
    <w:rsid w:val="00244A71"/>
    <w:rsid w:val="0024543A"/>
    <w:rsid w:val="00245ABC"/>
    <w:rsid w:val="00245B84"/>
    <w:rsid w:val="0024742B"/>
    <w:rsid w:val="00250FFF"/>
    <w:rsid w:val="0025225B"/>
    <w:rsid w:val="0025290C"/>
    <w:rsid w:val="00253DB3"/>
    <w:rsid w:val="00253FE1"/>
    <w:rsid w:val="002540CC"/>
    <w:rsid w:val="00255547"/>
    <w:rsid w:val="002556A3"/>
    <w:rsid w:val="002561A4"/>
    <w:rsid w:val="0025657B"/>
    <w:rsid w:val="0025670B"/>
    <w:rsid w:val="0025784C"/>
    <w:rsid w:val="002579EE"/>
    <w:rsid w:val="00257D4B"/>
    <w:rsid w:val="00257FED"/>
    <w:rsid w:val="002626F1"/>
    <w:rsid w:val="00262C25"/>
    <w:rsid w:val="002633D4"/>
    <w:rsid w:val="00266B49"/>
    <w:rsid w:val="00267464"/>
    <w:rsid w:val="00271EF1"/>
    <w:rsid w:val="00272154"/>
    <w:rsid w:val="0027458D"/>
    <w:rsid w:val="00274C71"/>
    <w:rsid w:val="002766CA"/>
    <w:rsid w:val="00280B0B"/>
    <w:rsid w:val="00280F83"/>
    <w:rsid w:val="0028134B"/>
    <w:rsid w:val="0028148B"/>
    <w:rsid w:val="002829C9"/>
    <w:rsid w:val="002830B7"/>
    <w:rsid w:val="0028493D"/>
    <w:rsid w:val="00284E38"/>
    <w:rsid w:val="00285137"/>
    <w:rsid w:val="00287232"/>
    <w:rsid w:val="00287FE1"/>
    <w:rsid w:val="00291710"/>
    <w:rsid w:val="00291AE6"/>
    <w:rsid w:val="0029209A"/>
    <w:rsid w:val="00292BA8"/>
    <w:rsid w:val="0029320E"/>
    <w:rsid w:val="0029356E"/>
    <w:rsid w:val="00294640"/>
    <w:rsid w:val="00295A7F"/>
    <w:rsid w:val="00296B50"/>
    <w:rsid w:val="002A1DC5"/>
    <w:rsid w:val="002A1E6E"/>
    <w:rsid w:val="002A5DA4"/>
    <w:rsid w:val="002B21A1"/>
    <w:rsid w:val="002B491D"/>
    <w:rsid w:val="002B5F23"/>
    <w:rsid w:val="002B5FE9"/>
    <w:rsid w:val="002B675E"/>
    <w:rsid w:val="002C1EFD"/>
    <w:rsid w:val="002C204B"/>
    <w:rsid w:val="002C3CEB"/>
    <w:rsid w:val="002C4DD4"/>
    <w:rsid w:val="002C57B1"/>
    <w:rsid w:val="002C6411"/>
    <w:rsid w:val="002C6B34"/>
    <w:rsid w:val="002C7182"/>
    <w:rsid w:val="002C7CBF"/>
    <w:rsid w:val="002D1129"/>
    <w:rsid w:val="002D52DE"/>
    <w:rsid w:val="002D6016"/>
    <w:rsid w:val="002D6F47"/>
    <w:rsid w:val="002D76C3"/>
    <w:rsid w:val="002E27D0"/>
    <w:rsid w:val="002E3C66"/>
    <w:rsid w:val="002E44BB"/>
    <w:rsid w:val="002E4631"/>
    <w:rsid w:val="002E4AC2"/>
    <w:rsid w:val="002E7255"/>
    <w:rsid w:val="002F2694"/>
    <w:rsid w:val="002F337C"/>
    <w:rsid w:val="002F5A40"/>
    <w:rsid w:val="002F6054"/>
    <w:rsid w:val="002F6D69"/>
    <w:rsid w:val="002F78AA"/>
    <w:rsid w:val="0030413E"/>
    <w:rsid w:val="00304A3D"/>
    <w:rsid w:val="003106AA"/>
    <w:rsid w:val="00313592"/>
    <w:rsid w:val="0031598C"/>
    <w:rsid w:val="0031737C"/>
    <w:rsid w:val="0031741F"/>
    <w:rsid w:val="00320962"/>
    <w:rsid w:val="0032126E"/>
    <w:rsid w:val="00321FB3"/>
    <w:rsid w:val="00325083"/>
    <w:rsid w:val="003272BB"/>
    <w:rsid w:val="003274A9"/>
    <w:rsid w:val="00332861"/>
    <w:rsid w:val="00337189"/>
    <w:rsid w:val="00342899"/>
    <w:rsid w:val="003430D0"/>
    <w:rsid w:val="00344DA3"/>
    <w:rsid w:val="00345D86"/>
    <w:rsid w:val="00347303"/>
    <w:rsid w:val="00347D37"/>
    <w:rsid w:val="00350383"/>
    <w:rsid w:val="003521D4"/>
    <w:rsid w:val="0035258F"/>
    <w:rsid w:val="00352631"/>
    <w:rsid w:val="00353E23"/>
    <w:rsid w:val="00354003"/>
    <w:rsid w:val="00354A03"/>
    <w:rsid w:val="0035784F"/>
    <w:rsid w:val="00360A77"/>
    <w:rsid w:val="003620C4"/>
    <w:rsid w:val="003630B6"/>
    <w:rsid w:val="0036383C"/>
    <w:rsid w:val="00364628"/>
    <w:rsid w:val="00365797"/>
    <w:rsid w:val="003675FD"/>
    <w:rsid w:val="003676F4"/>
    <w:rsid w:val="00367E14"/>
    <w:rsid w:val="00367EE7"/>
    <w:rsid w:val="00373730"/>
    <w:rsid w:val="00373DBC"/>
    <w:rsid w:val="00375044"/>
    <w:rsid w:val="00375FB5"/>
    <w:rsid w:val="00377164"/>
    <w:rsid w:val="003772CB"/>
    <w:rsid w:val="00382475"/>
    <w:rsid w:val="003849A5"/>
    <w:rsid w:val="00385E4F"/>
    <w:rsid w:val="00387B62"/>
    <w:rsid w:val="00393C3D"/>
    <w:rsid w:val="00397E1F"/>
    <w:rsid w:val="00397FE3"/>
    <w:rsid w:val="003A0576"/>
    <w:rsid w:val="003A115E"/>
    <w:rsid w:val="003A11E8"/>
    <w:rsid w:val="003A2860"/>
    <w:rsid w:val="003A2DDB"/>
    <w:rsid w:val="003A301B"/>
    <w:rsid w:val="003A3D1D"/>
    <w:rsid w:val="003A4185"/>
    <w:rsid w:val="003B0298"/>
    <w:rsid w:val="003B1115"/>
    <w:rsid w:val="003B1B83"/>
    <w:rsid w:val="003B4BA8"/>
    <w:rsid w:val="003B52FE"/>
    <w:rsid w:val="003B6D42"/>
    <w:rsid w:val="003B7615"/>
    <w:rsid w:val="003C0807"/>
    <w:rsid w:val="003C1E87"/>
    <w:rsid w:val="003C4404"/>
    <w:rsid w:val="003C47B4"/>
    <w:rsid w:val="003C50BD"/>
    <w:rsid w:val="003C59FE"/>
    <w:rsid w:val="003C6451"/>
    <w:rsid w:val="003D0C18"/>
    <w:rsid w:val="003D0CC8"/>
    <w:rsid w:val="003D1808"/>
    <w:rsid w:val="003D1D12"/>
    <w:rsid w:val="003D33A8"/>
    <w:rsid w:val="003D3A86"/>
    <w:rsid w:val="003D65B7"/>
    <w:rsid w:val="003D70D1"/>
    <w:rsid w:val="003E0908"/>
    <w:rsid w:val="003E31D3"/>
    <w:rsid w:val="003E6F2C"/>
    <w:rsid w:val="003E7111"/>
    <w:rsid w:val="003F02E9"/>
    <w:rsid w:val="003F34D7"/>
    <w:rsid w:val="003F3E93"/>
    <w:rsid w:val="003F4942"/>
    <w:rsid w:val="003F4B83"/>
    <w:rsid w:val="003F4D9C"/>
    <w:rsid w:val="0040326B"/>
    <w:rsid w:val="0040362A"/>
    <w:rsid w:val="00404297"/>
    <w:rsid w:val="00410494"/>
    <w:rsid w:val="00412644"/>
    <w:rsid w:val="004126B6"/>
    <w:rsid w:val="00415210"/>
    <w:rsid w:val="004156E3"/>
    <w:rsid w:val="00415CC8"/>
    <w:rsid w:val="0041646B"/>
    <w:rsid w:val="004173D9"/>
    <w:rsid w:val="00420938"/>
    <w:rsid w:val="00422BF4"/>
    <w:rsid w:val="0042399C"/>
    <w:rsid w:val="00423AF2"/>
    <w:rsid w:val="00423EF9"/>
    <w:rsid w:val="004331F7"/>
    <w:rsid w:val="004342EC"/>
    <w:rsid w:val="004349B5"/>
    <w:rsid w:val="004351B9"/>
    <w:rsid w:val="00435CD1"/>
    <w:rsid w:val="004371AD"/>
    <w:rsid w:val="004373CD"/>
    <w:rsid w:val="00440885"/>
    <w:rsid w:val="00442CFF"/>
    <w:rsid w:val="00442FCD"/>
    <w:rsid w:val="00443A4E"/>
    <w:rsid w:val="00444152"/>
    <w:rsid w:val="004464B4"/>
    <w:rsid w:val="00451332"/>
    <w:rsid w:val="00452C04"/>
    <w:rsid w:val="00453B11"/>
    <w:rsid w:val="00454E81"/>
    <w:rsid w:val="00455439"/>
    <w:rsid w:val="00457007"/>
    <w:rsid w:val="00457B54"/>
    <w:rsid w:val="0046059D"/>
    <w:rsid w:val="00461BA5"/>
    <w:rsid w:val="00463012"/>
    <w:rsid w:val="004655C7"/>
    <w:rsid w:val="004704C9"/>
    <w:rsid w:val="00475C45"/>
    <w:rsid w:val="0047717E"/>
    <w:rsid w:val="00482118"/>
    <w:rsid w:val="0048333D"/>
    <w:rsid w:val="004835C3"/>
    <w:rsid w:val="00484868"/>
    <w:rsid w:val="004860D6"/>
    <w:rsid w:val="00486792"/>
    <w:rsid w:val="0048770F"/>
    <w:rsid w:val="00490ECA"/>
    <w:rsid w:val="0049600A"/>
    <w:rsid w:val="004A01B4"/>
    <w:rsid w:val="004A1D75"/>
    <w:rsid w:val="004A3411"/>
    <w:rsid w:val="004A54B4"/>
    <w:rsid w:val="004A5A95"/>
    <w:rsid w:val="004A70FF"/>
    <w:rsid w:val="004A780E"/>
    <w:rsid w:val="004B23DE"/>
    <w:rsid w:val="004B3C7B"/>
    <w:rsid w:val="004B4D49"/>
    <w:rsid w:val="004B5A33"/>
    <w:rsid w:val="004B6269"/>
    <w:rsid w:val="004C0CC2"/>
    <w:rsid w:val="004C1B77"/>
    <w:rsid w:val="004C2617"/>
    <w:rsid w:val="004C2C9E"/>
    <w:rsid w:val="004C59EB"/>
    <w:rsid w:val="004C7F13"/>
    <w:rsid w:val="004D0BB8"/>
    <w:rsid w:val="004D0FDB"/>
    <w:rsid w:val="004D295C"/>
    <w:rsid w:val="004D3149"/>
    <w:rsid w:val="004D3BA7"/>
    <w:rsid w:val="004D3D87"/>
    <w:rsid w:val="004D66D8"/>
    <w:rsid w:val="004D713C"/>
    <w:rsid w:val="004E0380"/>
    <w:rsid w:val="004E0CA5"/>
    <w:rsid w:val="004E2BE0"/>
    <w:rsid w:val="004E5B98"/>
    <w:rsid w:val="004E63CD"/>
    <w:rsid w:val="004F0402"/>
    <w:rsid w:val="004F0B6A"/>
    <w:rsid w:val="004F1D9F"/>
    <w:rsid w:val="004F5136"/>
    <w:rsid w:val="004F5DAD"/>
    <w:rsid w:val="004F662F"/>
    <w:rsid w:val="004F74AD"/>
    <w:rsid w:val="005024F3"/>
    <w:rsid w:val="005033A5"/>
    <w:rsid w:val="005058E8"/>
    <w:rsid w:val="005062F5"/>
    <w:rsid w:val="00507B20"/>
    <w:rsid w:val="00511713"/>
    <w:rsid w:val="00513085"/>
    <w:rsid w:val="005146DD"/>
    <w:rsid w:val="00515C66"/>
    <w:rsid w:val="00516B44"/>
    <w:rsid w:val="00516CE9"/>
    <w:rsid w:val="00516E9A"/>
    <w:rsid w:val="00517530"/>
    <w:rsid w:val="00520351"/>
    <w:rsid w:val="00521B4B"/>
    <w:rsid w:val="00521B65"/>
    <w:rsid w:val="005220A4"/>
    <w:rsid w:val="00526397"/>
    <w:rsid w:val="00526ED6"/>
    <w:rsid w:val="005279CB"/>
    <w:rsid w:val="0053252F"/>
    <w:rsid w:val="00533D93"/>
    <w:rsid w:val="00533E75"/>
    <w:rsid w:val="00536F53"/>
    <w:rsid w:val="00540F87"/>
    <w:rsid w:val="00542F7C"/>
    <w:rsid w:val="00544899"/>
    <w:rsid w:val="00545BCB"/>
    <w:rsid w:val="0054610E"/>
    <w:rsid w:val="00547B02"/>
    <w:rsid w:val="005506D8"/>
    <w:rsid w:val="00552136"/>
    <w:rsid w:val="00555221"/>
    <w:rsid w:val="00556F61"/>
    <w:rsid w:val="00561A48"/>
    <w:rsid w:val="00562DCF"/>
    <w:rsid w:val="0056315B"/>
    <w:rsid w:val="00563E5F"/>
    <w:rsid w:val="00564EA4"/>
    <w:rsid w:val="005656A0"/>
    <w:rsid w:val="00572AE2"/>
    <w:rsid w:val="00572B05"/>
    <w:rsid w:val="005749E9"/>
    <w:rsid w:val="00575F88"/>
    <w:rsid w:val="00577322"/>
    <w:rsid w:val="0058102E"/>
    <w:rsid w:val="005818A5"/>
    <w:rsid w:val="0058306E"/>
    <w:rsid w:val="00583D41"/>
    <w:rsid w:val="00583E74"/>
    <w:rsid w:val="00587F5B"/>
    <w:rsid w:val="00587F8C"/>
    <w:rsid w:val="00591AE5"/>
    <w:rsid w:val="00593EDE"/>
    <w:rsid w:val="0059424F"/>
    <w:rsid w:val="00594703"/>
    <w:rsid w:val="00594DCD"/>
    <w:rsid w:val="005962CA"/>
    <w:rsid w:val="00597644"/>
    <w:rsid w:val="005A04DD"/>
    <w:rsid w:val="005A0CD9"/>
    <w:rsid w:val="005A0F5D"/>
    <w:rsid w:val="005A114E"/>
    <w:rsid w:val="005A141C"/>
    <w:rsid w:val="005A24CD"/>
    <w:rsid w:val="005A29B4"/>
    <w:rsid w:val="005A3BBB"/>
    <w:rsid w:val="005A6477"/>
    <w:rsid w:val="005A6A64"/>
    <w:rsid w:val="005A6AF6"/>
    <w:rsid w:val="005B0AB2"/>
    <w:rsid w:val="005B0B0C"/>
    <w:rsid w:val="005B16A4"/>
    <w:rsid w:val="005B20EE"/>
    <w:rsid w:val="005B3C26"/>
    <w:rsid w:val="005B634B"/>
    <w:rsid w:val="005B6E0C"/>
    <w:rsid w:val="005C0F2F"/>
    <w:rsid w:val="005C28CA"/>
    <w:rsid w:val="005C32D0"/>
    <w:rsid w:val="005C3F27"/>
    <w:rsid w:val="005C4661"/>
    <w:rsid w:val="005C5972"/>
    <w:rsid w:val="005C5BA3"/>
    <w:rsid w:val="005D001B"/>
    <w:rsid w:val="005D0028"/>
    <w:rsid w:val="005D1A32"/>
    <w:rsid w:val="005D47A5"/>
    <w:rsid w:val="005D48A0"/>
    <w:rsid w:val="005D6150"/>
    <w:rsid w:val="005D7BEB"/>
    <w:rsid w:val="005E0A38"/>
    <w:rsid w:val="005E0D72"/>
    <w:rsid w:val="005E4058"/>
    <w:rsid w:val="005E5563"/>
    <w:rsid w:val="005E68FD"/>
    <w:rsid w:val="005E690D"/>
    <w:rsid w:val="005F016C"/>
    <w:rsid w:val="005F1A4A"/>
    <w:rsid w:val="005F1AC6"/>
    <w:rsid w:val="005F1BCA"/>
    <w:rsid w:val="005F1D28"/>
    <w:rsid w:val="005F3B77"/>
    <w:rsid w:val="005F50C5"/>
    <w:rsid w:val="005F70F0"/>
    <w:rsid w:val="00601EAA"/>
    <w:rsid w:val="00603696"/>
    <w:rsid w:val="006037D3"/>
    <w:rsid w:val="00604CBD"/>
    <w:rsid w:val="0060534A"/>
    <w:rsid w:val="00605CD6"/>
    <w:rsid w:val="00606080"/>
    <w:rsid w:val="006066AC"/>
    <w:rsid w:val="00611E92"/>
    <w:rsid w:val="00614D93"/>
    <w:rsid w:val="00615089"/>
    <w:rsid w:val="0062058A"/>
    <w:rsid w:val="00621622"/>
    <w:rsid w:val="00621F5A"/>
    <w:rsid w:val="00623169"/>
    <w:rsid w:val="0062583C"/>
    <w:rsid w:val="00626EBC"/>
    <w:rsid w:val="00627DDE"/>
    <w:rsid w:val="006314FB"/>
    <w:rsid w:val="00632162"/>
    <w:rsid w:val="00633328"/>
    <w:rsid w:val="0063426B"/>
    <w:rsid w:val="006348E9"/>
    <w:rsid w:val="006348F1"/>
    <w:rsid w:val="006349CB"/>
    <w:rsid w:val="00634AB2"/>
    <w:rsid w:val="00634E2D"/>
    <w:rsid w:val="006402C6"/>
    <w:rsid w:val="006408DE"/>
    <w:rsid w:val="00640B70"/>
    <w:rsid w:val="0064272E"/>
    <w:rsid w:val="00645569"/>
    <w:rsid w:val="00645B7F"/>
    <w:rsid w:val="00646BD2"/>
    <w:rsid w:val="00647AD0"/>
    <w:rsid w:val="00647F97"/>
    <w:rsid w:val="006501D7"/>
    <w:rsid w:val="00650237"/>
    <w:rsid w:val="00651516"/>
    <w:rsid w:val="00652716"/>
    <w:rsid w:val="006534BD"/>
    <w:rsid w:val="006536F4"/>
    <w:rsid w:val="00656213"/>
    <w:rsid w:val="00656B4E"/>
    <w:rsid w:val="00660AB0"/>
    <w:rsid w:val="00660C5C"/>
    <w:rsid w:val="00662041"/>
    <w:rsid w:val="00662043"/>
    <w:rsid w:val="00662605"/>
    <w:rsid w:val="006636D6"/>
    <w:rsid w:val="006642BF"/>
    <w:rsid w:val="006643EE"/>
    <w:rsid w:val="006657D6"/>
    <w:rsid w:val="0066610D"/>
    <w:rsid w:val="0067017F"/>
    <w:rsid w:val="006737EC"/>
    <w:rsid w:val="00674AD4"/>
    <w:rsid w:val="00674C18"/>
    <w:rsid w:val="006756BB"/>
    <w:rsid w:val="0067651A"/>
    <w:rsid w:val="0068013A"/>
    <w:rsid w:val="00681980"/>
    <w:rsid w:val="006819ED"/>
    <w:rsid w:val="00683575"/>
    <w:rsid w:val="006902EA"/>
    <w:rsid w:val="00690F20"/>
    <w:rsid w:val="006912F0"/>
    <w:rsid w:val="00692787"/>
    <w:rsid w:val="00693C3E"/>
    <w:rsid w:val="006965EC"/>
    <w:rsid w:val="006967C6"/>
    <w:rsid w:val="00697291"/>
    <w:rsid w:val="00697D4F"/>
    <w:rsid w:val="006A083F"/>
    <w:rsid w:val="006A1E59"/>
    <w:rsid w:val="006A2367"/>
    <w:rsid w:val="006A52D2"/>
    <w:rsid w:val="006B008D"/>
    <w:rsid w:val="006B04B7"/>
    <w:rsid w:val="006B0A78"/>
    <w:rsid w:val="006B0C6F"/>
    <w:rsid w:val="006B0DB3"/>
    <w:rsid w:val="006B18B0"/>
    <w:rsid w:val="006B1A37"/>
    <w:rsid w:val="006B2861"/>
    <w:rsid w:val="006B5664"/>
    <w:rsid w:val="006B7342"/>
    <w:rsid w:val="006B7A51"/>
    <w:rsid w:val="006C10C6"/>
    <w:rsid w:val="006C30A8"/>
    <w:rsid w:val="006D305A"/>
    <w:rsid w:val="006D31BF"/>
    <w:rsid w:val="006D76D8"/>
    <w:rsid w:val="006D79CA"/>
    <w:rsid w:val="006E0565"/>
    <w:rsid w:val="006E11C4"/>
    <w:rsid w:val="006E6807"/>
    <w:rsid w:val="006E6F0F"/>
    <w:rsid w:val="006F0802"/>
    <w:rsid w:val="006F0DB2"/>
    <w:rsid w:val="006F1A4E"/>
    <w:rsid w:val="006F2058"/>
    <w:rsid w:val="006F3117"/>
    <w:rsid w:val="006F538C"/>
    <w:rsid w:val="006F5E5E"/>
    <w:rsid w:val="00704F08"/>
    <w:rsid w:val="0070553D"/>
    <w:rsid w:val="00707417"/>
    <w:rsid w:val="00711828"/>
    <w:rsid w:val="00711F00"/>
    <w:rsid w:val="00713CB7"/>
    <w:rsid w:val="0071430E"/>
    <w:rsid w:val="00717C85"/>
    <w:rsid w:val="00721798"/>
    <w:rsid w:val="007252FE"/>
    <w:rsid w:val="007276F5"/>
    <w:rsid w:val="007278A8"/>
    <w:rsid w:val="0072796B"/>
    <w:rsid w:val="007321D0"/>
    <w:rsid w:val="007357A5"/>
    <w:rsid w:val="00736D00"/>
    <w:rsid w:val="00737C22"/>
    <w:rsid w:val="00740902"/>
    <w:rsid w:val="007428FF"/>
    <w:rsid w:val="00745922"/>
    <w:rsid w:val="00746618"/>
    <w:rsid w:val="00746668"/>
    <w:rsid w:val="007477F9"/>
    <w:rsid w:val="007508FD"/>
    <w:rsid w:val="007524E6"/>
    <w:rsid w:val="00752F4A"/>
    <w:rsid w:val="00753555"/>
    <w:rsid w:val="00753AB4"/>
    <w:rsid w:val="007555E9"/>
    <w:rsid w:val="00756547"/>
    <w:rsid w:val="00756629"/>
    <w:rsid w:val="0075664E"/>
    <w:rsid w:val="007576FB"/>
    <w:rsid w:val="00757CC9"/>
    <w:rsid w:val="00760450"/>
    <w:rsid w:val="0076093A"/>
    <w:rsid w:val="00760FBE"/>
    <w:rsid w:val="00763232"/>
    <w:rsid w:val="007636A7"/>
    <w:rsid w:val="00764DB8"/>
    <w:rsid w:val="007654F5"/>
    <w:rsid w:val="007655D2"/>
    <w:rsid w:val="007709B2"/>
    <w:rsid w:val="0077394A"/>
    <w:rsid w:val="00775AF0"/>
    <w:rsid w:val="007760E7"/>
    <w:rsid w:val="00777627"/>
    <w:rsid w:val="0078042F"/>
    <w:rsid w:val="00780733"/>
    <w:rsid w:val="00781EFD"/>
    <w:rsid w:val="007860C9"/>
    <w:rsid w:val="00786315"/>
    <w:rsid w:val="00786DB6"/>
    <w:rsid w:val="00791420"/>
    <w:rsid w:val="00792119"/>
    <w:rsid w:val="00793937"/>
    <w:rsid w:val="00794A84"/>
    <w:rsid w:val="00797CBE"/>
    <w:rsid w:val="007A051F"/>
    <w:rsid w:val="007A0E5B"/>
    <w:rsid w:val="007A1C12"/>
    <w:rsid w:val="007A2059"/>
    <w:rsid w:val="007A6A83"/>
    <w:rsid w:val="007A75F6"/>
    <w:rsid w:val="007B037A"/>
    <w:rsid w:val="007B071D"/>
    <w:rsid w:val="007B0756"/>
    <w:rsid w:val="007B3017"/>
    <w:rsid w:val="007B4D57"/>
    <w:rsid w:val="007B68B4"/>
    <w:rsid w:val="007B6D98"/>
    <w:rsid w:val="007B797F"/>
    <w:rsid w:val="007C078E"/>
    <w:rsid w:val="007C0FB5"/>
    <w:rsid w:val="007C1F0D"/>
    <w:rsid w:val="007C242D"/>
    <w:rsid w:val="007C29B1"/>
    <w:rsid w:val="007C5076"/>
    <w:rsid w:val="007C56F9"/>
    <w:rsid w:val="007C7DBE"/>
    <w:rsid w:val="007D07A0"/>
    <w:rsid w:val="007D0C83"/>
    <w:rsid w:val="007D0CAA"/>
    <w:rsid w:val="007D1C20"/>
    <w:rsid w:val="007D3072"/>
    <w:rsid w:val="007D4483"/>
    <w:rsid w:val="007D61CB"/>
    <w:rsid w:val="007E30F1"/>
    <w:rsid w:val="007E70C1"/>
    <w:rsid w:val="007E7A0D"/>
    <w:rsid w:val="007E7EDD"/>
    <w:rsid w:val="007F1A2A"/>
    <w:rsid w:val="007F2E80"/>
    <w:rsid w:val="007F3762"/>
    <w:rsid w:val="007F404A"/>
    <w:rsid w:val="007F57E8"/>
    <w:rsid w:val="007F6291"/>
    <w:rsid w:val="007F6656"/>
    <w:rsid w:val="00802E69"/>
    <w:rsid w:val="00803F7D"/>
    <w:rsid w:val="0080449E"/>
    <w:rsid w:val="008047AA"/>
    <w:rsid w:val="00804EE6"/>
    <w:rsid w:val="00805265"/>
    <w:rsid w:val="00810C46"/>
    <w:rsid w:val="0081280E"/>
    <w:rsid w:val="00813DF8"/>
    <w:rsid w:val="00814ADE"/>
    <w:rsid w:val="008155E3"/>
    <w:rsid w:val="00816515"/>
    <w:rsid w:val="008176B1"/>
    <w:rsid w:val="00817DAE"/>
    <w:rsid w:val="00820C07"/>
    <w:rsid w:val="00822075"/>
    <w:rsid w:val="0082212D"/>
    <w:rsid w:val="008231A2"/>
    <w:rsid w:val="00823BD0"/>
    <w:rsid w:val="00823FB9"/>
    <w:rsid w:val="0082635E"/>
    <w:rsid w:val="00826BCF"/>
    <w:rsid w:val="00830525"/>
    <w:rsid w:val="008313CC"/>
    <w:rsid w:val="00831F0E"/>
    <w:rsid w:val="00832C3E"/>
    <w:rsid w:val="00833270"/>
    <w:rsid w:val="0083448F"/>
    <w:rsid w:val="00835C67"/>
    <w:rsid w:val="0083659C"/>
    <w:rsid w:val="00841FBF"/>
    <w:rsid w:val="00843DE5"/>
    <w:rsid w:val="0084451C"/>
    <w:rsid w:val="00844A09"/>
    <w:rsid w:val="00846678"/>
    <w:rsid w:val="00846BAC"/>
    <w:rsid w:val="00847020"/>
    <w:rsid w:val="00847CB6"/>
    <w:rsid w:val="00850CEE"/>
    <w:rsid w:val="00854B7D"/>
    <w:rsid w:val="00857A1C"/>
    <w:rsid w:val="0086022E"/>
    <w:rsid w:val="00861A01"/>
    <w:rsid w:val="0086268C"/>
    <w:rsid w:val="00865459"/>
    <w:rsid w:val="00865897"/>
    <w:rsid w:val="008663C1"/>
    <w:rsid w:val="008668E3"/>
    <w:rsid w:val="00867450"/>
    <w:rsid w:val="008711C6"/>
    <w:rsid w:val="0087140E"/>
    <w:rsid w:val="00871C84"/>
    <w:rsid w:val="008740EC"/>
    <w:rsid w:val="00877CBD"/>
    <w:rsid w:val="008817A6"/>
    <w:rsid w:val="00881D25"/>
    <w:rsid w:val="00881DF9"/>
    <w:rsid w:val="0088534E"/>
    <w:rsid w:val="00885AB8"/>
    <w:rsid w:val="00887308"/>
    <w:rsid w:val="00891D04"/>
    <w:rsid w:val="0089283B"/>
    <w:rsid w:val="00892A86"/>
    <w:rsid w:val="008932A4"/>
    <w:rsid w:val="00893F29"/>
    <w:rsid w:val="00895DD0"/>
    <w:rsid w:val="008962D0"/>
    <w:rsid w:val="00897B99"/>
    <w:rsid w:val="008A276C"/>
    <w:rsid w:val="008A2979"/>
    <w:rsid w:val="008A2A14"/>
    <w:rsid w:val="008A2A62"/>
    <w:rsid w:val="008A34E7"/>
    <w:rsid w:val="008A3588"/>
    <w:rsid w:val="008A5A8D"/>
    <w:rsid w:val="008A6A08"/>
    <w:rsid w:val="008A6B3D"/>
    <w:rsid w:val="008A778C"/>
    <w:rsid w:val="008B12DD"/>
    <w:rsid w:val="008B16CC"/>
    <w:rsid w:val="008B251C"/>
    <w:rsid w:val="008B2D96"/>
    <w:rsid w:val="008B45A5"/>
    <w:rsid w:val="008B4EBD"/>
    <w:rsid w:val="008B52A8"/>
    <w:rsid w:val="008C0877"/>
    <w:rsid w:val="008C2298"/>
    <w:rsid w:val="008C26D9"/>
    <w:rsid w:val="008C2926"/>
    <w:rsid w:val="008C4A0A"/>
    <w:rsid w:val="008C4D58"/>
    <w:rsid w:val="008C6B6D"/>
    <w:rsid w:val="008C703A"/>
    <w:rsid w:val="008C78B2"/>
    <w:rsid w:val="008D0D33"/>
    <w:rsid w:val="008D56D1"/>
    <w:rsid w:val="008D7DE5"/>
    <w:rsid w:val="008E1FB7"/>
    <w:rsid w:val="008E304C"/>
    <w:rsid w:val="008E4C5E"/>
    <w:rsid w:val="008E50E5"/>
    <w:rsid w:val="008E72C0"/>
    <w:rsid w:val="008F0771"/>
    <w:rsid w:val="008F086F"/>
    <w:rsid w:val="008F0D44"/>
    <w:rsid w:val="008F1364"/>
    <w:rsid w:val="008F182F"/>
    <w:rsid w:val="008F289E"/>
    <w:rsid w:val="008F4704"/>
    <w:rsid w:val="008F5118"/>
    <w:rsid w:val="008F5E3B"/>
    <w:rsid w:val="008F664C"/>
    <w:rsid w:val="008F76D4"/>
    <w:rsid w:val="00902893"/>
    <w:rsid w:val="0090416E"/>
    <w:rsid w:val="0090421F"/>
    <w:rsid w:val="00904A2A"/>
    <w:rsid w:val="00906E85"/>
    <w:rsid w:val="00907F89"/>
    <w:rsid w:val="009110E3"/>
    <w:rsid w:val="009111FB"/>
    <w:rsid w:val="00911761"/>
    <w:rsid w:val="009120C7"/>
    <w:rsid w:val="0091255F"/>
    <w:rsid w:val="009134E3"/>
    <w:rsid w:val="00914096"/>
    <w:rsid w:val="0091577F"/>
    <w:rsid w:val="009161A1"/>
    <w:rsid w:val="00920FA9"/>
    <w:rsid w:val="0092175E"/>
    <w:rsid w:val="00924077"/>
    <w:rsid w:val="00925047"/>
    <w:rsid w:val="00925C98"/>
    <w:rsid w:val="00925D1C"/>
    <w:rsid w:val="00927DE7"/>
    <w:rsid w:val="009301CF"/>
    <w:rsid w:val="009326AA"/>
    <w:rsid w:val="00932CAA"/>
    <w:rsid w:val="0093316F"/>
    <w:rsid w:val="00935019"/>
    <w:rsid w:val="009417AE"/>
    <w:rsid w:val="00942513"/>
    <w:rsid w:val="00943F91"/>
    <w:rsid w:val="00944460"/>
    <w:rsid w:val="00945B04"/>
    <w:rsid w:val="0094664B"/>
    <w:rsid w:val="00950F4C"/>
    <w:rsid w:val="0095310B"/>
    <w:rsid w:val="009559ED"/>
    <w:rsid w:val="00956460"/>
    <w:rsid w:val="009575B9"/>
    <w:rsid w:val="0096009B"/>
    <w:rsid w:val="00960612"/>
    <w:rsid w:val="00960824"/>
    <w:rsid w:val="00960B3E"/>
    <w:rsid w:val="00962B96"/>
    <w:rsid w:val="009632D1"/>
    <w:rsid w:val="00963941"/>
    <w:rsid w:val="00963BA6"/>
    <w:rsid w:val="00963FB6"/>
    <w:rsid w:val="00964829"/>
    <w:rsid w:val="00965DC0"/>
    <w:rsid w:val="00966859"/>
    <w:rsid w:val="009670A2"/>
    <w:rsid w:val="009708C7"/>
    <w:rsid w:val="00970C0C"/>
    <w:rsid w:val="0097204C"/>
    <w:rsid w:val="0097591B"/>
    <w:rsid w:val="009763EC"/>
    <w:rsid w:val="00977CBA"/>
    <w:rsid w:val="00980ABA"/>
    <w:rsid w:val="00980EFC"/>
    <w:rsid w:val="00981A65"/>
    <w:rsid w:val="00982D4B"/>
    <w:rsid w:val="00984DAE"/>
    <w:rsid w:val="009853E8"/>
    <w:rsid w:val="00986241"/>
    <w:rsid w:val="00990515"/>
    <w:rsid w:val="00991D56"/>
    <w:rsid w:val="00992D48"/>
    <w:rsid w:val="009A0CEB"/>
    <w:rsid w:val="009A25C8"/>
    <w:rsid w:val="009A2688"/>
    <w:rsid w:val="009A2D23"/>
    <w:rsid w:val="009A3E58"/>
    <w:rsid w:val="009A4C68"/>
    <w:rsid w:val="009A686A"/>
    <w:rsid w:val="009B1CFA"/>
    <w:rsid w:val="009B48DB"/>
    <w:rsid w:val="009B6C15"/>
    <w:rsid w:val="009C12CA"/>
    <w:rsid w:val="009C2486"/>
    <w:rsid w:val="009C3153"/>
    <w:rsid w:val="009C3C87"/>
    <w:rsid w:val="009C7517"/>
    <w:rsid w:val="009C7E09"/>
    <w:rsid w:val="009D119B"/>
    <w:rsid w:val="009D13F8"/>
    <w:rsid w:val="009D1E6D"/>
    <w:rsid w:val="009D3664"/>
    <w:rsid w:val="009D389A"/>
    <w:rsid w:val="009E00C0"/>
    <w:rsid w:val="009E1BD9"/>
    <w:rsid w:val="009E2269"/>
    <w:rsid w:val="009E31D1"/>
    <w:rsid w:val="009E3B33"/>
    <w:rsid w:val="009E4393"/>
    <w:rsid w:val="009E4D51"/>
    <w:rsid w:val="009E4FE6"/>
    <w:rsid w:val="009F07D1"/>
    <w:rsid w:val="009F0CAB"/>
    <w:rsid w:val="009F1E4D"/>
    <w:rsid w:val="009F6D16"/>
    <w:rsid w:val="009F7CC8"/>
    <w:rsid w:val="00A00010"/>
    <w:rsid w:val="00A001AA"/>
    <w:rsid w:val="00A031E5"/>
    <w:rsid w:val="00A042DA"/>
    <w:rsid w:val="00A04992"/>
    <w:rsid w:val="00A0625F"/>
    <w:rsid w:val="00A12038"/>
    <w:rsid w:val="00A12F45"/>
    <w:rsid w:val="00A136A8"/>
    <w:rsid w:val="00A1406F"/>
    <w:rsid w:val="00A14779"/>
    <w:rsid w:val="00A16729"/>
    <w:rsid w:val="00A17B5D"/>
    <w:rsid w:val="00A17B9E"/>
    <w:rsid w:val="00A200DF"/>
    <w:rsid w:val="00A20CFC"/>
    <w:rsid w:val="00A236E1"/>
    <w:rsid w:val="00A25C48"/>
    <w:rsid w:val="00A26152"/>
    <w:rsid w:val="00A26B5D"/>
    <w:rsid w:val="00A26F96"/>
    <w:rsid w:val="00A27AE6"/>
    <w:rsid w:val="00A27DBC"/>
    <w:rsid w:val="00A30741"/>
    <w:rsid w:val="00A31017"/>
    <w:rsid w:val="00A339CE"/>
    <w:rsid w:val="00A33BC0"/>
    <w:rsid w:val="00A33FAD"/>
    <w:rsid w:val="00A345D6"/>
    <w:rsid w:val="00A3582D"/>
    <w:rsid w:val="00A367B1"/>
    <w:rsid w:val="00A37879"/>
    <w:rsid w:val="00A40709"/>
    <w:rsid w:val="00A40F5A"/>
    <w:rsid w:val="00A449A2"/>
    <w:rsid w:val="00A452E8"/>
    <w:rsid w:val="00A45964"/>
    <w:rsid w:val="00A46511"/>
    <w:rsid w:val="00A47958"/>
    <w:rsid w:val="00A504D3"/>
    <w:rsid w:val="00A508EE"/>
    <w:rsid w:val="00A510D4"/>
    <w:rsid w:val="00A51855"/>
    <w:rsid w:val="00A52188"/>
    <w:rsid w:val="00A52343"/>
    <w:rsid w:val="00A53ACC"/>
    <w:rsid w:val="00A54604"/>
    <w:rsid w:val="00A547DD"/>
    <w:rsid w:val="00A557F5"/>
    <w:rsid w:val="00A56126"/>
    <w:rsid w:val="00A577D3"/>
    <w:rsid w:val="00A60BF3"/>
    <w:rsid w:val="00A62364"/>
    <w:rsid w:val="00A653F9"/>
    <w:rsid w:val="00A661D7"/>
    <w:rsid w:val="00A66332"/>
    <w:rsid w:val="00A66A70"/>
    <w:rsid w:val="00A733E4"/>
    <w:rsid w:val="00A73E5B"/>
    <w:rsid w:val="00A74656"/>
    <w:rsid w:val="00A753B8"/>
    <w:rsid w:val="00A764A5"/>
    <w:rsid w:val="00A77A68"/>
    <w:rsid w:val="00A803B0"/>
    <w:rsid w:val="00A8092E"/>
    <w:rsid w:val="00A8223D"/>
    <w:rsid w:val="00A836B7"/>
    <w:rsid w:val="00A8516C"/>
    <w:rsid w:val="00A8573F"/>
    <w:rsid w:val="00A86B56"/>
    <w:rsid w:val="00A86B93"/>
    <w:rsid w:val="00A8719F"/>
    <w:rsid w:val="00A8748A"/>
    <w:rsid w:val="00A90383"/>
    <w:rsid w:val="00A904A5"/>
    <w:rsid w:val="00A91192"/>
    <w:rsid w:val="00A93468"/>
    <w:rsid w:val="00A93502"/>
    <w:rsid w:val="00A9358C"/>
    <w:rsid w:val="00A94367"/>
    <w:rsid w:val="00A962A0"/>
    <w:rsid w:val="00A974E9"/>
    <w:rsid w:val="00A977CB"/>
    <w:rsid w:val="00AA2A28"/>
    <w:rsid w:val="00AA2CFB"/>
    <w:rsid w:val="00AA3522"/>
    <w:rsid w:val="00AA3889"/>
    <w:rsid w:val="00AA44C4"/>
    <w:rsid w:val="00AA56C5"/>
    <w:rsid w:val="00AA5D1B"/>
    <w:rsid w:val="00AA6D3D"/>
    <w:rsid w:val="00AA7A13"/>
    <w:rsid w:val="00AB0AF5"/>
    <w:rsid w:val="00AB180A"/>
    <w:rsid w:val="00AB2859"/>
    <w:rsid w:val="00AB5205"/>
    <w:rsid w:val="00AB662F"/>
    <w:rsid w:val="00AB6668"/>
    <w:rsid w:val="00AB7737"/>
    <w:rsid w:val="00AC0266"/>
    <w:rsid w:val="00AC2982"/>
    <w:rsid w:val="00AC3850"/>
    <w:rsid w:val="00AD0D57"/>
    <w:rsid w:val="00AD2EEB"/>
    <w:rsid w:val="00AD4EA6"/>
    <w:rsid w:val="00AD5F2F"/>
    <w:rsid w:val="00AD60B7"/>
    <w:rsid w:val="00AD69EF"/>
    <w:rsid w:val="00AE19B9"/>
    <w:rsid w:val="00AE26B9"/>
    <w:rsid w:val="00AE3F9F"/>
    <w:rsid w:val="00AE50C7"/>
    <w:rsid w:val="00AE5C92"/>
    <w:rsid w:val="00AE7580"/>
    <w:rsid w:val="00AE77CE"/>
    <w:rsid w:val="00AE79CD"/>
    <w:rsid w:val="00AE7E34"/>
    <w:rsid w:val="00AF2B73"/>
    <w:rsid w:val="00AF2EE6"/>
    <w:rsid w:val="00AF3EB6"/>
    <w:rsid w:val="00AF5F9A"/>
    <w:rsid w:val="00AF6618"/>
    <w:rsid w:val="00AF791D"/>
    <w:rsid w:val="00B00865"/>
    <w:rsid w:val="00B00FBB"/>
    <w:rsid w:val="00B018C5"/>
    <w:rsid w:val="00B01B7B"/>
    <w:rsid w:val="00B0254D"/>
    <w:rsid w:val="00B0273F"/>
    <w:rsid w:val="00B0301D"/>
    <w:rsid w:val="00B036FA"/>
    <w:rsid w:val="00B06696"/>
    <w:rsid w:val="00B06C43"/>
    <w:rsid w:val="00B06CC5"/>
    <w:rsid w:val="00B06E17"/>
    <w:rsid w:val="00B11743"/>
    <w:rsid w:val="00B164E7"/>
    <w:rsid w:val="00B16946"/>
    <w:rsid w:val="00B204E1"/>
    <w:rsid w:val="00B22769"/>
    <w:rsid w:val="00B23279"/>
    <w:rsid w:val="00B23B2C"/>
    <w:rsid w:val="00B24183"/>
    <w:rsid w:val="00B25808"/>
    <w:rsid w:val="00B262E7"/>
    <w:rsid w:val="00B323A5"/>
    <w:rsid w:val="00B3334F"/>
    <w:rsid w:val="00B33953"/>
    <w:rsid w:val="00B33D34"/>
    <w:rsid w:val="00B361F7"/>
    <w:rsid w:val="00B44F69"/>
    <w:rsid w:val="00B45C61"/>
    <w:rsid w:val="00B463B0"/>
    <w:rsid w:val="00B46B98"/>
    <w:rsid w:val="00B53EA4"/>
    <w:rsid w:val="00B5481D"/>
    <w:rsid w:val="00B54BD8"/>
    <w:rsid w:val="00B572F6"/>
    <w:rsid w:val="00B608AC"/>
    <w:rsid w:val="00B6093C"/>
    <w:rsid w:val="00B61623"/>
    <w:rsid w:val="00B61B21"/>
    <w:rsid w:val="00B62A5E"/>
    <w:rsid w:val="00B62E13"/>
    <w:rsid w:val="00B62F7D"/>
    <w:rsid w:val="00B632C0"/>
    <w:rsid w:val="00B63FFF"/>
    <w:rsid w:val="00B6459D"/>
    <w:rsid w:val="00B653AA"/>
    <w:rsid w:val="00B70733"/>
    <w:rsid w:val="00B72C76"/>
    <w:rsid w:val="00B74F2C"/>
    <w:rsid w:val="00B7606D"/>
    <w:rsid w:val="00B803C0"/>
    <w:rsid w:val="00B80C9C"/>
    <w:rsid w:val="00B8537E"/>
    <w:rsid w:val="00B87A31"/>
    <w:rsid w:val="00B92C7F"/>
    <w:rsid w:val="00B9497A"/>
    <w:rsid w:val="00B95680"/>
    <w:rsid w:val="00B963E8"/>
    <w:rsid w:val="00BA134C"/>
    <w:rsid w:val="00BA1C02"/>
    <w:rsid w:val="00BA377A"/>
    <w:rsid w:val="00BA46FC"/>
    <w:rsid w:val="00BA500E"/>
    <w:rsid w:val="00BA7937"/>
    <w:rsid w:val="00BB02EB"/>
    <w:rsid w:val="00BB349B"/>
    <w:rsid w:val="00BB60CF"/>
    <w:rsid w:val="00BB76F8"/>
    <w:rsid w:val="00BB7827"/>
    <w:rsid w:val="00BC12A8"/>
    <w:rsid w:val="00BC175A"/>
    <w:rsid w:val="00BC195A"/>
    <w:rsid w:val="00BC374E"/>
    <w:rsid w:val="00BC477E"/>
    <w:rsid w:val="00BC4833"/>
    <w:rsid w:val="00BC4FA7"/>
    <w:rsid w:val="00BC50BD"/>
    <w:rsid w:val="00BC7D6E"/>
    <w:rsid w:val="00BD1497"/>
    <w:rsid w:val="00BD18C0"/>
    <w:rsid w:val="00BD3CA5"/>
    <w:rsid w:val="00BD47A8"/>
    <w:rsid w:val="00BD49CE"/>
    <w:rsid w:val="00BD7A68"/>
    <w:rsid w:val="00BE007C"/>
    <w:rsid w:val="00BE02FB"/>
    <w:rsid w:val="00BE17F3"/>
    <w:rsid w:val="00BE1B20"/>
    <w:rsid w:val="00BE24A9"/>
    <w:rsid w:val="00BE28F3"/>
    <w:rsid w:val="00BE4518"/>
    <w:rsid w:val="00BE48DC"/>
    <w:rsid w:val="00BE6F33"/>
    <w:rsid w:val="00BE78BD"/>
    <w:rsid w:val="00BE7B5E"/>
    <w:rsid w:val="00BE7D8F"/>
    <w:rsid w:val="00BF21FC"/>
    <w:rsid w:val="00BF3095"/>
    <w:rsid w:val="00BF3158"/>
    <w:rsid w:val="00BF4201"/>
    <w:rsid w:val="00BF488A"/>
    <w:rsid w:val="00BF53D8"/>
    <w:rsid w:val="00C019B2"/>
    <w:rsid w:val="00C01A33"/>
    <w:rsid w:val="00C02D75"/>
    <w:rsid w:val="00C02E0F"/>
    <w:rsid w:val="00C03E2A"/>
    <w:rsid w:val="00C049AC"/>
    <w:rsid w:val="00C05261"/>
    <w:rsid w:val="00C0579D"/>
    <w:rsid w:val="00C05A7F"/>
    <w:rsid w:val="00C05B3B"/>
    <w:rsid w:val="00C062A4"/>
    <w:rsid w:val="00C07BDE"/>
    <w:rsid w:val="00C10DC2"/>
    <w:rsid w:val="00C10F67"/>
    <w:rsid w:val="00C13C74"/>
    <w:rsid w:val="00C14E6A"/>
    <w:rsid w:val="00C15551"/>
    <w:rsid w:val="00C16D82"/>
    <w:rsid w:val="00C17D55"/>
    <w:rsid w:val="00C21C08"/>
    <w:rsid w:val="00C22B78"/>
    <w:rsid w:val="00C25B6E"/>
    <w:rsid w:val="00C26844"/>
    <w:rsid w:val="00C27982"/>
    <w:rsid w:val="00C27D2E"/>
    <w:rsid w:val="00C3086A"/>
    <w:rsid w:val="00C31CF9"/>
    <w:rsid w:val="00C31E2F"/>
    <w:rsid w:val="00C4160E"/>
    <w:rsid w:val="00C43ACA"/>
    <w:rsid w:val="00C46BA7"/>
    <w:rsid w:val="00C47E3C"/>
    <w:rsid w:val="00C50EEE"/>
    <w:rsid w:val="00C519D3"/>
    <w:rsid w:val="00C51F2F"/>
    <w:rsid w:val="00C563B1"/>
    <w:rsid w:val="00C56E6B"/>
    <w:rsid w:val="00C57EB9"/>
    <w:rsid w:val="00C60C43"/>
    <w:rsid w:val="00C60E97"/>
    <w:rsid w:val="00C612B9"/>
    <w:rsid w:val="00C6407D"/>
    <w:rsid w:val="00C6528F"/>
    <w:rsid w:val="00C67889"/>
    <w:rsid w:val="00C67B6A"/>
    <w:rsid w:val="00C67B7C"/>
    <w:rsid w:val="00C7041E"/>
    <w:rsid w:val="00C7089F"/>
    <w:rsid w:val="00C71824"/>
    <w:rsid w:val="00C738E1"/>
    <w:rsid w:val="00C73A23"/>
    <w:rsid w:val="00C7767E"/>
    <w:rsid w:val="00C777BD"/>
    <w:rsid w:val="00C77F17"/>
    <w:rsid w:val="00C80548"/>
    <w:rsid w:val="00C80CF2"/>
    <w:rsid w:val="00C849F1"/>
    <w:rsid w:val="00C85CD3"/>
    <w:rsid w:val="00C8676C"/>
    <w:rsid w:val="00C868C7"/>
    <w:rsid w:val="00C86ABF"/>
    <w:rsid w:val="00C90129"/>
    <w:rsid w:val="00C90D4E"/>
    <w:rsid w:val="00C90DBB"/>
    <w:rsid w:val="00C91011"/>
    <w:rsid w:val="00C92368"/>
    <w:rsid w:val="00C927A9"/>
    <w:rsid w:val="00C92B5B"/>
    <w:rsid w:val="00C94FBC"/>
    <w:rsid w:val="00C95659"/>
    <w:rsid w:val="00C96BD6"/>
    <w:rsid w:val="00C97D69"/>
    <w:rsid w:val="00CA0AF1"/>
    <w:rsid w:val="00CA25EA"/>
    <w:rsid w:val="00CA4B99"/>
    <w:rsid w:val="00CA53CD"/>
    <w:rsid w:val="00CA5BD9"/>
    <w:rsid w:val="00CA6573"/>
    <w:rsid w:val="00CA6B6A"/>
    <w:rsid w:val="00CA7551"/>
    <w:rsid w:val="00CB15B9"/>
    <w:rsid w:val="00CB418C"/>
    <w:rsid w:val="00CC0370"/>
    <w:rsid w:val="00CC04B8"/>
    <w:rsid w:val="00CC26A0"/>
    <w:rsid w:val="00CC2F7E"/>
    <w:rsid w:val="00CC33EA"/>
    <w:rsid w:val="00CC4434"/>
    <w:rsid w:val="00CC59DE"/>
    <w:rsid w:val="00CC6027"/>
    <w:rsid w:val="00CC795C"/>
    <w:rsid w:val="00CD06AC"/>
    <w:rsid w:val="00CD081B"/>
    <w:rsid w:val="00CD1455"/>
    <w:rsid w:val="00CD1534"/>
    <w:rsid w:val="00CD2475"/>
    <w:rsid w:val="00CD256F"/>
    <w:rsid w:val="00CD5AD2"/>
    <w:rsid w:val="00CD6687"/>
    <w:rsid w:val="00CD76A7"/>
    <w:rsid w:val="00CF00A0"/>
    <w:rsid w:val="00CF035A"/>
    <w:rsid w:val="00CF2A43"/>
    <w:rsid w:val="00CF31BB"/>
    <w:rsid w:val="00CF4591"/>
    <w:rsid w:val="00CF73C5"/>
    <w:rsid w:val="00D006E4"/>
    <w:rsid w:val="00D02004"/>
    <w:rsid w:val="00D02F9E"/>
    <w:rsid w:val="00D05330"/>
    <w:rsid w:val="00D07BF0"/>
    <w:rsid w:val="00D100C6"/>
    <w:rsid w:val="00D11A9E"/>
    <w:rsid w:val="00D11D87"/>
    <w:rsid w:val="00D1304C"/>
    <w:rsid w:val="00D1309C"/>
    <w:rsid w:val="00D13ABE"/>
    <w:rsid w:val="00D14825"/>
    <w:rsid w:val="00D2085F"/>
    <w:rsid w:val="00D20BAB"/>
    <w:rsid w:val="00D20EDB"/>
    <w:rsid w:val="00D217C5"/>
    <w:rsid w:val="00D22DF7"/>
    <w:rsid w:val="00D252A0"/>
    <w:rsid w:val="00D2586C"/>
    <w:rsid w:val="00D25FC5"/>
    <w:rsid w:val="00D276C8"/>
    <w:rsid w:val="00D3063D"/>
    <w:rsid w:val="00D3132D"/>
    <w:rsid w:val="00D31AC9"/>
    <w:rsid w:val="00D3463D"/>
    <w:rsid w:val="00D34A7A"/>
    <w:rsid w:val="00D36B24"/>
    <w:rsid w:val="00D37144"/>
    <w:rsid w:val="00D4209D"/>
    <w:rsid w:val="00D428D8"/>
    <w:rsid w:val="00D436EC"/>
    <w:rsid w:val="00D43CDB"/>
    <w:rsid w:val="00D50733"/>
    <w:rsid w:val="00D51A5F"/>
    <w:rsid w:val="00D51B74"/>
    <w:rsid w:val="00D56344"/>
    <w:rsid w:val="00D601AC"/>
    <w:rsid w:val="00D6508D"/>
    <w:rsid w:val="00D66711"/>
    <w:rsid w:val="00D67843"/>
    <w:rsid w:val="00D7030B"/>
    <w:rsid w:val="00D73652"/>
    <w:rsid w:val="00D74FD7"/>
    <w:rsid w:val="00D757DC"/>
    <w:rsid w:val="00D80253"/>
    <w:rsid w:val="00D80C95"/>
    <w:rsid w:val="00D81A55"/>
    <w:rsid w:val="00D904EE"/>
    <w:rsid w:val="00D9116B"/>
    <w:rsid w:val="00D91444"/>
    <w:rsid w:val="00D918E2"/>
    <w:rsid w:val="00D92FF5"/>
    <w:rsid w:val="00D946CC"/>
    <w:rsid w:val="00D96D52"/>
    <w:rsid w:val="00D9778D"/>
    <w:rsid w:val="00DA1F14"/>
    <w:rsid w:val="00DA33F5"/>
    <w:rsid w:val="00DA3EAF"/>
    <w:rsid w:val="00DA6AA3"/>
    <w:rsid w:val="00DA6C31"/>
    <w:rsid w:val="00DB15A2"/>
    <w:rsid w:val="00DB1756"/>
    <w:rsid w:val="00DB6E5F"/>
    <w:rsid w:val="00DC16C7"/>
    <w:rsid w:val="00DC47ED"/>
    <w:rsid w:val="00DC4BD7"/>
    <w:rsid w:val="00DC5802"/>
    <w:rsid w:val="00DC6D95"/>
    <w:rsid w:val="00DC71EB"/>
    <w:rsid w:val="00DD02DB"/>
    <w:rsid w:val="00DD3525"/>
    <w:rsid w:val="00DD39C5"/>
    <w:rsid w:val="00DD497A"/>
    <w:rsid w:val="00DE0C60"/>
    <w:rsid w:val="00DE428B"/>
    <w:rsid w:val="00DE4465"/>
    <w:rsid w:val="00DE4880"/>
    <w:rsid w:val="00DE5F9B"/>
    <w:rsid w:val="00DE61DF"/>
    <w:rsid w:val="00DF0368"/>
    <w:rsid w:val="00DF0554"/>
    <w:rsid w:val="00DF1D27"/>
    <w:rsid w:val="00DF219E"/>
    <w:rsid w:val="00DF3001"/>
    <w:rsid w:val="00DF3A28"/>
    <w:rsid w:val="00DF3F8B"/>
    <w:rsid w:val="00DF4D1C"/>
    <w:rsid w:val="00DF598A"/>
    <w:rsid w:val="00DF5FBB"/>
    <w:rsid w:val="00DF66F3"/>
    <w:rsid w:val="00DF6FDB"/>
    <w:rsid w:val="00E0101C"/>
    <w:rsid w:val="00E018BA"/>
    <w:rsid w:val="00E02D74"/>
    <w:rsid w:val="00E03FC2"/>
    <w:rsid w:val="00E046EE"/>
    <w:rsid w:val="00E07666"/>
    <w:rsid w:val="00E12F20"/>
    <w:rsid w:val="00E14726"/>
    <w:rsid w:val="00E170EB"/>
    <w:rsid w:val="00E17B3B"/>
    <w:rsid w:val="00E200A3"/>
    <w:rsid w:val="00E21644"/>
    <w:rsid w:val="00E220F6"/>
    <w:rsid w:val="00E2249B"/>
    <w:rsid w:val="00E22C2F"/>
    <w:rsid w:val="00E2304B"/>
    <w:rsid w:val="00E23598"/>
    <w:rsid w:val="00E25A2A"/>
    <w:rsid w:val="00E26E70"/>
    <w:rsid w:val="00E276DC"/>
    <w:rsid w:val="00E307F1"/>
    <w:rsid w:val="00E3183D"/>
    <w:rsid w:val="00E31ACB"/>
    <w:rsid w:val="00E321EB"/>
    <w:rsid w:val="00E331B3"/>
    <w:rsid w:val="00E33CA0"/>
    <w:rsid w:val="00E3413C"/>
    <w:rsid w:val="00E3437E"/>
    <w:rsid w:val="00E37C7F"/>
    <w:rsid w:val="00E420AE"/>
    <w:rsid w:val="00E43F67"/>
    <w:rsid w:val="00E50F80"/>
    <w:rsid w:val="00E568DF"/>
    <w:rsid w:val="00E6270D"/>
    <w:rsid w:val="00E64542"/>
    <w:rsid w:val="00E64C32"/>
    <w:rsid w:val="00E6584B"/>
    <w:rsid w:val="00E672EC"/>
    <w:rsid w:val="00E70979"/>
    <w:rsid w:val="00E70E0D"/>
    <w:rsid w:val="00E72DA6"/>
    <w:rsid w:val="00E73EEC"/>
    <w:rsid w:val="00E7421F"/>
    <w:rsid w:val="00E76469"/>
    <w:rsid w:val="00E801DA"/>
    <w:rsid w:val="00E80F88"/>
    <w:rsid w:val="00E81522"/>
    <w:rsid w:val="00E824C5"/>
    <w:rsid w:val="00E824E5"/>
    <w:rsid w:val="00E83A01"/>
    <w:rsid w:val="00E851FD"/>
    <w:rsid w:val="00E86E2B"/>
    <w:rsid w:val="00E87F5A"/>
    <w:rsid w:val="00E900DA"/>
    <w:rsid w:val="00E90B07"/>
    <w:rsid w:val="00E90CC1"/>
    <w:rsid w:val="00E92C8D"/>
    <w:rsid w:val="00E92EFD"/>
    <w:rsid w:val="00E93170"/>
    <w:rsid w:val="00E93F6F"/>
    <w:rsid w:val="00E94722"/>
    <w:rsid w:val="00E94FDE"/>
    <w:rsid w:val="00E9749C"/>
    <w:rsid w:val="00EA24FC"/>
    <w:rsid w:val="00EA2B50"/>
    <w:rsid w:val="00EA37BA"/>
    <w:rsid w:val="00EA6506"/>
    <w:rsid w:val="00EA67B0"/>
    <w:rsid w:val="00EA6F24"/>
    <w:rsid w:val="00EA7685"/>
    <w:rsid w:val="00EB0792"/>
    <w:rsid w:val="00EB1C4B"/>
    <w:rsid w:val="00EB467D"/>
    <w:rsid w:val="00EB5F9F"/>
    <w:rsid w:val="00EB6573"/>
    <w:rsid w:val="00EB7405"/>
    <w:rsid w:val="00EC0188"/>
    <w:rsid w:val="00EC2389"/>
    <w:rsid w:val="00EC3BB1"/>
    <w:rsid w:val="00EC45C1"/>
    <w:rsid w:val="00EC5720"/>
    <w:rsid w:val="00EC5D07"/>
    <w:rsid w:val="00EC5FAB"/>
    <w:rsid w:val="00ED1049"/>
    <w:rsid w:val="00ED1466"/>
    <w:rsid w:val="00ED1743"/>
    <w:rsid w:val="00ED2510"/>
    <w:rsid w:val="00ED3259"/>
    <w:rsid w:val="00ED3A62"/>
    <w:rsid w:val="00ED3C3A"/>
    <w:rsid w:val="00ED441B"/>
    <w:rsid w:val="00ED54E9"/>
    <w:rsid w:val="00ED5D36"/>
    <w:rsid w:val="00EE5449"/>
    <w:rsid w:val="00EE5759"/>
    <w:rsid w:val="00EE5D67"/>
    <w:rsid w:val="00EE6B5E"/>
    <w:rsid w:val="00EE7BE1"/>
    <w:rsid w:val="00EE7DB2"/>
    <w:rsid w:val="00EF5956"/>
    <w:rsid w:val="00EF5D22"/>
    <w:rsid w:val="00EF5D7F"/>
    <w:rsid w:val="00F048B8"/>
    <w:rsid w:val="00F050FB"/>
    <w:rsid w:val="00F079AF"/>
    <w:rsid w:val="00F07C29"/>
    <w:rsid w:val="00F11C12"/>
    <w:rsid w:val="00F12685"/>
    <w:rsid w:val="00F1276D"/>
    <w:rsid w:val="00F13C0B"/>
    <w:rsid w:val="00F15F63"/>
    <w:rsid w:val="00F17E19"/>
    <w:rsid w:val="00F2185D"/>
    <w:rsid w:val="00F2352A"/>
    <w:rsid w:val="00F236D9"/>
    <w:rsid w:val="00F24F4A"/>
    <w:rsid w:val="00F25CE6"/>
    <w:rsid w:val="00F2640B"/>
    <w:rsid w:val="00F26567"/>
    <w:rsid w:val="00F26BD9"/>
    <w:rsid w:val="00F2740F"/>
    <w:rsid w:val="00F310EE"/>
    <w:rsid w:val="00F347D7"/>
    <w:rsid w:val="00F36481"/>
    <w:rsid w:val="00F37BAC"/>
    <w:rsid w:val="00F41D2F"/>
    <w:rsid w:val="00F43B89"/>
    <w:rsid w:val="00F43F5E"/>
    <w:rsid w:val="00F45005"/>
    <w:rsid w:val="00F455D0"/>
    <w:rsid w:val="00F45C8E"/>
    <w:rsid w:val="00F466E4"/>
    <w:rsid w:val="00F54949"/>
    <w:rsid w:val="00F567EA"/>
    <w:rsid w:val="00F567F2"/>
    <w:rsid w:val="00F56F5F"/>
    <w:rsid w:val="00F60E1F"/>
    <w:rsid w:val="00F61034"/>
    <w:rsid w:val="00F6217E"/>
    <w:rsid w:val="00F62F79"/>
    <w:rsid w:val="00F630C2"/>
    <w:rsid w:val="00F669E9"/>
    <w:rsid w:val="00F7068F"/>
    <w:rsid w:val="00F715B0"/>
    <w:rsid w:val="00F80F9A"/>
    <w:rsid w:val="00F82429"/>
    <w:rsid w:val="00F82811"/>
    <w:rsid w:val="00F82A85"/>
    <w:rsid w:val="00F84CFA"/>
    <w:rsid w:val="00F85D72"/>
    <w:rsid w:val="00F85E27"/>
    <w:rsid w:val="00F877CC"/>
    <w:rsid w:val="00F911DA"/>
    <w:rsid w:val="00F91B42"/>
    <w:rsid w:val="00F938EA"/>
    <w:rsid w:val="00F94475"/>
    <w:rsid w:val="00F96DC0"/>
    <w:rsid w:val="00FA162A"/>
    <w:rsid w:val="00FA1FFF"/>
    <w:rsid w:val="00FA2502"/>
    <w:rsid w:val="00FA2A81"/>
    <w:rsid w:val="00FA2AD8"/>
    <w:rsid w:val="00FA3F7A"/>
    <w:rsid w:val="00FA60DD"/>
    <w:rsid w:val="00FA63E6"/>
    <w:rsid w:val="00FA7694"/>
    <w:rsid w:val="00FA7D82"/>
    <w:rsid w:val="00FB36AD"/>
    <w:rsid w:val="00FB3787"/>
    <w:rsid w:val="00FB3E67"/>
    <w:rsid w:val="00FB65E6"/>
    <w:rsid w:val="00FC001A"/>
    <w:rsid w:val="00FC0155"/>
    <w:rsid w:val="00FC0C24"/>
    <w:rsid w:val="00FC12BA"/>
    <w:rsid w:val="00FC2BF1"/>
    <w:rsid w:val="00FC3F0B"/>
    <w:rsid w:val="00FC4592"/>
    <w:rsid w:val="00FC45A0"/>
    <w:rsid w:val="00FC486D"/>
    <w:rsid w:val="00FC5457"/>
    <w:rsid w:val="00FC58CA"/>
    <w:rsid w:val="00FC5FCB"/>
    <w:rsid w:val="00FC62C8"/>
    <w:rsid w:val="00FD02E1"/>
    <w:rsid w:val="00FD0DC3"/>
    <w:rsid w:val="00FD1BFB"/>
    <w:rsid w:val="00FD486D"/>
    <w:rsid w:val="00FD629B"/>
    <w:rsid w:val="00FD64E2"/>
    <w:rsid w:val="00FD736F"/>
    <w:rsid w:val="00FE09E1"/>
    <w:rsid w:val="00FE10DC"/>
    <w:rsid w:val="00FE1733"/>
    <w:rsid w:val="00FE2A9A"/>
    <w:rsid w:val="00FE39A5"/>
    <w:rsid w:val="00FE487D"/>
    <w:rsid w:val="00FE688B"/>
    <w:rsid w:val="00FE731A"/>
    <w:rsid w:val="00FF4D70"/>
    <w:rsid w:val="00FF6268"/>
    <w:rsid w:val="00FF65B7"/>
    <w:rsid w:val="00FF68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48EDC1"/>
  <w15:docId w15:val="{8BC9FB77-3F76-4A9B-9F7D-F859E71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14E"/>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2688"/>
    <w:rPr>
      <w:rFonts w:ascii="Tahoma" w:hAnsi="Tahoma" w:cs="Tahoma"/>
      <w:sz w:val="16"/>
      <w:szCs w:val="16"/>
    </w:rPr>
  </w:style>
  <w:style w:type="character" w:customStyle="1" w:styleId="BalloonTextChar">
    <w:name w:val="Balloon Text Char"/>
    <w:link w:val="BalloonText"/>
    <w:rsid w:val="009A2688"/>
    <w:rPr>
      <w:rFonts w:ascii="Tahoma" w:hAnsi="Tahoma" w:cs="Tahoma"/>
      <w:snapToGrid w:val="0"/>
      <w:sz w:val="16"/>
      <w:szCs w:val="16"/>
    </w:rPr>
  </w:style>
  <w:style w:type="character" w:styleId="Hyperlink">
    <w:name w:val="Hyperlink"/>
    <w:uiPriority w:val="99"/>
    <w:rsid w:val="00D05330"/>
    <w:rPr>
      <w:color w:val="0000FF"/>
      <w:u w:val="single"/>
    </w:rPr>
  </w:style>
  <w:style w:type="paragraph" w:styleId="FootnoteText">
    <w:name w:val="footnote text"/>
    <w:basedOn w:val="Normal"/>
    <w:link w:val="FootnoteTextChar"/>
    <w:uiPriority w:val="99"/>
    <w:rsid w:val="00D05330"/>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D05330"/>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rsid w:val="00D05330"/>
    <w:rPr>
      <w:vertAlign w:val="superscript"/>
    </w:rPr>
  </w:style>
  <w:style w:type="table" w:styleId="TableGrid">
    <w:name w:val="Table Grid"/>
    <w:basedOn w:val="TableNormal"/>
    <w:uiPriority w:val="59"/>
    <w:rsid w:val="00D0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E7255"/>
    <w:pPr>
      <w:tabs>
        <w:tab w:val="center" w:pos="4680"/>
        <w:tab w:val="right" w:pos="9360"/>
      </w:tabs>
    </w:pPr>
  </w:style>
  <w:style w:type="character" w:customStyle="1" w:styleId="HeaderChar">
    <w:name w:val="Header Char"/>
    <w:link w:val="Header"/>
    <w:rsid w:val="002E7255"/>
    <w:rPr>
      <w:rFonts w:ascii="Courier" w:hAnsi="Courier"/>
      <w:snapToGrid w:val="0"/>
      <w:sz w:val="24"/>
    </w:rPr>
  </w:style>
  <w:style w:type="paragraph" w:styleId="Footer">
    <w:name w:val="footer"/>
    <w:basedOn w:val="Normal"/>
    <w:link w:val="FooterChar"/>
    <w:rsid w:val="002E7255"/>
    <w:pPr>
      <w:tabs>
        <w:tab w:val="center" w:pos="4680"/>
        <w:tab w:val="right" w:pos="9360"/>
      </w:tabs>
    </w:pPr>
  </w:style>
  <w:style w:type="character" w:customStyle="1" w:styleId="FooterChar">
    <w:name w:val="Footer Char"/>
    <w:link w:val="Footer"/>
    <w:rsid w:val="002E7255"/>
    <w:rPr>
      <w:rFonts w:ascii="Courier" w:hAnsi="Courier"/>
      <w:snapToGrid w:val="0"/>
      <w:sz w:val="24"/>
    </w:rPr>
  </w:style>
  <w:style w:type="paragraph" w:styleId="ListParagraph">
    <w:name w:val="List Paragraph"/>
    <w:basedOn w:val="Normal"/>
    <w:uiPriority w:val="34"/>
    <w:qFormat/>
    <w:rsid w:val="00C95659"/>
    <w:pPr>
      <w:ind w:left="720"/>
      <w:contextualSpacing/>
    </w:pPr>
  </w:style>
  <w:style w:type="character" w:styleId="CommentReference">
    <w:name w:val="annotation reference"/>
    <w:basedOn w:val="DefaultParagraphFont"/>
    <w:rsid w:val="00924077"/>
    <w:rPr>
      <w:sz w:val="16"/>
      <w:szCs w:val="16"/>
    </w:rPr>
  </w:style>
  <w:style w:type="paragraph" w:styleId="CommentText">
    <w:name w:val="annotation text"/>
    <w:basedOn w:val="Normal"/>
    <w:link w:val="CommentTextChar"/>
    <w:rsid w:val="00924077"/>
    <w:rPr>
      <w:sz w:val="20"/>
    </w:rPr>
  </w:style>
  <w:style w:type="character" w:customStyle="1" w:styleId="CommentTextChar">
    <w:name w:val="Comment Text Char"/>
    <w:basedOn w:val="DefaultParagraphFont"/>
    <w:link w:val="CommentText"/>
    <w:rsid w:val="00924077"/>
    <w:rPr>
      <w:rFonts w:ascii="Courier" w:hAnsi="Courier"/>
      <w:snapToGrid w:val="0"/>
    </w:rPr>
  </w:style>
  <w:style w:type="paragraph" w:styleId="CommentSubject">
    <w:name w:val="annotation subject"/>
    <w:basedOn w:val="CommentText"/>
    <w:next w:val="CommentText"/>
    <w:link w:val="CommentSubjectChar"/>
    <w:rsid w:val="00924077"/>
    <w:rPr>
      <w:b/>
      <w:bCs/>
    </w:rPr>
  </w:style>
  <w:style w:type="character" w:customStyle="1" w:styleId="CommentSubjectChar">
    <w:name w:val="Comment Subject Char"/>
    <w:basedOn w:val="CommentTextChar"/>
    <w:link w:val="CommentSubject"/>
    <w:rsid w:val="0092407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2</cp:revision>
  <dcterms:created xsi:type="dcterms:W3CDTF">2025-06-30T16:33:00Z</dcterms:created>
  <dcterms:modified xsi:type="dcterms:W3CDTF">2025-06-30T16:33:00Z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2ab3cc2a,11d2319a,251c1fa6</vt:lpwstr>
  </property>
  <property fmtid="{D5CDD505-2E9C-101B-9397-08002B2CF9AE}" pid="4" name="ClassificationContentMarkingHeaderText">
    <vt:lpwstr>NONPUBLIC//FDIC INTERNAL ONLY</vt:lpwstr>
  </property>
  <property fmtid="{D5CDD505-2E9C-101B-9397-08002B2CF9AE}" pid="5" name="MSIP_Label_e03712f0-ae86-44bd-82ca-deb0d0369377_ActionId">
    <vt:lpwstr>c37dda35-21be-4f7e-8c56-ad73c1644425</vt:lpwstr>
  </property>
  <property fmtid="{D5CDD505-2E9C-101B-9397-08002B2CF9AE}" pid="6" name="MSIP_Label_e03712f0-ae86-44bd-82ca-deb0d0369377_ContentBits">
    <vt:lpwstr>1</vt:lpwstr>
  </property>
  <property fmtid="{D5CDD505-2E9C-101B-9397-08002B2CF9AE}" pid="7" name="MSIP_Label_e03712f0-ae86-44bd-82ca-deb0d0369377_Enabled">
    <vt:lpwstr>true</vt:lpwstr>
  </property>
  <property fmtid="{D5CDD505-2E9C-101B-9397-08002B2CF9AE}" pid="8" name="MSIP_Label_e03712f0-ae86-44bd-82ca-deb0d0369377_Method">
    <vt:lpwstr>Privileged</vt:lpwstr>
  </property>
  <property fmtid="{D5CDD505-2E9C-101B-9397-08002B2CF9AE}" pid="9" name="MSIP_Label_e03712f0-ae86-44bd-82ca-deb0d0369377_Name">
    <vt:lpwstr>e03712f0-ae86-44bd-82ca-deb0d0369377</vt:lpwstr>
  </property>
  <property fmtid="{D5CDD505-2E9C-101B-9397-08002B2CF9AE}" pid="10" name="MSIP_Label_e03712f0-ae86-44bd-82ca-deb0d0369377_SetDate">
    <vt:lpwstr>2025-06-30T15:51:52Z</vt:lpwstr>
  </property>
  <property fmtid="{D5CDD505-2E9C-101B-9397-08002B2CF9AE}" pid="11" name="MSIP_Label_e03712f0-ae86-44bd-82ca-deb0d0369377_SiteId">
    <vt:lpwstr>26c83bc9-31c1-4d77-a523-0816095aba31</vt:lpwstr>
  </property>
  <property fmtid="{D5CDD505-2E9C-101B-9397-08002B2CF9AE}" pid="12" name="MSIP_Label_e03712f0-ae86-44bd-82ca-deb0d0369377_Tag">
    <vt:lpwstr>10, 0, 1, 1</vt:lpwstr>
  </property>
</Properties>
</file>