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40A4" w:rsidRPr="000D40A4" w:rsidP="000D40A4" w14:paraId="6ED79509" w14:textId="77777777">
      <w:pPr>
        <w:tabs>
          <w:tab w:val="center" w:pos="4680"/>
        </w:tabs>
        <w:jc w:val="center"/>
        <w:rPr>
          <w:rFonts w:ascii="Times New Roman" w:hAnsi="Times New Roman"/>
          <w:b/>
          <w:bCs/>
          <w:szCs w:val="24"/>
        </w:rPr>
      </w:pPr>
      <w:r w:rsidRPr="000D40A4">
        <w:rPr>
          <w:rFonts w:ascii="Times New Roman" w:hAnsi="Times New Roman"/>
          <w:b/>
          <w:bCs/>
          <w:szCs w:val="24"/>
        </w:rPr>
        <w:t>SUPPORTING STATEMENT</w:t>
      </w:r>
    </w:p>
    <w:p w:rsidR="000D40A4" w:rsidRPr="00576EF9" w:rsidP="000D40A4" w14:paraId="5F7D6797" w14:textId="77777777">
      <w:pPr>
        <w:tabs>
          <w:tab w:val="center" w:pos="4680"/>
        </w:tabs>
        <w:jc w:val="center"/>
        <w:rPr>
          <w:rFonts w:ascii="Times New Roman" w:hAnsi="Times New Roman"/>
          <w:b/>
          <w:bCs/>
          <w:szCs w:val="24"/>
        </w:rPr>
      </w:pPr>
      <w:r>
        <w:rPr>
          <w:rFonts w:ascii="Times New Roman" w:hAnsi="Times New Roman"/>
          <w:b/>
          <w:bCs/>
          <w:szCs w:val="24"/>
        </w:rPr>
        <w:t>Market Risk Regulatory Report for Institutions Subject to the Market Risk Capital Rule</w:t>
      </w:r>
      <w:r w:rsidRPr="00576EF9">
        <w:rPr>
          <w:rFonts w:ascii="Times New Roman" w:hAnsi="Times New Roman"/>
          <w:b/>
          <w:bCs/>
          <w:szCs w:val="24"/>
        </w:rPr>
        <w:t xml:space="preserve"> </w:t>
      </w:r>
    </w:p>
    <w:p w:rsidR="000D40A4" w:rsidP="000D40A4" w14:paraId="68FBE64B" w14:textId="77777777">
      <w:pPr>
        <w:tabs>
          <w:tab w:val="center" w:pos="4680"/>
        </w:tabs>
        <w:jc w:val="center"/>
        <w:rPr>
          <w:rFonts w:ascii="Times New Roman" w:hAnsi="Times New Roman"/>
          <w:b/>
          <w:bCs/>
          <w:szCs w:val="24"/>
        </w:rPr>
      </w:pPr>
      <w:r w:rsidRPr="000D40A4">
        <w:rPr>
          <w:rFonts w:ascii="Times New Roman" w:hAnsi="Times New Roman"/>
          <w:b/>
          <w:bCs/>
          <w:szCs w:val="24"/>
        </w:rPr>
        <w:t xml:space="preserve">FFIEC </w:t>
      </w:r>
      <w:r>
        <w:rPr>
          <w:rFonts w:ascii="Times New Roman" w:hAnsi="Times New Roman"/>
          <w:b/>
          <w:bCs/>
          <w:szCs w:val="24"/>
        </w:rPr>
        <w:t>102</w:t>
      </w:r>
    </w:p>
    <w:p w:rsidR="0066096F" w:rsidRPr="00576EF9" w:rsidP="000D40A4" w14:paraId="22BEAE4E" w14:textId="77777777">
      <w:pPr>
        <w:tabs>
          <w:tab w:val="center" w:pos="4680"/>
        </w:tabs>
        <w:jc w:val="center"/>
        <w:rPr>
          <w:rFonts w:ascii="Times New Roman" w:hAnsi="Times New Roman"/>
          <w:b/>
          <w:bCs/>
          <w:szCs w:val="24"/>
        </w:rPr>
      </w:pPr>
      <w:r w:rsidRPr="000D40A4">
        <w:rPr>
          <w:rFonts w:ascii="Times New Roman" w:hAnsi="Times New Roman"/>
          <w:b/>
          <w:bCs/>
          <w:szCs w:val="24"/>
        </w:rPr>
        <w:t xml:space="preserve"> (OMB No. 3064-</w:t>
      </w:r>
      <w:r w:rsidR="005D42FC">
        <w:rPr>
          <w:rFonts w:ascii="Times New Roman" w:hAnsi="Times New Roman"/>
          <w:b/>
          <w:bCs/>
          <w:szCs w:val="24"/>
        </w:rPr>
        <w:t>0199</w:t>
      </w:r>
      <w:r w:rsidRPr="000D40A4">
        <w:rPr>
          <w:rFonts w:ascii="Times New Roman" w:hAnsi="Times New Roman"/>
          <w:b/>
          <w:bCs/>
          <w:szCs w:val="24"/>
        </w:rPr>
        <w:t>)</w:t>
      </w:r>
      <w:r w:rsidRPr="00576EF9">
        <w:rPr>
          <w:rFonts w:ascii="Times New Roman" w:hAnsi="Times New Roman"/>
          <w:b/>
          <w:bCs/>
          <w:szCs w:val="24"/>
        </w:rPr>
        <w:t xml:space="preserve"> </w:t>
      </w:r>
    </w:p>
    <w:p w:rsidR="0066096F" w:rsidP="00C72F51" w14:paraId="08319EC3" w14:textId="77777777">
      <w:pPr>
        <w:rPr>
          <w:rFonts w:ascii="Times New Roman" w:hAnsi="Times New Roman"/>
          <w:b/>
          <w:bCs/>
          <w:szCs w:val="24"/>
        </w:rPr>
      </w:pPr>
    </w:p>
    <w:p w:rsidR="00FA1D36" w:rsidP="00C72F51" w14:paraId="72A449B2" w14:textId="77777777">
      <w:pPr>
        <w:rPr>
          <w:rFonts w:ascii="Times New Roman" w:hAnsi="Times New Roman"/>
          <w:b/>
          <w:bCs/>
          <w:szCs w:val="24"/>
        </w:rPr>
      </w:pPr>
    </w:p>
    <w:p w:rsidR="000D40A4" w:rsidRPr="003030A4" w:rsidP="000D40A4" w14:paraId="23AC2DF9" w14:textId="77777777">
      <w:pPr>
        <w:rPr>
          <w:rFonts w:ascii="Times New Roman" w:hAnsi="Times New Roman"/>
          <w:b/>
          <w:szCs w:val="24"/>
          <w:u w:val="single"/>
        </w:rPr>
      </w:pPr>
      <w:r w:rsidRPr="003030A4">
        <w:rPr>
          <w:rFonts w:ascii="Times New Roman" w:hAnsi="Times New Roman"/>
          <w:b/>
          <w:szCs w:val="24"/>
          <w:u w:val="single"/>
        </w:rPr>
        <w:t>INTRODUCTION</w:t>
      </w:r>
    </w:p>
    <w:p w:rsidR="000D40A4" w:rsidRPr="000D40A4" w:rsidP="000D40A4" w14:paraId="1F6C6A1F" w14:textId="77777777">
      <w:pPr>
        <w:rPr>
          <w:rFonts w:ascii="Times New Roman" w:hAnsi="Times New Roman"/>
          <w:szCs w:val="24"/>
        </w:rPr>
      </w:pPr>
    </w:p>
    <w:p w:rsidR="00576BDF" w:rsidP="00576BDF" w14:paraId="1D2FF7BD" w14:textId="77777777">
      <w:pPr>
        <w:rPr>
          <w:rFonts w:ascii="Times New Roman" w:hAnsi="Times New Roman"/>
          <w:szCs w:val="24"/>
        </w:rPr>
      </w:pPr>
      <w:r>
        <w:rPr>
          <w:rFonts w:ascii="Times New Roman" w:hAnsi="Times New Roman"/>
        </w:rPr>
        <w:t xml:space="preserve">Under the auspices of the Federal Financial Institutions Examination Council (FFIEC), the Federal Deposit Insurance Corporation (FDIC) is requesting </w:t>
      </w:r>
      <w:r w:rsidRPr="000D40A4">
        <w:rPr>
          <w:rFonts w:ascii="Times New Roman" w:hAnsi="Times New Roman"/>
          <w:szCs w:val="24"/>
        </w:rPr>
        <w:t>Office of Management and Budget</w:t>
      </w:r>
      <w:r>
        <w:rPr>
          <w:rFonts w:ascii="Times New Roman" w:hAnsi="Times New Roman"/>
        </w:rPr>
        <w:t xml:space="preserve"> (OMB) approval to extend for three years, with</w:t>
      </w:r>
      <w:r w:rsidR="00464BBC">
        <w:rPr>
          <w:rFonts w:ascii="Times New Roman" w:hAnsi="Times New Roman"/>
        </w:rPr>
        <w:t>out</w:t>
      </w:r>
      <w:r>
        <w:rPr>
          <w:rFonts w:ascii="Times New Roman" w:hAnsi="Times New Roman"/>
        </w:rPr>
        <w:t xml:space="preserve"> revision, </w:t>
      </w:r>
      <w:r>
        <w:rPr>
          <w:rFonts w:ascii="Times New Roman" w:hAnsi="Times New Roman"/>
          <w:szCs w:val="24"/>
        </w:rPr>
        <w:t>t</w:t>
      </w:r>
      <w:r w:rsidRPr="000D40A4" w:rsidR="000D40A4">
        <w:rPr>
          <w:rFonts w:ascii="Times New Roman" w:hAnsi="Times New Roman"/>
          <w:szCs w:val="24"/>
        </w:rPr>
        <w:t xml:space="preserve">he </w:t>
      </w:r>
      <w:r w:rsidR="000D40A4">
        <w:rPr>
          <w:rFonts w:ascii="Times New Roman" w:hAnsi="Times New Roman"/>
          <w:szCs w:val="24"/>
        </w:rPr>
        <w:t xml:space="preserve">Market Risk Regulatory Report for Institutions Subject to the Market Risk Capital Rule (FFIEC 102).  This </w:t>
      </w:r>
      <w:r>
        <w:rPr>
          <w:rFonts w:ascii="Times New Roman" w:hAnsi="Times New Roman"/>
          <w:szCs w:val="24"/>
        </w:rPr>
        <w:t>r</w:t>
      </w:r>
      <w:r w:rsidR="000D40A4">
        <w:rPr>
          <w:rFonts w:ascii="Times New Roman" w:hAnsi="Times New Roman"/>
          <w:szCs w:val="24"/>
        </w:rPr>
        <w:t xml:space="preserve">eport </w:t>
      </w:r>
      <w:r>
        <w:rPr>
          <w:rFonts w:ascii="Times New Roman" w:hAnsi="Times New Roman"/>
          <w:szCs w:val="24"/>
        </w:rPr>
        <w:t>is</w:t>
      </w:r>
      <w:r w:rsidR="000D40A4">
        <w:rPr>
          <w:rFonts w:ascii="Times New Roman" w:hAnsi="Times New Roman"/>
          <w:szCs w:val="24"/>
        </w:rPr>
        <w:t xml:space="preserve"> </w:t>
      </w:r>
      <w:r w:rsidRPr="000D40A4" w:rsidR="000D40A4">
        <w:rPr>
          <w:rFonts w:ascii="Times New Roman" w:hAnsi="Times New Roman"/>
          <w:szCs w:val="24"/>
        </w:rPr>
        <w:t xml:space="preserve">filed quarterly by FDIC-supervised banks and savings associations </w:t>
      </w:r>
      <w:r w:rsidR="000D40A4">
        <w:rPr>
          <w:rFonts w:ascii="Times New Roman" w:hAnsi="Times New Roman"/>
          <w:szCs w:val="24"/>
        </w:rPr>
        <w:t xml:space="preserve">that are subject to the market risk capital rule.  </w:t>
      </w:r>
      <w:r>
        <w:rPr>
          <w:rFonts w:ascii="Times New Roman" w:hAnsi="Times New Roman"/>
        </w:rPr>
        <w:t>The Federal Reserve Board (FRB) and the Office of the Comptroller of the Currency (OCC) are also submitting requests to OMB for the extension, with</w:t>
      </w:r>
      <w:r w:rsidR="00464BBC">
        <w:rPr>
          <w:rFonts w:ascii="Times New Roman" w:hAnsi="Times New Roman"/>
        </w:rPr>
        <w:t>out</w:t>
      </w:r>
      <w:r>
        <w:rPr>
          <w:rFonts w:ascii="Times New Roman" w:hAnsi="Times New Roman"/>
        </w:rPr>
        <w:t xml:space="preserve"> revision, of </w:t>
      </w:r>
      <w:r>
        <w:rPr>
          <w:rFonts w:ascii="Times New Roman" w:hAnsi="Times New Roman"/>
        </w:rPr>
        <w:t>the FFIEC</w:t>
      </w:r>
      <w:r>
        <w:rPr>
          <w:rFonts w:ascii="Times New Roman" w:hAnsi="Times New Roman"/>
        </w:rPr>
        <w:t xml:space="preserve"> </w:t>
      </w:r>
      <w:r>
        <w:rPr>
          <w:rFonts w:ascii="Times New Roman" w:hAnsi="Times New Roman"/>
        </w:rPr>
        <w:t>102</w:t>
      </w:r>
      <w:r>
        <w:rPr>
          <w:rFonts w:ascii="Times New Roman" w:hAnsi="Times New Roman"/>
        </w:rPr>
        <w:t xml:space="preserve"> for the institutions under their supervision that are subject to the market risk capital rule.  </w:t>
      </w:r>
      <w:r>
        <w:rPr>
          <w:rFonts w:ascii="Times New Roman" w:hAnsi="Times New Roman"/>
          <w:szCs w:val="24"/>
        </w:rPr>
        <w:t xml:space="preserve">The FFIEC, of which the FDIC, the FRB, and the OCC are members, has approved the </w:t>
      </w:r>
      <w:r w:rsidR="00464BBC">
        <w:rPr>
          <w:rFonts w:ascii="Times New Roman" w:hAnsi="Times New Roman"/>
          <w:szCs w:val="24"/>
        </w:rPr>
        <w:t xml:space="preserve">agencies’ </w:t>
      </w:r>
      <w:r>
        <w:rPr>
          <w:rFonts w:ascii="Times New Roman" w:hAnsi="Times New Roman"/>
          <w:szCs w:val="24"/>
        </w:rPr>
        <w:t xml:space="preserve">proposed </w:t>
      </w:r>
      <w:r w:rsidR="00464BBC">
        <w:rPr>
          <w:rFonts w:ascii="Times New Roman" w:hAnsi="Times New Roman"/>
          <w:szCs w:val="24"/>
        </w:rPr>
        <w:t xml:space="preserve">extension, without </w:t>
      </w:r>
      <w:r>
        <w:rPr>
          <w:rFonts w:ascii="Times New Roman" w:hAnsi="Times New Roman"/>
          <w:szCs w:val="24"/>
        </w:rPr>
        <w:t>revision</w:t>
      </w:r>
      <w:r w:rsidR="00464BBC">
        <w:rPr>
          <w:rFonts w:ascii="Times New Roman" w:hAnsi="Times New Roman"/>
          <w:szCs w:val="24"/>
        </w:rPr>
        <w:t>, of</w:t>
      </w:r>
      <w:r>
        <w:rPr>
          <w:rFonts w:ascii="Times New Roman" w:hAnsi="Times New Roman"/>
          <w:szCs w:val="24"/>
        </w:rPr>
        <w:t xml:space="preserve"> the FFIEC 102 reporting requirements.   </w:t>
      </w:r>
    </w:p>
    <w:p w:rsidR="00576BDF" w:rsidP="000D40A4" w14:paraId="543FC448" w14:textId="77777777">
      <w:pPr>
        <w:rPr>
          <w:rFonts w:ascii="Times New Roman" w:hAnsi="Times New Roman"/>
          <w:szCs w:val="24"/>
        </w:rPr>
      </w:pPr>
    </w:p>
    <w:p w:rsidR="000D40A4" w:rsidP="000D40A4" w14:paraId="2D59E7F5" w14:textId="77777777">
      <w:pPr>
        <w:rPr>
          <w:rFonts w:ascii="Times New Roman" w:hAnsi="Times New Roman"/>
          <w:szCs w:val="24"/>
        </w:rPr>
      </w:pPr>
      <w:r w:rsidRPr="000D40A4">
        <w:rPr>
          <w:rFonts w:ascii="Times New Roman" w:hAnsi="Times New Roman"/>
          <w:szCs w:val="24"/>
        </w:rPr>
        <w:t>An institution (</w:t>
      </w:r>
      <w:r>
        <w:rPr>
          <w:rFonts w:ascii="Times New Roman" w:hAnsi="Times New Roman"/>
          <w:szCs w:val="24"/>
        </w:rPr>
        <w:t xml:space="preserve">i.e., </w:t>
      </w:r>
      <w:r w:rsidRPr="000D40A4">
        <w:rPr>
          <w:rFonts w:ascii="Times New Roman" w:hAnsi="Times New Roman"/>
          <w:szCs w:val="24"/>
        </w:rPr>
        <w:t>a bank, savings association, bank holding company, savings and loan holding company</w:t>
      </w:r>
      <w:r w:rsidR="000C1B6D">
        <w:rPr>
          <w:rFonts w:ascii="Times New Roman" w:hAnsi="Times New Roman"/>
          <w:szCs w:val="24"/>
        </w:rPr>
        <w:t>, or U.S. intermediate holding company</w:t>
      </w:r>
      <w:r w:rsidRPr="000D40A4">
        <w:rPr>
          <w:rFonts w:ascii="Times New Roman" w:hAnsi="Times New Roman"/>
          <w:szCs w:val="24"/>
        </w:rPr>
        <w:t>) must apply the market risk capital rule</w:t>
      </w:r>
      <w:r>
        <w:rPr>
          <w:rStyle w:val="FootnoteReference"/>
          <w:rFonts w:ascii="Times New Roman" w:hAnsi="Times New Roman"/>
          <w:szCs w:val="24"/>
          <w:vertAlign w:val="superscript"/>
        </w:rPr>
        <w:footnoteReference w:id="2"/>
      </w:r>
      <w:r w:rsidRPr="000D40A4">
        <w:rPr>
          <w:rFonts w:ascii="Times New Roman" w:hAnsi="Times New Roman"/>
          <w:szCs w:val="24"/>
        </w:rPr>
        <w:t xml:space="preserve"> if the institution has aggregate trading assets and trading liabilities, as reported in the institution’s most recent Consolidated Reports of Condition and Income (Call Report)</w:t>
      </w:r>
      <w:r>
        <w:rPr>
          <w:rStyle w:val="FootnoteReference"/>
          <w:rFonts w:ascii="Times New Roman" w:hAnsi="Times New Roman"/>
          <w:szCs w:val="24"/>
          <w:vertAlign w:val="superscript"/>
        </w:rPr>
        <w:footnoteReference w:id="3"/>
      </w:r>
      <w:r w:rsidRPr="000D40A4">
        <w:rPr>
          <w:rFonts w:ascii="Times New Roman" w:hAnsi="Times New Roman"/>
          <w:szCs w:val="24"/>
        </w:rPr>
        <w:t xml:space="preserve"> or Consolidated Financial Statements for Holding Companies (FR Y-9C),</w:t>
      </w:r>
      <w:r>
        <w:rPr>
          <w:rStyle w:val="FootnoteReference"/>
          <w:rFonts w:ascii="Times New Roman" w:hAnsi="Times New Roman"/>
          <w:szCs w:val="24"/>
          <w:vertAlign w:val="superscript"/>
        </w:rPr>
        <w:footnoteReference w:id="4"/>
      </w:r>
      <w:r w:rsidRPr="000D40A4">
        <w:rPr>
          <w:rFonts w:ascii="Times New Roman" w:hAnsi="Times New Roman"/>
          <w:szCs w:val="24"/>
        </w:rPr>
        <w:t xml:space="preserve"> </w:t>
      </w:r>
      <w:r w:rsidR="00BB2DB5">
        <w:rPr>
          <w:rFonts w:ascii="Times New Roman" w:hAnsi="Times New Roman"/>
          <w:szCs w:val="24"/>
        </w:rPr>
        <w:t xml:space="preserve">as applicable, </w:t>
      </w:r>
      <w:r w:rsidRPr="000D40A4">
        <w:rPr>
          <w:rFonts w:ascii="Times New Roman" w:hAnsi="Times New Roman"/>
          <w:szCs w:val="24"/>
        </w:rPr>
        <w:t>equal to (a) 10 percent or more of qua</w:t>
      </w:r>
      <w:r w:rsidR="00BB2DB5">
        <w:rPr>
          <w:rFonts w:ascii="Times New Roman" w:hAnsi="Times New Roman"/>
          <w:szCs w:val="24"/>
        </w:rPr>
        <w:t>rter-end total assets or (b) $1 </w:t>
      </w:r>
      <w:r w:rsidRPr="000D40A4">
        <w:rPr>
          <w:rFonts w:ascii="Times New Roman" w:hAnsi="Times New Roman"/>
          <w:szCs w:val="24"/>
        </w:rPr>
        <w:t>billion or more</w:t>
      </w:r>
      <w:r w:rsidR="00BB2DB5">
        <w:rPr>
          <w:rFonts w:ascii="Times New Roman" w:hAnsi="Times New Roman"/>
          <w:szCs w:val="24"/>
        </w:rPr>
        <w:t>.</w:t>
      </w:r>
      <w:r w:rsidR="003D693C">
        <w:rPr>
          <w:rFonts w:ascii="Times New Roman" w:hAnsi="Times New Roman"/>
          <w:szCs w:val="24"/>
        </w:rPr>
        <w:t xml:space="preserve">  Such an institution is deemed a “market risk institution.”</w:t>
      </w:r>
      <w:r w:rsidR="00BB2DB5">
        <w:rPr>
          <w:rFonts w:ascii="Times New Roman" w:hAnsi="Times New Roman"/>
          <w:szCs w:val="24"/>
        </w:rPr>
        <w:t xml:space="preserve">  </w:t>
      </w:r>
    </w:p>
    <w:p w:rsidR="00FA1D36" w14:paraId="7C1CAEEE" w14:textId="77777777">
      <w:pPr>
        <w:widowControl/>
        <w:rPr>
          <w:rFonts w:ascii="Times New Roman" w:hAnsi="Times New Roman"/>
          <w:b/>
          <w:szCs w:val="24"/>
        </w:rPr>
      </w:pPr>
    </w:p>
    <w:p w:rsidR="003968C7" w14:paraId="736FD173" w14:textId="77777777">
      <w:pPr>
        <w:widowControl/>
        <w:rPr>
          <w:rFonts w:ascii="Times New Roman" w:hAnsi="Times New Roman"/>
          <w:b/>
          <w:szCs w:val="24"/>
        </w:rPr>
      </w:pPr>
    </w:p>
    <w:p w:rsidR="009B0C03" w:rsidRPr="003030A4" w:rsidP="009B0C03" w14:paraId="23C325AF" w14:textId="77777777">
      <w:pPr>
        <w:tabs>
          <w:tab w:val="left" w:pos="-1440"/>
        </w:tabs>
        <w:ind w:left="720" w:hanging="720"/>
        <w:rPr>
          <w:rFonts w:ascii="Times New Roman" w:hAnsi="Times New Roman"/>
          <w:b/>
          <w:szCs w:val="24"/>
          <w:u w:val="single"/>
        </w:rPr>
      </w:pPr>
      <w:r w:rsidRPr="001F098D">
        <w:rPr>
          <w:rFonts w:ascii="Times New Roman" w:hAnsi="Times New Roman"/>
          <w:b/>
          <w:szCs w:val="24"/>
        </w:rPr>
        <w:t xml:space="preserve">A.  </w:t>
      </w:r>
      <w:r w:rsidRPr="003030A4">
        <w:rPr>
          <w:rFonts w:ascii="Times New Roman" w:hAnsi="Times New Roman"/>
          <w:b/>
          <w:szCs w:val="24"/>
          <w:u w:val="single"/>
        </w:rPr>
        <w:t>JUSTIFICATION</w:t>
      </w:r>
    </w:p>
    <w:p w:rsidR="009B0C03" w:rsidRPr="009B0C03" w:rsidP="00082A03" w14:paraId="10897CA0" w14:textId="77777777">
      <w:pPr>
        <w:tabs>
          <w:tab w:val="left" w:pos="-1440"/>
        </w:tabs>
        <w:ind w:left="720"/>
        <w:rPr>
          <w:rFonts w:ascii="Times New Roman" w:hAnsi="Times New Roman"/>
          <w:szCs w:val="24"/>
        </w:rPr>
      </w:pPr>
    </w:p>
    <w:p w:rsidR="0066096F" w:rsidRPr="00576EF9" w:rsidP="00082A03" w14:paraId="057EB5A2" w14:textId="77777777">
      <w:pPr>
        <w:tabs>
          <w:tab w:val="left" w:pos="-1440"/>
        </w:tabs>
        <w:rPr>
          <w:rFonts w:ascii="Times New Roman" w:hAnsi="Times New Roman"/>
          <w:szCs w:val="24"/>
        </w:rPr>
      </w:pPr>
      <w:r w:rsidRPr="009B0C03">
        <w:rPr>
          <w:rFonts w:ascii="Times New Roman" w:hAnsi="Times New Roman"/>
          <w:szCs w:val="24"/>
        </w:rPr>
        <w:t>1</w:t>
      </w:r>
      <w:r w:rsidRPr="009B0C03">
        <w:rPr>
          <w:rFonts w:ascii="Times New Roman" w:hAnsi="Times New Roman"/>
          <w:szCs w:val="24"/>
        </w:rPr>
        <w:t xml:space="preserve">.  </w:t>
      </w:r>
      <w:r w:rsidRPr="0063519F" w:rsidR="0063519F">
        <w:rPr>
          <w:rFonts w:ascii="Times New Roman" w:hAnsi="Times New Roman"/>
          <w:bCs/>
          <w:szCs w:val="24"/>
          <w:u w:val="single"/>
        </w:rPr>
        <w:t>Circumstances</w:t>
      </w:r>
      <w:r w:rsidRPr="0063519F" w:rsidR="0063519F">
        <w:rPr>
          <w:rFonts w:ascii="Times New Roman" w:hAnsi="Times New Roman"/>
          <w:bCs/>
          <w:szCs w:val="24"/>
          <w:u w:val="single"/>
        </w:rPr>
        <w:t xml:space="preserve"> that make the collection necessary:</w:t>
      </w:r>
    </w:p>
    <w:p w:rsidR="0066096F" w:rsidRPr="00576EF9" w:rsidP="00082A03" w14:paraId="690AC178" w14:textId="77777777">
      <w:pPr>
        <w:rPr>
          <w:rFonts w:ascii="Times New Roman" w:hAnsi="Times New Roman"/>
          <w:szCs w:val="24"/>
        </w:rPr>
      </w:pPr>
    </w:p>
    <w:p w:rsidR="00D2240C" w:rsidP="00082A03" w14:paraId="5CAD0C95" w14:textId="77777777">
      <w:pPr>
        <w:widowControl/>
        <w:rPr>
          <w:rFonts w:ascii="Times New Roman" w:hAnsi="Times New Roman"/>
          <w:snapToGrid/>
          <w:szCs w:val="24"/>
        </w:rPr>
      </w:pPr>
      <w:r w:rsidRPr="00D2240C">
        <w:rPr>
          <w:rFonts w:ascii="Times New Roman" w:hAnsi="Times New Roman"/>
          <w:snapToGrid/>
          <w:szCs w:val="24"/>
        </w:rPr>
        <w:t xml:space="preserve">The </w:t>
      </w:r>
      <w:r>
        <w:rPr>
          <w:rFonts w:ascii="Times New Roman" w:hAnsi="Times New Roman"/>
          <w:snapToGrid/>
          <w:szCs w:val="24"/>
        </w:rPr>
        <w:t xml:space="preserve">data </w:t>
      </w:r>
      <w:r w:rsidR="00FA1D36">
        <w:rPr>
          <w:rFonts w:ascii="Times New Roman" w:hAnsi="Times New Roman"/>
          <w:snapToGrid/>
          <w:szCs w:val="24"/>
        </w:rPr>
        <w:t xml:space="preserve">collected </w:t>
      </w:r>
      <w:r>
        <w:rPr>
          <w:rFonts w:ascii="Times New Roman" w:hAnsi="Times New Roman"/>
          <w:snapToGrid/>
          <w:szCs w:val="24"/>
        </w:rPr>
        <w:t>in the Market Risk Regulatory Report i</w:t>
      </w:r>
      <w:r w:rsidR="00FA1D36">
        <w:rPr>
          <w:rFonts w:ascii="Times New Roman" w:hAnsi="Times New Roman"/>
          <w:snapToGrid/>
          <w:szCs w:val="24"/>
        </w:rPr>
        <w:t xml:space="preserve">s needed </w:t>
      </w:r>
      <w:r w:rsidRPr="00D2240C">
        <w:rPr>
          <w:rFonts w:ascii="Times New Roman" w:hAnsi="Times New Roman"/>
          <w:snapToGrid/>
          <w:szCs w:val="24"/>
        </w:rPr>
        <w:t xml:space="preserve">to assess the reasonableness and accuracy of a market risk institution’s calculation of its minimum capital requirements </w:t>
      </w:r>
      <w:r w:rsidRPr="00D2240C">
        <w:rPr>
          <w:rFonts w:ascii="Times New Roman" w:hAnsi="Times New Roman"/>
          <w:snapToGrid/>
          <w:szCs w:val="24"/>
        </w:rPr>
        <w:t>under</w:t>
      </w:r>
      <w:r w:rsidR="00FA1D36">
        <w:rPr>
          <w:rFonts w:ascii="Times New Roman" w:hAnsi="Times New Roman"/>
          <w:snapToGrid/>
          <w:szCs w:val="24"/>
        </w:rPr>
        <w:t xml:space="preserve"> </w:t>
      </w:r>
      <w:r w:rsidRPr="00D2240C">
        <w:rPr>
          <w:rFonts w:ascii="Times New Roman" w:hAnsi="Times New Roman"/>
          <w:snapToGrid/>
          <w:szCs w:val="24"/>
        </w:rPr>
        <w:t xml:space="preserve">the </w:t>
      </w:r>
      <w:r w:rsidR="00592D90">
        <w:rPr>
          <w:rFonts w:ascii="Times New Roman" w:hAnsi="Times New Roman"/>
          <w:snapToGrid/>
          <w:szCs w:val="24"/>
        </w:rPr>
        <w:t xml:space="preserve">revised </w:t>
      </w:r>
      <w:r w:rsidRPr="00D2240C">
        <w:rPr>
          <w:rFonts w:ascii="Times New Roman" w:hAnsi="Times New Roman"/>
          <w:snapToGrid/>
          <w:szCs w:val="24"/>
        </w:rPr>
        <w:t xml:space="preserve">market risk capital rule and to evaluate a market risk institution’s capital in relation to its risks.  </w:t>
      </w:r>
      <w:r w:rsidRPr="00410799" w:rsidR="00780ABB">
        <w:rPr>
          <w:rFonts w:ascii="Times New Roman" w:hAnsi="Times New Roman"/>
          <w:snapToGrid/>
          <w:szCs w:val="24"/>
        </w:rPr>
        <w:t>Each market risk institution</w:t>
      </w:r>
      <w:r w:rsidR="00780ABB">
        <w:rPr>
          <w:rFonts w:ascii="Times New Roman" w:hAnsi="Times New Roman"/>
          <w:snapToGrid/>
          <w:szCs w:val="24"/>
        </w:rPr>
        <w:t xml:space="preserve"> </w:t>
      </w:r>
      <w:r>
        <w:rPr>
          <w:rFonts w:ascii="Times New Roman" w:hAnsi="Times New Roman"/>
          <w:snapToGrid/>
          <w:szCs w:val="24"/>
        </w:rPr>
        <w:t>is</w:t>
      </w:r>
      <w:r w:rsidRPr="00410799" w:rsidR="00780ABB">
        <w:rPr>
          <w:rFonts w:ascii="Times New Roman" w:hAnsi="Times New Roman"/>
          <w:snapToGrid/>
          <w:szCs w:val="24"/>
        </w:rPr>
        <w:t xml:space="preserve"> required to file </w:t>
      </w:r>
      <w:r w:rsidRPr="00410799" w:rsidR="00780ABB">
        <w:rPr>
          <w:rFonts w:ascii="Times New Roman" w:hAnsi="Times New Roman"/>
          <w:snapToGrid/>
          <w:szCs w:val="24"/>
        </w:rPr>
        <w:t>the FFIEC</w:t>
      </w:r>
      <w:r w:rsidRPr="00410799" w:rsidR="00780ABB">
        <w:rPr>
          <w:rFonts w:ascii="Times New Roman" w:hAnsi="Times New Roman"/>
          <w:snapToGrid/>
          <w:szCs w:val="24"/>
        </w:rPr>
        <w:t xml:space="preserve"> 102</w:t>
      </w:r>
      <w:r w:rsidR="00780ABB">
        <w:rPr>
          <w:rFonts w:ascii="Times New Roman" w:hAnsi="Times New Roman"/>
          <w:snapToGrid/>
          <w:szCs w:val="24"/>
        </w:rPr>
        <w:t xml:space="preserve">.  </w:t>
      </w:r>
      <w:r w:rsidR="00E52A31">
        <w:rPr>
          <w:rFonts w:ascii="Times New Roman" w:hAnsi="Times New Roman"/>
          <w:snapToGrid/>
          <w:szCs w:val="24"/>
        </w:rPr>
        <w:t>T</w:t>
      </w:r>
      <w:r w:rsidRPr="00D2240C">
        <w:rPr>
          <w:rFonts w:ascii="Times New Roman" w:hAnsi="Times New Roman"/>
          <w:snapToGrid/>
          <w:szCs w:val="24"/>
        </w:rPr>
        <w:t>he FFIEC</w:t>
      </w:r>
      <w:r w:rsidRPr="00D2240C">
        <w:rPr>
          <w:rFonts w:ascii="Times New Roman" w:hAnsi="Times New Roman"/>
          <w:snapToGrid/>
          <w:szCs w:val="24"/>
        </w:rPr>
        <w:t xml:space="preserve"> 102 allow</w:t>
      </w:r>
      <w:r>
        <w:rPr>
          <w:rFonts w:ascii="Times New Roman" w:hAnsi="Times New Roman"/>
          <w:snapToGrid/>
          <w:szCs w:val="24"/>
        </w:rPr>
        <w:t>s</w:t>
      </w:r>
      <w:r w:rsidRPr="00D2240C">
        <w:rPr>
          <w:rFonts w:ascii="Times New Roman" w:hAnsi="Times New Roman"/>
          <w:snapToGrid/>
          <w:szCs w:val="24"/>
        </w:rPr>
        <w:t xml:space="preserve"> the agencies to better track growth in </w:t>
      </w:r>
      <w:r w:rsidR="00FA1D36">
        <w:rPr>
          <w:rFonts w:ascii="Times New Roman" w:hAnsi="Times New Roman"/>
          <w:snapToGrid/>
          <w:szCs w:val="24"/>
        </w:rPr>
        <w:t xml:space="preserve">the </w:t>
      </w:r>
      <w:r w:rsidRPr="00D2240C">
        <w:rPr>
          <w:rFonts w:ascii="Times New Roman" w:hAnsi="Times New Roman"/>
          <w:snapToGrid/>
          <w:szCs w:val="24"/>
        </w:rPr>
        <w:t xml:space="preserve">more credit-risk related, less liquid, and less actively traded products subject to the market risk rule.  </w:t>
      </w:r>
    </w:p>
    <w:p w:rsidR="00174870" w14:paraId="75C890DC" w14:textId="77777777">
      <w:pPr>
        <w:widowControl/>
        <w:rPr>
          <w:rFonts w:ascii="Times New Roman" w:hAnsi="Times New Roman"/>
          <w:snapToGrid/>
          <w:szCs w:val="24"/>
        </w:rPr>
      </w:pPr>
      <w:r>
        <w:rPr>
          <w:rFonts w:ascii="Times New Roman" w:hAnsi="Times New Roman"/>
          <w:snapToGrid/>
          <w:szCs w:val="24"/>
        </w:rPr>
        <w:br w:type="page"/>
      </w:r>
    </w:p>
    <w:p w:rsidR="00DC63EC" w:rsidRPr="00AD2568" w:rsidP="00082A03" w14:paraId="2A6A34DF" w14:textId="77777777">
      <w:pPr>
        <w:widowControl/>
        <w:autoSpaceDE w:val="0"/>
        <w:autoSpaceDN w:val="0"/>
        <w:adjustRightInd w:val="0"/>
        <w:rPr>
          <w:rFonts w:ascii="Times New Roman" w:hAnsi="Times New Roman"/>
          <w:snapToGrid/>
          <w:szCs w:val="24"/>
        </w:rPr>
      </w:pPr>
    </w:p>
    <w:p w:rsidR="0066096F" w:rsidP="00174870" w14:paraId="477B06AF" w14:textId="77777777">
      <w:pPr>
        <w:rPr>
          <w:rFonts w:ascii="Times New Roman" w:hAnsi="Times New Roman"/>
          <w:szCs w:val="24"/>
        </w:rPr>
      </w:pPr>
      <w:r w:rsidRPr="003630E5">
        <w:rPr>
          <w:rFonts w:ascii="Times New Roman" w:hAnsi="Times New Roman"/>
          <w:szCs w:val="24"/>
        </w:rPr>
        <w:t>2</w:t>
      </w:r>
      <w:r w:rsidRPr="003630E5">
        <w:rPr>
          <w:rFonts w:ascii="Times New Roman" w:hAnsi="Times New Roman"/>
          <w:szCs w:val="24"/>
        </w:rPr>
        <w:t xml:space="preserve">.  </w:t>
      </w:r>
      <w:r w:rsidRPr="003630E5">
        <w:rPr>
          <w:rFonts w:ascii="Times New Roman" w:hAnsi="Times New Roman"/>
          <w:szCs w:val="24"/>
          <w:u w:val="single"/>
        </w:rPr>
        <w:t>Use</w:t>
      </w:r>
      <w:r w:rsidRPr="003630E5">
        <w:rPr>
          <w:rFonts w:ascii="Times New Roman" w:hAnsi="Times New Roman"/>
          <w:szCs w:val="24"/>
          <w:u w:val="single"/>
        </w:rPr>
        <w:t xml:space="preserve"> of </w:t>
      </w:r>
      <w:r w:rsidR="0063519F">
        <w:rPr>
          <w:rFonts w:ascii="Times New Roman" w:hAnsi="Times New Roman"/>
          <w:szCs w:val="24"/>
          <w:u w:val="single"/>
        </w:rPr>
        <w:t xml:space="preserve">the </w:t>
      </w:r>
      <w:r w:rsidRPr="003630E5">
        <w:rPr>
          <w:rFonts w:ascii="Times New Roman" w:hAnsi="Times New Roman"/>
          <w:szCs w:val="24"/>
          <w:u w:val="single"/>
        </w:rPr>
        <w:t>Information</w:t>
      </w:r>
      <w:r w:rsidR="0063519F">
        <w:rPr>
          <w:rFonts w:ascii="Times New Roman" w:hAnsi="Times New Roman"/>
          <w:szCs w:val="24"/>
          <w:u w:val="single"/>
        </w:rPr>
        <w:t>:</w:t>
      </w:r>
    </w:p>
    <w:p w:rsidR="003630E5" w:rsidP="00082A03" w14:paraId="55BC3FD7" w14:textId="77777777">
      <w:pPr>
        <w:rPr>
          <w:rFonts w:ascii="Times New Roman" w:hAnsi="Times New Roman"/>
          <w:szCs w:val="24"/>
        </w:rPr>
      </w:pPr>
    </w:p>
    <w:p w:rsidR="003900C0" w:rsidP="00082A03" w14:paraId="31E9F3E6" w14:textId="77777777">
      <w:pPr>
        <w:widowControl/>
        <w:rPr>
          <w:rFonts w:ascii="Times New Roman" w:hAnsi="Times New Roman"/>
          <w:snapToGrid/>
          <w:szCs w:val="24"/>
        </w:rPr>
      </w:pPr>
      <w:r>
        <w:rPr>
          <w:rFonts w:ascii="Times New Roman" w:hAnsi="Times New Roman"/>
          <w:snapToGrid/>
          <w:szCs w:val="24"/>
        </w:rPr>
        <w:t>T</w:t>
      </w:r>
      <w:r w:rsidRPr="003900C0">
        <w:rPr>
          <w:rFonts w:ascii="Times New Roman" w:hAnsi="Times New Roman"/>
          <w:snapToGrid/>
          <w:szCs w:val="24"/>
        </w:rPr>
        <w:t xml:space="preserve">he data </w:t>
      </w:r>
      <w:r w:rsidR="003630E5">
        <w:rPr>
          <w:rFonts w:ascii="Times New Roman" w:hAnsi="Times New Roman"/>
          <w:snapToGrid/>
          <w:szCs w:val="24"/>
        </w:rPr>
        <w:t xml:space="preserve">collected in </w:t>
      </w:r>
      <w:r w:rsidR="003630E5">
        <w:rPr>
          <w:rFonts w:ascii="Times New Roman" w:hAnsi="Times New Roman"/>
          <w:snapToGrid/>
          <w:szCs w:val="24"/>
        </w:rPr>
        <w:t>the FFIEC</w:t>
      </w:r>
      <w:r w:rsidR="003630E5">
        <w:rPr>
          <w:rFonts w:ascii="Times New Roman" w:hAnsi="Times New Roman"/>
          <w:snapToGrid/>
          <w:szCs w:val="24"/>
        </w:rPr>
        <w:t xml:space="preserve"> 102 </w:t>
      </w:r>
      <w:r w:rsidR="00FA1D36">
        <w:rPr>
          <w:rFonts w:ascii="Times New Roman" w:hAnsi="Times New Roman"/>
          <w:snapToGrid/>
          <w:szCs w:val="24"/>
        </w:rPr>
        <w:t>enable</w:t>
      </w:r>
      <w:r w:rsidR="00FA1D36">
        <w:rPr>
          <w:rFonts w:ascii="Times New Roman" w:hAnsi="Times New Roman"/>
          <w:snapToGrid/>
          <w:szCs w:val="24"/>
        </w:rPr>
        <w:t xml:space="preserve"> </w:t>
      </w:r>
      <w:r w:rsidRPr="003900C0">
        <w:rPr>
          <w:rFonts w:ascii="Times New Roman" w:hAnsi="Times New Roman"/>
          <w:snapToGrid/>
          <w:szCs w:val="24"/>
        </w:rPr>
        <w:t>the agencies</w:t>
      </w:r>
      <w:r w:rsidR="00FA1D36">
        <w:rPr>
          <w:rFonts w:ascii="Times New Roman" w:hAnsi="Times New Roman"/>
          <w:snapToGrid/>
          <w:szCs w:val="24"/>
        </w:rPr>
        <w:t xml:space="preserve"> </w:t>
      </w:r>
      <w:r w:rsidRPr="003900C0">
        <w:rPr>
          <w:rFonts w:ascii="Times New Roman" w:hAnsi="Times New Roman"/>
          <w:snapToGrid/>
          <w:szCs w:val="24"/>
        </w:rPr>
        <w:t xml:space="preserve">to monitor the levels of, and trends in, the components that comprise the market risk measure under the market risk capital rule within and across market risk institutions.  </w:t>
      </w:r>
      <w:r w:rsidR="00780ABB">
        <w:rPr>
          <w:rFonts w:ascii="Times New Roman" w:hAnsi="Times New Roman"/>
          <w:snapToGrid/>
          <w:szCs w:val="24"/>
        </w:rPr>
        <w:t>This</w:t>
      </w:r>
      <w:r w:rsidRPr="003900C0" w:rsidR="00780ABB">
        <w:rPr>
          <w:rFonts w:ascii="Times New Roman" w:hAnsi="Times New Roman"/>
          <w:snapToGrid/>
          <w:szCs w:val="24"/>
        </w:rPr>
        <w:t xml:space="preserve"> </w:t>
      </w:r>
      <w:r w:rsidRPr="003900C0">
        <w:rPr>
          <w:rFonts w:ascii="Times New Roman" w:hAnsi="Times New Roman"/>
          <w:snapToGrid/>
          <w:szCs w:val="24"/>
        </w:rPr>
        <w:t>component reporting allow</w:t>
      </w:r>
      <w:r w:rsidR="00FA1D36">
        <w:rPr>
          <w:rFonts w:ascii="Times New Roman" w:hAnsi="Times New Roman"/>
          <w:snapToGrid/>
          <w:szCs w:val="24"/>
        </w:rPr>
        <w:t>s the agencies’</w:t>
      </w:r>
      <w:r w:rsidRPr="003900C0">
        <w:rPr>
          <w:rFonts w:ascii="Times New Roman" w:hAnsi="Times New Roman"/>
          <w:snapToGrid/>
          <w:szCs w:val="24"/>
        </w:rPr>
        <w:t xml:space="preserve"> supervis</w:t>
      </w:r>
      <w:r w:rsidR="00FA1D36">
        <w:rPr>
          <w:rFonts w:ascii="Times New Roman" w:hAnsi="Times New Roman"/>
          <w:snapToGrid/>
          <w:szCs w:val="24"/>
        </w:rPr>
        <w:t xml:space="preserve">ion </w:t>
      </w:r>
      <w:r w:rsidR="00FA1D36">
        <w:rPr>
          <w:rFonts w:ascii="Times New Roman" w:hAnsi="Times New Roman"/>
          <w:snapToGrid/>
          <w:szCs w:val="24"/>
        </w:rPr>
        <w:t>staffs</w:t>
      </w:r>
      <w:r w:rsidRPr="003900C0">
        <w:rPr>
          <w:rFonts w:ascii="Times New Roman" w:hAnsi="Times New Roman"/>
          <w:snapToGrid/>
          <w:szCs w:val="24"/>
        </w:rPr>
        <w:t xml:space="preserve"> to better understand model-implied diversification benefits for individual market risk institutions.  The data also </w:t>
      </w:r>
      <w:r w:rsidRPr="003900C0">
        <w:rPr>
          <w:rFonts w:ascii="Times New Roman" w:hAnsi="Times New Roman"/>
          <w:snapToGrid/>
          <w:szCs w:val="24"/>
        </w:rPr>
        <w:t>enhance</w:t>
      </w:r>
      <w:r w:rsidRPr="003900C0">
        <w:rPr>
          <w:rFonts w:ascii="Times New Roman" w:hAnsi="Times New Roman"/>
          <w:snapToGrid/>
          <w:szCs w:val="24"/>
        </w:rPr>
        <w:t xml:space="preserve"> institution-to-institution comparisons of the drivers underlying market risk institutions’ measures for market risk, identify potential outliers through market risk institution-to-peer comparisons, </w:t>
      </w:r>
      <w:r w:rsidRPr="003900C0">
        <w:rPr>
          <w:rFonts w:ascii="Times New Roman" w:hAnsi="Times New Roman"/>
          <w:snapToGrid/>
          <w:szCs w:val="24"/>
        </w:rPr>
        <w:t>track</w:t>
      </w:r>
      <w:r w:rsidRPr="003900C0">
        <w:rPr>
          <w:rFonts w:ascii="Times New Roman" w:hAnsi="Times New Roman"/>
          <w:snapToGrid/>
          <w:szCs w:val="24"/>
        </w:rPr>
        <w:t xml:space="preserve"> these drivers over time relative to trends in other risk indicators at market risk institutions, and focus </w:t>
      </w:r>
      <w:r w:rsidR="00780ABB">
        <w:rPr>
          <w:rFonts w:ascii="Times New Roman" w:hAnsi="Times New Roman"/>
          <w:snapToGrid/>
          <w:szCs w:val="24"/>
        </w:rPr>
        <w:t xml:space="preserve">the agencies’ </w:t>
      </w:r>
      <w:r w:rsidRPr="003900C0">
        <w:rPr>
          <w:rFonts w:ascii="Times New Roman" w:hAnsi="Times New Roman"/>
          <w:snapToGrid/>
          <w:szCs w:val="24"/>
        </w:rPr>
        <w:t>onsite examination efforts</w:t>
      </w:r>
      <w:r w:rsidR="003630E5">
        <w:rPr>
          <w:rFonts w:ascii="Times New Roman" w:hAnsi="Times New Roman"/>
          <w:snapToGrid/>
          <w:szCs w:val="24"/>
        </w:rPr>
        <w:t xml:space="preserve"> at market risk institutions</w:t>
      </w:r>
      <w:r w:rsidRPr="003900C0">
        <w:rPr>
          <w:rFonts w:ascii="Times New Roman" w:hAnsi="Times New Roman"/>
          <w:snapToGrid/>
          <w:szCs w:val="24"/>
        </w:rPr>
        <w:t xml:space="preserve">.  </w:t>
      </w:r>
    </w:p>
    <w:p w:rsidR="00C72F51" w:rsidP="00082A03" w14:paraId="773E7B65" w14:textId="77777777">
      <w:pPr>
        <w:widowControl/>
        <w:rPr>
          <w:rFonts w:ascii="Times New Roman" w:hAnsi="Times New Roman"/>
          <w:snapToGrid/>
          <w:szCs w:val="24"/>
        </w:rPr>
      </w:pPr>
    </w:p>
    <w:p w:rsidR="00E52A31" w:rsidP="00082A03" w14:paraId="3310BE6A" w14:textId="77777777">
      <w:pPr>
        <w:widowControl/>
        <w:autoSpaceDE w:val="0"/>
        <w:autoSpaceDN w:val="0"/>
        <w:adjustRightInd w:val="0"/>
        <w:rPr>
          <w:rFonts w:ascii="Times New Roman" w:hAnsi="Times New Roman"/>
          <w:snapToGrid/>
          <w:szCs w:val="24"/>
        </w:rPr>
      </w:pPr>
      <w:r>
        <w:rPr>
          <w:rFonts w:ascii="Times New Roman" w:hAnsi="Times New Roman"/>
          <w:snapToGrid/>
          <w:szCs w:val="24"/>
        </w:rPr>
        <w:t>In addition, t</w:t>
      </w:r>
      <w:r w:rsidRPr="00410799">
        <w:rPr>
          <w:rFonts w:ascii="Times New Roman" w:hAnsi="Times New Roman"/>
          <w:snapToGrid/>
          <w:szCs w:val="24"/>
        </w:rPr>
        <w:t xml:space="preserve">he market risk information collected in the </w:t>
      </w:r>
      <w:r>
        <w:rPr>
          <w:rFonts w:ascii="Times New Roman" w:hAnsi="Times New Roman"/>
          <w:snapToGrid/>
          <w:szCs w:val="24"/>
        </w:rPr>
        <w:t>FFIEC 102 (a) </w:t>
      </w:r>
      <w:r w:rsidRPr="00410799">
        <w:rPr>
          <w:rFonts w:ascii="Times New Roman" w:hAnsi="Times New Roman"/>
          <w:snapToGrid/>
          <w:szCs w:val="24"/>
        </w:rPr>
        <w:t>permit</w:t>
      </w:r>
      <w:r w:rsidR="00FA1D36">
        <w:rPr>
          <w:rFonts w:ascii="Times New Roman" w:hAnsi="Times New Roman"/>
          <w:snapToGrid/>
          <w:szCs w:val="24"/>
        </w:rPr>
        <w:t>s</w:t>
      </w:r>
      <w:r w:rsidRPr="00410799">
        <w:rPr>
          <w:rFonts w:ascii="Times New Roman" w:hAnsi="Times New Roman"/>
          <w:snapToGrid/>
          <w:szCs w:val="24"/>
        </w:rPr>
        <w:t xml:space="preserve"> the agencies to monitor the market risk profile of and evaluate the impact and competitive implications of the market risk capital rule on individual market risk institutions and the industry as a whole; (b)</w:t>
      </w:r>
      <w:r w:rsidR="002039CD">
        <w:rPr>
          <w:rFonts w:ascii="Times New Roman" w:hAnsi="Times New Roman"/>
          <w:snapToGrid/>
          <w:szCs w:val="24"/>
        </w:rPr>
        <w:t> </w:t>
      </w:r>
      <w:r w:rsidRPr="00410799">
        <w:rPr>
          <w:rFonts w:ascii="Times New Roman" w:hAnsi="Times New Roman"/>
          <w:snapToGrid/>
          <w:szCs w:val="24"/>
        </w:rPr>
        <w:t>provide</w:t>
      </w:r>
      <w:r w:rsidR="00FA1D36">
        <w:rPr>
          <w:rFonts w:ascii="Times New Roman" w:hAnsi="Times New Roman"/>
          <w:snapToGrid/>
          <w:szCs w:val="24"/>
        </w:rPr>
        <w:t>s</w:t>
      </w:r>
      <w:r w:rsidRPr="00410799">
        <w:rPr>
          <w:rFonts w:ascii="Times New Roman" w:hAnsi="Times New Roman"/>
          <w:snapToGrid/>
          <w:szCs w:val="24"/>
        </w:rPr>
        <w:t xml:space="preserve"> the most current statistical data available to identify areas of market risk on which to focus for onsite and offsite examinations; (c) allow</w:t>
      </w:r>
      <w:r w:rsidR="00FA1D36">
        <w:rPr>
          <w:rFonts w:ascii="Times New Roman" w:hAnsi="Times New Roman"/>
          <w:snapToGrid/>
          <w:szCs w:val="24"/>
        </w:rPr>
        <w:t>s</w:t>
      </w:r>
      <w:r w:rsidRPr="00410799">
        <w:rPr>
          <w:rFonts w:ascii="Times New Roman" w:hAnsi="Times New Roman"/>
          <w:snapToGrid/>
          <w:szCs w:val="24"/>
        </w:rPr>
        <w:t xml:space="preserve"> the agencies to assess and monitor the levels and components of each reporting institution’s risk-based capital requirements for market risk and the adequacy of the institution’s capital under the market risk capital rule;</w:t>
      </w:r>
      <w:bookmarkStart w:id="0" w:name="OLE_LINK3"/>
      <w:r w:rsidRPr="00410799">
        <w:rPr>
          <w:rFonts w:ascii="Times New Roman" w:hAnsi="Times New Roman"/>
          <w:snapToGrid/>
          <w:szCs w:val="24"/>
        </w:rPr>
        <w:t xml:space="preserve"> and (d) assist</w:t>
      </w:r>
      <w:r w:rsidR="00FA1D36">
        <w:rPr>
          <w:rFonts w:ascii="Times New Roman" w:hAnsi="Times New Roman"/>
          <w:snapToGrid/>
          <w:szCs w:val="24"/>
        </w:rPr>
        <w:t>s</w:t>
      </w:r>
      <w:r w:rsidRPr="00410799">
        <w:rPr>
          <w:rFonts w:ascii="Times New Roman" w:hAnsi="Times New Roman"/>
          <w:snapToGrid/>
          <w:szCs w:val="24"/>
        </w:rPr>
        <w:t xml:space="preserve"> market risk institutions </w:t>
      </w:r>
      <w:r w:rsidR="00FA1D36">
        <w:rPr>
          <w:rFonts w:ascii="Times New Roman" w:hAnsi="Times New Roman"/>
          <w:snapToGrid/>
          <w:szCs w:val="24"/>
        </w:rPr>
        <w:t>in</w:t>
      </w:r>
      <w:r w:rsidRPr="00410799">
        <w:rPr>
          <w:rFonts w:ascii="Times New Roman" w:hAnsi="Times New Roman"/>
          <w:snapToGrid/>
          <w:szCs w:val="24"/>
        </w:rPr>
        <w:t xml:space="preserve"> implement</w:t>
      </w:r>
      <w:r w:rsidR="00FA1D36">
        <w:rPr>
          <w:rFonts w:ascii="Times New Roman" w:hAnsi="Times New Roman"/>
          <w:snapToGrid/>
          <w:szCs w:val="24"/>
        </w:rPr>
        <w:t>ing</w:t>
      </w:r>
      <w:r w:rsidRPr="00410799">
        <w:rPr>
          <w:rFonts w:ascii="Times New Roman" w:hAnsi="Times New Roman"/>
          <w:snapToGrid/>
          <w:szCs w:val="24"/>
        </w:rPr>
        <w:t xml:space="preserve"> and validat</w:t>
      </w:r>
      <w:r w:rsidR="00FA1D36">
        <w:rPr>
          <w:rFonts w:ascii="Times New Roman" w:hAnsi="Times New Roman"/>
          <w:snapToGrid/>
          <w:szCs w:val="24"/>
        </w:rPr>
        <w:t>ing</w:t>
      </w:r>
      <w:r w:rsidRPr="00410799">
        <w:rPr>
          <w:rFonts w:ascii="Times New Roman" w:hAnsi="Times New Roman"/>
          <w:snapToGrid/>
          <w:szCs w:val="24"/>
        </w:rPr>
        <w:t xml:space="preserve"> the market risk framework.</w:t>
      </w:r>
      <w:bookmarkEnd w:id="0"/>
    </w:p>
    <w:p w:rsidR="00C72F51" w:rsidRPr="00410799" w:rsidP="00082A03" w14:paraId="2465B191" w14:textId="77777777">
      <w:pPr>
        <w:widowControl/>
        <w:autoSpaceDE w:val="0"/>
        <w:autoSpaceDN w:val="0"/>
        <w:adjustRightInd w:val="0"/>
        <w:rPr>
          <w:rFonts w:ascii="Times New Roman" w:hAnsi="Times New Roman"/>
          <w:snapToGrid/>
          <w:szCs w:val="24"/>
        </w:rPr>
      </w:pPr>
    </w:p>
    <w:p w:rsidR="00E52A31" w:rsidRPr="003900C0" w:rsidP="00082A03" w14:paraId="6C59BEF8" w14:textId="77777777">
      <w:pPr>
        <w:widowControl/>
        <w:rPr>
          <w:rFonts w:ascii="Times New Roman" w:hAnsi="Times New Roman"/>
          <w:snapToGrid/>
          <w:szCs w:val="24"/>
        </w:rPr>
      </w:pPr>
      <w:r w:rsidRPr="00D2240C">
        <w:rPr>
          <w:rFonts w:ascii="Times New Roman" w:hAnsi="Times New Roman"/>
          <w:snapToGrid/>
          <w:szCs w:val="24"/>
        </w:rPr>
        <w:t xml:space="preserve">These reports </w:t>
      </w:r>
      <w:r w:rsidR="00C33E56">
        <w:rPr>
          <w:rFonts w:ascii="Times New Roman" w:hAnsi="Times New Roman"/>
          <w:snapToGrid/>
          <w:szCs w:val="24"/>
        </w:rPr>
        <w:t xml:space="preserve">also </w:t>
      </w:r>
      <w:r w:rsidRPr="00D2240C">
        <w:rPr>
          <w:rFonts w:ascii="Times New Roman" w:hAnsi="Times New Roman"/>
          <w:snapToGrid/>
          <w:szCs w:val="24"/>
        </w:rPr>
        <w:t xml:space="preserve">help the agencies </w:t>
      </w:r>
      <w:r w:rsidR="000A2A9B">
        <w:rPr>
          <w:rFonts w:ascii="Times New Roman" w:hAnsi="Times New Roman"/>
          <w:snapToGrid/>
          <w:szCs w:val="24"/>
        </w:rPr>
        <w:t xml:space="preserve">identify and </w:t>
      </w:r>
      <w:r w:rsidRPr="00D2240C">
        <w:rPr>
          <w:rFonts w:ascii="Times New Roman" w:hAnsi="Times New Roman"/>
          <w:snapToGrid/>
          <w:szCs w:val="24"/>
        </w:rPr>
        <w:t xml:space="preserve">appropriately reflect </w:t>
      </w:r>
      <w:r w:rsidR="00676115">
        <w:rPr>
          <w:rFonts w:ascii="Times New Roman" w:hAnsi="Times New Roman"/>
          <w:snapToGrid/>
          <w:szCs w:val="24"/>
        </w:rPr>
        <w:t>market</w:t>
      </w:r>
      <w:r w:rsidR="000A2A9B">
        <w:rPr>
          <w:rFonts w:ascii="Times New Roman" w:hAnsi="Times New Roman"/>
          <w:snapToGrid/>
          <w:szCs w:val="24"/>
        </w:rPr>
        <w:t xml:space="preserve"> risks </w:t>
      </w:r>
      <w:r w:rsidRPr="00D2240C">
        <w:rPr>
          <w:rFonts w:ascii="Times New Roman" w:hAnsi="Times New Roman"/>
          <w:snapToGrid/>
          <w:szCs w:val="24"/>
        </w:rPr>
        <w:t xml:space="preserve">in </w:t>
      </w:r>
      <w:r w:rsidR="00676115">
        <w:rPr>
          <w:rFonts w:ascii="Times New Roman" w:hAnsi="Times New Roman"/>
          <w:snapToGrid/>
          <w:szCs w:val="24"/>
        </w:rPr>
        <w:t xml:space="preserve">their </w:t>
      </w:r>
      <w:r w:rsidRPr="00D2240C">
        <w:rPr>
          <w:rFonts w:ascii="Times New Roman" w:hAnsi="Times New Roman"/>
          <w:snapToGrid/>
          <w:szCs w:val="24"/>
        </w:rPr>
        <w:t>assessments of the safety and soundness of market risk institutions.</w:t>
      </w:r>
    </w:p>
    <w:p w:rsidR="0066096F" w:rsidP="00082A03" w14:paraId="4A00323E" w14:textId="77777777">
      <w:pPr>
        <w:rPr>
          <w:rFonts w:ascii="Times New Roman" w:hAnsi="Times New Roman"/>
          <w:szCs w:val="24"/>
        </w:rPr>
      </w:pPr>
    </w:p>
    <w:p w:rsidR="003030A4" w:rsidRPr="00576EF9" w:rsidP="00082A03" w14:paraId="049461FF" w14:textId="77777777">
      <w:pPr>
        <w:rPr>
          <w:rFonts w:ascii="Times New Roman" w:hAnsi="Times New Roman"/>
          <w:szCs w:val="24"/>
        </w:rPr>
      </w:pPr>
    </w:p>
    <w:p w:rsidR="0066096F" w:rsidP="00082A03" w14:paraId="4B803593" w14:textId="77777777">
      <w:pPr>
        <w:rPr>
          <w:rFonts w:ascii="Times New Roman" w:hAnsi="Times New Roman"/>
          <w:szCs w:val="24"/>
        </w:rPr>
      </w:pPr>
      <w:r w:rsidRPr="004877A3">
        <w:rPr>
          <w:rFonts w:ascii="Times New Roman" w:hAnsi="Times New Roman"/>
          <w:szCs w:val="24"/>
        </w:rPr>
        <w:t>3</w:t>
      </w:r>
      <w:r w:rsidRPr="004877A3">
        <w:rPr>
          <w:rFonts w:ascii="Times New Roman" w:hAnsi="Times New Roman"/>
          <w:szCs w:val="24"/>
        </w:rPr>
        <w:t xml:space="preserve">.  </w:t>
      </w:r>
      <w:r w:rsidRPr="00174870" w:rsidR="00174870">
        <w:rPr>
          <w:rFonts w:ascii="Times New Roman" w:hAnsi="Times New Roman"/>
          <w:bCs/>
          <w:szCs w:val="24"/>
          <w:u w:val="single"/>
        </w:rPr>
        <w:t>Consideration</w:t>
      </w:r>
      <w:r w:rsidRPr="00174870" w:rsidR="00174870">
        <w:rPr>
          <w:rFonts w:ascii="Times New Roman" w:hAnsi="Times New Roman"/>
          <w:bCs/>
          <w:szCs w:val="24"/>
          <w:u w:val="single"/>
        </w:rPr>
        <w:t xml:space="preserve"> of the use of improved information technology:</w:t>
      </w:r>
    </w:p>
    <w:p w:rsidR="004877A3" w:rsidRPr="00576EF9" w:rsidP="00082A03" w14:paraId="10941C40" w14:textId="77777777">
      <w:pPr>
        <w:rPr>
          <w:rFonts w:ascii="Times New Roman" w:hAnsi="Times New Roman"/>
          <w:szCs w:val="24"/>
        </w:rPr>
      </w:pPr>
    </w:p>
    <w:p w:rsidR="00082A03" w:rsidP="003030A4" w14:paraId="1D0C808B" w14:textId="77777777">
      <w:pPr>
        <w:widowControl/>
        <w:rPr>
          <w:rFonts w:ascii="Times New Roman" w:hAnsi="Times New Roman"/>
          <w:szCs w:val="24"/>
        </w:rPr>
      </w:pPr>
      <w:r>
        <w:rPr>
          <w:rFonts w:ascii="Times New Roman" w:hAnsi="Times New Roman"/>
          <w:szCs w:val="24"/>
        </w:rPr>
        <w:t>Market risk i</w:t>
      </w:r>
      <w:r w:rsidR="00DC23AC">
        <w:rPr>
          <w:rFonts w:ascii="Times New Roman" w:hAnsi="Times New Roman"/>
          <w:szCs w:val="24"/>
        </w:rPr>
        <w:t xml:space="preserve">nstitutions may use any information technology that allows them to meet the requirements of this </w:t>
      </w:r>
      <w:r w:rsidR="00C33E56">
        <w:rPr>
          <w:rFonts w:ascii="Times New Roman" w:hAnsi="Times New Roman"/>
          <w:szCs w:val="24"/>
        </w:rPr>
        <w:t>information</w:t>
      </w:r>
      <w:r>
        <w:rPr>
          <w:rFonts w:ascii="Times New Roman" w:hAnsi="Times New Roman"/>
          <w:szCs w:val="24"/>
        </w:rPr>
        <w:t xml:space="preserve"> </w:t>
      </w:r>
      <w:r w:rsidR="00DC23AC">
        <w:rPr>
          <w:rFonts w:ascii="Times New Roman" w:hAnsi="Times New Roman"/>
          <w:szCs w:val="24"/>
        </w:rPr>
        <w:t>collection.</w:t>
      </w:r>
      <w:r w:rsidR="00780ABB">
        <w:rPr>
          <w:rFonts w:ascii="Times New Roman" w:hAnsi="Times New Roman"/>
          <w:szCs w:val="24"/>
        </w:rPr>
        <w:t xml:space="preserve">  </w:t>
      </w:r>
      <w:r w:rsidRPr="00082A03">
        <w:rPr>
          <w:rFonts w:ascii="Times New Roman" w:hAnsi="Times New Roman"/>
          <w:szCs w:val="24"/>
        </w:rPr>
        <w:t>All market risk institutions</w:t>
      </w:r>
      <w:r>
        <w:rPr>
          <w:rFonts w:ascii="Times New Roman" w:hAnsi="Times New Roman"/>
          <w:szCs w:val="24"/>
        </w:rPr>
        <w:t xml:space="preserve"> </w:t>
      </w:r>
      <w:r w:rsidR="00C33E56">
        <w:rPr>
          <w:rFonts w:ascii="Times New Roman" w:hAnsi="Times New Roman"/>
          <w:szCs w:val="24"/>
        </w:rPr>
        <w:t>are</w:t>
      </w:r>
      <w:r>
        <w:rPr>
          <w:rFonts w:ascii="Times New Roman" w:hAnsi="Times New Roman"/>
          <w:szCs w:val="24"/>
        </w:rPr>
        <w:t xml:space="preserve"> required to</w:t>
      </w:r>
      <w:r w:rsidRPr="00082A03">
        <w:rPr>
          <w:rFonts w:ascii="Times New Roman" w:hAnsi="Times New Roman"/>
          <w:szCs w:val="24"/>
        </w:rPr>
        <w:t xml:space="preserve"> submit their completed reports electronically using the Federal Reserve’s Reporting Central application.</w:t>
      </w:r>
    </w:p>
    <w:p w:rsidR="00082A03" w:rsidP="00082A03" w14:paraId="03AC1E4E" w14:textId="77777777">
      <w:pPr>
        <w:rPr>
          <w:rFonts w:ascii="Times New Roman" w:hAnsi="Times New Roman"/>
          <w:szCs w:val="24"/>
        </w:rPr>
      </w:pPr>
    </w:p>
    <w:p w:rsidR="003968C7" w14:paraId="7D134696" w14:textId="77777777">
      <w:pPr>
        <w:widowControl/>
        <w:rPr>
          <w:rFonts w:ascii="Times New Roman" w:hAnsi="Times New Roman"/>
          <w:szCs w:val="24"/>
        </w:rPr>
      </w:pPr>
    </w:p>
    <w:p w:rsidR="0066096F" w:rsidRPr="00576EF9" w:rsidP="00082A03" w14:paraId="6787E7CB" w14:textId="77777777">
      <w:pPr>
        <w:tabs>
          <w:tab w:val="left" w:pos="-1440"/>
        </w:tabs>
        <w:rPr>
          <w:rFonts w:ascii="Times New Roman" w:hAnsi="Times New Roman"/>
          <w:szCs w:val="24"/>
        </w:rPr>
      </w:pPr>
      <w:r w:rsidRPr="00576EF9">
        <w:rPr>
          <w:rFonts w:ascii="Times New Roman" w:hAnsi="Times New Roman"/>
          <w:szCs w:val="24"/>
        </w:rPr>
        <w:t>4</w:t>
      </w:r>
      <w:r w:rsidRPr="00576EF9">
        <w:rPr>
          <w:rFonts w:ascii="Times New Roman" w:hAnsi="Times New Roman"/>
          <w:szCs w:val="24"/>
        </w:rPr>
        <w:t>.</w:t>
      </w:r>
      <w:r w:rsidR="00082A03">
        <w:rPr>
          <w:rFonts w:ascii="Times New Roman" w:hAnsi="Times New Roman"/>
          <w:szCs w:val="24"/>
        </w:rPr>
        <w:t xml:space="preserve">  </w:t>
      </w:r>
      <w:r w:rsidRPr="00082A03" w:rsidR="00082A03">
        <w:rPr>
          <w:rFonts w:ascii="Times New Roman" w:hAnsi="Times New Roman"/>
          <w:szCs w:val="24"/>
          <w:u w:val="single"/>
        </w:rPr>
        <w:t>Efforts</w:t>
      </w:r>
      <w:r w:rsidRPr="00082A03" w:rsidR="00082A03">
        <w:rPr>
          <w:rFonts w:ascii="Times New Roman" w:hAnsi="Times New Roman"/>
          <w:szCs w:val="24"/>
          <w:u w:val="single"/>
        </w:rPr>
        <w:t xml:space="preserve"> to </w:t>
      </w:r>
      <w:r w:rsidR="00174870">
        <w:rPr>
          <w:rFonts w:ascii="Times New Roman" w:hAnsi="Times New Roman"/>
          <w:szCs w:val="24"/>
          <w:u w:val="single"/>
        </w:rPr>
        <w:t>identify d</w:t>
      </w:r>
      <w:r w:rsidRPr="00082A03" w:rsidR="00082A03">
        <w:rPr>
          <w:rFonts w:ascii="Times New Roman" w:hAnsi="Times New Roman"/>
          <w:szCs w:val="24"/>
          <w:u w:val="single"/>
        </w:rPr>
        <w:t>uplication</w:t>
      </w:r>
      <w:r w:rsidR="00174870">
        <w:rPr>
          <w:rFonts w:ascii="Times New Roman" w:hAnsi="Times New Roman"/>
          <w:szCs w:val="24"/>
          <w:u w:val="single"/>
        </w:rPr>
        <w:t>:</w:t>
      </w:r>
    </w:p>
    <w:p w:rsidR="0066096F" w:rsidRPr="00576EF9" w:rsidP="00082A03" w14:paraId="63D447F6" w14:textId="77777777">
      <w:pPr>
        <w:rPr>
          <w:rFonts w:ascii="Times New Roman" w:hAnsi="Times New Roman"/>
          <w:szCs w:val="24"/>
        </w:rPr>
      </w:pPr>
    </w:p>
    <w:p w:rsidR="0066096F" w:rsidRPr="00576EF9" w:rsidP="00082A03" w14:paraId="61D993D0" w14:textId="77777777">
      <w:pPr>
        <w:widowControl/>
        <w:rPr>
          <w:rFonts w:ascii="Times New Roman" w:hAnsi="Times New Roman"/>
          <w:szCs w:val="24"/>
        </w:rPr>
      </w:pPr>
      <w:r w:rsidRPr="00576EF9">
        <w:rPr>
          <w:rFonts w:ascii="Times New Roman" w:hAnsi="Times New Roman"/>
          <w:szCs w:val="24"/>
        </w:rPr>
        <w:t xml:space="preserve">The </w:t>
      </w:r>
      <w:r w:rsidR="00082A03">
        <w:rPr>
          <w:rFonts w:ascii="Times New Roman" w:hAnsi="Times New Roman"/>
          <w:szCs w:val="24"/>
        </w:rPr>
        <w:t xml:space="preserve">market risk </w:t>
      </w:r>
      <w:r w:rsidRPr="00576EF9">
        <w:rPr>
          <w:rFonts w:ascii="Times New Roman" w:hAnsi="Times New Roman"/>
          <w:szCs w:val="24"/>
        </w:rPr>
        <w:t xml:space="preserve">information collected </w:t>
      </w:r>
      <w:r w:rsidR="004877A3">
        <w:rPr>
          <w:rFonts w:ascii="Times New Roman" w:hAnsi="Times New Roman"/>
          <w:szCs w:val="24"/>
        </w:rPr>
        <w:t xml:space="preserve">in </w:t>
      </w:r>
      <w:r w:rsidR="004877A3">
        <w:rPr>
          <w:rFonts w:ascii="Times New Roman" w:hAnsi="Times New Roman"/>
          <w:szCs w:val="24"/>
        </w:rPr>
        <w:t>the FFIEC</w:t>
      </w:r>
      <w:r w:rsidR="004877A3">
        <w:rPr>
          <w:rFonts w:ascii="Times New Roman" w:hAnsi="Times New Roman"/>
          <w:szCs w:val="24"/>
        </w:rPr>
        <w:t xml:space="preserve"> </w:t>
      </w:r>
      <w:r w:rsidR="00082A03">
        <w:rPr>
          <w:rFonts w:ascii="Times New Roman" w:hAnsi="Times New Roman"/>
          <w:szCs w:val="24"/>
        </w:rPr>
        <w:t>102</w:t>
      </w:r>
      <w:r w:rsidR="004877A3">
        <w:rPr>
          <w:rFonts w:ascii="Times New Roman" w:hAnsi="Times New Roman"/>
          <w:szCs w:val="24"/>
        </w:rPr>
        <w:t xml:space="preserve"> </w:t>
      </w:r>
      <w:r w:rsidRPr="00576EF9">
        <w:rPr>
          <w:rFonts w:ascii="Times New Roman" w:hAnsi="Times New Roman"/>
          <w:szCs w:val="24"/>
        </w:rPr>
        <w:t xml:space="preserve">is unique.  No duplication </w:t>
      </w:r>
      <w:r w:rsidR="00082A03">
        <w:rPr>
          <w:rFonts w:ascii="Times New Roman" w:hAnsi="Times New Roman"/>
          <w:szCs w:val="24"/>
        </w:rPr>
        <w:t xml:space="preserve">with other information collections </w:t>
      </w:r>
      <w:r w:rsidRPr="00576EF9">
        <w:rPr>
          <w:rFonts w:ascii="Times New Roman" w:hAnsi="Times New Roman"/>
          <w:szCs w:val="24"/>
        </w:rPr>
        <w:t>exists.</w:t>
      </w:r>
    </w:p>
    <w:p w:rsidR="0066096F" w:rsidP="00082A03" w14:paraId="73087E88" w14:textId="0073288C">
      <w:pPr>
        <w:rPr>
          <w:rFonts w:ascii="Times New Roman" w:hAnsi="Times New Roman"/>
          <w:szCs w:val="24"/>
        </w:rPr>
      </w:pPr>
    </w:p>
    <w:p w:rsidR="003968C7" w:rsidP="00082A03" w14:paraId="27EB1DCB" w14:textId="77777777">
      <w:pPr>
        <w:rPr>
          <w:rFonts w:ascii="Times New Roman" w:hAnsi="Times New Roman"/>
          <w:szCs w:val="24"/>
        </w:rPr>
      </w:pPr>
    </w:p>
    <w:p w:rsidR="0066096F" w:rsidRPr="00576EF9" w:rsidP="00082A03" w14:paraId="01E2CE4A" w14:textId="77777777">
      <w:pPr>
        <w:tabs>
          <w:tab w:val="left" w:pos="-1440"/>
        </w:tabs>
        <w:rPr>
          <w:rFonts w:ascii="Times New Roman" w:hAnsi="Times New Roman"/>
          <w:szCs w:val="24"/>
        </w:rPr>
      </w:pPr>
      <w:r w:rsidRPr="00576EF9">
        <w:rPr>
          <w:rFonts w:ascii="Times New Roman" w:hAnsi="Times New Roman"/>
          <w:szCs w:val="24"/>
        </w:rPr>
        <w:t>5</w:t>
      </w:r>
      <w:r w:rsidRPr="00576EF9">
        <w:rPr>
          <w:rFonts w:ascii="Times New Roman" w:hAnsi="Times New Roman"/>
          <w:szCs w:val="24"/>
        </w:rPr>
        <w:t>.</w:t>
      </w:r>
      <w:r w:rsidR="00082A03">
        <w:rPr>
          <w:rFonts w:ascii="Times New Roman" w:hAnsi="Times New Roman"/>
          <w:szCs w:val="24"/>
        </w:rPr>
        <w:t xml:space="preserve">  </w:t>
      </w:r>
      <w:r w:rsidRPr="00174870" w:rsidR="00174870">
        <w:rPr>
          <w:rFonts w:ascii="Times New Roman" w:hAnsi="Times New Roman"/>
          <w:bCs/>
          <w:szCs w:val="24"/>
          <w:u w:val="single"/>
        </w:rPr>
        <w:t>Methods</w:t>
      </w:r>
      <w:r w:rsidRPr="00174870" w:rsidR="00174870">
        <w:rPr>
          <w:rFonts w:ascii="Times New Roman" w:hAnsi="Times New Roman"/>
          <w:bCs/>
          <w:szCs w:val="24"/>
          <w:u w:val="single"/>
        </w:rPr>
        <w:t xml:space="preserve"> used to minimize burden if the collection has a significant impact on a substantial number of small entities:</w:t>
      </w:r>
    </w:p>
    <w:p w:rsidR="0066096F" w:rsidRPr="00576EF9" w:rsidP="00082A03" w14:paraId="7510A2AE" w14:textId="77777777">
      <w:pPr>
        <w:rPr>
          <w:rFonts w:ascii="Times New Roman" w:hAnsi="Times New Roman"/>
          <w:szCs w:val="24"/>
        </w:rPr>
      </w:pPr>
    </w:p>
    <w:p w:rsidR="0066096F" w:rsidRPr="00576EF9" w:rsidP="00082A03" w14:paraId="1A3DD717" w14:textId="2554F2B3">
      <w:pPr>
        <w:rPr>
          <w:rFonts w:ascii="Times New Roman" w:hAnsi="Times New Roman"/>
          <w:szCs w:val="24"/>
        </w:rPr>
      </w:pPr>
      <w:r w:rsidRPr="00174870">
        <w:rPr>
          <w:rFonts w:ascii="Times New Roman" w:hAnsi="Times New Roman"/>
        </w:rPr>
        <w:t>The collection of information does not have a significant impact on a substantial number of small institutions.</w:t>
      </w:r>
      <w:r>
        <w:rPr>
          <w:rFonts w:ascii="Times New Roman" w:hAnsi="Times New Roman"/>
        </w:rPr>
        <w:t xml:space="preserve"> </w:t>
      </w:r>
      <w:r>
        <w:rPr>
          <w:rFonts w:ascii="Times New Roman" w:hAnsi="Times New Roman"/>
          <w:szCs w:val="24"/>
        </w:rPr>
        <w:t>According</w:t>
      </w:r>
      <w:r w:rsidRPr="005C7645">
        <w:rPr>
          <w:rFonts w:ascii="Times New Roman" w:hAnsi="Times New Roman"/>
          <w:szCs w:val="24"/>
        </w:rPr>
        <w:t xml:space="preserve"> to the Small Business Administration (13 CFR 121.201), a </w:t>
      </w:r>
      <w:r>
        <w:rPr>
          <w:rFonts w:ascii="Times New Roman" w:hAnsi="Times New Roman"/>
          <w:szCs w:val="24"/>
        </w:rPr>
        <w:t>depository institution</w:t>
      </w:r>
      <w:r w:rsidRPr="005C7645">
        <w:rPr>
          <w:rFonts w:ascii="Times New Roman" w:hAnsi="Times New Roman"/>
          <w:szCs w:val="24"/>
        </w:rPr>
        <w:t xml:space="preserve"> </w:t>
      </w:r>
      <w:r>
        <w:rPr>
          <w:rFonts w:ascii="Times New Roman" w:hAnsi="Times New Roman"/>
          <w:szCs w:val="24"/>
        </w:rPr>
        <w:t xml:space="preserve">is considered a </w:t>
      </w:r>
      <w:r w:rsidRPr="005C7645">
        <w:rPr>
          <w:rFonts w:ascii="Times New Roman" w:hAnsi="Times New Roman"/>
          <w:szCs w:val="24"/>
        </w:rPr>
        <w:t>“small entity”</w:t>
      </w:r>
      <w:r>
        <w:rPr>
          <w:rFonts w:ascii="Times New Roman" w:hAnsi="Times New Roman"/>
          <w:szCs w:val="24"/>
        </w:rPr>
        <w:t xml:space="preserve"> if it has </w:t>
      </w:r>
      <w:r w:rsidRPr="005C7645">
        <w:rPr>
          <w:rFonts w:ascii="Times New Roman" w:hAnsi="Times New Roman"/>
          <w:szCs w:val="24"/>
        </w:rPr>
        <w:t>assets of $</w:t>
      </w:r>
      <w:r w:rsidR="00011D67">
        <w:rPr>
          <w:rFonts w:ascii="Times New Roman" w:hAnsi="Times New Roman"/>
          <w:szCs w:val="24"/>
        </w:rPr>
        <w:t>850</w:t>
      </w:r>
      <w:r w:rsidRPr="005C7645" w:rsidR="00011D67">
        <w:rPr>
          <w:rFonts w:ascii="Times New Roman" w:hAnsi="Times New Roman"/>
          <w:szCs w:val="24"/>
        </w:rPr>
        <w:t xml:space="preserve"> </w:t>
      </w:r>
      <w:r w:rsidRPr="005C7645">
        <w:rPr>
          <w:rFonts w:ascii="Times New Roman" w:hAnsi="Times New Roman"/>
          <w:szCs w:val="24"/>
        </w:rPr>
        <w:t>million or less.</w:t>
      </w:r>
      <w:r>
        <w:rPr>
          <w:rFonts w:ascii="Times New Roman" w:hAnsi="Times New Roman"/>
          <w:szCs w:val="24"/>
        </w:rPr>
        <w:t xml:space="preserve"> </w:t>
      </w:r>
      <w:r w:rsidR="00082A03">
        <w:rPr>
          <w:rFonts w:ascii="Times New Roman" w:hAnsi="Times New Roman"/>
          <w:szCs w:val="24"/>
        </w:rPr>
        <w:t>The FFIEC</w:t>
      </w:r>
      <w:r w:rsidR="00082A03">
        <w:rPr>
          <w:rFonts w:ascii="Times New Roman" w:hAnsi="Times New Roman"/>
          <w:szCs w:val="24"/>
        </w:rPr>
        <w:t xml:space="preserve"> 102 </w:t>
      </w:r>
      <w:r w:rsidR="00C33E56">
        <w:rPr>
          <w:rFonts w:ascii="Times New Roman" w:hAnsi="Times New Roman"/>
          <w:szCs w:val="24"/>
        </w:rPr>
        <w:t>is</w:t>
      </w:r>
      <w:r w:rsidR="00082A03">
        <w:rPr>
          <w:rFonts w:ascii="Times New Roman" w:hAnsi="Times New Roman"/>
          <w:szCs w:val="24"/>
        </w:rPr>
        <w:t xml:space="preserve"> only </w:t>
      </w:r>
      <w:r>
        <w:rPr>
          <w:rFonts w:ascii="Times New Roman" w:hAnsi="Times New Roman"/>
          <w:szCs w:val="24"/>
        </w:rPr>
        <w:t>filed by</w:t>
      </w:r>
      <w:r w:rsidR="00082A03">
        <w:rPr>
          <w:rFonts w:ascii="Times New Roman" w:hAnsi="Times New Roman"/>
          <w:szCs w:val="24"/>
        </w:rPr>
        <w:t xml:space="preserve"> market risk institutions.  </w:t>
      </w:r>
      <w:r>
        <w:rPr>
          <w:rFonts w:ascii="Times New Roman" w:hAnsi="Times New Roman"/>
          <w:szCs w:val="24"/>
        </w:rPr>
        <w:t xml:space="preserve">Market risk institutions are </w:t>
      </w:r>
      <w:r w:rsidR="00E11DCA">
        <w:rPr>
          <w:rFonts w:ascii="Times New Roman" w:hAnsi="Times New Roman"/>
          <w:szCs w:val="24"/>
        </w:rPr>
        <w:t xml:space="preserve">generally </w:t>
      </w:r>
      <w:r>
        <w:rPr>
          <w:rFonts w:ascii="Times New Roman" w:hAnsi="Times New Roman"/>
          <w:szCs w:val="24"/>
        </w:rPr>
        <w:t xml:space="preserve">not “small entities.”  </w:t>
      </w:r>
      <w:r>
        <w:rPr>
          <w:rFonts w:ascii="Times New Roman" w:hAnsi="Times New Roman"/>
          <w:szCs w:val="24"/>
        </w:rPr>
        <w:t>A</w:t>
      </w:r>
      <w:r w:rsidR="00082A03">
        <w:rPr>
          <w:rFonts w:ascii="Times New Roman" w:hAnsi="Times New Roman"/>
          <w:szCs w:val="24"/>
        </w:rPr>
        <w:t xml:space="preserve"> market risk </w:t>
      </w:r>
      <w:r w:rsidRPr="00082A03" w:rsidR="00082A03">
        <w:rPr>
          <w:rFonts w:ascii="Times New Roman" w:hAnsi="Times New Roman"/>
          <w:szCs w:val="24"/>
        </w:rPr>
        <w:t>institution</w:t>
      </w:r>
      <w:r w:rsidR="00082A03">
        <w:rPr>
          <w:rFonts w:ascii="Times New Roman" w:hAnsi="Times New Roman"/>
          <w:szCs w:val="24"/>
        </w:rPr>
        <w:t xml:space="preserve"> is </w:t>
      </w:r>
      <w:r w:rsidRPr="00082A03" w:rsidR="00082A03">
        <w:rPr>
          <w:rFonts w:ascii="Times New Roman" w:hAnsi="Times New Roman"/>
          <w:szCs w:val="24"/>
        </w:rPr>
        <w:t xml:space="preserve">a </w:t>
      </w:r>
      <w:r w:rsidR="00C40FA3">
        <w:rPr>
          <w:rFonts w:ascii="Times New Roman" w:hAnsi="Times New Roman"/>
          <w:szCs w:val="24"/>
        </w:rPr>
        <w:t xml:space="preserve">fairly complex large </w:t>
      </w:r>
      <w:r w:rsidRPr="00082A03" w:rsidR="00082A03">
        <w:rPr>
          <w:rFonts w:ascii="Times New Roman" w:hAnsi="Times New Roman"/>
          <w:szCs w:val="24"/>
        </w:rPr>
        <w:t>bank, savings association, bank holding company, savings and loan holding company</w:t>
      </w:r>
      <w:r w:rsidR="00C33E56">
        <w:rPr>
          <w:rFonts w:ascii="Times New Roman" w:hAnsi="Times New Roman"/>
          <w:szCs w:val="24"/>
        </w:rPr>
        <w:t xml:space="preserve">, or </w:t>
      </w:r>
      <w:r w:rsidR="004C489A">
        <w:rPr>
          <w:rFonts w:ascii="Times New Roman" w:hAnsi="Times New Roman"/>
          <w:szCs w:val="24"/>
        </w:rPr>
        <w:t xml:space="preserve">U.S. </w:t>
      </w:r>
      <w:r w:rsidR="00C33E56">
        <w:rPr>
          <w:rFonts w:ascii="Times New Roman" w:hAnsi="Times New Roman"/>
          <w:szCs w:val="24"/>
        </w:rPr>
        <w:t>intermediate holding company</w:t>
      </w:r>
      <w:r w:rsidR="00082A03">
        <w:rPr>
          <w:rFonts w:ascii="Times New Roman" w:hAnsi="Times New Roman"/>
          <w:szCs w:val="24"/>
        </w:rPr>
        <w:t xml:space="preserve"> that reported</w:t>
      </w:r>
      <w:r w:rsidRPr="00082A03" w:rsidR="00082A03">
        <w:rPr>
          <w:rFonts w:ascii="Times New Roman" w:hAnsi="Times New Roman"/>
          <w:szCs w:val="24"/>
        </w:rPr>
        <w:t xml:space="preserve"> aggregate trading assets and trading liabilities</w:t>
      </w:r>
      <w:r w:rsidR="00082A03">
        <w:rPr>
          <w:rFonts w:ascii="Times New Roman" w:hAnsi="Times New Roman"/>
          <w:szCs w:val="24"/>
        </w:rPr>
        <w:t xml:space="preserve"> in its most </w:t>
      </w:r>
      <w:r w:rsidRPr="00082A03" w:rsidR="00082A03">
        <w:rPr>
          <w:rFonts w:ascii="Times New Roman" w:hAnsi="Times New Roman"/>
          <w:szCs w:val="24"/>
        </w:rPr>
        <w:t xml:space="preserve">recent Call Report or </w:t>
      </w:r>
      <w:r w:rsidR="00082A03">
        <w:rPr>
          <w:rFonts w:ascii="Times New Roman" w:hAnsi="Times New Roman"/>
          <w:szCs w:val="24"/>
        </w:rPr>
        <w:t>F</w:t>
      </w:r>
      <w:r w:rsidRPr="00082A03" w:rsidR="00082A03">
        <w:rPr>
          <w:rFonts w:ascii="Times New Roman" w:hAnsi="Times New Roman"/>
          <w:szCs w:val="24"/>
        </w:rPr>
        <w:t>R Y-9C equal to (a) 10 percent or more of quarter-end total ass</w:t>
      </w:r>
      <w:r>
        <w:rPr>
          <w:rFonts w:ascii="Times New Roman" w:hAnsi="Times New Roman"/>
          <w:szCs w:val="24"/>
        </w:rPr>
        <w:t>ets or (b) $1 billion or more.</w:t>
      </w:r>
      <w:r w:rsidRPr="005C7645" w:rsidR="005C7645">
        <w:rPr>
          <w:rFonts w:ascii="Times New Roman" w:hAnsi="Times New Roman"/>
          <w:szCs w:val="24"/>
        </w:rPr>
        <w:t xml:space="preserve"> </w:t>
      </w:r>
    </w:p>
    <w:p w:rsidR="003030A4" w:rsidP="003030A4" w14:paraId="51714AB9" w14:textId="77777777">
      <w:pPr>
        <w:tabs>
          <w:tab w:val="left" w:pos="-1440"/>
        </w:tabs>
        <w:rPr>
          <w:rFonts w:ascii="Times New Roman" w:hAnsi="Times New Roman"/>
          <w:szCs w:val="24"/>
        </w:rPr>
      </w:pPr>
    </w:p>
    <w:p w:rsidR="00C40FA3" w:rsidP="003030A4" w14:paraId="024C6BFC" w14:textId="77777777">
      <w:pPr>
        <w:tabs>
          <w:tab w:val="left" w:pos="-1440"/>
        </w:tabs>
        <w:rPr>
          <w:rFonts w:ascii="Times New Roman" w:hAnsi="Times New Roman"/>
          <w:szCs w:val="24"/>
        </w:rPr>
      </w:pPr>
    </w:p>
    <w:p w:rsidR="0066096F" w:rsidRPr="00576EF9" w:rsidP="00082A03" w14:paraId="48D74EAE" w14:textId="77777777">
      <w:pPr>
        <w:tabs>
          <w:tab w:val="left" w:pos="-1440"/>
        </w:tabs>
        <w:rPr>
          <w:rFonts w:ascii="Times New Roman" w:hAnsi="Times New Roman"/>
          <w:szCs w:val="24"/>
        </w:rPr>
      </w:pPr>
      <w:r w:rsidRPr="005C7645">
        <w:rPr>
          <w:rFonts w:ascii="Times New Roman" w:hAnsi="Times New Roman"/>
          <w:szCs w:val="24"/>
        </w:rPr>
        <w:t xml:space="preserve">6.  </w:t>
      </w:r>
      <w:r w:rsidRPr="00C40FA3" w:rsidR="00C40FA3">
        <w:rPr>
          <w:rFonts w:ascii="Times New Roman" w:hAnsi="Times New Roman"/>
          <w:bCs/>
          <w:szCs w:val="24"/>
          <w:u w:val="single"/>
        </w:rPr>
        <w:t>Consequences to the Federal program if the collection were conducted less frequently:</w:t>
      </w:r>
    </w:p>
    <w:p w:rsidR="0066096F" w:rsidRPr="00576EF9" w:rsidP="00082A03" w14:paraId="06F24288" w14:textId="77777777">
      <w:pPr>
        <w:rPr>
          <w:rFonts w:ascii="Times New Roman" w:hAnsi="Times New Roman"/>
          <w:szCs w:val="24"/>
        </w:rPr>
      </w:pPr>
    </w:p>
    <w:p w:rsidR="0066096F" w:rsidRPr="00576EF9" w:rsidP="00082A03" w14:paraId="16EF134E" w14:textId="77777777">
      <w:pPr>
        <w:rPr>
          <w:rFonts w:ascii="Times New Roman" w:hAnsi="Times New Roman"/>
          <w:szCs w:val="24"/>
        </w:rPr>
      </w:pPr>
      <w:r w:rsidRPr="00576EF9">
        <w:rPr>
          <w:rFonts w:ascii="Times New Roman" w:hAnsi="Times New Roman"/>
          <w:szCs w:val="24"/>
        </w:rPr>
        <w:t>Less frequent collection would</w:t>
      </w:r>
      <w:r w:rsidR="0078522F">
        <w:rPr>
          <w:rFonts w:ascii="Times New Roman" w:hAnsi="Times New Roman"/>
          <w:szCs w:val="24"/>
        </w:rPr>
        <w:t xml:space="preserve"> present safety and soundness concerns</w:t>
      </w:r>
      <w:r w:rsidR="00050AFE">
        <w:rPr>
          <w:rFonts w:ascii="Times New Roman" w:hAnsi="Times New Roman"/>
          <w:szCs w:val="24"/>
        </w:rPr>
        <w:t xml:space="preserve"> and hinder the FDIC’s ability to assess </w:t>
      </w:r>
      <w:r w:rsidRPr="00050AFE" w:rsidR="00050AFE">
        <w:rPr>
          <w:rFonts w:ascii="Times New Roman" w:hAnsi="Times New Roman"/>
          <w:szCs w:val="24"/>
        </w:rPr>
        <w:t xml:space="preserve">the adequacy of </w:t>
      </w:r>
      <w:r w:rsidR="00050AFE">
        <w:rPr>
          <w:rFonts w:ascii="Times New Roman" w:hAnsi="Times New Roman"/>
          <w:szCs w:val="24"/>
        </w:rPr>
        <w:t>market risk institutions’</w:t>
      </w:r>
      <w:r w:rsidRPr="00050AFE" w:rsidR="00050AFE">
        <w:rPr>
          <w:rFonts w:ascii="Times New Roman" w:hAnsi="Times New Roman"/>
          <w:szCs w:val="24"/>
        </w:rPr>
        <w:t xml:space="preserve"> capital under the market risk capital rule</w:t>
      </w:r>
      <w:r w:rsidR="00050AFE">
        <w:rPr>
          <w:rFonts w:ascii="Times New Roman" w:hAnsi="Times New Roman"/>
          <w:szCs w:val="24"/>
        </w:rPr>
        <w:t xml:space="preserve">, which requires the quarterly measurement of </w:t>
      </w:r>
      <w:r w:rsidRPr="00050AFE" w:rsidR="00050AFE">
        <w:rPr>
          <w:rFonts w:ascii="Times New Roman" w:hAnsi="Times New Roman"/>
          <w:szCs w:val="24"/>
        </w:rPr>
        <w:t>market risk-weighted assets</w:t>
      </w:r>
      <w:r w:rsidRPr="00576EF9">
        <w:rPr>
          <w:rFonts w:ascii="Times New Roman" w:hAnsi="Times New Roman"/>
          <w:szCs w:val="24"/>
        </w:rPr>
        <w:t>.</w:t>
      </w:r>
    </w:p>
    <w:p w:rsidR="0066096F" w:rsidP="00082A03" w14:paraId="6CC45E24" w14:textId="77777777">
      <w:pPr>
        <w:rPr>
          <w:rFonts w:ascii="Times New Roman" w:hAnsi="Times New Roman"/>
          <w:szCs w:val="24"/>
        </w:rPr>
      </w:pPr>
    </w:p>
    <w:p w:rsidR="003030A4" w:rsidRPr="00576EF9" w:rsidP="00082A03" w14:paraId="445C7DDE" w14:textId="77777777">
      <w:pPr>
        <w:rPr>
          <w:rFonts w:ascii="Times New Roman" w:hAnsi="Times New Roman"/>
          <w:szCs w:val="24"/>
        </w:rPr>
      </w:pPr>
    </w:p>
    <w:p w:rsidR="00674F46" w:rsidRPr="00674F46" w:rsidP="00674F46" w14:paraId="2B5591FB" w14:textId="77777777">
      <w:pPr>
        <w:rPr>
          <w:rFonts w:ascii="Times New Roman" w:hAnsi="Times New Roman"/>
          <w:szCs w:val="24"/>
        </w:rPr>
      </w:pPr>
      <w:r w:rsidRPr="00674F46">
        <w:rPr>
          <w:rFonts w:ascii="Times New Roman" w:hAnsi="Times New Roman"/>
          <w:szCs w:val="24"/>
        </w:rPr>
        <w:t>7</w:t>
      </w:r>
      <w:r w:rsidRPr="00674F46">
        <w:rPr>
          <w:rFonts w:ascii="Times New Roman" w:hAnsi="Times New Roman"/>
          <w:szCs w:val="24"/>
        </w:rPr>
        <w:t xml:space="preserve">.  </w:t>
      </w:r>
      <w:r w:rsidRPr="00C40FA3" w:rsidR="00C40FA3">
        <w:rPr>
          <w:rFonts w:ascii="Times New Roman" w:hAnsi="Times New Roman"/>
          <w:bCs/>
          <w:szCs w:val="24"/>
          <w:u w:val="single"/>
        </w:rPr>
        <w:t>Special</w:t>
      </w:r>
      <w:r w:rsidRPr="00C40FA3" w:rsidR="00C40FA3">
        <w:rPr>
          <w:rFonts w:ascii="Times New Roman" w:hAnsi="Times New Roman"/>
          <w:bCs/>
          <w:szCs w:val="24"/>
          <w:u w:val="single"/>
        </w:rPr>
        <w:t xml:space="preserve"> circumstances necessitating collection inconsistent with 5 CFR Part 1320.5(d)(2):</w:t>
      </w:r>
    </w:p>
    <w:p w:rsidR="00674F46" w:rsidRPr="00674F46" w:rsidP="00674F46" w14:paraId="0CCE05FB" w14:textId="77777777">
      <w:pPr>
        <w:rPr>
          <w:rFonts w:ascii="Times New Roman" w:hAnsi="Times New Roman"/>
          <w:szCs w:val="24"/>
        </w:rPr>
      </w:pPr>
    </w:p>
    <w:p w:rsidR="00674F46" w:rsidRPr="00674F46" w:rsidP="00674F46" w14:paraId="56C81FB6" w14:textId="77777777">
      <w:pPr>
        <w:rPr>
          <w:rFonts w:ascii="Times New Roman" w:hAnsi="Times New Roman"/>
          <w:szCs w:val="24"/>
        </w:rPr>
      </w:pPr>
      <w:r w:rsidRPr="00712682">
        <w:rPr>
          <w:rFonts w:ascii="Times New Roman" w:hAnsi="Times New Roman"/>
        </w:rPr>
        <w:t>None. This information collection is conducted in accordance with the g</w:t>
      </w:r>
      <w:r>
        <w:rPr>
          <w:rFonts w:ascii="Times New Roman" w:hAnsi="Times New Roman"/>
        </w:rPr>
        <w:t>uidelines in 5 CFR 1320.5(d)(2)</w:t>
      </w:r>
      <w:r w:rsidRPr="00674F46">
        <w:rPr>
          <w:rFonts w:ascii="Times New Roman" w:hAnsi="Times New Roman"/>
          <w:szCs w:val="24"/>
        </w:rPr>
        <w:t>.</w:t>
      </w:r>
    </w:p>
    <w:p w:rsidR="00674F46" w:rsidP="00674F46" w14:paraId="5675656E" w14:textId="77777777">
      <w:pPr>
        <w:rPr>
          <w:rFonts w:ascii="Times New Roman" w:hAnsi="Times New Roman"/>
          <w:szCs w:val="24"/>
        </w:rPr>
      </w:pPr>
    </w:p>
    <w:p w:rsidR="003030A4" w:rsidRPr="00674F46" w:rsidP="00674F46" w14:paraId="70C0FE68" w14:textId="77777777">
      <w:pPr>
        <w:rPr>
          <w:rFonts w:ascii="Times New Roman" w:hAnsi="Times New Roman"/>
          <w:szCs w:val="24"/>
        </w:rPr>
      </w:pPr>
    </w:p>
    <w:p w:rsidR="00674F46" w:rsidRPr="00674F46" w:rsidP="00674F46" w14:paraId="36ECC6A1" w14:textId="77777777">
      <w:pPr>
        <w:rPr>
          <w:rFonts w:ascii="Times New Roman" w:hAnsi="Times New Roman"/>
          <w:szCs w:val="24"/>
        </w:rPr>
      </w:pPr>
      <w:r w:rsidRPr="00674F46">
        <w:rPr>
          <w:rFonts w:ascii="Times New Roman" w:hAnsi="Times New Roman"/>
          <w:szCs w:val="24"/>
        </w:rPr>
        <w:t>8</w:t>
      </w:r>
      <w:r w:rsidRPr="00674F46">
        <w:rPr>
          <w:rFonts w:ascii="Times New Roman" w:hAnsi="Times New Roman"/>
          <w:szCs w:val="24"/>
        </w:rPr>
        <w:t xml:space="preserve">.  </w:t>
      </w:r>
      <w:r w:rsidRPr="008873E8" w:rsidR="00C40FA3">
        <w:rPr>
          <w:rFonts w:ascii="Times New Roman" w:hAnsi="Times New Roman"/>
          <w:bCs/>
          <w:szCs w:val="24"/>
          <w:u w:val="single"/>
        </w:rPr>
        <w:t>Efforts</w:t>
      </w:r>
      <w:r w:rsidRPr="008873E8" w:rsidR="00C40FA3">
        <w:rPr>
          <w:rFonts w:ascii="Times New Roman" w:hAnsi="Times New Roman"/>
          <w:bCs/>
          <w:szCs w:val="24"/>
          <w:u w:val="single"/>
        </w:rPr>
        <w:t xml:space="preserve"> to consult with </w:t>
      </w:r>
      <w:r w:rsidRPr="008873E8" w:rsidR="00C40FA3">
        <w:rPr>
          <w:rFonts w:ascii="Times New Roman" w:hAnsi="Times New Roman"/>
          <w:bCs/>
          <w:szCs w:val="24"/>
          <w:u w:val="single"/>
        </w:rPr>
        <w:t>persons</w:t>
      </w:r>
      <w:r w:rsidRPr="008873E8" w:rsidR="00C40FA3">
        <w:rPr>
          <w:rFonts w:ascii="Times New Roman" w:hAnsi="Times New Roman"/>
          <w:bCs/>
          <w:szCs w:val="24"/>
          <w:u w:val="single"/>
        </w:rPr>
        <w:t xml:space="preserve"> outside the agency:</w:t>
      </w:r>
    </w:p>
    <w:p w:rsidR="00674F46" w:rsidP="00082A03" w14:paraId="348CE93A" w14:textId="77777777">
      <w:pPr>
        <w:rPr>
          <w:rFonts w:ascii="Times New Roman" w:hAnsi="Times New Roman"/>
          <w:szCs w:val="24"/>
        </w:rPr>
      </w:pPr>
    </w:p>
    <w:p w:rsidR="00674F46" w:rsidRPr="008C5E8D" w:rsidP="002A33F6" w14:paraId="1CDC2EA3" w14:textId="0EA1A2EB">
      <w:pPr>
        <w:rPr>
          <w:rFonts w:ascii="Times New Roman" w:hAnsi="Times New Roman"/>
          <w:szCs w:val="24"/>
        </w:rPr>
      </w:pPr>
      <w:r w:rsidRPr="00674F46">
        <w:rPr>
          <w:rFonts w:ascii="Times New Roman" w:hAnsi="Times New Roman"/>
          <w:szCs w:val="24"/>
        </w:rPr>
        <w:t xml:space="preserve">On </w:t>
      </w:r>
      <w:r w:rsidR="00A538E7">
        <w:rPr>
          <w:rFonts w:ascii="Times New Roman" w:hAnsi="Times New Roman"/>
          <w:szCs w:val="24"/>
        </w:rPr>
        <w:t>May 2,</w:t>
      </w:r>
      <w:r w:rsidR="00881075">
        <w:rPr>
          <w:rFonts w:ascii="Times New Roman" w:hAnsi="Times New Roman"/>
          <w:szCs w:val="24"/>
        </w:rPr>
        <w:t xml:space="preserve"> 202</w:t>
      </w:r>
      <w:r w:rsidR="00A538E7">
        <w:rPr>
          <w:rFonts w:ascii="Times New Roman" w:hAnsi="Times New Roman"/>
          <w:szCs w:val="24"/>
        </w:rPr>
        <w:t>5</w:t>
      </w:r>
      <w:r w:rsidRPr="002A33F6" w:rsidR="002A33F6">
        <w:rPr>
          <w:rFonts w:ascii="Times New Roman" w:hAnsi="Times New Roman"/>
          <w:szCs w:val="24"/>
        </w:rPr>
        <w:t>,</w:t>
      </w:r>
      <w:r w:rsidRPr="00674F46">
        <w:rPr>
          <w:rFonts w:ascii="Times New Roman" w:hAnsi="Times New Roman"/>
          <w:szCs w:val="24"/>
        </w:rPr>
        <w:t xml:space="preserve"> the agencies, under the auspices of the FFIEC, published an initial notice in the Federal Register (</w:t>
      </w:r>
      <w:r w:rsidRPr="003D391F" w:rsidR="003D391F">
        <w:rPr>
          <w:rFonts w:ascii="Times New Roman" w:hAnsi="Times New Roman"/>
          <w:szCs w:val="24"/>
        </w:rPr>
        <w:t>90 FR 18893</w:t>
      </w:r>
      <w:r w:rsidRPr="00674F46">
        <w:rPr>
          <w:rFonts w:ascii="Times New Roman" w:hAnsi="Times New Roman"/>
          <w:szCs w:val="24"/>
        </w:rPr>
        <w:t xml:space="preserve">) requesting public comment for 60 days on </w:t>
      </w:r>
      <w:r>
        <w:rPr>
          <w:rFonts w:ascii="Times New Roman" w:hAnsi="Times New Roman"/>
          <w:szCs w:val="24"/>
        </w:rPr>
        <w:t xml:space="preserve">the </w:t>
      </w:r>
      <w:r w:rsidRPr="00674F46">
        <w:rPr>
          <w:rFonts w:ascii="Times New Roman" w:hAnsi="Times New Roman"/>
          <w:szCs w:val="24"/>
        </w:rPr>
        <w:t>proposed</w:t>
      </w:r>
      <w:r w:rsidR="002A33F6">
        <w:rPr>
          <w:rFonts w:ascii="Times New Roman" w:hAnsi="Times New Roman"/>
          <w:szCs w:val="24"/>
        </w:rPr>
        <w:t xml:space="preserve"> extension, without </w:t>
      </w:r>
      <w:r w:rsidR="004C489A">
        <w:rPr>
          <w:rFonts w:ascii="Times New Roman" w:hAnsi="Times New Roman"/>
          <w:szCs w:val="24"/>
        </w:rPr>
        <w:t>revisions</w:t>
      </w:r>
      <w:r w:rsidR="002A33F6">
        <w:rPr>
          <w:rFonts w:ascii="Times New Roman" w:hAnsi="Times New Roman"/>
          <w:szCs w:val="24"/>
        </w:rPr>
        <w:t>, of</w:t>
      </w:r>
      <w:r w:rsidR="004C489A">
        <w:rPr>
          <w:rFonts w:ascii="Times New Roman" w:hAnsi="Times New Roman"/>
          <w:szCs w:val="24"/>
        </w:rPr>
        <w:t xml:space="preserve"> the </w:t>
      </w:r>
      <w:r>
        <w:rPr>
          <w:rFonts w:ascii="Times New Roman" w:hAnsi="Times New Roman"/>
          <w:szCs w:val="24"/>
        </w:rPr>
        <w:t>FFIEC 102</w:t>
      </w:r>
      <w:r w:rsidR="00C40FA3">
        <w:rPr>
          <w:rFonts w:ascii="Times New Roman" w:hAnsi="Times New Roman"/>
          <w:szCs w:val="24"/>
        </w:rPr>
        <w:t xml:space="preserve"> information collection</w:t>
      </w:r>
      <w:r w:rsidRPr="00674F46">
        <w:rPr>
          <w:rFonts w:ascii="Times New Roman" w:hAnsi="Times New Roman"/>
          <w:szCs w:val="24"/>
        </w:rPr>
        <w:t>.  The comment pe</w:t>
      </w:r>
      <w:r w:rsidR="00881075">
        <w:rPr>
          <w:rFonts w:ascii="Times New Roman" w:hAnsi="Times New Roman"/>
          <w:szCs w:val="24"/>
        </w:rPr>
        <w:t xml:space="preserve">riod for this notice expired on </w:t>
      </w:r>
      <w:r w:rsidR="00C37D4A">
        <w:rPr>
          <w:rFonts w:ascii="Times New Roman" w:hAnsi="Times New Roman"/>
          <w:szCs w:val="24"/>
        </w:rPr>
        <w:t>July 1</w:t>
      </w:r>
      <w:r w:rsidR="00881075">
        <w:rPr>
          <w:rFonts w:ascii="Times New Roman" w:hAnsi="Times New Roman"/>
          <w:szCs w:val="24"/>
        </w:rPr>
        <w:t>, 202</w:t>
      </w:r>
      <w:r w:rsidR="009B1A01">
        <w:rPr>
          <w:rFonts w:ascii="Times New Roman" w:hAnsi="Times New Roman"/>
          <w:szCs w:val="24"/>
        </w:rPr>
        <w:t>5</w:t>
      </w:r>
      <w:r w:rsidRPr="00674F46">
        <w:rPr>
          <w:rFonts w:ascii="Times New Roman" w:hAnsi="Times New Roman"/>
          <w:szCs w:val="24"/>
        </w:rPr>
        <w:t>.</w:t>
      </w:r>
      <w:r w:rsidR="008C5E8D">
        <w:rPr>
          <w:rFonts w:ascii="Times New Roman" w:hAnsi="Times New Roman"/>
          <w:szCs w:val="24"/>
        </w:rPr>
        <w:t xml:space="preserve">  The agencies collectively </w:t>
      </w:r>
      <w:r w:rsidR="004C489A">
        <w:rPr>
          <w:rFonts w:ascii="Times New Roman" w:hAnsi="Times New Roman"/>
          <w:szCs w:val="24"/>
        </w:rPr>
        <w:t xml:space="preserve">did not </w:t>
      </w:r>
      <w:r w:rsidR="008C5E8D">
        <w:rPr>
          <w:rFonts w:ascii="Times New Roman" w:hAnsi="Times New Roman"/>
          <w:szCs w:val="24"/>
        </w:rPr>
        <w:t>receive</w:t>
      </w:r>
      <w:r w:rsidR="004C489A">
        <w:rPr>
          <w:rFonts w:ascii="Times New Roman" w:hAnsi="Times New Roman"/>
          <w:szCs w:val="24"/>
        </w:rPr>
        <w:t xml:space="preserve"> any</w:t>
      </w:r>
      <w:r w:rsidR="008C5E8D">
        <w:rPr>
          <w:rFonts w:ascii="Times New Roman" w:hAnsi="Times New Roman"/>
          <w:szCs w:val="24"/>
        </w:rPr>
        <w:t xml:space="preserve"> comment</w:t>
      </w:r>
      <w:r w:rsidR="004C489A">
        <w:rPr>
          <w:rFonts w:ascii="Times New Roman" w:hAnsi="Times New Roman"/>
          <w:szCs w:val="24"/>
        </w:rPr>
        <w:t>s</w:t>
      </w:r>
      <w:r w:rsidR="00C40FA3">
        <w:rPr>
          <w:rFonts w:ascii="Times New Roman" w:hAnsi="Times New Roman"/>
          <w:szCs w:val="24"/>
        </w:rPr>
        <w:t>.</w:t>
      </w:r>
    </w:p>
    <w:p w:rsidR="003030A4" w:rsidP="00674F46" w14:paraId="45F5F184" w14:textId="77777777">
      <w:pPr>
        <w:rPr>
          <w:rFonts w:ascii="Times New Roman" w:hAnsi="Times New Roman"/>
          <w:szCs w:val="24"/>
        </w:rPr>
      </w:pPr>
    </w:p>
    <w:p w:rsidR="00674F46" w:rsidRPr="009172D2" w:rsidP="00674F46" w14:paraId="073F27AE" w14:textId="77777777">
      <w:pPr>
        <w:rPr>
          <w:rFonts w:ascii="Times New Roman" w:hAnsi="Times New Roman"/>
          <w:szCs w:val="24"/>
        </w:rPr>
      </w:pPr>
      <w:r w:rsidRPr="008C5E8D">
        <w:rPr>
          <w:rFonts w:ascii="Times New Roman" w:hAnsi="Times New Roman"/>
          <w:szCs w:val="24"/>
        </w:rPr>
        <w:t xml:space="preserve">  </w:t>
      </w:r>
    </w:p>
    <w:p w:rsidR="008C5E8D" w:rsidRPr="009172D2" w:rsidP="008C5E8D" w14:paraId="1CE1DFB5" w14:textId="77777777">
      <w:pPr>
        <w:rPr>
          <w:rFonts w:ascii="Times New Roman" w:hAnsi="Times New Roman"/>
          <w:szCs w:val="24"/>
        </w:rPr>
      </w:pPr>
      <w:r w:rsidRPr="009172D2">
        <w:rPr>
          <w:rFonts w:ascii="Times New Roman" w:hAnsi="Times New Roman"/>
          <w:szCs w:val="24"/>
        </w:rPr>
        <w:t>9</w:t>
      </w:r>
      <w:r w:rsidRPr="009172D2">
        <w:rPr>
          <w:rFonts w:ascii="Times New Roman" w:hAnsi="Times New Roman"/>
          <w:szCs w:val="24"/>
        </w:rPr>
        <w:t xml:space="preserve">.  </w:t>
      </w:r>
      <w:r w:rsidRPr="009172D2">
        <w:rPr>
          <w:rFonts w:ascii="Times New Roman" w:hAnsi="Times New Roman"/>
          <w:szCs w:val="24"/>
          <w:u w:val="single"/>
        </w:rPr>
        <w:t>Payment</w:t>
      </w:r>
      <w:r w:rsidRPr="009172D2">
        <w:rPr>
          <w:rFonts w:ascii="Times New Roman" w:hAnsi="Times New Roman"/>
          <w:szCs w:val="24"/>
          <w:u w:val="single"/>
        </w:rPr>
        <w:t xml:space="preserve"> or </w:t>
      </w:r>
      <w:r w:rsidR="00C40FA3">
        <w:rPr>
          <w:rFonts w:ascii="Times New Roman" w:hAnsi="Times New Roman"/>
          <w:szCs w:val="24"/>
          <w:u w:val="single"/>
        </w:rPr>
        <w:t>g</w:t>
      </w:r>
      <w:r w:rsidRPr="009172D2">
        <w:rPr>
          <w:rFonts w:ascii="Times New Roman" w:hAnsi="Times New Roman"/>
          <w:szCs w:val="24"/>
          <w:u w:val="single"/>
        </w:rPr>
        <w:t>ift</w:t>
      </w:r>
      <w:r w:rsidR="00C40FA3">
        <w:rPr>
          <w:rFonts w:ascii="Times New Roman" w:hAnsi="Times New Roman"/>
          <w:szCs w:val="24"/>
          <w:u w:val="single"/>
        </w:rPr>
        <w:t>s</w:t>
      </w:r>
      <w:r w:rsidRPr="009172D2">
        <w:rPr>
          <w:rFonts w:ascii="Times New Roman" w:hAnsi="Times New Roman"/>
          <w:szCs w:val="24"/>
          <w:u w:val="single"/>
        </w:rPr>
        <w:t xml:space="preserve"> to </w:t>
      </w:r>
      <w:r w:rsidR="00C40FA3">
        <w:rPr>
          <w:rFonts w:ascii="Times New Roman" w:hAnsi="Times New Roman"/>
          <w:szCs w:val="24"/>
          <w:u w:val="single"/>
        </w:rPr>
        <w:t>r</w:t>
      </w:r>
      <w:r w:rsidRPr="009172D2">
        <w:rPr>
          <w:rFonts w:ascii="Times New Roman" w:hAnsi="Times New Roman"/>
          <w:szCs w:val="24"/>
          <w:u w:val="single"/>
        </w:rPr>
        <w:t>espondents</w:t>
      </w:r>
    </w:p>
    <w:p w:rsidR="008C5E8D" w:rsidRPr="009172D2" w:rsidP="008C5E8D" w14:paraId="204FDDA6" w14:textId="77777777">
      <w:pPr>
        <w:rPr>
          <w:rFonts w:ascii="Times New Roman" w:hAnsi="Times New Roman"/>
          <w:szCs w:val="24"/>
        </w:rPr>
      </w:pPr>
    </w:p>
    <w:p w:rsidR="009172D2" w:rsidRPr="009172D2" w:rsidP="009172D2" w14:paraId="32F6FA4E" w14:textId="77777777">
      <w:pPr>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Pr="009172D2">
        <w:rPr>
          <w:rFonts w:ascii="Times New Roman" w:hAnsi="Times New Roman"/>
        </w:rPr>
        <w:t>.</w:t>
      </w:r>
    </w:p>
    <w:p w:rsidR="003030A4" w:rsidP="008C5E8D" w14:paraId="47ED4360" w14:textId="77777777">
      <w:pPr>
        <w:rPr>
          <w:rFonts w:ascii="Times New Roman" w:hAnsi="Times New Roman"/>
          <w:szCs w:val="24"/>
        </w:rPr>
      </w:pPr>
    </w:p>
    <w:p w:rsidR="003968C7" w:rsidP="008C5E8D" w14:paraId="743E86D3" w14:textId="77777777">
      <w:pPr>
        <w:rPr>
          <w:rFonts w:ascii="Times New Roman" w:hAnsi="Times New Roman"/>
          <w:szCs w:val="24"/>
        </w:rPr>
      </w:pPr>
    </w:p>
    <w:p w:rsidR="008C5E8D" w:rsidRPr="009172D2" w:rsidP="008C5E8D" w14:paraId="1DC73B66" w14:textId="77777777">
      <w:pPr>
        <w:rPr>
          <w:rFonts w:ascii="Times New Roman" w:hAnsi="Times New Roman"/>
          <w:szCs w:val="24"/>
          <w:u w:val="single"/>
        </w:rPr>
      </w:pPr>
      <w:r w:rsidRPr="009172D2">
        <w:rPr>
          <w:rFonts w:ascii="Times New Roman" w:hAnsi="Times New Roman"/>
          <w:szCs w:val="24"/>
        </w:rPr>
        <w:t>10</w:t>
      </w:r>
      <w:r w:rsidRPr="009172D2">
        <w:rPr>
          <w:rFonts w:ascii="Times New Roman" w:hAnsi="Times New Roman"/>
          <w:szCs w:val="24"/>
        </w:rPr>
        <w:t xml:space="preserve">.  </w:t>
      </w:r>
      <w:r w:rsidRPr="00647F97" w:rsidR="00C40FA3">
        <w:rPr>
          <w:rFonts w:ascii="Times New Roman TUR" w:hAnsi="Times New Roman TUR" w:cs="Times New Roman TUR"/>
          <w:bCs/>
          <w:u w:val="single"/>
        </w:rPr>
        <w:t>Any</w:t>
      </w:r>
      <w:r w:rsidRPr="00647F97" w:rsidR="00C40FA3">
        <w:rPr>
          <w:rFonts w:ascii="Times New Roman TUR" w:hAnsi="Times New Roman TUR" w:cs="Times New Roman TUR"/>
          <w:bCs/>
          <w:u w:val="single"/>
        </w:rPr>
        <w:t xml:space="preserve"> assurance of confidentiality:</w:t>
      </w:r>
    </w:p>
    <w:p w:rsidR="0066096F" w:rsidRPr="009172D2" w:rsidP="00082A03" w14:paraId="7F3E7D82" w14:textId="77777777">
      <w:pPr>
        <w:rPr>
          <w:rFonts w:ascii="Times New Roman" w:hAnsi="Times New Roman"/>
          <w:szCs w:val="24"/>
        </w:rPr>
      </w:pPr>
    </w:p>
    <w:p w:rsidR="009172D2" w:rsidRPr="008C5E8D" w:rsidP="009172D2" w14:paraId="1B61F30B" w14:textId="3F0C8F7E">
      <w:pPr>
        <w:rPr>
          <w:rFonts w:ascii="Times New Roman" w:hAnsi="Times New Roman"/>
        </w:rPr>
      </w:pPr>
      <w:r w:rsidRPr="00693A45">
        <w:rPr>
          <w:rFonts w:ascii="Times New Roman" w:hAnsi="Times New Roman"/>
          <w:bCs/>
        </w:rPr>
        <w:t xml:space="preserve">Any information the FDIC collects </w:t>
      </w:r>
      <w:r w:rsidRPr="00693A45">
        <w:rPr>
          <w:rFonts w:ascii="Times New Roman" w:hAnsi="Times New Roman"/>
        </w:rPr>
        <w:t xml:space="preserve">will be kept private to </w:t>
      </w:r>
      <w:r w:rsidR="00E11DCA">
        <w:rPr>
          <w:rFonts w:ascii="Times New Roman" w:hAnsi="Times New Roman"/>
        </w:rPr>
        <w:t xml:space="preserve">the </w:t>
      </w:r>
      <w:r w:rsidRPr="00693A45">
        <w:rPr>
          <w:rFonts w:ascii="Times New Roman" w:hAnsi="Times New Roman"/>
        </w:rPr>
        <w:t>extent provided by law</w:t>
      </w:r>
      <w:r w:rsidRPr="00693A45">
        <w:rPr>
          <w:rFonts w:ascii="Times New Roman" w:hAnsi="Times New Roman"/>
          <w:bCs/>
        </w:rPr>
        <w:t>.</w:t>
      </w:r>
      <w:r>
        <w:rPr>
          <w:rFonts w:ascii="Times New Roman" w:hAnsi="Times New Roman"/>
          <w:bCs/>
        </w:rPr>
        <w:t xml:space="preserve">  Generally, a</w:t>
      </w:r>
      <w:r w:rsidRPr="008C5E8D">
        <w:rPr>
          <w:rFonts w:ascii="Times New Roman" w:hAnsi="Times New Roman"/>
        </w:rPr>
        <w:t xml:space="preserve">ll data reported in </w:t>
      </w:r>
      <w:r w:rsidRPr="008C5E8D">
        <w:rPr>
          <w:rFonts w:ascii="Times New Roman" w:hAnsi="Times New Roman"/>
        </w:rPr>
        <w:t>the FFIEC</w:t>
      </w:r>
      <w:r w:rsidRPr="008C5E8D">
        <w:rPr>
          <w:rFonts w:ascii="Times New Roman" w:hAnsi="Times New Roman"/>
        </w:rPr>
        <w:t xml:space="preserve"> 102 </w:t>
      </w:r>
      <w:r w:rsidR="00B14B76">
        <w:rPr>
          <w:rFonts w:ascii="Times New Roman" w:hAnsi="Times New Roman"/>
        </w:rPr>
        <w:t>is</w:t>
      </w:r>
      <w:r w:rsidRPr="008C5E8D">
        <w:rPr>
          <w:rFonts w:ascii="Times New Roman" w:hAnsi="Times New Roman"/>
        </w:rPr>
        <w:t xml:space="preserve"> made available to the public.  However,</w:t>
      </w:r>
      <w:r>
        <w:rPr>
          <w:rFonts w:ascii="Times New Roman" w:hAnsi="Times New Roman"/>
        </w:rPr>
        <w:t xml:space="preserve"> as explained in the instructions for </w:t>
      </w:r>
      <w:r>
        <w:rPr>
          <w:rFonts w:ascii="Times New Roman" w:hAnsi="Times New Roman"/>
        </w:rPr>
        <w:t>the FFIEC</w:t>
      </w:r>
      <w:r>
        <w:rPr>
          <w:rFonts w:ascii="Times New Roman" w:hAnsi="Times New Roman"/>
        </w:rPr>
        <w:t xml:space="preserve"> 102,</w:t>
      </w:r>
      <w:r w:rsidRPr="008C5E8D">
        <w:rPr>
          <w:rFonts w:ascii="Times New Roman" w:hAnsi="Times New Roman"/>
        </w:rPr>
        <w:t xml:space="preserve"> a market risk institution may request confidential treatment for some or </w:t>
      </w:r>
      <w:r w:rsidRPr="008C5E8D">
        <w:rPr>
          <w:rFonts w:ascii="Times New Roman" w:hAnsi="Times New Roman"/>
        </w:rPr>
        <w:t>all of</w:t>
      </w:r>
      <w:r w:rsidRPr="008C5E8D">
        <w:rPr>
          <w:rFonts w:ascii="Times New Roman" w:hAnsi="Times New Roman"/>
        </w:rPr>
        <w:t xml:space="preserve"> the portions of </w:t>
      </w:r>
      <w:r w:rsidRPr="008C5E8D">
        <w:rPr>
          <w:rFonts w:ascii="Times New Roman" w:hAnsi="Times New Roman"/>
        </w:rPr>
        <w:t>the FFIEC</w:t>
      </w:r>
      <w:r w:rsidRPr="008C5E8D">
        <w:rPr>
          <w:rFonts w:ascii="Times New Roman" w:hAnsi="Times New Roman"/>
        </w:rPr>
        <w:t> 102 if the institution is of the opinion that disclosure of specific commercial or financial information in the report would likely cause substantial harm to its competitive position.</w:t>
      </w:r>
    </w:p>
    <w:p w:rsidR="009172D2" w:rsidP="009172D2" w14:paraId="17B5A891" w14:textId="77777777">
      <w:pPr>
        <w:rPr>
          <w:rFonts w:ascii="Times New Roman" w:hAnsi="Times New Roman"/>
        </w:rPr>
      </w:pPr>
    </w:p>
    <w:p w:rsidR="003968C7" w:rsidP="009172D2" w14:paraId="2F1085AA" w14:textId="77777777">
      <w:pPr>
        <w:rPr>
          <w:rFonts w:ascii="Times New Roman" w:hAnsi="Times New Roman"/>
        </w:rPr>
      </w:pPr>
    </w:p>
    <w:p w:rsidR="00613C27" w:rsidRPr="00613C27" w:rsidP="00613C27" w14:paraId="27E48D12" w14:textId="77777777">
      <w:pPr>
        <w:widowControl/>
        <w:tabs>
          <w:tab w:val="left" w:pos="4230"/>
        </w:tabs>
        <w:rPr>
          <w:rFonts w:ascii="Times New Roman" w:hAnsi="Times New Roman"/>
          <w:szCs w:val="24"/>
        </w:rPr>
      </w:pPr>
      <w:r w:rsidRPr="00613C27">
        <w:rPr>
          <w:rFonts w:ascii="Times New Roman" w:hAnsi="Times New Roman"/>
          <w:szCs w:val="24"/>
        </w:rPr>
        <w:t>11</w:t>
      </w:r>
      <w:r w:rsidRPr="00613C27">
        <w:rPr>
          <w:rFonts w:ascii="Times New Roman" w:hAnsi="Times New Roman"/>
          <w:szCs w:val="24"/>
        </w:rPr>
        <w:t xml:space="preserve">.  </w:t>
      </w:r>
      <w:r w:rsidRPr="00C40FA3" w:rsidR="00C40FA3">
        <w:rPr>
          <w:rFonts w:ascii="Times New Roman TUR" w:hAnsi="Times New Roman TUR" w:cs="Times New Roman TUR"/>
          <w:bCs/>
          <w:u w:val="single"/>
        </w:rPr>
        <w:t>Justification</w:t>
      </w:r>
      <w:r w:rsidRPr="00C40FA3" w:rsidR="00C40FA3">
        <w:rPr>
          <w:rFonts w:ascii="Times New Roman TUR" w:hAnsi="Times New Roman TUR" w:cs="Times New Roman TUR"/>
          <w:bCs/>
          <w:u w:val="single"/>
        </w:rPr>
        <w:t xml:space="preserve"> for questions of a sensitive nature:</w:t>
      </w:r>
    </w:p>
    <w:p w:rsidR="00613C27" w:rsidRPr="00613C27" w:rsidP="00613C27" w14:paraId="0604BBDE" w14:textId="77777777">
      <w:pPr>
        <w:widowControl/>
        <w:tabs>
          <w:tab w:val="left" w:pos="4230"/>
        </w:tabs>
        <w:rPr>
          <w:rFonts w:ascii="Times New Roman" w:hAnsi="Times New Roman"/>
          <w:szCs w:val="24"/>
        </w:rPr>
      </w:pPr>
    </w:p>
    <w:p w:rsidR="00613C27" w:rsidRPr="00613C27" w:rsidP="00613C27" w14:paraId="7EA7DC55" w14:textId="77777777">
      <w:pPr>
        <w:widowControl/>
        <w:tabs>
          <w:tab w:val="left" w:pos="4230"/>
        </w:tabs>
        <w:rPr>
          <w:rFonts w:ascii="Times New Roman" w:hAnsi="Times New Roman"/>
          <w:szCs w:val="24"/>
        </w:rPr>
      </w:pPr>
      <w:r w:rsidRPr="00C40FA3">
        <w:rPr>
          <w:rFonts w:ascii="Times New Roman" w:hAnsi="Times New Roman"/>
          <w:color w:val="000000"/>
          <w:szCs w:val="24"/>
        </w:rPr>
        <w:t>No information of a sensitive nature is requested.</w:t>
      </w:r>
    </w:p>
    <w:p w:rsidR="00613C27" w:rsidRPr="00613C27" w:rsidP="00613C27" w14:paraId="08BC9AEC" w14:textId="77777777">
      <w:pPr>
        <w:widowControl/>
        <w:tabs>
          <w:tab w:val="left" w:pos="4230"/>
        </w:tabs>
        <w:rPr>
          <w:rFonts w:ascii="Times New Roman" w:hAnsi="Times New Roman"/>
          <w:szCs w:val="24"/>
        </w:rPr>
      </w:pPr>
    </w:p>
    <w:p w:rsidR="00613C27" w:rsidP="00613C27" w14:paraId="207E61C5" w14:textId="77777777">
      <w:pPr>
        <w:widowControl/>
        <w:tabs>
          <w:tab w:val="left" w:pos="4230"/>
        </w:tabs>
        <w:rPr>
          <w:rFonts w:ascii="Times New Roman" w:hAnsi="Times New Roman"/>
          <w:szCs w:val="24"/>
        </w:rPr>
      </w:pPr>
      <w:r w:rsidRPr="00613C27">
        <w:rPr>
          <w:rFonts w:ascii="Times New Roman" w:hAnsi="Times New Roman"/>
          <w:szCs w:val="24"/>
        </w:rPr>
        <w:t>12</w:t>
      </w:r>
      <w:r w:rsidRPr="00613C27">
        <w:rPr>
          <w:rFonts w:ascii="Times New Roman" w:hAnsi="Times New Roman"/>
          <w:szCs w:val="24"/>
        </w:rPr>
        <w:t xml:space="preserve">.  </w:t>
      </w:r>
      <w:r w:rsidRPr="00C40FA3" w:rsidR="00C40FA3">
        <w:rPr>
          <w:rFonts w:ascii="Times New Roman" w:hAnsi="Times New Roman"/>
          <w:szCs w:val="24"/>
          <w:u w:val="single"/>
        </w:rPr>
        <w:t>Estimate</w:t>
      </w:r>
      <w:r w:rsidRPr="00C40FA3" w:rsidR="00C40FA3">
        <w:rPr>
          <w:rFonts w:ascii="Times New Roman" w:hAnsi="Times New Roman"/>
          <w:szCs w:val="24"/>
          <w:u w:val="single"/>
        </w:rPr>
        <w:t xml:space="preserve"> of hour burden including annualized hourly costs:</w:t>
      </w:r>
    </w:p>
    <w:p w:rsidR="00613C27" w:rsidP="00613C27" w14:paraId="2B798E78" w14:textId="77777777">
      <w:pPr>
        <w:widowControl/>
        <w:tabs>
          <w:tab w:val="left" w:pos="4230"/>
        </w:tabs>
        <w:rPr>
          <w:rFonts w:ascii="Times New Roman" w:hAnsi="Times New Roman"/>
          <w:szCs w:val="24"/>
        </w:rPr>
      </w:pPr>
    </w:p>
    <w:p w:rsidR="00784BB7" w:rsidP="00784BB7" w14:paraId="715B6B81" w14:textId="77777777">
      <w:pPr>
        <w:ind w:firstLine="450"/>
        <w:rPr>
          <w:rFonts w:ascii="Times New Roman" w:hAnsi="Times New Roman"/>
          <w:szCs w:val="24"/>
        </w:rPr>
      </w:pPr>
      <w:r w:rsidRPr="00784BB7">
        <w:rPr>
          <w:rFonts w:ascii="Times New Roman" w:hAnsi="Times New Roman"/>
          <w:i/>
        </w:rPr>
        <w:t>Estimated</w:t>
      </w:r>
      <w:r w:rsidRPr="00784BB7">
        <w:rPr>
          <w:rFonts w:ascii="Times New Roman" w:hAnsi="Times New Roman"/>
          <w:i/>
          <w:szCs w:val="24"/>
        </w:rPr>
        <w:t xml:space="preserve"> Annual Burde</w:t>
      </w:r>
      <w:r>
        <w:rPr>
          <w:rFonts w:ascii="Times New Roman" w:hAnsi="Times New Roman"/>
          <w:i/>
          <w:szCs w:val="24"/>
        </w:rPr>
        <w:t>n -</w:t>
      </w:r>
    </w:p>
    <w:p w:rsidR="00784BB7" w:rsidRPr="00613C27" w:rsidP="00613C27" w14:paraId="5B3832DE" w14:textId="77777777">
      <w:pPr>
        <w:widowControl/>
        <w:tabs>
          <w:tab w:val="left" w:pos="4230"/>
        </w:tabs>
        <w:rPr>
          <w:rFonts w:ascii="Times New Roman" w:hAnsi="Times New Roman"/>
          <w:szCs w:val="24"/>
        </w:rPr>
      </w:pPr>
    </w:p>
    <w:p w:rsidR="00355F39" w:rsidP="00784BB7" w14:paraId="160443FF" w14:textId="77777777">
      <w:pPr>
        <w:widowControl/>
        <w:tabs>
          <w:tab w:val="left" w:pos="720"/>
        </w:tabs>
        <w:spacing w:after="120"/>
        <w:rPr>
          <w:rFonts w:ascii="Times New Roman" w:hAnsi="Times New Roman"/>
          <w:szCs w:val="24"/>
        </w:rPr>
      </w:pPr>
      <w:r>
        <w:rPr>
          <w:rFonts w:ascii="Times New Roman" w:hAnsi="Times New Roman"/>
          <w:szCs w:val="24"/>
        </w:rPr>
        <w:tab/>
      </w:r>
      <w:r w:rsidRPr="003030A4">
        <w:rPr>
          <w:rFonts w:ascii="Times New Roman" w:hAnsi="Times New Roman"/>
          <w:szCs w:val="24"/>
        </w:rPr>
        <w:t>Estimated Number of Respondents</w:t>
      </w:r>
      <w:r w:rsidRPr="00355F39">
        <w:rPr>
          <w:rFonts w:ascii="Times New Roman" w:hAnsi="Times New Roman"/>
          <w:szCs w:val="24"/>
        </w:rPr>
        <w:t>:  1</w:t>
      </w:r>
      <w:r w:rsidRPr="00355F39">
        <w:rPr>
          <w:rFonts w:ascii="Times New Roman" w:hAnsi="Times New Roman"/>
          <w:szCs w:val="24"/>
        </w:rPr>
        <w:t xml:space="preserve"> </w:t>
      </w:r>
      <w:r>
        <w:rPr>
          <w:rFonts w:ascii="Times New Roman" w:hAnsi="Times New Roman"/>
          <w:szCs w:val="24"/>
        </w:rPr>
        <w:t>FDIC-supervised depository institution</w:t>
      </w:r>
      <w:r w:rsidRPr="00355F39">
        <w:rPr>
          <w:rFonts w:ascii="Times New Roman" w:hAnsi="Times New Roman"/>
          <w:szCs w:val="24"/>
        </w:rPr>
        <w:t>.</w:t>
      </w:r>
    </w:p>
    <w:p w:rsidR="00C40FA3" w:rsidP="00784BB7" w14:paraId="3CB13CD8" w14:textId="77777777">
      <w:pPr>
        <w:widowControl/>
        <w:tabs>
          <w:tab w:val="left" w:pos="720"/>
        </w:tabs>
        <w:spacing w:after="120"/>
        <w:rPr>
          <w:rFonts w:ascii="Times New Roman" w:hAnsi="Times New Roman"/>
          <w:szCs w:val="24"/>
        </w:rPr>
      </w:pPr>
      <w:r>
        <w:rPr>
          <w:rFonts w:ascii="Times New Roman" w:hAnsi="Times New Roman"/>
          <w:szCs w:val="24"/>
        </w:rPr>
        <w:tab/>
        <w:t>Frequency of Response</w:t>
      </w:r>
      <w:r>
        <w:rPr>
          <w:rFonts w:ascii="Times New Roman" w:hAnsi="Times New Roman"/>
          <w:szCs w:val="24"/>
        </w:rPr>
        <w:t>:  Quarterly</w:t>
      </w:r>
      <w:r>
        <w:rPr>
          <w:rFonts w:ascii="Times New Roman" w:hAnsi="Times New Roman"/>
          <w:szCs w:val="24"/>
        </w:rPr>
        <w:t>.</w:t>
      </w:r>
    </w:p>
    <w:p w:rsidR="00355F39" w:rsidP="00784BB7" w14:paraId="7677EE93" w14:textId="77777777">
      <w:pPr>
        <w:widowControl/>
        <w:spacing w:after="120"/>
        <w:rPr>
          <w:rFonts w:ascii="Times New Roman" w:hAnsi="Times New Roman"/>
          <w:szCs w:val="24"/>
        </w:rPr>
      </w:pPr>
      <w:r w:rsidRPr="00355F39">
        <w:rPr>
          <w:rFonts w:ascii="Times New Roman" w:hAnsi="Times New Roman"/>
          <w:szCs w:val="24"/>
        </w:rPr>
        <w:t xml:space="preserve"> </w:t>
      </w:r>
      <w:r w:rsidRPr="00355F39">
        <w:rPr>
          <w:rFonts w:ascii="Times New Roman" w:hAnsi="Times New Roman"/>
          <w:szCs w:val="24"/>
        </w:rPr>
        <w:tab/>
      </w:r>
      <w:r w:rsidRPr="003030A4">
        <w:rPr>
          <w:rFonts w:ascii="Times New Roman" w:hAnsi="Times New Roman"/>
          <w:szCs w:val="24"/>
        </w:rPr>
        <w:t>Estimated Time per Response</w:t>
      </w:r>
      <w:r w:rsidRPr="00355F39">
        <w:rPr>
          <w:rFonts w:ascii="Times New Roman" w:hAnsi="Times New Roman"/>
          <w:szCs w:val="24"/>
        </w:rPr>
        <w:t>:  12</w:t>
      </w:r>
      <w:r w:rsidRPr="00355F39">
        <w:rPr>
          <w:rFonts w:ascii="Times New Roman" w:hAnsi="Times New Roman"/>
          <w:szCs w:val="24"/>
        </w:rPr>
        <w:t xml:space="preserve"> hours.</w:t>
      </w:r>
    </w:p>
    <w:p w:rsidR="00355F39" w:rsidP="00784BB7" w14:paraId="720881DF" w14:textId="77777777">
      <w:pPr>
        <w:widowControl/>
        <w:tabs>
          <w:tab w:val="left" w:pos="720"/>
          <w:tab w:val="left" w:pos="3960"/>
        </w:tabs>
        <w:autoSpaceDE w:val="0"/>
        <w:autoSpaceDN w:val="0"/>
        <w:adjustRightInd w:val="0"/>
        <w:spacing w:after="120"/>
        <w:rPr>
          <w:rFonts w:ascii="Times New Roman" w:hAnsi="Times New Roman"/>
          <w:szCs w:val="24"/>
        </w:rPr>
      </w:pPr>
      <w:r w:rsidRPr="00355F39">
        <w:rPr>
          <w:rFonts w:ascii="Times New Roman" w:hAnsi="Times New Roman"/>
          <w:szCs w:val="24"/>
        </w:rPr>
        <w:tab/>
      </w:r>
      <w:r w:rsidRPr="003030A4">
        <w:rPr>
          <w:rFonts w:ascii="Times New Roman" w:hAnsi="Times New Roman"/>
          <w:szCs w:val="24"/>
        </w:rPr>
        <w:t>Estimated Total Annual Burden</w:t>
      </w:r>
      <w:r w:rsidRPr="00355F39">
        <w:rPr>
          <w:rFonts w:ascii="Times New Roman" w:hAnsi="Times New Roman"/>
          <w:szCs w:val="24"/>
        </w:rPr>
        <w:t xml:space="preserve">:  </w:t>
      </w:r>
      <w:r w:rsidR="00613C27">
        <w:rPr>
          <w:rFonts w:ascii="Times New Roman" w:hAnsi="Times New Roman"/>
          <w:szCs w:val="24"/>
        </w:rPr>
        <w:t>48</w:t>
      </w:r>
      <w:r w:rsidRPr="00355F39">
        <w:rPr>
          <w:rFonts w:ascii="Times New Roman" w:hAnsi="Times New Roman"/>
          <w:szCs w:val="24"/>
        </w:rPr>
        <w:t xml:space="preserve"> hours.</w:t>
      </w:r>
    </w:p>
    <w:p w:rsidR="00784BB7" w:rsidP="00613C27" w14:paraId="4B6B4D9C" w14:textId="77777777">
      <w:pPr>
        <w:widowControl/>
        <w:tabs>
          <w:tab w:val="left" w:pos="720"/>
          <w:tab w:val="left" w:pos="3960"/>
        </w:tabs>
        <w:autoSpaceDE w:val="0"/>
        <w:autoSpaceDN w:val="0"/>
        <w:adjustRightInd w:val="0"/>
        <w:rPr>
          <w:rFonts w:ascii="Times New Roman" w:hAnsi="Times New Roman"/>
          <w:szCs w:val="24"/>
        </w:rPr>
      </w:pPr>
    </w:p>
    <w:p w:rsidR="00784BB7" w:rsidRPr="00DE10EA" w:rsidP="00784BB7" w14:paraId="6E8D2E6A" w14:textId="77777777">
      <w:pPr>
        <w:ind w:firstLine="450"/>
        <w:rPr>
          <w:rFonts w:ascii="Times New Roman" w:hAnsi="Times New Roman"/>
          <w:i/>
        </w:rPr>
      </w:pPr>
      <w:r w:rsidRPr="001F0FDD">
        <w:rPr>
          <w:rFonts w:ascii="Times New Roman" w:hAnsi="Times New Roman"/>
          <w:i/>
        </w:rPr>
        <w:t>Annualized Cost of Internal Hourly Burden -</w:t>
      </w:r>
      <w:r w:rsidRPr="00DE10EA">
        <w:rPr>
          <w:rFonts w:ascii="Times New Roman" w:hAnsi="Times New Roman"/>
          <w:i/>
        </w:rPr>
        <w:t xml:space="preserve"> </w:t>
      </w:r>
    </w:p>
    <w:p w:rsidR="00784BB7" w:rsidRPr="00881075" w:rsidP="00613C27" w14:paraId="393A830E" w14:textId="77777777">
      <w:pPr>
        <w:widowControl/>
        <w:tabs>
          <w:tab w:val="left" w:pos="720"/>
          <w:tab w:val="left" w:pos="3960"/>
        </w:tabs>
        <w:autoSpaceDE w:val="0"/>
        <w:autoSpaceDN w:val="0"/>
        <w:adjustRightInd w:val="0"/>
        <w:rPr>
          <w:rFonts w:ascii="Times New Roman" w:hAnsi="Times New Roman"/>
          <w:szCs w:val="24"/>
          <w:highlight w:val="yellow"/>
        </w:rPr>
      </w:pPr>
    </w:p>
    <w:p w:rsidR="009A1506" w:rsidRPr="004844D6" w:rsidP="009A1506" w14:paraId="169B3128" w14:textId="24CB191D">
      <w:pPr>
        <w:autoSpaceDE w:val="0"/>
        <w:autoSpaceDN w:val="0"/>
        <w:rPr>
          <w:rFonts w:ascii="Times New Roman" w:hAnsi="Times New Roman"/>
          <w:snapToGrid/>
          <w:color w:val="000000"/>
          <w:szCs w:val="24"/>
        </w:rPr>
      </w:pPr>
      <w:r w:rsidRPr="004844D6">
        <w:rPr>
          <w:rFonts w:ascii="Times New Roman" w:hAnsi="Times New Roman"/>
          <w:snapToGrid/>
          <w:color w:val="000000"/>
          <w:szCs w:val="24"/>
        </w:rPr>
        <w:t>To estimate the average c</w:t>
      </w:r>
      <w:r>
        <w:rPr>
          <w:rFonts w:ascii="Times New Roman" w:hAnsi="Times New Roman"/>
          <w:snapToGrid/>
          <w:color w:val="000000"/>
          <w:szCs w:val="24"/>
        </w:rPr>
        <w:t xml:space="preserve">ost of compensation per hour, FDIC </w:t>
      </w:r>
      <w:r w:rsidRPr="004844D6">
        <w:rPr>
          <w:rFonts w:ascii="Times New Roman" w:hAnsi="Times New Roman"/>
          <w:snapToGrid/>
          <w:color w:val="000000"/>
          <w:szCs w:val="24"/>
        </w:rPr>
        <w:t>use</w:t>
      </w:r>
      <w:r>
        <w:rPr>
          <w:rFonts w:ascii="Times New Roman" w:hAnsi="Times New Roman"/>
          <w:snapToGrid/>
          <w:color w:val="000000"/>
          <w:szCs w:val="24"/>
        </w:rPr>
        <w:t>s</w:t>
      </w:r>
      <w:r w:rsidRPr="004844D6">
        <w:rPr>
          <w:rFonts w:ascii="Times New Roman" w:hAnsi="Times New Roman"/>
          <w:snapToGrid/>
          <w:color w:val="000000"/>
          <w:szCs w:val="24"/>
        </w:rPr>
        <w:t xml:space="preserve"> the 75th percentile hourly wages reported by the Bureau of Labor Statistics (BLS) National Industry-Specific Occupational Employment and Wage Estimates (OEWS) for the relevant occupations in the Depository Credit Intermediation sector. However, the latest OEWS wage data are as of May 202</w:t>
      </w:r>
      <w:r w:rsidR="00FB5A52">
        <w:rPr>
          <w:rFonts w:ascii="Times New Roman" w:hAnsi="Times New Roman"/>
          <w:snapToGrid/>
          <w:color w:val="000000"/>
          <w:szCs w:val="24"/>
        </w:rPr>
        <w:t>4</w:t>
      </w:r>
      <w:r w:rsidRPr="004844D6">
        <w:rPr>
          <w:rFonts w:ascii="Times New Roman" w:hAnsi="Times New Roman"/>
          <w:snapToGrid/>
          <w:color w:val="000000"/>
          <w:szCs w:val="24"/>
        </w:rPr>
        <w:t xml:space="preserve"> and do not include non-wage compensation. </w:t>
      </w:r>
      <w:r>
        <w:rPr>
          <w:rFonts w:ascii="Times New Roman" w:hAnsi="Times New Roman"/>
          <w:snapToGrid/>
          <w:color w:val="000000"/>
          <w:szCs w:val="24"/>
        </w:rPr>
        <w:t xml:space="preserve">FDIC adjusts </w:t>
      </w:r>
      <w:r w:rsidRPr="004844D6">
        <w:rPr>
          <w:rFonts w:ascii="Times New Roman" w:hAnsi="Times New Roman"/>
          <w:snapToGrid/>
          <w:color w:val="000000"/>
          <w:szCs w:val="24"/>
        </w:rPr>
        <w:t>the OEWS hourly wages by approximately 1.5</w:t>
      </w:r>
      <w:r w:rsidR="00E11DCA">
        <w:rPr>
          <w:rFonts w:ascii="Times New Roman" w:hAnsi="Times New Roman"/>
          <w:snapToGrid/>
          <w:color w:val="000000"/>
          <w:szCs w:val="24"/>
        </w:rPr>
        <w:t>3</w:t>
      </w:r>
      <w:r w:rsidRPr="004844D6">
        <w:rPr>
          <w:rFonts w:ascii="Times New Roman" w:hAnsi="Times New Roman"/>
          <w:snapToGrid/>
          <w:color w:val="000000"/>
          <w:szCs w:val="24"/>
        </w:rPr>
        <w:t xml:space="preserve"> to account for non-wage compensation, using the BLS Employer Cost of Employee Compensation (ECEC) data as of March 202</w:t>
      </w:r>
      <w:r w:rsidR="009A0931">
        <w:rPr>
          <w:rFonts w:ascii="Times New Roman" w:hAnsi="Times New Roman"/>
          <w:snapToGrid/>
          <w:color w:val="000000"/>
          <w:szCs w:val="24"/>
        </w:rPr>
        <w:t>4</w:t>
      </w:r>
      <w:r w:rsidRPr="004844D6">
        <w:rPr>
          <w:rFonts w:ascii="Times New Roman" w:hAnsi="Times New Roman"/>
          <w:snapToGrid/>
          <w:color w:val="000000"/>
          <w:szCs w:val="24"/>
        </w:rPr>
        <w:t xml:space="preserve"> (the latest published release </w:t>
      </w:r>
      <w:r>
        <w:rPr>
          <w:rFonts w:ascii="Times New Roman" w:hAnsi="Times New Roman"/>
          <w:snapToGrid/>
          <w:color w:val="000000"/>
          <w:szCs w:val="24"/>
        </w:rPr>
        <w:t>prior to the OEWS wage data). FDIC then multiplies</w:t>
      </w:r>
      <w:r w:rsidRPr="004844D6">
        <w:rPr>
          <w:rFonts w:ascii="Times New Roman" w:hAnsi="Times New Roman"/>
          <w:snapToGrid/>
          <w:color w:val="000000"/>
          <w:szCs w:val="24"/>
        </w:rPr>
        <w:t xml:space="preserve"> the resulting compensation rates by approximately 1.05 to account for the change in the seasonally adjusted Employment Cost Index for the Credit Intermediation and Related Activities sector (NAICS Code 522) between March 202</w:t>
      </w:r>
      <w:r w:rsidR="000F7204">
        <w:rPr>
          <w:rFonts w:ascii="Times New Roman" w:hAnsi="Times New Roman"/>
          <w:snapToGrid/>
          <w:color w:val="000000"/>
          <w:szCs w:val="24"/>
        </w:rPr>
        <w:t>4</w:t>
      </w:r>
      <w:r w:rsidRPr="004844D6">
        <w:rPr>
          <w:rFonts w:ascii="Times New Roman" w:hAnsi="Times New Roman"/>
          <w:snapToGrid/>
          <w:color w:val="000000"/>
          <w:szCs w:val="24"/>
        </w:rPr>
        <w:t xml:space="preserve"> and March 202</w:t>
      </w:r>
      <w:r w:rsidR="00C37D4A">
        <w:rPr>
          <w:rFonts w:ascii="Times New Roman" w:hAnsi="Times New Roman"/>
          <w:snapToGrid/>
          <w:color w:val="000000"/>
          <w:szCs w:val="24"/>
        </w:rPr>
        <w:t>5</w:t>
      </w:r>
      <w:r w:rsidRPr="004844D6">
        <w:rPr>
          <w:rFonts w:ascii="Times New Roman" w:hAnsi="Times New Roman"/>
          <w:snapToGrid/>
          <w:color w:val="000000"/>
          <w:szCs w:val="24"/>
        </w:rPr>
        <w:t xml:space="preserve">. </w:t>
      </w:r>
      <w:r w:rsidRPr="004844D6">
        <w:rPr>
          <w:rFonts w:ascii="Times New Roman" w:eastAsia="Source Sans Pro" w:hAnsi="Times New Roman"/>
          <w:snapToGrid/>
          <w:szCs w:val="24"/>
          <w:lang w:bidi="en-US"/>
        </w:rPr>
        <w:t xml:space="preserve">Given these adjusted compensation rates, </w:t>
      </w:r>
      <w:r>
        <w:rPr>
          <w:rFonts w:ascii="Times New Roman" w:eastAsia="Source Sans Pro" w:hAnsi="Times New Roman"/>
          <w:snapToGrid/>
          <w:szCs w:val="24"/>
          <w:lang w:bidi="en-US"/>
        </w:rPr>
        <w:t>FDIC</w:t>
      </w:r>
      <w:r w:rsidRPr="004844D6">
        <w:rPr>
          <w:rFonts w:ascii="Times New Roman" w:eastAsia="Source Sans Pro" w:hAnsi="Times New Roman"/>
          <w:snapToGrid/>
          <w:szCs w:val="24"/>
          <w:lang w:bidi="en-US"/>
        </w:rPr>
        <w:t xml:space="preserve"> estimate</w:t>
      </w:r>
      <w:r>
        <w:rPr>
          <w:rFonts w:ascii="Times New Roman" w:eastAsia="Source Sans Pro" w:hAnsi="Times New Roman"/>
          <w:snapToGrid/>
          <w:szCs w:val="24"/>
          <w:lang w:bidi="en-US"/>
        </w:rPr>
        <w:t>s</w:t>
      </w:r>
      <w:r w:rsidRPr="004844D6">
        <w:rPr>
          <w:rFonts w:ascii="Times New Roman" w:eastAsia="Source Sans Pro" w:hAnsi="Times New Roman"/>
          <w:snapToGrid/>
          <w:szCs w:val="24"/>
          <w:lang w:bidi="en-US"/>
        </w:rPr>
        <w:t xml:space="preserve"> an hourly compensation rate of $</w:t>
      </w:r>
      <w:r w:rsidR="000F7204">
        <w:rPr>
          <w:rFonts w:ascii="Times New Roman" w:eastAsia="Source Sans Pro" w:hAnsi="Times New Roman"/>
          <w:snapToGrid/>
          <w:szCs w:val="24"/>
          <w:lang w:bidi="en-US"/>
        </w:rPr>
        <w:t>97</w:t>
      </w:r>
      <w:r w:rsidRPr="004844D6">
        <w:rPr>
          <w:rFonts w:ascii="Times New Roman" w:eastAsia="Source Sans Pro" w:hAnsi="Times New Roman"/>
          <w:snapToGrid/>
          <w:szCs w:val="24"/>
          <w:lang w:bidi="en-US"/>
        </w:rPr>
        <w:t>.</w:t>
      </w:r>
      <w:r w:rsidR="000F7204">
        <w:rPr>
          <w:rFonts w:ascii="Times New Roman" w:eastAsia="Source Sans Pro" w:hAnsi="Times New Roman"/>
          <w:snapToGrid/>
          <w:szCs w:val="24"/>
          <w:lang w:bidi="en-US"/>
        </w:rPr>
        <w:t>5</w:t>
      </w:r>
      <w:r w:rsidRPr="004844D6">
        <w:rPr>
          <w:rFonts w:ascii="Times New Roman" w:eastAsia="Source Sans Pro" w:hAnsi="Times New Roman"/>
          <w:snapToGrid/>
          <w:szCs w:val="24"/>
          <w:lang w:bidi="en-US"/>
        </w:rPr>
        <w:t xml:space="preserve">0 </w:t>
      </w:r>
      <w:r>
        <w:rPr>
          <w:rFonts w:ascii="Times New Roman" w:eastAsia="Source Sans Pro" w:hAnsi="Times New Roman"/>
          <w:snapToGrid/>
          <w:szCs w:val="24"/>
          <w:lang w:bidi="en-US"/>
        </w:rPr>
        <w:t>to respond to this information collection</w:t>
      </w:r>
      <w:r w:rsidRPr="004844D6">
        <w:rPr>
          <w:rFonts w:ascii="Times New Roman" w:eastAsia="Source Sans Pro" w:hAnsi="Times New Roman"/>
          <w:snapToGrid/>
          <w:szCs w:val="24"/>
          <w:lang w:bidi="en-US"/>
        </w:rPr>
        <w:t xml:space="preserve">. </w:t>
      </w:r>
    </w:p>
    <w:p w:rsidR="009A1506" w:rsidRPr="004844D6" w:rsidP="009A1506" w14:paraId="5AB98526" w14:textId="3B53956E">
      <w:pPr>
        <w:suppressAutoHyphens/>
        <w:autoSpaceDE w:val="0"/>
        <w:autoSpaceDN w:val="0"/>
        <w:spacing w:after="120" w:line="260" w:lineRule="exact"/>
        <w:ind w:right="-86"/>
        <w:rPr>
          <w:rFonts w:ascii="Source Sans Pro" w:eastAsia="Source Sans Pro" w:hAnsi="Source Sans Pro" w:cs="Source Sans Pro"/>
          <w:snapToGrid/>
          <w:sz w:val="20"/>
          <w:lang w:bidi="en-US"/>
        </w:rPr>
      </w:pPr>
    </w:p>
    <w:tbl>
      <w:tblPr>
        <w:tblW w:w="9600" w:type="dxa"/>
        <w:tblLook w:val="04A0"/>
      </w:tblPr>
      <w:tblGrid>
        <w:gridCol w:w="2160"/>
        <w:gridCol w:w="1180"/>
        <w:gridCol w:w="984"/>
        <w:gridCol w:w="980"/>
        <w:gridCol w:w="984"/>
        <w:gridCol w:w="984"/>
        <w:gridCol w:w="884"/>
        <w:gridCol w:w="1444"/>
      </w:tblGrid>
      <w:tr w14:paraId="2349AA7B" w14:textId="77777777" w:rsidTr="00B01BD4">
        <w:tblPrEx>
          <w:tblW w:w="9600" w:type="dxa"/>
          <w:tblLook w:val="04A0"/>
        </w:tblPrEx>
        <w:trPr>
          <w:trHeight w:val="360"/>
        </w:trPr>
        <w:tc>
          <w:tcPr>
            <w:tcW w:w="9600" w:type="dxa"/>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A1506" w:rsidRPr="004844D6" w:rsidP="00B01BD4" w14:paraId="1A35F6CC" w14:textId="77777777">
            <w:pPr>
              <w:widowControl/>
              <w:jc w:val="center"/>
              <w:rPr>
                <w:rFonts w:ascii="Source Sans Pro" w:hAnsi="Source Sans Pro" w:cs="Calibri"/>
                <w:snapToGrid/>
                <w:color w:val="000000"/>
                <w:szCs w:val="24"/>
              </w:rPr>
            </w:pPr>
            <w:r w:rsidRPr="004844D6">
              <w:rPr>
                <w:rFonts w:ascii="Source Sans Pro" w:hAnsi="Source Sans Pro" w:cs="Calibri"/>
                <w:snapToGrid/>
                <w:color w:val="000000"/>
                <w:szCs w:val="24"/>
              </w:rPr>
              <w:t>Table 1. Summary of Hourly Burden Cost Estimate (OMB No. 3064-0199)</w:t>
            </w:r>
          </w:p>
        </w:tc>
      </w:tr>
      <w:tr w14:paraId="3FD19C1B" w14:textId="77777777" w:rsidTr="00B01BD4">
        <w:tblPrEx>
          <w:tblW w:w="9600" w:type="dxa"/>
          <w:tblLook w:val="04A0"/>
        </w:tblPrEx>
        <w:trPr>
          <w:trHeight w:val="600"/>
        </w:trPr>
        <w:tc>
          <w:tcPr>
            <w:tcW w:w="2264" w:type="dxa"/>
            <w:vMerge w:val="restart"/>
            <w:tcBorders>
              <w:top w:val="nil"/>
              <w:left w:val="single" w:sz="8" w:space="0" w:color="auto"/>
              <w:bottom w:val="single" w:sz="8" w:space="0" w:color="auto"/>
              <w:right w:val="single" w:sz="12" w:space="0" w:color="auto"/>
            </w:tcBorders>
            <w:shd w:val="clear" w:color="auto" w:fill="auto"/>
            <w:vAlign w:val="center"/>
            <w:hideMark/>
          </w:tcPr>
          <w:p w:rsidR="009A1506" w:rsidRPr="004844D6" w:rsidP="00B01BD4" w14:paraId="5C1DF744" w14:textId="48AF3A2A">
            <w:pPr>
              <w:widowControl/>
              <w:rPr>
                <w:rFonts w:ascii="Source Sans Pro" w:hAnsi="Source Sans Pro" w:cs="Calibri"/>
                <w:snapToGrid/>
                <w:color w:val="000000"/>
                <w:sz w:val="20"/>
              </w:rPr>
            </w:pPr>
            <w:r w:rsidRPr="004844D6">
              <w:rPr>
                <w:rFonts w:ascii="Source Sans Pro" w:hAnsi="Source Sans Pro" w:cs="Calibri"/>
                <w:snapToGrid/>
                <w:color w:val="000000"/>
                <w:sz w:val="20"/>
              </w:rPr>
              <w:t>Information Collection</w:t>
            </w:r>
            <w:r w:rsidR="00DB2FD6">
              <w:rPr>
                <w:rFonts w:ascii="Source Sans Pro" w:hAnsi="Source Sans Pro" w:cs="Calibri"/>
                <w:snapToGrid/>
                <w:color w:val="000000"/>
                <w:sz w:val="20"/>
              </w:rPr>
              <w:t xml:space="preserve"> (IC)</w:t>
            </w:r>
            <w:r w:rsidRPr="004844D6">
              <w:rPr>
                <w:rFonts w:ascii="Source Sans Pro" w:hAnsi="Source Sans Pro" w:cs="Calibri"/>
                <w:snapToGrid/>
                <w:color w:val="000000"/>
                <w:sz w:val="20"/>
              </w:rPr>
              <w:t xml:space="preserve"> (Obligation to Respond) </w:t>
            </w:r>
          </w:p>
        </w:tc>
        <w:tc>
          <w:tcPr>
            <w:tcW w:w="5892" w:type="dxa"/>
            <w:gridSpan w:val="6"/>
            <w:vMerge w:val="restart"/>
            <w:tcBorders>
              <w:top w:val="nil"/>
              <w:left w:val="single" w:sz="12" w:space="0" w:color="auto"/>
              <w:bottom w:val="single" w:sz="8" w:space="0" w:color="auto"/>
              <w:right w:val="single" w:sz="12" w:space="0" w:color="auto"/>
            </w:tcBorders>
            <w:shd w:val="clear" w:color="auto" w:fill="auto"/>
            <w:vAlign w:val="center"/>
            <w:hideMark/>
          </w:tcPr>
          <w:p w:rsidR="009A1506" w:rsidRPr="004844D6" w:rsidP="00B01BD4" w14:paraId="04A3C998" w14:textId="77777777">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 xml:space="preserve">Percentage Shares of Hours Spent by and </w:t>
            </w:r>
            <w:r w:rsidRPr="004844D6">
              <w:rPr>
                <w:rFonts w:ascii="Source Sans Pro" w:hAnsi="Source Sans Pro" w:cs="Calibri"/>
                <w:snapToGrid/>
                <w:color w:val="000000"/>
                <w:sz w:val="20"/>
              </w:rPr>
              <w:br/>
              <w:t xml:space="preserve">Hourly Compensation Rates for each Occupation Group </w:t>
            </w:r>
            <w:r w:rsidRPr="004844D6">
              <w:rPr>
                <w:rFonts w:ascii="Source Sans Pro" w:hAnsi="Source Sans Pro" w:cs="Calibri"/>
                <w:snapToGrid/>
                <w:color w:val="000000"/>
                <w:sz w:val="20"/>
              </w:rPr>
              <w:br/>
              <w:t>(by Collection)</w:t>
            </w:r>
          </w:p>
        </w:tc>
        <w:tc>
          <w:tcPr>
            <w:tcW w:w="1444" w:type="dxa"/>
            <w:vMerge w:val="restart"/>
            <w:tcBorders>
              <w:top w:val="nil"/>
              <w:left w:val="nil"/>
              <w:bottom w:val="single" w:sz="8" w:space="0" w:color="auto"/>
              <w:right w:val="single" w:sz="8" w:space="0" w:color="auto"/>
            </w:tcBorders>
            <w:shd w:val="clear" w:color="auto" w:fill="auto"/>
            <w:vAlign w:val="center"/>
            <w:hideMark/>
          </w:tcPr>
          <w:p w:rsidR="009A1506" w:rsidRPr="004844D6" w:rsidP="00B01BD4" w14:paraId="1A797030" w14:textId="77777777">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Estimated Hourly Compensation Rate</w:t>
            </w:r>
          </w:p>
        </w:tc>
      </w:tr>
      <w:tr w14:paraId="0BE9CB2A" w14:textId="77777777" w:rsidTr="00B01BD4">
        <w:tblPrEx>
          <w:tblW w:w="9600" w:type="dxa"/>
          <w:tblLook w:val="04A0"/>
        </w:tblPrEx>
        <w:trPr>
          <w:trHeight w:val="863"/>
        </w:trPr>
        <w:tc>
          <w:tcPr>
            <w:tcW w:w="2264" w:type="dxa"/>
            <w:vMerge/>
            <w:tcBorders>
              <w:top w:val="nil"/>
              <w:left w:val="single" w:sz="8" w:space="0" w:color="auto"/>
              <w:bottom w:val="single" w:sz="8" w:space="0" w:color="auto"/>
              <w:right w:val="single" w:sz="12" w:space="0" w:color="auto"/>
            </w:tcBorders>
            <w:vAlign w:val="center"/>
            <w:hideMark/>
          </w:tcPr>
          <w:p w:rsidR="009A1506" w:rsidRPr="004844D6" w:rsidP="00B01BD4" w14:paraId="675E9A43" w14:textId="77777777">
            <w:pPr>
              <w:widowControl/>
              <w:rPr>
                <w:rFonts w:ascii="Source Sans Pro" w:hAnsi="Source Sans Pro" w:cs="Calibri"/>
                <w:snapToGrid/>
                <w:color w:val="000000"/>
                <w:sz w:val="20"/>
              </w:rPr>
            </w:pPr>
          </w:p>
        </w:tc>
        <w:tc>
          <w:tcPr>
            <w:tcW w:w="5892" w:type="dxa"/>
            <w:gridSpan w:val="6"/>
            <w:vMerge/>
            <w:tcBorders>
              <w:top w:val="nil"/>
              <w:left w:val="single" w:sz="12" w:space="0" w:color="auto"/>
              <w:bottom w:val="single" w:sz="8" w:space="0" w:color="auto"/>
              <w:right w:val="single" w:sz="12" w:space="0" w:color="auto"/>
            </w:tcBorders>
            <w:vAlign w:val="center"/>
            <w:hideMark/>
          </w:tcPr>
          <w:p w:rsidR="009A1506" w:rsidRPr="004844D6" w:rsidP="00B01BD4" w14:paraId="3350F01B" w14:textId="77777777">
            <w:pPr>
              <w:widowControl/>
              <w:rPr>
                <w:rFonts w:ascii="Source Sans Pro" w:hAnsi="Source Sans Pro" w:cs="Calibri"/>
                <w:snapToGrid/>
                <w:color w:val="000000"/>
                <w:sz w:val="20"/>
              </w:rPr>
            </w:pPr>
          </w:p>
        </w:tc>
        <w:tc>
          <w:tcPr>
            <w:tcW w:w="1444" w:type="dxa"/>
            <w:vMerge/>
            <w:tcBorders>
              <w:top w:val="nil"/>
              <w:left w:val="nil"/>
              <w:bottom w:val="single" w:sz="8" w:space="0" w:color="auto"/>
              <w:right w:val="single" w:sz="8" w:space="0" w:color="auto"/>
            </w:tcBorders>
            <w:vAlign w:val="center"/>
            <w:hideMark/>
          </w:tcPr>
          <w:p w:rsidR="009A1506" w:rsidRPr="004844D6" w:rsidP="00B01BD4" w14:paraId="431807A3" w14:textId="77777777">
            <w:pPr>
              <w:widowControl/>
              <w:rPr>
                <w:rFonts w:ascii="Source Sans Pro" w:hAnsi="Source Sans Pro" w:cs="Calibri"/>
                <w:snapToGrid/>
                <w:color w:val="000000"/>
                <w:sz w:val="20"/>
              </w:rPr>
            </w:pPr>
          </w:p>
        </w:tc>
      </w:tr>
      <w:tr w14:paraId="201EB9C7" w14:textId="77777777" w:rsidTr="00B01BD4">
        <w:tblPrEx>
          <w:tblW w:w="9600" w:type="dxa"/>
          <w:tblLook w:val="04A0"/>
        </w:tblPrEx>
        <w:trPr>
          <w:trHeight w:val="360"/>
        </w:trPr>
        <w:tc>
          <w:tcPr>
            <w:tcW w:w="2264" w:type="dxa"/>
            <w:vMerge/>
            <w:tcBorders>
              <w:top w:val="nil"/>
              <w:left w:val="single" w:sz="8" w:space="0" w:color="auto"/>
              <w:bottom w:val="single" w:sz="8" w:space="0" w:color="auto"/>
              <w:right w:val="single" w:sz="12" w:space="0" w:color="auto"/>
            </w:tcBorders>
            <w:vAlign w:val="center"/>
            <w:hideMark/>
          </w:tcPr>
          <w:p w:rsidR="00D95A9E" w:rsidRPr="004844D6" w:rsidP="00D95A9E" w14:paraId="2323C0A8" w14:textId="77777777">
            <w:pPr>
              <w:widowControl/>
              <w:rPr>
                <w:rFonts w:ascii="Source Sans Pro" w:hAnsi="Source Sans Pro" w:cs="Calibri"/>
                <w:snapToGrid/>
                <w:color w:val="000000"/>
                <w:sz w:val="20"/>
              </w:rPr>
            </w:pPr>
          </w:p>
        </w:tc>
        <w:tc>
          <w:tcPr>
            <w:tcW w:w="1180" w:type="dxa"/>
            <w:vMerge w:val="restart"/>
            <w:tcBorders>
              <w:top w:val="nil"/>
              <w:left w:val="single" w:sz="12" w:space="0" w:color="auto"/>
              <w:bottom w:val="single" w:sz="8" w:space="0" w:color="auto"/>
              <w:right w:val="single" w:sz="12" w:space="0" w:color="auto"/>
            </w:tcBorders>
            <w:shd w:val="clear" w:color="auto" w:fill="auto"/>
            <w:vAlign w:val="center"/>
            <w:hideMark/>
          </w:tcPr>
          <w:p w:rsidR="00D95A9E" w:rsidRPr="004844D6" w:rsidP="00D95A9E" w14:paraId="2DA2C1ED" w14:textId="18C67DDB">
            <w:pPr>
              <w:widowControl/>
              <w:jc w:val="center"/>
              <w:rPr>
                <w:rFonts w:ascii="Source Sans Pro" w:hAnsi="Source Sans Pro" w:cs="Calibri"/>
                <w:snapToGrid/>
                <w:color w:val="000000"/>
                <w:sz w:val="20"/>
              </w:rPr>
            </w:pPr>
            <w:r w:rsidRPr="00D95A9E">
              <w:rPr>
                <w:rFonts w:ascii="Source Sans Pro" w:hAnsi="Source Sans Pro" w:cs="Calibri"/>
                <w:snapToGrid/>
                <w:color w:val="000000"/>
                <w:sz w:val="20"/>
              </w:rPr>
              <w:t>Exec. &amp; Mgr.      ($159.03)</w:t>
            </w:r>
          </w:p>
        </w:tc>
        <w:tc>
          <w:tcPr>
            <w:tcW w:w="984" w:type="dxa"/>
            <w:vMerge w:val="restart"/>
            <w:tcBorders>
              <w:top w:val="nil"/>
              <w:left w:val="single" w:sz="12" w:space="0" w:color="auto"/>
              <w:bottom w:val="single" w:sz="8" w:space="0" w:color="auto"/>
              <w:right w:val="single" w:sz="12" w:space="0" w:color="auto"/>
            </w:tcBorders>
            <w:shd w:val="clear" w:color="auto" w:fill="auto"/>
            <w:vAlign w:val="center"/>
            <w:hideMark/>
          </w:tcPr>
          <w:p w:rsidR="00D95A9E" w:rsidRPr="004844D6" w:rsidP="00D95A9E" w14:paraId="57F67338" w14:textId="0E242691">
            <w:pPr>
              <w:widowControl/>
              <w:jc w:val="center"/>
              <w:rPr>
                <w:rFonts w:ascii="Source Sans Pro" w:hAnsi="Source Sans Pro" w:cs="Calibri"/>
                <w:snapToGrid/>
                <w:color w:val="000000"/>
                <w:sz w:val="20"/>
              </w:rPr>
            </w:pPr>
            <w:r w:rsidRPr="00D95A9E">
              <w:rPr>
                <w:rFonts w:ascii="Source Sans Pro" w:hAnsi="Source Sans Pro" w:cs="Calibri"/>
                <w:snapToGrid/>
                <w:color w:val="000000"/>
                <w:sz w:val="20"/>
              </w:rPr>
              <w:t>Lawyer</w:t>
            </w:r>
            <w:r w:rsidRPr="00D95A9E">
              <w:rPr>
                <w:rFonts w:ascii="Source Sans Pro" w:hAnsi="Source Sans Pro" w:cs="Calibri"/>
                <w:snapToGrid/>
                <w:color w:val="000000"/>
                <w:sz w:val="20"/>
              </w:rPr>
              <w:t xml:space="preserve">   (</w:t>
            </w:r>
            <w:r w:rsidRPr="00D95A9E">
              <w:rPr>
                <w:rFonts w:ascii="Source Sans Pro" w:hAnsi="Source Sans Pro" w:cs="Calibri"/>
                <w:snapToGrid/>
                <w:color w:val="000000"/>
                <w:sz w:val="20"/>
              </w:rPr>
              <w:t>$179.36)</w:t>
            </w:r>
          </w:p>
        </w:tc>
        <w:tc>
          <w:tcPr>
            <w:tcW w:w="980" w:type="dxa"/>
            <w:vMerge w:val="restart"/>
            <w:tcBorders>
              <w:top w:val="nil"/>
              <w:left w:val="single" w:sz="12" w:space="0" w:color="auto"/>
              <w:bottom w:val="single" w:sz="8" w:space="0" w:color="auto"/>
              <w:right w:val="single" w:sz="12" w:space="0" w:color="auto"/>
            </w:tcBorders>
            <w:shd w:val="clear" w:color="auto" w:fill="auto"/>
            <w:vAlign w:val="center"/>
            <w:hideMark/>
          </w:tcPr>
          <w:p w:rsidR="00D95A9E" w:rsidRPr="004844D6" w:rsidP="00D95A9E" w14:paraId="24AF082F" w14:textId="72A7BBA3">
            <w:pPr>
              <w:widowControl/>
              <w:jc w:val="center"/>
              <w:rPr>
                <w:rFonts w:ascii="Source Sans Pro" w:hAnsi="Source Sans Pro" w:cs="Calibri"/>
                <w:snapToGrid/>
                <w:color w:val="000000"/>
                <w:sz w:val="20"/>
              </w:rPr>
            </w:pPr>
            <w:r w:rsidRPr="00D95A9E">
              <w:rPr>
                <w:rFonts w:ascii="Source Sans Pro" w:hAnsi="Source Sans Pro" w:cs="Calibri"/>
                <w:snapToGrid/>
                <w:color w:val="000000"/>
                <w:sz w:val="20"/>
              </w:rPr>
              <w:t>Compl</w:t>
            </w:r>
            <w:r w:rsidRPr="00D95A9E">
              <w:rPr>
                <w:rFonts w:ascii="Source Sans Pro" w:hAnsi="Source Sans Pro" w:cs="Calibri"/>
                <w:snapToGrid/>
                <w:color w:val="000000"/>
                <w:sz w:val="20"/>
              </w:rPr>
              <w:t>. Ofc.   ($80.68)</w:t>
            </w:r>
          </w:p>
        </w:tc>
        <w:tc>
          <w:tcPr>
            <w:tcW w:w="884" w:type="dxa"/>
            <w:vMerge w:val="restart"/>
            <w:tcBorders>
              <w:top w:val="nil"/>
              <w:left w:val="single" w:sz="12" w:space="0" w:color="auto"/>
              <w:bottom w:val="single" w:sz="8" w:space="0" w:color="auto"/>
              <w:right w:val="single" w:sz="12" w:space="0" w:color="auto"/>
            </w:tcBorders>
            <w:shd w:val="clear" w:color="auto" w:fill="auto"/>
            <w:vAlign w:val="center"/>
            <w:hideMark/>
          </w:tcPr>
          <w:p w:rsidR="00D95A9E" w:rsidRPr="004844D6" w:rsidP="00D95A9E" w14:paraId="69D9A892" w14:textId="3F25C918">
            <w:pPr>
              <w:widowControl/>
              <w:jc w:val="center"/>
              <w:rPr>
                <w:rFonts w:ascii="Source Sans Pro" w:hAnsi="Source Sans Pro" w:cs="Calibri"/>
                <w:snapToGrid/>
                <w:color w:val="000000"/>
                <w:sz w:val="20"/>
              </w:rPr>
            </w:pPr>
            <w:r w:rsidRPr="00D95A9E">
              <w:rPr>
                <w:rFonts w:ascii="Source Sans Pro" w:hAnsi="Source Sans Pro" w:cs="Calibri"/>
                <w:snapToGrid/>
                <w:color w:val="000000"/>
                <w:sz w:val="20"/>
              </w:rPr>
              <w:t xml:space="preserve">IT </w:t>
            </w:r>
            <w:r w:rsidRPr="00D95A9E">
              <w:rPr>
                <w:rFonts w:ascii="Source Sans Pro" w:hAnsi="Source Sans Pro" w:cs="Calibri"/>
                <w:snapToGrid/>
                <w:color w:val="000000"/>
                <w:sz w:val="20"/>
              </w:rPr>
              <w:t xml:space="preserve">   (</w:t>
            </w:r>
            <w:r w:rsidRPr="00D95A9E">
              <w:rPr>
                <w:rFonts w:ascii="Source Sans Pro" w:hAnsi="Source Sans Pro" w:cs="Calibri"/>
                <w:snapToGrid/>
                <w:color w:val="000000"/>
                <w:sz w:val="20"/>
              </w:rPr>
              <w:t>$116.37)</w:t>
            </w:r>
          </w:p>
        </w:tc>
        <w:tc>
          <w:tcPr>
            <w:tcW w:w="980" w:type="dxa"/>
            <w:vMerge w:val="restart"/>
            <w:tcBorders>
              <w:top w:val="nil"/>
              <w:left w:val="single" w:sz="12" w:space="0" w:color="auto"/>
              <w:bottom w:val="single" w:sz="8" w:space="0" w:color="auto"/>
              <w:right w:val="single" w:sz="12" w:space="0" w:color="auto"/>
            </w:tcBorders>
            <w:shd w:val="clear" w:color="auto" w:fill="auto"/>
            <w:vAlign w:val="center"/>
            <w:hideMark/>
          </w:tcPr>
          <w:p w:rsidR="00D95A9E" w:rsidRPr="004844D6" w:rsidP="00D95A9E" w14:paraId="5E24DD67" w14:textId="6EBD9AE9">
            <w:pPr>
              <w:widowControl/>
              <w:jc w:val="center"/>
              <w:rPr>
                <w:rFonts w:ascii="Source Sans Pro" w:hAnsi="Source Sans Pro" w:cs="Calibri"/>
                <w:snapToGrid/>
                <w:color w:val="000000"/>
                <w:sz w:val="20"/>
              </w:rPr>
            </w:pPr>
            <w:r w:rsidRPr="00D95A9E">
              <w:rPr>
                <w:rFonts w:ascii="Source Sans Pro" w:hAnsi="Source Sans Pro" w:cs="Calibri"/>
                <w:snapToGrid/>
                <w:color w:val="000000"/>
                <w:sz w:val="20"/>
              </w:rPr>
              <w:t xml:space="preserve">Fin. </w:t>
            </w:r>
            <w:r w:rsidRPr="00D95A9E">
              <w:rPr>
                <w:rFonts w:ascii="Source Sans Pro" w:hAnsi="Source Sans Pro" w:cs="Calibri"/>
                <w:snapToGrid/>
                <w:color w:val="000000"/>
                <w:sz w:val="20"/>
              </w:rPr>
              <w:t>Anlst</w:t>
            </w:r>
            <w:r w:rsidRPr="00D95A9E">
              <w:rPr>
                <w:rFonts w:ascii="Source Sans Pro" w:hAnsi="Source Sans Pro" w:cs="Calibri"/>
                <w:snapToGrid/>
                <w:color w:val="000000"/>
                <w:sz w:val="20"/>
              </w:rPr>
              <w:t>.    ($101.18)</w:t>
            </w:r>
          </w:p>
        </w:tc>
        <w:tc>
          <w:tcPr>
            <w:tcW w:w="884" w:type="dxa"/>
            <w:vMerge w:val="restart"/>
            <w:tcBorders>
              <w:top w:val="nil"/>
              <w:left w:val="single" w:sz="12" w:space="0" w:color="auto"/>
              <w:bottom w:val="single" w:sz="8" w:space="0" w:color="auto"/>
              <w:right w:val="single" w:sz="12" w:space="0" w:color="auto"/>
            </w:tcBorders>
            <w:shd w:val="clear" w:color="auto" w:fill="auto"/>
            <w:vAlign w:val="center"/>
            <w:hideMark/>
          </w:tcPr>
          <w:p w:rsidR="00D95A9E" w:rsidRPr="004844D6" w:rsidP="00D95A9E" w14:paraId="474E95A1" w14:textId="2141D848">
            <w:pPr>
              <w:widowControl/>
              <w:jc w:val="center"/>
              <w:rPr>
                <w:rFonts w:ascii="Source Sans Pro" w:hAnsi="Source Sans Pro" w:cs="Calibri"/>
                <w:snapToGrid/>
                <w:color w:val="000000"/>
                <w:sz w:val="20"/>
              </w:rPr>
            </w:pPr>
            <w:r w:rsidRPr="00D95A9E">
              <w:rPr>
                <w:rFonts w:ascii="Source Sans Pro" w:hAnsi="Source Sans Pro" w:cs="Calibri"/>
                <w:snapToGrid/>
                <w:color w:val="000000"/>
                <w:sz w:val="20"/>
              </w:rPr>
              <w:t xml:space="preserve">Clerical </w:t>
            </w:r>
            <w:r w:rsidRPr="00D95A9E">
              <w:rPr>
                <w:rFonts w:ascii="Source Sans Pro" w:hAnsi="Source Sans Pro" w:cs="Calibri"/>
                <w:snapToGrid/>
                <w:color w:val="000000"/>
                <w:sz w:val="20"/>
              </w:rPr>
              <w:t xml:space="preserve">   (</w:t>
            </w:r>
            <w:r w:rsidRPr="00D95A9E">
              <w:rPr>
                <w:rFonts w:ascii="Source Sans Pro" w:hAnsi="Source Sans Pro" w:cs="Calibri"/>
                <w:snapToGrid/>
                <w:color w:val="000000"/>
                <w:sz w:val="20"/>
              </w:rPr>
              <w:t>$42.51)</w:t>
            </w:r>
          </w:p>
        </w:tc>
        <w:tc>
          <w:tcPr>
            <w:tcW w:w="1444" w:type="dxa"/>
            <w:vMerge/>
            <w:tcBorders>
              <w:top w:val="nil"/>
              <w:left w:val="nil"/>
              <w:bottom w:val="single" w:sz="8" w:space="0" w:color="auto"/>
              <w:right w:val="single" w:sz="8" w:space="0" w:color="auto"/>
            </w:tcBorders>
            <w:vAlign w:val="center"/>
            <w:hideMark/>
          </w:tcPr>
          <w:p w:rsidR="00D95A9E" w:rsidRPr="004844D6" w:rsidP="00D95A9E" w14:paraId="2CCF19D5" w14:textId="77777777">
            <w:pPr>
              <w:widowControl/>
              <w:rPr>
                <w:rFonts w:ascii="Source Sans Pro" w:hAnsi="Source Sans Pro" w:cs="Calibri"/>
                <w:snapToGrid/>
                <w:color w:val="000000"/>
                <w:sz w:val="20"/>
              </w:rPr>
            </w:pPr>
          </w:p>
        </w:tc>
      </w:tr>
      <w:tr w14:paraId="17A4F6E8" w14:textId="77777777" w:rsidTr="00B01BD4">
        <w:tblPrEx>
          <w:tblW w:w="9600" w:type="dxa"/>
          <w:tblLook w:val="04A0"/>
        </w:tblPrEx>
        <w:trPr>
          <w:trHeight w:val="840"/>
        </w:trPr>
        <w:tc>
          <w:tcPr>
            <w:tcW w:w="2264" w:type="dxa"/>
            <w:vMerge/>
            <w:tcBorders>
              <w:top w:val="nil"/>
              <w:left w:val="single" w:sz="8" w:space="0" w:color="auto"/>
              <w:bottom w:val="single" w:sz="8" w:space="0" w:color="auto"/>
              <w:right w:val="single" w:sz="12" w:space="0" w:color="auto"/>
            </w:tcBorders>
            <w:vAlign w:val="center"/>
            <w:hideMark/>
          </w:tcPr>
          <w:p w:rsidR="009A1506" w:rsidRPr="004844D6" w:rsidP="00B01BD4" w14:paraId="55C9C003" w14:textId="77777777">
            <w:pPr>
              <w:widowControl/>
              <w:rPr>
                <w:rFonts w:ascii="Source Sans Pro" w:hAnsi="Source Sans Pro" w:cs="Calibri"/>
                <w:snapToGrid/>
                <w:color w:val="000000"/>
                <w:sz w:val="20"/>
              </w:rPr>
            </w:pPr>
          </w:p>
        </w:tc>
        <w:tc>
          <w:tcPr>
            <w:tcW w:w="1180" w:type="dxa"/>
            <w:vMerge/>
            <w:tcBorders>
              <w:top w:val="nil"/>
              <w:left w:val="single" w:sz="12" w:space="0" w:color="auto"/>
              <w:bottom w:val="single" w:sz="8" w:space="0" w:color="auto"/>
              <w:right w:val="single" w:sz="12" w:space="0" w:color="auto"/>
            </w:tcBorders>
            <w:vAlign w:val="center"/>
            <w:hideMark/>
          </w:tcPr>
          <w:p w:rsidR="009A1506" w:rsidRPr="004844D6" w:rsidP="00B01BD4" w14:paraId="37D82030" w14:textId="77777777">
            <w:pPr>
              <w:widowControl/>
              <w:rPr>
                <w:rFonts w:ascii="Source Sans Pro" w:hAnsi="Source Sans Pro" w:cs="Calibri"/>
                <w:snapToGrid/>
                <w:color w:val="000000"/>
                <w:sz w:val="20"/>
              </w:rPr>
            </w:pPr>
          </w:p>
        </w:tc>
        <w:tc>
          <w:tcPr>
            <w:tcW w:w="984" w:type="dxa"/>
            <w:vMerge/>
            <w:tcBorders>
              <w:top w:val="nil"/>
              <w:left w:val="single" w:sz="12" w:space="0" w:color="auto"/>
              <w:bottom w:val="single" w:sz="8" w:space="0" w:color="auto"/>
              <w:right w:val="single" w:sz="12" w:space="0" w:color="auto"/>
            </w:tcBorders>
            <w:vAlign w:val="center"/>
            <w:hideMark/>
          </w:tcPr>
          <w:p w:rsidR="009A1506" w:rsidRPr="004844D6" w:rsidP="00B01BD4" w14:paraId="795796E5" w14:textId="77777777">
            <w:pPr>
              <w:widowControl/>
              <w:rPr>
                <w:rFonts w:ascii="Source Sans Pro" w:hAnsi="Source Sans Pro" w:cs="Calibri"/>
                <w:snapToGrid/>
                <w:color w:val="000000"/>
                <w:sz w:val="20"/>
              </w:rPr>
            </w:pPr>
          </w:p>
        </w:tc>
        <w:tc>
          <w:tcPr>
            <w:tcW w:w="980" w:type="dxa"/>
            <w:vMerge/>
            <w:tcBorders>
              <w:top w:val="nil"/>
              <w:left w:val="single" w:sz="12" w:space="0" w:color="auto"/>
              <w:bottom w:val="single" w:sz="8" w:space="0" w:color="auto"/>
              <w:right w:val="single" w:sz="12" w:space="0" w:color="auto"/>
            </w:tcBorders>
            <w:vAlign w:val="center"/>
            <w:hideMark/>
          </w:tcPr>
          <w:p w:rsidR="009A1506" w:rsidRPr="004844D6" w:rsidP="00B01BD4" w14:paraId="3044B7A5" w14:textId="77777777">
            <w:pPr>
              <w:widowControl/>
              <w:rPr>
                <w:rFonts w:ascii="Source Sans Pro" w:hAnsi="Source Sans Pro" w:cs="Calibri"/>
                <w:snapToGrid/>
                <w:color w:val="000000"/>
                <w:sz w:val="20"/>
              </w:rPr>
            </w:pPr>
          </w:p>
        </w:tc>
        <w:tc>
          <w:tcPr>
            <w:tcW w:w="884" w:type="dxa"/>
            <w:vMerge/>
            <w:tcBorders>
              <w:top w:val="nil"/>
              <w:left w:val="single" w:sz="12" w:space="0" w:color="auto"/>
              <w:bottom w:val="single" w:sz="8" w:space="0" w:color="auto"/>
              <w:right w:val="single" w:sz="12" w:space="0" w:color="auto"/>
            </w:tcBorders>
            <w:vAlign w:val="center"/>
            <w:hideMark/>
          </w:tcPr>
          <w:p w:rsidR="009A1506" w:rsidRPr="004844D6" w:rsidP="00B01BD4" w14:paraId="5745F082" w14:textId="77777777">
            <w:pPr>
              <w:widowControl/>
              <w:rPr>
                <w:rFonts w:ascii="Source Sans Pro" w:hAnsi="Source Sans Pro" w:cs="Calibri"/>
                <w:snapToGrid/>
                <w:color w:val="000000"/>
                <w:sz w:val="20"/>
              </w:rPr>
            </w:pPr>
          </w:p>
        </w:tc>
        <w:tc>
          <w:tcPr>
            <w:tcW w:w="980" w:type="dxa"/>
            <w:vMerge/>
            <w:tcBorders>
              <w:top w:val="nil"/>
              <w:left w:val="single" w:sz="12" w:space="0" w:color="auto"/>
              <w:bottom w:val="single" w:sz="8" w:space="0" w:color="auto"/>
              <w:right w:val="single" w:sz="12" w:space="0" w:color="auto"/>
            </w:tcBorders>
            <w:vAlign w:val="center"/>
            <w:hideMark/>
          </w:tcPr>
          <w:p w:rsidR="009A1506" w:rsidRPr="004844D6" w:rsidP="00B01BD4" w14:paraId="31289494" w14:textId="77777777">
            <w:pPr>
              <w:widowControl/>
              <w:rPr>
                <w:rFonts w:ascii="Source Sans Pro" w:hAnsi="Source Sans Pro" w:cs="Calibri"/>
                <w:snapToGrid/>
                <w:color w:val="000000"/>
                <w:sz w:val="20"/>
              </w:rPr>
            </w:pPr>
          </w:p>
        </w:tc>
        <w:tc>
          <w:tcPr>
            <w:tcW w:w="884" w:type="dxa"/>
            <w:vMerge/>
            <w:tcBorders>
              <w:top w:val="nil"/>
              <w:left w:val="single" w:sz="12" w:space="0" w:color="auto"/>
              <w:bottom w:val="single" w:sz="8" w:space="0" w:color="auto"/>
              <w:right w:val="single" w:sz="12" w:space="0" w:color="auto"/>
            </w:tcBorders>
            <w:vAlign w:val="center"/>
            <w:hideMark/>
          </w:tcPr>
          <w:p w:rsidR="009A1506" w:rsidRPr="004844D6" w:rsidP="00B01BD4" w14:paraId="7CD8B413" w14:textId="77777777">
            <w:pPr>
              <w:widowControl/>
              <w:rPr>
                <w:rFonts w:ascii="Source Sans Pro" w:hAnsi="Source Sans Pro" w:cs="Calibri"/>
                <w:snapToGrid/>
                <w:color w:val="000000"/>
                <w:sz w:val="20"/>
              </w:rPr>
            </w:pPr>
          </w:p>
        </w:tc>
        <w:tc>
          <w:tcPr>
            <w:tcW w:w="1444" w:type="dxa"/>
            <w:vMerge/>
            <w:tcBorders>
              <w:top w:val="nil"/>
              <w:left w:val="nil"/>
              <w:bottom w:val="single" w:sz="8" w:space="0" w:color="auto"/>
              <w:right w:val="single" w:sz="8" w:space="0" w:color="auto"/>
            </w:tcBorders>
            <w:vAlign w:val="center"/>
            <w:hideMark/>
          </w:tcPr>
          <w:p w:rsidR="009A1506" w:rsidRPr="004844D6" w:rsidP="00B01BD4" w14:paraId="20813397" w14:textId="77777777">
            <w:pPr>
              <w:widowControl/>
              <w:rPr>
                <w:rFonts w:ascii="Source Sans Pro" w:hAnsi="Source Sans Pro" w:cs="Calibri"/>
                <w:snapToGrid/>
                <w:color w:val="000000"/>
                <w:sz w:val="20"/>
              </w:rPr>
            </w:pPr>
          </w:p>
        </w:tc>
      </w:tr>
      <w:tr w14:paraId="0134D423" w14:textId="77777777" w:rsidTr="00B01BD4">
        <w:tblPrEx>
          <w:tblW w:w="9600" w:type="dxa"/>
          <w:tblLook w:val="04A0"/>
        </w:tblPrEx>
        <w:trPr>
          <w:trHeight w:val="758"/>
        </w:trPr>
        <w:tc>
          <w:tcPr>
            <w:tcW w:w="2264" w:type="dxa"/>
            <w:tcBorders>
              <w:top w:val="nil"/>
              <w:left w:val="single" w:sz="8" w:space="0" w:color="auto"/>
              <w:bottom w:val="single" w:sz="8" w:space="0" w:color="auto"/>
              <w:right w:val="single" w:sz="8" w:space="0" w:color="auto"/>
            </w:tcBorders>
            <w:shd w:val="clear" w:color="auto" w:fill="auto"/>
            <w:vAlign w:val="center"/>
            <w:hideMark/>
          </w:tcPr>
          <w:p w:rsidR="00254702" w:rsidRPr="004844D6" w:rsidP="00254702" w14:paraId="2EA0EDF6" w14:textId="77777777">
            <w:pPr>
              <w:widowControl/>
              <w:rPr>
                <w:rFonts w:ascii="Source Sans Pro" w:hAnsi="Source Sans Pro" w:cs="Calibri"/>
                <w:snapToGrid/>
                <w:color w:val="000000"/>
                <w:sz w:val="20"/>
              </w:rPr>
            </w:pPr>
            <w:r w:rsidRPr="004844D6">
              <w:rPr>
                <w:rFonts w:ascii="Source Sans Pro" w:hAnsi="Source Sans Pro" w:cs="Calibri"/>
                <w:snapToGrid/>
                <w:color w:val="000000"/>
                <w:sz w:val="20"/>
              </w:rPr>
              <w:t>Form</w:t>
            </w:r>
            <w:r w:rsidRPr="004844D6">
              <w:rPr>
                <w:rFonts w:ascii="Source Sans Pro" w:hAnsi="Source Sans Pro" w:cs="Calibri"/>
                <w:snapToGrid/>
                <w:color w:val="000000"/>
                <w:sz w:val="20"/>
              </w:rPr>
              <w:t xml:space="preserve"> FFIEC 102</w:t>
            </w:r>
            <w:r w:rsidRPr="004844D6">
              <w:rPr>
                <w:rFonts w:ascii="Source Sans Pro" w:hAnsi="Source Sans Pro" w:cs="Calibri"/>
                <w:snapToGrid/>
                <w:color w:val="000000"/>
                <w:sz w:val="20"/>
              </w:rPr>
              <w:br/>
              <w:t>(Mandatory)</w:t>
            </w:r>
          </w:p>
        </w:tc>
        <w:tc>
          <w:tcPr>
            <w:tcW w:w="1180" w:type="dxa"/>
            <w:tcBorders>
              <w:top w:val="nil"/>
              <w:left w:val="nil"/>
              <w:bottom w:val="single" w:sz="8" w:space="0" w:color="auto"/>
              <w:right w:val="single" w:sz="8" w:space="0" w:color="auto"/>
            </w:tcBorders>
            <w:shd w:val="clear" w:color="auto" w:fill="auto"/>
            <w:vAlign w:val="center"/>
            <w:hideMark/>
          </w:tcPr>
          <w:p w:rsidR="00254702" w:rsidRPr="004844D6" w:rsidP="00254702" w14:paraId="6ED5BB60" w14:textId="5C44C752">
            <w:pPr>
              <w:widowControl/>
              <w:jc w:val="center"/>
              <w:rPr>
                <w:rFonts w:ascii="Source Sans Pro" w:hAnsi="Source Sans Pro" w:cs="Calibri"/>
                <w:snapToGrid/>
                <w:color w:val="000000"/>
                <w:sz w:val="20"/>
              </w:rPr>
            </w:pPr>
            <w:r w:rsidRPr="00D95A9E">
              <w:rPr>
                <w:rFonts w:ascii="Source Sans Pro" w:hAnsi="Source Sans Pro" w:cs="Calibri"/>
                <w:snapToGrid/>
                <w:color w:val="000000"/>
                <w:sz w:val="20"/>
              </w:rPr>
              <w:t>5</w:t>
            </w:r>
          </w:p>
        </w:tc>
        <w:tc>
          <w:tcPr>
            <w:tcW w:w="984" w:type="dxa"/>
            <w:tcBorders>
              <w:top w:val="nil"/>
              <w:left w:val="nil"/>
              <w:bottom w:val="single" w:sz="8" w:space="0" w:color="auto"/>
              <w:right w:val="single" w:sz="8" w:space="0" w:color="auto"/>
            </w:tcBorders>
            <w:shd w:val="clear" w:color="auto" w:fill="auto"/>
            <w:vAlign w:val="center"/>
            <w:hideMark/>
          </w:tcPr>
          <w:p w:rsidR="00254702" w:rsidRPr="004844D6" w:rsidP="00254702" w14:paraId="188236E2" w14:textId="620F2D81">
            <w:pPr>
              <w:widowControl/>
              <w:jc w:val="center"/>
              <w:rPr>
                <w:rFonts w:ascii="Source Sans Pro" w:hAnsi="Source Sans Pro" w:cs="Calibri"/>
                <w:snapToGrid/>
                <w:color w:val="000000"/>
                <w:sz w:val="20"/>
              </w:rPr>
            </w:pPr>
            <w:r w:rsidRPr="00D95A9E">
              <w:rPr>
                <w:rFonts w:ascii="Source Sans Pro" w:hAnsi="Source Sans Pro" w:cs="Calibri"/>
                <w:snapToGrid/>
                <w:color w:val="000000"/>
                <w:sz w:val="20"/>
              </w:rPr>
              <w:t>5</w:t>
            </w:r>
          </w:p>
        </w:tc>
        <w:tc>
          <w:tcPr>
            <w:tcW w:w="980" w:type="dxa"/>
            <w:tcBorders>
              <w:top w:val="nil"/>
              <w:left w:val="nil"/>
              <w:bottom w:val="single" w:sz="8" w:space="0" w:color="auto"/>
              <w:right w:val="single" w:sz="8" w:space="0" w:color="auto"/>
            </w:tcBorders>
            <w:shd w:val="clear" w:color="auto" w:fill="auto"/>
            <w:vAlign w:val="center"/>
            <w:hideMark/>
          </w:tcPr>
          <w:p w:rsidR="00254702" w:rsidRPr="004844D6" w:rsidP="00254702" w14:paraId="568029E2" w14:textId="139CBF66">
            <w:pPr>
              <w:widowControl/>
              <w:jc w:val="center"/>
              <w:rPr>
                <w:rFonts w:ascii="Source Sans Pro" w:hAnsi="Source Sans Pro" w:cs="Calibri"/>
                <w:snapToGrid/>
                <w:color w:val="000000"/>
                <w:sz w:val="20"/>
              </w:rPr>
            </w:pPr>
            <w:r w:rsidRPr="00D95A9E">
              <w:rPr>
                <w:rFonts w:ascii="Source Sans Pro" w:hAnsi="Source Sans Pro" w:cs="Calibri"/>
                <w:snapToGrid/>
                <w:color w:val="000000"/>
                <w:sz w:val="20"/>
              </w:rPr>
              <w:t>5</w:t>
            </w:r>
          </w:p>
        </w:tc>
        <w:tc>
          <w:tcPr>
            <w:tcW w:w="884" w:type="dxa"/>
            <w:tcBorders>
              <w:top w:val="nil"/>
              <w:left w:val="nil"/>
              <w:bottom w:val="single" w:sz="8" w:space="0" w:color="auto"/>
              <w:right w:val="single" w:sz="8" w:space="0" w:color="auto"/>
            </w:tcBorders>
            <w:shd w:val="clear" w:color="auto" w:fill="auto"/>
            <w:vAlign w:val="center"/>
            <w:hideMark/>
          </w:tcPr>
          <w:p w:rsidR="00254702" w:rsidRPr="004844D6" w:rsidP="00254702" w14:paraId="0DD39C45" w14:textId="35632A17">
            <w:pPr>
              <w:widowControl/>
              <w:jc w:val="center"/>
              <w:rPr>
                <w:rFonts w:ascii="Source Sans Pro" w:hAnsi="Source Sans Pro" w:cs="Calibri"/>
                <w:snapToGrid/>
                <w:color w:val="000000"/>
                <w:sz w:val="20"/>
              </w:rPr>
            </w:pPr>
            <w:r w:rsidRPr="00D95A9E">
              <w:rPr>
                <w:rFonts w:ascii="Source Sans Pro" w:hAnsi="Source Sans Pro" w:cs="Calibri"/>
                <w:snapToGrid/>
                <w:color w:val="000000"/>
                <w:sz w:val="20"/>
              </w:rPr>
              <w:t>15</w:t>
            </w:r>
          </w:p>
        </w:tc>
        <w:tc>
          <w:tcPr>
            <w:tcW w:w="980" w:type="dxa"/>
            <w:tcBorders>
              <w:top w:val="nil"/>
              <w:left w:val="nil"/>
              <w:bottom w:val="single" w:sz="8" w:space="0" w:color="auto"/>
              <w:right w:val="single" w:sz="8" w:space="0" w:color="auto"/>
            </w:tcBorders>
            <w:shd w:val="clear" w:color="auto" w:fill="auto"/>
            <w:vAlign w:val="center"/>
            <w:hideMark/>
          </w:tcPr>
          <w:p w:rsidR="00254702" w:rsidRPr="004844D6" w:rsidP="00254702" w14:paraId="0A1EBC64" w14:textId="4443EFCE">
            <w:pPr>
              <w:widowControl/>
              <w:jc w:val="center"/>
              <w:rPr>
                <w:rFonts w:ascii="Source Sans Pro" w:hAnsi="Source Sans Pro" w:cs="Calibri"/>
                <w:snapToGrid/>
                <w:color w:val="000000"/>
                <w:sz w:val="20"/>
              </w:rPr>
            </w:pPr>
            <w:r w:rsidRPr="00D95A9E">
              <w:rPr>
                <w:rFonts w:ascii="Source Sans Pro" w:hAnsi="Source Sans Pro" w:cs="Calibri"/>
                <w:snapToGrid/>
                <w:color w:val="000000"/>
                <w:sz w:val="20"/>
              </w:rPr>
              <w:t>50</w:t>
            </w:r>
          </w:p>
        </w:tc>
        <w:tc>
          <w:tcPr>
            <w:tcW w:w="884" w:type="dxa"/>
            <w:tcBorders>
              <w:top w:val="nil"/>
              <w:left w:val="nil"/>
              <w:bottom w:val="single" w:sz="8" w:space="0" w:color="auto"/>
              <w:right w:val="single" w:sz="8" w:space="0" w:color="auto"/>
            </w:tcBorders>
            <w:shd w:val="clear" w:color="auto" w:fill="auto"/>
            <w:vAlign w:val="center"/>
            <w:hideMark/>
          </w:tcPr>
          <w:p w:rsidR="00254702" w:rsidRPr="004844D6" w:rsidP="00254702" w14:paraId="582DFA14" w14:textId="04D7B5AD">
            <w:pPr>
              <w:widowControl/>
              <w:jc w:val="center"/>
              <w:rPr>
                <w:rFonts w:ascii="Source Sans Pro" w:hAnsi="Source Sans Pro" w:cs="Calibri"/>
                <w:snapToGrid/>
                <w:color w:val="000000"/>
                <w:sz w:val="20"/>
              </w:rPr>
            </w:pPr>
            <w:r w:rsidRPr="00D95A9E">
              <w:rPr>
                <w:rFonts w:ascii="Source Sans Pro" w:hAnsi="Source Sans Pro" w:cs="Calibri"/>
                <w:snapToGrid/>
                <w:color w:val="000000"/>
                <w:sz w:val="20"/>
              </w:rPr>
              <w:t>20</w:t>
            </w:r>
          </w:p>
        </w:tc>
        <w:tc>
          <w:tcPr>
            <w:tcW w:w="1444" w:type="dxa"/>
            <w:tcBorders>
              <w:top w:val="nil"/>
              <w:left w:val="nil"/>
              <w:bottom w:val="single" w:sz="8" w:space="0" w:color="auto"/>
              <w:right w:val="single" w:sz="8" w:space="0" w:color="auto"/>
            </w:tcBorders>
            <w:shd w:val="clear" w:color="auto" w:fill="auto"/>
            <w:vAlign w:val="center"/>
            <w:hideMark/>
          </w:tcPr>
          <w:p w:rsidR="00254702" w:rsidRPr="004844D6" w:rsidP="00254702" w14:paraId="76DFC27B" w14:textId="6302FB52">
            <w:pPr>
              <w:widowControl/>
              <w:ind w:firstLine="200" w:firstLineChars="100"/>
              <w:jc w:val="right"/>
              <w:rPr>
                <w:rFonts w:ascii="Source Sans Pro" w:hAnsi="Source Sans Pro" w:cs="Calibri"/>
                <w:b/>
                <w:snapToGrid/>
                <w:color w:val="000000"/>
                <w:sz w:val="20"/>
              </w:rPr>
            </w:pPr>
            <w:r w:rsidRPr="00F97795">
              <w:rPr>
                <w:rFonts w:ascii="Source Sans Pro" w:hAnsi="Source Sans Pro" w:cs="Calibri"/>
                <w:b/>
                <w:snapToGrid/>
                <w:color w:val="000000"/>
                <w:sz w:val="20"/>
              </w:rPr>
              <w:t>$97.50</w:t>
            </w:r>
          </w:p>
        </w:tc>
      </w:tr>
      <w:tr w14:paraId="143A371E" w14:textId="77777777" w:rsidTr="00B01BD4">
        <w:tblPrEx>
          <w:tblW w:w="9600" w:type="dxa"/>
          <w:tblLook w:val="04A0"/>
        </w:tblPrEx>
        <w:trPr>
          <w:trHeight w:val="272"/>
        </w:trPr>
        <w:tc>
          <w:tcPr>
            <w:tcW w:w="9600" w:type="dxa"/>
            <w:gridSpan w:val="8"/>
            <w:tcBorders>
              <w:top w:val="single" w:sz="8" w:space="0" w:color="auto"/>
              <w:left w:val="single" w:sz="8" w:space="0" w:color="auto"/>
              <w:bottom w:val="single" w:sz="8" w:space="0" w:color="auto"/>
              <w:right w:val="single" w:sz="8" w:space="0" w:color="auto"/>
            </w:tcBorders>
            <w:shd w:val="clear" w:color="auto" w:fill="auto"/>
            <w:hideMark/>
          </w:tcPr>
          <w:p w:rsidR="009A1506" w:rsidRPr="004844D6" w:rsidP="00B01BD4" w14:paraId="62BAE21C" w14:textId="44CD4174">
            <w:pPr>
              <w:widowControl/>
              <w:spacing w:after="100" w:afterAutospacing="1"/>
              <w:rPr>
                <w:rFonts w:ascii="Source Sans Pro" w:hAnsi="Source Sans Pro" w:cs="Calibri"/>
                <w:snapToGrid/>
                <w:color w:val="000000"/>
                <w:sz w:val="18"/>
                <w:szCs w:val="18"/>
              </w:rPr>
            </w:pPr>
            <w:r w:rsidRPr="004844D6">
              <w:rPr>
                <w:rFonts w:ascii="Source Sans Pro" w:hAnsi="Source Sans Pro" w:cs="Calibri"/>
                <w:snapToGrid/>
                <w:color w:val="000000"/>
                <w:sz w:val="18"/>
                <w:szCs w:val="18"/>
              </w:rPr>
              <w:t>Source: Bureau of Labor Statistics: 'National Industry-Specific Occupational Employment and Wage Estimates: Industry: Credit Intermediation and Related Activities (5221 And 5223 only)' (May 202</w:t>
            </w:r>
            <w:r w:rsidR="00E11DCA">
              <w:rPr>
                <w:rFonts w:ascii="Source Sans Pro" w:hAnsi="Source Sans Pro" w:cs="Calibri"/>
                <w:snapToGrid/>
                <w:color w:val="000000"/>
                <w:sz w:val="18"/>
                <w:szCs w:val="18"/>
              </w:rPr>
              <w:t>4</w:t>
            </w:r>
            <w:r w:rsidRPr="004844D6">
              <w:rPr>
                <w:rFonts w:ascii="Source Sans Pro" w:hAnsi="Source Sans Pro" w:cs="Calibri"/>
                <w:snapToGrid/>
                <w:color w:val="000000"/>
                <w:sz w:val="18"/>
                <w:szCs w:val="18"/>
              </w:rPr>
              <w:t>), Employer Cost of Employee Compensation (March 202</w:t>
            </w:r>
            <w:r w:rsidR="00E11DCA">
              <w:rPr>
                <w:rFonts w:ascii="Source Sans Pro" w:hAnsi="Source Sans Pro" w:cs="Calibri"/>
                <w:snapToGrid/>
                <w:color w:val="000000"/>
                <w:sz w:val="18"/>
                <w:szCs w:val="18"/>
              </w:rPr>
              <w:t>4</w:t>
            </w:r>
            <w:r w:rsidRPr="004844D6">
              <w:rPr>
                <w:rFonts w:ascii="Source Sans Pro" w:hAnsi="Source Sans Pro" w:cs="Calibri"/>
                <w:snapToGrid/>
                <w:color w:val="000000"/>
                <w:sz w:val="18"/>
                <w:szCs w:val="18"/>
              </w:rPr>
              <w:t>), and Employment Cost Index (March 202</w:t>
            </w:r>
            <w:r w:rsidR="00E11DCA">
              <w:rPr>
                <w:rFonts w:ascii="Source Sans Pro" w:hAnsi="Source Sans Pro" w:cs="Calibri"/>
                <w:snapToGrid/>
                <w:color w:val="000000"/>
                <w:sz w:val="18"/>
                <w:szCs w:val="18"/>
              </w:rPr>
              <w:t>4</w:t>
            </w:r>
            <w:r w:rsidRPr="004844D6">
              <w:rPr>
                <w:rFonts w:ascii="Source Sans Pro" w:hAnsi="Source Sans Pro" w:cs="Calibri"/>
                <w:snapToGrid/>
                <w:color w:val="000000"/>
                <w:sz w:val="18"/>
                <w:szCs w:val="18"/>
              </w:rPr>
              <w:t xml:space="preserve"> and March 202</w:t>
            </w:r>
            <w:r w:rsidR="00E11DCA">
              <w:rPr>
                <w:rFonts w:ascii="Source Sans Pro" w:hAnsi="Source Sans Pro" w:cs="Calibri"/>
                <w:snapToGrid/>
                <w:color w:val="000000"/>
                <w:sz w:val="18"/>
                <w:szCs w:val="18"/>
              </w:rPr>
              <w:t>5</w:t>
            </w:r>
            <w:r w:rsidRPr="004844D6">
              <w:rPr>
                <w:rFonts w:ascii="Source Sans Pro" w:hAnsi="Source Sans Pro" w:cs="Calibri"/>
                <w:snapToGrid/>
                <w:color w:val="000000"/>
                <w:sz w:val="18"/>
                <w:szCs w:val="18"/>
              </w:rPr>
              <w:t xml:space="preserve">). Standard Occupational Classification (SOC) Codes: Exec. And </w:t>
            </w:r>
            <w:r w:rsidRPr="004844D6">
              <w:rPr>
                <w:rFonts w:ascii="Source Sans Pro" w:hAnsi="Source Sans Pro" w:cs="Calibri"/>
                <w:snapToGrid/>
                <w:color w:val="000000"/>
                <w:sz w:val="18"/>
                <w:szCs w:val="18"/>
              </w:rPr>
              <w:t>Mgr</w:t>
            </w:r>
            <w:r w:rsidRPr="004844D6">
              <w:rPr>
                <w:rFonts w:ascii="Source Sans Pro" w:hAnsi="Source Sans Pro" w:cs="Calibri"/>
                <w:snapToGrid/>
                <w:color w:val="000000"/>
                <w:sz w:val="18"/>
                <w:szCs w:val="18"/>
              </w:rPr>
              <w:t xml:space="preserve"> = 11-0000 Management Occupations; Lawyer = 23-0000 Legal Occupations; </w:t>
            </w:r>
            <w:r w:rsidRPr="004844D6">
              <w:rPr>
                <w:rFonts w:ascii="Source Sans Pro" w:hAnsi="Source Sans Pro" w:cs="Calibri"/>
                <w:snapToGrid/>
                <w:color w:val="000000"/>
                <w:sz w:val="18"/>
                <w:szCs w:val="18"/>
              </w:rPr>
              <w:t>Compl</w:t>
            </w:r>
            <w:r w:rsidRPr="004844D6">
              <w:rPr>
                <w:rFonts w:ascii="Source Sans Pro" w:hAnsi="Source Sans Pro" w:cs="Calibri"/>
                <w:snapToGrid/>
                <w:color w:val="000000"/>
                <w:sz w:val="18"/>
                <w:szCs w:val="18"/>
              </w:rPr>
              <w:t xml:space="preserve">. Ofc. = 13-1040 Compliance Officers; IT = 15-0000 Computer and Mathematical Occupations; Fin. </w:t>
            </w:r>
            <w:r w:rsidRPr="004844D6">
              <w:rPr>
                <w:rFonts w:ascii="Source Sans Pro" w:hAnsi="Source Sans Pro" w:cs="Calibri"/>
                <w:snapToGrid/>
                <w:color w:val="000000"/>
                <w:sz w:val="18"/>
                <w:szCs w:val="18"/>
              </w:rPr>
              <w:t>Anlst</w:t>
            </w:r>
            <w:r w:rsidRPr="004844D6">
              <w:rPr>
                <w:rFonts w:ascii="Source Sans Pro" w:hAnsi="Source Sans Pro" w:cs="Calibri"/>
                <w:snapToGrid/>
                <w:color w:val="000000"/>
                <w:sz w:val="18"/>
                <w:szCs w:val="18"/>
              </w:rPr>
              <w:t xml:space="preserve">. = 13-2051 Financial and Investment Analysts; Clerical = 43-0000 Office and Administrative Support Occupations. </w:t>
            </w:r>
          </w:p>
          <w:p w:rsidR="009A1506" w:rsidRPr="004844D6" w:rsidP="00B01BD4" w14:paraId="36812A22" w14:textId="561086B9">
            <w:pPr>
              <w:suppressAutoHyphens/>
              <w:autoSpaceDE w:val="0"/>
              <w:autoSpaceDN w:val="0"/>
              <w:spacing w:after="100" w:afterAutospacing="1" w:line="260" w:lineRule="exact"/>
              <w:ind w:right="-86"/>
              <w:rPr>
                <w:rFonts w:ascii="Source Sans Pro" w:eastAsia="Source Sans Pro" w:hAnsi="Source Sans Pro" w:cs="Source Sans Pro"/>
                <w:snapToGrid/>
                <w:sz w:val="20"/>
                <w:lang w:bidi="en-US"/>
              </w:rPr>
            </w:pPr>
            <w:r w:rsidRPr="004844D6">
              <w:rPr>
                <w:rFonts w:ascii="Source Sans Pro" w:hAnsi="Source Sans Pro" w:cs="Calibri"/>
                <w:snapToGrid/>
                <w:color w:val="000000"/>
                <w:sz w:val="18"/>
                <w:szCs w:val="18"/>
                <w:lang w:bidi="en-US"/>
              </w:rPr>
              <w:t xml:space="preserve">Note: The estimated hourly compensation rate </w:t>
            </w:r>
            <w:r w:rsidR="00DB2FD6">
              <w:rPr>
                <w:rFonts w:ascii="Source Sans Pro" w:hAnsi="Source Sans Pro" w:cs="Calibri"/>
                <w:snapToGrid/>
                <w:color w:val="000000"/>
                <w:sz w:val="18"/>
                <w:szCs w:val="18"/>
                <w:lang w:bidi="en-US"/>
              </w:rPr>
              <w:t xml:space="preserve">for a given IC </w:t>
            </w:r>
            <w:r w:rsidRPr="004844D6">
              <w:rPr>
                <w:rFonts w:ascii="Source Sans Pro" w:hAnsi="Source Sans Pro" w:cs="Calibri"/>
                <w:snapToGrid/>
                <w:color w:val="000000"/>
                <w:sz w:val="18"/>
                <w:szCs w:val="18"/>
                <w:lang w:bidi="en-US"/>
              </w:rPr>
              <w:t>is the average of the hourly compensation rates for the occupations used to comply with that</w:t>
            </w:r>
            <w:r w:rsidR="00DB2FD6">
              <w:rPr>
                <w:rFonts w:ascii="Source Sans Pro" w:hAnsi="Source Sans Pro" w:cs="Calibri"/>
                <w:snapToGrid/>
                <w:color w:val="000000"/>
                <w:sz w:val="18"/>
                <w:szCs w:val="18"/>
                <w:lang w:bidi="en-US"/>
              </w:rPr>
              <w:t xml:space="preserve"> IC</w:t>
            </w:r>
            <w:r w:rsidRPr="004844D6">
              <w:rPr>
                <w:rFonts w:ascii="Source Sans Pro" w:hAnsi="Source Sans Pro" w:cs="Calibri"/>
                <w:snapToGrid/>
                <w:color w:val="000000"/>
                <w:sz w:val="18"/>
                <w:szCs w:val="18"/>
                <w:lang w:bidi="en-US"/>
              </w:rPr>
              <w:t xml:space="preserve">, weighted by the </w:t>
            </w:r>
            <w:r w:rsidR="00DB2FD6">
              <w:rPr>
                <w:rFonts w:ascii="Source Sans Pro" w:hAnsi="Source Sans Pro" w:cs="Calibri"/>
                <w:snapToGrid/>
                <w:color w:val="000000"/>
                <w:sz w:val="18"/>
                <w:szCs w:val="18"/>
                <w:lang w:bidi="en-US"/>
              </w:rPr>
              <w:t xml:space="preserve">estimated </w:t>
            </w:r>
            <w:r w:rsidRPr="004844D6">
              <w:rPr>
                <w:rFonts w:ascii="Source Sans Pro" w:hAnsi="Source Sans Pro" w:cs="Calibri"/>
                <w:snapToGrid/>
                <w:color w:val="000000"/>
                <w:sz w:val="18"/>
                <w:szCs w:val="18"/>
                <w:lang w:bidi="en-US"/>
              </w:rPr>
              <w:t>share of hours spent by each occupation.</w:t>
            </w:r>
          </w:p>
        </w:tc>
      </w:tr>
    </w:tbl>
    <w:p w:rsidR="009A1506" w:rsidRPr="00881075" w:rsidP="009A1506" w14:paraId="1861286F" w14:textId="77777777">
      <w:pPr>
        <w:widowControl/>
        <w:tabs>
          <w:tab w:val="left" w:pos="720"/>
          <w:tab w:val="left" w:pos="3960"/>
        </w:tabs>
        <w:autoSpaceDE w:val="0"/>
        <w:autoSpaceDN w:val="0"/>
        <w:adjustRightInd w:val="0"/>
        <w:rPr>
          <w:rFonts w:ascii="Times New Roman" w:hAnsi="Times New Roman"/>
          <w:szCs w:val="24"/>
          <w:highlight w:val="yellow"/>
        </w:rPr>
      </w:pPr>
    </w:p>
    <w:p w:rsidR="009A1506" w:rsidRPr="004844D6" w:rsidP="009A1506" w14:paraId="6258D615" w14:textId="77002023">
      <w:pPr>
        <w:rPr>
          <w:rFonts w:ascii="Times New Roman" w:hAnsi="Times New Roman"/>
          <w:szCs w:val="24"/>
        </w:rPr>
      </w:pPr>
      <w:r>
        <w:rPr>
          <w:rFonts w:ascii="Times New Roman" w:hAnsi="Times New Roman"/>
          <w:szCs w:val="24"/>
        </w:rPr>
        <w:t>Based on the estimated average wage of $</w:t>
      </w:r>
      <w:r w:rsidR="00BE72DA">
        <w:rPr>
          <w:rFonts w:ascii="Times New Roman" w:hAnsi="Times New Roman"/>
          <w:szCs w:val="24"/>
        </w:rPr>
        <w:t>97.50</w:t>
      </w:r>
      <w:r>
        <w:rPr>
          <w:rFonts w:ascii="Times New Roman" w:hAnsi="Times New Roman"/>
          <w:szCs w:val="24"/>
        </w:rPr>
        <w:t>, the total estimated labor cost for this information collection is approximately $</w:t>
      </w:r>
      <w:r w:rsidR="00BA33F2">
        <w:rPr>
          <w:rFonts w:ascii="Times New Roman" w:hAnsi="Times New Roman"/>
          <w:szCs w:val="24"/>
        </w:rPr>
        <w:t>4</w:t>
      </w:r>
      <w:r>
        <w:rPr>
          <w:rFonts w:ascii="Times New Roman" w:hAnsi="Times New Roman"/>
          <w:szCs w:val="24"/>
        </w:rPr>
        <w:t>,</w:t>
      </w:r>
      <w:r w:rsidR="00BA33F2">
        <w:rPr>
          <w:rFonts w:ascii="Times New Roman" w:hAnsi="Times New Roman"/>
          <w:szCs w:val="24"/>
        </w:rPr>
        <w:t>680</w:t>
      </w:r>
      <w:r>
        <w:rPr>
          <w:rFonts w:ascii="Times New Roman" w:hAnsi="Times New Roman"/>
          <w:szCs w:val="24"/>
        </w:rPr>
        <w:t>.</w:t>
      </w:r>
      <w:r>
        <w:rPr>
          <w:rStyle w:val="FootnoteReference"/>
          <w:rFonts w:ascii="Times New Roman" w:hAnsi="Times New Roman"/>
          <w:szCs w:val="24"/>
          <w:vertAlign w:val="superscript"/>
        </w:rPr>
        <w:footnoteReference w:id="5"/>
      </w:r>
    </w:p>
    <w:p w:rsidR="001016B5" w:rsidP="00082A03" w14:paraId="07E7071E" w14:textId="77777777">
      <w:pPr>
        <w:rPr>
          <w:rFonts w:ascii="Calibri" w:hAnsi="Calibri"/>
          <w:sz w:val="22"/>
          <w:szCs w:val="22"/>
        </w:rPr>
      </w:pPr>
    </w:p>
    <w:p w:rsidR="00613C27" w:rsidRPr="001016B5" w:rsidP="00082A03" w14:paraId="4508B056" w14:textId="77777777">
      <w:pPr>
        <w:rPr>
          <w:rFonts w:ascii="Calibri" w:hAnsi="Calibri"/>
          <w:sz w:val="22"/>
          <w:szCs w:val="22"/>
        </w:rPr>
      </w:pPr>
    </w:p>
    <w:p w:rsidR="00826103" w:rsidRPr="00826103" w:rsidP="00826103" w14:paraId="7961B40C" w14:textId="77777777">
      <w:pPr>
        <w:tabs>
          <w:tab w:val="left" w:pos="-1440"/>
        </w:tabs>
        <w:rPr>
          <w:rFonts w:ascii="Times New Roman" w:hAnsi="Times New Roman"/>
          <w:szCs w:val="24"/>
        </w:rPr>
      </w:pPr>
      <w:r w:rsidRPr="00826103">
        <w:rPr>
          <w:rFonts w:ascii="Times New Roman" w:hAnsi="Times New Roman"/>
          <w:szCs w:val="24"/>
        </w:rPr>
        <w:t>13</w:t>
      </w:r>
      <w:r w:rsidRPr="00826103">
        <w:rPr>
          <w:rFonts w:ascii="Times New Roman" w:hAnsi="Times New Roman"/>
          <w:szCs w:val="24"/>
        </w:rPr>
        <w:t xml:space="preserve">.  </w:t>
      </w:r>
      <w:r w:rsidRPr="00784BB7" w:rsidR="00784BB7">
        <w:rPr>
          <w:rFonts w:ascii="Times New Roman" w:hAnsi="Times New Roman"/>
          <w:bCs/>
          <w:szCs w:val="24"/>
          <w:u w:val="single"/>
        </w:rPr>
        <w:t>Estimate</w:t>
      </w:r>
      <w:r w:rsidRPr="00784BB7" w:rsidR="00784BB7">
        <w:rPr>
          <w:rFonts w:ascii="Times New Roman" w:hAnsi="Times New Roman"/>
          <w:bCs/>
          <w:szCs w:val="24"/>
          <w:u w:val="single"/>
        </w:rPr>
        <w:t xml:space="preserve"> of start-up costs to respondents:</w:t>
      </w:r>
    </w:p>
    <w:p w:rsidR="00826103" w:rsidRPr="00826103" w:rsidP="00826103" w14:paraId="34452446" w14:textId="77777777">
      <w:pPr>
        <w:tabs>
          <w:tab w:val="left" w:pos="-1440"/>
        </w:tabs>
        <w:rPr>
          <w:rFonts w:ascii="Times New Roman" w:hAnsi="Times New Roman"/>
          <w:szCs w:val="24"/>
        </w:rPr>
      </w:pPr>
    </w:p>
    <w:p w:rsidR="00083310" w:rsidP="00826103" w14:paraId="5B8D6B44" w14:textId="77777777">
      <w:pPr>
        <w:rPr>
          <w:rFonts w:ascii="Times New Roman" w:hAnsi="Times New Roman"/>
          <w:szCs w:val="24"/>
        </w:rPr>
      </w:pPr>
      <w:r>
        <w:rPr>
          <w:rFonts w:ascii="Times New Roman" w:hAnsi="Times New Roman"/>
          <w:szCs w:val="24"/>
        </w:rPr>
        <w:t>None</w:t>
      </w:r>
      <w:r w:rsidRPr="00083310">
        <w:rPr>
          <w:rFonts w:ascii="Times New Roman" w:hAnsi="Times New Roman"/>
          <w:szCs w:val="24"/>
        </w:rPr>
        <w:t xml:space="preserve">.  </w:t>
      </w:r>
    </w:p>
    <w:p w:rsidR="00083310" w:rsidP="00826103" w14:paraId="5B5907BD" w14:textId="77777777">
      <w:pPr>
        <w:rPr>
          <w:rFonts w:ascii="Times New Roman" w:hAnsi="Times New Roman"/>
          <w:szCs w:val="24"/>
        </w:rPr>
      </w:pPr>
    </w:p>
    <w:p w:rsidR="001F098D" w:rsidP="00826103" w14:paraId="018AB70E" w14:textId="77777777">
      <w:pPr>
        <w:rPr>
          <w:rFonts w:ascii="Times New Roman" w:hAnsi="Times New Roman"/>
          <w:szCs w:val="24"/>
        </w:rPr>
      </w:pPr>
    </w:p>
    <w:p w:rsidR="00826103" w:rsidRPr="00826103" w:rsidP="00826103" w14:paraId="419D3BF3" w14:textId="77777777">
      <w:pPr>
        <w:rPr>
          <w:rFonts w:ascii="Times New Roman" w:hAnsi="Times New Roman"/>
          <w:szCs w:val="24"/>
        </w:rPr>
      </w:pPr>
      <w:r w:rsidRPr="00826103">
        <w:rPr>
          <w:rFonts w:ascii="Times New Roman" w:hAnsi="Times New Roman"/>
          <w:szCs w:val="24"/>
        </w:rPr>
        <w:t>14</w:t>
      </w:r>
      <w:r w:rsidRPr="00826103">
        <w:rPr>
          <w:rFonts w:ascii="Times New Roman" w:hAnsi="Times New Roman"/>
          <w:szCs w:val="24"/>
        </w:rPr>
        <w:t xml:space="preserve">.  </w:t>
      </w:r>
      <w:r w:rsidRPr="00784BB7" w:rsidR="00784BB7">
        <w:rPr>
          <w:rFonts w:ascii="Times New Roman" w:hAnsi="Times New Roman"/>
          <w:bCs/>
          <w:szCs w:val="24"/>
          <w:u w:val="single"/>
        </w:rPr>
        <w:t>Estimate</w:t>
      </w:r>
      <w:r w:rsidRPr="00784BB7" w:rsidR="00784BB7">
        <w:rPr>
          <w:rFonts w:ascii="Times New Roman" w:hAnsi="Times New Roman"/>
          <w:bCs/>
          <w:szCs w:val="24"/>
          <w:u w:val="single"/>
        </w:rPr>
        <w:t xml:space="preserve"> of annualized costs to the government:</w:t>
      </w:r>
    </w:p>
    <w:p w:rsidR="00826103" w:rsidRPr="00826103" w:rsidP="00826103" w14:paraId="4811A508" w14:textId="77777777">
      <w:pPr>
        <w:rPr>
          <w:rFonts w:ascii="Times New Roman" w:hAnsi="Times New Roman"/>
          <w:szCs w:val="24"/>
        </w:rPr>
      </w:pPr>
    </w:p>
    <w:p w:rsidR="007C3B61" w:rsidRPr="007C3B61" w:rsidP="007C3B61" w14:paraId="67F4FB58" w14:textId="6B9373A2">
      <w:pPr>
        <w:tabs>
          <w:tab w:val="left" w:pos="-1440"/>
        </w:tabs>
        <w:rPr>
          <w:rFonts w:ascii="Times New Roman" w:hAnsi="Times New Roman"/>
          <w:szCs w:val="24"/>
        </w:rPr>
      </w:pPr>
      <w:r>
        <w:rPr>
          <w:rFonts w:ascii="Times New Roman" w:hAnsi="Times New Roman"/>
          <w:szCs w:val="24"/>
        </w:rPr>
        <w:t>None</w:t>
      </w:r>
      <w:r w:rsidRPr="007C3B61">
        <w:rPr>
          <w:rFonts w:ascii="Times New Roman" w:hAnsi="Times New Roman"/>
          <w:szCs w:val="24"/>
        </w:rPr>
        <w:t>.</w:t>
      </w:r>
      <w:r w:rsidR="00D27652">
        <w:rPr>
          <w:rFonts w:ascii="Times New Roman" w:hAnsi="Times New Roman"/>
          <w:szCs w:val="24"/>
        </w:rPr>
        <w:br/>
      </w:r>
    </w:p>
    <w:p w:rsidR="007944A9" w:rsidP="00826103" w14:paraId="3C5B5E33" w14:textId="77777777">
      <w:pPr>
        <w:tabs>
          <w:tab w:val="left" w:pos="-1440"/>
        </w:tabs>
        <w:rPr>
          <w:rFonts w:ascii="Times New Roman" w:hAnsi="Times New Roman"/>
          <w:szCs w:val="24"/>
        </w:rPr>
      </w:pPr>
    </w:p>
    <w:p w:rsidR="00C43CCE" w:rsidRPr="00C43CCE" w:rsidP="00C43CCE" w14:paraId="731661D7" w14:textId="77777777">
      <w:pPr>
        <w:rPr>
          <w:rFonts w:ascii="Times New Roman" w:hAnsi="Times New Roman"/>
          <w:szCs w:val="24"/>
        </w:rPr>
      </w:pPr>
      <w:bookmarkStart w:id="1" w:name="OLE_LINK1"/>
      <w:bookmarkStart w:id="2" w:name="OLE_LINK2"/>
      <w:r w:rsidRPr="00C43CCE">
        <w:rPr>
          <w:rFonts w:ascii="Times New Roman" w:hAnsi="Times New Roman"/>
          <w:szCs w:val="24"/>
        </w:rPr>
        <w:t>15</w:t>
      </w:r>
      <w:r w:rsidRPr="00C43CCE">
        <w:rPr>
          <w:rFonts w:ascii="Times New Roman" w:hAnsi="Times New Roman"/>
          <w:szCs w:val="24"/>
        </w:rPr>
        <w:t xml:space="preserve">.  </w:t>
      </w:r>
      <w:r w:rsidRPr="00784BB7" w:rsidR="00784BB7">
        <w:rPr>
          <w:rFonts w:ascii="Times New Roman" w:hAnsi="Times New Roman"/>
          <w:szCs w:val="24"/>
          <w:u w:val="single"/>
        </w:rPr>
        <w:t>Analysis</w:t>
      </w:r>
      <w:r w:rsidRPr="00784BB7" w:rsidR="00784BB7">
        <w:rPr>
          <w:rFonts w:ascii="Times New Roman" w:hAnsi="Times New Roman"/>
          <w:szCs w:val="24"/>
          <w:u w:val="single"/>
        </w:rPr>
        <w:t xml:space="preserve"> of change in burden:</w:t>
      </w:r>
    </w:p>
    <w:p w:rsidR="00C43CCE" w:rsidRPr="00C43CCE" w:rsidP="00C43CCE" w14:paraId="3CB464D3" w14:textId="77777777">
      <w:pPr>
        <w:rPr>
          <w:rFonts w:ascii="Times New Roman" w:hAnsi="Times New Roman"/>
          <w:szCs w:val="24"/>
        </w:rPr>
      </w:pPr>
    </w:p>
    <w:bookmarkEnd w:id="1"/>
    <w:bookmarkEnd w:id="2"/>
    <w:p w:rsidR="009B1A01" w:rsidRPr="009B1A01" w:rsidP="009B1A01" w14:paraId="4A9C52B7" w14:textId="771C4CF2">
      <w:pPr>
        <w:rPr>
          <w:rFonts w:ascii="Times New Roman" w:hAnsi="Times New Roman"/>
          <w:szCs w:val="24"/>
        </w:rPr>
      </w:pPr>
      <w:r>
        <w:rPr>
          <w:rFonts w:ascii="Times New Roman" w:hAnsi="Times New Roman"/>
        </w:rPr>
        <w:t xml:space="preserve">The </w:t>
      </w:r>
      <w:r w:rsidR="00B14B76">
        <w:rPr>
          <w:rFonts w:ascii="Times New Roman" w:hAnsi="Times New Roman"/>
          <w:szCs w:val="24"/>
        </w:rPr>
        <w:t xml:space="preserve">proposed extension, without revision, of the FFIEC 102 </w:t>
      </w:r>
      <w:r>
        <w:rPr>
          <w:rFonts w:ascii="Times New Roman" w:hAnsi="Times New Roman"/>
          <w:szCs w:val="24"/>
        </w:rPr>
        <w:t xml:space="preserve">information collection </w:t>
      </w:r>
      <w:r w:rsidR="00F47B04">
        <w:rPr>
          <w:rFonts w:ascii="Times New Roman" w:hAnsi="Times New Roman"/>
        </w:rPr>
        <w:t xml:space="preserve">will not result in a change </w:t>
      </w:r>
      <w:r>
        <w:rPr>
          <w:rFonts w:ascii="Times New Roman" w:hAnsi="Times New Roman"/>
          <w:szCs w:val="24"/>
        </w:rPr>
        <w:t xml:space="preserve">of estimated hourly burden. However, the total estimated labor cost increased from $3,800 in 2022 to $4,680. </w:t>
      </w:r>
      <w:r w:rsidRPr="005A7CBF">
        <w:rPr>
          <w:rFonts w:ascii="Times New Roman" w:hAnsi="Times New Roman"/>
        </w:rPr>
        <w:t xml:space="preserve">This increase is due to both the change in the allocation of labor and the wage inflation since 2022. </w:t>
      </w:r>
    </w:p>
    <w:p w:rsidR="009B1A01" w:rsidP="00DE10EA" w14:paraId="0E899AC3" w14:textId="77777777">
      <w:pPr>
        <w:rPr>
          <w:rFonts w:ascii="Times New Roman" w:hAnsi="Times New Roman"/>
          <w:szCs w:val="24"/>
        </w:rPr>
      </w:pPr>
    </w:p>
    <w:p w:rsidR="00635680" w14:paraId="7E27BB92" w14:textId="77777777">
      <w:pPr>
        <w:widowControl/>
        <w:rPr>
          <w:rFonts w:ascii="Times New Roman" w:hAnsi="Times New Roman"/>
          <w:szCs w:val="24"/>
        </w:rPr>
      </w:pPr>
    </w:p>
    <w:p w:rsidR="00C43CCE" w:rsidRPr="00C43CCE" w:rsidP="00C43CCE" w14:paraId="5553D7F5" w14:textId="77777777">
      <w:pPr>
        <w:rPr>
          <w:rFonts w:ascii="Times New Roman" w:hAnsi="Times New Roman"/>
          <w:szCs w:val="24"/>
        </w:rPr>
      </w:pPr>
      <w:r w:rsidRPr="00C43CCE">
        <w:rPr>
          <w:rFonts w:ascii="Times New Roman" w:hAnsi="Times New Roman"/>
          <w:szCs w:val="24"/>
        </w:rPr>
        <w:t>16</w:t>
      </w:r>
      <w:r w:rsidRPr="00C43CCE">
        <w:rPr>
          <w:rFonts w:ascii="Times New Roman" w:hAnsi="Times New Roman"/>
          <w:szCs w:val="24"/>
        </w:rPr>
        <w:t xml:space="preserve">.  </w:t>
      </w:r>
      <w:r w:rsidRPr="00E47BDF" w:rsidR="00784BB7">
        <w:rPr>
          <w:rFonts w:ascii="Times New Roman" w:hAnsi="Times New Roman"/>
          <w:szCs w:val="24"/>
          <w:u w:val="single"/>
        </w:rPr>
        <w:t>Information</w:t>
      </w:r>
      <w:r w:rsidRPr="00E47BDF" w:rsidR="00784BB7">
        <w:rPr>
          <w:rFonts w:ascii="Times New Roman" w:hAnsi="Times New Roman"/>
          <w:szCs w:val="24"/>
          <w:u w:val="single"/>
        </w:rPr>
        <w:t xml:space="preserve"> regarding collections whose results</w:t>
      </w:r>
      <w:r w:rsidRPr="006A7DD6" w:rsidR="00784BB7">
        <w:rPr>
          <w:rFonts w:ascii="Times New Roman" w:hAnsi="Times New Roman"/>
          <w:szCs w:val="24"/>
          <w:u w:val="single"/>
        </w:rPr>
        <w:t xml:space="preserve"> are planned to be published for statistical use:</w:t>
      </w:r>
    </w:p>
    <w:p w:rsidR="00C43CCE" w:rsidRPr="00C43CCE" w:rsidP="00C43CCE" w14:paraId="0C90BF07" w14:textId="77777777">
      <w:pPr>
        <w:rPr>
          <w:rFonts w:ascii="Times New Roman" w:hAnsi="Times New Roman"/>
          <w:szCs w:val="24"/>
        </w:rPr>
      </w:pPr>
    </w:p>
    <w:p w:rsidR="00F07B25" w:rsidP="00635680" w14:paraId="27FD2E09" w14:textId="77777777">
      <w:pPr>
        <w:widowControl/>
        <w:rPr>
          <w:rFonts w:ascii="Times New Roman" w:hAnsi="Times New Roman"/>
          <w:szCs w:val="24"/>
        </w:rPr>
      </w:pPr>
      <w:r w:rsidRPr="008C5E8D">
        <w:rPr>
          <w:rFonts w:ascii="Times New Roman" w:hAnsi="Times New Roman"/>
        </w:rPr>
        <w:t xml:space="preserve">All data reported in </w:t>
      </w:r>
      <w:r w:rsidRPr="008C5E8D">
        <w:rPr>
          <w:rFonts w:ascii="Times New Roman" w:hAnsi="Times New Roman"/>
        </w:rPr>
        <w:t>the FFIEC</w:t>
      </w:r>
      <w:r w:rsidRPr="008C5E8D">
        <w:rPr>
          <w:rFonts w:ascii="Times New Roman" w:hAnsi="Times New Roman"/>
        </w:rPr>
        <w:t xml:space="preserve"> 102 </w:t>
      </w:r>
      <w:r w:rsidR="00F47B04">
        <w:rPr>
          <w:rFonts w:ascii="Times New Roman" w:hAnsi="Times New Roman"/>
        </w:rPr>
        <w:t>is av</w:t>
      </w:r>
      <w:r w:rsidRPr="008C5E8D">
        <w:rPr>
          <w:rFonts w:ascii="Times New Roman" w:hAnsi="Times New Roman"/>
        </w:rPr>
        <w:t>ailable to the public</w:t>
      </w:r>
      <w:r>
        <w:rPr>
          <w:rFonts w:ascii="Times New Roman" w:hAnsi="Times New Roman"/>
        </w:rPr>
        <w:t xml:space="preserve"> on the FRB’s National Information Center</w:t>
      </w:r>
      <w:r w:rsidRPr="0036603D">
        <w:rPr>
          <w:rFonts w:ascii="Times New Roman" w:hAnsi="Times New Roman"/>
          <w:szCs w:val="24"/>
        </w:rPr>
        <w:t xml:space="preserve"> public </w:t>
      </w:r>
      <w:r w:rsidR="00B14B76">
        <w:rPr>
          <w:rFonts w:ascii="Times New Roman" w:hAnsi="Times New Roman"/>
          <w:szCs w:val="24"/>
        </w:rPr>
        <w:t>w</w:t>
      </w:r>
      <w:r w:rsidRPr="0036603D">
        <w:rPr>
          <w:rFonts w:ascii="Times New Roman" w:hAnsi="Times New Roman"/>
          <w:szCs w:val="24"/>
        </w:rPr>
        <w:t>ebsite</w:t>
      </w:r>
      <w:r w:rsidR="00F47B04">
        <w:rPr>
          <w:rFonts w:ascii="Times New Roman" w:hAnsi="Times New Roman"/>
          <w:szCs w:val="24"/>
        </w:rPr>
        <w:t xml:space="preserve">, which can be accessed through </w:t>
      </w:r>
      <w:r>
        <w:rPr>
          <w:rFonts w:ascii="Times New Roman" w:hAnsi="Times New Roman"/>
          <w:szCs w:val="24"/>
        </w:rPr>
        <w:t xml:space="preserve">the </w:t>
      </w:r>
      <w:r w:rsidRPr="0036603D">
        <w:rPr>
          <w:rFonts w:ascii="Times New Roman" w:hAnsi="Times New Roman"/>
          <w:szCs w:val="24"/>
        </w:rPr>
        <w:t>FFIEC</w:t>
      </w:r>
      <w:r>
        <w:rPr>
          <w:rFonts w:ascii="Times New Roman" w:hAnsi="Times New Roman"/>
          <w:szCs w:val="24"/>
        </w:rPr>
        <w:t>’s</w:t>
      </w:r>
      <w:r w:rsidRPr="0036603D">
        <w:rPr>
          <w:rFonts w:ascii="Times New Roman" w:hAnsi="Times New Roman"/>
          <w:szCs w:val="24"/>
        </w:rPr>
        <w:t xml:space="preserve"> public </w:t>
      </w:r>
      <w:r w:rsidR="00B14B76">
        <w:rPr>
          <w:rFonts w:ascii="Times New Roman" w:hAnsi="Times New Roman"/>
          <w:szCs w:val="24"/>
        </w:rPr>
        <w:t>w</w:t>
      </w:r>
      <w:r w:rsidRPr="0036603D">
        <w:rPr>
          <w:rFonts w:ascii="Times New Roman" w:hAnsi="Times New Roman"/>
          <w:szCs w:val="24"/>
        </w:rPr>
        <w:t>ebsite.</w:t>
      </w:r>
    </w:p>
    <w:p w:rsidR="00B14B76" w:rsidP="00082A03" w14:paraId="36DBD57A" w14:textId="77777777">
      <w:pPr>
        <w:rPr>
          <w:rFonts w:ascii="Times New Roman" w:hAnsi="Times New Roman"/>
          <w:szCs w:val="24"/>
        </w:rPr>
      </w:pPr>
    </w:p>
    <w:p w:rsidR="00635680" w:rsidP="00082A03" w14:paraId="2A998ABB" w14:textId="77777777">
      <w:pPr>
        <w:rPr>
          <w:rFonts w:ascii="Times New Roman" w:hAnsi="Times New Roman"/>
          <w:szCs w:val="24"/>
        </w:rPr>
      </w:pPr>
    </w:p>
    <w:p w:rsidR="007E1EEE" w:rsidRPr="007E1EEE" w:rsidP="007E1EEE" w14:paraId="5F6BE081" w14:textId="77777777">
      <w:pPr>
        <w:rPr>
          <w:rFonts w:ascii="Times New Roman" w:hAnsi="Times New Roman"/>
          <w:szCs w:val="24"/>
        </w:rPr>
      </w:pPr>
      <w:r w:rsidRPr="007E1EEE">
        <w:rPr>
          <w:rFonts w:ascii="Times New Roman" w:hAnsi="Times New Roman"/>
          <w:szCs w:val="24"/>
        </w:rPr>
        <w:t>17</w:t>
      </w:r>
      <w:r w:rsidRPr="007E1EEE">
        <w:rPr>
          <w:rFonts w:ascii="Times New Roman" w:hAnsi="Times New Roman"/>
          <w:szCs w:val="24"/>
        </w:rPr>
        <w:t xml:space="preserve">.  </w:t>
      </w:r>
      <w:r w:rsidRPr="003030A4">
        <w:rPr>
          <w:rFonts w:ascii="Times New Roman" w:hAnsi="Times New Roman"/>
          <w:szCs w:val="24"/>
          <w:u w:val="single"/>
        </w:rPr>
        <w:t>Display</w:t>
      </w:r>
      <w:r w:rsidRPr="003030A4">
        <w:rPr>
          <w:rFonts w:ascii="Times New Roman" w:hAnsi="Times New Roman"/>
          <w:szCs w:val="24"/>
          <w:u w:val="single"/>
        </w:rPr>
        <w:t xml:space="preserve"> of </w:t>
      </w:r>
      <w:r w:rsidR="0099073E">
        <w:rPr>
          <w:rFonts w:ascii="Times New Roman" w:hAnsi="Times New Roman"/>
          <w:szCs w:val="24"/>
          <w:u w:val="single"/>
        </w:rPr>
        <w:t>e</w:t>
      </w:r>
      <w:r w:rsidRPr="003030A4">
        <w:rPr>
          <w:rFonts w:ascii="Times New Roman" w:hAnsi="Times New Roman"/>
          <w:szCs w:val="24"/>
          <w:u w:val="single"/>
        </w:rPr>
        <w:t xml:space="preserve">xpiration </w:t>
      </w:r>
      <w:r w:rsidR="0099073E">
        <w:rPr>
          <w:rFonts w:ascii="Times New Roman" w:hAnsi="Times New Roman"/>
          <w:szCs w:val="24"/>
          <w:u w:val="single"/>
        </w:rPr>
        <w:t>d</w:t>
      </w:r>
      <w:r w:rsidRPr="003030A4">
        <w:rPr>
          <w:rFonts w:ascii="Times New Roman" w:hAnsi="Times New Roman"/>
          <w:szCs w:val="24"/>
          <w:u w:val="single"/>
        </w:rPr>
        <w:t>ate</w:t>
      </w:r>
      <w:r w:rsidR="0099073E">
        <w:rPr>
          <w:rFonts w:ascii="Times New Roman" w:hAnsi="Times New Roman"/>
          <w:szCs w:val="24"/>
          <w:u w:val="single"/>
        </w:rPr>
        <w:t>:</w:t>
      </w:r>
    </w:p>
    <w:p w:rsidR="007E1EEE" w:rsidRPr="007E1EEE" w:rsidP="007E1EEE" w14:paraId="48909406" w14:textId="77777777">
      <w:pPr>
        <w:rPr>
          <w:rFonts w:ascii="Times New Roman" w:hAnsi="Times New Roman"/>
          <w:szCs w:val="24"/>
        </w:rPr>
      </w:pPr>
    </w:p>
    <w:p w:rsidR="007E1EEE" w:rsidRPr="007E1EEE" w:rsidP="007E1EEE" w14:paraId="6D8B77E1" w14:textId="77777777">
      <w:pPr>
        <w:rPr>
          <w:rFonts w:ascii="Times New Roman" w:hAnsi="Times New Roman"/>
          <w:szCs w:val="24"/>
        </w:rPr>
      </w:pPr>
      <w:r w:rsidRPr="007E1EEE">
        <w:rPr>
          <w:rFonts w:ascii="Times New Roman" w:hAnsi="Times New Roman"/>
          <w:szCs w:val="24"/>
        </w:rPr>
        <w:t>Not applicable.</w:t>
      </w:r>
    </w:p>
    <w:p w:rsidR="007E1EEE" w:rsidRPr="007E1EEE" w:rsidP="007E1EEE" w14:paraId="1A82DA71" w14:textId="77777777">
      <w:pPr>
        <w:rPr>
          <w:rFonts w:ascii="Times New Roman" w:hAnsi="Times New Roman"/>
          <w:szCs w:val="24"/>
        </w:rPr>
      </w:pPr>
    </w:p>
    <w:p w:rsidR="007E1EEE" w:rsidRPr="007E1EEE" w:rsidP="007E1EEE" w14:paraId="2902E384" w14:textId="77777777">
      <w:pPr>
        <w:rPr>
          <w:rFonts w:ascii="Times New Roman" w:hAnsi="Times New Roman"/>
          <w:szCs w:val="24"/>
        </w:rPr>
      </w:pPr>
    </w:p>
    <w:p w:rsidR="007E1EEE" w:rsidRPr="007E1EEE" w:rsidP="007E1EEE" w14:paraId="6EDEF6D9" w14:textId="77777777">
      <w:pPr>
        <w:rPr>
          <w:rFonts w:ascii="Times New Roman" w:hAnsi="Times New Roman"/>
          <w:szCs w:val="24"/>
        </w:rPr>
      </w:pPr>
      <w:r w:rsidRPr="007E1EEE">
        <w:rPr>
          <w:rFonts w:ascii="Times New Roman" w:hAnsi="Times New Roman"/>
          <w:szCs w:val="24"/>
        </w:rPr>
        <w:t>18</w:t>
      </w:r>
      <w:r w:rsidRPr="007E1EEE">
        <w:rPr>
          <w:rFonts w:ascii="Times New Roman" w:hAnsi="Times New Roman"/>
          <w:szCs w:val="24"/>
        </w:rPr>
        <w:t xml:space="preserve">.  </w:t>
      </w:r>
      <w:r w:rsidR="0099073E">
        <w:rPr>
          <w:rFonts w:ascii="Times New Roman" w:hAnsi="Times New Roman"/>
          <w:szCs w:val="24"/>
          <w:u w:val="single"/>
        </w:rPr>
        <w:t>Exceptions</w:t>
      </w:r>
      <w:r w:rsidR="0099073E">
        <w:rPr>
          <w:rFonts w:ascii="Times New Roman" w:hAnsi="Times New Roman"/>
          <w:szCs w:val="24"/>
          <w:u w:val="single"/>
        </w:rPr>
        <w:t xml:space="preserve"> to c</w:t>
      </w:r>
      <w:r w:rsidRPr="003030A4">
        <w:rPr>
          <w:rFonts w:ascii="Times New Roman" w:hAnsi="Times New Roman"/>
          <w:szCs w:val="24"/>
          <w:u w:val="single"/>
        </w:rPr>
        <w:t>ertification</w:t>
      </w:r>
      <w:r w:rsidR="0099073E">
        <w:rPr>
          <w:rFonts w:ascii="Times New Roman" w:hAnsi="Times New Roman"/>
          <w:szCs w:val="24"/>
          <w:u w:val="single"/>
        </w:rPr>
        <w:t>:</w:t>
      </w:r>
    </w:p>
    <w:p w:rsidR="007E1EEE" w:rsidRPr="007E1EEE" w:rsidP="007E1EEE" w14:paraId="7AB0D000" w14:textId="77777777">
      <w:pPr>
        <w:rPr>
          <w:rFonts w:ascii="Times New Roman" w:hAnsi="Times New Roman"/>
          <w:szCs w:val="24"/>
        </w:rPr>
      </w:pPr>
    </w:p>
    <w:p w:rsidR="007E1EEE" w:rsidRPr="007E1EEE" w:rsidP="007E1EEE" w14:paraId="6C2882DD" w14:textId="77777777">
      <w:pPr>
        <w:rPr>
          <w:rFonts w:ascii="Times New Roman" w:hAnsi="Times New Roman"/>
          <w:szCs w:val="24"/>
        </w:rPr>
      </w:pPr>
      <w:r w:rsidRPr="007E1EEE">
        <w:rPr>
          <w:rFonts w:ascii="Times New Roman" w:hAnsi="Times New Roman"/>
          <w:szCs w:val="24"/>
        </w:rPr>
        <w:t>None.</w:t>
      </w:r>
    </w:p>
    <w:p w:rsidR="007E1EEE" w:rsidRPr="007E1EEE" w:rsidP="007E1EEE" w14:paraId="21FD691D" w14:textId="77777777">
      <w:pPr>
        <w:rPr>
          <w:rFonts w:ascii="Times New Roman" w:hAnsi="Times New Roman"/>
          <w:szCs w:val="24"/>
        </w:rPr>
      </w:pPr>
    </w:p>
    <w:p w:rsidR="007E1EEE" w:rsidRPr="001F098D" w:rsidP="007E1EEE" w14:paraId="11B6324A" w14:textId="77777777">
      <w:pPr>
        <w:rPr>
          <w:rFonts w:ascii="Times New Roman" w:hAnsi="Times New Roman"/>
          <w:b/>
          <w:szCs w:val="24"/>
        </w:rPr>
      </w:pPr>
      <w:r w:rsidRPr="001F098D">
        <w:rPr>
          <w:rFonts w:ascii="Times New Roman" w:hAnsi="Times New Roman"/>
          <w:b/>
          <w:szCs w:val="24"/>
        </w:rPr>
        <w:t xml:space="preserve">B.  </w:t>
      </w:r>
      <w:r w:rsidRPr="001F098D">
        <w:rPr>
          <w:rFonts w:ascii="Times New Roman" w:hAnsi="Times New Roman"/>
          <w:b/>
          <w:szCs w:val="24"/>
          <w:u w:val="single"/>
        </w:rPr>
        <w:t>COLLECTION OF INFORMATION EMPLOYING STATISTICAL METHODS</w:t>
      </w:r>
    </w:p>
    <w:p w:rsidR="007E1EEE" w:rsidRPr="007E1EEE" w:rsidP="007E1EEE" w14:paraId="15B3EF91" w14:textId="77777777">
      <w:pPr>
        <w:rPr>
          <w:rFonts w:ascii="Times New Roman" w:hAnsi="Times New Roman"/>
          <w:szCs w:val="24"/>
        </w:rPr>
      </w:pPr>
    </w:p>
    <w:p w:rsidR="007E1EEE" w:rsidRPr="007E1EEE" w:rsidP="007E1EEE" w14:paraId="32FA475F" w14:textId="77777777">
      <w:pPr>
        <w:rPr>
          <w:rFonts w:ascii="Times New Roman" w:hAnsi="Times New Roman"/>
          <w:szCs w:val="24"/>
        </w:rPr>
      </w:pPr>
      <w:r w:rsidRPr="007E1EEE">
        <w:rPr>
          <w:rFonts w:ascii="Times New Roman" w:hAnsi="Times New Roman"/>
          <w:szCs w:val="24"/>
        </w:rPr>
        <w:t>Not applicable.</w:t>
      </w:r>
    </w:p>
    <w:p w:rsidR="0066096F" w:rsidRPr="00576EF9" w:rsidP="007E1EEE" w14:paraId="4690DC1B" w14:textId="77777777">
      <w:pPr>
        <w:rPr>
          <w:rFonts w:ascii="Times New Roman" w:hAnsi="Times New Roman"/>
          <w:szCs w:val="24"/>
        </w:rPr>
      </w:pPr>
    </w:p>
    <w:sectPr w:rsidSect="004F4BFD">
      <w:headerReference w:type="even" r:id="rId6"/>
      <w:headerReference w:type="default" r:id="rId7"/>
      <w:footerReference w:type="even" r:id="rId8"/>
      <w:footerReference w:type="default" r:id="rId9"/>
      <w:headerReference w:type="first" r:id="rId10"/>
      <w:endnotePr>
        <w:numFmt w:val="decimal"/>
      </w:endnotePr>
      <w:type w:val="continuous"/>
      <w:pgSz w:w="12240" w:h="15840" w:code="1"/>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013" w:rsidP="0023400D" w14:paraId="503621B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3013" w14:paraId="47B752F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69F" w:rsidP="0073169F" w14:paraId="21040103" w14:textId="77777777">
    <w:pPr>
      <w:pStyle w:val="Footer"/>
      <w:jc w:val="center"/>
    </w:pPr>
    <w:r>
      <w:rPr>
        <w:rFonts w:ascii="Times New Roman" w:hAnsi="Times New Roman"/>
        <w:noProof/>
      </w:rPr>
      <w:t>-</w:t>
    </w:r>
    <w:r w:rsidRPr="004F4BFD">
      <w:rPr>
        <w:rFonts w:ascii="Times New Roman" w:hAnsi="Times New Roman"/>
      </w:rPr>
      <w:t xml:space="preserve"> </w:t>
    </w:r>
    <w:r w:rsidRPr="004F4BFD">
      <w:rPr>
        <w:rFonts w:ascii="Times New Roman" w:hAnsi="Times New Roman"/>
      </w:rPr>
      <w:fldChar w:fldCharType="begin"/>
    </w:r>
    <w:r w:rsidRPr="004F4BFD">
      <w:rPr>
        <w:rFonts w:ascii="Times New Roman" w:hAnsi="Times New Roman"/>
      </w:rPr>
      <w:instrText xml:space="preserve"> PAGE   \* MERGEFORMAT </w:instrText>
    </w:r>
    <w:r w:rsidRPr="004F4BFD">
      <w:rPr>
        <w:rFonts w:ascii="Times New Roman" w:hAnsi="Times New Roman"/>
      </w:rPr>
      <w:fldChar w:fldCharType="separate"/>
    </w:r>
    <w:r w:rsidR="00881075">
      <w:rPr>
        <w:rFonts w:ascii="Times New Roman" w:hAnsi="Times New Roman"/>
        <w:noProof/>
      </w:rPr>
      <w:t>4</w:t>
    </w:r>
    <w:r w:rsidRPr="004F4BFD">
      <w:rPr>
        <w:rFonts w:ascii="Times New Roman" w:hAnsi="Times New Roman"/>
        <w:noProof/>
      </w:rPr>
      <w:fldChar w:fldCharType="end"/>
    </w:r>
    <w:r>
      <w:rPr>
        <w:rFonts w:ascii="Times New Roman" w:hAnsi="Times New Roman"/>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7041" w14:paraId="4BD3824C" w14:textId="77777777">
      <w:r>
        <w:separator/>
      </w:r>
    </w:p>
  </w:footnote>
  <w:footnote w:type="continuationSeparator" w:id="1">
    <w:p w:rsidR="00C77041" w14:paraId="394790FC" w14:textId="77777777">
      <w:r>
        <w:continuationSeparator/>
      </w:r>
    </w:p>
  </w:footnote>
  <w:footnote w:id="2">
    <w:p w:rsidR="003E1E1C" w14:paraId="66A8140E" w14:textId="77777777">
      <w:pPr>
        <w:pStyle w:val="FootnoteText"/>
      </w:pPr>
      <w:r w:rsidRPr="00FA1D36">
        <w:rPr>
          <w:rStyle w:val="FootnoteReference"/>
          <w:vertAlign w:val="superscript"/>
        </w:rPr>
        <w:footnoteRef/>
      </w:r>
      <w:r>
        <w:t xml:space="preserve"> For FDIC-supervised institutions, 12 CFR § 324.201; for FRB-supervised institutions, 12 CFR § 217.201; for OCC-supervised institutions, 12 CFR § 3.201.</w:t>
      </w:r>
    </w:p>
  </w:footnote>
  <w:footnote w:id="3">
    <w:p w:rsidR="00BB2DB5" w14:paraId="59164BC1" w14:textId="77777777">
      <w:pPr>
        <w:pStyle w:val="FootnoteText"/>
      </w:pPr>
      <w:r w:rsidRPr="00BB2DB5">
        <w:rPr>
          <w:rStyle w:val="FootnoteReference"/>
          <w:vertAlign w:val="superscript"/>
        </w:rPr>
        <w:footnoteRef/>
      </w:r>
      <w:r>
        <w:t xml:space="preserve"> </w:t>
      </w:r>
      <w:r w:rsidRPr="00C319D1">
        <w:t xml:space="preserve">OMB </w:t>
      </w:r>
      <w:r w:rsidR="008B25A0">
        <w:t xml:space="preserve">Control </w:t>
      </w:r>
      <w:r w:rsidRPr="00C319D1">
        <w:t>Numbers: OCC</w:t>
      </w:r>
      <w:r>
        <w:t>,</w:t>
      </w:r>
      <w:r w:rsidRPr="00C319D1">
        <w:t xml:space="preserve"> 1557-0081</w:t>
      </w:r>
      <w:r>
        <w:t>;</w:t>
      </w:r>
      <w:r w:rsidRPr="00C319D1">
        <w:t xml:space="preserve"> Board</w:t>
      </w:r>
      <w:r>
        <w:t>,</w:t>
      </w:r>
      <w:r w:rsidRPr="00C319D1">
        <w:t xml:space="preserve"> 7100-0036</w:t>
      </w:r>
      <w:r>
        <w:t>;</w:t>
      </w:r>
      <w:r w:rsidRPr="00C319D1">
        <w:t xml:space="preserve"> and FDIC</w:t>
      </w:r>
      <w:r>
        <w:t>,</w:t>
      </w:r>
      <w:r w:rsidRPr="00C319D1">
        <w:t xml:space="preserve"> 3</w:t>
      </w:r>
      <w:r>
        <w:t>0</w:t>
      </w:r>
      <w:r w:rsidRPr="00C319D1">
        <w:t>64-0052</w:t>
      </w:r>
      <w:r>
        <w:t>.</w:t>
      </w:r>
    </w:p>
  </w:footnote>
  <w:footnote w:id="4">
    <w:p w:rsidR="00BB2DB5" w14:paraId="47650FD1" w14:textId="77777777">
      <w:pPr>
        <w:pStyle w:val="FootnoteText"/>
      </w:pPr>
      <w:r w:rsidRPr="00BB2DB5">
        <w:rPr>
          <w:rStyle w:val="FootnoteReference"/>
          <w:vertAlign w:val="superscript"/>
        </w:rPr>
        <w:footnoteRef/>
      </w:r>
      <w:r>
        <w:t xml:space="preserve"> OMB </w:t>
      </w:r>
      <w:r w:rsidR="0063519F">
        <w:t xml:space="preserve">Control </w:t>
      </w:r>
      <w:r>
        <w:t>Number: Board, 7100-0128.</w:t>
      </w:r>
    </w:p>
  </w:footnote>
  <w:footnote w:id="5">
    <w:p w:rsidR="009A1506" w:rsidP="009A1506" w14:paraId="0519C078" w14:textId="50BE975B">
      <w:pPr>
        <w:pStyle w:val="FootnoteText"/>
      </w:pPr>
      <w:r w:rsidRPr="00144D39">
        <w:rPr>
          <w:rStyle w:val="FootnoteReference"/>
          <w:vertAlign w:val="superscript"/>
        </w:rPr>
        <w:footnoteRef/>
      </w:r>
      <w:r>
        <w:t xml:space="preserve"> $</w:t>
      </w:r>
      <w:r w:rsidR="00BE72DA">
        <w:t>97.50</w:t>
      </w:r>
      <w:r>
        <w:t xml:space="preserve"> X 48 hours = $</w:t>
      </w:r>
      <w:r w:rsidR="00BA33F2">
        <w:t>4</w:t>
      </w:r>
      <w:r>
        <w:t>,</w:t>
      </w:r>
      <w:r w:rsidR="00BA33F2">
        <w:t>680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51F" w14:paraId="718BD627" w14:textId="30055239">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274570" cy="382270"/>
              <wp:effectExtent l="0" t="0" r="11430" b="17780"/>
              <wp:wrapNone/>
              <wp:docPr id="1413358293" name="Text Box 2"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E0751F" w:rsidRPr="00E0751F" w:rsidP="00E0751F" w14:textId="6A5FE68F">
                          <w:pPr>
                            <w:rPr>
                              <w:rFonts w:ascii="Source Sans Pro Semibold" w:eastAsia="Source Sans Pro Semibold" w:hAnsi="Source Sans Pro Semibold" w:cs="Source Sans Pro Semibold"/>
                              <w:noProof/>
                              <w:color w:val="000000"/>
                              <w:szCs w:val="24"/>
                            </w:rPr>
                          </w:pPr>
                          <w:r w:rsidRPr="00E0751F">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E0751F" w:rsidRPr="00E0751F" w:rsidP="00E0751F" w14:paraId="22CE9612" w14:textId="6A5FE68F">
                    <w:pPr>
                      <w:rPr>
                        <w:rFonts w:ascii="Source Sans Pro Semibold" w:eastAsia="Source Sans Pro Semibold" w:hAnsi="Source Sans Pro Semibold" w:cs="Source Sans Pro Semibold"/>
                        <w:noProof/>
                        <w:color w:val="000000"/>
                        <w:szCs w:val="24"/>
                      </w:rPr>
                    </w:pPr>
                    <w:r w:rsidRPr="00E0751F">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7011474"/>
      <w:docPartObj>
        <w:docPartGallery w:val="Page Numbers (Top of Page)"/>
        <w:docPartUnique/>
      </w:docPartObj>
    </w:sdtPr>
    <w:sdtEndPr>
      <w:rPr>
        <w:rFonts w:ascii="Times New Roman" w:hAnsi="Times New Roman"/>
        <w:noProof/>
      </w:rPr>
    </w:sdtEndPr>
    <w:sdtContent>
      <w:p w:rsidR="004F4BFD" w:rsidRPr="004F4BFD" w14:paraId="19F29D91" w14:textId="77777777">
        <w:pPr>
          <w:pStyle w:val="Header"/>
          <w:jc w:val="center"/>
          <w:rPr>
            <w:rFonts w:ascii="Times New Roman" w:hAnsi="Times New Roman"/>
          </w:rPr>
        </w:pPr>
        <w:r>
          <w:t xml:space="preserve"> </w:t>
        </w:r>
      </w:p>
    </w:sdtContent>
  </w:sdt>
  <w:p w:rsidR="008D3013" w14:paraId="75600429"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51F" w14:paraId="380E0222" w14:textId="1C70131B">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274570" cy="382270"/>
              <wp:effectExtent l="0" t="0" r="11430" b="17780"/>
              <wp:wrapNone/>
              <wp:docPr id="1252041960" name="Text Box 1"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850157" w14:textId="77777777"/>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0"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850157" w14:paraId="229EF769" w14:textId="7777777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D211F"/>
    <w:multiLevelType w:val="hybridMultilevel"/>
    <w:tmpl w:val="7FE4AF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F4E3846"/>
    <w:multiLevelType w:val="hybridMultilevel"/>
    <w:tmpl w:val="2CD8A4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40223B1"/>
    <w:multiLevelType w:val="hybridMultilevel"/>
    <w:tmpl w:val="AB8CB4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7EB53065"/>
    <w:multiLevelType w:val="hybridMultilevel"/>
    <w:tmpl w:val="96C2F9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45452414">
    <w:abstractNumId w:val="1"/>
  </w:num>
  <w:num w:numId="2" w16cid:durableId="1389185418">
    <w:abstractNumId w:val="3"/>
  </w:num>
  <w:num w:numId="3" w16cid:durableId="1008096343">
    <w:abstractNumId w:val="0"/>
  </w:num>
  <w:num w:numId="4" w16cid:durableId="2013951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1"/>
    <w:rsid w:val="00006C0C"/>
    <w:rsid w:val="00011D67"/>
    <w:rsid w:val="0001761E"/>
    <w:rsid w:val="00040C25"/>
    <w:rsid w:val="00050AFE"/>
    <w:rsid w:val="00082A03"/>
    <w:rsid w:val="00083310"/>
    <w:rsid w:val="0009733C"/>
    <w:rsid w:val="00097ABF"/>
    <w:rsid w:val="000A2A9B"/>
    <w:rsid w:val="000A51AB"/>
    <w:rsid w:val="000A5283"/>
    <w:rsid w:val="000B6396"/>
    <w:rsid w:val="000C1B6D"/>
    <w:rsid w:val="000C6B41"/>
    <w:rsid w:val="000D40A4"/>
    <w:rsid w:val="000E01ED"/>
    <w:rsid w:val="000F7204"/>
    <w:rsid w:val="001016B5"/>
    <w:rsid w:val="00144D39"/>
    <w:rsid w:val="00153E35"/>
    <w:rsid w:val="00153FBB"/>
    <w:rsid w:val="001540B8"/>
    <w:rsid w:val="00162959"/>
    <w:rsid w:val="00174870"/>
    <w:rsid w:val="00175050"/>
    <w:rsid w:val="00175FA9"/>
    <w:rsid w:val="00183E56"/>
    <w:rsid w:val="00185ED6"/>
    <w:rsid w:val="0018700B"/>
    <w:rsid w:val="001E6403"/>
    <w:rsid w:val="001F098D"/>
    <w:rsid w:val="001F0FDD"/>
    <w:rsid w:val="001F5B38"/>
    <w:rsid w:val="002039CD"/>
    <w:rsid w:val="00203F55"/>
    <w:rsid w:val="0023400D"/>
    <w:rsid w:val="002340C8"/>
    <w:rsid w:val="0024422C"/>
    <w:rsid w:val="00254702"/>
    <w:rsid w:val="002623F6"/>
    <w:rsid w:val="00292B0C"/>
    <w:rsid w:val="002A33F6"/>
    <w:rsid w:val="002B25FC"/>
    <w:rsid w:val="002C0CF3"/>
    <w:rsid w:val="002D069B"/>
    <w:rsid w:val="002E2ACB"/>
    <w:rsid w:val="003030A4"/>
    <w:rsid w:val="003121F3"/>
    <w:rsid w:val="00340C31"/>
    <w:rsid w:val="00347E47"/>
    <w:rsid w:val="00354D9C"/>
    <w:rsid w:val="00355F39"/>
    <w:rsid w:val="0036272C"/>
    <w:rsid w:val="003630E5"/>
    <w:rsid w:val="0036319C"/>
    <w:rsid w:val="0036603D"/>
    <w:rsid w:val="003713E6"/>
    <w:rsid w:val="0037670D"/>
    <w:rsid w:val="003856C7"/>
    <w:rsid w:val="003900C0"/>
    <w:rsid w:val="003954D8"/>
    <w:rsid w:val="003968C7"/>
    <w:rsid w:val="00397A7F"/>
    <w:rsid w:val="003A22A4"/>
    <w:rsid w:val="003D391F"/>
    <w:rsid w:val="003D693C"/>
    <w:rsid w:val="003E0A4A"/>
    <w:rsid w:val="003E1E1C"/>
    <w:rsid w:val="003F7EF0"/>
    <w:rsid w:val="00410799"/>
    <w:rsid w:val="00423045"/>
    <w:rsid w:val="00435B05"/>
    <w:rsid w:val="004520E2"/>
    <w:rsid w:val="00460447"/>
    <w:rsid w:val="00464BBC"/>
    <w:rsid w:val="0047220D"/>
    <w:rsid w:val="00475D94"/>
    <w:rsid w:val="00480F7A"/>
    <w:rsid w:val="004844D6"/>
    <w:rsid w:val="004877A3"/>
    <w:rsid w:val="00494369"/>
    <w:rsid w:val="00495352"/>
    <w:rsid w:val="004C489A"/>
    <w:rsid w:val="004D68C3"/>
    <w:rsid w:val="004F4BFD"/>
    <w:rsid w:val="004F64AA"/>
    <w:rsid w:val="00505CDE"/>
    <w:rsid w:val="00512781"/>
    <w:rsid w:val="0053309A"/>
    <w:rsid w:val="00540FC1"/>
    <w:rsid w:val="005628F5"/>
    <w:rsid w:val="00576BDF"/>
    <w:rsid w:val="00576EF9"/>
    <w:rsid w:val="00577288"/>
    <w:rsid w:val="00592D90"/>
    <w:rsid w:val="005A7CBF"/>
    <w:rsid w:val="005B05CA"/>
    <w:rsid w:val="005C56A9"/>
    <w:rsid w:val="005C7645"/>
    <w:rsid w:val="005D42FC"/>
    <w:rsid w:val="005D6486"/>
    <w:rsid w:val="005F4907"/>
    <w:rsid w:val="005F534B"/>
    <w:rsid w:val="00605F62"/>
    <w:rsid w:val="00613009"/>
    <w:rsid w:val="00613C27"/>
    <w:rsid w:val="006200D5"/>
    <w:rsid w:val="0063519F"/>
    <w:rsid w:val="00635680"/>
    <w:rsid w:val="006472F8"/>
    <w:rsid w:val="00647F97"/>
    <w:rsid w:val="0065511A"/>
    <w:rsid w:val="0065674F"/>
    <w:rsid w:val="0066096F"/>
    <w:rsid w:val="006627B8"/>
    <w:rsid w:val="00663B72"/>
    <w:rsid w:val="00674F46"/>
    <w:rsid w:val="00676115"/>
    <w:rsid w:val="006773D0"/>
    <w:rsid w:val="00681328"/>
    <w:rsid w:val="00693A45"/>
    <w:rsid w:val="006A7DD6"/>
    <w:rsid w:val="006B0D51"/>
    <w:rsid w:val="006B1010"/>
    <w:rsid w:val="006C7746"/>
    <w:rsid w:val="006D6392"/>
    <w:rsid w:val="006D7D17"/>
    <w:rsid w:val="006F3581"/>
    <w:rsid w:val="00712682"/>
    <w:rsid w:val="00726027"/>
    <w:rsid w:val="0073169F"/>
    <w:rsid w:val="007340C5"/>
    <w:rsid w:val="00740ECF"/>
    <w:rsid w:val="00747E45"/>
    <w:rsid w:val="00776FF0"/>
    <w:rsid w:val="00777288"/>
    <w:rsid w:val="00780ABB"/>
    <w:rsid w:val="00784BB7"/>
    <w:rsid w:val="0078522F"/>
    <w:rsid w:val="007944A9"/>
    <w:rsid w:val="00797193"/>
    <w:rsid w:val="007C3B61"/>
    <w:rsid w:val="007D57C9"/>
    <w:rsid w:val="007E1EEE"/>
    <w:rsid w:val="0080085A"/>
    <w:rsid w:val="008100E8"/>
    <w:rsid w:val="00826103"/>
    <w:rsid w:val="008332C6"/>
    <w:rsid w:val="00850157"/>
    <w:rsid w:val="0086288E"/>
    <w:rsid w:val="00874EEB"/>
    <w:rsid w:val="00876A41"/>
    <w:rsid w:val="00881075"/>
    <w:rsid w:val="008849AA"/>
    <w:rsid w:val="008873E8"/>
    <w:rsid w:val="008A4A4B"/>
    <w:rsid w:val="008B1382"/>
    <w:rsid w:val="008B25A0"/>
    <w:rsid w:val="008C5E8D"/>
    <w:rsid w:val="008D3013"/>
    <w:rsid w:val="008F1AF1"/>
    <w:rsid w:val="008F25A5"/>
    <w:rsid w:val="008F5D4C"/>
    <w:rsid w:val="00900254"/>
    <w:rsid w:val="00900B71"/>
    <w:rsid w:val="00916115"/>
    <w:rsid w:val="009172D2"/>
    <w:rsid w:val="00920E1F"/>
    <w:rsid w:val="00944653"/>
    <w:rsid w:val="00962E44"/>
    <w:rsid w:val="0099073E"/>
    <w:rsid w:val="009A0931"/>
    <w:rsid w:val="009A1506"/>
    <w:rsid w:val="009B0C03"/>
    <w:rsid w:val="009B1A01"/>
    <w:rsid w:val="009C1387"/>
    <w:rsid w:val="009C3D5C"/>
    <w:rsid w:val="009F1BCC"/>
    <w:rsid w:val="00A01FC6"/>
    <w:rsid w:val="00A078B5"/>
    <w:rsid w:val="00A1401D"/>
    <w:rsid w:val="00A14102"/>
    <w:rsid w:val="00A235C0"/>
    <w:rsid w:val="00A239BD"/>
    <w:rsid w:val="00A50CB8"/>
    <w:rsid w:val="00A538E7"/>
    <w:rsid w:val="00A63779"/>
    <w:rsid w:val="00A63B0E"/>
    <w:rsid w:val="00A8224C"/>
    <w:rsid w:val="00A8385D"/>
    <w:rsid w:val="00A90B03"/>
    <w:rsid w:val="00A9153F"/>
    <w:rsid w:val="00AA4DD4"/>
    <w:rsid w:val="00AD2568"/>
    <w:rsid w:val="00AD66E4"/>
    <w:rsid w:val="00B01BD4"/>
    <w:rsid w:val="00B14B76"/>
    <w:rsid w:val="00B23D3B"/>
    <w:rsid w:val="00B26097"/>
    <w:rsid w:val="00B32EAB"/>
    <w:rsid w:val="00B34524"/>
    <w:rsid w:val="00B40E70"/>
    <w:rsid w:val="00B62AA3"/>
    <w:rsid w:val="00B64A99"/>
    <w:rsid w:val="00B83FA2"/>
    <w:rsid w:val="00B93692"/>
    <w:rsid w:val="00BA33F2"/>
    <w:rsid w:val="00BB11ED"/>
    <w:rsid w:val="00BB2DB5"/>
    <w:rsid w:val="00BB4F4B"/>
    <w:rsid w:val="00BC0EDB"/>
    <w:rsid w:val="00BC2243"/>
    <w:rsid w:val="00BD6432"/>
    <w:rsid w:val="00BE5D44"/>
    <w:rsid w:val="00BE72DA"/>
    <w:rsid w:val="00C05045"/>
    <w:rsid w:val="00C135A0"/>
    <w:rsid w:val="00C319D1"/>
    <w:rsid w:val="00C33E56"/>
    <w:rsid w:val="00C37D4A"/>
    <w:rsid w:val="00C40FA3"/>
    <w:rsid w:val="00C43CCE"/>
    <w:rsid w:val="00C64FAE"/>
    <w:rsid w:val="00C72F51"/>
    <w:rsid w:val="00C77041"/>
    <w:rsid w:val="00C77C5A"/>
    <w:rsid w:val="00C80D67"/>
    <w:rsid w:val="00C87889"/>
    <w:rsid w:val="00CB58A1"/>
    <w:rsid w:val="00CC4E43"/>
    <w:rsid w:val="00CD16FE"/>
    <w:rsid w:val="00CD469F"/>
    <w:rsid w:val="00CE071C"/>
    <w:rsid w:val="00CE0786"/>
    <w:rsid w:val="00CF10BE"/>
    <w:rsid w:val="00CF3D93"/>
    <w:rsid w:val="00CF4779"/>
    <w:rsid w:val="00CF4DFE"/>
    <w:rsid w:val="00CF51E2"/>
    <w:rsid w:val="00CF5A77"/>
    <w:rsid w:val="00CF7ECA"/>
    <w:rsid w:val="00D051A1"/>
    <w:rsid w:val="00D15121"/>
    <w:rsid w:val="00D160FF"/>
    <w:rsid w:val="00D1767E"/>
    <w:rsid w:val="00D2240C"/>
    <w:rsid w:val="00D24ED4"/>
    <w:rsid w:val="00D27652"/>
    <w:rsid w:val="00D45BB1"/>
    <w:rsid w:val="00D504B8"/>
    <w:rsid w:val="00D54311"/>
    <w:rsid w:val="00D720B7"/>
    <w:rsid w:val="00D73BD9"/>
    <w:rsid w:val="00D85062"/>
    <w:rsid w:val="00D95A9E"/>
    <w:rsid w:val="00DB2FD6"/>
    <w:rsid w:val="00DB4B8B"/>
    <w:rsid w:val="00DC218D"/>
    <w:rsid w:val="00DC23AC"/>
    <w:rsid w:val="00DC63EC"/>
    <w:rsid w:val="00DE10EA"/>
    <w:rsid w:val="00DF5C7E"/>
    <w:rsid w:val="00E0751F"/>
    <w:rsid w:val="00E11DCA"/>
    <w:rsid w:val="00E37603"/>
    <w:rsid w:val="00E47BDF"/>
    <w:rsid w:val="00E52A31"/>
    <w:rsid w:val="00E54696"/>
    <w:rsid w:val="00E605A5"/>
    <w:rsid w:val="00E7171A"/>
    <w:rsid w:val="00E82FF5"/>
    <w:rsid w:val="00EA1FBA"/>
    <w:rsid w:val="00EA5045"/>
    <w:rsid w:val="00EB245C"/>
    <w:rsid w:val="00EC31E1"/>
    <w:rsid w:val="00F07B25"/>
    <w:rsid w:val="00F22251"/>
    <w:rsid w:val="00F44CE8"/>
    <w:rsid w:val="00F47B04"/>
    <w:rsid w:val="00F513A0"/>
    <w:rsid w:val="00F64964"/>
    <w:rsid w:val="00F73576"/>
    <w:rsid w:val="00F85C9F"/>
    <w:rsid w:val="00F97795"/>
    <w:rsid w:val="00FA0518"/>
    <w:rsid w:val="00FA1D36"/>
    <w:rsid w:val="00FB5A52"/>
    <w:rsid w:val="00FB641E"/>
    <w:rsid w:val="00FC5C82"/>
    <w:rsid w:val="00FC7D2F"/>
    <w:rsid w:val="00FE34A2"/>
    <w:rsid w:val="00FF4638"/>
  </w:rsids>
  <w:docVars>
    <w:docVar w:name="OLE_LINK1" w:val="Empty"/>
    <w:docVar w:name="OLE_LINK2" w:val="Empty"/>
    <w:docVar w:name="OLE_LINK3" w:val="Empty"/>
    <w:docVar w:name="OLE_LINK4" w:val="Empty"/>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0E83C6"/>
  <w15:docId w15:val="{D8C62F8A-4B3D-4C44-B1EB-035D0470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Car,Char,Footnote Text Char Char,Footnote Text Char Char Char Char,Footnote Text Char Char Char Char Char Char Char Char Char Char Char Char Char Char Char Char Char,Footnote Text Char1 Char Char,Fußnote,Style 15,fn,ft"/>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ootnote Text Char Char Char Char Char,Footnote Text Char Char Char Char Char Char Char Char Char Char Char Char Char Char Char Char Char Char,Footnote Text Char1 Char Char Char,Style 15 Char,fn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 w:type="paragraph" w:styleId="Revision">
    <w:name w:val="Revision"/>
    <w:hidden/>
    <w:uiPriority w:val="99"/>
    <w:semiHidden/>
    <w:rsid w:val="00011D6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BC9A9-D2B1-4241-BAB2-F198125A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1619</Words>
  <Characters>9356</Characters>
  <Application>Microsoft Office Word</Application>
  <DocSecurity>0</DocSecurity>
  <Lines>77</Lines>
  <Paragraphs>21</Paragraphs>
  <ScaleCrop>false</ScaleCrop>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KYeh</cp:lastModifiedBy>
  <cp:revision>2</cp:revision>
  <dcterms:created xsi:type="dcterms:W3CDTF">2025-08-21T16:19:00Z</dcterms:created>
  <dcterms:modified xsi:type="dcterms:W3CDTF">2025-08-21T16:19:00Z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3cad39e3-2a7c-4d16-9de8-62c67c6bbde7</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2025-08-21T16:19:33Z</vt:lpwstr>
  </property>
  <property fmtid="{D5CDD505-2E9C-101B-9397-08002B2CF9AE}" pid="8" name="MSIP_Label_3be8ab8c-433c-4394-a4fb-cd2d5c4d0a5e_SiteId">
    <vt:lpwstr>26c83bc9-31c1-4d77-a523-0816095aba31</vt:lpwstr>
  </property>
  <property fmtid="{D5CDD505-2E9C-101B-9397-08002B2CF9AE}" pid="9" name="MSIP_Label_3be8ab8c-433c-4394-a4fb-cd2d5c4d0a5e_Tag">
    <vt:lpwstr>10, 0, 1, 1</vt:lpwstr>
  </property>
</Properties>
</file>