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4175" w:rsidP="00EA6C04" w14:paraId="2F5A3E78" w14:textId="77777777">
      <w:pPr>
        <w:jc w:val="center"/>
        <w:rPr>
          <w:rFonts w:asciiTheme="majorHAnsi" w:hAnsiTheme="majorHAnsi"/>
          <w:sz w:val="28"/>
          <w:u w:val="single"/>
        </w:rPr>
      </w:pPr>
    </w:p>
    <w:p w:rsidR="008D1294" w:rsidRPr="00EA6C04" w:rsidP="00EA6C04" w14:paraId="532390DC" w14:textId="03DA5588">
      <w:pPr>
        <w:jc w:val="center"/>
        <w:rPr>
          <w:rFonts w:asciiTheme="majorHAnsi" w:hAnsiTheme="majorHAnsi"/>
          <w:sz w:val="28"/>
          <w:u w:val="single"/>
        </w:rPr>
      </w:pPr>
      <w:r>
        <w:rPr>
          <w:rFonts w:asciiTheme="majorHAnsi" w:hAnsiTheme="majorHAnsi"/>
          <w:sz w:val="28"/>
          <w:u w:val="single"/>
        </w:rPr>
        <w:t>SU</w:t>
      </w:r>
      <w:r w:rsidRPr="00EA6C04" w:rsidR="00EA6C04">
        <w:rPr>
          <w:rFonts w:asciiTheme="majorHAnsi" w:hAnsiTheme="majorHAnsi"/>
          <w:sz w:val="28"/>
          <w:u w:val="single"/>
        </w:rPr>
        <w:t xml:space="preserve">PPORTING </w:t>
      </w:r>
      <w:r w:rsidRPr="00EA6C04" w:rsidR="00127B46">
        <w:rPr>
          <w:rFonts w:asciiTheme="majorHAnsi" w:hAnsiTheme="majorHAnsi"/>
          <w:sz w:val="28"/>
          <w:u w:val="single"/>
        </w:rPr>
        <w:t>STATEMENT -</w:t>
      </w:r>
      <w:r w:rsidRPr="00EA6C04" w:rsidR="00EA6C04">
        <w:rPr>
          <w:rFonts w:asciiTheme="majorHAnsi" w:hAnsiTheme="majorHAnsi"/>
          <w:sz w:val="28"/>
          <w:u w:val="single"/>
        </w:rPr>
        <w:t xml:space="preserve"> PART A</w:t>
      </w:r>
    </w:p>
    <w:p w:rsidR="00EA6C04" w:rsidP="00EA6C04" w14:paraId="16791B2C" w14:textId="0C5AB7C9">
      <w:pPr>
        <w:jc w:val="center"/>
        <w:rPr>
          <w:rFonts w:asciiTheme="majorHAnsi" w:hAnsiTheme="majorHAnsi"/>
          <w:sz w:val="24"/>
        </w:rPr>
      </w:pPr>
      <w:r w:rsidRPr="0072176B">
        <w:rPr>
          <w:rFonts w:asciiTheme="majorHAnsi" w:hAnsiTheme="majorHAnsi"/>
          <w:sz w:val="24"/>
        </w:rPr>
        <w:t>Pool Safely Grant Program</w:t>
      </w:r>
      <w:r w:rsidRPr="0072176B">
        <w:rPr>
          <w:rFonts w:asciiTheme="majorHAnsi" w:hAnsiTheme="majorHAnsi"/>
          <w:sz w:val="24"/>
        </w:rPr>
        <w:t xml:space="preserve">  </w:t>
      </w:r>
      <w:r w:rsidR="0072176B">
        <w:rPr>
          <w:rFonts w:asciiTheme="majorHAnsi" w:hAnsiTheme="majorHAnsi"/>
          <w:sz w:val="24"/>
          <w:highlight w:val="yellow"/>
        </w:rPr>
        <w:br/>
      </w:r>
      <w:r w:rsidRPr="00EA6C04">
        <w:rPr>
          <w:rFonts w:asciiTheme="majorHAnsi" w:hAnsiTheme="majorHAnsi"/>
          <w:sz w:val="24"/>
          <w:highlight w:val="yellow"/>
        </w:rPr>
        <w:t>OMB Control Number</w:t>
      </w:r>
    </w:p>
    <w:p w:rsidR="00340D9B" w:rsidRPr="002871E6" w:rsidP="002871E6" w14:paraId="5331D250" w14:textId="77777777">
      <w:pPr>
        <w:spacing w:after="0" w:line="240" w:lineRule="auto"/>
        <w:rPr>
          <w:rFonts w:asciiTheme="majorHAnsi" w:hAnsiTheme="majorHAnsi"/>
          <w:sz w:val="24"/>
        </w:rPr>
      </w:pPr>
    </w:p>
    <w:p w:rsidR="00340D9B" w:rsidP="006E563D" w14:paraId="395E2745" w14:textId="77777777">
      <w:pPr>
        <w:spacing w:after="0" w:line="240" w:lineRule="auto"/>
        <w:rPr>
          <w:rFonts w:asciiTheme="majorHAnsi" w:hAnsiTheme="majorHAnsi"/>
          <w:sz w:val="24"/>
        </w:rPr>
      </w:pPr>
    </w:p>
    <w:p w:rsidR="005C7428" w:rsidRPr="0085688C" w:rsidP="006E563D" w14:paraId="6C156498" w14:textId="4983CC3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14:paraId="042D19B1" w14:textId="77777777">
      <w:pPr>
        <w:spacing w:after="0" w:line="240" w:lineRule="auto"/>
        <w:rPr>
          <w:rFonts w:asciiTheme="majorHAnsi" w:hAnsiTheme="majorHAnsi"/>
          <w:sz w:val="24"/>
        </w:rPr>
      </w:pPr>
    </w:p>
    <w:p w:rsidR="002871E6" w:rsidP="006E563D" w14:paraId="2D0C9D48" w14:textId="74EE6FB3">
      <w:pPr>
        <w:spacing w:after="0" w:line="240" w:lineRule="auto"/>
        <w:rPr>
          <w:rFonts w:asciiTheme="majorHAnsi" w:hAnsiTheme="majorHAnsi"/>
          <w:sz w:val="24"/>
        </w:rPr>
      </w:pPr>
      <w:r>
        <w:rPr>
          <w:rFonts w:asciiTheme="majorHAnsi" w:hAnsiTheme="majorHAnsi"/>
          <w:sz w:val="24"/>
        </w:rPr>
        <w:t>The U.S. Consumer Product Safety Commission (CPSC or Commission) urges state, local, and tribal governments to apply for up to $3.0 million in grant funding for the Pool Safely Grant Program (PSGP or grant program). The two-year grants are to be used to reduce deaths and injuries from drowning and drain entrapment incidents in pools and spas. The PSGP is an essential part of CPSC’s national campaign to prevent drowning and drain entrapment. Drowning is one of the leading causes of death among young children.</w:t>
      </w:r>
      <w:r>
        <w:rPr>
          <w:rStyle w:val="FootnoteReference"/>
          <w:rFonts w:asciiTheme="majorHAnsi" w:hAnsiTheme="majorHAnsi"/>
          <w:sz w:val="24"/>
        </w:rPr>
        <w:footnoteReference w:id="2"/>
      </w:r>
    </w:p>
    <w:p w:rsidR="002871E6" w:rsidP="006E563D" w14:paraId="417915BC" w14:textId="77777777">
      <w:pPr>
        <w:spacing w:after="0" w:line="240" w:lineRule="auto"/>
        <w:rPr>
          <w:rFonts w:asciiTheme="majorHAnsi" w:hAnsiTheme="majorHAnsi"/>
          <w:sz w:val="24"/>
        </w:rPr>
      </w:pPr>
    </w:p>
    <w:p w:rsidR="002871E6" w:rsidP="006E563D" w14:paraId="07477D33" w14:textId="611A6FFF">
      <w:pPr>
        <w:spacing w:after="0" w:line="240" w:lineRule="auto"/>
        <w:rPr>
          <w:rFonts w:asciiTheme="majorHAnsi" w:hAnsiTheme="majorHAnsi"/>
          <w:sz w:val="24"/>
        </w:rPr>
      </w:pPr>
      <w:r>
        <w:rPr>
          <w:rFonts w:asciiTheme="majorHAnsi" w:hAnsiTheme="majorHAnsi"/>
          <w:sz w:val="24"/>
        </w:rPr>
        <w:t>The grant program is authorized through the Virginia Graeme Baker Pool and Spa Safety Act (VGB Act). Since 2016</w:t>
      </w:r>
      <w:r w:rsidR="00CA5316">
        <w:rPr>
          <w:rFonts w:asciiTheme="majorHAnsi" w:hAnsiTheme="majorHAnsi"/>
          <w:sz w:val="24"/>
        </w:rPr>
        <w:t>,</w:t>
      </w:r>
      <w:r>
        <w:rPr>
          <w:rFonts w:asciiTheme="majorHAnsi" w:hAnsiTheme="majorHAnsi"/>
          <w:sz w:val="24"/>
        </w:rPr>
        <w:t xml:space="preserve"> CPSC has provided more tha</w:t>
      </w:r>
      <w:r w:rsidR="00E225A2">
        <w:rPr>
          <w:rFonts w:asciiTheme="majorHAnsi" w:hAnsiTheme="majorHAnsi"/>
          <w:sz w:val="24"/>
        </w:rPr>
        <w:t>n</w:t>
      </w:r>
      <w:r>
        <w:rPr>
          <w:rFonts w:asciiTheme="majorHAnsi" w:hAnsiTheme="majorHAnsi"/>
          <w:sz w:val="24"/>
        </w:rPr>
        <w:t xml:space="preserve"> $7.7 million in Pool Safely grants to 35 recipients who have used it for a variety of drowning prevention activities, including to train their pool safety enforcement officials and to run swim safety education programs in their communities.</w:t>
      </w:r>
    </w:p>
    <w:p w:rsidR="002871E6" w:rsidP="006E563D" w14:paraId="480FCE23" w14:textId="77777777">
      <w:pPr>
        <w:spacing w:after="0" w:line="240" w:lineRule="auto"/>
        <w:rPr>
          <w:rFonts w:asciiTheme="majorHAnsi" w:hAnsiTheme="majorHAnsi"/>
          <w:sz w:val="24"/>
        </w:rPr>
      </w:pPr>
    </w:p>
    <w:p w:rsidR="005C7428" w:rsidRPr="0085688C" w:rsidP="006E563D" w14:paraId="513F5C56" w14:textId="69C9C70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226967E8" w14:textId="77777777">
      <w:pPr>
        <w:spacing w:after="0" w:line="240" w:lineRule="auto"/>
        <w:rPr>
          <w:rFonts w:asciiTheme="majorHAnsi" w:hAnsiTheme="majorHAnsi"/>
          <w:iCs/>
          <w:sz w:val="24"/>
        </w:rPr>
      </w:pPr>
    </w:p>
    <w:p w:rsidR="002871E6" w:rsidP="006E563D" w14:paraId="68DAFEC3" w14:textId="515C380D">
      <w:pPr>
        <w:spacing w:after="0" w:line="240" w:lineRule="auto"/>
        <w:rPr>
          <w:rFonts w:asciiTheme="majorHAnsi" w:hAnsiTheme="majorHAnsi"/>
          <w:iCs/>
          <w:sz w:val="24"/>
        </w:rPr>
      </w:pPr>
      <w:r>
        <w:rPr>
          <w:rFonts w:asciiTheme="majorHAnsi" w:hAnsiTheme="majorHAnsi"/>
          <w:iCs/>
          <w:sz w:val="24"/>
        </w:rPr>
        <w:t>Grant</w:t>
      </w:r>
      <w:r w:rsidR="00CA5316">
        <w:rPr>
          <w:rFonts w:asciiTheme="majorHAnsi" w:hAnsiTheme="majorHAnsi"/>
          <w:iCs/>
          <w:sz w:val="24"/>
        </w:rPr>
        <w:t xml:space="preserve"> program</w:t>
      </w:r>
      <w:r>
        <w:rPr>
          <w:rFonts w:asciiTheme="majorHAnsi" w:hAnsiTheme="majorHAnsi"/>
          <w:iCs/>
          <w:sz w:val="24"/>
        </w:rPr>
        <w:t xml:space="preserve"> applicants must be a state, local government, Indian Tribe, or U.S. Territory that has enacted or amended a law that meets the requirements of VGB Act (15 U.S.C. 8001), sections 1405 and 1406. Prospective applicants can review the solicitation on Grants.gov</w:t>
      </w:r>
      <w:r w:rsidR="00732292">
        <w:rPr>
          <w:rFonts w:asciiTheme="majorHAnsi" w:hAnsiTheme="majorHAnsi"/>
          <w:iCs/>
          <w:sz w:val="24"/>
        </w:rPr>
        <w:t xml:space="preserve">. </w:t>
      </w:r>
      <w:r w:rsidR="000268B0">
        <w:rPr>
          <w:rFonts w:asciiTheme="majorHAnsi" w:hAnsiTheme="majorHAnsi"/>
          <w:iCs/>
          <w:sz w:val="24"/>
        </w:rPr>
        <w:t xml:space="preserve">All funding opportunities and application kits are made available on Grants.gov. In order to apply electronically you must first have a </w:t>
      </w:r>
      <w:r w:rsidR="000268B0">
        <w:rPr>
          <w:rFonts w:asciiTheme="majorHAnsi" w:hAnsiTheme="majorHAnsi"/>
          <w:iCs/>
          <w:sz w:val="24"/>
        </w:rPr>
        <w:t>GrantSolutions</w:t>
      </w:r>
      <w:r w:rsidR="000268B0">
        <w:rPr>
          <w:rFonts w:asciiTheme="majorHAnsi" w:hAnsiTheme="majorHAnsi"/>
          <w:iCs/>
          <w:sz w:val="24"/>
        </w:rPr>
        <w:t xml:space="preserve"> user account. This collection makes use of the following common (online) forms, as well as additional attachments specific to PSGP:</w:t>
      </w:r>
    </w:p>
    <w:p w:rsidR="000268B0" w:rsidP="006E563D" w14:paraId="48CA6D5A" w14:textId="77777777">
      <w:pPr>
        <w:spacing w:after="0" w:line="240" w:lineRule="auto"/>
        <w:rPr>
          <w:rFonts w:asciiTheme="majorHAnsi" w:hAnsiTheme="majorHAnsi"/>
          <w:iCs/>
          <w:sz w:val="24"/>
        </w:rPr>
      </w:pPr>
    </w:p>
    <w:p w:rsidR="000268B0" w:rsidP="000268B0" w14:paraId="7F30545D" w14:textId="2F2EE4CE">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SF-424A Budget Information – Non-Construction</w:t>
      </w:r>
      <w:r w:rsidR="004218AC">
        <w:rPr>
          <w:rFonts w:asciiTheme="majorHAnsi" w:hAnsiTheme="majorHAnsi"/>
          <w:iCs/>
          <w:sz w:val="24"/>
        </w:rPr>
        <w:t xml:space="preserve"> (OMB Control No. 4040-0006)</w:t>
      </w:r>
    </w:p>
    <w:p w:rsidR="000268B0" w:rsidP="000268B0" w14:paraId="4B074EED" w14:textId="7449CB59">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SF-424B Assurances – Non-Construction</w:t>
      </w:r>
      <w:r w:rsidR="004218AC">
        <w:rPr>
          <w:rFonts w:asciiTheme="majorHAnsi" w:hAnsiTheme="majorHAnsi"/>
          <w:iCs/>
          <w:sz w:val="24"/>
        </w:rPr>
        <w:t xml:space="preserve"> Programs (OMB Control No. 4040-0007)</w:t>
      </w:r>
    </w:p>
    <w:p w:rsidR="000268B0" w:rsidP="000268B0" w14:paraId="3C6946EF" w14:textId="0FD148DA">
      <w:pPr>
        <w:pStyle w:val="ListParagraph"/>
        <w:numPr>
          <w:ilvl w:val="0"/>
          <w:numId w:val="25"/>
        </w:numPr>
        <w:spacing w:after="0" w:line="240" w:lineRule="auto"/>
        <w:rPr>
          <w:rFonts w:asciiTheme="majorHAnsi" w:hAnsiTheme="majorHAnsi"/>
          <w:iCs/>
          <w:sz w:val="24"/>
        </w:rPr>
      </w:pPr>
      <w:r>
        <w:rPr>
          <w:rFonts w:asciiTheme="majorHAnsi" w:hAnsiTheme="majorHAnsi"/>
          <w:iCs/>
          <w:sz w:val="24"/>
        </w:rPr>
        <w:t>Project Abstract Summary</w:t>
      </w:r>
      <w:r w:rsidR="004218AC">
        <w:rPr>
          <w:rFonts w:asciiTheme="majorHAnsi" w:hAnsiTheme="majorHAnsi"/>
          <w:iCs/>
          <w:sz w:val="24"/>
        </w:rPr>
        <w:t xml:space="preserve"> (OMB Control No. 4040-0019)</w:t>
      </w:r>
    </w:p>
    <w:p w:rsidR="000268B0" w:rsidP="000268B0" w14:paraId="16F6FB36" w14:textId="0FEE4D68">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 Application for Federal Assistance</w:t>
      </w:r>
      <w:r w:rsidR="004218AC">
        <w:rPr>
          <w:rFonts w:asciiTheme="majorHAnsi" w:hAnsiTheme="majorHAnsi"/>
          <w:iCs/>
          <w:sz w:val="24"/>
        </w:rPr>
        <w:t xml:space="preserve"> (OMB Control No. 4040-0020)</w:t>
      </w:r>
    </w:p>
    <w:p w:rsidR="00732292" w:rsidRPr="004218AC" w:rsidP="006E563D" w14:paraId="5167D474" w14:textId="381BC942">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SF-LLL Disclosure of Lobbying Activities</w:t>
      </w:r>
      <w:r w:rsidR="004218AC">
        <w:rPr>
          <w:rFonts w:asciiTheme="majorHAnsi" w:hAnsiTheme="majorHAnsi"/>
          <w:iCs/>
          <w:sz w:val="24"/>
        </w:rPr>
        <w:t xml:space="preserve"> (OMB Control No. 4040-0013)</w:t>
      </w:r>
    </w:p>
    <w:p w:rsidR="00732292" w:rsidRPr="002871E6" w:rsidP="006E563D" w14:paraId="0B2CC15E" w14:textId="77777777">
      <w:pPr>
        <w:spacing w:after="0" w:line="240" w:lineRule="auto"/>
        <w:rPr>
          <w:rFonts w:asciiTheme="majorHAnsi" w:hAnsiTheme="majorHAnsi"/>
          <w:iCs/>
          <w:sz w:val="24"/>
        </w:rPr>
      </w:pPr>
    </w:p>
    <w:p w:rsidR="005C7428" w:rsidRPr="0085688C" w:rsidP="005E1A53" w14:paraId="40C3F830" w14:textId="45EF1CB0">
      <w:pPr>
        <w:keepNext/>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5E1A53" w14:paraId="79731DEC" w14:textId="77777777">
      <w:pPr>
        <w:keepNext/>
        <w:spacing w:after="0" w:line="240" w:lineRule="auto"/>
        <w:rPr>
          <w:rFonts w:asciiTheme="majorHAnsi" w:hAnsiTheme="majorHAnsi"/>
          <w:i/>
          <w:sz w:val="24"/>
        </w:rPr>
      </w:pPr>
    </w:p>
    <w:p w:rsidR="000268B0" w:rsidRPr="000268B0" w:rsidP="005E1A53" w14:paraId="2D14014D" w14:textId="732F8FC3">
      <w:pPr>
        <w:keepNext/>
        <w:spacing w:after="0" w:line="240" w:lineRule="auto"/>
        <w:rPr>
          <w:rFonts w:asciiTheme="majorHAnsi" w:hAnsiTheme="majorHAnsi"/>
          <w:iCs/>
          <w:sz w:val="24"/>
        </w:rPr>
      </w:pPr>
      <w:bookmarkStart w:id="0" w:name="_Hlk188513771"/>
      <w:r>
        <w:rPr>
          <w:rFonts w:asciiTheme="majorHAnsi" w:hAnsiTheme="majorHAnsi"/>
          <w:iCs/>
          <w:sz w:val="24"/>
        </w:rPr>
        <w:t>In order to apply for new funding opportunities which are open to the public for competition, applicants must access the Grants.gov website portal.</w:t>
      </w:r>
      <w:r w:rsidR="00C60565">
        <w:rPr>
          <w:rFonts w:asciiTheme="majorHAnsi" w:hAnsiTheme="majorHAnsi"/>
          <w:iCs/>
          <w:sz w:val="24"/>
        </w:rPr>
        <w:t xml:space="preserve"> All grant applications must be submitted electronically. Applicants that have a </w:t>
      </w:r>
      <w:r w:rsidR="00C60565">
        <w:rPr>
          <w:rFonts w:asciiTheme="majorHAnsi" w:hAnsiTheme="majorHAnsi"/>
          <w:iCs/>
          <w:sz w:val="24"/>
        </w:rPr>
        <w:t>grantee</w:t>
      </w:r>
      <w:r w:rsidR="00C60565">
        <w:rPr>
          <w:rFonts w:asciiTheme="majorHAnsi" w:hAnsiTheme="majorHAnsi"/>
          <w:iCs/>
          <w:sz w:val="24"/>
        </w:rPr>
        <w:t xml:space="preserve"> business relationship with a grant program serviced by the Office of Grants Management, that are also applying as part of ongoing </w:t>
      </w:r>
      <w:r w:rsidR="00C60565">
        <w:rPr>
          <w:rFonts w:asciiTheme="majorHAnsi" w:hAnsiTheme="majorHAnsi"/>
          <w:iCs/>
          <w:sz w:val="24"/>
        </w:rPr>
        <w:t>grantee related</w:t>
      </w:r>
      <w:r w:rsidR="00C60565">
        <w:rPr>
          <w:rFonts w:asciiTheme="majorHAnsi" w:hAnsiTheme="majorHAnsi"/>
          <w:iCs/>
          <w:sz w:val="24"/>
        </w:rPr>
        <w:t xml:space="preserve"> activities, should access GrantSolutions.gov.</w:t>
      </w:r>
    </w:p>
    <w:bookmarkEnd w:id="0"/>
    <w:p w:rsidR="008635C4" w:rsidP="006E563D" w14:paraId="6BB74D25" w14:textId="6DF8099A">
      <w:pPr>
        <w:spacing w:after="0" w:line="240" w:lineRule="auto"/>
        <w:rPr>
          <w:rFonts w:asciiTheme="majorHAnsi" w:hAnsiTheme="majorHAnsi"/>
          <w:i/>
          <w:sz w:val="24"/>
        </w:rPr>
      </w:pPr>
    </w:p>
    <w:p w:rsidR="008635C4" w:rsidRPr="0085688C" w:rsidP="006E563D" w14:paraId="721775CE" w14:textId="0D1D441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60565" w:rsidP="006E563D" w14:paraId="33D8EF3B" w14:textId="77777777">
      <w:pPr>
        <w:spacing w:after="0" w:line="240" w:lineRule="auto"/>
        <w:rPr>
          <w:rFonts w:asciiTheme="majorHAnsi" w:hAnsiTheme="majorHAnsi"/>
          <w:i/>
          <w:sz w:val="24"/>
        </w:rPr>
      </w:pPr>
    </w:p>
    <w:p w:rsidR="004218AC" w:rsidP="004218AC" w14:paraId="1922A235" w14:textId="77777777">
      <w:pPr>
        <w:spacing w:after="0" w:line="240" w:lineRule="auto"/>
        <w:rPr>
          <w:rFonts w:asciiTheme="majorHAnsi" w:hAnsiTheme="majorHAnsi"/>
          <w:i/>
          <w:sz w:val="24"/>
        </w:rPr>
      </w:pPr>
      <w:r w:rsidRPr="00C60565">
        <w:rPr>
          <w:rFonts w:asciiTheme="majorHAnsi" w:hAnsiTheme="majorHAnsi"/>
          <w:sz w:val="24"/>
        </w:rPr>
        <w:t xml:space="preserve">The information obtained through this collection is </w:t>
      </w:r>
      <w:r>
        <w:rPr>
          <w:rFonts w:asciiTheme="majorHAnsi" w:hAnsiTheme="majorHAnsi"/>
          <w:sz w:val="24"/>
        </w:rPr>
        <w:t>specific</w:t>
      </w:r>
      <w:r w:rsidRPr="00C60565">
        <w:rPr>
          <w:rFonts w:asciiTheme="majorHAnsi" w:hAnsiTheme="majorHAnsi"/>
          <w:sz w:val="24"/>
        </w:rPr>
        <w:t xml:space="preserve"> and is not </w:t>
      </w:r>
      <w:r>
        <w:rPr>
          <w:rFonts w:asciiTheme="majorHAnsi" w:hAnsiTheme="majorHAnsi"/>
          <w:sz w:val="24"/>
        </w:rPr>
        <w:t>readily</w:t>
      </w:r>
      <w:r w:rsidRPr="00C60565">
        <w:rPr>
          <w:rFonts w:asciiTheme="majorHAnsi" w:hAnsiTheme="majorHAnsi"/>
          <w:sz w:val="24"/>
        </w:rPr>
        <w:t xml:space="preserve"> available for use or adaptation from another source.</w:t>
      </w:r>
      <w:r w:rsidRPr="00200261">
        <w:rPr>
          <w:rFonts w:asciiTheme="majorHAnsi" w:hAnsiTheme="majorHAnsi"/>
          <w:sz w:val="24"/>
        </w:rPr>
        <w:t xml:space="preserve"> </w:t>
      </w:r>
      <w:r>
        <w:rPr>
          <w:rFonts w:asciiTheme="majorHAnsi" w:hAnsiTheme="majorHAnsi"/>
          <w:sz w:val="24"/>
        </w:rPr>
        <w:t>CPSC will work to identify areas within the information collection where the same information is requested from the applicant in two or more sections of the grant application. Improving the grant application process to reduce applicant burden is an ongoing effort.</w:t>
      </w:r>
    </w:p>
    <w:p w:rsidR="00CA15B1" w:rsidP="006E563D" w14:paraId="5A8655DB" w14:textId="77777777">
      <w:pPr>
        <w:spacing w:after="0" w:line="240" w:lineRule="auto"/>
        <w:rPr>
          <w:rFonts w:asciiTheme="majorHAnsi" w:hAnsiTheme="majorHAnsi"/>
          <w:i/>
          <w:sz w:val="24"/>
        </w:rPr>
      </w:pPr>
    </w:p>
    <w:p w:rsidR="00CA15B1" w:rsidP="006E563D" w14:paraId="6E988833" w14:textId="3DB98A0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60565" w:rsidP="006E563D" w14:paraId="6538D746" w14:textId="77777777">
      <w:pPr>
        <w:spacing w:after="0" w:line="240" w:lineRule="auto"/>
        <w:rPr>
          <w:rFonts w:asciiTheme="majorHAnsi" w:hAnsiTheme="majorHAnsi"/>
          <w:i/>
          <w:sz w:val="24"/>
        </w:rPr>
      </w:pPr>
    </w:p>
    <w:p w:rsidR="002567F9" w:rsidP="006E563D" w14:paraId="743DDE0D" w14:textId="6D5EB453">
      <w:pPr>
        <w:spacing w:after="0" w:line="240" w:lineRule="auto"/>
        <w:rPr>
          <w:rFonts w:asciiTheme="majorHAnsi" w:hAnsiTheme="majorHAnsi"/>
          <w:i/>
          <w:sz w:val="24"/>
        </w:rPr>
      </w:pPr>
      <w:r w:rsidRPr="00C6056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47C8EF7" w14:textId="77777777">
      <w:pPr>
        <w:spacing w:after="0" w:line="240" w:lineRule="auto"/>
        <w:rPr>
          <w:rFonts w:asciiTheme="majorHAnsi" w:hAnsiTheme="majorHAnsi"/>
          <w:i/>
          <w:sz w:val="24"/>
        </w:rPr>
      </w:pPr>
    </w:p>
    <w:p w:rsidR="002567F9" w:rsidRPr="0085688C" w:rsidP="006E563D" w14:paraId="39853F1F" w14:textId="51DE2E9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1153890C" w14:textId="77777777">
      <w:pPr>
        <w:spacing w:after="0" w:line="240" w:lineRule="auto"/>
        <w:rPr>
          <w:rFonts w:asciiTheme="majorHAnsi" w:hAnsiTheme="majorHAnsi"/>
          <w:i/>
          <w:sz w:val="24"/>
        </w:rPr>
      </w:pPr>
    </w:p>
    <w:p w:rsidR="00732292" w:rsidP="00732292" w14:paraId="7AF10049" w14:textId="604E1CB3">
      <w:pPr>
        <w:spacing w:after="0" w:line="240" w:lineRule="auto"/>
        <w:rPr>
          <w:rFonts w:asciiTheme="majorHAnsi" w:hAnsiTheme="majorHAnsi"/>
          <w:iCs/>
          <w:sz w:val="24"/>
        </w:rPr>
      </w:pPr>
      <w:r>
        <w:rPr>
          <w:rFonts w:asciiTheme="majorHAnsi" w:hAnsiTheme="majorHAnsi"/>
          <w:iCs/>
          <w:sz w:val="24"/>
        </w:rPr>
        <w:t xml:space="preserve">This child safety law has helped reduce the risk of drowning and drain entrapment by requiring public pools and spas to install new safety drain covers, and through federal grants and education programs to encourage states and localities to require residential pools and spas to utilize physical barriers, such as </w:t>
      </w:r>
      <w:r w:rsidR="00CA5316">
        <w:rPr>
          <w:rFonts w:asciiTheme="majorHAnsi" w:hAnsiTheme="majorHAnsi"/>
          <w:iCs/>
          <w:sz w:val="24"/>
        </w:rPr>
        <w:t xml:space="preserve">a </w:t>
      </w:r>
      <w:r>
        <w:rPr>
          <w:rFonts w:asciiTheme="majorHAnsi" w:hAnsiTheme="majorHAnsi"/>
          <w:iCs/>
          <w:sz w:val="24"/>
        </w:rPr>
        <w:t>fence completely surrounding the pool, with self-closing, self-latching gates.</w:t>
      </w:r>
      <w:r w:rsidR="00C60565">
        <w:rPr>
          <w:rFonts w:asciiTheme="majorHAnsi" w:hAnsiTheme="majorHAnsi"/>
          <w:iCs/>
          <w:sz w:val="24"/>
        </w:rPr>
        <w:t xml:space="preserve"> Less frequent collection of information used in the PSGP could reduce the effectiveness of federal grants to encourage these life-saving measures.</w:t>
      </w:r>
    </w:p>
    <w:p w:rsidR="00732292" w:rsidP="006E563D" w14:paraId="7D13C81D" w14:textId="77777777">
      <w:pPr>
        <w:spacing w:after="0" w:line="240" w:lineRule="auto"/>
        <w:rPr>
          <w:rFonts w:asciiTheme="majorHAnsi" w:hAnsiTheme="majorHAnsi"/>
          <w:i/>
          <w:sz w:val="24"/>
        </w:rPr>
      </w:pPr>
    </w:p>
    <w:p w:rsidR="00F86C35" w:rsidP="006E563D" w14:paraId="4CBD3F84" w14:textId="4D2E980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6DAD08F3" w14:textId="53AED2D7">
      <w:pPr>
        <w:pStyle w:val="NormalWeb"/>
        <w:spacing w:line="288" w:lineRule="atLeast"/>
        <w:rPr>
          <w:rFonts w:asciiTheme="majorHAnsi" w:eastAsiaTheme="minorHAnsi" w:hAnsiTheme="majorHAnsi" w:cstheme="minorBidi"/>
          <w:i/>
          <w:szCs w:val="22"/>
        </w:rPr>
      </w:pPr>
      <w:r w:rsidRPr="2A9EBE88">
        <w:rPr>
          <w:rFonts w:asciiTheme="majorHAnsi" w:eastAsiaTheme="minorEastAsia" w:hAnsiTheme="majorHAnsi" w:cstheme="minorBidi"/>
        </w:rPr>
        <w:t>This collection of information does not require collection to be conducted in a manner inconsistent with the guidelines delineated in 5 CFR 1320.5(d)(2).</w:t>
      </w:r>
    </w:p>
    <w:p w:rsidR="00200261" w:rsidP="2A9EBE88" w14:paraId="223D478B" w14:textId="77777777">
      <w:pPr>
        <w:pStyle w:val="NormalWeb"/>
        <w:spacing w:line="288" w:lineRule="atLeast"/>
        <w:rPr>
          <w:rFonts w:asciiTheme="majorHAnsi" w:eastAsiaTheme="minorEastAsia" w:hAnsiTheme="majorHAnsi" w:cstheme="minorBidi"/>
          <w:u w:val="single"/>
        </w:rPr>
      </w:pPr>
      <w:r w:rsidRPr="2A9EBE88">
        <w:rPr>
          <w:rFonts w:asciiTheme="majorHAnsi" w:eastAsiaTheme="minorEastAsia" w:hAnsiTheme="majorHAnsi" w:cstheme="minorBidi"/>
        </w:rPr>
        <w:t xml:space="preserve">8. </w:t>
      </w:r>
      <w:r>
        <w:tab/>
      </w:r>
      <w:r w:rsidRPr="2A9EBE88">
        <w:rPr>
          <w:rFonts w:asciiTheme="majorHAnsi" w:eastAsiaTheme="minorEastAsia" w:hAnsiTheme="majorHAnsi" w:cstheme="minorBidi"/>
          <w:u w:val="single"/>
        </w:rPr>
        <w:t>Consultation and Public Comments</w:t>
      </w:r>
    </w:p>
    <w:p w:rsidR="00200261" w:rsidP="00200261" w14:paraId="23EE5D50" w14:textId="77777777">
      <w:pPr>
        <w:pStyle w:val="NormalWeb"/>
        <w:spacing w:line="288" w:lineRule="atLeast"/>
        <w:rPr>
          <w:rFonts w:asciiTheme="majorHAnsi" w:eastAsiaTheme="minorHAnsi" w:hAnsiTheme="majorHAnsi" w:cstheme="minorBidi"/>
          <w:szCs w:val="22"/>
        </w:rPr>
      </w:pPr>
      <w:r w:rsidRPr="455A6D37">
        <w:rPr>
          <w:rFonts w:asciiTheme="majorHAnsi" w:eastAsiaTheme="minorEastAsia" w:hAnsiTheme="majorHAnsi" w:cstheme="minorBidi"/>
        </w:rPr>
        <w:t>Part A: PUBLIC NOTICE</w:t>
      </w:r>
    </w:p>
    <w:p w:rsidR="7837E456" w:rsidP="7837E456" w14:paraId="7C8F4986" w14:textId="13CB0795">
      <w:pPr>
        <w:pStyle w:val="NormalWeb"/>
        <w:spacing w:line="288" w:lineRule="atLeast"/>
        <w:rPr>
          <w:rFonts w:asciiTheme="majorHAnsi" w:eastAsiaTheme="minorEastAsia" w:hAnsiTheme="majorHAnsi" w:cstheme="minorBidi"/>
        </w:rPr>
      </w:pPr>
      <w:r w:rsidRPr="455A6D37">
        <w:rPr>
          <w:rFonts w:asciiTheme="majorHAnsi" w:eastAsiaTheme="minorEastAsia" w:hAnsiTheme="majorHAnsi" w:cstheme="minorBidi"/>
        </w:rPr>
        <w:t xml:space="preserve">A 60-Day Federal Register Notice </w:t>
      </w:r>
      <w:r w:rsidRPr="455A6D37" w:rsidR="00502FF3">
        <w:rPr>
          <w:rFonts w:asciiTheme="majorHAnsi" w:eastAsiaTheme="minorEastAsia" w:hAnsiTheme="majorHAnsi" w:cstheme="minorBidi"/>
        </w:rPr>
        <w:t xml:space="preserve">(FRN) </w:t>
      </w:r>
      <w:r w:rsidRPr="455A6D37">
        <w:rPr>
          <w:rFonts w:asciiTheme="majorHAnsi" w:eastAsiaTheme="minorEastAsia" w:hAnsiTheme="majorHAnsi" w:cstheme="minorBidi"/>
        </w:rPr>
        <w:t>for the collection published on</w:t>
      </w:r>
      <w:r w:rsidRPr="455A6D37" w:rsidR="3F56283F">
        <w:rPr>
          <w:rFonts w:asciiTheme="majorHAnsi" w:eastAsiaTheme="minorEastAsia" w:hAnsiTheme="majorHAnsi" w:cstheme="minorBidi"/>
        </w:rPr>
        <w:t xml:space="preserve"> Tuesday, March 11, 2025</w:t>
      </w:r>
      <w:r w:rsidRPr="455A6D37">
        <w:rPr>
          <w:rFonts w:asciiTheme="majorHAnsi" w:eastAsiaTheme="minorEastAsia" w:hAnsiTheme="majorHAnsi" w:cstheme="minorBidi"/>
        </w:rPr>
        <w:t>.  The 60</w:t>
      </w:r>
      <w:r w:rsidRPr="00B263B6">
        <w:rPr>
          <w:rFonts w:asciiTheme="majorHAnsi" w:eastAsiaTheme="minorEastAsia" w:hAnsiTheme="majorHAnsi" w:cstheme="minorBidi"/>
        </w:rPr>
        <w:t xml:space="preserve">-Day FRN citation is </w:t>
      </w:r>
      <w:r w:rsidRPr="00B263B6" w:rsidR="53C0F01E">
        <w:rPr>
          <w:rFonts w:asciiTheme="majorHAnsi" w:eastAsiaTheme="minorEastAsia" w:hAnsiTheme="majorHAnsi" w:cstheme="minorBidi"/>
        </w:rPr>
        <w:t>90</w:t>
      </w:r>
      <w:r w:rsidRPr="00B263B6">
        <w:rPr>
          <w:rFonts w:asciiTheme="majorHAnsi" w:eastAsiaTheme="minorEastAsia" w:hAnsiTheme="majorHAnsi" w:cstheme="minorBidi"/>
        </w:rPr>
        <w:t xml:space="preserve"> FRN </w:t>
      </w:r>
      <w:r w:rsidRPr="00B263B6" w:rsidR="31CF1C6A">
        <w:rPr>
          <w:rFonts w:asciiTheme="majorHAnsi" w:eastAsiaTheme="minorEastAsia" w:hAnsiTheme="majorHAnsi" w:cstheme="minorBidi"/>
        </w:rPr>
        <w:t>11729</w:t>
      </w:r>
      <w:r w:rsidRPr="00B263B6">
        <w:rPr>
          <w:rFonts w:asciiTheme="majorHAnsi" w:eastAsiaTheme="minorEastAsia" w:hAnsiTheme="majorHAnsi" w:cstheme="minorBidi"/>
        </w:rPr>
        <w:t xml:space="preserve">. </w:t>
      </w:r>
      <w:r w:rsidRPr="00B263B6" w:rsidR="2C50CDEC">
        <w:rPr>
          <w:rFonts w:asciiTheme="majorHAnsi" w:eastAsiaTheme="minorEastAsia" w:hAnsiTheme="majorHAnsi" w:cstheme="minorBidi"/>
        </w:rPr>
        <w:t>CPSC</w:t>
      </w:r>
      <w:r w:rsidRPr="455A6D37" w:rsidR="2C50CDEC">
        <w:rPr>
          <w:rFonts w:asciiTheme="majorHAnsi" w:eastAsiaTheme="minorEastAsia" w:hAnsiTheme="majorHAnsi" w:cstheme="minorBidi"/>
        </w:rPr>
        <w:t xml:space="preserve"> received one comment </w:t>
      </w:r>
      <w:r w:rsidR="00432450">
        <w:rPr>
          <w:rFonts w:asciiTheme="majorHAnsi" w:eastAsiaTheme="minorEastAsia" w:hAnsiTheme="majorHAnsi" w:cstheme="minorBidi"/>
        </w:rPr>
        <w:t>in support of the</w:t>
      </w:r>
      <w:r w:rsidR="00A131AA">
        <w:rPr>
          <w:rFonts w:asciiTheme="majorHAnsi" w:eastAsiaTheme="minorEastAsia" w:hAnsiTheme="majorHAnsi" w:cstheme="minorBidi"/>
        </w:rPr>
        <w:t xml:space="preserve"> collection</w:t>
      </w:r>
      <w:r w:rsidRPr="455A6D37" w:rsidR="2C50CDEC">
        <w:rPr>
          <w:rFonts w:asciiTheme="majorHAnsi" w:eastAsiaTheme="minorEastAsia" w:hAnsiTheme="majorHAnsi" w:cstheme="minorBidi"/>
        </w:rPr>
        <w:t xml:space="preserve">. </w:t>
      </w:r>
      <w:r w:rsidR="003B3940">
        <w:rPr>
          <w:rFonts w:asciiTheme="majorHAnsi" w:eastAsiaTheme="minorEastAsia" w:hAnsiTheme="majorHAnsi" w:cstheme="minorBidi"/>
        </w:rPr>
        <w:t xml:space="preserve">The </w:t>
      </w:r>
      <w:r w:rsidR="003B3940">
        <w:rPr>
          <w:rFonts w:asciiTheme="majorHAnsi" w:eastAsiaTheme="minorEastAsia" w:hAnsiTheme="majorHAnsi" w:cstheme="minorBidi"/>
        </w:rPr>
        <w:t>comment is</w:t>
      </w:r>
      <w:r w:rsidR="003B3940">
        <w:rPr>
          <w:rFonts w:asciiTheme="majorHAnsi" w:eastAsiaTheme="minorEastAsia" w:hAnsiTheme="majorHAnsi" w:cstheme="minorBidi"/>
        </w:rPr>
        <w:t xml:space="preserve"> included below</w:t>
      </w:r>
      <w:r w:rsidR="00A61A77">
        <w:rPr>
          <w:rFonts w:asciiTheme="majorHAnsi" w:eastAsiaTheme="minorEastAsia" w:hAnsiTheme="majorHAnsi" w:cstheme="minorBidi"/>
        </w:rPr>
        <w:t>.</w:t>
      </w:r>
    </w:p>
    <w:p w:rsidR="0A7F4395" w:rsidRPr="00936B87" w:rsidP="0A7F4395" w14:paraId="69C2E52A" w14:textId="3AD5E19E">
      <w:pPr>
        <w:pStyle w:val="NormalWeb"/>
        <w:spacing w:line="288" w:lineRule="atLeast"/>
        <w:rPr>
          <w:rFonts w:asciiTheme="majorHAnsi" w:eastAsiaTheme="minorEastAsia" w:hAnsiTheme="majorHAnsi" w:cstheme="minorBidi"/>
          <w:i/>
          <w:iCs/>
          <w:sz w:val="22"/>
          <w:szCs w:val="22"/>
        </w:rPr>
      </w:pPr>
      <w:r w:rsidRPr="00936B87">
        <w:rPr>
          <w:i/>
          <w:iCs/>
          <w:sz w:val="22"/>
          <w:szCs w:val="22"/>
        </w:rPr>
        <w:t>Agency: Harris County Public Health, Environmental Public Health Division</w:t>
      </w:r>
      <w:r w:rsidRPr="00936B87">
        <w:rPr>
          <w:i/>
          <w:iCs/>
          <w:sz w:val="22"/>
          <w:szCs w:val="22"/>
        </w:rPr>
        <w:br/>
        <w:t>Title: Associate Director</w:t>
      </w:r>
      <w:r w:rsidRPr="00936B87">
        <w:rPr>
          <w:i/>
          <w:iCs/>
          <w:sz w:val="22"/>
          <w:szCs w:val="22"/>
        </w:rPr>
        <w:br/>
        <w:t>Name: Diane Davis</w:t>
      </w:r>
      <w:r w:rsidRPr="00936B87">
        <w:rPr>
          <w:i/>
          <w:iCs/>
          <w:sz w:val="22"/>
          <w:szCs w:val="22"/>
        </w:rPr>
        <w:br/>
      </w:r>
      <w:r w:rsidRPr="00936B87">
        <w:rPr>
          <w:i/>
          <w:iCs/>
          <w:sz w:val="22"/>
          <w:szCs w:val="22"/>
        </w:rPr>
        <w:br/>
        <w:t xml:space="preserve">As a current Pool Safety Grant Program recipient, it is our opinion that the proposed collection of information is adequate and necessary for the grantor to make a well-informed decision on awardees. It’s critical for the Grantor to understand the current community safety needs of the applicants, proposed planned activities to reduce pool-related injuries, illnesses, and deaths, as well as staffing needs to enforce pool safety regulations to allocate the limited funds equitably. The project narrative is necessary to provide an overview of the scope of the project, justifying the need for funding, and allowing previous grantees the opportunity to describe their successes and how the funding helped reduce drowning and drain entrapment. The budget narrative is crucial so that the grantee can provide an outline of how the funding will be spent and to ensure that funding is spent within the guidelines of the grant. Identifying the staff in the staffing plan, assures the grantor that the project will be staffed with the appropriate positions and outlines the duties/descriptions of each position. The indirect cost rate agreement informs the grantee of permissible costs that can be incurred and reimbursement, if the grant is awarded. </w:t>
      </w:r>
      <w:r w:rsidRPr="00936B87">
        <w:rPr>
          <w:i/>
          <w:iCs/>
          <w:sz w:val="22"/>
          <w:szCs w:val="22"/>
        </w:rPr>
        <w:t>All of</w:t>
      </w:r>
      <w:r w:rsidRPr="00936B87">
        <w:rPr>
          <w:i/>
          <w:iCs/>
          <w:sz w:val="22"/>
          <w:szCs w:val="22"/>
        </w:rPr>
        <w:t xml:space="preserve"> the information that is gathered is necessary to demonstrate the usefulness of the grant, as </w:t>
      </w:r>
      <w:r w:rsidRPr="00936B87">
        <w:rPr>
          <w:i/>
          <w:iCs/>
          <w:sz w:val="22"/>
          <w:szCs w:val="22"/>
        </w:rPr>
        <w:t>well</w:t>
      </w:r>
      <w:r w:rsidRPr="00936B87">
        <w:rPr>
          <w:i/>
          <w:iCs/>
          <w:sz w:val="22"/>
          <w:szCs w:val="22"/>
        </w:rPr>
        <w:t xml:space="preserve"> how the funds will be applied to achieve the desired outcome.</w:t>
      </w:r>
      <w:r w:rsidRPr="00936B87">
        <w:rPr>
          <w:i/>
          <w:iCs/>
          <w:sz w:val="22"/>
          <w:szCs w:val="22"/>
        </w:rPr>
        <w:br/>
      </w:r>
      <w:r w:rsidRPr="00936B87">
        <w:rPr>
          <w:i/>
          <w:iCs/>
          <w:sz w:val="22"/>
          <w:szCs w:val="22"/>
        </w:rPr>
        <w:br/>
        <w:t xml:space="preserve">For first-time </w:t>
      </w:r>
      <w:r w:rsidRPr="00936B87">
        <w:rPr>
          <w:i/>
          <w:iCs/>
          <w:sz w:val="22"/>
          <w:szCs w:val="22"/>
        </w:rPr>
        <w:t>applicant’s</w:t>
      </w:r>
      <w:r w:rsidRPr="00936B87">
        <w:rPr>
          <w:i/>
          <w:iCs/>
          <w:sz w:val="22"/>
          <w:szCs w:val="22"/>
        </w:rPr>
        <w:t xml:space="preserve">, </w:t>
      </w:r>
      <w:r w:rsidRPr="00936B87">
        <w:rPr>
          <w:i/>
          <w:iCs/>
          <w:sz w:val="22"/>
          <w:szCs w:val="22"/>
        </w:rPr>
        <w:t>the CPSC’s</w:t>
      </w:r>
      <w:r w:rsidRPr="00936B87">
        <w:rPr>
          <w:i/>
          <w:iCs/>
          <w:sz w:val="22"/>
          <w:szCs w:val="22"/>
        </w:rPr>
        <w:t xml:space="preserve"> estimated burden for the proposed collection of information is accurate. However, for historical applicants the estimated burden would be decreased significantly as the applicable background information such as staffing model, legal eligibility</w:t>
      </w:r>
      <w:r w:rsidRPr="00936B87">
        <w:rPr>
          <w:i/>
          <w:iCs/>
          <w:sz w:val="22"/>
          <w:szCs w:val="22"/>
        </w:rPr>
        <w:t>, indirect cost</w:t>
      </w:r>
      <w:r w:rsidRPr="00936B87">
        <w:rPr>
          <w:i/>
          <w:iCs/>
          <w:sz w:val="22"/>
          <w:szCs w:val="22"/>
        </w:rPr>
        <w:t xml:space="preserve"> rate agreement would not fluctuate much from previous applications.</w:t>
      </w:r>
      <w:r w:rsidRPr="00936B87">
        <w:rPr>
          <w:i/>
          <w:iCs/>
          <w:sz w:val="22"/>
          <w:szCs w:val="22"/>
        </w:rPr>
        <w:br/>
      </w:r>
      <w:r w:rsidRPr="00936B87">
        <w:rPr>
          <w:i/>
          <w:iCs/>
          <w:sz w:val="22"/>
          <w:szCs w:val="22"/>
        </w:rPr>
        <w:br/>
        <w:t>It is our opinion that the Notice of Funding Opportunity provides clear concise guidance on the application process. There are adequate details and justifications for each required attachment that facilitates a seamless application process.</w:t>
      </w:r>
      <w:r w:rsidRPr="00936B87">
        <w:rPr>
          <w:i/>
          <w:iCs/>
          <w:sz w:val="22"/>
          <w:szCs w:val="22"/>
        </w:rPr>
        <w:br/>
      </w:r>
      <w:r w:rsidRPr="00936B87">
        <w:rPr>
          <w:i/>
          <w:iCs/>
          <w:sz w:val="22"/>
          <w:szCs w:val="22"/>
        </w:rPr>
        <w:br/>
        <w:t>The current application submittal process through grants.gov is sufficient as it provides transparency of pertinent information and trackability of the status.</w:t>
      </w:r>
      <w:r w:rsidRPr="00936B87" w:rsidR="00F74060">
        <w:rPr>
          <w:rFonts w:asciiTheme="majorHAnsi" w:eastAsiaTheme="minorEastAsia" w:hAnsiTheme="majorHAnsi" w:cstheme="minorBidi"/>
          <w:i/>
          <w:iCs/>
          <w:sz w:val="22"/>
          <w:szCs w:val="22"/>
        </w:rPr>
        <w:t xml:space="preserve"> </w:t>
      </w:r>
    </w:p>
    <w:p w:rsidR="00502FF3" w:rsidP="455A6D37" w14:paraId="1F9C53E8" w14:textId="129594D4">
      <w:pPr>
        <w:pStyle w:val="NormalWeb"/>
        <w:spacing w:line="288" w:lineRule="atLeast"/>
        <w:rPr>
          <w:rFonts w:asciiTheme="majorHAnsi" w:eastAsiaTheme="minorEastAsia" w:hAnsiTheme="majorHAnsi" w:cstheme="minorBidi"/>
        </w:rPr>
      </w:pPr>
      <w:r w:rsidRPr="455A6D37">
        <w:rPr>
          <w:rFonts w:asciiTheme="majorHAnsi" w:eastAsiaTheme="minorEastAsia" w:hAnsiTheme="majorHAnsi" w:cstheme="minorBidi"/>
        </w:rPr>
        <w:t xml:space="preserve">A 30-Day Federal Register Notice for the collection published on </w:t>
      </w:r>
      <w:r w:rsidR="00B20147">
        <w:rPr>
          <w:rFonts w:asciiTheme="majorHAnsi" w:eastAsiaTheme="minorEastAsia" w:hAnsiTheme="majorHAnsi" w:cstheme="minorBidi"/>
        </w:rPr>
        <w:t>Friday, June 13, 2025</w:t>
      </w:r>
      <w:r w:rsidRPr="455A6D37">
        <w:rPr>
          <w:rFonts w:asciiTheme="majorHAnsi" w:eastAsiaTheme="minorEastAsia" w:hAnsiTheme="majorHAnsi" w:cstheme="minorBidi"/>
        </w:rPr>
        <w:t xml:space="preserve">.  The 30-Day </w:t>
      </w:r>
      <w:r w:rsidRPr="0072176B">
        <w:rPr>
          <w:rFonts w:asciiTheme="majorHAnsi" w:eastAsiaTheme="minorEastAsia" w:hAnsiTheme="majorHAnsi" w:cstheme="minorBidi"/>
        </w:rPr>
        <w:t xml:space="preserve">FRN citation is </w:t>
      </w:r>
      <w:r w:rsidRPr="0072176B" w:rsidR="0072176B">
        <w:rPr>
          <w:rFonts w:asciiTheme="majorHAnsi" w:eastAsiaTheme="minorEastAsia" w:hAnsiTheme="majorHAnsi" w:cstheme="minorBidi"/>
        </w:rPr>
        <w:t>90</w:t>
      </w:r>
      <w:r w:rsidRPr="0072176B" w:rsidR="00AE5CAE">
        <w:rPr>
          <w:rFonts w:asciiTheme="majorHAnsi" w:eastAsiaTheme="minorEastAsia" w:hAnsiTheme="majorHAnsi" w:cstheme="minorBidi"/>
        </w:rPr>
        <w:t xml:space="preserve"> </w:t>
      </w:r>
      <w:r w:rsidRPr="0072176B">
        <w:rPr>
          <w:rFonts w:asciiTheme="majorHAnsi" w:eastAsiaTheme="minorEastAsia" w:hAnsiTheme="majorHAnsi" w:cstheme="minorBidi"/>
        </w:rPr>
        <w:t xml:space="preserve">FRN </w:t>
      </w:r>
      <w:r w:rsidRPr="0072176B" w:rsidR="0072176B">
        <w:rPr>
          <w:rFonts w:asciiTheme="majorHAnsi" w:eastAsiaTheme="minorEastAsia" w:hAnsiTheme="majorHAnsi" w:cstheme="minorBidi"/>
        </w:rPr>
        <w:t>25037</w:t>
      </w:r>
      <w:r w:rsidRPr="0072176B">
        <w:rPr>
          <w:rFonts w:asciiTheme="majorHAnsi" w:eastAsiaTheme="minorEastAsia" w:hAnsiTheme="majorHAnsi" w:cstheme="minorBidi"/>
        </w:rPr>
        <w:t>.</w:t>
      </w:r>
    </w:p>
    <w:p w:rsidR="00A24175" w:rsidP="455A6D37" w14:paraId="799B379D" w14:textId="77777777">
      <w:pPr>
        <w:pStyle w:val="NormalWeb"/>
        <w:spacing w:line="288" w:lineRule="atLeast"/>
        <w:rPr>
          <w:rFonts w:asciiTheme="majorHAnsi" w:eastAsiaTheme="minorEastAsia" w:hAnsiTheme="majorHAnsi" w:cstheme="minorBidi"/>
        </w:rPr>
      </w:pPr>
      <w:r w:rsidRPr="455A6D37">
        <w:rPr>
          <w:rFonts w:asciiTheme="majorHAnsi" w:eastAsiaTheme="minorEastAsia" w:hAnsiTheme="majorHAnsi" w:cstheme="minorBidi"/>
        </w:rPr>
        <w:t>Part B: CONSULTATION</w:t>
      </w:r>
      <w:r w:rsidRPr="455A6D37" w:rsidR="0085688C">
        <w:rPr>
          <w:rFonts w:asciiTheme="majorHAnsi" w:eastAsiaTheme="minorEastAsia" w:hAnsiTheme="majorHAnsi" w:cstheme="minorBidi"/>
        </w:rPr>
        <w:t xml:space="preserve"> </w:t>
      </w:r>
    </w:p>
    <w:p w:rsidR="00A24175" w:rsidRPr="00A24175" w:rsidP="00A24175" w14:paraId="3F1FEBA5" w14:textId="77777777">
      <w:pPr>
        <w:rPr>
          <w:rFonts w:asciiTheme="majorHAnsi" w:hAnsiTheme="majorHAnsi"/>
          <w:sz w:val="24"/>
          <w:szCs w:val="24"/>
        </w:rPr>
      </w:pPr>
      <w:r w:rsidRPr="00A24175">
        <w:rPr>
          <w:rFonts w:asciiTheme="majorHAnsi" w:hAnsiTheme="majorHAnsi"/>
          <w:sz w:val="24"/>
          <w:szCs w:val="24"/>
        </w:rPr>
        <w:t xml:space="preserve">Applicants, potential applicants, and awardees can provide feedback on the application process and post-award administration. This is a continuous process. Historically, most of the feedback given to the CPSC has addressed the clarity of instructions and allowed the CPSC to improve its Funding Opportunity Announcements and the pre-award process. Additionally, CPSC has engaged with the Office of Management and Budget (OMB) on how agencies can simplify their grants announcements (NOFOs).  This is also a continuous process that will extend to fiscal year 2025. </w:t>
      </w:r>
    </w:p>
    <w:p w:rsidR="00C60565" w:rsidP="00A24175" w14:paraId="73005E2F" w14:textId="469FF8A0">
      <w:pPr>
        <w:pStyle w:val="NormalWeb"/>
        <w:spacing w:before="0" w:beforeAutospacing="0" w:after="0" w:afterAutospacing="0" w:line="288" w:lineRule="atLeast"/>
        <w:rPr>
          <w:rFonts w:asciiTheme="majorHAnsi" w:hAnsiTheme="majorHAnsi"/>
        </w:rPr>
      </w:pPr>
    </w:p>
    <w:p w:rsidR="00571698" w:rsidRPr="0085688C" w:rsidP="005E1A53" w14:paraId="4BAFE9DD" w14:textId="64FFB067">
      <w:pPr>
        <w:keepNext/>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5E1A53" w14:paraId="3FAF288E" w14:textId="77777777">
      <w:pPr>
        <w:keepNext/>
        <w:spacing w:after="0" w:line="240" w:lineRule="auto"/>
        <w:rPr>
          <w:rFonts w:asciiTheme="majorHAnsi" w:hAnsiTheme="majorHAnsi"/>
          <w:i/>
          <w:sz w:val="24"/>
        </w:rPr>
      </w:pPr>
    </w:p>
    <w:p w:rsidR="00C60565" w:rsidP="005E1A53" w14:paraId="2BAC71B1" w14:textId="11926487">
      <w:pPr>
        <w:keepNext/>
        <w:spacing w:after="0" w:line="240" w:lineRule="auto"/>
        <w:rPr>
          <w:rFonts w:asciiTheme="majorHAnsi" w:hAnsiTheme="majorHAnsi"/>
          <w:sz w:val="24"/>
        </w:rPr>
      </w:pPr>
      <w:r>
        <w:rPr>
          <w:rFonts w:asciiTheme="majorHAnsi" w:hAnsiTheme="majorHAnsi"/>
          <w:sz w:val="24"/>
        </w:rPr>
        <w:t>The grant awards will range from $50,000 to $400,000 each.</w:t>
      </w:r>
    </w:p>
    <w:p w:rsidR="00C60565" w:rsidP="006A13FA" w14:paraId="56537CDC" w14:textId="77777777">
      <w:pPr>
        <w:spacing w:after="0" w:line="240" w:lineRule="auto"/>
        <w:rPr>
          <w:rFonts w:asciiTheme="majorHAnsi" w:hAnsiTheme="majorHAnsi"/>
          <w:i/>
          <w:sz w:val="24"/>
        </w:rPr>
      </w:pPr>
    </w:p>
    <w:p w:rsidR="00F97482" w:rsidP="006A13FA" w14:paraId="3DB3A0A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A60F3" w:rsidP="00996894" w14:paraId="38B68262" w14:textId="77777777">
      <w:pPr>
        <w:spacing w:after="0" w:line="240" w:lineRule="auto"/>
        <w:rPr>
          <w:rFonts w:asciiTheme="majorHAnsi" w:hAnsiTheme="majorHAnsi"/>
          <w:i/>
          <w:sz w:val="24"/>
        </w:rPr>
      </w:pPr>
    </w:p>
    <w:p w:rsidR="00EA60F3" w:rsidRPr="00EA60F3" w:rsidP="00996894" w14:paraId="4C1CAA58" w14:textId="077C5B67">
      <w:pPr>
        <w:spacing w:after="0" w:line="240" w:lineRule="auto"/>
        <w:rPr>
          <w:rFonts w:asciiTheme="majorHAnsi" w:hAnsiTheme="majorHAnsi"/>
          <w:iCs/>
          <w:sz w:val="24"/>
        </w:rPr>
      </w:pPr>
      <w:r w:rsidRPr="00EA60F3">
        <w:rPr>
          <w:rFonts w:asciiTheme="majorHAnsi" w:hAnsiTheme="majorHAnsi"/>
          <w:iCs/>
          <w:sz w:val="24"/>
        </w:rPr>
        <w:t>CPSC will perform a privacy threshold analysis for this collection to determine whether a privacy impact assessment or system of records notice is required.</w:t>
      </w:r>
    </w:p>
    <w:p w:rsidR="00996894" w:rsidP="00996894" w14:paraId="11DA52BE" w14:textId="77777777">
      <w:pPr>
        <w:spacing w:after="0" w:line="240" w:lineRule="auto"/>
        <w:rPr>
          <w:rFonts w:asciiTheme="majorHAnsi" w:hAnsiTheme="majorHAnsi"/>
          <w:i/>
          <w:sz w:val="24"/>
        </w:rPr>
      </w:pPr>
    </w:p>
    <w:p w:rsidR="00996894" w:rsidP="00996894" w14:paraId="7FA50A20" w14:textId="5141F4F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C60565" w:rsidP="00996894" w14:paraId="05F29507" w14:textId="77777777">
      <w:pPr>
        <w:spacing w:after="0" w:line="240" w:lineRule="auto"/>
        <w:rPr>
          <w:rFonts w:asciiTheme="majorHAnsi" w:hAnsiTheme="majorHAnsi"/>
          <w:sz w:val="24"/>
        </w:rPr>
      </w:pPr>
    </w:p>
    <w:p w:rsidR="009A6246" w:rsidP="00337EF1" w14:paraId="10695E69" w14:textId="26E6406B">
      <w:pPr>
        <w:spacing w:after="0" w:line="240" w:lineRule="auto"/>
        <w:rPr>
          <w:rFonts w:asciiTheme="majorHAnsi" w:hAnsiTheme="majorHAnsi"/>
          <w:sz w:val="24"/>
        </w:rPr>
      </w:pPr>
      <w:r w:rsidRPr="00C6056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5579206" w14:textId="77777777">
      <w:pPr>
        <w:spacing w:after="0" w:line="240" w:lineRule="auto"/>
        <w:rPr>
          <w:rFonts w:asciiTheme="majorHAnsi" w:hAnsiTheme="majorHAnsi"/>
          <w:sz w:val="24"/>
        </w:rPr>
      </w:pPr>
    </w:p>
    <w:p w:rsidR="00D21AA6" w:rsidP="00337EF1" w14:paraId="7B89CCA3"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CC23C1" w:rsidP="00337EF1" w14:paraId="646A78DF" w14:textId="77777777">
      <w:pPr>
        <w:spacing w:after="0" w:line="240" w:lineRule="auto"/>
        <w:rPr>
          <w:rFonts w:asciiTheme="majorHAnsi" w:hAnsiTheme="majorHAnsi"/>
          <w:sz w:val="24"/>
          <w:u w:val="single"/>
        </w:rPr>
      </w:pPr>
    </w:p>
    <w:p w:rsidR="00CC23C1" w:rsidP="00CC23C1" w14:paraId="0B60F571" w14:textId="2748A93F">
      <w:pPr>
        <w:spacing w:after="0" w:line="240" w:lineRule="auto"/>
        <w:rPr>
          <w:rFonts w:asciiTheme="majorHAnsi" w:hAnsiTheme="majorHAnsi"/>
          <w:sz w:val="24"/>
        </w:rPr>
      </w:pPr>
      <w:r>
        <w:rPr>
          <w:rFonts w:asciiTheme="majorHAnsi" w:hAnsiTheme="majorHAnsi"/>
          <w:sz w:val="24"/>
        </w:rPr>
        <w:t>To apply for the PSGP,</w:t>
      </w:r>
      <w:r w:rsidRPr="00CC23C1">
        <w:rPr>
          <w:rFonts w:asciiTheme="majorHAnsi" w:hAnsiTheme="majorHAnsi"/>
          <w:sz w:val="24"/>
        </w:rPr>
        <w:t xml:space="preserve"> an applicant would typically provide </w:t>
      </w:r>
      <w:r w:rsidR="00321156">
        <w:rPr>
          <w:rFonts w:asciiTheme="majorHAnsi" w:hAnsiTheme="majorHAnsi"/>
          <w:sz w:val="24"/>
        </w:rPr>
        <w:t>6</w:t>
      </w:r>
      <w:r w:rsidRPr="00CC23C1">
        <w:rPr>
          <w:rFonts w:asciiTheme="majorHAnsi" w:hAnsiTheme="majorHAnsi"/>
          <w:sz w:val="24"/>
        </w:rPr>
        <w:t xml:space="preserve"> attachments</w:t>
      </w:r>
      <w:r>
        <w:rPr>
          <w:rFonts w:asciiTheme="majorHAnsi" w:hAnsiTheme="majorHAnsi"/>
          <w:sz w:val="24"/>
        </w:rPr>
        <w:t xml:space="preserve">, specific to the grant program. </w:t>
      </w:r>
    </w:p>
    <w:p w:rsidR="00CC23C1" w:rsidP="00CC23C1" w14:paraId="2B737263" w14:textId="77777777">
      <w:pPr>
        <w:spacing w:after="0" w:line="240" w:lineRule="auto"/>
        <w:rPr>
          <w:rFonts w:asciiTheme="majorHAnsi" w:hAnsiTheme="majorHAnsi"/>
          <w:sz w:val="24"/>
        </w:rPr>
      </w:pPr>
    </w:p>
    <w:p w:rsidR="00CC23C1" w:rsidP="00CC23C1" w14:paraId="1E878AF8" w14:textId="21B4AD92">
      <w:pPr>
        <w:spacing w:after="0" w:line="240" w:lineRule="auto"/>
        <w:rPr>
          <w:rFonts w:asciiTheme="majorHAnsi" w:hAnsiTheme="majorHAnsi"/>
          <w:sz w:val="24"/>
        </w:rPr>
      </w:pPr>
      <w:r>
        <w:rPr>
          <w:rFonts w:asciiTheme="majorHAnsi" w:hAnsiTheme="majorHAnsi"/>
          <w:sz w:val="24"/>
        </w:rPr>
        <w:t xml:space="preserve">Attachment 1, the project narrative, provides a description of community needs and is estimated to take 20 hours to prepare, on average. </w:t>
      </w:r>
    </w:p>
    <w:p w:rsidR="00CC23C1" w:rsidP="00CC23C1" w14:paraId="56C4DE8A" w14:textId="77777777">
      <w:pPr>
        <w:spacing w:after="0" w:line="240" w:lineRule="auto"/>
        <w:rPr>
          <w:rFonts w:asciiTheme="majorHAnsi" w:hAnsiTheme="majorHAnsi"/>
          <w:sz w:val="24"/>
        </w:rPr>
      </w:pPr>
    </w:p>
    <w:p w:rsidR="00CC23C1" w:rsidRPr="00CC23C1" w:rsidP="00CC23C1" w14:paraId="56E1F07F" w14:textId="66EC5048">
      <w:pPr>
        <w:spacing w:after="0" w:line="240" w:lineRule="auto"/>
        <w:rPr>
          <w:rFonts w:asciiTheme="majorHAnsi" w:hAnsiTheme="majorHAnsi"/>
          <w:sz w:val="24"/>
        </w:rPr>
      </w:pPr>
      <w:r w:rsidRPr="00CC23C1">
        <w:rPr>
          <w:rFonts w:asciiTheme="majorHAnsi" w:hAnsiTheme="majorHAnsi"/>
          <w:sz w:val="24"/>
        </w:rPr>
        <w:t>Attachment 2</w:t>
      </w:r>
      <w:r>
        <w:rPr>
          <w:rFonts w:asciiTheme="majorHAnsi" w:hAnsiTheme="majorHAnsi"/>
          <w:sz w:val="24"/>
        </w:rPr>
        <w:t>, the b</w:t>
      </w:r>
      <w:r w:rsidRPr="00CC23C1">
        <w:rPr>
          <w:rFonts w:asciiTheme="majorHAnsi" w:hAnsiTheme="majorHAnsi"/>
          <w:sz w:val="24"/>
        </w:rPr>
        <w:t xml:space="preserve">udget </w:t>
      </w:r>
      <w:r>
        <w:rPr>
          <w:rFonts w:asciiTheme="majorHAnsi" w:hAnsiTheme="majorHAnsi"/>
          <w:sz w:val="24"/>
        </w:rPr>
        <w:t>n</w:t>
      </w:r>
      <w:r w:rsidRPr="00CC23C1">
        <w:rPr>
          <w:rFonts w:asciiTheme="majorHAnsi" w:hAnsiTheme="majorHAnsi"/>
          <w:sz w:val="24"/>
        </w:rPr>
        <w:t>arrative</w:t>
      </w:r>
      <w:r>
        <w:rPr>
          <w:rFonts w:asciiTheme="majorHAnsi" w:hAnsiTheme="majorHAnsi"/>
          <w:sz w:val="24"/>
        </w:rPr>
        <w:t>,</w:t>
      </w:r>
      <w:r w:rsidRPr="00CC23C1">
        <w:rPr>
          <w:rFonts w:asciiTheme="majorHAnsi" w:hAnsiTheme="majorHAnsi"/>
          <w:sz w:val="24"/>
        </w:rPr>
        <w:t xml:space="preserve"> presents each federal budget category with an explanation of each line item, as well as providing an estimated cost basis calculation. Cost estimates are based on prior experience delivering similarly scoped projects in addition to cost pricing research</w:t>
      </w:r>
      <w:r>
        <w:rPr>
          <w:rFonts w:asciiTheme="majorHAnsi" w:hAnsiTheme="majorHAnsi"/>
          <w:sz w:val="24"/>
        </w:rPr>
        <w:t xml:space="preserve">. Attachment 2 is estimated to take 10 hours to prepare, on average. </w:t>
      </w:r>
    </w:p>
    <w:p w:rsidR="00CC23C1" w:rsidP="00CC23C1" w14:paraId="374432E3" w14:textId="77777777">
      <w:pPr>
        <w:spacing w:after="0" w:line="240" w:lineRule="auto"/>
        <w:rPr>
          <w:rFonts w:asciiTheme="majorHAnsi" w:hAnsiTheme="majorHAnsi"/>
          <w:sz w:val="24"/>
        </w:rPr>
      </w:pPr>
    </w:p>
    <w:p w:rsidR="00CC23C1" w:rsidRPr="00CC23C1" w:rsidP="00CC23C1" w14:paraId="45A0228E" w14:textId="7653513B">
      <w:pPr>
        <w:spacing w:after="0" w:line="240" w:lineRule="auto"/>
        <w:rPr>
          <w:rFonts w:asciiTheme="majorHAnsi" w:hAnsiTheme="majorHAnsi"/>
          <w:sz w:val="24"/>
        </w:rPr>
      </w:pPr>
      <w:r w:rsidRPr="00CC23C1">
        <w:rPr>
          <w:rFonts w:asciiTheme="majorHAnsi" w:hAnsiTheme="majorHAnsi"/>
          <w:sz w:val="24"/>
        </w:rPr>
        <w:t>Attachment 3</w:t>
      </w:r>
      <w:r>
        <w:rPr>
          <w:rFonts w:asciiTheme="majorHAnsi" w:hAnsiTheme="majorHAnsi"/>
          <w:sz w:val="24"/>
        </w:rPr>
        <w:t>, the</w:t>
      </w:r>
      <w:r w:rsidRPr="00CC23C1">
        <w:rPr>
          <w:rFonts w:asciiTheme="majorHAnsi" w:hAnsiTheme="majorHAnsi"/>
          <w:sz w:val="24"/>
        </w:rPr>
        <w:t xml:space="preserve"> </w:t>
      </w:r>
      <w:r>
        <w:rPr>
          <w:rFonts w:asciiTheme="majorHAnsi" w:hAnsiTheme="majorHAnsi"/>
          <w:sz w:val="24"/>
        </w:rPr>
        <w:t>s</w:t>
      </w:r>
      <w:r w:rsidRPr="00CC23C1">
        <w:rPr>
          <w:rFonts w:asciiTheme="majorHAnsi" w:hAnsiTheme="majorHAnsi"/>
          <w:sz w:val="24"/>
        </w:rPr>
        <w:t>chedule</w:t>
      </w:r>
      <w:r>
        <w:rPr>
          <w:rFonts w:asciiTheme="majorHAnsi" w:hAnsiTheme="majorHAnsi"/>
          <w:sz w:val="24"/>
        </w:rPr>
        <w:t>, is</w:t>
      </w:r>
      <w:r w:rsidRPr="00CC23C1">
        <w:rPr>
          <w:rFonts w:asciiTheme="majorHAnsi" w:hAnsiTheme="majorHAnsi"/>
          <w:sz w:val="24"/>
        </w:rPr>
        <w:t xml:space="preserve"> </w:t>
      </w:r>
      <w:r>
        <w:rPr>
          <w:rFonts w:asciiTheme="majorHAnsi" w:hAnsiTheme="majorHAnsi"/>
          <w:sz w:val="24"/>
        </w:rPr>
        <w:t>a</w:t>
      </w:r>
      <w:r w:rsidRPr="00CC23C1">
        <w:rPr>
          <w:rFonts w:asciiTheme="majorHAnsi" w:hAnsiTheme="majorHAnsi"/>
          <w:sz w:val="24"/>
        </w:rPr>
        <w:t xml:space="preserve"> multi-year project schedule/timeline, </w:t>
      </w:r>
      <w:r>
        <w:rPr>
          <w:rFonts w:asciiTheme="majorHAnsi" w:hAnsiTheme="majorHAnsi"/>
          <w:sz w:val="24"/>
        </w:rPr>
        <w:t xml:space="preserve">which typically includes </w:t>
      </w:r>
      <w:r w:rsidRPr="00CC23C1">
        <w:rPr>
          <w:rFonts w:asciiTheme="majorHAnsi" w:hAnsiTheme="majorHAnsi"/>
          <w:sz w:val="24"/>
        </w:rPr>
        <w:t>a supporting organizational chart.</w:t>
      </w:r>
      <w:r>
        <w:rPr>
          <w:rFonts w:asciiTheme="majorHAnsi" w:hAnsiTheme="majorHAnsi"/>
          <w:sz w:val="24"/>
        </w:rPr>
        <w:t xml:space="preserve"> Attachment 3 is estimated to take 6 hours to prepare, on average.</w:t>
      </w:r>
    </w:p>
    <w:p w:rsidR="00CC23C1" w:rsidP="00CC23C1" w14:paraId="0658F3DE" w14:textId="77777777">
      <w:pPr>
        <w:spacing w:after="0" w:line="240" w:lineRule="auto"/>
        <w:rPr>
          <w:rFonts w:asciiTheme="majorHAnsi" w:hAnsiTheme="majorHAnsi"/>
          <w:sz w:val="24"/>
        </w:rPr>
      </w:pPr>
    </w:p>
    <w:p w:rsidR="00CC23C1" w:rsidP="00CC23C1" w14:paraId="484F4101" w14:textId="475C7535">
      <w:pPr>
        <w:spacing w:after="0" w:line="240" w:lineRule="auto"/>
        <w:rPr>
          <w:rFonts w:asciiTheme="majorHAnsi" w:hAnsiTheme="majorHAnsi"/>
          <w:sz w:val="24"/>
        </w:rPr>
      </w:pPr>
      <w:r w:rsidRPr="00CC23C1">
        <w:rPr>
          <w:rFonts w:asciiTheme="majorHAnsi" w:hAnsiTheme="majorHAnsi"/>
          <w:sz w:val="24"/>
        </w:rPr>
        <w:t>Attachment 4</w:t>
      </w:r>
      <w:r>
        <w:rPr>
          <w:rFonts w:asciiTheme="majorHAnsi" w:hAnsiTheme="majorHAnsi"/>
          <w:sz w:val="24"/>
        </w:rPr>
        <w:t>,</w:t>
      </w:r>
      <w:r w:rsidRPr="00CC23C1">
        <w:rPr>
          <w:rFonts w:asciiTheme="majorHAnsi" w:hAnsiTheme="majorHAnsi"/>
          <w:sz w:val="24"/>
        </w:rPr>
        <w:t xml:space="preserve"> </w:t>
      </w:r>
      <w:r>
        <w:rPr>
          <w:rFonts w:asciiTheme="majorHAnsi" w:hAnsiTheme="majorHAnsi"/>
          <w:sz w:val="24"/>
        </w:rPr>
        <w:t>the s</w:t>
      </w:r>
      <w:r w:rsidRPr="00CC23C1">
        <w:rPr>
          <w:rFonts w:asciiTheme="majorHAnsi" w:hAnsiTheme="majorHAnsi"/>
          <w:sz w:val="24"/>
        </w:rPr>
        <w:t xml:space="preserve">taffing </w:t>
      </w:r>
      <w:r>
        <w:rPr>
          <w:rFonts w:asciiTheme="majorHAnsi" w:hAnsiTheme="majorHAnsi"/>
          <w:sz w:val="24"/>
        </w:rPr>
        <w:t>p</w:t>
      </w:r>
      <w:r w:rsidRPr="00CC23C1">
        <w:rPr>
          <w:rFonts w:asciiTheme="majorHAnsi" w:hAnsiTheme="majorHAnsi"/>
          <w:sz w:val="24"/>
        </w:rPr>
        <w:t>lan</w:t>
      </w:r>
      <w:r>
        <w:rPr>
          <w:rFonts w:asciiTheme="majorHAnsi" w:hAnsiTheme="majorHAnsi"/>
          <w:sz w:val="24"/>
        </w:rPr>
        <w:t>, is a</w:t>
      </w:r>
      <w:r w:rsidRPr="00CC23C1">
        <w:rPr>
          <w:rFonts w:asciiTheme="majorHAnsi" w:hAnsiTheme="majorHAnsi"/>
          <w:sz w:val="24"/>
        </w:rPr>
        <w:t xml:space="preserve"> detailed staffing plan, </w:t>
      </w:r>
      <w:r>
        <w:rPr>
          <w:rFonts w:asciiTheme="majorHAnsi" w:hAnsiTheme="majorHAnsi"/>
          <w:sz w:val="24"/>
        </w:rPr>
        <w:t>with</w:t>
      </w:r>
      <w:r w:rsidRPr="00CC23C1">
        <w:rPr>
          <w:rFonts w:asciiTheme="majorHAnsi" w:hAnsiTheme="majorHAnsi"/>
          <w:sz w:val="24"/>
        </w:rPr>
        <w:t xml:space="preserve"> a narrative that describes and identifies each program staff member with the amount of time the staff member will participate in grant program funded work.</w:t>
      </w:r>
      <w:r>
        <w:rPr>
          <w:rFonts w:asciiTheme="majorHAnsi" w:hAnsiTheme="majorHAnsi"/>
          <w:sz w:val="24"/>
        </w:rPr>
        <w:t xml:space="preserve"> Attachment 4 is estimated to take 6 hours to prepare, on average.</w:t>
      </w:r>
    </w:p>
    <w:p w:rsidR="00321156" w:rsidP="00CC23C1" w14:paraId="4241E755" w14:textId="77777777">
      <w:pPr>
        <w:spacing w:after="0" w:line="240" w:lineRule="auto"/>
        <w:rPr>
          <w:rFonts w:asciiTheme="majorHAnsi" w:hAnsiTheme="majorHAnsi"/>
          <w:sz w:val="24"/>
        </w:rPr>
      </w:pPr>
    </w:p>
    <w:p w:rsidR="00321156" w:rsidP="00CC23C1" w14:paraId="45CD83D8" w14:textId="047B823D">
      <w:pPr>
        <w:spacing w:after="0" w:line="240" w:lineRule="auto"/>
        <w:rPr>
          <w:rFonts w:asciiTheme="majorHAnsi" w:hAnsiTheme="majorHAnsi"/>
          <w:sz w:val="24"/>
        </w:rPr>
      </w:pPr>
      <w:r>
        <w:rPr>
          <w:rFonts w:asciiTheme="majorHAnsi" w:hAnsiTheme="majorHAnsi"/>
          <w:sz w:val="24"/>
        </w:rPr>
        <w:t>Attachment 5 describes laws that are in effect for residential pools in the region. The attachment includes the relevant code sections which meet the satisfaction of VGB Act requirements from scope of authority, construction requirements, inspection of aquatic facilities, to enforcement of the requirements of the minimum state requirements specified in section 1406 of the VGB Act.</w:t>
      </w:r>
      <w:r w:rsidR="00002264">
        <w:rPr>
          <w:rFonts w:asciiTheme="majorHAnsi" w:hAnsiTheme="majorHAnsi"/>
          <w:sz w:val="24"/>
        </w:rPr>
        <w:t xml:space="preserve"> Attachment 5 is estimated to take 1 hour to prepare, on average.</w:t>
      </w:r>
    </w:p>
    <w:p w:rsidR="00321156" w:rsidP="00CC23C1" w14:paraId="54D5C6D4" w14:textId="77777777">
      <w:pPr>
        <w:spacing w:after="0" w:line="240" w:lineRule="auto"/>
        <w:rPr>
          <w:rFonts w:asciiTheme="majorHAnsi" w:hAnsiTheme="majorHAnsi"/>
          <w:sz w:val="24"/>
        </w:rPr>
      </w:pPr>
    </w:p>
    <w:p w:rsidR="00321156" w:rsidP="00CC23C1" w14:paraId="26501127" w14:textId="2398DF7E">
      <w:pPr>
        <w:spacing w:after="0" w:line="240" w:lineRule="auto"/>
        <w:rPr>
          <w:rFonts w:asciiTheme="majorHAnsi" w:hAnsiTheme="majorHAnsi"/>
          <w:sz w:val="24"/>
        </w:rPr>
      </w:pPr>
      <w:r>
        <w:rPr>
          <w:rFonts w:asciiTheme="majorHAnsi" w:hAnsiTheme="majorHAnsi"/>
          <w:sz w:val="24"/>
        </w:rPr>
        <w:t xml:space="preserve">Attachment 6, the indirect cost rate agreement, </w:t>
      </w:r>
      <w:r w:rsidR="00002264">
        <w:rPr>
          <w:rFonts w:asciiTheme="majorHAnsi" w:hAnsiTheme="majorHAnsi"/>
          <w:sz w:val="24"/>
        </w:rPr>
        <w:t xml:space="preserve">certifies that the award recipient (1) has never received a federally negotiated indirect cost rate for any federal awards, (2) has received less than $35 million in direct funding for the fiscal year requested, (3) the di </w:t>
      </w:r>
      <w:r w:rsidR="00002264">
        <w:rPr>
          <w:rFonts w:asciiTheme="majorHAnsi" w:hAnsiTheme="majorHAnsi"/>
          <w:sz w:val="24"/>
        </w:rPr>
        <w:t>minimus</w:t>
      </w:r>
      <w:r w:rsidR="00002264">
        <w:rPr>
          <w:rFonts w:asciiTheme="majorHAnsi" w:hAnsiTheme="majorHAnsi"/>
          <w:sz w:val="24"/>
        </w:rPr>
        <w:t xml:space="preserve"> rate approved will be applied to Modified Total Direct Costs regarding salaries, wages, applicable fringe benefits, supplies and other items, (4) the project costs will not be double charged, and (5) the proper use and application of the di </w:t>
      </w:r>
      <w:r w:rsidR="00002264">
        <w:rPr>
          <w:rFonts w:asciiTheme="majorHAnsi" w:hAnsiTheme="majorHAnsi"/>
          <w:sz w:val="24"/>
        </w:rPr>
        <w:t>minimus</w:t>
      </w:r>
      <w:r w:rsidR="00002264">
        <w:rPr>
          <w:rFonts w:asciiTheme="majorHAnsi" w:hAnsiTheme="majorHAnsi"/>
          <w:sz w:val="24"/>
        </w:rPr>
        <w:t xml:space="preserve"> rate is the responsibility of the award recipient. The certification must be signed and dated.  Attachment 6 is estimated to take 1 hour to prepare, on average.</w:t>
      </w:r>
    </w:p>
    <w:p w:rsidR="00CC23C1" w:rsidRPr="00CC23C1" w:rsidP="00CC23C1" w14:paraId="2477CBE7" w14:textId="77777777">
      <w:pPr>
        <w:spacing w:after="0" w:line="240" w:lineRule="auto"/>
        <w:rPr>
          <w:rFonts w:asciiTheme="majorHAnsi" w:hAnsiTheme="majorHAnsi"/>
          <w:sz w:val="24"/>
        </w:rPr>
      </w:pPr>
    </w:p>
    <w:p w:rsidR="00CC23C1" w:rsidP="00CC23C1" w14:paraId="55F08A16" w14:textId="63006D6A">
      <w:pPr>
        <w:spacing w:after="0" w:line="240" w:lineRule="auto"/>
        <w:rPr>
          <w:rFonts w:asciiTheme="majorHAnsi" w:hAnsiTheme="majorHAnsi"/>
          <w:sz w:val="24"/>
        </w:rPr>
      </w:pPr>
      <w:r w:rsidRPr="00CC23C1">
        <w:rPr>
          <w:rFonts w:asciiTheme="majorHAnsi" w:hAnsiTheme="majorHAnsi"/>
          <w:sz w:val="24"/>
        </w:rPr>
        <w:t>Therefore, to complete attachments 1-</w:t>
      </w:r>
      <w:r w:rsidR="00002264">
        <w:rPr>
          <w:rFonts w:asciiTheme="majorHAnsi" w:hAnsiTheme="majorHAnsi"/>
          <w:sz w:val="24"/>
        </w:rPr>
        <w:t>6</w:t>
      </w:r>
      <w:r w:rsidRPr="00CC23C1">
        <w:rPr>
          <w:rFonts w:asciiTheme="majorHAnsi" w:hAnsiTheme="majorHAnsi"/>
          <w:sz w:val="24"/>
        </w:rPr>
        <w:t xml:space="preserve"> we estimate it would take the applicant approximately 4</w:t>
      </w:r>
      <w:r w:rsidR="00002264">
        <w:rPr>
          <w:rFonts w:asciiTheme="majorHAnsi" w:hAnsiTheme="majorHAnsi"/>
          <w:sz w:val="24"/>
        </w:rPr>
        <w:t>4</w:t>
      </w:r>
      <w:r w:rsidRPr="00CC23C1">
        <w:rPr>
          <w:rFonts w:asciiTheme="majorHAnsi" w:hAnsiTheme="majorHAnsi"/>
          <w:sz w:val="24"/>
        </w:rPr>
        <w:t xml:space="preserve"> hours to compile these materials.</w:t>
      </w:r>
      <w:r w:rsidR="006B2A21">
        <w:rPr>
          <w:rFonts w:asciiTheme="majorHAnsi" w:hAnsiTheme="majorHAnsi"/>
          <w:sz w:val="24"/>
        </w:rPr>
        <w:t xml:space="preserve"> CPSC expects to receive </w:t>
      </w:r>
      <w:r w:rsidR="00002264">
        <w:rPr>
          <w:rFonts w:asciiTheme="majorHAnsi" w:hAnsiTheme="majorHAnsi"/>
          <w:sz w:val="24"/>
        </w:rPr>
        <w:t>20</w:t>
      </w:r>
      <w:r w:rsidR="006B2A21">
        <w:rPr>
          <w:rFonts w:asciiTheme="majorHAnsi" w:hAnsiTheme="majorHAnsi"/>
          <w:sz w:val="24"/>
        </w:rPr>
        <w:t xml:space="preserve"> grant applications that utilize the attachments described, for a total burden hour estimate of </w:t>
      </w:r>
      <w:r w:rsidR="00002264">
        <w:rPr>
          <w:rFonts w:asciiTheme="majorHAnsi" w:hAnsiTheme="majorHAnsi"/>
          <w:sz w:val="24"/>
        </w:rPr>
        <w:t>880</w:t>
      </w:r>
      <w:r w:rsidR="006B2A21">
        <w:rPr>
          <w:rFonts w:asciiTheme="majorHAnsi" w:hAnsiTheme="majorHAnsi"/>
          <w:sz w:val="24"/>
        </w:rPr>
        <w:t xml:space="preserve"> hours (4</w:t>
      </w:r>
      <w:r w:rsidR="00002264">
        <w:rPr>
          <w:rFonts w:asciiTheme="majorHAnsi" w:hAnsiTheme="majorHAnsi"/>
          <w:sz w:val="24"/>
        </w:rPr>
        <w:t>4</w:t>
      </w:r>
      <w:r w:rsidR="006B2A21">
        <w:rPr>
          <w:rFonts w:asciiTheme="majorHAnsi" w:hAnsiTheme="majorHAnsi"/>
          <w:sz w:val="24"/>
        </w:rPr>
        <w:t xml:space="preserve"> hours per application × </w:t>
      </w:r>
      <w:r w:rsidR="00002264">
        <w:rPr>
          <w:rFonts w:asciiTheme="majorHAnsi" w:hAnsiTheme="majorHAnsi"/>
          <w:sz w:val="24"/>
        </w:rPr>
        <w:t>20</w:t>
      </w:r>
      <w:r w:rsidR="006B2A21">
        <w:rPr>
          <w:rFonts w:asciiTheme="majorHAnsi" w:hAnsiTheme="majorHAnsi"/>
          <w:sz w:val="24"/>
        </w:rPr>
        <w:t xml:space="preserve"> applications).</w:t>
      </w:r>
    </w:p>
    <w:p w:rsidR="000F66CC" w:rsidP="00CC23C1" w14:paraId="31F34265" w14:textId="77777777">
      <w:pPr>
        <w:spacing w:after="0" w:line="240" w:lineRule="auto"/>
        <w:rPr>
          <w:rFonts w:asciiTheme="majorHAnsi" w:hAnsiTheme="majorHAnsi"/>
          <w:sz w:val="24"/>
        </w:rPr>
      </w:pPr>
    </w:p>
    <w:p w:rsidR="000F66CC" w:rsidP="000F66CC" w14:paraId="784C63EB" w14:textId="26B0C68A">
      <w:pPr>
        <w:autoSpaceDE w:val="0"/>
        <w:autoSpaceDN w:val="0"/>
        <w:adjustRightInd w:val="0"/>
        <w:spacing w:after="0" w:line="240" w:lineRule="auto"/>
        <w:rPr>
          <w:rFonts w:asciiTheme="majorHAnsi" w:hAnsiTheme="majorHAnsi" w:cs="Melior"/>
          <w:sz w:val="24"/>
          <w:szCs w:val="24"/>
        </w:rPr>
      </w:pPr>
      <w:r w:rsidRPr="00506DD2">
        <w:rPr>
          <w:rFonts w:asciiTheme="majorHAnsi" w:hAnsiTheme="majorHAnsi" w:cs="Melior"/>
          <w:sz w:val="24"/>
          <w:szCs w:val="24"/>
        </w:rPr>
        <w:t>We estimate t</w:t>
      </w:r>
      <w:r w:rsidR="006B2A21">
        <w:rPr>
          <w:rFonts w:asciiTheme="majorHAnsi" w:hAnsiTheme="majorHAnsi" w:cs="Melior"/>
          <w:sz w:val="24"/>
          <w:szCs w:val="24"/>
        </w:rPr>
        <w:t>he</w:t>
      </w:r>
      <w:r w:rsidRPr="00506DD2">
        <w:rPr>
          <w:rFonts w:asciiTheme="majorHAnsi" w:hAnsiTheme="majorHAnsi" w:cs="Melior"/>
          <w:sz w:val="24"/>
          <w:szCs w:val="24"/>
        </w:rPr>
        <w:t xml:space="preserve"> compensation</w:t>
      </w:r>
      <w:r>
        <w:rPr>
          <w:rFonts w:asciiTheme="majorHAnsi" w:hAnsiTheme="majorHAnsi" w:cs="Melior"/>
          <w:sz w:val="24"/>
          <w:szCs w:val="24"/>
        </w:rPr>
        <w:t xml:space="preserve"> </w:t>
      </w:r>
      <w:r w:rsidRPr="00506DD2">
        <w:rPr>
          <w:rFonts w:asciiTheme="majorHAnsi" w:hAnsiTheme="majorHAnsi" w:cs="Melior"/>
          <w:sz w:val="24"/>
          <w:szCs w:val="24"/>
        </w:rPr>
        <w:t xml:space="preserve">for the </w:t>
      </w:r>
      <w:r w:rsidR="006B2A21">
        <w:rPr>
          <w:rFonts w:asciiTheme="majorHAnsi" w:hAnsiTheme="majorHAnsi" w:cs="Melior"/>
          <w:sz w:val="24"/>
          <w:szCs w:val="24"/>
        </w:rPr>
        <w:t>creation and compilation of Attachments 1-</w:t>
      </w:r>
      <w:r w:rsidR="00002264">
        <w:rPr>
          <w:rFonts w:asciiTheme="majorHAnsi" w:hAnsiTheme="majorHAnsi" w:cs="Melior"/>
          <w:sz w:val="24"/>
          <w:szCs w:val="24"/>
        </w:rPr>
        <w:t>6</w:t>
      </w:r>
      <w:r w:rsidRPr="00506DD2">
        <w:rPr>
          <w:rFonts w:asciiTheme="majorHAnsi" w:hAnsiTheme="majorHAnsi" w:cs="Melior"/>
          <w:sz w:val="24"/>
          <w:szCs w:val="24"/>
        </w:rPr>
        <w:t xml:space="preserve"> is</w:t>
      </w:r>
      <w:r>
        <w:rPr>
          <w:rFonts w:asciiTheme="majorHAnsi" w:hAnsiTheme="majorHAnsi" w:cs="Melior"/>
          <w:sz w:val="24"/>
          <w:szCs w:val="24"/>
        </w:rPr>
        <w:t xml:space="preserve"> </w:t>
      </w:r>
      <w:r w:rsidRPr="00F906F8">
        <w:rPr>
          <w:rFonts w:asciiTheme="majorHAnsi" w:hAnsiTheme="majorHAnsi" w:cs="Melior"/>
          <w:sz w:val="24"/>
          <w:szCs w:val="24"/>
        </w:rPr>
        <w:t>$</w:t>
      </w:r>
      <w:r w:rsidR="006B2A21">
        <w:rPr>
          <w:rFonts w:asciiTheme="majorHAnsi" w:hAnsiTheme="majorHAnsi" w:cs="Melior"/>
          <w:sz w:val="24"/>
          <w:szCs w:val="24"/>
        </w:rPr>
        <w:t>62.92 per hour</w:t>
      </w:r>
      <w:r w:rsidRPr="00F906F8">
        <w:rPr>
          <w:rFonts w:asciiTheme="majorHAnsi" w:hAnsiTheme="majorHAnsi" w:cs="Melior"/>
          <w:sz w:val="24"/>
          <w:szCs w:val="24"/>
        </w:rPr>
        <w:t xml:space="preserve"> (U.S. Bureau of Labor Statistics,</w:t>
      </w:r>
      <w:r>
        <w:rPr>
          <w:rFonts w:asciiTheme="majorHAnsi" w:hAnsiTheme="majorHAnsi" w:cs="Melior"/>
          <w:sz w:val="24"/>
          <w:szCs w:val="24"/>
        </w:rPr>
        <w:t xml:space="preserve"> </w:t>
      </w:r>
      <w:r w:rsidRPr="00F906F8">
        <w:rPr>
          <w:rFonts w:asciiTheme="majorHAnsi" w:hAnsiTheme="majorHAnsi" w:cs="Melior"/>
          <w:sz w:val="24"/>
          <w:szCs w:val="24"/>
        </w:rPr>
        <w:t>‘‘Employer Costs for Employee</w:t>
      </w:r>
      <w:r>
        <w:rPr>
          <w:rFonts w:asciiTheme="majorHAnsi" w:hAnsiTheme="majorHAnsi" w:cs="Melior"/>
          <w:sz w:val="24"/>
          <w:szCs w:val="24"/>
        </w:rPr>
        <w:t xml:space="preserve"> </w:t>
      </w:r>
      <w:r w:rsidRPr="00F906F8">
        <w:rPr>
          <w:rFonts w:asciiTheme="majorHAnsi" w:hAnsiTheme="majorHAnsi" w:cs="Melior"/>
          <w:sz w:val="24"/>
          <w:szCs w:val="24"/>
        </w:rPr>
        <w:t xml:space="preserve">Compensation,’’ </w:t>
      </w:r>
      <w:r w:rsidR="006B2A21">
        <w:rPr>
          <w:rFonts w:asciiTheme="majorHAnsi" w:hAnsiTheme="majorHAnsi" w:cs="Melior"/>
          <w:sz w:val="24"/>
          <w:szCs w:val="24"/>
        </w:rPr>
        <w:t>September 2024</w:t>
      </w:r>
      <w:r w:rsidRPr="00F906F8">
        <w:rPr>
          <w:rFonts w:asciiTheme="majorHAnsi" w:hAnsiTheme="majorHAnsi" w:cs="Melior"/>
          <w:sz w:val="24"/>
          <w:szCs w:val="24"/>
        </w:rPr>
        <w:t>, total compensation for</w:t>
      </w:r>
      <w:r w:rsidR="006B2A21">
        <w:rPr>
          <w:rFonts w:asciiTheme="majorHAnsi" w:hAnsiTheme="majorHAnsi" w:cs="Melior"/>
          <w:sz w:val="24"/>
          <w:szCs w:val="24"/>
        </w:rPr>
        <w:t xml:space="preserve"> state and local government workers</w:t>
      </w:r>
      <w:r w:rsidRPr="00F906F8">
        <w:rPr>
          <w:rFonts w:asciiTheme="majorHAnsi" w:hAnsiTheme="majorHAnsi" w:cs="Melior"/>
          <w:sz w:val="24"/>
          <w:szCs w:val="24"/>
        </w:rPr>
        <w:t xml:space="preserve">: </w:t>
      </w:r>
      <w:r w:rsidRPr="006B2A21" w:rsidR="006B2A21">
        <w:rPr>
          <w:rFonts w:asciiTheme="majorHAnsi" w:hAnsiTheme="majorHAnsi" w:cs="Melior"/>
          <w:sz w:val="24"/>
          <w:szCs w:val="24"/>
        </w:rPr>
        <w:t>https://www.bls.gov/news.release/archives/ecec_12172024.pdf</w:t>
      </w:r>
      <w:r w:rsidRPr="00F906F8">
        <w:rPr>
          <w:rFonts w:asciiTheme="majorHAnsi" w:hAnsiTheme="majorHAnsi" w:cs="Melior"/>
          <w:sz w:val="24"/>
          <w:szCs w:val="24"/>
        </w:rPr>
        <w:t>). Therefore, the estimated</w:t>
      </w:r>
      <w:r>
        <w:rPr>
          <w:rFonts w:asciiTheme="majorHAnsi" w:hAnsiTheme="majorHAnsi" w:cs="Melior"/>
          <w:sz w:val="24"/>
          <w:szCs w:val="24"/>
        </w:rPr>
        <w:t xml:space="preserve"> </w:t>
      </w:r>
      <w:r w:rsidRPr="00F906F8">
        <w:rPr>
          <w:rFonts w:asciiTheme="majorHAnsi" w:hAnsiTheme="majorHAnsi" w:cs="Melior"/>
          <w:sz w:val="24"/>
          <w:szCs w:val="24"/>
        </w:rPr>
        <w:t>annual cost of the burden requirements</w:t>
      </w:r>
      <w:r>
        <w:rPr>
          <w:rFonts w:asciiTheme="majorHAnsi" w:hAnsiTheme="majorHAnsi" w:cs="Melior"/>
          <w:sz w:val="24"/>
          <w:szCs w:val="24"/>
        </w:rPr>
        <w:t xml:space="preserve"> </w:t>
      </w:r>
      <w:r w:rsidRPr="00F906F8">
        <w:rPr>
          <w:rFonts w:asciiTheme="majorHAnsi" w:hAnsiTheme="majorHAnsi" w:cs="Melior"/>
          <w:sz w:val="24"/>
          <w:szCs w:val="24"/>
        </w:rPr>
        <w:t>is $</w:t>
      </w:r>
      <w:r w:rsidR="00002264">
        <w:rPr>
          <w:rFonts w:asciiTheme="majorHAnsi" w:hAnsiTheme="majorHAnsi" w:cs="Melior"/>
          <w:sz w:val="24"/>
          <w:szCs w:val="24"/>
        </w:rPr>
        <w:t>55,370</w:t>
      </w:r>
      <w:r w:rsidRPr="00F906F8">
        <w:rPr>
          <w:rFonts w:asciiTheme="majorHAnsi" w:hAnsiTheme="majorHAnsi" w:cs="Melior"/>
          <w:sz w:val="24"/>
          <w:szCs w:val="24"/>
        </w:rPr>
        <w:t xml:space="preserve"> ($</w:t>
      </w:r>
      <w:r w:rsidR="006B2A21">
        <w:rPr>
          <w:rFonts w:asciiTheme="majorHAnsi" w:hAnsiTheme="majorHAnsi" w:cs="Melior"/>
          <w:sz w:val="24"/>
          <w:szCs w:val="24"/>
        </w:rPr>
        <w:t>62.92</w:t>
      </w:r>
      <w:r w:rsidRPr="00F906F8">
        <w:rPr>
          <w:rFonts w:asciiTheme="majorHAnsi" w:hAnsiTheme="majorHAnsi" w:cs="Melior"/>
          <w:sz w:val="24"/>
          <w:szCs w:val="24"/>
        </w:rPr>
        <w:t xml:space="preserve"> per hour × </w:t>
      </w:r>
      <w:r w:rsidR="00002264">
        <w:rPr>
          <w:rFonts w:asciiTheme="majorHAnsi" w:hAnsiTheme="majorHAnsi" w:cs="Melior"/>
          <w:sz w:val="24"/>
          <w:szCs w:val="24"/>
        </w:rPr>
        <w:t>880</w:t>
      </w:r>
      <w:r w:rsidR="006B2A21">
        <w:rPr>
          <w:rFonts w:asciiTheme="majorHAnsi" w:hAnsiTheme="majorHAnsi" w:cs="Melior"/>
          <w:sz w:val="24"/>
          <w:szCs w:val="24"/>
        </w:rPr>
        <w:t xml:space="preserve"> hours</w:t>
      </w:r>
      <w:r w:rsidRPr="00F906F8">
        <w:rPr>
          <w:rFonts w:asciiTheme="majorHAnsi" w:hAnsiTheme="majorHAnsi" w:cs="Melior"/>
          <w:sz w:val="24"/>
          <w:szCs w:val="24"/>
        </w:rPr>
        <w:t xml:space="preserve"> = $</w:t>
      </w:r>
      <w:r w:rsidR="00002264">
        <w:rPr>
          <w:rFonts w:asciiTheme="majorHAnsi" w:hAnsiTheme="majorHAnsi" w:cs="Melior"/>
          <w:sz w:val="24"/>
          <w:szCs w:val="24"/>
        </w:rPr>
        <w:t>55,369.60</w:t>
      </w:r>
      <w:r w:rsidRPr="00F906F8">
        <w:rPr>
          <w:rFonts w:asciiTheme="majorHAnsi" w:hAnsiTheme="majorHAnsi" w:cs="Melior"/>
          <w:sz w:val="24"/>
          <w:szCs w:val="24"/>
        </w:rPr>
        <w:t xml:space="preserve">). </w:t>
      </w:r>
    </w:p>
    <w:p w:rsidR="000F66CC" w:rsidP="000F66CC" w14:paraId="25A2145A" w14:textId="77777777">
      <w:pPr>
        <w:spacing w:after="0" w:line="240" w:lineRule="auto"/>
        <w:rPr>
          <w:rFonts w:asciiTheme="majorHAnsi" w:hAnsiTheme="majorHAnsi" w:cs="Melior"/>
          <w:sz w:val="24"/>
          <w:szCs w:val="24"/>
        </w:rPr>
      </w:pPr>
    </w:p>
    <w:p w:rsidR="000F66CC" w:rsidRPr="005E1A53" w:rsidP="00CC23C1" w14:paraId="28FC7620" w14:textId="2BFF72C8">
      <w:pPr>
        <w:spacing w:after="0" w:line="240" w:lineRule="auto"/>
        <w:rPr>
          <w:rFonts w:asciiTheme="majorHAnsi" w:hAnsiTheme="majorHAnsi" w:cs="Melior"/>
          <w:sz w:val="24"/>
          <w:szCs w:val="24"/>
        </w:rPr>
      </w:pPr>
      <w:r w:rsidRPr="00F906F8">
        <w:rPr>
          <w:rFonts w:asciiTheme="majorHAnsi" w:hAnsiTheme="majorHAnsi" w:cs="Melior"/>
          <w:sz w:val="24"/>
          <w:szCs w:val="24"/>
        </w:rPr>
        <w:t>Based on</w:t>
      </w:r>
      <w:r>
        <w:rPr>
          <w:rFonts w:asciiTheme="majorHAnsi" w:hAnsiTheme="majorHAnsi" w:cs="Melior"/>
          <w:sz w:val="24"/>
          <w:szCs w:val="24"/>
        </w:rPr>
        <w:t xml:space="preserve"> </w:t>
      </w:r>
      <w:r w:rsidRPr="00F906F8">
        <w:rPr>
          <w:rFonts w:asciiTheme="majorHAnsi" w:hAnsiTheme="majorHAnsi" w:cs="Melior"/>
          <w:sz w:val="24"/>
          <w:szCs w:val="24"/>
        </w:rPr>
        <w:t xml:space="preserve">this analysis, </w:t>
      </w:r>
      <w:r w:rsidR="0046666E">
        <w:rPr>
          <w:rFonts w:asciiTheme="majorHAnsi" w:hAnsiTheme="majorHAnsi" w:cs="Melior"/>
          <w:sz w:val="24"/>
          <w:szCs w:val="24"/>
        </w:rPr>
        <w:t xml:space="preserve">the </w:t>
      </w:r>
      <w:r w:rsidR="006B2A21">
        <w:rPr>
          <w:rFonts w:asciiTheme="majorHAnsi" w:hAnsiTheme="majorHAnsi" w:cs="Melior"/>
          <w:sz w:val="24"/>
          <w:szCs w:val="24"/>
        </w:rPr>
        <w:t>collection of information would</w:t>
      </w:r>
      <w:r w:rsidRPr="00F906F8">
        <w:rPr>
          <w:rFonts w:asciiTheme="majorHAnsi" w:hAnsiTheme="majorHAnsi" w:cs="Melior"/>
          <w:sz w:val="24"/>
          <w:szCs w:val="24"/>
        </w:rPr>
        <w:t xml:space="preserve"> impose a </w:t>
      </w:r>
      <w:r w:rsidR="0046666E">
        <w:rPr>
          <w:rFonts w:asciiTheme="majorHAnsi" w:hAnsiTheme="majorHAnsi" w:cs="Melior"/>
          <w:sz w:val="24"/>
          <w:szCs w:val="24"/>
        </w:rPr>
        <w:t xml:space="preserve">total </w:t>
      </w:r>
      <w:r w:rsidRPr="00F906F8">
        <w:rPr>
          <w:rFonts w:asciiTheme="majorHAnsi" w:hAnsiTheme="majorHAnsi" w:cs="Melior"/>
          <w:sz w:val="24"/>
          <w:szCs w:val="24"/>
        </w:rPr>
        <w:t>burden to</w:t>
      </w:r>
      <w:r>
        <w:rPr>
          <w:rFonts w:asciiTheme="majorHAnsi" w:hAnsiTheme="majorHAnsi" w:cs="Melior"/>
          <w:sz w:val="24"/>
          <w:szCs w:val="24"/>
        </w:rPr>
        <w:t xml:space="preserve"> </w:t>
      </w:r>
      <w:r w:rsidR="006B2A21">
        <w:rPr>
          <w:rFonts w:asciiTheme="majorHAnsi" w:hAnsiTheme="majorHAnsi" w:cs="Melior"/>
          <w:sz w:val="24"/>
          <w:szCs w:val="24"/>
        </w:rPr>
        <w:t>applicants</w:t>
      </w:r>
      <w:r w:rsidRPr="00F906F8">
        <w:rPr>
          <w:rFonts w:asciiTheme="majorHAnsi" w:hAnsiTheme="majorHAnsi" w:cs="Melior"/>
          <w:sz w:val="24"/>
          <w:szCs w:val="24"/>
        </w:rPr>
        <w:t xml:space="preserve"> of </w:t>
      </w:r>
      <w:r w:rsidR="00002264">
        <w:rPr>
          <w:rFonts w:asciiTheme="majorHAnsi" w:hAnsiTheme="majorHAnsi" w:cs="Melior"/>
          <w:sz w:val="24"/>
          <w:szCs w:val="24"/>
        </w:rPr>
        <w:t>880</w:t>
      </w:r>
      <w:r w:rsidRPr="00F906F8">
        <w:rPr>
          <w:rFonts w:asciiTheme="majorHAnsi" w:hAnsiTheme="majorHAnsi" w:cs="Melior"/>
          <w:sz w:val="24"/>
          <w:szCs w:val="24"/>
        </w:rPr>
        <w:t xml:space="preserve"> hours at a cost of</w:t>
      </w:r>
      <w:r>
        <w:rPr>
          <w:rFonts w:asciiTheme="majorHAnsi" w:hAnsiTheme="majorHAnsi" w:cs="Melior"/>
          <w:sz w:val="24"/>
          <w:szCs w:val="24"/>
        </w:rPr>
        <w:t xml:space="preserve"> </w:t>
      </w:r>
      <w:r w:rsidRPr="00F906F8">
        <w:rPr>
          <w:rFonts w:asciiTheme="majorHAnsi" w:hAnsiTheme="majorHAnsi" w:cs="Melior"/>
          <w:sz w:val="24"/>
          <w:szCs w:val="24"/>
        </w:rPr>
        <w:t>$</w:t>
      </w:r>
      <w:r w:rsidR="00002264">
        <w:rPr>
          <w:rFonts w:asciiTheme="majorHAnsi" w:hAnsiTheme="majorHAnsi" w:cs="Melior"/>
          <w:sz w:val="24"/>
          <w:szCs w:val="24"/>
        </w:rPr>
        <w:t>55,370</w:t>
      </w:r>
      <w:r w:rsidR="006B2A21">
        <w:rPr>
          <w:rFonts w:asciiTheme="majorHAnsi" w:hAnsiTheme="majorHAnsi" w:cs="Melior"/>
          <w:sz w:val="24"/>
          <w:szCs w:val="24"/>
        </w:rPr>
        <w:t xml:space="preserve"> for this round of grant funding</w:t>
      </w:r>
      <w:r w:rsidRPr="00F906F8">
        <w:rPr>
          <w:rFonts w:asciiTheme="majorHAnsi" w:hAnsiTheme="majorHAnsi" w:cs="Melior"/>
          <w:sz w:val="24"/>
          <w:szCs w:val="24"/>
        </w:rPr>
        <w:t>.</w:t>
      </w:r>
    </w:p>
    <w:p w:rsidR="006F2DF8" w:rsidP="00337EF1" w14:paraId="0A01ECF4" w14:textId="77777777">
      <w:pPr>
        <w:spacing w:after="0" w:line="240" w:lineRule="auto"/>
        <w:rPr>
          <w:rFonts w:asciiTheme="majorHAnsi" w:hAnsiTheme="majorHAnsi"/>
          <w:sz w:val="24"/>
        </w:rPr>
      </w:pPr>
    </w:p>
    <w:p w:rsidR="0019309D" w:rsidP="00337EF1" w14:paraId="06EC01FE" w14:textId="6BFED7F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C23C1" w:rsidP="0019309D" w14:paraId="47478C7F" w14:textId="77777777">
      <w:pPr>
        <w:spacing w:after="0" w:line="240" w:lineRule="auto"/>
        <w:rPr>
          <w:rFonts w:asciiTheme="majorHAnsi" w:hAnsiTheme="majorHAnsi"/>
          <w:i/>
          <w:sz w:val="24"/>
        </w:rPr>
      </w:pPr>
    </w:p>
    <w:p w:rsidR="0019309D" w:rsidP="0019309D" w14:paraId="5A51814F" w14:textId="5DB36C1D">
      <w:pPr>
        <w:spacing w:after="0" w:line="240" w:lineRule="auto"/>
        <w:rPr>
          <w:rFonts w:asciiTheme="majorHAnsi" w:hAnsiTheme="majorHAnsi"/>
          <w:sz w:val="24"/>
        </w:rPr>
      </w:pPr>
      <w:r w:rsidRPr="00CC23C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3DA98EE" w14:textId="77777777">
      <w:pPr>
        <w:spacing w:after="0" w:line="240" w:lineRule="auto"/>
        <w:rPr>
          <w:rFonts w:asciiTheme="majorHAnsi" w:hAnsiTheme="majorHAnsi"/>
          <w:sz w:val="24"/>
        </w:rPr>
      </w:pPr>
    </w:p>
    <w:p w:rsidR="00F25499" w:rsidP="0019309D" w14:paraId="7429A525" w14:textId="77777777">
      <w:pPr>
        <w:spacing w:after="0" w:line="240" w:lineRule="auto"/>
        <w:rPr>
          <w:rFonts w:asciiTheme="majorHAnsi" w:hAnsiTheme="majorHAnsi"/>
          <w:sz w:val="24"/>
          <w:u w:val="single"/>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68690E" w:rsidP="0019309D" w14:paraId="4C97EAAF" w14:textId="77777777">
      <w:pPr>
        <w:spacing w:after="0" w:line="240" w:lineRule="auto"/>
        <w:rPr>
          <w:rFonts w:asciiTheme="majorHAnsi" w:hAnsiTheme="majorHAnsi"/>
          <w:sz w:val="24"/>
          <w:u w:val="single"/>
        </w:rPr>
      </w:pPr>
    </w:p>
    <w:p w:rsidR="0068690E" w:rsidRPr="0068690E" w:rsidP="0068690E" w14:paraId="05DE2BD5" w14:textId="76638FCF">
      <w:pPr>
        <w:spacing w:after="0" w:line="240" w:lineRule="auto"/>
        <w:rPr>
          <w:rFonts w:asciiTheme="majorHAnsi" w:hAnsiTheme="majorHAnsi"/>
          <w:sz w:val="24"/>
        </w:rPr>
      </w:pPr>
      <w:bookmarkStart w:id="1" w:name="_Hlk188514250"/>
      <w:r>
        <w:rPr>
          <w:rFonts w:asciiTheme="majorHAnsi" w:hAnsiTheme="majorHAnsi"/>
          <w:sz w:val="24"/>
        </w:rPr>
        <w:t>Costs to the Federal Government for running the PSGP include labor costs for work done by CPSCs Grants Specialist</w:t>
      </w:r>
      <w:r w:rsidR="00321156">
        <w:rPr>
          <w:rFonts w:asciiTheme="majorHAnsi" w:hAnsiTheme="majorHAnsi"/>
          <w:sz w:val="24"/>
        </w:rPr>
        <w:t>,</w:t>
      </w:r>
      <w:r>
        <w:rPr>
          <w:rFonts w:asciiTheme="majorHAnsi" w:hAnsiTheme="majorHAnsi"/>
          <w:sz w:val="24"/>
        </w:rPr>
        <w:t xml:space="preserve"> Object Review Committee (ORC) and legal staff. The ORC is made up of </w:t>
      </w:r>
      <w:r w:rsidR="00881C47">
        <w:rPr>
          <w:rFonts w:asciiTheme="majorHAnsi" w:hAnsiTheme="majorHAnsi"/>
          <w:sz w:val="24"/>
        </w:rPr>
        <w:t xml:space="preserve">3-6 </w:t>
      </w:r>
      <w:r>
        <w:rPr>
          <w:rFonts w:asciiTheme="majorHAnsi" w:hAnsiTheme="majorHAnsi"/>
          <w:sz w:val="24"/>
        </w:rPr>
        <w:t>volunteers from CPSC that spend time reviewing the applications. Legal staff review applicant eligibility and budget questions.</w:t>
      </w:r>
      <w:r w:rsidRPr="0068690E">
        <w:rPr>
          <w:rFonts w:asciiTheme="majorHAnsi" w:hAnsiTheme="majorHAnsi"/>
          <w:sz w:val="24"/>
        </w:rPr>
        <w:t xml:space="preserve"> </w:t>
      </w:r>
    </w:p>
    <w:p w:rsidR="0068690E" w:rsidP="0019309D" w14:paraId="25A7FB00" w14:textId="77777777">
      <w:pPr>
        <w:spacing w:after="0" w:line="240" w:lineRule="auto"/>
        <w:rPr>
          <w:rFonts w:asciiTheme="majorHAnsi" w:hAnsiTheme="majorHAnsi"/>
          <w:sz w:val="24"/>
        </w:rPr>
      </w:pPr>
    </w:p>
    <w:p w:rsidR="000D34C5" w:rsidP="000D34C5" w14:paraId="3342CE7B" w14:textId="56FBBC0B">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to the Federal Government is approximately $</w:t>
      </w:r>
      <w:r w:rsidR="00881C47">
        <w:rPr>
          <w:rFonts w:asciiTheme="majorHAnsi" w:hAnsiTheme="majorHAnsi"/>
          <w:sz w:val="24"/>
          <w:szCs w:val="24"/>
        </w:rPr>
        <w:t>57,948</w:t>
      </w:r>
      <w:r w:rsidRPr="00C97147">
        <w:rPr>
          <w:rFonts w:asciiTheme="majorHAnsi" w:hAnsiTheme="majorHAnsi"/>
          <w:sz w:val="24"/>
          <w:szCs w:val="24"/>
        </w:rPr>
        <w:t xml:space="preserve">, which includes </w:t>
      </w:r>
      <w:r w:rsidR="00881C47">
        <w:rPr>
          <w:rFonts w:asciiTheme="majorHAnsi" w:hAnsiTheme="majorHAnsi"/>
          <w:sz w:val="24"/>
          <w:szCs w:val="24"/>
        </w:rPr>
        <w:t>6</w:t>
      </w:r>
      <w:r w:rsidR="0068690E">
        <w:rPr>
          <w:rFonts w:asciiTheme="majorHAnsi" w:hAnsiTheme="majorHAnsi"/>
          <w:sz w:val="24"/>
          <w:szCs w:val="24"/>
        </w:rPr>
        <w:t>00</w:t>
      </w:r>
      <w:r w:rsidRPr="00C97147">
        <w:rPr>
          <w:rFonts w:asciiTheme="majorHAnsi" w:hAnsiTheme="majorHAnsi"/>
          <w:sz w:val="24"/>
          <w:szCs w:val="24"/>
        </w:rPr>
        <w:t xml:space="preserve"> staff hours to </w:t>
      </w:r>
      <w:r w:rsidR="0046666E">
        <w:rPr>
          <w:rFonts w:asciiTheme="majorHAnsi" w:hAnsiTheme="majorHAnsi"/>
          <w:sz w:val="24"/>
          <w:szCs w:val="24"/>
        </w:rPr>
        <w:t xml:space="preserve">prepare for the grant program, </w:t>
      </w:r>
      <w:r w:rsidRPr="00C97147">
        <w:rPr>
          <w:rFonts w:asciiTheme="majorHAnsi" w:hAnsiTheme="majorHAnsi"/>
          <w:sz w:val="24"/>
          <w:szCs w:val="24"/>
        </w:rPr>
        <w:t>examine and evaluate the information</w:t>
      </w:r>
      <w:r w:rsidR="00AC6288">
        <w:rPr>
          <w:rFonts w:asciiTheme="majorHAnsi" w:hAnsiTheme="majorHAnsi"/>
          <w:sz w:val="24"/>
          <w:szCs w:val="24"/>
        </w:rPr>
        <w:t xml:space="preserve"> in the grant applications and award the grants</w:t>
      </w:r>
      <w:r w:rsidRPr="00C97147">
        <w:rPr>
          <w:rFonts w:asciiTheme="majorHAnsi" w:hAnsiTheme="majorHAnsi"/>
          <w:sz w:val="24"/>
          <w:szCs w:val="24"/>
        </w:rPr>
        <w:t>.  This is based on a GS-1</w:t>
      </w:r>
      <w:r w:rsidR="00AC6288">
        <w:rPr>
          <w:rFonts w:asciiTheme="majorHAnsi" w:hAnsiTheme="majorHAnsi"/>
          <w:sz w:val="24"/>
          <w:szCs w:val="24"/>
        </w:rPr>
        <w:t>3</w:t>
      </w:r>
      <w:r w:rsidRPr="00C97147">
        <w:rPr>
          <w:rFonts w:asciiTheme="majorHAnsi" w:hAnsiTheme="majorHAnsi"/>
          <w:sz w:val="24"/>
          <w:szCs w:val="24"/>
        </w:rPr>
        <w:t>, step 5 level salaried employee.  The average hourly wage rate for a mid-level salaried GS-1</w:t>
      </w:r>
      <w:r w:rsidR="00AC6288">
        <w:rPr>
          <w:rFonts w:asciiTheme="majorHAnsi" w:hAnsiTheme="majorHAnsi"/>
          <w:sz w:val="24"/>
          <w:szCs w:val="24"/>
        </w:rPr>
        <w:t>3</w:t>
      </w:r>
      <w:r w:rsidRPr="00C97147">
        <w:rPr>
          <w:rFonts w:asciiTheme="majorHAnsi" w:hAnsiTheme="majorHAnsi"/>
          <w:sz w:val="24"/>
          <w:szCs w:val="24"/>
        </w:rPr>
        <w:t xml:space="preserve"> employee in the Washington, DC metropolitan area (effective as of January 202</w:t>
      </w:r>
      <w:r w:rsidR="00AC6288">
        <w:rPr>
          <w:rFonts w:asciiTheme="majorHAnsi" w:hAnsiTheme="majorHAnsi"/>
          <w:sz w:val="24"/>
          <w:szCs w:val="24"/>
        </w:rPr>
        <w:t>5</w:t>
      </w:r>
      <w:r w:rsidRPr="00C97147">
        <w:rPr>
          <w:rFonts w:asciiTheme="majorHAnsi" w:hAnsiTheme="majorHAnsi"/>
          <w:sz w:val="24"/>
          <w:szCs w:val="24"/>
        </w:rPr>
        <w:t>) is $</w:t>
      </w:r>
      <w:r w:rsidR="00E225A2">
        <w:rPr>
          <w:rFonts w:asciiTheme="majorHAnsi" w:hAnsiTheme="majorHAnsi"/>
          <w:sz w:val="24"/>
          <w:szCs w:val="24"/>
        </w:rPr>
        <w:t>65.48</w:t>
      </w:r>
      <w:r w:rsidRPr="00C97147">
        <w:rPr>
          <w:rFonts w:asciiTheme="majorHAnsi" w:hAnsiTheme="majorHAnsi"/>
          <w:sz w:val="24"/>
          <w:szCs w:val="24"/>
        </w:rPr>
        <w:t xml:space="preserve"> (GS-1</w:t>
      </w:r>
      <w:r w:rsidR="00AC6288">
        <w:rPr>
          <w:rFonts w:asciiTheme="majorHAnsi" w:hAnsiTheme="majorHAnsi"/>
          <w:sz w:val="24"/>
          <w:szCs w:val="24"/>
        </w:rPr>
        <w:t>3</w:t>
      </w:r>
      <w:r w:rsidRPr="00C97147">
        <w:rPr>
          <w:rFonts w:asciiTheme="majorHAnsi" w:hAnsiTheme="majorHAnsi"/>
          <w:sz w:val="24"/>
          <w:szCs w:val="24"/>
        </w:rPr>
        <w:t>, step 5).  This represents 6</w:t>
      </w:r>
      <w:r>
        <w:rPr>
          <w:rFonts w:asciiTheme="majorHAnsi" w:hAnsiTheme="majorHAnsi"/>
          <w:sz w:val="24"/>
          <w:szCs w:val="24"/>
        </w:rPr>
        <w:t>7.</w:t>
      </w:r>
      <w:r w:rsidR="00AC6288">
        <w:rPr>
          <w:rFonts w:asciiTheme="majorHAnsi" w:hAnsiTheme="majorHAnsi"/>
          <w:sz w:val="24"/>
          <w:szCs w:val="24"/>
        </w:rPr>
        <w:t>8</w:t>
      </w:r>
      <w:r w:rsidRPr="00C97147">
        <w:rPr>
          <w:rFonts w:asciiTheme="majorHAnsi" w:hAnsiTheme="majorHAnsi"/>
          <w:sz w:val="24"/>
          <w:szCs w:val="24"/>
        </w:rPr>
        <w:t xml:space="preserve"> percent of total</w:t>
      </w:r>
      <w:r w:rsidR="0046666E">
        <w:rPr>
          <w:rFonts w:asciiTheme="majorHAnsi" w:hAnsiTheme="majorHAnsi"/>
          <w:sz w:val="24"/>
          <w:szCs w:val="24"/>
        </w:rPr>
        <w:t xml:space="preserve"> </w:t>
      </w:r>
      <w:r w:rsidRPr="00C97147">
        <w:rPr>
          <w:rFonts w:asciiTheme="majorHAnsi" w:hAnsiTheme="majorHAnsi"/>
          <w:sz w:val="24"/>
          <w:szCs w:val="24"/>
        </w:rPr>
        <w:t>compensation</w:t>
      </w:r>
      <w:r w:rsidR="0046666E">
        <w:rPr>
          <w:rFonts w:asciiTheme="majorHAnsi" w:hAnsiTheme="majorHAnsi"/>
          <w:sz w:val="24"/>
          <w:szCs w:val="24"/>
        </w:rPr>
        <w:t xml:space="preserve"> </w:t>
      </w:r>
      <w:r w:rsidRPr="00C97147">
        <w:rPr>
          <w:rFonts w:asciiTheme="majorHAnsi" w:hAnsiTheme="majorHAnsi"/>
          <w:sz w:val="24"/>
          <w:szCs w:val="24"/>
        </w:rPr>
        <w:t xml:space="preserve">(U.S. Bureau of Labor Statistics, “Employer Costs for Employee Compensation,” </w:t>
      </w:r>
      <w:r w:rsidR="00AC6288">
        <w:rPr>
          <w:rFonts w:asciiTheme="majorHAnsi" w:hAnsiTheme="majorHAnsi"/>
          <w:sz w:val="24"/>
          <w:szCs w:val="24"/>
        </w:rPr>
        <w:t>September</w:t>
      </w:r>
      <w:r w:rsidRPr="00C97147">
        <w:rPr>
          <w:rFonts w:asciiTheme="majorHAnsi" w:hAnsiTheme="majorHAnsi"/>
          <w:sz w:val="24"/>
          <w:szCs w:val="24"/>
        </w:rPr>
        <w:t xml:space="preserve"> 202</w:t>
      </w:r>
      <w:r>
        <w:rPr>
          <w:rFonts w:asciiTheme="majorHAnsi" w:hAnsiTheme="majorHAnsi"/>
          <w:sz w:val="24"/>
          <w:szCs w:val="24"/>
        </w:rPr>
        <w:t>4</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w:t>
      </w:r>
      <w:r w:rsidRPr="00AC6288" w:rsidR="00AC6288">
        <w:rPr>
          <w:rFonts w:asciiTheme="majorHAnsi" w:hAnsiTheme="majorHAnsi" w:cs="Melior"/>
          <w:sz w:val="24"/>
          <w:szCs w:val="24"/>
        </w:rPr>
        <w:t xml:space="preserve"> </w:t>
      </w:r>
      <w:r w:rsidRPr="006B2A21" w:rsidR="00AC6288">
        <w:rPr>
          <w:rFonts w:asciiTheme="majorHAnsi" w:hAnsiTheme="majorHAnsi" w:cs="Melior"/>
          <w:sz w:val="24"/>
          <w:szCs w:val="24"/>
        </w:rPr>
        <w:t>https://www.bls.gov/news.release/archives/ecec_12172024.pdf</w:t>
      </w:r>
      <w:r w:rsidRPr="00C97147">
        <w:rPr>
          <w:rFonts w:asciiTheme="majorHAnsi" w:hAnsiTheme="majorHAnsi"/>
          <w:sz w:val="24"/>
          <w:szCs w:val="24"/>
        </w:rPr>
        <w:t>).  Adding an additional 3</w:t>
      </w:r>
      <w:r>
        <w:rPr>
          <w:rFonts w:asciiTheme="majorHAnsi" w:hAnsiTheme="majorHAnsi"/>
          <w:sz w:val="24"/>
          <w:szCs w:val="24"/>
        </w:rPr>
        <w:t>2.</w:t>
      </w:r>
      <w:r w:rsidR="00AC6288">
        <w:rPr>
          <w:rFonts w:asciiTheme="majorHAnsi" w:hAnsiTheme="majorHAnsi"/>
          <w:sz w:val="24"/>
          <w:szCs w:val="24"/>
        </w:rPr>
        <w:t>2</w:t>
      </w:r>
      <w:r w:rsidRPr="00C97147">
        <w:rPr>
          <w:rFonts w:asciiTheme="majorHAnsi" w:hAnsiTheme="majorHAnsi"/>
          <w:sz w:val="24"/>
          <w:szCs w:val="24"/>
        </w:rPr>
        <w:t xml:space="preserve"> percent for benefits brings average annual compensation for a mid-level salaried GS-1</w:t>
      </w:r>
      <w:r w:rsidR="00AC6288">
        <w:rPr>
          <w:rFonts w:asciiTheme="majorHAnsi" w:hAnsiTheme="majorHAnsi"/>
          <w:sz w:val="24"/>
          <w:szCs w:val="24"/>
        </w:rPr>
        <w:t>3</w:t>
      </w:r>
      <w:r w:rsidRPr="00C97147">
        <w:rPr>
          <w:rFonts w:asciiTheme="majorHAnsi" w:hAnsiTheme="majorHAnsi"/>
          <w:sz w:val="24"/>
          <w:szCs w:val="24"/>
        </w:rPr>
        <w:t xml:space="preserve"> employee to $</w:t>
      </w:r>
      <w:r w:rsidR="00E225A2">
        <w:rPr>
          <w:rFonts w:asciiTheme="majorHAnsi" w:hAnsiTheme="majorHAnsi"/>
          <w:sz w:val="24"/>
          <w:szCs w:val="24"/>
        </w:rPr>
        <w:t>96.58</w:t>
      </w:r>
      <w:r w:rsidRPr="00C97147">
        <w:rPr>
          <w:rFonts w:asciiTheme="majorHAnsi" w:hAnsiTheme="majorHAnsi"/>
          <w:sz w:val="24"/>
          <w:szCs w:val="24"/>
        </w:rPr>
        <w:t xml:space="preserve"> per hour.  Assuming that approximately </w:t>
      </w:r>
      <w:r w:rsidR="00881C47">
        <w:rPr>
          <w:rFonts w:asciiTheme="majorHAnsi" w:hAnsiTheme="majorHAnsi"/>
          <w:sz w:val="24"/>
          <w:szCs w:val="24"/>
        </w:rPr>
        <w:t>6</w:t>
      </w:r>
      <w:r w:rsidR="00321156">
        <w:rPr>
          <w:rFonts w:asciiTheme="majorHAnsi" w:hAnsiTheme="majorHAnsi"/>
          <w:sz w:val="24"/>
          <w:szCs w:val="24"/>
        </w:rPr>
        <w:t>00</w:t>
      </w:r>
      <w:r w:rsidRPr="00C97147">
        <w:rPr>
          <w:rFonts w:asciiTheme="majorHAnsi" w:hAnsiTheme="majorHAnsi"/>
          <w:sz w:val="24"/>
          <w:szCs w:val="24"/>
        </w:rPr>
        <w:t xml:space="preserve"> hours will be required annually, this results in an annual cost of $</w:t>
      </w:r>
      <w:r w:rsidR="00881C47">
        <w:rPr>
          <w:rFonts w:asciiTheme="majorHAnsi" w:hAnsiTheme="majorHAnsi"/>
          <w:sz w:val="24"/>
          <w:szCs w:val="24"/>
        </w:rPr>
        <w:t>57,948</w:t>
      </w:r>
      <w:r w:rsidRPr="00C97147">
        <w:rPr>
          <w:rFonts w:asciiTheme="majorHAnsi" w:hAnsiTheme="majorHAnsi"/>
          <w:sz w:val="24"/>
          <w:szCs w:val="24"/>
        </w:rPr>
        <w:t xml:space="preserve"> ($</w:t>
      </w:r>
      <w:r w:rsidR="00E225A2">
        <w:rPr>
          <w:rFonts w:asciiTheme="majorHAnsi" w:hAnsiTheme="majorHAnsi"/>
          <w:sz w:val="24"/>
          <w:szCs w:val="24"/>
        </w:rPr>
        <w:t>96.58</w:t>
      </w:r>
      <w:r w:rsidRPr="00C97147">
        <w:rPr>
          <w:rFonts w:asciiTheme="majorHAnsi" w:hAnsiTheme="majorHAnsi"/>
          <w:sz w:val="24"/>
          <w:szCs w:val="24"/>
        </w:rPr>
        <w:t xml:space="preserve"> per hour × </w:t>
      </w:r>
      <w:r w:rsidR="00881C47">
        <w:rPr>
          <w:rFonts w:asciiTheme="majorHAnsi" w:hAnsiTheme="majorHAnsi"/>
          <w:sz w:val="24"/>
          <w:szCs w:val="24"/>
        </w:rPr>
        <w:t>6</w:t>
      </w:r>
      <w:r w:rsidR="00321156">
        <w:rPr>
          <w:rFonts w:asciiTheme="majorHAnsi" w:hAnsiTheme="majorHAnsi"/>
          <w:sz w:val="24"/>
          <w:szCs w:val="24"/>
        </w:rPr>
        <w:t>00</w:t>
      </w:r>
      <w:r w:rsidRPr="00C97147">
        <w:rPr>
          <w:rFonts w:asciiTheme="majorHAnsi" w:hAnsiTheme="majorHAnsi"/>
          <w:sz w:val="24"/>
          <w:szCs w:val="24"/>
        </w:rPr>
        <w:t xml:space="preserve"> hours = $</w:t>
      </w:r>
      <w:r w:rsidR="00881C47">
        <w:rPr>
          <w:rFonts w:asciiTheme="majorHAnsi" w:hAnsiTheme="majorHAnsi"/>
          <w:sz w:val="24"/>
          <w:szCs w:val="24"/>
        </w:rPr>
        <w:t>57,948</w:t>
      </w:r>
      <w:r w:rsidRPr="00C97147">
        <w:rPr>
          <w:rFonts w:asciiTheme="majorHAnsi" w:hAnsiTheme="majorHAnsi"/>
          <w:sz w:val="24"/>
          <w:szCs w:val="24"/>
        </w:rPr>
        <w:t>).</w:t>
      </w:r>
    </w:p>
    <w:bookmarkEnd w:id="1"/>
    <w:p w:rsidR="00486235" w:rsidP="00486235" w14:paraId="102269BD" w14:textId="77777777">
      <w:pPr>
        <w:spacing w:after="0" w:line="240" w:lineRule="auto"/>
        <w:rPr>
          <w:rFonts w:asciiTheme="majorHAnsi" w:hAnsiTheme="majorHAnsi"/>
          <w:sz w:val="24"/>
        </w:rPr>
      </w:pPr>
    </w:p>
    <w:p w:rsidR="00DA2B37" w:rsidRPr="00AC6288" w:rsidP="00486235" w14:paraId="133F3F12" w14:textId="5E75769E">
      <w:pPr>
        <w:spacing w:after="0" w:line="240" w:lineRule="auto"/>
        <w:rPr>
          <w:rFonts w:asciiTheme="majorHAnsi" w:hAnsiTheme="majorHAnsi"/>
          <w:sz w:val="24"/>
          <w:u w:val="single"/>
        </w:rPr>
      </w:pPr>
      <w:r w:rsidRPr="00AC6288">
        <w:rPr>
          <w:rFonts w:asciiTheme="majorHAnsi" w:hAnsiTheme="majorHAnsi"/>
          <w:sz w:val="24"/>
        </w:rPr>
        <w:t xml:space="preserve">15. </w:t>
      </w:r>
      <w:r w:rsidRPr="00AC6288">
        <w:rPr>
          <w:rFonts w:asciiTheme="majorHAnsi" w:hAnsiTheme="majorHAnsi"/>
          <w:sz w:val="24"/>
        </w:rPr>
        <w:tab/>
      </w:r>
      <w:r w:rsidRPr="00AC6288">
        <w:rPr>
          <w:rFonts w:asciiTheme="majorHAnsi" w:hAnsiTheme="majorHAnsi"/>
          <w:sz w:val="24"/>
          <w:u w:val="single"/>
        </w:rPr>
        <w:t>Reasons for Change in Burden</w:t>
      </w:r>
      <w:r w:rsidRPr="00AC6288" w:rsidR="0085688C">
        <w:rPr>
          <w:rFonts w:asciiTheme="majorHAnsi" w:hAnsiTheme="majorHAnsi"/>
          <w:sz w:val="24"/>
          <w:u w:val="single"/>
        </w:rPr>
        <w:t xml:space="preserve"> </w:t>
      </w:r>
    </w:p>
    <w:p w:rsidR="00AC6288" w:rsidRPr="00AC6288" w:rsidP="00AC6288" w14:paraId="1BA5AF09" w14:textId="77777777">
      <w:pPr>
        <w:spacing w:after="0" w:line="240" w:lineRule="auto"/>
        <w:rPr>
          <w:rFonts w:asciiTheme="majorHAnsi" w:hAnsiTheme="majorHAnsi"/>
          <w:sz w:val="24"/>
        </w:rPr>
      </w:pPr>
    </w:p>
    <w:p w:rsidR="00DA2B37" w:rsidP="00AC6288" w14:paraId="1DD90932" w14:textId="1EDCE764">
      <w:pPr>
        <w:spacing w:after="0" w:line="240" w:lineRule="auto"/>
        <w:rPr>
          <w:rFonts w:asciiTheme="majorHAnsi" w:hAnsiTheme="majorHAnsi"/>
          <w:sz w:val="24"/>
        </w:rPr>
      </w:pPr>
      <w:r w:rsidRPr="00AC6288">
        <w:rPr>
          <w:rFonts w:asciiTheme="majorHAnsi" w:hAnsiTheme="majorHAnsi"/>
          <w:sz w:val="24"/>
        </w:rPr>
        <w:t>This is a new collection with a new associated burden.</w:t>
      </w:r>
    </w:p>
    <w:p w:rsidR="00B55E9F" w:rsidP="00DA2B37" w14:paraId="2A427691" w14:textId="77777777">
      <w:pPr>
        <w:spacing w:after="0" w:line="240" w:lineRule="auto"/>
        <w:ind w:firstLine="720"/>
        <w:rPr>
          <w:rFonts w:asciiTheme="majorHAnsi" w:hAnsiTheme="majorHAnsi"/>
          <w:sz w:val="24"/>
        </w:rPr>
      </w:pPr>
    </w:p>
    <w:p w:rsidR="00DA2B37" w:rsidP="00486235" w14:paraId="4556E4CA" w14:textId="2EF36C7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C6288" w:rsidP="00486235" w14:paraId="31CADE9B" w14:textId="77777777">
      <w:pPr>
        <w:spacing w:after="0" w:line="240" w:lineRule="auto"/>
        <w:rPr>
          <w:rFonts w:asciiTheme="majorHAnsi" w:hAnsiTheme="majorHAnsi"/>
          <w:sz w:val="24"/>
        </w:rPr>
      </w:pPr>
    </w:p>
    <w:p w:rsidR="00AC6288" w:rsidP="00486235" w14:paraId="4F1DFA77" w14:textId="068A1BE0">
      <w:pPr>
        <w:spacing w:after="0" w:line="240" w:lineRule="auto"/>
        <w:rPr>
          <w:rFonts w:asciiTheme="majorHAnsi" w:hAnsiTheme="majorHAnsi"/>
          <w:sz w:val="24"/>
        </w:rPr>
      </w:pPr>
      <w:r>
        <w:rPr>
          <w:rFonts w:asciiTheme="majorHAnsi" w:hAnsiTheme="majorHAnsi"/>
          <w:sz w:val="24"/>
        </w:rPr>
        <w:t xml:space="preserve">PSGP Awards are posted to </w:t>
      </w:r>
      <w:r>
        <w:rPr>
          <w:rFonts w:asciiTheme="majorHAnsi" w:hAnsiTheme="majorHAnsi"/>
          <w:sz w:val="24"/>
        </w:rPr>
        <w:t>the CPSC’s</w:t>
      </w:r>
      <w:r>
        <w:rPr>
          <w:rFonts w:asciiTheme="majorHAnsi" w:hAnsiTheme="majorHAnsi"/>
          <w:sz w:val="24"/>
        </w:rPr>
        <w:t xml:space="preserve"> website and via press release.</w:t>
      </w:r>
      <w:r>
        <w:rPr>
          <w:rStyle w:val="FootnoteReference"/>
          <w:rFonts w:asciiTheme="majorHAnsi" w:hAnsiTheme="majorHAnsi"/>
          <w:sz w:val="24"/>
        </w:rPr>
        <w:footnoteReference w:id="3"/>
      </w:r>
      <w:r>
        <w:rPr>
          <w:rFonts w:asciiTheme="majorHAnsi" w:hAnsiTheme="majorHAnsi"/>
          <w:sz w:val="24"/>
        </w:rPr>
        <w:t xml:space="preserve"> Information released includes the awardee name, state, and award amount.</w:t>
      </w:r>
    </w:p>
    <w:p w:rsidR="005C3A95" w:rsidP="00486235" w14:paraId="72B6314E" w14:textId="77777777">
      <w:pPr>
        <w:spacing w:after="0" w:line="240" w:lineRule="auto"/>
        <w:rPr>
          <w:rFonts w:asciiTheme="majorHAnsi" w:hAnsiTheme="majorHAnsi"/>
          <w:sz w:val="24"/>
        </w:rPr>
      </w:pPr>
    </w:p>
    <w:p w:rsidR="005C3A95" w:rsidRPr="0085688C" w:rsidP="00486235" w14:paraId="528E6BEE" w14:textId="35D7E8C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6288" w:rsidRPr="00AC6288" w:rsidP="00486235" w14:paraId="5D1C95D4" w14:textId="77777777">
      <w:pPr>
        <w:spacing w:after="0" w:line="240" w:lineRule="auto"/>
        <w:rPr>
          <w:rFonts w:asciiTheme="majorHAnsi" w:hAnsiTheme="majorHAnsi"/>
          <w:sz w:val="24"/>
        </w:rPr>
      </w:pPr>
    </w:p>
    <w:p w:rsidR="00C62D17" w:rsidP="00486235" w14:paraId="2BC59EB9" w14:textId="16EEAAD6">
      <w:pPr>
        <w:spacing w:after="0" w:line="240" w:lineRule="auto"/>
        <w:rPr>
          <w:rFonts w:asciiTheme="majorHAnsi" w:hAnsiTheme="majorHAnsi"/>
          <w:sz w:val="24"/>
        </w:rPr>
      </w:pPr>
      <w:r w:rsidRPr="00AC628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766FA9E" w14:textId="77777777">
      <w:pPr>
        <w:spacing w:after="0" w:line="240" w:lineRule="auto"/>
        <w:rPr>
          <w:rFonts w:asciiTheme="majorHAnsi" w:hAnsiTheme="majorHAnsi"/>
          <w:sz w:val="24"/>
        </w:rPr>
      </w:pPr>
    </w:p>
    <w:p w:rsidR="00C62D17" w:rsidRPr="0085688C" w:rsidP="00486235" w14:paraId="24A97051" w14:textId="09AA146E">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2920D227" w14:textId="77777777">
      <w:pPr>
        <w:spacing w:after="0" w:line="240" w:lineRule="auto"/>
        <w:rPr>
          <w:rFonts w:asciiTheme="majorHAnsi" w:hAnsiTheme="majorHAnsi"/>
          <w:i/>
          <w:sz w:val="24"/>
        </w:rPr>
      </w:pPr>
    </w:p>
    <w:p w:rsidR="00A50A0F" w:rsidRPr="00C62D17" w:rsidP="00B55E9F" w14:paraId="6B2ADDA9" w14:textId="3585F77F">
      <w:pPr>
        <w:spacing w:after="0" w:line="240" w:lineRule="auto"/>
        <w:rPr>
          <w:rFonts w:asciiTheme="majorHAnsi" w:hAnsiTheme="majorHAnsi"/>
          <w:i/>
          <w:sz w:val="24"/>
        </w:rPr>
      </w:pPr>
      <w:r w:rsidRPr="00AC6288">
        <w:rPr>
          <w:rFonts w:asciiTheme="majorHAnsi" w:hAnsiTheme="majorHAnsi"/>
          <w:sz w:val="24"/>
        </w:rPr>
        <w:t>We are not requesting an</w:t>
      </w:r>
      <w:r w:rsidRPr="00AC6288" w:rsidR="00420AE9">
        <w:rPr>
          <w:rFonts w:asciiTheme="majorHAnsi" w:hAnsiTheme="majorHAnsi"/>
          <w:sz w:val="24"/>
        </w:rPr>
        <w:t>y</w:t>
      </w:r>
      <w:r w:rsidRPr="00AC6288">
        <w:rPr>
          <w:rFonts w:asciiTheme="majorHAnsi" w:hAnsiTheme="majorHAnsi"/>
          <w:sz w:val="24"/>
        </w:rPr>
        <w:t xml:space="preserve"> exemption</w:t>
      </w:r>
      <w:r w:rsidRPr="00AC6288" w:rsidR="00420AE9">
        <w:rPr>
          <w:rFonts w:asciiTheme="majorHAnsi" w:hAnsiTheme="majorHAnsi"/>
          <w:sz w:val="24"/>
        </w:rPr>
        <w:t>s</w:t>
      </w:r>
      <w:r w:rsidRPr="00AC6288">
        <w:rPr>
          <w:rFonts w:asciiTheme="majorHAnsi" w:hAnsiTheme="majorHAnsi"/>
          <w:sz w:val="24"/>
        </w:rPr>
        <w:t xml:space="preserve"> </w:t>
      </w:r>
      <w:r w:rsidRPr="00AC6288">
        <w:rPr>
          <w:rFonts w:asciiTheme="majorHAnsi" w:hAnsiTheme="majorHAnsi"/>
          <w:sz w:val="24"/>
        </w:rPr>
        <w:t>to</w:t>
      </w:r>
      <w:r w:rsidRPr="00AC6288">
        <w:rPr>
          <w:rFonts w:asciiTheme="majorHAnsi" w:hAnsiTheme="majorHAnsi"/>
          <w:sz w:val="24"/>
        </w:rPr>
        <w:t xml:space="preserve"> the provisions </w:t>
      </w:r>
      <w:r w:rsidRPr="00AC628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6B03" w:rsidP="00FB569C" w14:paraId="1BAA9215" w14:textId="77777777">
      <w:pPr>
        <w:spacing w:after="0" w:line="240" w:lineRule="auto"/>
      </w:pPr>
      <w:r>
        <w:separator/>
      </w:r>
    </w:p>
  </w:footnote>
  <w:footnote w:type="continuationSeparator" w:id="1">
    <w:p w:rsidR="00106B03" w:rsidP="00FB569C" w14:paraId="5F324F4E" w14:textId="77777777">
      <w:pPr>
        <w:spacing w:after="0" w:line="240" w:lineRule="auto"/>
      </w:pPr>
      <w:r>
        <w:continuationSeparator/>
      </w:r>
    </w:p>
  </w:footnote>
  <w:footnote w:id="2">
    <w:p w:rsidR="002871E6" w14:paraId="68456DB1" w14:textId="681C6A1B">
      <w:pPr>
        <w:pStyle w:val="FootnoteText"/>
      </w:pPr>
      <w:r>
        <w:rPr>
          <w:rStyle w:val="FootnoteReference"/>
        </w:rPr>
        <w:footnoteRef/>
      </w:r>
      <w:r>
        <w:t xml:space="preserve"> </w:t>
      </w:r>
      <w:hyperlink r:id="rId1" w:history="1">
        <w:r w:rsidRPr="00A71FE2">
          <w:rPr>
            <w:rStyle w:val="Hyperlink"/>
          </w:rPr>
          <w:t>https://www.cpsc.gov/Newsroom/News-Releases/2024/3-0-Million-Available-in-Pool-Safely-Grants-to-Help-State-Local-and-Tribal-Governments-Prevent-Drownings-and-Drain-Entrapments-Apply-Now</w:t>
        </w:r>
      </w:hyperlink>
      <w:r>
        <w:t xml:space="preserve"> </w:t>
      </w:r>
    </w:p>
  </w:footnote>
  <w:footnote w:id="3">
    <w:p w:rsidR="00AC6288" w:rsidRPr="00AC6288" w:rsidP="00AC6288" w14:paraId="77DA51B1" w14:textId="295A07C0">
      <w:pPr>
        <w:spacing w:after="0" w:line="240" w:lineRule="auto"/>
        <w:rPr>
          <w:rFonts w:asciiTheme="majorHAnsi" w:hAnsiTheme="majorHAnsi"/>
          <w:sz w:val="24"/>
        </w:rPr>
      </w:pPr>
      <w:r>
        <w:rPr>
          <w:rStyle w:val="FootnoteReference"/>
        </w:rPr>
        <w:footnoteRef/>
      </w:r>
      <w:r>
        <w:t xml:space="preserve"> </w:t>
      </w:r>
      <w:hyperlink r:id="rId2" w:history="1">
        <w:r w:rsidRPr="00A71FE2">
          <w:rPr>
            <w:rStyle w:val="Hyperlink"/>
            <w:rFonts w:cstheme="minorHAnsi"/>
            <w:sz w:val="20"/>
            <w:szCs w:val="20"/>
          </w:rPr>
          <w:t>https://www.cpsc.gov/Newsroom/News-Releases/2025/CPSC-Awards-More-than-2-5-Million-in-Pool-Safely-Grants-to-Ten-State-and-Local-Governments-to-Combat-Pool-and-Spa-Drownings-and-Drain-Entrapments</w:t>
        </w:r>
      </w:hyperlink>
      <w:r>
        <w:rPr>
          <w:rFonts w:cstheme="minorHAns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E00917"/>
    <w:multiLevelType w:val="hybridMultilevel"/>
    <w:tmpl w:val="DD6C3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0431589"/>
    <w:multiLevelType w:val="hybridMultilevel"/>
    <w:tmpl w:val="B54C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3895791">
    <w:abstractNumId w:val="16"/>
  </w:num>
  <w:num w:numId="2" w16cid:durableId="1007444803">
    <w:abstractNumId w:val="0"/>
  </w:num>
  <w:num w:numId="3" w16cid:durableId="1214582232">
    <w:abstractNumId w:val="13"/>
  </w:num>
  <w:num w:numId="4" w16cid:durableId="1878807727">
    <w:abstractNumId w:val="11"/>
  </w:num>
  <w:num w:numId="5" w16cid:durableId="1395011521">
    <w:abstractNumId w:val="20"/>
  </w:num>
  <w:num w:numId="6" w16cid:durableId="260182768">
    <w:abstractNumId w:val="1"/>
  </w:num>
  <w:num w:numId="7" w16cid:durableId="534150905">
    <w:abstractNumId w:val="21"/>
  </w:num>
  <w:num w:numId="8" w16cid:durableId="101927049">
    <w:abstractNumId w:val="18"/>
  </w:num>
  <w:num w:numId="9" w16cid:durableId="36861514">
    <w:abstractNumId w:val="22"/>
  </w:num>
  <w:num w:numId="10" w16cid:durableId="1407024742">
    <w:abstractNumId w:val="3"/>
  </w:num>
  <w:num w:numId="11" w16cid:durableId="6299695">
    <w:abstractNumId w:val="17"/>
  </w:num>
  <w:num w:numId="12" w16cid:durableId="978415616">
    <w:abstractNumId w:val="19"/>
  </w:num>
  <w:num w:numId="13" w16cid:durableId="1755736952">
    <w:abstractNumId w:val="24"/>
  </w:num>
  <w:num w:numId="14" w16cid:durableId="426732162">
    <w:abstractNumId w:val="25"/>
  </w:num>
  <w:num w:numId="15" w16cid:durableId="253056319">
    <w:abstractNumId w:val="10"/>
  </w:num>
  <w:num w:numId="16" w16cid:durableId="1758554464">
    <w:abstractNumId w:val="8"/>
  </w:num>
  <w:num w:numId="17" w16cid:durableId="1293294312">
    <w:abstractNumId w:val="14"/>
  </w:num>
  <w:num w:numId="18" w16cid:durableId="320935165">
    <w:abstractNumId w:val="7"/>
  </w:num>
  <w:num w:numId="19" w16cid:durableId="2087607669">
    <w:abstractNumId w:val="6"/>
  </w:num>
  <w:num w:numId="20" w16cid:durableId="946087043">
    <w:abstractNumId w:val="5"/>
  </w:num>
  <w:num w:numId="21" w16cid:durableId="814301182">
    <w:abstractNumId w:val="15"/>
  </w:num>
  <w:num w:numId="22" w16cid:durableId="2088920511">
    <w:abstractNumId w:val="2"/>
  </w:num>
  <w:num w:numId="23" w16cid:durableId="1035891508">
    <w:abstractNumId w:val="4"/>
  </w:num>
  <w:num w:numId="24" w16cid:durableId="1003626652">
    <w:abstractNumId w:val="23"/>
  </w:num>
  <w:num w:numId="25" w16cid:durableId="1298145670">
    <w:abstractNumId w:val="12"/>
  </w:num>
  <w:num w:numId="26" w16cid:durableId="414395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264"/>
    <w:rsid w:val="000268B0"/>
    <w:rsid w:val="000902CB"/>
    <w:rsid w:val="000B0843"/>
    <w:rsid w:val="000B0E70"/>
    <w:rsid w:val="000D34C5"/>
    <w:rsid w:val="000D3A99"/>
    <w:rsid w:val="000F66CC"/>
    <w:rsid w:val="00105F45"/>
    <w:rsid w:val="00106B03"/>
    <w:rsid w:val="00127B46"/>
    <w:rsid w:val="00180C31"/>
    <w:rsid w:val="00191CE5"/>
    <w:rsid w:val="0019309D"/>
    <w:rsid w:val="001F526C"/>
    <w:rsid w:val="00200261"/>
    <w:rsid w:val="00203BC2"/>
    <w:rsid w:val="00211832"/>
    <w:rsid w:val="002160FF"/>
    <w:rsid w:val="00222D1B"/>
    <w:rsid w:val="00224A44"/>
    <w:rsid w:val="00235D71"/>
    <w:rsid w:val="00237D19"/>
    <w:rsid w:val="0024335E"/>
    <w:rsid w:val="00254DCF"/>
    <w:rsid w:val="002567F9"/>
    <w:rsid w:val="0027655B"/>
    <w:rsid w:val="0027743E"/>
    <w:rsid w:val="00282907"/>
    <w:rsid w:val="002871E6"/>
    <w:rsid w:val="00294E92"/>
    <w:rsid w:val="002A3647"/>
    <w:rsid w:val="002A3A4D"/>
    <w:rsid w:val="002D2903"/>
    <w:rsid w:val="002D7713"/>
    <w:rsid w:val="003132E7"/>
    <w:rsid w:val="00321156"/>
    <w:rsid w:val="00331D7E"/>
    <w:rsid w:val="00337EF1"/>
    <w:rsid w:val="00340D9B"/>
    <w:rsid w:val="0035146E"/>
    <w:rsid w:val="0037505C"/>
    <w:rsid w:val="003777B2"/>
    <w:rsid w:val="00394A8A"/>
    <w:rsid w:val="003A4548"/>
    <w:rsid w:val="003B3940"/>
    <w:rsid w:val="003B7E69"/>
    <w:rsid w:val="003C0540"/>
    <w:rsid w:val="003D141A"/>
    <w:rsid w:val="00420AE9"/>
    <w:rsid w:val="004218AC"/>
    <w:rsid w:val="00432450"/>
    <w:rsid w:val="0046666E"/>
    <w:rsid w:val="00467077"/>
    <w:rsid w:val="00476C27"/>
    <w:rsid w:val="00480AFF"/>
    <w:rsid w:val="00486235"/>
    <w:rsid w:val="00490797"/>
    <w:rsid w:val="004C1144"/>
    <w:rsid w:val="004C74D6"/>
    <w:rsid w:val="004E7F3B"/>
    <w:rsid w:val="004F34BE"/>
    <w:rsid w:val="004F4F5D"/>
    <w:rsid w:val="00502FF3"/>
    <w:rsid w:val="00506DD2"/>
    <w:rsid w:val="00510F0C"/>
    <w:rsid w:val="005152E1"/>
    <w:rsid w:val="00520B36"/>
    <w:rsid w:val="00546F58"/>
    <w:rsid w:val="00550B90"/>
    <w:rsid w:val="00571698"/>
    <w:rsid w:val="00572268"/>
    <w:rsid w:val="00576EDB"/>
    <w:rsid w:val="00594B6B"/>
    <w:rsid w:val="00596BBA"/>
    <w:rsid w:val="005C3A95"/>
    <w:rsid w:val="005C7428"/>
    <w:rsid w:val="005D5C81"/>
    <w:rsid w:val="005E1A53"/>
    <w:rsid w:val="005F10FB"/>
    <w:rsid w:val="00642741"/>
    <w:rsid w:val="0064274D"/>
    <w:rsid w:val="0065530D"/>
    <w:rsid w:val="0068690E"/>
    <w:rsid w:val="006A13FA"/>
    <w:rsid w:val="006B2A21"/>
    <w:rsid w:val="006E563D"/>
    <w:rsid w:val="006F2DF8"/>
    <w:rsid w:val="006F444C"/>
    <w:rsid w:val="0072176B"/>
    <w:rsid w:val="00722E23"/>
    <w:rsid w:val="00722FDB"/>
    <w:rsid w:val="00730606"/>
    <w:rsid w:val="00732292"/>
    <w:rsid w:val="0077261C"/>
    <w:rsid w:val="00780736"/>
    <w:rsid w:val="0078119E"/>
    <w:rsid w:val="00790808"/>
    <w:rsid w:val="007B27E4"/>
    <w:rsid w:val="007C05AD"/>
    <w:rsid w:val="007E29F6"/>
    <w:rsid w:val="007F05F0"/>
    <w:rsid w:val="008023FD"/>
    <w:rsid w:val="00804773"/>
    <w:rsid w:val="0083171B"/>
    <w:rsid w:val="0083612E"/>
    <w:rsid w:val="00842CAA"/>
    <w:rsid w:val="0085688C"/>
    <w:rsid w:val="008635C4"/>
    <w:rsid w:val="00881C47"/>
    <w:rsid w:val="008978B7"/>
    <w:rsid w:val="008A06EF"/>
    <w:rsid w:val="008B4163"/>
    <w:rsid w:val="008D1294"/>
    <w:rsid w:val="008E3029"/>
    <w:rsid w:val="0090130E"/>
    <w:rsid w:val="00936B87"/>
    <w:rsid w:val="0098620E"/>
    <w:rsid w:val="0098628F"/>
    <w:rsid w:val="00994843"/>
    <w:rsid w:val="00994F2B"/>
    <w:rsid w:val="00996894"/>
    <w:rsid w:val="009A6246"/>
    <w:rsid w:val="009F2544"/>
    <w:rsid w:val="00A10BE9"/>
    <w:rsid w:val="00A131AA"/>
    <w:rsid w:val="00A14375"/>
    <w:rsid w:val="00A24175"/>
    <w:rsid w:val="00A47B77"/>
    <w:rsid w:val="00A50A0F"/>
    <w:rsid w:val="00A61A77"/>
    <w:rsid w:val="00A71FE2"/>
    <w:rsid w:val="00A76F7E"/>
    <w:rsid w:val="00A77157"/>
    <w:rsid w:val="00A90B49"/>
    <w:rsid w:val="00A911D4"/>
    <w:rsid w:val="00AC6288"/>
    <w:rsid w:val="00AE5CAE"/>
    <w:rsid w:val="00B02601"/>
    <w:rsid w:val="00B105D1"/>
    <w:rsid w:val="00B20147"/>
    <w:rsid w:val="00B263B6"/>
    <w:rsid w:val="00B52F4E"/>
    <w:rsid w:val="00B55E9F"/>
    <w:rsid w:val="00B7558C"/>
    <w:rsid w:val="00B933B0"/>
    <w:rsid w:val="00BD7755"/>
    <w:rsid w:val="00BF16A8"/>
    <w:rsid w:val="00C16ECB"/>
    <w:rsid w:val="00C213AD"/>
    <w:rsid w:val="00C33684"/>
    <w:rsid w:val="00C42AA0"/>
    <w:rsid w:val="00C44558"/>
    <w:rsid w:val="00C60565"/>
    <w:rsid w:val="00C62D17"/>
    <w:rsid w:val="00C808F4"/>
    <w:rsid w:val="00C97147"/>
    <w:rsid w:val="00CA15B1"/>
    <w:rsid w:val="00CA5316"/>
    <w:rsid w:val="00CC23C1"/>
    <w:rsid w:val="00CC24D5"/>
    <w:rsid w:val="00CC2835"/>
    <w:rsid w:val="00D21AA6"/>
    <w:rsid w:val="00D36844"/>
    <w:rsid w:val="00D42005"/>
    <w:rsid w:val="00D462F7"/>
    <w:rsid w:val="00D734A2"/>
    <w:rsid w:val="00DA2B37"/>
    <w:rsid w:val="00DA401A"/>
    <w:rsid w:val="00DD4540"/>
    <w:rsid w:val="00E225A2"/>
    <w:rsid w:val="00E41C98"/>
    <w:rsid w:val="00E5308D"/>
    <w:rsid w:val="00E5409A"/>
    <w:rsid w:val="00E65D41"/>
    <w:rsid w:val="00E829F8"/>
    <w:rsid w:val="00E95FFB"/>
    <w:rsid w:val="00EA0B10"/>
    <w:rsid w:val="00EA60F3"/>
    <w:rsid w:val="00EA6C04"/>
    <w:rsid w:val="00EE24A3"/>
    <w:rsid w:val="00F04AF7"/>
    <w:rsid w:val="00F07916"/>
    <w:rsid w:val="00F25499"/>
    <w:rsid w:val="00F65573"/>
    <w:rsid w:val="00F73F80"/>
    <w:rsid w:val="00F74060"/>
    <w:rsid w:val="00F86C35"/>
    <w:rsid w:val="00F906F8"/>
    <w:rsid w:val="00F97482"/>
    <w:rsid w:val="00FB569C"/>
    <w:rsid w:val="044E0A53"/>
    <w:rsid w:val="0A7F4395"/>
    <w:rsid w:val="0E7839F9"/>
    <w:rsid w:val="109882F4"/>
    <w:rsid w:val="120C40B8"/>
    <w:rsid w:val="1383DC10"/>
    <w:rsid w:val="13A6D9AA"/>
    <w:rsid w:val="189F91D5"/>
    <w:rsid w:val="1E2A6150"/>
    <w:rsid w:val="1E548FF3"/>
    <w:rsid w:val="1FB46185"/>
    <w:rsid w:val="2019CD2F"/>
    <w:rsid w:val="2396F0AF"/>
    <w:rsid w:val="26667A26"/>
    <w:rsid w:val="28A7DFF4"/>
    <w:rsid w:val="28E01F12"/>
    <w:rsid w:val="292B02A8"/>
    <w:rsid w:val="2A9EBE88"/>
    <w:rsid w:val="2B0B5C3C"/>
    <w:rsid w:val="2BBB5055"/>
    <w:rsid w:val="2C50CDEC"/>
    <w:rsid w:val="2D0CBBA5"/>
    <w:rsid w:val="3004DDFD"/>
    <w:rsid w:val="30B7CBE9"/>
    <w:rsid w:val="31CF1C6A"/>
    <w:rsid w:val="32A930D1"/>
    <w:rsid w:val="362C9B9E"/>
    <w:rsid w:val="3698FA6C"/>
    <w:rsid w:val="3946FFF1"/>
    <w:rsid w:val="3A43321B"/>
    <w:rsid w:val="3D97AE1B"/>
    <w:rsid w:val="3E1AE964"/>
    <w:rsid w:val="3EE99EDE"/>
    <w:rsid w:val="3F56283F"/>
    <w:rsid w:val="3FD82260"/>
    <w:rsid w:val="426B8116"/>
    <w:rsid w:val="43AA1EA0"/>
    <w:rsid w:val="44BCD417"/>
    <w:rsid w:val="455A6D37"/>
    <w:rsid w:val="46810FAE"/>
    <w:rsid w:val="4904D530"/>
    <w:rsid w:val="4924275D"/>
    <w:rsid w:val="497353C4"/>
    <w:rsid w:val="4C1172BB"/>
    <w:rsid w:val="4ED02311"/>
    <w:rsid w:val="5123720F"/>
    <w:rsid w:val="537C09F4"/>
    <w:rsid w:val="53C0F01E"/>
    <w:rsid w:val="5539A34B"/>
    <w:rsid w:val="570A34AA"/>
    <w:rsid w:val="57AF68F6"/>
    <w:rsid w:val="58DD68F0"/>
    <w:rsid w:val="59629D19"/>
    <w:rsid w:val="6D8AE6C3"/>
    <w:rsid w:val="6E684BCD"/>
    <w:rsid w:val="71622D41"/>
    <w:rsid w:val="72137E89"/>
    <w:rsid w:val="723025EB"/>
    <w:rsid w:val="7239376E"/>
    <w:rsid w:val="7837E456"/>
    <w:rsid w:val="78A57BCA"/>
    <w:rsid w:val="79FF50F9"/>
    <w:rsid w:val="7A4B2636"/>
    <w:rsid w:val="7C3A8746"/>
    <w:rsid w:val="7E5869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2AD34"/>
  <w15:docId w15:val="{13507AEA-D15D-4DF2-9438-85E8698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7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1E6"/>
    <w:rPr>
      <w:sz w:val="20"/>
      <w:szCs w:val="20"/>
    </w:rPr>
  </w:style>
  <w:style w:type="character" w:styleId="FootnoteReference">
    <w:name w:val="footnote reference"/>
    <w:basedOn w:val="DefaultParagraphFont"/>
    <w:uiPriority w:val="99"/>
    <w:semiHidden/>
    <w:unhideWhenUsed/>
    <w:rsid w:val="002871E6"/>
    <w:rPr>
      <w:vertAlign w:val="superscript"/>
    </w:rPr>
  </w:style>
  <w:style w:type="character" w:styleId="UnresolvedMention">
    <w:name w:val="Unresolved Mention"/>
    <w:basedOn w:val="DefaultParagraphFont"/>
    <w:uiPriority w:val="99"/>
    <w:semiHidden/>
    <w:unhideWhenUsed/>
    <w:rsid w:val="002871E6"/>
    <w:rPr>
      <w:color w:val="605E5C"/>
      <w:shd w:val="clear" w:color="auto" w:fill="E1DFDD"/>
    </w:rPr>
  </w:style>
  <w:style w:type="character" w:styleId="CommentReference">
    <w:name w:val="annotation reference"/>
    <w:basedOn w:val="DefaultParagraphFont"/>
    <w:uiPriority w:val="99"/>
    <w:semiHidden/>
    <w:unhideWhenUsed/>
    <w:rsid w:val="00C60565"/>
    <w:rPr>
      <w:sz w:val="16"/>
      <w:szCs w:val="16"/>
    </w:rPr>
  </w:style>
  <w:style w:type="paragraph" w:styleId="CommentText">
    <w:name w:val="annotation text"/>
    <w:basedOn w:val="Normal"/>
    <w:link w:val="CommentTextChar"/>
    <w:uiPriority w:val="99"/>
    <w:unhideWhenUsed/>
    <w:rsid w:val="00C60565"/>
    <w:pPr>
      <w:spacing w:line="240" w:lineRule="auto"/>
    </w:pPr>
    <w:rPr>
      <w:sz w:val="20"/>
      <w:szCs w:val="20"/>
    </w:rPr>
  </w:style>
  <w:style w:type="character" w:customStyle="1" w:styleId="CommentTextChar">
    <w:name w:val="Comment Text Char"/>
    <w:basedOn w:val="DefaultParagraphFont"/>
    <w:link w:val="CommentText"/>
    <w:uiPriority w:val="99"/>
    <w:rsid w:val="00C60565"/>
    <w:rPr>
      <w:sz w:val="20"/>
      <w:szCs w:val="20"/>
    </w:rPr>
  </w:style>
  <w:style w:type="paragraph" w:styleId="CommentSubject">
    <w:name w:val="annotation subject"/>
    <w:basedOn w:val="CommentText"/>
    <w:next w:val="CommentText"/>
    <w:link w:val="CommentSubjectChar"/>
    <w:uiPriority w:val="99"/>
    <w:semiHidden/>
    <w:unhideWhenUsed/>
    <w:rsid w:val="00C60565"/>
    <w:rPr>
      <w:b/>
      <w:bCs/>
    </w:rPr>
  </w:style>
  <w:style w:type="character" w:customStyle="1" w:styleId="CommentSubjectChar">
    <w:name w:val="Comment Subject Char"/>
    <w:basedOn w:val="CommentTextChar"/>
    <w:link w:val="CommentSubject"/>
    <w:uiPriority w:val="99"/>
    <w:semiHidden/>
    <w:rsid w:val="00C60565"/>
    <w:rPr>
      <w:b/>
      <w:bCs/>
      <w:sz w:val="20"/>
      <w:szCs w:val="20"/>
    </w:rPr>
  </w:style>
  <w:style w:type="paragraph" w:styleId="Revision">
    <w:name w:val="Revision"/>
    <w:hidden/>
    <w:uiPriority w:val="99"/>
    <w:semiHidden/>
    <w:rsid w:val="004E7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psc.gov/Newsroom/News-Releases/2024/3-0-Million-Available-in-Pool-Safely-Grants-to-Help-State-Local-and-Tribal-Governments-Prevent-Drownings-and-Drain-Entrapments-Apply-Now" TargetMode="External" /><Relationship Id="rId2" Type="http://schemas.openxmlformats.org/officeDocument/2006/relationships/hyperlink" Target="https://www.cpsc.gov/Newsroom/News-Releases/2025/CPSC-Awards-More-than-2-5-Million-in-Pool-Safely-Grants-to-Ten-State-and-Local-Governments-to-Combat-Pool-and-Spa-Drownings-and-Drain-Entrap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2D5DE-8364-4AB3-991F-9DCFFE998D13}">
  <ds:schemaRefs>
    <ds:schemaRef ds:uri="http://schemas.microsoft.com/sharepoint/v3/contenttype/forms"/>
  </ds:schemaRefs>
</ds:datastoreItem>
</file>

<file path=customXml/itemProps2.xml><?xml version="1.0" encoding="utf-8"?>
<ds:datastoreItem xmlns:ds="http://schemas.openxmlformats.org/officeDocument/2006/customXml" ds:itemID="{B0907B11-6A4C-4336-BDB0-ABCF35F8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6241E-1C00-4C6D-8FF8-EF5ABE721728}">
  <ds:schemaRefs>
    <ds:schemaRef ds:uri="http://schemas.openxmlformats.org/officeDocument/2006/bibliography"/>
  </ds:schemaRefs>
</ds:datastoreItem>
</file>

<file path=customXml/itemProps4.xml><?xml version="1.0" encoding="utf-8"?>
<ds:datastoreItem xmlns:ds="http://schemas.openxmlformats.org/officeDocument/2006/customXml" ds:itemID="{8F3F4040-59E8-4772-AE5E-0E277AB52E7F}">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9287dbbc-a89a-4499-b4ce-0d8d138f1174"/>
    <ds:schemaRef ds:uri="81d5c1c9-3c8a-41e1-921b-abb7aea3d9a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Gillham, Cynthia</cp:lastModifiedBy>
  <cp:revision>58</cp:revision>
  <cp:lastPrinted>2016-09-20T22:55:00Z</cp:lastPrinted>
  <dcterms:created xsi:type="dcterms:W3CDTF">2025-01-21T15:10:00Z</dcterms:created>
  <dcterms:modified xsi:type="dcterms:W3CDTF">2025-06-16T14:25:00Z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