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2383FB62"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194FAF4D"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2104E881" w14:textId="77777777">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14:paraId="545853EF" w14:textId="77777777">
      <w:pPr>
        <w:pStyle w:val="NormalWeb"/>
        <w:spacing w:line="288" w:lineRule="atLeast"/>
        <w:ind w:firstLine="900"/>
      </w:pPr>
    </w:p>
    <w:p w:rsidR="005E0A0F" w:rsidP="005E0A0F" w14:paraId="5B98E511" w14:textId="77777777">
      <w:pPr>
        <w:pStyle w:val="NormalWeb"/>
        <w:spacing w:line="288" w:lineRule="atLeast"/>
        <w:ind w:firstLine="900"/>
      </w:pPr>
      <w:r>
        <w:t>1</w:t>
      </w:r>
      <w:r>
        <w:t xml:space="preserve">.  </w:t>
      </w:r>
      <w:r>
        <w:rPr>
          <w:u w:val="single"/>
        </w:rPr>
        <w:t>Description</w:t>
      </w:r>
      <w:r>
        <w:rPr>
          <w:u w:val="single"/>
        </w:rPr>
        <w:t xml:space="preserve"> of the Activity</w:t>
      </w:r>
    </w:p>
    <w:p w:rsidR="00E00264" w:rsidP="00E00264" w14:paraId="1398B6F0" w14:textId="77777777">
      <w:pPr>
        <w:pStyle w:val="NormalWeb"/>
        <w:spacing w:line="288" w:lineRule="atLeast"/>
        <w:ind w:firstLine="1260"/>
      </w:pPr>
      <w:r w:rsidRPr="00B7395F">
        <w:t>The VEAC gathers feedback from Veterans, Active Military, Guard/Reservist, Family members, caregivers, providers, and survivors. The VEAC then provides that feedback to VA leaders to measure the success of the outreach event and measure the ease, effectiveness, emotion, and trust from the participants as they exit.</w:t>
      </w:r>
    </w:p>
    <w:tbl>
      <w:tblPr>
        <w:tblW w:w="885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2093"/>
        <w:gridCol w:w="1710"/>
        <w:gridCol w:w="1543"/>
      </w:tblGrid>
      <w:tr w14:paraId="336A09DA" w14:textId="77777777" w:rsidTr="00CD5D3C">
        <w:tblPrEx>
          <w:tblW w:w="885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10" w:type="dxa"/>
            <w:shd w:val="clear" w:color="auto" w:fill="auto"/>
          </w:tcPr>
          <w:p w:rsidR="00E00264" w:rsidRPr="00B7395F" w:rsidP="00CD5D3C" w14:paraId="64AECF08" w14:textId="77777777">
            <w:pPr>
              <w:rPr>
                <w:rFonts w:ascii="Calibri" w:hAnsi="Calibri" w:cs="Calibri"/>
                <w:b/>
                <w:sz w:val="22"/>
                <w:szCs w:val="22"/>
              </w:rPr>
            </w:pPr>
            <w:r w:rsidRPr="00B7395F">
              <w:rPr>
                <w:rFonts w:ascii="Calibri" w:hAnsi="Calibri" w:cs="Calibri"/>
                <w:b/>
                <w:sz w:val="22"/>
                <w:szCs w:val="22"/>
              </w:rPr>
              <w:t xml:space="preserve">Category of Respondent </w:t>
            </w:r>
          </w:p>
        </w:tc>
        <w:tc>
          <w:tcPr>
            <w:tcW w:w="2093" w:type="dxa"/>
            <w:shd w:val="clear" w:color="auto" w:fill="auto"/>
          </w:tcPr>
          <w:p w:rsidR="00E00264" w:rsidRPr="00B7395F" w:rsidP="00CD5D3C" w14:paraId="21494870" w14:textId="77777777">
            <w:pPr>
              <w:rPr>
                <w:rFonts w:ascii="Calibri" w:hAnsi="Calibri" w:cs="Calibri"/>
                <w:b/>
                <w:sz w:val="22"/>
                <w:szCs w:val="22"/>
              </w:rPr>
            </w:pPr>
            <w:r w:rsidRPr="00B7395F">
              <w:rPr>
                <w:rFonts w:ascii="Calibri" w:hAnsi="Calibri" w:cs="Calibri"/>
                <w:b/>
                <w:sz w:val="22"/>
                <w:szCs w:val="22"/>
              </w:rPr>
              <w:t>No. of Respondents</w:t>
            </w:r>
          </w:p>
        </w:tc>
        <w:tc>
          <w:tcPr>
            <w:tcW w:w="1710" w:type="dxa"/>
            <w:shd w:val="clear" w:color="auto" w:fill="auto"/>
          </w:tcPr>
          <w:p w:rsidR="00E00264" w:rsidRPr="00B7395F" w:rsidP="00CD5D3C" w14:paraId="136CC50F" w14:textId="77777777">
            <w:pPr>
              <w:rPr>
                <w:rFonts w:ascii="Calibri" w:hAnsi="Calibri" w:cs="Calibri"/>
                <w:b/>
                <w:sz w:val="22"/>
                <w:szCs w:val="22"/>
              </w:rPr>
            </w:pPr>
            <w:r w:rsidRPr="00B7395F">
              <w:rPr>
                <w:rFonts w:ascii="Calibri" w:hAnsi="Calibri" w:cs="Calibri"/>
                <w:b/>
                <w:sz w:val="22"/>
                <w:szCs w:val="22"/>
              </w:rPr>
              <w:t>Participation Time</w:t>
            </w:r>
          </w:p>
        </w:tc>
        <w:tc>
          <w:tcPr>
            <w:tcW w:w="1543" w:type="dxa"/>
            <w:shd w:val="clear" w:color="auto" w:fill="auto"/>
          </w:tcPr>
          <w:p w:rsidR="00E00264" w:rsidRPr="00B7395F" w:rsidP="00CD5D3C" w14:paraId="4ED09828" w14:textId="77777777">
            <w:pPr>
              <w:rPr>
                <w:rFonts w:ascii="Calibri" w:hAnsi="Calibri" w:cs="Calibri"/>
                <w:b/>
                <w:sz w:val="22"/>
                <w:szCs w:val="22"/>
              </w:rPr>
            </w:pPr>
            <w:r w:rsidRPr="00B7395F">
              <w:rPr>
                <w:rFonts w:ascii="Calibri" w:hAnsi="Calibri" w:cs="Calibri"/>
                <w:b/>
                <w:sz w:val="22"/>
                <w:szCs w:val="22"/>
              </w:rPr>
              <w:t>Burden</w:t>
            </w:r>
          </w:p>
        </w:tc>
      </w:tr>
      <w:tr w14:paraId="7F642417" w14:textId="77777777" w:rsidTr="00CD5D3C">
        <w:tblPrEx>
          <w:tblW w:w="8856" w:type="dxa"/>
          <w:tblInd w:w="805" w:type="dxa"/>
          <w:tblLayout w:type="fixed"/>
          <w:tblLook w:val="01E0"/>
        </w:tblPrEx>
        <w:trPr>
          <w:trHeight w:val="274"/>
        </w:trPr>
        <w:tc>
          <w:tcPr>
            <w:tcW w:w="3510" w:type="dxa"/>
            <w:shd w:val="clear" w:color="auto" w:fill="auto"/>
          </w:tcPr>
          <w:p w:rsidR="00E00264" w:rsidRPr="00B7395F" w:rsidP="00CD5D3C" w14:paraId="0608C970" w14:textId="77777777">
            <w:pPr>
              <w:rPr>
                <w:rFonts w:ascii="Calibri" w:hAnsi="Calibri" w:cs="Calibri"/>
                <w:sz w:val="22"/>
                <w:szCs w:val="22"/>
              </w:rPr>
            </w:pPr>
            <w:r w:rsidRPr="00B7395F">
              <w:rPr>
                <w:rFonts w:ascii="Calibri" w:hAnsi="Calibri" w:cs="Calibri"/>
                <w:b/>
                <w:bCs/>
                <w:snapToGrid w:val="0"/>
                <w:sz w:val="22"/>
                <w:szCs w:val="22"/>
              </w:rPr>
              <w:t>VEAC Exit and Email Surveys</w:t>
            </w:r>
          </w:p>
        </w:tc>
        <w:tc>
          <w:tcPr>
            <w:tcW w:w="2093" w:type="dxa"/>
            <w:shd w:val="clear" w:color="auto" w:fill="auto"/>
          </w:tcPr>
          <w:p w:rsidR="00E00264" w:rsidRPr="00B7395F" w:rsidP="00CD5D3C" w14:paraId="1A248DFB" w14:textId="77777777">
            <w:pPr>
              <w:rPr>
                <w:rFonts w:ascii="Calibri" w:hAnsi="Calibri" w:cs="Calibri"/>
                <w:sz w:val="22"/>
                <w:szCs w:val="22"/>
              </w:rPr>
            </w:pPr>
            <w:r w:rsidRPr="00B7395F">
              <w:rPr>
                <w:rFonts w:ascii="Calibri" w:hAnsi="Calibri" w:cs="Calibri"/>
                <w:bCs/>
                <w:sz w:val="22"/>
                <w:szCs w:val="22"/>
              </w:rPr>
              <w:t xml:space="preserve">12,000 </w:t>
            </w:r>
            <w:r w:rsidRPr="00B7395F">
              <w:rPr>
                <w:rFonts w:ascii="Calibri" w:hAnsi="Calibri" w:cs="Calibri"/>
                <w:sz w:val="22"/>
                <w:szCs w:val="22"/>
              </w:rPr>
              <w:t>Annual</w:t>
            </w:r>
          </w:p>
        </w:tc>
        <w:tc>
          <w:tcPr>
            <w:tcW w:w="1710" w:type="dxa"/>
            <w:shd w:val="clear" w:color="auto" w:fill="auto"/>
          </w:tcPr>
          <w:p w:rsidR="00E00264" w:rsidRPr="00B7395F" w:rsidP="00CD5D3C" w14:paraId="076783D2" w14:textId="77777777">
            <w:pPr>
              <w:rPr>
                <w:rFonts w:ascii="Calibri" w:hAnsi="Calibri" w:cs="Calibri"/>
                <w:sz w:val="22"/>
                <w:szCs w:val="22"/>
              </w:rPr>
            </w:pPr>
            <w:r w:rsidRPr="00B7395F">
              <w:rPr>
                <w:rFonts w:ascii="Calibri" w:hAnsi="Calibri" w:cs="Calibri"/>
                <w:sz w:val="22"/>
                <w:szCs w:val="22"/>
              </w:rPr>
              <w:t>5 minutes</w:t>
            </w:r>
          </w:p>
        </w:tc>
        <w:tc>
          <w:tcPr>
            <w:tcW w:w="1543" w:type="dxa"/>
            <w:shd w:val="clear" w:color="auto" w:fill="auto"/>
          </w:tcPr>
          <w:p w:rsidR="00E00264" w:rsidRPr="00B7395F" w:rsidP="00CD5D3C" w14:paraId="2938B428" w14:textId="77777777">
            <w:pPr>
              <w:rPr>
                <w:rFonts w:ascii="Calibri" w:hAnsi="Calibri" w:cs="Calibri"/>
                <w:sz w:val="22"/>
                <w:szCs w:val="22"/>
              </w:rPr>
            </w:pPr>
            <w:r w:rsidRPr="00B7395F">
              <w:rPr>
                <w:rFonts w:ascii="Calibri" w:hAnsi="Calibri" w:cs="Calibri"/>
                <w:sz w:val="22"/>
                <w:szCs w:val="22"/>
              </w:rPr>
              <w:t>1,000 hours</w:t>
            </w:r>
          </w:p>
        </w:tc>
      </w:tr>
      <w:tr w14:paraId="763B8FAB" w14:textId="77777777" w:rsidTr="00CD5D3C">
        <w:tblPrEx>
          <w:tblW w:w="8856" w:type="dxa"/>
          <w:tblInd w:w="805" w:type="dxa"/>
          <w:tblLayout w:type="fixed"/>
          <w:tblLook w:val="01E0"/>
        </w:tblPrEx>
        <w:trPr>
          <w:trHeight w:val="274"/>
        </w:trPr>
        <w:tc>
          <w:tcPr>
            <w:tcW w:w="3510" w:type="dxa"/>
            <w:shd w:val="clear" w:color="auto" w:fill="auto"/>
          </w:tcPr>
          <w:p w:rsidR="00E00264" w:rsidRPr="00B7395F" w:rsidP="00CD5D3C" w14:paraId="3FC98416" w14:textId="77777777">
            <w:pPr>
              <w:rPr>
                <w:rFonts w:ascii="Calibri" w:hAnsi="Calibri" w:cs="Calibri"/>
                <w:sz w:val="22"/>
                <w:szCs w:val="22"/>
              </w:rPr>
            </w:pPr>
            <w:r w:rsidRPr="00B7395F">
              <w:rPr>
                <w:rFonts w:ascii="Calibri" w:hAnsi="Calibri" w:cs="Calibri"/>
                <w:b/>
                <w:sz w:val="22"/>
                <w:szCs w:val="22"/>
              </w:rPr>
              <w:t>Totals</w:t>
            </w:r>
          </w:p>
        </w:tc>
        <w:tc>
          <w:tcPr>
            <w:tcW w:w="2093" w:type="dxa"/>
            <w:shd w:val="clear" w:color="auto" w:fill="auto"/>
          </w:tcPr>
          <w:p w:rsidR="00E00264" w:rsidRPr="00B7395F" w:rsidP="00CD5D3C" w14:paraId="30DD120A" w14:textId="77777777">
            <w:pPr>
              <w:rPr>
                <w:rFonts w:ascii="Calibri" w:hAnsi="Calibri" w:cs="Calibri"/>
                <w:sz w:val="22"/>
                <w:szCs w:val="22"/>
              </w:rPr>
            </w:pPr>
            <w:r w:rsidRPr="00B7395F">
              <w:rPr>
                <w:rFonts w:ascii="Calibri" w:hAnsi="Calibri" w:cs="Calibri"/>
                <w:bCs/>
                <w:sz w:val="22"/>
                <w:szCs w:val="22"/>
              </w:rPr>
              <w:t>1</w:t>
            </w:r>
            <w:r w:rsidR="00643533">
              <w:rPr>
                <w:rFonts w:ascii="Calibri" w:hAnsi="Calibri" w:cs="Calibri"/>
                <w:bCs/>
                <w:sz w:val="22"/>
                <w:szCs w:val="22"/>
              </w:rPr>
              <w:t>2</w:t>
            </w:r>
            <w:r w:rsidRPr="00B7395F">
              <w:rPr>
                <w:rFonts w:ascii="Calibri" w:hAnsi="Calibri" w:cs="Calibri"/>
                <w:bCs/>
                <w:sz w:val="22"/>
                <w:szCs w:val="22"/>
              </w:rPr>
              <w:t xml:space="preserve">,000 </w:t>
            </w:r>
            <w:r w:rsidRPr="00B7395F">
              <w:rPr>
                <w:rFonts w:ascii="Calibri" w:hAnsi="Calibri" w:cs="Calibri"/>
                <w:sz w:val="22"/>
                <w:szCs w:val="22"/>
              </w:rPr>
              <w:t>Annual</w:t>
            </w:r>
          </w:p>
        </w:tc>
        <w:tc>
          <w:tcPr>
            <w:tcW w:w="1710" w:type="dxa"/>
            <w:shd w:val="clear" w:color="auto" w:fill="auto"/>
          </w:tcPr>
          <w:p w:rsidR="00E00264" w:rsidRPr="00B7395F" w:rsidP="00CD5D3C" w14:paraId="2C09DF81" w14:textId="77777777">
            <w:pPr>
              <w:rPr>
                <w:rFonts w:ascii="Calibri" w:hAnsi="Calibri" w:cs="Calibri"/>
                <w:sz w:val="22"/>
                <w:szCs w:val="22"/>
              </w:rPr>
            </w:pPr>
          </w:p>
        </w:tc>
        <w:tc>
          <w:tcPr>
            <w:tcW w:w="1543" w:type="dxa"/>
            <w:shd w:val="clear" w:color="auto" w:fill="auto"/>
          </w:tcPr>
          <w:p w:rsidR="00E00264" w:rsidRPr="00B7395F" w:rsidP="00CD5D3C" w14:paraId="11D0117C" w14:textId="77777777">
            <w:pPr>
              <w:rPr>
                <w:rFonts w:ascii="Calibri" w:hAnsi="Calibri" w:cs="Calibri"/>
                <w:sz w:val="22"/>
                <w:szCs w:val="22"/>
              </w:rPr>
            </w:pPr>
            <w:r w:rsidRPr="00B7395F">
              <w:rPr>
                <w:rFonts w:ascii="Calibri" w:hAnsi="Calibri" w:cs="Calibri"/>
                <w:sz w:val="22"/>
                <w:szCs w:val="22"/>
              </w:rPr>
              <w:t>1,</w:t>
            </w:r>
            <w:r w:rsidR="00643533">
              <w:rPr>
                <w:rFonts w:ascii="Calibri" w:hAnsi="Calibri" w:cs="Calibri"/>
                <w:sz w:val="22"/>
                <w:szCs w:val="22"/>
              </w:rPr>
              <w:t>0</w:t>
            </w:r>
            <w:r w:rsidRPr="00B7395F">
              <w:rPr>
                <w:rFonts w:ascii="Calibri" w:hAnsi="Calibri" w:cs="Calibri"/>
                <w:sz w:val="22"/>
                <w:szCs w:val="22"/>
              </w:rPr>
              <w:t>00 hours</w:t>
            </w:r>
          </w:p>
        </w:tc>
      </w:tr>
    </w:tbl>
    <w:p w:rsidR="005E0A0F" w:rsidP="005E0A0F" w14:paraId="66039A37" w14:textId="77777777">
      <w:pPr>
        <w:pStyle w:val="NormalWeb"/>
        <w:spacing w:line="288" w:lineRule="atLeast"/>
        <w:ind w:firstLine="900"/>
      </w:pPr>
      <w:r>
        <w:t>2</w:t>
      </w:r>
      <w:r>
        <w:t xml:space="preserve">.  </w:t>
      </w:r>
      <w:r>
        <w:rPr>
          <w:u w:val="single"/>
        </w:rPr>
        <w:t>Procedures</w:t>
      </w:r>
      <w:r>
        <w:rPr>
          <w:u w:val="single"/>
        </w:rPr>
        <w:t xml:space="preserve"> for the Collection of Information</w:t>
      </w:r>
    </w:p>
    <w:p w:rsidR="00E00264" w:rsidP="00E00264" w14:paraId="33401D01" w14:textId="77777777">
      <w:pPr>
        <w:pStyle w:val="NormalWeb"/>
        <w:numPr>
          <w:ilvl w:val="0"/>
          <w:numId w:val="1"/>
        </w:numPr>
        <w:spacing w:line="288" w:lineRule="atLeast"/>
      </w:pPr>
      <w:r>
        <w:t xml:space="preserve">Statistical methodologies for stratification and sample </w:t>
      </w:r>
      <w:r>
        <w:t>selection;</w:t>
      </w:r>
    </w:p>
    <w:p w:rsidR="00E00264" w:rsidP="00E00264" w14:paraId="3DA56DDB" w14:textId="77777777">
      <w:pPr>
        <w:pStyle w:val="NormalWeb"/>
        <w:numPr>
          <w:ilvl w:val="0"/>
          <w:numId w:val="2"/>
        </w:numPr>
        <w:spacing w:line="288" w:lineRule="atLeast"/>
      </w:pPr>
      <w:r>
        <w:t xml:space="preserve">VEAC Exit Survey: Outreach event staff will verbally administer the survey to event attendees as the last step in the overall event process. The outreach staff will fill out the web-based survey on behalf of the outreach event participant. </w:t>
      </w:r>
    </w:p>
    <w:p w:rsidR="00E00264" w:rsidP="00E00264" w14:paraId="0E7430C5" w14:textId="77777777">
      <w:pPr>
        <w:pStyle w:val="NormalWeb"/>
        <w:numPr>
          <w:ilvl w:val="0"/>
          <w:numId w:val="2"/>
        </w:numPr>
        <w:spacing w:line="288" w:lineRule="atLeast"/>
      </w:pPr>
      <w:r>
        <w:t>VEAC Email Survey: A survey will be sent via email to event attendees that were not able to take the VEAC Exit Survey. The email survey will not be sent to event attendees that opted out of the VEAC Exit Survey.</w:t>
      </w:r>
    </w:p>
    <w:p w:rsidR="00E00264" w:rsidP="00E00264" w14:paraId="1A7FB09D" w14:textId="77777777">
      <w:pPr>
        <w:pStyle w:val="NormalWeb"/>
        <w:spacing w:line="288" w:lineRule="atLeast"/>
        <w:ind w:firstLine="1260"/>
      </w:pPr>
      <w:r>
        <w:t xml:space="preserve">b.  Estimation </w:t>
      </w:r>
      <w:r>
        <w:t>procedures;</w:t>
      </w:r>
    </w:p>
    <w:p w:rsidR="00E00264" w:rsidP="00E00264" w14:paraId="2FA72F9B" w14:textId="77777777">
      <w:pPr>
        <w:pStyle w:val="NormalWeb"/>
        <w:spacing w:line="288" w:lineRule="atLeast"/>
        <w:ind w:firstLine="1260"/>
      </w:pPr>
      <w:r>
        <w:tab/>
      </w:r>
      <w:r>
        <w:tab/>
        <w:t>Not applicable</w:t>
      </w:r>
    </w:p>
    <w:p w:rsidR="00E00264" w:rsidP="00E00264" w14:paraId="3BDA2C78" w14:textId="77777777">
      <w:pPr>
        <w:pStyle w:val="NormalWeb"/>
        <w:spacing w:line="288" w:lineRule="atLeast"/>
        <w:ind w:firstLine="1260"/>
      </w:pPr>
      <w:r>
        <w:t xml:space="preserve">c.  Degree of accuracy needed for the Purpose discussed in the </w:t>
      </w:r>
      <w:r>
        <w:t>justification;</w:t>
      </w:r>
    </w:p>
    <w:p w:rsidR="00E00264" w:rsidP="00E00264" w14:paraId="3BE8C54C" w14:textId="77777777">
      <w:pPr>
        <w:pStyle w:val="NormalWeb"/>
        <w:spacing w:line="288" w:lineRule="atLeast"/>
        <w:ind w:firstLine="1260"/>
      </w:pPr>
      <w:r>
        <w:t>A consensus is used because e</w:t>
      </w:r>
      <w:r w:rsidRPr="00236C84">
        <w:t xml:space="preserve">vents are held in different states and </w:t>
      </w:r>
      <w:r w:rsidRPr="00236C84">
        <w:t>use</w:t>
      </w:r>
      <w:r w:rsidRPr="00236C84">
        <w:t xml:space="preserve"> different staff members from the local areas. It is important to collect feedback at each event to provide insights </w:t>
      </w:r>
      <w:r w:rsidRPr="00236C84">
        <w:t>on</w:t>
      </w:r>
      <w:r w:rsidRPr="00236C84">
        <w:t xml:space="preserve"> attendee experience at the local level and tailor process improvements to specific areas.</w:t>
      </w:r>
      <w:r>
        <w:t xml:space="preserve"> </w:t>
      </w:r>
    </w:p>
    <w:p w:rsidR="00E00264" w:rsidP="00E00264" w14:paraId="6BE5B5F2" w14:textId="77777777">
      <w:pPr>
        <w:pStyle w:val="NormalWeb"/>
        <w:spacing w:line="288" w:lineRule="atLeast"/>
        <w:ind w:firstLine="1260"/>
      </w:pPr>
      <w:r>
        <w:t xml:space="preserve">d.  Unusual problems requiring specialized sampling procedures; and </w:t>
      </w:r>
    </w:p>
    <w:p w:rsidR="00E00264" w:rsidP="00E00264" w14:paraId="6681EDBD" w14:textId="77777777">
      <w:pPr>
        <w:pStyle w:val="NormalWeb"/>
        <w:spacing w:line="288" w:lineRule="atLeast"/>
        <w:ind w:firstLine="1260"/>
      </w:pPr>
      <w:r>
        <w:tab/>
      </w:r>
      <w:r>
        <w:tab/>
        <w:t>Not applicable</w:t>
      </w:r>
    </w:p>
    <w:p w:rsidR="00E00264" w:rsidP="00E00264" w14:paraId="218A49FF" w14:textId="77777777">
      <w:pPr>
        <w:pStyle w:val="NormalWeb"/>
        <w:spacing w:line="288" w:lineRule="atLeast"/>
        <w:ind w:firstLine="1260"/>
      </w:pPr>
      <w:r>
        <w:t>e.  Use of periodic or cyclical data collections to reduce respondent burden.</w:t>
      </w:r>
    </w:p>
    <w:p w:rsidR="00E00264" w:rsidP="00E00264" w14:paraId="51458969" w14:textId="77777777">
      <w:pPr>
        <w:pStyle w:val="NormalWeb"/>
        <w:spacing w:line="288" w:lineRule="atLeast"/>
        <w:ind w:firstLine="1260"/>
      </w:pPr>
      <w:r>
        <w:tab/>
      </w:r>
      <w:r>
        <w:tab/>
        <w:t>Not applicable</w:t>
      </w:r>
    </w:p>
    <w:p w:rsidR="005E0A0F" w:rsidP="005E0A0F" w14:paraId="73B56FD0" w14:textId="77777777">
      <w:pPr>
        <w:pStyle w:val="NormalWeb"/>
        <w:spacing w:line="288" w:lineRule="atLeast"/>
        <w:ind w:firstLine="900"/>
      </w:pPr>
      <w:r>
        <w:t>3</w:t>
      </w:r>
      <w:r>
        <w:t xml:space="preserve">.  </w:t>
      </w:r>
      <w:r>
        <w:rPr>
          <w:u w:val="single"/>
        </w:rPr>
        <w:t>Maximization</w:t>
      </w:r>
      <w:r>
        <w:rPr>
          <w:u w:val="single"/>
        </w:rPr>
        <w:t xml:space="preserve"> of Response Rates, Non-response, and Reliability</w:t>
      </w:r>
    </w:p>
    <w:p w:rsidR="006F3F40" w:rsidP="00E00264" w14:paraId="128F6345" w14:textId="77777777">
      <w:pPr>
        <w:pStyle w:val="NormalWeb"/>
        <w:spacing w:line="288" w:lineRule="atLeast"/>
        <w:ind w:firstLine="1260"/>
      </w:pPr>
      <w:r w:rsidRPr="003C5D0F">
        <w:t xml:space="preserve">Events are held in different states and </w:t>
      </w:r>
      <w:r w:rsidRPr="003C5D0F">
        <w:t>use</w:t>
      </w:r>
      <w:r w:rsidRPr="003C5D0F">
        <w:t xml:space="preserve"> different staff members from the local areas. It is important to collect feedback at each event to provide insights </w:t>
      </w:r>
      <w:r w:rsidRPr="003C5D0F">
        <w:t>on</w:t>
      </w:r>
      <w:r w:rsidRPr="003C5D0F">
        <w:t xml:space="preserve"> attendee experience at the local level and tailor process improvements to specific areas.</w:t>
      </w:r>
      <w:r>
        <w:t xml:space="preserve"> Every effort is made to afford all VEAC event participants the opportunity to complete the appropriate survey for that event. At a minimum, each </w:t>
      </w:r>
      <w:r>
        <w:t>participate</w:t>
      </w:r>
      <w:r>
        <w:t xml:space="preserve"> is asked, either in person, virtually, or via email, if they are willing to participate in the survey for the event in which they participated.</w:t>
      </w:r>
    </w:p>
    <w:p w:rsidR="006F3F40" w:rsidP="005E0A0F" w14:paraId="21E00657" w14:textId="77777777">
      <w:pPr>
        <w:pStyle w:val="NormalWeb"/>
        <w:spacing w:line="288" w:lineRule="atLeast"/>
        <w:ind w:firstLine="1260"/>
      </w:pPr>
    </w:p>
    <w:p w:rsidR="005E0A0F" w:rsidP="005E0A0F" w14:paraId="2A5FFAE5" w14:textId="77777777">
      <w:pPr>
        <w:pStyle w:val="NormalWeb"/>
        <w:spacing w:line="288" w:lineRule="atLeast"/>
        <w:ind w:firstLine="900"/>
      </w:pPr>
      <w:r>
        <w:t>4. </w:t>
      </w:r>
      <w:r>
        <w:t xml:space="preserve"> </w:t>
      </w:r>
      <w:r>
        <w:rPr>
          <w:u w:val="single"/>
        </w:rPr>
        <w:t>Tests of Procedures</w:t>
      </w:r>
    </w:p>
    <w:p w:rsidR="00E00264" w:rsidP="00E00264" w14:paraId="3F28DB03" w14:textId="77777777">
      <w:pPr>
        <w:pStyle w:val="NormalWeb"/>
        <w:spacing w:line="288" w:lineRule="atLeast"/>
        <w:ind w:firstLine="1260"/>
      </w:pPr>
      <w:r>
        <w:t xml:space="preserve">In addition to staffing, testing, and validation at the end-user (VFCE) level, an abbreviated Human Centered Design (HCD) process was conducted to gather feedback from previous survey participants. The information gathered was used to improve internal consistency and effectiveness of </w:t>
      </w:r>
      <w:r>
        <w:t>revised</w:t>
      </w:r>
      <w:r>
        <w:t xml:space="preserve"> surveys.</w:t>
      </w:r>
    </w:p>
    <w:p w:rsidR="00A93CBF" w:rsidP="005E0A0F" w14:paraId="1D66E84B" w14:textId="77777777">
      <w:pPr>
        <w:pStyle w:val="NormalWeb"/>
        <w:spacing w:line="288" w:lineRule="atLeast"/>
        <w:ind w:firstLine="1260"/>
      </w:pPr>
    </w:p>
    <w:p w:rsidR="005E0A0F" w:rsidP="005E0A0F" w14:paraId="0FEA55CC" w14:textId="77777777">
      <w:pPr>
        <w:pStyle w:val="NormalWeb"/>
        <w:spacing w:line="288" w:lineRule="atLeast"/>
        <w:ind w:firstLine="900"/>
      </w:pPr>
      <w:r>
        <w:t>5</w:t>
      </w:r>
      <w:r>
        <w:t xml:space="preserve">.  </w:t>
      </w:r>
      <w:r>
        <w:rPr>
          <w:u w:val="single"/>
        </w:rPr>
        <w:t>Statistical</w:t>
      </w:r>
      <w:r>
        <w:rPr>
          <w:u w:val="single"/>
        </w:rPr>
        <w:t xml:space="preserve"> Consultation and Information Analysis</w:t>
      </w:r>
    </w:p>
    <w:p w:rsidR="00F434B6" w:rsidP="00F434B6" w14:paraId="2BEA30B4" w14:textId="77777777">
      <w:pPr>
        <w:pStyle w:val="NormalWeb"/>
        <w:spacing w:line="288" w:lineRule="atLeast"/>
        <w:ind w:firstLine="1260"/>
      </w:pPr>
      <w:r>
        <w:t>a. </w:t>
      </w:r>
      <w:r w:rsidR="005E0A0F">
        <w:t xml:space="preserve">Provide names and telephone </w:t>
      </w:r>
      <w:r w:rsidR="005E0A0F">
        <w:t>number</w:t>
      </w:r>
      <w:r w:rsidR="005E0A0F">
        <w:t xml:space="preserve"> of individual(s) consulted on statistical aspects of the design.</w:t>
      </w:r>
    </w:p>
    <w:p w:rsidR="00E00264" w:rsidP="00E00264" w14:paraId="525B28B4" w14:textId="77777777">
      <w:pPr>
        <w:pStyle w:val="NormalWeb"/>
        <w:numPr>
          <w:ilvl w:val="0"/>
          <w:numId w:val="3"/>
        </w:numPr>
        <w:spacing w:line="288" w:lineRule="atLeast"/>
      </w:pPr>
      <w:r>
        <w:t>Evan Albert</w:t>
      </w:r>
      <w:r>
        <w:t>, Dir. of Measurement and Data Analytics, Veterans Experience Office, VA (</w:t>
      </w:r>
      <w:r>
        <w:t>202</w:t>
      </w:r>
      <w:r>
        <w:t>)</w:t>
      </w:r>
      <w:r>
        <w:t xml:space="preserve"> 461</w:t>
      </w:r>
      <w:r>
        <w:t>-</w:t>
      </w:r>
      <w:r>
        <w:t>6729</w:t>
      </w:r>
    </w:p>
    <w:p w:rsidR="00E00264" w:rsidP="00E00264" w14:paraId="0E356DE4" w14:textId="77777777">
      <w:pPr>
        <w:pStyle w:val="NormalWeb"/>
        <w:numPr>
          <w:ilvl w:val="0"/>
          <w:numId w:val="3"/>
        </w:numPr>
        <w:spacing w:line="288" w:lineRule="atLeast"/>
      </w:pPr>
      <w:r>
        <w:t>Todd Stawicki, Acting VSignals Implementation Lead, Veterans Experience Office, VA, (908) 768-5372</w:t>
      </w:r>
    </w:p>
    <w:p w:rsidR="00E00264" w:rsidP="00F434B6" w14:paraId="32C577E8" w14:textId="77777777">
      <w:pPr>
        <w:pStyle w:val="NormalWeb"/>
        <w:spacing w:line="288" w:lineRule="atLeast"/>
        <w:ind w:firstLine="1260"/>
      </w:pPr>
    </w:p>
    <w:p w:rsidR="00F1447C" w:rsidP="00F434B6" w14:paraId="5C95BBF9" w14:textId="77777777">
      <w:pPr>
        <w:pStyle w:val="NormalWeb"/>
        <w:spacing w:line="288" w:lineRule="atLeast"/>
        <w:ind w:firstLine="1260"/>
      </w:pPr>
      <w:r>
        <w:t>b. </w:t>
      </w:r>
      <w:r w:rsidR="005E0A0F">
        <w:t xml:space="preserve">Provide name and organization of person(s) who will </w:t>
      </w:r>
      <w:r w:rsidR="005E0A0F">
        <w:t>actually collect</w:t>
      </w:r>
      <w:r w:rsidR="005E0A0F">
        <w:t xml:space="preserve"> and analyze the collected information.</w:t>
      </w:r>
    </w:p>
    <w:p w:rsidR="00E00264" w:rsidRPr="00F92085" w:rsidP="00E00264" w14:paraId="77591E3D" w14:textId="77777777">
      <w:pPr>
        <w:pStyle w:val="NormalWeb"/>
        <w:numPr>
          <w:ilvl w:val="0"/>
          <w:numId w:val="3"/>
        </w:numPr>
        <w:spacing w:line="288" w:lineRule="atLeast"/>
      </w:pPr>
      <w:r>
        <w:t>Carmen M. Gamble, Data, Insights, and Analytics Division Chief, VFCE, Veterans Health Administration, 314-488-8615</w:t>
      </w:r>
    </w:p>
    <w:p w:rsidR="00E00264" w:rsidRPr="00F92085" w:rsidP="00F434B6" w14:paraId="30EA01BF" w14:textId="77777777">
      <w:pPr>
        <w:pStyle w:val="NormalWeb"/>
        <w:spacing w:line="288" w:lineRule="atLeast"/>
        <w:ind w:firstLine="1260"/>
      </w:pPr>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113BCF1B" w14:textId="77777777">
    <w:pPr>
      <w:pStyle w:val="Footer"/>
      <w:jc w:val="center"/>
    </w:pPr>
    <w:r>
      <w:fldChar w:fldCharType="begin"/>
    </w:r>
    <w:r>
      <w:instrText xml:space="preserve"> PAGE   \* MERGEFORMAT </w:instrText>
    </w:r>
    <w:r>
      <w:fldChar w:fldCharType="separate"/>
    </w:r>
    <w:r w:rsidR="00F434B6">
      <w:rPr>
        <w:noProof/>
      </w:rPr>
      <w:t>1</w:t>
    </w:r>
    <w:r>
      <w:fldChar w:fldCharType="end"/>
    </w:r>
  </w:p>
  <w:p w:rsidR="00977A74" w14:paraId="3E85039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6A7F21"/>
    <w:multiLevelType w:val="hybridMultilevel"/>
    <w:tmpl w:val="C2302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6634B1"/>
    <w:multiLevelType w:val="hybridMultilevel"/>
    <w:tmpl w:val="69DE001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
    <w:nsid w:val="548537EF"/>
    <w:multiLevelType w:val="hybridMultilevel"/>
    <w:tmpl w:val="053AFB82"/>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1056707778">
    <w:abstractNumId w:val="2"/>
  </w:num>
  <w:num w:numId="2" w16cid:durableId="2132355940">
    <w:abstractNumId w:val="1"/>
  </w:num>
  <w:num w:numId="3" w16cid:durableId="158730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2057C9"/>
    <w:rsid w:val="00236C84"/>
    <w:rsid w:val="0030008B"/>
    <w:rsid w:val="003B2F08"/>
    <w:rsid w:val="003C5D0F"/>
    <w:rsid w:val="004C5970"/>
    <w:rsid w:val="005E0A0F"/>
    <w:rsid w:val="00643533"/>
    <w:rsid w:val="006B2B17"/>
    <w:rsid w:val="006E1A70"/>
    <w:rsid w:val="006E7A05"/>
    <w:rsid w:val="006F3F40"/>
    <w:rsid w:val="00977A74"/>
    <w:rsid w:val="009F0B30"/>
    <w:rsid w:val="009F28DB"/>
    <w:rsid w:val="00A93CBF"/>
    <w:rsid w:val="00AD37A1"/>
    <w:rsid w:val="00B7395F"/>
    <w:rsid w:val="00C34D08"/>
    <w:rsid w:val="00C53FA6"/>
    <w:rsid w:val="00C66D8C"/>
    <w:rsid w:val="00CD5D3C"/>
    <w:rsid w:val="00D46148"/>
    <w:rsid w:val="00E00264"/>
    <w:rsid w:val="00F07885"/>
    <w:rsid w:val="00F1447C"/>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23DF9"/>
  <w15:chartTrackingRefBased/>
  <w15:docId w15:val="{9E898072-745B-4328-99FB-1457311C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7AB934C2-D0F4-4858-96CD-A6DF46AB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219E2-F8DE-44C3-8DE0-1595DE9858DF}">
  <ds:schemaRefs>
    <ds:schemaRef ds:uri="http://schemas.microsoft.com/sharepoint/v3/contenttype/forms"/>
  </ds:schemaRefs>
</ds:datastoreItem>
</file>

<file path=customXml/itemProps3.xml><?xml version="1.0" encoding="utf-8"?>
<ds:datastoreItem xmlns:ds="http://schemas.openxmlformats.org/officeDocument/2006/customXml" ds:itemID="{12A2FEE9-22F0-4610-9032-9FCC78DA8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Stawicki, Todd R.</cp:lastModifiedBy>
  <cp:revision>2</cp:revision>
  <cp:lastPrinted>2013-01-25T19:13:00Z</cp:lastPrinted>
  <dcterms:created xsi:type="dcterms:W3CDTF">2025-07-10T14:01:00Z</dcterms:created>
  <dcterms:modified xsi:type="dcterms:W3CDTF">2025-07-10T14:01:00Z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