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63A4" w:rsidRPr="00483FED" w:rsidP="007763A4" w14:paraId="15DD7543" w14:textId="1F235A95">
      <w:pPr>
        <w:widowControl w:val="0"/>
        <w:tabs>
          <w:tab w:val="center" w:pos="4680"/>
        </w:tabs>
        <w:jc w:val="center"/>
        <w:rPr>
          <w:b/>
        </w:rPr>
      </w:pPr>
      <w:r>
        <w:fldChar w:fldCharType="begin"/>
      </w:r>
      <w:r>
        <w:instrText xml:space="preserve"> SEQ CHAPTER \h \r 1</w:instrText>
      </w:r>
      <w:r w:rsidR="00EE70D2">
        <w:fldChar w:fldCharType="separate"/>
      </w:r>
      <w:r>
        <w:fldChar w:fldCharType="end"/>
      </w:r>
      <w:r>
        <w:fldChar w:fldCharType="begin"/>
      </w:r>
      <w:r>
        <w:instrText xml:space="preserve"> SEQ CHAPTER \h \r 1</w:instrText>
      </w:r>
      <w:r w:rsidR="00EE70D2">
        <w:fldChar w:fldCharType="separate"/>
      </w:r>
      <w:r>
        <w:fldChar w:fldCharType="end"/>
      </w:r>
      <w:r>
        <w:fldChar w:fldCharType="begin"/>
      </w:r>
      <w:r>
        <w:instrText xml:space="preserve"> SEQ CHAPTER \h \r 1</w:instrText>
      </w:r>
      <w:r w:rsidR="00EE70D2">
        <w:fldChar w:fldCharType="separate"/>
      </w:r>
      <w:r>
        <w:fldChar w:fldCharType="end"/>
      </w:r>
      <w:r>
        <w:fldChar w:fldCharType="begin"/>
      </w:r>
      <w:r>
        <w:instrText xml:space="preserve"> SEQ CHAPTER \h \r 1</w:instrText>
      </w:r>
      <w:r w:rsidR="00EE70D2">
        <w:fldChar w:fldCharType="separate"/>
      </w:r>
      <w:r>
        <w:fldChar w:fldCharType="end"/>
      </w:r>
      <w:r w:rsidRPr="2C095B20">
        <w:rPr>
          <w:b/>
        </w:rPr>
        <w:t>FEDERAL RAILROAD ADMINISTRATION</w:t>
      </w:r>
    </w:p>
    <w:p w:rsidR="00570005" w:rsidP="20598D28" w14:paraId="5BF0B02F" w14:textId="2B648FB6">
      <w:pPr>
        <w:widowControl w:val="0"/>
        <w:tabs>
          <w:tab w:val="center" w:pos="4680"/>
        </w:tabs>
        <w:jc w:val="center"/>
        <w:rPr>
          <w:b/>
          <w:bCs/>
        </w:rPr>
      </w:pPr>
      <w:r w:rsidRPr="20598D28">
        <w:rPr>
          <w:b/>
          <w:bCs/>
        </w:rPr>
        <w:t>State Safety Participation</w:t>
      </w:r>
      <w:r w:rsidRPr="20598D28" w:rsidR="005465E6">
        <w:rPr>
          <w:b/>
          <w:bCs/>
        </w:rPr>
        <w:t xml:space="preserve"> Program</w:t>
      </w:r>
      <w:r w:rsidRPr="20598D28">
        <w:rPr>
          <w:b/>
          <w:bCs/>
        </w:rPr>
        <w:t xml:space="preserve"> and Reporting of Remedial Actions </w:t>
      </w:r>
    </w:p>
    <w:p w:rsidR="007763A4" w:rsidRPr="008A5B6D" w:rsidP="007763A4" w14:paraId="480C461B" w14:textId="01CE1532">
      <w:pPr>
        <w:widowControl w:val="0"/>
        <w:tabs>
          <w:tab w:val="center" w:pos="4680"/>
        </w:tabs>
        <w:jc w:val="center"/>
        <w:rPr>
          <w:b/>
          <w:szCs w:val="24"/>
        </w:rPr>
      </w:pPr>
      <w:r w:rsidRPr="008A5B6D">
        <w:rPr>
          <w:b/>
          <w:szCs w:val="24"/>
        </w:rPr>
        <w:t>(Title 49 Code of Federal Regulations (CFR) Part</w:t>
      </w:r>
      <w:r w:rsidR="00521F90">
        <w:rPr>
          <w:b/>
          <w:szCs w:val="24"/>
        </w:rPr>
        <w:t>s 209 and</w:t>
      </w:r>
      <w:r w:rsidRPr="008A5B6D">
        <w:rPr>
          <w:b/>
          <w:szCs w:val="24"/>
        </w:rPr>
        <w:t xml:space="preserve"> 2</w:t>
      </w:r>
      <w:r w:rsidR="00570005">
        <w:rPr>
          <w:b/>
          <w:szCs w:val="24"/>
        </w:rPr>
        <w:t>1</w:t>
      </w:r>
      <w:r w:rsidRPr="008A5B6D">
        <w:rPr>
          <w:b/>
          <w:szCs w:val="24"/>
        </w:rPr>
        <w:t>2)</w:t>
      </w:r>
    </w:p>
    <w:p w:rsidR="007763A4" w:rsidRPr="008A5B6D" w:rsidP="007763A4" w14:paraId="19EA5719" w14:textId="77777777">
      <w:pPr>
        <w:widowControl w:val="0"/>
        <w:jc w:val="center"/>
        <w:rPr>
          <w:b/>
          <w:szCs w:val="24"/>
        </w:rPr>
      </w:pPr>
      <w:r w:rsidRPr="008A5B6D">
        <w:rPr>
          <w:b/>
          <w:szCs w:val="24"/>
        </w:rPr>
        <w:t>SUPPORTING JUSTIFICATION</w:t>
      </w:r>
    </w:p>
    <w:p w:rsidR="007763A4" w:rsidRPr="008A5B6D" w:rsidP="007763A4" w14:paraId="4E1C1307" w14:textId="1F8A7DF6">
      <w:pPr>
        <w:widowControl w:val="0"/>
        <w:jc w:val="center"/>
        <w:rPr>
          <w:b/>
          <w:szCs w:val="24"/>
        </w:rPr>
      </w:pPr>
      <w:r w:rsidRPr="008A5B6D">
        <w:rPr>
          <w:b/>
          <w:szCs w:val="24"/>
        </w:rPr>
        <w:t>OMB Control No. 2130-05</w:t>
      </w:r>
      <w:r w:rsidR="00570005">
        <w:rPr>
          <w:b/>
          <w:szCs w:val="24"/>
        </w:rPr>
        <w:t>09</w:t>
      </w:r>
    </w:p>
    <w:p w:rsidR="007763A4" w:rsidRPr="008A5B6D" w:rsidP="007763A4" w14:paraId="2612CF2F" w14:textId="77777777">
      <w:pPr>
        <w:widowControl w:val="0"/>
        <w:rPr>
          <w:b/>
          <w:szCs w:val="24"/>
        </w:rPr>
      </w:pPr>
    </w:p>
    <w:p w:rsidR="007763A4" w:rsidRPr="008A5B6D" w:rsidP="007763A4" w14:paraId="3AA2F72C" w14:textId="77777777">
      <w:pPr>
        <w:widowControl w:val="0"/>
        <w:ind w:left="720"/>
        <w:rPr>
          <w:szCs w:val="24"/>
          <w:u w:val="single"/>
        </w:rPr>
      </w:pPr>
      <w:r w:rsidRPr="008A5B6D">
        <w:rPr>
          <w:szCs w:val="24"/>
          <w:u w:val="single"/>
        </w:rPr>
        <w:t>Summary of Submission</w:t>
      </w:r>
    </w:p>
    <w:p w:rsidR="007763A4" w:rsidRPr="008A5B6D" w:rsidP="007763A4" w14:paraId="18F11633" w14:textId="77777777">
      <w:pPr>
        <w:widowControl w:val="0"/>
        <w:ind w:left="720"/>
        <w:rPr>
          <w:szCs w:val="24"/>
          <w:u w:val="single"/>
        </w:rPr>
      </w:pPr>
    </w:p>
    <w:p w:rsidR="007763A4" w:rsidRPr="00BB51D1" w:rsidP="00C023D7" w14:paraId="73ED5361" w14:textId="318AB463">
      <w:pPr>
        <w:pStyle w:val="ListParagraph"/>
        <w:numPr>
          <w:ilvl w:val="0"/>
          <w:numId w:val="9"/>
        </w:numPr>
        <w:ind w:left="1080"/>
      </w:pPr>
      <w:r>
        <w:t>This submission is a request for an extension without change (with changes in estimates) of the last three-year approval granted by the Office of Management and Budget (OMB) on</w:t>
      </w:r>
      <w:r w:rsidR="00B649FF">
        <w:t xml:space="preserve"> </w:t>
      </w:r>
      <w:r w:rsidR="00BB51D1">
        <w:t>May 31, 2022</w:t>
      </w:r>
      <w:r>
        <w:t xml:space="preserve">, </w:t>
      </w:r>
      <w:r w:rsidR="00E96DC5">
        <w:t xml:space="preserve">with an expiration date on </w:t>
      </w:r>
      <w:r w:rsidR="00A95E7B">
        <w:t xml:space="preserve">November 30, 2025. </w:t>
      </w:r>
      <w:r w:rsidR="009C090A">
        <w:t xml:space="preserve"> </w:t>
      </w:r>
    </w:p>
    <w:p w:rsidR="007763A4" w:rsidRPr="00BB51D1" w:rsidP="00C023D7" w14:paraId="72A49A8F" w14:textId="77777777">
      <w:pPr>
        <w:ind w:left="990" w:hanging="270"/>
      </w:pPr>
    </w:p>
    <w:p w:rsidR="007763A4" w:rsidRPr="00BB51D1" w:rsidP="00C023D7" w14:paraId="2FCA5690" w14:textId="60A2CC2C">
      <w:pPr>
        <w:pStyle w:val="ListParagraph"/>
        <w:numPr>
          <w:ilvl w:val="0"/>
          <w:numId w:val="9"/>
        </w:numPr>
        <w:ind w:left="1080"/>
      </w:pPr>
      <w:r w:rsidRPr="00BB51D1">
        <w:t>The Federal Railroad Administration (</w:t>
      </w:r>
      <w:r w:rsidRPr="00BB51D1" w:rsidR="00A95E7B">
        <w:t>hereafter “</w:t>
      </w:r>
      <w:r w:rsidRPr="00BB51D1">
        <w:t>FRA</w:t>
      </w:r>
      <w:r w:rsidRPr="00BB51D1" w:rsidR="00A95E7B">
        <w:t>” or the “Agency”</w:t>
      </w:r>
      <w:r w:rsidRPr="00BB51D1">
        <w:t xml:space="preserve">) published </w:t>
      </w:r>
      <w:r w:rsidR="00E96DC5">
        <w:t xml:space="preserve">a </w:t>
      </w:r>
      <w:r w:rsidRPr="00BB51D1">
        <w:t>required 60-day</w:t>
      </w:r>
      <w:r w:rsidRPr="00BB51D1" w:rsidR="00A95E7B">
        <w:t xml:space="preserve"> Notice in the </w:t>
      </w:r>
      <w:r w:rsidRPr="00E96DC5">
        <w:rPr>
          <w:u w:val="single"/>
        </w:rPr>
        <w:t>Federal</w:t>
      </w:r>
      <w:r w:rsidRPr="00BB51D1">
        <w:t xml:space="preserve"> </w:t>
      </w:r>
      <w:r w:rsidRPr="00E96DC5">
        <w:rPr>
          <w:u w:val="single"/>
        </w:rPr>
        <w:t>Register</w:t>
      </w:r>
      <w:r w:rsidRPr="00BB51D1">
        <w:t xml:space="preserve"> on </w:t>
      </w:r>
      <w:r w:rsidR="00FD4BAA">
        <w:t xml:space="preserve">August </w:t>
      </w:r>
      <w:r w:rsidR="00B276E1">
        <w:t>08</w:t>
      </w:r>
      <w:r w:rsidR="00E96DC5">
        <w:t>, 2025</w:t>
      </w:r>
      <w:r w:rsidRPr="00BB51D1" w:rsidR="00BB51D1">
        <w:t>.</w:t>
      </w:r>
      <w:r w:rsidRPr="00BB51D1" w:rsidR="009C090A">
        <w:t xml:space="preserve"> </w:t>
      </w:r>
      <w:r w:rsidR="00EE12A7">
        <w:t xml:space="preserve"> </w:t>
      </w:r>
      <w:r w:rsidRPr="00BB51D1">
        <w:t xml:space="preserve">See </w:t>
      </w:r>
      <w:r w:rsidR="00E96DC5">
        <w:t xml:space="preserve">90 FR </w:t>
      </w:r>
      <w:r w:rsidR="00B908BD">
        <w:t>38585</w:t>
      </w:r>
      <w:r w:rsidRPr="00BB51D1" w:rsidR="009C090A">
        <w:t xml:space="preserve">. </w:t>
      </w:r>
      <w:r w:rsidR="00EE12A7">
        <w:t xml:space="preserve"> </w:t>
      </w:r>
      <w:r w:rsidRPr="00BB51D1">
        <w:t xml:space="preserve">FRA received </w:t>
      </w:r>
      <w:r w:rsidR="00EE70D2">
        <w:t>no</w:t>
      </w:r>
      <w:r w:rsidRPr="00BB51D1" w:rsidR="00A8104C">
        <w:t xml:space="preserve"> </w:t>
      </w:r>
      <w:r w:rsidRPr="00BB51D1">
        <w:t>comments in response to this Notice</w:t>
      </w:r>
      <w:r w:rsidRPr="00BB51D1" w:rsidR="009C090A">
        <w:t xml:space="preserve">. </w:t>
      </w:r>
    </w:p>
    <w:p w:rsidR="007763A4" w:rsidRPr="00BB51D1" w:rsidP="00C023D7" w14:paraId="00679A79" w14:textId="77777777">
      <w:pPr>
        <w:ind w:left="990" w:hanging="270"/>
      </w:pPr>
    </w:p>
    <w:p w:rsidR="007763A4" w:rsidRPr="00BB51D1" w:rsidP="00C023D7" w14:paraId="219DC45D" w14:textId="6A0F0A68">
      <w:pPr>
        <w:pStyle w:val="ListParagraph"/>
        <w:numPr>
          <w:ilvl w:val="0"/>
          <w:numId w:val="9"/>
        </w:numPr>
        <w:ind w:left="1080"/>
      </w:pPr>
      <w:r>
        <w:t>Overall, adjust</w:t>
      </w:r>
      <w:r w:rsidR="00E96DC5">
        <w:t>ed estimates</w:t>
      </w:r>
      <w:r w:rsidR="00B00C24">
        <w:t xml:space="preserve"> decreased</w:t>
      </w:r>
      <w:r>
        <w:t xml:space="preserve"> burden by </w:t>
      </w:r>
      <w:r w:rsidR="00793A59">
        <w:t>2,107</w:t>
      </w:r>
      <w:r w:rsidR="00B00C24">
        <w:t xml:space="preserve"> </w:t>
      </w:r>
      <w:r>
        <w:t xml:space="preserve">hours and </w:t>
      </w:r>
      <w:r w:rsidR="00B00C24">
        <w:t>decreased</w:t>
      </w:r>
      <w:r>
        <w:t xml:space="preserve"> responses by </w:t>
      </w:r>
      <w:r w:rsidR="00B00C24">
        <w:t>8</w:t>
      </w:r>
      <w:r w:rsidR="00793A59">
        <w:t>41</w:t>
      </w:r>
      <w:r w:rsidR="00B00C24">
        <w:t>.</w:t>
      </w:r>
      <w:r>
        <w:t xml:space="preserve"> </w:t>
      </w:r>
    </w:p>
    <w:p w:rsidR="007763A4" w:rsidRPr="00BB51D1" w:rsidP="00C023D7" w14:paraId="3C82E44D" w14:textId="77777777">
      <w:pPr>
        <w:ind w:left="1080" w:hanging="360"/>
      </w:pPr>
    </w:p>
    <w:p w:rsidR="007763A4" w:rsidRPr="00BB51D1" w:rsidP="00C023D7" w14:paraId="047D2EE6" w14:textId="72E1CE80">
      <w:pPr>
        <w:pStyle w:val="ListParagraph"/>
        <w:numPr>
          <w:ilvl w:val="0"/>
          <w:numId w:val="9"/>
        </w:numPr>
        <w:ind w:left="1080"/>
      </w:pPr>
      <w:r w:rsidRPr="00BB51D1">
        <w:t>The answer to question number 12 itemizes all information collection requirements</w:t>
      </w:r>
      <w:r w:rsidRPr="00BB51D1" w:rsidR="009C090A">
        <w:t xml:space="preserve">. </w:t>
      </w:r>
    </w:p>
    <w:p w:rsidR="00F54593" w:rsidRPr="00483FED" w:rsidP="004C606E" w14:paraId="0E3CFC82" w14:textId="5E536B5D">
      <w:pPr>
        <w:widowControl w:val="0"/>
        <w:tabs>
          <w:tab w:val="center" w:pos="4680"/>
        </w:tabs>
        <w:rPr>
          <w:szCs w:val="24"/>
        </w:rPr>
      </w:pPr>
      <w:r w:rsidRPr="008A5B6D">
        <w:rPr>
          <w:szCs w:val="24"/>
        </w:rPr>
        <w:fldChar w:fldCharType="begin"/>
      </w:r>
      <w:r w:rsidRPr="008A5B6D">
        <w:rPr>
          <w:szCs w:val="24"/>
        </w:rPr>
        <w:instrText xml:space="preserve"> SEQ CHAPTER \h \r 1</w:instrText>
      </w:r>
      <w:r w:rsidR="00EE70D2">
        <w:rPr>
          <w:szCs w:val="24"/>
        </w:rPr>
        <w:fldChar w:fldCharType="separate"/>
      </w:r>
      <w:r w:rsidRPr="008A5B6D">
        <w:rPr>
          <w:szCs w:val="24"/>
        </w:rPr>
        <w:fldChar w:fldCharType="end"/>
      </w:r>
      <w:r w:rsidRPr="00483FED">
        <w:rPr>
          <w:b/>
          <w:szCs w:val="24"/>
        </w:rPr>
        <w:tab/>
      </w:r>
    </w:p>
    <w:p w:rsidR="00F54593" w:rsidRPr="008A5B6D" w:rsidP="00F54593" w14:paraId="54AFB90E" w14:textId="77777777">
      <w:pPr>
        <w:widowControl w:val="0"/>
        <w:numPr>
          <w:ilvl w:val="0"/>
          <w:numId w:val="6"/>
        </w:numPr>
        <w:ind w:left="0" w:firstLine="0"/>
        <w:rPr>
          <w:b/>
          <w:szCs w:val="24"/>
        </w:rPr>
      </w:pPr>
      <w:r w:rsidRPr="008A5B6D">
        <w:rPr>
          <w:b/>
          <w:szCs w:val="24"/>
          <w:u w:val="single"/>
        </w:rPr>
        <w:t>Circumstances that make collection of the information necessary</w:t>
      </w:r>
      <w:r w:rsidRPr="008A5B6D">
        <w:rPr>
          <w:b/>
          <w:szCs w:val="24"/>
        </w:rPr>
        <w:t>.</w:t>
      </w:r>
    </w:p>
    <w:p w:rsidR="00F54593" w:rsidRPr="008A5B6D" w14:paraId="745B1FE8" w14:textId="77777777">
      <w:pPr>
        <w:widowControl w:val="0"/>
        <w:tabs>
          <w:tab w:val="center" w:pos="4680"/>
        </w:tabs>
        <w:rPr>
          <w:b/>
          <w:szCs w:val="24"/>
        </w:rPr>
      </w:pPr>
    </w:p>
    <w:p w:rsidR="00B72307" w:rsidRPr="00B72307" w:rsidP="356F83C9" w14:paraId="2A259AEC" w14:textId="416D85B3">
      <w:pPr>
        <w:widowControl w:val="0"/>
        <w:ind w:left="720"/>
      </w:pPr>
      <w:r>
        <w:t>The State Safety Participation Program</w:t>
      </w:r>
      <w:r w:rsidR="00D972CA">
        <w:t xml:space="preserve"> (“Program”)</w:t>
      </w:r>
      <w:r w:rsidR="00A1741F">
        <w:t xml:space="preserve"> is authorized under</w:t>
      </w:r>
      <w:r w:rsidR="00223137">
        <w:t xml:space="preserve"> </w:t>
      </w:r>
      <w:r w:rsidRPr="00A1741F" w:rsidR="00A1741F">
        <w:t>49 U.S.C.</w:t>
      </w:r>
      <w:r w:rsidR="00223137">
        <w:t xml:space="preserve"> </w:t>
      </w:r>
      <w:r w:rsidRPr="00A1741F" w:rsidR="00A1741F">
        <w:t xml:space="preserve"> 20105</w:t>
      </w:r>
      <w:r w:rsidR="00EA2D52">
        <w:t xml:space="preserve"> and </w:t>
      </w:r>
      <w:r w:rsidR="001C3C2E">
        <w:t>implemented by FRA</w:t>
      </w:r>
      <w:r>
        <w:t xml:space="preserve"> </w:t>
      </w:r>
      <w:r w:rsidR="2E70F08D">
        <w:t>through</w:t>
      </w:r>
      <w:r w:rsidR="00351F60">
        <w:t xml:space="preserve"> 49 CFR </w:t>
      </w:r>
      <w:r w:rsidR="43ED7F26">
        <w:t>P</w:t>
      </w:r>
      <w:r w:rsidR="00351F60">
        <w:t>art 212</w:t>
      </w:r>
      <w:r w:rsidR="001B5E31">
        <w:t>, State Safety Participation Regulations</w:t>
      </w:r>
      <w:r w:rsidR="00F810DF">
        <w:t>.</w:t>
      </w:r>
      <w:r w:rsidR="00351F60">
        <w:t xml:space="preserve"> </w:t>
      </w:r>
      <w:r w:rsidR="00FC5058">
        <w:t xml:space="preserve"> </w:t>
      </w:r>
      <w:r w:rsidR="00D972CA">
        <w:t xml:space="preserve">The Program </w:t>
      </w:r>
      <w:r w:rsidR="0085290F">
        <w:t>allows</w:t>
      </w:r>
      <w:r>
        <w:t xml:space="preserve"> States </w:t>
      </w:r>
      <w:r w:rsidR="0085290F">
        <w:t xml:space="preserve">to </w:t>
      </w:r>
      <w:r>
        <w:t xml:space="preserve">employ safety inspectors </w:t>
      </w:r>
      <w:r w:rsidR="00025B3D">
        <w:t xml:space="preserve">with </w:t>
      </w:r>
      <w:r w:rsidR="004E54F1">
        <w:t>s</w:t>
      </w:r>
      <w:r w:rsidR="00032617">
        <w:t xml:space="preserve">pecified </w:t>
      </w:r>
      <w:r w:rsidR="00025B3D">
        <w:t xml:space="preserve">authority </w:t>
      </w:r>
      <w:r>
        <w:t>in</w:t>
      </w:r>
      <w:r w:rsidR="726562A0">
        <w:t xml:space="preserve"> one or more</w:t>
      </w:r>
      <w:r>
        <w:t xml:space="preserve"> rail safety inspection disciplines</w:t>
      </w:r>
      <w:r w:rsidR="004A5053">
        <w:t xml:space="preserve"> </w:t>
      </w:r>
      <w:r w:rsidR="00086B96">
        <w:t>regulated by FRA</w:t>
      </w:r>
      <w:r>
        <w:t xml:space="preserve">. </w:t>
      </w:r>
      <w:r w:rsidR="00EE12A7">
        <w:t xml:space="preserve"> </w:t>
      </w:r>
      <w:r>
        <w:t>State programs emphasize planned, routine compliance inspections</w:t>
      </w:r>
      <w:r w:rsidR="52E4E514">
        <w:t>.</w:t>
      </w:r>
      <w:r w:rsidR="5A22F3C6">
        <w:t xml:space="preserve">  </w:t>
      </w:r>
      <w:r>
        <w:t xml:space="preserve">States may </w:t>
      </w:r>
      <w:r w:rsidR="416D5E57">
        <w:t xml:space="preserve">also </w:t>
      </w:r>
      <w:r>
        <w:t xml:space="preserve">undertake additional investigative and surveillance activities consistent with overall </w:t>
      </w:r>
      <w:r w:rsidR="0026365F">
        <w:t>P</w:t>
      </w:r>
      <w:r>
        <w:t>rogram needs and individual State capabilities.</w:t>
      </w:r>
    </w:p>
    <w:p w:rsidR="00B72307" w:rsidRPr="00B72307" w:rsidP="00B72307" w14:paraId="7FB50DC5" w14:textId="77777777">
      <w:pPr>
        <w:widowControl w:val="0"/>
        <w:ind w:left="720"/>
        <w:rPr>
          <w:szCs w:val="24"/>
        </w:rPr>
      </w:pPr>
    </w:p>
    <w:p w:rsidR="00B72307" w:rsidRPr="00B72307" w:rsidP="00B72307" w14:paraId="5FDE4E0D" w14:textId="02EB7006">
      <w:pPr>
        <w:widowControl w:val="0"/>
        <w:ind w:left="720"/>
      </w:pPr>
      <w:r w:rsidRPr="356F83C9">
        <w:t xml:space="preserve">Before </w:t>
      </w:r>
      <w:r w:rsidRPr="356F83C9" w:rsidR="4911FB25">
        <w:t xml:space="preserve">a </w:t>
      </w:r>
      <w:r w:rsidRPr="356F83C9" w:rsidR="3A17A174">
        <w:t>S</w:t>
      </w:r>
      <w:r w:rsidRPr="356F83C9" w:rsidR="4911FB25">
        <w:t xml:space="preserve">tate </w:t>
      </w:r>
      <w:r w:rsidRPr="356F83C9" w:rsidR="0A37E69E">
        <w:t xml:space="preserve">begins </w:t>
      </w:r>
      <w:r w:rsidRPr="356F83C9">
        <w:t xml:space="preserve">participation </w:t>
      </w:r>
      <w:r w:rsidRPr="356F83C9" w:rsidR="083C0CED">
        <w:t xml:space="preserve">in FRA’s </w:t>
      </w:r>
      <w:r w:rsidR="6EA0EFF1">
        <w:t xml:space="preserve">rail </w:t>
      </w:r>
      <w:r w:rsidRPr="356F83C9" w:rsidR="083C0CED">
        <w:t>safety inspection activities</w:t>
      </w:r>
      <w:r w:rsidRPr="356F83C9">
        <w:t xml:space="preserve">, </w:t>
      </w:r>
      <w:r w:rsidRPr="356F83C9" w:rsidR="5C81EF01">
        <w:t>th</w:t>
      </w:r>
      <w:r w:rsidRPr="356F83C9" w:rsidR="596E3D3F">
        <w:t>at</w:t>
      </w:r>
      <w:r w:rsidRPr="356F83C9" w:rsidR="5C81EF01">
        <w:t xml:space="preserve"> </w:t>
      </w:r>
      <w:r w:rsidRPr="356F83C9" w:rsidR="68EAAE4F">
        <w:t>S</w:t>
      </w:r>
      <w:r w:rsidRPr="356F83C9" w:rsidR="5C81EF01">
        <w:t>tate</w:t>
      </w:r>
      <w:r w:rsidRPr="356F83C9">
        <w:t xml:space="preserve"> must enter into a</w:t>
      </w:r>
      <w:r w:rsidRPr="356F83C9" w:rsidR="6A65FCAC">
        <w:t>n</w:t>
      </w:r>
      <w:r w:rsidRPr="356F83C9">
        <w:t xml:space="preserve"> agreement with FRA. </w:t>
      </w:r>
      <w:r w:rsidR="00EE12A7">
        <w:t xml:space="preserve"> </w:t>
      </w:r>
      <w:r w:rsidRPr="356F83C9">
        <w:t>This agreement delegate</w:t>
      </w:r>
      <w:r w:rsidRPr="356F83C9" w:rsidR="34CCC6F8">
        <w:t>s</w:t>
      </w:r>
      <w:r w:rsidRPr="356F83C9" w:rsidR="00BB51D1">
        <w:t xml:space="preserve"> i</w:t>
      </w:r>
      <w:r w:rsidRPr="356F83C9">
        <w:t xml:space="preserve">nvestigative and surveillance authority regarding </w:t>
      </w:r>
      <w:r w:rsidRPr="356F83C9" w:rsidR="5751C00C">
        <w:t xml:space="preserve">specific </w:t>
      </w:r>
      <w:r w:rsidRPr="356F83C9">
        <w:t>part</w:t>
      </w:r>
      <w:r w:rsidRPr="356F83C9" w:rsidR="544F5E8F">
        <w:t>s</w:t>
      </w:r>
      <w:r w:rsidRPr="356F83C9">
        <w:t xml:space="preserve"> of Federal railroad safety laws</w:t>
      </w:r>
      <w:r w:rsidR="003B02ED">
        <w:t xml:space="preserve"> and regulations</w:t>
      </w:r>
      <w:r w:rsidRPr="356F83C9">
        <w:t>.</w:t>
      </w:r>
    </w:p>
    <w:p w:rsidR="00B72307" w:rsidRPr="00B72307" w:rsidP="00B72307" w14:paraId="6E6542EE" w14:textId="77777777">
      <w:pPr>
        <w:widowControl w:val="0"/>
        <w:ind w:left="720"/>
        <w:rPr>
          <w:szCs w:val="24"/>
        </w:rPr>
      </w:pPr>
    </w:p>
    <w:p w:rsidR="005B3D3B" w:rsidP="00B72307" w14:paraId="52903E72" w14:textId="21AF06DC">
      <w:pPr>
        <w:widowControl w:val="0"/>
        <w:ind w:left="720"/>
      </w:pPr>
      <w:r>
        <w:t xml:space="preserve">The training of State inspectors is one of FRA’s </w:t>
      </w:r>
      <w:r w:rsidR="7F3045D4">
        <w:t>m</w:t>
      </w:r>
      <w:r w:rsidR="6E099572">
        <w:t>ost important activities related to Part 212</w:t>
      </w:r>
      <w:r>
        <w:t xml:space="preserve">. </w:t>
      </w:r>
      <w:r w:rsidR="002D21AD">
        <w:t xml:space="preserve"> </w:t>
      </w:r>
      <w:r>
        <w:t xml:space="preserve">FRA reimburses States for travel expenses associated with </w:t>
      </w:r>
      <w:r w:rsidR="002D21AD">
        <w:t xml:space="preserve">State </w:t>
      </w:r>
      <w:r>
        <w:t xml:space="preserve">safety inspector technical training. </w:t>
      </w:r>
      <w:r w:rsidR="00EE12A7">
        <w:t xml:space="preserve"> </w:t>
      </w:r>
      <w:r w:rsidR="00DC1610">
        <w:t>The training program helps States to develop rail safety programs and enables qualified State inspectors to maintain technical proficiency.</w:t>
      </w:r>
    </w:p>
    <w:p w:rsidR="005D29DC" w:rsidP="005B3D3B" w14:paraId="4FFD7947" w14:textId="40192498">
      <w:pPr>
        <w:widowControl w:val="0"/>
        <w:ind w:left="720"/>
      </w:pPr>
    </w:p>
    <w:p w:rsidR="00C6524A" w:rsidP="005B3D3B" w14:paraId="5EC9117D" w14:textId="69BB532D">
      <w:pPr>
        <w:widowControl w:val="0"/>
        <w:ind w:left="720"/>
      </w:pPr>
      <w:r>
        <w:t xml:space="preserve">FRA requires States to document inspections completed under Part 212 by the completion and submittal to FRA of standard forms.  These are the same forms used by </w:t>
      </w:r>
      <w:r>
        <w:t>FRA inspectors.  Most commonly,</w:t>
      </w:r>
      <w:r w:rsidR="4498DEC4">
        <w:t xml:space="preserve"> State inspector</w:t>
      </w:r>
      <w:r w:rsidR="77B8D231">
        <w:t>s</w:t>
      </w:r>
      <w:r w:rsidR="4498DEC4">
        <w:t xml:space="preserve"> </w:t>
      </w:r>
      <w:r w:rsidR="03EBAE23">
        <w:t>are</w:t>
      </w:r>
      <w:r w:rsidR="4498DEC4">
        <w:t xml:space="preserve"> required to complete form FRA F 6180.96 to document an inspection </w:t>
      </w:r>
      <w:r w:rsidR="203440F2">
        <w:t>for compliance with any</w:t>
      </w:r>
      <w:r w:rsidR="4BA616F3">
        <w:t xml:space="preserve"> safety regulation under a discipline that the State has agreed to participate in.  In addition, when a State inspector recommends to FRA that </w:t>
      </w:r>
      <w:r w:rsidR="21FABA13">
        <w:t>enforcement action be taken to address a regulatory violation, that inspector must complete the form for recommending violations in the relevant discipline.</w:t>
      </w:r>
    </w:p>
    <w:p w:rsidR="005D29DC" w:rsidP="00F00B4C" w14:paraId="12BDAC8B" w14:textId="5F9DA92B">
      <w:pPr>
        <w:widowControl w:val="0"/>
        <w:spacing w:line="259" w:lineRule="auto"/>
      </w:pPr>
    </w:p>
    <w:p w:rsidR="00D056BB" w:rsidP="005B3D3B" w14:paraId="079AAF94" w14:textId="52A6EFCD">
      <w:pPr>
        <w:widowControl w:val="0"/>
        <w:ind w:left="720"/>
      </w:pPr>
      <w:r>
        <w:t xml:space="preserve">This </w:t>
      </w:r>
      <w:r w:rsidR="00BB34F4">
        <w:t>ICR</w:t>
      </w:r>
      <w:r>
        <w:t xml:space="preserve"> also </w:t>
      </w:r>
      <w:r w:rsidR="00C06A06">
        <w:t>includes remedial action reporting</w:t>
      </w:r>
      <w:r w:rsidR="00130953">
        <w:t>, authorized under 49 U.S.C. 20111(d)</w:t>
      </w:r>
      <w:r w:rsidR="00C06A06">
        <w:t>.  I</w:t>
      </w:r>
      <w:r w:rsidRPr="356F83C9" w:rsidR="00BB1F6B">
        <w:t xml:space="preserve">f a railroad </w:t>
      </w:r>
      <w:r w:rsidRPr="356F83C9" w:rsidR="462EC2EA">
        <w:t xml:space="preserve">or other regulated entity </w:t>
      </w:r>
      <w:r w:rsidRPr="356F83C9" w:rsidR="00BB1F6B">
        <w:t>receives written notification from an FRA or State safety inspector</w:t>
      </w:r>
      <w:r w:rsidRPr="356F83C9" w:rsidR="00365D91">
        <w:t>, it</w:t>
      </w:r>
      <w:r w:rsidRPr="00365D91" w:rsidR="00365D91">
        <w:rPr>
          <w:szCs w:val="24"/>
        </w:rPr>
        <w:t xml:space="preserve"> </w:t>
      </w:r>
      <w:r w:rsidRPr="356F83C9" w:rsidR="00AA7B84">
        <w:t xml:space="preserve">is </w:t>
      </w:r>
      <w:r w:rsidRPr="356F83C9" w:rsidR="00365D91">
        <w:t>required to report to FRA actions taken to remedy certain alleged violations of law.</w:t>
      </w:r>
      <w:r w:rsidRPr="356F83C9" w:rsidR="4F338E77">
        <w:t xml:space="preserve">  This requirement</w:t>
      </w:r>
      <w:r w:rsidRPr="356F83C9" w:rsidR="121053B0">
        <w:t xml:space="preserve"> and related procedures are codified at </w:t>
      </w:r>
      <w:r w:rsidRPr="356F83C9" w:rsidR="121053B0">
        <w:rPr>
          <w:szCs w:val="24"/>
        </w:rPr>
        <w:t>49 CFR Part 209, Subpart E</w:t>
      </w:r>
      <w:r w:rsidRPr="356F83C9" w:rsidR="3B5AB2F6">
        <w:rPr>
          <w:szCs w:val="24"/>
        </w:rPr>
        <w:t xml:space="preserve">.  The required information is provided by </w:t>
      </w:r>
      <w:r w:rsidRPr="356F83C9" w:rsidR="4F4000B8">
        <w:rPr>
          <w:szCs w:val="24"/>
        </w:rPr>
        <w:t xml:space="preserve">the </w:t>
      </w:r>
      <w:r w:rsidR="001E07C4">
        <w:rPr>
          <w:szCs w:val="24"/>
        </w:rPr>
        <w:t xml:space="preserve">railroad or other </w:t>
      </w:r>
      <w:r w:rsidRPr="356F83C9" w:rsidR="4F4000B8">
        <w:rPr>
          <w:szCs w:val="24"/>
        </w:rPr>
        <w:t>regulated entity</w:t>
      </w:r>
      <w:r w:rsidRPr="356F83C9" w:rsidR="3B5AB2F6">
        <w:rPr>
          <w:szCs w:val="24"/>
        </w:rPr>
        <w:t xml:space="preserve"> under this regulation</w:t>
      </w:r>
      <w:r w:rsidRPr="356F83C9" w:rsidR="051AEB44">
        <w:rPr>
          <w:szCs w:val="24"/>
        </w:rPr>
        <w:t>, unlike the other burdens itemized in this ICR, which apply to States participating in FRA safety inspection programs under Part 212.</w:t>
      </w:r>
    </w:p>
    <w:p w:rsidR="00B72307" w:rsidP="00B72307" w14:paraId="14DE59C6" w14:textId="77777777">
      <w:pPr>
        <w:widowControl w:val="0"/>
        <w:ind w:left="720"/>
        <w:rPr>
          <w:szCs w:val="24"/>
        </w:rPr>
      </w:pPr>
    </w:p>
    <w:p w:rsidR="00AB042C" w:rsidRPr="008A5B6D" w:rsidP="1B57114D" w14:paraId="3FA8BD0C" w14:textId="77777777">
      <w:pPr>
        <w:widowControl w:val="0"/>
        <w:ind w:left="720" w:hanging="720"/>
        <w:rPr>
          <w:b/>
          <w:bCs/>
        </w:rPr>
      </w:pPr>
      <w:r w:rsidRPr="1B57114D">
        <w:rPr>
          <w:b/>
          <w:bCs/>
        </w:rPr>
        <w:t>2.</w:t>
      </w:r>
      <w:r>
        <w:tab/>
      </w:r>
      <w:r w:rsidRPr="1B57114D">
        <w:rPr>
          <w:b/>
          <w:bCs/>
          <w:u w:val="single"/>
        </w:rPr>
        <w:t>How, by whom, and for what purpose the information is to be used</w:t>
      </w:r>
      <w:r w:rsidRPr="1B57114D">
        <w:rPr>
          <w:b/>
          <w:bCs/>
        </w:rPr>
        <w:t>.</w:t>
      </w:r>
    </w:p>
    <w:p w:rsidR="00D14763" w:rsidRPr="008A5B6D" w14:paraId="47693A71" w14:textId="77777777">
      <w:pPr>
        <w:widowControl w:val="0"/>
        <w:rPr>
          <w:szCs w:val="24"/>
        </w:rPr>
      </w:pPr>
    </w:p>
    <w:p w:rsidR="00D14763" w:rsidRPr="008A5B6D" w:rsidP="001F0083" w14:paraId="259E4E32" w14:textId="694A690E">
      <w:pPr>
        <w:widowControl w:val="0"/>
        <w:ind w:left="720"/>
      </w:pPr>
      <w:r>
        <w:t>FRA</w:t>
      </w:r>
      <w:r w:rsidR="4E482875">
        <w:t>’s</w:t>
      </w:r>
      <w:r w:rsidR="00E96DC5">
        <w:t xml:space="preserve"> State </w:t>
      </w:r>
      <w:r w:rsidR="0096602A">
        <w:t>Safety Participation Regulations (</w:t>
      </w:r>
      <w:r w:rsidR="00BB1F6B">
        <w:t xml:space="preserve">49 CFR </w:t>
      </w:r>
      <w:r w:rsidR="00BC1101">
        <w:t>P</w:t>
      </w:r>
      <w:r w:rsidR="00BB1F6B">
        <w:t>art 212</w:t>
      </w:r>
      <w:r w:rsidR="0096602A">
        <w:t>)</w:t>
      </w:r>
      <w:r w:rsidR="00E96DC5">
        <w:t xml:space="preserve"> </w:t>
      </w:r>
      <w:r w:rsidR="00BB1F6B">
        <w:t>requires qualified State inspectors to provide various reports to FRA for monitoring and enforcement purposes concerning State investigati</w:t>
      </w:r>
      <w:r w:rsidR="00700E5F">
        <w:t>on</w:t>
      </w:r>
      <w:r w:rsidR="00BB1F6B">
        <w:t xml:space="preserve">, inspection, and surveillance activities regarding railroad compliance with </w:t>
      </w:r>
      <w:r w:rsidR="517732EB">
        <w:t xml:space="preserve">the </w:t>
      </w:r>
      <w:r w:rsidR="00BB1F6B">
        <w:t xml:space="preserve">Federal railroad safety laws and regulations. </w:t>
      </w:r>
      <w:r w:rsidR="0096602A">
        <w:t xml:space="preserve"> </w:t>
      </w:r>
      <w:r w:rsidR="00D056BB">
        <w:t xml:space="preserve">Additionally, under 49 CFR </w:t>
      </w:r>
      <w:r w:rsidR="001638D7">
        <w:t>P</w:t>
      </w:r>
      <w:r w:rsidR="00D056BB">
        <w:t xml:space="preserve">art 209, </w:t>
      </w:r>
      <w:r w:rsidR="001638D7">
        <w:t>S</w:t>
      </w:r>
      <w:r w:rsidR="00D056BB">
        <w:t>ubpart E, railroads are required to report to FRA actions taken to remedy certain alleged violations of</w:t>
      </w:r>
      <w:r w:rsidR="00AE04CA">
        <w:t xml:space="preserve"> the Federal railroad safety</w:t>
      </w:r>
      <w:r w:rsidR="00D056BB">
        <w:t xml:space="preserve"> law</w:t>
      </w:r>
      <w:r w:rsidR="00AE04CA">
        <w:t>s</w:t>
      </w:r>
      <w:r w:rsidR="003B02ED">
        <w:t xml:space="preserve"> and regulations</w:t>
      </w:r>
      <w:r w:rsidR="00D056BB">
        <w:t xml:space="preserve">.  </w:t>
      </w:r>
      <w:r w:rsidR="00BB1F6B">
        <w:t xml:space="preserve"> </w:t>
      </w:r>
    </w:p>
    <w:p w:rsidR="00D14763" w:rsidRPr="008A5B6D" w14:paraId="7FCA97B8" w14:textId="77777777">
      <w:pPr>
        <w:widowControl w:val="0"/>
        <w:rPr>
          <w:b/>
          <w:szCs w:val="24"/>
        </w:rPr>
      </w:pPr>
    </w:p>
    <w:p w:rsidR="00D65EA6" w:rsidRPr="008A5B6D" w:rsidP="00D65EA6" w14:paraId="1A2B6AE7" w14:textId="77777777">
      <w:pPr>
        <w:widowControl w:val="0"/>
        <w:ind w:left="720" w:hanging="720"/>
      </w:pPr>
      <w:r w:rsidRPr="1B57114D">
        <w:rPr>
          <w:b/>
          <w:bCs/>
        </w:rPr>
        <w:t>3.</w:t>
      </w:r>
      <w:r>
        <w:tab/>
      </w:r>
      <w:r w:rsidRPr="1B57114D">
        <w:rPr>
          <w:b/>
          <w:bCs/>
          <w:u w:val="single"/>
        </w:rPr>
        <w:t>Extent of automated information collection</w:t>
      </w:r>
      <w:r w:rsidRPr="1B57114D">
        <w:rPr>
          <w:b/>
          <w:bCs/>
        </w:rPr>
        <w:t>.</w:t>
      </w:r>
    </w:p>
    <w:p w:rsidR="00D14763" w:rsidRPr="008A5B6D" w14:paraId="0EB0D98B" w14:textId="77777777">
      <w:pPr>
        <w:widowControl w:val="0"/>
        <w:rPr>
          <w:szCs w:val="24"/>
        </w:rPr>
      </w:pPr>
    </w:p>
    <w:p w:rsidR="00D14763" w:rsidP="00306839" w14:paraId="10D17389" w14:textId="66AD3944">
      <w:pPr>
        <w:widowControl w:val="0"/>
        <w:ind w:left="720"/>
        <w:rPr>
          <w:szCs w:val="24"/>
        </w:rPr>
      </w:pPr>
      <w:r w:rsidRPr="008A5B6D">
        <w:rPr>
          <w:szCs w:val="24"/>
        </w:rPr>
        <w:t xml:space="preserve">FRA </w:t>
      </w:r>
      <w:r w:rsidRPr="008A5B6D" w:rsidR="003F00A9">
        <w:rPr>
          <w:szCs w:val="24"/>
        </w:rPr>
        <w:t xml:space="preserve">strongly </w:t>
      </w:r>
      <w:r w:rsidRPr="008A5B6D">
        <w:rPr>
          <w:szCs w:val="24"/>
        </w:rPr>
        <w:t>encourages the use of advanced information technology, wherever possible, to reduce burden</w:t>
      </w:r>
      <w:r w:rsidRPr="008A5B6D" w:rsidR="003F00A9">
        <w:rPr>
          <w:szCs w:val="24"/>
        </w:rPr>
        <w:t xml:space="preserve"> on respondents</w:t>
      </w:r>
      <w:r w:rsidRPr="008A5B6D" w:rsidR="000A273B">
        <w:rPr>
          <w:szCs w:val="24"/>
        </w:rPr>
        <w:t>.</w:t>
      </w:r>
      <w:r w:rsidR="001638D7">
        <w:rPr>
          <w:szCs w:val="24"/>
        </w:rPr>
        <w:t xml:space="preserve"> </w:t>
      </w:r>
      <w:r w:rsidRPr="008A5B6D" w:rsidR="000A273B">
        <w:rPr>
          <w:szCs w:val="24"/>
        </w:rPr>
        <w:t xml:space="preserve"> </w:t>
      </w:r>
      <w:r w:rsidR="006042E6">
        <w:rPr>
          <w:szCs w:val="24"/>
        </w:rPr>
        <w:t xml:space="preserve">Like </w:t>
      </w:r>
      <w:r w:rsidRPr="00306839" w:rsidR="00306839">
        <w:rPr>
          <w:szCs w:val="24"/>
        </w:rPr>
        <w:t>FRA</w:t>
      </w:r>
      <w:r w:rsidR="006042E6">
        <w:rPr>
          <w:szCs w:val="24"/>
        </w:rPr>
        <w:t xml:space="preserve"> inspectors,</w:t>
      </w:r>
      <w:r w:rsidRPr="00306839" w:rsidR="00306839">
        <w:rPr>
          <w:szCs w:val="24"/>
        </w:rPr>
        <w:t xml:space="preserve"> </w:t>
      </w:r>
      <w:r w:rsidR="00DD5920">
        <w:rPr>
          <w:szCs w:val="24"/>
        </w:rPr>
        <w:t>S</w:t>
      </w:r>
      <w:r w:rsidRPr="00306839" w:rsidR="00306839">
        <w:rPr>
          <w:szCs w:val="24"/>
        </w:rPr>
        <w:t>tate inspectors report inspection findings on automated inspection reports using notebook computers and software developed by the agency.</w:t>
      </w:r>
    </w:p>
    <w:p w:rsidR="00FF2541" w:rsidP="00306839" w14:paraId="3C916594" w14:textId="30F2B443">
      <w:pPr>
        <w:widowControl w:val="0"/>
        <w:ind w:left="720"/>
        <w:rPr>
          <w:szCs w:val="24"/>
        </w:rPr>
      </w:pPr>
    </w:p>
    <w:p w:rsidR="00FF2541" w:rsidRPr="00FF2541" w:rsidP="00306839" w14:paraId="69FA2B7B" w14:textId="1E7AD739">
      <w:pPr>
        <w:widowControl w:val="0"/>
        <w:ind w:left="720"/>
      </w:pPr>
      <w:r>
        <w:t xml:space="preserve">The Railroad Inspection System for Personal Computers (RISPC) provides </w:t>
      </w:r>
      <w:r w:rsidR="006042E6">
        <w:t xml:space="preserve">State </w:t>
      </w:r>
      <w:r>
        <w:t>inspectors with the capability to enter inspection data via their PCs.</w:t>
      </w:r>
      <w:r w:rsidR="001638D7">
        <w:t xml:space="preserve"> </w:t>
      </w:r>
      <w:r>
        <w:t xml:space="preserve"> The electronic RISPC generated inspection report entries are the preferred method to be used by FRA and </w:t>
      </w:r>
      <w:r w:rsidR="003048B6">
        <w:t xml:space="preserve">State </w:t>
      </w:r>
      <w:r>
        <w:t xml:space="preserve">inspectors. </w:t>
      </w:r>
      <w:r w:rsidR="001638D7">
        <w:t xml:space="preserve"> </w:t>
      </w:r>
      <w:r>
        <w:t xml:space="preserve">However, </w:t>
      </w:r>
      <w:r w:rsidR="003048B6">
        <w:t xml:space="preserve">State </w:t>
      </w:r>
      <w:r>
        <w:t xml:space="preserve">inspectors can use the printed inspection forms when necessary (e.g., computer failure). </w:t>
      </w:r>
      <w:r w:rsidR="001638D7">
        <w:t xml:space="preserve"> </w:t>
      </w:r>
      <w:r>
        <w:t xml:space="preserve">Most recently, the </w:t>
      </w:r>
      <w:r w:rsidR="003048B6">
        <w:t xml:space="preserve">State </w:t>
      </w:r>
      <w:r>
        <w:t>inspectors have been using the electronic method 100 percent of the time.</w:t>
      </w:r>
    </w:p>
    <w:p w:rsidR="7634B63E" w:rsidP="7634B63E" w14:paraId="6B0069E0" w14:textId="68417EB5">
      <w:pPr>
        <w:widowControl w:val="0"/>
        <w:ind w:left="720"/>
      </w:pPr>
    </w:p>
    <w:p w:rsidR="008060FF" w:rsidRPr="008A5B6D" w:rsidP="008060FF" w14:paraId="09DD2A33" w14:textId="77777777">
      <w:pPr>
        <w:widowControl w:val="0"/>
        <w:ind w:left="720" w:hanging="720"/>
        <w:rPr>
          <w:b/>
          <w:szCs w:val="24"/>
        </w:rPr>
      </w:pPr>
      <w:r w:rsidRPr="008A5B6D">
        <w:rPr>
          <w:b/>
          <w:szCs w:val="24"/>
        </w:rPr>
        <w:t>4.</w:t>
      </w:r>
      <w:r w:rsidRPr="008A5B6D">
        <w:rPr>
          <w:b/>
          <w:szCs w:val="24"/>
        </w:rPr>
        <w:tab/>
      </w:r>
      <w:r w:rsidRPr="008A5B6D">
        <w:rPr>
          <w:b/>
          <w:szCs w:val="24"/>
          <w:u w:val="single"/>
        </w:rPr>
        <w:t>Efforts to identify duplication</w:t>
      </w:r>
      <w:r w:rsidRPr="008A5B6D">
        <w:rPr>
          <w:b/>
          <w:szCs w:val="24"/>
        </w:rPr>
        <w:t>.</w:t>
      </w:r>
    </w:p>
    <w:p w:rsidR="00D14763" w:rsidRPr="008A5B6D" w14:paraId="04A88FD1" w14:textId="77777777">
      <w:pPr>
        <w:widowControl w:val="0"/>
        <w:rPr>
          <w:szCs w:val="24"/>
        </w:rPr>
      </w:pPr>
    </w:p>
    <w:p w:rsidR="00D14763" w14:paraId="51A1FB9F" w14:textId="79DCD7DF">
      <w:pPr>
        <w:widowControl w:val="0"/>
        <w:ind w:left="720"/>
        <w:rPr>
          <w:szCs w:val="24"/>
        </w:rPr>
      </w:pPr>
      <w:r w:rsidRPr="008A5B6D">
        <w:rPr>
          <w:szCs w:val="24"/>
        </w:rPr>
        <w:t>Th</w:t>
      </w:r>
      <w:r w:rsidR="00351F60">
        <w:rPr>
          <w:szCs w:val="24"/>
        </w:rPr>
        <w:t xml:space="preserve">is </w:t>
      </w:r>
      <w:r w:rsidRPr="008A5B6D">
        <w:rPr>
          <w:szCs w:val="24"/>
        </w:rPr>
        <w:t xml:space="preserve">information </w:t>
      </w:r>
      <w:r w:rsidRPr="008A5B6D" w:rsidR="00612315">
        <w:rPr>
          <w:szCs w:val="24"/>
        </w:rPr>
        <w:t xml:space="preserve">is </w:t>
      </w:r>
      <w:r w:rsidRPr="008A5B6D">
        <w:rPr>
          <w:szCs w:val="24"/>
        </w:rPr>
        <w:t>not duplicated anywhere.</w:t>
      </w:r>
      <w:r w:rsidR="00351F60">
        <w:rPr>
          <w:szCs w:val="24"/>
        </w:rPr>
        <w:t xml:space="preserve">  Similar data are not available from any other source.</w:t>
      </w:r>
    </w:p>
    <w:p w:rsidR="00F02649" w:rsidRPr="008A5B6D" w14:paraId="079D1027" w14:textId="77777777">
      <w:pPr>
        <w:widowControl w:val="0"/>
        <w:ind w:left="720"/>
        <w:rPr>
          <w:b/>
          <w:szCs w:val="24"/>
        </w:rPr>
      </w:pPr>
    </w:p>
    <w:p w:rsidR="0023401B" w:rsidRPr="008A5B6D" w:rsidP="1B57114D" w14:paraId="08E9CD57" w14:textId="77777777">
      <w:pPr>
        <w:tabs>
          <w:tab w:val="left" w:pos="720"/>
          <w:tab w:val="left" w:pos="1440"/>
          <w:tab w:val="left" w:pos="2160"/>
          <w:tab w:val="left" w:pos="2880"/>
          <w:tab w:val="left" w:pos="3600"/>
          <w:tab w:val="left" w:pos="4320"/>
          <w:tab w:val="left" w:pos="4680"/>
          <w:tab w:val="left" w:pos="6300"/>
          <w:tab w:val="left" w:pos="6480"/>
          <w:tab w:val="left" w:pos="7200"/>
          <w:tab w:val="left" w:pos="7920"/>
          <w:tab w:val="left" w:pos="84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1B57114D">
        <w:rPr>
          <w:b/>
          <w:bCs/>
        </w:rPr>
        <w:t>5.</w:t>
      </w:r>
      <w:r>
        <w:tab/>
      </w:r>
      <w:r w:rsidRPr="1B57114D">
        <w:rPr>
          <w:b/>
          <w:bCs/>
          <w:u w:val="single"/>
        </w:rPr>
        <w:t>Efforts to minimize the burden on small businesses</w:t>
      </w:r>
      <w:r w:rsidRPr="1B57114D">
        <w:rPr>
          <w:b/>
          <w:bCs/>
        </w:rPr>
        <w:t>.</w:t>
      </w:r>
    </w:p>
    <w:p w:rsidR="00342D66" w:rsidRPr="008A5B6D" w14:paraId="492EE866" w14:textId="77777777">
      <w:pPr>
        <w:widowControl w:val="0"/>
        <w:rPr>
          <w:b/>
          <w:szCs w:val="24"/>
        </w:rPr>
      </w:pPr>
    </w:p>
    <w:p w:rsidR="00EE4972" w:rsidRPr="002538A0" w:rsidP="00EE4972" w14:paraId="28451A5A" w14:textId="77777777">
      <w:pPr>
        <w:widowControl w:val="0"/>
        <w:ind w:left="720"/>
        <w:rPr>
          <w:szCs w:val="24"/>
          <w:u w:val="single"/>
        </w:rPr>
      </w:pPr>
      <w:r w:rsidRPr="002538A0">
        <w:rPr>
          <w:szCs w:val="24"/>
          <w:u w:val="single"/>
        </w:rPr>
        <w:t>State Participation</w:t>
      </w:r>
    </w:p>
    <w:p w:rsidR="00EE4972" w:rsidRPr="00EE4972" w:rsidP="00EE4972" w14:paraId="7E10A52A" w14:textId="77777777">
      <w:pPr>
        <w:widowControl w:val="0"/>
        <w:ind w:left="720"/>
        <w:rPr>
          <w:szCs w:val="24"/>
        </w:rPr>
      </w:pPr>
    </w:p>
    <w:p w:rsidR="00EE4972" w:rsidRPr="00EE4972" w:rsidP="00EE4972" w14:paraId="5F9D3E7B" w14:textId="4AA55EB0">
      <w:pPr>
        <w:widowControl w:val="0"/>
        <w:ind w:left="720"/>
        <w:rPr>
          <w:szCs w:val="24"/>
        </w:rPr>
      </w:pPr>
      <w:r w:rsidRPr="00EE4972">
        <w:rPr>
          <w:szCs w:val="24"/>
        </w:rPr>
        <w:t xml:space="preserve">The collection of </w:t>
      </w:r>
      <w:r w:rsidR="00794211">
        <w:rPr>
          <w:szCs w:val="24"/>
        </w:rPr>
        <w:t>S</w:t>
      </w:r>
      <w:r w:rsidRPr="00EE4972">
        <w:rPr>
          <w:szCs w:val="24"/>
        </w:rPr>
        <w:t>tate participation information does not involve small businesses or organizations.</w:t>
      </w:r>
    </w:p>
    <w:p w:rsidR="00EE4972" w:rsidRPr="00EE4972" w:rsidP="00EE4972" w14:paraId="2E72E933" w14:textId="77777777">
      <w:pPr>
        <w:widowControl w:val="0"/>
        <w:ind w:left="720"/>
        <w:rPr>
          <w:szCs w:val="24"/>
        </w:rPr>
      </w:pPr>
    </w:p>
    <w:p w:rsidR="00EE4972" w:rsidRPr="002538A0" w:rsidP="00EE4972" w14:paraId="09690E51" w14:textId="77777777">
      <w:pPr>
        <w:widowControl w:val="0"/>
        <w:ind w:left="720"/>
        <w:rPr>
          <w:szCs w:val="24"/>
          <w:u w:val="single"/>
        </w:rPr>
      </w:pPr>
      <w:r w:rsidRPr="002538A0">
        <w:rPr>
          <w:szCs w:val="24"/>
          <w:u w:val="single"/>
        </w:rPr>
        <w:t>Remedial Actions Reporting</w:t>
      </w:r>
    </w:p>
    <w:p w:rsidR="002844BE" w:rsidP="00EE4972" w14:paraId="0E7E4B4A" w14:textId="77777777">
      <w:pPr>
        <w:widowControl w:val="0"/>
        <w:ind w:left="720"/>
      </w:pPr>
    </w:p>
    <w:p w:rsidR="00467EBA" w:rsidP="00EE4972" w14:paraId="7C61CA85" w14:textId="5C5E125A">
      <w:pPr>
        <w:widowControl w:val="0"/>
        <w:ind w:left="720"/>
      </w:pPr>
      <w:r>
        <w:t xml:space="preserve">The </w:t>
      </w:r>
      <w:r w:rsidR="21F3DD35">
        <w:t>reporting of r</w:t>
      </w:r>
      <w:r w:rsidR="00BB1F6B">
        <w:t>emedial action</w:t>
      </w:r>
      <w:r w:rsidR="002844BE">
        <w:t>s</w:t>
      </w:r>
      <w:r w:rsidR="00BB1F6B">
        <w:t xml:space="preserve"> </w:t>
      </w:r>
      <w:r w:rsidR="00D92513">
        <w:t xml:space="preserve">applies to </w:t>
      </w:r>
      <w:r w:rsidR="00BB1F6B">
        <w:t>railroads</w:t>
      </w:r>
      <w:r w:rsidR="206E8B3A">
        <w:t xml:space="preserve"> </w:t>
      </w:r>
      <w:r w:rsidR="6AF13FD3">
        <w:t>that</w:t>
      </w:r>
      <w:r w:rsidR="0091196C">
        <w:t xml:space="preserve"> are subject to the Federal railroad safety </w:t>
      </w:r>
      <w:r w:rsidR="6AF13FD3">
        <w:t>laws</w:t>
      </w:r>
      <w:r w:rsidR="00C50C73">
        <w:t xml:space="preserve"> and regulations</w:t>
      </w:r>
      <w:r w:rsidR="1A7A4A74">
        <w:t>.</w:t>
      </w:r>
      <w:r w:rsidR="00F230CC">
        <w:t xml:space="preserve">  </w:t>
      </w:r>
      <w:r w:rsidR="00C71E04">
        <w:t>While this reporting does not</w:t>
      </w:r>
      <w:r w:rsidR="7F99637C">
        <w:t xml:space="preserve"> </w:t>
      </w:r>
      <w:r w:rsidR="00A45DAC">
        <w:t xml:space="preserve">significantly impact a </w:t>
      </w:r>
      <w:r w:rsidR="1AEC93CB">
        <w:t>substantial</w:t>
      </w:r>
      <w:r w:rsidR="5BD40E00">
        <w:t xml:space="preserve"> </w:t>
      </w:r>
      <w:r w:rsidR="00A45DAC">
        <w:t>number of</w:t>
      </w:r>
      <w:r w:rsidR="00C71E04">
        <w:t xml:space="preserve"> small railroads, </w:t>
      </w:r>
      <w:r w:rsidR="3F257DDA">
        <w:t>where</w:t>
      </w:r>
      <w:r w:rsidR="00154BF4">
        <w:t xml:space="preserve"> remediation</w:t>
      </w:r>
      <w:r w:rsidR="00273B84">
        <w:t xml:space="preserve"> of a safety issue </w:t>
      </w:r>
      <w:r w:rsidR="1ED6FF4F">
        <w:t>has been noted,</w:t>
      </w:r>
      <w:r w:rsidR="00273B84">
        <w:t xml:space="preserve"> </w:t>
      </w:r>
      <w:r w:rsidR="1ED6FF4F">
        <w:t>it</w:t>
      </w:r>
      <w:r w:rsidR="00273B84">
        <w:t xml:space="preserve"> </w:t>
      </w:r>
      <w:r w:rsidR="00793C82">
        <w:t xml:space="preserve">is required of all railroads regardless of size and </w:t>
      </w:r>
      <w:r w:rsidR="00EA2568">
        <w:t>promotes improved</w:t>
      </w:r>
      <w:r w:rsidR="003A4E27">
        <w:t xml:space="preserve"> </w:t>
      </w:r>
      <w:r w:rsidR="1A160A32">
        <w:t>railroad</w:t>
      </w:r>
      <w:r w:rsidR="00793C82">
        <w:t xml:space="preserve"> safety for the employees, </w:t>
      </w:r>
      <w:r w:rsidR="000A743C">
        <w:t xml:space="preserve">passengers, and the public.  </w:t>
      </w:r>
    </w:p>
    <w:p w:rsidR="00F230CC" w:rsidP="00EE4972" w14:paraId="4C7394B6" w14:textId="77777777">
      <w:pPr>
        <w:widowControl w:val="0"/>
        <w:ind w:left="720"/>
        <w:rPr>
          <w:szCs w:val="24"/>
        </w:rPr>
      </w:pPr>
    </w:p>
    <w:p w:rsidR="002620D8" w:rsidRPr="008A5B6D" w:rsidP="002620D8" w14:paraId="6739B86F" w14:textId="77777777">
      <w:pPr>
        <w:widowControl w:val="0"/>
        <w:rPr>
          <w:b/>
          <w:szCs w:val="24"/>
        </w:rPr>
      </w:pPr>
      <w:r w:rsidRPr="008A5B6D">
        <w:rPr>
          <w:b/>
          <w:szCs w:val="24"/>
        </w:rPr>
        <w:t>6.</w:t>
      </w:r>
      <w:r w:rsidRPr="008A5B6D">
        <w:rPr>
          <w:b/>
          <w:szCs w:val="24"/>
        </w:rPr>
        <w:tab/>
      </w:r>
      <w:r w:rsidRPr="008A5B6D">
        <w:rPr>
          <w:b/>
          <w:szCs w:val="24"/>
          <w:u w:val="single"/>
        </w:rPr>
        <w:t>Impact of less frequent collection of information</w:t>
      </w:r>
      <w:r w:rsidRPr="008A5B6D">
        <w:rPr>
          <w:b/>
          <w:szCs w:val="24"/>
        </w:rPr>
        <w:t>.</w:t>
      </w:r>
    </w:p>
    <w:p w:rsidR="00D14763" w:rsidRPr="008A5B6D" w14:paraId="2C656E2A" w14:textId="77777777">
      <w:pPr>
        <w:widowControl w:val="0"/>
        <w:rPr>
          <w:b/>
          <w:szCs w:val="24"/>
        </w:rPr>
      </w:pPr>
    </w:p>
    <w:p w:rsidR="00306839" w:rsidP="008A5B6D" w14:paraId="50868464" w14:textId="1FF2E688">
      <w:pPr>
        <w:widowControl w:val="0"/>
        <w:ind w:left="720"/>
        <w:rPr>
          <w:szCs w:val="24"/>
        </w:rPr>
      </w:pPr>
      <w:r>
        <w:rPr>
          <w:szCs w:val="24"/>
        </w:rPr>
        <w:t>If this collection of information were not conducted or conducted less frequently</w:t>
      </w:r>
      <w:r w:rsidRPr="009B0E90" w:rsidR="00BB1F6B">
        <w:rPr>
          <w:szCs w:val="24"/>
        </w:rPr>
        <w:t xml:space="preserve">, FRA </w:t>
      </w:r>
      <w:r w:rsidRPr="009B0E90" w:rsidR="00EF54AE">
        <w:rPr>
          <w:szCs w:val="24"/>
        </w:rPr>
        <w:t>w</w:t>
      </w:r>
      <w:r w:rsidRPr="009B0E90" w:rsidR="00A148CD">
        <w:rPr>
          <w:szCs w:val="24"/>
        </w:rPr>
        <w:t>ould</w:t>
      </w:r>
      <w:r w:rsidR="00BB1F6B">
        <w:rPr>
          <w:szCs w:val="24"/>
        </w:rPr>
        <w:t xml:space="preserve"> </w:t>
      </w:r>
      <w:r w:rsidRPr="00306839" w:rsidR="00BB1F6B">
        <w:rPr>
          <w:szCs w:val="24"/>
        </w:rPr>
        <w:t xml:space="preserve">be </w:t>
      </w:r>
      <w:r w:rsidR="00964145">
        <w:rPr>
          <w:szCs w:val="24"/>
        </w:rPr>
        <w:t xml:space="preserve">less </w:t>
      </w:r>
      <w:r w:rsidRPr="00306839" w:rsidR="00BB1F6B">
        <w:rPr>
          <w:szCs w:val="24"/>
        </w:rPr>
        <w:t>able to fulfill its mandate from Congress to reduce rail-related accident</w:t>
      </w:r>
      <w:r w:rsidR="00BB1F6B">
        <w:rPr>
          <w:szCs w:val="24"/>
        </w:rPr>
        <w:t>s</w:t>
      </w:r>
      <w:r w:rsidR="002445B5">
        <w:rPr>
          <w:szCs w:val="24"/>
        </w:rPr>
        <w:t xml:space="preserve"> and incidents</w:t>
      </w:r>
      <w:r w:rsidRPr="00306839" w:rsidR="00BB1F6B">
        <w:rPr>
          <w:szCs w:val="24"/>
        </w:rPr>
        <w:t xml:space="preserve">. </w:t>
      </w:r>
      <w:r w:rsidR="0015622A">
        <w:rPr>
          <w:szCs w:val="24"/>
        </w:rPr>
        <w:t xml:space="preserve"> </w:t>
      </w:r>
      <w:r w:rsidRPr="00306839" w:rsidR="00BB1F6B">
        <w:rPr>
          <w:szCs w:val="24"/>
        </w:rPr>
        <w:t xml:space="preserve">Participating </w:t>
      </w:r>
      <w:r w:rsidR="00B63FD0">
        <w:rPr>
          <w:szCs w:val="24"/>
        </w:rPr>
        <w:t>S</w:t>
      </w:r>
      <w:r w:rsidRPr="00306839" w:rsidR="00BB1F6B">
        <w:rPr>
          <w:szCs w:val="24"/>
        </w:rPr>
        <w:t>tates are required to submit their reports on investigati</w:t>
      </w:r>
      <w:r w:rsidR="00501671">
        <w:rPr>
          <w:szCs w:val="24"/>
        </w:rPr>
        <w:t>on</w:t>
      </w:r>
      <w:r w:rsidRPr="00306839" w:rsidR="00BB1F6B">
        <w:rPr>
          <w:szCs w:val="24"/>
        </w:rPr>
        <w:t xml:space="preserve"> and surveillance activities either on a monthly or more frequent basis to ensure swift corrective actions if safety is either deteriorating or is questioned. </w:t>
      </w:r>
      <w:r w:rsidR="0015622A">
        <w:rPr>
          <w:szCs w:val="24"/>
        </w:rPr>
        <w:t xml:space="preserve"> </w:t>
      </w:r>
      <w:r w:rsidRPr="00306839" w:rsidR="00BB1F6B">
        <w:rPr>
          <w:szCs w:val="24"/>
        </w:rPr>
        <w:t>To be effective, a safety program requires timely information, and collecting this information less frequently would impair FRA</w:t>
      </w:r>
      <w:r w:rsidR="005309D7">
        <w:rPr>
          <w:szCs w:val="24"/>
        </w:rPr>
        <w:t>’</w:t>
      </w:r>
      <w:r w:rsidRPr="00306839" w:rsidR="00BB1F6B">
        <w:rPr>
          <w:szCs w:val="24"/>
        </w:rPr>
        <w:t>s safety program.</w:t>
      </w:r>
    </w:p>
    <w:p w:rsidR="00306839" w:rsidP="008A5B6D" w14:paraId="1E2A8116" w14:textId="77777777">
      <w:pPr>
        <w:widowControl w:val="0"/>
        <w:ind w:left="720"/>
        <w:rPr>
          <w:szCs w:val="24"/>
        </w:rPr>
      </w:pPr>
    </w:p>
    <w:p w:rsidR="00306839" w:rsidP="008A5B6D" w14:paraId="4A9FE0A7" w14:textId="542D585A">
      <w:pPr>
        <w:widowControl w:val="0"/>
        <w:ind w:left="720"/>
      </w:pPr>
      <w:r>
        <w:t>Regarding remedial action reporting, FRA would also be less able to meet the mandate in 49</w:t>
      </w:r>
      <w:r w:rsidR="00351DB6">
        <w:t xml:space="preserve"> U.S.C. 20111</w:t>
      </w:r>
      <w:r w:rsidR="00D30075">
        <w:t>(d)</w:t>
      </w:r>
      <w:r w:rsidR="00351DB6">
        <w:t xml:space="preserve"> </w:t>
      </w:r>
      <w:r w:rsidR="00702358">
        <w:t xml:space="preserve">to require railroads to report remedial actions.  </w:t>
      </w:r>
      <w:r w:rsidR="00BB1F6B">
        <w:t xml:space="preserve">Federal and State inspectors monitor the day-to-day rail environment to ensure compliance with </w:t>
      </w:r>
      <w:r w:rsidR="31973F75">
        <w:t xml:space="preserve">the </w:t>
      </w:r>
      <w:r w:rsidR="00BB1F6B">
        <w:t>Federal safety laws and regulations and to highlight violations so that they can be quickly corrected.</w:t>
      </w:r>
      <w:r w:rsidR="0015622A">
        <w:t xml:space="preserve"> </w:t>
      </w:r>
      <w:r w:rsidR="00BB1F6B">
        <w:t xml:space="preserve"> Without the remedial action reports, FRA </w:t>
      </w:r>
      <w:r w:rsidR="0015622A">
        <w:t>may not know</w:t>
      </w:r>
      <w:r w:rsidR="00BB1F6B">
        <w:t xml:space="preserve"> whether railroads actually took the appropriate action(s) to correct a failure detected by a Federal or State inspector </w:t>
      </w:r>
      <w:r w:rsidR="00662980">
        <w:t>(</w:t>
      </w:r>
      <w:r w:rsidR="002E7981">
        <w:t>or receive</w:t>
      </w:r>
      <w:r w:rsidR="00BB1F6B">
        <w:t xml:space="preserve"> a</w:t>
      </w:r>
      <w:r w:rsidR="00B81D45">
        <w:t>n appropriate written</w:t>
      </w:r>
      <w:r w:rsidR="00BB1F6B">
        <w:t xml:space="preserve"> explanation</w:t>
      </w:r>
      <w:r w:rsidR="00753E5C">
        <w:t xml:space="preserve"> from the railroad</w:t>
      </w:r>
      <w:r w:rsidR="00BB1F6B">
        <w:t xml:space="preserve"> that no violation occurred</w:t>
      </w:r>
      <w:r w:rsidR="00662980">
        <w:t>)</w:t>
      </w:r>
      <w:r w:rsidR="00BB1F6B">
        <w:t xml:space="preserve">. </w:t>
      </w:r>
    </w:p>
    <w:p w:rsidR="00306839" w:rsidP="008A5B6D" w14:paraId="54A82851" w14:textId="77777777">
      <w:pPr>
        <w:widowControl w:val="0"/>
        <w:ind w:left="720"/>
        <w:rPr>
          <w:szCs w:val="24"/>
        </w:rPr>
      </w:pPr>
    </w:p>
    <w:p w:rsidR="004F4978" w:rsidRPr="008A5B6D" w:rsidP="004F4978" w14:paraId="3BA47484" w14:textId="77777777">
      <w:pPr>
        <w:widowControl w:val="0"/>
        <w:ind w:left="720" w:hanging="720"/>
        <w:rPr>
          <w:szCs w:val="24"/>
        </w:rPr>
      </w:pPr>
      <w:r w:rsidRPr="008A5B6D">
        <w:rPr>
          <w:b/>
          <w:szCs w:val="24"/>
        </w:rPr>
        <w:t>7.</w:t>
      </w:r>
      <w:r w:rsidRPr="008A5B6D">
        <w:rPr>
          <w:b/>
          <w:szCs w:val="24"/>
        </w:rPr>
        <w:tab/>
      </w:r>
      <w:r w:rsidRPr="008A5B6D">
        <w:rPr>
          <w:b/>
          <w:szCs w:val="24"/>
          <w:u w:val="single"/>
        </w:rPr>
        <w:t>Special circumstances</w:t>
      </w:r>
      <w:r w:rsidRPr="008A5B6D">
        <w:rPr>
          <w:b/>
          <w:szCs w:val="24"/>
        </w:rPr>
        <w:t>.</w:t>
      </w:r>
    </w:p>
    <w:p w:rsidR="006C7A55" w:rsidRPr="006C7A55" w:rsidP="006C7A55" w14:paraId="0253884A" w14:textId="77777777">
      <w:pPr>
        <w:widowControl w:val="0"/>
        <w:ind w:left="720"/>
        <w:rPr>
          <w:szCs w:val="24"/>
        </w:rPr>
      </w:pPr>
    </w:p>
    <w:p w:rsidR="006C7A55" w:rsidRPr="006C7A55" w:rsidP="006C7A55" w14:paraId="50944FA4" w14:textId="168CE97F">
      <w:pPr>
        <w:widowControl w:val="0"/>
        <w:ind w:left="720"/>
      </w:pPr>
      <w:r>
        <w:t>Under 49 U.S.C. 20111(d)(1)</w:t>
      </w:r>
      <w:r w:rsidR="007D5EFB">
        <w:t>,</w:t>
      </w:r>
      <w:r w:rsidR="00BB1F6B">
        <w:t xml:space="preserve"> remedial action reports </w:t>
      </w:r>
      <w:r w:rsidR="1005AF8D">
        <w:t xml:space="preserve">must </w:t>
      </w:r>
      <w:r w:rsidR="00BB1F6B">
        <w:t xml:space="preserve">be made within 30 days after the end of the month in which each such notification is received. </w:t>
      </w:r>
      <w:r w:rsidR="0015622A">
        <w:t xml:space="preserve"> </w:t>
      </w:r>
      <w:r w:rsidR="00BB1F6B">
        <w:t>FRA is constrained by this law from extending the collection period or reducing the frequency of collection.</w:t>
      </w:r>
    </w:p>
    <w:p w:rsidR="006C7A55" w:rsidRPr="006C7A55" w:rsidP="006C7A55" w14:paraId="64C02D01" w14:textId="77777777">
      <w:pPr>
        <w:widowControl w:val="0"/>
        <w:ind w:left="720"/>
        <w:rPr>
          <w:szCs w:val="24"/>
        </w:rPr>
      </w:pPr>
    </w:p>
    <w:p w:rsidR="00D14763" w:rsidP="006C7A55" w14:paraId="6FB3A23B" w14:textId="3B8B64D1">
      <w:pPr>
        <w:widowControl w:val="0"/>
        <w:ind w:left="720"/>
        <w:rPr>
          <w:szCs w:val="24"/>
        </w:rPr>
      </w:pPr>
      <w:r w:rsidRPr="006C7A55">
        <w:rPr>
          <w:szCs w:val="24"/>
        </w:rPr>
        <w:t>All other information collection requirements are in compliance with this section.</w:t>
      </w:r>
    </w:p>
    <w:p w:rsidR="00703F2E" w:rsidRPr="008A5B6D" w:rsidP="006C7A55" w14:paraId="77F55713" w14:textId="77777777">
      <w:pPr>
        <w:widowControl w:val="0"/>
        <w:ind w:left="720"/>
        <w:rPr>
          <w:szCs w:val="24"/>
        </w:rPr>
      </w:pPr>
    </w:p>
    <w:p w:rsidR="00414AB6" w:rsidRPr="008A5B6D" w:rsidP="00414AB6" w14:paraId="0CD3C026" w14:textId="77777777">
      <w:pPr>
        <w:widowControl w:val="0"/>
        <w:ind w:left="720" w:hanging="720"/>
        <w:rPr>
          <w:szCs w:val="24"/>
        </w:rPr>
      </w:pPr>
      <w:r w:rsidRPr="008A5B6D">
        <w:rPr>
          <w:b/>
          <w:szCs w:val="24"/>
        </w:rPr>
        <w:t>8.</w:t>
      </w:r>
      <w:r w:rsidRPr="008A5B6D">
        <w:rPr>
          <w:b/>
          <w:szCs w:val="24"/>
        </w:rPr>
        <w:tab/>
      </w:r>
      <w:r w:rsidRPr="008A5B6D">
        <w:rPr>
          <w:b/>
          <w:szCs w:val="24"/>
          <w:u w:val="single"/>
        </w:rPr>
        <w:t>Compliance with 5 CFR 1320.8.</w:t>
      </w:r>
      <w:r w:rsidRPr="008A5B6D">
        <w:rPr>
          <w:b/>
          <w:szCs w:val="24"/>
        </w:rPr>
        <w:t xml:space="preserve"> </w:t>
      </w:r>
    </w:p>
    <w:p w:rsidR="007D6AEA" w:rsidRPr="008A5B6D" w:rsidP="007D6AEA" w14:paraId="7B635DB2" w14:textId="09C5371D">
      <w:pPr>
        <w:widowControl w:val="0"/>
        <w:ind w:left="720"/>
        <w:rPr>
          <w:szCs w:val="24"/>
        </w:rPr>
      </w:pPr>
      <w:r w:rsidRPr="356F83C9">
        <w:t xml:space="preserve">As required by the Paperwork Reduction Act of 1995 (PRA) and 5 CFR </w:t>
      </w:r>
      <w:r w:rsidR="00BA7DFA">
        <w:t>P</w:t>
      </w:r>
      <w:r w:rsidRPr="356F83C9" w:rsidR="0096602A">
        <w:t xml:space="preserve">art </w:t>
      </w:r>
      <w:r w:rsidRPr="356F83C9">
        <w:t xml:space="preserve">1320, FRA published a notice in the </w:t>
      </w:r>
      <w:r w:rsidRPr="356F83C9">
        <w:rPr>
          <w:u w:val="single"/>
        </w:rPr>
        <w:t>Federal</w:t>
      </w:r>
      <w:r w:rsidRPr="008A5B6D">
        <w:rPr>
          <w:iCs/>
          <w:szCs w:val="24"/>
        </w:rPr>
        <w:t xml:space="preserve"> </w:t>
      </w:r>
      <w:r w:rsidRPr="356F83C9">
        <w:rPr>
          <w:u w:val="single"/>
        </w:rPr>
        <w:t xml:space="preserve">Register </w:t>
      </w:r>
      <w:r w:rsidRPr="356F83C9">
        <w:t xml:space="preserve">on </w:t>
      </w:r>
      <w:r w:rsidR="00E421AC">
        <w:t xml:space="preserve">August </w:t>
      </w:r>
      <w:r w:rsidR="00B908BD">
        <w:t>0</w:t>
      </w:r>
      <w:r w:rsidR="00E421AC">
        <w:t>8</w:t>
      </w:r>
      <w:r w:rsidR="008F1D35">
        <w:t>, 2025</w:t>
      </w:r>
      <w:r w:rsidRPr="008A5B6D">
        <w:rPr>
          <w:szCs w:val="24"/>
        </w:rPr>
        <w:t>,</w:t>
      </w:r>
      <w:r>
        <w:rPr>
          <w:rStyle w:val="FootnoteReference"/>
          <w:szCs w:val="24"/>
        </w:rPr>
        <w:footnoteReference w:id="3"/>
      </w:r>
      <w:r w:rsidRPr="356F83C9">
        <w:t xml:space="preserve"> soliciting comment</w:t>
      </w:r>
      <w:r w:rsidRPr="356F83C9" w:rsidR="0096602A">
        <w:t xml:space="preserve"> from the public, railroads, and other interested parties on these information collection</w:t>
      </w:r>
      <w:r w:rsidRPr="356F83C9" w:rsidR="00651560">
        <w:t xml:space="preserve"> requirement</w:t>
      </w:r>
      <w:r w:rsidRPr="356F83C9" w:rsidR="00E104C4">
        <w:t>s</w:t>
      </w:r>
      <w:r w:rsidRPr="008A5B6D">
        <w:rPr>
          <w:szCs w:val="24"/>
        </w:rPr>
        <w:t>.</w:t>
      </w:r>
      <w:r w:rsidRPr="356F83C9">
        <w:t xml:space="preserve">  FRA received </w:t>
      </w:r>
      <w:r w:rsidR="00786495">
        <w:t>no</w:t>
      </w:r>
      <w:r w:rsidRPr="356F83C9" w:rsidR="00786495">
        <w:t xml:space="preserve"> </w:t>
      </w:r>
      <w:r w:rsidRPr="356F83C9">
        <w:t>comments in response to this notice.</w:t>
      </w:r>
    </w:p>
    <w:p w:rsidR="007E5844" w:rsidP="007D6AEA" w14:paraId="664154DF" w14:textId="7361E16D">
      <w:pPr>
        <w:widowControl w:val="0"/>
        <w:ind w:left="720"/>
        <w:rPr>
          <w:szCs w:val="24"/>
        </w:rPr>
      </w:pPr>
    </w:p>
    <w:p w:rsidR="007E5844" w:rsidP="007E5844" w14:paraId="5EC81C2D" w14:textId="77777777">
      <w:pPr>
        <w:ind w:left="720"/>
        <w:rPr>
          <w:i/>
          <w:iCs/>
          <w:color w:val="000000"/>
          <w:szCs w:val="24"/>
          <w:u w:val="single"/>
        </w:rPr>
      </w:pPr>
      <w:r w:rsidRPr="008A5B6D">
        <w:rPr>
          <w:i/>
          <w:iCs/>
          <w:color w:val="000000"/>
          <w:szCs w:val="24"/>
          <w:u w:val="single"/>
        </w:rPr>
        <w:t>Consultations with representatives of the affected population:</w:t>
      </w:r>
    </w:p>
    <w:p w:rsidR="00675731" w:rsidRPr="008A5B6D" w:rsidP="007E5844" w14:paraId="16F28E2E" w14:textId="77777777">
      <w:pPr>
        <w:ind w:left="720"/>
        <w:rPr>
          <w:i/>
          <w:iCs/>
          <w:color w:val="000000"/>
          <w:szCs w:val="24"/>
          <w:u w:val="single"/>
        </w:rPr>
      </w:pPr>
    </w:p>
    <w:p w:rsidR="00651560" w:rsidP="008B28C4" w14:paraId="255D90D6" w14:textId="77777777">
      <w:pPr>
        <w:spacing w:after="160"/>
        <w:ind w:left="720"/>
        <w:rPr>
          <w:rFonts w:eastAsiaTheme="minorHAnsi"/>
          <w:kern w:val="2"/>
          <w:szCs w:val="24"/>
          <w14:ligatures w14:val="standardContextual"/>
        </w:rPr>
      </w:pPr>
      <w:r w:rsidRPr="00D62768">
        <w:rPr>
          <w:rFonts w:eastAsiaTheme="minorHAnsi"/>
          <w:kern w:val="2"/>
          <w:szCs w:val="24"/>
          <w14:ligatures w14:val="standardContextual"/>
        </w:rPr>
        <w:t xml:space="preserve">FRA maintains frequent contact with representatives from the rail industry to obtain their views and feedback on the information collection, as well as to solicit recommendations on how FRA can improve the collection </w:t>
      </w:r>
      <w:r>
        <w:rPr>
          <w:rFonts w:eastAsiaTheme="minorHAnsi"/>
          <w:kern w:val="2"/>
          <w:szCs w:val="24"/>
          <w14:ligatures w14:val="standardContextual"/>
        </w:rPr>
        <w:t xml:space="preserve">of information </w:t>
      </w:r>
      <w:r w:rsidRPr="00D62768">
        <w:rPr>
          <w:rFonts w:eastAsiaTheme="minorHAnsi"/>
          <w:kern w:val="2"/>
          <w:szCs w:val="24"/>
          <w14:ligatures w14:val="standardContextual"/>
        </w:rPr>
        <w:t xml:space="preserve">to reduce the response burden.  </w:t>
      </w:r>
    </w:p>
    <w:p w:rsidR="00651560" w:rsidP="00956B58" w14:paraId="2DEE2EFB" w14:textId="4A4A0FD5">
      <w:pPr>
        <w:widowControl w:val="0"/>
        <w:ind w:left="720"/>
        <w:rPr>
          <w:szCs w:val="24"/>
        </w:rPr>
      </w:pPr>
      <w:r>
        <w:rPr>
          <w:szCs w:val="24"/>
        </w:rPr>
        <w:t>I</w:t>
      </w:r>
      <w:r w:rsidRPr="008A5B6D">
        <w:rPr>
          <w:szCs w:val="24"/>
        </w:rPr>
        <w:t>ndividuals from the railroad industry and public authorities are generally in direct contact with FRA and can provide any comments or concerns to FRA.</w:t>
      </w:r>
    </w:p>
    <w:p w:rsidR="00A92F06" w:rsidP="00956B58" w14:paraId="7022E714" w14:textId="77777777">
      <w:pPr>
        <w:widowControl w:val="0"/>
        <w:ind w:left="720"/>
        <w:rPr>
          <w:szCs w:val="24"/>
        </w:rPr>
      </w:pPr>
    </w:p>
    <w:p w:rsidR="00FF2541" w:rsidRPr="008A5B6D" w:rsidP="00FF2541" w14:paraId="71AD26AF" w14:textId="77777777">
      <w:pPr>
        <w:widowControl w:val="0"/>
        <w:rPr>
          <w:b/>
          <w:szCs w:val="24"/>
        </w:rPr>
      </w:pPr>
      <w:r w:rsidRPr="008A5B6D">
        <w:rPr>
          <w:b/>
          <w:szCs w:val="24"/>
        </w:rPr>
        <w:t>9.</w:t>
      </w:r>
      <w:r w:rsidRPr="008A5B6D">
        <w:rPr>
          <w:b/>
          <w:szCs w:val="24"/>
        </w:rPr>
        <w:tab/>
      </w:r>
      <w:r w:rsidRPr="008A5B6D">
        <w:rPr>
          <w:b/>
          <w:szCs w:val="24"/>
          <w:u w:val="single"/>
        </w:rPr>
        <w:t>Payments or gifts to respondents</w:t>
      </w:r>
      <w:r w:rsidRPr="008A5B6D">
        <w:rPr>
          <w:b/>
          <w:szCs w:val="24"/>
        </w:rPr>
        <w:t>.</w:t>
      </w:r>
    </w:p>
    <w:p w:rsidR="008D13AC" w:rsidP="00FF2541" w14:paraId="2E15E7CB" w14:textId="77777777">
      <w:pPr>
        <w:widowControl w:val="0"/>
        <w:ind w:left="720"/>
        <w:rPr>
          <w:szCs w:val="24"/>
        </w:rPr>
      </w:pPr>
    </w:p>
    <w:p w:rsidR="00FF2541" w:rsidRPr="008A5B6D" w:rsidP="00FF2541" w14:paraId="3AB8F0DA" w14:textId="673D9782">
      <w:pPr>
        <w:widowControl w:val="0"/>
        <w:ind w:left="720"/>
      </w:pPr>
      <w:r>
        <w:t xml:space="preserve">There are no monetary payments or gifts made to respondents associated with the information collection requirements contained in this </w:t>
      </w:r>
      <w:r w:rsidR="00956B58">
        <w:t>ICR</w:t>
      </w:r>
      <w:r>
        <w:t>.</w:t>
      </w:r>
    </w:p>
    <w:p w:rsidR="00FF2541" w:rsidP="00D64EFA" w14:paraId="6ED9E189" w14:textId="77777777">
      <w:pPr>
        <w:widowControl w:val="0"/>
        <w:rPr>
          <w:b/>
          <w:szCs w:val="24"/>
        </w:rPr>
      </w:pPr>
    </w:p>
    <w:p w:rsidR="00D64EFA" w:rsidRPr="008A5B6D" w:rsidP="00D64EFA" w14:paraId="41D8CEF5" w14:textId="63FCA885">
      <w:pPr>
        <w:widowControl w:val="0"/>
        <w:rPr>
          <w:szCs w:val="24"/>
        </w:rPr>
      </w:pPr>
      <w:r w:rsidRPr="008A5B6D">
        <w:rPr>
          <w:b/>
          <w:szCs w:val="24"/>
        </w:rPr>
        <w:t>10.</w:t>
      </w:r>
      <w:r w:rsidRPr="008A5B6D">
        <w:rPr>
          <w:b/>
          <w:szCs w:val="24"/>
        </w:rPr>
        <w:tab/>
      </w:r>
      <w:r w:rsidRPr="008A5B6D">
        <w:rPr>
          <w:b/>
          <w:szCs w:val="24"/>
          <w:u w:val="single"/>
        </w:rPr>
        <w:t>Assurance of confidentiality</w:t>
      </w:r>
      <w:r w:rsidRPr="008A5B6D">
        <w:rPr>
          <w:b/>
          <w:szCs w:val="24"/>
        </w:rPr>
        <w:t>.</w:t>
      </w:r>
    </w:p>
    <w:p w:rsidR="00D64EFA" w:rsidP="00D64EFA" w14:paraId="4A90F8A7" w14:textId="77777777">
      <w:pPr>
        <w:widowControl w:val="0"/>
        <w:ind w:firstLine="720"/>
        <w:rPr>
          <w:szCs w:val="24"/>
        </w:rPr>
      </w:pPr>
    </w:p>
    <w:p w:rsidR="0035225E" w:rsidP="00BB51D1" w14:paraId="387C4FBE" w14:textId="7A91CC0F">
      <w:pPr>
        <w:widowControl w:val="0"/>
        <w:ind w:left="720"/>
        <w:rPr>
          <w:szCs w:val="24"/>
        </w:rPr>
      </w:pPr>
      <w:r>
        <w:rPr>
          <w:szCs w:val="24"/>
        </w:rPr>
        <w:t>The i</w:t>
      </w:r>
      <w:r w:rsidRPr="008A5B6D">
        <w:rPr>
          <w:szCs w:val="24"/>
        </w:rPr>
        <w:t>nformation collected is not of a confidential nature, and FRA pledges no confidentiality.</w:t>
      </w:r>
    </w:p>
    <w:p w:rsidR="0035225E" w:rsidP="00445542" w14:paraId="16EDD9BC" w14:textId="77777777">
      <w:pPr>
        <w:widowControl w:val="0"/>
        <w:ind w:left="720" w:hanging="720"/>
        <w:rPr>
          <w:b/>
          <w:szCs w:val="24"/>
        </w:rPr>
      </w:pPr>
    </w:p>
    <w:p w:rsidR="00445542" w:rsidRPr="008A5B6D" w:rsidP="00445542" w14:paraId="244267C9" w14:textId="2AEB10BD">
      <w:pPr>
        <w:widowControl w:val="0"/>
        <w:ind w:left="720" w:hanging="720"/>
        <w:rPr>
          <w:b/>
          <w:szCs w:val="24"/>
        </w:rPr>
      </w:pPr>
      <w:r w:rsidRPr="008A5B6D">
        <w:rPr>
          <w:b/>
          <w:szCs w:val="24"/>
        </w:rPr>
        <w:t>11.</w:t>
      </w:r>
      <w:r w:rsidRPr="008A5B6D">
        <w:rPr>
          <w:b/>
          <w:szCs w:val="24"/>
        </w:rPr>
        <w:tab/>
      </w:r>
      <w:r w:rsidRPr="008A5B6D">
        <w:rPr>
          <w:b/>
          <w:szCs w:val="24"/>
          <w:u w:val="single"/>
        </w:rPr>
        <w:t>Justification for any questions of a sensitive nature.</w:t>
      </w:r>
    </w:p>
    <w:p w:rsidR="00E867AF" w14:paraId="70B4D454" w14:textId="77777777">
      <w:pPr>
        <w:widowControl w:val="0"/>
        <w:ind w:left="720"/>
        <w:rPr>
          <w:szCs w:val="24"/>
        </w:rPr>
      </w:pPr>
    </w:p>
    <w:p w:rsidR="00D14763" w:rsidRPr="008A5B6D" w14:paraId="0A33C9CA" w14:textId="6C70036B">
      <w:pPr>
        <w:widowControl w:val="0"/>
        <w:ind w:left="720"/>
        <w:rPr>
          <w:szCs w:val="24"/>
        </w:rPr>
      </w:pPr>
      <w:r w:rsidRPr="008A5B6D">
        <w:rPr>
          <w:szCs w:val="24"/>
        </w:rPr>
        <w:t>There are no</w:t>
      </w:r>
      <w:r w:rsidR="00651560">
        <w:rPr>
          <w:szCs w:val="24"/>
        </w:rPr>
        <w:t xml:space="preserve"> questions of a</w:t>
      </w:r>
      <w:r w:rsidRPr="008A5B6D">
        <w:rPr>
          <w:szCs w:val="24"/>
        </w:rPr>
        <w:t xml:space="preserve"> sensitive </w:t>
      </w:r>
      <w:r w:rsidR="00651560">
        <w:rPr>
          <w:szCs w:val="24"/>
        </w:rPr>
        <w:t xml:space="preserve">or private nature involving this regulation and its associated information collection requirements. </w:t>
      </w:r>
    </w:p>
    <w:p w:rsidR="00D14763" w:rsidRPr="008A5B6D" w14:paraId="7FD10BCB" w14:textId="77777777">
      <w:pPr>
        <w:widowControl w:val="0"/>
        <w:rPr>
          <w:szCs w:val="24"/>
        </w:rPr>
      </w:pPr>
    </w:p>
    <w:p w:rsidR="006308A6" w:rsidP="00831F8B" w14:paraId="73E47E6E" w14:textId="77777777">
      <w:pPr>
        <w:rPr>
          <w:b/>
          <w:bCs/>
          <w:szCs w:val="24"/>
        </w:rPr>
        <w:sectPr w:rsidSect="00BB51D1">
          <w:headerReference w:type="even" r:id="rId9"/>
          <w:headerReference w:type="default" r:id="rId10"/>
          <w:footerReference w:type="even" r:id="rId11"/>
          <w:footerReference w:type="default" r:id="rId12"/>
          <w:pgSz w:w="12240" w:h="15840"/>
          <w:pgMar w:top="1440" w:right="1440" w:bottom="1440" w:left="1440" w:header="1354" w:footer="1800" w:gutter="0"/>
          <w:cols w:space="720"/>
          <w:docGrid w:linePitch="326"/>
        </w:sectPr>
      </w:pPr>
    </w:p>
    <w:p w:rsidR="00831F8B" w:rsidRPr="008A5B6D" w:rsidP="00831F8B" w14:paraId="010D03EB" w14:textId="32DA391B">
      <w:pPr>
        <w:rPr>
          <w:b/>
          <w:bCs/>
          <w:szCs w:val="24"/>
        </w:rPr>
      </w:pPr>
      <w:r w:rsidRPr="008A5B6D">
        <w:rPr>
          <w:b/>
          <w:bCs/>
          <w:szCs w:val="24"/>
        </w:rPr>
        <w:t>12.       </w:t>
      </w:r>
      <w:r w:rsidRPr="008A5B6D">
        <w:rPr>
          <w:b/>
          <w:bCs/>
          <w:szCs w:val="24"/>
          <w:u w:val="single"/>
        </w:rPr>
        <w:t>Estimate of burden hours for information collected</w:t>
      </w:r>
      <w:r w:rsidRPr="008A5B6D">
        <w:rPr>
          <w:b/>
          <w:bCs/>
          <w:szCs w:val="24"/>
        </w:rPr>
        <w:t>.</w:t>
      </w:r>
    </w:p>
    <w:p w:rsidR="00831F8B" w:rsidRPr="008A5B6D" w:rsidP="00831F8B" w14:paraId="72C8524B" w14:textId="77777777">
      <w:pPr>
        <w:rPr>
          <w:b/>
          <w:bCs/>
          <w:szCs w:val="24"/>
        </w:rPr>
      </w:pPr>
    </w:p>
    <w:p w:rsidR="00831F8B" w:rsidRPr="008A5B6D" w:rsidP="00831F8B" w14:paraId="6B5BFC86" w14:textId="5B5B4677">
      <w:pPr>
        <w:ind w:left="720"/>
        <w:rPr>
          <w:szCs w:val="24"/>
        </w:rPr>
      </w:pPr>
      <w:r w:rsidRPr="008A5B6D">
        <w:rPr>
          <w:szCs w:val="24"/>
        </w:rPr>
        <w:t>The estimates for the respondent universe, annual responses, and average time per response are based on the experience and expertise of FRA’s Office of Regional Operations and Outreach</w:t>
      </w:r>
      <w:r w:rsidRPr="008A5B6D" w:rsidR="000A273B">
        <w:rPr>
          <w:szCs w:val="24"/>
        </w:rPr>
        <w:t xml:space="preserve">. </w:t>
      </w:r>
    </w:p>
    <w:p w:rsidR="00570005" w:rsidP="00831F8B" w14:paraId="4445B793" w14:textId="41A06E86">
      <w:pPr>
        <w:ind w:left="720"/>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5"/>
        <w:gridCol w:w="1170"/>
        <w:gridCol w:w="1080"/>
        <w:gridCol w:w="990"/>
        <w:gridCol w:w="1170"/>
        <w:gridCol w:w="810"/>
        <w:gridCol w:w="1255"/>
        <w:gridCol w:w="3695"/>
      </w:tblGrid>
      <w:tr w14:paraId="463583A2" w14:textId="77777777" w:rsidTr="356F83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55" w:type="dxa"/>
          </w:tcPr>
          <w:p w:rsidR="006308A6" w:rsidRPr="006308A6" w:rsidP="006308A6" w14:paraId="7416A874" w14:textId="77777777">
            <w:pPr>
              <w:jc w:val="center"/>
              <w:rPr>
                <w:color w:val="000000"/>
                <w:sz w:val="20"/>
              </w:rPr>
            </w:pPr>
            <w:bookmarkStart w:id="0" w:name="_Hlk99528178"/>
            <w:r w:rsidRPr="006308A6">
              <w:rPr>
                <w:rFonts w:eastAsiaTheme="minorHAnsi"/>
                <w:color w:val="000000"/>
                <w:kern w:val="2"/>
                <w:sz w:val="20"/>
                <w14:ligatures w14:val="standardContextual"/>
              </w:rPr>
              <w:t>CFR Section</w:t>
            </w:r>
          </w:p>
        </w:tc>
        <w:tc>
          <w:tcPr>
            <w:tcW w:w="1170" w:type="dxa"/>
          </w:tcPr>
          <w:p w:rsidR="006308A6" w:rsidRPr="006308A6" w:rsidP="006308A6" w14:paraId="2449694C"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 xml:space="preserve">Respondent </w:t>
            </w:r>
          </w:p>
          <w:p w:rsidR="006308A6" w:rsidRPr="006308A6" w:rsidP="006308A6" w14:paraId="2F594587" w14:textId="77777777">
            <w:pPr>
              <w:jc w:val="center"/>
              <w:rPr>
                <w:color w:val="000000"/>
                <w:sz w:val="20"/>
              </w:rPr>
            </w:pPr>
            <w:r w:rsidRPr="006308A6">
              <w:rPr>
                <w:rFonts w:eastAsiaTheme="minorHAnsi"/>
                <w:color w:val="000000"/>
                <w:kern w:val="2"/>
                <w:sz w:val="20"/>
                <w14:ligatures w14:val="standardContextual"/>
              </w:rPr>
              <w:t>Universe</w:t>
            </w:r>
          </w:p>
        </w:tc>
        <w:tc>
          <w:tcPr>
            <w:tcW w:w="1080" w:type="dxa"/>
          </w:tcPr>
          <w:p w:rsidR="006308A6" w:rsidRPr="006308A6" w:rsidP="006308A6" w14:paraId="0ECD195F"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Total</w:t>
            </w:r>
          </w:p>
          <w:p w:rsidR="006308A6" w:rsidRPr="006308A6" w:rsidP="006308A6" w14:paraId="6D53165E"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Annual</w:t>
            </w:r>
          </w:p>
          <w:p w:rsidR="006308A6" w:rsidRPr="006308A6" w:rsidP="006308A6" w14:paraId="278E1195" w14:textId="77777777">
            <w:pPr>
              <w:jc w:val="center"/>
              <w:rPr>
                <w:color w:val="000000"/>
                <w:sz w:val="20"/>
              </w:rPr>
            </w:pPr>
            <w:r w:rsidRPr="006308A6">
              <w:rPr>
                <w:rFonts w:eastAsiaTheme="minorHAnsi"/>
                <w:color w:val="000000"/>
                <w:kern w:val="2"/>
                <w:sz w:val="20"/>
                <w14:ligatures w14:val="standardContextual"/>
              </w:rPr>
              <w:t xml:space="preserve"> Responses</w:t>
            </w:r>
            <w:r w:rsidRPr="006308A6">
              <w:rPr>
                <w:rFonts w:eastAsiaTheme="minorHAnsi"/>
                <w:color w:val="000000"/>
                <w:kern w:val="2"/>
                <w:sz w:val="20"/>
                <w14:ligatures w14:val="standardContextual"/>
              </w:rPr>
              <w:br/>
            </w:r>
            <w:r w:rsidRPr="006308A6">
              <w:rPr>
                <w:rFonts w:eastAsiaTheme="minorHAnsi"/>
                <w:color w:val="000000"/>
                <w:kern w:val="2"/>
                <w:sz w:val="16"/>
                <w:szCs w:val="16"/>
                <w14:ligatures w14:val="standardContextual"/>
              </w:rPr>
              <w:t>(A)</w:t>
            </w:r>
          </w:p>
        </w:tc>
        <w:tc>
          <w:tcPr>
            <w:tcW w:w="990" w:type="dxa"/>
          </w:tcPr>
          <w:p w:rsidR="006308A6" w:rsidRPr="006308A6" w:rsidP="006308A6" w14:paraId="1045374E"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Avg. Time</w:t>
            </w:r>
          </w:p>
          <w:p w:rsidR="006308A6" w:rsidRPr="006308A6" w:rsidP="006308A6" w14:paraId="4A676B53"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Per</w:t>
            </w:r>
          </w:p>
          <w:p w:rsidR="006308A6" w:rsidRPr="006308A6" w:rsidP="006308A6" w14:paraId="7C8D2DA2"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Response</w:t>
            </w:r>
          </w:p>
          <w:p w:rsidR="006308A6" w:rsidRPr="006308A6" w:rsidP="006308A6" w14:paraId="4F1CA1ED" w14:textId="77777777">
            <w:pPr>
              <w:jc w:val="center"/>
              <w:rPr>
                <w:color w:val="000000"/>
                <w:sz w:val="20"/>
              </w:rPr>
            </w:pPr>
            <w:r w:rsidRPr="006308A6">
              <w:rPr>
                <w:rFonts w:eastAsiaTheme="minorHAnsi"/>
                <w:color w:val="000000"/>
                <w:kern w:val="2"/>
                <w:sz w:val="16"/>
                <w:szCs w:val="16"/>
                <w14:ligatures w14:val="standardContextual"/>
              </w:rPr>
              <w:t>(B)</w:t>
            </w:r>
          </w:p>
        </w:tc>
        <w:tc>
          <w:tcPr>
            <w:tcW w:w="1170" w:type="dxa"/>
          </w:tcPr>
          <w:p w:rsidR="006308A6" w:rsidRPr="006308A6" w:rsidP="006308A6" w14:paraId="187CE787" w14:textId="77777777">
            <w:pPr>
              <w:jc w:val="center"/>
              <w:rPr>
                <w:color w:val="000000"/>
                <w:sz w:val="20"/>
              </w:rPr>
            </w:pPr>
            <w:r w:rsidRPr="006308A6">
              <w:rPr>
                <w:rFonts w:eastAsiaTheme="minorHAnsi"/>
                <w:color w:val="000000"/>
                <w:kern w:val="2"/>
                <w:sz w:val="20"/>
                <w14:ligatures w14:val="standardContextual"/>
              </w:rPr>
              <w:t>Total Annual Burden Hours</w:t>
            </w:r>
            <w:r w:rsidRPr="006308A6">
              <w:rPr>
                <w:rFonts w:eastAsiaTheme="minorHAnsi"/>
                <w:color w:val="000000"/>
                <w:kern w:val="2"/>
                <w:sz w:val="20"/>
                <w14:ligatures w14:val="standardContextual"/>
              </w:rPr>
              <w:br/>
            </w:r>
            <w:r w:rsidRPr="006308A6">
              <w:rPr>
                <w:rFonts w:eastAsiaTheme="minorHAnsi"/>
                <w:color w:val="000000"/>
                <w:kern w:val="2"/>
                <w:sz w:val="16"/>
                <w:szCs w:val="16"/>
                <w14:ligatures w14:val="standardContextual"/>
              </w:rPr>
              <w:t>(A*B=C)</w:t>
            </w:r>
          </w:p>
        </w:tc>
        <w:tc>
          <w:tcPr>
            <w:tcW w:w="810" w:type="dxa"/>
          </w:tcPr>
          <w:p w:rsidR="006308A6" w:rsidRPr="006308A6" w:rsidP="006308A6" w14:paraId="0ACAE523"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 xml:space="preserve">Wage </w:t>
            </w:r>
          </w:p>
          <w:p w:rsidR="006308A6" w:rsidRPr="006308A6" w:rsidP="006308A6" w14:paraId="24C520F2" w14:textId="77777777">
            <w:pPr>
              <w:jc w:val="center"/>
              <w:rPr>
                <w:color w:val="000000"/>
                <w:sz w:val="20"/>
              </w:rPr>
            </w:pPr>
            <w:r w:rsidRPr="356F83C9">
              <w:rPr>
                <w:rFonts w:eastAsiaTheme="minorEastAsia"/>
                <w:color w:val="000000" w:themeColor="text1"/>
                <w:sz w:val="20"/>
              </w:rPr>
              <w:t>Rate</w:t>
            </w:r>
            <w:r>
              <w:rPr>
                <w:rFonts w:eastAsiaTheme="minorHAnsi"/>
                <w:color w:val="000000"/>
                <w:kern w:val="2"/>
                <w:sz w:val="20"/>
                <w:vertAlign w:val="superscript"/>
                <w14:ligatures w14:val="standardContextual"/>
              </w:rPr>
              <w:footnoteReference w:id="4"/>
            </w:r>
            <w:r>
              <w:br/>
            </w:r>
            <w:r w:rsidRPr="356F83C9">
              <w:rPr>
                <w:rFonts w:eastAsiaTheme="minorEastAsia"/>
                <w:color w:val="000000" w:themeColor="text1"/>
                <w:sz w:val="16"/>
                <w:szCs w:val="16"/>
              </w:rPr>
              <w:t>(D)</w:t>
            </w:r>
          </w:p>
        </w:tc>
        <w:tc>
          <w:tcPr>
            <w:tcW w:w="1255" w:type="dxa"/>
          </w:tcPr>
          <w:p w:rsidR="006308A6" w:rsidRPr="006308A6" w:rsidP="006308A6" w14:paraId="398DA45A" w14:textId="77777777">
            <w:pPr>
              <w:jc w:val="center"/>
              <w:rPr>
                <w:color w:val="000000"/>
                <w:sz w:val="20"/>
              </w:rPr>
            </w:pPr>
            <w:r w:rsidRPr="006308A6">
              <w:rPr>
                <w:rFonts w:eastAsiaTheme="minorHAnsi"/>
                <w:color w:val="000000"/>
                <w:kern w:val="2"/>
                <w:sz w:val="20"/>
                <w14:ligatures w14:val="standardContextual"/>
              </w:rPr>
              <w:t xml:space="preserve">Total Cost </w:t>
            </w:r>
            <w:r w:rsidRPr="006308A6">
              <w:rPr>
                <w:rFonts w:eastAsiaTheme="minorHAnsi"/>
                <w:color w:val="000000"/>
                <w:kern w:val="2"/>
                <w:sz w:val="20"/>
                <w14:ligatures w14:val="standardContextual"/>
              </w:rPr>
              <w:br/>
              <w:t>Equivalent</w:t>
            </w:r>
            <w:r w:rsidRPr="006308A6">
              <w:rPr>
                <w:rFonts w:eastAsiaTheme="minorHAnsi"/>
                <w:color w:val="000000"/>
                <w:kern w:val="2"/>
                <w:sz w:val="20"/>
                <w14:ligatures w14:val="standardContextual"/>
              </w:rPr>
              <w:br/>
              <w:t>U.S.D.</w:t>
            </w:r>
            <w:r w:rsidRPr="006308A6">
              <w:rPr>
                <w:rFonts w:eastAsiaTheme="minorHAnsi"/>
                <w:color w:val="000000"/>
                <w:kern w:val="2"/>
                <w:sz w:val="20"/>
                <w14:ligatures w14:val="standardContextual"/>
              </w:rPr>
              <w:br/>
            </w:r>
            <w:r w:rsidRPr="006308A6">
              <w:rPr>
                <w:rFonts w:eastAsiaTheme="minorHAnsi"/>
                <w:color w:val="000000"/>
                <w:kern w:val="2"/>
                <w:sz w:val="16"/>
                <w:szCs w:val="16"/>
                <w14:ligatures w14:val="standardContextual"/>
              </w:rPr>
              <w:t>(E =C*D)</w:t>
            </w:r>
          </w:p>
        </w:tc>
        <w:tc>
          <w:tcPr>
            <w:tcW w:w="3695" w:type="dxa"/>
          </w:tcPr>
          <w:p w:rsidR="006308A6" w:rsidRPr="006308A6" w:rsidP="006308A6" w14:paraId="09E6F2A1"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 xml:space="preserve">PRA Analyses </w:t>
            </w:r>
          </w:p>
          <w:p w:rsidR="006308A6" w:rsidRPr="006308A6" w:rsidP="006308A6" w14:paraId="7BF6CD79"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and Estimates</w:t>
            </w:r>
          </w:p>
        </w:tc>
      </w:tr>
      <w:tr w14:paraId="47E8559F" w14:textId="77777777" w:rsidTr="356F83C9">
        <w:tblPrEx>
          <w:tblW w:w="0" w:type="auto"/>
          <w:tblLayout w:type="fixed"/>
          <w:tblLook w:val="04A0"/>
        </w:tblPrEx>
        <w:trPr>
          <w:trHeight w:val="224"/>
        </w:trPr>
        <w:tc>
          <w:tcPr>
            <w:tcW w:w="12325" w:type="dxa"/>
            <w:gridSpan w:val="8"/>
          </w:tcPr>
          <w:p w:rsidR="006308A6" w:rsidRPr="006308A6" w:rsidP="006308A6" w14:paraId="57B4A344" w14:textId="29EB5AF3">
            <w:pPr>
              <w:rPr>
                <w:b/>
                <w:bCs/>
                <w:color w:val="000000"/>
                <w:sz w:val="20"/>
              </w:rPr>
            </w:pPr>
            <w:r w:rsidRPr="006308A6">
              <w:rPr>
                <w:b/>
                <w:bCs/>
                <w:color w:val="000000"/>
                <w:sz w:val="20"/>
              </w:rPr>
              <w:t>212.105 Agreements</w:t>
            </w:r>
          </w:p>
        </w:tc>
      </w:tr>
      <w:tr w14:paraId="5A307530" w14:textId="77777777" w:rsidTr="356F83C9">
        <w:tblPrEx>
          <w:tblW w:w="0" w:type="auto"/>
          <w:tblLayout w:type="fixed"/>
          <w:tblLook w:val="04A0"/>
        </w:tblPrEx>
        <w:trPr>
          <w:trHeight w:val="1502"/>
        </w:trPr>
        <w:tc>
          <w:tcPr>
            <w:tcW w:w="2155" w:type="dxa"/>
            <w:hideMark/>
          </w:tcPr>
          <w:p w:rsidR="006308A6" w:rsidRPr="006308A6" w:rsidP="006308A6" w14:paraId="3729A082" w14:textId="77777777">
            <w:pPr>
              <w:rPr>
                <w:color w:val="000000"/>
                <w:sz w:val="20"/>
              </w:rPr>
            </w:pPr>
            <w:r w:rsidRPr="006308A6">
              <w:rPr>
                <w:color w:val="000000"/>
                <w:sz w:val="20"/>
              </w:rPr>
              <w:t>—Railroad Safety State Participation Agreement (SPA)</w:t>
            </w:r>
          </w:p>
          <w:p w:rsidR="006308A6" w:rsidRPr="006308A6" w:rsidP="006308A6" w14:paraId="52FF7CB5" w14:textId="1D0367E4">
            <w:pPr>
              <w:rPr>
                <w:color w:val="000000"/>
                <w:sz w:val="20"/>
              </w:rPr>
            </w:pPr>
            <w:r w:rsidRPr="006308A6">
              <w:rPr>
                <w:color w:val="000000"/>
                <w:sz w:val="20"/>
              </w:rPr>
              <w:t>Annual updates, technical training plans</w:t>
            </w:r>
            <w:r w:rsidR="00AD2B19">
              <w:rPr>
                <w:color w:val="000000"/>
                <w:sz w:val="20"/>
              </w:rPr>
              <w:t>,</w:t>
            </w:r>
            <w:r w:rsidRPr="006308A6">
              <w:rPr>
                <w:color w:val="000000"/>
                <w:sz w:val="20"/>
              </w:rPr>
              <w:t xml:space="preserve"> and revised schedules to existing agreements</w:t>
            </w:r>
          </w:p>
        </w:tc>
        <w:tc>
          <w:tcPr>
            <w:tcW w:w="1170" w:type="dxa"/>
            <w:hideMark/>
          </w:tcPr>
          <w:p w:rsidR="006308A6" w:rsidRPr="006308A6" w:rsidP="006308A6" w14:paraId="2E6011A8" w14:textId="77777777">
            <w:pPr>
              <w:jc w:val="center"/>
              <w:rPr>
                <w:color w:val="000000"/>
                <w:sz w:val="20"/>
              </w:rPr>
            </w:pPr>
            <w:r w:rsidRPr="006308A6">
              <w:rPr>
                <w:color w:val="000000"/>
                <w:sz w:val="20"/>
              </w:rPr>
              <w:t xml:space="preserve">34 </w:t>
            </w:r>
          </w:p>
          <w:p w:rsidR="006308A6" w:rsidRPr="006308A6" w:rsidP="006308A6" w14:paraId="36923512" w14:textId="77777777">
            <w:pPr>
              <w:jc w:val="center"/>
              <w:rPr>
                <w:color w:val="000000"/>
                <w:sz w:val="20"/>
              </w:rPr>
            </w:pPr>
            <w:r w:rsidRPr="006308A6">
              <w:rPr>
                <w:color w:val="000000"/>
                <w:sz w:val="20"/>
              </w:rPr>
              <w:t>States</w:t>
            </w:r>
          </w:p>
        </w:tc>
        <w:tc>
          <w:tcPr>
            <w:tcW w:w="1080" w:type="dxa"/>
            <w:hideMark/>
          </w:tcPr>
          <w:p w:rsidR="006308A6" w:rsidRPr="006308A6" w:rsidP="006308A6" w14:paraId="220AC19E" w14:textId="77777777">
            <w:pPr>
              <w:jc w:val="center"/>
              <w:rPr>
                <w:color w:val="000000"/>
                <w:sz w:val="20"/>
              </w:rPr>
            </w:pPr>
            <w:r w:rsidRPr="006308A6">
              <w:rPr>
                <w:color w:val="000000"/>
                <w:sz w:val="20"/>
              </w:rPr>
              <w:t>34</w:t>
            </w:r>
          </w:p>
          <w:p w:rsidR="006308A6" w:rsidRPr="006308A6" w:rsidP="006308A6" w14:paraId="11B28838" w14:textId="77777777">
            <w:pPr>
              <w:jc w:val="center"/>
              <w:rPr>
                <w:color w:val="000000"/>
                <w:sz w:val="20"/>
              </w:rPr>
            </w:pPr>
            <w:r w:rsidRPr="006308A6">
              <w:rPr>
                <w:color w:val="000000"/>
                <w:sz w:val="20"/>
              </w:rPr>
              <w:t>updates</w:t>
            </w:r>
          </w:p>
        </w:tc>
        <w:tc>
          <w:tcPr>
            <w:tcW w:w="990" w:type="dxa"/>
            <w:hideMark/>
          </w:tcPr>
          <w:p w:rsidR="006308A6" w:rsidRPr="006308A6" w:rsidP="006308A6" w14:paraId="09207A34" w14:textId="77777777">
            <w:pPr>
              <w:jc w:val="center"/>
              <w:rPr>
                <w:color w:val="000000"/>
                <w:sz w:val="20"/>
              </w:rPr>
            </w:pPr>
            <w:r w:rsidRPr="006308A6">
              <w:rPr>
                <w:color w:val="000000"/>
                <w:sz w:val="20"/>
              </w:rPr>
              <w:t>1</w:t>
            </w:r>
          </w:p>
          <w:p w:rsidR="006308A6" w:rsidRPr="006308A6" w:rsidP="006308A6" w14:paraId="3DFCD6A9" w14:textId="77777777">
            <w:pPr>
              <w:jc w:val="center"/>
              <w:rPr>
                <w:color w:val="000000"/>
                <w:sz w:val="20"/>
              </w:rPr>
            </w:pPr>
            <w:r w:rsidRPr="006308A6">
              <w:rPr>
                <w:color w:val="000000"/>
                <w:sz w:val="20"/>
              </w:rPr>
              <w:t>hour</w:t>
            </w:r>
          </w:p>
        </w:tc>
        <w:tc>
          <w:tcPr>
            <w:tcW w:w="1170" w:type="dxa"/>
            <w:hideMark/>
          </w:tcPr>
          <w:p w:rsidR="006308A6" w:rsidRPr="006308A6" w:rsidP="006308A6" w14:paraId="27C3ECF5" w14:textId="77777777">
            <w:pPr>
              <w:jc w:val="center"/>
              <w:rPr>
                <w:color w:val="000000"/>
                <w:sz w:val="20"/>
              </w:rPr>
            </w:pPr>
            <w:r w:rsidRPr="006308A6">
              <w:rPr>
                <w:color w:val="000000"/>
                <w:sz w:val="20"/>
              </w:rPr>
              <w:t>34</w:t>
            </w:r>
          </w:p>
          <w:p w:rsidR="006308A6" w:rsidRPr="006308A6" w:rsidP="006308A6" w14:paraId="22664B7F" w14:textId="77777777">
            <w:pPr>
              <w:jc w:val="center"/>
              <w:rPr>
                <w:color w:val="000000"/>
                <w:sz w:val="20"/>
              </w:rPr>
            </w:pPr>
            <w:r w:rsidRPr="006308A6">
              <w:rPr>
                <w:color w:val="000000"/>
                <w:sz w:val="20"/>
              </w:rPr>
              <w:t>hours</w:t>
            </w:r>
          </w:p>
        </w:tc>
        <w:tc>
          <w:tcPr>
            <w:tcW w:w="810" w:type="dxa"/>
          </w:tcPr>
          <w:p w:rsidR="006308A6" w:rsidRPr="006308A6" w:rsidP="006308A6" w14:paraId="496B0E78" w14:textId="77777777">
            <w:pPr>
              <w:jc w:val="center"/>
              <w:rPr>
                <w:color w:val="000000"/>
                <w:sz w:val="20"/>
              </w:rPr>
            </w:pPr>
            <w:r w:rsidRPr="006308A6">
              <w:rPr>
                <w:rFonts w:eastAsiaTheme="minorHAnsi"/>
                <w:kern w:val="2"/>
                <w:sz w:val="20"/>
                <w14:ligatures w14:val="standardContextual"/>
              </w:rPr>
              <w:t>$88.36</w:t>
            </w:r>
          </w:p>
        </w:tc>
        <w:tc>
          <w:tcPr>
            <w:tcW w:w="1255" w:type="dxa"/>
            <w:hideMark/>
          </w:tcPr>
          <w:p w:rsidR="006308A6" w:rsidRPr="006308A6" w:rsidP="006308A6" w14:paraId="2B16E870" w14:textId="77777777">
            <w:pPr>
              <w:jc w:val="right"/>
              <w:rPr>
                <w:color w:val="000000"/>
                <w:sz w:val="20"/>
              </w:rPr>
            </w:pPr>
            <w:r w:rsidRPr="006308A6">
              <w:rPr>
                <w:rFonts w:eastAsiaTheme="minorHAnsi"/>
                <w:kern w:val="2"/>
                <w:sz w:val="20"/>
                <w14:ligatures w14:val="standardContextual"/>
              </w:rPr>
              <w:t>$3,004.24</w:t>
            </w:r>
          </w:p>
        </w:tc>
        <w:tc>
          <w:tcPr>
            <w:tcW w:w="3695" w:type="dxa"/>
            <w:vMerge w:val="restart"/>
          </w:tcPr>
          <w:p w:rsidR="008D360E" w:rsidP="006308A6" w14:paraId="4A574D93" w14:textId="3455C03D">
            <w:pPr>
              <w:rPr>
                <w:rFonts w:eastAsiaTheme="minorHAnsi"/>
                <w:kern w:val="2"/>
                <w:sz w:val="20"/>
                <w14:ligatures w14:val="standardContextual"/>
              </w:rPr>
            </w:pPr>
            <w:r w:rsidRPr="006308A6">
              <w:rPr>
                <w:rFonts w:eastAsiaTheme="minorHAnsi"/>
                <w:kern w:val="2"/>
                <w:sz w:val="20"/>
                <w14:ligatures w14:val="standardContextual"/>
              </w:rPr>
              <w:t>The principal method by which States may participate in investigative and surveillance activities is by agreement with FRA. An agreement may delegate investigative and surveillance authority with respect to all or any part of the Federal railroad safety laws</w:t>
            </w:r>
            <w:r w:rsidR="00644CBC">
              <w:rPr>
                <w:rFonts w:eastAsiaTheme="minorHAnsi"/>
                <w:kern w:val="2"/>
                <w:sz w:val="20"/>
                <w14:ligatures w14:val="standardContextual"/>
              </w:rPr>
              <w:t xml:space="preserve"> and regulations</w:t>
            </w:r>
            <w:r w:rsidRPr="006308A6">
              <w:rPr>
                <w:rFonts w:eastAsiaTheme="minorHAnsi"/>
                <w:kern w:val="2"/>
                <w:sz w:val="20"/>
                <w14:ligatures w14:val="standardContextual"/>
              </w:rPr>
              <w:t>.</w:t>
            </w:r>
          </w:p>
          <w:p w:rsidR="006308A6" w:rsidRPr="006308A6" w:rsidP="006308A6" w14:paraId="521F04A8" w14:textId="2E5F32E7">
            <w:pPr>
              <w:rPr>
                <w:rFonts w:eastAsiaTheme="minorHAnsi"/>
                <w:kern w:val="2"/>
                <w:sz w:val="20"/>
                <w14:ligatures w14:val="standardContextual"/>
              </w:rPr>
            </w:pPr>
            <w:r>
              <w:rPr>
                <w:rFonts w:eastAsiaTheme="minorHAnsi"/>
                <w:kern w:val="2"/>
                <w:sz w:val="20"/>
                <w14:ligatures w14:val="standardContextual"/>
              </w:rPr>
              <w:t xml:space="preserve"> </w:t>
            </w:r>
            <w:r w:rsidRPr="006308A6">
              <w:rPr>
                <w:rFonts w:eastAsiaTheme="minorHAnsi"/>
                <w:kern w:val="2"/>
                <w:sz w:val="20"/>
                <w14:ligatures w14:val="standardContextual"/>
              </w:rPr>
              <w:t xml:space="preserve">An agreement may be amended to expand or contract its scope by consent of FRA and </w:t>
            </w:r>
            <w:r w:rsidR="007C34E8">
              <w:rPr>
                <w:rFonts w:eastAsiaTheme="minorHAnsi"/>
                <w:kern w:val="2"/>
                <w:sz w:val="20"/>
                <w14:ligatures w14:val="standardContextual"/>
              </w:rPr>
              <w:t xml:space="preserve">the </w:t>
            </w:r>
            <w:r w:rsidRPr="006308A6">
              <w:rPr>
                <w:rFonts w:eastAsiaTheme="minorHAnsi"/>
                <w:kern w:val="2"/>
                <w:sz w:val="20"/>
                <w14:ligatures w14:val="standardContextual"/>
              </w:rPr>
              <w:t xml:space="preserve">State. </w:t>
            </w:r>
          </w:p>
          <w:p w:rsidR="006308A6" w:rsidRPr="006308A6" w:rsidP="006308A6" w14:paraId="0B028690" w14:textId="77777777">
            <w:pPr>
              <w:rPr>
                <w:rFonts w:eastAsiaTheme="minorHAnsi"/>
                <w:kern w:val="2"/>
                <w:sz w:val="20"/>
                <w14:ligatures w14:val="standardContextual"/>
              </w:rPr>
            </w:pPr>
          </w:p>
          <w:p w:rsidR="006308A6" w:rsidRPr="006308A6" w:rsidP="006308A6" w14:paraId="7AF0FA81" w14:textId="77777777">
            <w:pPr>
              <w:rPr>
                <w:rFonts w:eastAsiaTheme="minorHAnsi"/>
                <w:kern w:val="2"/>
                <w:sz w:val="20"/>
                <w14:ligatures w14:val="standardContextual"/>
              </w:rPr>
            </w:pPr>
            <w:r w:rsidRPr="006308A6">
              <w:rPr>
                <w:rFonts w:eastAsiaTheme="minorHAnsi"/>
                <w:kern w:val="2"/>
                <w:sz w:val="20"/>
                <w14:ligatures w14:val="standardContextual"/>
              </w:rPr>
              <w:t xml:space="preserve">The agreement includes the training plan and schedules related to reimbursement and other costs associated with inspector training.  </w:t>
            </w:r>
          </w:p>
          <w:p w:rsidR="006308A6" w:rsidRPr="006308A6" w:rsidP="006308A6" w14:paraId="09C72FE9" w14:textId="77777777">
            <w:pPr>
              <w:rPr>
                <w:rFonts w:eastAsiaTheme="minorHAnsi"/>
                <w:kern w:val="2"/>
                <w:sz w:val="20"/>
                <w14:ligatures w14:val="standardContextual"/>
              </w:rPr>
            </w:pPr>
          </w:p>
          <w:p w:rsidR="006308A6" w:rsidRPr="006308A6" w:rsidP="006308A6" w14:paraId="3985B9AA" w14:textId="77777777">
            <w:pPr>
              <w:rPr>
                <w:rFonts w:eastAsiaTheme="minorHAnsi"/>
                <w:kern w:val="2"/>
                <w:sz w:val="20"/>
                <w14:ligatures w14:val="standardContextual"/>
              </w:rPr>
            </w:pPr>
          </w:p>
        </w:tc>
      </w:tr>
      <w:tr w14:paraId="3E2ACDB9" w14:textId="77777777" w:rsidTr="356F83C9">
        <w:tblPrEx>
          <w:tblW w:w="0" w:type="auto"/>
          <w:tblLayout w:type="fixed"/>
          <w:tblLook w:val="04A0"/>
        </w:tblPrEx>
        <w:trPr>
          <w:trHeight w:val="2627"/>
        </w:trPr>
        <w:tc>
          <w:tcPr>
            <w:tcW w:w="2155" w:type="dxa"/>
          </w:tcPr>
          <w:p w:rsidR="006308A6" w:rsidRPr="006308A6" w:rsidP="006308A6" w14:paraId="100CA8C1" w14:textId="77777777">
            <w:pPr>
              <w:rPr>
                <w:color w:val="000000"/>
                <w:sz w:val="20"/>
              </w:rPr>
            </w:pPr>
            <w:r w:rsidRPr="006308A6">
              <w:rPr>
                <w:color w:val="000000"/>
                <w:sz w:val="20"/>
              </w:rPr>
              <w:t>—New State Participation</w:t>
            </w:r>
          </w:p>
          <w:p w:rsidR="006308A6" w:rsidRPr="006308A6" w:rsidP="006308A6" w14:paraId="50B2A052" w14:textId="77777777">
            <w:pPr>
              <w:rPr>
                <w:color w:val="000000"/>
                <w:sz w:val="20"/>
              </w:rPr>
            </w:pPr>
            <w:r w:rsidRPr="006308A6">
              <w:rPr>
                <w:color w:val="000000"/>
                <w:sz w:val="20"/>
              </w:rPr>
              <w:t>Agreement.</w:t>
            </w:r>
          </w:p>
          <w:p w:rsidR="006308A6" w:rsidRPr="006308A6" w:rsidP="006308A6" w14:paraId="6FBD4A12" w14:textId="77777777">
            <w:pPr>
              <w:rPr>
                <w:color w:val="000000"/>
                <w:sz w:val="20"/>
              </w:rPr>
            </w:pPr>
            <w:r w:rsidRPr="006308A6">
              <w:rPr>
                <w:color w:val="000000"/>
                <w:sz w:val="20"/>
              </w:rPr>
              <w:t>Includes:</w:t>
            </w:r>
          </w:p>
          <w:p w:rsidR="006308A6" w:rsidRPr="006308A6" w:rsidP="006308A6" w14:paraId="4BCF7E0A" w14:textId="77777777">
            <w:pPr>
              <w:numPr>
                <w:ilvl w:val="0"/>
                <w:numId w:val="11"/>
              </w:numPr>
              <w:spacing w:after="160" w:line="259" w:lineRule="auto"/>
              <w:ind w:left="240" w:hanging="270"/>
              <w:contextualSpacing/>
              <w:rPr>
                <w:color w:val="000000"/>
                <w:sz w:val="20"/>
              </w:rPr>
            </w:pPr>
            <w:r w:rsidRPr="006308A6">
              <w:rPr>
                <w:color w:val="000000"/>
                <w:sz w:val="20"/>
              </w:rPr>
              <w:t>Opinion of Counsel</w:t>
            </w:r>
          </w:p>
          <w:p w:rsidR="006308A6" w:rsidRPr="006308A6" w:rsidP="006308A6" w14:paraId="722315E1" w14:textId="77777777">
            <w:pPr>
              <w:numPr>
                <w:ilvl w:val="0"/>
                <w:numId w:val="11"/>
              </w:numPr>
              <w:spacing w:after="160" w:line="259" w:lineRule="auto"/>
              <w:ind w:left="240" w:hanging="270"/>
              <w:contextualSpacing/>
              <w:rPr>
                <w:color w:val="000000"/>
                <w:sz w:val="20"/>
              </w:rPr>
            </w:pPr>
            <w:r w:rsidRPr="006308A6">
              <w:rPr>
                <w:color w:val="000000"/>
                <w:sz w:val="20"/>
              </w:rPr>
              <w:t>Schedule of Current Participation</w:t>
            </w:r>
          </w:p>
          <w:p w:rsidR="006308A6" w:rsidRPr="006308A6" w:rsidP="006308A6" w14:paraId="470B472F" w14:textId="77777777">
            <w:pPr>
              <w:numPr>
                <w:ilvl w:val="0"/>
                <w:numId w:val="11"/>
              </w:numPr>
              <w:spacing w:after="160" w:line="259" w:lineRule="auto"/>
              <w:ind w:left="240" w:hanging="270"/>
              <w:contextualSpacing/>
              <w:rPr>
                <w:color w:val="000000"/>
                <w:sz w:val="20"/>
              </w:rPr>
            </w:pPr>
            <w:r w:rsidRPr="006308A6">
              <w:rPr>
                <w:color w:val="000000"/>
                <w:sz w:val="20"/>
              </w:rPr>
              <w:t>State Railroad Technical Training and Funding Agreement</w:t>
            </w:r>
          </w:p>
        </w:tc>
        <w:tc>
          <w:tcPr>
            <w:tcW w:w="1170" w:type="dxa"/>
          </w:tcPr>
          <w:p w:rsidR="006308A6" w:rsidRPr="006308A6" w:rsidP="006308A6" w14:paraId="16B6A607" w14:textId="77777777">
            <w:pPr>
              <w:jc w:val="center"/>
              <w:rPr>
                <w:color w:val="000000"/>
                <w:sz w:val="20"/>
              </w:rPr>
            </w:pPr>
            <w:r w:rsidRPr="006308A6">
              <w:rPr>
                <w:color w:val="000000"/>
                <w:sz w:val="20"/>
              </w:rPr>
              <w:t xml:space="preserve">15 </w:t>
            </w:r>
          </w:p>
          <w:p w:rsidR="006308A6" w:rsidRPr="006308A6" w:rsidP="006308A6" w14:paraId="780C06BF" w14:textId="77777777">
            <w:pPr>
              <w:jc w:val="center"/>
              <w:rPr>
                <w:color w:val="000000"/>
                <w:sz w:val="20"/>
              </w:rPr>
            </w:pPr>
            <w:r w:rsidRPr="006308A6">
              <w:rPr>
                <w:color w:val="000000"/>
                <w:sz w:val="20"/>
              </w:rPr>
              <w:t>States</w:t>
            </w:r>
          </w:p>
        </w:tc>
        <w:tc>
          <w:tcPr>
            <w:tcW w:w="1080" w:type="dxa"/>
          </w:tcPr>
          <w:p w:rsidR="006308A6" w:rsidRPr="006308A6" w:rsidP="006308A6" w14:paraId="006BD409" w14:textId="77777777">
            <w:pPr>
              <w:jc w:val="center"/>
              <w:rPr>
                <w:color w:val="000000"/>
                <w:sz w:val="20"/>
              </w:rPr>
            </w:pPr>
            <w:r w:rsidRPr="006308A6">
              <w:rPr>
                <w:color w:val="000000"/>
                <w:sz w:val="20"/>
              </w:rPr>
              <w:t>1</w:t>
            </w:r>
          </w:p>
          <w:p w:rsidR="006308A6" w:rsidRPr="006308A6" w:rsidP="006308A6" w14:paraId="43B2207B" w14:textId="77777777">
            <w:pPr>
              <w:jc w:val="center"/>
              <w:rPr>
                <w:color w:val="000000"/>
                <w:sz w:val="20"/>
              </w:rPr>
            </w:pPr>
            <w:r w:rsidRPr="006308A6">
              <w:rPr>
                <w:color w:val="000000"/>
                <w:sz w:val="20"/>
              </w:rPr>
              <w:t>agreement</w:t>
            </w:r>
          </w:p>
        </w:tc>
        <w:tc>
          <w:tcPr>
            <w:tcW w:w="990" w:type="dxa"/>
          </w:tcPr>
          <w:p w:rsidR="006308A6" w:rsidRPr="006308A6" w:rsidP="006308A6" w14:paraId="2394E5E7" w14:textId="77777777">
            <w:pPr>
              <w:jc w:val="center"/>
              <w:rPr>
                <w:color w:val="000000"/>
                <w:sz w:val="20"/>
              </w:rPr>
            </w:pPr>
            <w:r w:rsidRPr="006308A6">
              <w:rPr>
                <w:color w:val="000000"/>
                <w:sz w:val="20"/>
              </w:rPr>
              <w:t>32</w:t>
            </w:r>
          </w:p>
          <w:p w:rsidR="006308A6" w:rsidRPr="006308A6" w:rsidP="006308A6" w14:paraId="22449E58" w14:textId="77777777">
            <w:pPr>
              <w:jc w:val="center"/>
              <w:rPr>
                <w:color w:val="000000"/>
                <w:sz w:val="20"/>
              </w:rPr>
            </w:pPr>
            <w:r w:rsidRPr="006308A6">
              <w:rPr>
                <w:color w:val="000000"/>
                <w:sz w:val="20"/>
              </w:rPr>
              <w:t>hours</w:t>
            </w:r>
          </w:p>
        </w:tc>
        <w:tc>
          <w:tcPr>
            <w:tcW w:w="1170" w:type="dxa"/>
          </w:tcPr>
          <w:p w:rsidR="006308A6" w:rsidRPr="006308A6" w:rsidP="006308A6" w14:paraId="3D7B5E20" w14:textId="77777777">
            <w:pPr>
              <w:jc w:val="center"/>
              <w:rPr>
                <w:color w:val="000000"/>
                <w:sz w:val="20"/>
              </w:rPr>
            </w:pPr>
            <w:r w:rsidRPr="006308A6">
              <w:rPr>
                <w:color w:val="000000"/>
                <w:sz w:val="20"/>
              </w:rPr>
              <w:t>32</w:t>
            </w:r>
          </w:p>
          <w:p w:rsidR="006308A6" w:rsidRPr="006308A6" w:rsidP="006308A6" w14:paraId="40D6C864" w14:textId="77777777">
            <w:pPr>
              <w:jc w:val="center"/>
              <w:rPr>
                <w:color w:val="000000"/>
                <w:sz w:val="20"/>
              </w:rPr>
            </w:pPr>
            <w:r w:rsidRPr="006308A6">
              <w:rPr>
                <w:color w:val="000000"/>
                <w:sz w:val="20"/>
              </w:rPr>
              <w:t>hours</w:t>
            </w:r>
          </w:p>
        </w:tc>
        <w:tc>
          <w:tcPr>
            <w:tcW w:w="810" w:type="dxa"/>
          </w:tcPr>
          <w:p w:rsidR="006308A6" w:rsidRPr="006308A6" w:rsidP="006308A6" w14:paraId="0AD28B35" w14:textId="77777777">
            <w:pPr>
              <w:jc w:val="right"/>
              <w:rPr>
                <w:color w:val="000000"/>
                <w:sz w:val="20"/>
              </w:rPr>
            </w:pPr>
            <w:r w:rsidRPr="006308A6">
              <w:rPr>
                <w:rFonts w:eastAsiaTheme="minorHAnsi"/>
                <w:kern w:val="2"/>
                <w:sz w:val="20"/>
                <w14:ligatures w14:val="standardContextual"/>
              </w:rPr>
              <w:t>$88.36</w:t>
            </w:r>
          </w:p>
        </w:tc>
        <w:tc>
          <w:tcPr>
            <w:tcW w:w="1255" w:type="dxa"/>
          </w:tcPr>
          <w:p w:rsidR="006308A6" w:rsidRPr="006308A6" w:rsidP="006308A6" w14:paraId="4A3332CA" w14:textId="77777777">
            <w:pPr>
              <w:jc w:val="right"/>
              <w:rPr>
                <w:color w:val="000000"/>
                <w:sz w:val="20"/>
              </w:rPr>
            </w:pPr>
            <w:r w:rsidRPr="006308A6">
              <w:rPr>
                <w:rFonts w:eastAsiaTheme="minorHAnsi"/>
                <w:kern w:val="2"/>
                <w:sz w:val="20"/>
                <w14:ligatures w14:val="standardContextual"/>
              </w:rPr>
              <w:t>$2,827.52</w:t>
            </w:r>
          </w:p>
        </w:tc>
        <w:tc>
          <w:tcPr>
            <w:tcW w:w="3695" w:type="dxa"/>
            <w:vMerge/>
          </w:tcPr>
          <w:p w:rsidR="006308A6" w:rsidRPr="006308A6" w:rsidP="006308A6" w14:paraId="2930549D" w14:textId="77777777">
            <w:pPr>
              <w:rPr>
                <w:rFonts w:eastAsiaTheme="minorHAnsi"/>
                <w:kern w:val="2"/>
                <w:sz w:val="20"/>
                <w14:ligatures w14:val="standardContextual"/>
              </w:rPr>
            </w:pPr>
          </w:p>
        </w:tc>
      </w:tr>
      <w:tr w14:paraId="18823F8D" w14:textId="77777777" w:rsidTr="356F83C9">
        <w:tblPrEx>
          <w:tblW w:w="0" w:type="auto"/>
          <w:tblLayout w:type="fixed"/>
          <w:tblLook w:val="04A0"/>
        </w:tblPrEx>
        <w:trPr>
          <w:trHeight w:val="539"/>
        </w:trPr>
        <w:tc>
          <w:tcPr>
            <w:tcW w:w="2155" w:type="dxa"/>
            <w:hideMark/>
          </w:tcPr>
          <w:p w:rsidR="006308A6" w:rsidRPr="006308A6" w:rsidP="006308A6" w14:paraId="0B22FF03" w14:textId="77777777">
            <w:pPr>
              <w:rPr>
                <w:color w:val="000000"/>
                <w:sz w:val="20"/>
              </w:rPr>
            </w:pPr>
            <w:r w:rsidRPr="006308A6">
              <w:rPr>
                <w:color w:val="000000"/>
                <w:sz w:val="20"/>
              </w:rPr>
              <w:t>—State Inspector travel planning and reimbursement</w:t>
            </w:r>
          </w:p>
        </w:tc>
        <w:tc>
          <w:tcPr>
            <w:tcW w:w="1170" w:type="dxa"/>
            <w:hideMark/>
          </w:tcPr>
          <w:p w:rsidR="006308A6" w:rsidRPr="006308A6" w:rsidP="006308A6" w14:paraId="589DD088" w14:textId="77777777">
            <w:pPr>
              <w:jc w:val="center"/>
              <w:rPr>
                <w:color w:val="000000"/>
                <w:sz w:val="20"/>
              </w:rPr>
            </w:pPr>
            <w:r w:rsidRPr="006308A6">
              <w:rPr>
                <w:color w:val="000000"/>
                <w:sz w:val="20"/>
              </w:rPr>
              <w:t xml:space="preserve">34 </w:t>
            </w:r>
          </w:p>
          <w:p w:rsidR="006308A6" w:rsidRPr="006308A6" w:rsidP="006308A6" w14:paraId="3955E552" w14:textId="77777777">
            <w:pPr>
              <w:jc w:val="center"/>
              <w:rPr>
                <w:color w:val="000000"/>
                <w:sz w:val="20"/>
              </w:rPr>
            </w:pPr>
            <w:r w:rsidRPr="006308A6">
              <w:rPr>
                <w:color w:val="000000"/>
                <w:sz w:val="20"/>
              </w:rPr>
              <w:t>States</w:t>
            </w:r>
          </w:p>
        </w:tc>
        <w:tc>
          <w:tcPr>
            <w:tcW w:w="1080" w:type="dxa"/>
            <w:hideMark/>
          </w:tcPr>
          <w:p w:rsidR="006308A6" w:rsidRPr="006308A6" w:rsidP="006308A6" w14:paraId="2F4B548E" w14:textId="77777777">
            <w:pPr>
              <w:jc w:val="center"/>
              <w:rPr>
                <w:color w:val="000000"/>
                <w:sz w:val="20"/>
              </w:rPr>
            </w:pPr>
            <w:r w:rsidRPr="006308A6">
              <w:rPr>
                <w:color w:val="000000"/>
                <w:sz w:val="20"/>
              </w:rPr>
              <w:t>600 vouchers</w:t>
            </w:r>
          </w:p>
        </w:tc>
        <w:tc>
          <w:tcPr>
            <w:tcW w:w="990" w:type="dxa"/>
            <w:hideMark/>
          </w:tcPr>
          <w:p w:rsidR="006308A6" w:rsidRPr="006308A6" w:rsidP="006308A6" w14:paraId="77F79649" w14:textId="77777777">
            <w:pPr>
              <w:jc w:val="center"/>
              <w:rPr>
                <w:color w:val="000000" w:themeColor="text1"/>
                <w:sz w:val="20"/>
              </w:rPr>
            </w:pPr>
            <w:r w:rsidRPr="006308A6">
              <w:rPr>
                <w:color w:val="000000" w:themeColor="text1"/>
                <w:sz w:val="20"/>
              </w:rPr>
              <w:t xml:space="preserve">1.5 </w:t>
            </w:r>
          </w:p>
          <w:p w:rsidR="006308A6" w:rsidRPr="006308A6" w:rsidP="006308A6" w14:paraId="704D7264" w14:textId="77777777">
            <w:pPr>
              <w:jc w:val="center"/>
              <w:rPr>
                <w:color w:val="000000"/>
                <w:sz w:val="20"/>
              </w:rPr>
            </w:pPr>
            <w:r w:rsidRPr="006308A6">
              <w:rPr>
                <w:color w:val="000000" w:themeColor="text1"/>
                <w:sz w:val="20"/>
              </w:rPr>
              <w:t>hours</w:t>
            </w:r>
          </w:p>
        </w:tc>
        <w:tc>
          <w:tcPr>
            <w:tcW w:w="1170" w:type="dxa"/>
            <w:hideMark/>
          </w:tcPr>
          <w:p w:rsidR="006308A6" w:rsidRPr="006308A6" w:rsidP="006308A6" w14:paraId="662A5A8A" w14:textId="77777777">
            <w:pPr>
              <w:jc w:val="center"/>
              <w:rPr>
                <w:color w:val="000000" w:themeColor="text1"/>
                <w:sz w:val="20"/>
              </w:rPr>
            </w:pPr>
            <w:r w:rsidRPr="006308A6">
              <w:rPr>
                <w:color w:val="000000" w:themeColor="text1"/>
                <w:sz w:val="20"/>
              </w:rPr>
              <w:t>900</w:t>
            </w:r>
          </w:p>
          <w:p w:rsidR="006308A6" w:rsidRPr="006308A6" w:rsidP="006308A6" w14:paraId="01E055D9" w14:textId="77777777">
            <w:pPr>
              <w:jc w:val="center"/>
              <w:rPr>
                <w:color w:val="000000"/>
                <w:sz w:val="20"/>
              </w:rPr>
            </w:pPr>
            <w:r w:rsidRPr="006308A6">
              <w:rPr>
                <w:color w:val="000000" w:themeColor="text1"/>
                <w:sz w:val="20"/>
              </w:rPr>
              <w:t>hours</w:t>
            </w:r>
          </w:p>
        </w:tc>
        <w:tc>
          <w:tcPr>
            <w:tcW w:w="810" w:type="dxa"/>
          </w:tcPr>
          <w:p w:rsidR="006308A6" w:rsidRPr="006308A6" w:rsidP="006308A6" w14:paraId="164A2706" w14:textId="77777777">
            <w:pPr>
              <w:jc w:val="right"/>
              <w:rPr>
                <w:color w:val="000000"/>
                <w:sz w:val="20"/>
              </w:rPr>
            </w:pPr>
            <w:r w:rsidRPr="006308A6">
              <w:rPr>
                <w:rFonts w:eastAsiaTheme="minorHAnsi"/>
                <w:kern w:val="2"/>
                <w:sz w:val="20"/>
                <w14:ligatures w14:val="standardContextual"/>
              </w:rPr>
              <w:t>$88.36</w:t>
            </w:r>
          </w:p>
        </w:tc>
        <w:tc>
          <w:tcPr>
            <w:tcW w:w="1255" w:type="dxa"/>
            <w:hideMark/>
          </w:tcPr>
          <w:p w:rsidR="006308A6" w:rsidRPr="006308A6" w:rsidP="006308A6" w14:paraId="35C7C5B5" w14:textId="77777777">
            <w:pPr>
              <w:jc w:val="right"/>
              <w:rPr>
                <w:color w:val="000000"/>
                <w:sz w:val="20"/>
              </w:rPr>
            </w:pPr>
            <w:r w:rsidRPr="006308A6">
              <w:rPr>
                <w:rFonts w:eastAsiaTheme="minorHAnsi"/>
                <w:kern w:val="2"/>
                <w:sz w:val="20"/>
                <w14:ligatures w14:val="standardContextual"/>
              </w:rPr>
              <w:t>$79,524.00</w:t>
            </w:r>
          </w:p>
        </w:tc>
        <w:tc>
          <w:tcPr>
            <w:tcW w:w="3695" w:type="dxa"/>
            <w:vMerge/>
          </w:tcPr>
          <w:p w:rsidR="006308A6" w:rsidRPr="006308A6" w:rsidP="006308A6" w14:paraId="4BF887E5" w14:textId="77777777">
            <w:pPr>
              <w:jc w:val="right"/>
              <w:rPr>
                <w:rFonts w:eastAsiaTheme="minorHAnsi"/>
                <w:kern w:val="2"/>
                <w:sz w:val="20"/>
                <w14:ligatures w14:val="standardContextual"/>
              </w:rPr>
            </w:pPr>
          </w:p>
        </w:tc>
      </w:tr>
      <w:tr w14:paraId="16625383" w14:textId="77777777" w:rsidTr="356F83C9">
        <w:tblPrEx>
          <w:tblW w:w="0" w:type="auto"/>
          <w:tblLayout w:type="fixed"/>
          <w:tblLook w:val="04A0"/>
        </w:tblPrEx>
        <w:trPr>
          <w:trHeight w:val="233"/>
        </w:trPr>
        <w:tc>
          <w:tcPr>
            <w:tcW w:w="12325" w:type="dxa"/>
            <w:gridSpan w:val="8"/>
          </w:tcPr>
          <w:p w:rsidR="006308A6" w:rsidRPr="006308A6" w:rsidP="006308A6" w14:paraId="62DB6944" w14:textId="597336A9">
            <w:pPr>
              <w:rPr>
                <w:b/>
                <w:bCs/>
                <w:color w:val="000000"/>
                <w:sz w:val="20"/>
              </w:rPr>
            </w:pPr>
            <w:r w:rsidRPr="006308A6">
              <w:rPr>
                <w:b/>
                <w:bCs/>
                <w:color w:val="000000"/>
                <w:sz w:val="20"/>
              </w:rPr>
              <w:t>212.107 Certification</w:t>
            </w:r>
          </w:p>
        </w:tc>
      </w:tr>
      <w:tr w14:paraId="1411DD4D" w14:textId="77777777" w:rsidTr="356F83C9">
        <w:tblPrEx>
          <w:tblW w:w="0" w:type="auto"/>
          <w:tblLayout w:type="fixed"/>
          <w:tblLook w:val="04A0"/>
        </w:tblPrEx>
        <w:trPr>
          <w:trHeight w:val="1250"/>
        </w:trPr>
        <w:tc>
          <w:tcPr>
            <w:tcW w:w="2155" w:type="dxa"/>
            <w:hideMark/>
          </w:tcPr>
          <w:p w:rsidR="00F610A7" w:rsidRPr="006308A6" w:rsidP="006308A6" w14:paraId="552A7B17" w14:textId="77777777">
            <w:pPr>
              <w:rPr>
                <w:color w:val="000000"/>
                <w:sz w:val="20"/>
              </w:rPr>
            </w:pPr>
            <w:r w:rsidRPr="006308A6">
              <w:rPr>
                <w:color w:val="000000"/>
                <w:sz w:val="20"/>
              </w:rPr>
              <w:t>—State to file annual certification in the event that FRA and the State agency do not agree on terms for the participation under § 212.105</w:t>
            </w:r>
          </w:p>
        </w:tc>
        <w:tc>
          <w:tcPr>
            <w:tcW w:w="10170" w:type="dxa"/>
            <w:gridSpan w:val="7"/>
          </w:tcPr>
          <w:p w:rsidR="00F610A7" w:rsidRPr="006308A6" w:rsidP="006308A6" w14:paraId="5DE422A4" w14:textId="72348141">
            <w:pPr>
              <w:rPr>
                <w:color w:val="000000" w:themeColor="text1"/>
                <w:sz w:val="20"/>
              </w:rPr>
            </w:pPr>
            <w:r w:rsidRPr="006308A6">
              <w:rPr>
                <w:color w:val="000000" w:themeColor="text1"/>
                <w:sz w:val="20"/>
              </w:rPr>
              <w:t xml:space="preserve">FRA anticipates zero submissions for this paperwork requirement over the next three-year period.  </w:t>
            </w:r>
          </w:p>
        </w:tc>
      </w:tr>
      <w:tr w14:paraId="428E33E6" w14:textId="77777777" w:rsidTr="356F83C9">
        <w:tblPrEx>
          <w:tblW w:w="0" w:type="auto"/>
          <w:tblLayout w:type="fixed"/>
          <w:tblLook w:val="04A0"/>
        </w:tblPrEx>
        <w:trPr>
          <w:trHeight w:val="170"/>
        </w:trPr>
        <w:tc>
          <w:tcPr>
            <w:tcW w:w="12325" w:type="dxa"/>
            <w:gridSpan w:val="8"/>
          </w:tcPr>
          <w:p w:rsidR="006308A6" w:rsidRPr="006308A6" w:rsidP="006308A6" w14:paraId="6029E6F5" w14:textId="4C422BAC">
            <w:pPr>
              <w:rPr>
                <w:b/>
                <w:bCs/>
                <w:color w:val="000000"/>
                <w:sz w:val="20"/>
              </w:rPr>
            </w:pPr>
            <w:r w:rsidRPr="006308A6">
              <w:rPr>
                <w:b/>
                <w:bCs/>
                <w:color w:val="000000"/>
                <w:sz w:val="20"/>
              </w:rPr>
              <w:t>212.113 Program termination</w:t>
            </w:r>
          </w:p>
        </w:tc>
      </w:tr>
      <w:tr w14:paraId="7250CBBA" w14:textId="77777777" w:rsidTr="356F83C9">
        <w:tblPrEx>
          <w:tblW w:w="0" w:type="auto"/>
          <w:tblLayout w:type="fixed"/>
          <w:tblLook w:val="04A0"/>
        </w:tblPrEx>
        <w:trPr>
          <w:trHeight w:val="710"/>
        </w:trPr>
        <w:tc>
          <w:tcPr>
            <w:tcW w:w="2155" w:type="dxa"/>
            <w:hideMark/>
          </w:tcPr>
          <w:p w:rsidR="006308A6" w:rsidRPr="006308A6" w:rsidP="006308A6" w14:paraId="6469D1CC" w14:textId="77777777">
            <w:pPr>
              <w:rPr>
                <w:color w:val="000000"/>
                <w:sz w:val="20"/>
              </w:rPr>
            </w:pPr>
            <w:r w:rsidRPr="006308A6">
              <w:rPr>
                <w:color w:val="000000"/>
                <w:sz w:val="20"/>
              </w:rPr>
              <w:t>—30-day notice provided by State agency of its intent to terminate its participation</w:t>
            </w:r>
          </w:p>
        </w:tc>
        <w:tc>
          <w:tcPr>
            <w:tcW w:w="10170" w:type="dxa"/>
            <w:gridSpan w:val="7"/>
          </w:tcPr>
          <w:p w:rsidR="006308A6" w:rsidRPr="006308A6" w:rsidP="006308A6" w14:paraId="55D89ECC" w14:textId="1E94EDF9">
            <w:pPr>
              <w:rPr>
                <w:color w:val="000000"/>
                <w:sz w:val="20"/>
              </w:rPr>
            </w:pPr>
            <w:r w:rsidRPr="006308A6">
              <w:rPr>
                <w:color w:val="000000"/>
                <w:sz w:val="20"/>
              </w:rPr>
              <w:t xml:space="preserve">FRA anticipates zero submissions for this paperwork requirement over the next three-year period.    </w:t>
            </w:r>
          </w:p>
        </w:tc>
      </w:tr>
      <w:tr w14:paraId="1D635427" w14:textId="77777777" w:rsidTr="008B28C4">
        <w:tblPrEx>
          <w:tblW w:w="0" w:type="auto"/>
          <w:tblLayout w:type="fixed"/>
          <w:tblLook w:val="04A0"/>
        </w:tblPrEx>
        <w:trPr>
          <w:trHeight w:val="420"/>
        </w:trPr>
        <w:tc>
          <w:tcPr>
            <w:tcW w:w="12325" w:type="dxa"/>
            <w:gridSpan w:val="8"/>
            <w:tcBorders>
              <w:top w:val="single" w:sz="4" w:space="0" w:color="auto"/>
              <w:left w:val="single" w:sz="4" w:space="0" w:color="auto"/>
              <w:bottom w:val="single" w:sz="4" w:space="0" w:color="auto"/>
              <w:right w:val="single" w:sz="4" w:space="0" w:color="auto"/>
            </w:tcBorders>
          </w:tcPr>
          <w:p w:rsidR="00B94CC7" w:rsidRPr="006308A6" w:rsidP="006308A6" w14:paraId="454FEA8E" w14:textId="63B0F7C7">
            <w:pPr>
              <w:rPr>
                <w:color w:val="000000"/>
                <w:sz w:val="20"/>
              </w:rPr>
            </w:pPr>
            <w:r w:rsidRPr="001A2615">
              <w:rPr>
                <w:b/>
                <w:color w:val="000000"/>
                <w:sz w:val="20"/>
              </w:rPr>
              <w:t>212.115 Enforcement actions</w:t>
            </w:r>
          </w:p>
        </w:tc>
      </w:tr>
      <w:tr w14:paraId="431FFE0A" w14:textId="77777777" w:rsidTr="356F83C9">
        <w:tblPrEx>
          <w:tblW w:w="0" w:type="auto"/>
          <w:tblLayout w:type="fixed"/>
          <w:tblLook w:val="04A0"/>
        </w:tblPrEx>
        <w:trPr>
          <w:trHeight w:val="710"/>
        </w:trPr>
        <w:tc>
          <w:tcPr>
            <w:tcW w:w="2155" w:type="dxa"/>
            <w:hideMark/>
          </w:tcPr>
          <w:p w:rsidR="006308A6" w:rsidRPr="006308A6" w:rsidP="006308A6" w14:paraId="20A493AF" w14:textId="77777777">
            <w:pPr>
              <w:rPr>
                <w:color w:val="000000"/>
                <w:sz w:val="20"/>
              </w:rPr>
            </w:pPr>
            <w:r w:rsidRPr="668EF41E">
              <w:rPr>
                <w:color w:val="000000" w:themeColor="text1"/>
                <w:sz w:val="20"/>
              </w:rPr>
              <w:t>— FRA F 6180.96</w:t>
            </w:r>
          </w:p>
          <w:p w:rsidR="00ED7F4D" w:rsidRPr="006308A6" w:rsidP="006308A6" w14:paraId="7F2FCFF4" w14:textId="17AB66DB">
            <w:pPr>
              <w:rPr>
                <w:color w:val="000000"/>
                <w:sz w:val="20"/>
              </w:rPr>
            </w:pPr>
            <w:r w:rsidRPr="006308A6">
              <w:rPr>
                <w:color w:val="000000"/>
                <w:sz w:val="20"/>
              </w:rPr>
              <w:t>Inspection Report</w:t>
            </w:r>
            <w:r>
              <w:rPr>
                <w:color w:val="000000"/>
                <w:sz w:val="20"/>
              </w:rPr>
              <w:t xml:space="preserve"> –</w:t>
            </w:r>
          </w:p>
          <w:p w:rsidR="006308A6" w:rsidRPr="006308A6" w:rsidP="006308A6" w14:paraId="13550C64" w14:textId="703AE5DE">
            <w:pPr>
              <w:rPr>
                <w:color w:val="000000"/>
                <w:sz w:val="20"/>
              </w:rPr>
            </w:pPr>
            <w:r w:rsidRPr="668EF41E">
              <w:rPr>
                <w:color w:val="000000" w:themeColor="text1"/>
                <w:sz w:val="20"/>
              </w:rPr>
              <w:t>All disciplines submitted by State inspectors</w:t>
            </w:r>
          </w:p>
        </w:tc>
        <w:tc>
          <w:tcPr>
            <w:tcW w:w="1170" w:type="dxa"/>
            <w:hideMark/>
          </w:tcPr>
          <w:p w:rsidR="006308A6" w:rsidRPr="006308A6" w:rsidP="006308A6" w14:paraId="40C91159" w14:textId="77777777">
            <w:pPr>
              <w:jc w:val="center"/>
              <w:rPr>
                <w:color w:val="000000"/>
                <w:sz w:val="20"/>
              </w:rPr>
            </w:pPr>
            <w:r w:rsidRPr="006308A6">
              <w:rPr>
                <w:color w:val="000000"/>
                <w:sz w:val="20"/>
              </w:rPr>
              <w:t>34</w:t>
            </w:r>
          </w:p>
          <w:p w:rsidR="006308A6" w:rsidRPr="006308A6" w:rsidP="006308A6" w14:paraId="7CAB65EF" w14:textId="77777777">
            <w:pPr>
              <w:jc w:val="center"/>
              <w:rPr>
                <w:color w:val="000000"/>
                <w:sz w:val="20"/>
              </w:rPr>
            </w:pPr>
            <w:r w:rsidRPr="006308A6">
              <w:rPr>
                <w:color w:val="000000"/>
                <w:sz w:val="20"/>
              </w:rPr>
              <w:t>States</w:t>
            </w:r>
          </w:p>
        </w:tc>
        <w:tc>
          <w:tcPr>
            <w:tcW w:w="1080" w:type="dxa"/>
            <w:hideMark/>
          </w:tcPr>
          <w:p w:rsidR="006308A6" w:rsidRPr="006308A6" w:rsidP="006308A6" w14:paraId="56728386" w14:textId="77777777">
            <w:pPr>
              <w:jc w:val="center"/>
              <w:rPr>
                <w:color w:val="000000"/>
                <w:sz w:val="20"/>
              </w:rPr>
            </w:pPr>
            <w:r w:rsidRPr="006308A6">
              <w:rPr>
                <w:color w:val="000000"/>
                <w:sz w:val="20"/>
              </w:rPr>
              <w:t>19,400 forms</w:t>
            </w:r>
          </w:p>
        </w:tc>
        <w:tc>
          <w:tcPr>
            <w:tcW w:w="990" w:type="dxa"/>
            <w:hideMark/>
          </w:tcPr>
          <w:p w:rsidR="006308A6" w:rsidRPr="006308A6" w:rsidP="006308A6" w14:paraId="022C95B5" w14:textId="77777777">
            <w:pPr>
              <w:jc w:val="center"/>
              <w:rPr>
                <w:color w:val="000000"/>
                <w:sz w:val="20"/>
              </w:rPr>
            </w:pPr>
            <w:r w:rsidRPr="006308A6">
              <w:rPr>
                <w:color w:val="000000"/>
                <w:sz w:val="20"/>
              </w:rPr>
              <w:t>15 minutes</w:t>
            </w:r>
          </w:p>
        </w:tc>
        <w:tc>
          <w:tcPr>
            <w:tcW w:w="1170" w:type="dxa"/>
            <w:hideMark/>
          </w:tcPr>
          <w:p w:rsidR="006308A6" w:rsidRPr="006308A6" w:rsidP="006308A6" w14:paraId="0377F50F" w14:textId="77777777">
            <w:pPr>
              <w:jc w:val="center"/>
              <w:rPr>
                <w:color w:val="000000"/>
                <w:sz w:val="20"/>
              </w:rPr>
            </w:pPr>
            <w:r w:rsidRPr="006308A6">
              <w:rPr>
                <w:color w:val="000000"/>
                <w:sz w:val="20"/>
              </w:rPr>
              <w:t xml:space="preserve">4,850 </w:t>
            </w:r>
          </w:p>
          <w:p w:rsidR="006308A6" w:rsidRPr="006308A6" w:rsidP="006308A6" w14:paraId="2C00EBB0" w14:textId="77777777">
            <w:pPr>
              <w:jc w:val="center"/>
              <w:rPr>
                <w:color w:val="000000"/>
                <w:sz w:val="20"/>
              </w:rPr>
            </w:pPr>
            <w:r w:rsidRPr="006308A6">
              <w:rPr>
                <w:color w:val="000000"/>
                <w:sz w:val="20"/>
              </w:rPr>
              <w:t>hours</w:t>
            </w:r>
          </w:p>
        </w:tc>
        <w:tc>
          <w:tcPr>
            <w:tcW w:w="810" w:type="dxa"/>
          </w:tcPr>
          <w:p w:rsidR="006308A6" w:rsidRPr="006308A6" w:rsidP="006308A6" w14:paraId="3A5E81FD" w14:textId="77777777">
            <w:pPr>
              <w:jc w:val="right"/>
              <w:rPr>
                <w:color w:val="000000"/>
                <w:sz w:val="20"/>
              </w:rPr>
            </w:pPr>
            <w:r w:rsidRPr="006308A6">
              <w:rPr>
                <w:rFonts w:eastAsiaTheme="minorHAnsi"/>
                <w:kern w:val="2"/>
                <w:sz w:val="20"/>
                <w14:ligatures w14:val="standardContextual"/>
              </w:rPr>
              <w:t>$88.36</w:t>
            </w:r>
          </w:p>
        </w:tc>
        <w:tc>
          <w:tcPr>
            <w:tcW w:w="1255" w:type="dxa"/>
            <w:hideMark/>
          </w:tcPr>
          <w:p w:rsidR="006308A6" w:rsidRPr="006308A6" w:rsidP="006308A6" w14:paraId="56ADA74E" w14:textId="77777777">
            <w:pPr>
              <w:jc w:val="right"/>
              <w:rPr>
                <w:color w:val="000000"/>
                <w:sz w:val="20"/>
              </w:rPr>
            </w:pPr>
            <w:r w:rsidRPr="006308A6">
              <w:rPr>
                <w:rFonts w:eastAsiaTheme="minorHAnsi"/>
                <w:kern w:val="2"/>
                <w:sz w:val="20"/>
                <w14:ligatures w14:val="standardContextual"/>
              </w:rPr>
              <w:t>$428,546.00</w:t>
            </w:r>
          </w:p>
        </w:tc>
        <w:tc>
          <w:tcPr>
            <w:tcW w:w="3695" w:type="dxa"/>
          </w:tcPr>
          <w:p w:rsidR="006308A6" w:rsidRPr="006308A6" w:rsidP="006308A6" w14:paraId="5EF83C24" w14:textId="47C0ECE3">
            <w:pPr>
              <w:rPr>
                <w:color w:val="000000"/>
                <w:sz w:val="20"/>
              </w:rPr>
            </w:pPr>
            <w:r w:rsidRPr="0174471B">
              <w:rPr>
                <w:color w:val="000000" w:themeColor="text1"/>
                <w:sz w:val="20"/>
              </w:rPr>
              <w:t xml:space="preserve">This inspection form is used by State inspectors to document rail safety inspections, defects, and railroad compliance with </w:t>
            </w:r>
            <w:r w:rsidRPr="0174471B" w:rsidR="00E3250D">
              <w:rPr>
                <w:color w:val="000000" w:themeColor="text1"/>
                <w:sz w:val="20"/>
              </w:rPr>
              <w:t>Federal railroad safety laws</w:t>
            </w:r>
            <w:r w:rsidR="00D612AD">
              <w:rPr>
                <w:color w:val="000000" w:themeColor="text1"/>
                <w:sz w:val="20"/>
              </w:rPr>
              <w:t xml:space="preserve"> and regulations</w:t>
            </w:r>
            <w:r w:rsidRPr="0174471B" w:rsidR="00E3250D">
              <w:rPr>
                <w:color w:val="000000" w:themeColor="text1"/>
                <w:sz w:val="20"/>
              </w:rPr>
              <w:t xml:space="preserve">.   </w:t>
            </w:r>
          </w:p>
          <w:p w:rsidR="006308A6" w:rsidRPr="006308A6" w:rsidP="006308A6" w14:paraId="742824FD" w14:textId="77777777">
            <w:pPr>
              <w:rPr>
                <w:rFonts w:eastAsiaTheme="minorHAnsi"/>
                <w:kern w:val="2"/>
                <w:sz w:val="20"/>
                <w14:ligatures w14:val="standardContextual"/>
              </w:rPr>
            </w:pPr>
          </w:p>
        </w:tc>
      </w:tr>
      <w:tr w14:paraId="7B1F3500" w14:textId="77777777" w:rsidTr="668EF41E">
        <w:tblPrEx>
          <w:tblW w:w="0" w:type="auto"/>
          <w:tblLayout w:type="fixed"/>
          <w:tblLook w:val="04A0"/>
        </w:tblPrEx>
        <w:trPr>
          <w:trHeight w:val="782"/>
        </w:trPr>
        <w:tc>
          <w:tcPr>
            <w:tcW w:w="2155" w:type="dxa"/>
            <w:tcBorders>
              <w:top w:val="single" w:sz="4" w:space="0" w:color="auto"/>
              <w:left w:val="single" w:sz="4" w:space="0" w:color="auto"/>
              <w:bottom w:val="single" w:sz="4" w:space="0" w:color="auto"/>
              <w:right w:val="single" w:sz="4" w:space="0" w:color="auto"/>
            </w:tcBorders>
          </w:tcPr>
          <w:p w:rsidR="006308A6" w:rsidRPr="006308A6" w:rsidP="006308A6" w14:paraId="3D61907D" w14:textId="77777777">
            <w:pPr>
              <w:rPr>
                <w:rFonts w:eastAsiaTheme="minorHAnsi"/>
                <w:color w:val="000000"/>
                <w:kern w:val="2"/>
                <w:sz w:val="20"/>
                <w14:ligatures w14:val="standardContextual"/>
              </w:rPr>
            </w:pPr>
            <w:r w:rsidRPr="006308A6">
              <w:rPr>
                <w:rFonts w:eastAsiaTheme="minorHAnsi"/>
                <w:color w:val="000000"/>
                <w:kern w:val="2"/>
                <w:sz w:val="20"/>
                <w14:ligatures w14:val="standardContextual"/>
              </w:rPr>
              <w:t>—FRA F 6180.33</w:t>
            </w:r>
          </w:p>
          <w:p w:rsidR="006308A6" w:rsidRPr="006308A6" w:rsidP="006308A6" w14:paraId="62F0D07E" w14:textId="77777777">
            <w:pPr>
              <w:rPr>
                <w:color w:val="000000"/>
                <w:sz w:val="20"/>
              </w:rPr>
            </w:pPr>
            <w:r w:rsidRPr="006308A6">
              <w:rPr>
                <w:rFonts w:eastAsiaTheme="minorHAnsi"/>
                <w:color w:val="000000"/>
                <w:kern w:val="2"/>
                <w:sz w:val="20"/>
                <w14:ligatures w14:val="standardContextual"/>
              </w:rPr>
              <w:t>Hours of Service Law Violation Report</w:t>
            </w:r>
          </w:p>
        </w:tc>
        <w:tc>
          <w:tcPr>
            <w:tcW w:w="1170" w:type="dxa"/>
            <w:tcBorders>
              <w:top w:val="single" w:sz="4" w:space="0" w:color="auto"/>
              <w:left w:val="single" w:sz="4" w:space="0" w:color="auto"/>
              <w:bottom w:val="single" w:sz="4" w:space="0" w:color="auto"/>
              <w:right w:val="single" w:sz="4" w:space="0" w:color="auto"/>
            </w:tcBorders>
          </w:tcPr>
          <w:p w:rsidR="006308A6" w:rsidRPr="006308A6" w:rsidP="006308A6" w14:paraId="4B7B5DBF"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19</w:t>
            </w:r>
          </w:p>
          <w:p w:rsidR="006308A6" w:rsidRPr="006308A6" w:rsidP="006308A6" w14:paraId="56C83869" w14:textId="77777777">
            <w:pPr>
              <w:jc w:val="center"/>
              <w:rPr>
                <w:color w:val="000000"/>
                <w:sz w:val="20"/>
              </w:rPr>
            </w:pPr>
            <w:r w:rsidRPr="006308A6">
              <w:rPr>
                <w:rFonts w:eastAsiaTheme="minorHAnsi"/>
                <w:color w:val="000000"/>
                <w:kern w:val="2"/>
                <w:sz w:val="20"/>
                <w14:ligatures w14:val="standardContextual"/>
              </w:rPr>
              <w:t>States</w:t>
            </w:r>
          </w:p>
        </w:tc>
        <w:tc>
          <w:tcPr>
            <w:tcW w:w="1080" w:type="dxa"/>
            <w:tcBorders>
              <w:top w:val="single" w:sz="4" w:space="0" w:color="auto"/>
              <w:left w:val="single" w:sz="4" w:space="0" w:color="auto"/>
              <w:bottom w:val="single" w:sz="4" w:space="0" w:color="auto"/>
              <w:right w:val="single" w:sz="4" w:space="0" w:color="auto"/>
            </w:tcBorders>
          </w:tcPr>
          <w:p w:rsidR="006308A6" w:rsidRPr="006308A6" w:rsidP="006308A6" w14:paraId="5A28EDAF"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2</w:t>
            </w:r>
          </w:p>
          <w:p w:rsidR="006308A6" w:rsidRPr="006308A6" w:rsidP="006308A6" w14:paraId="6F332EBC" w14:textId="77777777">
            <w:pPr>
              <w:jc w:val="center"/>
              <w:rPr>
                <w:color w:val="000000"/>
                <w:sz w:val="20"/>
              </w:rPr>
            </w:pPr>
            <w:r w:rsidRPr="006308A6">
              <w:rPr>
                <w:rFonts w:eastAsiaTheme="minorHAnsi"/>
                <w:color w:val="000000"/>
                <w:kern w:val="2"/>
                <w:sz w:val="20"/>
                <w14:ligatures w14:val="standardContextual"/>
              </w:rPr>
              <w:t>reports</w:t>
            </w:r>
          </w:p>
        </w:tc>
        <w:tc>
          <w:tcPr>
            <w:tcW w:w="990" w:type="dxa"/>
            <w:tcBorders>
              <w:top w:val="single" w:sz="4" w:space="0" w:color="auto"/>
              <w:left w:val="single" w:sz="4" w:space="0" w:color="auto"/>
              <w:bottom w:val="single" w:sz="4" w:space="0" w:color="auto"/>
              <w:right w:val="single" w:sz="4" w:space="0" w:color="auto"/>
            </w:tcBorders>
          </w:tcPr>
          <w:p w:rsidR="006308A6" w:rsidRPr="006308A6" w:rsidP="006308A6" w14:paraId="1994CC2C"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4</w:t>
            </w:r>
          </w:p>
          <w:p w:rsidR="006308A6" w:rsidRPr="006308A6" w:rsidP="006308A6" w14:paraId="7C6980C8" w14:textId="77777777">
            <w:pPr>
              <w:jc w:val="center"/>
              <w:rPr>
                <w:color w:val="000000"/>
                <w:sz w:val="20"/>
              </w:rPr>
            </w:pPr>
            <w:r w:rsidRPr="006308A6">
              <w:rPr>
                <w:rFonts w:eastAsiaTheme="minorHAnsi"/>
                <w:color w:val="000000"/>
                <w:kern w:val="2"/>
                <w:sz w:val="20"/>
                <w14:ligatures w14:val="standardContextual"/>
              </w:rPr>
              <w:t>hours</w:t>
            </w:r>
          </w:p>
        </w:tc>
        <w:tc>
          <w:tcPr>
            <w:tcW w:w="1170" w:type="dxa"/>
            <w:tcBorders>
              <w:top w:val="single" w:sz="4" w:space="0" w:color="auto"/>
              <w:left w:val="single" w:sz="4" w:space="0" w:color="auto"/>
              <w:bottom w:val="single" w:sz="4" w:space="0" w:color="auto"/>
              <w:right w:val="single" w:sz="4" w:space="0" w:color="auto"/>
            </w:tcBorders>
          </w:tcPr>
          <w:p w:rsidR="006308A6" w:rsidRPr="006308A6" w:rsidP="006308A6" w14:paraId="767E7FD3"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8</w:t>
            </w:r>
          </w:p>
          <w:p w:rsidR="006308A6" w:rsidRPr="006308A6" w:rsidP="006308A6" w14:paraId="6DFAB590" w14:textId="77777777">
            <w:pPr>
              <w:jc w:val="center"/>
              <w:rPr>
                <w:color w:val="000000"/>
                <w:sz w:val="20"/>
              </w:rPr>
            </w:pPr>
            <w:r w:rsidRPr="006308A6">
              <w:rPr>
                <w:rFonts w:eastAsiaTheme="minorHAnsi"/>
                <w:color w:val="000000"/>
                <w:kern w:val="2"/>
                <w:sz w:val="20"/>
                <w14:ligatures w14:val="standardContextual"/>
              </w:rPr>
              <w:t>hours</w:t>
            </w:r>
          </w:p>
        </w:tc>
        <w:tc>
          <w:tcPr>
            <w:tcW w:w="810" w:type="dxa"/>
            <w:tcBorders>
              <w:top w:val="single" w:sz="4" w:space="0" w:color="auto"/>
              <w:left w:val="single" w:sz="4" w:space="0" w:color="auto"/>
              <w:bottom w:val="single" w:sz="4" w:space="0" w:color="auto"/>
              <w:right w:val="single" w:sz="4" w:space="0" w:color="auto"/>
            </w:tcBorders>
          </w:tcPr>
          <w:p w:rsidR="006308A6" w:rsidRPr="006308A6" w:rsidP="006308A6" w14:paraId="46145584" w14:textId="77777777">
            <w:pPr>
              <w:jc w:val="right"/>
              <w:rPr>
                <w:color w:val="000000"/>
                <w:sz w:val="20"/>
              </w:rPr>
            </w:pPr>
            <w:r w:rsidRPr="006308A6">
              <w:rPr>
                <w:rFonts w:eastAsiaTheme="minorHAnsi"/>
                <w:kern w:val="2"/>
                <w:sz w:val="20"/>
                <w14:ligatures w14:val="standardContextual"/>
              </w:rPr>
              <w:t>$88.36</w:t>
            </w:r>
          </w:p>
        </w:tc>
        <w:tc>
          <w:tcPr>
            <w:tcW w:w="1255" w:type="dxa"/>
            <w:tcBorders>
              <w:top w:val="single" w:sz="4" w:space="0" w:color="auto"/>
              <w:left w:val="single" w:sz="4" w:space="0" w:color="auto"/>
              <w:bottom w:val="single" w:sz="4" w:space="0" w:color="auto"/>
              <w:right w:val="single" w:sz="4" w:space="0" w:color="auto"/>
            </w:tcBorders>
          </w:tcPr>
          <w:p w:rsidR="006308A6" w:rsidRPr="006308A6" w:rsidP="006308A6" w14:paraId="15217AB4" w14:textId="77777777">
            <w:pPr>
              <w:jc w:val="right"/>
              <w:rPr>
                <w:color w:val="000000"/>
                <w:sz w:val="20"/>
              </w:rPr>
            </w:pPr>
            <w:r w:rsidRPr="006308A6">
              <w:rPr>
                <w:rFonts w:eastAsiaTheme="minorHAnsi"/>
                <w:kern w:val="2"/>
                <w:sz w:val="20"/>
                <w14:ligatures w14:val="standardContextual"/>
              </w:rPr>
              <w:t>$706.88</w:t>
            </w:r>
          </w:p>
        </w:tc>
        <w:tc>
          <w:tcPr>
            <w:tcW w:w="3695" w:type="dxa"/>
            <w:tcBorders>
              <w:top w:val="single" w:sz="4" w:space="0" w:color="auto"/>
              <w:left w:val="single" w:sz="4" w:space="0" w:color="auto"/>
              <w:bottom w:val="single" w:sz="4" w:space="0" w:color="auto"/>
              <w:right w:val="single" w:sz="4" w:space="0" w:color="auto"/>
            </w:tcBorders>
          </w:tcPr>
          <w:p w:rsidR="006308A6" w:rsidRPr="006308A6" w:rsidP="006308A6" w14:paraId="31747112" w14:textId="564BFD3E">
            <w:pPr>
              <w:rPr>
                <w:rFonts w:eastAsiaTheme="minorHAnsi"/>
                <w:kern w:val="2"/>
                <w:sz w:val="20"/>
                <w14:ligatures w14:val="standardContextual"/>
              </w:rPr>
            </w:pPr>
            <w:r w:rsidRPr="006308A6">
              <w:rPr>
                <w:color w:val="000000"/>
                <w:sz w:val="20"/>
              </w:rPr>
              <w:t>This report is used by both Federal and State inspectors to document violations of the Hours of Service Laws.</w:t>
            </w:r>
          </w:p>
        </w:tc>
      </w:tr>
      <w:tr w14:paraId="44ACA7F7" w14:textId="77777777" w:rsidTr="008B28C4">
        <w:tblPrEx>
          <w:tblW w:w="0" w:type="auto"/>
          <w:tblLayout w:type="fixed"/>
          <w:tblLook w:val="04A0"/>
        </w:tblPrEx>
        <w:trPr>
          <w:trHeight w:val="980"/>
        </w:trPr>
        <w:tc>
          <w:tcPr>
            <w:tcW w:w="2155" w:type="dxa"/>
            <w:tcBorders>
              <w:top w:val="single" w:sz="4" w:space="0" w:color="auto"/>
              <w:left w:val="single" w:sz="4" w:space="0" w:color="auto"/>
              <w:bottom w:val="single" w:sz="4" w:space="0" w:color="auto"/>
              <w:right w:val="single" w:sz="4" w:space="0" w:color="auto"/>
            </w:tcBorders>
          </w:tcPr>
          <w:p w:rsidR="006308A6" w:rsidRPr="006308A6" w:rsidP="006308A6" w14:paraId="5754E793" w14:textId="77777777">
            <w:pPr>
              <w:rPr>
                <w:rFonts w:eastAsiaTheme="minorHAnsi"/>
                <w:color w:val="000000"/>
                <w:kern w:val="2"/>
                <w:sz w:val="20"/>
                <w14:ligatures w14:val="standardContextual"/>
              </w:rPr>
            </w:pPr>
            <w:r w:rsidRPr="006308A6">
              <w:rPr>
                <w:rFonts w:eastAsiaTheme="minorHAnsi"/>
                <w:color w:val="000000"/>
                <w:kern w:val="2"/>
                <w:sz w:val="20"/>
                <w14:ligatures w14:val="standardContextual"/>
              </w:rPr>
              <w:t>—FRA F 6180.61</w:t>
            </w:r>
          </w:p>
          <w:p w:rsidR="006308A6" w:rsidRPr="006308A6" w:rsidP="006308A6" w14:paraId="6F44E50A" w14:textId="77777777">
            <w:pPr>
              <w:rPr>
                <w:color w:val="000000"/>
                <w:sz w:val="20"/>
              </w:rPr>
            </w:pPr>
            <w:r w:rsidRPr="006308A6">
              <w:rPr>
                <w:rFonts w:eastAsiaTheme="minorHAnsi"/>
                <w:color w:val="000000"/>
                <w:kern w:val="2"/>
                <w:sz w:val="20"/>
                <w14:ligatures w14:val="standardContextual"/>
              </w:rPr>
              <w:t>Accident/Incident Reporting Rules Violation Report</w:t>
            </w:r>
          </w:p>
        </w:tc>
        <w:tc>
          <w:tcPr>
            <w:tcW w:w="1170" w:type="dxa"/>
            <w:tcBorders>
              <w:top w:val="single" w:sz="4" w:space="0" w:color="auto"/>
              <w:left w:val="single" w:sz="4" w:space="0" w:color="auto"/>
              <w:bottom w:val="single" w:sz="4" w:space="0" w:color="auto"/>
              <w:right w:val="single" w:sz="4" w:space="0" w:color="auto"/>
            </w:tcBorders>
          </w:tcPr>
          <w:p w:rsidR="006308A6" w:rsidRPr="006308A6" w:rsidP="006308A6" w14:paraId="4113AD64"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19</w:t>
            </w:r>
          </w:p>
          <w:p w:rsidR="006308A6" w:rsidRPr="006308A6" w:rsidP="006308A6" w14:paraId="2AEF9971" w14:textId="77777777">
            <w:pPr>
              <w:jc w:val="center"/>
              <w:rPr>
                <w:color w:val="000000"/>
                <w:sz w:val="20"/>
              </w:rPr>
            </w:pPr>
            <w:r w:rsidRPr="006308A6">
              <w:rPr>
                <w:rFonts w:eastAsiaTheme="minorHAnsi"/>
                <w:color w:val="000000"/>
                <w:kern w:val="2"/>
                <w:sz w:val="20"/>
                <w14:ligatures w14:val="standardContextual"/>
              </w:rPr>
              <w:t>States</w:t>
            </w:r>
          </w:p>
        </w:tc>
        <w:tc>
          <w:tcPr>
            <w:tcW w:w="1080" w:type="dxa"/>
            <w:tcBorders>
              <w:top w:val="single" w:sz="4" w:space="0" w:color="auto"/>
              <w:left w:val="single" w:sz="4" w:space="0" w:color="auto"/>
              <w:bottom w:val="single" w:sz="4" w:space="0" w:color="auto"/>
              <w:right w:val="single" w:sz="4" w:space="0" w:color="auto"/>
            </w:tcBorders>
          </w:tcPr>
          <w:p w:rsidR="006308A6" w:rsidRPr="006308A6" w:rsidP="006308A6" w14:paraId="44DE3BCC"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2</w:t>
            </w:r>
          </w:p>
          <w:p w:rsidR="006308A6" w:rsidRPr="006308A6" w:rsidP="006308A6" w14:paraId="1CA8E059" w14:textId="77777777">
            <w:pPr>
              <w:jc w:val="center"/>
              <w:rPr>
                <w:color w:val="000000"/>
                <w:sz w:val="20"/>
              </w:rPr>
            </w:pPr>
            <w:r w:rsidRPr="006308A6">
              <w:rPr>
                <w:rFonts w:eastAsiaTheme="minorHAnsi"/>
                <w:color w:val="000000"/>
                <w:kern w:val="2"/>
                <w:sz w:val="20"/>
                <w14:ligatures w14:val="standardContextual"/>
              </w:rPr>
              <w:t>reports</w:t>
            </w:r>
          </w:p>
        </w:tc>
        <w:tc>
          <w:tcPr>
            <w:tcW w:w="990" w:type="dxa"/>
            <w:tcBorders>
              <w:top w:val="single" w:sz="4" w:space="0" w:color="auto"/>
              <w:left w:val="single" w:sz="4" w:space="0" w:color="auto"/>
              <w:bottom w:val="single" w:sz="4" w:space="0" w:color="auto"/>
              <w:right w:val="single" w:sz="4" w:space="0" w:color="auto"/>
            </w:tcBorders>
          </w:tcPr>
          <w:p w:rsidR="006308A6" w:rsidRPr="006308A6" w:rsidP="006308A6" w14:paraId="15B364A4"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4</w:t>
            </w:r>
          </w:p>
          <w:p w:rsidR="006308A6" w:rsidRPr="006308A6" w:rsidP="006308A6" w14:paraId="1E28A4CC" w14:textId="77777777">
            <w:pPr>
              <w:jc w:val="center"/>
              <w:rPr>
                <w:color w:val="000000"/>
                <w:sz w:val="20"/>
              </w:rPr>
            </w:pPr>
            <w:r w:rsidRPr="006308A6">
              <w:rPr>
                <w:rFonts w:eastAsiaTheme="minorHAnsi"/>
                <w:color w:val="000000"/>
                <w:kern w:val="2"/>
                <w:sz w:val="20"/>
                <w14:ligatures w14:val="standardContextual"/>
              </w:rPr>
              <w:t>hours</w:t>
            </w:r>
          </w:p>
        </w:tc>
        <w:tc>
          <w:tcPr>
            <w:tcW w:w="1170" w:type="dxa"/>
            <w:tcBorders>
              <w:top w:val="single" w:sz="4" w:space="0" w:color="auto"/>
              <w:left w:val="single" w:sz="4" w:space="0" w:color="auto"/>
              <w:bottom w:val="single" w:sz="4" w:space="0" w:color="auto"/>
              <w:right w:val="single" w:sz="4" w:space="0" w:color="auto"/>
            </w:tcBorders>
          </w:tcPr>
          <w:p w:rsidR="006308A6" w:rsidRPr="006308A6" w:rsidP="006308A6" w14:paraId="1846E8F3"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8</w:t>
            </w:r>
          </w:p>
          <w:p w:rsidR="006308A6" w:rsidRPr="006308A6" w:rsidP="006308A6" w14:paraId="736366A6" w14:textId="77777777">
            <w:pPr>
              <w:jc w:val="center"/>
              <w:rPr>
                <w:color w:val="000000"/>
                <w:sz w:val="20"/>
              </w:rPr>
            </w:pPr>
            <w:r w:rsidRPr="006308A6">
              <w:rPr>
                <w:rFonts w:eastAsiaTheme="minorHAnsi"/>
                <w:color w:val="000000"/>
                <w:kern w:val="2"/>
                <w:sz w:val="20"/>
                <w14:ligatures w14:val="standardContextual"/>
              </w:rPr>
              <w:t>hours</w:t>
            </w:r>
          </w:p>
        </w:tc>
        <w:tc>
          <w:tcPr>
            <w:tcW w:w="810" w:type="dxa"/>
            <w:tcBorders>
              <w:top w:val="single" w:sz="4" w:space="0" w:color="auto"/>
              <w:left w:val="single" w:sz="4" w:space="0" w:color="auto"/>
              <w:bottom w:val="single" w:sz="4" w:space="0" w:color="auto"/>
              <w:right w:val="single" w:sz="4" w:space="0" w:color="auto"/>
            </w:tcBorders>
          </w:tcPr>
          <w:p w:rsidR="006308A6" w:rsidRPr="006308A6" w:rsidP="006308A6" w14:paraId="4765ED3C" w14:textId="77777777">
            <w:pPr>
              <w:jc w:val="right"/>
              <w:rPr>
                <w:color w:val="000000"/>
                <w:sz w:val="20"/>
              </w:rPr>
            </w:pPr>
            <w:r w:rsidRPr="006308A6">
              <w:rPr>
                <w:rFonts w:eastAsiaTheme="minorHAnsi"/>
                <w:kern w:val="2"/>
                <w:sz w:val="20"/>
                <w14:ligatures w14:val="standardContextual"/>
              </w:rPr>
              <w:t>$88.36</w:t>
            </w:r>
          </w:p>
        </w:tc>
        <w:tc>
          <w:tcPr>
            <w:tcW w:w="1255" w:type="dxa"/>
            <w:tcBorders>
              <w:top w:val="single" w:sz="4" w:space="0" w:color="auto"/>
              <w:left w:val="single" w:sz="4" w:space="0" w:color="auto"/>
              <w:bottom w:val="single" w:sz="4" w:space="0" w:color="auto"/>
              <w:right w:val="single" w:sz="4" w:space="0" w:color="auto"/>
            </w:tcBorders>
          </w:tcPr>
          <w:p w:rsidR="006308A6" w:rsidRPr="006308A6" w:rsidP="006308A6" w14:paraId="2C4AE540" w14:textId="77777777">
            <w:pPr>
              <w:jc w:val="right"/>
              <w:rPr>
                <w:color w:val="000000"/>
                <w:sz w:val="20"/>
              </w:rPr>
            </w:pPr>
            <w:r w:rsidRPr="006308A6">
              <w:rPr>
                <w:rFonts w:eastAsiaTheme="minorHAnsi"/>
                <w:kern w:val="2"/>
                <w:sz w:val="20"/>
                <w14:ligatures w14:val="standardContextual"/>
              </w:rPr>
              <w:t>$706.88</w:t>
            </w:r>
          </w:p>
        </w:tc>
        <w:tc>
          <w:tcPr>
            <w:tcW w:w="3695" w:type="dxa"/>
            <w:tcBorders>
              <w:top w:val="single" w:sz="4" w:space="0" w:color="auto"/>
              <w:left w:val="single" w:sz="4" w:space="0" w:color="auto"/>
              <w:bottom w:val="single" w:sz="4" w:space="0" w:color="auto"/>
              <w:right w:val="single" w:sz="4" w:space="0" w:color="auto"/>
            </w:tcBorders>
          </w:tcPr>
          <w:p w:rsidR="006308A6" w:rsidRPr="006308A6" w:rsidP="006308A6" w14:paraId="5049828B" w14:textId="3AB23316">
            <w:pPr>
              <w:rPr>
                <w:color w:val="000000"/>
                <w:sz w:val="20"/>
              </w:rPr>
            </w:pPr>
            <w:r w:rsidRPr="006308A6">
              <w:rPr>
                <w:color w:val="000000"/>
                <w:sz w:val="20"/>
              </w:rPr>
              <w:t xml:space="preserve">This report is used by State inspectors to document violations of </w:t>
            </w:r>
            <w:r w:rsidR="001A36D9">
              <w:rPr>
                <w:color w:val="000000"/>
                <w:sz w:val="20"/>
              </w:rPr>
              <w:t xml:space="preserve">FRA’s </w:t>
            </w:r>
            <w:r w:rsidR="000355C6">
              <w:rPr>
                <w:color w:val="000000"/>
                <w:sz w:val="20"/>
              </w:rPr>
              <w:t>A</w:t>
            </w:r>
            <w:r w:rsidR="001A36D9">
              <w:rPr>
                <w:color w:val="000000"/>
                <w:sz w:val="20"/>
              </w:rPr>
              <w:t>ccident</w:t>
            </w:r>
            <w:r w:rsidR="000355C6">
              <w:rPr>
                <w:color w:val="000000"/>
                <w:sz w:val="20"/>
              </w:rPr>
              <w:t>/Incident R</w:t>
            </w:r>
            <w:r w:rsidR="001A36D9">
              <w:rPr>
                <w:color w:val="000000"/>
                <w:sz w:val="20"/>
              </w:rPr>
              <w:t xml:space="preserve">eporting </w:t>
            </w:r>
            <w:r w:rsidR="00E950FB">
              <w:rPr>
                <w:color w:val="000000"/>
                <w:sz w:val="20"/>
              </w:rPr>
              <w:t>R</w:t>
            </w:r>
            <w:r w:rsidR="001A36D9">
              <w:rPr>
                <w:color w:val="000000"/>
                <w:sz w:val="20"/>
              </w:rPr>
              <w:t>egulations</w:t>
            </w:r>
            <w:r w:rsidRPr="006308A6">
              <w:rPr>
                <w:color w:val="000000"/>
                <w:sz w:val="20"/>
              </w:rPr>
              <w:t>.</w:t>
            </w:r>
          </w:p>
          <w:p w:rsidR="006308A6" w:rsidRPr="006308A6" w:rsidP="006308A6" w14:paraId="2F21F47A" w14:textId="77777777">
            <w:pPr>
              <w:rPr>
                <w:rFonts w:eastAsiaTheme="minorHAnsi"/>
                <w:kern w:val="2"/>
                <w:sz w:val="20"/>
                <w14:ligatures w14:val="standardContextual"/>
              </w:rPr>
            </w:pPr>
          </w:p>
        </w:tc>
      </w:tr>
      <w:tr w14:paraId="0C72A8CA" w14:textId="77777777" w:rsidTr="356F83C9">
        <w:tblPrEx>
          <w:tblW w:w="0" w:type="auto"/>
          <w:tblLayout w:type="fixed"/>
          <w:tblLook w:val="04A0"/>
        </w:tblPrEx>
        <w:trPr>
          <w:trHeight w:val="710"/>
        </w:trPr>
        <w:tc>
          <w:tcPr>
            <w:tcW w:w="2155" w:type="dxa"/>
          </w:tcPr>
          <w:p w:rsidR="006308A6" w:rsidRPr="006308A6" w:rsidP="006308A6" w14:paraId="2EB478B0" w14:textId="77777777">
            <w:pPr>
              <w:rPr>
                <w:rFonts w:eastAsiaTheme="minorHAnsi"/>
                <w:color w:val="000000"/>
                <w:kern w:val="2"/>
                <w:sz w:val="20"/>
                <w14:ligatures w14:val="standardContextual"/>
              </w:rPr>
            </w:pPr>
            <w:r w:rsidRPr="006308A6">
              <w:rPr>
                <w:rFonts w:eastAsiaTheme="minorHAnsi"/>
                <w:color w:val="000000"/>
                <w:kern w:val="2"/>
                <w:sz w:val="20"/>
                <w14:ligatures w14:val="standardContextual"/>
              </w:rPr>
              <w:t>—FRA F 6180.67</w:t>
            </w:r>
          </w:p>
          <w:p w:rsidR="006308A6" w:rsidRPr="006308A6" w:rsidP="006308A6" w14:paraId="5C86B620" w14:textId="77777777">
            <w:pPr>
              <w:rPr>
                <w:rFonts w:eastAsiaTheme="minorHAnsi"/>
                <w:color w:val="000000"/>
                <w:kern w:val="2"/>
                <w:sz w:val="20"/>
                <w14:ligatures w14:val="standardContextual"/>
              </w:rPr>
            </w:pPr>
            <w:r w:rsidRPr="006308A6">
              <w:rPr>
                <w:rFonts w:eastAsiaTheme="minorHAnsi"/>
                <w:color w:val="000000"/>
                <w:kern w:val="2"/>
                <w:sz w:val="20"/>
                <w14:ligatures w14:val="standardContextual"/>
              </w:rPr>
              <w:t>Operating Practices Regulations Violation Report</w:t>
            </w:r>
          </w:p>
        </w:tc>
        <w:tc>
          <w:tcPr>
            <w:tcW w:w="1170" w:type="dxa"/>
          </w:tcPr>
          <w:p w:rsidR="006308A6" w:rsidRPr="006308A6" w:rsidP="006308A6" w14:paraId="3705E0B0"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19</w:t>
            </w:r>
          </w:p>
          <w:p w:rsidR="006308A6" w:rsidRPr="006308A6" w:rsidP="006308A6" w14:paraId="77898B76"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States</w:t>
            </w:r>
          </w:p>
        </w:tc>
        <w:tc>
          <w:tcPr>
            <w:tcW w:w="1080" w:type="dxa"/>
          </w:tcPr>
          <w:p w:rsidR="006308A6" w:rsidRPr="006308A6" w:rsidP="006308A6" w14:paraId="72B831AA"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194</w:t>
            </w:r>
          </w:p>
          <w:p w:rsidR="006308A6" w:rsidRPr="006308A6" w:rsidP="006308A6" w14:paraId="1F563415"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reports</w:t>
            </w:r>
          </w:p>
        </w:tc>
        <w:tc>
          <w:tcPr>
            <w:tcW w:w="990" w:type="dxa"/>
          </w:tcPr>
          <w:p w:rsidR="006308A6" w:rsidRPr="006308A6" w:rsidP="006308A6" w14:paraId="4918BDB4"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4</w:t>
            </w:r>
          </w:p>
          <w:p w:rsidR="006308A6" w:rsidRPr="006308A6" w:rsidP="006308A6" w14:paraId="55328572"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hours</w:t>
            </w:r>
          </w:p>
        </w:tc>
        <w:tc>
          <w:tcPr>
            <w:tcW w:w="1170" w:type="dxa"/>
          </w:tcPr>
          <w:p w:rsidR="006308A6" w:rsidRPr="006308A6" w:rsidP="006308A6" w14:paraId="0E364534"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776</w:t>
            </w:r>
          </w:p>
          <w:p w:rsidR="006308A6" w:rsidRPr="006308A6" w:rsidP="006308A6" w14:paraId="530986C0" w14:textId="77777777">
            <w:pPr>
              <w:jc w:val="center"/>
              <w:rPr>
                <w:rFonts w:eastAsiaTheme="minorHAnsi"/>
                <w:color w:val="000000"/>
                <w:kern w:val="2"/>
                <w:sz w:val="20"/>
                <w14:ligatures w14:val="standardContextual"/>
              </w:rPr>
            </w:pPr>
            <w:r w:rsidRPr="006308A6">
              <w:rPr>
                <w:rFonts w:eastAsiaTheme="minorHAnsi"/>
                <w:color w:val="000000"/>
                <w:kern w:val="2"/>
                <w:sz w:val="20"/>
                <w14:ligatures w14:val="standardContextual"/>
              </w:rPr>
              <w:t xml:space="preserve"> hours</w:t>
            </w:r>
          </w:p>
        </w:tc>
        <w:tc>
          <w:tcPr>
            <w:tcW w:w="810" w:type="dxa"/>
          </w:tcPr>
          <w:p w:rsidR="006308A6" w:rsidRPr="006308A6" w:rsidP="006308A6" w14:paraId="2F8349B2" w14:textId="77777777">
            <w:pPr>
              <w:jc w:val="right"/>
              <w:rPr>
                <w:color w:val="000000"/>
                <w:sz w:val="20"/>
              </w:rPr>
            </w:pPr>
            <w:r w:rsidRPr="006308A6">
              <w:rPr>
                <w:rFonts w:eastAsiaTheme="minorHAnsi"/>
                <w:kern w:val="2"/>
                <w:sz w:val="20"/>
                <w14:ligatures w14:val="standardContextual"/>
              </w:rPr>
              <w:t>$88.36</w:t>
            </w:r>
          </w:p>
        </w:tc>
        <w:tc>
          <w:tcPr>
            <w:tcW w:w="1255" w:type="dxa"/>
          </w:tcPr>
          <w:p w:rsidR="006308A6" w:rsidRPr="006308A6" w:rsidP="006308A6" w14:paraId="5AAEF240" w14:textId="77777777">
            <w:pPr>
              <w:jc w:val="right"/>
              <w:rPr>
                <w:color w:val="000000"/>
                <w:sz w:val="20"/>
              </w:rPr>
            </w:pPr>
            <w:r w:rsidRPr="006308A6">
              <w:rPr>
                <w:rFonts w:eastAsiaTheme="minorHAnsi"/>
                <w:kern w:val="2"/>
                <w:sz w:val="20"/>
                <w14:ligatures w14:val="standardContextual"/>
              </w:rPr>
              <w:t>$68,567.36</w:t>
            </w:r>
          </w:p>
        </w:tc>
        <w:tc>
          <w:tcPr>
            <w:tcW w:w="3695" w:type="dxa"/>
          </w:tcPr>
          <w:p w:rsidR="006308A6" w:rsidRPr="006308A6" w:rsidP="006308A6" w14:paraId="0490711F" w14:textId="77777777">
            <w:pPr>
              <w:rPr>
                <w:color w:val="000000"/>
                <w:sz w:val="20"/>
              </w:rPr>
            </w:pPr>
            <w:r w:rsidRPr="006308A6">
              <w:rPr>
                <w:color w:val="000000"/>
                <w:sz w:val="20"/>
              </w:rPr>
              <w:t xml:space="preserve">This report is used by State inspectors to document violations of the Operating Practices Regulations. </w:t>
            </w:r>
          </w:p>
          <w:p w:rsidR="006308A6" w:rsidRPr="006308A6" w:rsidP="006308A6" w14:paraId="34506D02" w14:textId="77777777">
            <w:pPr>
              <w:jc w:val="right"/>
              <w:rPr>
                <w:rFonts w:eastAsiaTheme="minorHAnsi"/>
                <w:kern w:val="2"/>
                <w:sz w:val="20"/>
                <w14:ligatures w14:val="standardContextual"/>
              </w:rPr>
            </w:pPr>
          </w:p>
        </w:tc>
      </w:tr>
      <w:tr w14:paraId="7429594F" w14:textId="77777777" w:rsidTr="356F83C9">
        <w:tblPrEx>
          <w:tblW w:w="0" w:type="auto"/>
          <w:tblLayout w:type="fixed"/>
          <w:tblLook w:val="04A0"/>
        </w:tblPrEx>
        <w:trPr>
          <w:trHeight w:val="80"/>
        </w:trPr>
        <w:tc>
          <w:tcPr>
            <w:tcW w:w="2155" w:type="dxa"/>
            <w:hideMark/>
          </w:tcPr>
          <w:p w:rsidR="006308A6" w:rsidRPr="006308A6" w:rsidP="006308A6" w14:paraId="25C216AA" w14:textId="77777777">
            <w:pPr>
              <w:rPr>
                <w:color w:val="000000"/>
                <w:sz w:val="20"/>
              </w:rPr>
            </w:pPr>
            <w:r w:rsidRPr="006308A6">
              <w:rPr>
                <w:color w:val="000000"/>
                <w:sz w:val="20"/>
              </w:rPr>
              <w:t>— FRA F 6180.109</w:t>
            </w:r>
          </w:p>
          <w:p w:rsidR="006308A6" w:rsidRPr="006308A6" w:rsidP="006308A6" w14:paraId="21EC43F6" w14:textId="77777777">
            <w:pPr>
              <w:rPr>
                <w:color w:val="000000"/>
                <w:sz w:val="20"/>
              </w:rPr>
            </w:pPr>
            <w:r w:rsidRPr="006308A6">
              <w:rPr>
                <w:color w:val="000000"/>
                <w:sz w:val="20"/>
              </w:rPr>
              <w:t>Motive Power and Equipment Regulations Violation Report</w:t>
            </w:r>
          </w:p>
        </w:tc>
        <w:tc>
          <w:tcPr>
            <w:tcW w:w="1170" w:type="dxa"/>
            <w:hideMark/>
          </w:tcPr>
          <w:p w:rsidR="006308A6" w:rsidRPr="006308A6" w:rsidP="006308A6" w14:paraId="7FF803CA" w14:textId="77777777">
            <w:pPr>
              <w:jc w:val="center"/>
              <w:rPr>
                <w:color w:val="000000"/>
                <w:sz w:val="20"/>
              </w:rPr>
            </w:pPr>
            <w:r w:rsidRPr="006308A6">
              <w:rPr>
                <w:color w:val="000000"/>
                <w:sz w:val="20"/>
              </w:rPr>
              <w:t>19</w:t>
            </w:r>
          </w:p>
          <w:p w:rsidR="006308A6" w:rsidRPr="006308A6" w:rsidP="006308A6" w14:paraId="68B64AE6" w14:textId="77777777">
            <w:pPr>
              <w:jc w:val="center"/>
              <w:rPr>
                <w:color w:val="000000"/>
                <w:sz w:val="20"/>
              </w:rPr>
            </w:pPr>
            <w:r w:rsidRPr="006308A6">
              <w:rPr>
                <w:color w:val="000000"/>
                <w:sz w:val="20"/>
              </w:rPr>
              <w:t>States</w:t>
            </w:r>
          </w:p>
        </w:tc>
        <w:tc>
          <w:tcPr>
            <w:tcW w:w="1080" w:type="dxa"/>
            <w:hideMark/>
          </w:tcPr>
          <w:p w:rsidR="006308A6" w:rsidRPr="006308A6" w:rsidP="006308A6" w14:paraId="346456C3" w14:textId="77777777">
            <w:pPr>
              <w:jc w:val="center"/>
              <w:rPr>
                <w:color w:val="000000"/>
                <w:sz w:val="20"/>
              </w:rPr>
            </w:pPr>
            <w:r w:rsidRPr="006308A6">
              <w:rPr>
                <w:color w:val="000000"/>
                <w:sz w:val="20"/>
              </w:rPr>
              <w:t>215</w:t>
            </w:r>
          </w:p>
          <w:p w:rsidR="006308A6" w:rsidRPr="006308A6" w:rsidP="006308A6" w14:paraId="08613E53" w14:textId="77777777">
            <w:pPr>
              <w:jc w:val="center"/>
              <w:rPr>
                <w:color w:val="000000"/>
                <w:sz w:val="20"/>
              </w:rPr>
            </w:pPr>
            <w:r w:rsidRPr="006308A6">
              <w:rPr>
                <w:color w:val="000000"/>
                <w:sz w:val="20"/>
              </w:rPr>
              <w:t>reports</w:t>
            </w:r>
          </w:p>
        </w:tc>
        <w:tc>
          <w:tcPr>
            <w:tcW w:w="990" w:type="dxa"/>
            <w:hideMark/>
          </w:tcPr>
          <w:p w:rsidR="006308A6" w:rsidRPr="006308A6" w:rsidP="006308A6" w14:paraId="15A0B492" w14:textId="77777777">
            <w:pPr>
              <w:jc w:val="center"/>
              <w:rPr>
                <w:color w:val="000000"/>
                <w:sz w:val="20"/>
              </w:rPr>
            </w:pPr>
            <w:r w:rsidRPr="006308A6">
              <w:rPr>
                <w:color w:val="000000"/>
                <w:sz w:val="20"/>
              </w:rPr>
              <w:t>4</w:t>
            </w:r>
          </w:p>
          <w:p w:rsidR="006308A6" w:rsidRPr="006308A6" w:rsidP="006308A6" w14:paraId="513C0447" w14:textId="77777777">
            <w:pPr>
              <w:jc w:val="center"/>
              <w:rPr>
                <w:color w:val="000000"/>
                <w:sz w:val="20"/>
              </w:rPr>
            </w:pPr>
            <w:r w:rsidRPr="006308A6">
              <w:rPr>
                <w:color w:val="000000"/>
                <w:sz w:val="20"/>
              </w:rPr>
              <w:t>hours</w:t>
            </w:r>
          </w:p>
        </w:tc>
        <w:tc>
          <w:tcPr>
            <w:tcW w:w="1170" w:type="dxa"/>
            <w:hideMark/>
          </w:tcPr>
          <w:p w:rsidR="006308A6" w:rsidRPr="006308A6" w:rsidP="006308A6" w14:paraId="067CFD53" w14:textId="77777777">
            <w:pPr>
              <w:jc w:val="center"/>
              <w:rPr>
                <w:color w:val="000000"/>
                <w:sz w:val="20"/>
              </w:rPr>
            </w:pPr>
            <w:r w:rsidRPr="006308A6">
              <w:rPr>
                <w:color w:val="000000"/>
                <w:sz w:val="20"/>
              </w:rPr>
              <w:t>1,440</w:t>
            </w:r>
          </w:p>
          <w:p w:rsidR="006308A6" w:rsidRPr="006308A6" w:rsidP="006308A6" w14:paraId="040F115A" w14:textId="77777777">
            <w:pPr>
              <w:jc w:val="center"/>
              <w:rPr>
                <w:color w:val="000000"/>
                <w:sz w:val="20"/>
              </w:rPr>
            </w:pPr>
            <w:r w:rsidRPr="006308A6">
              <w:rPr>
                <w:color w:val="000000"/>
                <w:sz w:val="20"/>
              </w:rPr>
              <w:t xml:space="preserve"> hours</w:t>
            </w:r>
          </w:p>
        </w:tc>
        <w:tc>
          <w:tcPr>
            <w:tcW w:w="810" w:type="dxa"/>
          </w:tcPr>
          <w:p w:rsidR="006308A6" w:rsidRPr="006308A6" w:rsidP="006308A6" w14:paraId="51196603" w14:textId="77777777">
            <w:pPr>
              <w:jc w:val="right"/>
              <w:rPr>
                <w:color w:val="000000"/>
                <w:sz w:val="20"/>
              </w:rPr>
            </w:pPr>
            <w:r w:rsidRPr="006308A6">
              <w:rPr>
                <w:rFonts w:eastAsiaTheme="minorHAnsi"/>
                <w:kern w:val="2"/>
                <w:sz w:val="20"/>
                <w14:ligatures w14:val="standardContextual"/>
              </w:rPr>
              <w:t>$88.36</w:t>
            </w:r>
          </w:p>
        </w:tc>
        <w:tc>
          <w:tcPr>
            <w:tcW w:w="1255" w:type="dxa"/>
          </w:tcPr>
          <w:p w:rsidR="006308A6" w:rsidRPr="006308A6" w:rsidP="006308A6" w14:paraId="566B6365" w14:textId="77777777">
            <w:pPr>
              <w:jc w:val="right"/>
              <w:rPr>
                <w:color w:val="000000"/>
                <w:sz w:val="20"/>
              </w:rPr>
            </w:pPr>
            <w:r w:rsidRPr="006308A6">
              <w:rPr>
                <w:rFonts w:eastAsiaTheme="minorHAnsi"/>
                <w:kern w:val="2"/>
                <w:sz w:val="20"/>
                <w14:ligatures w14:val="standardContextual"/>
              </w:rPr>
              <w:t>$75,989.60</w:t>
            </w:r>
          </w:p>
        </w:tc>
        <w:tc>
          <w:tcPr>
            <w:tcW w:w="3695" w:type="dxa"/>
          </w:tcPr>
          <w:p w:rsidR="006308A6" w:rsidRPr="006308A6" w:rsidP="006308A6" w14:paraId="70D0FF84" w14:textId="77777777">
            <w:pPr>
              <w:rPr>
                <w:color w:val="000000"/>
                <w:sz w:val="20"/>
              </w:rPr>
            </w:pPr>
            <w:r w:rsidRPr="006308A6">
              <w:rPr>
                <w:color w:val="000000"/>
                <w:sz w:val="20"/>
              </w:rPr>
              <w:t>This form is used by State inspectors to document violations of the Motive Power and Equipment Regulations.</w:t>
            </w:r>
          </w:p>
          <w:p w:rsidR="006308A6" w:rsidRPr="006308A6" w:rsidP="006308A6" w14:paraId="1CE76563" w14:textId="77777777">
            <w:pPr>
              <w:rPr>
                <w:rFonts w:eastAsiaTheme="minorHAnsi"/>
                <w:kern w:val="2"/>
                <w:sz w:val="20"/>
                <w14:ligatures w14:val="standardContextual"/>
              </w:rPr>
            </w:pPr>
          </w:p>
        </w:tc>
      </w:tr>
      <w:tr w14:paraId="5F9CA11C" w14:textId="77777777" w:rsidTr="356F83C9">
        <w:tblPrEx>
          <w:tblW w:w="0" w:type="auto"/>
          <w:tblLayout w:type="fixed"/>
          <w:tblLook w:val="04A0"/>
        </w:tblPrEx>
        <w:trPr>
          <w:trHeight w:val="791"/>
        </w:trPr>
        <w:tc>
          <w:tcPr>
            <w:tcW w:w="2155" w:type="dxa"/>
            <w:hideMark/>
          </w:tcPr>
          <w:p w:rsidR="006308A6" w:rsidRPr="006308A6" w:rsidP="006308A6" w14:paraId="71541D70" w14:textId="77777777">
            <w:pPr>
              <w:rPr>
                <w:color w:val="000000"/>
                <w:sz w:val="20"/>
              </w:rPr>
            </w:pPr>
            <w:r w:rsidRPr="006308A6">
              <w:rPr>
                <w:color w:val="000000"/>
                <w:sz w:val="20"/>
              </w:rPr>
              <w:t>— FRA F 6180.110</w:t>
            </w:r>
          </w:p>
          <w:p w:rsidR="006308A6" w:rsidRPr="006308A6" w:rsidP="006308A6" w14:paraId="42FA47B3" w14:textId="77777777">
            <w:pPr>
              <w:rPr>
                <w:color w:val="000000"/>
                <w:sz w:val="20"/>
              </w:rPr>
            </w:pPr>
            <w:r w:rsidRPr="006308A6">
              <w:rPr>
                <w:color w:val="000000"/>
                <w:sz w:val="20"/>
              </w:rPr>
              <w:t>Hazardous Materials Regulations Violation Report</w:t>
            </w:r>
          </w:p>
        </w:tc>
        <w:tc>
          <w:tcPr>
            <w:tcW w:w="1170" w:type="dxa"/>
            <w:hideMark/>
          </w:tcPr>
          <w:p w:rsidR="006308A6" w:rsidRPr="006308A6" w:rsidP="006308A6" w14:paraId="169D7B2B" w14:textId="77777777">
            <w:pPr>
              <w:jc w:val="center"/>
              <w:rPr>
                <w:color w:val="000000"/>
                <w:sz w:val="20"/>
              </w:rPr>
            </w:pPr>
            <w:r w:rsidRPr="006308A6">
              <w:rPr>
                <w:color w:val="000000"/>
                <w:sz w:val="20"/>
              </w:rPr>
              <w:t>17</w:t>
            </w:r>
          </w:p>
          <w:p w:rsidR="006308A6" w:rsidRPr="006308A6" w:rsidP="006308A6" w14:paraId="328ACBA2" w14:textId="77777777">
            <w:pPr>
              <w:jc w:val="center"/>
              <w:rPr>
                <w:color w:val="000000"/>
                <w:sz w:val="20"/>
              </w:rPr>
            </w:pPr>
            <w:r w:rsidRPr="006308A6">
              <w:rPr>
                <w:color w:val="000000"/>
                <w:sz w:val="20"/>
              </w:rPr>
              <w:t>States</w:t>
            </w:r>
          </w:p>
        </w:tc>
        <w:tc>
          <w:tcPr>
            <w:tcW w:w="1080" w:type="dxa"/>
            <w:hideMark/>
          </w:tcPr>
          <w:p w:rsidR="006308A6" w:rsidRPr="006308A6" w:rsidP="006308A6" w14:paraId="11B2C35F" w14:textId="77777777">
            <w:pPr>
              <w:jc w:val="center"/>
              <w:rPr>
                <w:color w:val="000000"/>
                <w:sz w:val="20"/>
              </w:rPr>
            </w:pPr>
            <w:r w:rsidRPr="006308A6">
              <w:rPr>
                <w:color w:val="000000"/>
                <w:sz w:val="20"/>
              </w:rPr>
              <w:t>171</w:t>
            </w:r>
          </w:p>
          <w:p w:rsidR="006308A6" w:rsidRPr="006308A6" w:rsidP="006308A6" w14:paraId="11FDCBDC" w14:textId="77777777">
            <w:pPr>
              <w:jc w:val="center"/>
              <w:rPr>
                <w:color w:val="000000"/>
                <w:sz w:val="20"/>
              </w:rPr>
            </w:pPr>
            <w:r w:rsidRPr="006308A6">
              <w:rPr>
                <w:color w:val="000000"/>
                <w:sz w:val="20"/>
              </w:rPr>
              <w:t>reports</w:t>
            </w:r>
          </w:p>
        </w:tc>
        <w:tc>
          <w:tcPr>
            <w:tcW w:w="990" w:type="dxa"/>
            <w:hideMark/>
          </w:tcPr>
          <w:p w:rsidR="006308A6" w:rsidRPr="006308A6" w:rsidP="006308A6" w14:paraId="5082812D" w14:textId="77777777">
            <w:pPr>
              <w:jc w:val="center"/>
              <w:rPr>
                <w:color w:val="000000"/>
                <w:sz w:val="20"/>
              </w:rPr>
            </w:pPr>
            <w:r w:rsidRPr="006308A6">
              <w:rPr>
                <w:color w:val="000000"/>
                <w:sz w:val="20"/>
              </w:rPr>
              <w:t>4</w:t>
            </w:r>
          </w:p>
          <w:p w:rsidR="006308A6" w:rsidRPr="006308A6" w:rsidP="006308A6" w14:paraId="39A2756A" w14:textId="77777777">
            <w:pPr>
              <w:jc w:val="center"/>
              <w:rPr>
                <w:color w:val="000000"/>
                <w:sz w:val="20"/>
              </w:rPr>
            </w:pPr>
            <w:r w:rsidRPr="006308A6">
              <w:rPr>
                <w:color w:val="000000"/>
                <w:sz w:val="20"/>
              </w:rPr>
              <w:t>hours</w:t>
            </w:r>
          </w:p>
        </w:tc>
        <w:tc>
          <w:tcPr>
            <w:tcW w:w="1170" w:type="dxa"/>
            <w:hideMark/>
          </w:tcPr>
          <w:p w:rsidR="006308A6" w:rsidRPr="006308A6" w:rsidP="006308A6" w14:paraId="287F23B9" w14:textId="77777777">
            <w:pPr>
              <w:jc w:val="center"/>
              <w:rPr>
                <w:color w:val="000000"/>
                <w:sz w:val="20"/>
              </w:rPr>
            </w:pPr>
            <w:r w:rsidRPr="006308A6">
              <w:rPr>
                <w:color w:val="000000"/>
                <w:sz w:val="20"/>
              </w:rPr>
              <w:t>1,680</w:t>
            </w:r>
          </w:p>
          <w:p w:rsidR="006308A6" w:rsidRPr="006308A6" w:rsidP="006308A6" w14:paraId="308A3D3C" w14:textId="77777777">
            <w:pPr>
              <w:jc w:val="center"/>
              <w:rPr>
                <w:color w:val="000000"/>
                <w:sz w:val="20"/>
              </w:rPr>
            </w:pPr>
            <w:r w:rsidRPr="006308A6">
              <w:rPr>
                <w:color w:val="000000"/>
                <w:sz w:val="20"/>
              </w:rPr>
              <w:t xml:space="preserve"> hours</w:t>
            </w:r>
          </w:p>
        </w:tc>
        <w:tc>
          <w:tcPr>
            <w:tcW w:w="810" w:type="dxa"/>
          </w:tcPr>
          <w:p w:rsidR="006308A6" w:rsidRPr="006308A6" w:rsidP="006308A6" w14:paraId="425BF625" w14:textId="77777777">
            <w:pPr>
              <w:jc w:val="right"/>
              <w:rPr>
                <w:color w:val="000000"/>
                <w:sz w:val="20"/>
              </w:rPr>
            </w:pPr>
            <w:r w:rsidRPr="006308A6">
              <w:rPr>
                <w:rFonts w:eastAsiaTheme="minorHAnsi"/>
                <w:kern w:val="2"/>
                <w:sz w:val="20"/>
                <w14:ligatures w14:val="standardContextual"/>
              </w:rPr>
              <w:t>$88.36</w:t>
            </w:r>
          </w:p>
        </w:tc>
        <w:tc>
          <w:tcPr>
            <w:tcW w:w="1255" w:type="dxa"/>
          </w:tcPr>
          <w:p w:rsidR="006308A6" w:rsidRPr="006308A6" w:rsidP="006308A6" w14:paraId="5CFED0FE" w14:textId="77777777">
            <w:pPr>
              <w:jc w:val="right"/>
              <w:rPr>
                <w:color w:val="000000"/>
                <w:sz w:val="20"/>
              </w:rPr>
            </w:pPr>
            <w:r w:rsidRPr="006308A6">
              <w:rPr>
                <w:rFonts w:eastAsiaTheme="minorHAnsi"/>
                <w:kern w:val="2"/>
                <w:sz w:val="20"/>
                <w14:ligatures w14:val="standardContextual"/>
              </w:rPr>
              <w:t>$60,438.24</w:t>
            </w:r>
          </w:p>
        </w:tc>
        <w:tc>
          <w:tcPr>
            <w:tcW w:w="3695" w:type="dxa"/>
          </w:tcPr>
          <w:p w:rsidR="006308A6" w:rsidRPr="006308A6" w:rsidP="006308A6" w14:paraId="36A47B2A" w14:textId="77777777">
            <w:pPr>
              <w:rPr>
                <w:color w:val="000000"/>
                <w:sz w:val="20"/>
              </w:rPr>
            </w:pPr>
            <w:r w:rsidRPr="006308A6">
              <w:rPr>
                <w:color w:val="000000"/>
                <w:sz w:val="20"/>
              </w:rPr>
              <w:t>This report is used by State inspectors to document violations of the Hazardous Materials Regulations.</w:t>
            </w:r>
          </w:p>
          <w:p w:rsidR="006308A6" w:rsidRPr="006308A6" w:rsidP="006308A6" w14:paraId="5F15BA65" w14:textId="77777777">
            <w:pPr>
              <w:rPr>
                <w:rFonts w:eastAsiaTheme="minorHAnsi"/>
                <w:kern w:val="2"/>
                <w:sz w:val="20"/>
                <w14:ligatures w14:val="standardContextual"/>
              </w:rPr>
            </w:pPr>
          </w:p>
        </w:tc>
      </w:tr>
      <w:tr w14:paraId="18D7070D" w14:textId="77777777" w:rsidTr="356F83C9">
        <w:tblPrEx>
          <w:tblW w:w="0" w:type="auto"/>
          <w:tblLayout w:type="fixed"/>
          <w:tblLook w:val="04A0"/>
        </w:tblPrEx>
        <w:trPr>
          <w:trHeight w:val="710"/>
        </w:trPr>
        <w:tc>
          <w:tcPr>
            <w:tcW w:w="2155" w:type="dxa"/>
            <w:hideMark/>
          </w:tcPr>
          <w:p w:rsidR="006308A6" w:rsidRPr="006308A6" w:rsidP="006308A6" w14:paraId="16DDA902" w14:textId="77777777">
            <w:pPr>
              <w:rPr>
                <w:color w:val="000000"/>
                <w:sz w:val="20"/>
              </w:rPr>
            </w:pPr>
            <w:r w:rsidRPr="006308A6">
              <w:rPr>
                <w:color w:val="000000"/>
                <w:sz w:val="20"/>
              </w:rPr>
              <w:t>— FRA F 6180.111</w:t>
            </w:r>
          </w:p>
          <w:p w:rsidR="006308A6" w:rsidRPr="006308A6" w:rsidP="006308A6" w14:paraId="50A9728A" w14:textId="77777777">
            <w:pPr>
              <w:rPr>
                <w:color w:val="000000"/>
                <w:sz w:val="20"/>
              </w:rPr>
            </w:pPr>
            <w:r w:rsidRPr="006308A6">
              <w:rPr>
                <w:color w:val="000000"/>
                <w:sz w:val="20"/>
              </w:rPr>
              <w:t>Track Safety Regulations Violation Report</w:t>
            </w:r>
          </w:p>
        </w:tc>
        <w:tc>
          <w:tcPr>
            <w:tcW w:w="1170" w:type="dxa"/>
            <w:hideMark/>
          </w:tcPr>
          <w:p w:rsidR="006308A6" w:rsidRPr="006308A6" w:rsidP="006308A6" w14:paraId="0F9BF68C" w14:textId="77777777">
            <w:pPr>
              <w:jc w:val="center"/>
              <w:rPr>
                <w:color w:val="000000"/>
                <w:sz w:val="20"/>
              </w:rPr>
            </w:pPr>
            <w:r w:rsidRPr="006308A6">
              <w:rPr>
                <w:color w:val="000000"/>
                <w:sz w:val="20"/>
              </w:rPr>
              <w:t>26</w:t>
            </w:r>
          </w:p>
          <w:p w:rsidR="006308A6" w:rsidRPr="006308A6" w:rsidP="006308A6" w14:paraId="6D4E073D" w14:textId="77777777">
            <w:pPr>
              <w:jc w:val="center"/>
              <w:rPr>
                <w:color w:val="000000"/>
                <w:sz w:val="20"/>
              </w:rPr>
            </w:pPr>
            <w:r w:rsidRPr="006308A6">
              <w:rPr>
                <w:color w:val="000000"/>
                <w:sz w:val="20"/>
              </w:rPr>
              <w:t>States</w:t>
            </w:r>
          </w:p>
        </w:tc>
        <w:tc>
          <w:tcPr>
            <w:tcW w:w="1080" w:type="dxa"/>
            <w:hideMark/>
          </w:tcPr>
          <w:p w:rsidR="006308A6" w:rsidRPr="006308A6" w:rsidP="006308A6" w14:paraId="657899B5" w14:textId="77777777">
            <w:pPr>
              <w:jc w:val="center"/>
              <w:rPr>
                <w:color w:val="000000"/>
                <w:sz w:val="20"/>
              </w:rPr>
            </w:pPr>
            <w:r w:rsidRPr="006308A6">
              <w:rPr>
                <w:color w:val="000000"/>
                <w:sz w:val="20"/>
              </w:rPr>
              <w:t>66</w:t>
            </w:r>
          </w:p>
          <w:p w:rsidR="006308A6" w:rsidRPr="006308A6" w:rsidP="006308A6" w14:paraId="5EAD99FB" w14:textId="77777777">
            <w:pPr>
              <w:jc w:val="center"/>
              <w:rPr>
                <w:color w:val="000000"/>
                <w:sz w:val="20"/>
              </w:rPr>
            </w:pPr>
            <w:r w:rsidRPr="006308A6">
              <w:rPr>
                <w:color w:val="000000"/>
                <w:sz w:val="20"/>
              </w:rPr>
              <w:t>reports</w:t>
            </w:r>
          </w:p>
        </w:tc>
        <w:tc>
          <w:tcPr>
            <w:tcW w:w="990" w:type="dxa"/>
            <w:hideMark/>
          </w:tcPr>
          <w:p w:rsidR="006308A6" w:rsidRPr="006308A6" w:rsidP="006308A6" w14:paraId="44F91B3C" w14:textId="77777777">
            <w:pPr>
              <w:jc w:val="center"/>
              <w:rPr>
                <w:color w:val="000000"/>
                <w:sz w:val="20"/>
              </w:rPr>
            </w:pPr>
            <w:r w:rsidRPr="006308A6">
              <w:rPr>
                <w:color w:val="000000"/>
                <w:sz w:val="20"/>
              </w:rPr>
              <w:t>4</w:t>
            </w:r>
          </w:p>
          <w:p w:rsidR="006308A6" w:rsidRPr="006308A6" w:rsidP="006308A6" w14:paraId="2396999A" w14:textId="77777777">
            <w:pPr>
              <w:jc w:val="center"/>
              <w:rPr>
                <w:color w:val="000000"/>
                <w:sz w:val="20"/>
              </w:rPr>
            </w:pPr>
            <w:r w:rsidRPr="006308A6">
              <w:rPr>
                <w:color w:val="000000"/>
                <w:sz w:val="20"/>
              </w:rPr>
              <w:t>hours</w:t>
            </w:r>
          </w:p>
        </w:tc>
        <w:tc>
          <w:tcPr>
            <w:tcW w:w="1170" w:type="dxa"/>
            <w:hideMark/>
          </w:tcPr>
          <w:p w:rsidR="006308A6" w:rsidRPr="006308A6" w:rsidP="006308A6" w14:paraId="638F6363" w14:textId="77777777">
            <w:pPr>
              <w:jc w:val="center"/>
              <w:rPr>
                <w:color w:val="000000"/>
                <w:sz w:val="20"/>
              </w:rPr>
            </w:pPr>
            <w:r w:rsidRPr="006308A6">
              <w:rPr>
                <w:color w:val="000000"/>
                <w:sz w:val="20"/>
              </w:rPr>
              <w:t>440</w:t>
            </w:r>
          </w:p>
          <w:p w:rsidR="006308A6" w:rsidRPr="006308A6" w:rsidP="006308A6" w14:paraId="0EE4C0E2" w14:textId="77777777">
            <w:pPr>
              <w:jc w:val="center"/>
              <w:rPr>
                <w:color w:val="000000"/>
                <w:sz w:val="20"/>
              </w:rPr>
            </w:pPr>
            <w:r w:rsidRPr="006308A6">
              <w:rPr>
                <w:color w:val="000000"/>
                <w:sz w:val="20"/>
              </w:rPr>
              <w:t xml:space="preserve"> hours</w:t>
            </w:r>
          </w:p>
        </w:tc>
        <w:tc>
          <w:tcPr>
            <w:tcW w:w="810" w:type="dxa"/>
          </w:tcPr>
          <w:p w:rsidR="006308A6" w:rsidRPr="006308A6" w:rsidP="006308A6" w14:paraId="78C85180" w14:textId="77777777">
            <w:pPr>
              <w:jc w:val="right"/>
              <w:rPr>
                <w:color w:val="000000"/>
                <w:sz w:val="20"/>
              </w:rPr>
            </w:pPr>
            <w:r w:rsidRPr="006308A6">
              <w:rPr>
                <w:rFonts w:eastAsiaTheme="minorHAnsi"/>
                <w:kern w:val="2"/>
                <w:sz w:val="20"/>
                <w14:ligatures w14:val="standardContextual"/>
              </w:rPr>
              <w:t>$88.36</w:t>
            </w:r>
          </w:p>
        </w:tc>
        <w:tc>
          <w:tcPr>
            <w:tcW w:w="1255" w:type="dxa"/>
          </w:tcPr>
          <w:p w:rsidR="006308A6" w:rsidRPr="006308A6" w:rsidP="006308A6" w14:paraId="37EB8C91" w14:textId="77777777">
            <w:pPr>
              <w:jc w:val="right"/>
              <w:rPr>
                <w:color w:val="000000"/>
                <w:sz w:val="20"/>
              </w:rPr>
            </w:pPr>
            <w:r w:rsidRPr="006308A6">
              <w:rPr>
                <w:rFonts w:eastAsiaTheme="minorHAnsi"/>
                <w:kern w:val="2"/>
                <w:sz w:val="20"/>
                <w14:ligatures w14:val="standardContextual"/>
              </w:rPr>
              <w:t>$23,327.04</w:t>
            </w:r>
          </w:p>
        </w:tc>
        <w:tc>
          <w:tcPr>
            <w:tcW w:w="3695" w:type="dxa"/>
          </w:tcPr>
          <w:p w:rsidR="006308A6" w:rsidRPr="006308A6" w:rsidP="006308A6" w14:paraId="627C7442" w14:textId="77777777">
            <w:pPr>
              <w:rPr>
                <w:color w:val="000000"/>
                <w:sz w:val="20"/>
              </w:rPr>
            </w:pPr>
            <w:r w:rsidRPr="006308A6">
              <w:rPr>
                <w:color w:val="000000"/>
                <w:sz w:val="20"/>
              </w:rPr>
              <w:t>This report is used by State inspectors to document violations of the Track Safety Regulations.</w:t>
            </w:r>
          </w:p>
          <w:p w:rsidR="006308A6" w:rsidRPr="006308A6" w:rsidP="006308A6" w14:paraId="5B850328" w14:textId="77777777">
            <w:pPr>
              <w:rPr>
                <w:rFonts w:eastAsiaTheme="minorHAnsi"/>
                <w:kern w:val="2"/>
                <w:sz w:val="20"/>
                <w14:ligatures w14:val="standardContextual"/>
              </w:rPr>
            </w:pPr>
          </w:p>
        </w:tc>
      </w:tr>
      <w:tr w14:paraId="5EAB438A" w14:textId="77777777" w:rsidTr="356F83C9">
        <w:tblPrEx>
          <w:tblW w:w="0" w:type="auto"/>
          <w:tblLayout w:type="fixed"/>
          <w:tblLook w:val="04A0"/>
        </w:tblPrEx>
        <w:trPr>
          <w:trHeight w:val="710"/>
        </w:trPr>
        <w:tc>
          <w:tcPr>
            <w:tcW w:w="2155" w:type="dxa"/>
            <w:hideMark/>
          </w:tcPr>
          <w:p w:rsidR="006308A6" w:rsidRPr="006308A6" w:rsidP="006308A6" w14:paraId="0C363852" w14:textId="77777777">
            <w:pPr>
              <w:rPr>
                <w:color w:val="000000"/>
                <w:sz w:val="20"/>
              </w:rPr>
            </w:pPr>
            <w:r w:rsidRPr="006308A6">
              <w:rPr>
                <w:color w:val="000000"/>
                <w:sz w:val="20"/>
              </w:rPr>
              <w:t>—FRA F 6180.112</w:t>
            </w:r>
          </w:p>
          <w:p w:rsidR="006308A6" w:rsidRPr="006308A6" w:rsidP="006308A6" w14:paraId="171B56EB" w14:textId="77777777">
            <w:pPr>
              <w:rPr>
                <w:color w:val="000000"/>
                <w:sz w:val="20"/>
              </w:rPr>
            </w:pPr>
            <w:r w:rsidRPr="006308A6">
              <w:rPr>
                <w:color w:val="000000"/>
                <w:sz w:val="20"/>
              </w:rPr>
              <w:t>Signal and Train Control Regulations Violation Report</w:t>
            </w:r>
          </w:p>
        </w:tc>
        <w:tc>
          <w:tcPr>
            <w:tcW w:w="1170" w:type="dxa"/>
            <w:hideMark/>
          </w:tcPr>
          <w:p w:rsidR="006308A6" w:rsidRPr="006308A6" w:rsidP="006308A6" w14:paraId="0EE22088" w14:textId="77777777">
            <w:pPr>
              <w:jc w:val="center"/>
              <w:rPr>
                <w:color w:val="000000"/>
                <w:sz w:val="20"/>
              </w:rPr>
            </w:pPr>
            <w:r w:rsidRPr="006308A6">
              <w:rPr>
                <w:color w:val="000000"/>
                <w:sz w:val="20"/>
              </w:rPr>
              <w:t>14</w:t>
            </w:r>
          </w:p>
          <w:p w:rsidR="006308A6" w:rsidRPr="006308A6" w:rsidP="006308A6" w14:paraId="1406CCDD" w14:textId="77777777">
            <w:pPr>
              <w:jc w:val="center"/>
              <w:rPr>
                <w:color w:val="000000"/>
                <w:sz w:val="20"/>
              </w:rPr>
            </w:pPr>
            <w:r w:rsidRPr="006308A6">
              <w:rPr>
                <w:color w:val="000000"/>
                <w:sz w:val="20"/>
              </w:rPr>
              <w:t>States</w:t>
            </w:r>
          </w:p>
        </w:tc>
        <w:tc>
          <w:tcPr>
            <w:tcW w:w="1080" w:type="dxa"/>
            <w:hideMark/>
          </w:tcPr>
          <w:p w:rsidR="006308A6" w:rsidRPr="006308A6" w:rsidP="006308A6" w14:paraId="63EDEA63" w14:textId="77777777">
            <w:pPr>
              <w:jc w:val="center"/>
              <w:rPr>
                <w:color w:val="000000"/>
                <w:sz w:val="20"/>
              </w:rPr>
            </w:pPr>
            <w:r w:rsidRPr="006308A6">
              <w:rPr>
                <w:color w:val="000000"/>
                <w:sz w:val="20"/>
              </w:rPr>
              <w:t>40</w:t>
            </w:r>
          </w:p>
          <w:p w:rsidR="006308A6" w:rsidRPr="006308A6" w:rsidP="006308A6" w14:paraId="3945C955" w14:textId="77777777">
            <w:pPr>
              <w:jc w:val="center"/>
              <w:rPr>
                <w:color w:val="000000"/>
                <w:sz w:val="20"/>
              </w:rPr>
            </w:pPr>
            <w:r w:rsidRPr="006308A6">
              <w:rPr>
                <w:color w:val="000000"/>
                <w:sz w:val="20"/>
              </w:rPr>
              <w:t>reports</w:t>
            </w:r>
          </w:p>
        </w:tc>
        <w:tc>
          <w:tcPr>
            <w:tcW w:w="990" w:type="dxa"/>
            <w:hideMark/>
          </w:tcPr>
          <w:p w:rsidR="006308A6" w:rsidRPr="006308A6" w:rsidP="006308A6" w14:paraId="454994E6" w14:textId="77777777">
            <w:pPr>
              <w:jc w:val="center"/>
              <w:rPr>
                <w:color w:val="000000"/>
                <w:sz w:val="20"/>
              </w:rPr>
            </w:pPr>
            <w:r w:rsidRPr="006308A6">
              <w:rPr>
                <w:color w:val="000000"/>
                <w:sz w:val="20"/>
              </w:rPr>
              <w:t>4</w:t>
            </w:r>
          </w:p>
          <w:p w:rsidR="006308A6" w:rsidRPr="006308A6" w:rsidP="006308A6" w14:paraId="32E21F49" w14:textId="77777777">
            <w:pPr>
              <w:jc w:val="center"/>
              <w:rPr>
                <w:color w:val="000000"/>
                <w:sz w:val="20"/>
              </w:rPr>
            </w:pPr>
            <w:r w:rsidRPr="006308A6">
              <w:rPr>
                <w:color w:val="000000"/>
                <w:sz w:val="20"/>
              </w:rPr>
              <w:t>hours</w:t>
            </w:r>
          </w:p>
        </w:tc>
        <w:tc>
          <w:tcPr>
            <w:tcW w:w="1170" w:type="dxa"/>
            <w:hideMark/>
          </w:tcPr>
          <w:p w:rsidR="006308A6" w:rsidRPr="006308A6" w:rsidP="006308A6" w14:paraId="27D7044B" w14:textId="77777777">
            <w:pPr>
              <w:jc w:val="center"/>
              <w:rPr>
                <w:color w:val="000000"/>
                <w:sz w:val="20"/>
              </w:rPr>
            </w:pPr>
            <w:r w:rsidRPr="006308A6">
              <w:rPr>
                <w:color w:val="000000"/>
                <w:sz w:val="20"/>
              </w:rPr>
              <w:t>320</w:t>
            </w:r>
          </w:p>
          <w:p w:rsidR="006308A6" w:rsidRPr="006308A6" w:rsidP="006308A6" w14:paraId="7ECC83BD" w14:textId="77777777">
            <w:pPr>
              <w:jc w:val="center"/>
              <w:rPr>
                <w:color w:val="000000"/>
                <w:sz w:val="20"/>
              </w:rPr>
            </w:pPr>
            <w:r w:rsidRPr="006308A6">
              <w:rPr>
                <w:color w:val="000000"/>
                <w:sz w:val="20"/>
              </w:rPr>
              <w:t>hours</w:t>
            </w:r>
          </w:p>
        </w:tc>
        <w:tc>
          <w:tcPr>
            <w:tcW w:w="810" w:type="dxa"/>
          </w:tcPr>
          <w:p w:rsidR="006308A6" w:rsidRPr="006308A6" w:rsidP="006308A6" w14:paraId="06E6E957" w14:textId="77777777">
            <w:pPr>
              <w:jc w:val="right"/>
              <w:rPr>
                <w:color w:val="000000"/>
                <w:sz w:val="20"/>
              </w:rPr>
            </w:pPr>
            <w:r w:rsidRPr="006308A6">
              <w:rPr>
                <w:rFonts w:eastAsiaTheme="minorHAnsi"/>
                <w:kern w:val="2"/>
                <w:sz w:val="20"/>
                <w14:ligatures w14:val="standardContextual"/>
              </w:rPr>
              <w:t>$88.36</w:t>
            </w:r>
          </w:p>
        </w:tc>
        <w:tc>
          <w:tcPr>
            <w:tcW w:w="1255" w:type="dxa"/>
          </w:tcPr>
          <w:p w:rsidR="006308A6" w:rsidRPr="006308A6" w:rsidP="006308A6" w14:paraId="639275DC" w14:textId="77777777">
            <w:pPr>
              <w:jc w:val="right"/>
              <w:rPr>
                <w:color w:val="000000"/>
                <w:sz w:val="20"/>
              </w:rPr>
            </w:pPr>
            <w:r w:rsidRPr="006308A6">
              <w:rPr>
                <w:rFonts w:eastAsiaTheme="minorHAnsi"/>
                <w:kern w:val="2"/>
                <w:sz w:val="20"/>
                <w14:ligatures w14:val="standardContextual"/>
              </w:rPr>
              <w:t>$14,137.60</w:t>
            </w:r>
          </w:p>
        </w:tc>
        <w:tc>
          <w:tcPr>
            <w:tcW w:w="3695" w:type="dxa"/>
          </w:tcPr>
          <w:p w:rsidR="006308A6" w:rsidRPr="006308A6" w:rsidP="006308A6" w14:paraId="04C06F2A" w14:textId="77777777">
            <w:pPr>
              <w:rPr>
                <w:color w:val="000000"/>
                <w:sz w:val="20"/>
              </w:rPr>
            </w:pPr>
            <w:r w:rsidRPr="006308A6">
              <w:rPr>
                <w:color w:val="000000"/>
                <w:sz w:val="20"/>
              </w:rPr>
              <w:t>This report is used by State inspectors to document violations of the Signal and Train Control Regulations.</w:t>
            </w:r>
          </w:p>
          <w:p w:rsidR="006308A6" w:rsidRPr="006308A6" w:rsidP="006308A6" w14:paraId="6575437F" w14:textId="77777777">
            <w:pPr>
              <w:rPr>
                <w:rFonts w:eastAsiaTheme="minorHAnsi"/>
                <w:kern w:val="2"/>
                <w:sz w:val="20"/>
                <w14:ligatures w14:val="standardContextual"/>
              </w:rPr>
            </w:pPr>
          </w:p>
        </w:tc>
      </w:tr>
      <w:tr w14:paraId="731ED538" w14:textId="77777777" w:rsidTr="356F83C9">
        <w:tblPrEx>
          <w:tblW w:w="0" w:type="auto"/>
          <w:tblLayout w:type="fixed"/>
          <w:tblLook w:val="04A0"/>
        </w:tblPrEx>
        <w:trPr>
          <w:trHeight w:val="197"/>
        </w:trPr>
        <w:tc>
          <w:tcPr>
            <w:tcW w:w="12325" w:type="dxa"/>
            <w:gridSpan w:val="8"/>
          </w:tcPr>
          <w:p w:rsidR="006308A6" w:rsidRPr="006308A6" w:rsidP="006308A6" w14:paraId="34A32DBF" w14:textId="1772100B">
            <w:pPr>
              <w:rPr>
                <w:b/>
                <w:bCs/>
                <w:color w:val="000000"/>
                <w:sz w:val="20"/>
              </w:rPr>
            </w:pPr>
            <w:r w:rsidRPr="006308A6">
              <w:rPr>
                <w:b/>
                <w:bCs/>
                <w:color w:val="000000"/>
                <w:sz w:val="20"/>
              </w:rPr>
              <w:t>209.405 Reporting of remedial actions</w:t>
            </w:r>
          </w:p>
        </w:tc>
      </w:tr>
      <w:tr w14:paraId="38A51291" w14:textId="77777777" w:rsidTr="356F83C9">
        <w:tblPrEx>
          <w:tblW w:w="0" w:type="auto"/>
          <w:tblLayout w:type="fixed"/>
          <w:tblLook w:val="04A0"/>
        </w:tblPrEx>
        <w:trPr>
          <w:trHeight w:val="1169"/>
        </w:trPr>
        <w:tc>
          <w:tcPr>
            <w:tcW w:w="2155" w:type="dxa"/>
            <w:hideMark/>
          </w:tcPr>
          <w:p w:rsidR="006308A6" w:rsidRPr="006308A6" w:rsidP="006308A6" w14:paraId="00E6C793" w14:textId="77777777">
            <w:pPr>
              <w:rPr>
                <w:color w:val="000000"/>
                <w:sz w:val="20"/>
              </w:rPr>
            </w:pPr>
            <w:r w:rsidRPr="006308A6">
              <w:rPr>
                <w:color w:val="000000"/>
                <w:sz w:val="20"/>
              </w:rPr>
              <w:t xml:space="preserve">—(a) Completion of remedial actions report on FRA F 6180.96 after receipt of written notification from an FRA or State Safety Inspector </w:t>
            </w:r>
          </w:p>
        </w:tc>
        <w:tc>
          <w:tcPr>
            <w:tcW w:w="1170" w:type="dxa"/>
            <w:hideMark/>
          </w:tcPr>
          <w:p w:rsidR="006308A6" w:rsidRPr="006308A6" w:rsidP="006308A6" w14:paraId="3082FA31" w14:textId="74520190">
            <w:pPr>
              <w:jc w:val="center"/>
              <w:rPr>
                <w:color w:val="000000"/>
                <w:sz w:val="20"/>
              </w:rPr>
            </w:pPr>
            <w:r w:rsidRPr="63E07A38">
              <w:rPr>
                <w:color w:val="000000" w:themeColor="text1"/>
                <w:sz w:val="20"/>
              </w:rPr>
              <w:t>745 railroads</w:t>
            </w:r>
            <w:r w:rsidRPr="63E07A38" w:rsidR="00D703A0">
              <w:rPr>
                <w:color w:val="000000" w:themeColor="text1"/>
                <w:sz w:val="20"/>
              </w:rPr>
              <w:t xml:space="preserve"> </w:t>
            </w:r>
          </w:p>
        </w:tc>
        <w:tc>
          <w:tcPr>
            <w:tcW w:w="1080" w:type="dxa"/>
            <w:hideMark/>
          </w:tcPr>
          <w:p w:rsidR="006308A6" w:rsidRPr="006308A6" w:rsidP="006308A6" w14:paraId="2BC4EE96" w14:textId="77777777">
            <w:pPr>
              <w:jc w:val="center"/>
              <w:rPr>
                <w:color w:val="000000"/>
                <w:sz w:val="20"/>
              </w:rPr>
            </w:pPr>
            <w:r w:rsidRPr="006308A6">
              <w:rPr>
                <w:color w:val="000000"/>
                <w:sz w:val="20"/>
              </w:rPr>
              <w:t>2,400 reports</w:t>
            </w:r>
          </w:p>
        </w:tc>
        <w:tc>
          <w:tcPr>
            <w:tcW w:w="990" w:type="dxa"/>
            <w:hideMark/>
          </w:tcPr>
          <w:p w:rsidR="006308A6" w:rsidRPr="006308A6" w:rsidP="006308A6" w14:paraId="3D01CC18" w14:textId="77777777">
            <w:pPr>
              <w:jc w:val="center"/>
              <w:rPr>
                <w:color w:val="000000"/>
                <w:sz w:val="20"/>
              </w:rPr>
            </w:pPr>
            <w:r w:rsidRPr="006308A6">
              <w:rPr>
                <w:color w:val="000000"/>
                <w:sz w:val="20"/>
              </w:rPr>
              <w:t>30 minutes</w:t>
            </w:r>
          </w:p>
        </w:tc>
        <w:tc>
          <w:tcPr>
            <w:tcW w:w="1170" w:type="dxa"/>
            <w:hideMark/>
          </w:tcPr>
          <w:p w:rsidR="006308A6" w:rsidRPr="006308A6" w:rsidP="006308A6" w14:paraId="08FF7D84" w14:textId="77777777">
            <w:pPr>
              <w:jc w:val="center"/>
              <w:rPr>
                <w:color w:val="000000"/>
                <w:sz w:val="20"/>
              </w:rPr>
            </w:pPr>
            <w:r w:rsidRPr="006308A6">
              <w:rPr>
                <w:color w:val="000000"/>
                <w:sz w:val="20"/>
              </w:rPr>
              <w:t>1,200</w:t>
            </w:r>
          </w:p>
          <w:p w:rsidR="006308A6" w:rsidRPr="006308A6" w:rsidP="006308A6" w14:paraId="4C7EE301" w14:textId="77777777">
            <w:pPr>
              <w:jc w:val="center"/>
              <w:rPr>
                <w:color w:val="000000"/>
                <w:sz w:val="20"/>
              </w:rPr>
            </w:pPr>
            <w:r w:rsidRPr="006308A6">
              <w:rPr>
                <w:color w:val="000000"/>
                <w:sz w:val="20"/>
              </w:rPr>
              <w:t xml:space="preserve"> hours</w:t>
            </w:r>
          </w:p>
        </w:tc>
        <w:tc>
          <w:tcPr>
            <w:tcW w:w="810" w:type="dxa"/>
          </w:tcPr>
          <w:p w:rsidR="006308A6" w:rsidRPr="006308A6" w:rsidP="006308A6" w14:paraId="3AD78417" w14:textId="77777777">
            <w:pPr>
              <w:jc w:val="right"/>
              <w:rPr>
                <w:color w:val="000000"/>
                <w:sz w:val="20"/>
              </w:rPr>
            </w:pPr>
            <w:r w:rsidRPr="006308A6">
              <w:rPr>
                <w:rFonts w:eastAsiaTheme="minorHAnsi"/>
                <w:kern w:val="2"/>
                <w:sz w:val="20"/>
                <w14:ligatures w14:val="standardContextual"/>
              </w:rPr>
              <w:t>$89.13</w:t>
            </w:r>
          </w:p>
        </w:tc>
        <w:tc>
          <w:tcPr>
            <w:tcW w:w="1255" w:type="dxa"/>
          </w:tcPr>
          <w:p w:rsidR="006308A6" w:rsidRPr="006308A6" w:rsidP="006308A6" w14:paraId="78F34151" w14:textId="77777777">
            <w:pPr>
              <w:jc w:val="right"/>
              <w:rPr>
                <w:color w:val="000000"/>
                <w:sz w:val="20"/>
              </w:rPr>
            </w:pPr>
            <w:r w:rsidRPr="006308A6">
              <w:rPr>
                <w:rFonts w:eastAsiaTheme="minorHAnsi"/>
                <w:kern w:val="2"/>
                <w:sz w:val="20"/>
                <w14:ligatures w14:val="standardContextual"/>
              </w:rPr>
              <w:t>$106,956.00</w:t>
            </w:r>
          </w:p>
        </w:tc>
        <w:tc>
          <w:tcPr>
            <w:tcW w:w="3695" w:type="dxa"/>
          </w:tcPr>
          <w:p w:rsidR="006308A6" w:rsidRPr="006308A6" w:rsidP="006308A6" w14:paraId="271DADE6" w14:textId="7A3E311C">
            <w:pPr>
              <w:rPr>
                <w:rFonts w:eastAsiaTheme="minorHAnsi"/>
                <w:kern w:val="2"/>
                <w:sz w:val="20"/>
                <w14:ligatures w14:val="standardContextual"/>
              </w:rPr>
            </w:pPr>
            <w:r w:rsidRPr="006308A6">
              <w:rPr>
                <w:rFonts w:eastAsiaTheme="minorHAnsi"/>
                <w:color w:val="000000"/>
                <w:kern w:val="2"/>
                <w:sz w:val="20"/>
                <w14:ligatures w14:val="standardContextual"/>
              </w:rPr>
              <w:t xml:space="preserve">Each railroad that has received written notification on FRA’s Inspection Report (FRA F 6180.96) from an FRA or State Safety Inspector both that assessment of a civil penalty will be recommended for the railroad’s failure to comply with a provision of the Federal railroad safety laws and </w:t>
            </w:r>
            <w:r w:rsidR="00D612AD">
              <w:rPr>
                <w:rFonts w:eastAsiaTheme="minorHAnsi"/>
                <w:color w:val="000000"/>
                <w:kern w:val="2"/>
                <w:sz w:val="20"/>
                <w14:ligatures w14:val="standardContextual"/>
              </w:rPr>
              <w:t xml:space="preserve">regulations </w:t>
            </w:r>
            <w:r w:rsidRPr="006308A6">
              <w:rPr>
                <w:rFonts w:eastAsiaTheme="minorHAnsi"/>
                <w:color w:val="000000"/>
                <w:kern w:val="2"/>
                <w:sz w:val="20"/>
                <w14:ligatures w14:val="standardContextual"/>
              </w:rPr>
              <w:t xml:space="preserve">and that it must </w:t>
            </w:r>
            <w:r w:rsidRPr="006308A6">
              <w:rPr>
                <w:rFonts w:eastAsiaTheme="minorHAnsi"/>
                <w:color w:val="000000"/>
                <w:kern w:val="2"/>
                <w:sz w:val="20"/>
                <w14:ligatures w14:val="standardContextual"/>
              </w:rPr>
              <w:t>submit a remedial actions report is required to report to FRA, within 30 days after the calendar month in which the notification is received, all actions taken to remedy that failure.</w:t>
            </w:r>
          </w:p>
        </w:tc>
      </w:tr>
      <w:tr w14:paraId="7BD8A021" w14:textId="77777777" w:rsidTr="356F83C9">
        <w:tblPrEx>
          <w:tblW w:w="0" w:type="auto"/>
          <w:tblLayout w:type="fixed"/>
          <w:tblLook w:val="04A0"/>
        </w:tblPrEx>
        <w:trPr>
          <w:trHeight w:val="710"/>
        </w:trPr>
        <w:tc>
          <w:tcPr>
            <w:tcW w:w="2155" w:type="dxa"/>
            <w:hideMark/>
          </w:tcPr>
          <w:p w:rsidR="006308A6" w:rsidRPr="006308A6" w:rsidP="006308A6" w14:paraId="2FC61F7D" w14:textId="77777777">
            <w:pPr>
              <w:rPr>
                <w:color w:val="000000"/>
                <w:sz w:val="20"/>
              </w:rPr>
            </w:pPr>
            <w:r w:rsidRPr="006308A6">
              <w:rPr>
                <w:color w:val="000000"/>
                <w:sz w:val="20"/>
              </w:rPr>
              <w:t>—(b) Violation report challenge by the railroads—Remedial action reports</w:t>
            </w:r>
          </w:p>
        </w:tc>
        <w:tc>
          <w:tcPr>
            <w:tcW w:w="1170" w:type="dxa"/>
            <w:hideMark/>
          </w:tcPr>
          <w:p w:rsidR="006308A6" w:rsidRPr="006308A6" w:rsidP="006308A6" w14:paraId="5EB2DDF1" w14:textId="77777777">
            <w:pPr>
              <w:jc w:val="center"/>
              <w:rPr>
                <w:color w:val="000000"/>
                <w:sz w:val="20"/>
              </w:rPr>
            </w:pPr>
            <w:r w:rsidRPr="006308A6">
              <w:rPr>
                <w:color w:val="000000"/>
                <w:sz w:val="20"/>
              </w:rPr>
              <w:t>745 railroads</w:t>
            </w:r>
          </w:p>
        </w:tc>
        <w:tc>
          <w:tcPr>
            <w:tcW w:w="1080" w:type="dxa"/>
            <w:hideMark/>
          </w:tcPr>
          <w:p w:rsidR="006308A6" w:rsidRPr="006308A6" w:rsidP="006308A6" w14:paraId="0EF95719" w14:textId="77777777">
            <w:pPr>
              <w:jc w:val="center"/>
              <w:rPr>
                <w:color w:val="000000"/>
                <w:sz w:val="20"/>
              </w:rPr>
            </w:pPr>
            <w:r w:rsidRPr="006308A6">
              <w:rPr>
                <w:color w:val="000000"/>
                <w:sz w:val="20"/>
              </w:rPr>
              <w:t>50</w:t>
            </w:r>
          </w:p>
          <w:p w:rsidR="006308A6" w:rsidRPr="006308A6" w:rsidP="006308A6" w14:paraId="0E8F06D1" w14:textId="77777777">
            <w:pPr>
              <w:jc w:val="center"/>
              <w:rPr>
                <w:color w:val="000000"/>
                <w:sz w:val="20"/>
              </w:rPr>
            </w:pPr>
            <w:r w:rsidRPr="006308A6">
              <w:rPr>
                <w:color w:val="000000"/>
                <w:sz w:val="20"/>
              </w:rPr>
              <w:t>challenges</w:t>
            </w:r>
          </w:p>
        </w:tc>
        <w:tc>
          <w:tcPr>
            <w:tcW w:w="990" w:type="dxa"/>
            <w:hideMark/>
          </w:tcPr>
          <w:p w:rsidR="006308A6" w:rsidRPr="006308A6" w:rsidP="006308A6" w14:paraId="20054443" w14:textId="77777777">
            <w:pPr>
              <w:jc w:val="center"/>
              <w:rPr>
                <w:color w:val="000000"/>
                <w:sz w:val="20"/>
              </w:rPr>
            </w:pPr>
            <w:r w:rsidRPr="006308A6">
              <w:rPr>
                <w:color w:val="000000"/>
                <w:sz w:val="20"/>
              </w:rPr>
              <w:t>45 minutes</w:t>
            </w:r>
          </w:p>
        </w:tc>
        <w:tc>
          <w:tcPr>
            <w:tcW w:w="1170" w:type="dxa"/>
            <w:hideMark/>
          </w:tcPr>
          <w:p w:rsidR="006308A6" w:rsidRPr="006308A6" w:rsidP="006308A6" w14:paraId="05188AFF" w14:textId="77777777">
            <w:pPr>
              <w:jc w:val="center"/>
              <w:rPr>
                <w:color w:val="000000"/>
                <w:sz w:val="20"/>
              </w:rPr>
            </w:pPr>
            <w:r w:rsidRPr="006308A6">
              <w:rPr>
                <w:color w:val="000000"/>
                <w:sz w:val="20"/>
              </w:rPr>
              <w:t>37.50</w:t>
            </w:r>
          </w:p>
          <w:p w:rsidR="006308A6" w:rsidRPr="006308A6" w:rsidP="006308A6" w14:paraId="19990526" w14:textId="77777777">
            <w:pPr>
              <w:jc w:val="center"/>
              <w:rPr>
                <w:color w:val="000000"/>
                <w:sz w:val="20"/>
              </w:rPr>
            </w:pPr>
            <w:r w:rsidRPr="006308A6">
              <w:rPr>
                <w:color w:val="000000"/>
                <w:sz w:val="20"/>
              </w:rPr>
              <w:t xml:space="preserve"> hours</w:t>
            </w:r>
          </w:p>
        </w:tc>
        <w:tc>
          <w:tcPr>
            <w:tcW w:w="810" w:type="dxa"/>
          </w:tcPr>
          <w:p w:rsidR="006308A6" w:rsidRPr="006308A6" w:rsidP="006308A6" w14:paraId="1E67323D" w14:textId="77777777">
            <w:pPr>
              <w:jc w:val="right"/>
              <w:rPr>
                <w:color w:val="000000"/>
                <w:sz w:val="20"/>
              </w:rPr>
            </w:pPr>
            <w:r w:rsidRPr="006308A6">
              <w:rPr>
                <w:rFonts w:eastAsiaTheme="minorHAnsi"/>
                <w:kern w:val="2"/>
                <w:sz w:val="20"/>
                <w14:ligatures w14:val="standardContextual"/>
              </w:rPr>
              <w:t>$89.13</w:t>
            </w:r>
          </w:p>
        </w:tc>
        <w:tc>
          <w:tcPr>
            <w:tcW w:w="1255" w:type="dxa"/>
          </w:tcPr>
          <w:p w:rsidR="006308A6" w:rsidRPr="006308A6" w:rsidP="006308A6" w14:paraId="77FF00CF" w14:textId="77777777">
            <w:pPr>
              <w:jc w:val="right"/>
              <w:rPr>
                <w:color w:val="000000"/>
                <w:sz w:val="20"/>
              </w:rPr>
            </w:pPr>
            <w:r w:rsidRPr="006308A6">
              <w:rPr>
                <w:rFonts w:eastAsiaTheme="minorHAnsi"/>
                <w:kern w:val="2"/>
                <w:sz w:val="20"/>
                <w14:ligatures w14:val="standardContextual"/>
              </w:rPr>
              <w:t>$3,342.38</w:t>
            </w:r>
          </w:p>
        </w:tc>
        <w:tc>
          <w:tcPr>
            <w:tcW w:w="3695" w:type="dxa"/>
          </w:tcPr>
          <w:p w:rsidR="006308A6" w:rsidRPr="006308A6" w:rsidP="006308A6" w14:paraId="0CCEFD50" w14:textId="04561B86">
            <w:pPr>
              <w:rPr>
                <w:rFonts w:eastAsiaTheme="minorHAnsi"/>
                <w:kern w:val="2"/>
                <w:sz w:val="20"/>
                <w14:ligatures w14:val="standardContextual"/>
              </w:rPr>
            </w:pPr>
            <w:r w:rsidRPr="006308A6">
              <w:rPr>
                <w:color w:val="000000"/>
                <w:sz w:val="20"/>
              </w:rPr>
              <w:t xml:space="preserve">If any railroad concludes that the violation alleged on the </w:t>
            </w:r>
            <w:r w:rsidR="00F93A4A">
              <w:rPr>
                <w:color w:val="000000"/>
                <w:sz w:val="20"/>
              </w:rPr>
              <w:t>violation</w:t>
            </w:r>
            <w:r w:rsidRPr="006308A6">
              <w:rPr>
                <w:color w:val="000000"/>
                <w:sz w:val="20"/>
              </w:rPr>
              <w:t xml:space="preserve"> report may not have occurred, it may submit the remedial actions report with an appropriate written explanation.</w:t>
            </w:r>
          </w:p>
        </w:tc>
      </w:tr>
      <w:tr w14:paraId="205B5CE2" w14:textId="77777777" w:rsidTr="356F83C9">
        <w:tblPrEx>
          <w:tblW w:w="0" w:type="auto"/>
          <w:tblLayout w:type="fixed"/>
          <w:tblLook w:val="04A0"/>
        </w:tblPrEx>
        <w:trPr>
          <w:trHeight w:val="197"/>
        </w:trPr>
        <w:tc>
          <w:tcPr>
            <w:tcW w:w="12325" w:type="dxa"/>
            <w:gridSpan w:val="8"/>
          </w:tcPr>
          <w:p w:rsidR="006308A6" w:rsidRPr="006308A6" w:rsidP="006308A6" w14:paraId="246A62C1" w14:textId="4963F1FB">
            <w:pPr>
              <w:rPr>
                <w:b/>
                <w:bCs/>
                <w:color w:val="000000"/>
                <w:sz w:val="20"/>
              </w:rPr>
            </w:pPr>
            <w:r w:rsidRPr="006308A6">
              <w:rPr>
                <w:b/>
                <w:bCs/>
                <w:color w:val="000000"/>
                <w:sz w:val="20"/>
              </w:rPr>
              <w:t>209.407 Delayed Reports</w:t>
            </w:r>
          </w:p>
        </w:tc>
      </w:tr>
      <w:tr w14:paraId="5D3C5F58" w14:textId="77777777" w:rsidTr="00B908BD">
        <w:tblPrEx>
          <w:tblW w:w="0" w:type="auto"/>
          <w:tblLayout w:type="fixed"/>
          <w:tblLook w:val="04A0"/>
        </w:tblPrEx>
        <w:trPr>
          <w:trHeight w:val="1988"/>
        </w:trPr>
        <w:tc>
          <w:tcPr>
            <w:tcW w:w="2155" w:type="dxa"/>
            <w:tcBorders>
              <w:top w:val="single" w:sz="4" w:space="0" w:color="auto"/>
              <w:left w:val="single" w:sz="4" w:space="0" w:color="auto"/>
              <w:bottom w:val="single" w:sz="4" w:space="0" w:color="auto"/>
              <w:right w:val="single" w:sz="4" w:space="0" w:color="auto"/>
            </w:tcBorders>
            <w:hideMark/>
          </w:tcPr>
          <w:p w:rsidR="006308A6" w:rsidRPr="006308A6" w:rsidP="006308A6" w14:paraId="6C070A9D" w14:textId="77777777">
            <w:pPr>
              <w:rPr>
                <w:color w:val="000000"/>
                <w:sz w:val="20"/>
              </w:rPr>
            </w:pPr>
            <w:r w:rsidRPr="006308A6">
              <w:rPr>
                <w:color w:val="000000"/>
                <w:sz w:val="20"/>
              </w:rPr>
              <w:t xml:space="preserve">—Delayed reports  </w:t>
            </w:r>
          </w:p>
        </w:tc>
        <w:tc>
          <w:tcPr>
            <w:tcW w:w="1170" w:type="dxa"/>
            <w:tcBorders>
              <w:top w:val="single" w:sz="4" w:space="0" w:color="auto"/>
              <w:left w:val="single" w:sz="4" w:space="0" w:color="auto"/>
              <w:bottom w:val="single" w:sz="4" w:space="0" w:color="auto"/>
              <w:right w:val="single" w:sz="4" w:space="0" w:color="auto"/>
            </w:tcBorders>
            <w:hideMark/>
          </w:tcPr>
          <w:p w:rsidR="006308A6" w:rsidRPr="006308A6" w:rsidP="006308A6" w14:paraId="652F11EF" w14:textId="77777777">
            <w:pPr>
              <w:jc w:val="center"/>
              <w:rPr>
                <w:color w:val="000000"/>
                <w:sz w:val="20"/>
              </w:rPr>
            </w:pPr>
            <w:r w:rsidRPr="006308A6">
              <w:rPr>
                <w:color w:val="000000"/>
                <w:sz w:val="20"/>
              </w:rPr>
              <w:t>745 railroads</w:t>
            </w:r>
          </w:p>
        </w:tc>
        <w:tc>
          <w:tcPr>
            <w:tcW w:w="1080" w:type="dxa"/>
            <w:tcBorders>
              <w:top w:val="single" w:sz="4" w:space="0" w:color="auto"/>
              <w:left w:val="single" w:sz="4" w:space="0" w:color="auto"/>
              <w:bottom w:val="single" w:sz="4" w:space="0" w:color="auto"/>
              <w:right w:val="single" w:sz="4" w:space="0" w:color="auto"/>
            </w:tcBorders>
            <w:hideMark/>
          </w:tcPr>
          <w:p w:rsidR="006308A6" w:rsidRPr="006308A6" w:rsidP="006308A6" w14:paraId="59CFE30D" w14:textId="77777777">
            <w:pPr>
              <w:jc w:val="center"/>
              <w:rPr>
                <w:color w:val="000000"/>
                <w:sz w:val="20"/>
              </w:rPr>
            </w:pPr>
            <w:r w:rsidRPr="006308A6">
              <w:rPr>
                <w:color w:val="000000"/>
                <w:sz w:val="20"/>
              </w:rPr>
              <w:t>50</w:t>
            </w:r>
          </w:p>
          <w:p w:rsidR="006308A6" w:rsidRPr="006308A6" w:rsidP="006308A6" w14:paraId="174652C6" w14:textId="77777777">
            <w:pPr>
              <w:jc w:val="center"/>
              <w:rPr>
                <w:color w:val="000000"/>
                <w:sz w:val="20"/>
              </w:rPr>
            </w:pPr>
            <w:r w:rsidRPr="006308A6">
              <w:rPr>
                <w:color w:val="000000"/>
                <w:sz w:val="20"/>
              </w:rPr>
              <w:t>reports</w:t>
            </w:r>
          </w:p>
        </w:tc>
        <w:tc>
          <w:tcPr>
            <w:tcW w:w="990" w:type="dxa"/>
            <w:tcBorders>
              <w:top w:val="single" w:sz="4" w:space="0" w:color="auto"/>
              <w:left w:val="single" w:sz="4" w:space="0" w:color="auto"/>
              <w:bottom w:val="single" w:sz="4" w:space="0" w:color="auto"/>
              <w:right w:val="single" w:sz="4" w:space="0" w:color="auto"/>
            </w:tcBorders>
            <w:hideMark/>
          </w:tcPr>
          <w:p w:rsidR="006308A6" w:rsidRPr="006308A6" w:rsidP="006308A6" w14:paraId="7FE242BA" w14:textId="77777777">
            <w:pPr>
              <w:jc w:val="center"/>
              <w:rPr>
                <w:color w:val="000000"/>
                <w:sz w:val="20"/>
              </w:rPr>
            </w:pPr>
            <w:r w:rsidRPr="006308A6">
              <w:rPr>
                <w:color w:val="000000"/>
                <w:sz w:val="20"/>
              </w:rPr>
              <w:t>45 minutes</w:t>
            </w:r>
          </w:p>
        </w:tc>
        <w:tc>
          <w:tcPr>
            <w:tcW w:w="1170" w:type="dxa"/>
            <w:tcBorders>
              <w:top w:val="single" w:sz="4" w:space="0" w:color="auto"/>
              <w:left w:val="single" w:sz="4" w:space="0" w:color="auto"/>
              <w:bottom w:val="single" w:sz="4" w:space="0" w:color="auto"/>
              <w:right w:val="single" w:sz="4" w:space="0" w:color="auto"/>
            </w:tcBorders>
            <w:hideMark/>
          </w:tcPr>
          <w:p w:rsidR="006308A6" w:rsidRPr="006308A6" w:rsidP="006308A6" w14:paraId="2626E0BE" w14:textId="77777777">
            <w:pPr>
              <w:jc w:val="center"/>
              <w:rPr>
                <w:color w:val="000000"/>
                <w:sz w:val="20"/>
              </w:rPr>
            </w:pPr>
            <w:r w:rsidRPr="006308A6">
              <w:rPr>
                <w:color w:val="000000"/>
                <w:sz w:val="20"/>
              </w:rPr>
              <w:t xml:space="preserve">37.50 </w:t>
            </w:r>
          </w:p>
          <w:p w:rsidR="006308A6" w:rsidRPr="006308A6" w:rsidP="006308A6" w14:paraId="3C88A693" w14:textId="77777777">
            <w:pPr>
              <w:jc w:val="center"/>
              <w:rPr>
                <w:color w:val="000000"/>
                <w:sz w:val="20"/>
              </w:rPr>
            </w:pPr>
            <w:r w:rsidRPr="006308A6">
              <w:rPr>
                <w:color w:val="000000"/>
                <w:sz w:val="20"/>
              </w:rPr>
              <w:t>hours</w:t>
            </w:r>
          </w:p>
        </w:tc>
        <w:tc>
          <w:tcPr>
            <w:tcW w:w="810" w:type="dxa"/>
            <w:tcBorders>
              <w:top w:val="single" w:sz="4" w:space="0" w:color="auto"/>
              <w:left w:val="single" w:sz="4" w:space="0" w:color="auto"/>
              <w:bottom w:val="single" w:sz="4" w:space="0" w:color="auto"/>
              <w:right w:val="single" w:sz="4" w:space="0" w:color="auto"/>
            </w:tcBorders>
          </w:tcPr>
          <w:p w:rsidR="006308A6" w:rsidRPr="006308A6" w:rsidP="006308A6" w14:paraId="616B2F2A" w14:textId="77777777">
            <w:pPr>
              <w:jc w:val="right"/>
              <w:rPr>
                <w:color w:val="000000"/>
                <w:sz w:val="20"/>
              </w:rPr>
            </w:pPr>
            <w:r w:rsidRPr="006308A6">
              <w:rPr>
                <w:color w:val="000000"/>
                <w:sz w:val="20"/>
              </w:rPr>
              <w:t>$89.13</w:t>
            </w:r>
          </w:p>
        </w:tc>
        <w:tc>
          <w:tcPr>
            <w:tcW w:w="1255" w:type="dxa"/>
            <w:tcBorders>
              <w:top w:val="single" w:sz="4" w:space="0" w:color="auto"/>
              <w:left w:val="single" w:sz="4" w:space="0" w:color="auto"/>
              <w:bottom w:val="single" w:sz="4" w:space="0" w:color="auto"/>
              <w:right w:val="single" w:sz="4" w:space="0" w:color="auto"/>
            </w:tcBorders>
            <w:hideMark/>
          </w:tcPr>
          <w:p w:rsidR="006308A6" w:rsidRPr="006308A6" w:rsidP="006308A6" w14:paraId="67FD4F53" w14:textId="77777777">
            <w:pPr>
              <w:jc w:val="right"/>
              <w:rPr>
                <w:color w:val="000000"/>
                <w:sz w:val="20"/>
              </w:rPr>
            </w:pPr>
            <w:r w:rsidRPr="006308A6">
              <w:rPr>
                <w:color w:val="000000"/>
                <w:sz w:val="20"/>
              </w:rPr>
              <w:t>$3,342.88</w:t>
            </w:r>
          </w:p>
        </w:tc>
        <w:tc>
          <w:tcPr>
            <w:tcW w:w="3695" w:type="dxa"/>
            <w:tcBorders>
              <w:top w:val="single" w:sz="4" w:space="0" w:color="auto"/>
              <w:left w:val="single" w:sz="4" w:space="0" w:color="auto"/>
              <w:bottom w:val="single" w:sz="4" w:space="0" w:color="auto"/>
              <w:right w:val="single" w:sz="4" w:space="0" w:color="auto"/>
            </w:tcBorders>
          </w:tcPr>
          <w:p w:rsidR="006308A6" w:rsidRPr="006308A6" w:rsidP="006308A6" w14:paraId="7BD900A9" w14:textId="77777777">
            <w:pPr>
              <w:rPr>
                <w:color w:val="000000"/>
                <w:sz w:val="20"/>
              </w:rPr>
            </w:pPr>
            <w:r w:rsidRPr="006308A6">
              <w:rPr>
                <w:color w:val="000000"/>
                <w:sz w:val="20"/>
              </w:rPr>
              <w:t>If a railroad cannot initiate or complete remedial actions within 30 days after the end of the calendar month in which the notification is received, it must prepare, in writing, an explanation of the reasons for such delay and a good faith estimate of the date by which it will complete the remedial actions.</w:t>
            </w:r>
          </w:p>
          <w:p w:rsidR="006308A6" w:rsidRPr="006308A6" w:rsidP="006308A6" w14:paraId="4EFB479C" w14:textId="77777777">
            <w:pPr>
              <w:rPr>
                <w:color w:val="000000"/>
                <w:sz w:val="20"/>
              </w:rPr>
            </w:pPr>
          </w:p>
        </w:tc>
      </w:tr>
      <w:tr w14:paraId="7CEFA618" w14:textId="77777777" w:rsidTr="356F83C9">
        <w:tblPrEx>
          <w:tblW w:w="0" w:type="auto"/>
          <w:tblLayout w:type="fixed"/>
          <w:tblLook w:val="04A0"/>
        </w:tblPrEx>
        <w:trPr>
          <w:trHeight w:val="528"/>
        </w:trPr>
        <w:tc>
          <w:tcPr>
            <w:tcW w:w="2155" w:type="dxa"/>
            <w:hideMark/>
          </w:tcPr>
          <w:p w:rsidR="006308A6" w:rsidRPr="006308A6" w:rsidP="006308A6" w14:paraId="5608D65E" w14:textId="77777777">
            <w:pPr>
              <w:rPr>
                <w:color w:val="000000"/>
                <w:sz w:val="20"/>
              </w:rPr>
            </w:pPr>
            <w:r w:rsidRPr="356F83C9">
              <w:rPr>
                <w:color w:val="000000" w:themeColor="text1"/>
                <w:sz w:val="20"/>
              </w:rPr>
              <w:t>Total</w:t>
            </w:r>
            <w:r>
              <w:rPr>
                <w:color w:val="000000"/>
                <w:sz w:val="20"/>
                <w:vertAlign w:val="superscript"/>
              </w:rPr>
              <w:footnoteReference w:id="5"/>
            </w:r>
          </w:p>
        </w:tc>
        <w:tc>
          <w:tcPr>
            <w:tcW w:w="1170" w:type="dxa"/>
            <w:hideMark/>
          </w:tcPr>
          <w:p w:rsidR="006308A6" w:rsidRPr="006308A6" w:rsidP="006308A6" w14:paraId="2C14AF0A" w14:textId="77777777">
            <w:pPr>
              <w:jc w:val="center"/>
              <w:rPr>
                <w:color w:val="000000"/>
                <w:sz w:val="20"/>
              </w:rPr>
            </w:pPr>
            <w:r w:rsidRPr="006308A6">
              <w:rPr>
                <w:color w:val="000000"/>
                <w:sz w:val="20"/>
              </w:rPr>
              <w:t>34</w:t>
            </w:r>
          </w:p>
          <w:p w:rsidR="006308A6" w:rsidRPr="006308A6" w:rsidP="006308A6" w14:paraId="308BD2C6" w14:textId="77777777">
            <w:pPr>
              <w:jc w:val="center"/>
              <w:rPr>
                <w:color w:val="000000"/>
                <w:sz w:val="20"/>
              </w:rPr>
            </w:pPr>
            <w:r w:rsidRPr="006308A6">
              <w:rPr>
                <w:color w:val="000000"/>
                <w:sz w:val="20"/>
              </w:rPr>
              <w:t>States</w:t>
            </w:r>
          </w:p>
          <w:p w:rsidR="006308A6" w:rsidRPr="006308A6" w:rsidP="006308A6" w14:paraId="7F21BBFC" w14:textId="77777777">
            <w:pPr>
              <w:jc w:val="center"/>
              <w:rPr>
                <w:color w:val="000000"/>
                <w:sz w:val="20"/>
              </w:rPr>
            </w:pPr>
            <w:r w:rsidRPr="006308A6">
              <w:rPr>
                <w:color w:val="000000"/>
                <w:sz w:val="20"/>
              </w:rPr>
              <w:t>745 Railroads</w:t>
            </w:r>
          </w:p>
        </w:tc>
        <w:tc>
          <w:tcPr>
            <w:tcW w:w="1080" w:type="dxa"/>
            <w:hideMark/>
          </w:tcPr>
          <w:p w:rsidR="006308A6" w:rsidRPr="006308A6" w:rsidP="006308A6" w14:paraId="4C35AC61" w14:textId="77777777">
            <w:pPr>
              <w:jc w:val="center"/>
              <w:rPr>
                <w:color w:val="000000"/>
                <w:sz w:val="20"/>
              </w:rPr>
            </w:pPr>
            <w:r w:rsidRPr="006308A6">
              <w:rPr>
                <w:color w:val="000000"/>
                <w:sz w:val="20"/>
              </w:rPr>
              <w:t>23,225</w:t>
            </w:r>
          </w:p>
          <w:p w:rsidR="006308A6" w:rsidRPr="006308A6" w:rsidP="006308A6" w14:paraId="4222EC91" w14:textId="77777777">
            <w:pPr>
              <w:jc w:val="center"/>
              <w:rPr>
                <w:color w:val="000000"/>
                <w:sz w:val="20"/>
              </w:rPr>
            </w:pPr>
            <w:r w:rsidRPr="006308A6">
              <w:rPr>
                <w:color w:val="000000"/>
                <w:sz w:val="20"/>
              </w:rPr>
              <w:t>responses</w:t>
            </w:r>
          </w:p>
        </w:tc>
        <w:tc>
          <w:tcPr>
            <w:tcW w:w="990" w:type="dxa"/>
            <w:hideMark/>
          </w:tcPr>
          <w:p w:rsidR="006308A6" w:rsidRPr="006308A6" w:rsidP="006308A6" w14:paraId="50DA3CA8" w14:textId="77777777">
            <w:pPr>
              <w:jc w:val="center"/>
              <w:rPr>
                <w:color w:val="000000"/>
                <w:sz w:val="20"/>
              </w:rPr>
            </w:pPr>
            <w:r w:rsidRPr="006308A6">
              <w:rPr>
                <w:color w:val="000000"/>
                <w:sz w:val="20"/>
              </w:rPr>
              <w:t>N/A</w:t>
            </w:r>
          </w:p>
        </w:tc>
        <w:tc>
          <w:tcPr>
            <w:tcW w:w="1170" w:type="dxa"/>
            <w:hideMark/>
          </w:tcPr>
          <w:p w:rsidR="006308A6" w:rsidRPr="006308A6" w:rsidP="006308A6" w14:paraId="5F55EBE5" w14:textId="77777777">
            <w:pPr>
              <w:jc w:val="center"/>
              <w:rPr>
                <w:color w:val="000000"/>
                <w:sz w:val="20"/>
              </w:rPr>
            </w:pPr>
            <w:r w:rsidRPr="006308A6">
              <w:rPr>
                <w:color w:val="000000"/>
                <w:sz w:val="20"/>
              </w:rPr>
              <w:t>9,851</w:t>
            </w:r>
          </w:p>
          <w:p w:rsidR="006308A6" w:rsidRPr="006308A6" w:rsidP="006308A6" w14:paraId="7E479B7C" w14:textId="77777777">
            <w:pPr>
              <w:jc w:val="center"/>
              <w:rPr>
                <w:color w:val="000000"/>
                <w:sz w:val="20"/>
              </w:rPr>
            </w:pPr>
            <w:r w:rsidRPr="006308A6">
              <w:rPr>
                <w:color w:val="000000"/>
                <w:sz w:val="20"/>
              </w:rPr>
              <w:t>hours</w:t>
            </w:r>
          </w:p>
        </w:tc>
        <w:tc>
          <w:tcPr>
            <w:tcW w:w="810" w:type="dxa"/>
          </w:tcPr>
          <w:p w:rsidR="006308A6" w:rsidRPr="006308A6" w:rsidP="006308A6" w14:paraId="1C24E873" w14:textId="77777777">
            <w:pPr>
              <w:jc w:val="right"/>
              <w:rPr>
                <w:color w:val="000000"/>
                <w:sz w:val="20"/>
              </w:rPr>
            </w:pPr>
          </w:p>
        </w:tc>
        <w:tc>
          <w:tcPr>
            <w:tcW w:w="1255" w:type="dxa"/>
            <w:hideMark/>
          </w:tcPr>
          <w:p w:rsidR="006308A6" w:rsidRPr="006308A6" w:rsidP="006308A6" w14:paraId="4EF635C1" w14:textId="77777777">
            <w:pPr>
              <w:jc w:val="right"/>
              <w:rPr>
                <w:color w:val="000000"/>
                <w:sz w:val="20"/>
              </w:rPr>
            </w:pPr>
            <w:r w:rsidRPr="006308A6">
              <w:rPr>
                <w:color w:val="000000"/>
                <w:sz w:val="20"/>
              </w:rPr>
              <w:t>$871,416.12</w:t>
            </w:r>
          </w:p>
        </w:tc>
        <w:tc>
          <w:tcPr>
            <w:tcW w:w="3695" w:type="dxa"/>
          </w:tcPr>
          <w:p w:rsidR="006308A6" w:rsidRPr="006308A6" w:rsidP="006308A6" w14:paraId="56790CDF" w14:textId="77777777">
            <w:pPr>
              <w:jc w:val="right"/>
              <w:rPr>
                <w:color w:val="000000"/>
                <w:sz w:val="20"/>
              </w:rPr>
            </w:pPr>
          </w:p>
        </w:tc>
      </w:tr>
    </w:tbl>
    <w:p w:rsidR="008F1D35" w:rsidP="00AF67A8" w14:paraId="0EC9F17C" w14:textId="77777777">
      <w:pPr>
        <w:widowControl w:val="0"/>
        <w:rPr>
          <w:b/>
          <w:szCs w:val="24"/>
        </w:rPr>
      </w:pPr>
    </w:p>
    <w:p w:rsidR="00651560" w:rsidP="00AF67A8" w14:paraId="24A30CA3" w14:textId="77777777">
      <w:pPr>
        <w:widowControl w:val="0"/>
        <w:rPr>
          <w:b/>
          <w:szCs w:val="24"/>
        </w:rPr>
      </w:pPr>
    </w:p>
    <w:p w:rsidR="00684786" w:rsidP="00AF67A8" w14:paraId="2A1575BD" w14:textId="77777777">
      <w:pPr>
        <w:widowControl w:val="0"/>
        <w:rPr>
          <w:b/>
          <w:szCs w:val="24"/>
        </w:rPr>
        <w:sectPr w:rsidSect="006308A6">
          <w:pgSz w:w="15840" w:h="12240" w:orient="landscape"/>
          <w:pgMar w:top="1440" w:right="1440" w:bottom="1440" w:left="1440" w:header="1354" w:footer="1800" w:gutter="0"/>
          <w:cols w:space="720"/>
          <w:docGrid w:linePitch="326"/>
        </w:sectPr>
      </w:pPr>
    </w:p>
    <w:p w:rsidR="00AF67A8" w:rsidRPr="00164DED" w:rsidP="00AF67A8" w14:paraId="7C62488A" w14:textId="04F6E55E">
      <w:pPr>
        <w:widowControl w:val="0"/>
        <w:rPr>
          <w:szCs w:val="24"/>
        </w:rPr>
      </w:pPr>
      <w:r w:rsidRPr="00164DED">
        <w:rPr>
          <w:b/>
          <w:szCs w:val="24"/>
        </w:rPr>
        <w:t>13.</w:t>
      </w:r>
      <w:r w:rsidRPr="00164DED">
        <w:rPr>
          <w:b/>
          <w:szCs w:val="24"/>
        </w:rPr>
        <w:tab/>
      </w:r>
      <w:r w:rsidRPr="00164DED">
        <w:rPr>
          <w:b/>
          <w:szCs w:val="24"/>
          <w:u w:val="single"/>
        </w:rPr>
        <w:t>Estimate of total annual costs to respondents.</w:t>
      </w:r>
    </w:p>
    <w:p w:rsidR="00D14763" w:rsidRPr="00164DED" w14:paraId="6185DFC6" w14:textId="77777777">
      <w:pPr>
        <w:widowControl w:val="0"/>
        <w:rPr>
          <w:szCs w:val="24"/>
        </w:rPr>
      </w:pPr>
    </w:p>
    <w:p w:rsidR="009620D4" w:rsidP="000A2142" w14:paraId="7F2FC35F" w14:textId="524A6206">
      <w:pPr>
        <w:widowControl w:val="0"/>
        <w:ind w:left="720"/>
        <w:rPr>
          <w:spacing w:val="-3"/>
          <w:szCs w:val="24"/>
        </w:rPr>
      </w:pPr>
      <w:r>
        <w:rPr>
          <w:spacing w:val="-3"/>
          <w:szCs w:val="24"/>
        </w:rPr>
        <w:t xml:space="preserve">There </w:t>
      </w:r>
      <w:r w:rsidR="000A2142">
        <w:rPr>
          <w:spacing w:val="-3"/>
          <w:szCs w:val="24"/>
        </w:rPr>
        <w:t>are no</w:t>
      </w:r>
      <w:r>
        <w:rPr>
          <w:spacing w:val="-3"/>
          <w:szCs w:val="24"/>
        </w:rPr>
        <w:t xml:space="preserve"> additional costs to respondents in addition to those in question number 12 above</w:t>
      </w:r>
      <w:r w:rsidR="000A273B">
        <w:rPr>
          <w:spacing w:val="-3"/>
          <w:szCs w:val="24"/>
        </w:rPr>
        <w:t xml:space="preserve">. </w:t>
      </w:r>
    </w:p>
    <w:p w:rsidR="000A2142" w:rsidRPr="00164DED" w:rsidP="000A2142" w14:paraId="3599B2A3" w14:textId="77777777">
      <w:pPr>
        <w:widowControl w:val="0"/>
        <w:ind w:left="720"/>
        <w:rPr>
          <w:b/>
          <w:szCs w:val="24"/>
        </w:rPr>
      </w:pPr>
    </w:p>
    <w:p w:rsidR="009620D4" w:rsidRPr="00164DED" w:rsidP="008835B9" w14:paraId="666702C7" w14:textId="77777777">
      <w:pPr>
        <w:widowControl w:val="0"/>
        <w:ind w:left="720" w:hanging="720"/>
        <w:rPr>
          <w:b/>
          <w:szCs w:val="24"/>
        </w:rPr>
      </w:pPr>
      <w:r w:rsidRPr="00164DED">
        <w:rPr>
          <w:b/>
          <w:szCs w:val="24"/>
        </w:rPr>
        <w:t>14.</w:t>
      </w:r>
      <w:r w:rsidRPr="00164DED">
        <w:rPr>
          <w:b/>
          <w:szCs w:val="24"/>
        </w:rPr>
        <w:tab/>
      </w:r>
      <w:r w:rsidRPr="008835B9">
        <w:rPr>
          <w:b/>
          <w:szCs w:val="24"/>
          <w:u w:val="single"/>
        </w:rPr>
        <w:t>Estimate of Cost to Federal Government.</w:t>
      </w:r>
    </w:p>
    <w:p w:rsidR="009620D4" w:rsidRPr="00164DED" w:rsidP="009620D4" w14:paraId="18E28275" w14:textId="77777777">
      <w:pPr>
        <w:widowControl w:val="0"/>
        <w:rPr>
          <w:szCs w:val="24"/>
        </w:rPr>
      </w:pPr>
    </w:p>
    <w:p w:rsidR="00651560" w:rsidP="009620D4" w14:paraId="797724E8" w14:textId="5DABF248">
      <w:pPr>
        <w:widowControl w:val="0"/>
        <w:ind w:left="720"/>
        <w:rPr>
          <w:szCs w:val="24"/>
        </w:rPr>
      </w:pPr>
      <w:r>
        <w:rPr>
          <w:szCs w:val="24"/>
        </w:rPr>
        <w:t>To calculate the government administrative cost, the 2025 Office of Personnel Management (OPM) wage rates were used.</w:t>
      </w:r>
    </w:p>
    <w:p w:rsidR="006A0D40" w:rsidP="009620D4" w14:paraId="055E6AE3" w14:textId="77777777">
      <w:pPr>
        <w:widowControl w:val="0"/>
        <w:ind w:left="720"/>
        <w:rPr>
          <w:szCs w:val="24"/>
        </w:rPr>
      </w:pPr>
    </w:p>
    <w:p w:rsidR="009620D4" w:rsidRPr="00070DC9" w:rsidP="009620D4" w14:paraId="44B38723" w14:textId="58EAB36B">
      <w:pPr>
        <w:widowControl w:val="0"/>
        <w:ind w:left="720"/>
        <w:rPr>
          <w:szCs w:val="24"/>
        </w:rPr>
      </w:pPr>
      <w:r w:rsidRPr="00070DC9">
        <w:rPr>
          <w:szCs w:val="24"/>
        </w:rPr>
        <w:t xml:space="preserve">FRA estimates that approximately </w:t>
      </w:r>
      <w:r w:rsidR="002D796E">
        <w:rPr>
          <w:szCs w:val="24"/>
        </w:rPr>
        <w:t>one person</w:t>
      </w:r>
      <w:r w:rsidRPr="00070DC9">
        <w:rPr>
          <w:szCs w:val="24"/>
        </w:rPr>
        <w:t xml:space="preserve"> at the GS-14</w:t>
      </w:r>
      <w:r w:rsidR="00C1273A">
        <w:rPr>
          <w:szCs w:val="24"/>
        </w:rPr>
        <w:t>,</w:t>
      </w:r>
      <w:r w:rsidRPr="00070DC9">
        <w:rPr>
          <w:szCs w:val="24"/>
        </w:rPr>
        <w:t xml:space="preserve"> step 5 level</w:t>
      </w:r>
      <w:r w:rsidR="00FD326A">
        <w:rPr>
          <w:szCs w:val="24"/>
        </w:rPr>
        <w:t>,</w:t>
      </w:r>
      <w:r w:rsidRPr="00070DC9">
        <w:rPr>
          <w:szCs w:val="24"/>
        </w:rPr>
        <w:t xml:space="preserve"> for </w:t>
      </w:r>
      <w:r>
        <w:rPr>
          <w:szCs w:val="24"/>
        </w:rPr>
        <w:t>the locality pay area of Washington-Baltimore-Arlington, DC-MD-VA-WV-PA</w:t>
      </w:r>
      <w:r w:rsidR="00561409">
        <w:rPr>
          <w:szCs w:val="24"/>
        </w:rPr>
        <w:t>,</w:t>
      </w:r>
      <w:r w:rsidRPr="00070DC9">
        <w:rPr>
          <w:szCs w:val="24"/>
        </w:rPr>
        <w:t xml:space="preserve"> will be spending </w:t>
      </w:r>
      <w:r>
        <w:rPr>
          <w:szCs w:val="24"/>
        </w:rPr>
        <w:t>100</w:t>
      </w:r>
      <w:r w:rsidRPr="00070DC9">
        <w:rPr>
          <w:szCs w:val="24"/>
        </w:rPr>
        <w:t xml:space="preserve"> percent of </w:t>
      </w:r>
      <w:r w:rsidR="00C47726">
        <w:rPr>
          <w:szCs w:val="24"/>
        </w:rPr>
        <w:t>their</w:t>
      </w:r>
      <w:r w:rsidRPr="00070DC9">
        <w:rPr>
          <w:szCs w:val="24"/>
        </w:rPr>
        <w:t xml:space="preserve"> time </w:t>
      </w:r>
      <w:r>
        <w:rPr>
          <w:szCs w:val="24"/>
        </w:rPr>
        <w:t>r</w:t>
      </w:r>
      <w:r w:rsidRPr="00070DC9">
        <w:rPr>
          <w:szCs w:val="24"/>
        </w:rPr>
        <w:t xml:space="preserve">eviewing all the documentation associated with the requirements of </w:t>
      </w:r>
      <w:r w:rsidR="00485B4F">
        <w:rPr>
          <w:szCs w:val="24"/>
        </w:rPr>
        <w:t>P</w:t>
      </w:r>
      <w:r w:rsidRPr="00070DC9">
        <w:rPr>
          <w:szCs w:val="24"/>
        </w:rPr>
        <w:t>art 2</w:t>
      </w:r>
      <w:r w:rsidR="000A2142">
        <w:rPr>
          <w:szCs w:val="24"/>
        </w:rPr>
        <w:t>1</w:t>
      </w:r>
      <w:r w:rsidRPr="00070DC9">
        <w:rPr>
          <w:szCs w:val="24"/>
        </w:rPr>
        <w:t>2</w:t>
      </w:r>
      <w:r w:rsidRPr="00FA0349">
        <w:rPr>
          <w:szCs w:val="24"/>
        </w:rPr>
        <w:t>.</w:t>
      </w:r>
      <w:r w:rsidR="00485B4F">
        <w:rPr>
          <w:szCs w:val="24"/>
        </w:rPr>
        <w:t xml:space="preserve"> </w:t>
      </w:r>
      <w:r w:rsidRPr="00070DC9">
        <w:rPr>
          <w:szCs w:val="24"/>
        </w:rPr>
        <w:t xml:space="preserve"> This excludes time spent doing routine compliance and enforcement activities</w:t>
      </w:r>
      <w:r w:rsidRPr="00070DC9" w:rsidR="000A273B">
        <w:rPr>
          <w:szCs w:val="24"/>
        </w:rPr>
        <w:t>.</w:t>
      </w:r>
      <w:r w:rsidR="00485B4F">
        <w:rPr>
          <w:szCs w:val="24"/>
        </w:rPr>
        <w:t xml:space="preserve"> </w:t>
      </w:r>
      <w:r w:rsidRPr="00070DC9" w:rsidR="000A273B">
        <w:rPr>
          <w:szCs w:val="24"/>
        </w:rPr>
        <w:t xml:space="preserve"> </w:t>
      </w:r>
      <w:r w:rsidRPr="00070DC9">
        <w:rPr>
          <w:szCs w:val="24"/>
        </w:rPr>
        <w:t xml:space="preserve">Multiplying </w:t>
      </w:r>
      <w:r w:rsidR="00D36E35">
        <w:rPr>
          <w:szCs w:val="24"/>
        </w:rPr>
        <w:t xml:space="preserve">an </w:t>
      </w:r>
      <w:r w:rsidRPr="00070DC9">
        <w:rPr>
          <w:szCs w:val="24"/>
        </w:rPr>
        <w:t>annual salar</w:t>
      </w:r>
      <w:r w:rsidR="00D36E35">
        <w:rPr>
          <w:szCs w:val="24"/>
        </w:rPr>
        <w:t>y</w:t>
      </w:r>
      <w:r w:rsidRPr="00070DC9">
        <w:rPr>
          <w:szCs w:val="24"/>
        </w:rPr>
        <w:t xml:space="preserve"> of </w:t>
      </w:r>
      <w:r>
        <w:t>$</w:t>
      </w:r>
      <w:r w:rsidR="00DD2261">
        <w:rPr>
          <w:szCs w:val="24"/>
        </w:rPr>
        <w:t>161,48</w:t>
      </w:r>
      <w:r w:rsidR="006F4F79">
        <w:rPr>
          <w:szCs w:val="24"/>
        </w:rPr>
        <w:t>6</w:t>
      </w:r>
      <w:r w:rsidR="00DD2261">
        <w:rPr>
          <w:szCs w:val="24"/>
        </w:rPr>
        <w:t xml:space="preserve"> </w:t>
      </w:r>
      <w:r w:rsidRPr="00070DC9">
        <w:rPr>
          <w:szCs w:val="24"/>
        </w:rPr>
        <w:t xml:space="preserve">times </w:t>
      </w:r>
      <w:r w:rsidR="00D36E35">
        <w:rPr>
          <w:szCs w:val="24"/>
        </w:rPr>
        <w:t>1.</w:t>
      </w:r>
      <w:r w:rsidR="009008F5">
        <w:rPr>
          <w:szCs w:val="24"/>
        </w:rPr>
        <w:t>75 (</w:t>
      </w:r>
      <w:r w:rsidR="00636BC0">
        <w:rPr>
          <w:szCs w:val="24"/>
        </w:rPr>
        <w:t>to include</w:t>
      </w:r>
      <w:r w:rsidRPr="00070DC9">
        <w:rPr>
          <w:szCs w:val="24"/>
        </w:rPr>
        <w:t xml:space="preserve"> 75</w:t>
      </w:r>
      <w:r>
        <w:rPr>
          <w:szCs w:val="24"/>
        </w:rPr>
        <w:t>-</w:t>
      </w:r>
      <w:r w:rsidRPr="00070DC9">
        <w:rPr>
          <w:szCs w:val="24"/>
        </w:rPr>
        <w:t>percent overhead cost</w:t>
      </w:r>
      <w:r w:rsidR="00636BC0">
        <w:rPr>
          <w:szCs w:val="24"/>
        </w:rPr>
        <w:t>)</w:t>
      </w:r>
      <w:r w:rsidRPr="00070DC9">
        <w:rPr>
          <w:szCs w:val="24"/>
        </w:rPr>
        <w:t xml:space="preserve"> equals an annual Federal cost of </w:t>
      </w:r>
      <w:r>
        <w:rPr>
          <w:szCs w:val="24"/>
        </w:rPr>
        <w:t>$</w:t>
      </w:r>
      <w:r w:rsidR="00DD2261">
        <w:rPr>
          <w:szCs w:val="24"/>
        </w:rPr>
        <w:t>282,60</w:t>
      </w:r>
      <w:r w:rsidR="003D12F6">
        <w:rPr>
          <w:szCs w:val="24"/>
        </w:rPr>
        <w:t>1</w:t>
      </w:r>
      <w:r w:rsidR="000A2142">
        <w:rPr>
          <w:szCs w:val="24"/>
        </w:rPr>
        <w:t xml:space="preserve">. </w:t>
      </w:r>
    </w:p>
    <w:p w:rsidR="009620D4" w:rsidP="009620D4" w14:paraId="3654323E" w14:textId="77777777">
      <w:pPr>
        <w:widowControl w:val="0"/>
        <w:ind w:left="720"/>
        <w:rPr>
          <w:szCs w:val="24"/>
        </w:rPr>
      </w:pPr>
    </w:p>
    <w:p w:rsidR="009620D4" w:rsidRPr="00164DED" w:rsidP="009620D4" w14:paraId="56FF5FEF" w14:textId="77777777">
      <w:pPr>
        <w:widowControl w:val="0"/>
        <w:ind w:left="720" w:hanging="720"/>
        <w:rPr>
          <w:b/>
          <w:szCs w:val="24"/>
        </w:rPr>
      </w:pPr>
      <w:r w:rsidRPr="00164DED">
        <w:rPr>
          <w:b/>
          <w:szCs w:val="24"/>
        </w:rPr>
        <w:t>15.</w:t>
      </w:r>
      <w:r w:rsidRPr="00164DED">
        <w:rPr>
          <w:b/>
          <w:szCs w:val="24"/>
        </w:rPr>
        <w:tab/>
      </w:r>
      <w:r w:rsidRPr="00C73EF6">
        <w:rPr>
          <w:b/>
          <w:szCs w:val="24"/>
          <w:u w:val="single"/>
        </w:rPr>
        <w:t>Explanation of program changes and adjustments</w:t>
      </w:r>
      <w:r w:rsidRPr="00C73EF6">
        <w:rPr>
          <w:b/>
          <w:szCs w:val="24"/>
        </w:rPr>
        <w:t>.</w:t>
      </w:r>
      <w:r w:rsidRPr="00164DED">
        <w:rPr>
          <w:b/>
          <w:szCs w:val="24"/>
        </w:rPr>
        <w:t xml:space="preserve"> </w:t>
      </w:r>
    </w:p>
    <w:p w:rsidR="009620D4" w:rsidRPr="00164DED" w:rsidP="009620D4" w14:paraId="1E10451E"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684786" w:rsidP="001F38A6" w14:paraId="22AFE542" w14:textId="3EF202E3">
      <w:pPr>
        <w:ind w:left="720"/>
        <w:rPr>
          <w:szCs w:val="24"/>
        </w:rPr>
      </w:pPr>
      <w:bookmarkStart w:id="1" w:name="_Hlk204089854"/>
      <w:bookmarkEnd w:id="0"/>
      <w:r w:rsidRPr="001F38A6">
        <w:rPr>
          <w:szCs w:val="24"/>
        </w:rPr>
        <w:t>This submission is an extension without change (with changes in estimates) of a currently approved ICR.  FRA has made multiple adjustments to its estimated paperwork burden that has decreased the previously approved burden hours from 1</w:t>
      </w:r>
      <w:r>
        <w:rPr>
          <w:szCs w:val="24"/>
        </w:rPr>
        <w:t>1,958</w:t>
      </w:r>
      <w:r w:rsidRPr="001F38A6">
        <w:rPr>
          <w:szCs w:val="24"/>
        </w:rPr>
        <w:t xml:space="preserve"> hours to </w:t>
      </w:r>
      <w:r>
        <w:rPr>
          <w:szCs w:val="24"/>
        </w:rPr>
        <w:t>9,851</w:t>
      </w:r>
      <w:r w:rsidRPr="001F38A6">
        <w:rPr>
          <w:szCs w:val="24"/>
        </w:rPr>
        <w:t xml:space="preserve"> hours</w:t>
      </w:r>
      <w:r w:rsidR="006952D2">
        <w:rPr>
          <w:szCs w:val="24"/>
        </w:rPr>
        <w:t xml:space="preserve"> and the</w:t>
      </w:r>
      <w:r w:rsidRPr="001F38A6">
        <w:rPr>
          <w:szCs w:val="24"/>
        </w:rPr>
        <w:t xml:space="preserve"> responses from </w:t>
      </w:r>
      <w:r>
        <w:rPr>
          <w:szCs w:val="24"/>
        </w:rPr>
        <w:t>24,066</w:t>
      </w:r>
      <w:r w:rsidRPr="001F38A6">
        <w:rPr>
          <w:szCs w:val="24"/>
        </w:rPr>
        <w:t xml:space="preserve"> to </w:t>
      </w:r>
      <w:r>
        <w:rPr>
          <w:szCs w:val="24"/>
        </w:rPr>
        <w:t>23,225</w:t>
      </w:r>
      <w:r w:rsidRPr="001F38A6">
        <w:rPr>
          <w:szCs w:val="24"/>
        </w:rPr>
        <w:t xml:space="preserve">.  </w:t>
      </w:r>
    </w:p>
    <w:p w:rsidR="00684786" w:rsidP="001F38A6" w14:paraId="1676E0FA" w14:textId="77777777">
      <w:pPr>
        <w:ind w:left="720"/>
        <w:rPr>
          <w:szCs w:val="24"/>
        </w:rPr>
      </w:pPr>
    </w:p>
    <w:p w:rsidR="00684786" w:rsidP="00684786" w14:paraId="4EA399DE" w14:textId="6E88DABD">
      <w:pPr>
        <w:ind w:left="720"/>
        <w:rPr>
          <w:szCs w:val="24"/>
        </w:rPr>
      </w:pPr>
      <w:r>
        <w:t xml:space="preserve">FRA previously combined the burden estimates for several sections and reported the combined burden under 49 U.S.C. 20105, the statute that authorizes </w:t>
      </w:r>
      <w:r w:rsidR="00485B4F">
        <w:t>P</w:t>
      </w:r>
      <w:r>
        <w:t>art 212.</w:t>
      </w:r>
      <w:r>
        <w:rPr>
          <w:rStyle w:val="FootnoteReference"/>
        </w:rPr>
        <w:footnoteReference w:id="6"/>
      </w:r>
      <w:r>
        <w:t xml:space="preserve">  Updated estimates are now provided on a section-by-section basis.  Additionally, § 212.109 has been removed from this ICR because it was recently repealed by FRA as obsolete.</w:t>
      </w:r>
      <w:r>
        <w:rPr>
          <w:szCs w:val="24"/>
          <w:vertAlign w:val="superscript"/>
        </w:rPr>
        <w:footnoteReference w:id="7"/>
      </w:r>
      <w:r>
        <w:t xml:space="preserve">  Because it was obsolete</w:t>
      </w:r>
      <w:r w:rsidR="00982CE9">
        <w:t xml:space="preserve"> and required no actual information collection even before it was repealed</w:t>
      </w:r>
      <w:r>
        <w:t xml:space="preserve">, removing § 212.109 from this ICR does not affect the overall PRA burden under </w:t>
      </w:r>
      <w:r w:rsidR="00A578CA">
        <w:t>P</w:t>
      </w:r>
      <w:r>
        <w:t>art 212.  This decrease, after a thorough review, is the result of the changes described in the following sections summarized below:</w:t>
      </w:r>
    </w:p>
    <w:p w:rsidR="00684786" w:rsidRPr="00684786" w:rsidP="00684786" w14:paraId="4B5B70E4" w14:textId="77777777">
      <w:pPr>
        <w:ind w:left="720"/>
        <w:rPr>
          <w:szCs w:val="24"/>
        </w:rPr>
      </w:pPr>
    </w:p>
    <w:p w:rsidR="00684786" w:rsidRPr="00684786" w:rsidP="00684786" w14:paraId="7552BD60" w14:textId="65659155">
      <w:pPr>
        <w:numPr>
          <w:ilvl w:val="0"/>
          <w:numId w:val="10"/>
        </w:numPr>
        <w:rPr>
          <w:szCs w:val="24"/>
        </w:rPr>
      </w:pPr>
      <w:r w:rsidRPr="00684786">
        <w:rPr>
          <w:szCs w:val="24"/>
        </w:rPr>
        <w:t xml:space="preserve">FRA reduced the estimated number of annual violation reports submitted by </w:t>
      </w:r>
      <w:r w:rsidR="00BB6AB5">
        <w:rPr>
          <w:szCs w:val="24"/>
        </w:rPr>
        <w:t>S</w:t>
      </w:r>
      <w:r w:rsidRPr="00684786">
        <w:rPr>
          <w:szCs w:val="24"/>
        </w:rPr>
        <w:t xml:space="preserve">tate inspectors in various disciplines from 1,154 to 690 violation reports.  Accordingly, the estimated burden hours for these reports were decreased by 1,856.  </w:t>
      </w:r>
    </w:p>
    <w:p w:rsidR="00684786" w:rsidRPr="00684786" w:rsidP="00684786" w14:paraId="02380304" w14:textId="0CA8404A">
      <w:pPr>
        <w:numPr>
          <w:ilvl w:val="0"/>
          <w:numId w:val="10"/>
        </w:numPr>
        <w:rPr>
          <w:szCs w:val="24"/>
        </w:rPr>
      </w:pPr>
      <w:r>
        <w:rPr>
          <w:szCs w:val="24"/>
        </w:rPr>
        <w:t>For violation report challenges authorized under</w:t>
      </w:r>
      <w:r w:rsidRPr="00684786">
        <w:rPr>
          <w:szCs w:val="24"/>
        </w:rPr>
        <w:t xml:space="preserve"> §</w:t>
      </w:r>
      <w:r w:rsidR="00A578CA">
        <w:rPr>
          <w:szCs w:val="24"/>
        </w:rPr>
        <w:t xml:space="preserve"> </w:t>
      </w:r>
      <w:r w:rsidRPr="00684786">
        <w:rPr>
          <w:szCs w:val="24"/>
        </w:rPr>
        <w:t xml:space="preserve">209.405(b), FRA adjusted the estimated number of challenges from 240 to 50 annually.  This adjustment more accurately reflects the estimated number of burden hours, decreasing the burden by 143. </w:t>
      </w:r>
    </w:p>
    <w:p w:rsidR="00684786" w:rsidRPr="00684786" w:rsidP="00684786" w14:paraId="39D85CBD" w14:textId="4D7CAD7E">
      <w:pPr>
        <w:numPr>
          <w:ilvl w:val="0"/>
          <w:numId w:val="10"/>
        </w:numPr>
        <w:rPr>
          <w:szCs w:val="24"/>
        </w:rPr>
      </w:pPr>
      <w:r w:rsidRPr="00684786">
        <w:rPr>
          <w:szCs w:val="24"/>
        </w:rPr>
        <w:t>Under §</w:t>
      </w:r>
      <w:r w:rsidR="00A578CA">
        <w:rPr>
          <w:szCs w:val="24"/>
        </w:rPr>
        <w:t xml:space="preserve"> </w:t>
      </w:r>
      <w:r w:rsidRPr="00684786">
        <w:rPr>
          <w:szCs w:val="24"/>
        </w:rPr>
        <w:t xml:space="preserve">209.407, Delayed reports, FRA decreased the estimated number of reports from 240 to 50 annually, reducing the reported burden by 143 hours.  </w:t>
      </w:r>
    </w:p>
    <w:p w:rsidR="004578B4" w:rsidP="004578B4" w14:paraId="3D55A08D" w14:textId="77777777">
      <w:pPr>
        <w:ind w:left="720"/>
        <w:rPr>
          <w:szCs w:val="24"/>
        </w:rPr>
      </w:pPr>
    </w:p>
    <w:p w:rsidR="00684786" w:rsidRPr="00684786" w:rsidP="004578B4" w14:paraId="3C6A7F8D" w14:textId="1402752B">
      <w:pPr>
        <w:ind w:left="720"/>
        <w:rPr>
          <w:szCs w:val="24"/>
        </w:rPr>
      </w:pPr>
      <w:r w:rsidRPr="00684786">
        <w:rPr>
          <w:szCs w:val="24"/>
        </w:rPr>
        <w:t>These revised estimates contributed to an overall reduction of 2,107 burden hours</w:t>
      </w:r>
      <w:r>
        <w:rPr>
          <w:szCs w:val="24"/>
        </w:rPr>
        <w:t xml:space="preserve"> and 841 responses.</w:t>
      </w:r>
    </w:p>
    <w:p w:rsidR="00684786" w:rsidP="001F38A6" w14:paraId="02DE5C83" w14:textId="77777777">
      <w:pPr>
        <w:ind w:left="720"/>
        <w:rPr>
          <w:szCs w:val="24"/>
        </w:rPr>
      </w:pPr>
    </w:p>
    <w:bookmarkEnd w:id="1"/>
    <w:p w:rsidR="00AF32A2" w:rsidRPr="00164DED" w:rsidP="00AF32A2" w14:paraId="514E16ED" w14:textId="77777777">
      <w:pPr>
        <w:widowControl w:val="0"/>
        <w:rPr>
          <w:b/>
          <w:szCs w:val="24"/>
        </w:rPr>
      </w:pPr>
      <w:r w:rsidRPr="00164DED">
        <w:rPr>
          <w:b/>
          <w:szCs w:val="24"/>
        </w:rPr>
        <w:t>16.</w:t>
      </w:r>
      <w:r w:rsidRPr="00164DED">
        <w:rPr>
          <w:b/>
          <w:szCs w:val="24"/>
        </w:rPr>
        <w:tab/>
      </w:r>
      <w:r w:rsidRPr="00164DED">
        <w:rPr>
          <w:b/>
          <w:szCs w:val="24"/>
          <w:u w:val="single"/>
        </w:rPr>
        <w:t>Publication of results of data collection</w:t>
      </w:r>
      <w:r w:rsidRPr="00164DED">
        <w:rPr>
          <w:b/>
          <w:szCs w:val="24"/>
        </w:rPr>
        <w:t>.</w:t>
      </w:r>
    </w:p>
    <w:p w:rsidR="00D14763" w:rsidRPr="00164DED" w14:paraId="3BD2605C" w14:textId="77777777">
      <w:pPr>
        <w:widowControl w:val="0"/>
        <w:rPr>
          <w:szCs w:val="24"/>
        </w:rPr>
      </w:pP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r w:rsidRPr="00164DED">
        <w:rPr>
          <w:szCs w:val="24"/>
        </w:rPr>
        <w:tab/>
      </w:r>
    </w:p>
    <w:p w:rsidR="00A578CA" w14:paraId="7996BBA4" w14:textId="77777777">
      <w:pPr>
        <w:widowControl w:val="0"/>
        <w:ind w:left="720"/>
        <w:rPr>
          <w:szCs w:val="24"/>
        </w:rPr>
      </w:pPr>
      <w:r w:rsidRPr="00164DED">
        <w:rPr>
          <w:szCs w:val="24"/>
        </w:rPr>
        <w:t xml:space="preserve">FRA </w:t>
      </w:r>
      <w:r w:rsidR="000125FC">
        <w:rPr>
          <w:szCs w:val="24"/>
        </w:rPr>
        <w:t xml:space="preserve">does not </w:t>
      </w:r>
      <w:r w:rsidRPr="00164DED">
        <w:rPr>
          <w:szCs w:val="24"/>
        </w:rPr>
        <w:t>plan</w:t>
      </w:r>
      <w:r w:rsidR="000125FC">
        <w:rPr>
          <w:szCs w:val="24"/>
        </w:rPr>
        <w:t xml:space="preserve"> to publish the </w:t>
      </w:r>
      <w:r w:rsidR="00FF5582">
        <w:rPr>
          <w:szCs w:val="24"/>
        </w:rPr>
        <w:t>information collected.</w:t>
      </w:r>
    </w:p>
    <w:p w:rsidR="00D14763" w:rsidRPr="00164DED" w14:paraId="10C7703B" w14:textId="270157EC">
      <w:pPr>
        <w:widowControl w:val="0"/>
        <w:ind w:left="720"/>
        <w:rPr>
          <w:szCs w:val="24"/>
        </w:rPr>
      </w:pPr>
      <w:r w:rsidRPr="00164DED">
        <w:rPr>
          <w:szCs w:val="24"/>
        </w:rPr>
        <w:tab/>
      </w:r>
      <w:r w:rsidRPr="00164DED">
        <w:rPr>
          <w:szCs w:val="24"/>
        </w:rPr>
        <w:tab/>
      </w:r>
      <w:r w:rsidRPr="00164DED">
        <w:rPr>
          <w:szCs w:val="24"/>
        </w:rPr>
        <w:tab/>
      </w:r>
      <w:r w:rsidRPr="00164DED">
        <w:rPr>
          <w:szCs w:val="24"/>
        </w:rPr>
        <w:tab/>
      </w:r>
    </w:p>
    <w:p w:rsidR="00506720" w:rsidRPr="00164DED" w:rsidP="00506720" w14:paraId="22830341" w14:textId="77777777">
      <w:pPr>
        <w:widowControl w:val="0"/>
        <w:rPr>
          <w:b/>
          <w:szCs w:val="24"/>
        </w:rPr>
      </w:pPr>
      <w:r w:rsidRPr="00164DED">
        <w:rPr>
          <w:b/>
          <w:szCs w:val="24"/>
        </w:rPr>
        <w:t>17.</w:t>
      </w:r>
      <w:r w:rsidRPr="00164DED">
        <w:rPr>
          <w:b/>
          <w:szCs w:val="24"/>
        </w:rPr>
        <w:tab/>
      </w:r>
      <w:r w:rsidRPr="00164DED">
        <w:rPr>
          <w:b/>
          <w:szCs w:val="24"/>
          <w:u w:val="single"/>
        </w:rPr>
        <w:t>Approval for not displaying the expiration date for OMB approval</w:t>
      </w:r>
      <w:r w:rsidRPr="00164DED">
        <w:rPr>
          <w:b/>
          <w:szCs w:val="24"/>
        </w:rPr>
        <w:t>.</w:t>
      </w:r>
    </w:p>
    <w:p w:rsidR="00D14763" w:rsidRPr="00164DED" w14:paraId="17209069" w14:textId="77777777">
      <w:pPr>
        <w:widowControl w:val="0"/>
        <w:rPr>
          <w:szCs w:val="24"/>
        </w:rPr>
      </w:pPr>
    </w:p>
    <w:p w:rsidR="00D14763" w:rsidRPr="00164DED" w14:paraId="5750BDAC" w14:textId="05DA96EC">
      <w:pPr>
        <w:widowControl w:val="0"/>
        <w:ind w:left="720"/>
        <w:rPr>
          <w:b/>
          <w:szCs w:val="24"/>
        </w:rPr>
      </w:pPr>
      <w:r>
        <w:rPr>
          <w:szCs w:val="24"/>
        </w:rPr>
        <w:t>FRA is not</w:t>
      </w:r>
      <w:r w:rsidRPr="00F73522">
        <w:rPr>
          <w:szCs w:val="24"/>
        </w:rPr>
        <w:t xml:space="preserve"> seeking approval to not display the expiration date.</w:t>
      </w:r>
    </w:p>
    <w:p w:rsidR="00D14763" w:rsidRPr="00164DED" w14:paraId="4F894BCC" w14:textId="77777777">
      <w:pPr>
        <w:widowControl w:val="0"/>
        <w:rPr>
          <w:b/>
          <w:szCs w:val="24"/>
        </w:rPr>
      </w:pPr>
    </w:p>
    <w:p w:rsidR="00F209CF" w:rsidRPr="00164DED" w:rsidP="00F209CF" w14:paraId="612DA28E" w14:textId="77777777">
      <w:pPr>
        <w:widowControl w:val="0"/>
        <w:rPr>
          <w:b/>
          <w:szCs w:val="24"/>
          <w:u w:val="single"/>
        </w:rPr>
      </w:pPr>
      <w:r w:rsidRPr="00164DED">
        <w:rPr>
          <w:b/>
          <w:szCs w:val="24"/>
        </w:rPr>
        <w:t>18.</w:t>
      </w:r>
      <w:r w:rsidRPr="00164DED">
        <w:rPr>
          <w:b/>
          <w:szCs w:val="24"/>
        </w:rPr>
        <w:tab/>
      </w:r>
      <w:r w:rsidRPr="00164DED">
        <w:rPr>
          <w:b/>
          <w:szCs w:val="24"/>
          <w:u w:val="single"/>
        </w:rPr>
        <w:t>Exception to certification statement.</w:t>
      </w:r>
    </w:p>
    <w:p w:rsidR="00D14763" w:rsidRPr="00164DED" w14:paraId="2EC20C6F" w14:textId="77777777">
      <w:pPr>
        <w:widowControl w:val="0"/>
        <w:rPr>
          <w:szCs w:val="24"/>
        </w:rPr>
      </w:pPr>
    </w:p>
    <w:p w:rsidR="00D14763" w:rsidRPr="00164DED" w:rsidP="00474BDC" w14:paraId="230A2117" w14:textId="389F1C7E">
      <w:pPr>
        <w:widowControl w:val="0"/>
        <w:ind w:left="720"/>
        <w:rPr>
          <w:szCs w:val="24"/>
        </w:rPr>
      </w:pPr>
      <w:r w:rsidRPr="00164DED">
        <w:rPr>
          <w:szCs w:val="24"/>
        </w:rPr>
        <w:t>No exceptions are taken at this time.</w:t>
      </w:r>
    </w:p>
    <w:sectPr w:rsidSect="00684786">
      <w:pgSz w:w="12240" w:h="15840"/>
      <w:pgMar w:top="1440" w:right="1440" w:bottom="1440" w:left="1440" w:header="1354" w:footer="180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6E3929C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31D3449E"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6135" w14:paraId="57A053A4" w14:textId="77777777">
      <w:r>
        <w:separator/>
      </w:r>
    </w:p>
  </w:footnote>
  <w:footnote w:type="continuationSeparator" w:id="1">
    <w:p w:rsidR="00A96135" w14:paraId="1E506FEE" w14:textId="77777777">
      <w:r>
        <w:continuationSeparator/>
      </w:r>
    </w:p>
  </w:footnote>
  <w:footnote w:type="continuationNotice" w:id="2">
    <w:p w:rsidR="00A96135" w14:paraId="2E8D209B" w14:textId="77777777"/>
  </w:footnote>
  <w:footnote w:id="3">
    <w:p w:rsidR="008F1D35" w14:paraId="17ACB135" w14:textId="6A060DA7">
      <w:pPr>
        <w:pStyle w:val="FootnoteText"/>
      </w:pPr>
      <w:r>
        <w:rPr>
          <w:rStyle w:val="FootnoteReference"/>
        </w:rPr>
        <w:footnoteRef/>
      </w:r>
      <w:r w:rsidR="0015622A">
        <w:t xml:space="preserve"> </w:t>
      </w:r>
      <w:r w:rsidR="00651560">
        <w:t>90</w:t>
      </w:r>
      <w:r>
        <w:t xml:space="preserve"> FR </w:t>
      </w:r>
      <w:r w:rsidR="00BB1732">
        <w:t>38</w:t>
      </w:r>
      <w:r w:rsidR="00FD4BAA">
        <w:t>585</w:t>
      </w:r>
      <w:r>
        <w:t xml:space="preserve"> </w:t>
      </w:r>
    </w:p>
  </w:footnote>
  <w:footnote w:id="4">
    <w:p w:rsidR="006308A6" w:rsidRPr="00FD044B" w:rsidP="006308A6" w14:paraId="10C3D3D1" w14:textId="77777777">
      <w:pPr>
        <w:pStyle w:val="FootnoteText"/>
      </w:pPr>
      <w:r>
        <w:rPr>
          <w:rStyle w:val="FootnoteReference"/>
        </w:rPr>
        <w:footnoteRef/>
      </w:r>
      <w:r>
        <w:t xml:space="preserve"> </w:t>
      </w:r>
      <w:r w:rsidRPr="00FD044B">
        <w:t xml:space="preserve">For State respondents, the dollar equivalent cost is derived from the May 2024, Bureau of Labor Statistics (BLS) data for management occupations, NAICS 999100—State Government, excluding schools and hospitals. </w:t>
      </w:r>
      <w:hyperlink r:id="rId1" w:anchor="/industry/999200" w:history="1">
        <w:r w:rsidRPr="00FD044B">
          <w:rPr>
            <w:rStyle w:val="Hyperlink"/>
          </w:rPr>
          <w:t>https://data.bls.gov/oes/#/industry/999200</w:t>
        </w:r>
      </w:hyperlink>
      <w:r w:rsidRPr="00FD044B">
        <w:t xml:space="preserve">. </w:t>
      </w:r>
      <w:r>
        <w:t xml:space="preserve"> </w:t>
      </w:r>
      <w:r w:rsidRPr="00FD044B">
        <w:t xml:space="preserve">To calculate the hourly wage of $88.36 for this category of workers, FRA included a 75-percent charge for overhead costs (50.49 x 1.75=88.36).  </w:t>
      </w:r>
    </w:p>
    <w:p w:rsidR="006308A6" w:rsidRPr="00FD044B" w:rsidP="006308A6" w14:paraId="43A1BE62" w14:textId="77777777">
      <w:pPr>
        <w:pStyle w:val="FootnoteText"/>
      </w:pPr>
      <w:r w:rsidRPr="00FD044B">
        <w:t>The dollar equivalent cost for railroad respondents is derived from the Surface Transportation Board’s 2024 Full Year Wage A&amp;B data series using employee group 200 (Professional &amp; Administrative) hourly wage rate $50.93.  The total burden wage rate (straight time plus 75%) used in the table is $89.13 ($50.93 x 1.75 = $89.13).</w:t>
      </w:r>
    </w:p>
  </w:footnote>
  <w:footnote w:id="5">
    <w:p w:rsidR="006308A6" w:rsidRPr="008952D8" w:rsidP="006308A6" w14:paraId="2F119E0E" w14:textId="77777777">
      <w:pPr>
        <w:pStyle w:val="FootnoteText"/>
      </w:pPr>
      <w:r w:rsidRPr="008952D8">
        <w:rPr>
          <w:rStyle w:val="FootnoteReference"/>
        </w:rPr>
        <w:footnoteRef/>
      </w:r>
      <w:r w:rsidRPr="008952D8">
        <w:t xml:space="preserve"> Totals may not add up due to rounding. </w:t>
      </w:r>
    </w:p>
  </w:footnote>
  <w:footnote w:id="6">
    <w:p w:rsidR="00F40ABE" w14:paraId="27A9F795" w14:textId="37525802">
      <w:pPr>
        <w:pStyle w:val="FootnoteText"/>
      </w:pPr>
      <w:r>
        <w:rPr>
          <w:rStyle w:val="FootnoteReference"/>
        </w:rPr>
        <w:footnoteRef/>
      </w:r>
      <w:r>
        <w:t xml:space="preserve"> </w:t>
      </w:r>
      <w:r w:rsidR="00483765">
        <w:t>87 FR 8083 (Feb. 11, 2022).</w:t>
      </w:r>
    </w:p>
  </w:footnote>
  <w:footnote w:id="7">
    <w:p w:rsidR="00684786" w:rsidRPr="00E25B98" w:rsidP="00684786" w14:paraId="5CAC1A3D" w14:textId="35145D03">
      <w:pPr>
        <w:pStyle w:val="FootnoteText"/>
      </w:pPr>
      <w:r w:rsidRPr="00E25B98">
        <w:rPr>
          <w:rStyle w:val="FootnoteReference"/>
        </w:rPr>
        <w:footnoteRef/>
      </w:r>
      <w:r w:rsidR="00A578CA">
        <w:t xml:space="preserve"> </w:t>
      </w:r>
      <w:r w:rsidRPr="00E25B98">
        <w:t>90 FR 28</w:t>
      </w:r>
      <w:r>
        <w:t>1</w:t>
      </w:r>
      <w:r w:rsidRPr="00E25B98">
        <w:t>30</w:t>
      </w:r>
      <w:r>
        <w:t xml:space="preserve"> (July 1,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4C14CB9C"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96E" w14:paraId="64319B96"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3"/>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nsid w:val="00000003"/>
    <w:multiLevelType w:val="multilevel"/>
    <w:tmpl w:val="00000003"/>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nsid w:val="00000004"/>
    <w:multiLevelType w:val="multilevel"/>
    <w:tmpl w:val="00000004"/>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
    <w:nsid w:val="0A035495"/>
    <w:multiLevelType w:val="hybridMultilevel"/>
    <w:tmpl w:val="2A7E6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D37CD8"/>
    <w:multiLevelType w:val="hybridMultilevel"/>
    <w:tmpl w:val="4B02E1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3EA61A6"/>
    <w:multiLevelType w:val="hybridMultilevel"/>
    <w:tmpl w:val="1E420F9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0"/>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DFC20A4"/>
    <w:multiLevelType w:val="hybridMultilevel"/>
    <w:tmpl w:val="BC8C01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5FA0D35"/>
    <w:multiLevelType w:val="hybridMultilevel"/>
    <w:tmpl w:val="B4548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3004844">
    <w:abstractNumId w:val="0"/>
  </w:num>
  <w:num w:numId="2" w16cid:durableId="1112167999">
    <w:abstractNumId w:val="1"/>
  </w:num>
  <w:num w:numId="3" w16cid:durableId="186021522">
    <w:abstractNumId w:val="2"/>
  </w:num>
  <w:num w:numId="4" w16cid:durableId="1522428061">
    <w:abstractNumId w:val="3"/>
  </w:num>
  <w:num w:numId="5" w16cid:durableId="2122727087">
    <w:abstractNumId w:val="6"/>
  </w:num>
  <w:num w:numId="6" w16cid:durableId="2139445502">
    <w:abstractNumId w:val="8"/>
  </w:num>
  <w:num w:numId="7" w16cid:durableId="46781940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2431353">
    <w:abstractNumId w:val="5"/>
  </w:num>
  <w:num w:numId="9" w16cid:durableId="637340575">
    <w:abstractNumId w:val="4"/>
  </w:num>
  <w:num w:numId="10" w16cid:durableId="59328114">
    <w:abstractNumId w:val="7"/>
  </w:num>
  <w:num w:numId="11" w16cid:durableId="1564294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7A"/>
    <w:rsid w:val="0000263B"/>
    <w:rsid w:val="00002D31"/>
    <w:rsid w:val="000043C6"/>
    <w:rsid w:val="0000452A"/>
    <w:rsid w:val="000047EE"/>
    <w:rsid w:val="000054CD"/>
    <w:rsid w:val="00006BF3"/>
    <w:rsid w:val="000071A6"/>
    <w:rsid w:val="00007C11"/>
    <w:rsid w:val="00010AEF"/>
    <w:rsid w:val="00010D97"/>
    <w:rsid w:val="000125FC"/>
    <w:rsid w:val="00013BAA"/>
    <w:rsid w:val="00016AE8"/>
    <w:rsid w:val="0002099A"/>
    <w:rsid w:val="00021369"/>
    <w:rsid w:val="000219DB"/>
    <w:rsid w:val="0002359D"/>
    <w:rsid w:val="00025B3D"/>
    <w:rsid w:val="00025C43"/>
    <w:rsid w:val="00026B18"/>
    <w:rsid w:val="000307E6"/>
    <w:rsid w:val="00031315"/>
    <w:rsid w:val="000313E2"/>
    <w:rsid w:val="0003195D"/>
    <w:rsid w:val="00032617"/>
    <w:rsid w:val="00033558"/>
    <w:rsid w:val="0003392A"/>
    <w:rsid w:val="00034ADF"/>
    <w:rsid w:val="000355C6"/>
    <w:rsid w:val="0003592A"/>
    <w:rsid w:val="00037A0E"/>
    <w:rsid w:val="00037ED6"/>
    <w:rsid w:val="00040271"/>
    <w:rsid w:val="00040E48"/>
    <w:rsid w:val="0004142A"/>
    <w:rsid w:val="0004195D"/>
    <w:rsid w:val="000427E6"/>
    <w:rsid w:val="00042B1A"/>
    <w:rsid w:val="00044627"/>
    <w:rsid w:val="0004608C"/>
    <w:rsid w:val="00050872"/>
    <w:rsid w:val="000511EF"/>
    <w:rsid w:val="0005188E"/>
    <w:rsid w:val="000524F8"/>
    <w:rsid w:val="00056021"/>
    <w:rsid w:val="000562ED"/>
    <w:rsid w:val="00057372"/>
    <w:rsid w:val="000575E1"/>
    <w:rsid w:val="00057BFD"/>
    <w:rsid w:val="000607DB"/>
    <w:rsid w:val="000612BC"/>
    <w:rsid w:val="000622C6"/>
    <w:rsid w:val="00062522"/>
    <w:rsid w:val="00063F5E"/>
    <w:rsid w:val="00064B41"/>
    <w:rsid w:val="00065C9B"/>
    <w:rsid w:val="0006677A"/>
    <w:rsid w:val="00066FA7"/>
    <w:rsid w:val="00067605"/>
    <w:rsid w:val="00067A42"/>
    <w:rsid w:val="00067C4C"/>
    <w:rsid w:val="00070DC9"/>
    <w:rsid w:val="0007215B"/>
    <w:rsid w:val="0007236C"/>
    <w:rsid w:val="000737D4"/>
    <w:rsid w:val="00074675"/>
    <w:rsid w:val="000746EB"/>
    <w:rsid w:val="00074BC7"/>
    <w:rsid w:val="00074F5C"/>
    <w:rsid w:val="00075768"/>
    <w:rsid w:val="00076FF1"/>
    <w:rsid w:val="000775EC"/>
    <w:rsid w:val="000813F6"/>
    <w:rsid w:val="00081B98"/>
    <w:rsid w:val="0008273E"/>
    <w:rsid w:val="00083FA9"/>
    <w:rsid w:val="00085E31"/>
    <w:rsid w:val="00086193"/>
    <w:rsid w:val="000865A5"/>
    <w:rsid w:val="00086B5B"/>
    <w:rsid w:val="00086B96"/>
    <w:rsid w:val="00087103"/>
    <w:rsid w:val="00087C2B"/>
    <w:rsid w:val="00090310"/>
    <w:rsid w:val="00091E8A"/>
    <w:rsid w:val="00092FE5"/>
    <w:rsid w:val="000948A8"/>
    <w:rsid w:val="00094993"/>
    <w:rsid w:val="00095511"/>
    <w:rsid w:val="000958A0"/>
    <w:rsid w:val="0009644A"/>
    <w:rsid w:val="00096A98"/>
    <w:rsid w:val="00097410"/>
    <w:rsid w:val="000A2142"/>
    <w:rsid w:val="000A273B"/>
    <w:rsid w:val="000A3952"/>
    <w:rsid w:val="000A7199"/>
    <w:rsid w:val="000A743C"/>
    <w:rsid w:val="000A7531"/>
    <w:rsid w:val="000A78FE"/>
    <w:rsid w:val="000B13A7"/>
    <w:rsid w:val="000B3BA9"/>
    <w:rsid w:val="000B736F"/>
    <w:rsid w:val="000B79EF"/>
    <w:rsid w:val="000C7BD8"/>
    <w:rsid w:val="000D00FB"/>
    <w:rsid w:val="000D19AA"/>
    <w:rsid w:val="000D3EE7"/>
    <w:rsid w:val="000D4D6F"/>
    <w:rsid w:val="000D55D9"/>
    <w:rsid w:val="000D56EF"/>
    <w:rsid w:val="000D620D"/>
    <w:rsid w:val="000D659F"/>
    <w:rsid w:val="000D7FCD"/>
    <w:rsid w:val="000E0A8D"/>
    <w:rsid w:val="000E1781"/>
    <w:rsid w:val="000E290C"/>
    <w:rsid w:val="000E3708"/>
    <w:rsid w:val="000E435F"/>
    <w:rsid w:val="000E5DF4"/>
    <w:rsid w:val="000E642A"/>
    <w:rsid w:val="000E6BE7"/>
    <w:rsid w:val="000E77EA"/>
    <w:rsid w:val="000F0654"/>
    <w:rsid w:val="000F1362"/>
    <w:rsid w:val="000F34B5"/>
    <w:rsid w:val="000F562B"/>
    <w:rsid w:val="000F6A7C"/>
    <w:rsid w:val="000F70E5"/>
    <w:rsid w:val="000F77B0"/>
    <w:rsid w:val="00100301"/>
    <w:rsid w:val="0010226F"/>
    <w:rsid w:val="00102321"/>
    <w:rsid w:val="00102D57"/>
    <w:rsid w:val="00102EEF"/>
    <w:rsid w:val="00104A05"/>
    <w:rsid w:val="0010509F"/>
    <w:rsid w:val="00107C8E"/>
    <w:rsid w:val="0011002F"/>
    <w:rsid w:val="00111DD9"/>
    <w:rsid w:val="00111F90"/>
    <w:rsid w:val="00111FE2"/>
    <w:rsid w:val="00115301"/>
    <w:rsid w:val="00120BF6"/>
    <w:rsid w:val="0012278D"/>
    <w:rsid w:val="001228E5"/>
    <w:rsid w:val="00125797"/>
    <w:rsid w:val="0012648E"/>
    <w:rsid w:val="00126F98"/>
    <w:rsid w:val="00130953"/>
    <w:rsid w:val="00131F93"/>
    <w:rsid w:val="00133433"/>
    <w:rsid w:val="00134F33"/>
    <w:rsid w:val="001357D8"/>
    <w:rsid w:val="00136371"/>
    <w:rsid w:val="00136BB0"/>
    <w:rsid w:val="00136C12"/>
    <w:rsid w:val="00136F0B"/>
    <w:rsid w:val="00137082"/>
    <w:rsid w:val="00137528"/>
    <w:rsid w:val="00140C00"/>
    <w:rsid w:val="00140EFA"/>
    <w:rsid w:val="00142FC9"/>
    <w:rsid w:val="001447D6"/>
    <w:rsid w:val="00144D5E"/>
    <w:rsid w:val="0014591A"/>
    <w:rsid w:val="00146C77"/>
    <w:rsid w:val="00146E07"/>
    <w:rsid w:val="00150515"/>
    <w:rsid w:val="001505BA"/>
    <w:rsid w:val="001506DC"/>
    <w:rsid w:val="001507E7"/>
    <w:rsid w:val="001527D4"/>
    <w:rsid w:val="00153371"/>
    <w:rsid w:val="00153CCA"/>
    <w:rsid w:val="00153D0C"/>
    <w:rsid w:val="00154BF4"/>
    <w:rsid w:val="001553D2"/>
    <w:rsid w:val="001560BB"/>
    <w:rsid w:val="0015622A"/>
    <w:rsid w:val="0015648A"/>
    <w:rsid w:val="00156AE1"/>
    <w:rsid w:val="00156D28"/>
    <w:rsid w:val="001603C9"/>
    <w:rsid w:val="0016103A"/>
    <w:rsid w:val="001624C7"/>
    <w:rsid w:val="001633B6"/>
    <w:rsid w:val="00163737"/>
    <w:rsid w:val="001638D7"/>
    <w:rsid w:val="00163903"/>
    <w:rsid w:val="00163B8A"/>
    <w:rsid w:val="00163BD4"/>
    <w:rsid w:val="00164684"/>
    <w:rsid w:val="00164DED"/>
    <w:rsid w:val="001670FB"/>
    <w:rsid w:val="0017020C"/>
    <w:rsid w:val="00170884"/>
    <w:rsid w:val="00171C95"/>
    <w:rsid w:val="001731F7"/>
    <w:rsid w:val="001744A9"/>
    <w:rsid w:val="001759D8"/>
    <w:rsid w:val="001765A6"/>
    <w:rsid w:val="001772B0"/>
    <w:rsid w:val="00177433"/>
    <w:rsid w:val="0018179C"/>
    <w:rsid w:val="00182D44"/>
    <w:rsid w:val="001839FC"/>
    <w:rsid w:val="00186917"/>
    <w:rsid w:val="00190B5D"/>
    <w:rsid w:val="001910EB"/>
    <w:rsid w:val="00191C17"/>
    <w:rsid w:val="00191FE0"/>
    <w:rsid w:val="001974C7"/>
    <w:rsid w:val="00197E67"/>
    <w:rsid w:val="001A2615"/>
    <w:rsid w:val="001A3544"/>
    <w:rsid w:val="001A36D9"/>
    <w:rsid w:val="001A39F3"/>
    <w:rsid w:val="001A44A4"/>
    <w:rsid w:val="001A56E9"/>
    <w:rsid w:val="001A6CD0"/>
    <w:rsid w:val="001A7144"/>
    <w:rsid w:val="001A78E3"/>
    <w:rsid w:val="001A7A5D"/>
    <w:rsid w:val="001B139D"/>
    <w:rsid w:val="001B1925"/>
    <w:rsid w:val="001B31F2"/>
    <w:rsid w:val="001B4441"/>
    <w:rsid w:val="001B5E31"/>
    <w:rsid w:val="001B77C9"/>
    <w:rsid w:val="001C0357"/>
    <w:rsid w:val="001C0BCA"/>
    <w:rsid w:val="001C10DD"/>
    <w:rsid w:val="001C360E"/>
    <w:rsid w:val="001C364D"/>
    <w:rsid w:val="001C36EB"/>
    <w:rsid w:val="001C3C2E"/>
    <w:rsid w:val="001C56AA"/>
    <w:rsid w:val="001C6F78"/>
    <w:rsid w:val="001D196E"/>
    <w:rsid w:val="001D57D9"/>
    <w:rsid w:val="001D5DC6"/>
    <w:rsid w:val="001D5E34"/>
    <w:rsid w:val="001D5F0D"/>
    <w:rsid w:val="001D68FB"/>
    <w:rsid w:val="001D6EE2"/>
    <w:rsid w:val="001D76DB"/>
    <w:rsid w:val="001E03BE"/>
    <w:rsid w:val="001E0457"/>
    <w:rsid w:val="001E07C4"/>
    <w:rsid w:val="001E18A0"/>
    <w:rsid w:val="001E1BE3"/>
    <w:rsid w:val="001E1F42"/>
    <w:rsid w:val="001E56CD"/>
    <w:rsid w:val="001E698F"/>
    <w:rsid w:val="001F0083"/>
    <w:rsid w:val="001F09ED"/>
    <w:rsid w:val="001F0C1B"/>
    <w:rsid w:val="001F126D"/>
    <w:rsid w:val="001F1C09"/>
    <w:rsid w:val="001F2E15"/>
    <w:rsid w:val="001F2E1C"/>
    <w:rsid w:val="001F30D2"/>
    <w:rsid w:val="001F34DE"/>
    <w:rsid w:val="001F3744"/>
    <w:rsid w:val="001F38A6"/>
    <w:rsid w:val="001F3F33"/>
    <w:rsid w:val="001F41AA"/>
    <w:rsid w:val="001F42C1"/>
    <w:rsid w:val="001F7427"/>
    <w:rsid w:val="001F779A"/>
    <w:rsid w:val="00200277"/>
    <w:rsid w:val="00200E02"/>
    <w:rsid w:val="00206E9A"/>
    <w:rsid w:val="00207812"/>
    <w:rsid w:val="00210AFE"/>
    <w:rsid w:val="00211AA6"/>
    <w:rsid w:val="002131EA"/>
    <w:rsid w:val="00213F0B"/>
    <w:rsid w:val="00214537"/>
    <w:rsid w:val="00216E0E"/>
    <w:rsid w:val="002172DC"/>
    <w:rsid w:val="0021734C"/>
    <w:rsid w:val="00220527"/>
    <w:rsid w:val="00223137"/>
    <w:rsid w:val="002237A9"/>
    <w:rsid w:val="00223A79"/>
    <w:rsid w:val="00223B39"/>
    <w:rsid w:val="002243A3"/>
    <w:rsid w:val="0022545C"/>
    <w:rsid w:val="0023072B"/>
    <w:rsid w:val="0023401B"/>
    <w:rsid w:val="0024161C"/>
    <w:rsid w:val="002420AF"/>
    <w:rsid w:val="002445B5"/>
    <w:rsid w:val="00245619"/>
    <w:rsid w:val="00247AE1"/>
    <w:rsid w:val="00250FBE"/>
    <w:rsid w:val="00251884"/>
    <w:rsid w:val="00251F9D"/>
    <w:rsid w:val="002530DF"/>
    <w:rsid w:val="002538A0"/>
    <w:rsid w:val="002558BD"/>
    <w:rsid w:val="00255D6D"/>
    <w:rsid w:val="00255D9E"/>
    <w:rsid w:val="00256E09"/>
    <w:rsid w:val="00256E31"/>
    <w:rsid w:val="002609C6"/>
    <w:rsid w:val="00261453"/>
    <w:rsid w:val="002620D8"/>
    <w:rsid w:val="00262124"/>
    <w:rsid w:val="0026327B"/>
    <w:rsid w:val="0026365F"/>
    <w:rsid w:val="00264594"/>
    <w:rsid w:val="002649C3"/>
    <w:rsid w:val="0026563C"/>
    <w:rsid w:val="00265649"/>
    <w:rsid w:val="00266653"/>
    <w:rsid w:val="00266B23"/>
    <w:rsid w:val="0026743C"/>
    <w:rsid w:val="00271B99"/>
    <w:rsid w:val="002737FF"/>
    <w:rsid w:val="00273B84"/>
    <w:rsid w:val="002772D6"/>
    <w:rsid w:val="00277707"/>
    <w:rsid w:val="00280A27"/>
    <w:rsid w:val="00281377"/>
    <w:rsid w:val="00281AF4"/>
    <w:rsid w:val="00282BA5"/>
    <w:rsid w:val="0028428A"/>
    <w:rsid w:val="002844BE"/>
    <w:rsid w:val="002853B7"/>
    <w:rsid w:val="00285577"/>
    <w:rsid w:val="0029090A"/>
    <w:rsid w:val="00290CC7"/>
    <w:rsid w:val="002912A8"/>
    <w:rsid w:val="00292275"/>
    <w:rsid w:val="00292C1D"/>
    <w:rsid w:val="00294BD8"/>
    <w:rsid w:val="00297261"/>
    <w:rsid w:val="00297809"/>
    <w:rsid w:val="002A037E"/>
    <w:rsid w:val="002A268E"/>
    <w:rsid w:val="002A291D"/>
    <w:rsid w:val="002A295C"/>
    <w:rsid w:val="002A403A"/>
    <w:rsid w:val="002A57BE"/>
    <w:rsid w:val="002A72BF"/>
    <w:rsid w:val="002B019B"/>
    <w:rsid w:val="002B07FA"/>
    <w:rsid w:val="002B46A0"/>
    <w:rsid w:val="002B49A0"/>
    <w:rsid w:val="002B6EFB"/>
    <w:rsid w:val="002B7A4A"/>
    <w:rsid w:val="002C012E"/>
    <w:rsid w:val="002C052A"/>
    <w:rsid w:val="002C0F59"/>
    <w:rsid w:val="002C1F59"/>
    <w:rsid w:val="002C499A"/>
    <w:rsid w:val="002C4D60"/>
    <w:rsid w:val="002C590C"/>
    <w:rsid w:val="002C59B0"/>
    <w:rsid w:val="002C75C4"/>
    <w:rsid w:val="002D0657"/>
    <w:rsid w:val="002D11C3"/>
    <w:rsid w:val="002D21AD"/>
    <w:rsid w:val="002D2D21"/>
    <w:rsid w:val="002D3ADC"/>
    <w:rsid w:val="002D3D1A"/>
    <w:rsid w:val="002D466A"/>
    <w:rsid w:val="002D4BC9"/>
    <w:rsid w:val="002D4D84"/>
    <w:rsid w:val="002D56A4"/>
    <w:rsid w:val="002D5A2C"/>
    <w:rsid w:val="002D796E"/>
    <w:rsid w:val="002E1E66"/>
    <w:rsid w:val="002E1FE5"/>
    <w:rsid w:val="002E2820"/>
    <w:rsid w:val="002E29D3"/>
    <w:rsid w:val="002E5507"/>
    <w:rsid w:val="002E61BA"/>
    <w:rsid w:val="002E6368"/>
    <w:rsid w:val="002E7174"/>
    <w:rsid w:val="002E7981"/>
    <w:rsid w:val="002E7C1A"/>
    <w:rsid w:val="002F077F"/>
    <w:rsid w:val="002F0E02"/>
    <w:rsid w:val="002F22D0"/>
    <w:rsid w:val="002F5165"/>
    <w:rsid w:val="002F56FB"/>
    <w:rsid w:val="002F6048"/>
    <w:rsid w:val="002F6280"/>
    <w:rsid w:val="002F63CD"/>
    <w:rsid w:val="002F775E"/>
    <w:rsid w:val="00300340"/>
    <w:rsid w:val="003003C5"/>
    <w:rsid w:val="00300649"/>
    <w:rsid w:val="00300AD9"/>
    <w:rsid w:val="00300C1C"/>
    <w:rsid w:val="00300D69"/>
    <w:rsid w:val="0030358D"/>
    <w:rsid w:val="00304771"/>
    <w:rsid w:val="003048B6"/>
    <w:rsid w:val="00306839"/>
    <w:rsid w:val="00307ECE"/>
    <w:rsid w:val="0031003C"/>
    <w:rsid w:val="00310133"/>
    <w:rsid w:val="003124B0"/>
    <w:rsid w:val="00312868"/>
    <w:rsid w:val="003155C2"/>
    <w:rsid w:val="003162A8"/>
    <w:rsid w:val="0031635C"/>
    <w:rsid w:val="00316920"/>
    <w:rsid w:val="00316DEC"/>
    <w:rsid w:val="00316E25"/>
    <w:rsid w:val="003178DF"/>
    <w:rsid w:val="00322333"/>
    <w:rsid w:val="00325720"/>
    <w:rsid w:val="00325D17"/>
    <w:rsid w:val="00325FAA"/>
    <w:rsid w:val="00327328"/>
    <w:rsid w:val="0032739E"/>
    <w:rsid w:val="00327EE2"/>
    <w:rsid w:val="00330281"/>
    <w:rsid w:val="003313CE"/>
    <w:rsid w:val="003339E9"/>
    <w:rsid w:val="003344C8"/>
    <w:rsid w:val="00334F9D"/>
    <w:rsid w:val="003372CA"/>
    <w:rsid w:val="00342B2F"/>
    <w:rsid w:val="00342D66"/>
    <w:rsid w:val="0034396C"/>
    <w:rsid w:val="00344C32"/>
    <w:rsid w:val="00345F67"/>
    <w:rsid w:val="00345F7E"/>
    <w:rsid w:val="00350348"/>
    <w:rsid w:val="00350393"/>
    <w:rsid w:val="00351C6B"/>
    <w:rsid w:val="00351DB6"/>
    <w:rsid w:val="00351F60"/>
    <w:rsid w:val="0035225E"/>
    <w:rsid w:val="00352321"/>
    <w:rsid w:val="003527D2"/>
    <w:rsid w:val="00353626"/>
    <w:rsid w:val="003541EE"/>
    <w:rsid w:val="00355005"/>
    <w:rsid w:val="00356014"/>
    <w:rsid w:val="00356824"/>
    <w:rsid w:val="003570DA"/>
    <w:rsid w:val="003573EE"/>
    <w:rsid w:val="00360600"/>
    <w:rsid w:val="0036477E"/>
    <w:rsid w:val="00364B64"/>
    <w:rsid w:val="00365573"/>
    <w:rsid w:val="00365D91"/>
    <w:rsid w:val="00366795"/>
    <w:rsid w:val="00366F73"/>
    <w:rsid w:val="00367B91"/>
    <w:rsid w:val="00374F98"/>
    <w:rsid w:val="003757DB"/>
    <w:rsid w:val="00375D08"/>
    <w:rsid w:val="003773E4"/>
    <w:rsid w:val="00377E9C"/>
    <w:rsid w:val="0038030F"/>
    <w:rsid w:val="003804C7"/>
    <w:rsid w:val="00381DDF"/>
    <w:rsid w:val="00381FFC"/>
    <w:rsid w:val="0038341D"/>
    <w:rsid w:val="00383536"/>
    <w:rsid w:val="00384478"/>
    <w:rsid w:val="00385930"/>
    <w:rsid w:val="00387093"/>
    <w:rsid w:val="003877FB"/>
    <w:rsid w:val="00387FEB"/>
    <w:rsid w:val="00392F06"/>
    <w:rsid w:val="00393C2F"/>
    <w:rsid w:val="003947B5"/>
    <w:rsid w:val="003947D8"/>
    <w:rsid w:val="0039521A"/>
    <w:rsid w:val="00396174"/>
    <w:rsid w:val="00397FA2"/>
    <w:rsid w:val="003A01AB"/>
    <w:rsid w:val="003A0C2C"/>
    <w:rsid w:val="003A45E3"/>
    <w:rsid w:val="003A4E27"/>
    <w:rsid w:val="003A5BB2"/>
    <w:rsid w:val="003A6415"/>
    <w:rsid w:val="003A7A16"/>
    <w:rsid w:val="003A7DBF"/>
    <w:rsid w:val="003B02ED"/>
    <w:rsid w:val="003B2AF0"/>
    <w:rsid w:val="003B466D"/>
    <w:rsid w:val="003B5160"/>
    <w:rsid w:val="003B5362"/>
    <w:rsid w:val="003B62FA"/>
    <w:rsid w:val="003B6F10"/>
    <w:rsid w:val="003B73A8"/>
    <w:rsid w:val="003C0901"/>
    <w:rsid w:val="003C0AE4"/>
    <w:rsid w:val="003C16E2"/>
    <w:rsid w:val="003C1B61"/>
    <w:rsid w:val="003C1E40"/>
    <w:rsid w:val="003C258F"/>
    <w:rsid w:val="003C2C9C"/>
    <w:rsid w:val="003C3045"/>
    <w:rsid w:val="003C3398"/>
    <w:rsid w:val="003C5481"/>
    <w:rsid w:val="003C54A8"/>
    <w:rsid w:val="003C6E18"/>
    <w:rsid w:val="003D12F6"/>
    <w:rsid w:val="003D271C"/>
    <w:rsid w:val="003D39A1"/>
    <w:rsid w:val="003D4B0F"/>
    <w:rsid w:val="003D4E6E"/>
    <w:rsid w:val="003D5B8F"/>
    <w:rsid w:val="003D6DFD"/>
    <w:rsid w:val="003E0BF1"/>
    <w:rsid w:val="003E1396"/>
    <w:rsid w:val="003E1845"/>
    <w:rsid w:val="003E2B16"/>
    <w:rsid w:val="003E4A41"/>
    <w:rsid w:val="003E5016"/>
    <w:rsid w:val="003E5A98"/>
    <w:rsid w:val="003E6432"/>
    <w:rsid w:val="003E754F"/>
    <w:rsid w:val="003E7B35"/>
    <w:rsid w:val="003F00A9"/>
    <w:rsid w:val="003F3391"/>
    <w:rsid w:val="003F4050"/>
    <w:rsid w:val="003F5314"/>
    <w:rsid w:val="003F563B"/>
    <w:rsid w:val="003F651F"/>
    <w:rsid w:val="003F6AC5"/>
    <w:rsid w:val="003F6BA8"/>
    <w:rsid w:val="003F7D5D"/>
    <w:rsid w:val="00400C39"/>
    <w:rsid w:val="00401CDF"/>
    <w:rsid w:val="004027B8"/>
    <w:rsid w:val="00403567"/>
    <w:rsid w:val="0040371D"/>
    <w:rsid w:val="00403784"/>
    <w:rsid w:val="00403792"/>
    <w:rsid w:val="0040573E"/>
    <w:rsid w:val="00407DB3"/>
    <w:rsid w:val="004100FF"/>
    <w:rsid w:val="004110EC"/>
    <w:rsid w:val="00413038"/>
    <w:rsid w:val="00413CC6"/>
    <w:rsid w:val="00414AB6"/>
    <w:rsid w:val="00415671"/>
    <w:rsid w:val="0041727C"/>
    <w:rsid w:val="0041728E"/>
    <w:rsid w:val="00417F2E"/>
    <w:rsid w:val="0042070E"/>
    <w:rsid w:val="0042286E"/>
    <w:rsid w:val="00422961"/>
    <w:rsid w:val="00422E97"/>
    <w:rsid w:val="00422EF4"/>
    <w:rsid w:val="00423726"/>
    <w:rsid w:val="00424A14"/>
    <w:rsid w:val="00424A82"/>
    <w:rsid w:val="00426A21"/>
    <w:rsid w:val="00426FD0"/>
    <w:rsid w:val="004302BF"/>
    <w:rsid w:val="004307CC"/>
    <w:rsid w:val="00430DED"/>
    <w:rsid w:val="00431142"/>
    <w:rsid w:val="00431B0C"/>
    <w:rsid w:val="00432BB2"/>
    <w:rsid w:val="00434F08"/>
    <w:rsid w:val="00435B04"/>
    <w:rsid w:val="00435C1F"/>
    <w:rsid w:val="00436C04"/>
    <w:rsid w:val="004377FF"/>
    <w:rsid w:val="004416C9"/>
    <w:rsid w:val="00441E42"/>
    <w:rsid w:val="00443F67"/>
    <w:rsid w:val="00444090"/>
    <w:rsid w:val="004444F3"/>
    <w:rsid w:val="00444667"/>
    <w:rsid w:val="004451D6"/>
    <w:rsid w:val="00445542"/>
    <w:rsid w:val="00446BC2"/>
    <w:rsid w:val="004502D3"/>
    <w:rsid w:val="00450750"/>
    <w:rsid w:val="004510D2"/>
    <w:rsid w:val="00454088"/>
    <w:rsid w:val="004552C4"/>
    <w:rsid w:val="00456198"/>
    <w:rsid w:val="0045723C"/>
    <w:rsid w:val="004572EE"/>
    <w:rsid w:val="004578B4"/>
    <w:rsid w:val="00466445"/>
    <w:rsid w:val="00467CD7"/>
    <w:rsid w:val="00467EBA"/>
    <w:rsid w:val="00470E5D"/>
    <w:rsid w:val="004711E0"/>
    <w:rsid w:val="00474A61"/>
    <w:rsid w:val="00474BDC"/>
    <w:rsid w:val="00475184"/>
    <w:rsid w:val="004825F8"/>
    <w:rsid w:val="00483765"/>
    <w:rsid w:val="00483FED"/>
    <w:rsid w:val="0048442F"/>
    <w:rsid w:val="00485B4F"/>
    <w:rsid w:val="00490ED1"/>
    <w:rsid w:val="0049154F"/>
    <w:rsid w:val="00492408"/>
    <w:rsid w:val="00492B67"/>
    <w:rsid w:val="00493001"/>
    <w:rsid w:val="00494738"/>
    <w:rsid w:val="00497619"/>
    <w:rsid w:val="004A1927"/>
    <w:rsid w:val="004A3866"/>
    <w:rsid w:val="004A4444"/>
    <w:rsid w:val="004A49CE"/>
    <w:rsid w:val="004A5053"/>
    <w:rsid w:val="004A7742"/>
    <w:rsid w:val="004B016F"/>
    <w:rsid w:val="004B3C58"/>
    <w:rsid w:val="004C0508"/>
    <w:rsid w:val="004C0875"/>
    <w:rsid w:val="004C52E7"/>
    <w:rsid w:val="004C5945"/>
    <w:rsid w:val="004C606E"/>
    <w:rsid w:val="004C7A54"/>
    <w:rsid w:val="004C7DBD"/>
    <w:rsid w:val="004D2239"/>
    <w:rsid w:val="004D4FDA"/>
    <w:rsid w:val="004D5E31"/>
    <w:rsid w:val="004D6200"/>
    <w:rsid w:val="004D7C90"/>
    <w:rsid w:val="004E0C9B"/>
    <w:rsid w:val="004E549B"/>
    <w:rsid w:val="004E54F1"/>
    <w:rsid w:val="004E6068"/>
    <w:rsid w:val="004E60AE"/>
    <w:rsid w:val="004F2BAB"/>
    <w:rsid w:val="004F3BDA"/>
    <w:rsid w:val="004F3D4A"/>
    <w:rsid w:val="004F4978"/>
    <w:rsid w:val="004F5EAB"/>
    <w:rsid w:val="004F6A55"/>
    <w:rsid w:val="004F6A99"/>
    <w:rsid w:val="004F7183"/>
    <w:rsid w:val="0050090A"/>
    <w:rsid w:val="00501671"/>
    <w:rsid w:val="00503A8B"/>
    <w:rsid w:val="00506720"/>
    <w:rsid w:val="0050713D"/>
    <w:rsid w:val="00507169"/>
    <w:rsid w:val="0051002A"/>
    <w:rsid w:val="00512128"/>
    <w:rsid w:val="00512CD0"/>
    <w:rsid w:val="0051394B"/>
    <w:rsid w:val="00514A1C"/>
    <w:rsid w:val="00515CD4"/>
    <w:rsid w:val="0051758E"/>
    <w:rsid w:val="005177C5"/>
    <w:rsid w:val="005179B5"/>
    <w:rsid w:val="005202B2"/>
    <w:rsid w:val="00521F90"/>
    <w:rsid w:val="0052206E"/>
    <w:rsid w:val="00522148"/>
    <w:rsid w:val="00522E4B"/>
    <w:rsid w:val="005230E9"/>
    <w:rsid w:val="005240F9"/>
    <w:rsid w:val="00525C4E"/>
    <w:rsid w:val="00525D1C"/>
    <w:rsid w:val="00526596"/>
    <w:rsid w:val="0052743C"/>
    <w:rsid w:val="00527708"/>
    <w:rsid w:val="00527AA1"/>
    <w:rsid w:val="005309D7"/>
    <w:rsid w:val="00531510"/>
    <w:rsid w:val="00531663"/>
    <w:rsid w:val="00532089"/>
    <w:rsid w:val="00535ED6"/>
    <w:rsid w:val="005360E1"/>
    <w:rsid w:val="00536558"/>
    <w:rsid w:val="005406FC"/>
    <w:rsid w:val="005419AF"/>
    <w:rsid w:val="00545493"/>
    <w:rsid w:val="005465E6"/>
    <w:rsid w:val="00546CD3"/>
    <w:rsid w:val="00547CA9"/>
    <w:rsid w:val="005504D6"/>
    <w:rsid w:val="00552201"/>
    <w:rsid w:val="00554352"/>
    <w:rsid w:val="005544EE"/>
    <w:rsid w:val="00554B90"/>
    <w:rsid w:val="00555C53"/>
    <w:rsid w:val="00556B52"/>
    <w:rsid w:val="0056014A"/>
    <w:rsid w:val="0056018E"/>
    <w:rsid w:val="00560DF3"/>
    <w:rsid w:val="00561409"/>
    <w:rsid w:val="00561E5C"/>
    <w:rsid w:val="005637F5"/>
    <w:rsid w:val="00565783"/>
    <w:rsid w:val="00565833"/>
    <w:rsid w:val="00566826"/>
    <w:rsid w:val="00570005"/>
    <w:rsid w:val="00570EAE"/>
    <w:rsid w:val="00571F17"/>
    <w:rsid w:val="00576EF0"/>
    <w:rsid w:val="00576F96"/>
    <w:rsid w:val="00581663"/>
    <w:rsid w:val="00582082"/>
    <w:rsid w:val="0058440A"/>
    <w:rsid w:val="00584C5E"/>
    <w:rsid w:val="00585072"/>
    <w:rsid w:val="00585A97"/>
    <w:rsid w:val="00586EE7"/>
    <w:rsid w:val="00587D63"/>
    <w:rsid w:val="00587F8E"/>
    <w:rsid w:val="00591316"/>
    <w:rsid w:val="00591EAA"/>
    <w:rsid w:val="00593249"/>
    <w:rsid w:val="00593D9F"/>
    <w:rsid w:val="00594A24"/>
    <w:rsid w:val="00596001"/>
    <w:rsid w:val="0059738E"/>
    <w:rsid w:val="005976AC"/>
    <w:rsid w:val="005A016C"/>
    <w:rsid w:val="005A05B0"/>
    <w:rsid w:val="005A1C72"/>
    <w:rsid w:val="005A2E46"/>
    <w:rsid w:val="005A2F6D"/>
    <w:rsid w:val="005A3009"/>
    <w:rsid w:val="005A4741"/>
    <w:rsid w:val="005A5ABB"/>
    <w:rsid w:val="005A60EF"/>
    <w:rsid w:val="005B056D"/>
    <w:rsid w:val="005B15FA"/>
    <w:rsid w:val="005B177A"/>
    <w:rsid w:val="005B23E7"/>
    <w:rsid w:val="005B275C"/>
    <w:rsid w:val="005B3010"/>
    <w:rsid w:val="005B3D3B"/>
    <w:rsid w:val="005B63F0"/>
    <w:rsid w:val="005C22B1"/>
    <w:rsid w:val="005C2C8F"/>
    <w:rsid w:val="005C3A53"/>
    <w:rsid w:val="005C3C18"/>
    <w:rsid w:val="005C437A"/>
    <w:rsid w:val="005C5AF7"/>
    <w:rsid w:val="005C5CAB"/>
    <w:rsid w:val="005C6324"/>
    <w:rsid w:val="005C66DB"/>
    <w:rsid w:val="005D07E2"/>
    <w:rsid w:val="005D08D0"/>
    <w:rsid w:val="005D1834"/>
    <w:rsid w:val="005D1C9F"/>
    <w:rsid w:val="005D29DC"/>
    <w:rsid w:val="005D35B4"/>
    <w:rsid w:val="005D3B19"/>
    <w:rsid w:val="005D4AB8"/>
    <w:rsid w:val="005D4C3E"/>
    <w:rsid w:val="005D5DEA"/>
    <w:rsid w:val="005D7154"/>
    <w:rsid w:val="005D7627"/>
    <w:rsid w:val="005E1B28"/>
    <w:rsid w:val="005E4A16"/>
    <w:rsid w:val="005E5DE2"/>
    <w:rsid w:val="005E645E"/>
    <w:rsid w:val="005E64ED"/>
    <w:rsid w:val="005E6794"/>
    <w:rsid w:val="005F003E"/>
    <w:rsid w:val="005F2803"/>
    <w:rsid w:val="005F2C84"/>
    <w:rsid w:val="005F3516"/>
    <w:rsid w:val="005F4008"/>
    <w:rsid w:val="005F54B3"/>
    <w:rsid w:val="005F56FA"/>
    <w:rsid w:val="005F63F6"/>
    <w:rsid w:val="005F64C1"/>
    <w:rsid w:val="005F6BC1"/>
    <w:rsid w:val="006009DE"/>
    <w:rsid w:val="00602C65"/>
    <w:rsid w:val="00603559"/>
    <w:rsid w:val="006042E6"/>
    <w:rsid w:val="00604B1E"/>
    <w:rsid w:val="00605B1B"/>
    <w:rsid w:val="00606C75"/>
    <w:rsid w:val="00607D57"/>
    <w:rsid w:val="00607E0A"/>
    <w:rsid w:val="006115AA"/>
    <w:rsid w:val="00612315"/>
    <w:rsid w:val="006157BB"/>
    <w:rsid w:val="00615D79"/>
    <w:rsid w:val="006166BE"/>
    <w:rsid w:val="00617E44"/>
    <w:rsid w:val="00620D16"/>
    <w:rsid w:val="00621437"/>
    <w:rsid w:val="00623346"/>
    <w:rsid w:val="0062389E"/>
    <w:rsid w:val="00623E3C"/>
    <w:rsid w:val="006308A6"/>
    <w:rsid w:val="00632E10"/>
    <w:rsid w:val="00632EC9"/>
    <w:rsid w:val="00634412"/>
    <w:rsid w:val="0063520D"/>
    <w:rsid w:val="00636AA1"/>
    <w:rsid w:val="00636BC0"/>
    <w:rsid w:val="00637542"/>
    <w:rsid w:val="00637E8F"/>
    <w:rsid w:val="0064082E"/>
    <w:rsid w:val="00641E01"/>
    <w:rsid w:val="00643FA4"/>
    <w:rsid w:val="00644CBC"/>
    <w:rsid w:val="006454CA"/>
    <w:rsid w:val="006459CA"/>
    <w:rsid w:val="00646742"/>
    <w:rsid w:val="00646AFB"/>
    <w:rsid w:val="00647634"/>
    <w:rsid w:val="00647EE9"/>
    <w:rsid w:val="00651560"/>
    <w:rsid w:val="006518EB"/>
    <w:rsid w:val="006533F0"/>
    <w:rsid w:val="006535FA"/>
    <w:rsid w:val="00654FBA"/>
    <w:rsid w:val="00657041"/>
    <w:rsid w:val="006573CA"/>
    <w:rsid w:val="006611D4"/>
    <w:rsid w:val="00661486"/>
    <w:rsid w:val="00661A94"/>
    <w:rsid w:val="006626FA"/>
    <w:rsid w:val="00662980"/>
    <w:rsid w:val="00662DA0"/>
    <w:rsid w:val="0066522A"/>
    <w:rsid w:val="00665BB1"/>
    <w:rsid w:val="006673AF"/>
    <w:rsid w:val="00667757"/>
    <w:rsid w:val="00667CF3"/>
    <w:rsid w:val="006717A3"/>
    <w:rsid w:val="00672968"/>
    <w:rsid w:val="006735A0"/>
    <w:rsid w:val="00675226"/>
    <w:rsid w:val="00675731"/>
    <w:rsid w:val="00676B15"/>
    <w:rsid w:val="00676FF3"/>
    <w:rsid w:val="0067781C"/>
    <w:rsid w:val="00680CF4"/>
    <w:rsid w:val="006818F4"/>
    <w:rsid w:val="00681F62"/>
    <w:rsid w:val="00683667"/>
    <w:rsid w:val="00684786"/>
    <w:rsid w:val="00685DA3"/>
    <w:rsid w:val="00686507"/>
    <w:rsid w:val="00687324"/>
    <w:rsid w:val="00690825"/>
    <w:rsid w:val="00691B53"/>
    <w:rsid w:val="00691D8B"/>
    <w:rsid w:val="0069379C"/>
    <w:rsid w:val="00694472"/>
    <w:rsid w:val="00694B67"/>
    <w:rsid w:val="006952D2"/>
    <w:rsid w:val="00696B37"/>
    <w:rsid w:val="00696C53"/>
    <w:rsid w:val="00696C79"/>
    <w:rsid w:val="00697212"/>
    <w:rsid w:val="006A0D40"/>
    <w:rsid w:val="006A25B8"/>
    <w:rsid w:val="006A3040"/>
    <w:rsid w:val="006A4422"/>
    <w:rsid w:val="006A5D96"/>
    <w:rsid w:val="006A6E8B"/>
    <w:rsid w:val="006A7E77"/>
    <w:rsid w:val="006B1689"/>
    <w:rsid w:val="006B23E5"/>
    <w:rsid w:val="006B2876"/>
    <w:rsid w:val="006B3522"/>
    <w:rsid w:val="006B5311"/>
    <w:rsid w:val="006B6AC7"/>
    <w:rsid w:val="006C016F"/>
    <w:rsid w:val="006C0538"/>
    <w:rsid w:val="006C077D"/>
    <w:rsid w:val="006C1966"/>
    <w:rsid w:val="006C29F7"/>
    <w:rsid w:val="006C481C"/>
    <w:rsid w:val="006C4CE2"/>
    <w:rsid w:val="006C5F63"/>
    <w:rsid w:val="006C71D1"/>
    <w:rsid w:val="006C7A55"/>
    <w:rsid w:val="006D0779"/>
    <w:rsid w:val="006D1D88"/>
    <w:rsid w:val="006D2717"/>
    <w:rsid w:val="006D3131"/>
    <w:rsid w:val="006D332D"/>
    <w:rsid w:val="006D3DAF"/>
    <w:rsid w:val="006D4C57"/>
    <w:rsid w:val="006D5E0D"/>
    <w:rsid w:val="006D7285"/>
    <w:rsid w:val="006D7D7F"/>
    <w:rsid w:val="006E1720"/>
    <w:rsid w:val="006E17D7"/>
    <w:rsid w:val="006E1835"/>
    <w:rsid w:val="006E18CB"/>
    <w:rsid w:val="006E18DC"/>
    <w:rsid w:val="006E22D7"/>
    <w:rsid w:val="006E2FBA"/>
    <w:rsid w:val="006E3E6E"/>
    <w:rsid w:val="006E57D8"/>
    <w:rsid w:val="006E6363"/>
    <w:rsid w:val="006E7424"/>
    <w:rsid w:val="006F0B09"/>
    <w:rsid w:val="006F136F"/>
    <w:rsid w:val="006F41AC"/>
    <w:rsid w:val="006F453A"/>
    <w:rsid w:val="006F4F79"/>
    <w:rsid w:val="006F58C9"/>
    <w:rsid w:val="006F6B28"/>
    <w:rsid w:val="006F73EC"/>
    <w:rsid w:val="007005ED"/>
    <w:rsid w:val="00700E5F"/>
    <w:rsid w:val="00700EFB"/>
    <w:rsid w:val="0070204F"/>
    <w:rsid w:val="00702358"/>
    <w:rsid w:val="007039C5"/>
    <w:rsid w:val="00703F2E"/>
    <w:rsid w:val="00704275"/>
    <w:rsid w:val="007055B6"/>
    <w:rsid w:val="00706D12"/>
    <w:rsid w:val="00710A5B"/>
    <w:rsid w:val="007114D3"/>
    <w:rsid w:val="00713128"/>
    <w:rsid w:val="00713F71"/>
    <w:rsid w:val="00714510"/>
    <w:rsid w:val="00715BFF"/>
    <w:rsid w:val="007163AD"/>
    <w:rsid w:val="00717497"/>
    <w:rsid w:val="007178BA"/>
    <w:rsid w:val="0072050B"/>
    <w:rsid w:val="00720753"/>
    <w:rsid w:val="00720944"/>
    <w:rsid w:val="00720BE0"/>
    <w:rsid w:val="00721137"/>
    <w:rsid w:val="00723C12"/>
    <w:rsid w:val="00723C14"/>
    <w:rsid w:val="00724D66"/>
    <w:rsid w:val="007252A4"/>
    <w:rsid w:val="00725469"/>
    <w:rsid w:val="007263A0"/>
    <w:rsid w:val="00727658"/>
    <w:rsid w:val="00730855"/>
    <w:rsid w:val="00736FCA"/>
    <w:rsid w:val="00737D1B"/>
    <w:rsid w:val="00737E94"/>
    <w:rsid w:val="00740F24"/>
    <w:rsid w:val="00741D14"/>
    <w:rsid w:val="0074220F"/>
    <w:rsid w:val="00742C23"/>
    <w:rsid w:val="007431CD"/>
    <w:rsid w:val="007434CC"/>
    <w:rsid w:val="007449E3"/>
    <w:rsid w:val="00747AD4"/>
    <w:rsid w:val="0075183D"/>
    <w:rsid w:val="00751EF9"/>
    <w:rsid w:val="0075216C"/>
    <w:rsid w:val="00752507"/>
    <w:rsid w:val="00752B42"/>
    <w:rsid w:val="00752CD7"/>
    <w:rsid w:val="00753C6F"/>
    <w:rsid w:val="00753E5C"/>
    <w:rsid w:val="00756AE1"/>
    <w:rsid w:val="007573A9"/>
    <w:rsid w:val="00757E96"/>
    <w:rsid w:val="00760B3E"/>
    <w:rsid w:val="0076179D"/>
    <w:rsid w:val="00762D1D"/>
    <w:rsid w:val="00762EB6"/>
    <w:rsid w:val="0076364E"/>
    <w:rsid w:val="00763682"/>
    <w:rsid w:val="00763D01"/>
    <w:rsid w:val="0076447C"/>
    <w:rsid w:val="00764C0C"/>
    <w:rsid w:val="0076611C"/>
    <w:rsid w:val="00767599"/>
    <w:rsid w:val="00771CB8"/>
    <w:rsid w:val="007726BD"/>
    <w:rsid w:val="00775300"/>
    <w:rsid w:val="007763A4"/>
    <w:rsid w:val="00782399"/>
    <w:rsid w:val="00784A00"/>
    <w:rsid w:val="00784B97"/>
    <w:rsid w:val="00786495"/>
    <w:rsid w:val="00786A5C"/>
    <w:rsid w:val="00790675"/>
    <w:rsid w:val="007917FE"/>
    <w:rsid w:val="00791B82"/>
    <w:rsid w:val="007930E0"/>
    <w:rsid w:val="00793340"/>
    <w:rsid w:val="00793A59"/>
    <w:rsid w:val="00793C82"/>
    <w:rsid w:val="00793CF9"/>
    <w:rsid w:val="00794211"/>
    <w:rsid w:val="00796B4D"/>
    <w:rsid w:val="0079709D"/>
    <w:rsid w:val="0079719E"/>
    <w:rsid w:val="007A12AC"/>
    <w:rsid w:val="007A1594"/>
    <w:rsid w:val="007A2805"/>
    <w:rsid w:val="007A2BC0"/>
    <w:rsid w:val="007A3F73"/>
    <w:rsid w:val="007A5EDE"/>
    <w:rsid w:val="007A62C9"/>
    <w:rsid w:val="007A6B86"/>
    <w:rsid w:val="007A6FA8"/>
    <w:rsid w:val="007A7253"/>
    <w:rsid w:val="007A7638"/>
    <w:rsid w:val="007A7DE8"/>
    <w:rsid w:val="007B0447"/>
    <w:rsid w:val="007B0EEA"/>
    <w:rsid w:val="007B1C81"/>
    <w:rsid w:val="007B23AE"/>
    <w:rsid w:val="007B29C7"/>
    <w:rsid w:val="007B43E5"/>
    <w:rsid w:val="007B4D3C"/>
    <w:rsid w:val="007B54D7"/>
    <w:rsid w:val="007B586A"/>
    <w:rsid w:val="007B593C"/>
    <w:rsid w:val="007B5D51"/>
    <w:rsid w:val="007B5DC9"/>
    <w:rsid w:val="007B5F47"/>
    <w:rsid w:val="007B6293"/>
    <w:rsid w:val="007B6BF9"/>
    <w:rsid w:val="007B745B"/>
    <w:rsid w:val="007B74F0"/>
    <w:rsid w:val="007B77F5"/>
    <w:rsid w:val="007C2B9D"/>
    <w:rsid w:val="007C34E8"/>
    <w:rsid w:val="007D1E36"/>
    <w:rsid w:val="007D4206"/>
    <w:rsid w:val="007D513B"/>
    <w:rsid w:val="007D5EFB"/>
    <w:rsid w:val="007D60AC"/>
    <w:rsid w:val="007D65B7"/>
    <w:rsid w:val="007D6AEA"/>
    <w:rsid w:val="007E01E8"/>
    <w:rsid w:val="007E043E"/>
    <w:rsid w:val="007E1300"/>
    <w:rsid w:val="007E1ED9"/>
    <w:rsid w:val="007E30DE"/>
    <w:rsid w:val="007E4A82"/>
    <w:rsid w:val="007E53F2"/>
    <w:rsid w:val="007E5844"/>
    <w:rsid w:val="007E614B"/>
    <w:rsid w:val="007E6F34"/>
    <w:rsid w:val="007E70C2"/>
    <w:rsid w:val="007F194F"/>
    <w:rsid w:val="007F3CEF"/>
    <w:rsid w:val="007F47BE"/>
    <w:rsid w:val="007F527C"/>
    <w:rsid w:val="007F5E64"/>
    <w:rsid w:val="007F658C"/>
    <w:rsid w:val="0080060E"/>
    <w:rsid w:val="00800DC2"/>
    <w:rsid w:val="00801E4B"/>
    <w:rsid w:val="0080210D"/>
    <w:rsid w:val="008038C1"/>
    <w:rsid w:val="00803FAA"/>
    <w:rsid w:val="008041DC"/>
    <w:rsid w:val="00804773"/>
    <w:rsid w:val="008051CC"/>
    <w:rsid w:val="00805F47"/>
    <w:rsid w:val="00805FA7"/>
    <w:rsid w:val="008060FF"/>
    <w:rsid w:val="00807ECB"/>
    <w:rsid w:val="00810153"/>
    <w:rsid w:val="00811510"/>
    <w:rsid w:val="008124FA"/>
    <w:rsid w:val="00812B27"/>
    <w:rsid w:val="00812C4E"/>
    <w:rsid w:val="00813964"/>
    <w:rsid w:val="00816921"/>
    <w:rsid w:val="0082160A"/>
    <w:rsid w:val="00821711"/>
    <w:rsid w:val="0082187C"/>
    <w:rsid w:val="0082245A"/>
    <w:rsid w:val="00822915"/>
    <w:rsid w:val="00824567"/>
    <w:rsid w:val="008255CC"/>
    <w:rsid w:val="00831F8B"/>
    <w:rsid w:val="00832F14"/>
    <w:rsid w:val="00833F4C"/>
    <w:rsid w:val="00834153"/>
    <w:rsid w:val="00834B3B"/>
    <w:rsid w:val="0083609C"/>
    <w:rsid w:val="00836533"/>
    <w:rsid w:val="00837747"/>
    <w:rsid w:val="00837B8D"/>
    <w:rsid w:val="00840007"/>
    <w:rsid w:val="00841FC2"/>
    <w:rsid w:val="0084277D"/>
    <w:rsid w:val="00847FC1"/>
    <w:rsid w:val="0085290F"/>
    <w:rsid w:val="008535EB"/>
    <w:rsid w:val="008562BE"/>
    <w:rsid w:val="008605C4"/>
    <w:rsid w:val="008622A8"/>
    <w:rsid w:val="00863B0F"/>
    <w:rsid w:val="00864AD4"/>
    <w:rsid w:val="00865BEA"/>
    <w:rsid w:val="00871818"/>
    <w:rsid w:val="008718F1"/>
    <w:rsid w:val="00871AED"/>
    <w:rsid w:val="00871FE3"/>
    <w:rsid w:val="00873C61"/>
    <w:rsid w:val="00877D3D"/>
    <w:rsid w:val="0088152D"/>
    <w:rsid w:val="008818E2"/>
    <w:rsid w:val="00882E38"/>
    <w:rsid w:val="0088300F"/>
    <w:rsid w:val="008835B9"/>
    <w:rsid w:val="008848E2"/>
    <w:rsid w:val="00885AD2"/>
    <w:rsid w:val="00886607"/>
    <w:rsid w:val="00886A6D"/>
    <w:rsid w:val="00894A0E"/>
    <w:rsid w:val="008952D8"/>
    <w:rsid w:val="00895363"/>
    <w:rsid w:val="008967F6"/>
    <w:rsid w:val="00896A65"/>
    <w:rsid w:val="008A0371"/>
    <w:rsid w:val="008A1817"/>
    <w:rsid w:val="008A2B1B"/>
    <w:rsid w:val="008A353B"/>
    <w:rsid w:val="008A3E61"/>
    <w:rsid w:val="008A3E91"/>
    <w:rsid w:val="008A5B6D"/>
    <w:rsid w:val="008A6929"/>
    <w:rsid w:val="008A6B8C"/>
    <w:rsid w:val="008A77A9"/>
    <w:rsid w:val="008B0180"/>
    <w:rsid w:val="008B0E1F"/>
    <w:rsid w:val="008B1A12"/>
    <w:rsid w:val="008B28C4"/>
    <w:rsid w:val="008B41EB"/>
    <w:rsid w:val="008B4916"/>
    <w:rsid w:val="008B6092"/>
    <w:rsid w:val="008B615C"/>
    <w:rsid w:val="008B620D"/>
    <w:rsid w:val="008B6958"/>
    <w:rsid w:val="008B7D05"/>
    <w:rsid w:val="008C10DD"/>
    <w:rsid w:val="008C1ED6"/>
    <w:rsid w:val="008C30C2"/>
    <w:rsid w:val="008C57FE"/>
    <w:rsid w:val="008C6196"/>
    <w:rsid w:val="008D03EB"/>
    <w:rsid w:val="008D13AC"/>
    <w:rsid w:val="008D198D"/>
    <w:rsid w:val="008D1D42"/>
    <w:rsid w:val="008D27E7"/>
    <w:rsid w:val="008D2F41"/>
    <w:rsid w:val="008D336F"/>
    <w:rsid w:val="008D360E"/>
    <w:rsid w:val="008D3BBD"/>
    <w:rsid w:val="008D69A0"/>
    <w:rsid w:val="008D6DD3"/>
    <w:rsid w:val="008D707B"/>
    <w:rsid w:val="008D7219"/>
    <w:rsid w:val="008E10AA"/>
    <w:rsid w:val="008E225D"/>
    <w:rsid w:val="008E25E6"/>
    <w:rsid w:val="008E2836"/>
    <w:rsid w:val="008E4938"/>
    <w:rsid w:val="008E6B1A"/>
    <w:rsid w:val="008F0663"/>
    <w:rsid w:val="008F0801"/>
    <w:rsid w:val="008F1973"/>
    <w:rsid w:val="008F1D35"/>
    <w:rsid w:val="008F2C2F"/>
    <w:rsid w:val="008F452B"/>
    <w:rsid w:val="008F4882"/>
    <w:rsid w:val="008F59CF"/>
    <w:rsid w:val="008F689D"/>
    <w:rsid w:val="0090052F"/>
    <w:rsid w:val="009008F5"/>
    <w:rsid w:val="00900B51"/>
    <w:rsid w:val="009010DF"/>
    <w:rsid w:val="00901FE8"/>
    <w:rsid w:val="00905074"/>
    <w:rsid w:val="009053F6"/>
    <w:rsid w:val="00905AE2"/>
    <w:rsid w:val="009065B2"/>
    <w:rsid w:val="0091007F"/>
    <w:rsid w:val="00910B9F"/>
    <w:rsid w:val="00910C9A"/>
    <w:rsid w:val="0091196C"/>
    <w:rsid w:val="00911C3E"/>
    <w:rsid w:val="00911C9E"/>
    <w:rsid w:val="0091451E"/>
    <w:rsid w:val="00916BF7"/>
    <w:rsid w:val="009170BA"/>
    <w:rsid w:val="0092003B"/>
    <w:rsid w:val="00920124"/>
    <w:rsid w:val="00920C01"/>
    <w:rsid w:val="0092177C"/>
    <w:rsid w:val="00921CC4"/>
    <w:rsid w:val="009233F6"/>
    <w:rsid w:val="00925DB1"/>
    <w:rsid w:val="00926E37"/>
    <w:rsid w:val="009313A2"/>
    <w:rsid w:val="009370B2"/>
    <w:rsid w:val="0094023C"/>
    <w:rsid w:val="00940690"/>
    <w:rsid w:val="00940775"/>
    <w:rsid w:val="00940A38"/>
    <w:rsid w:val="00943552"/>
    <w:rsid w:val="009452F0"/>
    <w:rsid w:val="00945969"/>
    <w:rsid w:val="0094647F"/>
    <w:rsid w:val="00946B01"/>
    <w:rsid w:val="00951E8D"/>
    <w:rsid w:val="00952813"/>
    <w:rsid w:val="009534A9"/>
    <w:rsid w:val="00954738"/>
    <w:rsid w:val="009557DD"/>
    <w:rsid w:val="00956B58"/>
    <w:rsid w:val="00956F97"/>
    <w:rsid w:val="00957E9A"/>
    <w:rsid w:val="00960531"/>
    <w:rsid w:val="009608DB"/>
    <w:rsid w:val="00960F6E"/>
    <w:rsid w:val="009620D4"/>
    <w:rsid w:val="00963978"/>
    <w:rsid w:val="00964145"/>
    <w:rsid w:val="00965083"/>
    <w:rsid w:val="00965EA3"/>
    <w:rsid w:val="0096602A"/>
    <w:rsid w:val="009671DB"/>
    <w:rsid w:val="0097076F"/>
    <w:rsid w:val="009707CB"/>
    <w:rsid w:val="0097222E"/>
    <w:rsid w:val="00972ADD"/>
    <w:rsid w:val="009745BB"/>
    <w:rsid w:val="00974675"/>
    <w:rsid w:val="00974D9A"/>
    <w:rsid w:val="009774CC"/>
    <w:rsid w:val="00981643"/>
    <w:rsid w:val="00982167"/>
    <w:rsid w:val="00982B73"/>
    <w:rsid w:val="00982C8D"/>
    <w:rsid w:val="00982CE9"/>
    <w:rsid w:val="0098349F"/>
    <w:rsid w:val="00983583"/>
    <w:rsid w:val="0098387E"/>
    <w:rsid w:val="00984FB4"/>
    <w:rsid w:val="009877EE"/>
    <w:rsid w:val="00990388"/>
    <w:rsid w:val="00993A04"/>
    <w:rsid w:val="00994FD2"/>
    <w:rsid w:val="00995E19"/>
    <w:rsid w:val="00997C06"/>
    <w:rsid w:val="009A0A71"/>
    <w:rsid w:val="009A1B47"/>
    <w:rsid w:val="009A36AC"/>
    <w:rsid w:val="009A3C0A"/>
    <w:rsid w:val="009A40FC"/>
    <w:rsid w:val="009A414F"/>
    <w:rsid w:val="009A5AEA"/>
    <w:rsid w:val="009A5E3E"/>
    <w:rsid w:val="009A638E"/>
    <w:rsid w:val="009A6857"/>
    <w:rsid w:val="009B0E90"/>
    <w:rsid w:val="009B2AA9"/>
    <w:rsid w:val="009B30FD"/>
    <w:rsid w:val="009B3A07"/>
    <w:rsid w:val="009B6592"/>
    <w:rsid w:val="009B67BA"/>
    <w:rsid w:val="009B7175"/>
    <w:rsid w:val="009C06BE"/>
    <w:rsid w:val="009C090A"/>
    <w:rsid w:val="009C0AB8"/>
    <w:rsid w:val="009C109E"/>
    <w:rsid w:val="009C14E9"/>
    <w:rsid w:val="009C17F1"/>
    <w:rsid w:val="009C46FC"/>
    <w:rsid w:val="009C6937"/>
    <w:rsid w:val="009C6F67"/>
    <w:rsid w:val="009C72B7"/>
    <w:rsid w:val="009D090A"/>
    <w:rsid w:val="009D3D18"/>
    <w:rsid w:val="009D730A"/>
    <w:rsid w:val="009E0234"/>
    <w:rsid w:val="009E26D1"/>
    <w:rsid w:val="009E2F80"/>
    <w:rsid w:val="009E3034"/>
    <w:rsid w:val="009E49CA"/>
    <w:rsid w:val="009E627F"/>
    <w:rsid w:val="009E6470"/>
    <w:rsid w:val="009F11E6"/>
    <w:rsid w:val="009F131D"/>
    <w:rsid w:val="009F253D"/>
    <w:rsid w:val="009F27E4"/>
    <w:rsid w:val="009F442F"/>
    <w:rsid w:val="009F5BEE"/>
    <w:rsid w:val="00A0005A"/>
    <w:rsid w:val="00A0206D"/>
    <w:rsid w:val="00A031E5"/>
    <w:rsid w:val="00A03296"/>
    <w:rsid w:val="00A04C9D"/>
    <w:rsid w:val="00A05B02"/>
    <w:rsid w:val="00A06BEA"/>
    <w:rsid w:val="00A07AD3"/>
    <w:rsid w:val="00A12EA8"/>
    <w:rsid w:val="00A14007"/>
    <w:rsid w:val="00A148CD"/>
    <w:rsid w:val="00A14F4C"/>
    <w:rsid w:val="00A168F2"/>
    <w:rsid w:val="00A1741F"/>
    <w:rsid w:val="00A20575"/>
    <w:rsid w:val="00A209E9"/>
    <w:rsid w:val="00A20B87"/>
    <w:rsid w:val="00A236C7"/>
    <w:rsid w:val="00A24262"/>
    <w:rsid w:val="00A263E1"/>
    <w:rsid w:val="00A311C6"/>
    <w:rsid w:val="00A327BB"/>
    <w:rsid w:val="00A33568"/>
    <w:rsid w:val="00A33DEF"/>
    <w:rsid w:val="00A3422D"/>
    <w:rsid w:val="00A36161"/>
    <w:rsid w:val="00A364F5"/>
    <w:rsid w:val="00A36B8F"/>
    <w:rsid w:val="00A3704A"/>
    <w:rsid w:val="00A40B12"/>
    <w:rsid w:val="00A40EC7"/>
    <w:rsid w:val="00A4128D"/>
    <w:rsid w:val="00A4150C"/>
    <w:rsid w:val="00A41BC6"/>
    <w:rsid w:val="00A42224"/>
    <w:rsid w:val="00A42FC1"/>
    <w:rsid w:val="00A451B0"/>
    <w:rsid w:val="00A45DAC"/>
    <w:rsid w:val="00A46FBA"/>
    <w:rsid w:val="00A51169"/>
    <w:rsid w:val="00A51240"/>
    <w:rsid w:val="00A518FD"/>
    <w:rsid w:val="00A51911"/>
    <w:rsid w:val="00A5230A"/>
    <w:rsid w:val="00A523F2"/>
    <w:rsid w:val="00A52CB5"/>
    <w:rsid w:val="00A52D5A"/>
    <w:rsid w:val="00A53669"/>
    <w:rsid w:val="00A54290"/>
    <w:rsid w:val="00A5433C"/>
    <w:rsid w:val="00A55A0F"/>
    <w:rsid w:val="00A56122"/>
    <w:rsid w:val="00A578CA"/>
    <w:rsid w:val="00A61BDD"/>
    <w:rsid w:val="00A61FE6"/>
    <w:rsid w:val="00A66CF0"/>
    <w:rsid w:val="00A67653"/>
    <w:rsid w:val="00A67F57"/>
    <w:rsid w:val="00A7044B"/>
    <w:rsid w:val="00A70724"/>
    <w:rsid w:val="00A7134F"/>
    <w:rsid w:val="00A71AD3"/>
    <w:rsid w:val="00A71CF5"/>
    <w:rsid w:val="00A74054"/>
    <w:rsid w:val="00A75C56"/>
    <w:rsid w:val="00A76B40"/>
    <w:rsid w:val="00A7702C"/>
    <w:rsid w:val="00A8104C"/>
    <w:rsid w:val="00A81AC2"/>
    <w:rsid w:val="00A82646"/>
    <w:rsid w:val="00A82D2A"/>
    <w:rsid w:val="00A82EBE"/>
    <w:rsid w:val="00A83255"/>
    <w:rsid w:val="00A84DF9"/>
    <w:rsid w:val="00A85269"/>
    <w:rsid w:val="00A854BF"/>
    <w:rsid w:val="00A864B4"/>
    <w:rsid w:val="00A91429"/>
    <w:rsid w:val="00A92F06"/>
    <w:rsid w:val="00A93755"/>
    <w:rsid w:val="00A94089"/>
    <w:rsid w:val="00A94E05"/>
    <w:rsid w:val="00A95E7B"/>
    <w:rsid w:val="00A95F64"/>
    <w:rsid w:val="00A96135"/>
    <w:rsid w:val="00A97D30"/>
    <w:rsid w:val="00AA00F6"/>
    <w:rsid w:val="00AA06EF"/>
    <w:rsid w:val="00AA0F89"/>
    <w:rsid w:val="00AA18F8"/>
    <w:rsid w:val="00AA4909"/>
    <w:rsid w:val="00AA5451"/>
    <w:rsid w:val="00AA699C"/>
    <w:rsid w:val="00AA6D58"/>
    <w:rsid w:val="00AA7B84"/>
    <w:rsid w:val="00AB042C"/>
    <w:rsid w:val="00AB2D61"/>
    <w:rsid w:val="00AB3272"/>
    <w:rsid w:val="00AB3D69"/>
    <w:rsid w:val="00AB4B76"/>
    <w:rsid w:val="00AB5D15"/>
    <w:rsid w:val="00AB73B8"/>
    <w:rsid w:val="00AC012A"/>
    <w:rsid w:val="00AC1D37"/>
    <w:rsid w:val="00AC377D"/>
    <w:rsid w:val="00AC3BDF"/>
    <w:rsid w:val="00AC404B"/>
    <w:rsid w:val="00AC492D"/>
    <w:rsid w:val="00AC5754"/>
    <w:rsid w:val="00AC5940"/>
    <w:rsid w:val="00AC7113"/>
    <w:rsid w:val="00AC7C44"/>
    <w:rsid w:val="00AD07BD"/>
    <w:rsid w:val="00AD141E"/>
    <w:rsid w:val="00AD2193"/>
    <w:rsid w:val="00AD2B19"/>
    <w:rsid w:val="00AD311D"/>
    <w:rsid w:val="00AD4208"/>
    <w:rsid w:val="00AD4BD4"/>
    <w:rsid w:val="00AD56C3"/>
    <w:rsid w:val="00AD5F64"/>
    <w:rsid w:val="00AD609F"/>
    <w:rsid w:val="00AD7C36"/>
    <w:rsid w:val="00AE04CA"/>
    <w:rsid w:val="00AE133C"/>
    <w:rsid w:val="00AE3B72"/>
    <w:rsid w:val="00AE4A49"/>
    <w:rsid w:val="00AE6751"/>
    <w:rsid w:val="00AE7E4B"/>
    <w:rsid w:val="00AF0D91"/>
    <w:rsid w:val="00AF13C7"/>
    <w:rsid w:val="00AF19C7"/>
    <w:rsid w:val="00AF237F"/>
    <w:rsid w:val="00AF296E"/>
    <w:rsid w:val="00AF32A2"/>
    <w:rsid w:val="00AF3E82"/>
    <w:rsid w:val="00AF677F"/>
    <w:rsid w:val="00AF67A8"/>
    <w:rsid w:val="00AF6DF7"/>
    <w:rsid w:val="00B00C24"/>
    <w:rsid w:val="00B00C73"/>
    <w:rsid w:val="00B01047"/>
    <w:rsid w:val="00B01064"/>
    <w:rsid w:val="00B01943"/>
    <w:rsid w:val="00B01D89"/>
    <w:rsid w:val="00B0378E"/>
    <w:rsid w:val="00B03879"/>
    <w:rsid w:val="00B05154"/>
    <w:rsid w:val="00B057F1"/>
    <w:rsid w:val="00B05ED0"/>
    <w:rsid w:val="00B101CB"/>
    <w:rsid w:val="00B1091D"/>
    <w:rsid w:val="00B10CF8"/>
    <w:rsid w:val="00B114DA"/>
    <w:rsid w:val="00B13556"/>
    <w:rsid w:val="00B13BCE"/>
    <w:rsid w:val="00B14349"/>
    <w:rsid w:val="00B14D69"/>
    <w:rsid w:val="00B16918"/>
    <w:rsid w:val="00B17BAD"/>
    <w:rsid w:val="00B202A3"/>
    <w:rsid w:val="00B20A05"/>
    <w:rsid w:val="00B21533"/>
    <w:rsid w:val="00B220B1"/>
    <w:rsid w:val="00B22DB3"/>
    <w:rsid w:val="00B23791"/>
    <w:rsid w:val="00B24A48"/>
    <w:rsid w:val="00B267A1"/>
    <w:rsid w:val="00B26B5C"/>
    <w:rsid w:val="00B276E1"/>
    <w:rsid w:val="00B27FEC"/>
    <w:rsid w:val="00B30BFF"/>
    <w:rsid w:val="00B30D06"/>
    <w:rsid w:val="00B320DF"/>
    <w:rsid w:val="00B3303C"/>
    <w:rsid w:val="00B34154"/>
    <w:rsid w:val="00B346BB"/>
    <w:rsid w:val="00B3492D"/>
    <w:rsid w:val="00B353EC"/>
    <w:rsid w:val="00B35B56"/>
    <w:rsid w:val="00B35E91"/>
    <w:rsid w:val="00B37ED0"/>
    <w:rsid w:val="00B413A4"/>
    <w:rsid w:val="00B4249E"/>
    <w:rsid w:val="00B42783"/>
    <w:rsid w:val="00B439DE"/>
    <w:rsid w:val="00B44358"/>
    <w:rsid w:val="00B44885"/>
    <w:rsid w:val="00B45518"/>
    <w:rsid w:val="00B459BD"/>
    <w:rsid w:val="00B4679C"/>
    <w:rsid w:val="00B47212"/>
    <w:rsid w:val="00B50A59"/>
    <w:rsid w:val="00B50FB5"/>
    <w:rsid w:val="00B510B6"/>
    <w:rsid w:val="00B51BD9"/>
    <w:rsid w:val="00B543CC"/>
    <w:rsid w:val="00B54803"/>
    <w:rsid w:val="00B54CEE"/>
    <w:rsid w:val="00B55174"/>
    <w:rsid w:val="00B57189"/>
    <w:rsid w:val="00B57651"/>
    <w:rsid w:val="00B60442"/>
    <w:rsid w:val="00B6102C"/>
    <w:rsid w:val="00B62513"/>
    <w:rsid w:val="00B631C8"/>
    <w:rsid w:val="00B63873"/>
    <w:rsid w:val="00B63FD0"/>
    <w:rsid w:val="00B6433D"/>
    <w:rsid w:val="00B6496A"/>
    <w:rsid w:val="00B649E0"/>
    <w:rsid w:val="00B649FF"/>
    <w:rsid w:val="00B657F8"/>
    <w:rsid w:val="00B660E8"/>
    <w:rsid w:val="00B66B7A"/>
    <w:rsid w:val="00B71F59"/>
    <w:rsid w:val="00B72307"/>
    <w:rsid w:val="00B72E17"/>
    <w:rsid w:val="00B72F13"/>
    <w:rsid w:val="00B73923"/>
    <w:rsid w:val="00B73BB0"/>
    <w:rsid w:val="00B7437C"/>
    <w:rsid w:val="00B7460E"/>
    <w:rsid w:val="00B74996"/>
    <w:rsid w:val="00B754B5"/>
    <w:rsid w:val="00B75762"/>
    <w:rsid w:val="00B75EF0"/>
    <w:rsid w:val="00B767FA"/>
    <w:rsid w:val="00B80DE3"/>
    <w:rsid w:val="00B81D45"/>
    <w:rsid w:val="00B8320A"/>
    <w:rsid w:val="00B84281"/>
    <w:rsid w:val="00B84B1F"/>
    <w:rsid w:val="00B859BD"/>
    <w:rsid w:val="00B863C7"/>
    <w:rsid w:val="00B87169"/>
    <w:rsid w:val="00B878FC"/>
    <w:rsid w:val="00B906DA"/>
    <w:rsid w:val="00B908BD"/>
    <w:rsid w:val="00B90F21"/>
    <w:rsid w:val="00B91C8F"/>
    <w:rsid w:val="00B9261E"/>
    <w:rsid w:val="00B93DA6"/>
    <w:rsid w:val="00B943FE"/>
    <w:rsid w:val="00B94CC7"/>
    <w:rsid w:val="00B952E6"/>
    <w:rsid w:val="00B9636F"/>
    <w:rsid w:val="00B96B1F"/>
    <w:rsid w:val="00B96D3D"/>
    <w:rsid w:val="00BA125F"/>
    <w:rsid w:val="00BA5438"/>
    <w:rsid w:val="00BA6376"/>
    <w:rsid w:val="00BA7DFA"/>
    <w:rsid w:val="00BAD34F"/>
    <w:rsid w:val="00BB0D12"/>
    <w:rsid w:val="00BB1732"/>
    <w:rsid w:val="00BB1F6B"/>
    <w:rsid w:val="00BB2260"/>
    <w:rsid w:val="00BB34F4"/>
    <w:rsid w:val="00BB3952"/>
    <w:rsid w:val="00BB4080"/>
    <w:rsid w:val="00BB51D1"/>
    <w:rsid w:val="00BB5213"/>
    <w:rsid w:val="00BB6AB5"/>
    <w:rsid w:val="00BB778D"/>
    <w:rsid w:val="00BC08A7"/>
    <w:rsid w:val="00BC1101"/>
    <w:rsid w:val="00BC21C7"/>
    <w:rsid w:val="00BC228B"/>
    <w:rsid w:val="00BC526D"/>
    <w:rsid w:val="00BC5EEB"/>
    <w:rsid w:val="00BC7C87"/>
    <w:rsid w:val="00BD2B18"/>
    <w:rsid w:val="00BD3D4E"/>
    <w:rsid w:val="00BD7010"/>
    <w:rsid w:val="00BD73FB"/>
    <w:rsid w:val="00BD7C05"/>
    <w:rsid w:val="00BE0A00"/>
    <w:rsid w:val="00BE1D04"/>
    <w:rsid w:val="00BE1F15"/>
    <w:rsid w:val="00BE26F1"/>
    <w:rsid w:val="00BE2AB3"/>
    <w:rsid w:val="00BE38EA"/>
    <w:rsid w:val="00BE3A0D"/>
    <w:rsid w:val="00BE466A"/>
    <w:rsid w:val="00BF0672"/>
    <w:rsid w:val="00BF0DBA"/>
    <w:rsid w:val="00BF1271"/>
    <w:rsid w:val="00BF1B0E"/>
    <w:rsid w:val="00BF38AE"/>
    <w:rsid w:val="00BF5962"/>
    <w:rsid w:val="00BF5986"/>
    <w:rsid w:val="00C00B0B"/>
    <w:rsid w:val="00C00E41"/>
    <w:rsid w:val="00C01597"/>
    <w:rsid w:val="00C01DEF"/>
    <w:rsid w:val="00C023D7"/>
    <w:rsid w:val="00C02D95"/>
    <w:rsid w:val="00C0330B"/>
    <w:rsid w:val="00C04A0C"/>
    <w:rsid w:val="00C056C2"/>
    <w:rsid w:val="00C065A9"/>
    <w:rsid w:val="00C06A06"/>
    <w:rsid w:val="00C10A1F"/>
    <w:rsid w:val="00C11066"/>
    <w:rsid w:val="00C1273A"/>
    <w:rsid w:val="00C130AC"/>
    <w:rsid w:val="00C1616D"/>
    <w:rsid w:val="00C1633C"/>
    <w:rsid w:val="00C16532"/>
    <w:rsid w:val="00C16831"/>
    <w:rsid w:val="00C2014B"/>
    <w:rsid w:val="00C209B3"/>
    <w:rsid w:val="00C21301"/>
    <w:rsid w:val="00C22FEB"/>
    <w:rsid w:val="00C25375"/>
    <w:rsid w:val="00C25776"/>
    <w:rsid w:val="00C257CE"/>
    <w:rsid w:val="00C27F65"/>
    <w:rsid w:val="00C30FFF"/>
    <w:rsid w:val="00C34B91"/>
    <w:rsid w:val="00C36DAD"/>
    <w:rsid w:val="00C37A35"/>
    <w:rsid w:val="00C4038F"/>
    <w:rsid w:val="00C40726"/>
    <w:rsid w:val="00C41D39"/>
    <w:rsid w:val="00C45265"/>
    <w:rsid w:val="00C46124"/>
    <w:rsid w:val="00C46A7F"/>
    <w:rsid w:val="00C47726"/>
    <w:rsid w:val="00C50C73"/>
    <w:rsid w:val="00C52454"/>
    <w:rsid w:val="00C534E9"/>
    <w:rsid w:val="00C53954"/>
    <w:rsid w:val="00C5555E"/>
    <w:rsid w:val="00C557D5"/>
    <w:rsid w:val="00C57EE0"/>
    <w:rsid w:val="00C636BA"/>
    <w:rsid w:val="00C6524A"/>
    <w:rsid w:val="00C6585E"/>
    <w:rsid w:val="00C66323"/>
    <w:rsid w:val="00C67616"/>
    <w:rsid w:val="00C67942"/>
    <w:rsid w:val="00C71E04"/>
    <w:rsid w:val="00C72213"/>
    <w:rsid w:val="00C73EF6"/>
    <w:rsid w:val="00C757FB"/>
    <w:rsid w:val="00C75996"/>
    <w:rsid w:val="00C770DF"/>
    <w:rsid w:val="00C770EE"/>
    <w:rsid w:val="00C7742F"/>
    <w:rsid w:val="00C77E2A"/>
    <w:rsid w:val="00C8036F"/>
    <w:rsid w:val="00C8060C"/>
    <w:rsid w:val="00C817D7"/>
    <w:rsid w:val="00C829B7"/>
    <w:rsid w:val="00C83594"/>
    <w:rsid w:val="00C8477F"/>
    <w:rsid w:val="00C85F4F"/>
    <w:rsid w:val="00C864B1"/>
    <w:rsid w:val="00C90BD8"/>
    <w:rsid w:val="00C92C49"/>
    <w:rsid w:val="00C96309"/>
    <w:rsid w:val="00C96C6A"/>
    <w:rsid w:val="00CA1CA1"/>
    <w:rsid w:val="00CA1DDC"/>
    <w:rsid w:val="00CA486F"/>
    <w:rsid w:val="00CA5336"/>
    <w:rsid w:val="00CA6AC5"/>
    <w:rsid w:val="00CA6B01"/>
    <w:rsid w:val="00CB25D9"/>
    <w:rsid w:val="00CB4115"/>
    <w:rsid w:val="00CB4800"/>
    <w:rsid w:val="00CB50A2"/>
    <w:rsid w:val="00CB514E"/>
    <w:rsid w:val="00CB70D4"/>
    <w:rsid w:val="00CB7516"/>
    <w:rsid w:val="00CC0B00"/>
    <w:rsid w:val="00CC1979"/>
    <w:rsid w:val="00CC1A46"/>
    <w:rsid w:val="00CC1E45"/>
    <w:rsid w:val="00CC22E5"/>
    <w:rsid w:val="00CC29D4"/>
    <w:rsid w:val="00CC2E75"/>
    <w:rsid w:val="00CC449B"/>
    <w:rsid w:val="00CC487E"/>
    <w:rsid w:val="00CC4B16"/>
    <w:rsid w:val="00CC4B33"/>
    <w:rsid w:val="00CC64CB"/>
    <w:rsid w:val="00CC6FD7"/>
    <w:rsid w:val="00CC702E"/>
    <w:rsid w:val="00CD0AAC"/>
    <w:rsid w:val="00CD2CC7"/>
    <w:rsid w:val="00CD3264"/>
    <w:rsid w:val="00CD3675"/>
    <w:rsid w:val="00CD49CA"/>
    <w:rsid w:val="00CD4EB9"/>
    <w:rsid w:val="00CD58D7"/>
    <w:rsid w:val="00CD7807"/>
    <w:rsid w:val="00CD7E11"/>
    <w:rsid w:val="00CE0A51"/>
    <w:rsid w:val="00CE118A"/>
    <w:rsid w:val="00CE2DF9"/>
    <w:rsid w:val="00CF0980"/>
    <w:rsid w:val="00CF368D"/>
    <w:rsid w:val="00CF393F"/>
    <w:rsid w:val="00CF3CCB"/>
    <w:rsid w:val="00CF521D"/>
    <w:rsid w:val="00CF5EE9"/>
    <w:rsid w:val="00D007EA"/>
    <w:rsid w:val="00D019A6"/>
    <w:rsid w:val="00D03ADD"/>
    <w:rsid w:val="00D0553C"/>
    <w:rsid w:val="00D056BB"/>
    <w:rsid w:val="00D06155"/>
    <w:rsid w:val="00D06867"/>
    <w:rsid w:val="00D06BEF"/>
    <w:rsid w:val="00D1062A"/>
    <w:rsid w:val="00D12258"/>
    <w:rsid w:val="00D125EE"/>
    <w:rsid w:val="00D1270A"/>
    <w:rsid w:val="00D13F1B"/>
    <w:rsid w:val="00D13FED"/>
    <w:rsid w:val="00D14763"/>
    <w:rsid w:val="00D15370"/>
    <w:rsid w:val="00D15FBE"/>
    <w:rsid w:val="00D16167"/>
    <w:rsid w:val="00D16B1D"/>
    <w:rsid w:val="00D16DEA"/>
    <w:rsid w:val="00D17336"/>
    <w:rsid w:val="00D17C32"/>
    <w:rsid w:val="00D215A7"/>
    <w:rsid w:val="00D23EB8"/>
    <w:rsid w:val="00D26EEC"/>
    <w:rsid w:val="00D27419"/>
    <w:rsid w:val="00D27744"/>
    <w:rsid w:val="00D30075"/>
    <w:rsid w:val="00D30ADE"/>
    <w:rsid w:val="00D35000"/>
    <w:rsid w:val="00D35562"/>
    <w:rsid w:val="00D36605"/>
    <w:rsid w:val="00D36E35"/>
    <w:rsid w:val="00D3776E"/>
    <w:rsid w:val="00D40157"/>
    <w:rsid w:val="00D407A0"/>
    <w:rsid w:val="00D41A3C"/>
    <w:rsid w:val="00D41BB5"/>
    <w:rsid w:val="00D42567"/>
    <w:rsid w:val="00D44301"/>
    <w:rsid w:val="00D44C4F"/>
    <w:rsid w:val="00D453DF"/>
    <w:rsid w:val="00D45DC4"/>
    <w:rsid w:val="00D47060"/>
    <w:rsid w:val="00D477C7"/>
    <w:rsid w:val="00D4792A"/>
    <w:rsid w:val="00D50EE0"/>
    <w:rsid w:val="00D53647"/>
    <w:rsid w:val="00D54096"/>
    <w:rsid w:val="00D547EB"/>
    <w:rsid w:val="00D54DF5"/>
    <w:rsid w:val="00D54F87"/>
    <w:rsid w:val="00D550BF"/>
    <w:rsid w:val="00D57460"/>
    <w:rsid w:val="00D57467"/>
    <w:rsid w:val="00D5752C"/>
    <w:rsid w:val="00D578DD"/>
    <w:rsid w:val="00D5791B"/>
    <w:rsid w:val="00D57A8D"/>
    <w:rsid w:val="00D57D38"/>
    <w:rsid w:val="00D612AD"/>
    <w:rsid w:val="00D62768"/>
    <w:rsid w:val="00D62BF2"/>
    <w:rsid w:val="00D62EE1"/>
    <w:rsid w:val="00D63714"/>
    <w:rsid w:val="00D64EFA"/>
    <w:rsid w:val="00D657F5"/>
    <w:rsid w:val="00D65EA6"/>
    <w:rsid w:val="00D6651F"/>
    <w:rsid w:val="00D66B77"/>
    <w:rsid w:val="00D6741E"/>
    <w:rsid w:val="00D67DF7"/>
    <w:rsid w:val="00D703A0"/>
    <w:rsid w:val="00D70928"/>
    <w:rsid w:val="00D70CCA"/>
    <w:rsid w:val="00D70D93"/>
    <w:rsid w:val="00D71550"/>
    <w:rsid w:val="00D71666"/>
    <w:rsid w:val="00D71AD7"/>
    <w:rsid w:val="00D71F4F"/>
    <w:rsid w:val="00D74438"/>
    <w:rsid w:val="00D744AD"/>
    <w:rsid w:val="00D75CED"/>
    <w:rsid w:val="00D7713E"/>
    <w:rsid w:val="00D77239"/>
    <w:rsid w:val="00D815E1"/>
    <w:rsid w:val="00D82ABC"/>
    <w:rsid w:val="00D83A8F"/>
    <w:rsid w:val="00D857B4"/>
    <w:rsid w:val="00D85B6C"/>
    <w:rsid w:val="00D90A02"/>
    <w:rsid w:val="00D90D9C"/>
    <w:rsid w:val="00D90F0C"/>
    <w:rsid w:val="00D916B8"/>
    <w:rsid w:val="00D9226C"/>
    <w:rsid w:val="00D92513"/>
    <w:rsid w:val="00D92C32"/>
    <w:rsid w:val="00D939DC"/>
    <w:rsid w:val="00D940E7"/>
    <w:rsid w:val="00D972CA"/>
    <w:rsid w:val="00DA10C0"/>
    <w:rsid w:val="00DA37F2"/>
    <w:rsid w:val="00DA388C"/>
    <w:rsid w:val="00DA4811"/>
    <w:rsid w:val="00DA4FBA"/>
    <w:rsid w:val="00DA6C27"/>
    <w:rsid w:val="00DA6F37"/>
    <w:rsid w:val="00DA7867"/>
    <w:rsid w:val="00DB0C9E"/>
    <w:rsid w:val="00DB15C2"/>
    <w:rsid w:val="00DB4803"/>
    <w:rsid w:val="00DB4AC7"/>
    <w:rsid w:val="00DB5E53"/>
    <w:rsid w:val="00DB692F"/>
    <w:rsid w:val="00DB7ECA"/>
    <w:rsid w:val="00DC02E1"/>
    <w:rsid w:val="00DC087D"/>
    <w:rsid w:val="00DC1610"/>
    <w:rsid w:val="00DC1C17"/>
    <w:rsid w:val="00DC1D6F"/>
    <w:rsid w:val="00DC2813"/>
    <w:rsid w:val="00DC2C4B"/>
    <w:rsid w:val="00DC41EC"/>
    <w:rsid w:val="00DC4974"/>
    <w:rsid w:val="00DC4C78"/>
    <w:rsid w:val="00DC5F62"/>
    <w:rsid w:val="00DC6699"/>
    <w:rsid w:val="00DC6C10"/>
    <w:rsid w:val="00DC6EEC"/>
    <w:rsid w:val="00DC7453"/>
    <w:rsid w:val="00DC7702"/>
    <w:rsid w:val="00DD2261"/>
    <w:rsid w:val="00DD34D9"/>
    <w:rsid w:val="00DD556C"/>
    <w:rsid w:val="00DD5920"/>
    <w:rsid w:val="00DD59A3"/>
    <w:rsid w:val="00DD5E74"/>
    <w:rsid w:val="00DD7B11"/>
    <w:rsid w:val="00DE0613"/>
    <w:rsid w:val="00DE1E93"/>
    <w:rsid w:val="00DE25EE"/>
    <w:rsid w:val="00DE3CA4"/>
    <w:rsid w:val="00DE4B83"/>
    <w:rsid w:val="00DE4BD1"/>
    <w:rsid w:val="00DE6044"/>
    <w:rsid w:val="00DF0187"/>
    <w:rsid w:val="00DF0383"/>
    <w:rsid w:val="00DF05D3"/>
    <w:rsid w:val="00DF1442"/>
    <w:rsid w:val="00DF26B8"/>
    <w:rsid w:val="00DF2D54"/>
    <w:rsid w:val="00DF3871"/>
    <w:rsid w:val="00DF3C80"/>
    <w:rsid w:val="00DF4CA0"/>
    <w:rsid w:val="00DF4CCE"/>
    <w:rsid w:val="00DF57CB"/>
    <w:rsid w:val="00DF5D53"/>
    <w:rsid w:val="00DF6EED"/>
    <w:rsid w:val="00E02174"/>
    <w:rsid w:val="00E02381"/>
    <w:rsid w:val="00E0544E"/>
    <w:rsid w:val="00E05E52"/>
    <w:rsid w:val="00E104C4"/>
    <w:rsid w:val="00E1172D"/>
    <w:rsid w:val="00E12FD4"/>
    <w:rsid w:val="00E13EB2"/>
    <w:rsid w:val="00E159B1"/>
    <w:rsid w:val="00E15BCA"/>
    <w:rsid w:val="00E15CCE"/>
    <w:rsid w:val="00E15FE0"/>
    <w:rsid w:val="00E202BD"/>
    <w:rsid w:val="00E21A81"/>
    <w:rsid w:val="00E2285A"/>
    <w:rsid w:val="00E2328D"/>
    <w:rsid w:val="00E259EB"/>
    <w:rsid w:val="00E25B98"/>
    <w:rsid w:val="00E2721E"/>
    <w:rsid w:val="00E3250D"/>
    <w:rsid w:val="00E33E0C"/>
    <w:rsid w:val="00E353EE"/>
    <w:rsid w:val="00E37836"/>
    <w:rsid w:val="00E4021E"/>
    <w:rsid w:val="00E406E8"/>
    <w:rsid w:val="00E40B05"/>
    <w:rsid w:val="00E40F38"/>
    <w:rsid w:val="00E41A8A"/>
    <w:rsid w:val="00E421AC"/>
    <w:rsid w:val="00E42CED"/>
    <w:rsid w:val="00E46AFA"/>
    <w:rsid w:val="00E47926"/>
    <w:rsid w:val="00E47D31"/>
    <w:rsid w:val="00E510E0"/>
    <w:rsid w:val="00E51880"/>
    <w:rsid w:val="00E51B38"/>
    <w:rsid w:val="00E51B67"/>
    <w:rsid w:val="00E54BE2"/>
    <w:rsid w:val="00E55CBE"/>
    <w:rsid w:val="00E56784"/>
    <w:rsid w:val="00E568D5"/>
    <w:rsid w:val="00E572EB"/>
    <w:rsid w:val="00E578F1"/>
    <w:rsid w:val="00E57FB2"/>
    <w:rsid w:val="00E60B5B"/>
    <w:rsid w:val="00E61366"/>
    <w:rsid w:val="00E61BBB"/>
    <w:rsid w:val="00E624AB"/>
    <w:rsid w:val="00E6290F"/>
    <w:rsid w:val="00E62C05"/>
    <w:rsid w:val="00E63466"/>
    <w:rsid w:val="00E64106"/>
    <w:rsid w:val="00E654CC"/>
    <w:rsid w:val="00E6649B"/>
    <w:rsid w:val="00E67ADF"/>
    <w:rsid w:val="00E67CE7"/>
    <w:rsid w:val="00E67E76"/>
    <w:rsid w:val="00E7081A"/>
    <w:rsid w:val="00E714F7"/>
    <w:rsid w:val="00E71587"/>
    <w:rsid w:val="00E728AD"/>
    <w:rsid w:val="00E729EF"/>
    <w:rsid w:val="00E73D8D"/>
    <w:rsid w:val="00E74DE8"/>
    <w:rsid w:val="00E75304"/>
    <w:rsid w:val="00E759E5"/>
    <w:rsid w:val="00E806B2"/>
    <w:rsid w:val="00E83E80"/>
    <w:rsid w:val="00E84C29"/>
    <w:rsid w:val="00E867AF"/>
    <w:rsid w:val="00E86B74"/>
    <w:rsid w:val="00E8743F"/>
    <w:rsid w:val="00E87922"/>
    <w:rsid w:val="00E906B9"/>
    <w:rsid w:val="00E916AF"/>
    <w:rsid w:val="00E933C1"/>
    <w:rsid w:val="00E950FB"/>
    <w:rsid w:val="00E95485"/>
    <w:rsid w:val="00E96DC5"/>
    <w:rsid w:val="00E972B6"/>
    <w:rsid w:val="00E978D5"/>
    <w:rsid w:val="00E97961"/>
    <w:rsid w:val="00E97B36"/>
    <w:rsid w:val="00EA050D"/>
    <w:rsid w:val="00EA0D1F"/>
    <w:rsid w:val="00EA1353"/>
    <w:rsid w:val="00EA21D9"/>
    <w:rsid w:val="00EA2568"/>
    <w:rsid w:val="00EA2D52"/>
    <w:rsid w:val="00EA39EB"/>
    <w:rsid w:val="00EA3E80"/>
    <w:rsid w:val="00EA3F66"/>
    <w:rsid w:val="00EA44D5"/>
    <w:rsid w:val="00EA6D51"/>
    <w:rsid w:val="00EB15CB"/>
    <w:rsid w:val="00EB251E"/>
    <w:rsid w:val="00EB2E50"/>
    <w:rsid w:val="00EB3866"/>
    <w:rsid w:val="00EB52FD"/>
    <w:rsid w:val="00EB5923"/>
    <w:rsid w:val="00EB5F1F"/>
    <w:rsid w:val="00EB6629"/>
    <w:rsid w:val="00EB6CEE"/>
    <w:rsid w:val="00EB747E"/>
    <w:rsid w:val="00EC1FA1"/>
    <w:rsid w:val="00EC4871"/>
    <w:rsid w:val="00EC5935"/>
    <w:rsid w:val="00ED119A"/>
    <w:rsid w:val="00ED2593"/>
    <w:rsid w:val="00ED63D9"/>
    <w:rsid w:val="00ED6D12"/>
    <w:rsid w:val="00ED6DD9"/>
    <w:rsid w:val="00ED7F4D"/>
    <w:rsid w:val="00EE0F4F"/>
    <w:rsid w:val="00EE12A7"/>
    <w:rsid w:val="00EE1F64"/>
    <w:rsid w:val="00EE453B"/>
    <w:rsid w:val="00EE4972"/>
    <w:rsid w:val="00EE4E6B"/>
    <w:rsid w:val="00EE59D9"/>
    <w:rsid w:val="00EE5E58"/>
    <w:rsid w:val="00EE6029"/>
    <w:rsid w:val="00EE6A73"/>
    <w:rsid w:val="00EE70D2"/>
    <w:rsid w:val="00EF1363"/>
    <w:rsid w:val="00EF401D"/>
    <w:rsid w:val="00EF5094"/>
    <w:rsid w:val="00EF5360"/>
    <w:rsid w:val="00EF54AE"/>
    <w:rsid w:val="00EF5D12"/>
    <w:rsid w:val="00EF7685"/>
    <w:rsid w:val="00EF7A8A"/>
    <w:rsid w:val="00EF7C21"/>
    <w:rsid w:val="00F00B4C"/>
    <w:rsid w:val="00F02649"/>
    <w:rsid w:val="00F03B9C"/>
    <w:rsid w:val="00F03EEF"/>
    <w:rsid w:val="00F041C4"/>
    <w:rsid w:val="00F05077"/>
    <w:rsid w:val="00F05195"/>
    <w:rsid w:val="00F12197"/>
    <w:rsid w:val="00F12BB2"/>
    <w:rsid w:val="00F12C31"/>
    <w:rsid w:val="00F139CB"/>
    <w:rsid w:val="00F152D0"/>
    <w:rsid w:val="00F16486"/>
    <w:rsid w:val="00F205C2"/>
    <w:rsid w:val="00F209CF"/>
    <w:rsid w:val="00F227DE"/>
    <w:rsid w:val="00F22A94"/>
    <w:rsid w:val="00F22AD6"/>
    <w:rsid w:val="00F230CC"/>
    <w:rsid w:val="00F241F3"/>
    <w:rsid w:val="00F244BC"/>
    <w:rsid w:val="00F25EE0"/>
    <w:rsid w:val="00F26222"/>
    <w:rsid w:val="00F26D05"/>
    <w:rsid w:val="00F2744A"/>
    <w:rsid w:val="00F27EA8"/>
    <w:rsid w:val="00F32367"/>
    <w:rsid w:val="00F350D1"/>
    <w:rsid w:val="00F36327"/>
    <w:rsid w:val="00F37FEB"/>
    <w:rsid w:val="00F402A7"/>
    <w:rsid w:val="00F40645"/>
    <w:rsid w:val="00F40ABE"/>
    <w:rsid w:val="00F43159"/>
    <w:rsid w:val="00F45493"/>
    <w:rsid w:val="00F51032"/>
    <w:rsid w:val="00F52F89"/>
    <w:rsid w:val="00F54593"/>
    <w:rsid w:val="00F5553C"/>
    <w:rsid w:val="00F610A7"/>
    <w:rsid w:val="00F61278"/>
    <w:rsid w:val="00F644AC"/>
    <w:rsid w:val="00F64C3B"/>
    <w:rsid w:val="00F65DDF"/>
    <w:rsid w:val="00F66310"/>
    <w:rsid w:val="00F70AC9"/>
    <w:rsid w:val="00F71D93"/>
    <w:rsid w:val="00F725CF"/>
    <w:rsid w:val="00F72C0E"/>
    <w:rsid w:val="00F73522"/>
    <w:rsid w:val="00F743AF"/>
    <w:rsid w:val="00F76732"/>
    <w:rsid w:val="00F76F8C"/>
    <w:rsid w:val="00F810DF"/>
    <w:rsid w:val="00F829E3"/>
    <w:rsid w:val="00F84CAD"/>
    <w:rsid w:val="00F862FE"/>
    <w:rsid w:val="00F8708B"/>
    <w:rsid w:val="00F90250"/>
    <w:rsid w:val="00F91601"/>
    <w:rsid w:val="00F91C80"/>
    <w:rsid w:val="00F91E1A"/>
    <w:rsid w:val="00F93A4A"/>
    <w:rsid w:val="00F95A25"/>
    <w:rsid w:val="00F97E50"/>
    <w:rsid w:val="00F97EAD"/>
    <w:rsid w:val="00FA02EE"/>
    <w:rsid w:val="00FA0349"/>
    <w:rsid w:val="00FA18ED"/>
    <w:rsid w:val="00FA1F74"/>
    <w:rsid w:val="00FA21E0"/>
    <w:rsid w:val="00FA3BBE"/>
    <w:rsid w:val="00FA46DA"/>
    <w:rsid w:val="00FA4E17"/>
    <w:rsid w:val="00FA63A1"/>
    <w:rsid w:val="00FA71ED"/>
    <w:rsid w:val="00FB07B4"/>
    <w:rsid w:val="00FB1781"/>
    <w:rsid w:val="00FB21CB"/>
    <w:rsid w:val="00FB2500"/>
    <w:rsid w:val="00FB3946"/>
    <w:rsid w:val="00FB4D56"/>
    <w:rsid w:val="00FB7BB0"/>
    <w:rsid w:val="00FC36E4"/>
    <w:rsid w:val="00FC4DC6"/>
    <w:rsid w:val="00FC5058"/>
    <w:rsid w:val="00FC69D6"/>
    <w:rsid w:val="00FD044B"/>
    <w:rsid w:val="00FD0DFB"/>
    <w:rsid w:val="00FD0F64"/>
    <w:rsid w:val="00FD1709"/>
    <w:rsid w:val="00FD326A"/>
    <w:rsid w:val="00FD4BAA"/>
    <w:rsid w:val="00FD4CF5"/>
    <w:rsid w:val="00FD5C77"/>
    <w:rsid w:val="00FD7276"/>
    <w:rsid w:val="00FD7828"/>
    <w:rsid w:val="00FD7A68"/>
    <w:rsid w:val="00FE0128"/>
    <w:rsid w:val="00FE0CEC"/>
    <w:rsid w:val="00FE3051"/>
    <w:rsid w:val="00FE5BA8"/>
    <w:rsid w:val="00FE7217"/>
    <w:rsid w:val="00FF0402"/>
    <w:rsid w:val="00FF074B"/>
    <w:rsid w:val="00FF080E"/>
    <w:rsid w:val="00FF14AA"/>
    <w:rsid w:val="00FF1E4B"/>
    <w:rsid w:val="00FF2541"/>
    <w:rsid w:val="00FF2765"/>
    <w:rsid w:val="00FF2D8E"/>
    <w:rsid w:val="00FF3CB3"/>
    <w:rsid w:val="00FF46A2"/>
    <w:rsid w:val="00FF5582"/>
    <w:rsid w:val="00FF69FE"/>
    <w:rsid w:val="0174471B"/>
    <w:rsid w:val="01AD0F1C"/>
    <w:rsid w:val="01D89191"/>
    <w:rsid w:val="02A2A4EF"/>
    <w:rsid w:val="02B83878"/>
    <w:rsid w:val="03383489"/>
    <w:rsid w:val="03C0D0C9"/>
    <w:rsid w:val="03EBAE23"/>
    <w:rsid w:val="04222D3B"/>
    <w:rsid w:val="048561E1"/>
    <w:rsid w:val="051AEB44"/>
    <w:rsid w:val="054FF12E"/>
    <w:rsid w:val="076BAABE"/>
    <w:rsid w:val="0827282C"/>
    <w:rsid w:val="083C0CED"/>
    <w:rsid w:val="0853059D"/>
    <w:rsid w:val="08D16BC5"/>
    <w:rsid w:val="09643D0A"/>
    <w:rsid w:val="0A2A3358"/>
    <w:rsid w:val="0A37E69E"/>
    <w:rsid w:val="0A5CA462"/>
    <w:rsid w:val="0B4894AD"/>
    <w:rsid w:val="0BD8EB09"/>
    <w:rsid w:val="0ED34E2D"/>
    <w:rsid w:val="1005AF8D"/>
    <w:rsid w:val="1047309B"/>
    <w:rsid w:val="121053B0"/>
    <w:rsid w:val="12715247"/>
    <w:rsid w:val="12A395D6"/>
    <w:rsid w:val="152522DE"/>
    <w:rsid w:val="1554E628"/>
    <w:rsid w:val="162E8B0A"/>
    <w:rsid w:val="16B696F6"/>
    <w:rsid w:val="170F73B7"/>
    <w:rsid w:val="17C7B9BA"/>
    <w:rsid w:val="1902D429"/>
    <w:rsid w:val="1982A82F"/>
    <w:rsid w:val="1A160A32"/>
    <w:rsid w:val="1A7A4A74"/>
    <w:rsid w:val="1A96DD5C"/>
    <w:rsid w:val="1ACFB2F9"/>
    <w:rsid w:val="1AEC93CB"/>
    <w:rsid w:val="1B57114D"/>
    <w:rsid w:val="1C335C7C"/>
    <w:rsid w:val="1C5919F2"/>
    <w:rsid w:val="1D337CDB"/>
    <w:rsid w:val="1D83C976"/>
    <w:rsid w:val="1E76B756"/>
    <w:rsid w:val="1ED6FF4F"/>
    <w:rsid w:val="1F00FC9B"/>
    <w:rsid w:val="1F77A693"/>
    <w:rsid w:val="1FA00D77"/>
    <w:rsid w:val="203440F2"/>
    <w:rsid w:val="20598D28"/>
    <w:rsid w:val="206E8B3A"/>
    <w:rsid w:val="2101E45C"/>
    <w:rsid w:val="218188E2"/>
    <w:rsid w:val="219C20BE"/>
    <w:rsid w:val="21F3DD35"/>
    <w:rsid w:val="21FABA13"/>
    <w:rsid w:val="2228C7BF"/>
    <w:rsid w:val="229343FB"/>
    <w:rsid w:val="229A3ADC"/>
    <w:rsid w:val="22CC3B6A"/>
    <w:rsid w:val="22E0235C"/>
    <w:rsid w:val="23008C7E"/>
    <w:rsid w:val="23B1727E"/>
    <w:rsid w:val="23FAECBF"/>
    <w:rsid w:val="243DCD92"/>
    <w:rsid w:val="247EE217"/>
    <w:rsid w:val="24CAE7C7"/>
    <w:rsid w:val="255199CE"/>
    <w:rsid w:val="26A849A2"/>
    <w:rsid w:val="2764CC0E"/>
    <w:rsid w:val="2839D489"/>
    <w:rsid w:val="28AFBE1D"/>
    <w:rsid w:val="29557656"/>
    <w:rsid w:val="29DD5949"/>
    <w:rsid w:val="2A181B1D"/>
    <w:rsid w:val="2C095B20"/>
    <w:rsid w:val="2DAF65C6"/>
    <w:rsid w:val="2E70F08D"/>
    <w:rsid w:val="30299006"/>
    <w:rsid w:val="31371969"/>
    <w:rsid w:val="3182070B"/>
    <w:rsid w:val="31973F75"/>
    <w:rsid w:val="31B3B274"/>
    <w:rsid w:val="327F8C48"/>
    <w:rsid w:val="3293805C"/>
    <w:rsid w:val="332E9136"/>
    <w:rsid w:val="33DA0633"/>
    <w:rsid w:val="34CCC6F8"/>
    <w:rsid w:val="356F83C9"/>
    <w:rsid w:val="35719E4D"/>
    <w:rsid w:val="37692315"/>
    <w:rsid w:val="389F9739"/>
    <w:rsid w:val="38BD2A95"/>
    <w:rsid w:val="3954FB90"/>
    <w:rsid w:val="398430B6"/>
    <w:rsid w:val="3A17A174"/>
    <w:rsid w:val="3AC05E41"/>
    <w:rsid w:val="3ACAB290"/>
    <w:rsid w:val="3B5AB2F6"/>
    <w:rsid w:val="3D52601E"/>
    <w:rsid w:val="3D965ED0"/>
    <w:rsid w:val="3DE4D6E1"/>
    <w:rsid w:val="3F0E759A"/>
    <w:rsid w:val="3F0FCDB1"/>
    <w:rsid w:val="3F257DDA"/>
    <w:rsid w:val="3F540A41"/>
    <w:rsid w:val="3FC7D1B9"/>
    <w:rsid w:val="407FDEAB"/>
    <w:rsid w:val="4145C204"/>
    <w:rsid w:val="416D5E57"/>
    <w:rsid w:val="4236C14A"/>
    <w:rsid w:val="42602FD3"/>
    <w:rsid w:val="4313FF35"/>
    <w:rsid w:val="43917993"/>
    <w:rsid w:val="43AC3F05"/>
    <w:rsid w:val="43C3D214"/>
    <w:rsid w:val="43ED7F26"/>
    <w:rsid w:val="44104D23"/>
    <w:rsid w:val="44707189"/>
    <w:rsid w:val="4498DEC4"/>
    <w:rsid w:val="4536D540"/>
    <w:rsid w:val="45874CD1"/>
    <w:rsid w:val="462EC2EA"/>
    <w:rsid w:val="481CBA5B"/>
    <w:rsid w:val="48C8A385"/>
    <w:rsid w:val="4911FB25"/>
    <w:rsid w:val="49B943FD"/>
    <w:rsid w:val="4BA616F3"/>
    <w:rsid w:val="4E482875"/>
    <w:rsid w:val="4E58C848"/>
    <w:rsid w:val="4F338E77"/>
    <w:rsid w:val="4F4000B8"/>
    <w:rsid w:val="4F75170C"/>
    <w:rsid w:val="50357C4D"/>
    <w:rsid w:val="517732EB"/>
    <w:rsid w:val="518634D3"/>
    <w:rsid w:val="51DB78C3"/>
    <w:rsid w:val="525A22EB"/>
    <w:rsid w:val="5275043F"/>
    <w:rsid w:val="52E4E514"/>
    <w:rsid w:val="53BBA12D"/>
    <w:rsid w:val="53E0A8C4"/>
    <w:rsid w:val="544F5E8F"/>
    <w:rsid w:val="54892F70"/>
    <w:rsid w:val="548B0F66"/>
    <w:rsid w:val="5504718E"/>
    <w:rsid w:val="551D6F73"/>
    <w:rsid w:val="56FC47CD"/>
    <w:rsid w:val="574592CB"/>
    <w:rsid w:val="5751C00C"/>
    <w:rsid w:val="5824F6F5"/>
    <w:rsid w:val="58736A26"/>
    <w:rsid w:val="58DCAC3E"/>
    <w:rsid w:val="595473AE"/>
    <w:rsid w:val="596E3D3F"/>
    <w:rsid w:val="5A22F3C6"/>
    <w:rsid w:val="5A3174E8"/>
    <w:rsid w:val="5A4627DD"/>
    <w:rsid w:val="5A632584"/>
    <w:rsid w:val="5AA202BE"/>
    <w:rsid w:val="5B351243"/>
    <w:rsid w:val="5B3FC48A"/>
    <w:rsid w:val="5BD40E00"/>
    <w:rsid w:val="5C04EED9"/>
    <w:rsid w:val="5C81EF01"/>
    <w:rsid w:val="5D1669D0"/>
    <w:rsid w:val="5E106CBF"/>
    <w:rsid w:val="5EC7C011"/>
    <w:rsid w:val="5F6E97F5"/>
    <w:rsid w:val="616621C1"/>
    <w:rsid w:val="61673760"/>
    <w:rsid w:val="62095FF2"/>
    <w:rsid w:val="63B1266D"/>
    <w:rsid w:val="63E07A38"/>
    <w:rsid w:val="63FAFD21"/>
    <w:rsid w:val="641FB4D8"/>
    <w:rsid w:val="646F4616"/>
    <w:rsid w:val="64FB3A0C"/>
    <w:rsid w:val="668EF41E"/>
    <w:rsid w:val="68EAAE4F"/>
    <w:rsid w:val="6A1B8EAD"/>
    <w:rsid w:val="6A65FCAC"/>
    <w:rsid w:val="6AF13FD3"/>
    <w:rsid w:val="6BD84028"/>
    <w:rsid w:val="6C66D9EF"/>
    <w:rsid w:val="6E099572"/>
    <w:rsid w:val="6E59577A"/>
    <w:rsid w:val="6E6B8DE1"/>
    <w:rsid w:val="6EA0EFF1"/>
    <w:rsid w:val="6EC50302"/>
    <w:rsid w:val="6EE2DD95"/>
    <w:rsid w:val="6FC35B3C"/>
    <w:rsid w:val="7027EC7F"/>
    <w:rsid w:val="71B6BB92"/>
    <w:rsid w:val="7248C36A"/>
    <w:rsid w:val="726562A0"/>
    <w:rsid w:val="753C06F2"/>
    <w:rsid w:val="7574E75B"/>
    <w:rsid w:val="7634B63E"/>
    <w:rsid w:val="7641AE0D"/>
    <w:rsid w:val="76C355E4"/>
    <w:rsid w:val="770C24D9"/>
    <w:rsid w:val="77B8D231"/>
    <w:rsid w:val="7941D070"/>
    <w:rsid w:val="79AC29CF"/>
    <w:rsid w:val="7CD74510"/>
    <w:rsid w:val="7CDECEDA"/>
    <w:rsid w:val="7D45FB84"/>
    <w:rsid w:val="7E4B74BF"/>
    <w:rsid w:val="7F082A03"/>
    <w:rsid w:val="7F3045D4"/>
    <w:rsid w:val="7F99637C"/>
    <w:rsid w:val="7FA17661"/>
    <w:rsid w:val="7FBB58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F20D60"/>
  <w15:chartTrackingRefBased/>
  <w15:docId w15:val="{459AD30D-361F-4C46-88E9-3BBEC648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4593"/>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sz w:val="20"/>
    </w:rPr>
  </w:style>
  <w:style w:type="paragraph" w:customStyle="1" w:styleId="zBottomof">
    <w:name w:val="zBottom of"/>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alloonText">
    <w:name w:val="Balloon Text"/>
    <w:basedOn w:val="Normal"/>
    <w:link w:val="BalloonTextChar"/>
    <w:rsid w:val="00D6741E"/>
    <w:rPr>
      <w:rFonts w:ascii="Tahoma" w:hAnsi="Tahoma" w:cs="Tahoma"/>
      <w:sz w:val="16"/>
      <w:szCs w:val="16"/>
    </w:rPr>
  </w:style>
  <w:style w:type="character" w:customStyle="1" w:styleId="BalloonTextChar">
    <w:name w:val="Balloon Text Char"/>
    <w:link w:val="BalloonText"/>
    <w:rsid w:val="00D6741E"/>
    <w:rPr>
      <w:rFonts w:ascii="Tahoma" w:hAnsi="Tahoma" w:cs="Tahoma"/>
      <w:sz w:val="16"/>
      <w:szCs w:val="16"/>
    </w:rPr>
  </w:style>
  <w:style w:type="paragraph" w:styleId="FootnoteText">
    <w:name w:val="footnote text"/>
    <w:basedOn w:val="Normal"/>
    <w:link w:val="FootnoteTextChar"/>
    <w:uiPriority w:val="99"/>
    <w:qFormat/>
    <w:rsid w:val="00586EE7"/>
    <w:rPr>
      <w:sz w:val="20"/>
    </w:rPr>
  </w:style>
  <w:style w:type="character" w:customStyle="1" w:styleId="FootnoteTextChar">
    <w:name w:val="Footnote Text Char"/>
    <w:basedOn w:val="DefaultParagraphFont"/>
    <w:link w:val="FootnoteText"/>
    <w:uiPriority w:val="99"/>
    <w:rsid w:val="00586EE7"/>
  </w:style>
  <w:style w:type="character" w:styleId="FootnoteReference">
    <w:name w:val="footnote reference"/>
    <w:basedOn w:val="DefaultParagraphFont"/>
    <w:uiPriority w:val="99"/>
    <w:qFormat/>
    <w:rsid w:val="00586EE7"/>
    <w:rPr>
      <w:vertAlign w:val="superscript"/>
    </w:rPr>
  </w:style>
  <w:style w:type="paragraph" w:styleId="Header">
    <w:name w:val="header"/>
    <w:basedOn w:val="Normal"/>
    <w:link w:val="HeaderChar"/>
    <w:rsid w:val="00445542"/>
    <w:pPr>
      <w:tabs>
        <w:tab w:val="center" w:pos="4680"/>
        <w:tab w:val="right" w:pos="9360"/>
      </w:tabs>
    </w:pPr>
  </w:style>
  <w:style w:type="character" w:customStyle="1" w:styleId="HeaderChar">
    <w:name w:val="Header Char"/>
    <w:basedOn w:val="DefaultParagraphFont"/>
    <w:link w:val="Header"/>
    <w:rsid w:val="00445542"/>
    <w:rPr>
      <w:sz w:val="24"/>
    </w:rPr>
  </w:style>
  <w:style w:type="paragraph" w:styleId="Footer">
    <w:name w:val="footer"/>
    <w:basedOn w:val="Normal"/>
    <w:link w:val="FooterChar"/>
    <w:rsid w:val="00445542"/>
    <w:pPr>
      <w:tabs>
        <w:tab w:val="center" w:pos="4680"/>
        <w:tab w:val="right" w:pos="9360"/>
      </w:tabs>
    </w:pPr>
  </w:style>
  <w:style w:type="character" w:customStyle="1" w:styleId="FooterChar">
    <w:name w:val="Footer Char"/>
    <w:basedOn w:val="DefaultParagraphFont"/>
    <w:link w:val="Footer"/>
    <w:rsid w:val="00445542"/>
    <w:rPr>
      <w:sz w:val="24"/>
    </w:rPr>
  </w:style>
  <w:style w:type="character" w:styleId="CommentReference">
    <w:name w:val="annotation reference"/>
    <w:basedOn w:val="DefaultParagraphFont"/>
    <w:rsid w:val="005D08D0"/>
    <w:rPr>
      <w:sz w:val="16"/>
      <w:szCs w:val="16"/>
    </w:rPr>
  </w:style>
  <w:style w:type="paragraph" w:styleId="CommentText">
    <w:name w:val="annotation text"/>
    <w:basedOn w:val="Normal"/>
    <w:link w:val="CommentTextChar"/>
    <w:rsid w:val="005D08D0"/>
    <w:rPr>
      <w:sz w:val="20"/>
    </w:rPr>
  </w:style>
  <w:style w:type="character" w:customStyle="1" w:styleId="CommentTextChar">
    <w:name w:val="Comment Text Char"/>
    <w:basedOn w:val="DefaultParagraphFont"/>
    <w:link w:val="CommentText"/>
    <w:rsid w:val="005D08D0"/>
  </w:style>
  <w:style w:type="paragraph" w:styleId="CommentSubject">
    <w:name w:val="annotation subject"/>
    <w:basedOn w:val="CommentText"/>
    <w:next w:val="CommentText"/>
    <w:link w:val="CommentSubjectChar"/>
    <w:rsid w:val="005D08D0"/>
    <w:rPr>
      <w:b/>
      <w:bCs/>
    </w:rPr>
  </w:style>
  <w:style w:type="character" w:customStyle="1" w:styleId="CommentSubjectChar">
    <w:name w:val="Comment Subject Char"/>
    <w:basedOn w:val="CommentTextChar"/>
    <w:link w:val="CommentSubject"/>
    <w:rsid w:val="005D08D0"/>
    <w:rPr>
      <w:b/>
      <w:bCs/>
    </w:rPr>
  </w:style>
  <w:style w:type="character" w:styleId="Hyperlink">
    <w:name w:val="Hyperlink"/>
    <w:basedOn w:val="DefaultParagraphFont"/>
    <w:uiPriority w:val="99"/>
    <w:unhideWhenUsed/>
    <w:rsid w:val="00AB3272"/>
    <w:rPr>
      <w:color w:val="0000FF"/>
      <w:u w:val="single"/>
    </w:rPr>
  </w:style>
  <w:style w:type="paragraph" w:styleId="Revision">
    <w:name w:val="Revision"/>
    <w:hidden/>
    <w:uiPriority w:val="99"/>
    <w:semiHidden/>
    <w:rsid w:val="00B649FF"/>
    <w:rPr>
      <w:sz w:val="24"/>
    </w:rPr>
  </w:style>
  <w:style w:type="character" w:styleId="FollowedHyperlink">
    <w:name w:val="FollowedHyperlink"/>
    <w:basedOn w:val="DefaultParagraphFont"/>
    <w:rsid w:val="0084277D"/>
    <w:rPr>
      <w:color w:val="954F72" w:themeColor="followedHyperlink"/>
      <w:u w:val="single"/>
    </w:rPr>
  </w:style>
  <w:style w:type="character" w:styleId="UnresolvedMention">
    <w:name w:val="Unresolved Mention"/>
    <w:basedOn w:val="DefaultParagraphFont"/>
    <w:uiPriority w:val="99"/>
    <w:semiHidden/>
    <w:unhideWhenUsed/>
    <w:rsid w:val="009D3D18"/>
    <w:rPr>
      <w:color w:val="605E5C"/>
      <w:shd w:val="clear" w:color="auto" w:fill="E1DFDD"/>
    </w:rPr>
  </w:style>
  <w:style w:type="character" w:styleId="Mention">
    <w:name w:val="Mention"/>
    <w:basedOn w:val="DefaultParagraphFont"/>
    <w:uiPriority w:val="99"/>
    <w:unhideWhenUsed/>
    <w:rsid w:val="008D70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0b73d08ce841d46366585c4847bc80b8">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67320c5a9af848491498ca6811ec8e9a"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2c2917e-047f-4ef5-af2e-e094bcfe6189">
      <UserInfo>
        <DisplayName>Fuller, Marc (FRA)</DisplayName>
        <AccountId>33</AccountId>
        <AccountType/>
      </UserInfo>
      <UserInfo>
        <DisplayName>Wells, Hodan (FRA)</DisplayName>
        <AccountId>16</AccountId>
        <AccountType/>
      </UserInfo>
      <UserInfo>
        <DisplayName>Maizel, Amanda (FRA)</DisplayName>
        <AccountId>35</AccountId>
        <AccountType/>
      </UserInfo>
      <UserInfo>
        <DisplayName>Chittim, Veronica (FRA)</DisplayName>
        <AccountId>112</AccountId>
        <AccountType/>
      </UserInfo>
      <UserInfo>
        <DisplayName>Baxley, Richard (FRA)</DisplayName>
        <AccountId>230</AccountId>
        <AccountType/>
      </UserInfo>
      <UserInfo>
        <DisplayName>Strong, Mel (FRA)</DisplayName>
        <AccountId>200</AccountId>
        <AccountType/>
      </UserInfo>
      <UserInfo>
        <DisplayName>Alpert, Daniel (FRA)</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D618-DEC5-4954-8BD1-8C21C1706EB4}">
  <ds:schemaRefs>
    <ds:schemaRef ds:uri="http://schemas.microsoft.com/sharepoint/v3/contenttype/forms"/>
  </ds:schemaRefs>
</ds:datastoreItem>
</file>

<file path=customXml/itemProps2.xml><?xml version="1.0" encoding="utf-8"?>
<ds:datastoreItem xmlns:ds="http://schemas.openxmlformats.org/officeDocument/2006/customXml" ds:itemID="{1E1DF5E4-2503-42E5-AD93-DFD1814E8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0B2BE-ACE2-4D8E-916F-6C044447FBF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b270c13a-4492-4e1e-b47b-1c9c4fe9105b"/>
    <ds:schemaRef ds:uri="e2c2917e-047f-4ef5-af2e-e094bcfe6189"/>
    <ds:schemaRef ds:uri="http://schemas.openxmlformats.org/package/2006/metadata/core-properties"/>
    <ds:schemaRef ds:uri="http://purl.org/dc/terms/"/>
    <ds:schemaRef ds:uri="http://www.w3.org/XML/1998/namespace"/>
  </ds:schemaRefs>
</ds:datastoreItem>
</file>

<file path=customXml/itemProps4.xml><?xml version="1.0" encoding="utf-8"?>
<ds:datastoreItem xmlns:ds="http://schemas.openxmlformats.org/officeDocument/2006/customXml" ds:itemID="{A08D0FB7-8C8E-467F-ABD1-8E81FF84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2495</Words>
  <Characters>14494</Characters>
  <Application>Microsoft Office Word</Application>
  <DocSecurity>0</DocSecurity>
  <Lines>120</Lines>
  <Paragraphs>33</Paragraphs>
  <ScaleCrop>false</ScaleCrop>
  <Company>United States Department of Transportation</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rebrogan</dc:creator>
  <cp:lastModifiedBy>Mussington, Arlette (FRA)</cp:lastModifiedBy>
  <cp:revision>3</cp:revision>
  <cp:lastPrinted>2015-12-11T10:31:00Z</cp:lastPrinted>
  <dcterms:created xsi:type="dcterms:W3CDTF">2025-11-21T15:59:00Z</dcterms:created>
  <dcterms:modified xsi:type="dcterms:W3CDTF">2025-11-21T16:27:00Z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