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0BC8" w:rsidP="00D01130" w14:paraId="6C01FFA3" w14:textId="77777777">
      <w:pPr>
        <w:contextualSpacing/>
        <w:jc w:val="center"/>
        <w:rPr>
          <w:b/>
          <w:bCs/>
          <w:szCs w:val="24"/>
        </w:rPr>
      </w:pPr>
      <w:r>
        <w:rPr>
          <w:b/>
          <w:bCs/>
          <w:szCs w:val="24"/>
        </w:rPr>
        <w:t>DEPARTMENT OF TRANSPORTATION</w:t>
      </w:r>
    </w:p>
    <w:p w:rsidR="00380BC8" w:rsidP="00D01130" w14:paraId="4635B20C" w14:textId="77777777">
      <w:pPr>
        <w:contextualSpacing/>
        <w:jc w:val="center"/>
        <w:rPr>
          <w:b/>
          <w:bCs/>
          <w:szCs w:val="24"/>
        </w:rPr>
      </w:pPr>
      <w:r>
        <w:rPr>
          <w:b/>
          <w:bCs/>
          <w:szCs w:val="24"/>
        </w:rPr>
        <w:t>INFORMATION COLLECTION</w:t>
      </w:r>
    </w:p>
    <w:p w:rsidR="00603E2D" w:rsidRPr="009C32CF" w:rsidP="00D01130" w14:paraId="60B18C93" w14:textId="1935F647">
      <w:pPr>
        <w:contextualSpacing/>
        <w:jc w:val="center"/>
        <w:rPr>
          <w:b/>
          <w:bCs/>
          <w:szCs w:val="24"/>
        </w:rPr>
      </w:pPr>
      <w:r w:rsidRPr="009C32CF">
        <w:rPr>
          <w:b/>
          <w:bCs/>
          <w:szCs w:val="24"/>
        </w:rPr>
        <w:t>SUPPORTING STATEMENT</w:t>
      </w:r>
    </w:p>
    <w:p w:rsidR="00603E2D" w:rsidP="00D01130" w14:paraId="1B321F6F" w14:textId="6CABA87D">
      <w:pPr>
        <w:pStyle w:val="Heading1"/>
        <w:contextualSpacing/>
      </w:pPr>
      <w:r>
        <w:t>Electric Vehicle Charging Infrastructure</w:t>
      </w:r>
    </w:p>
    <w:p w:rsidR="00235B97" w:rsidRPr="00235B97" w:rsidP="00D01130" w14:paraId="7A035F17" w14:textId="1577CDDB">
      <w:pPr>
        <w:contextualSpacing/>
        <w:jc w:val="center"/>
      </w:pPr>
      <w:bookmarkStart w:id="0" w:name="_Hlk2784197"/>
      <w:r>
        <w:rPr>
          <w:szCs w:val="24"/>
        </w:rPr>
        <w:t xml:space="preserve">OMB Control No. </w:t>
      </w:r>
      <w:r w:rsidRPr="00EC58D8" w:rsidR="00EC58D8">
        <w:rPr>
          <w:szCs w:val="24"/>
          <w:highlight w:val="yellow"/>
        </w:rPr>
        <w:t>XXXX</w:t>
      </w:r>
      <w:r w:rsidRPr="00EC58D8" w:rsidR="001D28CE">
        <w:rPr>
          <w:szCs w:val="24"/>
          <w:highlight w:val="yellow"/>
        </w:rPr>
        <w:t>-XXXX</w:t>
      </w:r>
    </w:p>
    <w:bookmarkEnd w:id="0"/>
    <w:p w:rsidR="003B4EF0" w14:paraId="6CECB0A0" w14:textId="77777777">
      <w:pPr>
        <w:rPr>
          <w:b/>
          <w:bCs/>
          <w:szCs w:val="24"/>
        </w:rPr>
      </w:pPr>
    </w:p>
    <w:p w:rsidR="003B4EF0" w:rsidRPr="009C32CF" w14:paraId="4F40D905" w14:textId="77777777">
      <w:pPr>
        <w:rPr>
          <w:szCs w:val="24"/>
        </w:rPr>
      </w:pPr>
    </w:p>
    <w:p w:rsidR="00EC39CE" w14:paraId="031C505D" w14:textId="160BBFE4">
      <w:pPr>
        <w:rPr>
          <w:b/>
          <w:bCs/>
          <w:szCs w:val="24"/>
          <w:u w:val="single"/>
        </w:rPr>
      </w:pPr>
      <w:r>
        <w:rPr>
          <w:b/>
          <w:bCs/>
          <w:szCs w:val="24"/>
          <w:u w:val="single"/>
        </w:rPr>
        <w:t>INTRODUCTION</w:t>
      </w:r>
    </w:p>
    <w:p w:rsidR="00603E2D" w:rsidRPr="009C32CF" w14:paraId="05D26811" w14:textId="78D9B1D6">
      <w:pPr>
        <w:rPr>
          <w:szCs w:val="24"/>
        </w:rPr>
      </w:pPr>
      <w:r w:rsidRPr="009C32CF">
        <w:rPr>
          <w:szCs w:val="24"/>
        </w:rPr>
        <w:t xml:space="preserve">This </w:t>
      </w:r>
      <w:r w:rsidR="00EC39CE">
        <w:rPr>
          <w:szCs w:val="24"/>
        </w:rPr>
        <w:t xml:space="preserve">is to </w:t>
      </w:r>
      <w:r w:rsidRPr="009C32CF">
        <w:rPr>
          <w:szCs w:val="24"/>
        </w:rPr>
        <w:t xml:space="preserve">request </w:t>
      </w:r>
      <w:r w:rsidR="00EC39CE">
        <w:rPr>
          <w:szCs w:val="24"/>
        </w:rPr>
        <w:t>the Office of Management and Budget’s (</w:t>
      </w:r>
      <w:r w:rsidR="00DE17E8">
        <w:rPr>
          <w:szCs w:val="24"/>
        </w:rPr>
        <w:t>OMB</w:t>
      </w:r>
      <w:r w:rsidR="00EC39CE">
        <w:rPr>
          <w:szCs w:val="24"/>
        </w:rPr>
        <w:t>)</w:t>
      </w:r>
      <w:r w:rsidR="00DE17E8">
        <w:rPr>
          <w:szCs w:val="24"/>
        </w:rPr>
        <w:t xml:space="preserve"> </w:t>
      </w:r>
      <w:r w:rsidRPr="009C32CF">
        <w:rPr>
          <w:szCs w:val="24"/>
        </w:rPr>
        <w:t>approv</w:t>
      </w:r>
      <w:r w:rsidR="00DE17E8">
        <w:rPr>
          <w:szCs w:val="24"/>
        </w:rPr>
        <w:t xml:space="preserve">al </w:t>
      </w:r>
      <w:r w:rsidR="00235B97">
        <w:rPr>
          <w:szCs w:val="24"/>
        </w:rPr>
        <w:t xml:space="preserve">for the </w:t>
      </w:r>
      <w:r w:rsidRPr="009C32CF">
        <w:rPr>
          <w:szCs w:val="24"/>
        </w:rPr>
        <w:t xml:space="preserve">information </w:t>
      </w:r>
      <w:r w:rsidR="00DE17E8">
        <w:rPr>
          <w:szCs w:val="24"/>
        </w:rPr>
        <w:t>collection titled, “</w:t>
      </w:r>
      <w:r w:rsidR="00821FDC">
        <w:rPr>
          <w:szCs w:val="24"/>
        </w:rPr>
        <w:t>Electric Vehicle Charging Infrastructure</w:t>
      </w:r>
      <w:r w:rsidRPr="009C32CF">
        <w:rPr>
          <w:szCs w:val="24"/>
        </w:rPr>
        <w:t xml:space="preserve">.” </w:t>
      </w:r>
      <w:r w:rsidR="0089221C">
        <w:rPr>
          <w:szCs w:val="24"/>
        </w:rPr>
        <w:t xml:space="preserve">The regulation referenced in this rule (23 CFR 680) will apply to NEVI Formula Program projects and projects for the construction of publicly accessible EV chargers funded under title 23, United States Code. </w:t>
      </w:r>
      <w:bookmarkStart w:id="1" w:name="_Hlk122618174"/>
      <w:r w:rsidRPr="00D75903" w:rsidR="00047E2C">
        <w:t xml:space="preserve">This </w:t>
      </w:r>
      <w:r w:rsidR="00047E2C">
        <w:t xml:space="preserve">also </w:t>
      </w:r>
      <w:r w:rsidRPr="00D75903" w:rsidR="00047E2C">
        <w:t xml:space="preserve">includes </w:t>
      </w:r>
      <w:bookmarkStart w:id="2" w:name="_Hlk122612173"/>
      <w:r w:rsidRPr="00D75903" w:rsidR="00047E2C">
        <w:t xml:space="preserve">any </w:t>
      </w:r>
      <w:bookmarkStart w:id="3" w:name="_Hlk122614648"/>
      <w:r w:rsidR="00047E2C">
        <w:t xml:space="preserve">publicly accessible </w:t>
      </w:r>
      <w:r w:rsidRPr="00D75903" w:rsidR="00047E2C">
        <w:t xml:space="preserve">EV charging infrastructure project funded with Federal funds that is treated as a project on </w:t>
      </w:r>
      <w:r w:rsidR="00047E2C">
        <w:t>a</w:t>
      </w:r>
      <w:r w:rsidRPr="00D75903" w:rsidR="00047E2C">
        <w:t xml:space="preserve"> Federal-aid highway.</w:t>
      </w:r>
      <w:bookmarkStart w:id="4" w:name="_Hlk122604280"/>
      <w:bookmarkEnd w:id="1"/>
      <w:bookmarkEnd w:id="2"/>
      <w:bookmarkEnd w:id="3"/>
      <w:r w:rsidR="00047E2C">
        <w:t xml:space="preserve">  </w:t>
      </w:r>
      <w:bookmarkEnd w:id="4"/>
      <w:r w:rsidR="00EC58D8">
        <w:rPr>
          <w:szCs w:val="24"/>
        </w:rPr>
        <w:t xml:space="preserve">The NEVI Formula Program is a new program established with the Bipartisan Infrastructure Law (BIL) (enacted as the Infrastructure Investment and Jobs </w:t>
      </w:r>
      <w:r w:rsidR="00EC58D8">
        <w:rPr>
          <w:szCs w:val="24"/>
        </w:rPr>
        <w:t>Act)(</w:t>
      </w:r>
      <w:r w:rsidR="00EC58D8">
        <w:rPr>
          <w:szCs w:val="24"/>
        </w:rPr>
        <w:t>Pub. L. 117-58)(Nov. 15,</w:t>
      </w:r>
      <w:r w:rsidR="001F3A26">
        <w:rPr>
          <w:szCs w:val="24"/>
        </w:rPr>
        <w:t xml:space="preserve"> </w:t>
      </w:r>
      <w:r w:rsidR="00EC58D8">
        <w:rPr>
          <w:szCs w:val="24"/>
        </w:rPr>
        <w:t>2021), and as such, this is a new clearance request.</w:t>
      </w:r>
      <w:r w:rsidR="00821FDC">
        <w:rPr>
          <w:szCs w:val="24"/>
        </w:rPr>
        <w:t xml:space="preserve"> </w:t>
      </w:r>
      <w:r w:rsidR="00905BFA">
        <w:rPr>
          <w:szCs w:val="24"/>
        </w:rPr>
        <w:t>D</w:t>
      </w:r>
      <w:r w:rsidR="002C30EB">
        <w:rPr>
          <w:szCs w:val="24"/>
        </w:rPr>
        <w:t>ata collection referenced in this document apply to NEVI Formula Program projects</w:t>
      </w:r>
      <w:r w:rsidR="00905BFA">
        <w:rPr>
          <w:szCs w:val="24"/>
        </w:rPr>
        <w:t xml:space="preserve">, </w:t>
      </w:r>
      <w:r w:rsidR="00C83E1B">
        <w:rPr>
          <w:szCs w:val="24"/>
        </w:rPr>
        <w:t>projects funded under</w:t>
      </w:r>
      <w:r w:rsidR="008349FE">
        <w:rPr>
          <w:szCs w:val="24"/>
        </w:rPr>
        <w:t xml:space="preserve"> 23 USC 151(f)</w:t>
      </w:r>
      <w:r w:rsidR="002C30EB">
        <w:rPr>
          <w:szCs w:val="24"/>
        </w:rPr>
        <w:t xml:space="preserve">, </w:t>
      </w:r>
      <w:r w:rsidR="00DC25B8">
        <w:rPr>
          <w:szCs w:val="24"/>
        </w:rPr>
        <w:t xml:space="preserve">and </w:t>
      </w:r>
      <w:r w:rsidR="00E00619">
        <w:rPr>
          <w:szCs w:val="24"/>
        </w:rPr>
        <w:t xml:space="preserve">projects </w:t>
      </w:r>
      <w:r w:rsidR="00BB7FA9">
        <w:rPr>
          <w:szCs w:val="24"/>
        </w:rPr>
        <w:t xml:space="preserve">funded under </w:t>
      </w:r>
      <w:r w:rsidR="00B632C6">
        <w:rPr>
          <w:szCs w:val="24"/>
        </w:rPr>
        <w:t>o</w:t>
      </w:r>
      <w:r w:rsidR="00564F2B">
        <w:rPr>
          <w:szCs w:val="24"/>
        </w:rPr>
        <w:t xml:space="preserve">ther </w:t>
      </w:r>
      <w:r w:rsidR="00BB7FA9">
        <w:rPr>
          <w:szCs w:val="24"/>
        </w:rPr>
        <w:t>title 23</w:t>
      </w:r>
      <w:r w:rsidR="00B632C6">
        <w:rPr>
          <w:szCs w:val="24"/>
        </w:rPr>
        <w:t xml:space="preserve"> programs</w:t>
      </w:r>
      <w:r w:rsidR="00047E2C">
        <w:rPr>
          <w:szCs w:val="24"/>
        </w:rPr>
        <w:t xml:space="preserve"> </w:t>
      </w:r>
      <w:bookmarkStart w:id="5" w:name="_Hlk122618298"/>
      <w:r w:rsidRPr="00D75903" w:rsidR="002B0999">
        <w:t xml:space="preserve">including any EV charging infrastructure project funded with Federal funds that is treated as a project on </w:t>
      </w:r>
      <w:r w:rsidR="002B0999">
        <w:t>a</w:t>
      </w:r>
      <w:r w:rsidRPr="00D75903" w:rsidR="002B0999">
        <w:t xml:space="preserve"> Federal-aid highway</w:t>
      </w:r>
      <w:bookmarkEnd w:id="5"/>
      <w:r w:rsidR="00BB7FA9">
        <w:rPr>
          <w:szCs w:val="24"/>
        </w:rPr>
        <w:t xml:space="preserve">. </w:t>
      </w:r>
      <w:r w:rsidR="00C87329">
        <w:rPr>
          <w:szCs w:val="24"/>
        </w:rPr>
        <w:t xml:space="preserve">The data required for </w:t>
      </w:r>
      <w:r w:rsidR="00C87329">
        <w:rPr>
          <w:szCs w:val="24"/>
        </w:rPr>
        <w:t>particular programs</w:t>
      </w:r>
      <w:r w:rsidR="00C87329">
        <w:rPr>
          <w:szCs w:val="24"/>
        </w:rPr>
        <w:t xml:space="preserve"> is specified </w:t>
      </w:r>
      <w:r w:rsidR="008409DB">
        <w:rPr>
          <w:szCs w:val="24"/>
        </w:rPr>
        <w:t>below.</w:t>
      </w:r>
    </w:p>
    <w:p w:rsidR="00603E2D" w:rsidRPr="009C32CF" w:rsidP="00826DFF" w14:paraId="32E31067" w14:textId="74F03FA6">
      <w:pPr>
        <w:pStyle w:val="Heading1"/>
        <w:jc w:val="left"/>
      </w:pPr>
      <w:r>
        <w:t xml:space="preserve">Part </w:t>
      </w:r>
      <w:r w:rsidRPr="009C32CF">
        <w:t>A.  Justification</w:t>
      </w:r>
    </w:p>
    <w:p w:rsidR="00EE4CEF" w:rsidP="00EE4CEF" w14:paraId="5B9D8974" w14:textId="45AF185B">
      <w:pPr>
        <w:pStyle w:val="Heading2"/>
        <w:numPr>
          <w:ilvl w:val="0"/>
          <w:numId w:val="8"/>
        </w:numPr>
        <w:tabs>
          <w:tab w:val="clear" w:pos="720"/>
        </w:tabs>
        <w:ind w:left="0" w:firstLine="0"/>
      </w:pPr>
      <w:r w:rsidRPr="005A1B12">
        <w:rPr>
          <w:u w:val="single"/>
        </w:rPr>
        <w:t>Circumstances that make the collection of information necessary</w:t>
      </w:r>
      <w:r w:rsidR="005A1B12">
        <w:rPr>
          <w:u w:val="single"/>
        </w:rPr>
        <w:t>.</w:t>
      </w:r>
      <w:r w:rsidRPr="004A2167" w:rsidR="004A2167">
        <w:t xml:space="preserve"> </w:t>
      </w:r>
    </w:p>
    <w:p w:rsidR="00E03ED8" w:rsidRPr="005F5601" w:rsidP="7668E38B" w14:paraId="48BA9943" w14:textId="0394EF3D">
      <w:r>
        <w:t xml:space="preserve">States will implement the NEVI Formula Program by installing and making operable electric vehicle (EV) charging stations nationwide. Data collection is central to the purposes of this program. The NEVI Formula Program was created to “provide funding to States to strategically deploy EV charging infrastructure and to establish an interconnected network to facilitate data collection, access, and reliability.” </w:t>
      </w:r>
      <w:r w:rsidR="008D708E">
        <w:t>Projects described under 23 USC 151(f) include projects “for the acquisition and installation of publicly accessible electric vehicle charging infrastructure</w:t>
      </w:r>
      <w:r w:rsidR="0003525E">
        <w:t xml:space="preserve"> …</w:t>
      </w:r>
      <w:r w:rsidR="00C43082">
        <w:t xml:space="preserve"> that is directly related to the charging or fueling of a vehicle.” </w:t>
      </w:r>
      <w:r>
        <w:t xml:space="preserve">In support of these data collection purposes, States will submit data </w:t>
      </w:r>
      <w:r w:rsidR="00AA7DF7">
        <w:t xml:space="preserve">regarding </w:t>
      </w:r>
      <w:r w:rsidR="00CB6C59">
        <w:t>EV</w:t>
      </w:r>
      <w:r w:rsidR="00AA7DF7">
        <w:t xml:space="preserve"> charging stations,</w:t>
      </w:r>
      <w:r w:rsidR="00EE4CEF">
        <w:t xml:space="preserve"> as described below</w:t>
      </w:r>
      <w:r>
        <w:t>.</w:t>
      </w:r>
      <w:r w:rsidR="007F7576">
        <w:t xml:space="preserve">  </w:t>
      </w:r>
    </w:p>
    <w:p w:rsidR="00120A1D" w:rsidRPr="005F5601" w:rsidP="00614414" w14:paraId="496C2126" w14:textId="4BCCDA0C">
      <w:pPr>
        <w:pStyle w:val="ListParagraph"/>
        <w:numPr>
          <w:ilvl w:val="0"/>
          <w:numId w:val="1"/>
        </w:numPr>
        <w:spacing w:after="0"/>
        <w:rPr>
          <w:szCs w:val="24"/>
        </w:rPr>
      </w:pPr>
      <w:r w:rsidRPr="005F5601">
        <w:rPr>
          <w:szCs w:val="24"/>
        </w:rPr>
        <w:t xml:space="preserve">23 CFR </w:t>
      </w:r>
      <w:r w:rsidRPr="005F5601" w:rsidR="00AA7DF7">
        <w:rPr>
          <w:szCs w:val="24"/>
        </w:rPr>
        <w:t>680</w:t>
      </w:r>
      <w:r w:rsidRPr="005F5601">
        <w:rPr>
          <w:szCs w:val="24"/>
        </w:rPr>
        <w:t>.</w:t>
      </w:r>
      <w:r w:rsidRPr="005F5601" w:rsidR="00AA7DF7">
        <w:rPr>
          <w:szCs w:val="24"/>
        </w:rPr>
        <w:t>112</w:t>
      </w:r>
      <w:r w:rsidRPr="005F5601">
        <w:rPr>
          <w:szCs w:val="24"/>
        </w:rPr>
        <w:t>(</w:t>
      </w:r>
      <w:r w:rsidR="00342C61">
        <w:rPr>
          <w:szCs w:val="24"/>
        </w:rPr>
        <w:t>a</w:t>
      </w:r>
      <w:r w:rsidRPr="005F5601">
        <w:rPr>
          <w:szCs w:val="24"/>
        </w:rPr>
        <w:t xml:space="preserve">) </w:t>
      </w:r>
      <w:r w:rsidRPr="005F5601" w:rsidR="00AA7DF7">
        <w:rPr>
          <w:i/>
          <w:iCs/>
        </w:rPr>
        <w:t>Quarterly Data Submittal</w:t>
      </w:r>
      <w:r w:rsidRPr="005F5601" w:rsidR="00AA7DF7">
        <w:t xml:space="preserve"> </w:t>
      </w:r>
      <w:r w:rsidRPr="005F5601" w:rsidR="003E4ACD">
        <w:t>–</w:t>
      </w:r>
      <w:r w:rsidRPr="005F5601" w:rsidR="00AA7DF7">
        <w:t xml:space="preserve"> </w:t>
      </w:r>
      <w:r w:rsidRPr="005F5601">
        <w:rPr>
          <w:rFonts w:eastAsiaTheme="minorHAnsi"/>
          <w:szCs w:val="24"/>
        </w:rPr>
        <w:t>State</w:t>
      </w:r>
      <w:r w:rsidR="00B73963">
        <w:rPr>
          <w:rFonts w:eastAsiaTheme="minorHAnsi"/>
          <w:szCs w:val="24"/>
        </w:rPr>
        <w:t xml:space="preserve">s and </w:t>
      </w:r>
      <w:r w:rsidR="00AC0F79">
        <w:rPr>
          <w:rFonts w:eastAsiaTheme="minorHAnsi"/>
          <w:szCs w:val="24"/>
        </w:rPr>
        <w:t>other direct recipients</w:t>
      </w:r>
      <w:r w:rsidRPr="005F5601">
        <w:rPr>
          <w:rFonts w:eastAsiaTheme="minorHAnsi"/>
          <w:szCs w:val="24"/>
        </w:rPr>
        <w:t xml:space="preserve"> must ensure the following data are submitted on a quarterly basis in a manner prescribed by FHWA</w:t>
      </w:r>
      <w:r w:rsidR="002C393B">
        <w:rPr>
          <w:rFonts w:eastAsiaTheme="minorHAnsi"/>
          <w:szCs w:val="24"/>
        </w:rPr>
        <w:t xml:space="preserve"> for NEVI Formula Program projects</w:t>
      </w:r>
      <w:r w:rsidR="00CA537F">
        <w:rPr>
          <w:rFonts w:eastAsiaTheme="minorHAnsi"/>
          <w:szCs w:val="24"/>
        </w:rPr>
        <w:t>, projects funded under 23 USC 151(f),</w:t>
      </w:r>
      <w:r w:rsidR="000C02C1">
        <w:rPr>
          <w:rFonts w:eastAsiaTheme="minorHAnsi"/>
          <w:szCs w:val="24"/>
        </w:rPr>
        <w:t xml:space="preserve"> and </w:t>
      </w:r>
      <w:r w:rsidR="00A005F4">
        <w:rPr>
          <w:rFonts w:eastAsiaTheme="minorHAnsi"/>
          <w:szCs w:val="24"/>
        </w:rPr>
        <w:t>projects funded under other title 23 programs</w:t>
      </w:r>
      <w:r w:rsidR="00BE6C9D">
        <w:rPr>
          <w:rFonts w:eastAsiaTheme="minorHAnsi"/>
          <w:szCs w:val="24"/>
        </w:rPr>
        <w:t>,</w:t>
      </w:r>
      <w:r w:rsidR="008B7A41">
        <w:rPr>
          <w:rFonts w:eastAsiaTheme="minorHAnsi"/>
          <w:szCs w:val="24"/>
        </w:rPr>
        <w:t xml:space="preserve"> </w:t>
      </w:r>
      <w:r w:rsidRPr="00D75903" w:rsidR="008B7A41">
        <w:t xml:space="preserve">including any EV charging infrastructure project funded with Federal funds that is treated as a project on </w:t>
      </w:r>
      <w:r w:rsidR="008B7A41">
        <w:t>a</w:t>
      </w:r>
      <w:r w:rsidRPr="00D75903" w:rsidR="008B7A41">
        <w:t xml:space="preserve"> Federal-aid highway</w:t>
      </w:r>
      <w:r w:rsidRPr="005F5601">
        <w:rPr>
          <w:rFonts w:eastAsiaTheme="minorHAnsi"/>
          <w:szCs w:val="24"/>
        </w:rPr>
        <w:t>:</w:t>
      </w:r>
    </w:p>
    <w:p w:rsidR="00614414" w:rsidP="00BC3268" w14:paraId="507CF08E" w14:textId="77777777">
      <w:pPr>
        <w:widowControl/>
        <w:numPr>
          <w:ilvl w:val="0"/>
          <w:numId w:val="10"/>
        </w:numPr>
        <w:autoSpaceDE/>
        <w:autoSpaceDN/>
        <w:adjustRightInd/>
        <w:spacing w:after="0"/>
        <w:ind w:left="1267" w:hanging="277"/>
        <w:contextualSpacing/>
        <w:rPr>
          <w:rFonts w:eastAsiaTheme="minorHAnsi"/>
          <w:szCs w:val="24"/>
        </w:rPr>
      </w:pPr>
      <w:bookmarkStart w:id="6" w:name="_Hlk101522132"/>
      <w:bookmarkStart w:id="7" w:name="_Hlk100759097"/>
      <w:r w:rsidRPr="005F5601">
        <w:rPr>
          <w:rFonts w:eastAsiaTheme="minorHAnsi"/>
          <w:szCs w:val="24"/>
        </w:rPr>
        <w:t xml:space="preserve">Charging station </w:t>
      </w:r>
      <w:bookmarkEnd w:id="6"/>
      <w:r w:rsidRPr="005F5601">
        <w:rPr>
          <w:rFonts w:eastAsiaTheme="minorHAnsi"/>
          <w:szCs w:val="24"/>
        </w:rPr>
        <w:t xml:space="preserve">location identifier that the following data can be associated </w:t>
      </w:r>
      <w:r w:rsidRPr="005F5601">
        <w:rPr>
          <w:rFonts w:eastAsiaTheme="minorHAnsi"/>
          <w:szCs w:val="24"/>
        </w:rPr>
        <w:t>with;</w:t>
      </w:r>
    </w:p>
    <w:p w:rsidR="00853A14" w:rsidRPr="005F5601" w:rsidP="00BC3268" w14:paraId="37E1055D" w14:textId="746242EB">
      <w:pPr>
        <w:widowControl/>
        <w:numPr>
          <w:ilvl w:val="0"/>
          <w:numId w:val="10"/>
        </w:numPr>
        <w:autoSpaceDE/>
        <w:autoSpaceDN/>
        <w:adjustRightInd/>
        <w:spacing w:after="0"/>
        <w:ind w:left="1267" w:hanging="277"/>
        <w:contextualSpacing/>
        <w:rPr>
          <w:rFonts w:eastAsiaTheme="minorHAnsi"/>
          <w:szCs w:val="24"/>
        </w:rPr>
      </w:pPr>
      <w:r>
        <w:rPr>
          <w:rFonts w:eastAsiaTheme="minorHAnsi"/>
          <w:szCs w:val="24"/>
        </w:rPr>
        <w:t xml:space="preserve">Charging port </w:t>
      </w:r>
      <w:r>
        <w:rPr>
          <w:rFonts w:eastAsiaTheme="minorHAnsi"/>
          <w:szCs w:val="24"/>
        </w:rPr>
        <w:t>identifier</w:t>
      </w:r>
      <w:r w:rsidR="00BF031A">
        <w:rPr>
          <w:rFonts w:eastAsiaTheme="minorHAnsi"/>
          <w:szCs w:val="24"/>
        </w:rPr>
        <w:t>;</w:t>
      </w:r>
    </w:p>
    <w:p w:rsidR="00614414" w:rsidRPr="005F5601" w:rsidP="00BC3268" w14:paraId="64254F8D" w14:textId="0BF5E841">
      <w:pPr>
        <w:widowControl/>
        <w:numPr>
          <w:ilvl w:val="0"/>
          <w:numId w:val="10"/>
        </w:numPr>
        <w:autoSpaceDE/>
        <w:autoSpaceDN/>
        <w:adjustRightInd/>
        <w:spacing w:after="0"/>
        <w:ind w:left="1267" w:hanging="277"/>
        <w:contextualSpacing/>
        <w:rPr>
          <w:rFonts w:eastAsiaTheme="minorHAnsi"/>
          <w:szCs w:val="24"/>
        </w:rPr>
      </w:pPr>
      <w:r w:rsidRPr="005F5601">
        <w:rPr>
          <w:rFonts w:eastAsiaTheme="minorHAnsi"/>
          <w:szCs w:val="24"/>
        </w:rPr>
        <w:t xml:space="preserve">Charging session start time, end time, and </w:t>
      </w:r>
      <w:r w:rsidR="00874B80">
        <w:rPr>
          <w:rFonts w:eastAsiaTheme="minorHAnsi"/>
          <w:szCs w:val="24"/>
        </w:rPr>
        <w:t>any error codes associated</w:t>
      </w:r>
      <w:r w:rsidR="00AC1D04">
        <w:rPr>
          <w:rFonts w:eastAsiaTheme="minorHAnsi"/>
          <w:szCs w:val="24"/>
        </w:rPr>
        <w:t xml:space="preserve"> with an unsuccessful charging session by </w:t>
      </w:r>
      <w:r w:rsidR="00AC1D04">
        <w:rPr>
          <w:rFonts w:eastAsiaTheme="minorHAnsi"/>
          <w:szCs w:val="24"/>
        </w:rPr>
        <w:t>port;</w:t>
      </w:r>
    </w:p>
    <w:p w:rsidR="00614414" w:rsidRPr="005F5601" w:rsidP="00BC3268" w14:paraId="0669B782" w14:textId="73DBCF91">
      <w:pPr>
        <w:widowControl/>
        <w:numPr>
          <w:ilvl w:val="0"/>
          <w:numId w:val="10"/>
        </w:numPr>
        <w:autoSpaceDE/>
        <w:autoSpaceDN/>
        <w:adjustRightInd/>
        <w:spacing w:after="0"/>
        <w:ind w:left="1267" w:hanging="277"/>
        <w:contextualSpacing/>
        <w:rPr>
          <w:rFonts w:eastAsiaTheme="minorHAnsi"/>
          <w:szCs w:val="24"/>
        </w:rPr>
      </w:pPr>
      <w:r>
        <w:rPr>
          <w:rFonts w:eastAsiaTheme="minorHAnsi"/>
          <w:szCs w:val="24"/>
        </w:rPr>
        <w:t>E</w:t>
      </w:r>
      <w:r w:rsidRPr="005F5601">
        <w:rPr>
          <w:rFonts w:eastAsiaTheme="minorHAnsi"/>
          <w:szCs w:val="24"/>
        </w:rPr>
        <w:t xml:space="preserve">nergy (kWh) dispensed to EVs </w:t>
      </w:r>
      <w:r>
        <w:rPr>
          <w:rFonts w:eastAsiaTheme="minorHAnsi"/>
          <w:szCs w:val="24"/>
        </w:rPr>
        <w:t xml:space="preserve">per session </w:t>
      </w:r>
      <w:r w:rsidRPr="005F5601">
        <w:rPr>
          <w:rFonts w:eastAsiaTheme="minorHAnsi"/>
          <w:szCs w:val="24"/>
        </w:rPr>
        <w:t xml:space="preserve">by </w:t>
      </w:r>
      <w:r w:rsidRPr="005F5601">
        <w:rPr>
          <w:rFonts w:eastAsiaTheme="minorHAnsi"/>
          <w:szCs w:val="24"/>
        </w:rPr>
        <w:t>port;</w:t>
      </w:r>
      <w:r w:rsidRPr="005F5601">
        <w:rPr>
          <w:rFonts w:eastAsiaTheme="minorHAnsi"/>
          <w:szCs w:val="24"/>
        </w:rPr>
        <w:t xml:space="preserve"> </w:t>
      </w:r>
    </w:p>
    <w:p w:rsidR="003623EF" w:rsidP="00BC3268" w14:paraId="6794F657" w14:textId="77777777">
      <w:pPr>
        <w:widowControl/>
        <w:numPr>
          <w:ilvl w:val="0"/>
          <w:numId w:val="10"/>
        </w:numPr>
        <w:autoSpaceDE/>
        <w:autoSpaceDN/>
        <w:adjustRightInd/>
        <w:spacing w:after="0"/>
        <w:ind w:left="1267" w:hanging="277"/>
        <w:contextualSpacing/>
        <w:rPr>
          <w:rFonts w:eastAsiaTheme="minorHAnsi"/>
          <w:szCs w:val="24"/>
        </w:rPr>
      </w:pPr>
      <w:r w:rsidRPr="005F5601">
        <w:rPr>
          <w:rFonts w:eastAsiaTheme="minorHAnsi"/>
          <w:szCs w:val="24"/>
        </w:rPr>
        <w:t xml:space="preserve">Peak session power (kW) by </w:t>
      </w:r>
      <w:r w:rsidRPr="005F5601">
        <w:rPr>
          <w:rFonts w:eastAsiaTheme="minorHAnsi"/>
          <w:szCs w:val="24"/>
        </w:rPr>
        <w:t>port;</w:t>
      </w:r>
    </w:p>
    <w:p w:rsidR="00614414" w:rsidRPr="005F5601" w:rsidP="00BC3268" w14:paraId="20B19D31" w14:textId="007BD4F5">
      <w:pPr>
        <w:widowControl/>
        <w:numPr>
          <w:ilvl w:val="0"/>
          <w:numId w:val="10"/>
        </w:numPr>
        <w:autoSpaceDE/>
        <w:autoSpaceDN/>
        <w:adjustRightInd/>
        <w:spacing w:after="0"/>
        <w:ind w:left="1267" w:hanging="277"/>
        <w:contextualSpacing/>
        <w:rPr>
          <w:rFonts w:eastAsiaTheme="minorHAnsi"/>
          <w:szCs w:val="24"/>
        </w:rPr>
      </w:pPr>
      <w:r>
        <w:rPr>
          <w:rFonts w:eastAsiaTheme="minorHAnsi"/>
          <w:szCs w:val="24"/>
        </w:rPr>
        <w:t xml:space="preserve">Payment method associated with each charging </w:t>
      </w:r>
      <w:r>
        <w:rPr>
          <w:rFonts w:eastAsiaTheme="minorHAnsi"/>
          <w:szCs w:val="24"/>
        </w:rPr>
        <w:t>session;</w:t>
      </w:r>
      <w:r w:rsidRPr="005F5601">
        <w:rPr>
          <w:rFonts w:eastAsiaTheme="minorHAnsi"/>
          <w:szCs w:val="24"/>
        </w:rPr>
        <w:t xml:space="preserve"> </w:t>
      </w:r>
    </w:p>
    <w:p w:rsidR="00614414" w:rsidRPr="005F5601" w:rsidP="00BC3268" w14:paraId="58E825A9" w14:textId="61C03CE6">
      <w:pPr>
        <w:widowControl/>
        <w:numPr>
          <w:ilvl w:val="0"/>
          <w:numId w:val="10"/>
        </w:numPr>
        <w:autoSpaceDE/>
        <w:autoSpaceDN/>
        <w:adjustRightInd/>
        <w:spacing w:after="0"/>
        <w:ind w:left="1267" w:hanging="277"/>
        <w:contextualSpacing/>
        <w:rPr>
          <w:rFonts w:eastAsiaTheme="minorHAnsi"/>
          <w:szCs w:val="24"/>
        </w:rPr>
      </w:pPr>
      <w:r w:rsidRPr="005F5601">
        <w:rPr>
          <w:rFonts w:eastAsiaTheme="minorHAnsi"/>
          <w:szCs w:val="24"/>
        </w:rPr>
        <w:t xml:space="preserve">Charging station </w:t>
      </w:r>
      <w:r w:rsidR="00D21000">
        <w:rPr>
          <w:rFonts w:eastAsiaTheme="minorHAnsi"/>
          <w:szCs w:val="24"/>
        </w:rPr>
        <w:t xml:space="preserve">port </w:t>
      </w:r>
      <w:r w:rsidRPr="005F5601">
        <w:rPr>
          <w:rFonts w:eastAsiaTheme="minorHAnsi"/>
          <w:szCs w:val="24"/>
        </w:rPr>
        <w:t>uptime</w:t>
      </w:r>
      <w:r w:rsidR="00CD6CDD">
        <w:rPr>
          <w:rFonts w:eastAsiaTheme="minorHAnsi"/>
        </w:rPr>
        <w:t>,</w:t>
      </w:r>
      <w:r w:rsidRPr="002901EA" w:rsidR="00CD6CDD">
        <w:rPr>
          <w:rFonts w:eastAsiaTheme="minorHAnsi"/>
        </w:rPr>
        <w:t xml:space="preserve"> </w:t>
      </w:r>
      <w:r w:rsidRPr="25648E55" w:rsidR="00CD6CDD">
        <w:rPr>
          <w:rFonts w:eastAsiaTheme="minorEastAsia"/>
        </w:rPr>
        <w:t>T_outage</w:t>
      </w:r>
      <w:r w:rsidRPr="25648E55" w:rsidR="00CD6CDD">
        <w:rPr>
          <w:rFonts w:eastAsiaTheme="minorEastAsia"/>
        </w:rPr>
        <w:t xml:space="preserve">, and </w:t>
      </w:r>
      <w:r w:rsidRPr="25648E55" w:rsidR="00CD6CDD">
        <w:rPr>
          <w:rFonts w:eastAsiaTheme="minorEastAsia"/>
        </w:rPr>
        <w:t>T_excluded</w:t>
      </w:r>
      <w:r w:rsidRPr="005F5601">
        <w:rPr>
          <w:rFonts w:eastAsiaTheme="minorHAnsi"/>
          <w:szCs w:val="24"/>
        </w:rPr>
        <w:t xml:space="preserve"> calculated in accordance with the equation in § 680.116(b) for each of the previous 3 </w:t>
      </w:r>
      <w:r w:rsidRPr="005F5601">
        <w:rPr>
          <w:rFonts w:eastAsiaTheme="minorHAnsi"/>
          <w:szCs w:val="24"/>
        </w:rPr>
        <w:t>months;</w:t>
      </w:r>
      <w:r w:rsidRPr="005F5601">
        <w:rPr>
          <w:rFonts w:eastAsiaTheme="minorHAnsi"/>
          <w:szCs w:val="24"/>
        </w:rPr>
        <w:t xml:space="preserve"> </w:t>
      </w:r>
    </w:p>
    <w:p w:rsidR="00614414" w:rsidRPr="005F5601" w:rsidP="001F1007" w14:paraId="48F1A78B" w14:textId="77777777">
      <w:pPr>
        <w:spacing w:after="0"/>
        <w:ind w:left="2340"/>
        <w:contextualSpacing/>
      </w:pPr>
    </w:p>
    <w:bookmarkEnd w:id="7"/>
    <w:p w:rsidR="00E4044B" w:rsidRPr="005F5601" w:rsidP="00394953" w14:paraId="32DE0EDF" w14:textId="0CD5CA44">
      <w:pPr>
        <w:pStyle w:val="ListParagraph"/>
        <w:numPr>
          <w:ilvl w:val="0"/>
          <w:numId w:val="1"/>
        </w:numPr>
        <w:spacing w:after="0"/>
      </w:pPr>
      <w:r w:rsidRPr="005F5601">
        <w:rPr>
          <w:szCs w:val="24"/>
        </w:rPr>
        <w:t xml:space="preserve">23 CFR </w:t>
      </w:r>
      <w:r w:rsidRPr="005F5601" w:rsidR="00AA7DF7">
        <w:rPr>
          <w:szCs w:val="24"/>
        </w:rPr>
        <w:t>680</w:t>
      </w:r>
      <w:r w:rsidRPr="005F5601">
        <w:rPr>
          <w:szCs w:val="24"/>
        </w:rPr>
        <w:t>.</w:t>
      </w:r>
      <w:r w:rsidRPr="005F5601" w:rsidR="00AA7DF7">
        <w:rPr>
          <w:szCs w:val="24"/>
        </w:rPr>
        <w:t>112</w:t>
      </w:r>
      <w:r w:rsidRPr="005F5601">
        <w:rPr>
          <w:szCs w:val="24"/>
        </w:rPr>
        <w:t>(</w:t>
      </w:r>
      <w:r w:rsidR="00F573C7">
        <w:rPr>
          <w:szCs w:val="24"/>
        </w:rPr>
        <w:t>b</w:t>
      </w:r>
      <w:r w:rsidRPr="005F5601">
        <w:rPr>
          <w:szCs w:val="24"/>
        </w:rPr>
        <w:t xml:space="preserve">) </w:t>
      </w:r>
      <w:r w:rsidRPr="005F5601" w:rsidR="00AA7DF7">
        <w:rPr>
          <w:i/>
          <w:iCs/>
        </w:rPr>
        <w:t>Annual Data Submittal</w:t>
      </w:r>
      <w:r w:rsidRPr="005F5601" w:rsidR="00AA7DF7">
        <w:t xml:space="preserve"> – </w:t>
      </w:r>
      <w:r w:rsidR="008A4497">
        <w:t xml:space="preserve">Beginning in 2024, </w:t>
      </w:r>
      <w:r w:rsidRPr="005F5601">
        <w:rPr>
          <w:rFonts w:eastAsiaTheme="minorHAnsi"/>
          <w:szCs w:val="24"/>
        </w:rPr>
        <w:t xml:space="preserve">States </w:t>
      </w:r>
      <w:r w:rsidR="00191CB1">
        <w:rPr>
          <w:rFonts w:eastAsiaTheme="minorHAnsi"/>
          <w:szCs w:val="24"/>
        </w:rPr>
        <w:t xml:space="preserve">and other direct recipients </w:t>
      </w:r>
      <w:r w:rsidRPr="005F5601">
        <w:rPr>
          <w:rFonts w:eastAsiaTheme="minorHAnsi"/>
          <w:szCs w:val="24"/>
        </w:rPr>
        <w:t>must ensure the following data are submitted on an annual basis</w:t>
      </w:r>
      <w:r w:rsidR="00931182">
        <w:rPr>
          <w:rFonts w:eastAsiaTheme="minorHAnsi"/>
          <w:szCs w:val="24"/>
        </w:rPr>
        <w:t>, on or before March 1,</w:t>
      </w:r>
      <w:r w:rsidRPr="005F5601">
        <w:rPr>
          <w:rFonts w:eastAsiaTheme="minorHAnsi"/>
          <w:szCs w:val="24"/>
        </w:rPr>
        <w:t xml:space="preserve"> in a manner prescribed by FHWA</w:t>
      </w:r>
      <w:r w:rsidRPr="006D38F4" w:rsidR="006D38F4">
        <w:rPr>
          <w:rFonts w:eastAsiaTheme="minorHAnsi"/>
          <w:szCs w:val="24"/>
        </w:rPr>
        <w:t xml:space="preserve"> </w:t>
      </w:r>
      <w:r w:rsidR="006D38F4">
        <w:rPr>
          <w:rFonts w:eastAsiaTheme="minorHAnsi"/>
          <w:szCs w:val="24"/>
        </w:rPr>
        <w:t>for NEVI Formula Program projects</w:t>
      </w:r>
      <w:r w:rsidR="006C484D">
        <w:rPr>
          <w:rFonts w:eastAsiaTheme="minorHAnsi"/>
          <w:szCs w:val="24"/>
        </w:rPr>
        <w:t>, projects funded under 23 USC 151(f), and projects funded under other title 23 programs</w:t>
      </w:r>
      <w:r w:rsidR="00BE6C9D">
        <w:rPr>
          <w:rFonts w:eastAsiaTheme="minorHAnsi"/>
          <w:szCs w:val="24"/>
        </w:rPr>
        <w:t>,</w:t>
      </w:r>
      <w:r w:rsidR="008B7A41">
        <w:rPr>
          <w:rFonts w:eastAsiaTheme="minorHAnsi"/>
          <w:szCs w:val="24"/>
        </w:rPr>
        <w:t xml:space="preserve"> </w:t>
      </w:r>
      <w:r w:rsidRPr="00D75903" w:rsidR="008B7A41">
        <w:t xml:space="preserve">including any EV charging infrastructure project funded with Federal funds that is treated as a project on </w:t>
      </w:r>
      <w:r w:rsidR="008B7A41">
        <w:t>a</w:t>
      </w:r>
      <w:r w:rsidRPr="00D75903" w:rsidR="008B7A41">
        <w:t xml:space="preserve"> Federal-aid highway</w:t>
      </w:r>
      <w:r w:rsidR="006D38F4">
        <w:rPr>
          <w:rFonts w:eastAsiaTheme="minorHAnsi"/>
          <w:szCs w:val="24"/>
        </w:rPr>
        <w:t>:</w:t>
      </w:r>
    </w:p>
    <w:p w:rsidR="00E111E5" w:rsidRPr="005F5601" w:rsidP="00BC3268" w14:paraId="413A8001" w14:textId="791D9613">
      <w:pPr>
        <w:spacing w:after="160"/>
        <w:ind w:left="1260" w:hanging="540"/>
        <w:contextualSpacing/>
        <w:rPr>
          <w:rFonts w:eastAsiaTheme="minorHAnsi"/>
          <w:szCs w:val="24"/>
        </w:rPr>
      </w:pPr>
      <w:r w:rsidRPr="005F5601">
        <w:rPr>
          <w:rFonts w:eastAsiaTheme="minorHAnsi"/>
          <w:szCs w:val="24"/>
        </w:rPr>
        <w:t>(1)</w:t>
      </w:r>
      <w:r w:rsidRPr="005F5601">
        <w:rPr>
          <w:rFonts w:eastAsiaTheme="minorHAnsi"/>
          <w:szCs w:val="24"/>
        </w:rPr>
        <w:tab/>
      </w:r>
      <w:bookmarkStart w:id="8" w:name="_Hlk119327865"/>
      <w:r w:rsidR="002E0322">
        <w:rPr>
          <w:rFonts w:eastAsiaTheme="minorHAnsi"/>
          <w:szCs w:val="24"/>
        </w:rPr>
        <w:t>Maintena</w:t>
      </w:r>
      <w:r w:rsidR="00BC09BA">
        <w:rPr>
          <w:rFonts w:eastAsiaTheme="minorHAnsi"/>
          <w:szCs w:val="24"/>
        </w:rPr>
        <w:t>nce and repair cost per charging station for the previous year.</w:t>
      </w:r>
      <w:bookmarkEnd w:id="8"/>
    </w:p>
    <w:p w:rsidR="00E111E5" w:rsidRPr="005F5601" w:rsidP="00BC3268" w14:paraId="7C4D884B" w14:textId="23025DCA">
      <w:pPr>
        <w:spacing w:after="160"/>
        <w:ind w:left="1260" w:hanging="540"/>
        <w:contextualSpacing/>
        <w:rPr>
          <w:rFonts w:eastAsiaTheme="minorHAnsi"/>
          <w:szCs w:val="24"/>
        </w:rPr>
      </w:pPr>
      <w:r w:rsidRPr="005F5601">
        <w:rPr>
          <w:rFonts w:eastAsiaTheme="minorHAnsi"/>
          <w:szCs w:val="24"/>
        </w:rPr>
        <w:t>(2)</w:t>
      </w:r>
      <w:r w:rsidRPr="005F5601">
        <w:rPr>
          <w:rFonts w:eastAsiaTheme="minorHAnsi"/>
          <w:szCs w:val="24"/>
        </w:rPr>
        <w:tab/>
      </w:r>
      <w:r w:rsidR="007045C9">
        <w:rPr>
          <w:rFonts w:eastAsiaTheme="minorHAnsi"/>
          <w:szCs w:val="24"/>
        </w:rPr>
        <w:t>For private entities identified in paragraph (d)(1) of this section, i</w:t>
      </w:r>
      <w:r w:rsidRPr="005F5601">
        <w:rPr>
          <w:rFonts w:eastAsiaTheme="minorHAnsi"/>
          <w:szCs w:val="24"/>
        </w:rPr>
        <w:t xml:space="preserve">dentification of and participation in state or local business opportunity certification programs including but not limited to minority-owned businesses, Veteran-owned businesses, woman-owned businesses, and businesses owned by </w:t>
      </w:r>
      <w:r w:rsidRPr="005F5601">
        <w:rPr>
          <w:rFonts w:eastAsiaTheme="minorHAnsi"/>
          <w:szCs w:val="24"/>
        </w:rPr>
        <w:t>economically disadvantaged</w:t>
      </w:r>
      <w:r w:rsidRPr="005F5601">
        <w:rPr>
          <w:rFonts w:eastAsiaTheme="minorHAnsi"/>
          <w:szCs w:val="24"/>
        </w:rPr>
        <w:t xml:space="preserve"> individuals</w:t>
      </w:r>
      <w:r w:rsidR="00C448CB">
        <w:rPr>
          <w:rFonts w:eastAsiaTheme="minorHAnsi"/>
          <w:szCs w:val="24"/>
        </w:rPr>
        <w:t>.</w:t>
      </w:r>
    </w:p>
    <w:p w:rsidR="00CE7D27" w:rsidP="00E111E5" w14:paraId="5163D9CE" w14:textId="7E7EC8A5">
      <w:pPr>
        <w:spacing w:after="160"/>
        <w:ind w:left="1260" w:hanging="630"/>
        <w:contextualSpacing/>
        <w:rPr>
          <w:rFonts w:eastAsiaTheme="minorHAnsi"/>
          <w:szCs w:val="24"/>
        </w:rPr>
      </w:pPr>
    </w:p>
    <w:p w:rsidR="00CE7D27" w:rsidRPr="006B39D8" w:rsidP="00CE7D27" w14:paraId="19D17006" w14:textId="4B8B869E">
      <w:pPr>
        <w:pStyle w:val="ListParagraph"/>
        <w:numPr>
          <w:ilvl w:val="0"/>
          <w:numId w:val="1"/>
        </w:numPr>
        <w:spacing w:after="0"/>
      </w:pPr>
      <w:r w:rsidRPr="005F5601">
        <w:rPr>
          <w:szCs w:val="24"/>
        </w:rPr>
        <w:t>23 CFR 680.112(</w:t>
      </w:r>
      <w:r w:rsidR="00F573C7">
        <w:rPr>
          <w:szCs w:val="24"/>
        </w:rPr>
        <w:t>c</w:t>
      </w:r>
      <w:r w:rsidRPr="005F5601">
        <w:rPr>
          <w:szCs w:val="24"/>
        </w:rPr>
        <w:t xml:space="preserve">) </w:t>
      </w:r>
      <w:r>
        <w:rPr>
          <w:i/>
          <w:iCs/>
        </w:rPr>
        <w:t>One-time</w:t>
      </w:r>
      <w:r w:rsidRPr="005F5601">
        <w:rPr>
          <w:i/>
          <w:iCs/>
        </w:rPr>
        <w:t xml:space="preserve"> Data Submittal</w:t>
      </w:r>
      <w:r w:rsidRPr="005F5601">
        <w:t xml:space="preserve"> – </w:t>
      </w:r>
      <w:r>
        <w:t xml:space="preserve">Beginning in 2024, </w:t>
      </w:r>
      <w:r w:rsidRPr="005F5601">
        <w:rPr>
          <w:rFonts w:eastAsiaTheme="minorHAnsi"/>
          <w:szCs w:val="24"/>
        </w:rPr>
        <w:t xml:space="preserve">States </w:t>
      </w:r>
      <w:r w:rsidR="00AC4F21">
        <w:rPr>
          <w:rFonts w:eastAsiaTheme="minorHAnsi"/>
          <w:szCs w:val="24"/>
        </w:rPr>
        <w:t xml:space="preserve">and other direct recipients </w:t>
      </w:r>
      <w:r w:rsidRPr="005F5601">
        <w:rPr>
          <w:rFonts w:eastAsiaTheme="minorHAnsi"/>
          <w:szCs w:val="24"/>
        </w:rPr>
        <w:t xml:space="preserve">must ensure the following data are submitted </w:t>
      </w:r>
      <w:r w:rsidR="00991655">
        <w:rPr>
          <w:rFonts w:eastAsiaTheme="minorHAnsi"/>
          <w:szCs w:val="24"/>
        </w:rPr>
        <w:t>once for each charging station</w:t>
      </w:r>
      <w:r w:rsidR="000721DE">
        <w:rPr>
          <w:rFonts w:eastAsiaTheme="minorHAnsi"/>
          <w:szCs w:val="24"/>
        </w:rPr>
        <w:t xml:space="preserve">, </w:t>
      </w:r>
      <w:r>
        <w:rPr>
          <w:rFonts w:eastAsiaTheme="minorHAnsi"/>
          <w:szCs w:val="24"/>
        </w:rPr>
        <w:t>on or before March 1</w:t>
      </w:r>
      <w:r w:rsidR="000721DE">
        <w:rPr>
          <w:rFonts w:eastAsiaTheme="minorHAnsi"/>
          <w:szCs w:val="24"/>
        </w:rPr>
        <w:t xml:space="preserve"> o</w:t>
      </w:r>
      <w:r w:rsidR="0010553D">
        <w:rPr>
          <w:rFonts w:eastAsiaTheme="minorHAnsi"/>
          <w:szCs w:val="24"/>
        </w:rPr>
        <w:t>f</w:t>
      </w:r>
      <w:r w:rsidR="000721DE">
        <w:rPr>
          <w:rFonts w:eastAsiaTheme="minorHAnsi"/>
          <w:szCs w:val="24"/>
        </w:rPr>
        <w:t xml:space="preserve"> each year</w:t>
      </w:r>
      <w:r>
        <w:rPr>
          <w:rFonts w:eastAsiaTheme="minorHAnsi"/>
          <w:szCs w:val="24"/>
        </w:rPr>
        <w:t>,</w:t>
      </w:r>
      <w:r w:rsidRPr="005F5601">
        <w:rPr>
          <w:rFonts w:eastAsiaTheme="minorHAnsi"/>
          <w:szCs w:val="24"/>
        </w:rPr>
        <w:t xml:space="preserve"> in a manner prescribed by FHWA</w:t>
      </w:r>
      <w:r w:rsidR="00ED1D98">
        <w:rPr>
          <w:rFonts w:eastAsiaTheme="minorHAnsi"/>
          <w:szCs w:val="24"/>
        </w:rPr>
        <w:t xml:space="preserve"> for</w:t>
      </w:r>
      <w:r w:rsidR="00950693">
        <w:rPr>
          <w:rFonts w:eastAsiaTheme="minorHAnsi"/>
          <w:szCs w:val="24"/>
        </w:rPr>
        <w:t xml:space="preserve"> projects </w:t>
      </w:r>
      <w:r w:rsidR="005609CB">
        <w:rPr>
          <w:rFonts w:eastAsiaTheme="minorHAnsi"/>
        </w:rPr>
        <w:t xml:space="preserve">located along and designed to serve users of designated Alternative Fuel Corridors </w:t>
      </w:r>
      <w:r w:rsidR="00790CEA">
        <w:rPr>
          <w:rFonts w:eastAsiaTheme="minorHAnsi"/>
        </w:rPr>
        <w:t xml:space="preserve">and </w:t>
      </w:r>
      <w:r w:rsidR="00950693">
        <w:rPr>
          <w:rFonts w:eastAsiaTheme="minorHAnsi"/>
          <w:szCs w:val="24"/>
        </w:rPr>
        <w:t xml:space="preserve">funded </w:t>
      </w:r>
      <w:r w:rsidR="00B64EFE">
        <w:rPr>
          <w:rFonts w:eastAsiaTheme="minorHAnsi"/>
          <w:szCs w:val="24"/>
        </w:rPr>
        <w:t>under</w:t>
      </w:r>
      <w:r w:rsidR="00950693">
        <w:rPr>
          <w:rFonts w:eastAsiaTheme="minorHAnsi"/>
          <w:szCs w:val="24"/>
        </w:rPr>
        <w:t xml:space="preserve"> the</w:t>
      </w:r>
      <w:r w:rsidR="00ED1D98">
        <w:rPr>
          <w:rFonts w:eastAsiaTheme="minorHAnsi"/>
          <w:szCs w:val="24"/>
        </w:rPr>
        <w:t xml:space="preserve"> NEVI Formula Program </w:t>
      </w:r>
      <w:r w:rsidR="00950693">
        <w:rPr>
          <w:rFonts w:eastAsiaTheme="minorHAnsi"/>
          <w:szCs w:val="24"/>
        </w:rPr>
        <w:t xml:space="preserve">or </w:t>
      </w:r>
      <w:r w:rsidR="00E2708D">
        <w:rPr>
          <w:rFonts w:eastAsiaTheme="minorHAnsi"/>
          <w:szCs w:val="24"/>
        </w:rPr>
        <w:t xml:space="preserve">under </w:t>
      </w:r>
      <w:r w:rsidR="00D31373">
        <w:rPr>
          <w:rFonts w:eastAsiaTheme="minorHAnsi"/>
          <w:szCs w:val="24"/>
        </w:rPr>
        <w:t>23 USC 151(f)</w:t>
      </w:r>
      <w:r w:rsidRPr="005F5601">
        <w:rPr>
          <w:rFonts w:eastAsiaTheme="minorHAnsi"/>
          <w:szCs w:val="24"/>
        </w:rPr>
        <w:t>:</w:t>
      </w:r>
    </w:p>
    <w:p w:rsidR="00300CAA" w:rsidRPr="00A14733" w:rsidP="00BC3268" w14:paraId="14BE1F06" w14:textId="24EA5348">
      <w:pPr>
        <w:pStyle w:val="ListParagraph"/>
        <w:widowControl/>
        <w:numPr>
          <w:ilvl w:val="0"/>
          <w:numId w:val="19"/>
        </w:numPr>
        <w:autoSpaceDE/>
        <w:autoSpaceDN/>
        <w:adjustRightInd/>
        <w:spacing w:after="0"/>
        <w:ind w:left="1260" w:hanging="270"/>
        <w:rPr>
          <w:rFonts w:eastAsiaTheme="minorHAnsi"/>
          <w:szCs w:val="24"/>
        </w:rPr>
      </w:pPr>
      <w:r>
        <w:rPr>
          <w:rFonts w:eastAsiaTheme="minorHAnsi"/>
          <w:szCs w:val="24"/>
        </w:rPr>
        <w:t xml:space="preserve">The name and address of the private entity involved in the operation and maintenance of </w:t>
      </w:r>
      <w:r>
        <w:rPr>
          <w:rFonts w:eastAsiaTheme="minorHAnsi"/>
          <w:szCs w:val="24"/>
        </w:rPr>
        <w:t>chargers;</w:t>
      </w:r>
    </w:p>
    <w:p w:rsidR="00727EF5" w:rsidRPr="00EC66E5" w:rsidP="00BC3268" w14:paraId="086A81F2" w14:textId="7907D1B0">
      <w:pPr>
        <w:pStyle w:val="ListParagraph"/>
        <w:widowControl/>
        <w:numPr>
          <w:ilvl w:val="0"/>
          <w:numId w:val="19"/>
        </w:numPr>
        <w:autoSpaceDE/>
        <w:autoSpaceDN/>
        <w:adjustRightInd/>
        <w:spacing w:after="0"/>
        <w:ind w:left="1260" w:hanging="270"/>
        <w:rPr>
          <w:rFonts w:eastAsiaTheme="minorHAnsi"/>
          <w:szCs w:val="24"/>
        </w:rPr>
      </w:pPr>
      <w:r w:rsidRPr="25648E55">
        <w:rPr>
          <w:rFonts w:eastAsiaTheme="minorEastAsia"/>
        </w:rPr>
        <w:t xml:space="preserve">Distributed energy resource installed capacity, in kW or kWh as appropriate, of asset by type (e.g., stationary battery, solar, etc.) per charging </w:t>
      </w:r>
      <w:r w:rsidRPr="25648E55">
        <w:rPr>
          <w:rFonts w:eastAsiaTheme="minorEastAsia"/>
        </w:rPr>
        <w:t>station</w:t>
      </w:r>
      <w:r>
        <w:rPr>
          <w:rFonts w:eastAsiaTheme="minorEastAsia"/>
        </w:rPr>
        <w:t>;</w:t>
      </w:r>
    </w:p>
    <w:p w:rsidR="00A14733" w:rsidP="00BC3268" w14:paraId="10D14184" w14:textId="3D39B35C">
      <w:pPr>
        <w:pStyle w:val="ListParagraph"/>
        <w:widowControl/>
        <w:numPr>
          <w:ilvl w:val="0"/>
          <w:numId w:val="19"/>
        </w:numPr>
        <w:autoSpaceDE/>
        <w:autoSpaceDN/>
        <w:adjustRightInd/>
        <w:spacing w:after="0"/>
        <w:ind w:left="1260" w:hanging="270"/>
        <w:rPr>
          <w:rFonts w:eastAsiaTheme="minorHAnsi"/>
          <w:szCs w:val="24"/>
        </w:rPr>
      </w:pPr>
      <w:r w:rsidRPr="0001684F">
        <w:rPr>
          <w:rFonts w:eastAsiaTheme="minorEastAsia"/>
        </w:rPr>
        <w:t xml:space="preserve">Charging station real property acquisition cost, charging equipment acquisition and installation cost, and distributed energy resource acquisition and installation </w:t>
      </w:r>
      <w:r w:rsidRPr="0001684F">
        <w:rPr>
          <w:rFonts w:eastAsiaTheme="minorEastAsia"/>
        </w:rPr>
        <w:t>cost</w:t>
      </w:r>
      <w:r w:rsidRPr="00A14733">
        <w:rPr>
          <w:rFonts w:eastAsiaTheme="minorHAnsi"/>
          <w:szCs w:val="24"/>
        </w:rPr>
        <w:t>;</w:t>
      </w:r>
    </w:p>
    <w:p w:rsidR="005255A5" w:rsidP="00BC3268" w14:paraId="574DAAE6" w14:textId="42B848F2">
      <w:pPr>
        <w:pStyle w:val="ListParagraph"/>
        <w:widowControl/>
        <w:numPr>
          <w:ilvl w:val="0"/>
          <w:numId w:val="19"/>
        </w:numPr>
        <w:autoSpaceDE/>
        <w:autoSpaceDN/>
        <w:adjustRightInd/>
        <w:spacing w:after="0"/>
        <w:ind w:left="1260" w:hanging="270"/>
        <w:rPr>
          <w:rFonts w:eastAsiaTheme="minorEastAsia"/>
        </w:rPr>
      </w:pPr>
      <w:r>
        <w:rPr>
          <w:rFonts w:eastAsiaTheme="minorEastAsia"/>
        </w:rPr>
        <w:t>Aggregate g</w:t>
      </w:r>
      <w:r w:rsidRPr="0001684F">
        <w:rPr>
          <w:rFonts w:eastAsiaTheme="minorEastAsia"/>
        </w:rPr>
        <w:t>rid connection and upgrade costs paid to the electric utility as part of the project, separated into</w:t>
      </w:r>
      <w:r>
        <w:rPr>
          <w:rFonts w:eastAsiaTheme="minorEastAsia"/>
        </w:rPr>
        <w:t>:</w:t>
      </w:r>
    </w:p>
    <w:p w:rsidR="005255A5" w:rsidP="00EC66E5" w14:paraId="3DA02F65" w14:textId="005A9DB8">
      <w:pPr>
        <w:pStyle w:val="ListParagraph"/>
        <w:widowControl/>
        <w:numPr>
          <w:ilvl w:val="3"/>
          <w:numId w:val="20"/>
        </w:numPr>
        <w:autoSpaceDE/>
        <w:autoSpaceDN/>
        <w:adjustRightInd/>
        <w:spacing w:after="0"/>
        <w:ind w:left="1814" w:hanging="547"/>
        <w:rPr>
          <w:rFonts w:eastAsiaTheme="minorEastAsia"/>
        </w:rPr>
      </w:pPr>
      <w:r>
        <w:rPr>
          <w:rFonts w:eastAsiaTheme="minorEastAsia"/>
        </w:rPr>
        <w:t xml:space="preserve">Total distribution and system costs, such as </w:t>
      </w:r>
      <w:r w:rsidRPr="00EC66E5">
        <w:rPr>
          <w:rFonts w:eastAsiaTheme="minorEastAsia"/>
        </w:rPr>
        <w:t xml:space="preserve">extensions to overhead/overground lines and upgrades </w:t>
      </w:r>
      <w:r w:rsidR="00ED3B37">
        <w:rPr>
          <w:rFonts w:eastAsiaTheme="minorEastAsia"/>
        </w:rPr>
        <w:t>from</w:t>
      </w:r>
      <w:r w:rsidRPr="00EC66E5">
        <w:rPr>
          <w:rFonts w:eastAsiaTheme="minorEastAsia"/>
        </w:rPr>
        <w:t xml:space="preserve"> single-phase to three-phase </w:t>
      </w:r>
      <w:r w:rsidRPr="00EC66E5">
        <w:rPr>
          <w:rFonts w:eastAsiaTheme="minorEastAsia"/>
        </w:rPr>
        <w:t>lines;</w:t>
      </w:r>
    </w:p>
    <w:p w:rsidR="006E3665" w:rsidRPr="00EC66E5" w:rsidP="00EC66E5" w14:paraId="2DE9AA2C" w14:textId="2F615577">
      <w:pPr>
        <w:pStyle w:val="ListParagraph"/>
        <w:widowControl/>
        <w:numPr>
          <w:ilvl w:val="3"/>
          <w:numId w:val="20"/>
        </w:numPr>
        <w:autoSpaceDE/>
        <w:autoSpaceDN/>
        <w:adjustRightInd/>
        <w:spacing w:after="0"/>
        <w:ind w:left="1814" w:hanging="547"/>
        <w:rPr>
          <w:rFonts w:eastAsiaTheme="minorEastAsia"/>
        </w:rPr>
      </w:pPr>
      <w:r>
        <w:rPr>
          <w:rFonts w:eastAsiaTheme="minorEastAsia"/>
        </w:rPr>
        <w:t>Total s</w:t>
      </w:r>
      <w:r w:rsidR="005255A5">
        <w:rPr>
          <w:rFonts w:eastAsiaTheme="minorEastAsia"/>
        </w:rPr>
        <w:t xml:space="preserve">ervice costs, </w:t>
      </w:r>
      <w:r>
        <w:rPr>
          <w:rFonts w:eastAsiaTheme="minorEastAsia"/>
        </w:rPr>
        <w:t>such as the cost of</w:t>
      </w:r>
      <w:r w:rsidR="005255A5">
        <w:rPr>
          <w:rFonts w:eastAsiaTheme="minorEastAsia"/>
        </w:rPr>
        <w:t xml:space="preserve"> including </w:t>
      </w:r>
      <w:r w:rsidRPr="00EC66E5" w:rsidR="005255A5">
        <w:rPr>
          <w:rFonts w:eastAsiaTheme="minorEastAsia"/>
        </w:rPr>
        <w:t>poles, transformers, meters, and service connection equipment</w:t>
      </w:r>
    </w:p>
    <w:p w:rsidR="001F1007" w:rsidRPr="005F5601" w:rsidP="001F1007" w14:paraId="6554FF57" w14:textId="77777777">
      <w:pPr>
        <w:pStyle w:val="ListParagraph"/>
        <w:spacing w:after="160" w:line="259" w:lineRule="auto"/>
        <w:ind w:left="2430" w:hanging="720"/>
        <w:rPr>
          <w:rFonts w:eastAsiaTheme="minorHAnsi"/>
          <w:sz w:val="22"/>
        </w:rPr>
      </w:pPr>
      <w:bookmarkStart w:id="9" w:name="_Hlk100329109"/>
    </w:p>
    <w:bookmarkEnd w:id="9"/>
    <w:p w:rsidR="009E38BA" w:rsidRPr="005F5601" w:rsidP="00394953" w14:paraId="3857535D" w14:textId="2AD2E557">
      <w:pPr>
        <w:pStyle w:val="ListParagraph"/>
        <w:numPr>
          <w:ilvl w:val="0"/>
          <w:numId w:val="1"/>
        </w:numPr>
        <w:spacing w:after="0"/>
      </w:pPr>
      <w:r w:rsidRPr="005F5601">
        <w:t>23 CFR 680.112(</w:t>
      </w:r>
      <w:r w:rsidR="004C27B0">
        <w:t>d</w:t>
      </w:r>
      <w:r w:rsidRPr="005F5601">
        <w:t xml:space="preserve">) </w:t>
      </w:r>
      <w:r w:rsidRPr="005F5601">
        <w:rPr>
          <w:i/>
          <w:iCs/>
        </w:rPr>
        <w:t>Community Engagement Outcomes</w:t>
      </w:r>
      <w:r w:rsidRPr="005F5601">
        <w:t xml:space="preserve"> – </w:t>
      </w:r>
      <w:r w:rsidR="00384227">
        <w:t xml:space="preserve">For projects funded under the NEVI Formula Program, </w:t>
      </w:r>
      <w:r w:rsidRPr="005F5601">
        <w:rPr>
          <w:rFonts w:eastAsiaTheme="minorHAnsi"/>
          <w:szCs w:val="24"/>
        </w:rPr>
        <w:t xml:space="preserve">States must </w:t>
      </w:r>
      <w:r w:rsidR="005F4FB3">
        <w:rPr>
          <w:rFonts w:eastAsiaTheme="minorHAnsi"/>
          <w:szCs w:val="24"/>
        </w:rPr>
        <w:t>include in the State EV Infrastructure Deployment Plan</w:t>
      </w:r>
      <w:r w:rsidR="00E9310E">
        <w:rPr>
          <w:rFonts w:eastAsiaTheme="minorHAnsi"/>
          <w:szCs w:val="24"/>
        </w:rPr>
        <w:t xml:space="preserve"> a description of </w:t>
      </w:r>
      <w:r w:rsidRPr="005F5601">
        <w:rPr>
          <w:rFonts w:eastAsiaTheme="minorHAnsi"/>
          <w:szCs w:val="24"/>
        </w:rPr>
        <w:t xml:space="preserve">the community engagement activities conducted as part of the development and approval of their most recently-submitted </w:t>
      </w:r>
      <w:r w:rsidRPr="005F5601">
        <w:rPr>
          <w:szCs w:val="24"/>
        </w:rPr>
        <w:t>State EV Infrastructure Deployment Plan, including engagement with DACs</w:t>
      </w:r>
      <w:r w:rsidRPr="005F5601">
        <w:rPr>
          <w:rFonts w:eastAsiaTheme="minorHAnsi"/>
          <w:szCs w:val="24"/>
        </w:rPr>
        <w:t>.</w:t>
      </w:r>
    </w:p>
    <w:p w:rsidR="009E38BA" w:rsidRPr="005F5601" w:rsidP="00792A91" w14:paraId="28FD2F4D" w14:textId="77777777">
      <w:pPr>
        <w:pStyle w:val="ListParagraph"/>
        <w:spacing w:after="0"/>
      </w:pPr>
    </w:p>
    <w:p w:rsidR="00126BCF" w:rsidRPr="005F5601" w:rsidP="00126BCF" w14:paraId="30CB49CB" w14:textId="59BE1042">
      <w:pPr>
        <w:pStyle w:val="ListParagraph"/>
        <w:numPr>
          <w:ilvl w:val="0"/>
          <w:numId w:val="1"/>
        </w:numPr>
        <w:spacing w:after="0"/>
      </w:pPr>
      <w:r w:rsidRPr="005F5601">
        <w:t xml:space="preserve">23 CFR 680.116(c) </w:t>
      </w:r>
      <w:r w:rsidRPr="005F5601">
        <w:rPr>
          <w:i/>
          <w:iCs/>
        </w:rPr>
        <w:t>Third-Party Data Sharing</w:t>
      </w:r>
      <w:r w:rsidRPr="005F5601">
        <w:t xml:space="preserve"> </w:t>
      </w:r>
      <w:r w:rsidRPr="005F5601" w:rsidR="008116EC">
        <w:t>–</w:t>
      </w:r>
      <w:r w:rsidRPr="005F5601">
        <w:rPr>
          <w:color w:val="00B050"/>
        </w:rPr>
        <w:t xml:space="preserve"> </w:t>
      </w:r>
      <w:r w:rsidRPr="005F5601">
        <w:rPr>
          <w:rFonts w:eastAsiaTheme="minorHAnsi"/>
          <w:szCs w:val="24"/>
        </w:rPr>
        <w:t xml:space="preserve">States </w:t>
      </w:r>
      <w:r w:rsidR="002B1616">
        <w:rPr>
          <w:rFonts w:eastAsiaTheme="minorHAnsi"/>
          <w:szCs w:val="24"/>
        </w:rPr>
        <w:t xml:space="preserve">or other direct recipients </w:t>
      </w:r>
      <w:r w:rsidRPr="005F5601">
        <w:rPr>
          <w:rFonts w:eastAsiaTheme="minorHAnsi"/>
          <w:szCs w:val="24"/>
        </w:rPr>
        <w:t xml:space="preserve">must ensure that the following data fields are made available, free of charge, to </w:t>
      </w:r>
      <w:r w:rsidR="008116EC">
        <w:rPr>
          <w:rFonts w:eastAsiaTheme="minorHAnsi"/>
          <w:szCs w:val="24"/>
        </w:rPr>
        <w:t>third</w:t>
      </w:r>
      <w:r w:rsidRPr="005F5601">
        <w:rPr>
          <w:rFonts w:eastAsiaTheme="minorHAnsi"/>
          <w:szCs w:val="24"/>
        </w:rPr>
        <w:t>-party software developers, via application programming interface</w:t>
      </w:r>
      <w:r w:rsidR="00384227">
        <w:rPr>
          <w:rFonts w:eastAsiaTheme="minorHAnsi"/>
          <w:szCs w:val="24"/>
        </w:rPr>
        <w:t xml:space="preserve"> </w:t>
      </w:r>
      <w:r w:rsidR="004F217C">
        <w:rPr>
          <w:rFonts w:eastAsiaTheme="minorHAnsi"/>
          <w:szCs w:val="24"/>
        </w:rPr>
        <w:t xml:space="preserve">for </w:t>
      </w:r>
      <w:r w:rsidR="00384227">
        <w:rPr>
          <w:rFonts w:eastAsiaTheme="minorHAnsi"/>
          <w:szCs w:val="24"/>
        </w:rPr>
        <w:t>NEVI Formula Program projects</w:t>
      </w:r>
      <w:r w:rsidR="00696FD9">
        <w:rPr>
          <w:rFonts w:eastAsiaTheme="minorHAnsi"/>
          <w:szCs w:val="24"/>
        </w:rPr>
        <w:t>,</w:t>
      </w:r>
      <w:r w:rsidR="008672D3">
        <w:rPr>
          <w:rFonts w:eastAsiaTheme="minorHAnsi"/>
          <w:szCs w:val="24"/>
        </w:rPr>
        <w:t xml:space="preserve"> projects</w:t>
      </w:r>
      <w:r w:rsidR="00696FD9">
        <w:rPr>
          <w:rFonts w:eastAsiaTheme="minorHAnsi"/>
          <w:szCs w:val="24"/>
        </w:rPr>
        <w:t xml:space="preserve"> </w:t>
      </w:r>
      <w:r w:rsidR="008672D3">
        <w:rPr>
          <w:rFonts w:eastAsiaTheme="minorHAnsi"/>
          <w:szCs w:val="24"/>
        </w:rPr>
        <w:t xml:space="preserve">funded under 23 USC 151(f), and projects funded under other title 23 </w:t>
      </w:r>
      <w:r w:rsidR="008672D3">
        <w:rPr>
          <w:rFonts w:eastAsiaTheme="minorHAnsi"/>
          <w:szCs w:val="24"/>
        </w:rPr>
        <w:t>programs</w:t>
      </w:r>
      <w:r w:rsidR="002B1616">
        <w:rPr>
          <w:rFonts w:eastAsiaTheme="minorHAnsi"/>
          <w:szCs w:val="24"/>
        </w:rPr>
        <w:t>,</w:t>
      </w:r>
      <w:r w:rsidRPr="006F0E34" w:rsidR="006F0E34">
        <w:t xml:space="preserve"> </w:t>
      </w:r>
      <w:r w:rsidRPr="00D75903" w:rsidR="006F0E34">
        <w:t xml:space="preserve">including any EV charging infrastructure project funded with Federal funds that is treated as a project on </w:t>
      </w:r>
      <w:r w:rsidR="006F0E34">
        <w:t>a</w:t>
      </w:r>
      <w:r w:rsidRPr="00D75903" w:rsidR="006F0E34">
        <w:t xml:space="preserve"> Federal-aid highway</w:t>
      </w:r>
      <w:r w:rsidR="008672D3">
        <w:rPr>
          <w:rFonts w:eastAsiaTheme="minorHAnsi"/>
          <w:szCs w:val="24"/>
        </w:rPr>
        <w:t>:</w:t>
      </w:r>
    </w:p>
    <w:p w:rsidR="005F5601" w:rsidRPr="005F5601" w:rsidP="00BC3268" w14:paraId="75186A01" w14:textId="3218C2C6">
      <w:pPr>
        <w:widowControl/>
        <w:numPr>
          <w:ilvl w:val="0"/>
          <w:numId w:val="12"/>
        </w:numPr>
        <w:autoSpaceDE/>
        <w:autoSpaceDN/>
        <w:adjustRightInd/>
        <w:spacing w:after="0"/>
        <w:ind w:left="1350"/>
        <w:contextualSpacing/>
        <w:rPr>
          <w:rFonts w:eastAsiaTheme="minorHAnsi"/>
          <w:szCs w:val="24"/>
        </w:rPr>
      </w:pPr>
      <w:r>
        <w:rPr>
          <w:rFonts w:eastAsiaTheme="minorHAnsi"/>
          <w:szCs w:val="24"/>
        </w:rPr>
        <w:t>Unique c</w:t>
      </w:r>
      <w:r w:rsidRPr="005F5601">
        <w:rPr>
          <w:rFonts w:eastAsiaTheme="minorHAnsi"/>
          <w:szCs w:val="24"/>
        </w:rPr>
        <w:t xml:space="preserve">harging station name or </w:t>
      </w:r>
      <w:r w:rsidRPr="005F5601">
        <w:rPr>
          <w:rFonts w:eastAsiaTheme="minorHAnsi"/>
          <w:szCs w:val="24"/>
        </w:rPr>
        <w:t>identifier;</w:t>
      </w:r>
      <w:r w:rsidRPr="005F5601">
        <w:rPr>
          <w:rFonts w:eastAsiaTheme="minorHAnsi"/>
          <w:szCs w:val="24"/>
        </w:rPr>
        <w:t xml:space="preserve"> </w:t>
      </w:r>
    </w:p>
    <w:p w:rsidR="005F5601" w:rsidRPr="005F5601" w:rsidP="00BC3268" w14:paraId="44A79383" w14:textId="3F7348DD">
      <w:pPr>
        <w:widowControl/>
        <w:numPr>
          <w:ilvl w:val="0"/>
          <w:numId w:val="12"/>
        </w:numPr>
        <w:autoSpaceDE/>
        <w:autoSpaceDN/>
        <w:adjustRightInd/>
        <w:spacing w:after="0"/>
        <w:ind w:left="1350"/>
        <w:contextualSpacing/>
        <w:rPr>
          <w:rFonts w:eastAsiaTheme="minorHAnsi"/>
          <w:szCs w:val="24"/>
        </w:rPr>
      </w:pPr>
      <w:r w:rsidRPr="005F5601">
        <w:rPr>
          <w:rFonts w:eastAsiaTheme="minorHAnsi"/>
          <w:szCs w:val="24"/>
        </w:rPr>
        <w:t>Address (</w:t>
      </w:r>
      <w:r w:rsidR="00817380">
        <w:rPr>
          <w:rFonts w:eastAsiaTheme="minorHAnsi"/>
          <w:szCs w:val="24"/>
        </w:rPr>
        <w:t xml:space="preserve">street address, </w:t>
      </w:r>
      <w:r w:rsidRPr="005F5601">
        <w:rPr>
          <w:rFonts w:eastAsiaTheme="minorHAnsi"/>
          <w:szCs w:val="24"/>
        </w:rPr>
        <w:t xml:space="preserve">city, state, and zip code) of the property where the charging station is </w:t>
      </w:r>
      <w:r w:rsidRPr="005F5601">
        <w:rPr>
          <w:rFonts w:eastAsiaTheme="minorHAnsi"/>
          <w:szCs w:val="24"/>
        </w:rPr>
        <w:t>located;</w:t>
      </w:r>
      <w:r w:rsidRPr="005F5601">
        <w:rPr>
          <w:rFonts w:eastAsiaTheme="minorHAnsi"/>
          <w:szCs w:val="24"/>
        </w:rPr>
        <w:t xml:space="preserve"> </w:t>
      </w:r>
    </w:p>
    <w:p w:rsidR="005F5601" w:rsidRPr="005F5601" w:rsidP="00BC3268" w14:paraId="6BD2D8D6" w14:textId="7AF4E970">
      <w:pPr>
        <w:widowControl/>
        <w:numPr>
          <w:ilvl w:val="0"/>
          <w:numId w:val="12"/>
        </w:numPr>
        <w:autoSpaceDE/>
        <w:autoSpaceDN/>
        <w:adjustRightInd/>
        <w:spacing w:after="0"/>
        <w:ind w:left="1350"/>
        <w:contextualSpacing/>
        <w:rPr>
          <w:rFonts w:eastAsiaTheme="minorHAnsi"/>
          <w:szCs w:val="24"/>
        </w:rPr>
      </w:pPr>
      <w:r>
        <w:rPr>
          <w:rFonts w:eastAsiaTheme="minorHAnsi"/>
          <w:szCs w:val="24"/>
        </w:rPr>
        <w:t>Geographic</w:t>
      </w:r>
      <w:r w:rsidRPr="005F5601">
        <w:rPr>
          <w:rFonts w:eastAsiaTheme="minorHAnsi"/>
          <w:szCs w:val="24"/>
        </w:rPr>
        <w:t xml:space="preserve"> coordinates in decimal degrees of exact charging station </w:t>
      </w:r>
      <w:r w:rsidRPr="005F5601">
        <w:rPr>
          <w:rFonts w:eastAsiaTheme="minorHAnsi"/>
          <w:szCs w:val="24"/>
        </w:rPr>
        <w:t>location;</w:t>
      </w:r>
      <w:r w:rsidRPr="005F5601">
        <w:rPr>
          <w:rFonts w:eastAsiaTheme="minorHAnsi"/>
          <w:szCs w:val="24"/>
        </w:rPr>
        <w:t xml:space="preserve"> </w:t>
      </w:r>
    </w:p>
    <w:p w:rsidR="005F5601" w:rsidRPr="00100DD1" w:rsidP="00BC3268" w14:paraId="22709963" w14:textId="54C16474">
      <w:pPr>
        <w:widowControl/>
        <w:numPr>
          <w:ilvl w:val="0"/>
          <w:numId w:val="12"/>
        </w:numPr>
        <w:autoSpaceDE/>
        <w:autoSpaceDN/>
        <w:adjustRightInd/>
        <w:spacing w:after="0"/>
        <w:ind w:left="1350"/>
        <w:contextualSpacing/>
        <w:rPr>
          <w:rFonts w:eastAsiaTheme="minorHAnsi"/>
          <w:szCs w:val="24"/>
        </w:rPr>
      </w:pPr>
      <w:r w:rsidRPr="00BC3268">
        <w:rPr>
          <w:rFonts w:eastAsiaTheme="minorHAnsi"/>
          <w:szCs w:val="24"/>
        </w:rPr>
        <w:t xml:space="preserve">Charging station operator </w:t>
      </w:r>
      <w:r w:rsidRPr="00BC3268">
        <w:rPr>
          <w:rFonts w:eastAsiaTheme="minorHAnsi"/>
          <w:szCs w:val="24"/>
        </w:rPr>
        <w:t>name;</w:t>
      </w:r>
    </w:p>
    <w:p w:rsidR="00D05A5C" w:rsidP="00BC3268" w14:paraId="60D4AF6F" w14:textId="77777777">
      <w:pPr>
        <w:widowControl/>
        <w:numPr>
          <w:ilvl w:val="0"/>
          <w:numId w:val="12"/>
        </w:numPr>
        <w:autoSpaceDE/>
        <w:autoSpaceDN/>
        <w:adjustRightInd/>
        <w:spacing w:after="0"/>
        <w:ind w:left="1350"/>
        <w:contextualSpacing/>
        <w:rPr>
          <w:rFonts w:eastAsiaTheme="minorHAnsi"/>
          <w:szCs w:val="24"/>
        </w:rPr>
      </w:pPr>
      <w:r w:rsidRPr="005F5601">
        <w:rPr>
          <w:rFonts w:eastAsiaTheme="minorHAnsi"/>
          <w:szCs w:val="24"/>
        </w:rPr>
        <w:t xml:space="preserve">Charging network provider </w:t>
      </w:r>
      <w:r w:rsidRPr="005F5601">
        <w:rPr>
          <w:rFonts w:eastAsiaTheme="minorHAnsi"/>
          <w:szCs w:val="24"/>
        </w:rPr>
        <w:t>name;</w:t>
      </w:r>
    </w:p>
    <w:p w:rsidR="00D05A5C" w:rsidRPr="00D05A5C" w:rsidP="00BC3268" w14:paraId="5A5B25DD" w14:textId="77777777">
      <w:pPr>
        <w:widowControl/>
        <w:numPr>
          <w:ilvl w:val="0"/>
          <w:numId w:val="12"/>
        </w:numPr>
        <w:autoSpaceDE/>
        <w:autoSpaceDN/>
        <w:adjustRightInd/>
        <w:spacing w:after="0"/>
        <w:ind w:left="1350"/>
        <w:contextualSpacing/>
        <w:rPr>
          <w:rFonts w:eastAsiaTheme="minorHAnsi"/>
          <w:szCs w:val="24"/>
        </w:rPr>
      </w:pPr>
      <w:r w:rsidRPr="00D05A5C">
        <w:rPr>
          <w:rFonts w:eastAsiaTheme="minorHAnsi"/>
          <w:szCs w:val="24"/>
        </w:rPr>
        <w:t>Charging station status (operational, under construction, planned, or decommissioned</w:t>
      </w:r>
      <w:r w:rsidRPr="00D05A5C">
        <w:rPr>
          <w:rFonts w:eastAsiaTheme="minorHAnsi"/>
          <w:szCs w:val="24"/>
        </w:rPr>
        <w:t>);</w:t>
      </w:r>
      <w:r w:rsidRPr="00D05A5C">
        <w:rPr>
          <w:rFonts w:eastAsiaTheme="minorHAnsi"/>
          <w:szCs w:val="24"/>
        </w:rPr>
        <w:t xml:space="preserve">   </w:t>
      </w:r>
    </w:p>
    <w:p w:rsidR="00D05A5C" w:rsidRPr="00D05A5C" w:rsidP="00BC3268" w14:paraId="75C888BE" w14:textId="77777777">
      <w:pPr>
        <w:widowControl/>
        <w:numPr>
          <w:ilvl w:val="0"/>
          <w:numId w:val="12"/>
        </w:numPr>
        <w:autoSpaceDE/>
        <w:autoSpaceDN/>
        <w:adjustRightInd/>
        <w:spacing w:after="0"/>
        <w:ind w:left="1350"/>
        <w:contextualSpacing/>
        <w:rPr>
          <w:rFonts w:eastAsiaTheme="minorHAnsi"/>
          <w:szCs w:val="24"/>
        </w:rPr>
      </w:pPr>
      <w:r w:rsidRPr="00D05A5C">
        <w:rPr>
          <w:rFonts w:eastAsiaTheme="minorHAnsi"/>
          <w:szCs w:val="24"/>
        </w:rPr>
        <w:t>Charging station access information:</w:t>
      </w:r>
    </w:p>
    <w:p w:rsidR="00D05A5C" w:rsidRPr="00B70C23" w:rsidP="00FE5270" w14:paraId="2932CBB9" w14:textId="77777777">
      <w:pPr>
        <w:pStyle w:val="ListParagraph"/>
        <w:widowControl/>
        <w:numPr>
          <w:ilvl w:val="3"/>
          <w:numId w:val="27"/>
        </w:numPr>
        <w:autoSpaceDE/>
        <w:autoSpaceDN/>
        <w:adjustRightInd/>
        <w:spacing w:after="0"/>
        <w:ind w:left="1980" w:hanging="630"/>
        <w:rPr>
          <w:rFonts w:eastAsiaTheme="minorEastAsia"/>
        </w:rPr>
      </w:pPr>
      <w:r w:rsidRPr="00B70C23">
        <w:rPr>
          <w:rFonts w:eastAsiaTheme="minorEastAsia"/>
        </w:rPr>
        <w:t>Charging station access type (public or limited to commercial vehicles</w:t>
      </w:r>
      <w:r w:rsidRPr="00B70C23">
        <w:rPr>
          <w:rFonts w:eastAsiaTheme="minorEastAsia"/>
        </w:rPr>
        <w:t>);</w:t>
      </w:r>
    </w:p>
    <w:p w:rsidR="00D05A5C" w:rsidRPr="00B70C23" w:rsidP="00FE5270" w14:paraId="1CBE44DC" w14:textId="77777777">
      <w:pPr>
        <w:pStyle w:val="ListParagraph"/>
        <w:widowControl/>
        <w:numPr>
          <w:ilvl w:val="3"/>
          <w:numId w:val="27"/>
        </w:numPr>
        <w:autoSpaceDE/>
        <w:autoSpaceDN/>
        <w:adjustRightInd/>
        <w:spacing w:after="0"/>
        <w:ind w:left="1980" w:hanging="630"/>
        <w:rPr>
          <w:rFonts w:eastAsiaTheme="minorEastAsia"/>
        </w:rPr>
      </w:pPr>
      <w:r w:rsidRPr="00B70C23">
        <w:rPr>
          <w:rFonts w:eastAsiaTheme="minorEastAsia"/>
        </w:rPr>
        <w:t>Charging station access days/times (hours of operation for the charging station</w:t>
      </w:r>
      <w:r w:rsidRPr="00B70C23">
        <w:rPr>
          <w:rFonts w:eastAsiaTheme="minorEastAsia"/>
        </w:rPr>
        <w:t>);</w:t>
      </w:r>
    </w:p>
    <w:p w:rsidR="00D05A5C" w:rsidRPr="00D05A5C" w:rsidP="00B70C23" w14:paraId="0C61078B" w14:textId="77777777">
      <w:pPr>
        <w:widowControl/>
        <w:numPr>
          <w:ilvl w:val="0"/>
          <w:numId w:val="12"/>
        </w:numPr>
        <w:autoSpaceDE/>
        <w:autoSpaceDN/>
        <w:adjustRightInd/>
        <w:spacing w:after="0"/>
        <w:ind w:left="1350" w:hanging="450"/>
        <w:contextualSpacing/>
        <w:rPr>
          <w:rFonts w:eastAsiaTheme="minorHAnsi"/>
          <w:szCs w:val="24"/>
        </w:rPr>
      </w:pPr>
      <w:r w:rsidRPr="00D05A5C">
        <w:rPr>
          <w:rFonts w:eastAsiaTheme="minorHAnsi"/>
          <w:szCs w:val="24"/>
        </w:rPr>
        <w:t>Charging port information:</w:t>
      </w:r>
    </w:p>
    <w:p w:rsidR="00D05A5C" w:rsidRPr="00B11323" w:rsidP="0044022E" w14:paraId="016B1227" w14:textId="77777777">
      <w:pPr>
        <w:pStyle w:val="ListParagraph"/>
        <w:widowControl/>
        <w:numPr>
          <w:ilvl w:val="3"/>
          <w:numId w:val="28"/>
        </w:numPr>
        <w:autoSpaceDE/>
        <w:autoSpaceDN/>
        <w:adjustRightInd/>
        <w:spacing w:after="0"/>
        <w:ind w:left="1980" w:hanging="630"/>
        <w:rPr>
          <w:rFonts w:eastAsiaTheme="minorEastAsia"/>
        </w:rPr>
      </w:pPr>
      <w:r w:rsidRPr="00B11323">
        <w:rPr>
          <w:rFonts w:eastAsiaTheme="minorEastAsia"/>
        </w:rPr>
        <w:t xml:space="preserve">Number of charging </w:t>
      </w:r>
      <w:r w:rsidRPr="00B11323">
        <w:rPr>
          <w:rFonts w:eastAsiaTheme="minorEastAsia"/>
        </w:rPr>
        <w:t>ports;</w:t>
      </w:r>
      <w:r w:rsidRPr="00B11323">
        <w:rPr>
          <w:rFonts w:eastAsiaTheme="minorEastAsia"/>
        </w:rPr>
        <w:t xml:space="preserve"> </w:t>
      </w:r>
    </w:p>
    <w:p w:rsidR="00D05A5C" w:rsidRPr="0044022E" w:rsidP="0044022E" w14:paraId="03A40D8E" w14:textId="77777777">
      <w:pPr>
        <w:pStyle w:val="ListParagraph"/>
        <w:widowControl/>
        <w:numPr>
          <w:ilvl w:val="3"/>
          <w:numId w:val="28"/>
        </w:numPr>
        <w:autoSpaceDE/>
        <w:autoSpaceDN/>
        <w:adjustRightInd/>
        <w:spacing w:after="0"/>
        <w:ind w:left="1980" w:hanging="630"/>
        <w:rPr>
          <w:rFonts w:eastAsiaTheme="minorEastAsia"/>
        </w:rPr>
      </w:pPr>
      <w:r w:rsidRPr="0044022E">
        <w:rPr>
          <w:rFonts w:eastAsiaTheme="minorEastAsia"/>
        </w:rPr>
        <w:t xml:space="preserve">Unique port </w:t>
      </w:r>
      <w:r w:rsidRPr="0044022E">
        <w:rPr>
          <w:rFonts w:eastAsiaTheme="minorEastAsia"/>
        </w:rPr>
        <w:t>identifier;</w:t>
      </w:r>
      <w:r w:rsidRPr="0044022E">
        <w:rPr>
          <w:rFonts w:eastAsiaTheme="minorEastAsia"/>
        </w:rPr>
        <w:t xml:space="preserve"> </w:t>
      </w:r>
    </w:p>
    <w:p w:rsidR="00D05A5C" w:rsidRPr="0044022E" w:rsidP="0044022E" w14:paraId="47A8BA95" w14:textId="77777777">
      <w:pPr>
        <w:pStyle w:val="ListParagraph"/>
        <w:widowControl/>
        <w:numPr>
          <w:ilvl w:val="3"/>
          <w:numId w:val="28"/>
        </w:numPr>
        <w:autoSpaceDE/>
        <w:autoSpaceDN/>
        <w:adjustRightInd/>
        <w:spacing w:after="0"/>
        <w:ind w:left="1980" w:hanging="630"/>
        <w:rPr>
          <w:rFonts w:eastAsiaTheme="minorEastAsia"/>
        </w:rPr>
      </w:pPr>
      <w:r w:rsidRPr="0044022E">
        <w:rPr>
          <w:rFonts w:eastAsiaTheme="minorEastAsia"/>
        </w:rPr>
        <w:t xml:space="preserve">Connector types available by </w:t>
      </w:r>
      <w:r w:rsidRPr="0044022E">
        <w:rPr>
          <w:rFonts w:eastAsiaTheme="minorEastAsia"/>
        </w:rPr>
        <w:t>port;</w:t>
      </w:r>
      <w:r w:rsidRPr="0044022E">
        <w:rPr>
          <w:rFonts w:eastAsiaTheme="minorEastAsia"/>
        </w:rPr>
        <w:t xml:space="preserve"> </w:t>
      </w:r>
    </w:p>
    <w:p w:rsidR="00D05A5C" w:rsidRPr="0044022E" w:rsidP="0044022E" w14:paraId="2F0ABBBB" w14:textId="77777777">
      <w:pPr>
        <w:pStyle w:val="ListParagraph"/>
        <w:widowControl/>
        <w:numPr>
          <w:ilvl w:val="3"/>
          <w:numId w:val="28"/>
        </w:numPr>
        <w:autoSpaceDE/>
        <w:autoSpaceDN/>
        <w:adjustRightInd/>
        <w:spacing w:after="0"/>
        <w:ind w:left="1980" w:hanging="630"/>
        <w:rPr>
          <w:rFonts w:eastAsiaTheme="minorEastAsia"/>
        </w:rPr>
      </w:pPr>
      <w:r w:rsidRPr="0044022E">
        <w:rPr>
          <w:rFonts w:eastAsiaTheme="minorEastAsia"/>
        </w:rPr>
        <w:t>Charging level by port (DCFC, AC Level 2, etc.</w:t>
      </w:r>
      <w:r w:rsidRPr="0044022E">
        <w:rPr>
          <w:rFonts w:eastAsiaTheme="minorEastAsia"/>
        </w:rPr>
        <w:t>);</w:t>
      </w:r>
    </w:p>
    <w:p w:rsidR="00D05A5C" w:rsidRPr="0044022E" w:rsidP="0044022E" w14:paraId="49D0C81B" w14:textId="77777777">
      <w:pPr>
        <w:pStyle w:val="ListParagraph"/>
        <w:widowControl/>
        <w:numPr>
          <w:ilvl w:val="3"/>
          <w:numId w:val="28"/>
        </w:numPr>
        <w:autoSpaceDE/>
        <w:autoSpaceDN/>
        <w:adjustRightInd/>
        <w:spacing w:after="0"/>
        <w:ind w:left="1980" w:hanging="630"/>
        <w:rPr>
          <w:rFonts w:eastAsiaTheme="minorEastAsia"/>
        </w:rPr>
      </w:pPr>
      <w:r w:rsidRPr="0044022E">
        <w:rPr>
          <w:rFonts w:eastAsiaTheme="minorEastAsia"/>
        </w:rPr>
        <w:t xml:space="preserve">Power delivery rating in kilowatts by </w:t>
      </w:r>
      <w:r w:rsidRPr="0044022E">
        <w:rPr>
          <w:rFonts w:eastAsiaTheme="minorEastAsia"/>
        </w:rPr>
        <w:t>port;</w:t>
      </w:r>
    </w:p>
    <w:p w:rsidR="00D05A5C" w:rsidRPr="0044022E" w:rsidP="0044022E" w14:paraId="69997F1C" w14:textId="77777777">
      <w:pPr>
        <w:pStyle w:val="ListParagraph"/>
        <w:widowControl/>
        <w:numPr>
          <w:ilvl w:val="3"/>
          <w:numId w:val="28"/>
        </w:numPr>
        <w:autoSpaceDE/>
        <w:autoSpaceDN/>
        <w:adjustRightInd/>
        <w:spacing w:after="0"/>
        <w:ind w:left="1980" w:hanging="630"/>
        <w:rPr>
          <w:rFonts w:eastAsiaTheme="minorEastAsia"/>
        </w:rPr>
      </w:pPr>
      <w:r w:rsidRPr="0044022E">
        <w:rPr>
          <w:rFonts w:eastAsiaTheme="minorEastAsia"/>
        </w:rPr>
        <w:t>Power sharing by port (whether power sharing between chargers is enabled</w:t>
      </w:r>
      <w:r w:rsidRPr="0044022E">
        <w:rPr>
          <w:rFonts w:eastAsiaTheme="minorEastAsia"/>
        </w:rPr>
        <w:t>);</w:t>
      </w:r>
    </w:p>
    <w:p w:rsidR="00DA7D3E" w:rsidP="0044022E" w14:paraId="3E6DB8E7" w14:textId="77777777">
      <w:pPr>
        <w:pStyle w:val="ListParagraph"/>
        <w:widowControl/>
        <w:numPr>
          <w:ilvl w:val="3"/>
          <w:numId w:val="28"/>
        </w:numPr>
        <w:autoSpaceDE/>
        <w:autoSpaceDN/>
        <w:adjustRightInd/>
        <w:spacing w:after="0"/>
        <w:ind w:left="1980" w:hanging="630"/>
        <w:rPr>
          <w:rFonts w:eastAsiaTheme="minorEastAsia"/>
        </w:rPr>
      </w:pPr>
      <w:r w:rsidRPr="0044022E">
        <w:rPr>
          <w:rFonts w:eastAsiaTheme="minorEastAsia"/>
        </w:rPr>
        <w:t>Accessibility by persons with disabilities by port (yes/no</w:t>
      </w:r>
      <w:r w:rsidRPr="0044022E">
        <w:rPr>
          <w:rFonts w:eastAsiaTheme="minorEastAsia"/>
        </w:rPr>
        <w:t>);</w:t>
      </w:r>
    </w:p>
    <w:p w:rsidR="00D05A5C" w:rsidRPr="0084472A" w:rsidP="0084472A" w14:paraId="40AE4411" w14:textId="296198EA">
      <w:pPr>
        <w:pStyle w:val="ListParagraph"/>
        <w:widowControl/>
        <w:numPr>
          <w:ilvl w:val="3"/>
          <w:numId w:val="28"/>
        </w:numPr>
        <w:autoSpaceDE/>
        <w:autoSpaceDN/>
        <w:adjustRightInd/>
        <w:spacing w:after="0"/>
        <w:ind w:left="1980" w:hanging="630"/>
        <w:rPr>
          <w:rFonts w:eastAsiaTheme="minorEastAsia"/>
        </w:rPr>
      </w:pPr>
      <w:r w:rsidRPr="00B70C23">
        <w:rPr>
          <w:rFonts w:eastAsiaTheme="minorEastAsia"/>
        </w:rPr>
        <w:t>Accessibility by vehicle with trailer (pull-through stall) (yes/no</w:t>
      </w:r>
      <w:r w:rsidRPr="00B70C23">
        <w:rPr>
          <w:rFonts w:eastAsiaTheme="minorEastAsia"/>
        </w:rPr>
        <w:t>);</w:t>
      </w:r>
      <w:r w:rsidRPr="0084472A">
        <w:rPr>
          <w:rFonts w:eastAsiaTheme="minorEastAsia"/>
        </w:rPr>
        <w:t xml:space="preserve"> </w:t>
      </w:r>
    </w:p>
    <w:p w:rsidR="00D05A5C" w:rsidRPr="0044022E" w:rsidP="0044022E" w14:paraId="7876136B" w14:textId="77777777">
      <w:pPr>
        <w:pStyle w:val="ListParagraph"/>
        <w:widowControl/>
        <w:numPr>
          <w:ilvl w:val="3"/>
          <w:numId w:val="28"/>
        </w:numPr>
        <w:autoSpaceDE/>
        <w:autoSpaceDN/>
        <w:adjustRightInd/>
        <w:spacing w:after="0"/>
        <w:ind w:left="1980" w:hanging="630"/>
        <w:rPr>
          <w:rFonts w:eastAsiaTheme="minorEastAsia"/>
        </w:rPr>
      </w:pPr>
      <w:r w:rsidRPr="0044022E">
        <w:rPr>
          <w:rFonts w:eastAsiaTheme="minorEastAsia"/>
        </w:rPr>
        <w:t xml:space="preserve">Real-time status by port in terms defined by Open Charge Point Interface 2.2 (incorporated by reference, see § 680.120(a)(1)), updated at a frequency that meets reasonable customer expectations. </w:t>
      </w:r>
    </w:p>
    <w:p w:rsidR="00D05A5C" w:rsidRPr="00D05A5C" w:rsidP="00B5697C" w14:paraId="64D3E881" w14:textId="77777777">
      <w:pPr>
        <w:widowControl/>
        <w:numPr>
          <w:ilvl w:val="0"/>
          <w:numId w:val="12"/>
        </w:numPr>
        <w:autoSpaceDE/>
        <w:autoSpaceDN/>
        <w:adjustRightInd/>
        <w:spacing w:after="0"/>
        <w:ind w:left="1350" w:hanging="450"/>
        <w:contextualSpacing/>
        <w:rPr>
          <w:rFonts w:eastAsiaTheme="minorHAnsi"/>
          <w:szCs w:val="24"/>
        </w:rPr>
      </w:pPr>
      <w:r w:rsidRPr="00D05A5C">
        <w:rPr>
          <w:rFonts w:eastAsiaTheme="minorHAnsi"/>
          <w:szCs w:val="24"/>
        </w:rPr>
        <w:t xml:space="preserve">Pricing and payment information: </w:t>
      </w:r>
    </w:p>
    <w:p w:rsidR="00D05A5C" w:rsidRPr="0044022E" w:rsidP="00F9086E" w14:paraId="308B87CA" w14:textId="77777777">
      <w:pPr>
        <w:pStyle w:val="ListParagraph"/>
        <w:widowControl/>
        <w:numPr>
          <w:ilvl w:val="3"/>
          <w:numId w:val="29"/>
        </w:numPr>
        <w:autoSpaceDE/>
        <w:autoSpaceDN/>
        <w:adjustRightInd/>
        <w:spacing w:after="0"/>
        <w:ind w:left="1980" w:hanging="630"/>
        <w:rPr>
          <w:rFonts w:eastAsiaTheme="minorEastAsia"/>
        </w:rPr>
      </w:pPr>
      <w:r w:rsidRPr="0044022E">
        <w:rPr>
          <w:rFonts w:eastAsiaTheme="minorEastAsia"/>
        </w:rPr>
        <w:t xml:space="preserve">Pricing </w:t>
      </w:r>
      <w:r w:rsidRPr="0044022E">
        <w:rPr>
          <w:rFonts w:eastAsiaTheme="minorEastAsia"/>
        </w:rPr>
        <w:t>structure;</w:t>
      </w:r>
    </w:p>
    <w:p w:rsidR="00D05A5C" w:rsidRPr="0044022E" w:rsidP="00F9086E" w14:paraId="73E50B93" w14:textId="77777777">
      <w:pPr>
        <w:pStyle w:val="ListParagraph"/>
        <w:widowControl/>
        <w:numPr>
          <w:ilvl w:val="3"/>
          <w:numId w:val="29"/>
        </w:numPr>
        <w:autoSpaceDE/>
        <w:autoSpaceDN/>
        <w:adjustRightInd/>
        <w:spacing w:after="0"/>
        <w:ind w:left="1980" w:hanging="630"/>
        <w:rPr>
          <w:rFonts w:eastAsiaTheme="minorEastAsia"/>
        </w:rPr>
      </w:pPr>
      <w:r w:rsidRPr="0044022E">
        <w:rPr>
          <w:rFonts w:eastAsiaTheme="minorEastAsia"/>
        </w:rPr>
        <w:t>Real-time price to charge at each charging port, in terms defined by Open Charge Point Interface 2.2 (incorporated by reference, see § 680.120(a)(1)), updated at a frequency that meets reasonable customer expectations; and</w:t>
      </w:r>
    </w:p>
    <w:p w:rsidR="00D05A5C" w:rsidRPr="0044022E" w:rsidP="00F9086E" w14:paraId="34F9F346" w14:textId="77777777">
      <w:pPr>
        <w:pStyle w:val="ListParagraph"/>
        <w:widowControl/>
        <w:numPr>
          <w:ilvl w:val="3"/>
          <w:numId w:val="29"/>
        </w:numPr>
        <w:autoSpaceDE/>
        <w:autoSpaceDN/>
        <w:adjustRightInd/>
        <w:spacing w:after="0"/>
        <w:ind w:left="1980" w:hanging="630"/>
        <w:rPr>
          <w:rFonts w:eastAsiaTheme="minorEastAsia"/>
        </w:rPr>
      </w:pPr>
      <w:r w:rsidRPr="0044022E">
        <w:rPr>
          <w:rFonts w:eastAsiaTheme="minorEastAsia"/>
        </w:rPr>
        <w:t>Payment methods accepted at charging station.</w:t>
      </w:r>
    </w:p>
    <w:p w:rsidR="005F5601" w:rsidRPr="005F5601" w:rsidP="0044022E" w14:paraId="54B93D89" w14:textId="1A37A87C">
      <w:pPr>
        <w:widowControl/>
        <w:autoSpaceDE/>
        <w:autoSpaceDN/>
        <w:adjustRightInd/>
        <w:spacing w:after="0"/>
        <w:ind w:left="1350"/>
        <w:contextualSpacing/>
        <w:rPr>
          <w:rFonts w:eastAsiaTheme="minorHAnsi"/>
          <w:szCs w:val="24"/>
        </w:rPr>
      </w:pPr>
    </w:p>
    <w:p w:rsidR="00AA7DF7" w:rsidP="00045A5A" w14:paraId="2874AAA2" w14:textId="1C7B0B39">
      <w:pPr>
        <w:rPr>
          <w:szCs w:val="24"/>
        </w:rPr>
      </w:pPr>
      <w:r>
        <w:rPr>
          <w:szCs w:val="24"/>
        </w:rPr>
        <w:t xml:space="preserve">The Joint Office of Energy and Transportation (Joint Office) </w:t>
      </w:r>
      <w:r w:rsidR="00486560">
        <w:rPr>
          <w:szCs w:val="24"/>
        </w:rPr>
        <w:t>will provide</w:t>
      </w:r>
      <w:r w:rsidR="0098533B">
        <w:rPr>
          <w:szCs w:val="24"/>
        </w:rPr>
        <w:t xml:space="preserve"> a prescribed format for the online submission of these data and will maintain a public database housing the combination of data from all S</w:t>
      </w:r>
      <w:r w:rsidR="007B201D">
        <w:rPr>
          <w:szCs w:val="24"/>
        </w:rPr>
        <w:t>tate</w:t>
      </w:r>
      <w:r w:rsidR="00C17F37">
        <w:rPr>
          <w:szCs w:val="24"/>
        </w:rPr>
        <w:t>s</w:t>
      </w:r>
      <w:r w:rsidR="005F1CF4">
        <w:rPr>
          <w:szCs w:val="24"/>
        </w:rPr>
        <w:t xml:space="preserve"> and </w:t>
      </w:r>
      <w:r w:rsidR="008212BE">
        <w:rPr>
          <w:szCs w:val="24"/>
        </w:rPr>
        <w:t>other direct recipients</w:t>
      </w:r>
      <w:r w:rsidR="0098533B">
        <w:rPr>
          <w:szCs w:val="24"/>
        </w:rPr>
        <w:t>.</w:t>
      </w:r>
    </w:p>
    <w:p w:rsidR="00603E2D" w:rsidRPr="009C32CF" w14:paraId="6AAD5AEB" w14:textId="5595741A">
      <w:pPr>
        <w:rPr>
          <w:szCs w:val="24"/>
        </w:rPr>
      </w:pPr>
      <w:r w:rsidRPr="00EE4CEF">
        <w:rPr>
          <w:szCs w:val="24"/>
        </w:rPr>
        <w:t xml:space="preserve">This information collection supports the Department of Transportation’s (DOT) </w:t>
      </w:r>
      <w:r w:rsidR="0098533B">
        <w:rPr>
          <w:szCs w:val="24"/>
        </w:rPr>
        <w:t>Economic Strength and Global Competitiveness</w:t>
      </w:r>
      <w:r w:rsidRPr="00EE4CEF">
        <w:rPr>
          <w:szCs w:val="24"/>
        </w:rPr>
        <w:t xml:space="preserve"> strategic goal. The information will help FHWA </w:t>
      </w:r>
      <w:r w:rsidR="0098533B">
        <w:rPr>
          <w:szCs w:val="24"/>
        </w:rPr>
        <w:t>facilitate the creation of a national EV charging network that is characterized by convenience, accessibility, reliability, and equity</w:t>
      </w:r>
      <w:r w:rsidRPr="00EE4CEF">
        <w:rPr>
          <w:szCs w:val="24"/>
        </w:rPr>
        <w:t>.</w:t>
      </w:r>
      <w:r>
        <w:rPr>
          <w:szCs w:val="24"/>
        </w:rPr>
        <w:t xml:space="preserve"> </w:t>
      </w:r>
      <w:r w:rsidR="0098533B">
        <w:rPr>
          <w:szCs w:val="24"/>
        </w:rPr>
        <w:t>The information collected through the data submittals will</w:t>
      </w:r>
      <w:r w:rsidRPr="00EE4CEF">
        <w:rPr>
          <w:szCs w:val="24"/>
        </w:rPr>
        <w:t xml:space="preserve"> </w:t>
      </w:r>
      <w:r w:rsidR="0098533B">
        <w:rPr>
          <w:szCs w:val="24"/>
        </w:rPr>
        <w:t xml:space="preserve">both assist in providing information to consumers regarding the availability of EV charging infrastructure, as well as </w:t>
      </w:r>
      <w:r w:rsidRPr="00EE4CEF">
        <w:rPr>
          <w:szCs w:val="24"/>
        </w:rPr>
        <w:t xml:space="preserve">support analysis of the current state of the practice of </w:t>
      </w:r>
      <w:r w:rsidR="0098533B">
        <w:rPr>
          <w:szCs w:val="24"/>
        </w:rPr>
        <w:t>public EV charging nationwide</w:t>
      </w:r>
      <w:r w:rsidRPr="00EE4CEF">
        <w:rPr>
          <w:szCs w:val="24"/>
        </w:rPr>
        <w:t xml:space="preserve">. </w:t>
      </w:r>
      <w:r w:rsidR="00F67651">
        <w:rPr>
          <w:szCs w:val="24"/>
        </w:rPr>
        <w:t xml:space="preserve">The data submittal will identify the real-time availability of EV chargers </w:t>
      </w:r>
      <w:r w:rsidR="00653D6E">
        <w:rPr>
          <w:szCs w:val="24"/>
        </w:rPr>
        <w:t>by identifying</w:t>
      </w:r>
      <w:r w:rsidR="00F67651">
        <w:rPr>
          <w:szCs w:val="24"/>
        </w:rPr>
        <w:t xml:space="preserve"> their status (if they are currently in use or otherwise unavailable), location, and price to use. The data submittal will also identify issues or gaps in the overall national EV charging network, allowing States to have early awareness of areas that need additional attention or investment. </w:t>
      </w:r>
      <w:r w:rsidR="008E08E7">
        <w:rPr>
          <w:szCs w:val="24"/>
        </w:rPr>
        <w:t xml:space="preserve">This information collection also supports the DOT Climate and Sustainability </w:t>
      </w:r>
      <w:r w:rsidR="008E08E7">
        <w:rPr>
          <w:szCs w:val="24"/>
        </w:rPr>
        <w:t>strategic goal.</w:t>
      </w:r>
      <w:r w:rsidR="003732F3">
        <w:rPr>
          <w:szCs w:val="24"/>
        </w:rPr>
        <w:t xml:space="preserve"> </w:t>
      </w:r>
      <w:r w:rsidR="00511A63">
        <w:rPr>
          <w:szCs w:val="24"/>
        </w:rPr>
        <w:t xml:space="preserve">The information collected about EV chargers funded through this program will assist </w:t>
      </w:r>
      <w:r w:rsidR="00631955">
        <w:rPr>
          <w:szCs w:val="24"/>
        </w:rPr>
        <w:t>in program evaluation and help to identify future improvements to the NEVI Formula Program and other programs which provide for funding of EV chargers under title 23, United States Code</w:t>
      </w:r>
      <w:r w:rsidR="00D22161">
        <w:rPr>
          <w:szCs w:val="24"/>
        </w:rPr>
        <w:t xml:space="preserve">, </w:t>
      </w:r>
      <w:r w:rsidRPr="00D75903" w:rsidR="00D22161">
        <w:t xml:space="preserve">including any EV charging infrastructure project funded with Federal funds that is treated as a project on </w:t>
      </w:r>
      <w:r w:rsidR="00D22161">
        <w:t>a</w:t>
      </w:r>
      <w:r w:rsidRPr="00D75903" w:rsidR="00D22161">
        <w:t xml:space="preserve"> Federal-aid highway</w:t>
      </w:r>
      <w:r w:rsidR="00D22161">
        <w:t>,</w:t>
      </w:r>
      <w:r w:rsidR="00526E15">
        <w:rPr>
          <w:szCs w:val="24"/>
        </w:rPr>
        <w:t xml:space="preserve"> towards tackling the climate crisis</w:t>
      </w:r>
      <w:r w:rsidR="00631955">
        <w:rPr>
          <w:szCs w:val="24"/>
        </w:rPr>
        <w:t xml:space="preserve">. </w:t>
      </w:r>
      <w:r w:rsidR="00B007C8">
        <w:rPr>
          <w:szCs w:val="24"/>
        </w:rPr>
        <w:t>Additionally, b</w:t>
      </w:r>
      <w:r w:rsidR="003732F3">
        <w:rPr>
          <w:szCs w:val="24"/>
        </w:rPr>
        <w:t xml:space="preserve">y identifying </w:t>
      </w:r>
      <w:r w:rsidR="00B007C8">
        <w:rPr>
          <w:szCs w:val="24"/>
        </w:rPr>
        <w:t xml:space="preserve">and making available </w:t>
      </w:r>
      <w:r w:rsidR="003732F3">
        <w:rPr>
          <w:szCs w:val="24"/>
        </w:rPr>
        <w:t>the real-time availability</w:t>
      </w:r>
      <w:r w:rsidR="00BA2D04">
        <w:rPr>
          <w:szCs w:val="24"/>
        </w:rPr>
        <w:t xml:space="preserve"> and status</w:t>
      </w:r>
      <w:r w:rsidR="003732F3">
        <w:rPr>
          <w:szCs w:val="24"/>
        </w:rPr>
        <w:t xml:space="preserve"> </w:t>
      </w:r>
      <w:r w:rsidR="00BA2D04">
        <w:rPr>
          <w:szCs w:val="24"/>
        </w:rPr>
        <w:t xml:space="preserve">of EV chargers, the data submittal will increase the convenience and accessibility of using EVs as opposed to </w:t>
      </w:r>
      <w:r w:rsidR="00B007C8">
        <w:rPr>
          <w:szCs w:val="24"/>
        </w:rPr>
        <w:t>gasoline-powered vehicles</w:t>
      </w:r>
      <w:r w:rsidR="004C3DB3">
        <w:rPr>
          <w:szCs w:val="24"/>
        </w:rPr>
        <w:t>, encouraging users to shift from gasoline-powered transportation to EV</w:t>
      </w:r>
      <w:r w:rsidR="00B007C8">
        <w:rPr>
          <w:szCs w:val="24"/>
        </w:rPr>
        <w:t>.</w:t>
      </w:r>
      <w:r w:rsidR="00BA2D04">
        <w:rPr>
          <w:szCs w:val="24"/>
        </w:rPr>
        <w:t xml:space="preserve"> </w:t>
      </w:r>
    </w:p>
    <w:p w:rsidR="008C1FA9" w:rsidP="008C1FA9" w14:paraId="1599BA27" w14:textId="45873459">
      <w:pPr>
        <w:pStyle w:val="Heading2"/>
        <w:numPr>
          <w:ilvl w:val="0"/>
          <w:numId w:val="8"/>
        </w:numPr>
        <w:tabs>
          <w:tab w:val="clear" w:pos="720"/>
        </w:tabs>
        <w:ind w:left="720"/>
      </w:pPr>
      <w:r w:rsidRPr="00062FFC">
        <w:rPr>
          <w:u w:val="single"/>
        </w:rPr>
        <w:t>How, by whom, and for what purpose is the information used</w:t>
      </w:r>
      <w:r w:rsidRPr="00062FFC" w:rsidR="00A0254E">
        <w:rPr>
          <w:u w:val="single"/>
        </w:rPr>
        <w:t>.</w:t>
      </w:r>
      <w:r w:rsidR="00A0254E">
        <w:t xml:space="preserve"> </w:t>
      </w:r>
    </w:p>
    <w:p w:rsidR="006562F1" w:rsidP="004538AA" w14:paraId="156F3BC3" w14:textId="73824EA1">
      <w:pPr>
        <w:rPr>
          <w:szCs w:val="24"/>
        </w:rPr>
      </w:pPr>
      <w:bookmarkStart w:id="10" w:name="OLE_LINK3"/>
      <w:bookmarkStart w:id="11" w:name="OLE_LINK4"/>
      <w:r w:rsidRPr="00C73F6D">
        <w:rPr>
          <w:szCs w:val="24"/>
        </w:rPr>
        <w:t xml:space="preserve">Data collection will be </w:t>
      </w:r>
      <w:r w:rsidRPr="00C73F6D" w:rsidR="00F06F23">
        <w:rPr>
          <w:szCs w:val="24"/>
        </w:rPr>
        <w:t>accomplished</w:t>
      </w:r>
      <w:r w:rsidRPr="00C73F6D">
        <w:rPr>
          <w:szCs w:val="24"/>
        </w:rPr>
        <w:t xml:space="preserve"> differently for each of the </w:t>
      </w:r>
      <w:r w:rsidRPr="00C73F6D" w:rsidR="00457497">
        <w:rPr>
          <w:szCs w:val="24"/>
        </w:rPr>
        <w:t>pertinent requirements</w:t>
      </w:r>
      <w:r w:rsidRPr="00C73F6D" w:rsidR="002865A1">
        <w:rPr>
          <w:szCs w:val="24"/>
        </w:rPr>
        <w:t xml:space="preserve"> in BIL</w:t>
      </w:r>
      <w:r w:rsidRPr="00C73F6D" w:rsidR="00457497">
        <w:rPr>
          <w:szCs w:val="24"/>
        </w:rPr>
        <w:t xml:space="preserve">. </w:t>
      </w:r>
      <w:r w:rsidRPr="00C73F6D" w:rsidR="00240E0F">
        <w:rPr>
          <w:szCs w:val="24"/>
        </w:rPr>
        <w:t xml:space="preserve"> </w:t>
      </w:r>
      <w:r w:rsidRPr="00C73F6D" w:rsidR="00C73F6D">
        <w:rPr>
          <w:szCs w:val="24"/>
        </w:rPr>
        <w:t>Automated charging station data</w:t>
      </w:r>
      <w:r w:rsidRPr="00C73F6D" w:rsidR="00DC17FA">
        <w:rPr>
          <w:szCs w:val="24"/>
        </w:rPr>
        <w:t xml:space="preserve"> </w:t>
      </w:r>
      <w:r w:rsidRPr="00C73F6D" w:rsidR="00240E0F">
        <w:rPr>
          <w:szCs w:val="24"/>
        </w:rPr>
        <w:t>(23 CFR 680.112(</w:t>
      </w:r>
      <w:r w:rsidR="004C27B0">
        <w:rPr>
          <w:szCs w:val="24"/>
        </w:rPr>
        <w:t>a</w:t>
      </w:r>
      <w:r w:rsidRPr="00C73F6D" w:rsidR="00240E0F">
        <w:rPr>
          <w:szCs w:val="24"/>
        </w:rPr>
        <w:t>)(1)</w:t>
      </w:r>
      <w:r w:rsidRPr="00C73F6D" w:rsidR="001E56CC">
        <w:rPr>
          <w:szCs w:val="24"/>
        </w:rPr>
        <w:t>-</w:t>
      </w:r>
      <w:r w:rsidRPr="00C73F6D" w:rsidR="00BC2801">
        <w:rPr>
          <w:szCs w:val="24"/>
        </w:rPr>
        <w:t>(6</w:t>
      </w:r>
      <w:r w:rsidRPr="00C73F6D" w:rsidR="0082674F">
        <w:rPr>
          <w:szCs w:val="24"/>
        </w:rPr>
        <w:t xml:space="preserve">) </w:t>
      </w:r>
      <w:r w:rsidRPr="00C73F6D" w:rsidR="000F4B32">
        <w:rPr>
          <w:szCs w:val="24"/>
        </w:rPr>
        <w:t xml:space="preserve">and </w:t>
      </w:r>
      <w:r w:rsidR="00445112">
        <w:rPr>
          <w:szCs w:val="24"/>
        </w:rPr>
        <w:t>t</w:t>
      </w:r>
      <w:r w:rsidRPr="00C73F6D" w:rsidR="006361B4">
        <w:rPr>
          <w:szCs w:val="24"/>
        </w:rPr>
        <w:t>hird-</w:t>
      </w:r>
      <w:r w:rsidR="004350E2">
        <w:rPr>
          <w:szCs w:val="24"/>
        </w:rPr>
        <w:t>p</w:t>
      </w:r>
      <w:r w:rsidRPr="00C73F6D" w:rsidR="006361B4">
        <w:rPr>
          <w:szCs w:val="24"/>
        </w:rPr>
        <w:t xml:space="preserve">arty </w:t>
      </w:r>
      <w:r w:rsidR="004350E2">
        <w:rPr>
          <w:szCs w:val="24"/>
        </w:rPr>
        <w:t>d</w:t>
      </w:r>
      <w:r w:rsidRPr="00C73F6D" w:rsidR="006361B4">
        <w:rPr>
          <w:szCs w:val="24"/>
        </w:rPr>
        <w:t xml:space="preserve">ata </w:t>
      </w:r>
      <w:r w:rsidR="00445112">
        <w:rPr>
          <w:szCs w:val="24"/>
        </w:rPr>
        <w:t>s</w:t>
      </w:r>
      <w:r w:rsidRPr="00C73F6D" w:rsidR="006361B4">
        <w:rPr>
          <w:szCs w:val="24"/>
        </w:rPr>
        <w:t xml:space="preserve">haring </w:t>
      </w:r>
      <w:r w:rsidR="00445112">
        <w:rPr>
          <w:szCs w:val="24"/>
        </w:rPr>
        <w:t>d</w:t>
      </w:r>
      <w:r w:rsidRPr="00C73F6D" w:rsidR="006361B4">
        <w:rPr>
          <w:szCs w:val="24"/>
        </w:rPr>
        <w:t>ata (23 CFR 680.116(c))</w:t>
      </w:r>
      <w:r w:rsidR="008E31DB">
        <w:rPr>
          <w:szCs w:val="24"/>
        </w:rPr>
        <w:t xml:space="preserve"> will require</w:t>
      </w:r>
      <w:r w:rsidR="00BB14A4">
        <w:rPr>
          <w:szCs w:val="24"/>
        </w:rPr>
        <w:t xml:space="preserve"> </w:t>
      </w:r>
      <w:r w:rsidR="004A52C3">
        <w:rPr>
          <w:szCs w:val="24"/>
        </w:rPr>
        <w:t>initial configuration of</w:t>
      </w:r>
      <w:r w:rsidR="008E31DB">
        <w:rPr>
          <w:szCs w:val="24"/>
        </w:rPr>
        <w:t xml:space="preserve"> </w:t>
      </w:r>
      <w:r w:rsidR="00E42C7B">
        <w:rPr>
          <w:szCs w:val="24"/>
        </w:rPr>
        <w:t xml:space="preserve">EV charging equipment </w:t>
      </w:r>
      <w:r w:rsidR="002F1ED9">
        <w:rPr>
          <w:szCs w:val="24"/>
        </w:rPr>
        <w:t>in order to</w:t>
      </w:r>
      <w:r w:rsidR="002F1ED9">
        <w:rPr>
          <w:szCs w:val="24"/>
        </w:rPr>
        <w:t xml:space="preserve"> automate </w:t>
      </w:r>
      <w:r w:rsidR="002A6C5F">
        <w:rPr>
          <w:szCs w:val="24"/>
        </w:rPr>
        <w:t xml:space="preserve">transmittal of </w:t>
      </w:r>
      <w:r w:rsidR="002F1ED9">
        <w:rPr>
          <w:szCs w:val="24"/>
        </w:rPr>
        <w:t xml:space="preserve">data in </w:t>
      </w:r>
      <w:r w:rsidR="002D3FB8">
        <w:rPr>
          <w:szCs w:val="24"/>
        </w:rPr>
        <w:t>required formats.</w:t>
      </w:r>
      <w:r w:rsidR="00D05188">
        <w:rPr>
          <w:szCs w:val="24"/>
        </w:rPr>
        <w:t xml:space="preserve"> After this initial configuration,</w:t>
      </w:r>
      <w:r w:rsidR="00DF3473">
        <w:rPr>
          <w:szCs w:val="24"/>
        </w:rPr>
        <w:t xml:space="preserve"> these datasets will need to be validated and submitted at prescribed intervals (quarterly or real-time, </w:t>
      </w:r>
      <w:r w:rsidR="00715F3F">
        <w:rPr>
          <w:szCs w:val="24"/>
        </w:rPr>
        <w:t xml:space="preserve">as identified by regulation). </w:t>
      </w:r>
    </w:p>
    <w:p w:rsidR="009B47E5" w:rsidP="004538AA" w14:paraId="1B8FEF5C" w14:textId="0F71654F">
      <w:pPr>
        <w:rPr>
          <w:szCs w:val="24"/>
        </w:rPr>
      </w:pPr>
      <w:r>
        <w:rPr>
          <w:szCs w:val="24"/>
        </w:rPr>
        <w:t xml:space="preserve">Other datasets </w:t>
      </w:r>
      <w:r w:rsidR="007A34D1">
        <w:rPr>
          <w:szCs w:val="24"/>
        </w:rPr>
        <w:t xml:space="preserve">will require </w:t>
      </w:r>
      <w:r w:rsidR="00246761">
        <w:rPr>
          <w:szCs w:val="24"/>
        </w:rPr>
        <w:t xml:space="preserve">some </w:t>
      </w:r>
      <w:r w:rsidR="007A34D1">
        <w:rPr>
          <w:szCs w:val="24"/>
        </w:rPr>
        <w:t xml:space="preserve">manual compilation and validation. </w:t>
      </w:r>
      <w:r w:rsidR="004C040B">
        <w:rPr>
          <w:szCs w:val="24"/>
        </w:rPr>
        <w:t>U</w:t>
      </w:r>
      <w:r w:rsidR="00E44E0A">
        <w:rPr>
          <w:szCs w:val="24"/>
        </w:rPr>
        <w:t>ptime (23 CFR 680.112</w:t>
      </w:r>
      <w:r w:rsidR="00942438">
        <w:rPr>
          <w:szCs w:val="24"/>
        </w:rPr>
        <w:t>(</w:t>
      </w:r>
      <w:r w:rsidR="005F46D1">
        <w:rPr>
          <w:szCs w:val="24"/>
        </w:rPr>
        <w:t>a</w:t>
      </w:r>
      <w:r w:rsidR="00942438">
        <w:rPr>
          <w:szCs w:val="24"/>
        </w:rPr>
        <w:t>)</w:t>
      </w:r>
      <w:r w:rsidR="00E44E0A">
        <w:rPr>
          <w:szCs w:val="24"/>
        </w:rPr>
        <w:t>(7)</w:t>
      </w:r>
      <w:r w:rsidR="004C040B">
        <w:rPr>
          <w:szCs w:val="24"/>
        </w:rPr>
        <w:t xml:space="preserve">) </w:t>
      </w:r>
      <w:r w:rsidR="00C60C59">
        <w:rPr>
          <w:szCs w:val="24"/>
        </w:rPr>
        <w:t>will</w:t>
      </w:r>
      <w:r w:rsidR="00740B21">
        <w:rPr>
          <w:szCs w:val="24"/>
        </w:rPr>
        <w:t xml:space="preserve"> include automated data </w:t>
      </w:r>
      <w:r w:rsidR="009A0989">
        <w:rPr>
          <w:szCs w:val="24"/>
        </w:rPr>
        <w:t xml:space="preserve">as well as calculated </w:t>
      </w:r>
      <w:r w:rsidR="0043732F">
        <w:rPr>
          <w:szCs w:val="24"/>
        </w:rPr>
        <w:t>adjustments for exclusions and hours of operation</w:t>
      </w:r>
      <w:r w:rsidR="00F072F6">
        <w:rPr>
          <w:szCs w:val="24"/>
        </w:rPr>
        <w:t xml:space="preserve"> and is reported quarterly</w:t>
      </w:r>
      <w:r w:rsidR="0043732F">
        <w:rPr>
          <w:szCs w:val="24"/>
        </w:rPr>
        <w:t>.</w:t>
      </w:r>
      <w:r w:rsidR="00E44E0A">
        <w:rPr>
          <w:szCs w:val="24"/>
        </w:rPr>
        <w:t xml:space="preserve"> </w:t>
      </w:r>
      <w:r w:rsidR="002B7494">
        <w:rPr>
          <w:szCs w:val="24"/>
        </w:rPr>
        <w:t xml:space="preserve">Manual data reported annually include </w:t>
      </w:r>
      <w:r w:rsidR="00856BBF">
        <w:rPr>
          <w:szCs w:val="24"/>
        </w:rPr>
        <w:t xml:space="preserve">maintenance and repair costs </w:t>
      </w:r>
      <w:r w:rsidR="00241478">
        <w:rPr>
          <w:szCs w:val="24"/>
        </w:rPr>
        <w:t>(23 CFR 680.112(</w:t>
      </w:r>
      <w:r w:rsidR="005F46D1">
        <w:rPr>
          <w:szCs w:val="24"/>
        </w:rPr>
        <w:t>b</w:t>
      </w:r>
      <w:r w:rsidR="00241478">
        <w:rPr>
          <w:szCs w:val="24"/>
        </w:rPr>
        <w:t>)(</w:t>
      </w:r>
      <w:r w:rsidR="00557100">
        <w:rPr>
          <w:szCs w:val="24"/>
        </w:rPr>
        <w:t>1</w:t>
      </w:r>
      <w:r w:rsidR="00241478">
        <w:rPr>
          <w:szCs w:val="24"/>
        </w:rPr>
        <w:t>))</w:t>
      </w:r>
      <w:r w:rsidR="002B7494">
        <w:rPr>
          <w:szCs w:val="24"/>
        </w:rPr>
        <w:t xml:space="preserve"> and</w:t>
      </w:r>
      <w:r w:rsidR="0085413B">
        <w:rPr>
          <w:szCs w:val="24"/>
        </w:rPr>
        <w:t xml:space="preserve"> </w:t>
      </w:r>
      <w:r w:rsidRPr="0070699B" w:rsidR="00AF7D84">
        <w:rPr>
          <w:szCs w:val="24"/>
        </w:rPr>
        <w:t xml:space="preserve">information about entities’ </w:t>
      </w:r>
      <w:r w:rsidR="006550E0">
        <w:rPr>
          <w:szCs w:val="24"/>
        </w:rPr>
        <w:t>participation</w:t>
      </w:r>
      <w:r w:rsidRPr="0070699B" w:rsidR="00AF7D84">
        <w:rPr>
          <w:szCs w:val="24"/>
        </w:rPr>
        <w:t xml:space="preserve"> in state or local business opportunity certification programs (23 CFR 680.112(</w:t>
      </w:r>
      <w:r w:rsidR="001A2CC0">
        <w:rPr>
          <w:szCs w:val="24"/>
        </w:rPr>
        <w:t>b</w:t>
      </w:r>
      <w:r w:rsidRPr="0070699B" w:rsidR="00660D90">
        <w:rPr>
          <w:szCs w:val="24"/>
        </w:rPr>
        <w:t>)(2))</w:t>
      </w:r>
      <w:r w:rsidR="00B54E3C">
        <w:rPr>
          <w:szCs w:val="24"/>
        </w:rPr>
        <w:t>.</w:t>
      </w:r>
      <w:r w:rsidRPr="0070699B" w:rsidR="00592AC8">
        <w:rPr>
          <w:szCs w:val="24"/>
        </w:rPr>
        <w:t xml:space="preserve"> </w:t>
      </w:r>
      <w:r w:rsidR="007140C4">
        <w:rPr>
          <w:szCs w:val="24"/>
        </w:rPr>
        <w:t>Manual data reported one time include</w:t>
      </w:r>
      <w:r w:rsidR="00E96669">
        <w:rPr>
          <w:szCs w:val="24"/>
        </w:rPr>
        <w:t xml:space="preserve"> contact information for private operator</w:t>
      </w:r>
      <w:r w:rsidR="005757B6">
        <w:rPr>
          <w:szCs w:val="24"/>
        </w:rPr>
        <w:t>s</w:t>
      </w:r>
      <w:r w:rsidR="00E96669">
        <w:rPr>
          <w:szCs w:val="24"/>
        </w:rPr>
        <w:t xml:space="preserve"> (23 </w:t>
      </w:r>
      <w:r w:rsidR="001E7E93">
        <w:rPr>
          <w:szCs w:val="24"/>
        </w:rPr>
        <w:t>CFR 680.112(</w:t>
      </w:r>
      <w:r w:rsidR="001A2CC0">
        <w:rPr>
          <w:szCs w:val="24"/>
        </w:rPr>
        <w:t>c</w:t>
      </w:r>
      <w:r w:rsidR="001E7E93">
        <w:rPr>
          <w:szCs w:val="24"/>
        </w:rPr>
        <w:t>)(1)),</w:t>
      </w:r>
      <w:r w:rsidR="007140C4">
        <w:rPr>
          <w:szCs w:val="24"/>
        </w:rPr>
        <w:t xml:space="preserve"> </w:t>
      </w:r>
      <w:r w:rsidR="00C53E0C">
        <w:rPr>
          <w:szCs w:val="24"/>
        </w:rPr>
        <w:t xml:space="preserve">distributed </w:t>
      </w:r>
      <w:r w:rsidR="00CB4B01">
        <w:rPr>
          <w:szCs w:val="24"/>
        </w:rPr>
        <w:t>energy resource installed capacity (680.112</w:t>
      </w:r>
      <w:r w:rsidR="00883C40">
        <w:rPr>
          <w:szCs w:val="24"/>
        </w:rPr>
        <w:t>(</w:t>
      </w:r>
      <w:r w:rsidR="001A2CC0">
        <w:rPr>
          <w:szCs w:val="24"/>
        </w:rPr>
        <w:t>c</w:t>
      </w:r>
      <w:r w:rsidR="00883C40">
        <w:rPr>
          <w:szCs w:val="24"/>
        </w:rPr>
        <w:t>)(2)), acquisition and installation costs (680.112(</w:t>
      </w:r>
      <w:r w:rsidR="001A2CC0">
        <w:rPr>
          <w:szCs w:val="24"/>
        </w:rPr>
        <w:t>c</w:t>
      </w:r>
      <w:r w:rsidR="00883C40">
        <w:rPr>
          <w:szCs w:val="24"/>
        </w:rPr>
        <w:t xml:space="preserve">)(3)), </w:t>
      </w:r>
      <w:r w:rsidR="0031005B">
        <w:rPr>
          <w:szCs w:val="24"/>
        </w:rPr>
        <w:t>and grid connecti</w:t>
      </w:r>
      <w:r w:rsidR="00B71CCE">
        <w:rPr>
          <w:szCs w:val="24"/>
        </w:rPr>
        <w:t>o</w:t>
      </w:r>
      <w:r w:rsidR="0031005B">
        <w:rPr>
          <w:szCs w:val="24"/>
        </w:rPr>
        <w:t xml:space="preserve">n and upgrade costs </w:t>
      </w:r>
      <w:r w:rsidR="004576B1">
        <w:rPr>
          <w:szCs w:val="24"/>
        </w:rPr>
        <w:t>(680.112(</w:t>
      </w:r>
      <w:r w:rsidR="001A2CC0">
        <w:rPr>
          <w:szCs w:val="24"/>
        </w:rPr>
        <w:t>c</w:t>
      </w:r>
      <w:r w:rsidR="004576B1">
        <w:rPr>
          <w:szCs w:val="24"/>
        </w:rPr>
        <w:t xml:space="preserve">)(4)).  </w:t>
      </w:r>
      <w:r w:rsidR="00FD01C0">
        <w:rPr>
          <w:szCs w:val="24"/>
        </w:rPr>
        <w:t>Som</w:t>
      </w:r>
      <w:r w:rsidR="0085413B">
        <w:rPr>
          <w:szCs w:val="24"/>
        </w:rPr>
        <w:t>e</w:t>
      </w:r>
      <w:r w:rsidR="00FD01C0">
        <w:rPr>
          <w:szCs w:val="24"/>
        </w:rPr>
        <w:t xml:space="preserve"> manual</w:t>
      </w:r>
      <w:r w:rsidR="00231A64">
        <w:rPr>
          <w:szCs w:val="24"/>
        </w:rPr>
        <w:t xml:space="preserve"> data</w:t>
      </w:r>
      <w:r w:rsidRPr="0070699B" w:rsidR="00660D90">
        <w:rPr>
          <w:szCs w:val="24"/>
        </w:rPr>
        <w:t xml:space="preserve"> </w:t>
      </w:r>
      <w:r w:rsidR="00660D90">
        <w:rPr>
          <w:szCs w:val="24"/>
        </w:rPr>
        <w:t xml:space="preserve">will require staff to review </w:t>
      </w:r>
      <w:r w:rsidR="0077488E">
        <w:rPr>
          <w:szCs w:val="24"/>
        </w:rPr>
        <w:t>contract and invoice submittals to input and verify data.</w:t>
      </w:r>
      <w:r w:rsidR="00522132">
        <w:rPr>
          <w:szCs w:val="24"/>
        </w:rPr>
        <w:t xml:space="preserve"> </w:t>
      </w:r>
      <w:r w:rsidR="00240ABD">
        <w:rPr>
          <w:szCs w:val="24"/>
        </w:rPr>
        <w:t>C</w:t>
      </w:r>
      <w:r w:rsidR="00F80F10">
        <w:rPr>
          <w:szCs w:val="24"/>
        </w:rPr>
        <w:t xml:space="preserve">ommunity </w:t>
      </w:r>
      <w:r w:rsidR="00115223">
        <w:rPr>
          <w:szCs w:val="24"/>
        </w:rPr>
        <w:t xml:space="preserve">engagement outcomes </w:t>
      </w:r>
      <w:r w:rsidR="00F630E7">
        <w:rPr>
          <w:szCs w:val="24"/>
        </w:rPr>
        <w:t>(23 CFR 680.112(</w:t>
      </w:r>
      <w:r w:rsidR="004452BC">
        <w:rPr>
          <w:szCs w:val="24"/>
        </w:rPr>
        <w:t xml:space="preserve">d)) will require </w:t>
      </w:r>
      <w:r w:rsidR="00F155D2">
        <w:rPr>
          <w:szCs w:val="24"/>
        </w:rPr>
        <w:t xml:space="preserve">staff to collect and synthesize </w:t>
      </w:r>
      <w:r w:rsidR="00976BBD">
        <w:rPr>
          <w:szCs w:val="24"/>
        </w:rPr>
        <w:t>information on community engagement activities</w:t>
      </w:r>
      <w:r w:rsidR="0068090C">
        <w:rPr>
          <w:szCs w:val="24"/>
        </w:rPr>
        <w:t xml:space="preserve"> and include in the annual State EV Infrastructure Deployment Plan.</w:t>
      </w:r>
    </w:p>
    <w:p w:rsidR="00457497" w:rsidP="004538AA" w14:paraId="13E60373" w14:textId="1AEF65FB">
      <w:pPr>
        <w:rPr>
          <w:szCs w:val="24"/>
        </w:rPr>
      </w:pPr>
      <w:r>
        <w:rPr>
          <w:szCs w:val="24"/>
        </w:rPr>
        <w:t xml:space="preserve">The </w:t>
      </w:r>
      <w:r w:rsidR="00787D71">
        <w:rPr>
          <w:szCs w:val="24"/>
        </w:rPr>
        <w:t>staff time</w:t>
      </w:r>
      <w:r>
        <w:rPr>
          <w:szCs w:val="24"/>
        </w:rPr>
        <w:t xml:space="preserve"> required for the</w:t>
      </w:r>
      <w:r w:rsidR="00787D71">
        <w:rPr>
          <w:szCs w:val="24"/>
        </w:rPr>
        <w:t xml:space="preserve">se submittals includes time </w:t>
      </w:r>
      <w:r w:rsidR="00425F48">
        <w:rPr>
          <w:szCs w:val="24"/>
        </w:rPr>
        <w:t xml:space="preserve">by </w:t>
      </w:r>
      <w:r w:rsidR="002D3748">
        <w:rPr>
          <w:szCs w:val="24"/>
        </w:rPr>
        <w:t>State</w:t>
      </w:r>
      <w:r w:rsidR="00C21687">
        <w:rPr>
          <w:szCs w:val="24"/>
        </w:rPr>
        <w:t xml:space="preserve"> DOT’s</w:t>
      </w:r>
      <w:r w:rsidR="00477505">
        <w:rPr>
          <w:szCs w:val="24"/>
        </w:rPr>
        <w:t xml:space="preserve">, </w:t>
      </w:r>
      <w:r w:rsidR="00205031">
        <w:rPr>
          <w:szCs w:val="24"/>
        </w:rPr>
        <w:t>other direct recipients</w:t>
      </w:r>
      <w:r w:rsidR="00477505">
        <w:rPr>
          <w:szCs w:val="24"/>
        </w:rPr>
        <w:t>, and</w:t>
      </w:r>
      <w:r w:rsidR="00EA2ECD">
        <w:rPr>
          <w:szCs w:val="24"/>
        </w:rPr>
        <w:t xml:space="preserve"> </w:t>
      </w:r>
      <w:r w:rsidR="002D3748">
        <w:rPr>
          <w:szCs w:val="24"/>
        </w:rPr>
        <w:t xml:space="preserve">contractors (likely </w:t>
      </w:r>
      <w:r w:rsidR="00425F48">
        <w:rPr>
          <w:szCs w:val="24"/>
        </w:rPr>
        <w:t>Charging Station Operators or Charging Network Providers</w:t>
      </w:r>
      <w:r w:rsidR="002D3748">
        <w:rPr>
          <w:szCs w:val="24"/>
        </w:rPr>
        <w:t>)</w:t>
      </w:r>
      <w:r w:rsidR="00C21687">
        <w:rPr>
          <w:szCs w:val="24"/>
        </w:rPr>
        <w:t>.</w:t>
      </w:r>
      <w:r w:rsidR="00425F48">
        <w:rPr>
          <w:szCs w:val="24"/>
        </w:rPr>
        <w:t xml:space="preserve">  </w:t>
      </w:r>
      <w:r w:rsidR="00346361">
        <w:rPr>
          <w:szCs w:val="24"/>
        </w:rPr>
        <w:t>Only the staff time of State DOT</w:t>
      </w:r>
      <w:r w:rsidR="00D255EA">
        <w:rPr>
          <w:szCs w:val="24"/>
        </w:rPr>
        <w:t xml:space="preserve">’s and </w:t>
      </w:r>
      <w:r w:rsidR="00205031">
        <w:rPr>
          <w:szCs w:val="24"/>
        </w:rPr>
        <w:t>other direct recipients</w:t>
      </w:r>
      <w:r w:rsidR="00B155A6">
        <w:rPr>
          <w:szCs w:val="24"/>
        </w:rPr>
        <w:t xml:space="preserve"> is used in the </w:t>
      </w:r>
      <w:r w:rsidR="005F1E24">
        <w:rPr>
          <w:szCs w:val="24"/>
        </w:rPr>
        <w:t>estimate of burden hours and annual costs burden (#12 &amp; 13 below)</w:t>
      </w:r>
      <w:r w:rsidR="00FB578E">
        <w:rPr>
          <w:szCs w:val="24"/>
        </w:rPr>
        <w:t xml:space="preserve"> later in this document.</w:t>
      </w:r>
    </w:p>
    <w:p w:rsidR="00981C72" w:rsidP="004538AA" w14:paraId="2A6C1E8D" w14:textId="69DC6499">
      <w:r>
        <w:rPr>
          <w:szCs w:val="24"/>
        </w:rPr>
        <w:t>Data collected will serve two primary purposes</w:t>
      </w:r>
      <w:r w:rsidR="00972A63">
        <w:rPr>
          <w:szCs w:val="24"/>
        </w:rPr>
        <w:t xml:space="preserve">. First, the data will be used </w:t>
      </w:r>
      <w:r w:rsidR="00972A63">
        <w:rPr>
          <w:szCs w:val="24"/>
        </w:rPr>
        <w:t>in order to</w:t>
      </w:r>
      <w:r w:rsidR="00972A63">
        <w:rPr>
          <w:szCs w:val="24"/>
        </w:rPr>
        <w:t xml:space="preserve"> </w:t>
      </w:r>
      <w:r w:rsidR="00E84386">
        <w:rPr>
          <w:szCs w:val="24"/>
        </w:rPr>
        <w:t xml:space="preserve">communicate key information with EV drivers about the </w:t>
      </w:r>
      <w:r w:rsidR="00DF5ADD">
        <w:rPr>
          <w:szCs w:val="24"/>
        </w:rPr>
        <w:t xml:space="preserve">location, </w:t>
      </w:r>
      <w:r w:rsidR="00E84386">
        <w:rPr>
          <w:szCs w:val="24"/>
        </w:rPr>
        <w:t>availability</w:t>
      </w:r>
      <w:r w:rsidR="00DF5ADD">
        <w:rPr>
          <w:szCs w:val="24"/>
        </w:rPr>
        <w:t>,</w:t>
      </w:r>
      <w:r w:rsidR="00E84386">
        <w:rPr>
          <w:szCs w:val="24"/>
        </w:rPr>
        <w:t xml:space="preserve"> and capabilities of EV charging stations across the country. </w:t>
      </w:r>
      <w:r w:rsidR="00073D3F">
        <w:rPr>
          <w:szCs w:val="24"/>
        </w:rPr>
        <w:t xml:space="preserve">The </w:t>
      </w:r>
      <w:r w:rsidR="00CC71F3">
        <w:rPr>
          <w:szCs w:val="24"/>
        </w:rPr>
        <w:t>ability to communicate this information is critical for the</w:t>
      </w:r>
      <w:r w:rsidR="00197264">
        <w:rPr>
          <w:szCs w:val="24"/>
        </w:rPr>
        <w:t xml:space="preserve"> EV users to </w:t>
      </w:r>
      <w:r w:rsidR="00792EB6">
        <w:rPr>
          <w:szCs w:val="24"/>
        </w:rPr>
        <w:t xml:space="preserve">be able to make informed decisions about travel and particularly about long-distance travel or travel in unfamiliar areas. </w:t>
      </w:r>
      <w:r w:rsidR="00676F3F">
        <w:rPr>
          <w:szCs w:val="24"/>
        </w:rPr>
        <w:t xml:space="preserve">These data will be used by </w:t>
      </w:r>
      <w:r w:rsidR="00676F3F">
        <w:rPr>
          <w:szCs w:val="24"/>
        </w:rPr>
        <w:t>third-parties</w:t>
      </w:r>
      <w:r w:rsidR="00676F3F">
        <w:rPr>
          <w:szCs w:val="24"/>
        </w:rPr>
        <w:t xml:space="preserve"> to communicate </w:t>
      </w:r>
      <w:r w:rsidR="006E4750">
        <w:rPr>
          <w:szCs w:val="24"/>
        </w:rPr>
        <w:t>real-time information to EV users through</w:t>
      </w:r>
      <w:r w:rsidR="00676F3F">
        <w:rPr>
          <w:szCs w:val="24"/>
        </w:rPr>
        <w:t xml:space="preserve"> application programming interface</w:t>
      </w:r>
      <w:r w:rsidR="006E4750">
        <w:rPr>
          <w:szCs w:val="24"/>
        </w:rPr>
        <w:t xml:space="preserve">. </w:t>
      </w:r>
    </w:p>
    <w:p w:rsidR="006D28C6" w:rsidRPr="00240E0F" w:rsidP="004538AA" w14:paraId="158726EA" w14:textId="3A6D22E7">
      <w:pPr>
        <w:rPr>
          <w:szCs w:val="24"/>
        </w:rPr>
      </w:pPr>
      <w:r>
        <w:t xml:space="preserve">The data will also serve to </w:t>
      </w:r>
      <w:r w:rsidR="00931623">
        <w:t xml:space="preserve">enable </w:t>
      </w:r>
      <w:r w:rsidR="00EC41AE">
        <w:t xml:space="preserve">FHWA and the Joint Office to complete duties required through BIL </w:t>
      </w:r>
      <w:r w:rsidR="007655FA">
        <w:t xml:space="preserve">to </w:t>
      </w:r>
      <w:r w:rsidR="00EA2E55">
        <w:t xml:space="preserve">publish a </w:t>
      </w:r>
      <w:r w:rsidR="007655FA">
        <w:t>public database</w:t>
      </w:r>
      <w:r w:rsidR="0032499E">
        <w:t xml:space="preserve"> with EV charging information</w:t>
      </w:r>
      <w:r>
        <w:rPr>
          <w:rStyle w:val="FootnoteReference"/>
        </w:rPr>
        <w:footnoteReference w:id="3"/>
      </w:r>
      <w:r w:rsidR="008B7355">
        <w:t xml:space="preserve">.  </w:t>
      </w:r>
      <w:r w:rsidR="00EA2E55">
        <w:t xml:space="preserve">Specifically, the Joint </w:t>
      </w:r>
      <w:r w:rsidR="00EA2E55">
        <w:t xml:space="preserve">Office is required to establish and maintain </w:t>
      </w:r>
      <w:r w:rsidR="00452A41">
        <w:t xml:space="preserve">information currently available on the </w:t>
      </w:r>
      <w:r w:rsidR="002C42A6">
        <w:t>Alternative Fuels Data Center (</w:t>
      </w:r>
      <w:r w:rsidR="00452A41">
        <w:t>AFDC</w:t>
      </w:r>
      <w:r w:rsidR="0028494A">
        <w:t>)</w:t>
      </w:r>
      <w:r w:rsidR="00452A41">
        <w:t xml:space="preserve"> website, </w:t>
      </w:r>
      <w:r w:rsidR="005C07BF">
        <w:t xml:space="preserve">to identify potential locations for EV charging stations and </w:t>
      </w:r>
      <w:r w:rsidR="00FB0E41">
        <w:t xml:space="preserve">to provide sortable information regarding various EV charging station characteristics. The provision of this database enables the Joint Office to support States in ongoing assessment and planning for improvements to </w:t>
      </w:r>
      <w:r w:rsidR="00E93C4C">
        <w:t xml:space="preserve">their EV charging infrastructure in a manner that contributes to the national EV charging network. </w:t>
      </w:r>
    </w:p>
    <w:bookmarkEnd w:id="10"/>
    <w:bookmarkEnd w:id="11"/>
    <w:p w:rsidR="008C1FA9" w:rsidP="008C1FA9" w14:paraId="65F5C3AD" w14:textId="2060B631">
      <w:pPr>
        <w:pStyle w:val="Heading2"/>
        <w:numPr>
          <w:ilvl w:val="0"/>
          <w:numId w:val="8"/>
        </w:numPr>
        <w:tabs>
          <w:tab w:val="clear" w:pos="720"/>
        </w:tabs>
        <w:ind w:left="720"/>
      </w:pPr>
      <w:r w:rsidRPr="00A10736">
        <w:rPr>
          <w:u w:val="single"/>
        </w:rPr>
        <w:t>Extent of automated information collection</w:t>
      </w:r>
      <w:r w:rsidR="00AB08B0">
        <w:t xml:space="preserve">. </w:t>
      </w:r>
    </w:p>
    <w:p w:rsidR="00EE4CEF" w:rsidRPr="008B55EA" w:rsidP="00045A5A" w14:paraId="3008EC0F" w14:textId="4069BA8D">
      <w:pPr>
        <w:rPr>
          <w:szCs w:val="24"/>
        </w:rPr>
      </w:pPr>
      <w:r w:rsidRPr="008B55EA">
        <w:rPr>
          <w:szCs w:val="24"/>
        </w:rPr>
        <w:t xml:space="preserve">All data will be collected electronically. </w:t>
      </w:r>
      <w:r w:rsidR="00932D56">
        <w:rPr>
          <w:szCs w:val="24"/>
        </w:rPr>
        <w:t>The</w:t>
      </w:r>
      <w:r w:rsidR="00794EC9">
        <w:rPr>
          <w:szCs w:val="24"/>
        </w:rPr>
        <w:t xml:space="preserve"> format of data collection will be provided to the States</w:t>
      </w:r>
      <w:r w:rsidR="006F0021">
        <w:rPr>
          <w:szCs w:val="24"/>
        </w:rPr>
        <w:t xml:space="preserve"> and </w:t>
      </w:r>
      <w:r w:rsidR="008212BE">
        <w:rPr>
          <w:szCs w:val="24"/>
        </w:rPr>
        <w:t>other direct recipients</w:t>
      </w:r>
      <w:r w:rsidR="00794EC9">
        <w:rPr>
          <w:szCs w:val="24"/>
        </w:rPr>
        <w:t xml:space="preserve"> with instructions for </w:t>
      </w:r>
      <w:r w:rsidR="002E5C8E">
        <w:rPr>
          <w:szCs w:val="24"/>
        </w:rPr>
        <w:t xml:space="preserve">submission to the Joint Office. </w:t>
      </w:r>
      <w:r w:rsidRPr="008B55EA">
        <w:rPr>
          <w:szCs w:val="24"/>
        </w:rPr>
        <w:t xml:space="preserve">The </w:t>
      </w:r>
      <w:r w:rsidRPr="008B55EA" w:rsidR="002855A0">
        <w:rPr>
          <w:szCs w:val="24"/>
        </w:rPr>
        <w:t xml:space="preserve">Joint Office </w:t>
      </w:r>
      <w:r w:rsidRPr="008B55EA">
        <w:rPr>
          <w:szCs w:val="24"/>
        </w:rPr>
        <w:t xml:space="preserve">will provide technical support to each respondent to help them </w:t>
      </w:r>
      <w:r w:rsidRPr="008B55EA" w:rsidR="002855A0">
        <w:rPr>
          <w:szCs w:val="24"/>
        </w:rPr>
        <w:t>with any potential data submittal issues.</w:t>
      </w:r>
      <w:r w:rsidRPr="008B55EA">
        <w:rPr>
          <w:szCs w:val="24"/>
        </w:rPr>
        <w:t xml:space="preserve"> </w:t>
      </w:r>
    </w:p>
    <w:p w:rsidR="00045A5A" w:rsidRPr="008B55EA" w:rsidP="00045A5A" w14:paraId="00C4B4A5" w14:textId="1A4769B8">
      <w:pPr>
        <w:rPr>
          <w:szCs w:val="24"/>
        </w:rPr>
      </w:pPr>
      <w:r w:rsidRPr="008B55EA">
        <w:rPr>
          <w:szCs w:val="24"/>
        </w:rPr>
        <w:t xml:space="preserve">The information is being collected through an electronic </w:t>
      </w:r>
      <w:r w:rsidRPr="008B55EA" w:rsidR="00EA0D55">
        <w:rPr>
          <w:szCs w:val="24"/>
        </w:rPr>
        <w:t>submittal</w:t>
      </w:r>
      <w:r w:rsidRPr="008B55EA">
        <w:rPr>
          <w:szCs w:val="24"/>
        </w:rPr>
        <w:t xml:space="preserve"> because it is the easiest,</w:t>
      </w:r>
      <w:r w:rsidRPr="008B55EA" w:rsidR="008B55EA">
        <w:rPr>
          <w:szCs w:val="24"/>
        </w:rPr>
        <w:t xml:space="preserve"> most expeditious,</w:t>
      </w:r>
      <w:r w:rsidRPr="008B55EA">
        <w:rPr>
          <w:szCs w:val="24"/>
        </w:rPr>
        <w:t xml:space="preserve"> least-cost approach for collecting the information</w:t>
      </w:r>
      <w:r w:rsidRPr="008B55EA" w:rsidR="008B55EA">
        <w:rPr>
          <w:szCs w:val="24"/>
        </w:rPr>
        <w:t xml:space="preserve"> and </w:t>
      </w:r>
      <w:r w:rsidR="001F6F2A">
        <w:rPr>
          <w:szCs w:val="24"/>
        </w:rPr>
        <w:t>e</w:t>
      </w:r>
      <w:r w:rsidRPr="008B55EA" w:rsidR="008B55EA">
        <w:rPr>
          <w:szCs w:val="24"/>
        </w:rPr>
        <w:t>nsuring it is submitted in a uniform manner</w:t>
      </w:r>
      <w:r w:rsidRPr="008B55EA">
        <w:rPr>
          <w:szCs w:val="24"/>
        </w:rPr>
        <w:t xml:space="preserve">. The electronic </w:t>
      </w:r>
      <w:r w:rsidRPr="008B55EA" w:rsidR="008B55EA">
        <w:rPr>
          <w:szCs w:val="24"/>
        </w:rPr>
        <w:t>submittal is</w:t>
      </w:r>
      <w:r w:rsidRPr="008B55EA">
        <w:rPr>
          <w:szCs w:val="24"/>
        </w:rPr>
        <w:t xml:space="preserve"> inexpensive to distribute and track, minimizes the burden on respondents, and facilitate</w:t>
      </w:r>
      <w:r w:rsidRPr="008B55EA" w:rsidR="008B55EA">
        <w:rPr>
          <w:szCs w:val="24"/>
        </w:rPr>
        <w:t>s</w:t>
      </w:r>
      <w:r w:rsidRPr="008B55EA">
        <w:rPr>
          <w:szCs w:val="24"/>
        </w:rPr>
        <w:t xml:space="preserve"> the creation of </w:t>
      </w:r>
      <w:r w:rsidR="004955C3">
        <w:rPr>
          <w:szCs w:val="24"/>
        </w:rPr>
        <w:t xml:space="preserve">a </w:t>
      </w:r>
      <w:r w:rsidRPr="008B55EA" w:rsidR="008B55EA">
        <w:rPr>
          <w:szCs w:val="24"/>
        </w:rPr>
        <w:t>public-facing Joint Office database required by BIL</w:t>
      </w:r>
      <w:r w:rsidRPr="008B55EA">
        <w:rPr>
          <w:szCs w:val="24"/>
        </w:rPr>
        <w:t xml:space="preserve">. </w:t>
      </w:r>
    </w:p>
    <w:p w:rsidR="00603E2D" w:rsidRPr="004A4C4A" w:rsidP="009E31E6" w14:paraId="066E9C6F" w14:textId="4F8CD088">
      <w:pPr>
        <w:pStyle w:val="Heading2"/>
        <w:ind w:left="0" w:firstLine="0"/>
        <w:rPr>
          <w:rStyle w:val="IntenseEmphasis"/>
        </w:rPr>
      </w:pPr>
      <w:r w:rsidRPr="009C32CF">
        <w:t>4.</w:t>
      </w:r>
      <w:r w:rsidRPr="009C32CF">
        <w:tab/>
      </w:r>
      <w:r w:rsidR="00F23F68">
        <w:rPr>
          <w:u w:val="single"/>
        </w:rPr>
        <w:t>Describe e</w:t>
      </w:r>
      <w:r w:rsidRPr="009E31E6">
        <w:rPr>
          <w:u w:val="single"/>
        </w:rPr>
        <w:t>fforts to identify duplication</w:t>
      </w:r>
      <w:r w:rsidRPr="009E31E6" w:rsidR="003B3B4C">
        <w:rPr>
          <w:u w:val="single"/>
        </w:rPr>
        <w:t>.</w:t>
      </w:r>
      <w:r w:rsidR="003B3B4C">
        <w:t xml:space="preserve"> </w:t>
      </w:r>
      <w:r w:rsidRPr="00981917" w:rsidR="003B3B4C">
        <w:t xml:space="preserve"> </w:t>
      </w:r>
    </w:p>
    <w:p w:rsidR="00FD5523" w:rsidRPr="00AA619C" w:rsidP="003E27D4" w14:paraId="04570B60" w14:textId="2CEF1A27">
      <w:pPr>
        <w:rPr>
          <w:szCs w:val="24"/>
        </w:rPr>
      </w:pPr>
      <w:r w:rsidRPr="00AA619C">
        <w:rPr>
          <w:szCs w:val="24"/>
        </w:rPr>
        <w:t>Certain data</w:t>
      </w:r>
      <w:r w:rsidR="00B06B13">
        <w:rPr>
          <w:szCs w:val="24"/>
        </w:rPr>
        <w:t xml:space="preserve"> elements</w:t>
      </w:r>
      <w:r w:rsidRPr="00AA619C">
        <w:rPr>
          <w:szCs w:val="24"/>
        </w:rPr>
        <w:t xml:space="preserve"> requested through </w:t>
      </w:r>
      <w:r w:rsidRPr="00AA619C" w:rsidR="00777FA8">
        <w:rPr>
          <w:szCs w:val="24"/>
        </w:rPr>
        <w:t>23 CFR 680.116(c)</w:t>
      </w:r>
      <w:r w:rsidRPr="00AA619C" w:rsidR="00D11930">
        <w:rPr>
          <w:szCs w:val="24"/>
        </w:rPr>
        <w:t xml:space="preserve"> are </w:t>
      </w:r>
      <w:r w:rsidR="00143D3C">
        <w:rPr>
          <w:szCs w:val="24"/>
        </w:rPr>
        <w:t xml:space="preserve">also </w:t>
      </w:r>
      <w:r w:rsidRPr="00AA619C" w:rsidR="00D11930">
        <w:rPr>
          <w:szCs w:val="24"/>
        </w:rPr>
        <w:t>currently</w:t>
      </w:r>
      <w:r w:rsidRPr="00AA619C" w:rsidR="008C3908">
        <w:rPr>
          <w:szCs w:val="24"/>
        </w:rPr>
        <w:t xml:space="preserve"> made</w:t>
      </w:r>
      <w:r w:rsidRPr="00AA619C" w:rsidR="00D11930">
        <w:rPr>
          <w:szCs w:val="24"/>
        </w:rPr>
        <w:t xml:space="preserve"> available through the AFDC alternative fueling station locator. </w:t>
      </w:r>
      <w:r w:rsidRPr="00AA619C" w:rsidR="008C3908">
        <w:rPr>
          <w:szCs w:val="24"/>
        </w:rPr>
        <w:t xml:space="preserve">However, </w:t>
      </w:r>
      <w:r w:rsidR="00AA619C">
        <w:rPr>
          <w:szCs w:val="24"/>
        </w:rPr>
        <w:t>these</w:t>
      </w:r>
      <w:r w:rsidRPr="00AA619C" w:rsidR="008C3908">
        <w:rPr>
          <w:szCs w:val="24"/>
        </w:rPr>
        <w:t xml:space="preserve"> data </w:t>
      </w:r>
      <w:r w:rsidR="00AA619C">
        <w:rPr>
          <w:szCs w:val="24"/>
        </w:rPr>
        <w:t>are</w:t>
      </w:r>
      <w:r w:rsidRPr="00AA619C" w:rsidR="008C3908">
        <w:rPr>
          <w:szCs w:val="24"/>
        </w:rPr>
        <w:t xml:space="preserve"> </w:t>
      </w:r>
      <w:r w:rsidRPr="00AA619C">
        <w:rPr>
          <w:szCs w:val="24"/>
        </w:rPr>
        <w:t>currently collected through data mining activities and submission requests from a diversity of sources t</w:t>
      </w:r>
      <w:r w:rsidR="00465C51">
        <w:rPr>
          <w:szCs w:val="24"/>
        </w:rPr>
        <w:t>hat</w:t>
      </w:r>
      <w:r w:rsidRPr="00AA619C">
        <w:rPr>
          <w:szCs w:val="24"/>
        </w:rPr>
        <w:t xml:space="preserve"> include</w:t>
      </w:r>
      <w:r w:rsidR="00465C51">
        <w:rPr>
          <w:szCs w:val="24"/>
        </w:rPr>
        <w:t>s</w:t>
      </w:r>
      <w:r w:rsidRPr="00AA619C">
        <w:rPr>
          <w:szCs w:val="24"/>
        </w:rPr>
        <w:t xml:space="preserve"> trade media, Clean Cities coordinators, the AFDC website, charging station owners, original equipment manufacturers (OEMs) and industry groups. </w:t>
      </w:r>
      <w:r w:rsidRPr="00AA619C" w:rsidR="00974158">
        <w:rPr>
          <w:szCs w:val="24"/>
        </w:rPr>
        <w:t xml:space="preserve"> The current methods used to collect the data displayed on the AFDC alternative fueling station locator </w:t>
      </w:r>
      <w:r w:rsidRPr="00AA619C" w:rsidR="00BD4AC3">
        <w:rPr>
          <w:szCs w:val="24"/>
        </w:rPr>
        <w:t>require extensive data mining and coordination</w:t>
      </w:r>
      <w:r w:rsidRPr="00AA619C" w:rsidR="00CD2D37">
        <w:rPr>
          <w:szCs w:val="24"/>
        </w:rPr>
        <w:t xml:space="preserve"> which can be significantly streamlined through the process</w:t>
      </w:r>
      <w:r w:rsidRPr="00AA619C" w:rsidR="00216792">
        <w:rPr>
          <w:szCs w:val="24"/>
        </w:rPr>
        <w:t xml:space="preserve"> described in this document. Additionally,</w:t>
      </w:r>
      <w:r w:rsidRPr="00AA619C" w:rsidR="001069C9">
        <w:rPr>
          <w:szCs w:val="24"/>
        </w:rPr>
        <w:t xml:space="preserve"> the</w:t>
      </w:r>
      <w:r w:rsidRPr="00AA619C" w:rsidR="00216792">
        <w:rPr>
          <w:szCs w:val="24"/>
        </w:rPr>
        <w:t xml:space="preserve"> AFDC alternative fueling station locator </w:t>
      </w:r>
      <w:r w:rsidRPr="00AA619C" w:rsidR="001069C9">
        <w:rPr>
          <w:szCs w:val="24"/>
        </w:rPr>
        <w:t xml:space="preserve">currently displays data </w:t>
      </w:r>
      <w:r w:rsidRPr="00AA619C" w:rsidR="00F76093">
        <w:rPr>
          <w:szCs w:val="24"/>
        </w:rPr>
        <w:t xml:space="preserve">contributed on a voluntary basis and thus lacks the comprehensive </w:t>
      </w:r>
      <w:r w:rsidRPr="00AA619C" w:rsidR="00AA619C">
        <w:rPr>
          <w:szCs w:val="24"/>
        </w:rPr>
        <w:t xml:space="preserve">nature and accuracy of required data submittals. </w:t>
      </w:r>
    </w:p>
    <w:p w:rsidR="003E27D4" w:rsidRPr="00741D4D" w:rsidP="003E27D4" w14:paraId="6717626E" w14:textId="027CC52B">
      <w:pPr>
        <w:rPr>
          <w:szCs w:val="24"/>
        </w:rPr>
      </w:pPr>
      <w:r w:rsidRPr="00741D4D">
        <w:rPr>
          <w:szCs w:val="24"/>
        </w:rPr>
        <w:t>Other data required through 23 CFR 680.112 are not collected through any other means</w:t>
      </w:r>
      <w:r w:rsidR="00741D4D">
        <w:rPr>
          <w:szCs w:val="24"/>
        </w:rPr>
        <w:t xml:space="preserve"> and would not be available if not submitted through the process described herein</w:t>
      </w:r>
      <w:r w:rsidRPr="00741D4D" w:rsidR="00741D4D">
        <w:rPr>
          <w:szCs w:val="24"/>
        </w:rPr>
        <w:t>.</w:t>
      </w:r>
    </w:p>
    <w:p w:rsidR="008C1FA9" w:rsidP="0028306B" w14:paraId="173B0BA9" w14:textId="4F3B1CB9">
      <w:pPr>
        <w:pStyle w:val="Heading2"/>
        <w:numPr>
          <w:ilvl w:val="0"/>
          <w:numId w:val="15"/>
        </w:numPr>
        <w:ind w:hanging="1080"/>
      </w:pPr>
      <w:r w:rsidRPr="00F54C28">
        <w:rPr>
          <w:u w:val="single"/>
        </w:rPr>
        <w:t>Efforts to minimize burden on small businesses</w:t>
      </w:r>
      <w:r w:rsidRPr="00F54C28" w:rsidR="00A64F4A">
        <w:rPr>
          <w:u w:val="single"/>
        </w:rPr>
        <w:t>.</w:t>
      </w:r>
      <w:r w:rsidR="00A64F4A">
        <w:t xml:space="preserve"> </w:t>
      </w:r>
    </w:p>
    <w:p w:rsidR="00603E2D" w:rsidRPr="001443E6" w14:paraId="383A6576" w14:textId="7590401A">
      <w:pPr>
        <w:rPr>
          <w:szCs w:val="24"/>
        </w:rPr>
      </w:pPr>
      <w:r w:rsidRPr="001443E6">
        <w:rPr>
          <w:szCs w:val="24"/>
        </w:rPr>
        <w:t xml:space="preserve">It is anticipated that small businesses will participate as contractors </w:t>
      </w:r>
      <w:r w:rsidRPr="001443E6" w:rsidR="00FB57D1">
        <w:rPr>
          <w:szCs w:val="24"/>
        </w:rPr>
        <w:t>for some of the State DOTs</w:t>
      </w:r>
      <w:r w:rsidR="00382E36">
        <w:rPr>
          <w:szCs w:val="24"/>
        </w:rPr>
        <w:t xml:space="preserve"> and </w:t>
      </w:r>
      <w:r w:rsidR="000C30EF">
        <w:rPr>
          <w:szCs w:val="24"/>
        </w:rPr>
        <w:t>other direct recipients</w:t>
      </w:r>
      <w:r w:rsidRPr="001443E6" w:rsidR="00FB57D1">
        <w:rPr>
          <w:szCs w:val="24"/>
        </w:rPr>
        <w:t xml:space="preserve"> in the construction, operation, and maintenance of EV charging stations.</w:t>
      </w:r>
      <w:r w:rsidR="00A60D7A">
        <w:rPr>
          <w:szCs w:val="24"/>
        </w:rPr>
        <w:t xml:space="preserve"> </w:t>
      </w:r>
      <w:r w:rsidR="0075527F">
        <w:rPr>
          <w:szCs w:val="24"/>
        </w:rPr>
        <w:t xml:space="preserve">For </w:t>
      </w:r>
      <w:r w:rsidRPr="005F5601" w:rsidR="0075527F">
        <w:rPr>
          <w:szCs w:val="24"/>
        </w:rPr>
        <w:t>23 CFR 680.112</w:t>
      </w:r>
      <w:r w:rsidR="0075527F">
        <w:rPr>
          <w:szCs w:val="24"/>
        </w:rPr>
        <w:t>, d</w:t>
      </w:r>
      <w:r w:rsidR="00A60D7A">
        <w:rPr>
          <w:szCs w:val="24"/>
        </w:rPr>
        <w:t xml:space="preserve">ata </w:t>
      </w:r>
      <w:r w:rsidR="0075527F">
        <w:rPr>
          <w:szCs w:val="24"/>
        </w:rPr>
        <w:t>were</w:t>
      </w:r>
      <w:r w:rsidR="00A60D7A">
        <w:rPr>
          <w:szCs w:val="24"/>
        </w:rPr>
        <w:t xml:space="preserve"> reviewed to </w:t>
      </w:r>
      <w:r w:rsidR="0075527F">
        <w:rPr>
          <w:szCs w:val="24"/>
        </w:rPr>
        <w:t xml:space="preserve">include only the items most critical for managing and improving the </w:t>
      </w:r>
      <w:r w:rsidR="00607248">
        <w:rPr>
          <w:szCs w:val="24"/>
        </w:rPr>
        <w:t>Federal programs</w:t>
      </w:r>
      <w:r w:rsidR="0075527F">
        <w:rPr>
          <w:szCs w:val="24"/>
        </w:rPr>
        <w:t xml:space="preserve">. For </w:t>
      </w:r>
      <w:r w:rsidRPr="005F5601" w:rsidR="0075527F">
        <w:rPr>
          <w:szCs w:val="24"/>
        </w:rPr>
        <w:t>23 CFR 680.11</w:t>
      </w:r>
      <w:r w:rsidR="0075527F">
        <w:rPr>
          <w:szCs w:val="24"/>
        </w:rPr>
        <w:t xml:space="preserve">6, data were reviewed to include only the items most critical for improving </w:t>
      </w:r>
      <w:r w:rsidR="00922C09">
        <w:rPr>
          <w:szCs w:val="24"/>
        </w:rPr>
        <w:t>customer experience</w:t>
      </w:r>
      <w:r w:rsidR="00B018C2">
        <w:rPr>
          <w:szCs w:val="24"/>
        </w:rPr>
        <w:t xml:space="preserve">, which is expected to increase </w:t>
      </w:r>
      <w:r w:rsidR="000809D8">
        <w:rPr>
          <w:szCs w:val="24"/>
        </w:rPr>
        <w:t xml:space="preserve">business at </w:t>
      </w:r>
      <w:r w:rsidR="007B65ED">
        <w:rPr>
          <w:szCs w:val="24"/>
        </w:rPr>
        <w:t>charging stations</w:t>
      </w:r>
      <w:r w:rsidR="00922C09">
        <w:rPr>
          <w:szCs w:val="24"/>
        </w:rPr>
        <w:t>.</w:t>
      </w:r>
      <w:r w:rsidRPr="001443E6" w:rsidR="001443E6">
        <w:rPr>
          <w:szCs w:val="24"/>
        </w:rPr>
        <w:t xml:space="preserve"> </w:t>
      </w:r>
    </w:p>
    <w:p w:rsidR="008C1FA9" w:rsidP="00283FD7" w14:paraId="6B295C2A" w14:textId="67CFCC82">
      <w:pPr>
        <w:pStyle w:val="Heading2"/>
        <w:numPr>
          <w:ilvl w:val="0"/>
          <w:numId w:val="15"/>
        </w:numPr>
        <w:ind w:hanging="1080"/>
      </w:pPr>
      <w:r w:rsidRPr="00283FD7">
        <w:rPr>
          <w:u w:val="single"/>
        </w:rPr>
        <w:t>Impact of less frequent collection of information</w:t>
      </w:r>
      <w:r w:rsidRPr="00F54C28" w:rsidR="00885FE3">
        <w:t>.</w:t>
      </w:r>
      <w:r w:rsidRPr="00F54C28" w:rsidR="001D4004">
        <w:t xml:space="preserve"> </w:t>
      </w:r>
    </w:p>
    <w:p w:rsidR="009B7D82" w:rsidRPr="00B94DB1" w14:paraId="708B0C43" w14:textId="4F54EF2E">
      <w:pPr>
        <w:rPr>
          <w:szCs w:val="24"/>
        </w:rPr>
      </w:pPr>
      <w:r w:rsidRPr="00B94DB1">
        <w:rPr>
          <w:szCs w:val="24"/>
        </w:rPr>
        <w:t>Efforts were made to require these data submittals at the longest intervals</w:t>
      </w:r>
      <w:r w:rsidRPr="00B94DB1" w:rsidR="00BB08F9">
        <w:rPr>
          <w:szCs w:val="24"/>
        </w:rPr>
        <w:t xml:space="preserve"> </w:t>
      </w:r>
      <w:r w:rsidR="006D785B">
        <w:rPr>
          <w:szCs w:val="24"/>
        </w:rPr>
        <w:t>possible</w:t>
      </w:r>
      <w:r w:rsidR="00FA6659">
        <w:rPr>
          <w:szCs w:val="24"/>
        </w:rPr>
        <w:t xml:space="preserve">, </w:t>
      </w:r>
      <w:r w:rsidR="00FA6659">
        <w:rPr>
          <w:szCs w:val="24"/>
        </w:rPr>
        <w:t>in light of</w:t>
      </w:r>
      <w:r w:rsidR="00FA6659">
        <w:rPr>
          <w:szCs w:val="24"/>
        </w:rPr>
        <w:t xml:space="preserve"> how the data are used.</w:t>
      </w:r>
      <w:r w:rsidR="00667159">
        <w:rPr>
          <w:szCs w:val="24"/>
        </w:rPr>
        <w:t xml:space="preserve">  </w:t>
      </w:r>
      <w:r w:rsidR="006148CD">
        <w:rPr>
          <w:szCs w:val="24"/>
        </w:rPr>
        <w:t xml:space="preserve">The </w:t>
      </w:r>
      <w:r w:rsidR="00273C14">
        <w:rPr>
          <w:szCs w:val="24"/>
        </w:rPr>
        <w:t>data</w:t>
      </w:r>
      <w:r w:rsidR="006148CD">
        <w:rPr>
          <w:szCs w:val="24"/>
        </w:rPr>
        <w:t xml:space="preserve"> </w:t>
      </w:r>
      <w:r w:rsidRPr="00B94DB1" w:rsidR="00BB08F9">
        <w:rPr>
          <w:szCs w:val="24"/>
        </w:rPr>
        <w:t xml:space="preserve">required </w:t>
      </w:r>
      <w:r w:rsidR="006148CD">
        <w:rPr>
          <w:szCs w:val="24"/>
        </w:rPr>
        <w:t>in</w:t>
      </w:r>
      <w:r w:rsidRPr="00B94DB1" w:rsidR="00BB08F9">
        <w:rPr>
          <w:szCs w:val="24"/>
        </w:rPr>
        <w:t xml:space="preserve"> real-time (23 CFR 680.116(c))</w:t>
      </w:r>
      <w:r w:rsidR="00FE2118">
        <w:rPr>
          <w:szCs w:val="24"/>
        </w:rPr>
        <w:t xml:space="preserve"> is focused on </w:t>
      </w:r>
      <w:r w:rsidR="00FE2118">
        <w:rPr>
          <w:szCs w:val="24"/>
        </w:rPr>
        <w:t xml:space="preserve">information needed </w:t>
      </w:r>
      <w:r w:rsidR="00C26B04">
        <w:rPr>
          <w:szCs w:val="24"/>
        </w:rPr>
        <w:t>for improv</w:t>
      </w:r>
      <w:r w:rsidR="005E148C">
        <w:rPr>
          <w:szCs w:val="24"/>
        </w:rPr>
        <w:t>ing</w:t>
      </w:r>
      <w:r w:rsidR="0062310C">
        <w:rPr>
          <w:szCs w:val="24"/>
        </w:rPr>
        <w:t xml:space="preserve"> customer experience</w:t>
      </w:r>
      <w:r w:rsidR="00A7301D">
        <w:rPr>
          <w:szCs w:val="24"/>
        </w:rPr>
        <w:t>.</w:t>
      </w:r>
      <w:r w:rsidRPr="00B94DB1" w:rsidR="00895053">
        <w:rPr>
          <w:szCs w:val="24"/>
        </w:rPr>
        <w:t xml:space="preserve"> </w:t>
      </w:r>
      <w:r w:rsidR="00067879">
        <w:rPr>
          <w:szCs w:val="24"/>
        </w:rPr>
        <w:t>T</w:t>
      </w:r>
      <w:r w:rsidR="00C86C5B">
        <w:rPr>
          <w:szCs w:val="24"/>
        </w:rPr>
        <w:t xml:space="preserve">he </w:t>
      </w:r>
      <w:r w:rsidR="00667159">
        <w:rPr>
          <w:szCs w:val="24"/>
        </w:rPr>
        <w:t>d</w:t>
      </w:r>
      <w:r w:rsidRPr="00B94DB1" w:rsidR="00855137">
        <w:rPr>
          <w:szCs w:val="24"/>
        </w:rPr>
        <w:t xml:space="preserve">ata required quarterly </w:t>
      </w:r>
      <w:r w:rsidRPr="00B94DB1" w:rsidR="00E57310">
        <w:rPr>
          <w:szCs w:val="24"/>
        </w:rPr>
        <w:t>(23 CFR 680.112(</w:t>
      </w:r>
      <w:r w:rsidR="001D3D2D">
        <w:rPr>
          <w:szCs w:val="24"/>
        </w:rPr>
        <w:t>a</w:t>
      </w:r>
      <w:r w:rsidRPr="00B94DB1" w:rsidR="00E57310">
        <w:rPr>
          <w:szCs w:val="24"/>
        </w:rPr>
        <w:t>))</w:t>
      </w:r>
      <w:r w:rsidR="00C86C5B">
        <w:rPr>
          <w:szCs w:val="24"/>
        </w:rPr>
        <w:t xml:space="preserve"> is primarily submitted </w:t>
      </w:r>
      <w:r w:rsidR="00631774">
        <w:rPr>
          <w:szCs w:val="24"/>
        </w:rPr>
        <w:t xml:space="preserve">automatically </w:t>
      </w:r>
      <w:r w:rsidR="00631774">
        <w:rPr>
          <w:szCs w:val="24"/>
        </w:rPr>
        <w:t>with the exception of</w:t>
      </w:r>
      <w:r w:rsidR="00631774">
        <w:rPr>
          <w:szCs w:val="24"/>
        </w:rPr>
        <w:t xml:space="preserve"> uptime, which is a critical measure of reliability.  </w:t>
      </w:r>
      <w:r w:rsidR="00101BE1">
        <w:rPr>
          <w:szCs w:val="24"/>
        </w:rPr>
        <w:t>All other data elements are required only on an annual or one-time basis.</w:t>
      </w:r>
    </w:p>
    <w:p w:rsidR="00045A5A" w:rsidP="00A87BEA" w14:paraId="53CB9186" w14:textId="77777777">
      <w:pPr>
        <w:pStyle w:val="Heading2"/>
      </w:pPr>
      <w:r w:rsidRPr="00F54C28">
        <w:t>7.</w:t>
      </w:r>
      <w:r w:rsidRPr="009C32CF">
        <w:tab/>
      </w:r>
      <w:r w:rsidRPr="00A87BEA" w:rsidR="002F3667">
        <w:rPr>
          <w:u w:val="single"/>
        </w:rPr>
        <w:t>Special Circumstances</w:t>
      </w:r>
      <w:r w:rsidRPr="0001306C" w:rsidR="002F3667">
        <w:t xml:space="preserve">. </w:t>
      </w:r>
      <w:r w:rsidRPr="00F54C28" w:rsidR="002F3667">
        <w:t xml:space="preserve"> </w:t>
      </w:r>
    </w:p>
    <w:p w:rsidR="0001306C" w:rsidP="0001306C" w14:paraId="0C0018F4" w14:textId="5F3D4AEB">
      <w:pPr>
        <w:spacing w:after="120"/>
        <w:rPr>
          <w:szCs w:val="24"/>
        </w:rPr>
      </w:pPr>
      <w:r w:rsidRPr="00ED09AC">
        <w:rPr>
          <w:szCs w:val="24"/>
        </w:rPr>
        <w:t xml:space="preserve">This information collection does require respondents to report information more often than quarterly. </w:t>
      </w:r>
      <w:r w:rsidR="00FC72C4">
        <w:rPr>
          <w:szCs w:val="24"/>
        </w:rPr>
        <w:t xml:space="preserve">Information collected through 23 CFR 680.116(c) requires </w:t>
      </w:r>
      <w:r w:rsidR="00CA5563">
        <w:rPr>
          <w:szCs w:val="24"/>
        </w:rPr>
        <w:t>data be provide</w:t>
      </w:r>
      <w:r w:rsidR="005838C2">
        <w:rPr>
          <w:szCs w:val="24"/>
        </w:rPr>
        <w:t>d in real-time</w:t>
      </w:r>
      <w:r w:rsidR="00CA5563">
        <w:rPr>
          <w:szCs w:val="24"/>
        </w:rPr>
        <w:t xml:space="preserve"> to third party software developers to </w:t>
      </w:r>
      <w:r w:rsidR="00F16BC0">
        <w:rPr>
          <w:szCs w:val="24"/>
        </w:rPr>
        <w:t xml:space="preserve">support a consumer need for real-time status information regarding the </w:t>
      </w:r>
      <w:r w:rsidR="00B76D6A">
        <w:rPr>
          <w:szCs w:val="24"/>
        </w:rPr>
        <w:t xml:space="preserve">location, </w:t>
      </w:r>
      <w:r w:rsidR="00F16BC0">
        <w:rPr>
          <w:szCs w:val="24"/>
        </w:rPr>
        <w:t>availability</w:t>
      </w:r>
      <w:r w:rsidR="00B76D6A">
        <w:rPr>
          <w:szCs w:val="24"/>
        </w:rPr>
        <w:t>, and cost</w:t>
      </w:r>
      <w:r w:rsidR="00F16BC0">
        <w:rPr>
          <w:szCs w:val="24"/>
        </w:rPr>
        <w:t xml:space="preserve"> of </w:t>
      </w:r>
      <w:r w:rsidR="00094B3C">
        <w:rPr>
          <w:szCs w:val="24"/>
        </w:rPr>
        <w:t xml:space="preserve">EV chargers. However, the </w:t>
      </w:r>
      <w:r w:rsidR="00083896">
        <w:rPr>
          <w:szCs w:val="24"/>
        </w:rPr>
        <w:t xml:space="preserve">required </w:t>
      </w:r>
      <w:r w:rsidR="00094B3C">
        <w:rPr>
          <w:szCs w:val="24"/>
        </w:rPr>
        <w:t xml:space="preserve">real-time data submission process will occur automatically after initial configuration of </w:t>
      </w:r>
      <w:r w:rsidR="00083896">
        <w:rPr>
          <w:szCs w:val="24"/>
        </w:rPr>
        <w:t>EV chargers to</w:t>
      </w:r>
      <w:r w:rsidR="007D0E8F">
        <w:rPr>
          <w:szCs w:val="24"/>
        </w:rPr>
        <w:t xml:space="preserve"> provide a data feed for </w:t>
      </w:r>
      <w:r w:rsidR="00083896">
        <w:rPr>
          <w:szCs w:val="24"/>
        </w:rPr>
        <w:t>this information.</w:t>
      </w:r>
    </w:p>
    <w:p w:rsidR="00524208" w:rsidRPr="00ED09AC" w:rsidP="0001306C" w14:paraId="229F1C0B" w14:textId="0BB27FC5">
      <w:pPr>
        <w:spacing w:after="120"/>
        <w:rPr>
          <w:szCs w:val="24"/>
        </w:rPr>
      </w:pPr>
      <w:r>
        <w:rPr>
          <w:szCs w:val="24"/>
        </w:rPr>
        <w:t>Based on comments from the NPRM, some of the data requ</w:t>
      </w:r>
      <w:r w:rsidR="002C1E4D">
        <w:rPr>
          <w:szCs w:val="24"/>
        </w:rPr>
        <w:t>ired</w:t>
      </w:r>
      <w:r>
        <w:rPr>
          <w:szCs w:val="24"/>
        </w:rPr>
        <w:t xml:space="preserve"> </w:t>
      </w:r>
      <w:r w:rsidR="007F2839">
        <w:rPr>
          <w:szCs w:val="24"/>
        </w:rPr>
        <w:t>by</w:t>
      </w:r>
      <w:r w:rsidR="002C1E4D">
        <w:rPr>
          <w:szCs w:val="24"/>
        </w:rPr>
        <w:t xml:space="preserve"> 23 CFR </w:t>
      </w:r>
      <w:r w:rsidR="004D4949">
        <w:rPr>
          <w:szCs w:val="24"/>
        </w:rPr>
        <w:t>6</w:t>
      </w:r>
      <w:r w:rsidR="00CA18A8">
        <w:rPr>
          <w:szCs w:val="24"/>
        </w:rPr>
        <w:t>8</w:t>
      </w:r>
      <w:r w:rsidR="004D4949">
        <w:rPr>
          <w:szCs w:val="24"/>
        </w:rPr>
        <w:t>0.</w:t>
      </w:r>
      <w:r w:rsidR="002C1E4D">
        <w:rPr>
          <w:szCs w:val="24"/>
        </w:rPr>
        <w:t xml:space="preserve">112 </w:t>
      </w:r>
      <w:r>
        <w:rPr>
          <w:szCs w:val="24"/>
        </w:rPr>
        <w:t xml:space="preserve">may be </w:t>
      </w:r>
      <w:r w:rsidR="002C1E4D">
        <w:rPr>
          <w:szCs w:val="24"/>
        </w:rPr>
        <w:t>confidential business information.</w:t>
      </w:r>
      <w:r w:rsidR="004D4949">
        <w:rPr>
          <w:szCs w:val="24"/>
        </w:rPr>
        <w:t xml:space="preserve">  </w:t>
      </w:r>
      <w:r w:rsidR="00EB40F8">
        <w:rPr>
          <w:szCs w:val="24"/>
        </w:rPr>
        <w:t>To address this concern, t</w:t>
      </w:r>
      <w:r w:rsidR="004D4949">
        <w:rPr>
          <w:szCs w:val="24"/>
        </w:rPr>
        <w:t xml:space="preserve">he final rule </w:t>
      </w:r>
      <w:r w:rsidR="00EB40F8">
        <w:rPr>
          <w:szCs w:val="24"/>
        </w:rPr>
        <w:t>require</w:t>
      </w:r>
      <w:r w:rsidR="004D4949">
        <w:rPr>
          <w:szCs w:val="24"/>
        </w:rPr>
        <w:t xml:space="preserve">s that all quarterly, </w:t>
      </w:r>
      <w:r w:rsidR="003733F2">
        <w:rPr>
          <w:szCs w:val="24"/>
        </w:rPr>
        <w:t xml:space="preserve">annual, and one-time data required </w:t>
      </w:r>
      <w:r w:rsidR="009C7595">
        <w:rPr>
          <w:szCs w:val="24"/>
        </w:rPr>
        <w:t>by</w:t>
      </w:r>
      <w:r w:rsidR="000B2E90">
        <w:rPr>
          <w:szCs w:val="24"/>
        </w:rPr>
        <w:t xml:space="preserve"> 23 CFR 680.112 </w:t>
      </w:r>
      <w:r w:rsidR="00372CEC">
        <w:rPr>
          <w:szCs w:val="24"/>
        </w:rPr>
        <w:t>are</w:t>
      </w:r>
      <w:r w:rsidR="003733F2">
        <w:rPr>
          <w:szCs w:val="24"/>
        </w:rPr>
        <w:t xml:space="preserve"> aggregated and anonymized before </w:t>
      </w:r>
      <w:r w:rsidR="00DE69A4">
        <w:rPr>
          <w:szCs w:val="24"/>
        </w:rPr>
        <w:t xml:space="preserve">being </w:t>
      </w:r>
      <w:r w:rsidR="003733F2">
        <w:rPr>
          <w:szCs w:val="24"/>
        </w:rPr>
        <w:t>made public.</w:t>
      </w:r>
    </w:p>
    <w:p w:rsidR="00045A5A" w:rsidRPr="00ED09AC" w:rsidP="00ED09AC" w14:paraId="3E940C10" w14:textId="54EF9108">
      <w:pPr>
        <w:rPr>
          <w:szCs w:val="24"/>
        </w:rPr>
      </w:pPr>
      <w:r w:rsidRPr="00ED09AC">
        <w:rPr>
          <w:szCs w:val="24"/>
        </w:rPr>
        <w:t>This information collection does not:</w:t>
      </w:r>
    </w:p>
    <w:p w:rsidR="00045A5A" w:rsidRPr="00ED09AC" w:rsidP="001842B6" w14:paraId="509F8C97" w14:textId="77777777">
      <w:pPr>
        <w:spacing w:after="120"/>
        <w:ind w:left="907" w:hanging="360"/>
        <w:rPr>
          <w:szCs w:val="24"/>
        </w:rPr>
      </w:pPr>
      <w:r w:rsidRPr="00ED09AC">
        <w:rPr>
          <w:szCs w:val="24"/>
        </w:rPr>
        <w:t>•</w:t>
      </w:r>
      <w:r w:rsidRPr="00ED09AC">
        <w:rPr>
          <w:szCs w:val="24"/>
        </w:rPr>
        <w:tab/>
        <w:t>Require a written response to a collection of information in fewer than 30 days after receipt of it</w:t>
      </w:r>
    </w:p>
    <w:p w:rsidR="00045A5A" w:rsidRPr="00ED09AC" w:rsidP="001842B6" w14:paraId="13E16156" w14:textId="77777777">
      <w:pPr>
        <w:spacing w:after="120"/>
        <w:ind w:left="907" w:hanging="360"/>
        <w:rPr>
          <w:szCs w:val="24"/>
        </w:rPr>
      </w:pPr>
      <w:r w:rsidRPr="00ED09AC">
        <w:rPr>
          <w:szCs w:val="24"/>
        </w:rPr>
        <w:t>•</w:t>
      </w:r>
      <w:r w:rsidRPr="00ED09AC">
        <w:rPr>
          <w:szCs w:val="24"/>
        </w:rPr>
        <w:tab/>
        <w:t>Require respondents to submit more than an original and two copies of any document</w:t>
      </w:r>
    </w:p>
    <w:p w:rsidR="00045A5A" w:rsidRPr="00ED09AC" w:rsidP="001842B6" w14:paraId="485FE9F9" w14:textId="77777777">
      <w:pPr>
        <w:spacing w:after="120"/>
        <w:ind w:left="907" w:hanging="360"/>
        <w:rPr>
          <w:szCs w:val="24"/>
        </w:rPr>
      </w:pPr>
      <w:r w:rsidRPr="00ED09AC">
        <w:rPr>
          <w:szCs w:val="24"/>
        </w:rPr>
        <w:t>•</w:t>
      </w:r>
      <w:r w:rsidRPr="00ED09AC">
        <w:rPr>
          <w:szCs w:val="24"/>
        </w:rPr>
        <w:tab/>
        <w:t xml:space="preserve">Require respondents to retain records for more than three years </w:t>
      </w:r>
    </w:p>
    <w:p w:rsidR="00045A5A" w:rsidRPr="00ED09AC" w:rsidP="001842B6" w14:paraId="229FC51C" w14:textId="3D73A832">
      <w:pPr>
        <w:spacing w:after="120"/>
        <w:ind w:left="907" w:hanging="360"/>
        <w:rPr>
          <w:szCs w:val="24"/>
        </w:rPr>
      </w:pPr>
      <w:r w:rsidRPr="00ED09AC">
        <w:rPr>
          <w:szCs w:val="24"/>
        </w:rPr>
        <w:t>•</w:t>
      </w:r>
      <w:r w:rsidRPr="00ED09AC">
        <w:rPr>
          <w:szCs w:val="24"/>
        </w:rPr>
        <w:tab/>
        <w:t>Rely on a statistical sample</w:t>
      </w:r>
    </w:p>
    <w:p w:rsidR="00045A5A" w:rsidRPr="00ED09AC" w:rsidP="001842B6" w14:paraId="665979DE" w14:textId="289A9A34">
      <w:pPr>
        <w:spacing w:after="120"/>
        <w:ind w:left="907" w:hanging="360"/>
        <w:rPr>
          <w:szCs w:val="24"/>
        </w:rPr>
      </w:pPr>
      <w:r w:rsidRPr="00ED09AC">
        <w:rPr>
          <w:szCs w:val="24"/>
        </w:rPr>
        <w:t>•</w:t>
      </w:r>
      <w:r w:rsidRPr="00ED09AC">
        <w:rPr>
          <w:szCs w:val="24"/>
        </w:rPr>
        <w:tab/>
        <w:t>Require the use of a statistical data classification that has not bee</w:t>
      </w:r>
      <w:r w:rsidRPr="00ED09AC" w:rsidR="00CD020F">
        <w:rPr>
          <w:szCs w:val="24"/>
        </w:rPr>
        <w:t>n reviewed and approved by OMB.</w:t>
      </w:r>
    </w:p>
    <w:p w:rsidR="00603E2D" w:rsidRPr="00ED09AC" w:rsidP="00045A5A" w14:paraId="29CE5711" w14:textId="52DC5D9E">
      <w:pPr>
        <w:rPr>
          <w:szCs w:val="24"/>
        </w:rPr>
      </w:pPr>
      <w:r w:rsidRPr="00ED09AC">
        <w:rPr>
          <w:szCs w:val="24"/>
        </w:rPr>
        <w:t xml:space="preserve">There are no </w:t>
      </w:r>
      <w:r w:rsidRPr="00ED09AC" w:rsidR="00ED09AC">
        <w:rPr>
          <w:szCs w:val="24"/>
        </w:rPr>
        <w:t xml:space="preserve">other </w:t>
      </w:r>
      <w:r w:rsidRPr="00ED09AC">
        <w:rPr>
          <w:szCs w:val="24"/>
        </w:rPr>
        <w:t>special circumstances associated with this information collection.</w:t>
      </w:r>
    </w:p>
    <w:p w:rsidR="00045A5A" w:rsidP="00283FD7" w14:paraId="1F1E3608" w14:textId="77777777">
      <w:pPr>
        <w:pStyle w:val="Heading2"/>
      </w:pPr>
      <w:r w:rsidRPr="009B472E">
        <w:t>8.</w:t>
      </w:r>
      <w:r w:rsidRPr="009B472E">
        <w:tab/>
      </w:r>
      <w:r w:rsidRPr="00283FD7">
        <w:rPr>
          <w:u w:val="single"/>
        </w:rPr>
        <w:t>Compliance with 5 CFR 1320.8</w:t>
      </w:r>
      <w:r w:rsidRPr="009B472E" w:rsidR="0053201A">
        <w:t xml:space="preserve">. </w:t>
      </w:r>
    </w:p>
    <w:p w:rsidR="00045A5A" w:rsidRPr="00045A5A" w:rsidP="00045A5A" w14:paraId="4A0B2052" w14:textId="515FAD03">
      <w:pPr>
        <w:rPr>
          <w:szCs w:val="24"/>
        </w:rPr>
      </w:pPr>
      <w:r>
        <w:rPr>
          <w:szCs w:val="24"/>
        </w:rPr>
        <w:t>RIN 2125-AG10:</w:t>
      </w:r>
      <w:r w:rsidR="00C53507">
        <w:rPr>
          <w:szCs w:val="24"/>
        </w:rPr>
        <w:t xml:space="preserve">  </w:t>
      </w:r>
      <w:r w:rsidR="00612CDB">
        <w:rPr>
          <w:szCs w:val="24"/>
        </w:rPr>
        <w:t>Some</w:t>
      </w:r>
      <w:r w:rsidR="00D25D54">
        <w:rPr>
          <w:szCs w:val="24"/>
        </w:rPr>
        <w:t xml:space="preserve"> comments were received </w:t>
      </w:r>
      <w:r w:rsidR="007F7631">
        <w:rPr>
          <w:szCs w:val="24"/>
        </w:rPr>
        <w:t xml:space="preserve">on </w:t>
      </w:r>
      <w:r w:rsidR="00550429">
        <w:rPr>
          <w:szCs w:val="24"/>
        </w:rPr>
        <w:t xml:space="preserve">the proposed </w:t>
      </w:r>
      <w:r w:rsidR="00B841CF">
        <w:rPr>
          <w:szCs w:val="24"/>
        </w:rPr>
        <w:t xml:space="preserve">data collection </w:t>
      </w:r>
      <w:r w:rsidR="00A4622E">
        <w:rPr>
          <w:szCs w:val="24"/>
        </w:rPr>
        <w:t>and submission</w:t>
      </w:r>
      <w:r w:rsidR="00550429">
        <w:rPr>
          <w:szCs w:val="24"/>
        </w:rPr>
        <w:t xml:space="preserve"> requirements</w:t>
      </w:r>
      <w:r w:rsidR="00451094">
        <w:rPr>
          <w:szCs w:val="24"/>
        </w:rPr>
        <w:t>, including c</w:t>
      </w:r>
      <w:r w:rsidR="00D50F2F">
        <w:rPr>
          <w:szCs w:val="24"/>
        </w:rPr>
        <w:t>oncerns</w:t>
      </w:r>
      <w:r w:rsidR="00451094">
        <w:rPr>
          <w:szCs w:val="24"/>
        </w:rPr>
        <w:t xml:space="preserve"> </w:t>
      </w:r>
      <w:r w:rsidR="00D071D5">
        <w:rPr>
          <w:szCs w:val="24"/>
        </w:rPr>
        <w:t>that some of the data</w:t>
      </w:r>
      <w:r w:rsidR="00A35589">
        <w:rPr>
          <w:szCs w:val="24"/>
        </w:rPr>
        <w:t xml:space="preserve"> required are </w:t>
      </w:r>
      <w:r w:rsidR="00550429">
        <w:rPr>
          <w:szCs w:val="24"/>
          <w:lang w:eastAsia="zh-CN"/>
        </w:rPr>
        <w:t>burdensome, excessive, and unnecessary</w:t>
      </w:r>
      <w:r w:rsidR="008463F4">
        <w:rPr>
          <w:szCs w:val="24"/>
          <w:lang w:eastAsia="zh-CN"/>
        </w:rPr>
        <w:t xml:space="preserve">.  </w:t>
      </w:r>
      <w:r w:rsidR="006A777F">
        <w:rPr>
          <w:szCs w:val="24"/>
        </w:rPr>
        <w:t xml:space="preserve">The final rule responded </w:t>
      </w:r>
      <w:r w:rsidR="00C00A47">
        <w:rPr>
          <w:szCs w:val="24"/>
        </w:rPr>
        <w:t xml:space="preserve">to </w:t>
      </w:r>
      <w:r w:rsidR="006A777F">
        <w:rPr>
          <w:szCs w:val="24"/>
        </w:rPr>
        <w:t xml:space="preserve">these concerns </w:t>
      </w:r>
      <w:r w:rsidR="000651EE">
        <w:rPr>
          <w:szCs w:val="24"/>
        </w:rPr>
        <w:t xml:space="preserve">through a </w:t>
      </w:r>
      <w:r w:rsidR="00C00A47">
        <w:rPr>
          <w:szCs w:val="24"/>
        </w:rPr>
        <w:t>review</w:t>
      </w:r>
      <w:r w:rsidR="000651EE">
        <w:rPr>
          <w:szCs w:val="24"/>
        </w:rPr>
        <w:t xml:space="preserve"> of</w:t>
      </w:r>
      <w:r w:rsidR="00C00A47">
        <w:rPr>
          <w:szCs w:val="24"/>
        </w:rPr>
        <w:t xml:space="preserve"> the data requirements to ensure that only those most critical to managing and improving the </w:t>
      </w:r>
      <w:r w:rsidR="00E51D21">
        <w:rPr>
          <w:szCs w:val="24"/>
        </w:rPr>
        <w:t>Federal</w:t>
      </w:r>
      <w:r w:rsidR="00C00A47">
        <w:rPr>
          <w:szCs w:val="24"/>
        </w:rPr>
        <w:t xml:space="preserve"> program</w:t>
      </w:r>
      <w:r w:rsidR="00E51D21">
        <w:rPr>
          <w:szCs w:val="24"/>
        </w:rPr>
        <w:t>s</w:t>
      </w:r>
      <w:r w:rsidR="00C00A47">
        <w:rPr>
          <w:szCs w:val="24"/>
        </w:rPr>
        <w:t xml:space="preserve"> were retained in 23 CFR 680.112 and </w:t>
      </w:r>
      <w:r w:rsidR="00FB73CA">
        <w:rPr>
          <w:szCs w:val="24"/>
        </w:rPr>
        <w:t xml:space="preserve">only those most critical for </w:t>
      </w:r>
      <w:r w:rsidR="00711790">
        <w:rPr>
          <w:szCs w:val="24"/>
        </w:rPr>
        <w:t xml:space="preserve">improving customer experience were retained in 23 CFR 680.116.  As a result, </w:t>
      </w:r>
      <w:r w:rsidR="006A777F">
        <w:rPr>
          <w:szCs w:val="24"/>
        </w:rPr>
        <w:t>some of the proposed data requirements</w:t>
      </w:r>
      <w:r w:rsidR="00711790">
        <w:rPr>
          <w:szCs w:val="24"/>
        </w:rPr>
        <w:t xml:space="preserve"> were removed</w:t>
      </w:r>
      <w:r w:rsidR="004C62F2">
        <w:rPr>
          <w:szCs w:val="24"/>
        </w:rPr>
        <w:t xml:space="preserve"> and </w:t>
      </w:r>
      <w:r w:rsidR="00650C86">
        <w:rPr>
          <w:szCs w:val="24"/>
        </w:rPr>
        <w:t xml:space="preserve">the frequency of some data elements was extended </w:t>
      </w:r>
      <w:r w:rsidR="00B91503">
        <w:rPr>
          <w:szCs w:val="24"/>
        </w:rPr>
        <w:t>from quarterly to annually or one-time</w:t>
      </w:r>
      <w:r w:rsidR="00213C0D">
        <w:rPr>
          <w:szCs w:val="24"/>
        </w:rPr>
        <w:t>.</w:t>
      </w:r>
      <w:r w:rsidR="00B91503">
        <w:rPr>
          <w:szCs w:val="24"/>
        </w:rPr>
        <w:t xml:space="preserve"> </w:t>
      </w:r>
      <w:r w:rsidRPr="00045A5A">
        <w:rPr>
          <w:szCs w:val="24"/>
        </w:rPr>
        <w:t xml:space="preserve">  </w:t>
      </w:r>
    </w:p>
    <w:p w:rsidR="00045A5A" w:rsidP="009B472E" w14:paraId="0A4F0253" w14:textId="77777777">
      <w:pPr>
        <w:pStyle w:val="Heading2"/>
        <w:ind w:left="0" w:firstLine="0"/>
      </w:pPr>
      <w:r w:rsidRPr="000A42CB">
        <w:t>9.</w:t>
      </w:r>
      <w:r w:rsidRPr="000A42CB">
        <w:tab/>
      </w:r>
      <w:r w:rsidRPr="009B472E">
        <w:rPr>
          <w:u w:val="single"/>
        </w:rPr>
        <w:t>Payment of gifts to respondents</w:t>
      </w:r>
      <w:r w:rsidRPr="009B472E" w:rsidR="000F15F9">
        <w:rPr>
          <w:u w:val="single"/>
        </w:rPr>
        <w:t>.</w:t>
      </w:r>
      <w:r w:rsidR="000F15F9">
        <w:t xml:space="preserve"> </w:t>
      </w:r>
    </w:p>
    <w:p w:rsidR="00603E2D" w:rsidRPr="009C32CF" w14:paraId="2F09A26B" w14:textId="7B33DB27">
      <w:pPr>
        <w:rPr>
          <w:szCs w:val="24"/>
        </w:rPr>
      </w:pPr>
      <w:r w:rsidRPr="009C32CF">
        <w:rPr>
          <w:szCs w:val="24"/>
        </w:rPr>
        <w:t xml:space="preserve">No payments or gifts </w:t>
      </w:r>
      <w:r w:rsidR="006B521C">
        <w:rPr>
          <w:szCs w:val="24"/>
        </w:rPr>
        <w:t>will be</w:t>
      </w:r>
      <w:r w:rsidRPr="009C32CF" w:rsidR="006B521C">
        <w:rPr>
          <w:szCs w:val="24"/>
        </w:rPr>
        <w:t xml:space="preserve"> </w:t>
      </w:r>
      <w:r w:rsidRPr="009C32CF">
        <w:rPr>
          <w:szCs w:val="24"/>
        </w:rPr>
        <w:t>provided to respondents.</w:t>
      </w:r>
    </w:p>
    <w:p w:rsidR="00045A5A" w:rsidP="009B472E" w14:paraId="68425B67" w14:textId="77777777">
      <w:pPr>
        <w:pStyle w:val="Heading2"/>
        <w:ind w:left="0" w:firstLine="0"/>
      </w:pPr>
      <w:r w:rsidRPr="009C32CF">
        <w:t>10.</w:t>
      </w:r>
      <w:r w:rsidRPr="009C32CF">
        <w:tab/>
      </w:r>
      <w:r w:rsidRPr="009B472E">
        <w:rPr>
          <w:u w:val="single"/>
        </w:rPr>
        <w:t>Assurance of confidentiality</w:t>
      </w:r>
      <w:r w:rsidR="0086139E">
        <w:t xml:space="preserve">. </w:t>
      </w:r>
    </w:p>
    <w:p w:rsidR="00362A5F" w:rsidP="00362A5F" w14:paraId="3CA6681A" w14:textId="7B8E5A51">
      <w:pPr>
        <w:spacing w:after="120"/>
        <w:rPr>
          <w:szCs w:val="24"/>
        </w:rPr>
      </w:pPr>
      <w:r>
        <w:rPr>
          <w:szCs w:val="24"/>
        </w:rPr>
        <w:t xml:space="preserve">Based on comments from the NPRM, some of the data required in 23 CFR 680.112 may be confidential business information.  To address this concern, the final rule requires that all </w:t>
      </w:r>
      <w:r>
        <w:rPr>
          <w:szCs w:val="24"/>
        </w:rPr>
        <w:t>quarterly, annual, and one-time data required in 23 CFR 680.112 are aggregated and anonymized before being made public.</w:t>
      </w:r>
    </w:p>
    <w:p w:rsidR="00125F3E" w:rsidP="00125F3E" w14:paraId="11FFC970" w14:textId="726A71F1">
      <w:pPr>
        <w:rPr>
          <w:szCs w:val="24"/>
        </w:rPr>
      </w:pPr>
      <w:r w:rsidRPr="00F82250">
        <w:rPr>
          <w:szCs w:val="24"/>
        </w:rPr>
        <w:t>23 CFR 680.106(</w:t>
      </w:r>
      <w:r w:rsidR="0074789D">
        <w:rPr>
          <w:szCs w:val="24"/>
        </w:rPr>
        <w:t>l</w:t>
      </w:r>
      <w:r w:rsidRPr="00F82250">
        <w:rPr>
          <w:szCs w:val="24"/>
        </w:rPr>
        <w:t>) further</w:t>
      </w:r>
      <w:r>
        <w:rPr>
          <w:szCs w:val="24"/>
        </w:rPr>
        <w:t xml:space="preserve"> specifies that customer data privacy must be maintained, as noted below.</w:t>
      </w:r>
    </w:p>
    <w:p w:rsidR="006F606B" w:rsidRPr="006F606B" w:rsidP="006F606B" w14:paraId="224F5B33" w14:textId="30B07DC8">
      <w:pPr>
        <w:pStyle w:val="ListParagraph"/>
        <w:numPr>
          <w:ilvl w:val="0"/>
          <w:numId w:val="13"/>
        </w:numPr>
        <w:rPr>
          <w:szCs w:val="24"/>
        </w:rPr>
      </w:pPr>
      <w:r w:rsidRPr="00F82250">
        <w:rPr>
          <w:szCs w:val="24"/>
        </w:rPr>
        <w:t>23 CFR 680.106(</w:t>
      </w:r>
      <w:r>
        <w:rPr>
          <w:szCs w:val="24"/>
        </w:rPr>
        <w:t>l</w:t>
      </w:r>
      <w:r w:rsidRPr="00F82250">
        <w:rPr>
          <w:szCs w:val="24"/>
        </w:rPr>
        <w:t xml:space="preserve">) </w:t>
      </w:r>
      <w:r w:rsidRPr="00F82250">
        <w:rPr>
          <w:i/>
          <w:iCs/>
        </w:rPr>
        <w:t>Customer Data Privacy</w:t>
      </w:r>
      <w:r w:rsidRPr="00F82250">
        <w:t xml:space="preserve"> </w:t>
      </w:r>
      <w:r w:rsidRPr="005F5601" w:rsidR="00404F5E">
        <w:t>–</w:t>
      </w:r>
      <w:r w:rsidRPr="00F82250">
        <w:t xml:space="preserve"> </w:t>
      </w:r>
      <w:r w:rsidRPr="002901EA">
        <w:rPr>
          <w:rFonts w:eastAsiaTheme="minorHAnsi"/>
        </w:rPr>
        <w:t xml:space="preserve">Charging Station Operators must collect, </w:t>
      </w:r>
      <w:r>
        <w:rPr>
          <w:rFonts w:eastAsiaTheme="minorHAnsi"/>
        </w:rPr>
        <w:t>process</w:t>
      </w:r>
      <w:r w:rsidRPr="002901EA">
        <w:rPr>
          <w:rFonts w:eastAsiaTheme="minorHAnsi"/>
        </w:rPr>
        <w:t xml:space="preserve">, and </w:t>
      </w:r>
      <w:r>
        <w:rPr>
          <w:rFonts w:eastAsiaTheme="minorHAnsi"/>
        </w:rPr>
        <w:t>retain</w:t>
      </w:r>
      <w:r w:rsidRPr="002901EA">
        <w:rPr>
          <w:rFonts w:eastAsiaTheme="minorHAnsi"/>
        </w:rPr>
        <w:t xml:space="preserve"> only that personal </w:t>
      </w:r>
      <w:bookmarkStart w:id="12" w:name="_Hlk102464300"/>
      <w:r w:rsidRPr="002901EA">
        <w:rPr>
          <w:rFonts w:eastAsiaTheme="minorHAnsi"/>
        </w:rPr>
        <w:t>information strictly necessary to provide the charging service</w:t>
      </w:r>
      <w:bookmarkEnd w:id="12"/>
      <w:r w:rsidRPr="002901EA">
        <w:rPr>
          <w:rFonts w:eastAsiaTheme="minorHAnsi"/>
        </w:rPr>
        <w:t xml:space="preserve"> to a consumer, including information to complete the charging transaction and to provide the location of charging stations to the consumer. </w:t>
      </w:r>
      <w:r>
        <w:rPr>
          <w:rFonts w:eastAsiaTheme="minorHAnsi"/>
        </w:rPr>
        <w:t xml:space="preserve"> </w:t>
      </w:r>
      <w:r>
        <w:rPr>
          <w:rFonts w:eastAsiaTheme="minorEastAsia"/>
        </w:rPr>
        <w:t xml:space="preserve">Chargers </w:t>
      </w:r>
      <w:r w:rsidRPr="25648E55">
        <w:rPr>
          <w:rFonts w:eastAsiaTheme="minorEastAsia"/>
        </w:rPr>
        <w:t xml:space="preserve">and charging networks </w:t>
      </w:r>
      <w:r>
        <w:rPr>
          <w:rFonts w:eastAsiaTheme="minorEastAsia"/>
        </w:rPr>
        <w:t>should</w:t>
      </w:r>
      <w:r w:rsidRPr="25648E55">
        <w:rPr>
          <w:rFonts w:eastAsiaTheme="minorEastAsia"/>
        </w:rPr>
        <w:t xml:space="preserve"> be compliant with </w:t>
      </w:r>
      <w:r>
        <w:rPr>
          <w:rFonts w:eastAsiaTheme="minorEastAsia"/>
        </w:rPr>
        <w:t>appropriate</w:t>
      </w:r>
      <w:r w:rsidRPr="25648E55">
        <w:rPr>
          <w:rFonts w:eastAsiaTheme="minorEastAsia"/>
        </w:rPr>
        <w:t xml:space="preserve"> Payment Card Industry Data Security Standard</w:t>
      </w:r>
      <w:r>
        <w:rPr>
          <w:rFonts w:eastAsiaTheme="minorEastAsia"/>
        </w:rPr>
        <w:t>s</w:t>
      </w:r>
      <w:r w:rsidRPr="25648E55">
        <w:rPr>
          <w:rFonts w:eastAsiaTheme="minorEastAsia"/>
        </w:rPr>
        <w:t xml:space="preserve"> </w:t>
      </w:r>
      <w:r>
        <w:rPr>
          <w:rFonts w:eastAsiaTheme="minorEastAsia"/>
        </w:rPr>
        <w:t xml:space="preserve">(PCI DSS) </w:t>
      </w:r>
      <w:r w:rsidRPr="25648E55">
        <w:rPr>
          <w:rFonts w:eastAsiaTheme="minorEastAsia"/>
        </w:rPr>
        <w:t xml:space="preserve">for the processing, transmission, </w:t>
      </w:r>
      <w:r>
        <w:rPr>
          <w:rFonts w:eastAsiaTheme="minorEastAsia"/>
        </w:rPr>
        <w:t>and</w:t>
      </w:r>
      <w:r w:rsidRPr="25648E55">
        <w:rPr>
          <w:rFonts w:eastAsiaTheme="minorEastAsia"/>
        </w:rPr>
        <w:t xml:space="preserve"> storage of cardholder data.</w:t>
      </w:r>
      <w:r>
        <w:rPr>
          <w:rFonts w:eastAsiaTheme="minorEastAsia"/>
        </w:rPr>
        <w:t xml:space="preserve">  </w:t>
      </w:r>
      <w:r>
        <w:rPr>
          <w:rFonts w:eastAsiaTheme="minorHAnsi"/>
        </w:rPr>
        <w:t xml:space="preserve">Charging Stations Operators must also take reasonable measures to safeguard consumer data. </w:t>
      </w:r>
      <w:r w:rsidRPr="00725581">
        <w:rPr>
          <w:rFonts w:eastAsiaTheme="minorEastAsia"/>
        </w:rPr>
        <w:t xml:space="preserve"> </w:t>
      </w:r>
      <w:r w:rsidRPr="25648E55">
        <w:rPr>
          <w:rFonts w:eastAsiaTheme="minorEastAsia"/>
        </w:rPr>
        <w:t xml:space="preserve">This provision does not preclude or restrict requests for additional data from customers if </w:t>
      </w:r>
      <w:r w:rsidRPr="25648E55">
        <w:rPr>
          <w:rFonts w:eastAsiaTheme="minorEastAsia"/>
        </w:rPr>
        <w:t>it is clear that additional</w:t>
      </w:r>
      <w:r w:rsidRPr="25648E55">
        <w:rPr>
          <w:rFonts w:eastAsiaTheme="minorEastAsia"/>
        </w:rPr>
        <w:t xml:space="preserve"> data are optional and would require the customer’s express consent.</w:t>
      </w:r>
    </w:p>
    <w:p w:rsidR="00A07DED" w:rsidRPr="00A5609B" w:rsidP="00A07DED" w14:paraId="54E85580" w14:textId="77777777">
      <w:pPr>
        <w:pStyle w:val="ListParagraph"/>
        <w:rPr>
          <w:szCs w:val="24"/>
          <w:highlight w:val="yellow"/>
        </w:rPr>
      </w:pPr>
    </w:p>
    <w:p w:rsidR="00045A5A" w:rsidP="00EF2214" w14:paraId="696F8020" w14:textId="68BE277D">
      <w:pPr>
        <w:pStyle w:val="Heading2"/>
      </w:pPr>
      <w:r w:rsidRPr="009B472E">
        <w:t>11.</w:t>
      </w:r>
      <w:r w:rsidRPr="009B472E">
        <w:tab/>
      </w:r>
      <w:r w:rsidRPr="00EF2214">
        <w:rPr>
          <w:u w:val="single"/>
        </w:rPr>
        <w:t xml:space="preserve">Justification for collection </w:t>
      </w:r>
      <w:r w:rsidR="00CB3C22">
        <w:rPr>
          <w:u w:val="single"/>
        </w:rPr>
        <w:t xml:space="preserve">of </w:t>
      </w:r>
      <w:r w:rsidRPr="00EF2214">
        <w:rPr>
          <w:u w:val="single"/>
        </w:rPr>
        <w:t>sensitive information</w:t>
      </w:r>
      <w:r w:rsidRPr="009B472E" w:rsidR="00BB590E">
        <w:t xml:space="preserve">. </w:t>
      </w:r>
    </w:p>
    <w:p w:rsidR="00D06D81" w:rsidRPr="00D06D81" w:rsidP="00D06D81" w14:paraId="108CA987" w14:textId="0EF16F6C">
      <w:r w:rsidRPr="00D06D81">
        <w:t>D</w:t>
      </w:r>
      <w:r w:rsidRPr="00D06D81" w:rsidR="009A420D">
        <w:t xml:space="preserve">ata </w:t>
      </w:r>
      <w:r w:rsidRPr="00522EDF" w:rsidR="00037684">
        <w:t xml:space="preserve">related to charging station </w:t>
      </w:r>
      <w:r w:rsidRPr="00522EDF" w:rsidR="009A420D">
        <w:t>usage</w:t>
      </w:r>
      <w:r w:rsidRPr="00522EDF" w:rsidR="00163F99">
        <w:t xml:space="preserve">, </w:t>
      </w:r>
      <w:r w:rsidRPr="00522EDF" w:rsidR="003D0662">
        <w:t>installation costs</w:t>
      </w:r>
      <w:r w:rsidRPr="00D33979" w:rsidR="00163F99">
        <w:t>, and maintenance costs</w:t>
      </w:r>
      <w:r w:rsidRPr="00D33979" w:rsidR="003D0662">
        <w:t xml:space="preserve"> are</w:t>
      </w:r>
      <w:r w:rsidRPr="00D33979" w:rsidR="003B2551">
        <w:t xml:space="preserve"> necessary </w:t>
      </w:r>
      <w:r w:rsidRPr="00D33979" w:rsidR="00037684">
        <w:t xml:space="preserve">to </w:t>
      </w:r>
      <w:r w:rsidRPr="00405AA6" w:rsidR="00037684">
        <w:t>inform</w:t>
      </w:r>
      <w:r w:rsidRPr="00C82FB7" w:rsidR="00037684">
        <w:t xml:space="preserve"> </w:t>
      </w:r>
      <w:r w:rsidRPr="00C82FB7" w:rsidR="00E944EC">
        <w:t xml:space="preserve">national </w:t>
      </w:r>
      <w:r w:rsidRPr="00C82FB7" w:rsidR="009F59E1">
        <w:t>planning</w:t>
      </w:r>
      <w:r w:rsidRPr="00C82FB7" w:rsidR="00E944EC">
        <w:t xml:space="preserve"> and strategy development</w:t>
      </w:r>
      <w:r w:rsidRPr="00C82FB7" w:rsidR="009F59E1">
        <w:t xml:space="preserve"> needed </w:t>
      </w:r>
      <w:r w:rsidRPr="00C82FB7" w:rsidR="00E944EC">
        <w:t xml:space="preserve">by the Federal government in coordination with the States </w:t>
      </w:r>
      <w:r w:rsidRPr="00C82FB7" w:rsidR="009F59E1">
        <w:t>to</w:t>
      </w:r>
      <w:r w:rsidRPr="00C82FB7" w:rsidR="00E944EC">
        <w:t xml:space="preserve"> build out a nationwide charging network</w:t>
      </w:r>
      <w:r w:rsidRPr="00C82FB7" w:rsidR="003B2551">
        <w:t xml:space="preserve">.  </w:t>
      </w:r>
      <w:r w:rsidRPr="00C82FB7">
        <w:t>D</w:t>
      </w:r>
      <w:r w:rsidRPr="00C82FB7" w:rsidR="003B2551">
        <w:t xml:space="preserve">ata related to </w:t>
      </w:r>
      <w:r w:rsidRPr="00C82FB7" w:rsidR="0011545B">
        <w:t xml:space="preserve">reliability </w:t>
      </w:r>
      <w:r w:rsidRPr="00C82FB7" w:rsidR="00A128BB">
        <w:t xml:space="preserve">are necessary </w:t>
      </w:r>
      <w:r w:rsidRPr="00C82FB7" w:rsidR="00CB09ED">
        <w:t xml:space="preserve">to identify </w:t>
      </w:r>
      <w:r w:rsidRPr="00C82FB7" w:rsidR="00BE27FA">
        <w:t xml:space="preserve">and correct </w:t>
      </w:r>
      <w:r w:rsidRPr="00C82FB7">
        <w:t>reliability problem</w:t>
      </w:r>
      <w:r w:rsidRPr="00C82FB7" w:rsidR="008F6F7A">
        <w:t xml:space="preserve">s, a common customer </w:t>
      </w:r>
      <w:r w:rsidRPr="00C82FB7" w:rsidR="00022B92">
        <w:t xml:space="preserve">frustration and </w:t>
      </w:r>
      <w:r w:rsidRPr="00C82FB7" w:rsidR="00545541">
        <w:t>potential impediment to EV adoption</w:t>
      </w:r>
      <w:r w:rsidRPr="00C82FB7">
        <w:t xml:space="preserve">.  </w:t>
      </w:r>
      <w:r w:rsidRPr="00C82FB7" w:rsidR="004F0879">
        <w:t>A</w:t>
      </w:r>
      <w:r w:rsidRPr="00C82FB7" w:rsidR="008D72BF">
        <w:t xml:space="preserve">ll quarterly, annual, and one-time data required in 23 CFR 680.112 </w:t>
      </w:r>
      <w:r w:rsidRPr="00C82FB7" w:rsidR="004F0879">
        <w:t>will be</w:t>
      </w:r>
      <w:r w:rsidRPr="00C82FB7" w:rsidR="008D72BF">
        <w:t xml:space="preserve"> aggregated and anonymized before being made</w:t>
      </w:r>
      <w:r w:rsidRPr="00C82FB7" w:rsidR="00E944EC">
        <w:t xml:space="preserve"> public.  Data for third-party software developers (23 CFR 680.116) is necessary for charging station customers so that they can have real-time information on </w:t>
      </w:r>
      <w:r w:rsidRPr="00C82FB7" w:rsidR="004D612B">
        <w:t xml:space="preserve">station </w:t>
      </w:r>
      <w:r w:rsidRPr="00C82FB7" w:rsidR="00E944EC">
        <w:t>location, availability, price, and other customer-focused information.</w:t>
      </w:r>
    </w:p>
    <w:p w:rsidR="00045A5A" w:rsidP="00EF2214" w14:paraId="2A13CC44" w14:textId="77777777">
      <w:pPr>
        <w:pStyle w:val="Heading2"/>
      </w:pPr>
      <w:r w:rsidRPr="009B472E">
        <w:t>12.</w:t>
      </w:r>
      <w:r w:rsidRPr="003D2B7D">
        <w:tab/>
      </w:r>
      <w:r w:rsidRPr="00EF2214">
        <w:rPr>
          <w:u w:val="single"/>
        </w:rPr>
        <w:t xml:space="preserve">Estimate of burden hours for information </w:t>
      </w:r>
      <w:r w:rsidRPr="00EF2214" w:rsidR="00334927">
        <w:rPr>
          <w:u w:val="single"/>
        </w:rPr>
        <w:t>requested</w:t>
      </w:r>
      <w:r w:rsidR="00334927">
        <w:t xml:space="preserve">. </w:t>
      </w:r>
    </w:p>
    <w:p w:rsidR="001D4720" w:rsidRPr="003C5846" w:rsidP="00045A5A" w14:paraId="3E6D7BCD" w14:textId="342EB246">
      <w:pPr>
        <w:rPr>
          <w:color w:val="FF0000"/>
        </w:rPr>
      </w:pPr>
      <w:r w:rsidRPr="00125F3E">
        <w:t>Each State</w:t>
      </w:r>
      <w:r w:rsidR="00125F3E">
        <w:t>,</w:t>
      </w:r>
      <w:r w:rsidRPr="00125F3E">
        <w:t xml:space="preserve"> the District of Columbia</w:t>
      </w:r>
      <w:r w:rsidR="00125F3E">
        <w:t>, and Puerto Rico</w:t>
      </w:r>
      <w:r w:rsidRPr="00125F3E">
        <w:t xml:space="preserve"> are </w:t>
      </w:r>
      <w:r w:rsidR="00EC7324">
        <w:t>required</w:t>
      </w:r>
      <w:r w:rsidRPr="00125F3E">
        <w:t xml:space="preserve"> to provide information.</w:t>
      </w:r>
      <w:r w:rsidR="00554A9F">
        <w:t xml:space="preserve"> </w:t>
      </w:r>
      <w:r w:rsidR="00B62E6C">
        <w:t>Other direct recipients</w:t>
      </w:r>
      <w:r w:rsidR="00554A9F">
        <w:t xml:space="preserve"> under 23 USC 151(f) are also required to provide information.</w:t>
      </w:r>
      <w:r w:rsidRPr="00125F3E">
        <w:t xml:space="preserve"> </w:t>
      </w:r>
      <w:r w:rsidRPr="00EC7324">
        <w:t>The total annual burden for State</w:t>
      </w:r>
      <w:r w:rsidR="001B7547">
        <w:t xml:space="preserve">s and </w:t>
      </w:r>
      <w:r w:rsidR="00B62E6C">
        <w:t>other direct recipients</w:t>
      </w:r>
      <w:r w:rsidR="00E846EB">
        <w:t xml:space="preserve"> (professional and clerical staff)</w:t>
      </w:r>
      <w:r w:rsidRPr="00EC7324">
        <w:t xml:space="preserve"> </w:t>
      </w:r>
      <w:r w:rsidRPr="003C5846">
        <w:t xml:space="preserve">is estimated to be </w:t>
      </w:r>
      <w:r w:rsidR="00E846EB">
        <w:t>10,816</w:t>
      </w:r>
      <w:r w:rsidRPr="003C5846">
        <w:t xml:space="preserve"> burden hours. This annual burden consists of staff time </w:t>
      </w:r>
      <w:r w:rsidRPr="003C5846" w:rsidR="004D1E14">
        <w:t>to</w:t>
      </w:r>
      <w:r w:rsidR="00D33979">
        <w:t>:</w:t>
      </w:r>
      <w:r w:rsidRPr="003C5846" w:rsidR="004D1E14">
        <w:t xml:space="preserve"> </w:t>
      </w:r>
      <w:r w:rsidR="00302D6E">
        <w:t xml:space="preserve">1) </w:t>
      </w:r>
      <w:r w:rsidR="007D30BD">
        <w:t xml:space="preserve">verify </w:t>
      </w:r>
      <w:r w:rsidR="00302D6E">
        <w:t xml:space="preserve">submission of quarterly data </w:t>
      </w:r>
      <w:r w:rsidRPr="003C5846" w:rsidR="004D1E14">
        <w:t>(</w:t>
      </w:r>
      <w:r w:rsidRPr="003C5846" w:rsidR="00380D30">
        <w:t>4</w:t>
      </w:r>
      <w:r w:rsidRPr="003C5846" w:rsidR="004D1E14">
        <w:t xml:space="preserve"> hou</w:t>
      </w:r>
      <w:r w:rsidR="00720DB6">
        <w:t>rs</w:t>
      </w:r>
      <w:r w:rsidR="0012011E">
        <w:t xml:space="preserve"> from 52 DOTs and an estimated 300 awardees of recipients under 23 USC 151(f)</w:t>
      </w:r>
      <w:r w:rsidRPr="003C5846" w:rsidR="004D1E14">
        <w:t>),</w:t>
      </w:r>
      <w:r w:rsidR="00DA7C65">
        <w:t xml:space="preserve"> most of which is automated from the charging stations</w:t>
      </w:r>
      <w:r w:rsidR="00302D6E">
        <w:t>; 2)</w:t>
      </w:r>
      <w:r w:rsidRPr="003C5846" w:rsidR="004D1E14">
        <w:t xml:space="preserve"> </w:t>
      </w:r>
      <w:r w:rsidR="00302D6E">
        <w:t xml:space="preserve">verify submission of annual data </w:t>
      </w:r>
      <w:r w:rsidRPr="003C5846" w:rsidR="004D1E14">
        <w:t>(</w:t>
      </w:r>
      <w:r w:rsidR="00DA7C65">
        <w:t>8</w:t>
      </w:r>
      <w:r w:rsidRPr="003C5846" w:rsidR="004D1E14">
        <w:t xml:space="preserve"> hours</w:t>
      </w:r>
      <w:r w:rsidR="0012011E">
        <w:t xml:space="preserve"> from 52 DOTs and an estimated 300 awardees of recipients under 23 USC 151(f)</w:t>
      </w:r>
      <w:r w:rsidRPr="003C5846" w:rsidR="004D1E14">
        <w:t>)</w:t>
      </w:r>
      <w:r w:rsidR="00302D6E">
        <w:t xml:space="preserve">, assumed to be submitted by station owner/operators; </w:t>
      </w:r>
      <w:r w:rsidR="00720DB6">
        <w:t xml:space="preserve">3) </w:t>
      </w:r>
      <w:r w:rsidR="00302D6E">
        <w:t>submit or verify submission of one-time data</w:t>
      </w:r>
      <w:r w:rsidR="004D3FB4">
        <w:t xml:space="preserve"> (</w:t>
      </w:r>
      <w:r w:rsidR="00F84694">
        <w:t>3</w:t>
      </w:r>
      <w:r w:rsidR="00F00805">
        <w:t>0</w:t>
      </w:r>
      <w:r w:rsidR="00F84694">
        <w:t xml:space="preserve"> hours</w:t>
      </w:r>
      <w:r w:rsidRPr="0012011E" w:rsidR="0012011E">
        <w:t xml:space="preserve"> </w:t>
      </w:r>
      <w:r w:rsidR="0012011E">
        <w:t>from 52 DOTs and an estimated 100 awardees of recipients under 23 USC 151(f) Corridor Charging Grant Program</w:t>
      </w:r>
      <w:r w:rsidR="00F84694">
        <w:t>)</w:t>
      </w:r>
      <w:r w:rsidR="00302D6E">
        <w:t>, assumed to come from contract documents at the time of construction/installation; 4)</w:t>
      </w:r>
      <w:r w:rsidR="00F84694">
        <w:t xml:space="preserve"> </w:t>
      </w:r>
      <w:r w:rsidR="00302D6E">
        <w:t>i</w:t>
      </w:r>
      <w:r w:rsidR="003F09B9">
        <w:t>ncorporat</w:t>
      </w:r>
      <w:r w:rsidR="00302D6E">
        <w:t>e</w:t>
      </w:r>
      <w:r w:rsidR="00F32320">
        <w:t xml:space="preserve"> </w:t>
      </w:r>
      <w:r w:rsidRPr="003C5846" w:rsidR="00E12B56">
        <w:t xml:space="preserve">community engagement outcomes </w:t>
      </w:r>
      <w:r w:rsidR="003F09B9">
        <w:t xml:space="preserve">into </w:t>
      </w:r>
      <w:r w:rsidR="007B473F">
        <w:t xml:space="preserve">the </w:t>
      </w:r>
      <w:r w:rsidRPr="005F5601" w:rsidR="007B473F">
        <w:rPr>
          <w:szCs w:val="24"/>
        </w:rPr>
        <w:t>State EV Infrastructure Deployment Plan</w:t>
      </w:r>
      <w:r w:rsidRPr="003C5846" w:rsidR="00E12B56">
        <w:t xml:space="preserve"> (</w:t>
      </w:r>
      <w:r w:rsidRPr="003C5846" w:rsidR="00436E2A">
        <w:t>1</w:t>
      </w:r>
      <w:r w:rsidR="00DA7C65">
        <w:t>2</w:t>
      </w:r>
      <w:r w:rsidRPr="003C5846" w:rsidR="00436E2A">
        <w:t xml:space="preserve"> hours</w:t>
      </w:r>
      <w:r w:rsidR="0012011E">
        <w:t xml:space="preserve"> from 52 DOTs</w:t>
      </w:r>
      <w:r w:rsidR="00A56FAC">
        <w:t>)</w:t>
      </w:r>
      <w:r w:rsidR="00302D6E">
        <w:t>;</w:t>
      </w:r>
      <w:r w:rsidR="00A56FAC">
        <w:t xml:space="preserve"> and </w:t>
      </w:r>
      <w:r w:rsidR="00302D6E">
        <w:t xml:space="preserve">5) </w:t>
      </w:r>
      <w:r w:rsidR="00A56FAC">
        <w:t xml:space="preserve">verify that </w:t>
      </w:r>
      <w:r w:rsidR="00720DB6">
        <w:t>third-</w:t>
      </w:r>
      <w:r w:rsidR="00A56FAC">
        <w:t>party data is being made available (</w:t>
      </w:r>
      <w:r w:rsidR="000054EC">
        <w:t>4 hours</w:t>
      </w:r>
      <w:r w:rsidR="0012011E">
        <w:t xml:space="preserve"> from 52 DOTs and an estimated 300 awardees of recipients under 23 USC 151(f)</w:t>
      </w:r>
      <w:r w:rsidRPr="003C5846" w:rsidR="0012011E">
        <w:t>)</w:t>
      </w:r>
      <w:r w:rsidR="000054EC">
        <w:t>)</w:t>
      </w:r>
      <w:r w:rsidR="00302D6E">
        <w:t xml:space="preserve"> </w:t>
      </w:r>
      <w:r w:rsidR="00720DB6">
        <w:t>through an automatic data feed</w:t>
      </w:r>
      <w:r w:rsidR="00302D6E">
        <w:t xml:space="preserve"> from the charging stations</w:t>
      </w:r>
      <w:r w:rsidRPr="003C5846" w:rsidR="004D1E14">
        <w:t>.</w:t>
      </w:r>
      <w:r w:rsidRPr="003C5846" w:rsidR="004D1E14">
        <w:rPr>
          <w:color w:val="FF0000"/>
        </w:rPr>
        <w:t xml:space="preserve"> </w:t>
      </w:r>
    </w:p>
    <w:tbl>
      <w:tblPr>
        <w:tblStyle w:val="TableGrid"/>
        <w:tblW w:w="9355" w:type="dxa"/>
        <w:tblLook w:val="04A0"/>
      </w:tblPr>
      <w:tblGrid>
        <w:gridCol w:w="2338"/>
        <w:gridCol w:w="2339"/>
        <w:gridCol w:w="2339"/>
        <w:gridCol w:w="2339"/>
      </w:tblGrid>
      <w:tr w14:paraId="05F3E17A" w14:textId="77777777" w:rsidTr="0079685F">
        <w:tblPrEx>
          <w:tblW w:w="9355" w:type="dxa"/>
          <w:tblLook w:val="04A0"/>
        </w:tblPrEx>
        <w:tc>
          <w:tcPr>
            <w:tcW w:w="2338" w:type="dxa"/>
          </w:tcPr>
          <w:p w:rsidR="0079685F" w:rsidRPr="003C5846" w:rsidP="00045A5A" w14:paraId="5E51EE1C" w14:textId="5AE17E01">
            <w:r w:rsidRPr="003C5846">
              <w:t>Regulation</w:t>
            </w:r>
          </w:p>
        </w:tc>
        <w:tc>
          <w:tcPr>
            <w:tcW w:w="2339" w:type="dxa"/>
          </w:tcPr>
          <w:p w:rsidR="0079685F" w:rsidRPr="003C5846" w:rsidP="00045A5A" w14:paraId="16527048" w14:textId="033E2C83">
            <w:r w:rsidRPr="003C5846">
              <w:t xml:space="preserve">Number of hours </w:t>
            </w:r>
            <w:r w:rsidRPr="003C5846">
              <w:t>(annually)</w:t>
            </w:r>
          </w:p>
        </w:tc>
        <w:tc>
          <w:tcPr>
            <w:tcW w:w="2339" w:type="dxa"/>
          </w:tcPr>
          <w:p w:rsidR="0079685F" w:rsidRPr="003C5846" w:rsidP="00045A5A" w14:paraId="73AA2BFB" w14:textId="4C7A71BA">
            <w:r w:rsidRPr="003C5846">
              <w:t xml:space="preserve">Number of </w:t>
            </w:r>
            <w:r w:rsidRPr="003C5846">
              <w:t>Respondents</w:t>
            </w:r>
          </w:p>
        </w:tc>
        <w:tc>
          <w:tcPr>
            <w:tcW w:w="2339" w:type="dxa"/>
          </w:tcPr>
          <w:p w:rsidR="0079685F" w:rsidRPr="003C5846" w:rsidP="00045A5A" w14:paraId="6266345E" w14:textId="19392513">
            <w:r w:rsidRPr="003C5846">
              <w:t>Total</w:t>
            </w:r>
          </w:p>
        </w:tc>
      </w:tr>
      <w:tr w14:paraId="1E67FF73" w14:textId="77777777" w:rsidTr="0079685F">
        <w:tblPrEx>
          <w:tblW w:w="9355" w:type="dxa"/>
          <w:tblLook w:val="04A0"/>
        </w:tblPrEx>
        <w:tc>
          <w:tcPr>
            <w:tcW w:w="2338" w:type="dxa"/>
          </w:tcPr>
          <w:p w:rsidR="0079685F" w:rsidRPr="003C5846" w:rsidP="00045A5A" w14:paraId="6250560B" w14:textId="32772A72">
            <w:r w:rsidRPr="003C5846">
              <w:t>23 CFR 680.112 (</w:t>
            </w:r>
            <w:r w:rsidR="004A2843">
              <w:t>a</w:t>
            </w:r>
            <w:r w:rsidRPr="003C5846">
              <w:t>)</w:t>
            </w:r>
          </w:p>
        </w:tc>
        <w:tc>
          <w:tcPr>
            <w:tcW w:w="2339" w:type="dxa"/>
          </w:tcPr>
          <w:p w:rsidR="0079685F" w:rsidRPr="003C5846" w:rsidP="00045A5A" w14:paraId="42A877B9" w14:textId="43A7D99B">
            <w:r>
              <w:t>4</w:t>
            </w:r>
          </w:p>
        </w:tc>
        <w:tc>
          <w:tcPr>
            <w:tcW w:w="2339" w:type="dxa"/>
          </w:tcPr>
          <w:p w:rsidR="0079685F" w:rsidRPr="003C5846" w:rsidP="00045A5A" w14:paraId="5405C667" w14:textId="1F3C953B">
            <w:r>
              <w:t>3</w:t>
            </w:r>
            <w:r w:rsidRPr="003C5846">
              <w:t>52</w:t>
            </w:r>
          </w:p>
        </w:tc>
        <w:tc>
          <w:tcPr>
            <w:tcW w:w="2339" w:type="dxa"/>
          </w:tcPr>
          <w:p w:rsidR="0079685F" w:rsidRPr="003C5846" w:rsidP="00045A5A" w14:paraId="7C994138" w14:textId="1953DAC4">
            <w:r>
              <w:t>1408</w:t>
            </w:r>
          </w:p>
        </w:tc>
      </w:tr>
      <w:tr w14:paraId="391C3B06" w14:textId="77777777" w:rsidTr="0079685F">
        <w:tblPrEx>
          <w:tblW w:w="9355" w:type="dxa"/>
          <w:tblLook w:val="04A0"/>
        </w:tblPrEx>
        <w:tc>
          <w:tcPr>
            <w:tcW w:w="2338" w:type="dxa"/>
          </w:tcPr>
          <w:p w:rsidR="0079685F" w:rsidRPr="003C5846" w:rsidP="00045A5A" w14:paraId="1AC7FB70" w14:textId="5408730C">
            <w:r w:rsidRPr="003C5846">
              <w:t>23 CFR 680.112 (</w:t>
            </w:r>
            <w:r w:rsidR="004A2843">
              <w:t>b</w:t>
            </w:r>
            <w:r w:rsidRPr="003C5846">
              <w:t>)</w:t>
            </w:r>
          </w:p>
        </w:tc>
        <w:tc>
          <w:tcPr>
            <w:tcW w:w="2339" w:type="dxa"/>
          </w:tcPr>
          <w:p w:rsidR="0079685F" w:rsidRPr="003C5846" w:rsidP="00045A5A" w14:paraId="45369F6C" w14:textId="40FC414F">
            <w:r>
              <w:t>8</w:t>
            </w:r>
          </w:p>
        </w:tc>
        <w:tc>
          <w:tcPr>
            <w:tcW w:w="2339" w:type="dxa"/>
          </w:tcPr>
          <w:p w:rsidR="0079685F" w:rsidRPr="003C5846" w:rsidP="00045A5A" w14:paraId="5B8EC7CD" w14:textId="7235AED4">
            <w:r>
              <w:t>3</w:t>
            </w:r>
            <w:r w:rsidRPr="003C5846">
              <w:t>52</w:t>
            </w:r>
          </w:p>
        </w:tc>
        <w:tc>
          <w:tcPr>
            <w:tcW w:w="2339" w:type="dxa"/>
          </w:tcPr>
          <w:p w:rsidR="0079685F" w:rsidRPr="003C5846" w:rsidP="00045A5A" w14:paraId="0F93EDF3" w14:textId="28623EB4">
            <w:r>
              <w:t>2816</w:t>
            </w:r>
          </w:p>
        </w:tc>
      </w:tr>
      <w:tr w14:paraId="4C25D4C6" w14:textId="77777777" w:rsidTr="0079685F">
        <w:tblPrEx>
          <w:tblW w:w="9355" w:type="dxa"/>
          <w:tblLook w:val="04A0"/>
        </w:tblPrEx>
        <w:tc>
          <w:tcPr>
            <w:tcW w:w="2338" w:type="dxa"/>
          </w:tcPr>
          <w:p w:rsidR="007B1365" w:rsidRPr="003C5846" w:rsidP="00045A5A" w14:paraId="06CA8A00" w14:textId="1FF8D62F">
            <w:r w:rsidRPr="003C5846">
              <w:t>23 CFR 680.112 (</w:t>
            </w:r>
            <w:r w:rsidR="004A2843">
              <w:t>c</w:t>
            </w:r>
            <w:r w:rsidRPr="003C5846">
              <w:t>)</w:t>
            </w:r>
          </w:p>
        </w:tc>
        <w:tc>
          <w:tcPr>
            <w:tcW w:w="2339" w:type="dxa"/>
          </w:tcPr>
          <w:p w:rsidR="00DA7C65" w:rsidRPr="003C5846" w:rsidP="00045A5A" w14:paraId="231CCF69" w14:textId="5C0C5269">
            <w:r>
              <w:t>3</w:t>
            </w:r>
            <w:r w:rsidR="00BE0DFA">
              <w:t>0</w:t>
            </w:r>
          </w:p>
        </w:tc>
        <w:tc>
          <w:tcPr>
            <w:tcW w:w="2339" w:type="dxa"/>
          </w:tcPr>
          <w:p w:rsidR="007B1365" w:rsidRPr="003C5846" w:rsidP="00045A5A" w14:paraId="234DB0F9" w14:textId="7AB80102">
            <w:r>
              <w:t>1</w:t>
            </w:r>
            <w:r w:rsidRPr="003C5846" w:rsidR="002F3705">
              <w:t>52</w:t>
            </w:r>
          </w:p>
        </w:tc>
        <w:tc>
          <w:tcPr>
            <w:tcW w:w="2339" w:type="dxa"/>
          </w:tcPr>
          <w:p w:rsidR="007B1365" w:rsidRPr="003C5846" w:rsidP="00045A5A" w14:paraId="768AF6AA" w14:textId="5FC269DF">
            <w:r>
              <w:t>4560</w:t>
            </w:r>
          </w:p>
        </w:tc>
      </w:tr>
      <w:tr w14:paraId="2188C2B2" w14:textId="77777777" w:rsidTr="0079685F">
        <w:tblPrEx>
          <w:tblW w:w="9355" w:type="dxa"/>
          <w:tblLook w:val="04A0"/>
        </w:tblPrEx>
        <w:tc>
          <w:tcPr>
            <w:tcW w:w="2338" w:type="dxa"/>
          </w:tcPr>
          <w:p w:rsidR="00AD55EA" w:rsidRPr="003C5846" w:rsidP="00045A5A" w14:paraId="2772A4E6" w14:textId="5E694AA5">
            <w:r>
              <w:t xml:space="preserve">23 CFR </w:t>
            </w:r>
            <w:r w:rsidR="00602C12">
              <w:t>680.112 (</w:t>
            </w:r>
            <w:r w:rsidR="004A2843">
              <w:t>d</w:t>
            </w:r>
            <w:r w:rsidR="00602C12">
              <w:t>)</w:t>
            </w:r>
          </w:p>
        </w:tc>
        <w:tc>
          <w:tcPr>
            <w:tcW w:w="2339" w:type="dxa"/>
          </w:tcPr>
          <w:p w:rsidR="00AD55EA" w:rsidRPr="003C5846" w:rsidP="00045A5A" w14:paraId="742CCAA5" w14:textId="08F132A4">
            <w:r>
              <w:t>12</w:t>
            </w:r>
          </w:p>
        </w:tc>
        <w:tc>
          <w:tcPr>
            <w:tcW w:w="2339" w:type="dxa"/>
          </w:tcPr>
          <w:p w:rsidR="00AD55EA" w:rsidRPr="003C5846" w:rsidP="00045A5A" w14:paraId="75670A88" w14:textId="7A039FCC">
            <w:r>
              <w:t>52</w:t>
            </w:r>
          </w:p>
        </w:tc>
        <w:tc>
          <w:tcPr>
            <w:tcW w:w="2339" w:type="dxa"/>
          </w:tcPr>
          <w:p w:rsidR="00AD55EA" w:rsidRPr="003C5846" w:rsidP="00045A5A" w14:paraId="0D0C0782" w14:textId="4E7CBC13">
            <w:r>
              <w:t>624</w:t>
            </w:r>
          </w:p>
        </w:tc>
      </w:tr>
      <w:tr w14:paraId="0690C7FD" w14:textId="77777777" w:rsidTr="0079685F">
        <w:tblPrEx>
          <w:tblW w:w="9355" w:type="dxa"/>
          <w:tblLook w:val="04A0"/>
        </w:tblPrEx>
        <w:tc>
          <w:tcPr>
            <w:tcW w:w="2338" w:type="dxa"/>
          </w:tcPr>
          <w:p w:rsidR="0079685F" w:rsidRPr="003C5846" w:rsidP="00045A5A" w14:paraId="4535C46C" w14:textId="2C1EAF2B">
            <w:r w:rsidRPr="003C5846">
              <w:t>23 CFR 680.116 (c)</w:t>
            </w:r>
          </w:p>
        </w:tc>
        <w:tc>
          <w:tcPr>
            <w:tcW w:w="2339" w:type="dxa"/>
          </w:tcPr>
          <w:p w:rsidR="0079685F" w:rsidRPr="003C5846" w:rsidP="00045A5A" w14:paraId="0894F6D0" w14:textId="40648726">
            <w:r>
              <w:t>4</w:t>
            </w:r>
          </w:p>
        </w:tc>
        <w:tc>
          <w:tcPr>
            <w:tcW w:w="2339" w:type="dxa"/>
          </w:tcPr>
          <w:p w:rsidR="0079685F" w:rsidRPr="003C5846" w:rsidP="00045A5A" w14:paraId="55CD3086" w14:textId="652760F3">
            <w:r>
              <w:t>3</w:t>
            </w:r>
            <w:r w:rsidRPr="003C5846">
              <w:t>52</w:t>
            </w:r>
          </w:p>
        </w:tc>
        <w:tc>
          <w:tcPr>
            <w:tcW w:w="2339" w:type="dxa"/>
          </w:tcPr>
          <w:p w:rsidR="0079685F" w:rsidRPr="0079685F" w:rsidP="00045A5A" w14:paraId="3BCB6FE7" w14:textId="6BA18F4C">
            <w:r>
              <w:t>1408</w:t>
            </w:r>
          </w:p>
        </w:tc>
      </w:tr>
      <w:tr w14:paraId="0C9938D7" w14:textId="77777777" w:rsidTr="00394953">
        <w:tblPrEx>
          <w:tblW w:w="9355" w:type="dxa"/>
          <w:tblLook w:val="04A0"/>
        </w:tblPrEx>
        <w:tc>
          <w:tcPr>
            <w:tcW w:w="7016" w:type="dxa"/>
            <w:gridSpan w:val="3"/>
          </w:tcPr>
          <w:p w:rsidR="0079685F" w:rsidRPr="0079685F" w:rsidP="00045A5A" w14:paraId="34DA6FA2" w14:textId="3679F951">
            <w:pPr>
              <w:rPr>
                <w:b/>
                <w:bCs/>
              </w:rPr>
            </w:pPr>
            <w:r w:rsidRPr="0079685F">
              <w:rPr>
                <w:b/>
                <w:bCs/>
              </w:rPr>
              <w:t>Total annual burden for State</w:t>
            </w:r>
            <w:r w:rsidR="00480F14">
              <w:rPr>
                <w:b/>
                <w:bCs/>
              </w:rPr>
              <w:t xml:space="preserve">s and </w:t>
            </w:r>
            <w:r w:rsidR="00E767EE">
              <w:rPr>
                <w:b/>
                <w:bCs/>
              </w:rPr>
              <w:t>other direct recipients</w:t>
            </w:r>
            <w:r w:rsidRPr="0079685F">
              <w:rPr>
                <w:b/>
                <w:bCs/>
              </w:rPr>
              <w:t xml:space="preserve">: </w:t>
            </w:r>
          </w:p>
        </w:tc>
        <w:tc>
          <w:tcPr>
            <w:tcW w:w="2339" w:type="dxa"/>
          </w:tcPr>
          <w:p w:rsidR="0079685F" w:rsidRPr="0079685F" w:rsidP="00045A5A" w14:paraId="3AF964B5" w14:textId="186A3C3F">
            <w:pPr>
              <w:rPr>
                <w:b/>
                <w:bCs/>
              </w:rPr>
            </w:pPr>
            <w:r>
              <w:rPr>
                <w:b/>
                <w:bCs/>
              </w:rPr>
              <w:t>10,816</w:t>
            </w:r>
          </w:p>
        </w:tc>
      </w:tr>
    </w:tbl>
    <w:p w:rsidR="004D1E14" w:rsidRPr="00332ED8" w:rsidP="00045A5A" w14:paraId="70C8B73B" w14:textId="77777777">
      <w:pPr>
        <w:rPr>
          <w:color w:val="FF0000"/>
        </w:rPr>
      </w:pPr>
    </w:p>
    <w:p w:rsidR="008C1FA9" w:rsidP="00EF2214" w14:paraId="7A37F27A" w14:textId="77777777">
      <w:pPr>
        <w:pStyle w:val="Heading2"/>
      </w:pPr>
      <w:r w:rsidRPr="009B472E">
        <w:t>13.</w:t>
      </w:r>
      <w:r w:rsidRPr="009B472E">
        <w:tab/>
      </w:r>
      <w:r w:rsidRPr="00EF2214">
        <w:rPr>
          <w:u w:val="single"/>
        </w:rPr>
        <w:t>Estimate of total annual costs</w:t>
      </w:r>
      <w:r w:rsidRPr="00EF2214" w:rsidR="00334927">
        <w:rPr>
          <w:u w:val="single"/>
        </w:rPr>
        <w:t xml:space="preserve"> burden</w:t>
      </w:r>
      <w:r w:rsidRPr="009B472E" w:rsidR="00334927">
        <w:t>.</w:t>
      </w:r>
      <w:r w:rsidR="00E40C94">
        <w:t xml:space="preserve"> </w:t>
      </w:r>
    </w:p>
    <w:p w:rsidR="00522EDF" w:rsidP="00522EDF" w14:paraId="10A4FD5A" w14:textId="4166FE91">
      <w:bookmarkStart w:id="13" w:name="_Hlk2855580"/>
      <w:bookmarkStart w:id="14" w:name="_Hlk2852765"/>
      <w:r>
        <w:t xml:space="preserve">To estimate annual costs, </w:t>
      </w:r>
      <w:r w:rsidRPr="00D46F4E">
        <w:t xml:space="preserve">the </w:t>
      </w:r>
      <w:r w:rsidRPr="00D46F4E">
        <w:rPr>
          <w:rStyle w:val="normaltextrun1"/>
        </w:rPr>
        <w:t>Bureau of Labor Statistics’ median hourly rates </w:t>
      </w:r>
      <w:r>
        <w:rPr>
          <w:rStyle w:val="normaltextrun1"/>
        </w:rPr>
        <w:t xml:space="preserve">were used </w:t>
      </w:r>
      <w:r w:rsidRPr="00D46F4E">
        <w:rPr>
          <w:rStyle w:val="normaltextrun1"/>
        </w:rPr>
        <w:t xml:space="preserve">for </w:t>
      </w:r>
      <w:hyperlink r:id="rId6" w:history="1">
        <w:r w:rsidRPr="00D46F4E">
          <w:rPr>
            <w:rStyle w:val="Hyperlink"/>
            <w:color w:val="auto"/>
          </w:rPr>
          <w:t>General and Operations Managers</w:t>
        </w:r>
      </w:hyperlink>
      <w:r w:rsidRPr="00D46F4E">
        <w:t xml:space="preserve"> ($47.10), </w:t>
      </w:r>
      <w:hyperlink r:id="rId7" w:tgtFrame="_blank" w:history="1">
        <w:r w:rsidRPr="00D46F4E">
          <w:rPr>
            <w:rStyle w:val="normaltextrun1"/>
            <w:u w:val="single"/>
          </w:rPr>
          <w:t>Civil Engineers</w:t>
        </w:r>
      </w:hyperlink>
      <w:r w:rsidRPr="00D46F4E">
        <w:rPr>
          <w:rStyle w:val="normaltextrun1"/>
        </w:rPr>
        <w:t xml:space="preserve"> ($42.33), and </w:t>
      </w:r>
      <w:hyperlink r:id="rId8" w:tgtFrame="_blank" w:history="1">
        <w:r w:rsidRPr="00D46F4E">
          <w:rPr>
            <w:rStyle w:val="normaltextrun1"/>
            <w:u w:val="single"/>
          </w:rPr>
          <w:t>Management Analysts</w:t>
        </w:r>
      </w:hyperlink>
      <w:r w:rsidRPr="00D46F4E">
        <w:rPr>
          <w:rStyle w:val="normaltextrun1"/>
        </w:rPr>
        <w:t xml:space="preserve"> ($44.71), rounded up to the nearest whole dollar ($45)</w:t>
      </w:r>
      <w:r>
        <w:rPr>
          <w:rStyle w:val="FootnoteReference"/>
        </w:rPr>
        <w:footnoteReference w:id="4"/>
      </w:r>
      <w:r w:rsidRPr="00D46F4E">
        <w:rPr>
          <w:rStyle w:val="normaltextrun1"/>
        </w:rPr>
        <w:t>. This average wage rate is then factored by 1.61 to account for the cost of employer provided benefits to result in a labor cost of $73 per hour</w:t>
      </w:r>
      <w:r>
        <w:rPr>
          <w:rStyle w:val="FootnoteReference"/>
        </w:rPr>
        <w:footnoteReference w:id="5"/>
      </w:r>
      <w:r w:rsidRPr="00D46F4E">
        <w:rPr>
          <w:rStyle w:val="normaltextrun1"/>
        </w:rPr>
        <w:t>.</w:t>
      </w:r>
    </w:p>
    <w:bookmarkEnd w:id="13"/>
    <w:p w:rsidR="000324AD" w:rsidRPr="008E7ACE" w:rsidP="00522EDF" w14:paraId="25BC4600" w14:textId="23700524">
      <w:pPr>
        <w:rPr>
          <w:szCs w:val="24"/>
        </w:rPr>
      </w:pPr>
      <w:r w:rsidRPr="00522EDF">
        <w:rPr>
          <w:szCs w:val="24"/>
        </w:rPr>
        <w:t>The</w:t>
      </w:r>
      <w:r w:rsidRPr="00522EDF" w:rsidR="00F376C0">
        <w:rPr>
          <w:szCs w:val="24"/>
        </w:rPr>
        <w:t xml:space="preserve"> total</w:t>
      </w:r>
      <w:r w:rsidRPr="00522EDF">
        <w:rPr>
          <w:szCs w:val="24"/>
        </w:rPr>
        <w:t xml:space="preserve"> annual </w:t>
      </w:r>
      <w:r w:rsidRPr="008E7ACE">
        <w:rPr>
          <w:szCs w:val="24"/>
        </w:rPr>
        <w:t>hourly burden and costs are shown below</w:t>
      </w:r>
      <w:r w:rsidRPr="008E7ACE" w:rsidR="00F376C0">
        <w:rPr>
          <w:szCs w:val="24"/>
        </w:rPr>
        <w:t xml:space="preserve"> for all respondents:</w:t>
      </w:r>
    </w:p>
    <w:bookmarkEnd w:id="14"/>
    <w:tbl>
      <w:tblPr>
        <w:tblStyle w:val="TableGrid"/>
        <w:tblW w:w="0" w:type="auto"/>
        <w:tblInd w:w="720" w:type="dxa"/>
        <w:tblLook w:val="04A0"/>
      </w:tblPr>
      <w:tblGrid>
        <w:gridCol w:w="2145"/>
        <w:gridCol w:w="1728"/>
      </w:tblGrid>
      <w:tr w14:paraId="207320B6" w14:textId="77777777" w:rsidTr="000561F7">
        <w:tblPrEx>
          <w:tblW w:w="0" w:type="auto"/>
          <w:tblInd w:w="720" w:type="dxa"/>
          <w:tblLook w:val="04A0"/>
        </w:tblPrEx>
        <w:tc>
          <w:tcPr>
            <w:tcW w:w="2145" w:type="dxa"/>
            <w:vAlign w:val="bottom"/>
          </w:tcPr>
          <w:p w:rsidR="000324AD" w:rsidRPr="00F376C0" w:rsidP="000561F7" w14:paraId="6C5D961E" w14:textId="77777777">
            <w:pPr>
              <w:pStyle w:val="BodyTextIndent"/>
              <w:spacing w:after="0"/>
              <w:ind w:left="0"/>
            </w:pPr>
          </w:p>
        </w:tc>
        <w:tc>
          <w:tcPr>
            <w:tcW w:w="1728" w:type="dxa"/>
            <w:vAlign w:val="bottom"/>
          </w:tcPr>
          <w:p w:rsidR="000324AD" w:rsidRPr="00F376C0" w:rsidP="000561F7" w14:paraId="5D54FCCD" w14:textId="77777777">
            <w:pPr>
              <w:pStyle w:val="BodyTextIndent"/>
              <w:spacing w:after="0"/>
              <w:ind w:left="0"/>
              <w:jc w:val="right"/>
            </w:pPr>
            <w:r w:rsidRPr="00F376C0">
              <w:t>State Departments of Transportation</w:t>
            </w:r>
          </w:p>
        </w:tc>
      </w:tr>
      <w:tr w14:paraId="7B0C1A3C" w14:textId="77777777" w:rsidTr="00394953">
        <w:tblPrEx>
          <w:tblW w:w="0" w:type="auto"/>
          <w:tblInd w:w="720" w:type="dxa"/>
          <w:tblLook w:val="04A0"/>
        </w:tblPrEx>
        <w:tc>
          <w:tcPr>
            <w:tcW w:w="2145" w:type="dxa"/>
            <w:vAlign w:val="center"/>
          </w:tcPr>
          <w:p w:rsidR="00B00490" w:rsidRPr="00F376C0" w:rsidP="00B00490" w14:paraId="54BEBD4F" w14:textId="01E070C6">
            <w:pPr>
              <w:pStyle w:val="BodyTextIndent"/>
              <w:spacing w:after="0"/>
              <w:ind w:left="0"/>
            </w:pPr>
            <w:r>
              <w:t>Average Wage Rate</w:t>
            </w:r>
          </w:p>
        </w:tc>
        <w:tc>
          <w:tcPr>
            <w:tcW w:w="1728" w:type="dxa"/>
            <w:vAlign w:val="center"/>
          </w:tcPr>
          <w:p w:rsidR="00B00490" w:rsidP="00B00490" w14:paraId="34715664" w14:textId="1A5305BE">
            <w:pPr>
              <w:pStyle w:val="BodyTextIndent"/>
              <w:spacing w:after="0"/>
              <w:ind w:left="0"/>
              <w:jc w:val="right"/>
            </w:pPr>
            <w:r>
              <w:t>$73/hour</w:t>
            </w:r>
          </w:p>
        </w:tc>
      </w:tr>
      <w:tr w14:paraId="0D9559BB" w14:textId="77777777" w:rsidTr="00394953">
        <w:tblPrEx>
          <w:tblW w:w="0" w:type="auto"/>
          <w:tblInd w:w="720" w:type="dxa"/>
          <w:tblLook w:val="04A0"/>
        </w:tblPrEx>
        <w:tc>
          <w:tcPr>
            <w:tcW w:w="2145" w:type="dxa"/>
            <w:vAlign w:val="center"/>
          </w:tcPr>
          <w:p w:rsidR="00B00490" w:rsidRPr="00F376C0" w:rsidP="00B00490" w14:paraId="7BBAB098" w14:textId="77777777">
            <w:pPr>
              <w:pStyle w:val="BodyTextIndent"/>
              <w:spacing w:after="0"/>
              <w:ind w:left="0"/>
            </w:pPr>
            <w:r w:rsidRPr="00F376C0">
              <w:t>Hours</w:t>
            </w:r>
          </w:p>
        </w:tc>
        <w:tc>
          <w:tcPr>
            <w:tcW w:w="1728" w:type="dxa"/>
            <w:vAlign w:val="center"/>
          </w:tcPr>
          <w:p w:rsidR="00B00490" w:rsidRPr="00F376C0" w:rsidP="00B00490" w14:paraId="4415A630" w14:textId="3FA4CD5C">
            <w:pPr>
              <w:pStyle w:val="BodyTextIndent"/>
              <w:spacing w:after="0"/>
              <w:ind w:left="0"/>
              <w:jc w:val="right"/>
            </w:pPr>
            <w:r>
              <w:t>10,816</w:t>
            </w:r>
          </w:p>
        </w:tc>
      </w:tr>
      <w:tr w14:paraId="45265334" w14:textId="77777777" w:rsidTr="00394953">
        <w:tblPrEx>
          <w:tblW w:w="0" w:type="auto"/>
          <w:tblInd w:w="720" w:type="dxa"/>
          <w:tblLook w:val="04A0"/>
        </w:tblPrEx>
        <w:tc>
          <w:tcPr>
            <w:tcW w:w="2145" w:type="dxa"/>
            <w:vAlign w:val="center"/>
          </w:tcPr>
          <w:p w:rsidR="00B00490" w:rsidRPr="00F376C0" w:rsidP="00B00490" w14:paraId="35A009B1" w14:textId="3625D2B9">
            <w:pPr>
              <w:pStyle w:val="BodyTextIndent"/>
              <w:spacing w:after="0"/>
              <w:ind w:left="0"/>
            </w:pPr>
            <w:r w:rsidRPr="00F376C0">
              <w:t>Total</w:t>
            </w:r>
          </w:p>
        </w:tc>
        <w:tc>
          <w:tcPr>
            <w:tcW w:w="1728" w:type="dxa"/>
            <w:vAlign w:val="bottom"/>
          </w:tcPr>
          <w:p w:rsidR="00B00490" w:rsidRPr="0025561E" w:rsidP="00B00490" w14:paraId="57A08BF6" w14:textId="6BD43DD8">
            <w:pPr>
              <w:pStyle w:val="BodyTextIndent"/>
              <w:spacing w:after="0"/>
              <w:ind w:left="0"/>
              <w:jc w:val="right"/>
            </w:pPr>
            <w:r w:rsidRPr="0025561E">
              <w:t>$</w:t>
            </w:r>
            <w:r w:rsidR="00480F14">
              <w:t>789,568</w:t>
            </w:r>
          </w:p>
        </w:tc>
      </w:tr>
      <w:tr w14:paraId="75106A80" w14:textId="77777777" w:rsidTr="004A4C4A">
        <w:tblPrEx>
          <w:tblW w:w="0" w:type="auto"/>
          <w:tblInd w:w="720" w:type="dxa"/>
          <w:tblLook w:val="04A0"/>
        </w:tblPrEx>
        <w:tc>
          <w:tcPr>
            <w:tcW w:w="2145" w:type="dxa"/>
            <w:tcBorders>
              <w:left w:val="nil"/>
              <w:bottom w:val="nil"/>
              <w:right w:val="nil"/>
            </w:tcBorders>
            <w:vAlign w:val="center"/>
          </w:tcPr>
          <w:p w:rsidR="00B00490" w:rsidRPr="003079D1" w:rsidP="00B00490" w14:paraId="7312545B" w14:textId="77777777">
            <w:pPr>
              <w:pStyle w:val="BodyTextIndent"/>
              <w:spacing w:after="0"/>
              <w:ind w:left="0"/>
            </w:pPr>
          </w:p>
        </w:tc>
        <w:tc>
          <w:tcPr>
            <w:tcW w:w="1728" w:type="dxa"/>
            <w:tcBorders>
              <w:left w:val="nil"/>
              <w:bottom w:val="nil"/>
              <w:right w:val="nil"/>
            </w:tcBorders>
            <w:vAlign w:val="bottom"/>
          </w:tcPr>
          <w:p w:rsidR="00B00490" w:rsidRPr="003079D1" w:rsidP="00B00490" w14:paraId="213B253D" w14:textId="77777777">
            <w:pPr>
              <w:pStyle w:val="BodyTextIndent"/>
              <w:spacing w:after="0"/>
              <w:ind w:left="0"/>
              <w:jc w:val="right"/>
              <w:rPr>
                <w:color w:val="000000"/>
              </w:rPr>
            </w:pPr>
          </w:p>
        </w:tc>
      </w:tr>
    </w:tbl>
    <w:p w:rsidR="008C1FA9" w:rsidP="00EF2214" w14:paraId="5DDA7BD6" w14:textId="77777777">
      <w:pPr>
        <w:pStyle w:val="Heading2"/>
      </w:pPr>
      <w:r w:rsidRPr="009B472E">
        <w:t>14.</w:t>
      </w:r>
      <w:r w:rsidRPr="004C593B">
        <w:tab/>
      </w:r>
      <w:r w:rsidRPr="00EF2214">
        <w:rPr>
          <w:u w:val="single"/>
        </w:rPr>
        <w:t>Estimate of cost</w:t>
      </w:r>
      <w:r w:rsidRPr="00EF2214" w:rsidR="004C593B">
        <w:rPr>
          <w:u w:val="single"/>
        </w:rPr>
        <w:t>s</w:t>
      </w:r>
      <w:r w:rsidRPr="00EF2214">
        <w:rPr>
          <w:u w:val="single"/>
        </w:rPr>
        <w:t xml:space="preserve"> to the Federal Government</w:t>
      </w:r>
      <w:r w:rsidRPr="009B472E" w:rsidR="004C593B">
        <w:t>.</w:t>
      </w:r>
      <w:r w:rsidRPr="004C593B" w:rsidR="004C593B">
        <w:t xml:space="preserve"> </w:t>
      </w:r>
    </w:p>
    <w:p w:rsidR="008D5054" w:rsidRPr="00EA40CE" w:rsidP="008D5054" w14:paraId="051CCEFB" w14:textId="62AD8404">
      <w:pPr>
        <w:rPr>
          <w:szCs w:val="24"/>
        </w:rPr>
      </w:pPr>
      <w:r w:rsidRPr="00EA40CE">
        <w:rPr>
          <w:szCs w:val="24"/>
        </w:rPr>
        <w:t xml:space="preserve">Federal costs are based on the estimated level of effort required to complete the data collection, multiplied by the hourly rate of staff. </w:t>
      </w:r>
      <w:r w:rsidRPr="00EA40CE">
        <w:rPr>
          <w:szCs w:val="24"/>
        </w:rPr>
        <w:tab/>
      </w:r>
    </w:p>
    <w:p w:rsidR="004B7286" w:rsidP="008D5054" w14:paraId="4E21AC5B" w14:textId="77777777">
      <w:pPr>
        <w:rPr>
          <w:szCs w:val="24"/>
        </w:rPr>
      </w:pPr>
      <w:r w:rsidRPr="00EA40CE">
        <w:rPr>
          <w:szCs w:val="24"/>
        </w:rPr>
        <w:t xml:space="preserve">The cost to the Federal Government consists of the staff time and related expenses for the </w:t>
      </w:r>
      <w:r w:rsidR="00B352E2">
        <w:rPr>
          <w:szCs w:val="24"/>
        </w:rPr>
        <w:t xml:space="preserve">validation and publishing of </w:t>
      </w:r>
      <w:r w:rsidRPr="00EA40CE" w:rsidR="00BD2F61">
        <w:rPr>
          <w:szCs w:val="24"/>
        </w:rPr>
        <w:t>the data</w:t>
      </w:r>
      <w:r w:rsidRPr="00EA40CE">
        <w:rPr>
          <w:szCs w:val="24"/>
        </w:rPr>
        <w:t xml:space="preserve"> and</w:t>
      </w:r>
      <w:r w:rsidR="00F33C9D">
        <w:rPr>
          <w:szCs w:val="24"/>
        </w:rPr>
        <w:t xml:space="preserve"> related</w:t>
      </w:r>
      <w:r w:rsidRPr="00EA40CE">
        <w:rPr>
          <w:szCs w:val="24"/>
        </w:rPr>
        <w:t xml:space="preserve"> </w:t>
      </w:r>
      <w:r w:rsidRPr="00EA40CE" w:rsidR="00BD2F61">
        <w:rPr>
          <w:szCs w:val="24"/>
        </w:rPr>
        <w:t>coordination with</w:t>
      </w:r>
      <w:r w:rsidRPr="00EA40CE">
        <w:rPr>
          <w:szCs w:val="24"/>
        </w:rPr>
        <w:t xml:space="preserve"> SDOTs</w:t>
      </w:r>
      <w:r w:rsidR="00141028">
        <w:rPr>
          <w:szCs w:val="24"/>
        </w:rPr>
        <w:t xml:space="preserve"> and </w:t>
      </w:r>
      <w:r w:rsidR="00E767EE">
        <w:rPr>
          <w:szCs w:val="24"/>
        </w:rPr>
        <w:t>other direct recipients</w:t>
      </w:r>
      <w:r w:rsidRPr="00EA40CE">
        <w:rPr>
          <w:szCs w:val="24"/>
        </w:rPr>
        <w:t xml:space="preserve"> to </w:t>
      </w:r>
      <w:r w:rsidRPr="00EA40CE" w:rsidR="00BD2F61">
        <w:rPr>
          <w:szCs w:val="24"/>
        </w:rPr>
        <w:t xml:space="preserve">follow-up on questions from </w:t>
      </w:r>
      <w:r w:rsidRPr="003C5846" w:rsidR="00BD2F61">
        <w:rPr>
          <w:szCs w:val="24"/>
        </w:rPr>
        <w:t>their data submittals</w:t>
      </w:r>
      <w:r w:rsidRPr="003C5846">
        <w:rPr>
          <w:szCs w:val="24"/>
        </w:rPr>
        <w:t>. It is</w:t>
      </w:r>
      <w:r w:rsidRPr="003C5846" w:rsidR="00CD020F">
        <w:rPr>
          <w:szCs w:val="24"/>
        </w:rPr>
        <w:t xml:space="preserve"> assumed </w:t>
      </w:r>
      <w:r w:rsidRPr="003C5846" w:rsidR="00CD020F">
        <w:rPr>
          <w:szCs w:val="24"/>
        </w:rPr>
        <w:t>FHWA</w:t>
      </w:r>
      <w:r w:rsidRPr="003C5846" w:rsidR="00B24F1A">
        <w:rPr>
          <w:szCs w:val="24"/>
        </w:rPr>
        <w:t xml:space="preserve"> and Joint Office</w:t>
      </w:r>
      <w:r w:rsidRPr="003C5846" w:rsidR="00CD020F">
        <w:rPr>
          <w:szCs w:val="24"/>
        </w:rPr>
        <w:t xml:space="preserve"> staff will spend 2</w:t>
      </w:r>
      <w:r w:rsidRPr="003C5846" w:rsidR="0090136D">
        <w:rPr>
          <w:szCs w:val="24"/>
        </w:rPr>
        <w:t>4</w:t>
      </w:r>
      <w:r w:rsidRPr="003C5846" w:rsidR="00354C6A">
        <w:rPr>
          <w:szCs w:val="24"/>
        </w:rPr>
        <w:t>0</w:t>
      </w:r>
      <w:r w:rsidRPr="003C5846">
        <w:rPr>
          <w:szCs w:val="24"/>
        </w:rPr>
        <w:t xml:space="preserve"> hours</w:t>
      </w:r>
      <w:r w:rsidRPr="003C5846" w:rsidR="00B6573A">
        <w:rPr>
          <w:szCs w:val="24"/>
        </w:rPr>
        <w:t xml:space="preserve"> annually</w:t>
      </w:r>
      <w:r w:rsidRPr="003C5846">
        <w:rPr>
          <w:szCs w:val="24"/>
        </w:rPr>
        <w:t xml:space="preserve"> on data</w:t>
      </w:r>
      <w:r w:rsidRPr="003C5846" w:rsidR="00CD020F">
        <w:rPr>
          <w:szCs w:val="24"/>
        </w:rPr>
        <w:t xml:space="preserve"> collection. </w:t>
      </w:r>
    </w:p>
    <w:p w:rsidR="008D5054" w:rsidRPr="003C5846" w:rsidP="008D5054" w14:paraId="247C5991" w14:textId="2DB03D74">
      <w:pPr>
        <w:rPr>
          <w:szCs w:val="24"/>
        </w:rPr>
      </w:pPr>
      <w:r>
        <w:rPr>
          <w:szCs w:val="24"/>
        </w:rPr>
        <w:t>We estimate that the average grade level of the reviewers is GS-13/step 5, paid at approximately $61 per hour</w:t>
      </w:r>
      <w:r>
        <w:rPr>
          <w:rStyle w:val="FootnoteReference"/>
          <w:szCs w:val="24"/>
        </w:rPr>
        <w:footnoteReference w:id="6"/>
      </w:r>
      <w:r w:rsidR="00F02B06">
        <w:rPr>
          <w:szCs w:val="24"/>
        </w:rPr>
        <w:t xml:space="preserve"> with no additional costs to the federal government</w:t>
      </w:r>
      <w:r>
        <w:rPr>
          <w:szCs w:val="24"/>
        </w:rPr>
        <w:t xml:space="preserve">.  </w:t>
      </w:r>
      <w:r w:rsidRPr="003C5846" w:rsidR="005637BB">
        <w:rPr>
          <w:szCs w:val="24"/>
        </w:rPr>
        <w:t>The cost is:</w:t>
      </w:r>
    </w:p>
    <w:p w:rsidR="008D5054" w:rsidRPr="0087698C" w:rsidP="00374321" w14:paraId="288C2BE3" w14:textId="34C68159">
      <w:pPr>
        <w:rPr>
          <w:szCs w:val="24"/>
        </w:rPr>
      </w:pPr>
      <w:r w:rsidRPr="003C5846">
        <w:rPr>
          <w:szCs w:val="24"/>
        </w:rPr>
        <w:t>2</w:t>
      </w:r>
      <w:r w:rsidRPr="003C5846" w:rsidR="0090136D">
        <w:rPr>
          <w:szCs w:val="24"/>
        </w:rPr>
        <w:t>4</w:t>
      </w:r>
      <w:r w:rsidRPr="003C5846" w:rsidR="00354C6A">
        <w:rPr>
          <w:szCs w:val="24"/>
        </w:rPr>
        <w:t>0</w:t>
      </w:r>
      <w:r w:rsidRPr="003C5846">
        <w:rPr>
          <w:szCs w:val="24"/>
        </w:rPr>
        <w:t xml:space="preserve"> FHWA Headquarters </w:t>
      </w:r>
      <w:r w:rsidR="001956E3">
        <w:rPr>
          <w:szCs w:val="24"/>
        </w:rPr>
        <w:t xml:space="preserve">and Joint Office </w:t>
      </w:r>
      <w:r w:rsidRPr="003C5846">
        <w:rPr>
          <w:szCs w:val="24"/>
        </w:rPr>
        <w:t>Staff Hours @ $</w:t>
      </w:r>
      <w:r w:rsidR="00F02B06">
        <w:rPr>
          <w:szCs w:val="24"/>
        </w:rPr>
        <w:t>61</w:t>
      </w:r>
      <w:r w:rsidRPr="003C5846">
        <w:rPr>
          <w:szCs w:val="24"/>
        </w:rPr>
        <w:t xml:space="preserve"> per hour = $</w:t>
      </w:r>
      <w:r w:rsidR="00F02B06">
        <w:rPr>
          <w:szCs w:val="24"/>
        </w:rPr>
        <w:t>14,640</w:t>
      </w:r>
      <w:r w:rsidRPr="003C5846" w:rsidR="00B6573A">
        <w:rPr>
          <w:szCs w:val="24"/>
        </w:rPr>
        <w:t xml:space="preserve"> annually</w:t>
      </w:r>
      <w:r w:rsidRPr="003C5846" w:rsidR="0090136D">
        <w:rPr>
          <w:szCs w:val="24"/>
        </w:rPr>
        <w:t>.</w:t>
      </w:r>
    </w:p>
    <w:p w:rsidR="008C1FA9" w:rsidP="009B472E" w14:paraId="4D8F1506" w14:textId="77777777">
      <w:pPr>
        <w:pStyle w:val="Heading2"/>
        <w:ind w:left="0" w:firstLine="0"/>
      </w:pPr>
      <w:r w:rsidRPr="009C32CF">
        <w:t>15.</w:t>
      </w:r>
      <w:r w:rsidRPr="009C32CF">
        <w:tab/>
      </w:r>
      <w:r w:rsidRPr="009B472E">
        <w:rPr>
          <w:u w:val="single"/>
        </w:rPr>
        <w:t>Explanation of program changes or adjustments</w:t>
      </w:r>
      <w:r w:rsidRPr="00EF2214" w:rsidR="00270FAB">
        <w:t xml:space="preserve">. </w:t>
      </w:r>
    </w:p>
    <w:p w:rsidR="00411924" w:rsidRPr="00AC082C" w14:paraId="7D786C87" w14:textId="09E0CB9D">
      <w:r>
        <w:t>Not applicable as this is a new program.</w:t>
      </w:r>
    </w:p>
    <w:p w:rsidR="008C1FA9" w:rsidP="009B472E" w14:paraId="4DCFDC1B" w14:textId="0ADC855A">
      <w:pPr>
        <w:pStyle w:val="Heading2"/>
        <w:ind w:left="0" w:firstLine="0"/>
      </w:pPr>
      <w:r w:rsidRPr="009C32CF">
        <w:t>16.</w:t>
      </w:r>
      <w:r w:rsidRPr="009C32CF">
        <w:tab/>
      </w:r>
      <w:r w:rsidRPr="009B472E">
        <w:rPr>
          <w:u w:val="single"/>
        </w:rPr>
        <w:t>Publication of results of data collection</w:t>
      </w:r>
      <w:r w:rsidRPr="009B472E" w:rsidR="00FB073C">
        <w:rPr>
          <w:u w:val="single"/>
        </w:rPr>
        <w:t>.</w:t>
      </w:r>
      <w:r w:rsidR="00FB073C">
        <w:t xml:space="preserve"> </w:t>
      </w:r>
    </w:p>
    <w:p w:rsidR="000D295B" w:rsidRPr="00D27C75" w:rsidP="00787599" w14:paraId="4809FD62" w14:textId="08C5F5E8">
      <w:pPr>
        <w:rPr>
          <w:szCs w:val="24"/>
        </w:rPr>
      </w:pPr>
      <w:r>
        <w:rPr>
          <w:szCs w:val="24"/>
        </w:rPr>
        <w:t>D</w:t>
      </w:r>
      <w:r w:rsidRPr="00D27C75" w:rsidR="00787599">
        <w:rPr>
          <w:szCs w:val="24"/>
        </w:rPr>
        <w:t xml:space="preserve">ata </w:t>
      </w:r>
      <w:r>
        <w:rPr>
          <w:szCs w:val="24"/>
        </w:rPr>
        <w:t>collection will begin</w:t>
      </w:r>
      <w:r w:rsidR="00FC767C">
        <w:rPr>
          <w:szCs w:val="24"/>
        </w:rPr>
        <w:t xml:space="preserve"> as of the effective dat</w:t>
      </w:r>
      <w:r w:rsidR="00374321">
        <w:rPr>
          <w:szCs w:val="24"/>
        </w:rPr>
        <w:t>e</w:t>
      </w:r>
      <w:r w:rsidR="00FC767C">
        <w:rPr>
          <w:szCs w:val="24"/>
        </w:rPr>
        <w:t xml:space="preserve"> of the final rule</w:t>
      </w:r>
      <w:r w:rsidR="00592D73">
        <w:rPr>
          <w:szCs w:val="24"/>
        </w:rPr>
        <w:t>.</w:t>
      </w:r>
      <w:r w:rsidRPr="00D27C75" w:rsidR="00787599">
        <w:rPr>
          <w:szCs w:val="24"/>
        </w:rPr>
        <w:t xml:space="preserve"> </w:t>
      </w:r>
      <w:r w:rsidR="00BB237D">
        <w:rPr>
          <w:szCs w:val="24"/>
        </w:rPr>
        <w:t xml:space="preserve">Quarterly data submittals </w:t>
      </w:r>
      <w:r w:rsidRPr="00D27C75" w:rsidR="00D35184">
        <w:rPr>
          <w:szCs w:val="24"/>
        </w:rPr>
        <w:t xml:space="preserve">will be collected after the </w:t>
      </w:r>
      <w:r w:rsidRPr="00D27C75" w:rsidR="00802881">
        <w:rPr>
          <w:szCs w:val="24"/>
        </w:rPr>
        <w:t xml:space="preserve">notice to proceed on an applicable contract. </w:t>
      </w:r>
      <w:r w:rsidRPr="00D27C75">
        <w:rPr>
          <w:szCs w:val="24"/>
        </w:rPr>
        <w:t>Quarterly data will be submitted and published according to the following</w:t>
      </w:r>
      <w:r w:rsidRPr="00D27C75" w:rsidR="00B452EC">
        <w:rPr>
          <w:szCs w:val="24"/>
        </w:rPr>
        <w:t xml:space="preserve"> anticipated</w:t>
      </w:r>
      <w:r w:rsidRPr="00D27C75">
        <w:rPr>
          <w:szCs w:val="24"/>
        </w:rPr>
        <w:t xml:space="preserve"> schedule:</w:t>
      </w:r>
    </w:p>
    <w:tbl>
      <w:tblPr>
        <w:tblW w:w="6518" w:type="dxa"/>
        <w:tblInd w:w="108" w:type="dxa"/>
        <w:tblLook w:val="04A0"/>
      </w:tblPr>
      <w:tblGrid>
        <w:gridCol w:w="3762"/>
        <w:gridCol w:w="1310"/>
        <w:gridCol w:w="1556"/>
      </w:tblGrid>
      <w:tr w14:paraId="49D6F5CE" w14:textId="6AA0545B" w:rsidTr="00105D7E">
        <w:tblPrEx>
          <w:tblW w:w="6518" w:type="dxa"/>
          <w:tblInd w:w="108" w:type="dxa"/>
          <w:tblLook w:val="04A0"/>
        </w:tblPrEx>
        <w:trPr>
          <w:trHeight w:val="300"/>
        </w:trPr>
        <w:tc>
          <w:tcPr>
            <w:tcW w:w="3762" w:type="dxa"/>
            <w:tcBorders>
              <w:top w:val="nil"/>
              <w:left w:val="nil"/>
              <w:bottom w:val="nil"/>
              <w:right w:val="nil"/>
            </w:tcBorders>
            <w:shd w:val="clear" w:color="auto" w:fill="auto"/>
            <w:noWrap/>
            <w:vAlign w:val="bottom"/>
            <w:hideMark/>
          </w:tcPr>
          <w:p w:rsidR="00AE7C8C" w:rsidRPr="00D27C75" w:rsidP="00787599" w14:paraId="53183923" w14:textId="1ABF3C5F">
            <w:pPr>
              <w:widowControl/>
              <w:autoSpaceDE/>
              <w:autoSpaceDN/>
              <w:adjustRightInd/>
              <w:spacing w:after="0"/>
              <w:rPr>
                <w:szCs w:val="24"/>
              </w:rPr>
            </w:pPr>
          </w:p>
        </w:tc>
        <w:tc>
          <w:tcPr>
            <w:tcW w:w="1310" w:type="dxa"/>
            <w:tcBorders>
              <w:top w:val="nil"/>
              <w:left w:val="nil"/>
              <w:bottom w:val="nil"/>
              <w:right w:val="nil"/>
            </w:tcBorders>
            <w:shd w:val="clear" w:color="auto" w:fill="auto"/>
            <w:noWrap/>
            <w:vAlign w:val="bottom"/>
            <w:hideMark/>
          </w:tcPr>
          <w:p w:rsidR="00AE7C8C" w:rsidRPr="00D27C75" w:rsidP="00787599" w14:paraId="6354DE09" w14:textId="29999E83">
            <w:pPr>
              <w:widowControl/>
              <w:autoSpaceDE/>
              <w:autoSpaceDN/>
              <w:adjustRightInd/>
              <w:spacing w:after="0"/>
              <w:jc w:val="right"/>
              <w:rPr>
                <w:i/>
                <w:iCs/>
                <w:szCs w:val="24"/>
              </w:rPr>
            </w:pPr>
            <w:r w:rsidRPr="00D27C75">
              <w:rPr>
                <w:i/>
                <w:iCs/>
                <w:szCs w:val="24"/>
              </w:rPr>
              <w:t>Submitted</w:t>
            </w:r>
            <w:r w:rsidR="00052350">
              <w:rPr>
                <w:i/>
                <w:iCs/>
                <w:szCs w:val="24"/>
              </w:rPr>
              <w:t xml:space="preserve"> by States</w:t>
            </w:r>
            <w:r w:rsidRPr="00D27C75">
              <w:rPr>
                <w:i/>
                <w:iCs/>
                <w:szCs w:val="24"/>
              </w:rPr>
              <w:t xml:space="preserve"> </w:t>
            </w:r>
          </w:p>
        </w:tc>
        <w:tc>
          <w:tcPr>
            <w:tcW w:w="1446" w:type="dxa"/>
            <w:tcBorders>
              <w:top w:val="nil"/>
              <w:left w:val="nil"/>
              <w:bottom w:val="nil"/>
              <w:right w:val="nil"/>
            </w:tcBorders>
          </w:tcPr>
          <w:p w:rsidR="00AE7C8C" w:rsidRPr="00D27C75" w:rsidP="00787599" w14:paraId="23D12158" w14:textId="2282F198">
            <w:pPr>
              <w:widowControl/>
              <w:autoSpaceDE/>
              <w:autoSpaceDN/>
              <w:adjustRightInd/>
              <w:spacing w:after="0"/>
              <w:ind w:left="380"/>
              <w:jc w:val="right"/>
              <w:rPr>
                <w:i/>
                <w:iCs/>
                <w:szCs w:val="24"/>
              </w:rPr>
            </w:pPr>
            <w:r w:rsidRPr="00D27C75">
              <w:rPr>
                <w:i/>
                <w:iCs/>
                <w:szCs w:val="24"/>
              </w:rPr>
              <w:t>Published</w:t>
            </w:r>
            <w:r w:rsidR="00052350">
              <w:rPr>
                <w:i/>
                <w:iCs/>
                <w:szCs w:val="24"/>
              </w:rPr>
              <w:t xml:space="preserve"> by Joint Office</w:t>
            </w:r>
          </w:p>
        </w:tc>
      </w:tr>
      <w:tr w14:paraId="523D56CE" w14:textId="6B9B97E3" w:rsidTr="00105D7E">
        <w:tblPrEx>
          <w:tblW w:w="6518" w:type="dxa"/>
          <w:tblInd w:w="108" w:type="dxa"/>
          <w:tblLook w:val="04A0"/>
        </w:tblPrEx>
        <w:trPr>
          <w:trHeight w:val="300"/>
        </w:trPr>
        <w:tc>
          <w:tcPr>
            <w:tcW w:w="3762" w:type="dxa"/>
            <w:tcBorders>
              <w:top w:val="nil"/>
              <w:left w:val="nil"/>
              <w:bottom w:val="nil"/>
              <w:right w:val="nil"/>
            </w:tcBorders>
            <w:shd w:val="clear" w:color="auto" w:fill="auto"/>
            <w:noWrap/>
            <w:vAlign w:val="bottom"/>
            <w:hideMark/>
          </w:tcPr>
          <w:p w:rsidR="00AE7C8C" w:rsidRPr="00D27C75" w:rsidP="00787599" w14:paraId="56A0C750" w14:textId="6AB8FE9C">
            <w:pPr>
              <w:widowControl/>
              <w:autoSpaceDE/>
              <w:autoSpaceDN/>
              <w:adjustRightInd/>
              <w:spacing w:after="0"/>
              <w:rPr>
                <w:szCs w:val="24"/>
              </w:rPr>
            </w:pPr>
            <w:r w:rsidRPr="00D27C75">
              <w:rPr>
                <w:szCs w:val="24"/>
              </w:rPr>
              <w:t>Q1 (October-December)</w:t>
            </w:r>
          </w:p>
        </w:tc>
        <w:tc>
          <w:tcPr>
            <w:tcW w:w="1310" w:type="dxa"/>
            <w:tcBorders>
              <w:top w:val="nil"/>
              <w:left w:val="nil"/>
              <w:bottom w:val="nil"/>
              <w:right w:val="nil"/>
            </w:tcBorders>
            <w:shd w:val="clear" w:color="auto" w:fill="auto"/>
            <w:noWrap/>
            <w:vAlign w:val="bottom"/>
            <w:hideMark/>
          </w:tcPr>
          <w:p w:rsidR="00AE7C8C" w:rsidRPr="00D27C75" w:rsidP="00787599" w14:paraId="710B1BFB" w14:textId="2AEE19D7">
            <w:pPr>
              <w:widowControl/>
              <w:autoSpaceDE/>
              <w:autoSpaceDN/>
              <w:adjustRightInd/>
              <w:spacing w:after="0"/>
              <w:jc w:val="right"/>
              <w:rPr>
                <w:szCs w:val="24"/>
              </w:rPr>
            </w:pPr>
            <w:r w:rsidRPr="00D27C75">
              <w:rPr>
                <w:szCs w:val="24"/>
              </w:rPr>
              <w:t xml:space="preserve">January </w:t>
            </w:r>
          </w:p>
        </w:tc>
        <w:tc>
          <w:tcPr>
            <w:tcW w:w="1446" w:type="dxa"/>
            <w:tcBorders>
              <w:top w:val="nil"/>
              <w:left w:val="nil"/>
              <w:bottom w:val="nil"/>
              <w:right w:val="nil"/>
            </w:tcBorders>
          </w:tcPr>
          <w:p w:rsidR="00AE7C8C" w:rsidRPr="00D27C75" w:rsidP="00787599" w14:paraId="4B1EDB52" w14:textId="0B620CF3">
            <w:pPr>
              <w:widowControl/>
              <w:autoSpaceDE/>
              <w:autoSpaceDN/>
              <w:adjustRightInd/>
              <w:spacing w:after="0"/>
              <w:jc w:val="right"/>
              <w:rPr>
                <w:szCs w:val="24"/>
              </w:rPr>
            </w:pPr>
            <w:r w:rsidRPr="00D27C75">
              <w:rPr>
                <w:szCs w:val="24"/>
              </w:rPr>
              <w:t xml:space="preserve">February </w:t>
            </w:r>
          </w:p>
        </w:tc>
      </w:tr>
      <w:tr w14:paraId="2012E108" w14:textId="79727011" w:rsidTr="00105D7E">
        <w:tblPrEx>
          <w:tblW w:w="6518" w:type="dxa"/>
          <w:tblInd w:w="108" w:type="dxa"/>
          <w:tblLook w:val="04A0"/>
        </w:tblPrEx>
        <w:trPr>
          <w:trHeight w:val="300"/>
        </w:trPr>
        <w:tc>
          <w:tcPr>
            <w:tcW w:w="3762" w:type="dxa"/>
            <w:tcBorders>
              <w:top w:val="nil"/>
              <w:left w:val="nil"/>
              <w:bottom w:val="nil"/>
              <w:right w:val="nil"/>
            </w:tcBorders>
            <w:shd w:val="clear" w:color="auto" w:fill="auto"/>
            <w:noWrap/>
            <w:vAlign w:val="bottom"/>
            <w:hideMark/>
          </w:tcPr>
          <w:p w:rsidR="00612938" w:rsidRPr="00D27C75" w:rsidP="00612938" w14:paraId="163808F6" w14:textId="19E8BDCA">
            <w:pPr>
              <w:widowControl/>
              <w:autoSpaceDE/>
              <w:autoSpaceDN/>
              <w:adjustRightInd/>
              <w:spacing w:after="0"/>
              <w:rPr>
                <w:szCs w:val="24"/>
              </w:rPr>
            </w:pPr>
            <w:r w:rsidRPr="00D27C75">
              <w:rPr>
                <w:szCs w:val="24"/>
              </w:rPr>
              <w:t>Q2 (January-March)</w:t>
            </w:r>
          </w:p>
        </w:tc>
        <w:tc>
          <w:tcPr>
            <w:tcW w:w="1310" w:type="dxa"/>
            <w:tcBorders>
              <w:top w:val="nil"/>
              <w:left w:val="nil"/>
              <w:bottom w:val="nil"/>
              <w:right w:val="nil"/>
            </w:tcBorders>
            <w:shd w:val="clear" w:color="auto" w:fill="auto"/>
            <w:noWrap/>
            <w:vAlign w:val="bottom"/>
            <w:hideMark/>
          </w:tcPr>
          <w:p w:rsidR="00612938" w:rsidRPr="00D27C75" w:rsidP="00612938" w14:paraId="7EBC7CF6" w14:textId="40C10C0F">
            <w:pPr>
              <w:widowControl/>
              <w:autoSpaceDE/>
              <w:autoSpaceDN/>
              <w:adjustRightInd/>
              <w:spacing w:after="0"/>
              <w:jc w:val="right"/>
              <w:rPr>
                <w:szCs w:val="24"/>
              </w:rPr>
            </w:pPr>
            <w:r w:rsidRPr="00D27C75">
              <w:rPr>
                <w:szCs w:val="24"/>
              </w:rPr>
              <w:t>April</w:t>
            </w:r>
          </w:p>
        </w:tc>
        <w:tc>
          <w:tcPr>
            <w:tcW w:w="1446" w:type="dxa"/>
            <w:tcBorders>
              <w:top w:val="nil"/>
              <w:left w:val="nil"/>
              <w:bottom w:val="nil"/>
              <w:right w:val="nil"/>
            </w:tcBorders>
          </w:tcPr>
          <w:p w:rsidR="00612938" w:rsidRPr="00D27C75" w:rsidP="00612938" w14:paraId="36423B1B" w14:textId="299AE0B9">
            <w:pPr>
              <w:widowControl/>
              <w:autoSpaceDE/>
              <w:autoSpaceDN/>
              <w:adjustRightInd/>
              <w:spacing w:after="0"/>
              <w:jc w:val="right"/>
              <w:rPr>
                <w:szCs w:val="24"/>
              </w:rPr>
            </w:pPr>
            <w:r w:rsidRPr="00D27C75">
              <w:rPr>
                <w:szCs w:val="24"/>
              </w:rPr>
              <w:t>May</w:t>
            </w:r>
          </w:p>
        </w:tc>
      </w:tr>
      <w:tr w14:paraId="0EA68E3B" w14:textId="1912B1D5" w:rsidTr="00105D7E">
        <w:tblPrEx>
          <w:tblW w:w="6518" w:type="dxa"/>
          <w:tblInd w:w="108" w:type="dxa"/>
          <w:tblLook w:val="04A0"/>
        </w:tblPrEx>
        <w:trPr>
          <w:trHeight w:val="300"/>
        </w:trPr>
        <w:tc>
          <w:tcPr>
            <w:tcW w:w="3762" w:type="dxa"/>
            <w:tcBorders>
              <w:top w:val="nil"/>
              <w:left w:val="nil"/>
              <w:bottom w:val="nil"/>
              <w:right w:val="nil"/>
            </w:tcBorders>
            <w:shd w:val="clear" w:color="auto" w:fill="auto"/>
            <w:noWrap/>
            <w:vAlign w:val="bottom"/>
            <w:hideMark/>
          </w:tcPr>
          <w:p w:rsidR="00612938" w:rsidRPr="00D27C75" w:rsidP="00612938" w14:paraId="0F4FA688" w14:textId="7E3AAC69">
            <w:pPr>
              <w:widowControl/>
              <w:autoSpaceDE/>
              <w:autoSpaceDN/>
              <w:adjustRightInd/>
              <w:spacing w:after="0"/>
              <w:rPr>
                <w:szCs w:val="24"/>
              </w:rPr>
            </w:pPr>
            <w:r w:rsidRPr="00D27C75">
              <w:rPr>
                <w:szCs w:val="24"/>
              </w:rPr>
              <w:t>Q3 (April-</w:t>
            </w:r>
            <w:r w:rsidRPr="00D27C75" w:rsidR="00776E59">
              <w:rPr>
                <w:szCs w:val="24"/>
              </w:rPr>
              <w:t>June</w:t>
            </w:r>
            <w:r w:rsidRPr="00D27C75">
              <w:rPr>
                <w:szCs w:val="24"/>
              </w:rPr>
              <w:t>)</w:t>
            </w:r>
          </w:p>
        </w:tc>
        <w:tc>
          <w:tcPr>
            <w:tcW w:w="1310" w:type="dxa"/>
            <w:tcBorders>
              <w:top w:val="nil"/>
              <w:left w:val="nil"/>
              <w:bottom w:val="nil"/>
              <w:right w:val="nil"/>
            </w:tcBorders>
            <w:shd w:val="clear" w:color="auto" w:fill="auto"/>
            <w:noWrap/>
            <w:vAlign w:val="bottom"/>
            <w:hideMark/>
          </w:tcPr>
          <w:p w:rsidR="00612938" w:rsidRPr="00D27C75" w:rsidP="00612938" w14:paraId="7DB472D7" w14:textId="60EE4A47">
            <w:pPr>
              <w:widowControl/>
              <w:autoSpaceDE/>
              <w:autoSpaceDN/>
              <w:adjustRightInd/>
              <w:spacing w:after="0"/>
              <w:jc w:val="right"/>
              <w:rPr>
                <w:szCs w:val="24"/>
              </w:rPr>
            </w:pPr>
            <w:r w:rsidRPr="00D27C75">
              <w:rPr>
                <w:szCs w:val="24"/>
              </w:rPr>
              <w:t>July</w:t>
            </w:r>
          </w:p>
        </w:tc>
        <w:tc>
          <w:tcPr>
            <w:tcW w:w="1446" w:type="dxa"/>
            <w:tcBorders>
              <w:top w:val="nil"/>
              <w:left w:val="nil"/>
              <w:bottom w:val="nil"/>
              <w:right w:val="nil"/>
            </w:tcBorders>
          </w:tcPr>
          <w:p w:rsidR="00612938" w:rsidRPr="00D27C75" w:rsidP="00612938" w14:paraId="7D3CF418" w14:textId="1964004E">
            <w:pPr>
              <w:widowControl/>
              <w:autoSpaceDE/>
              <w:autoSpaceDN/>
              <w:adjustRightInd/>
              <w:spacing w:after="0"/>
              <w:jc w:val="right"/>
              <w:rPr>
                <w:szCs w:val="24"/>
              </w:rPr>
            </w:pPr>
            <w:r w:rsidRPr="00D27C75">
              <w:rPr>
                <w:szCs w:val="24"/>
              </w:rPr>
              <w:t>August</w:t>
            </w:r>
          </w:p>
        </w:tc>
      </w:tr>
      <w:tr w14:paraId="43BB92B1" w14:textId="74EC652E" w:rsidTr="00105D7E">
        <w:tblPrEx>
          <w:tblW w:w="6518" w:type="dxa"/>
          <w:tblInd w:w="108" w:type="dxa"/>
          <w:tblLook w:val="04A0"/>
        </w:tblPrEx>
        <w:trPr>
          <w:trHeight w:val="300"/>
        </w:trPr>
        <w:tc>
          <w:tcPr>
            <w:tcW w:w="3762" w:type="dxa"/>
            <w:tcBorders>
              <w:top w:val="nil"/>
              <w:left w:val="nil"/>
              <w:bottom w:val="nil"/>
              <w:right w:val="nil"/>
            </w:tcBorders>
            <w:shd w:val="clear" w:color="auto" w:fill="auto"/>
            <w:noWrap/>
            <w:vAlign w:val="bottom"/>
            <w:hideMark/>
          </w:tcPr>
          <w:p w:rsidR="00612938" w:rsidRPr="00D27C75" w:rsidP="00612938" w14:paraId="26AB251B" w14:textId="0AA5AB77">
            <w:pPr>
              <w:widowControl/>
              <w:autoSpaceDE/>
              <w:autoSpaceDN/>
              <w:adjustRightInd/>
              <w:spacing w:after="0"/>
              <w:rPr>
                <w:szCs w:val="24"/>
              </w:rPr>
            </w:pPr>
            <w:r w:rsidRPr="00D27C75">
              <w:rPr>
                <w:szCs w:val="24"/>
              </w:rPr>
              <w:t>Q2 (Ju</w:t>
            </w:r>
            <w:r w:rsidRPr="00D27C75" w:rsidR="00776E59">
              <w:rPr>
                <w:szCs w:val="24"/>
              </w:rPr>
              <w:t>ly</w:t>
            </w:r>
            <w:r w:rsidRPr="00D27C75">
              <w:rPr>
                <w:szCs w:val="24"/>
              </w:rPr>
              <w:t>-</w:t>
            </w:r>
            <w:r w:rsidRPr="00D27C75" w:rsidR="00776E59">
              <w:rPr>
                <w:szCs w:val="24"/>
              </w:rPr>
              <w:t>September</w:t>
            </w:r>
            <w:r w:rsidRPr="00D27C75">
              <w:rPr>
                <w:szCs w:val="24"/>
              </w:rPr>
              <w:t>)</w:t>
            </w:r>
          </w:p>
        </w:tc>
        <w:tc>
          <w:tcPr>
            <w:tcW w:w="1310" w:type="dxa"/>
            <w:tcBorders>
              <w:top w:val="nil"/>
              <w:left w:val="nil"/>
              <w:bottom w:val="nil"/>
              <w:right w:val="nil"/>
            </w:tcBorders>
            <w:shd w:val="clear" w:color="auto" w:fill="auto"/>
            <w:noWrap/>
            <w:vAlign w:val="bottom"/>
            <w:hideMark/>
          </w:tcPr>
          <w:p w:rsidR="00612938" w:rsidRPr="00D27C75" w:rsidP="00612938" w14:paraId="0EBB5514" w14:textId="654AA2DA">
            <w:pPr>
              <w:widowControl/>
              <w:autoSpaceDE/>
              <w:autoSpaceDN/>
              <w:adjustRightInd/>
              <w:spacing w:after="0"/>
              <w:jc w:val="right"/>
              <w:rPr>
                <w:szCs w:val="24"/>
              </w:rPr>
            </w:pPr>
            <w:r w:rsidRPr="00D27C75">
              <w:rPr>
                <w:szCs w:val="24"/>
              </w:rPr>
              <w:t>October</w:t>
            </w:r>
          </w:p>
        </w:tc>
        <w:tc>
          <w:tcPr>
            <w:tcW w:w="1446" w:type="dxa"/>
            <w:tcBorders>
              <w:top w:val="nil"/>
              <w:left w:val="nil"/>
              <w:bottom w:val="nil"/>
              <w:right w:val="nil"/>
            </w:tcBorders>
          </w:tcPr>
          <w:p w:rsidR="00612938" w:rsidRPr="00D27C75" w:rsidP="00612938" w14:paraId="2BF28415" w14:textId="73A781C5">
            <w:pPr>
              <w:widowControl/>
              <w:autoSpaceDE/>
              <w:autoSpaceDN/>
              <w:adjustRightInd/>
              <w:spacing w:after="0"/>
              <w:jc w:val="right"/>
              <w:rPr>
                <w:szCs w:val="24"/>
              </w:rPr>
            </w:pPr>
            <w:r w:rsidRPr="00D27C75">
              <w:rPr>
                <w:szCs w:val="24"/>
              </w:rPr>
              <w:t>November</w:t>
            </w:r>
          </w:p>
        </w:tc>
      </w:tr>
    </w:tbl>
    <w:p w:rsidR="00B452EC" w:rsidRPr="00D27C75" w:rsidP="00787599" w14:paraId="32D28C03" w14:textId="77777777">
      <w:pPr>
        <w:rPr>
          <w:szCs w:val="24"/>
        </w:rPr>
      </w:pPr>
    </w:p>
    <w:p w:rsidR="00B452EC" w:rsidP="00787599" w14:paraId="747D5AD9" w14:textId="11DA036E">
      <w:pPr>
        <w:rPr>
          <w:szCs w:val="24"/>
        </w:rPr>
      </w:pPr>
      <w:r>
        <w:rPr>
          <w:szCs w:val="24"/>
        </w:rPr>
        <w:t xml:space="preserve">Beginning in 2024, </w:t>
      </w:r>
      <w:r w:rsidRPr="00D27C75" w:rsidR="00C00F6E">
        <w:rPr>
          <w:szCs w:val="24"/>
        </w:rPr>
        <w:t>an</w:t>
      </w:r>
      <w:r w:rsidRPr="00D27C75">
        <w:rPr>
          <w:szCs w:val="24"/>
        </w:rPr>
        <w:t xml:space="preserve">nual </w:t>
      </w:r>
      <w:r w:rsidR="00815D4A">
        <w:rPr>
          <w:szCs w:val="24"/>
        </w:rPr>
        <w:t xml:space="preserve">and one-time </w:t>
      </w:r>
      <w:r w:rsidRPr="00D27C75">
        <w:rPr>
          <w:szCs w:val="24"/>
        </w:rPr>
        <w:t xml:space="preserve">data </w:t>
      </w:r>
      <w:r w:rsidRPr="00D27C75" w:rsidR="00C00F6E">
        <w:rPr>
          <w:szCs w:val="24"/>
        </w:rPr>
        <w:t xml:space="preserve">is submitted by </w:t>
      </w:r>
      <w:r w:rsidR="0015552B">
        <w:rPr>
          <w:szCs w:val="24"/>
        </w:rPr>
        <w:t>March 1</w:t>
      </w:r>
      <w:r w:rsidRPr="00D27C75" w:rsidR="00C00F6E">
        <w:rPr>
          <w:szCs w:val="24"/>
        </w:rPr>
        <w:t xml:space="preserve"> of each year, </w:t>
      </w:r>
      <w:r w:rsidRPr="00D27C75" w:rsidR="00D27C75">
        <w:rPr>
          <w:szCs w:val="24"/>
        </w:rPr>
        <w:t xml:space="preserve">with the anticipation of publication by </w:t>
      </w:r>
      <w:r w:rsidR="00094EF5">
        <w:rPr>
          <w:szCs w:val="24"/>
        </w:rPr>
        <w:t xml:space="preserve">the Joint Office </w:t>
      </w:r>
      <w:r w:rsidRPr="00D27C75" w:rsidR="00D27C75">
        <w:rPr>
          <w:szCs w:val="24"/>
        </w:rPr>
        <w:t xml:space="preserve">in November of each year. </w:t>
      </w:r>
    </w:p>
    <w:p w:rsidR="00B13EA2" w:rsidRPr="00D27C75" w:rsidP="00787599" w14:paraId="59A3E6B1" w14:textId="73C24BD4">
      <w:pPr>
        <w:rPr>
          <w:szCs w:val="24"/>
        </w:rPr>
      </w:pPr>
      <w:r>
        <w:rPr>
          <w:szCs w:val="24"/>
        </w:rPr>
        <w:t xml:space="preserve">Real-time data will be </w:t>
      </w:r>
      <w:r w:rsidR="00815D4A">
        <w:rPr>
          <w:szCs w:val="24"/>
        </w:rPr>
        <w:t>available</w:t>
      </w:r>
      <w:r>
        <w:rPr>
          <w:szCs w:val="24"/>
        </w:rPr>
        <w:t xml:space="preserve"> on a continual basis</w:t>
      </w:r>
      <w:r w:rsidR="00094EF5">
        <w:rPr>
          <w:szCs w:val="24"/>
        </w:rPr>
        <w:t xml:space="preserve">. </w:t>
      </w:r>
    </w:p>
    <w:p w:rsidR="008C1FA9" w:rsidP="00EF2214" w14:paraId="273978B3" w14:textId="77777777">
      <w:pPr>
        <w:pStyle w:val="Heading2"/>
      </w:pPr>
      <w:r w:rsidRPr="009B472E">
        <w:t>17.</w:t>
      </w:r>
      <w:r w:rsidRPr="009B472E">
        <w:tab/>
      </w:r>
      <w:r w:rsidRPr="00EF2214">
        <w:rPr>
          <w:u w:val="single"/>
        </w:rPr>
        <w:t>Approval for not displaying the expiration date for OMB approval</w:t>
      </w:r>
      <w:r w:rsidRPr="00EF2214" w:rsidR="004068B7">
        <w:t>.</w:t>
      </w:r>
      <w:r w:rsidRPr="009B472E" w:rsidR="004068B7">
        <w:t xml:space="preserve"> </w:t>
      </w:r>
    </w:p>
    <w:p w:rsidR="00603E2D" w:rsidRPr="009632C5" w14:paraId="2B75F68E" w14:textId="5A154D2E">
      <w:pPr>
        <w:rPr>
          <w:szCs w:val="24"/>
        </w:rPr>
      </w:pPr>
      <w:r w:rsidRPr="009632C5">
        <w:rPr>
          <w:szCs w:val="24"/>
        </w:rPr>
        <w:t>Approval for not displaying the expiration date is not being requested.</w:t>
      </w:r>
    </w:p>
    <w:p w:rsidR="008C1FA9" w:rsidP="009B472E" w14:paraId="53330F99" w14:textId="77777777">
      <w:pPr>
        <w:pStyle w:val="Heading2"/>
        <w:ind w:left="0" w:firstLine="0"/>
      </w:pPr>
      <w:r w:rsidRPr="00214DD3">
        <w:t>18.</w:t>
      </w:r>
      <w:r w:rsidRPr="009C32CF">
        <w:tab/>
      </w:r>
      <w:r w:rsidRPr="00EF2214">
        <w:rPr>
          <w:u w:val="single"/>
        </w:rPr>
        <w:t>Exceptions to certification statement</w:t>
      </w:r>
      <w:r w:rsidR="00CE251C">
        <w:t xml:space="preserve">. </w:t>
      </w:r>
    </w:p>
    <w:p w:rsidR="00603E2D" w:rsidRPr="009C32CF" w14:paraId="758556AD" w14:textId="77777777">
      <w:pPr>
        <w:rPr>
          <w:szCs w:val="24"/>
        </w:rPr>
      </w:pPr>
      <w:r w:rsidRPr="009C32CF">
        <w:rPr>
          <w:szCs w:val="24"/>
        </w:rPr>
        <w:t>There are no exceptions to the certification statement for this information collection.</w:t>
      </w:r>
    </w:p>
    <w:p w:rsidR="009C32CF" w:rsidRPr="009C32CF" w14:paraId="1DDA7721" w14:textId="77777777">
      <w:pPr>
        <w:rPr>
          <w:szCs w:val="24"/>
        </w:rPr>
      </w:pPr>
    </w:p>
    <w:sectPr w:rsidSect="001F113C">
      <w:headerReference w:type="default" r:id="rId9"/>
      <w:footerReference w:type="default" r:id="rId10"/>
      <w:footnotePr>
        <w:numRestart w:val="eachSect"/>
      </w:footnotePr>
      <w:endnotePr>
        <w:numFmt w:val="decimal"/>
      </w:endnotePr>
      <w:type w:val="continuous"/>
      <w:pgSz w:w="12240" w:h="15840"/>
      <w:pgMar w:top="1296" w:right="1440" w:bottom="864"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3E2D" w14:paraId="687FA614" w14:textId="615F2961">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F1058A">
      <w:rPr>
        <w:rStyle w:val="PageNumber"/>
        <w:noProof/>
      </w:rPr>
      <w:t>5</w:t>
    </w:r>
    <w:r>
      <w:rPr>
        <w:rStyle w:val="PageNumber"/>
      </w:rPr>
      <w:fldChar w:fldCharType="end"/>
    </w:r>
  </w:p>
  <w:p w:rsidR="00603E2D" w:rsidP="001F113C" w14:paraId="041345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E27CA" w14:paraId="3A48C3D8" w14:textId="77777777">
      <w:r>
        <w:separator/>
      </w:r>
    </w:p>
  </w:footnote>
  <w:footnote w:type="continuationSeparator" w:id="1">
    <w:p w:rsidR="009E27CA" w14:paraId="28C5DD2F" w14:textId="77777777">
      <w:r>
        <w:continuationSeparator/>
      </w:r>
    </w:p>
  </w:footnote>
  <w:footnote w:type="continuationNotice" w:id="2">
    <w:p w:rsidR="009E27CA" w14:paraId="5CD9DD4E" w14:textId="77777777">
      <w:pPr>
        <w:spacing w:after="0"/>
      </w:pPr>
    </w:p>
  </w:footnote>
  <w:footnote w:id="3">
    <w:p w:rsidR="006B78AF" w14:paraId="632B89B0" w14:textId="74CF0F09">
      <w:pPr>
        <w:pStyle w:val="FootnoteText"/>
      </w:pPr>
      <w:r>
        <w:rPr>
          <w:rStyle w:val="FootnoteReference"/>
        </w:rPr>
        <w:footnoteRef/>
      </w:r>
      <w:r>
        <w:t xml:space="preserve"> Paragraph (2) under the Highway Infrastructure Program heading in title VIII of division J of the Bipartisan Infrastructure Law (BIL) (enacted as the Infrastructure Investment and Jobs </w:t>
      </w:r>
      <w:r>
        <w:t>Act)(</w:t>
      </w:r>
      <w:r>
        <w:t>Pub. L. 117-58)(Nov. 15, 2021)</w:t>
      </w:r>
    </w:p>
  </w:footnote>
  <w:footnote w:id="4">
    <w:p w:rsidR="00522EDF" w:rsidP="00522EDF" w14:paraId="2740CC6E" w14:textId="77777777">
      <w:pPr>
        <w:pStyle w:val="FootnoteText"/>
      </w:pPr>
      <w:r>
        <w:rPr>
          <w:rStyle w:val="FootnoteReference"/>
        </w:rPr>
        <w:footnoteRef/>
      </w:r>
      <w:r>
        <w:t xml:space="preserve"> Bureau of Labor Statistics, Occupational Employment and Wage Statistics (May 2021) at </w:t>
      </w:r>
      <w:hyperlink r:id="rId1" w:history="1">
        <w:r>
          <w:rPr>
            <w:rStyle w:val="Hyperlink"/>
          </w:rPr>
          <w:t>https://www.bls.gov/oes/2021/may/oes_stru.htm</w:t>
        </w:r>
      </w:hyperlink>
    </w:p>
  </w:footnote>
  <w:footnote w:id="5">
    <w:p w:rsidR="00522EDF" w:rsidP="00522EDF" w14:paraId="7BEF63EF" w14:textId="77777777">
      <w:pPr>
        <w:pStyle w:val="FootnoteText"/>
      </w:pPr>
      <w:r>
        <w:rPr>
          <w:rStyle w:val="FootnoteReference"/>
        </w:rPr>
        <w:footnoteRef/>
      </w:r>
      <w:r>
        <w:t xml:space="preserve"> Bureau of Labor Statistics, “Employer Costs for Employee Compensation” (December 2021), Table 3. State and Local Government Workers by Occupational and Industry Group at </w:t>
      </w:r>
      <w:hyperlink r:id="rId2" w:history="1">
        <w:r>
          <w:rPr>
            <w:rStyle w:val="Hyperlink"/>
          </w:rPr>
          <w:t>https://www.bls.gov/news.release/ecec.t03.htm</w:t>
        </w:r>
      </w:hyperlink>
    </w:p>
  </w:footnote>
  <w:footnote w:id="6">
    <w:p w:rsidR="004B7286" w14:paraId="15A445C1" w14:textId="7A1C57A7">
      <w:pPr>
        <w:pStyle w:val="FootnoteText"/>
      </w:pPr>
      <w:r>
        <w:rPr>
          <w:rStyle w:val="FootnoteReference"/>
        </w:rPr>
        <w:footnoteRef/>
      </w:r>
      <w:r>
        <w:t xml:space="preserve"> </w:t>
      </w:r>
      <w:r>
        <w:rPr>
          <w:rStyle w:val="ui-provider"/>
        </w:rPr>
        <w:t>All hourly rates based on OPM Salary Table 2023 - DCB. </w:t>
      </w:r>
      <w:hyperlink r:id="rId3" w:history="1">
        <w:r>
          <w:rPr>
            <w:rStyle w:val="Hyperlink"/>
          </w:rPr>
          <w:t>SALARY TABLE 2023-DCB (opm.gov)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4C10" w:rsidRPr="00324C10" w14:paraId="7CD2A1DC" w14:textId="7583D9D5">
    <w:pPr>
      <w:pStyle w:val="Header"/>
      <w:rPr>
        <w:b/>
      </w:rPr>
    </w:pPr>
    <w:r w:rsidRPr="00324C10">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065011"/>
    <w:multiLevelType w:val="hybridMultilevel"/>
    <w:tmpl w:val="E2522330"/>
    <w:lvl w:ilvl="0">
      <w:start w:val="1"/>
      <w:numFmt w:val="decimal"/>
      <w:lvlText w:val="(%1)"/>
      <w:lvlJc w:val="right"/>
      <w:pPr>
        <w:ind w:left="108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FA08E4"/>
    <w:multiLevelType w:val="hybridMultilevel"/>
    <w:tmpl w:val="6C20AA7A"/>
    <w:lvl w:ilvl="0">
      <w:start w:val="1"/>
      <w:numFmt w:val="bullet"/>
      <w:lvlText w:val=""/>
      <w:lvlJc w:val="left"/>
      <w:pPr>
        <w:ind w:left="720" w:hanging="360"/>
      </w:pPr>
      <w:rPr>
        <w:rFonts w:ascii="Symbol" w:hAnsi="Symbol" w:hint="default"/>
      </w:rPr>
    </w:lvl>
    <w:lvl w:ilvl="1">
      <w:start w:val="1"/>
      <w:numFmt w:val="decimal"/>
      <w:lvlText w:val="(%2)"/>
      <w:lvlJc w:val="right"/>
      <w:pPr>
        <w:ind w:left="1440" w:hanging="360"/>
      </w:pPr>
      <w:rPr>
        <w:rFonts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981A6E"/>
    <w:multiLevelType w:val="hybridMultilevel"/>
    <w:tmpl w:val="66B259C8"/>
    <w:lvl w:ilvl="0">
      <w:start w:val="17"/>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9D39F3"/>
    <w:multiLevelType w:val="hybridMultilevel"/>
    <w:tmpl w:val="53705EC0"/>
    <w:lvl w:ilvl="0">
      <w:start w:val="1"/>
      <w:numFmt w:val="lowerLetter"/>
      <w:lvlText w:val="(%1)"/>
      <w:lvlJc w:val="left"/>
      <w:pPr>
        <w:ind w:left="1440" w:hanging="360"/>
      </w:pPr>
      <w:rPr>
        <w:rFonts w:hint="default"/>
        <w:color w:val="auto"/>
      </w:rPr>
    </w:lvl>
    <w:lvl w:ilvl="1">
      <w:start w:val="1"/>
      <w:numFmt w:val="lowerLetter"/>
      <w:lvlText w:val="(%2)"/>
      <w:lvlJc w:val="left"/>
      <w:pPr>
        <w:ind w:left="1440" w:hanging="360"/>
      </w:pPr>
      <w:rPr>
        <w:rFonts w:hint="default"/>
        <w:color w:val="auto"/>
      </w:rPr>
    </w:lvl>
    <w:lvl w:ilvl="2">
      <w:start w:val="1"/>
      <w:numFmt w:val="decimal"/>
      <w:lvlText w:val="(%3)"/>
      <w:lvlJc w:val="right"/>
      <w:pPr>
        <w:ind w:left="2160" w:hanging="180"/>
      </w:pPr>
      <w:rPr>
        <w:rFonts w:hint="default"/>
        <w:color w:val="auto"/>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BA54BA"/>
    <w:multiLevelType w:val="multilevel"/>
    <w:tmpl w:val="0958F498"/>
    <w:lvl w:ilvl="0">
      <w:start w:val="1"/>
      <w:numFmt w:val="lowerRoman"/>
      <w:lvlText w:val="%1."/>
      <w:lvlJc w:val="right"/>
      <w:pPr>
        <w:ind w:left="360" w:hanging="360"/>
      </w:pPr>
      <w:rPr>
        <w:rFonts w:hint="default"/>
        <w:color w:val="000000"/>
      </w:rPr>
    </w:lvl>
    <w:lvl w:ilvl="1">
      <w:start w:val="13"/>
      <w:numFmt w:val="lowerLetter"/>
      <w:lvlText w:val="(%2)"/>
      <w:lvlJc w:val="left"/>
      <w:pPr>
        <w:ind w:left="720" w:firstLine="0"/>
      </w:pPr>
      <w:rPr>
        <w:rFonts w:ascii="Times New Roman" w:eastAsia="Times New Roman" w:hAnsi="Times New Roman" w:cs="Times New Roman" w:hint="default"/>
        <w:i w:val="0"/>
        <w:iCs w:val="0"/>
        <w:color w:val="000000"/>
      </w:rPr>
    </w:lvl>
    <w:lvl w:ilvl="2">
      <w:start w:val="2"/>
      <w:numFmt w:val="decimal"/>
      <w:lvlText w:val="(%3)"/>
      <w:lvlJc w:val="right"/>
      <w:pPr>
        <w:ind w:left="990" w:hanging="180"/>
      </w:pPr>
      <w:rPr>
        <w:rFonts w:hint="default"/>
        <w:color w:val="000000"/>
      </w:rPr>
    </w:lvl>
    <w:lvl w:ilvl="3">
      <w:start w:val="1"/>
      <w:numFmt w:val="lowerRoman"/>
      <w:lvlText w:val="(%4)"/>
      <w:lvlJc w:val="left"/>
      <w:pPr>
        <w:ind w:left="1080" w:hanging="360"/>
      </w:pPr>
      <w:rPr>
        <w:rFonts w:ascii="Times New Roman" w:eastAsia="Calibri" w:hAnsi="Times New Roman" w:cs="Times New Roman" w:hint="default"/>
      </w:rPr>
    </w:lvl>
    <w:lvl w:ilvl="4">
      <w:start w:val="1"/>
      <w:numFmt w:val="upperLetter"/>
      <w:lvlText w:val="(%5)"/>
      <w:lvlJc w:val="left"/>
      <w:pPr>
        <w:ind w:left="3240" w:hanging="360"/>
      </w:pPr>
      <w:rPr>
        <w:rFonts w:ascii="Times New Roman" w:eastAsia="Times New Roman" w:hAnsi="Times New Roman"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12C82AFB"/>
    <w:multiLevelType w:val="multilevel"/>
    <w:tmpl w:val="2F4AA25C"/>
    <w:lvl w:ilvl="0">
      <w:start w:val="1"/>
      <w:numFmt w:val="lowerRoman"/>
      <w:lvlText w:val="%1."/>
      <w:lvlJc w:val="right"/>
      <w:pPr>
        <w:ind w:left="360" w:hanging="360"/>
      </w:pPr>
      <w:rPr>
        <w:rFonts w:hint="default"/>
        <w:color w:val="000000"/>
      </w:rPr>
    </w:lvl>
    <w:lvl w:ilvl="1">
      <w:start w:val="1"/>
      <w:numFmt w:val="lowerLetter"/>
      <w:lvlText w:val="(%2)"/>
      <w:lvlJc w:val="left"/>
      <w:pPr>
        <w:ind w:left="720" w:firstLine="0"/>
      </w:pPr>
      <w:rPr>
        <w:rFonts w:ascii="Times New Roman" w:eastAsia="Times New Roman" w:hAnsi="Times New Roman" w:cs="Times New Roman" w:hint="default"/>
        <w:i w:val="0"/>
        <w:iCs w:val="0"/>
        <w:color w:val="000000"/>
      </w:rPr>
    </w:lvl>
    <w:lvl w:ilvl="2">
      <w:start w:val="1"/>
      <w:numFmt w:val="decimal"/>
      <w:lvlText w:val="(%3)"/>
      <w:lvlJc w:val="right"/>
      <w:pPr>
        <w:ind w:left="990" w:hanging="180"/>
      </w:pPr>
      <w:rPr>
        <w:rFonts w:hint="default"/>
        <w:color w:val="000000"/>
      </w:rPr>
    </w:lvl>
    <w:lvl w:ilvl="3">
      <w:start w:val="1"/>
      <w:numFmt w:val="lowerRoman"/>
      <w:lvlText w:val="(%4)"/>
      <w:lvlJc w:val="left"/>
      <w:pPr>
        <w:ind w:left="360" w:hanging="360"/>
      </w:pPr>
      <w:rPr>
        <w:rFonts w:ascii="Times New Roman" w:eastAsia="Calibri" w:hAnsi="Times New Roman" w:cs="Times New Roman" w:hint="default"/>
      </w:rPr>
    </w:lvl>
    <w:lvl w:ilvl="4">
      <w:start w:val="1"/>
      <w:numFmt w:val="upperLetter"/>
      <w:lvlText w:val="(%5)"/>
      <w:lvlJc w:val="left"/>
      <w:pPr>
        <w:ind w:left="3240" w:hanging="360"/>
      </w:pPr>
      <w:rPr>
        <w:rFonts w:ascii="Times New Roman" w:eastAsia="Times New Roman" w:hAnsi="Times New Roman"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176B08C6"/>
    <w:multiLevelType w:val="hybridMultilevel"/>
    <w:tmpl w:val="24A08BA4"/>
    <w:lvl w:ilvl="0">
      <w:start w:val="14"/>
      <w:numFmt w:val="bullet"/>
      <w:lvlText w:val="•"/>
      <w:lvlJc w:val="left"/>
      <w:pPr>
        <w:ind w:left="576" w:hanging="216"/>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E5E43DE"/>
    <w:multiLevelType w:val="hybridMultilevel"/>
    <w:tmpl w:val="EACC2808"/>
    <w:lvl w:ilvl="0">
      <w:start w:val="2"/>
      <w:numFmt w:val="bullet"/>
      <w:lvlText w:val=""/>
      <w:lvlJc w:val="left"/>
      <w:pPr>
        <w:ind w:left="1080" w:hanging="360"/>
      </w:pPr>
      <w:rPr>
        <w:rFonts w:ascii="Symbol" w:hAnsi="Symbol" w:eastAsiaTheme="minorHAnsi" w:cstheme="minorBidi" w:hint="default"/>
        <w:b/>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3923FCF"/>
    <w:multiLevelType w:val="multilevel"/>
    <w:tmpl w:val="E5186154"/>
    <w:lvl w:ilvl="0">
      <w:start w:val="1"/>
      <w:numFmt w:val="lowerRoman"/>
      <w:lvlText w:val="%1."/>
      <w:lvlJc w:val="right"/>
      <w:pPr>
        <w:ind w:left="360" w:hanging="360"/>
      </w:pPr>
      <w:rPr>
        <w:rFonts w:hint="default"/>
        <w:color w:val="000000"/>
      </w:rPr>
    </w:lvl>
    <w:lvl w:ilvl="1">
      <w:start w:val="13"/>
      <w:numFmt w:val="lowerLetter"/>
      <w:lvlText w:val="(%2)"/>
      <w:lvlJc w:val="left"/>
      <w:pPr>
        <w:ind w:left="720" w:firstLine="0"/>
      </w:pPr>
      <w:rPr>
        <w:rFonts w:ascii="Times New Roman" w:eastAsia="Times New Roman" w:hAnsi="Times New Roman" w:cs="Times New Roman" w:hint="default"/>
        <w:i w:val="0"/>
        <w:iCs w:val="0"/>
        <w:color w:val="000000"/>
      </w:rPr>
    </w:lvl>
    <w:lvl w:ilvl="2">
      <w:start w:val="2"/>
      <w:numFmt w:val="decimal"/>
      <w:lvlText w:val="(%3)"/>
      <w:lvlJc w:val="right"/>
      <w:pPr>
        <w:ind w:left="990" w:hanging="180"/>
      </w:pPr>
      <w:rPr>
        <w:rFonts w:hint="default"/>
        <w:color w:val="000000"/>
      </w:rPr>
    </w:lvl>
    <w:lvl w:ilvl="3">
      <w:start w:val="1"/>
      <w:numFmt w:val="lowerRoman"/>
      <w:lvlText w:val="(%4)"/>
      <w:lvlJc w:val="left"/>
      <w:pPr>
        <w:ind w:left="360" w:hanging="360"/>
      </w:pPr>
      <w:rPr>
        <w:rFonts w:ascii="Times New Roman" w:eastAsia="Calibri" w:hAnsi="Times New Roman" w:cs="Times New Roman" w:hint="default"/>
      </w:rPr>
    </w:lvl>
    <w:lvl w:ilvl="4">
      <w:start w:val="1"/>
      <w:numFmt w:val="upperLetter"/>
      <w:lvlText w:val="(%5)"/>
      <w:lvlJc w:val="left"/>
      <w:pPr>
        <w:ind w:left="3240" w:hanging="360"/>
      </w:pPr>
      <w:rPr>
        <w:rFonts w:ascii="Times New Roman" w:eastAsia="Times New Roman" w:hAnsi="Times New Roman"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2BAE6EDC"/>
    <w:multiLevelType w:val="hybridMultilevel"/>
    <w:tmpl w:val="880A77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CA2C8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8EA233B"/>
    <w:multiLevelType w:val="hybridMultilevel"/>
    <w:tmpl w:val="42B0E900"/>
    <w:lvl w:ilvl="0">
      <w:start w:val="1"/>
      <w:numFmt w:val="lowerRoman"/>
      <w:lvlText w:val="%1."/>
      <w:lvlJc w:val="right"/>
      <w:pPr>
        <w:ind w:left="360" w:hanging="360"/>
      </w:pPr>
      <w:rPr>
        <w:rFonts w:hint="default"/>
        <w:color w:val="auto"/>
      </w:rPr>
    </w:lvl>
    <w:lvl w:ilvl="1">
      <w:start w:val="1"/>
      <w:numFmt w:val="lowerLetter"/>
      <w:lvlText w:val="(%2)"/>
      <w:lvlJc w:val="left"/>
      <w:pPr>
        <w:ind w:left="720" w:firstLine="0"/>
      </w:pPr>
      <w:rPr>
        <w:rFonts w:ascii="Times New Roman" w:hAnsi="Times New Roman" w:cs="Times New Roman" w:hint="default"/>
        <w:color w:val="auto"/>
      </w:rPr>
    </w:lvl>
    <w:lvl w:ilvl="2">
      <w:start w:val="1"/>
      <w:numFmt w:val="decimal"/>
      <w:lvlText w:val="(%3)"/>
      <w:lvlJc w:val="right"/>
      <w:pPr>
        <w:ind w:left="1800" w:hanging="180"/>
      </w:pPr>
      <w:rPr>
        <w:rFonts w:hint="default"/>
        <w:color w:val="auto"/>
      </w:rPr>
    </w:lvl>
    <w:lvl w:ilvl="3">
      <w:start w:val="1"/>
      <w:numFmt w:val="lowerRoman"/>
      <w:lvlText w:val="(%4)"/>
      <w:lvlJc w:val="left"/>
      <w:pPr>
        <w:ind w:left="2520" w:hanging="360"/>
      </w:pPr>
      <w:rPr>
        <w:rFonts w:ascii="Times New Roman" w:hAnsi="Times New Roman" w:eastAsiaTheme="minorHAnsi" w:cstheme="minorBidi"/>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EDB2A09"/>
    <w:multiLevelType w:val="multilevel"/>
    <w:tmpl w:val="88B05AD0"/>
    <w:lvl w:ilvl="0">
      <w:start w:val="1"/>
      <w:numFmt w:val="decimal"/>
      <w:lvlText w:val="(%1)"/>
      <w:lvlJc w:val="right"/>
      <w:pPr>
        <w:ind w:left="2340" w:hanging="360"/>
      </w:pPr>
      <w:rPr>
        <w:color w:val="000000"/>
      </w:r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3">
    <w:nsid w:val="3FD759C1"/>
    <w:multiLevelType w:val="hybridMultilevel"/>
    <w:tmpl w:val="16F4D710"/>
    <w:lvl w:ilvl="0">
      <w:start w:val="1"/>
      <w:numFmt w:val="decimal"/>
      <w:lvlText w:val="(%1)"/>
      <w:lvlJc w:val="right"/>
      <w:pPr>
        <w:ind w:left="81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6624E7D"/>
    <w:multiLevelType w:val="hybridMultilevel"/>
    <w:tmpl w:val="BF78E0CE"/>
    <w:lvl w:ilvl="0">
      <w:start w:val="5"/>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251574"/>
    <w:multiLevelType w:val="hybridMultilevel"/>
    <w:tmpl w:val="60FE48C2"/>
    <w:lvl w:ilvl="0">
      <w:start w:val="1"/>
      <w:numFmt w:val="decimal"/>
      <w:lvlText w:val="(%1)"/>
      <w:lvlJc w:val="right"/>
      <w:pPr>
        <w:ind w:left="4140" w:hanging="360"/>
      </w:pPr>
      <w:rPr>
        <w:rFonts w:hint="default"/>
        <w:color w:val="auto"/>
      </w:rPr>
    </w:lvl>
    <w:lvl w:ilvl="1">
      <w:start w:val="1"/>
      <w:numFmt w:val="lowerLetter"/>
      <w:lvlText w:val="%2."/>
      <w:lvlJc w:val="left"/>
      <w:pPr>
        <w:ind w:left="4860" w:hanging="360"/>
      </w:pPr>
    </w:lvl>
    <w:lvl w:ilvl="2">
      <w:start w:val="1"/>
      <w:numFmt w:val="lowerRoman"/>
      <w:lvlText w:val="%3."/>
      <w:lvlJc w:val="right"/>
      <w:pPr>
        <w:ind w:left="5580" w:hanging="180"/>
      </w:pPr>
    </w:lvl>
    <w:lvl w:ilvl="3" w:tentative="1">
      <w:start w:val="1"/>
      <w:numFmt w:val="decimal"/>
      <w:lvlText w:val="%4."/>
      <w:lvlJc w:val="left"/>
      <w:pPr>
        <w:ind w:left="6300" w:hanging="360"/>
      </w:pPr>
    </w:lvl>
    <w:lvl w:ilvl="4" w:tentative="1">
      <w:start w:val="1"/>
      <w:numFmt w:val="lowerLetter"/>
      <w:lvlText w:val="%5."/>
      <w:lvlJc w:val="left"/>
      <w:pPr>
        <w:ind w:left="7020" w:hanging="360"/>
      </w:pPr>
    </w:lvl>
    <w:lvl w:ilvl="5" w:tentative="1">
      <w:start w:val="1"/>
      <w:numFmt w:val="lowerRoman"/>
      <w:lvlText w:val="%6."/>
      <w:lvlJc w:val="right"/>
      <w:pPr>
        <w:ind w:left="7740" w:hanging="180"/>
      </w:pPr>
    </w:lvl>
    <w:lvl w:ilvl="6" w:tentative="1">
      <w:start w:val="1"/>
      <w:numFmt w:val="decimal"/>
      <w:lvlText w:val="%7."/>
      <w:lvlJc w:val="left"/>
      <w:pPr>
        <w:ind w:left="8460" w:hanging="360"/>
      </w:pPr>
    </w:lvl>
    <w:lvl w:ilvl="7" w:tentative="1">
      <w:start w:val="1"/>
      <w:numFmt w:val="lowerLetter"/>
      <w:lvlText w:val="%8."/>
      <w:lvlJc w:val="left"/>
      <w:pPr>
        <w:ind w:left="9180" w:hanging="360"/>
      </w:pPr>
    </w:lvl>
    <w:lvl w:ilvl="8" w:tentative="1">
      <w:start w:val="1"/>
      <w:numFmt w:val="lowerRoman"/>
      <w:lvlText w:val="%9."/>
      <w:lvlJc w:val="right"/>
      <w:pPr>
        <w:ind w:left="9900" w:hanging="180"/>
      </w:pPr>
    </w:lvl>
  </w:abstractNum>
  <w:abstractNum w:abstractNumId="16">
    <w:nsid w:val="4D590532"/>
    <w:multiLevelType w:val="hybridMultilevel"/>
    <w:tmpl w:val="C6121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2114FF"/>
    <w:multiLevelType w:val="hybridMultilevel"/>
    <w:tmpl w:val="45FE7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0F2019E"/>
    <w:multiLevelType w:val="multilevel"/>
    <w:tmpl w:val="07E08C74"/>
    <w:lvl w:ilvl="0">
      <w:start w:val="1"/>
      <w:numFmt w:val="lowerRoman"/>
      <w:lvlText w:val="%1."/>
      <w:lvlJc w:val="right"/>
      <w:pPr>
        <w:ind w:left="360" w:hanging="360"/>
      </w:pPr>
      <w:rPr>
        <w:color w:val="000000"/>
      </w:rPr>
    </w:lvl>
    <w:lvl w:ilvl="1">
      <w:start w:val="1"/>
      <w:numFmt w:val="lowerLetter"/>
      <w:lvlText w:val="(%2)"/>
      <w:lvlJc w:val="left"/>
      <w:pPr>
        <w:ind w:left="720" w:firstLine="0"/>
      </w:pPr>
      <w:rPr>
        <w:rFonts w:ascii="Times New Roman" w:eastAsia="Times New Roman" w:hAnsi="Times New Roman" w:cs="Times New Roman"/>
        <w:i w:val="0"/>
        <w:iCs w:val="0"/>
        <w:color w:val="000000"/>
      </w:rPr>
    </w:lvl>
    <w:lvl w:ilvl="2">
      <w:start w:val="1"/>
      <w:numFmt w:val="decimal"/>
      <w:lvlText w:val="(%3)"/>
      <w:lvlJc w:val="right"/>
      <w:pPr>
        <w:ind w:left="990" w:hanging="180"/>
      </w:pPr>
      <w:rPr>
        <w:color w:val="000000"/>
      </w:rPr>
    </w:lvl>
    <w:lvl w:ilvl="3">
      <w:start w:val="1"/>
      <w:numFmt w:val="lowerRoman"/>
      <w:lvlText w:val="(%4)"/>
      <w:lvlJc w:val="left"/>
      <w:pPr>
        <w:ind w:left="360" w:hanging="360"/>
      </w:pPr>
      <w:rPr>
        <w:rFonts w:ascii="Times New Roman" w:eastAsia="Calibri" w:hAnsi="Times New Roman" w:cs="Times New Roman"/>
      </w:rPr>
    </w:lvl>
    <w:lvl w:ilvl="4">
      <w:start w:val="1"/>
      <w:numFmt w:val="upperLetter"/>
      <w:lvlText w:val="(%5)"/>
      <w:lvlJc w:val="left"/>
      <w:pPr>
        <w:ind w:left="3240" w:hanging="360"/>
      </w:pPr>
      <w:rPr>
        <w:rFonts w:ascii="Times New Roman" w:eastAsia="Times New Roman" w:hAnsi="Times New Roman" w:cs="Times New Roman"/>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6633082"/>
    <w:multiLevelType w:val="hybridMultilevel"/>
    <w:tmpl w:val="29D680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45480B"/>
    <w:multiLevelType w:val="hybridMultilevel"/>
    <w:tmpl w:val="065EC30A"/>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51200A0"/>
    <w:multiLevelType w:val="hybridMultilevel"/>
    <w:tmpl w:val="5CFC8380"/>
    <w:lvl w:ilvl="0">
      <w:start w:val="1"/>
      <w:numFmt w:val="lowerLetter"/>
      <w:lvlText w:val="(%1)"/>
      <w:lvlJc w:val="left"/>
      <w:pPr>
        <w:ind w:left="144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6445802"/>
    <w:multiLevelType w:val="multilevel"/>
    <w:tmpl w:val="7C72A2EE"/>
    <w:lvl w:ilvl="0">
      <w:start w:val="1"/>
      <w:numFmt w:val="lowerRoman"/>
      <w:lvlText w:val="%1."/>
      <w:lvlJc w:val="right"/>
      <w:pPr>
        <w:ind w:left="360" w:hanging="360"/>
      </w:pPr>
      <w:rPr>
        <w:rFonts w:hint="default"/>
        <w:color w:val="000000"/>
      </w:rPr>
    </w:lvl>
    <w:lvl w:ilvl="1">
      <w:start w:val="1"/>
      <w:numFmt w:val="lowerLetter"/>
      <w:lvlText w:val="(%2)"/>
      <w:lvlJc w:val="left"/>
      <w:pPr>
        <w:ind w:left="720" w:firstLine="0"/>
      </w:pPr>
      <w:rPr>
        <w:rFonts w:ascii="Times New Roman" w:eastAsia="Times New Roman" w:hAnsi="Times New Roman" w:cs="Times New Roman" w:hint="default"/>
        <w:i w:val="0"/>
        <w:iCs w:val="0"/>
        <w:color w:val="000000"/>
      </w:rPr>
    </w:lvl>
    <w:lvl w:ilvl="2">
      <w:start w:val="1"/>
      <w:numFmt w:val="decimal"/>
      <w:lvlText w:val="(%3)"/>
      <w:lvlJc w:val="right"/>
      <w:pPr>
        <w:ind w:left="990" w:hanging="180"/>
      </w:pPr>
      <w:rPr>
        <w:rFonts w:hint="default"/>
        <w:color w:val="000000"/>
      </w:rPr>
    </w:lvl>
    <w:lvl w:ilvl="3">
      <w:start w:val="1"/>
      <w:numFmt w:val="lowerRoman"/>
      <w:lvlText w:val="(%4)"/>
      <w:lvlJc w:val="left"/>
      <w:pPr>
        <w:ind w:left="360" w:hanging="360"/>
      </w:pPr>
      <w:rPr>
        <w:rFonts w:ascii="Times New Roman" w:eastAsia="Calibri" w:hAnsi="Times New Roman" w:cs="Times New Roman" w:hint="default"/>
      </w:rPr>
    </w:lvl>
    <w:lvl w:ilvl="4">
      <w:start w:val="1"/>
      <w:numFmt w:val="upperLetter"/>
      <w:lvlText w:val="(%5)"/>
      <w:lvlJc w:val="left"/>
      <w:pPr>
        <w:ind w:left="3240" w:hanging="360"/>
      </w:pPr>
      <w:rPr>
        <w:rFonts w:ascii="Times New Roman" w:eastAsia="Times New Roman" w:hAnsi="Times New Roman"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nsid w:val="768924B6"/>
    <w:multiLevelType w:val="multilevel"/>
    <w:tmpl w:val="883E1690"/>
    <w:lvl w:ilvl="0">
      <w:start w:val="1"/>
      <w:numFmt w:val="lowerRoman"/>
      <w:lvlText w:val="%1."/>
      <w:lvlJc w:val="right"/>
      <w:pPr>
        <w:ind w:left="360" w:hanging="360"/>
      </w:pPr>
      <w:rPr>
        <w:rFonts w:hint="default"/>
        <w:color w:val="000000"/>
      </w:rPr>
    </w:lvl>
    <w:lvl w:ilvl="1">
      <w:start w:val="1"/>
      <w:numFmt w:val="lowerLetter"/>
      <w:lvlText w:val="(%2)"/>
      <w:lvlJc w:val="left"/>
      <w:pPr>
        <w:ind w:left="720" w:firstLine="0"/>
      </w:pPr>
      <w:rPr>
        <w:rFonts w:ascii="Times New Roman" w:eastAsia="Times New Roman" w:hAnsi="Times New Roman" w:cs="Times New Roman" w:hint="default"/>
        <w:i w:val="0"/>
        <w:iCs w:val="0"/>
        <w:color w:val="000000"/>
      </w:rPr>
    </w:lvl>
    <w:lvl w:ilvl="2">
      <w:start w:val="1"/>
      <w:numFmt w:val="decimal"/>
      <w:lvlText w:val="(%3)"/>
      <w:lvlJc w:val="right"/>
      <w:pPr>
        <w:ind w:left="990" w:hanging="180"/>
      </w:pPr>
      <w:rPr>
        <w:rFonts w:hint="default"/>
        <w:color w:val="000000"/>
      </w:rPr>
    </w:lvl>
    <w:lvl w:ilvl="3">
      <w:start w:val="1"/>
      <w:numFmt w:val="lowerRoman"/>
      <w:lvlText w:val="(%4)"/>
      <w:lvlJc w:val="left"/>
      <w:pPr>
        <w:ind w:left="360" w:hanging="360"/>
      </w:pPr>
      <w:rPr>
        <w:rFonts w:ascii="Times New Roman" w:eastAsia="Calibri" w:hAnsi="Times New Roman" w:cs="Times New Roman" w:hint="default"/>
      </w:rPr>
    </w:lvl>
    <w:lvl w:ilvl="4">
      <w:start w:val="1"/>
      <w:numFmt w:val="upperLetter"/>
      <w:lvlText w:val="(%5)"/>
      <w:lvlJc w:val="left"/>
      <w:pPr>
        <w:ind w:left="3240" w:hanging="360"/>
      </w:pPr>
      <w:rPr>
        <w:rFonts w:ascii="Times New Roman" w:eastAsia="Times New Roman" w:hAnsi="Times New Roman"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BB10CBB"/>
    <w:multiLevelType w:val="multilevel"/>
    <w:tmpl w:val="E9784EF8"/>
    <w:lvl w:ilvl="0">
      <w:start w:val="1"/>
      <w:numFmt w:val="lowerRoman"/>
      <w:lvlText w:val="%1."/>
      <w:lvlJc w:val="right"/>
      <w:pPr>
        <w:ind w:left="360" w:hanging="360"/>
      </w:pPr>
      <w:rPr>
        <w:rFonts w:hint="default"/>
        <w:color w:val="000000"/>
      </w:rPr>
    </w:lvl>
    <w:lvl w:ilvl="1">
      <w:start w:val="1"/>
      <w:numFmt w:val="lowerLetter"/>
      <w:lvlText w:val="(%2)"/>
      <w:lvlJc w:val="left"/>
      <w:pPr>
        <w:ind w:left="720" w:firstLine="0"/>
      </w:pPr>
      <w:rPr>
        <w:rFonts w:ascii="Times New Roman" w:eastAsia="Times New Roman" w:hAnsi="Times New Roman" w:cs="Times New Roman" w:hint="default"/>
        <w:i w:val="0"/>
        <w:iCs w:val="0"/>
        <w:color w:val="000000"/>
      </w:rPr>
    </w:lvl>
    <w:lvl w:ilvl="2">
      <w:start w:val="1"/>
      <w:numFmt w:val="decimal"/>
      <w:lvlText w:val="(%3)"/>
      <w:lvlJc w:val="right"/>
      <w:pPr>
        <w:ind w:left="990" w:hanging="180"/>
      </w:pPr>
      <w:rPr>
        <w:rFonts w:hint="default"/>
        <w:color w:val="000000"/>
      </w:rPr>
    </w:lvl>
    <w:lvl w:ilvl="3">
      <w:start w:val="1"/>
      <w:numFmt w:val="lowerRoman"/>
      <w:lvlText w:val="(%4)"/>
      <w:lvlJc w:val="left"/>
      <w:pPr>
        <w:ind w:left="360" w:hanging="360"/>
      </w:pPr>
      <w:rPr>
        <w:rFonts w:ascii="Times New Roman" w:eastAsia="Calibri" w:hAnsi="Times New Roman" w:cs="Times New Roman" w:hint="default"/>
      </w:rPr>
    </w:lvl>
    <w:lvl w:ilvl="4">
      <w:start w:val="1"/>
      <w:numFmt w:val="upperLetter"/>
      <w:lvlText w:val="(%5)"/>
      <w:lvlJc w:val="left"/>
      <w:pPr>
        <w:ind w:left="3240" w:hanging="360"/>
      </w:pPr>
      <w:rPr>
        <w:rFonts w:ascii="Times New Roman" w:eastAsia="Times New Roman" w:hAnsi="Times New Roman"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nsid w:val="7F3D09DB"/>
    <w:multiLevelType w:val="hybridMultilevel"/>
    <w:tmpl w:val="525C16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F595DCB"/>
    <w:multiLevelType w:val="hybridMultilevel"/>
    <w:tmpl w:val="E25A184E"/>
    <w:lvl w:ilvl="0">
      <w:start w:val="1"/>
      <w:numFmt w:val="decimal"/>
      <w:lvlText w:val="(%1)"/>
      <w:lvlJc w:val="right"/>
      <w:pPr>
        <w:ind w:left="2340" w:hanging="360"/>
      </w:pPr>
      <w:rPr>
        <w:rFonts w:ascii="Times New Roman" w:hAnsi="Times New Roman" w:cs="Times New Roman" w:hint="default"/>
        <w:color w:val="auto"/>
        <w:sz w:val="24"/>
        <w:szCs w:val="24"/>
      </w:rPr>
    </w:lvl>
    <w:lvl w:ilvl="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num w:numId="1">
    <w:abstractNumId w:val="16"/>
  </w:num>
  <w:num w:numId="2">
    <w:abstractNumId w:val="9"/>
  </w:num>
  <w:num w:numId="3">
    <w:abstractNumId w:val="27"/>
  </w:num>
  <w:num w:numId="4">
    <w:abstractNumId w:val="17"/>
  </w:num>
  <w:num w:numId="5">
    <w:abstractNumId w:val="6"/>
  </w:num>
  <w:num w:numId="6">
    <w:abstractNumId w:val="18"/>
  </w:num>
  <w:num w:numId="7">
    <w:abstractNumId w:val="25"/>
  </w:num>
  <w:num w:numId="8">
    <w:abstractNumId w:val="21"/>
  </w:num>
  <w:num w:numId="9">
    <w:abstractNumId w:val="22"/>
  </w:num>
  <w:num w:numId="10">
    <w:abstractNumId w:val="15"/>
  </w:num>
  <w:num w:numId="11">
    <w:abstractNumId w:val="3"/>
  </w:num>
  <w:num w:numId="12">
    <w:abstractNumId w:val="28"/>
  </w:num>
  <w:num w:numId="13">
    <w:abstractNumId w:val="20"/>
  </w:num>
  <w:num w:numId="14">
    <w:abstractNumId w:val="11"/>
  </w:num>
  <w:num w:numId="15">
    <w:abstractNumId w:val="14"/>
  </w:num>
  <w:num w:numId="16">
    <w:abstractNumId w:val="2"/>
  </w:num>
  <w:num w:numId="17">
    <w:abstractNumId w:val="1"/>
  </w:num>
  <w:num w:numId="18">
    <w:abstractNumId w:val="13"/>
  </w:num>
  <w:num w:numId="19">
    <w:abstractNumId w:val="0"/>
  </w:num>
  <w:num w:numId="20">
    <w:abstractNumId w:val="19"/>
  </w:num>
  <w:num w:numId="21">
    <w:abstractNumId w:val="7"/>
  </w:num>
  <w:num w:numId="22">
    <w:abstractNumId w:val="10"/>
  </w:num>
  <w:num w:numId="23">
    <w:abstractNumId w:val="12"/>
  </w:num>
  <w:num w:numId="24">
    <w:abstractNumId w:val="4"/>
  </w:num>
  <w:num w:numId="25">
    <w:abstractNumId w:val="8"/>
  </w:num>
  <w:num w:numId="26">
    <w:abstractNumId w:val="5"/>
  </w:num>
  <w:num w:numId="27">
    <w:abstractNumId w:val="26"/>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69"/>
    <w:rsid w:val="00004FD9"/>
    <w:rsid w:val="000054EC"/>
    <w:rsid w:val="000071B5"/>
    <w:rsid w:val="000072D9"/>
    <w:rsid w:val="00007E5A"/>
    <w:rsid w:val="0001306C"/>
    <w:rsid w:val="00014944"/>
    <w:rsid w:val="0001684F"/>
    <w:rsid w:val="00017B11"/>
    <w:rsid w:val="000210FE"/>
    <w:rsid w:val="00021283"/>
    <w:rsid w:val="00022B92"/>
    <w:rsid w:val="00023563"/>
    <w:rsid w:val="00026B50"/>
    <w:rsid w:val="000324AD"/>
    <w:rsid w:val="0003525E"/>
    <w:rsid w:val="000352C4"/>
    <w:rsid w:val="00035617"/>
    <w:rsid w:val="00035E88"/>
    <w:rsid w:val="00036745"/>
    <w:rsid w:val="00037684"/>
    <w:rsid w:val="0004020D"/>
    <w:rsid w:val="000408E2"/>
    <w:rsid w:val="00041615"/>
    <w:rsid w:val="00041D1D"/>
    <w:rsid w:val="000426BE"/>
    <w:rsid w:val="00045A5A"/>
    <w:rsid w:val="00045B39"/>
    <w:rsid w:val="00046681"/>
    <w:rsid w:val="00047E2C"/>
    <w:rsid w:val="00052330"/>
    <w:rsid w:val="00052350"/>
    <w:rsid w:val="00052FD3"/>
    <w:rsid w:val="000561F7"/>
    <w:rsid w:val="00057A1A"/>
    <w:rsid w:val="000601B0"/>
    <w:rsid w:val="00060678"/>
    <w:rsid w:val="00062FFC"/>
    <w:rsid w:val="0006321E"/>
    <w:rsid w:val="000651EE"/>
    <w:rsid w:val="00067879"/>
    <w:rsid w:val="000721DE"/>
    <w:rsid w:val="00073D3F"/>
    <w:rsid w:val="00076A49"/>
    <w:rsid w:val="000809D8"/>
    <w:rsid w:val="00083896"/>
    <w:rsid w:val="0008670C"/>
    <w:rsid w:val="00094B3C"/>
    <w:rsid w:val="00094EF5"/>
    <w:rsid w:val="000961C5"/>
    <w:rsid w:val="0009673B"/>
    <w:rsid w:val="000A42CB"/>
    <w:rsid w:val="000A6C8C"/>
    <w:rsid w:val="000B1C29"/>
    <w:rsid w:val="000B2E90"/>
    <w:rsid w:val="000B3553"/>
    <w:rsid w:val="000B4E2D"/>
    <w:rsid w:val="000B77D7"/>
    <w:rsid w:val="000C02C1"/>
    <w:rsid w:val="000C1093"/>
    <w:rsid w:val="000C163B"/>
    <w:rsid w:val="000C2222"/>
    <w:rsid w:val="000C30EF"/>
    <w:rsid w:val="000C371E"/>
    <w:rsid w:val="000C61C0"/>
    <w:rsid w:val="000C642D"/>
    <w:rsid w:val="000C6ED3"/>
    <w:rsid w:val="000D295B"/>
    <w:rsid w:val="000D3A34"/>
    <w:rsid w:val="000D6225"/>
    <w:rsid w:val="000D79CE"/>
    <w:rsid w:val="000D7AD4"/>
    <w:rsid w:val="000E3DB2"/>
    <w:rsid w:val="000E45FA"/>
    <w:rsid w:val="000E574A"/>
    <w:rsid w:val="000E5758"/>
    <w:rsid w:val="000E6EE3"/>
    <w:rsid w:val="000F15F9"/>
    <w:rsid w:val="000F217E"/>
    <w:rsid w:val="000F472C"/>
    <w:rsid w:val="000F4B32"/>
    <w:rsid w:val="000F4C8A"/>
    <w:rsid w:val="00100340"/>
    <w:rsid w:val="00100DD1"/>
    <w:rsid w:val="00101BE1"/>
    <w:rsid w:val="00102169"/>
    <w:rsid w:val="001032E2"/>
    <w:rsid w:val="00104E70"/>
    <w:rsid w:val="0010553D"/>
    <w:rsid w:val="00105D7E"/>
    <w:rsid w:val="001069C9"/>
    <w:rsid w:val="0011519E"/>
    <w:rsid w:val="00115223"/>
    <w:rsid w:val="0011545B"/>
    <w:rsid w:val="0012011E"/>
    <w:rsid w:val="00120A1D"/>
    <w:rsid w:val="001245D5"/>
    <w:rsid w:val="001254E2"/>
    <w:rsid w:val="00125AD1"/>
    <w:rsid w:val="00125F3E"/>
    <w:rsid w:val="00126BCF"/>
    <w:rsid w:val="00131944"/>
    <w:rsid w:val="001322AF"/>
    <w:rsid w:val="00140EDB"/>
    <w:rsid w:val="00141028"/>
    <w:rsid w:val="0014196F"/>
    <w:rsid w:val="00142809"/>
    <w:rsid w:val="00143D3C"/>
    <w:rsid w:val="001443E6"/>
    <w:rsid w:val="00144C13"/>
    <w:rsid w:val="00147698"/>
    <w:rsid w:val="00152EAD"/>
    <w:rsid w:val="0015552B"/>
    <w:rsid w:val="00155DCE"/>
    <w:rsid w:val="00155EE2"/>
    <w:rsid w:val="00156938"/>
    <w:rsid w:val="00157CBB"/>
    <w:rsid w:val="00163F99"/>
    <w:rsid w:val="00165D95"/>
    <w:rsid w:val="00173800"/>
    <w:rsid w:val="001805C1"/>
    <w:rsid w:val="00180BC8"/>
    <w:rsid w:val="00181F6E"/>
    <w:rsid w:val="001842B6"/>
    <w:rsid w:val="001872E6"/>
    <w:rsid w:val="00187CFD"/>
    <w:rsid w:val="00190D35"/>
    <w:rsid w:val="00191CB1"/>
    <w:rsid w:val="00194C6A"/>
    <w:rsid w:val="001956E3"/>
    <w:rsid w:val="00197264"/>
    <w:rsid w:val="00197394"/>
    <w:rsid w:val="001A23B7"/>
    <w:rsid w:val="001A2CC0"/>
    <w:rsid w:val="001A45BB"/>
    <w:rsid w:val="001A6957"/>
    <w:rsid w:val="001B4777"/>
    <w:rsid w:val="001B5639"/>
    <w:rsid w:val="001B7547"/>
    <w:rsid w:val="001D28CE"/>
    <w:rsid w:val="001D37FA"/>
    <w:rsid w:val="001D3D2D"/>
    <w:rsid w:val="001D4004"/>
    <w:rsid w:val="001D4720"/>
    <w:rsid w:val="001D6C67"/>
    <w:rsid w:val="001D7509"/>
    <w:rsid w:val="001E2FFE"/>
    <w:rsid w:val="001E56CC"/>
    <w:rsid w:val="001E57F0"/>
    <w:rsid w:val="001E629B"/>
    <w:rsid w:val="001E7E93"/>
    <w:rsid w:val="001E7FD2"/>
    <w:rsid w:val="001F1007"/>
    <w:rsid w:val="001F113C"/>
    <w:rsid w:val="001F22FB"/>
    <w:rsid w:val="001F3A26"/>
    <w:rsid w:val="001F6F2A"/>
    <w:rsid w:val="00200188"/>
    <w:rsid w:val="00201F07"/>
    <w:rsid w:val="00205031"/>
    <w:rsid w:val="002053AE"/>
    <w:rsid w:val="00207BF8"/>
    <w:rsid w:val="00210B09"/>
    <w:rsid w:val="00213C0D"/>
    <w:rsid w:val="00214ACB"/>
    <w:rsid w:val="00214B17"/>
    <w:rsid w:val="00214DD3"/>
    <w:rsid w:val="00216792"/>
    <w:rsid w:val="00222CF6"/>
    <w:rsid w:val="002231A9"/>
    <w:rsid w:val="0022404B"/>
    <w:rsid w:val="002245B9"/>
    <w:rsid w:val="00231A64"/>
    <w:rsid w:val="002322A9"/>
    <w:rsid w:val="00233E50"/>
    <w:rsid w:val="00234898"/>
    <w:rsid w:val="00235B97"/>
    <w:rsid w:val="00235FBE"/>
    <w:rsid w:val="00240ABD"/>
    <w:rsid w:val="00240E0F"/>
    <w:rsid w:val="00241478"/>
    <w:rsid w:val="00246761"/>
    <w:rsid w:val="00246C4C"/>
    <w:rsid w:val="00251202"/>
    <w:rsid w:val="0025561E"/>
    <w:rsid w:val="00256BF6"/>
    <w:rsid w:val="002603DE"/>
    <w:rsid w:val="00260E7F"/>
    <w:rsid w:val="00261BF2"/>
    <w:rsid w:val="00261F35"/>
    <w:rsid w:val="00262563"/>
    <w:rsid w:val="00263623"/>
    <w:rsid w:val="0026688C"/>
    <w:rsid w:val="00267228"/>
    <w:rsid w:val="002672CD"/>
    <w:rsid w:val="00270FAB"/>
    <w:rsid w:val="002733B7"/>
    <w:rsid w:val="00273C14"/>
    <w:rsid w:val="002760F8"/>
    <w:rsid w:val="0028306B"/>
    <w:rsid w:val="00283FD7"/>
    <w:rsid w:val="0028494A"/>
    <w:rsid w:val="002855A0"/>
    <w:rsid w:val="002859A8"/>
    <w:rsid w:val="002865A1"/>
    <w:rsid w:val="00287A6C"/>
    <w:rsid w:val="002901EA"/>
    <w:rsid w:val="00292E67"/>
    <w:rsid w:val="0029485C"/>
    <w:rsid w:val="002A6C5F"/>
    <w:rsid w:val="002B02F2"/>
    <w:rsid w:val="002B0999"/>
    <w:rsid w:val="002B1616"/>
    <w:rsid w:val="002B2AA8"/>
    <w:rsid w:val="002B7494"/>
    <w:rsid w:val="002C1E4D"/>
    <w:rsid w:val="002C29D5"/>
    <w:rsid w:val="002C30EB"/>
    <w:rsid w:val="002C393B"/>
    <w:rsid w:val="002C42A6"/>
    <w:rsid w:val="002C4F1A"/>
    <w:rsid w:val="002D3748"/>
    <w:rsid w:val="002D3FB8"/>
    <w:rsid w:val="002D4D78"/>
    <w:rsid w:val="002D74F6"/>
    <w:rsid w:val="002E0322"/>
    <w:rsid w:val="002E1988"/>
    <w:rsid w:val="002E5C8E"/>
    <w:rsid w:val="002F18FF"/>
    <w:rsid w:val="002F1ED9"/>
    <w:rsid w:val="002F3507"/>
    <w:rsid w:val="002F3667"/>
    <w:rsid w:val="002F3705"/>
    <w:rsid w:val="002F74D8"/>
    <w:rsid w:val="00300CAA"/>
    <w:rsid w:val="00302B2E"/>
    <w:rsid w:val="00302D6E"/>
    <w:rsid w:val="00305536"/>
    <w:rsid w:val="003079D1"/>
    <w:rsid w:val="0031005B"/>
    <w:rsid w:val="003135F3"/>
    <w:rsid w:val="00317A13"/>
    <w:rsid w:val="0032141D"/>
    <w:rsid w:val="0032499E"/>
    <w:rsid w:val="00324C10"/>
    <w:rsid w:val="00332ED8"/>
    <w:rsid w:val="00333C3B"/>
    <w:rsid w:val="00334255"/>
    <w:rsid w:val="00334927"/>
    <w:rsid w:val="00335217"/>
    <w:rsid w:val="0033775E"/>
    <w:rsid w:val="00342C61"/>
    <w:rsid w:val="00343B08"/>
    <w:rsid w:val="00346361"/>
    <w:rsid w:val="003468D7"/>
    <w:rsid w:val="003518FB"/>
    <w:rsid w:val="00354C6A"/>
    <w:rsid w:val="003623EF"/>
    <w:rsid w:val="00362A5F"/>
    <w:rsid w:val="003630F4"/>
    <w:rsid w:val="003700B4"/>
    <w:rsid w:val="00372CEC"/>
    <w:rsid w:val="003732F3"/>
    <w:rsid w:val="003733F2"/>
    <w:rsid w:val="00374321"/>
    <w:rsid w:val="00374580"/>
    <w:rsid w:val="00380068"/>
    <w:rsid w:val="00380BC8"/>
    <w:rsid w:val="00380D30"/>
    <w:rsid w:val="00382E36"/>
    <w:rsid w:val="00384227"/>
    <w:rsid w:val="00390FB2"/>
    <w:rsid w:val="003917E8"/>
    <w:rsid w:val="00394953"/>
    <w:rsid w:val="003A58B6"/>
    <w:rsid w:val="003A5969"/>
    <w:rsid w:val="003B2551"/>
    <w:rsid w:val="003B3B4C"/>
    <w:rsid w:val="003B4EF0"/>
    <w:rsid w:val="003B62A6"/>
    <w:rsid w:val="003C0FC4"/>
    <w:rsid w:val="003C5846"/>
    <w:rsid w:val="003D0662"/>
    <w:rsid w:val="003D2B7D"/>
    <w:rsid w:val="003E27D4"/>
    <w:rsid w:val="003E3733"/>
    <w:rsid w:val="003E4ACD"/>
    <w:rsid w:val="003F000A"/>
    <w:rsid w:val="003F09B9"/>
    <w:rsid w:val="004037D0"/>
    <w:rsid w:val="004039FD"/>
    <w:rsid w:val="00404F5E"/>
    <w:rsid w:val="00405A61"/>
    <w:rsid w:val="00405AA6"/>
    <w:rsid w:val="004068B7"/>
    <w:rsid w:val="00411924"/>
    <w:rsid w:val="00423713"/>
    <w:rsid w:val="00425F48"/>
    <w:rsid w:val="00427CAF"/>
    <w:rsid w:val="00430B75"/>
    <w:rsid w:val="0043125B"/>
    <w:rsid w:val="004350E2"/>
    <w:rsid w:val="00436E2A"/>
    <w:rsid w:val="004371F8"/>
    <w:rsid w:val="0043732F"/>
    <w:rsid w:val="0044022E"/>
    <w:rsid w:val="00441A4D"/>
    <w:rsid w:val="00442AA4"/>
    <w:rsid w:val="00443C70"/>
    <w:rsid w:val="00444129"/>
    <w:rsid w:val="00445112"/>
    <w:rsid w:val="004452BC"/>
    <w:rsid w:val="004479F7"/>
    <w:rsid w:val="00451094"/>
    <w:rsid w:val="00452A41"/>
    <w:rsid w:val="004538AA"/>
    <w:rsid w:val="00453E8B"/>
    <w:rsid w:val="00457497"/>
    <w:rsid w:val="004576B1"/>
    <w:rsid w:val="00465C51"/>
    <w:rsid w:val="00476B48"/>
    <w:rsid w:val="00477505"/>
    <w:rsid w:val="00480F14"/>
    <w:rsid w:val="004849C9"/>
    <w:rsid w:val="00486560"/>
    <w:rsid w:val="00494474"/>
    <w:rsid w:val="004955C3"/>
    <w:rsid w:val="00495CCE"/>
    <w:rsid w:val="004A1F6A"/>
    <w:rsid w:val="004A2167"/>
    <w:rsid w:val="004A2545"/>
    <w:rsid w:val="004A2843"/>
    <w:rsid w:val="004A3D6C"/>
    <w:rsid w:val="004A4C4A"/>
    <w:rsid w:val="004A52C3"/>
    <w:rsid w:val="004B258B"/>
    <w:rsid w:val="004B4725"/>
    <w:rsid w:val="004B6BD3"/>
    <w:rsid w:val="004B7286"/>
    <w:rsid w:val="004C040B"/>
    <w:rsid w:val="004C0860"/>
    <w:rsid w:val="004C27B0"/>
    <w:rsid w:val="004C3DB3"/>
    <w:rsid w:val="004C593B"/>
    <w:rsid w:val="004C62F2"/>
    <w:rsid w:val="004C6321"/>
    <w:rsid w:val="004C6838"/>
    <w:rsid w:val="004D1D6A"/>
    <w:rsid w:val="004D1E14"/>
    <w:rsid w:val="004D2AB1"/>
    <w:rsid w:val="004D3FB4"/>
    <w:rsid w:val="004D4949"/>
    <w:rsid w:val="004D49D8"/>
    <w:rsid w:val="004D612B"/>
    <w:rsid w:val="004D6FCF"/>
    <w:rsid w:val="004F0879"/>
    <w:rsid w:val="004F217C"/>
    <w:rsid w:val="004F4E04"/>
    <w:rsid w:val="004F4E59"/>
    <w:rsid w:val="00504F5A"/>
    <w:rsid w:val="00506AFB"/>
    <w:rsid w:val="00510A38"/>
    <w:rsid w:val="005116E3"/>
    <w:rsid w:val="00511A63"/>
    <w:rsid w:val="00512D79"/>
    <w:rsid w:val="00522132"/>
    <w:rsid w:val="00522EDF"/>
    <w:rsid w:val="00524208"/>
    <w:rsid w:val="005255A5"/>
    <w:rsid w:val="00526E15"/>
    <w:rsid w:val="0053201A"/>
    <w:rsid w:val="00541F1B"/>
    <w:rsid w:val="00545541"/>
    <w:rsid w:val="00547014"/>
    <w:rsid w:val="00550429"/>
    <w:rsid w:val="00554A9F"/>
    <w:rsid w:val="00557100"/>
    <w:rsid w:val="00557B85"/>
    <w:rsid w:val="005609CB"/>
    <w:rsid w:val="00561584"/>
    <w:rsid w:val="00561DE4"/>
    <w:rsid w:val="005637BB"/>
    <w:rsid w:val="00564BDF"/>
    <w:rsid w:val="00564F2B"/>
    <w:rsid w:val="005651F7"/>
    <w:rsid w:val="00565EDF"/>
    <w:rsid w:val="00566815"/>
    <w:rsid w:val="00571384"/>
    <w:rsid w:val="005757B6"/>
    <w:rsid w:val="005838C2"/>
    <w:rsid w:val="0058468C"/>
    <w:rsid w:val="00587A1C"/>
    <w:rsid w:val="00592AC8"/>
    <w:rsid w:val="00592D73"/>
    <w:rsid w:val="00594766"/>
    <w:rsid w:val="005959D2"/>
    <w:rsid w:val="00597785"/>
    <w:rsid w:val="005A1B12"/>
    <w:rsid w:val="005A1E5F"/>
    <w:rsid w:val="005A5D77"/>
    <w:rsid w:val="005A640A"/>
    <w:rsid w:val="005A7BEB"/>
    <w:rsid w:val="005B23C9"/>
    <w:rsid w:val="005B5E1D"/>
    <w:rsid w:val="005B6763"/>
    <w:rsid w:val="005C07BF"/>
    <w:rsid w:val="005C1442"/>
    <w:rsid w:val="005C78C3"/>
    <w:rsid w:val="005E07B0"/>
    <w:rsid w:val="005E148C"/>
    <w:rsid w:val="005E7DF3"/>
    <w:rsid w:val="005F1CF4"/>
    <w:rsid w:val="005F1E24"/>
    <w:rsid w:val="005F44CA"/>
    <w:rsid w:val="005F46D1"/>
    <w:rsid w:val="005F4FB3"/>
    <w:rsid w:val="005F5601"/>
    <w:rsid w:val="006011ED"/>
    <w:rsid w:val="00602C12"/>
    <w:rsid w:val="00603E2D"/>
    <w:rsid w:val="00604555"/>
    <w:rsid w:val="00605F54"/>
    <w:rsid w:val="006064EB"/>
    <w:rsid w:val="00607248"/>
    <w:rsid w:val="00612938"/>
    <w:rsid w:val="00612CDB"/>
    <w:rsid w:val="00613143"/>
    <w:rsid w:val="00614414"/>
    <w:rsid w:val="006148CD"/>
    <w:rsid w:val="00615009"/>
    <w:rsid w:val="00622251"/>
    <w:rsid w:val="0062310C"/>
    <w:rsid w:val="006236C6"/>
    <w:rsid w:val="0062588E"/>
    <w:rsid w:val="00625E2B"/>
    <w:rsid w:val="00627ED3"/>
    <w:rsid w:val="0063079B"/>
    <w:rsid w:val="00631774"/>
    <w:rsid w:val="00631955"/>
    <w:rsid w:val="006361B4"/>
    <w:rsid w:val="006408FA"/>
    <w:rsid w:val="0064450E"/>
    <w:rsid w:val="00650C86"/>
    <w:rsid w:val="00653D6E"/>
    <w:rsid w:val="006550E0"/>
    <w:rsid w:val="0065554F"/>
    <w:rsid w:val="006562F1"/>
    <w:rsid w:val="006571A5"/>
    <w:rsid w:val="00660D90"/>
    <w:rsid w:val="00664B04"/>
    <w:rsid w:val="00667159"/>
    <w:rsid w:val="00667E7D"/>
    <w:rsid w:val="00676F3F"/>
    <w:rsid w:val="0068090C"/>
    <w:rsid w:val="006846D3"/>
    <w:rsid w:val="00684AB2"/>
    <w:rsid w:val="00685CD2"/>
    <w:rsid w:val="006922BA"/>
    <w:rsid w:val="00696962"/>
    <w:rsid w:val="00696FD9"/>
    <w:rsid w:val="006A1932"/>
    <w:rsid w:val="006A777F"/>
    <w:rsid w:val="006A79C8"/>
    <w:rsid w:val="006B095D"/>
    <w:rsid w:val="006B1AA5"/>
    <w:rsid w:val="006B2224"/>
    <w:rsid w:val="006B39D8"/>
    <w:rsid w:val="006B521C"/>
    <w:rsid w:val="006B5690"/>
    <w:rsid w:val="006B5709"/>
    <w:rsid w:val="006B6D21"/>
    <w:rsid w:val="006B78AF"/>
    <w:rsid w:val="006C3294"/>
    <w:rsid w:val="006C484D"/>
    <w:rsid w:val="006C5C5F"/>
    <w:rsid w:val="006C60C7"/>
    <w:rsid w:val="006D1B54"/>
    <w:rsid w:val="006D28C6"/>
    <w:rsid w:val="006D38F4"/>
    <w:rsid w:val="006D6D52"/>
    <w:rsid w:val="006D785B"/>
    <w:rsid w:val="006E1997"/>
    <w:rsid w:val="006E2614"/>
    <w:rsid w:val="006E3665"/>
    <w:rsid w:val="006E4336"/>
    <w:rsid w:val="006E46E2"/>
    <w:rsid w:val="006E4750"/>
    <w:rsid w:val="006F0021"/>
    <w:rsid w:val="006F0E34"/>
    <w:rsid w:val="006F1C56"/>
    <w:rsid w:val="006F3AE8"/>
    <w:rsid w:val="006F45FF"/>
    <w:rsid w:val="006F606B"/>
    <w:rsid w:val="0070359A"/>
    <w:rsid w:val="007045C9"/>
    <w:rsid w:val="00704F07"/>
    <w:rsid w:val="0070699B"/>
    <w:rsid w:val="00711790"/>
    <w:rsid w:val="00712D55"/>
    <w:rsid w:val="007140C4"/>
    <w:rsid w:val="00715F3F"/>
    <w:rsid w:val="00717EFC"/>
    <w:rsid w:val="00720DB6"/>
    <w:rsid w:val="00724B35"/>
    <w:rsid w:val="00725581"/>
    <w:rsid w:val="00727B37"/>
    <w:rsid w:val="00727EF5"/>
    <w:rsid w:val="00727F35"/>
    <w:rsid w:val="0073212A"/>
    <w:rsid w:val="00732904"/>
    <w:rsid w:val="007355B4"/>
    <w:rsid w:val="00740B21"/>
    <w:rsid w:val="00741D4D"/>
    <w:rsid w:val="0074314C"/>
    <w:rsid w:val="00744291"/>
    <w:rsid w:val="0074789D"/>
    <w:rsid w:val="007505AE"/>
    <w:rsid w:val="00751C09"/>
    <w:rsid w:val="00752387"/>
    <w:rsid w:val="00752EC5"/>
    <w:rsid w:val="0075527F"/>
    <w:rsid w:val="00756185"/>
    <w:rsid w:val="007600DB"/>
    <w:rsid w:val="007655FA"/>
    <w:rsid w:val="00773B92"/>
    <w:rsid w:val="0077488E"/>
    <w:rsid w:val="00776E59"/>
    <w:rsid w:val="00777FA8"/>
    <w:rsid w:val="007849DF"/>
    <w:rsid w:val="00785527"/>
    <w:rsid w:val="00786C77"/>
    <w:rsid w:val="00787599"/>
    <w:rsid w:val="00787D71"/>
    <w:rsid w:val="00790CEA"/>
    <w:rsid w:val="00791AF9"/>
    <w:rsid w:val="00791AFA"/>
    <w:rsid w:val="00792A91"/>
    <w:rsid w:val="00792EB6"/>
    <w:rsid w:val="00794EC9"/>
    <w:rsid w:val="0079685F"/>
    <w:rsid w:val="007A0C71"/>
    <w:rsid w:val="007A1C9D"/>
    <w:rsid w:val="007A34D1"/>
    <w:rsid w:val="007B0678"/>
    <w:rsid w:val="007B1365"/>
    <w:rsid w:val="007B190A"/>
    <w:rsid w:val="007B201D"/>
    <w:rsid w:val="007B2092"/>
    <w:rsid w:val="007B473F"/>
    <w:rsid w:val="007B5BAF"/>
    <w:rsid w:val="007B65ED"/>
    <w:rsid w:val="007C2075"/>
    <w:rsid w:val="007C4A5B"/>
    <w:rsid w:val="007C5857"/>
    <w:rsid w:val="007D0299"/>
    <w:rsid w:val="007D0E8F"/>
    <w:rsid w:val="007D30BD"/>
    <w:rsid w:val="007D320C"/>
    <w:rsid w:val="007D51B4"/>
    <w:rsid w:val="007D6D50"/>
    <w:rsid w:val="007E2BB5"/>
    <w:rsid w:val="007E3069"/>
    <w:rsid w:val="007F1E54"/>
    <w:rsid w:val="007F26A4"/>
    <w:rsid w:val="007F2839"/>
    <w:rsid w:val="007F655C"/>
    <w:rsid w:val="007F6AFA"/>
    <w:rsid w:val="007F7576"/>
    <w:rsid w:val="007F7631"/>
    <w:rsid w:val="007F7F4E"/>
    <w:rsid w:val="0080193F"/>
    <w:rsid w:val="00801B49"/>
    <w:rsid w:val="00802881"/>
    <w:rsid w:val="008033BB"/>
    <w:rsid w:val="00807E11"/>
    <w:rsid w:val="008116EC"/>
    <w:rsid w:val="0081493F"/>
    <w:rsid w:val="00815D4A"/>
    <w:rsid w:val="00816A08"/>
    <w:rsid w:val="00817380"/>
    <w:rsid w:val="008212BE"/>
    <w:rsid w:val="00821FDC"/>
    <w:rsid w:val="008223C1"/>
    <w:rsid w:val="00822DB6"/>
    <w:rsid w:val="00823934"/>
    <w:rsid w:val="0082674F"/>
    <w:rsid w:val="00826DFF"/>
    <w:rsid w:val="0082740F"/>
    <w:rsid w:val="00830450"/>
    <w:rsid w:val="00830D52"/>
    <w:rsid w:val="008349FE"/>
    <w:rsid w:val="00835234"/>
    <w:rsid w:val="008402E9"/>
    <w:rsid w:val="008409DB"/>
    <w:rsid w:val="0084472A"/>
    <w:rsid w:val="008463F4"/>
    <w:rsid w:val="00852D80"/>
    <w:rsid w:val="00852F47"/>
    <w:rsid w:val="00853A14"/>
    <w:rsid w:val="0085413B"/>
    <w:rsid w:val="00855137"/>
    <w:rsid w:val="00856BBF"/>
    <w:rsid w:val="008570BC"/>
    <w:rsid w:val="0086139E"/>
    <w:rsid w:val="008633D7"/>
    <w:rsid w:val="0086726A"/>
    <w:rsid w:val="008672D3"/>
    <w:rsid w:val="0087007B"/>
    <w:rsid w:val="00872311"/>
    <w:rsid w:val="00872C9E"/>
    <w:rsid w:val="008736FC"/>
    <w:rsid w:val="00874B80"/>
    <w:rsid w:val="00875EB6"/>
    <w:rsid w:val="0087698C"/>
    <w:rsid w:val="00880748"/>
    <w:rsid w:val="00881145"/>
    <w:rsid w:val="00883978"/>
    <w:rsid w:val="00883C40"/>
    <w:rsid w:val="00885FE3"/>
    <w:rsid w:val="0088751E"/>
    <w:rsid w:val="0089221C"/>
    <w:rsid w:val="0089460C"/>
    <w:rsid w:val="00894CCD"/>
    <w:rsid w:val="00895053"/>
    <w:rsid w:val="008A07B4"/>
    <w:rsid w:val="008A350B"/>
    <w:rsid w:val="008A4497"/>
    <w:rsid w:val="008B55EA"/>
    <w:rsid w:val="008B7355"/>
    <w:rsid w:val="008B7A41"/>
    <w:rsid w:val="008B7B08"/>
    <w:rsid w:val="008C1E23"/>
    <w:rsid w:val="008C1FA9"/>
    <w:rsid w:val="008C3908"/>
    <w:rsid w:val="008C72F9"/>
    <w:rsid w:val="008D011C"/>
    <w:rsid w:val="008D5054"/>
    <w:rsid w:val="008D708E"/>
    <w:rsid w:val="008D72BF"/>
    <w:rsid w:val="008E08E7"/>
    <w:rsid w:val="008E0EC0"/>
    <w:rsid w:val="008E31DB"/>
    <w:rsid w:val="008E7ACE"/>
    <w:rsid w:val="008E7D74"/>
    <w:rsid w:val="008F6F7A"/>
    <w:rsid w:val="0090136D"/>
    <w:rsid w:val="009046AB"/>
    <w:rsid w:val="00905BFA"/>
    <w:rsid w:val="009065FB"/>
    <w:rsid w:val="00907A18"/>
    <w:rsid w:val="0092132B"/>
    <w:rsid w:val="00922C09"/>
    <w:rsid w:val="009232CC"/>
    <w:rsid w:val="00923CFD"/>
    <w:rsid w:val="009270BA"/>
    <w:rsid w:val="009302B4"/>
    <w:rsid w:val="00931132"/>
    <w:rsid w:val="00931182"/>
    <w:rsid w:val="00931623"/>
    <w:rsid w:val="00932D56"/>
    <w:rsid w:val="00934952"/>
    <w:rsid w:val="00935814"/>
    <w:rsid w:val="0093755D"/>
    <w:rsid w:val="00937595"/>
    <w:rsid w:val="0094082F"/>
    <w:rsid w:val="00942438"/>
    <w:rsid w:val="009443BE"/>
    <w:rsid w:val="0095029D"/>
    <w:rsid w:val="00950693"/>
    <w:rsid w:val="009553A6"/>
    <w:rsid w:val="00961B60"/>
    <w:rsid w:val="00962D15"/>
    <w:rsid w:val="009632C5"/>
    <w:rsid w:val="00964704"/>
    <w:rsid w:val="009702E5"/>
    <w:rsid w:val="00972A63"/>
    <w:rsid w:val="00973FE6"/>
    <w:rsid w:val="00974158"/>
    <w:rsid w:val="00976BBD"/>
    <w:rsid w:val="00981917"/>
    <w:rsid w:val="00981C72"/>
    <w:rsid w:val="009842F2"/>
    <w:rsid w:val="0098533B"/>
    <w:rsid w:val="0098744E"/>
    <w:rsid w:val="00991655"/>
    <w:rsid w:val="009A0989"/>
    <w:rsid w:val="009A2B36"/>
    <w:rsid w:val="009A420D"/>
    <w:rsid w:val="009A527F"/>
    <w:rsid w:val="009A7E34"/>
    <w:rsid w:val="009B21C9"/>
    <w:rsid w:val="009B2B98"/>
    <w:rsid w:val="009B472E"/>
    <w:rsid w:val="009B47E5"/>
    <w:rsid w:val="009B7531"/>
    <w:rsid w:val="009B7D82"/>
    <w:rsid w:val="009C0289"/>
    <w:rsid w:val="009C27A3"/>
    <w:rsid w:val="009C32CF"/>
    <w:rsid w:val="009C41B5"/>
    <w:rsid w:val="009C4A43"/>
    <w:rsid w:val="009C6B24"/>
    <w:rsid w:val="009C7595"/>
    <w:rsid w:val="009D0001"/>
    <w:rsid w:val="009D4A62"/>
    <w:rsid w:val="009D508C"/>
    <w:rsid w:val="009E27CA"/>
    <w:rsid w:val="009E31E6"/>
    <w:rsid w:val="009E38BA"/>
    <w:rsid w:val="009E410C"/>
    <w:rsid w:val="009F0073"/>
    <w:rsid w:val="009F59E1"/>
    <w:rsid w:val="00A005F4"/>
    <w:rsid w:val="00A0254E"/>
    <w:rsid w:val="00A028A9"/>
    <w:rsid w:val="00A0311D"/>
    <w:rsid w:val="00A050F8"/>
    <w:rsid w:val="00A05561"/>
    <w:rsid w:val="00A07DED"/>
    <w:rsid w:val="00A10736"/>
    <w:rsid w:val="00A128BB"/>
    <w:rsid w:val="00A1464E"/>
    <w:rsid w:val="00A14733"/>
    <w:rsid w:val="00A32996"/>
    <w:rsid w:val="00A33668"/>
    <w:rsid w:val="00A35589"/>
    <w:rsid w:val="00A375E0"/>
    <w:rsid w:val="00A444CA"/>
    <w:rsid w:val="00A4622E"/>
    <w:rsid w:val="00A5609B"/>
    <w:rsid w:val="00A56FAC"/>
    <w:rsid w:val="00A605D7"/>
    <w:rsid w:val="00A60D7A"/>
    <w:rsid w:val="00A62515"/>
    <w:rsid w:val="00A63B6E"/>
    <w:rsid w:val="00A644F0"/>
    <w:rsid w:val="00A64F4A"/>
    <w:rsid w:val="00A67412"/>
    <w:rsid w:val="00A7140D"/>
    <w:rsid w:val="00A71B50"/>
    <w:rsid w:val="00A71DD2"/>
    <w:rsid w:val="00A71E98"/>
    <w:rsid w:val="00A7301D"/>
    <w:rsid w:val="00A763E2"/>
    <w:rsid w:val="00A76824"/>
    <w:rsid w:val="00A82AD0"/>
    <w:rsid w:val="00A87990"/>
    <w:rsid w:val="00A87BEA"/>
    <w:rsid w:val="00A906C6"/>
    <w:rsid w:val="00A91A86"/>
    <w:rsid w:val="00A92811"/>
    <w:rsid w:val="00A93404"/>
    <w:rsid w:val="00A9385B"/>
    <w:rsid w:val="00A95C3F"/>
    <w:rsid w:val="00A96093"/>
    <w:rsid w:val="00AA619C"/>
    <w:rsid w:val="00AA7DF7"/>
    <w:rsid w:val="00AB08B0"/>
    <w:rsid w:val="00AB4E0F"/>
    <w:rsid w:val="00AB5956"/>
    <w:rsid w:val="00AC082C"/>
    <w:rsid w:val="00AC0F79"/>
    <w:rsid w:val="00AC1072"/>
    <w:rsid w:val="00AC1D04"/>
    <w:rsid w:val="00AC4F21"/>
    <w:rsid w:val="00AD0208"/>
    <w:rsid w:val="00AD092D"/>
    <w:rsid w:val="00AD2163"/>
    <w:rsid w:val="00AD279A"/>
    <w:rsid w:val="00AD427B"/>
    <w:rsid w:val="00AD5052"/>
    <w:rsid w:val="00AD506F"/>
    <w:rsid w:val="00AD55EA"/>
    <w:rsid w:val="00AD61D4"/>
    <w:rsid w:val="00AD7CE4"/>
    <w:rsid w:val="00AE5C73"/>
    <w:rsid w:val="00AE7C8C"/>
    <w:rsid w:val="00AE7FC3"/>
    <w:rsid w:val="00AF3B0D"/>
    <w:rsid w:val="00AF7D84"/>
    <w:rsid w:val="00B0015A"/>
    <w:rsid w:val="00B00490"/>
    <w:rsid w:val="00B007C8"/>
    <w:rsid w:val="00B018C2"/>
    <w:rsid w:val="00B06B13"/>
    <w:rsid w:val="00B07790"/>
    <w:rsid w:val="00B11323"/>
    <w:rsid w:val="00B1232C"/>
    <w:rsid w:val="00B13EA2"/>
    <w:rsid w:val="00B155A6"/>
    <w:rsid w:val="00B216AC"/>
    <w:rsid w:val="00B21AAA"/>
    <w:rsid w:val="00B24F1A"/>
    <w:rsid w:val="00B338E1"/>
    <w:rsid w:val="00B339AC"/>
    <w:rsid w:val="00B352E2"/>
    <w:rsid w:val="00B411F1"/>
    <w:rsid w:val="00B4164E"/>
    <w:rsid w:val="00B428D9"/>
    <w:rsid w:val="00B4385C"/>
    <w:rsid w:val="00B452EC"/>
    <w:rsid w:val="00B453F8"/>
    <w:rsid w:val="00B50D18"/>
    <w:rsid w:val="00B521B1"/>
    <w:rsid w:val="00B54E3C"/>
    <w:rsid w:val="00B55890"/>
    <w:rsid w:val="00B5697C"/>
    <w:rsid w:val="00B57B60"/>
    <w:rsid w:val="00B61D91"/>
    <w:rsid w:val="00B62E6C"/>
    <w:rsid w:val="00B632C6"/>
    <w:rsid w:val="00B63CF9"/>
    <w:rsid w:val="00B64EF1"/>
    <w:rsid w:val="00B64EFE"/>
    <w:rsid w:val="00B6573A"/>
    <w:rsid w:val="00B70C23"/>
    <w:rsid w:val="00B712F1"/>
    <w:rsid w:val="00B71CCE"/>
    <w:rsid w:val="00B72733"/>
    <w:rsid w:val="00B728B3"/>
    <w:rsid w:val="00B729EC"/>
    <w:rsid w:val="00B73963"/>
    <w:rsid w:val="00B76D6A"/>
    <w:rsid w:val="00B841CF"/>
    <w:rsid w:val="00B91057"/>
    <w:rsid w:val="00B91503"/>
    <w:rsid w:val="00B94DB1"/>
    <w:rsid w:val="00B954DC"/>
    <w:rsid w:val="00B95D06"/>
    <w:rsid w:val="00BA2D04"/>
    <w:rsid w:val="00BB08F9"/>
    <w:rsid w:val="00BB14A4"/>
    <w:rsid w:val="00BB237D"/>
    <w:rsid w:val="00BB33FC"/>
    <w:rsid w:val="00BB590E"/>
    <w:rsid w:val="00BB7183"/>
    <w:rsid w:val="00BB7FA9"/>
    <w:rsid w:val="00BC09BA"/>
    <w:rsid w:val="00BC2801"/>
    <w:rsid w:val="00BC3268"/>
    <w:rsid w:val="00BC443C"/>
    <w:rsid w:val="00BC5800"/>
    <w:rsid w:val="00BD2F61"/>
    <w:rsid w:val="00BD4AC3"/>
    <w:rsid w:val="00BE0DFA"/>
    <w:rsid w:val="00BE27FA"/>
    <w:rsid w:val="00BE6C9D"/>
    <w:rsid w:val="00BF031A"/>
    <w:rsid w:val="00BF0C58"/>
    <w:rsid w:val="00BF3893"/>
    <w:rsid w:val="00BF56B4"/>
    <w:rsid w:val="00C00A47"/>
    <w:rsid w:val="00C00F6E"/>
    <w:rsid w:val="00C0180A"/>
    <w:rsid w:val="00C12B05"/>
    <w:rsid w:val="00C132F9"/>
    <w:rsid w:val="00C14DDC"/>
    <w:rsid w:val="00C164AF"/>
    <w:rsid w:val="00C17F37"/>
    <w:rsid w:val="00C20D08"/>
    <w:rsid w:val="00C2104F"/>
    <w:rsid w:val="00C21687"/>
    <w:rsid w:val="00C226D7"/>
    <w:rsid w:val="00C227D2"/>
    <w:rsid w:val="00C228AA"/>
    <w:rsid w:val="00C25413"/>
    <w:rsid w:val="00C25D38"/>
    <w:rsid w:val="00C25F1D"/>
    <w:rsid w:val="00C26B04"/>
    <w:rsid w:val="00C274B3"/>
    <w:rsid w:val="00C378ED"/>
    <w:rsid w:val="00C43082"/>
    <w:rsid w:val="00C448CB"/>
    <w:rsid w:val="00C44C3A"/>
    <w:rsid w:val="00C45D3E"/>
    <w:rsid w:val="00C53507"/>
    <w:rsid w:val="00C53E0C"/>
    <w:rsid w:val="00C6053A"/>
    <w:rsid w:val="00C60C59"/>
    <w:rsid w:val="00C637AA"/>
    <w:rsid w:val="00C653B6"/>
    <w:rsid w:val="00C66F85"/>
    <w:rsid w:val="00C73F6D"/>
    <w:rsid w:val="00C82FB7"/>
    <w:rsid w:val="00C83E1B"/>
    <w:rsid w:val="00C8527D"/>
    <w:rsid w:val="00C86C5B"/>
    <w:rsid w:val="00C87329"/>
    <w:rsid w:val="00C968D0"/>
    <w:rsid w:val="00CA18A8"/>
    <w:rsid w:val="00CA537F"/>
    <w:rsid w:val="00CA5563"/>
    <w:rsid w:val="00CB0678"/>
    <w:rsid w:val="00CB09ED"/>
    <w:rsid w:val="00CB3C22"/>
    <w:rsid w:val="00CB4B01"/>
    <w:rsid w:val="00CB6C59"/>
    <w:rsid w:val="00CC2124"/>
    <w:rsid w:val="00CC5CE1"/>
    <w:rsid w:val="00CC71F3"/>
    <w:rsid w:val="00CC7459"/>
    <w:rsid w:val="00CD020F"/>
    <w:rsid w:val="00CD2D37"/>
    <w:rsid w:val="00CD5753"/>
    <w:rsid w:val="00CD6CDD"/>
    <w:rsid w:val="00CE251C"/>
    <w:rsid w:val="00CE2633"/>
    <w:rsid w:val="00CE3315"/>
    <w:rsid w:val="00CE7D27"/>
    <w:rsid w:val="00CF3F06"/>
    <w:rsid w:val="00CF500A"/>
    <w:rsid w:val="00D01130"/>
    <w:rsid w:val="00D0300A"/>
    <w:rsid w:val="00D04D48"/>
    <w:rsid w:val="00D05188"/>
    <w:rsid w:val="00D05A5C"/>
    <w:rsid w:val="00D05F62"/>
    <w:rsid w:val="00D06D81"/>
    <w:rsid w:val="00D06D9E"/>
    <w:rsid w:val="00D071D5"/>
    <w:rsid w:val="00D1048C"/>
    <w:rsid w:val="00D11930"/>
    <w:rsid w:val="00D21000"/>
    <w:rsid w:val="00D22161"/>
    <w:rsid w:val="00D255EA"/>
    <w:rsid w:val="00D25D54"/>
    <w:rsid w:val="00D27C75"/>
    <w:rsid w:val="00D31373"/>
    <w:rsid w:val="00D31E87"/>
    <w:rsid w:val="00D33979"/>
    <w:rsid w:val="00D35184"/>
    <w:rsid w:val="00D36F7B"/>
    <w:rsid w:val="00D37CE6"/>
    <w:rsid w:val="00D465BC"/>
    <w:rsid w:val="00D46F4E"/>
    <w:rsid w:val="00D50F2F"/>
    <w:rsid w:val="00D5187D"/>
    <w:rsid w:val="00D51D6F"/>
    <w:rsid w:val="00D54282"/>
    <w:rsid w:val="00D55C89"/>
    <w:rsid w:val="00D561A6"/>
    <w:rsid w:val="00D57865"/>
    <w:rsid w:val="00D62ED6"/>
    <w:rsid w:val="00D6328E"/>
    <w:rsid w:val="00D66899"/>
    <w:rsid w:val="00D7471E"/>
    <w:rsid w:val="00D75903"/>
    <w:rsid w:val="00D80759"/>
    <w:rsid w:val="00D811B1"/>
    <w:rsid w:val="00D9150E"/>
    <w:rsid w:val="00D95DF4"/>
    <w:rsid w:val="00D9799C"/>
    <w:rsid w:val="00DA118E"/>
    <w:rsid w:val="00DA1E10"/>
    <w:rsid w:val="00DA2F98"/>
    <w:rsid w:val="00DA50A4"/>
    <w:rsid w:val="00DA5A52"/>
    <w:rsid w:val="00DA7204"/>
    <w:rsid w:val="00DA7C65"/>
    <w:rsid w:val="00DA7D3E"/>
    <w:rsid w:val="00DB281F"/>
    <w:rsid w:val="00DB39E7"/>
    <w:rsid w:val="00DB69CC"/>
    <w:rsid w:val="00DC17FA"/>
    <w:rsid w:val="00DC25B8"/>
    <w:rsid w:val="00DC5C68"/>
    <w:rsid w:val="00DC76D8"/>
    <w:rsid w:val="00DD149C"/>
    <w:rsid w:val="00DD3B4B"/>
    <w:rsid w:val="00DD509E"/>
    <w:rsid w:val="00DD643F"/>
    <w:rsid w:val="00DE048F"/>
    <w:rsid w:val="00DE1321"/>
    <w:rsid w:val="00DE17E8"/>
    <w:rsid w:val="00DE5902"/>
    <w:rsid w:val="00DE69A4"/>
    <w:rsid w:val="00DF223F"/>
    <w:rsid w:val="00DF3473"/>
    <w:rsid w:val="00DF3691"/>
    <w:rsid w:val="00DF5AD7"/>
    <w:rsid w:val="00DF5ADD"/>
    <w:rsid w:val="00E00619"/>
    <w:rsid w:val="00E00F21"/>
    <w:rsid w:val="00E03ED8"/>
    <w:rsid w:val="00E10F29"/>
    <w:rsid w:val="00E111E5"/>
    <w:rsid w:val="00E12B56"/>
    <w:rsid w:val="00E14F86"/>
    <w:rsid w:val="00E16D53"/>
    <w:rsid w:val="00E22E64"/>
    <w:rsid w:val="00E2708D"/>
    <w:rsid w:val="00E30C4E"/>
    <w:rsid w:val="00E32CD5"/>
    <w:rsid w:val="00E3538D"/>
    <w:rsid w:val="00E4044B"/>
    <w:rsid w:val="00E40C94"/>
    <w:rsid w:val="00E40CB2"/>
    <w:rsid w:val="00E42C7B"/>
    <w:rsid w:val="00E43C9F"/>
    <w:rsid w:val="00E44E0A"/>
    <w:rsid w:val="00E45319"/>
    <w:rsid w:val="00E51D21"/>
    <w:rsid w:val="00E57310"/>
    <w:rsid w:val="00E60829"/>
    <w:rsid w:val="00E60A14"/>
    <w:rsid w:val="00E60FC9"/>
    <w:rsid w:val="00E64719"/>
    <w:rsid w:val="00E67F4F"/>
    <w:rsid w:val="00E72434"/>
    <w:rsid w:val="00E75EBF"/>
    <w:rsid w:val="00E75FA4"/>
    <w:rsid w:val="00E767EE"/>
    <w:rsid w:val="00E8222B"/>
    <w:rsid w:val="00E84386"/>
    <w:rsid w:val="00E8452E"/>
    <w:rsid w:val="00E846EB"/>
    <w:rsid w:val="00E85604"/>
    <w:rsid w:val="00E85E4D"/>
    <w:rsid w:val="00E9310E"/>
    <w:rsid w:val="00E93C15"/>
    <w:rsid w:val="00E93C4C"/>
    <w:rsid w:val="00E944EC"/>
    <w:rsid w:val="00E96669"/>
    <w:rsid w:val="00E97339"/>
    <w:rsid w:val="00EA0D55"/>
    <w:rsid w:val="00EA2E55"/>
    <w:rsid w:val="00EA2ECD"/>
    <w:rsid w:val="00EA40CE"/>
    <w:rsid w:val="00EB40F8"/>
    <w:rsid w:val="00EB4711"/>
    <w:rsid w:val="00EB4B5D"/>
    <w:rsid w:val="00EC1E07"/>
    <w:rsid w:val="00EC2608"/>
    <w:rsid w:val="00EC39CE"/>
    <w:rsid w:val="00EC41AE"/>
    <w:rsid w:val="00EC58D8"/>
    <w:rsid w:val="00EC66E5"/>
    <w:rsid w:val="00EC7324"/>
    <w:rsid w:val="00ED09AC"/>
    <w:rsid w:val="00ED1D98"/>
    <w:rsid w:val="00ED2873"/>
    <w:rsid w:val="00ED3B37"/>
    <w:rsid w:val="00ED4125"/>
    <w:rsid w:val="00EE1C23"/>
    <w:rsid w:val="00EE4CEF"/>
    <w:rsid w:val="00EE56E9"/>
    <w:rsid w:val="00EE7D0C"/>
    <w:rsid w:val="00EF1CD2"/>
    <w:rsid w:val="00EF2214"/>
    <w:rsid w:val="00EF5388"/>
    <w:rsid w:val="00EF73FA"/>
    <w:rsid w:val="00F00805"/>
    <w:rsid w:val="00F02B06"/>
    <w:rsid w:val="00F042E6"/>
    <w:rsid w:val="00F05221"/>
    <w:rsid w:val="00F05315"/>
    <w:rsid w:val="00F06041"/>
    <w:rsid w:val="00F06F23"/>
    <w:rsid w:val="00F072F6"/>
    <w:rsid w:val="00F073FF"/>
    <w:rsid w:val="00F1058A"/>
    <w:rsid w:val="00F155D2"/>
    <w:rsid w:val="00F16BC0"/>
    <w:rsid w:val="00F23F68"/>
    <w:rsid w:val="00F24D0C"/>
    <w:rsid w:val="00F32320"/>
    <w:rsid w:val="00F33C9D"/>
    <w:rsid w:val="00F35675"/>
    <w:rsid w:val="00F35FDD"/>
    <w:rsid w:val="00F376C0"/>
    <w:rsid w:val="00F41AB2"/>
    <w:rsid w:val="00F42D2F"/>
    <w:rsid w:val="00F43DB8"/>
    <w:rsid w:val="00F45423"/>
    <w:rsid w:val="00F47148"/>
    <w:rsid w:val="00F51088"/>
    <w:rsid w:val="00F543ED"/>
    <w:rsid w:val="00F54C28"/>
    <w:rsid w:val="00F573C7"/>
    <w:rsid w:val="00F630E7"/>
    <w:rsid w:val="00F64280"/>
    <w:rsid w:val="00F67651"/>
    <w:rsid w:val="00F700D0"/>
    <w:rsid w:val="00F7045C"/>
    <w:rsid w:val="00F73AD1"/>
    <w:rsid w:val="00F741CB"/>
    <w:rsid w:val="00F76093"/>
    <w:rsid w:val="00F7656F"/>
    <w:rsid w:val="00F80BB4"/>
    <w:rsid w:val="00F80F10"/>
    <w:rsid w:val="00F82250"/>
    <w:rsid w:val="00F825CD"/>
    <w:rsid w:val="00F8279F"/>
    <w:rsid w:val="00F84694"/>
    <w:rsid w:val="00F9086E"/>
    <w:rsid w:val="00F97AC8"/>
    <w:rsid w:val="00FA2FAC"/>
    <w:rsid w:val="00FA6659"/>
    <w:rsid w:val="00FB073C"/>
    <w:rsid w:val="00FB0918"/>
    <w:rsid w:val="00FB0A9A"/>
    <w:rsid w:val="00FB0E41"/>
    <w:rsid w:val="00FB182E"/>
    <w:rsid w:val="00FB25AB"/>
    <w:rsid w:val="00FB578E"/>
    <w:rsid w:val="00FB57D1"/>
    <w:rsid w:val="00FB73CA"/>
    <w:rsid w:val="00FC310C"/>
    <w:rsid w:val="00FC3869"/>
    <w:rsid w:val="00FC5060"/>
    <w:rsid w:val="00FC55FF"/>
    <w:rsid w:val="00FC72C4"/>
    <w:rsid w:val="00FC767C"/>
    <w:rsid w:val="00FD01C0"/>
    <w:rsid w:val="00FD04DF"/>
    <w:rsid w:val="00FD3133"/>
    <w:rsid w:val="00FD4438"/>
    <w:rsid w:val="00FD4734"/>
    <w:rsid w:val="00FD5523"/>
    <w:rsid w:val="00FE2118"/>
    <w:rsid w:val="00FE5270"/>
    <w:rsid w:val="00FF1BB5"/>
    <w:rsid w:val="00FF5D8A"/>
    <w:rsid w:val="25648E55"/>
    <w:rsid w:val="37FFF8AA"/>
    <w:rsid w:val="7668E38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E0D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5A5A"/>
    <w:pPr>
      <w:widowControl w:val="0"/>
      <w:autoSpaceDE w:val="0"/>
      <w:autoSpaceDN w:val="0"/>
      <w:adjustRightInd w:val="0"/>
      <w:spacing w:after="240"/>
    </w:pPr>
    <w:rPr>
      <w:sz w:val="24"/>
    </w:rPr>
  </w:style>
  <w:style w:type="paragraph" w:styleId="Heading1">
    <w:name w:val="heading 1"/>
    <w:basedOn w:val="Normal"/>
    <w:next w:val="Normal"/>
    <w:qFormat/>
    <w:rsid w:val="00826DFF"/>
    <w:pPr>
      <w:jc w:val="center"/>
      <w:outlineLvl w:val="0"/>
    </w:pPr>
    <w:rPr>
      <w:b/>
      <w:bCs/>
      <w:szCs w:val="24"/>
    </w:rPr>
  </w:style>
  <w:style w:type="paragraph" w:styleId="Heading2">
    <w:name w:val="heading 2"/>
    <w:basedOn w:val="Normal"/>
    <w:next w:val="Normal"/>
    <w:qFormat/>
    <w:rsid w:val="00826DFF"/>
    <w:pPr>
      <w:tabs>
        <w:tab w:val="left" w:pos="720"/>
      </w:tabs>
      <w:ind w:left="720" w:hanging="720"/>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2RightPar">
    <w:name w:val="2Right Par"/>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3RightPar">
    <w:name w:val="3Right Par"/>
    <w:pPr>
      <w:widowControl w:val="0"/>
      <w:tabs>
        <w:tab w:val="left" w:pos="720"/>
        <w:tab w:val="left" w:pos="1440"/>
        <w:tab w:val="left" w:pos="2160"/>
      </w:tabs>
      <w:autoSpaceDE w:val="0"/>
      <w:autoSpaceDN w:val="0"/>
      <w:adjustRightInd w:val="0"/>
      <w:ind w:left="2160" w:hanging="3600"/>
      <w:jc w:val="both"/>
    </w:pPr>
    <w:rPr>
      <w:rFonts w:ascii="Courier 10cpi" w:hAnsi="Courier 10cpi"/>
      <w:sz w:val="24"/>
      <w:szCs w:val="24"/>
    </w:rPr>
  </w:style>
  <w:style w:type="paragraph" w:customStyle="1" w:styleId="4RightPar">
    <w:name w:val="4Right Par"/>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sz w:val="24"/>
      <w:szCs w:val="24"/>
    </w:rPr>
  </w:style>
  <w:style w:type="paragraph" w:customStyle="1" w:styleId="5RightPar">
    <w:name w:val="5Right Par"/>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sz w:val="24"/>
      <w:szCs w:val="24"/>
    </w:rPr>
  </w:style>
  <w:style w:type="paragraph" w:customStyle="1" w:styleId="6RightPar">
    <w:name w:val="6Right Par"/>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sz w:val="24"/>
      <w:szCs w:val="24"/>
    </w:rPr>
  </w:style>
  <w:style w:type="paragraph" w:customStyle="1" w:styleId="7RightPar">
    <w:name w:val="7Right Par"/>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sz w:val="24"/>
      <w:szCs w:val="24"/>
    </w:rPr>
  </w:style>
  <w:style w:type="paragraph" w:customStyle="1" w:styleId="8RightPar">
    <w:name w:val="8Right Par"/>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sz w:val="24"/>
      <w:szCs w:val="24"/>
    </w:rPr>
  </w:style>
  <w:style w:type="paragraph" w:customStyle="1" w:styleId="1Technical">
    <w:name w:val="1Technical"/>
    <w:pPr>
      <w:widowControl w:val="0"/>
      <w:autoSpaceDE w:val="0"/>
      <w:autoSpaceDN w:val="0"/>
      <w:adjustRightInd w:val="0"/>
      <w:jc w:val="both"/>
    </w:pPr>
    <w:rPr>
      <w:rFonts w:ascii="Courier 10cpi" w:hAnsi="Courier 10cpi"/>
      <w:sz w:val="24"/>
      <w:szCs w:val="24"/>
    </w:rPr>
  </w:style>
  <w:style w:type="paragraph" w:customStyle="1" w:styleId="2Technical">
    <w:name w:val="2Technical"/>
    <w:pPr>
      <w:widowControl w:val="0"/>
      <w:autoSpaceDE w:val="0"/>
      <w:autoSpaceDN w:val="0"/>
      <w:adjustRightInd w:val="0"/>
      <w:jc w:val="both"/>
    </w:pPr>
    <w:rPr>
      <w:rFonts w:ascii="Courier 10cpi" w:hAnsi="Courier 10cpi"/>
      <w:sz w:val="24"/>
      <w:szCs w:val="24"/>
    </w:rPr>
  </w:style>
  <w:style w:type="paragraph" w:customStyle="1" w:styleId="3Technical">
    <w:name w:val="3Technical"/>
    <w:pPr>
      <w:widowControl w:val="0"/>
      <w:autoSpaceDE w:val="0"/>
      <w:autoSpaceDN w:val="0"/>
      <w:adjustRightInd w:val="0"/>
      <w:jc w:val="both"/>
    </w:pPr>
    <w:rPr>
      <w:rFonts w:ascii="Courier 10cpi" w:hAnsi="Courier 10cpi"/>
      <w:sz w:val="24"/>
      <w:szCs w:val="24"/>
    </w:rPr>
  </w:style>
  <w:style w:type="paragraph" w:customStyle="1" w:styleId="4Technical">
    <w:name w:val="4Technical"/>
    <w:pPr>
      <w:widowControl w:val="0"/>
      <w:autoSpaceDE w:val="0"/>
      <w:autoSpaceDN w:val="0"/>
      <w:adjustRightInd w:val="0"/>
      <w:jc w:val="both"/>
    </w:pPr>
    <w:rPr>
      <w:rFonts w:ascii="Courier 10cpi" w:hAnsi="Courier 10cpi"/>
      <w:sz w:val="24"/>
      <w:szCs w:val="24"/>
    </w:rPr>
  </w:style>
  <w:style w:type="paragraph" w:customStyle="1" w:styleId="5Technical">
    <w:name w:val="5Technical"/>
    <w:pPr>
      <w:widowControl w:val="0"/>
      <w:autoSpaceDE w:val="0"/>
      <w:autoSpaceDN w:val="0"/>
      <w:adjustRightInd w:val="0"/>
      <w:jc w:val="both"/>
    </w:pPr>
    <w:rPr>
      <w:rFonts w:ascii="Courier 10cpi" w:hAnsi="Courier 10cpi"/>
      <w:sz w:val="24"/>
      <w:szCs w:val="24"/>
    </w:rPr>
  </w:style>
  <w:style w:type="paragraph" w:customStyle="1" w:styleId="6Technical">
    <w:name w:val="6Technical"/>
    <w:pPr>
      <w:widowControl w:val="0"/>
      <w:autoSpaceDE w:val="0"/>
      <w:autoSpaceDN w:val="0"/>
      <w:adjustRightInd w:val="0"/>
      <w:jc w:val="both"/>
    </w:pPr>
    <w:rPr>
      <w:rFonts w:ascii="Courier 10cpi" w:hAnsi="Courier 10cpi"/>
      <w:sz w:val="24"/>
      <w:szCs w:val="24"/>
    </w:rPr>
  </w:style>
  <w:style w:type="paragraph" w:customStyle="1" w:styleId="7Technical">
    <w:name w:val="7Technical"/>
    <w:pPr>
      <w:widowControl w:val="0"/>
      <w:autoSpaceDE w:val="0"/>
      <w:autoSpaceDN w:val="0"/>
      <w:adjustRightInd w:val="0"/>
      <w:jc w:val="both"/>
    </w:pPr>
    <w:rPr>
      <w:rFonts w:ascii="Courier 10cpi" w:hAnsi="Courier 10cpi"/>
      <w:sz w:val="24"/>
      <w:szCs w:val="24"/>
    </w:rPr>
  </w:style>
  <w:style w:type="paragraph" w:customStyle="1" w:styleId="8Technical">
    <w:name w:val="8Technical"/>
    <w:pPr>
      <w:widowControl w:val="0"/>
      <w:autoSpaceDE w:val="0"/>
      <w:autoSpaceDN w:val="0"/>
      <w:adjustRightInd w:val="0"/>
      <w:jc w:val="both"/>
    </w:pPr>
    <w:rPr>
      <w:rFonts w:ascii="Courier 10cpi" w:hAnsi="Courier 10cpi"/>
      <w:sz w:val="24"/>
      <w:szCs w:val="24"/>
    </w:rPr>
  </w:style>
  <w:style w:type="paragraph" w:customStyle="1" w:styleId="1Document">
    <w:name w:val="1Document"/>
    <w:pPr>
      <w:keepNext/>
      <w:widowControl w:val="0"/>
      <w:autoSpaceDE w:val="0"/>
      <w:autoSpaceDN w:val="0"/>
      <w:adjustRightInd w:val="0"/>
      <w:jc w:val="center"/>
    </w:pPr>
    <w:rPr>
      <w:rFonts w:ascii="Courier 10cpi" w:hAnsi="Courier 10cpi"/>
      <w:sz w:val="24"/>
      <w:szCs w:val="24"/>
    </w:rPr>
  </w:style>
  <w:style w:type="paragraph" w:customStyle="1" w:styleId="2Document">
    <w:name w:val="2Document"/>
    <w:pPr>
      <w:widowControl w:val="0"/>
      <w:autoSpaceDE w:val="0"/>
      <w:autoSpaceDN w:val="0"/>
      <w:adjustRightInd w:val="0"/>
      <w:jc w:val="both"/>
    </w:pPr>
    <w:rPr>
      <w:rFonts w:ascii="Courier 10cpi" w:hAnsi="Courier 10cpi"/>
      <w:sz w:val="24"/>
      <w:szCs w:val="24"/>
    </w:rPr>
  </w:style>
  <w:style w:type="paragraph" w:customStyle="1" w:styleId="3Document">
    <w:name w:val="3Document"/>
    <w:pPr>
      <w:widowControl w:val="0"/>
      <w:autoSpaceDE w:val="0"/>
      <w:autoSpaceDN w:val="0"/>
      <w:adjustRightInd w:val="0"/>
      <w:jc w:val="both"/>
    </w:pPr>
    <w:rPr>
      <w:rFonts w:ascii="Courier 10cpi" w:hAnsi="Courier 10cpi"/>
      <w:sz w:val="24"/>
      <w:szCs w:val="24"/>
    </w:rPr>
  </w:style>
  <w:style w:type="paragraph" w:customStyle="1" w:styleId="4Document">
    <w:name w:val="4Document"/>
    <w:pPr>
      <w:widowControl w:val="0"/>
      <w:autoSpaceDE w:val="0"/>
      <w:autoSpaceDN w:val="0"/>
      <w:adjustRightInd w:val="0"/>
    </w:pPr>
    <w:rPr>
      <w:rFonts w:ascii="Courier 10cpi" w:hAnsi="Courier 10cpi"/>
      <w:sz w:val="24"/>
      <w:szCs w:val="24"/>
    </w:rPr>
  </w:style>
  <w:style w:type="paragraph" w:customStyle="1" w:styleId="5Document">
    <w:name w:val="5Document"/>
    <w:pPr>
      <w:widowControl w:val="0"/>
      <w:autoSpaceDE w:val="0"/>
      <w:autoSpaceDN w:val="0"/>
      <w:adjustRightInd w:val="0"/>
      <w:ind w:left="720"/>
      <w:jc w:val="both"/>
    </w:pPr>
    <w:rPr>
      <w:rFonts w:ascii="Courier 10cpi" w:hAnsi="Courier 10cpi"/>
      <w:sz w:val="24"/>
      <w:szCs w:val="24"/>
    </w:rPr>
  </w:style>
  <w:style w:type="paragraph" w:customStyle="1" w:styleId="6Document">
    <w:name w:val="6Document"/>
    <w:pPr>
      <w:widowControl w:val="0"/>
      <w:autoSpaceDE w:val="0"/>
      <w:autoSpaceDN w:val="0"/>
      <w:adjustRightInd w:val="0"/>
      <w:ind w:left="720" w:right="720"/>
      <w:jc w:val="both"/>
    </w:pPr>
    <w:rPr>
      <w:rFonts w:ascii="Courier 10cpi" w:hAnsi="Courier 10cpi"/>
      <w:sz w:val="24"/>
      <w:szCs w:val="24"/>
    </w:rPr>
  </w:style>
  <w:style w:type="paragraph" w:customStyle="1" w:styleId="7Document">
    <w:name w:val="7Document"/>
    <w:pPr>
      <w:widowControl w:val="0"/>
      <w:autoSpaceDE w:val="0"/>
      <w:autoSpaceDN w:val="0"/>
      <w:adjustRightInd w:val="0"/>
      <w:ind w:left="1440"/>
      <w:jc w:val="both"/>
    </w:pPr>
    <w:rPr>
      <w:rFonts w:ascii="Courier 10cpi" w:hAnsi="Courier 10cpi"/>
      <w:sz w:val="24"/>
      <w:szCs w:val="24"/>
    </w:rPr>
  </w:style>
  <w:style w:type="paragraph" w:customStyle="1" w:styleId="8Document">
    <w:name w:val="8Document"/>
    <w:pPr>
      <w:widowControl w:val="0"/>
      <w:autoSpaceDE w:val="0"/>
      <w:autoSpaceDN w:val="0"/>
      <w:adjustRightInd w:val="0"/>
      <w:ind w:left="1440" w:right="720"/>
      <w:jc w:val="both"/>
    </w:pPr>
    <w:rPr>
      <w:rFonts w:ascii="Courier 10cpi" w:hAnsi="Courier 10cpi"/>
      <w:sz w:val="24"/>
      <w:szCs w:val="24"/>
    </w:rPr>
  </w:style>
  <w:style w:type="character" w:customStyle="1" w:styleId="DocInit">
    <w:name w:val="Doc Init"/>
  </w:style>
  <w:style w:type="character" w:customStyle="1" w:styleId="Bibliogrphy">
    <w:name w:val="Bibliogrphy"/>
  </w:style>
  <w:style w:type="character" w:customStyle="1" w:styleId="SYSHYPERTEXT">
    <w:name w:val="SYS_HYPERTEXT"/>
    <w:rPr>
      <w:color w:val="0000FF"/>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080"/>
        <w:tab w:val="left" w:pos="-720"/>
        <w:tab w:val="left" w:pos="270"/>
        <w:tab w:val="left" w:pos="900"/>
        <w:tab w:val="left" w:pos="3420"/>
        <w:tab w:val="left" w:pos="65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bCs/>
      <w:caps/>
      <w:szCs w:val="24"/>
    </w:rPr>
  </w:style>
  <w:style w:type="paragraph" w:styleId="BodyTextIndent">
    <w:name w:val="Body Text Indent"/>
    <w:basedOn w:val="Normal"/>
    <w:pPr>
      <w:ind w:left="720"/>
    </w:pPr>
    <w:rPr>
      <w:szCs w:val="24"/>
    </w:rPr>
  </w:style>
  <w:style w:type="paragraph" w:styleId="BalloonText">
    <w:name w:val="Balloon Text"/>
    <w:basedOn w:val="Normal"/>
    <w:link w:val="BalloonTextChar"/>
    <w:rsid w:val="009B7D82"/>
    <w:rPr>
      <w:rFonts w:ascii="Tahoma" w:hAnsi="Tahoma" w:cs="Tahoma"/>
      <w:sz w:val="16"/>
      <w:szCs w:val="16"/>
    </w:rPr>
  </w:style>
  <w:style w:type="character" w:customStyle="1" w:styleId="BalloonTextChar">
    <w:name w:val="Balloon Text Char"/>
    <w:basedOn w:val="DefaultParagraphFont"/>
    <w:link w:val="BalloonText"/>
    <w:rsid w:val="009B7D82"/>
    <w:rPr>
      <w:rFonts w:ascii="Tahoma" w:hAnsi="Tahoma" w:cs="Tahoma"/>
      <w:sz w:val="16"/>
      <w:szCs w:val="16"/>
    </w:rPr>
  </w:style>
  <w:style w:type="table" w:styleId="TableGrid">
    <w:name w:val="Table Grid"/>
    <w:basedOn w:val="TableNormal"/>
    <w:rsid w:val="00235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A23B7"/>
    <w:pPr>
      <w:tabs>
        <w:tab w:val="center" w:pos="4680"/>
        <w:tab w:val="right" w:pos="9360"/>
      </w:tabs>
    </w:pPr>
  </w:style>
  <w:style w:type="character" w:customStyle="1" w:styleId="HeaderChar">
    <w:name w:val="Header Char"/>
    <w:basedOn w:val="DefaultParagraphFont"/>
    <w:link w:val="Header"/>
    <w:rsid w:val="001A23B7"/>
    <w:rPr>
      <w:rFonts w:ascii="Courier 10cpi" w:hAnsi="Courier 10cpi"/>
    </w:rPr>
  </w:style>
  <w:style w:type="character" w:styleId="CommentReference">
    <w:name w:val="annotation reference"/>
    <w:basedOn w:val="DefaultParagraphFont"/>
    <w:uiPriority w:val="99"/>
    <w:rsid w:val="00EC1E07"/>
    <w:rPr>
      <w:sz w:val="16"/>
      <w:szCs w:val="16"/>
    </w:rPr>
  </w:style>
  <w:style w:type="paragraph" w:styleId="CommentText">
    <w:name w:val="annotation text"/>
    <w:basedOn w:val="Normal"/>
    <w:link w:val="CommentTextChar"/>
    <w:uiPriority w:val="99"/>
    <w:rsid w:val="00EC1E07"/>
  </w:style>
  <w:style w:type="character" w:customStyle="1" w:styleId="CommentTextChar">
    <w:name w:val="Comment Text Char"/>
    <w:basedOn w:val="DefaultParagraphFont"/>
    <w:link w:val="CommentText"/>
    <w:uiPriority w:val="99"/>
    <w:rsid w:val="00EC1E07"/>
    <w:rPr>
      <w:rFonts w:ascii="Courier 10cpi" w:hAnsi="Courier 10cpi"/>
    </w:rPr>
  </w:style>
  <w:style w:type="paragraph" w:styleId="CommentSubject">
    <w:name w:val="annotation subject"/>
    <w:basedOn w:val="CommentText"/>
    <w:next w:val="CommentText"/>
    <w:link w:val="CommentSubjectChar"/>
    <w:rsid w:val="00EC1E07"/>
    <w:rPr>
      <w:b/>
      <w:bCs/>
    </w:rPr>
  </w:style>
  <w:style w:type="character" w:customStyle="1" w:styleId="CommentSubjectChar">
    <w:name w:val="Comment Subject Char"/>
    <w:basedOn w:val="CommentTextChar"/>
    <w:link w:val="CommentSubject"/>
    <w:rsid w:val="00EC1E07"/>
    <w:rPr>
      <w:rFonts w:ascii="Courier 10cpi" w:hAnsi="Courier 10cpi"/>
      <w:b/>
      <w:bCs/>
    </w:rPr>
  </w:style>
  <w:style w:type="paragraph" w:styleId="EndnoteText">
    <w:name w:val="endnote text"/>
    <w:basedOn w:val="Normal"/>
    <w:link w:val="EndnoteTextChar"/>
    <w:rsid w:val="00ED4125"/>
  </w:style>
  <w:style w:type="character" w:customStyle="1" w:styleId="EndnoteTextChar">
    <w:name w:val="Endnote Text Char"/>
    <w:basedOn w:val="DefaultParagraphFont"/>
    <w:link w:val="EndnoteText"/>
    <w:rsid w:val="00ED4125"/>
    <w:rPr>
      <w:rFonts w:ascii="Courier 10cpi" w:hAnsi="Courier 10cpi"/>
    </w:rPr>
  </w:style>
  <w:style w:type="character" w:styleId="EndnoteReference">
    <w:name w:val="endnote reference"/>
    <w:basedOn w:val="DefaultParagraphFont"/>
    <w:rsid w:val="00ED4125"/>
    <w:rPr>
      <w:vertAlign w:val="superscript"/>
    </w:rPr>
  </w:style>
  <w:style w:type="character" w:styleId="Hyperlink">
    <w:name w:val="Hyperlink"/>
    <w:basedOn w:val="DefaultParagraphFont"/>
    <w:unhideWhenUsed/>
    <w:rsid w:val="007849DF"/>
    <w:rPr>
      <w:color w:val="0000FF" w:themeColor="hyperlink"/>
      <w:u w:val="single"/>
    </w:rPr>
  </w:style>
  <w:style w:type="character" w:customStyle="1" w:styleId="UnresolvedMention1">
    <w:name w:val="Unresolved Mention1"/>
    <w:basedOn w:val="DefaultParagraphFont"/>
    <w:uiPriority w:val="99"/>
    <w:semiHidden/>
    <w:unhideWhenUsed/>
    <w:rsid w:val="007849DF"/>
    <w:rPr>
      <w:color w:val="808080"/>
      <w:shd w:val="clear" w:color="auto" w:fill="E6E6E6"/>
    </w:rPr>
  </w:style>
  <w:style w:type="paragraph" w:styleId="ListParagraph">
    <w:name w:val="List Paragraph"/>
    <w:basedOn w:val="Normal"/>
    <w:link w:val="ListParagraphChar"/>
    <w:uiPriority w:val="34"/>
    <w:qFormat/>
    <w:rsid w:val="00E03ED8"/>
    <w:pPr>
      <w:ind w:left="720"/>
      <w:contextualSpacing/>
    </w:pPr>
  </w:style>
  <w:style w:type="character" w:styleId="FollowedHyperlink">
    <w:name w:val="FollowedHyperlink"/>
    <w:basedOn w:val="DefaultParagraphFont"/>
    <w:semiHidden/>
    <w:unhideWhenUsed/>
    <w:rsid w:val="00DB39E7"/>
    <w:rPr>
      <w:color w:val="800080" w:themeColor="followedHyperlink"/>
      <w:u w:val="single"/>
    </w:rPr>
  </w:style>
  <w:style w:type="character" w:styleId="IntenseEmphasis">
    <w:name w:val="Intense Emphasis"/>
    <w:basedOn w:val="DefaultParagraphFont"/>
    <w:uiPriority w:val="21"/>
    <w:qFormat/>
    <w:rsid w:val="00E8222B"/>
    <w:rPr>
      <w:i/>
      <w:iCs/>
      <w:color w:val="4F81BD" w:themeColor="accent1"/>
    </w:rPr>
  </w:style>
  <w:style w:type="character" w:customStyle="1" w:styleId="normaltextrun1">
    <w:name w:val="normaltextrun1"/>
    <w:basedOn w:val="DefaultParagraphFont"/>
    <w:rsid w:val="00684AB2"/>
  </w:style>
  <w:style w:type="character" w:customStyle="1" w:styleId="ListParagraphChar">
    <w:name w:val="List Paragraph Char"/>
    <w:link w:val="ListParagraph"/>
    <w:uiPriority w:val="34"/>
    <w:locked/>
    <w:rsid w:val="00AA7DF7"/>
    <w:rPr>
      <w:sz w:val="24"/>
    </w:rPr>
  </w:style>
  <w:style w:type="character" w:styleId="Strong">
    <w:name w:val="Strong"/>
    <w:qFormat/>
    <w:rsid w:val="0028306B"/>
    <w:rPr>
      <w:b/>
      <w:bCs/>
    </w:rPr>
  </w:style>
  <w:style w:type="paragraph" w:styleId="FootnoteText">
    <w:name w:val="footnote text"/>
    <w:basedOn w:val="Normal"/>
    <w:link w:val="FootnoteTextChar"/>
    <w:semiHidden/>
    <w:unhideWhenUsed/>
    <w:rsid w:val="008D011C"/>
    <w:pPr>
      <w:spacing w:after="0"/>
    </w:pPr>
    <w:rPr>
      <w:sz w:val="20"/>
    </w:rPr>
  </w:style>
  <w:style w:type="character" w:customStyle="1" w:styleId="FootnoteTextChar">
    <w:name w:val="Footnote Text Char"/>
    <w:basedOn w:val="DefaultParagraphFont"/>
    <w:link w:val="FootnoteText"/>
    <w:semiHidden/>
    <w:rsid w:val="008D011C"/>
  </w:style>
  <w:style w:type="character" w:styleId="FootnoteReference">
    <w:name w:val="footnote reference"/>
    <w:basedOn w:val="DefaultParagraphFont"/>
    <w:semiHidden/>
    <w:unhideWhenUsed/>
    <w:rsid w:val="008D011C"/>
    <w:rPr>
      <w:vertAlign w:val="superscript"/>
    </w:rPr>
  </w:style>
  <w:style w:type="paragraph" w:styleId="Subtitle">
    <w:name w:val="Subtitle"/>
    <w:basedOn w:val="Normal"/>
    <w:next w:val="Normal"/>
    <w:link w:val="SubtitleChar"/>
    <w:uiPriority w:val="11"/>
    <w:qFormat/>
    <w:rsid w:val="005255A5"/>
    <w:pPr>
      <w:keepNext/>
      <w:keepLines/>
      <w:widowControl/>
      <w:autoSpaceDE/>
      <w:autoSpaceDN/>
      <w:adjustRightInd/>
      <w:spacing w:before="360" w:after="80" w:line="48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255A5"/>
    <w:rPr>
      <w:rFonts w:ascii="Georgia" w:eastAsia="Georgia" w:hAnsi="Georgia" w:cs="Georgia"/>
      <w:i/>
      <w:color w:val="666666"/>
      <w:sz w:val="48"/>
      <w:szCs w:val="48"/>
    </w:rPr>
  </w:style>
  <w:style w:type="character" w:styleId="UnresolvedMention">
    <w:name w:val="Unresolved Mention"/>
    <w:basedOn w:val="DefaultParagraphFont"/>
    <w:uiPriority w:val="99"/>
    <w:unhideWhenUsed/>
    <w:rsid w:val="005116E3"/>
    <w:rPr>
      <w:color w:val="605E5C"/>
      <w:shd w:val="clear" w:color="auto" w:fill="E1DFDD"/>
    </w:rPr>
  </w:style>
  <w:style w:type="character" w:styleId="Mention">
    <w:name w:val="Mention"/>
    <w:basedOn w:val="DefaultParagraphFont"/>
    <w:uiPriority w:val="99"/>
    <w:unhideWhenUsed/>
    <w:rsid w:val="005116E3"/>
    <w:rPr>
      <w:color w:val="2B579A"/>
      <w:shd w:val="clear" w:color="auto" w:fill="E1DFDD"/>
    </w:rPr>
  </w:style>
  <w:style w:type="character" w:customStyle="1" w:styleId="ui-provider">
    <w:name w:val="ui-provider"/>
    <w:basedOn w:val="DefaultParagraphFont"/>
    <w:rsid w:val="004B7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2017/may/oes111021.htm" TargetMode="External" /><Relationship Id="rId7" Type="http://schemas.openxmlformats.org/officeDocument/2006/relationships/hyperlink" Target="https://www.bls.gov/oes/current/oes172051.htm" TargetMode="External" /><Relationship Id="rId8" Type="http://schemas.openxmlformats.org/officeDocument/2006/relationships/hyperlink" Target="https://www.bls.gov/oes/current/oes131111.htm"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www.bls.gov%2Foes%2F2021%2Fmay%2Foes_stru.htm&amp;data=04%7C01%7Csuraiya.motsinger%40dot.gov%7C5aeb53a878c948c1025408da1efcee4b%7Cc4cd245b44f04395a1aa3848d258f78b%7C0%7C0%7C637856368926644596%7CUnknown%7CTWFpbGZsb3d8eyJWIjoiMC4wLjAwMDAiLCJQIjoiV2luMzIiLCJBTiI6Ik1haWwiLCJXVCI6Mn0%3D%7C3000&amp;sdata=PYdORa5NJHQswD1evUrdjj3z2l1wbp%2BWUb6gmBrm%2BJg%3D&amp;reserved=0" TargetMode="External" /><Relationship Id="rId2" Type="http://schemas.openxmlformats.org/officeDocument/2006/relationships/hyperlink" Target="https://gcc02.safelinks.protection.outlook.com/?url=https%3A%2F%2Fwww.bls.gov%2Fnews.release%2Fecec.t03.htm&amp;data=04%7C01%7Csuraiya.motsinger%40dot.gov%7C5aeb53a878c948c1025408da1efcee4b%7Cc4cd245b44f04395a1aa3848d258f78b%7C0%7C0%7C637856368926644596%7CUnknown%7CTWFpbGZsb3d8eyJWIjoiMC4wLjAwMDAiLCJQIjoiV2luMzIiLCJBTiI6Ik1haWwiLCJXVCI6Mn0%3D%7C3000&amp;sdata=yB6N9Hu%2FlxPeVxjJ5LTDBYqkeWKqw8uk8ojMwWXUddE%3D&amp;reserved=0" TargetMode="External" /><Relationship Id="rId3"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00A08-EC51-4B2F-9E57-59368C6D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3592</Words>
  <Characters>20643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2023-02-13T23:23:00Z</dcterms:created>
  <dcterms:modified xsi:type="dcterms:W3CDTF">2023-02-13T23:23:00Z</dcterms:modified>
</cp:coreProperties>
</file>