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B51BB8" w:rsidP="002A4142" w14:paraId="25256BF8" w14:textId="77777777">
      <w:pPr>
        <w:tabs>
          <w:tab w:val="left" w:pos="3320"/>
        </w:tabs>
        <w:spacing w:after="0" w:line="240" w:lineRule="auto"/>
        <w:jc w:val="center"/>
        <w:rPr>
          <w:rFonts w:ascii="Times New Roman" w:hAnsi="Times New Roman" w:cs="Times New Roman"/>
          <w:sz w:val="24"/>
          <w:szCs w:val="24"/>
        </w:rPr>
      </w:pPr>
      <w:r w:rsidRPr="00B51BB8">
        <w:rPr>
          <w:rFonts w:ascii="Times New Roman" w:hAnsi="Times New Roman" w:cs="Times New Roman"/>
          <w:sz w:val="24"/>
          <w:szCs w:val="24"/>
        </w:rPr>
        <w:t>Supporting Statement for</w:t>
      </w:r>
    </w:p>
    <w:p w:rsidR="002A4142" w:rsidP="002A4142" w14:paraId="27ABE0D6" w14:textId="16427A4F">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Pr="00FC6722" w:rsidR="00612E67">
        <w:rPr>
          <w:rFonts w:ascii="Times New Roman" w:hAnsi="Times New Roman" w:cs="Times New Roman"/>
          <w:b/>
          <w:sz w:val="24"/>
          <w:szCs w:val="24"/>
        </w:rPr>
        <w:t xml:space="preserve"> </w:t>
      </w:r>
      <w:r w:rsidRPr="00B51BB8" w:rsidR="00612E67">
        <w:rPr>
          <w:rFonts w:ascii="Times New Roman" w:hAnsi="Times New Roman" w:cs="Times New Roman"/>
          <w:b/>
          <w:sz w:val="24"/>
          <w:szCs w:val="24"/>
        </w:rPr>
        <w:t>(Mandatory Reliability Standards: BAL Reliability Standards)</w:t>
      </w:r>
      <w:r w:rsidR="004723F3">
        <w:rPr>
          <w:rFonts w:ascii="Times New Roman" w:hAnsi="Times New Roman" w:cs="Times New Roman"/>
          <w:b/>
          <w:sz w:val="24"/>
          <w:szCs w:val="24"/>
        </w:rPr>
        <w:t>,</w:t>
      </w:r>
    </w:p>
    <w:p w:rsidR="00DD07F8" w:rsidRPr="00B51BB8" w:rsidP="002A4142" w14:paraId="0F5AF5E1" w14:textId="107B7DA0">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Requst</w:t>
      </w:r>
      <w:r>
        <w:rPr>
          <w:rFonts w:ascii="Times New Roman" w:hAnsi="Times New Roman" w:cs="Times New Roman"/>
          <w:b/>
          <w:sz w:val="24"/>
          <w:szCs w:val="24"/>
        </w:rPr>
        <w:t xml:space="preserve"> for Extension in Docket No. </w:t>
      </w:r>
      <w:r w:rsidR="006821C6">
        <w:rPr>
          <w:rFonts w:ascii="Times New Roman" w:hAnsi="Times New Roman" w:cs="Times New Roman"/>
          <w:b/>
          <w:sz w:val="24"/>
          <w:szCs w:val="24"/>
        </w:rPr>
        <w:t>RD25-5</w:t>
      </w:r>
      <w:r>
        <w:rPr>
          <w:rFonts w:ascii="Times New Roman" w:hAnsi="Times New Roman" w:cs="Times New Roman"/>
          <w:b/>
          <w:sz w:val="24"/>
          <w:szCs w:val="24"/>
        </w:rPr>
        <w:t>-000</w:t>
      </w:r>
    </w:p>
    <w:p w:rsidR="002A4142" w:rsidRPr="00B51BB8" w:rsidP="002A4142" w14:paraId="4DF19896" w14:textId="77777777">
      <w:pPr>
        <w:spacing w:after="0" w:line="240" w:lineRule="auto"/>
        <w:ind w:right="-180"/>
        <w:jc w:val="center"/>
        <w:rPr>
          <w:rFonts w:ascii="Times New Roman" w:hAnsi="Times New Roman" w:cs="Times New Roman"/>
          <w:b/>
          <w:sz w:val="24"/>
          <w:szCs w:val="24"/>
        </w:rPr>
      </w:pPr>
    </w:p>
    <w:p w:rsidR="000F0C7B" w:rsidP="002A4142" w14:paraId="77550DE5" w14:textId="1E5148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Pr="00965E2F" w:rsidR="000F5088">
        <w:rPr>
          <w:rFonts w:ascii="Times New Roman" w:hAnsi="Times New Roman" w:cs="Times New Roman"/>
          <w:sz w:val="24"/>
          <w:szCs w:val="24"/>
        </w:rPr>
        <w:t xml:space="preserve">the Commission’s request in Docket No. </w:t>
      </w:r>
      <w:r w:rsidR="006821C6">
        <w:rPr>
          <w:rFonts w:ascii="Times New Roman" w:hAnsi="Times New Roman" w:cs="Times New Roman"/>
          <w:sz w:val="24"/>
          <w:szCs w:val="24"/>
        </w:rPr>
        <w:t>RD</w:t>
      </w:r>
      <w:r w:rsidRPr="00965E2F" w:rsidR="000F5088">
        <w:rPr>
          <w:rFonts w:ascii="Times New Roman" w:hAnsi="Times New Roman" w:cs="Times New Roman"/>
          <w:sz w:val="24"/>
          <w:szCs w:val="24"/>
        </w:rPr>
        <w:t>2</w:t>
      </w:r>
      <w:r w:rsidR="006821C6">
        <w:rPr>
          <w:rFonts w:ascii="Times New Roman" w:hAnsi="Times New Roman" w:cs="Times New Roman"/>
          <w:sz w:val="24"/>
          <w:szCs w:val="24"/>
        </w:rPr>
        <w:t>5</w:t>
      </w:r>
      <w:r w:rsidRPr="00965E2F" w:rsidR="000F5088">
        <w:rPr>
          <w:rFonts w:ascii="Times New Roman" w:hAnsi="Times New Roman" w:cs="Times New Roman"/>
          <w:sz w:val="24"/>
          <w:szCs w:val="24"/>
        </w:rPr>
        <w:t>-</w:t>
      </w:r>
      <w:r w:rsidR="006821C6">
        <w:rPr>
          <w:rFonts w:ascii="Times New Roman" w:hAnsi="Times New Roman" w:cs="Times New Roman"/>
          <w:sz w:val="24"/>
          <w:szCs w:val="24"/>
        </w:rPr>
        <w:t>5</w:t>
      </w:r>
      <w:r w:rsidR="007841BD">
        <w:rPr>
          <w:rFonts w:ascii="Times New Roman" w:hAnsi="Times New Roman" w:cs="Times New Roman"/>
          <w:sz w:val="24"/>
          <w:szCs w:val="24"/>
        </w:rPr>
        <w:t>-000</w:t>
      </w:r>
      <w:r w:rsidRPr="00965E2F" w:rsidR="000F5088">
        <w:rPr>
          <w:rFonts w:ascii="Times New Roman" w:hAnsi="Times New Roman" w:cs="Times New Roman"/>
          <w:sz w:val="24"/>
          <w:szCs w:val="24"/>
        </w:rPr>
        <w:t xml:space="preserve"> for</w:t>
      </w:r>
      <w:r w:rsidR="00887259">
        <w:rPr>
          <w:rFonts w:ascii="Times New Roman" w:hAnsi="Times New Roman" w:cs="Times New Roman"/>
          <w:sz w:val="24"/>
          <w:szCs w:val="24"/>
        </w:rPr>
        <w:t xml:space="preserve"> </w:t>
      </w:r>
      <w:r w:rsidR="00797852">
        <w:rPr>
          <w:rFonts w:ascii="Times New Roman" w:hAnsi="Times New Roman" w:cs="Times New Roman"/>
          <w:sz w:val="24"/>
          <w:szCs w:val="24"/>
        </w:rPr>
        <w:t>FERC-725R</w:t>
      </w:r>
      <w:r w:rsidRPr="00B51BB8" w:rsidR="00612E67">
        <w:rPr>
          <w:rFonts w:ascii="Times New Roman" w:hAnsi="Times New Roman" w:cs="Times New Roman"/>
          <w:sz w:val="24"/>
          <w:szCs w:val="24"/>
        </w:rPr>
        <w:t xml:space="preserve"> (Mandatory Reliability Standards: BAL Reliability Standards)</w:t>
      </w:r>
      <w:r w:rsidR="00457234">
        <w:rPr>
          <w:rFonts w:ascii="Times New Roman" w:hAnsi="Times New Roman" w:cs="Times New Roman"/>
          <w:sz w:val="24"/>
          <w:szCs w:val="24"/>
        </w:rPr>
        <w:t xml:space="preserve"> </w:t>
      </w:r>
      <w:r w:rsidR="00887259">
        <w:rPr>
          <w:rFonts w:ascii="Times New Roman" w:hAnsi="Times New Roman" w:cs="Times New Roman"/>
          <w:sz w:val="24"/>
          <w:szCs w:val="24"/>
        </w:rPr>
        <w:t>BAL-007-1, Near-term Energy Reliability Assessments.</w:t>
      </w:r>
    </w:p>
    <w:p w:rsidR="002A4142" w:rsidRPr="00B51BB8" w:rsidP="002A4142" w14:paraId="2FBF2E7D" w14:textId="77777777">
      <w:pPr>
        <w:spacing w:after="0" w:line="240" w:lineRule="auto"/>
        <w:rPr>
          <w:rFonts w:ascii="Times New Roman" w:hAnsi="Times New Roman" w:cs="Times New Roman"/>
          <w:b/>
          <w:sz w:val="24"/>
          <w:szCs w:val="24"/>
        </w:rPr>
      </w:pPr>
    </w:p>
    <w:p w:rsidR="00C4205B" w:rsidRPr="00B51BB8" w:rsidP="007C39D3" w14:paraId="54673EE3"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rsidR="00C4205B" w:rsidRPr="00B51BB8" w:rsidP="005E2448" w14:paraId="17E45D43"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5515AF" w:rsidRPr="005515AF" w:rsidP="003C4B09" w14:paraId="2CE985A5" w14:textId="00E523AD">
      <w:pPr>
        <w:widowControl w:val="0"/>
        <w:autoSpaceDE w:val="0"/>
        <w:autoSpaceDN w:val="0"/>
        <w:adjustRightInd w:val="0"/>
        <w:spacing w:after="0" w:line="240" w:lineRule="auto"/>
        <w:rPr>
          <w:rFonts w:ascii="Times New Roman" w:hAnsi="Times New Roman" w:cs="Times New Roman"/>
          <w:sz w:val="24"/>
          <w:szCs w:val="24"/>
        </w:rPr>
      </w:pPr>
      <w:r w:rsidRPr="005515AF">
        <w:rPr>
          <w:rFonts w:ascii="Times New Roman" w:hAnsi="Times New Roman" w:cs="Times New Roman"/>
          <w:sz w:val="24"/>
          <w:szCs w:val="24"/>
        </w:rPr>
        <w:t xml:space="preserve">On August 8, 2005, </w:t>
      </w:r>
      <w:r w:rsidR="00956612">
        <w:rPr>
          <w:rFonts w:ascii="Times New Roman" w:hAnsi="Times New Roman" w:cs="Times New Roman"/>
          <w:sz w:val="24"/>
          <w:szCs w:val="24"/>
        </w:rPr>
        <w:t>t</w:t>
      </w:r>
      <w:r w:rsidRPr="005515AF">
        <w:rPr>
          <w:rFonts w:ascii="Times New Roman" w:hAnsi="Times New Roman" w:cs="Times New Roman"/>
          <w:sz w:val="24"/>
          <w:szCs w:val="24"/>
        </w:rPr>
        <w:t>he Electricity Modernization Act of 2005, which is Title XII of the Energy Policy Act of 2005 (</w:t>
      </w:r>
      <w:r w:rsidRPr="005515AF">
        <w:rPr>
          <w:rFonts w:ascii="Times New Roman" w:hAnsi="Times New Roman" w:cs="Times New Roman"/>
          <w:sz w:val="24"/>
          <w:szCs w:val="24"/>
        </w:rPr>
        <w:t>EPAct</w:t>
      </w:r>
      <w:r w:rsidRPr="005515AF">
        <w:rPr>
          <w:rFonts w:ascii="Times New Roman" w:hAnsi="Times New Roman" w:cs="Times New Roman"/>
          <w:sz w:val="24"/>
          <w:szCs w:val="24"/>
        </w:rPr>
        <w:t xml:space="preserve"> 2005), was enacted into law.   </w:t>
      </w:r>
      <w:r w:rsidRPr="005515AF">
        <w:rPr>
          <w:rFonts w:ascii="Times New Roman" w:hAnsi="Times New Roman" w:cs="Times New Roman"/>
          <w:sz w:val="24"/>
          <w:szCs w:val="24"/>
        </w:rPr>
        <w:t>EPAct</w:t>
      </w:r>
      <w:r w:rsidRPr="005515AF">
        <w:rPr>
          <w:rFonts w:ascii="Times New Roman" w:hAnsi="Times New Roman" w:cs="Times New Roman"/>
          <w:sz w:val="24"/>
          <w:szCs w:val="24"/>
        </w:rPr>
        <w:t xml:space="preserve">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w:t>
      </w:r>
      <w:r w:rsidRPr="005515AF">
        <w:rPr>
          <w:rFonts w:ascii="Times New Roman" w:hAnsi="Times New Roman" w:cs="Times New Roman"/>
          <w:sz w:val="24"/>
          <w:szCs w:val="24"/>
        </w:rPr>
        <w:t xml:space="preserve">dently. </w:t>
      </w:r>
    </w:p>
    <w:p w:rsidR="005515AF" w:rsidRPr="005515AF" w:rsidP="003C4B09" w14:paraId="15B8D31A" w14:textId="77777777">
      <w:pPr>
        <w:widowControl w:val="0"/>
        <w:autoSpaceDE w:val="0"/>
        <w:autoSpaceDN w:val="0"/>
        <w:adjustRightInd w:val="0"/>
        <w:spacing w:after="0" w:line="240" w:lineRule="auto"/>
        <w:rPr>
          <w:rFonts w:ascii="Times New Roman" w:hAnsi="Times New Roman" w:cs="Times New Roman"/>
          <w:sz w:val="24"/>
          <w:szCs w:val="24"/>
        </w:rPr>
      </w:pPr>
    </w:p>
    <w:p w:rsidR="005515AF" w:rsidRPr="005515AF" w:rsidP="003C4B09" w14:paraId="6E873CD9" w14:textId="6D672DD0">
      <w:pPr>
        <w:widowControl w:val="0"/>
        <w:autoSpaceDE w:val="0"/>
        <w:autoSpaceDN w:val="0"/>
        <w:adjustRightInd w:val="0"/>
        <w:spacing w:after="0" w:line="240" w:lineRule="auto"/>
        <w:rPr>
          <w:rFonts w:ascii="Times New Roman" w:hAnsi="Times New Roman" w:cs="Times New Roman"/>
          <w:sz w:val="24"/>
          <w:szCs w:val="24"/>
        </w:rPr>
      </w:pPr>
      <w:r w:rsidRPr="005515AF">
        <w:rPr>
          <w:rFonts w:ascii="Times New Roman" w:hAnsi="Times New Roman" w:cs="Times New Roman"/>
          <w:sz w:val="24"/>
          <w:szCs w:val="24"/>
        </w:rPr>
        <w:t>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the North American Electric Reliability Corporation</w:t>
      </w:r>
      <w:r w:rsidR="00437EEE">
        <w:rPr>
          <w:rFonts w:ascii="Times New Roman" w:hAnsi="Times New Roman" w:cs="Times New Roman"/>
          <w:sz w:val="24"/>
          <w:szCs w:val="24"/>
        </w:rPr>
        <w:t xml:space="preserve"> (NERC</w:t>
      </w:r>
      <w:r w:rsidRPr="005515AF">
        <w:rPr>
          <w:rFonts w:ascii="Times New Roman" w:hAnsi="Times New Roman" w:cs="Times New Roman"/>
          <w:sz w:val="24"/>
          <w:szCs w:val="24"/>
        </w:rPr>
        <w:t xml:space="preserve">) as the ERO pursuant to section 215 of the FPA. </w:t>
      </w:r>
    </w:p>
    <w:p w:rsidR="005515AF" w:rsidRPr="005515AF" w:rsidP="005515AF" w14:paraId="553637B5"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B2336B" w:rsidP="00B2336B" w14:paraId="4A49A5EC" w14:textId="77777777">
      <w:pPr>
        <w:widowControl w:val="0"/>
        <w:autoSpaceDE w:val="0"/>
        <w:autoSpaceDN w:val="0"/>
        <w:adjustRightInd w:val="0"/>
        <w:spacing w:after="0" w:line="240" w:lineRule="auto"/>
        <w:rPr>
          <w:rFonts w:ascii="Times New Roman" w:hAnsi="Times New Roman" w:cs="Times New Roman"/>
          <w:sz w:val="24"/>
          <w:szCs w:val="24"/>
        </w:rPr>
      </w:pPr>
      <w:r w:rsidRPr="005515AF">
        <w:rPr>
          <w:rFonts w:ascii="Times New Roman" w:hAnsi="Times New Roman" w:cs="Times New Roman"/>
          <w:sz w:val="24"/>
          <w:szCs w:val="24"/>
        </w:rPr>
        <w:t xml:space="preserve">On March 16, 2007 (pursuant to section 215(d) of the FPA), the Commission issued Order No. 693, approving 83 of </w:t>
      </w:r>
      <w:r w:rsidRPr="005515AF">
        <w:rPr>
          <w:rFonts w:ascii="Times New Roman" w:hAnsi="Times New Roman" w:cs="Times New Roman"/>
          <w:sz w:val="24"/>
          <w:szCs w:val="24"/>
        </w:rPr>
        <w:t>the 107 initial Reliability Standards filed by NERC.  In the intervening years, numerous changes have been made to update, eliminate, or establish various Reliability Standards</w:t>
      </w:r>
      <w:r w:rsidR="001F257C">
        <w:rPr>
          <w:rFonts w:ascii="Times New Roman" w:hAnsi="Times New Roman" w:cs="Times New Roman"/>
          <w:sz w:val="24"/>
          <w:szCs w:val="24"/>
        </w:rPr>
        <w:t>.</w:t>
      </w:r>
      <w:r w:rsidR="00972F23">
        <w:rPr>
          <w:rFonts w:ascii="Times New Roman" w:hAnsi="Times New Roman" w:cs="Times New Roman"/>
          <w:sz w:val="24"/>
          <w:szCs w:val="24"/>
        </w:rPr>
        <w:t xml:space="preserve"> </w:t>
      </w:r>
    </w:p>
    <w:p w:rsidR="00B2336B" w:rsidP="00B2336B" w14:paraId="61030F64" w14:textId="77777777">
      <w:pPr>
        <w:widowControl w:val="0"/>
        <w:autoSpaceDE w:val="0"/>
        <w:autoSpaceDN w:val="0"/>
        <w:adjustRightInd w:val="0"/>
        <w:spacing w:after="0" w:line="240" w:lineRule="auto"/>
        <w:rPr>
          <w:rFonts w:ascii="Times New Roman" w:hAnsi="Times New Roman" w:cs="Times New Roman"/>
          <w:sz w:val="24"/>
          <w:szCs w:val="24"/>
        </w:rPr>
      </w:pPr>
    </w:p>
    <w:p w:rsidR="00B2336B" w:rsidP="00B2336B" w14:paraId="066F1E50" w14:textId="10607F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FERC 725R includes a series of Reliability Standards that include the BAL standards. These standards pertain to resource and demand </w:t>
      </w:r>
      <w:r>
        <w:rPr>
          <w:rFonts w:ascii="Times New Roman" w:hAnsi="Times New Roman" w:cs="Times New Roman"/>
          <w:sz w:val="24"/>
          <w:szCs w:val="24"/>
        </w:rPr>
        <w:t>blancing</w:t>
      </w:r>
      <w:r>
        <w:rPr>
          <w:rFonts w:ascii="Times New Roman" w:hAnsi="Times New Roman" w:cs="Times New Roman"/>
          <w:sz w:val="24"/>
          <w:szCs w:val="24"/>
        </w:rPr>
        <w:t xml:space="preserve"> (BAL) body of standards and detail the role of entities to ensure proper load, generation, and interchange balancing. </w:t>
      </w:r>
    </w:p>
    <w:p w:rsidR="00520A3F" w:rsidP="005515AF" w14:paraId="70972835" w14:textId="71EE7662">
      <w:pPr>
        <w:spacing w:after="0" w:line="240" w:lineRule="auto"/>
        <w:rPr>
          <w:rFonts w:ascii="Times New Roman" w:hAnsi="Times New Roman" w:cs="Times New Roman"/>
          <w:sz w:val="24"/>
          <w:szCs w:val="24"/>
        </w:rPr>
      </w:pPr>
    </w:p>
    <w:p w:rsidR="00B51BB8" w:rsidP="002A4142" w14:paraId="1AED8803" w14:textId="29C94F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present, </w:t>
      </w:r>
      <w:r w:rsidR="00520A3F">
        <w:rPr>
          <w:rFonts w:ascii="Times New Roman" w:hAnsi="Times New Roman" w:cs="Times New Roman"/>
          <w:sz w:val="24"/>
          <w:szCs w:val="24"/>
        </w:rPr>
        <w:t xml:space="preserve">FERC-725R </w:t>
      </w:r>
      <w:r>
        <w:rPr>
          <w:rFonts w:ascii="Times New Roman" w:hAnsi="Times New Roman" w:cs="Times New Roman"/>
          <w:sz w:val="24"/>
          <w:szCs w:val="24"/>
        </w:rPr>
        <w:t xml:space="preserve">consists of a collection of information associated with </w:t>
      </w:r>
      <w:r w:rsidR="00520A3F">
        <w:rPr>
          <w:rFonts w:ascii="Times New Roman" w:hAnsi="Times New Roman" w:cs="Times New Roman"/>
          <w:sz w:val="24"/>
          <w:szCs w:val="24"/>
        </w:rPr>
        <w:t xml:space="preserve">the following </w:t>
      </w:r>
      <w:r w:rsidR="00684F3E">
        <w:rPr>
          <w:rFonts w:ascii="Times New Roman" w:hAnsi="Times New Roman" w:cs="Times New Roman"/>
          <w:sz w:val="24"/>
          <w:szCs w:val="24"/>
        </w:rPr>
        <w:t xml:space="preserve">nationwide </w:t>
      </w:r>
      <w:r w:rsidR="00520A3F">
        <w:rPr>
          <w:rFonts w:ascii="Times New Roman" w:hAnsi="Times New Roman" w:cs="Times New Roman"/>
          <w:sz w:val="24"/>
          <w:szCs w:val="24"/>
        </w:rPr>
        <w:t>Reliability Standards:</w:t>
      </w:r>
    </w:p>
    <w:p w:rsidR="00520A3F" w:rsidP="002A4142" w14:paraId="28D7A6AA" w14:textId="74218366">
      <w:pPr>
        <w:spacing w:after="0" w:line="240" w:lineRule="auto"/>
        <w:rPr>
          <w:rFonts w:ascii="Times New Roman" w:hAnsi="Times New Roman" w:cs="Times New Roman"/>
          <w:sz w:val="24"/>
          <w:szCs w:val="24"/>
        </w:rPr>
      </w:pPr>
    </w:p>
    <w:p w:rsidR="00520A3F" w:rsidP="00520A3F" w14:paraId="44BAD05F" w14:textId="54EC80F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BAL-001-2,</w:t>
      </w:r>
      <w:r w:rsidRPr="00684F3E" w:rsidR="00684F3E">
        <w:rPr>
          <w:rFonts w:ascii="Times New Roman" w:hAnsi="Times New Roman" w:cs="Times New Roman"/>
          <w:sz w:val="24"/>
          <w:szCs w:val="24"/>
        </w:rPr>
        <w:t xml:space="preserve"> Real Power Balancing Control </w:t>
      </w:r>
      <w:r w:rsidRPr="00684F3E" w:rsidR="00684F3E">
        <w:rPr>
          <w:rFonts w:ascii="Times New Roman" w:hAnsi="Times New Roman" w:cs="Times New Roman"/>
          <w:sz w:val="24"/>
          <w:szCs w:val="24"/>
        </w:rPr>
        <w:t>Performance</w:t>
      </w:r>
      <w:r w:rsidR="00CC559F">
        <w:rPr>
          <w:rFonts w:ascii="Times New Roman" w:hAnsi="Times New Roman" w:cs="Times New Roman"/>
          <w:sz w:val="24"/>
          <w:szCs w:val="24"/>
        </w:rPr>
        <w:t>;</w:t>
      </w:r>
    </w:p>
    <w:p w:rsidR="00CC559F" w:rsidP="00520A3F" w14:paraId="101BF3ED" w14:textId="5C8E99B8">
      <w:pPr>
        <w:pStyle w:val="ListParagraph"/>
        <w:numPr>
          <w:ilvl w:val="0"/>
          <w:numId w:val="10"/>
        </w:numPr>
        <w:spacing w:after="0" w:line="240" w:lineRule="auto"/>
        <w:rPr>
          <w:rFonts w:ascii="Times New Roman" w:hAnsi="Times New Roman" w:cs="Times New Roman"/>
          <w:sz w:val="24"/>
          <w:szCs w:val="24"/>
        </w:rPr>
      </w:pPr>
      <w:r w:rsidRPr="0020374D">
        <w:rPr>
          <w:rFonts w:ascii="Times New Roman" w:hAnsi="Times New Roman" w:cs="Times New Roman"/>
          <w:sz w:val="24"/>
          <w:szCs w:val="24"/>
        </w:rPr>
        <w:t>BAL-002-3, Disturbance Control Standard – Contingency Reserve for Recovery from a Balancing Contingency Event</w:t>
      </w:r>
      <w:r w:rsidR="00CF644D">
        <w:rPr>
          <w:rFonts w:ascii="Times New Roman" w:hAnsi="Times New Roman" w:cs="Times New Roman"/>
          <w:sz w:val="24"/>
          <w:szCs w:val="24"/>
        </w:rPr>
        <w:t>;</w:t>
      </w:r>
      <w:r w:rsidR="00A55400">
        <w:rPr>
          <w:rFonts w:ascii="Times New Roman" w:hAnsi="Times New Roman" w:cs="Times New Roman"/>
          <w:sz w:val="24"/>
          <w:szCs w:val="24"/>
        </w:rPr>
        <w:t xml:space="preserve"> and</w:t>
      </w:r>
    </w:p>
    <w:p w:rsidR="00CF644D" w:rsidP="00520A3F" w14:paraId="0A708555" w14:textId="76E1FCEB">
      <w:pPr>
        <w:pStyle w:val="ListParagraph"/>
        <w:numPr>
          <w:ilvl w:val="0"/>
          <w:numId w:val="10"/>
        </w:numPr>
        <w:spacing w:after="0" w:line="240" w:lineRule="auto"/>
        <w:rPr>
          <w:rFonts w:ascii="Times New Roman" w:hAnsi="Times New Roman" w:cs="Times New Roman"/>
          <w:sz w:val="24"/>
          <w:szCs w:val="24"/>
        </w:rPr>
      </w:pPr>
      <w:r w:rsidRPr="00A55400">
        <w:rPr>
          <w:rFonts w:ascii="Times New Roman" w:hAnsi="Times New Roman" w:cs="Times New Roman"/>
          <w:sz w:val="24"/>
          <w:szCs w:val="24"/>
        </w:rPr>
        <w:t>BAL-003-</w:t>
      </w:r>
      <w:r w:rsidR="00E12DFA">
        <w:rPr>
          <w:rFonts w:ascii="Times New Roman" w:hAnsi="Times New Roman" w:cs="Times New Roman"/>
          <w:sz w:val="24"/>
          <w:szCs w:val="24"/>
        </w:rPr>
        <w:t>2</w:t>
      </w:r>
      <w:r w:rsidRPr="00A55400">
        <w:rPr>
          <w:rFonts w:ascii="Times New Roman" w:hAnsi="Times New Roman" w:cs="Times New Roman"/>
          <w:sz w:val="24"/>
          <w:szCs w:val="24"/>
        </w:rPr>
        <w:t xml:space="preserve">, </w:t>
      </w:r>
      <w:r w:rsidRPr="00A55400">
        <w:rPr>
          <w:rFonts w:ascii="Times New Roman" w:hAnsi="Times New Roman" w:cs="Times New Roman"/>
          <w:sz w:val="24"/>
          <w:szCs w:val="24"/>
        </w:rPr>
        <w:t>Frequency Response and Frequency Bias Setting</w:t>
      </w:r>
      <w:r w:rsidR="00EC314F">
        <w:rPr>
          <w:rFonts w:ascii="Times New Roman" w:hAnsi="Times New Roman" w:cs="Times New Roman"/>
          <w:sz w:val="24"/>
          <w:szCs w:val="24"/>
        </w:rPr>
        <w:t>; and</w:t>
      </w:r>
    </w:p>
    <w:p w:rsidR="00EC314F" w:rsidP="00520A3F" w14:paraId="4C271F5F" w14:textId="29F86A3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BAL-005-1, </w:t>
      </w:r>
      <w:r w:rsidRPr="000E3075" w:rsidR="000E3075">
        <w:rPr>
          <w:rFonts w:ascii="Times New Roman" w:hAnsi="Times New Roman" w:cs="Times New Roman"/>
          <w:sz w:val="24"/>
          <w:szCs w:val="24"/>
        </w:rPr>
        <w:t>Balancing Authority Control</w:t>
      </w:r>
      <w:r w:rsidR="000E3075">
        <w:rPr>
          <w:rFonts w:ascii="Times New Roman" w:hAnsi="Times New Roman" w:cs="Times New Roman"/>
          <w:sz w:val="24"/>
          <w:szCs w:val="24"/>
        </w:rPr>
        <w:t>.</w:t>
      </w:r>
    </w:p>
    <w:p w:rsidR="00EB13B8" w:rsidP="00520A3F" w14:paraId="06DD1812" w14:textId="3E1FBEE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BAL-007-1, </w:t>
      </w:r>
      <w:r w:rsidR="005A2C2A">
        <w:rPr>
          <w:rFonts w:ascii="Times New Roman" w:hAnsi="Times New Roman" w:cs="Times New Roman"/>
          <w:sz w:val="24"/>
          <w:szCs w:val="24"/>
        </w:rPr>
        <w:t>Near-term Energy Reliability Assessments</w:t>
      </w:r>
    </w:p>
    <w:p w:rsidR="00C33170" w:rsidP="00C33170" w14:paraId="413F38A5" w14:textId="11EC8ECF">
      <w:pPr>
        <w:spacing w:after="0" w:line="240" w:lineRule="auto"/>
        <w:rPr>
          <w:rFonts w:ascii="Times New Roman" w:hAnsi="Times New Roman" w:cs="Times New Roman"/>
          <w:sz w:val="24"/>
          <w:szCs w:val="24"/>
        </w:rPr>
      </w:pPr>
    </w:p>
    <w:p w:rsidR="007321EE" w:rsidP="00EC314F" w14:paraId="583D146D" w14:textId="086BD018">
      <w:pPr>
        <w:spacing w:after="0" w:line="240" w:lineRule="auto"/>
        <w:rPr>
          <w:rFonts w:ascii="Times New Roman" w:hAnsi="Times New Roman" w:cs="Times New Roman"/>
          <w:sz w:val="24"/>
          <w:szCs w:val="24"/>
        </w:rPr>
      </w:pPr>
      <w:r>
        <w:rPr>
          <w:rFonts w:ascii="Times New Roman" w:hAnsi="Times New Roman" w:cs="Times New Roman"/>
          <w:sz w:val="24"/>
          <w:szCs w:val="24"/>
        </w:rPr>
        <w:t>Most recently, o</w:t>
      </w:r>
      <w:r w:rsidR="0058191C">
        <w:rPr>
          <w:rFonts w:ascii="Times New Roman" w:hAnsi="Times New Roman" w:cs="Times New Roman"/>
          <w:sz w:val="24"/>
          <w:szCs w:val="24"/>
        </w:rPr>
        <w:t xml:space="preserve">n </w:t>
      </w:r>
      <w:r w:rsidR="00EB13B8">
        <w:rPr>
          <w:rFonts w:ascii="Times New Roman" w:hAnsi="Times New Roman" w:cs="Times New Roman"/>
          <w:sz w:val="24"/>
          <w:szCs w:val="24"/>
        </w:rPr>
        <w:t>February 20</w:t>
      </w:r>
      <w:r w:rsidRPr="00A41C82" w:rsidR="00A41C82">
        <w:rPr>
          <w:rFonts w:ascii="Times New Roman" w:hAnsi="Times New Roman" w:cs="Times New Roman"/>
          <w:sz w:val="24"/>
          <w:szCs w:val="24"/>
        </w:rPr>
        <w:t>, 202</w:t>
      </w:r>
      <w:r w:rsidR="00EB13B8">
        <w:rPr>
          <w:rFonts w:ascii="Times New Roman" w:hAnsi="Times New Roman" w:cs="Times New Roman"/>
          <w:sz w:val="24"/>
          <w:szCs w:val="24"/>
        </w:rPr>
        <w:t>5</w:t>
      </w:r>
      <w:r w:rsidR="00A41C82">
        <w:rPr>
          <w:rFonts w:ascii="Times New Roman" w:hAnsi="Times New Roman" w:cs="Times New Roman"/>
          <w:sz w:val="24"/>
          <w:szCs w:val="24"/>
        </w:rPr>
        <w:t>, BAL-00</w:t>
      </w:r>
      <w:r w:rsidR="00EB13B8">
        <w:rPr>
          <w:rFonts w:ascii="Times New Roman" w:hAnsi="Times New Roman" w:cs="Times New Roman"/>
          <w:sz w:val="24"/>
          <w:szCs w:val="24"/>
        </w:rPr>
        <w:t>7</w:t>
      </w:r>
      <w:r w:rsidR="00A41C82">
        <w:rPr>
          <w:rFonts w:ascii="Times New Roman" w:hAnsi="Times New Roman" w:cs="Times New Roman"/>
          <w:sz w:val="24"/>
          <w:szCs w:val="24"/>
        </w:rPr>
        <w:t>-1</w:t>
      </w:r>
      <w:r w:rsidR="00EF302A">
        <w:rPr>
          <w:rFonts w:ascii="Times New Roman" w:hAnsi="Times New Roman" w:cs="Times New Roman"/>
          <w:sz w:val="24"/>
          <w:szCs w:val="24"/>
        </w:rPr>
        <w:t xml:space="preserve"> </w:t>
      </w:r>
      <w:r w:rsidR="00EB13B8">
        <w:rPr>
          <w:rFonts w:ascii="Times New Roman" w:hAnsi="Times New Roman" w:cs="Times New Roman"/>
          <w:sz w:val="24"/>
          <w:szCs w:val="24"/>
        </w:rPr>
        <w:t>was approved through</w:t>
      </w:r>
      <w:r w:rsidRPr="00A41C82" w:rsidR="00A41C82">
        <w:rPr>
          <w:rFonts w:ascii="Times New Roman" w:hAnsi="Times New Roman" w:cs="Times New Roman"/>
          <w:sz w:val="24"/>
          <w:szCs w:val="24"/>
        </w:rPr>
        <w:t xml:space="preserve"> Delegated Letter Order (</w:t>
      </w:r>
      <w:r w:rsidR="00A41C82">
        <w:rPr>
          <w:rFonts w:ascii="Times New Roman" w:hAnsi="Times New Roman" w:cs="Times New Roman"/>
          <w:sz w:val="24"/>
          <w:szCs w:val="24"/>
        </w:rPr>
        <w:t>Docket No. RD2</w:t>
      </w:r>
      <w:r w:rsidR="00EB13B8">
        <w:rPr>
          <w:rFonts w:ascii="Times New Roman" w:hAnsi="Times New Roman" w:cs="Times New Roman"/>
          <w:sz w:val="24"/>
          <w:szCs w:val="24"/>
        </w:rPr>
        <w:t>5</w:t>
      </w:r>
      <w:r w:rsidR="00A41C82">
        <w:rPr>
          <w:rFonts w:ascii="Times New Roman" w:hAnsi="Times New Roman" w:cs="Times New Roman"/>
          <w:sz w:val="24"/>
          <w:szCs w:val="24"/>
        </w:rPr>
        <w:t>-</w:t>
      </w:r>
      <w:r w:rsidR="00EB13B8">
        <w:rPr>
          <w:rFonts w:ascii="Times New Roman" w:hAnsi="Times New Roman" w:cs="Times New Roman"/>
          <w:sz w:val="24"/>
          <w:szCs w:val="24"/>
        </w:rPr>
        <w:t>5</w:t>
      </w:r>
      <w:r w:rsidR="00A41C82">
        <w:rPr>
          <w:rFonts w:ascii="Times New Roman" w:hAnsi="Times New Roman" w:cs="Times New Roman"/>
          <w:sz w:val="24"/>
          <w:szCs w:val="24"/>
        </w:rPr>
        <w:t>-000)</w:t>
      </w:r>
      <w:r w:rsidR="00EB13B8">
        <w:rPr>
          <w:rFonts w:ascii="Times New Roman" w:hAnsi="Times New Roman" w:cs="Times New Roman"/>
          <w:sz w:val="24"/>
          <w:szCs w:val="24"/>
        </w:rPr>
        <w:t>.</w:t>
      </w:r>
    </w:p>
    <w:p w:rsidR="007321EE" w:rsidP="00EC314F" w14:paraId="43A41031" w14:textId="77777777">
      <w:pPr>
        <w:spacing w:after="0" w:line="240" w:lineRule="auto"/>
        <w:rPr>
          <w:rFonts w:ascii="Times New Roman" w:hAnsi="Times New Roman" w:cs="Times New Roman"/>
          <w:sz w:val="24"/>
          <w:szCs w:val="24"/>
        </w:rPr>
      </w:pPr>
    </w:p>
    <w:p w:rsidR="00520A3F" w:rsidRPr="00B51BB8" w:rsidP="002A4142" w14:paraId="0872B093" w14:textId="77777777">
      <w:pPr>
        <w:spacing w:after="0" w:line="240" w:lineRule="auto"/>
        <w:rPr>
          <w:rFonts w:ascii="Times New Roman" w:hAnsi="Times New Roman" w:cs="Times New Roman"/>
          <w:sz w:val="24"/>
          <w:szCs w:val="24"/>
        </w:rPr>
      </w:pPr>
    </w:p>
    <w:p w:rsidR="00C4205B" w:rsidP="007C39D3" w14:paraId="2587A559" w14:textId="01827CDE">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rsidR="00D1601C" w:rsidP="00164B1B" w14:paraId="501DAFF9" w14:textId="77777777">
      <w:pPr>
        <w:widowControl w:val="0"/>
        <w:autoSpaceDE w:val="0"/>
        <w:autoSpaceDN w:val="0"/>
        <w:adjustRightInd w:val="0"/>
        <w:spacing w:after="0" w:line="240" w:lineRule="auto"/>
        <w:rPr>
          <w:rFonts w:ascii="Times New Roman" w:hAnsi="Times New Roman" w:cs="Times New Roman"/>
          <w:sz w:val="24"/>
          <w:szCs w:val="24"/>
        </w:rPr>
      </w:pPr>
    </w:p>
    <w:p w:rsidR="00514C31" w:rsidP="00514C31" w14:paraId="336DEBFC" w14:textId="5D0277B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FERC 725R</w:t>
      </w:r>
      <w:r w:rsidR="000E460B">
        <w:rPr>
          <w:rFonts w:ascii="Times New Roman" w:hAnsi="Times New Roman" w:cs="Times New Roman"/>
          <w:sz w:val="24"/>
          <w:szCs w:val="24"/>
        </w:rPr>
        <w:t xml:space="preserve"> </w:t>
      </w:r>
      <w:r w:rsidR="003D017E">
        <w:rPr>
          <w:rFonts w:ascii="Times New Roman" w:hAnsi="Times New Roman" w:cs="Times New Roman"/>
          <w:sz w:val="24"/>
          <w:szCs w:val="24"/>
        </w:rPr>
        <w:t xml:space="preserve">consists of </w:t>
      </w:r>
      <w:r w:rsidR="000E460B">
        <w:rPr>
          <w:rFonts w:ascii="Times New Roman" w:hAnsi="Times New Roman" w:cs="Times New Roman"/>
          <w:sz w:val="24"/>
          <w:szCs w:val="24"/>
        </w:rPr>
        <w:t xml:space="preserve">information collection activities associated with </w:t>
      </w:r>
      <w:r>
        <w:rPr>
          <w:rFonts w:ascii="Times New Roman" w:hAnsi="Times New Roman" w:cs="Times New Roman"/>
          <w:sz w:val="24"/>
          <w:szCs w:val="24"/>
        </w:rPr>
        <w:t xml:space="preserve"> </w:t>
      </w:r>
      <w:r w:rsidR="00910508">
        <w:rPr>
          <w:rFonts w:ascii="Times New Roman" w:hAnsi="Times New Roman" w:cs="Times New Roman"/>
          <w:sz w:val="24"/>
          <w:szCs w:val="24"/>
        </w:rPr>
        <w:t xml:space="preserve">a </w:t>
      </w:r>
      <w:r>
        <w:rPr>
          <w:rFonts w:ascii="Times New Roman" w:hAnsi="Times New Roman" w:cs="Times New Roman"/>
          <w:sz w:val="24"/>
          <w:szCs w:val="24"/>
        </w:rPr>
        <w:t xml:space="preserve">series of </w:t>
      </w:r>
      <w:r w:rsidR="001A1E3A">
        <w:rPr>
          <w:rFonts w:ascii="Times New Roman" w:hAnsi="Times New Roman" w:cs="Times New Roman"/>
          <w:sz w:val="24"/>
          <w:szCs w:val="24"/>
        </w:rPr>
        <w:t xml:space="preserve">Reliability Standards that include the BAL standards. These standards </w:t>
      </w:r>
      <w:r w:rsidR="005B1740">
        <w:rPr>
          <w:rFonts w:ascii="Times New Roman" w:hAnsi="Times New Roman" w:cs="Times New Roman"/>
          <w:sz w:val="24"/>
          <w:szCs w:val="24"/>
        </w:rPr>
        <w:t>pertain to</w:t>
      </w:r>
      <w:r w:rsidR="00184236">
        <w:rPr>
          <w:rFonts w:ascii="Times New Roman" w:hAnsi="Times New Roman" w:cs="Times New Roman"/>
          <w:sz w:val="24"/>
          <w:szCs w:val="24"/>
        </w:rPr>
        <w:t xml:space="preserve"> </w:t>
      </w:r>
      <w:r w:rsidR="00B04382">
        <w:rPr>
          <w:rFonts w:ascii="Times New Roman" w:hAnsi="Times New Roman" w:cs="Times New Roman"/>
          <w:sz w:val="24"/>
          <w:szCs w:val="24"/>
        </w:rPr>
        <w:t>r</w:t>
      </w:r>
      <w:r w:rsidR="005B1740">
        <w:rPr>
          <w:rFonts w:ascii="Times New Roman" w:hAnsi="Times New Roman" w:cs="Times New Roman"/>
          <w:sz w:val="24"/>
          <w:szCs w:val="24"/>
        </w:rPr>
        <w:t xml:space="preserve">esource and </w:t>
      </w:r>
      <w:r w:rsidR="00B04382">
        <w:rPr>
          <w:rFonts w:ascii="Times New Roman" w:hAnsi="Times New Roman" w:cs="Times New Roman"/>
          <w:sz w:val="24"/>
          <w:szCs w:val="24"/>
        </w:rPr>
        <w:t>d</w:t>
      </w:r>
      <w:r w:rsidR="005B1740">
        <w:rPr>
          <w:rFonts w:ascii="Times New Roman" w:hAnsi="Times New Roman" w:cs="Times New Roman"/>
          <w:sz w:val="24"/>
          <w:szCs w:val="24"/>
        </w:rPr>
        <w:t xml:space="preserve">emand </w:t>
      </w:r>
      <w:r w:rsidR="00B04382">
        <w:rPr>
          <w:rFonts w:ascii="Times New Roman" w:hAnsi="Times New Roman" w:cs="Times New Roman"/>
          <w:sz w:val="24"/>
          <w:szCs w:val="24"/>
        </w:rPr>
        <w:t>b</w:t>
      </w:r>
      <w:r w:rsidR="005B1740">
        <w:rPr>
          <w:rFonts w:ascii="Times New Roman" w:hAnsi="Times New Roman" w:cs="Times New Roman"/>
          <w:sz w:val="24"/>
          <w:szCs w:val="24"/>
        </w:rPr>
        <w:t>lancing</w:t>
      </w:r>
      <w:r w:rsidR="005B1740">
        <w:rPr>
          <w:rFonts w:ascii="Times New Roman" w:hAnsi="Times New Roman" w:cs="Times New Roman"/>
          <w:sz w:val="24"/>
          <w:szCs w:val="24"/>
        </w:rPr>
        <w:t xml:space="preserve"> (BAL) </w:t>
      </w:r>
      <w:r w:rsidR="00B04382">
        <w:rPr>
          <w:rFonts w:ascii="Times New Roman" w:hAnsi="Times New Roman" w:cs="Times New Roman"/>
          <w:sz w:val="24"/>
          <w:szCs w:val="24"/>
        </w:rPr>
        <w:t xml:space="preserve"> standards and </w:t>
      </w:r>
      <w:r w:rsidR="00412935">
        <w:rPr>
          <w:rFonts w:ascii="Times New Roman" w:hAnsi="Times New Roman" w:cs="Times New Roman"/>
          <w:sz w:val="24"/>
          <w:szCs w:val="24"/>
        </w:rPr>
        <w:t xml:space="preserve">detail the role of entities to ensure proper load, generation, and interchange </w:t>
      </w:r>
      <w:r w:rsidR="00834BA6">
        <w:rPr>
          <w:rFonts w:ascii="Times New Roman" w:hAnsi="Times New Roman" w:cs="Times New Roman"/>
          <w:sz w:val="24"/>
          <w:szCs w:val="24"/>
        </w:rPr>
        <w:t>balancing.</w:t>
      </w:r>
      <w:r>
        <w:rPr>
          <w:rStyle w:val="FootnoteReference"/>
          <w:rFonts w:ascii="Times New Roman" w:hAnsi="Times New Roman" w:cs="Times New Roman"/>
          <w:sz w:val="24"/>
          <w:szCs w:val="24"/>
          <w:vertAlign w:val="superscript"/>
        </w:rPr>
        <w:footnoteReference w:id="3"/>
      </w:r>
    </w:p>
    <w:p w:rsidR="004F6484" w:rsidRPr="00514C31" w:rsidP="00514C31" w14:paraId="01DA89F7" w14:textId="77777777">
      <w:pPr>
        <w:widowControl w:val="0"/>
        <w:autoSpaceDE w:val="0"/>
        <w:autoSpaceDN w:val="0"/>
        <w:adjustRightInd w:val="0"/>
        <w:spacing w:after="0" w:line="240" w:lineRule="auto"/>
        <w:rPr>
          <w:rFonts w:ascii="Times New Roman" w:hAnsi="Times New Roman" w:cs="Times New Roman"/>
          <w:sz w:val="24"/>
          <w:szCs w:val="24"/>
        </w:rPr>
      </w:pPr>
    </w:p>
    <w:p w:rsidR="00514C31" w:rsidP="00514C31" w14:paraId="1B02E0D1" w14:textId="6845B8F6">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w:t>
      </w:r>
      <w:r w:rsidRPr="00514C31">
        <w:rPr>
          <w:rFonts w:ascii="Times New Roman" w:hAnsi="Times New Roman" w:cs="Times New Roman"/>
          <w:sz w:val="24"/>
          <w:szCs w:val="24"/>
        </w:rPr>
        <w:tab/>
        <w:t>BAL-001-2,</w:t>
      </w:r>
      <w:r>
        <w:rPr>
          <w:rFonts w:ascii="Times New Roman" w:hAnsi="Times New Roman" w:cs="Times New Roman"/>
          <w:sz w:val="24"/>
          <w:szCs w:val="24"/>
          <w:vertAlign w:val="superscript"/>
        </w:rPr>
        <w:footnoteReference w:id="4"/>
      </w:r>
      <w:r w:rsidRPr="00514C31">
        <w:rPr>
          <w:rFonts w:ascii="Times New Roman" w:hAnsi="Times New Roman" w:cs="Times New Roman"/>
          <w:sz w:val="24"/>
          <w:szCs w:val="24"/>
        </w:rPr>
        <w:t xml:space="preserve"> Real Power Balancing Control Performance.  Reliability Standard BAL-001-2 is designed to ensure that applicable entities balance generation and load by maintaining system frequency within narrow bounds around a scheduled value, and it improves reliability by adding a frequency component to the measurement of a Balancing Authority’s Area Control Error (ACE).</w:t>
      </w:r>
      <w:r>
        <w:rPr>
          <w:rFonts w:ascii="Times New Roman" w:hAnsi="Times New Roman" w:cs="Times New Roman"/>
          <w:sz w:val="24"/>
          <w:szCs w:val="24"/>
          <w:vertAlign w:val="superscript"/>
        </w:rPr>
        <w:footnoteReference w:id="5"/>
      </w:r>
    </w:p>
    <w:p w:rsidR="004F6484" w:rsidRPr="00514C31" w:rsidP="00514C31" w14:paraId="55D5A0AA" w14:textId="77777777">
      <w:pPr>
        <w:widowControl w:val="0"/>
        <w:autoSpaceDE w:val="0"/>
        <w:autoSpaceDN w:val="0"/>
        <w:adjustRightInd w:val="0"/>
        <w:spacing w:after="0" w:line="240" w:lineRule="auto"/>
        <w:rPr>
          <w:rFonts w:ascii="Times New Roman" w:hAnsi="Times New Roman" w:cs="Times New Roman"/>
          <w:sz w:val="24"/>
          <w:szCs w:val="24"/>
        </w:rPr>
      </w:pPr>
    </w:p>
    <w:p w:rsidR="00514C31" w:rsidP="00514C31" w14:paraId="5877633A" w14:textId="5513C95F">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w:t>
      </w:r>
      <w:r w:rsidRPr="00514C31">
        <w:rPr>
          <w:rFonts w:ascii="Times New Roman" w:hAnsi="Times New Roman" w:cs="Times New Roman"/>
          <w:sz w:val="24"/>
          <w:szCs w:val="24"/>
        </w:rPr>
        <w:tab/>
        <w:t>BAL-002-3,</w:t>
      </w:r>
      <w:r>
        <w:rPr>
          <w:rFonts w:ascii="Times New Roman" w:hAnsi="Times New Roman" w:cs="Times New Roman"/>
          <w:sz w:val="24"/>
          <w:szCs w:val="24"/>
          <w:vertAlign w:val="superscript"/>
        </w:rPr>
        <w:footnoteReference w:id="6"/>
      </w:r>
      <w:r w:rsidRPr="00514C31">
        <w:rPr>
          <w:rFonts w:ascii="Times New Roman" w:hAnsi="Times New Roman" w:cs="Times New Roman"/>
          <w:sz w:val="24"/>
          <w:szCs w:val="24"/>
        </w:rPr>
        <w:t xml:space="preserve"> Disturbance Control Standard – Contingency Reserve for Recovery from a Balancing Contingency Event.  This standard ensures that a responsible entity, either a balancing authority or reserve sharing group, is able to recover from system contingencies by deploying adequate reserves to return their Area Control Error to defined values and replacing the capacity and energy lost due to generation or transmission equipment outages.</w:t>
      </w:r>
    </w:p>
    <w:p w:rsidR="00F012DD" w:rsidRPr="00514C31" w:rsidP="00514C31" w14:paraId="732122B1" w14:textId="77777777">
      <w:pPr>
        <w:widowControl w:val="0"/>
        <w:autoSpaceDE w:val="0"/>
        <w:autoSpaceDN w:val="0"/>
        <w:adjustRightInd w:val="0"/>
        <w:spacing w:after="0" w:line="240" w:lineRule="auto"/>
        <w:rPr>
          <w:rFonts w:ascii="Times New Roman" w:hAnsi="Times New Roman" w:cs="Times New Roman"/>
          <w:sz w:val="24"/>
          <w:szCs w:val="24"/>
        </w:rPr>
      </w:pPr>
    </w:p>
    <w:p w:rsidR="00514C31" w:rsidP="00514C31" w14:paraId="772695D6" w14:textId="77777777">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w:t>
      </w:r>
      <w:r w:rsidRPr="00514C31">
        <w:rPr>
          <w:rFonts w:ascii="Times New Roman" w:hAnsi="Times New Roman" w:cs="Times New Roman"/>
          <w:sz w:val="24"/>
          <w:szCs w:val="24"/>
        </w:rPr>
        <w:tab/>
        <w:t>BAL-005-1,</w:t>
      </w:r>
      <w:r>
        <w:rPr>
          <w:rFonts w:ascii="Times New Roman" w:hAnsi="Times New Roman" w:cs="Times New Roman"/>
          <w:sz w:val="24"/>
          <w:szCs w:val="24"/>
          <w:vertAlign w:val="superscript"/>
        </w:rPr>
        <w:footnoteReference w:id="7"/>
      </w:r>
      <w:r w:rsidRPr="00514C31">
        <w:rPr>
          <w:rFonts w:ascii="Times New Roman" w:hAnsi="Times New Roman" w:cs="Times New Roman"/>
          <w:sz w:val="24"/>
          <w:szCs w:val="24"/>
        </w:rPr>
        <w:t xml:space="preserve"> Balancing Authority Control.  This standard establishes requirements for acquiring data necessary to calculate Reporting Area Control Error (Reporting ACE).  The standard also specifies a minimum periodicity, accuracy, and availability requirement for acquisition of the data and for providing the information to the System Operator.  It requires balancing authorities to maintain minimum levels of annual availability of 99.5% for each balancing authority system for calculating Reporting ACE.</w:t>
      </w:r>
    </w:p>
    <w:p w:rsidR="006E47EF" w:rsidP="00514C31" w14:paraId="1350327B" w14:textId="77777777">
      <w:pPr>
        <w:widowControl w:val="0"/>
        <w:autoSpaceDE w:val="0"/>
        <w:autoSpaceDN w:val="0"/>
        <w:adjustRightInd w:val="0"/>
        <w:spacing w:after="0" w:line="240" w:lineRule="auto"/>
        <w:rPr>
          <w:rFonts w:ascii="Times New Roman" w:hAnsi="Times New Roman" w:cs="Times New Roman"/>
          <w:sz w:val="24"/>
          <w:szCs w:val="24"/>
        </w:rPr>
      </w:pPr>
    </w:p>
    <w:p w:rsidR="00E12DFA" w:rsidP="00D14DFA" w14:paraId="7E89F29F" w14:textId="4EBF4AA6">
      <w:pPr>
        <w:pStyle w:val="ListParagraph"/>
        <w:widowControl w:val="0"/>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BAL-003-2</w:t>
      </w:r>
      <w:r w:rsidRPr="001D2289" w:rsidR="00353F0B">
        <w:rPr>
          <w:rFonts w:ascii="Times New Roman" w:hAnsi="Times New Roman" w:cs="Times New Roman"/>
          <w:sz w:val="24"/>
          <w:szCs w:val="24"/>
        </w:rPr>
        <w:t>,</w:t>
      </w:r>
      <w:r>
        <w:rPr>
          <w:vertAlign w:val="superscript"/>
        </w:rPr>
        <w:footnoteReference w:id="8"/>
      </w:r>
      <w:r w:rsidRPr="00D14DFA" w:rsidR="00353F0B">
        <w:rPr>
          <w:rFonts w:ascii="Times New Roman" w:hAnsi="Times New Roman" w:cs="Times New Roman"/>
          <w:sz w:val="26"/>
          <w:szCs w:val="26"/>
        </w:rPr>
        <w:t xml:space="preserve"> </w:t>
      </w:r>
      <w:r w:rsidRPr="00353F0B" w:rsidR="00353F0B">
        <w:rPr>
          <w:rFonts w:ascii="Times New Roman" w:hAnsi="Times New Roman" w:cs="Times New Roman"/>
          <w:sz w:val="24"/>
          <w:szCs w:val="24"/>
        </w:rPr>
        <w:t xml:space="preserve">Frequency Response and Frequency Bias Setting. This standard requires sufficient Frequency Response from the Balancing Authority (BA) to maintain Interconnection Frequency within predefined bounds by arresting frequency deviations </w:t>
      </w:r>
      <w:r w:rsidRPr="00353F0B" w:rsidR="00353F0B">
        <w:rPr>
          <w:rFonts w:ascii="Times New Roman" w:hAnsi="Times New Roman" w:cs="Times New Roman"/>
          <w:sz w:val="24"/>
          <w:szCs w:val="24"/>
        </w:rPr>
        <w:t>and supporting frequency until the frequency is restored.</w:t>
      </w:r>
    </w:p>
    <w:p w:rsidR="00E73BD3" w:rsidRPr="006C0566" w:rsidP="00D14DFA" w14:paraId="67155CFB" w14:textId="0BEF54F7">
      <w:pPr>
        <w:pStyle w:val="ListParagraph"/>
        <w:widowControl w:val="0"/>
        <w:numPr>
          <w:ilvl w:val="0"/>
          <w:numId w:val="12"/>
        </w:numPr>
        <w:autoSpaceDE w:val="0"/>
        <w:autoSpaceDN w:val="0"/>
        <w:adjustRightInd w:val="0"/>
        <w:spacing w:after="0" w:line="240" w:lineRule="auto"/>
        <w:rPr>
          <w:rFonts w:ascii="Times New Roman" w:hAnsi="Times New Roman" w:cs="Times New Roman"/>
          <w:sz w:val="24"/>
          <w:szCs w:val="24"/>
        </w:rPr>
      </w:pPr>
      <w:r w:rsidRPr="006C0566">
        <w:rPr>
          <w:rFonts w:ascii="Times New Roman" w:hAnsi="Times New Roman" w:cs="Times New Roman"/>
          <w:sz w:val="24"/>
          <w:szCs w:val="24"/>
        </w:rPr>
        <w:t>BAL-007</w:t>
      </w:r>
      <w:r w:rsidRPr="006C0566" w:rsidR="00526FAC">
        <w:rPr>
          <w:rFonts w:ascii="Times New Roman" w:hAnsi="Times New Roman" w:cs="Times New Roman"/>
          <w:sz w:val="24"/>
          <w:szCs w:val="24"/>
        </w:rPr>
        <w:t xml:space="preserve">-1, </w:t>
      </w:r>
      <w:r w:rsidRPr="006C0566" w:rsidR="00887259">
        <w:rPr>
          <w:rFonts w:ascii="Times New Roman" w:hAnsi="Times New Roman" w:cs="Times New Roman"/>
          <w:sz w:val="24"/>
          <w:szCs w:val="24"/>
        </w:rPr>
        <w:t xml:space="preserve">purpose is to </w:t>
      </w:r>
      <w:r w:rsidRPr="006C0566" w:rsidR="00887259">
        <w:rPr>
          <w:rFonts w:ascii="Times New Roman" w:hAnsi="Times New Roman" w:cs="Times New Roman"/>
          <w:sz w:val="24"/>
          <w:szCs w:val="24"/>
        </w:rPr>
        <w:t>to</w:t>
      </w:r>
      <w:r w:rsidRPr="006C0566" w:rsidR="00887259">
        <w:rPr>
          <w:rFonts w:ascii="Times New Roman" w:hAnsi="Times New Roman" w:cs="Times New Roman"/>
          <w:sz w:val="24"/>
          <w:szCs w:val="24"/>
        </w:rPr>
        <w:t xml:space="preserve"> assess, report, and plan to address forecasted Energy Emergencies in the near-term time horizon.</w:t>
      </w:r>
      <w:r w:rsidRPr="006C0566" w:rsidR="006C0566">
        <w:rPr>
          <w:rFonts w:ascii="Times New Roman" w:hAnsi="Times New Roman" w:cs="Times New Roman"/>
          <w:sz w:val="24"/>
          <w:szCs w:val="24"/>
        </w:rPr>
        <w:t xml:space="preserve"> </w:t>
      </w:r>
      <w:r w:rsidR="006C0566">
        <w:rPr>
          <w:rFonts w:ascii="Times New Roman" w:hAnsi="Times New Roman" w:cs="Times New Roman"/>
          <w:sz w:val="24"/>
          <w:szCs w:val="24"/>
        </w:rPr>
        <w:t xml:space="preserve">This standard </w:t>
      </w:r>
      <w:r w:rsidRPr="006C0566" w:rsidR="006C0566">
        <w:rPr>
          <w:rFonts w:ascii="Times New Roman" w:eastAsia="Times New Roman" w:hAnsi="Times New Roman" w:cs="Times New Roman"/>
          <w:sz w:val="24"/>
          <w:szCs w:val="24"/>
        </w:rPr>
        <w:t>requires balancing authorities “to perform a Near-Term ERAs and have Operating Plans in place to identify and minimize the risks of forecasted Energy Emergencies</w:t>
      </w:r>
      <w:r w:rsidR="006C0566">
        <w:rPr>
          <w:rFonts w:ascii="Times New Roman" w:eastAsia="Times New Roman" w:hAnsi="Times New Roman" w:cs="Times New Roman"/>
          <w:sz w:val="24"/>
          <w:szCs w:val="24"/>
        </w:rPr>
        <w:t>.”</w:t>
      </w:r>
    </w:p>
    <w:p w:rsidR="00514C31" w:rsidRPr="00514C31" w:rsidP="00514C31" w14:paraId="1E4F36EB" w14:textId="1CD9EA7C">
      <w:pPr>
        <w:widowControl w:val="0"/>
        <w:autoSpaceDE w:val="0"/>
        <w:autoSpaceDN w:val="0"/>
        <w:adjustRightInd w:val="0"/>
        <w:spacing w:after="0" w:line="240" w:lineRule="auto"/>
        <w:rPr>
          <w:rFonts w:ascii="Times New Roman" w:hAnsi="Times New Roman" w:cs="Times New Roman"/>
          <w:sz w:val="24"/>
          <w:szCs w:val="24"/>
          <w:u w:val="single"/>
        </w:rPr>
      </w:pPr>
    </w:p>
    <w:p w:rsidR="00C4205B" w:rsidRPr="00B51BB8" w:rsidP="007C39D3" w14:paraId="3FDEF35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rsidR="004A1428" w:rsidRPr="00B51BB8" w:rsidP="005E2448" w14:paraId="672AF6EC"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055683" w:rsidRPr="00B51BB8" w:rsidP="002A4142" w14:paraId="764FA827" w14:textId="77777777">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 xml:space="preserve">The use of current or improved technology and the medium are not covered in Reliability </w:t>
      </w:r>
      <w:r w:rsidRPr="00DF1C8D">
        <w:rPr>
          <w:rFonts w:ascii="Times New Roman" w:hAnsi="Times New Roman" w:cs="Times New Roman"/>
          <w:sz w:val="24"/>
          <w:szCs w:val="24"/>
        </w:rPr>
        <w:t>Standards, and</w:t>
      </w:r>
      <w:r w:rsidRPr="00DF1C8D">
        <w:rPr>
          <w:rFonts w:ascii="Times New Roman" w:hAnsi="Times New Roman" w:cs="Times New Roman"/>
          <w:sz w:val="24"/>
          <w:szCs w:val="24"/>
        </w:rPr>
        <w:t xml:space="preserve">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w:t>
      </w:r>
      <w:r w:rsidRPr="00DF1C8D">
        <w:rPr>
          <w:rFonts w:ascii="Times New Roman" w:hAnsi="Times New Roman" w:cs="Times New Roman"/>
          <w:sz w:val="24"/>
          <w:szCs w:val="24"/>
        </w:rPr>
        <w:t>be submitted by filling out data forms on the portals.  These portals are accessible through an internet browser pa</w:t>
      </w:r>
      <w:r>
        <w:rPr>
          <w:rFonts w:ascii="Times New Roman" w:hAnsi="Times New Roman" w:cs="Times New Roman"/>
          <w:sz w:val="24"/>
          <w:szCs w:val="24"/>
        </w:rPr>
        <w:t>ssword-protected user interface</w:t>
      </w:r>
      <w:r w:rsidRPr="00B51BB8" w:rsidR="0012731F">
        <w:rPr>
          <w:rFonts w:ascii="Times New Roman" w:hAnsi="Times New Roman" w:cs="Times New Roman"/>
          <w:sz w:val="24"/>
          <w:szCs w:val="24"/>
        </w:rPr>
        <w:t xml:space="preserve">.  </w:t>
      </w:r>
    </w:p>
    <w:p w:rsidR="00042D80" w:rsidRPr="00B51BB8" w:rsidP="002A4142" w14:paraId="68F2DA00" w14:textId="77777777">
      <w:pPr>
        <w:spacing w:after="0" w:line="240" w:lineRule="auto"/>
        <w:rPr>
          <w:rFonts w:ascii="Times New Roman" w:hAnsi="Times New Roman" w:cs="Times New Roman"/>
          <w:b/>
          <w:bCs/>
          <w:sz w:val="24"/>
          <w:szCs w:val="24"/>
        </w:rPr>
      </w:pPr>
    </w:p>
    <w:p w:rsidR="00C4205B" w:rsidRPr="00B51BB8" w:rsidP="007C39D3" w14:paraId="47A21953"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 xml:space="preserve">DESCRIBE EFFORTS TO IDENTIFY DUPLICATION AND SHOW SPECIFICALLY WHY ANY SIMILAR INFORMATION ALREADY </w:t>
      </w:r>
      <w:r w:rsidRPr="00B51BB8">
        <w:rPr>
          <w:rFonts w:ascii="Times New Roman" w:hAnsi="Times New Roman" w:cs="Times New Roman"/>
          <w:b/>
          <w:bCs/>
          <w:sz w:val="24"/>
          <w:szCs w:val="24"/>
        </w:rPr>
        <w:t>AVAILABLE CANNOT BE USED OR MODIFIED FOR USE FOR THE PURPOSE(S) DESCRIBED IN INSTRUCTION NO. 2</w:t>
      </w:r>
    </w:p>
    <w:p w:rsidR="00C4205B" w:rsidP="002A4142" w14:paraId="30B27180" w14:textId="77777777">
      <w:pPr>
        <w:spacing w:after="0" w:line="240" w:lineRule="auto"/>
        <w:rPr>
          <w:rFonts w:ascii="Times New Roman" w:hAnsi="Times New Roman" w:cs="Times New Roman"/>
          <w:sz w:val="24"/>
          <w:szCs w:val="24"/>
        </w:rPr>
      </w:pPr>
    </w:p>
    <w:p w:rsidR="00757251" w:rsidRPr="00B51BB8" w:rsidP="002A4142" w14:paraId="4AD3C24E" w14:textId="3D485113">
      <w:pPr>
        <w:spacing w:after="0" w:line="240" w:lineRule="auto"/>
        <w:rPr>
          <w:rFonts w:ascii="Times New Roman" w:hAnsi="Times New Roman" w:cs="Times New Roman"/>
          <w:sz w:val="24"/>
          <w:szCs w:val="24"/>
        </w:rPr>
      </w:pPr>
      <w:r>
        <w:rPr>
          <w:rFonts w:ascii="Times New Roman" w:hAnsi="Times New Roman" w:cs="Times New Roman"/>
          <w:sz w:val="24"/>
          <w:szCs w:val="24"/>
        </w:rPr>
        <w:t>There is no similar information available.</w:t>
      </w:r>
    </w:p>
    <w:p w:rsidR="00F64A6F" w:rsidRPr="00B51BB8" w:rsidP="002A4142" w14:paraId="3A1BDA48" w14:textId="77777777">
      <w:pPr>
        <w:spacing w:after="0" w:line="240" w:lineRule="auto"/>
        <w:rPr>
          <w:rFonts w:ascii="Times New Roman" w:hAnsi="Times New Roman" w:cs="Times New Roman"/>
          <w:sz w:val="24"/>
          <w:szCs w:val="24"/>
        </w:rPr>
      </w:pPr>
    </w:p>
    <w:p w:rsidR="00C4205B" w:rsidRPr="00B51BB8" w:rsidP="007C39D3" w14:paraId="5991DBEA"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rsidR="00C4205B" w:rsidRPr="00B51BB8" w:rsidP="002A4142" w14:paraId="4BAE7F17" w14:textId="77777777">
      <w:pPr>
        <w:spacing w:after="0" w:line="240" w:lineRule="auto"/>
        <w:rPr>
          <w:rFonts w:ascii="Times New Roman" w:hAnsi="Times New Roman" w:cs="Times New Roman"/>
          <w:b/>
          <w:bCs/>
          <w:sz w:val="24"/>
          <w:szCs w:val="24"/>
        </w:rPr>
      </w:pPr>
    </w:p>
    <w:p w:rsidR="00581276" w:rsidP="00DF1C8D" w14:paraId="5ABF12AE" w14:textId="3782B99A">
      <w:pPr>
        <w:spacing w:after="0" w:line="240" w:lineRule="auto"/>
        <w:rPr>
          <w:rFonts w:ascii="Times New Roman" w:hAnsi="Times New Roman" w:cs="Times New Roman"/>
          <w:bCs/>
          <w:sz w:val="24"/>
          <w:szCs w:val="24"/>
        </w:rPr>
      </w:pPr>
      <w:r w:rsidRPr="00757251">
        <w:rPr>
          <w:rFonts w:ascii="Times New Roman" w:hAnsi="Times New Roman" w:cs="Times New Roman"/>
          <w:bCs/>
          <w:sz w:val="24"/>
          <w:szCs w:val="24"/>
        </w:rPr>
        <w:t xml:space="preserve">FERC considers the impact to be </w:t>
      </w:r>
      <w:r w:rsidR="00CD609C">
        <w:rPr>
          <w:rFonts w:ascii="Times New Roman" w:hAnsi="Times New Roman" w:cs="Times New Roman"/>
          <w:bCs/>
          <w:sz w:val="24"/>
          <w:szCs w:val="24"/>
        </w:rPr>
        <w:t>the minimum that is necessary.</w:t>
      </w:r>
      <w:r w:rsidRPr="00757251">
        <w:rPr>
          <w:rFonts w:ascii="Times New Roman" w:hAnsi="Times New Roman" w:cs="Times New Roman"/>
          <w:bCs/>
          <w:sz w:val="24"/>
          <w:szCs w:val="24"/>
        </w:rPr>
        <w:t xml:space="preserve">  </w:t>
      </w:r>
    </w:p>
    <w:p w:rsidR="00581276" w:rsidP="00DF1C8D" w14:paraId="7D00A748" w14:textId="77777777">
      <w:pPr>
        <w:spacing w:after="0" w:line="240" w:lineRule="auto"/>
        <w:rPr>
          <w:rFonts w:ascii="Times New Roman" w:hAnsi="Times New Roman" w:cs="Times New Roman"/>
          <w:bCs/>
          <w:sz w:val="24"/>
          <w:szCs w:val="24"/>
        </w:rPr>
      </w:pPr>
    </w:p>
    <w:p w:rsidR="00DF1C8D" w:rsidP="00DF1C8D" w14:paraId="13DF92C2" w14:textId="1598B6D5">
      <w:pPr>
        <w:spacing w:after="0" w:line="240" w:lineRule="auto"/>
        <w:rPr>
          <w:rFonts w:ascii="Times New Roman" w:hAnsi="Times New Roman" w:cs="Times New Roman"/>
          <w:bCs/>
          <w:sz w:val="24"/>
          <w:szCs w:val="24"/>
        </w:rPr>
      </w:pPr>
      <w:r w:rsidRPr="00757251">
        <w:rPr>
          <w:rFonts w:ascii="Times New Roman" w:hAnsi="Times New Roman" w:cs="Times New Roman"/>
          <w:bCs/>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00B574DE">
        <w:rPr>
          <w:rFonts w:ascii="Times New Roman" w:hAnsi="Times New Roman" w:cs="Times New Roman"/>
          <w:bCs/>
          <w:sz w:val="24"/>
          <w:szCs w:val="24"/>
        </w:rPr>
        <w:t>.</w:t>
      </w:r>
    </w:p>
    <w:p w:rsidR="00757251" w:rsidRPr="00B51BB8" w:rsidP="00DF1C8D" w14:paraId="0FA90926" w14:textId="77777777">
      <w:pPr>
        <w:spacing w:after="0" w:line="240" w:lineRule="auto"/>
        <w:rPr>
          <w:rFonts w:ascii="Times New Roman" w:hAnsi="Times New Roman" w:cs="Times New Roman"/>
          <w:bCs/>
          <w:sz w:val="24"/>
          <w:szCs w:val="24"/>
        </w:rPr>
      </w:pPr>
    </w:p>
    <w:p w:rsidR="00C4205B" w:rsidRPr="00B51BB8" w:rsidP="007C39D3" w14:paraId="030DDA9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 xml:space="preserve">CONSEQUENCE TO FEDERAL PROGRAM IF COLLECTION WERE CONDUCTED LESS </w:t>
      </w:r>
      <w:r w:rsidRPr="00B51BB8">
        <w:rPr>
          <w:rFonts w:ascii="Times New Roman" w:hAnsi="Times New Roman" w:cs="Times New Roman"/>
          <w:b/>
          <w:sz w:val="24"/>
          <w:szCs w:val="24"/>
        </w:rPr>
        <w:t>FREQUENTLY</w:t>
      </w:r>
    </w:p>
    <w:p w:rsidR="00C4205B" w:rsidP="005E2448" w14:paraId="4587C2F3" w14:textId="77777777">
      <w:pPr>
        <w:pStyle w:val="FERCparanumber"/>
        <w:widowControl/>
        <w:numPr>
          <w:ilvl w:val="0"/>
          <w:numId w:val="0"/>
        </w:numPr>
        <w:tabs>
          <w:tab w:val="left" w:pos="720"/>
        </w:tabs>
        <w:rPr>
          <w:rFonts w:ascii="Times New Roman" w:hAnsi="Times New Roman" w:cs="Times New Roman"/>
        </w:rPr>
      </w:pPr>
    </w:p>
    <w:p w:rsidR="006E47EF" w:rsidRPr="00B51BB8" w:rsidP="006E47EF" w14:paraId="163C65D1" w14:textId="1350258B">
      <w:pPr>
        <w:pStyle w:val="FERCparanumber"/>
        <w:widowControl/>
        <w:numPr>
          <w:ilvl w:val="0"/>
          <w:numId w:val="0"/>
        </w:numPr>
        <w:tabs>
          <w:tab w:val="left" w:pos="720"/>
        </w:tabs>
        <w:rPr>
          <w:rFonts w:ascii="Times New Roman" w:hAnsi="Times New Roman" w:cs="Times New Roman"/>
        </w:rPr>
      </w:pPr>
      <w:r w:rsidRPr="00757251">
        <w:rPr>
          <w:rFonts w:ascii="Times New Roman" w:hAnsi="Times New Roman" w:cs="Times New Roman"/>
        </w:rPr>
        <w:t>If the requirements of th</w:t>
      </w:r>
      <w:r w:rsidR="00C87CAF">
        <w:rPr>
          <w:rFonts w:ascii="Times New Roman" w:hAnsi="Times New Roman" w:cs="Times New Roman"/>
        </w:rPr>
        <w:t>e pertinent</w:t>
      </w:r>
      <w:r w:rsidRPr="00757251">
        <w:rPr>
          <w:rFonts w:ascii="Times New Roman" w:hAnsi="Times New Roman" w:cs="Times New Roman"/>
        </w:rPr>
        <w:t xml:space="preserve"> standard</w:t>
      </w:r>
      <w:r w:rsidR="00C87CAF">
        <w:rPr>
          <w:rFonts w:ascii="Times New Roman" w:hAnsi="Times New Roman" w:cs="Times New Roman"/>
        </w:rPr>
        <w:t>s</w:t>
      </w:r>
      <w:r w:rsidRPr="00757251">
        <w:rPr>
          <w:rFonts w:ascii="Times New Roman" w:hAnsi="Times New Roman" w:cs="Times New Roman"/>
        </w:rPr>
        <w:t xml:space="preserve"> (and </w:t>
      </w:r>
      <w:r w:rsidR="00C87CAF">
        <w:rPr>
          <w:rFonts w:ascii="Times New Roman" w:hAnsi="Times New Roman" w:cs="Times New Roman"/>
        </w:rPr>
        <w:t>their</w:t>
      </w:r>
      <w:r w:rsidRPr="00757251">
        <w:rPr>
          <w:rFonts w:ascii="Times New Roman" w:hAnsi="Times New Roman" w:cs="Times New Roman"/>
        </w:rPr>
        <w:t xml:space="preserve"> associated information collection requirements) were performed less frequently, NERC would not be provided the necessary information to appropriately maintain reserves nor adequately define events that predicate action under the Reliability Standard</w:t>
      </w:r>
      <w:r w:rsidR="001507EE">
        <w:rPr>
          <w:rFonts w:ascii="Times New Roman" w:hAnsi="Times New Roman" w:cs="Times New Roman"/>
        </w:rPr>
        <w:t>s</w:t>
      </w:r>
      <w:r w:rsidRPr="00757251">
        <w:rPr>
          <w:rFonts w:ascii="Times New Roman" w:hAnsi="Times New Roman" w:cs="Times New Roman"/>
        </w:rPr>
        <w:t>.  Without this data, NERC would not be able to ensure that interconnection frequency is maintained within predefined limits to improve reliability.</w:t>
      </w:r>
    </w:p>
    <w:p w:rsidR="006C0F0B" w:rsidRPr="00B51BB8" w:rsidP="002A4142" w14:paraId="5A597F29" w14:textId="77777777">
      <w:pPr>
        <w:spacing w:after="0" w:line="240" w:lineRule="auto"/>
        <w:rPr>
          <w:rFonts w:ascii="Times New Roman" w:hAnsi="Times New Roman" w:cs="Times New Roman"/>
          <w:sz w:val="24"/>
          <w:szCs w:val="24"/>
        </w:rPr>
      </w:pPr>
    </w:p>
    <w:p w:rsidR="00C4205B" w:rsidRPr="00B51BB8" w:rsidP="007C39D3" w14:paraId="36702F9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rsidR="00C4205B" w:rsidRPr="00B51BB8" w:rsidP="002A4142" w14:paraId="08DEC30C" w14:textId="77777777">
      <w:pPr>
        <w:spacing w:after="0" w:line="240" w:lineRule="auto"/>
        <w:rPr>
          <w:rFonts w:ascii="Times New Roman" w:hAnsi="Times New Roman" w:cs="Times New Roman"/>
          <w:b/>
          <w:bCs/>
          <w:sz w:val="24"/>
          <w:szCs w:val="24"/>
        </w:rPr>
      </w:pPr>
    </w:p>
    <w:p w:rsidR="00581276" w:rsidRPr="008619AB" w:rsidP="007B2F86" w14:paraId="7919F259" w14:textId="11804A3D">
      <w:pPr>
        <w:spacing w:after="0" w:line="240" w:lineRule="auto"/>
        <w:rPr>
          <w:rFonts w:ascii="Times New Roman" w:eastAsia="Calibri" w:hAnsi="Times New Roman" w:cs="Times New Roman"/>
          <w:sz w:val="24"/>
          <w:szCs w:val="24"/>
        </w:rPr>
      </w:pPr>
      <w:r w:rsidRPr="00757251">
        <w:rPr>
          <w:rFonts w:ascii="Times New Roman" w:eastAsia="Calibri" w:hAnsi="Times New Roman" w:cs="Times New Roman"/>
          <w:sz w:val="24"/>
          <w:szCs w:val="24"/>
        </w:rPr>
        <w:t>There are</w:t>
      </w:r>
      <w:r w:rsidRPr="00CB0831" w:rsidR="00CB0831">
        <w:rPr>
          <w:rFonts w:ascii="Times New Roman" w:eastAsia="Calibri" w:hAnsi="Times New Roman" w:cs="Times New Roman"/>
          <w:sz w:val="24"/>
          <w:szCs w:val="24"/>
        </w:rPr>
        <w:t xml:space="preserve"> no special circumstances</w:t>
      </w:r>
      <w:r w:rsidR="007B2F86">
        <w:rPr>
          <w:rFonts w:ascii="Times New Roman" w:eastAsia="Calibri" w:hAnsi="Times New Roman" w:cs="Times New Roman"/>
          <w:sz w:val="24"/>
          <w:szCs w:val="24"/>
        </w:rPr>
        <w:t>.</w:t>
      </w:r>
    </w:p>
    <w:p w:rsidR="006C0F0B" w:rsidRPr="00B51BB8" w:rsidP="002A4142" w14:paraId="2F2E2073" w14:textId="35ED4B84">
      <w:pPr>
        <w:spacing w:after="0" w:line="240" w:lineRule="auto"/>
        <w:rPr>
          <w:rFonts w:ascii="Times New Roman" w:hAnsi="Times New Roman" w:cs="Times New Roman"/>
          <w:sz w:val="24"/>
          <w:szCs w:val="24"/>
        </w:rPr>
      </w:pPr>
    </w:p>
    <w:p w:rsidR="00C4205B" w:rsidRPr="00BE59C7" w:rsidP="007C39D3" w14:paraId="179F99BF" w14:textId="15A4B5FE">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rsidR="00A35996" w:rsidP="00A35996" w14:paraId="6AE682CC" w14:textId="5B6F0B15">
      <w:pPr>
        <w:widowControl w:val="0"/>
        <w:autoSpaceDE w:val="0"/>
        <w:autoSpaceDN w:val="0"/>
        <w:adjustRightInd w:val="0"/>
        <w:spacing w:after="0" w:line="240" w:lineRule="auto"/>
        <w:rPr>
          <w:rFonts w:ascii="Times New Roman" w:hAnsi="Times New Roman" w:cs="Times New Roman"/>
          <w:b/>
          <w:bCs/>
          <w:sz w:val="24"/>
          <w:szCs w:val="24"/>
        </w:rPr>
      </w:pPr>
    </w:p>
    <w:p w:rsidR="00A35996" w:rsidP="00A35996" w14:paraId="4E091BEA" w14:textId="539CB2B5">
      <w:pPr>
        <w:widowControl w:val="0"/>
        <w:autoSpaceDE w:val="0"/>
        <w:autoSpaceDN w:val="0"/>
        <w:adjustRightInd w:val="0"/>
        <w:spacing w:after="0" w:line="240" w:lineRule="auto"/>
        <w:rPr>
          <w:rFonts w:ascii="Times New Roman" w:hAnsi="Times New Roman" w:cs="Times New Roman"/>
          <w:sz w:val="24"/>
          <w:szCs w:val="24"/>
        </w:rPr>
      </w:pPr>
      <w:r w:rsidRPr="00BE59C7">
        <w:rPr>
          <w:rFonts w:ascii="Times New Roman" w:hAnsi="Times New Roman" w:cs="Times New Roman"/>
          <w:sz w:val="24"/>
          <w:szCs w:val="24"/>
        </w:rPr>
        <w:t xml:space="preserve">The Commission </w:t>
      </w:r>
      <w:r>
        <w:rPr>
          <w:rFonts w:ascii="Times New Roman" w:hAnsi="Times New Roman" w:cs="Times New Roman"/>
          <w:sz w:val="24"/>
          <w:szCs w:val="24"/>
        </w:rPr>
        <w:t xml:space="preserve">issued </w:t>
      </w:r>
      <w:r w:rsidR="00D912A4">
        <w:rPr>
          <w:rFonts w:ascii="Times New Roman" w:hAnsi="Times New Roman" w:cs="Times New Roman"/>
          <w:sz w:val="24"/>
          <w:szCs w:val="24"/>
        </w:rPr>
        <w:t xml:space="preserve">a </w:t>
      </w:r>
      <w:r w:rsidR="00D912A4">
        <w:rPr>
          <w:rFonts w:ascii="Times New Roman" w:hAnsi="Times New Roman" w:cs="Times New Roman"/>
          <w:sz w:val="24"/>
          <w:szCs w:val="24"/>
        </w:rPr>
        <w:t>60 day</w:t>
      </w:r>
      <w:r w:rsidR="00D912A4">
        <w:rPr>
          <w:rFonts w:ascii="Times New Roman" w:hAnsi="Times New Roman" w:cs="Times New Roman"/>
          <w:sz w:val="24"/>
          <w:szCs w:val="24"/>
        </w:rPr>
        <w:t xml:space="preserve"> notice </w:t>
      </w:r>
      <w:r w:rsidR="00BE7F33">
        <w:rPr>
          <w:rFonts w:ascii="Times New Roman" w:hAnsi="Times New Roman" w:cs="Times New Roman"/>
          <w:sz w:val="24"/>
          <w:szCs w:val="24"/>
        </w:rPr>
        <w:t xml:space="preserve">on </w:t>
      </w:r>
      <w:r w:rsidR="00CF5416">
        <w:rPr>
          <w:rFonts w:ascii="Times New Roman" w:hAnsi="Times New Roman" w:cs="Times New Roman"/>
          <w:sz w:val="24"/>
          <w:szCs w:val="24"/>
        </w:rPr>
        <w:t xml:space="preserve">April </w:t>
      </w:r>
      <w:r>
        <w:rPr>
          <w:rFonts w:ascii="Times New Roman" w:hAnsi="Times New Roman" w:cs="Times New Roman"/>
          <w:sz w:val="24"/>
          <w:szCs w:val="24"/>
        </w:rPr>
        <w:t>7</w:t>
      </w:r>
      <w:r w:rsidR="00CF5416">
        <w:rPr>
          <w:rFonts w:ascii="Times New Roman" w:hAnsi="Times New Roman" w:cs="Times New Roman"/>
          <w:sz w:val="24"/>
          <w:szCs w:val="24"/>
        </w:rPr>
        <w:t>, 2025</w:t>
      </w:r>
      <w:r w:rsidR="00C012E5">
        <w:rPr>
          <w:rFonts w:ascii="Times New Roman" w:hAnsi="Times New Roman" w:cs="Times New Roman"/>
          <w:sz w:val="24"/>
          <w:szCs w:val="24"/>
        </w:rPr>
        <w:t xml:space="preserve">, and published the notice in the Federal Register on </w:t>
      </w:r>
      <w:r w:rsidR="00CF5416">
        <w:rPr>
          <w:rFonts w:ascii="Times New Roman" w:hAnsi="Times New Roman" w:cs="Times New Roman"/>
          <w:sz w:val="24"/>
          <w:szCs w:val="24"/>
        </w:rPr>
        <w:t>April 11, 2025</w:t>
      </w:r>
      <w:r w:rsidR="00A62BE9">
        <w:rPr>
          <w:rFonts w:ascii="Times New Roman" w:hAnsi="Times New Roman" w:cs="Times New Roman"/>
          <w:sz w:val="24"/>
          <w:szCs w:val="24"/>
        </w:rPr>
        <w:t xml:space="preserve"> (90 FR 15460)</w:t>
      </w:r>
      <w:r w:rsidR="001F10CB">
        <w:rPr>
          <w:rFonts w:ascii="Times New Roman" w:hAnsi="Times New Roman" w:cs="Times New Roman"/>
          <w:sz w:val="24"/>
          <w:szCs w:val="24"/>
        </w:rPr>
        <w:t>. There were no comments received.</w:t>
      </w:r>
    </w:p>
    <w:p w:rsidR="00A35996" w:rsidP="00A35996" w14:paraId="24FB69E3" w14:textId="48DD7C72">
      <w:pPr>
        <w:widowControl w:val="0"/>
        <w:autoSpaceDE w:val="0"/>
        <w:autoSpaceDN w:val="0"/>
        <w:adjustRightInd w:val="0"/>
        <w:spacing w:after="0" w:line="240" w:lineRule="auto"/>
        <w:rPr>
          <w:rFonts w:ascii="Times New Roman" w:hAnsi="Times New Roman" w:cs="Times New Roman"/>
          <w:sz w:val="24"/>
          <w:szCs w:val="24"/>
        </w:rPr>
      </w:pPr>
    </w:p>
    <w:p w:rsidR="00A35996" w:rsidRPr="00A35996" w:rsidP="00BE59C7" w14:paraId="4E512D09" w14:textId="5CD2C46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30-day PRA notice was </w:t>
      </w:r>
      <w:r w:rsidR="002373A5">
        <w:rPr>
          <w:rFonts w:ascii="Times New Roman" w:hAnsi="Times New Roman" w:cs="Times New Roman"/>
          <w:sz w:val="24"/>
          <w:szCs w:val="24"/>
        </w:rPr>
        <w:t xml:space="preserve">published </w:t>
      </w:r>
      <w:r w:rsidRPr="00835CBD" w:rsidR="002373A5">
        <w:rPr>
          <w:rFonts w:ascii="Times New Roman" w:hAnsi="Times New Roman" w:cs="Times New Roman"/>
          <w:sz w:val="24"/>
          <w:szCs w:val="24"/>
        </w:rPr>
        <w:t xml:space="preserve">on </w:t>
      </w:r>
      <w:r w:rsidRPr="00835CBD">
        <w:rPr>
          <w:rFonts w:ascii="Times New Roman" w:hAnsi="Times New Roman" w:cs="Times New Roman"/>
          <w:sz w:val="24"/>
          <w:szCs w:val="24"/>
        </w:rPr>
        <w:t>July</w:t>
      </w:r>
      <w:r w:rsidRPr="00835CBD" w:rsidR="002373A5">
        <w:rPr>
          <w:rFonts w:ascii="Times New Roman" w:hAnsi="Times New Roman" w:cs="Times New Roman"/>
          <w:sz w:val="24"/>
          <w:szCs w:val="24"/>
        </w:rPr>
        <w:t xml:space="preserve"> </w:t>
      </w:r>
      <w:r w:rsidRPr="00835CBD">
        <w:rPr>
          <w:rFonts w:ascii="Times New Roman" w:hAnsi="Times New Roman" w:cs="Times New Roman"/>
          <w:sz w:val="24"/>
          <w:szCs w:val="24"/>
        </w:rPr>
        <w:t>2</w:t>
      </w:r>
      <w:r w:rsidRPr="00835CBD" w:rsidR="00835CBD">
        <w:rPr>
          <w:rFonts w:ascii="Times New Roman" w:hAnsi="Times New Roman" w:cs="Times New Roman"/>
          <w:sz w:val="24"/>
          <w:szCs w:val="24"/>
        </w:rPr>
        <w:t>3</w:t>
      </w:r>
      <w:r w:rsidRPr="00835CBD" w:rsidR="002373A5">
        <w:rPr>
          <w:rFonts w:ascii="Times New Roman" w:hAnsi="Times New Roman" w:cs="Times New Roman"/>
          <w:sz w:val="24"/>
          <w:szCs w:val="24"/>
        </w:rPr>
        <w:t>, 202</w:t>
      </w:r>
      <w:r w:rsidRPr="00835CBD">
        <w:rPr>
          <w:rFonts w:ascii="Times New Roman" w:hAnsi="Times New Roman" w:cs="Times New Roman"/>
          <w:sz w:val="24"/>
          <w:szCs w:val="24"/>
        </w:rPr>
        <w:t>5</w:t>
      </w:r>
      <w:r w:rsidRPr="00835CBD" w:rsidR="002373A5">
        <w:rPr>
          <w:rFonts w:ascii="Times New Roman" w:hAnsi="Times New Roman" w:cs="Times New Roman"/>
          <w:sz w:val="24"/>
          <w:szCs w:val="24"/>
        </w:rPr>
        <w:t xml:space="preserve"> (</w:t>
      </w:r>
      <w:r>
        <w:rPr>
          <w:rFonts w:ascii="Times New Roman" w:hAnsi="Times New Roman" w:cs="Times New Roman"/>
          <w:sz w:val="24"/>
          <w:szCs w:val="24"/>
        </w:rPr>
        <w:t>90</w:t>
      </w:r>
      <w:r w:rsidRPr="00A21838" w:rsidR="002373A5">
        <w:rPr>
          <w:rFonts w:ascii="Times New Roman" w:hAnsi="Times New Roman" w:cs="Times New Roman"/>
          <w:sz w:val="24"/>
          <w:szCs w:val="24"/>
        </w:rPr>
        <w:t xml:space="preserve"> FR </w:t>
      </w:r>
      <w:r w:rsidR="00835CBD">
        <w:rPr>
          <w:rFonts w:ascii="Times New Roman" w:hAnsi="Times New Roman" w:cs="Times New Roman"/>
          <w:sz w:val="24"/>
          <w:szCs w:val="24"/>
        </w:rPr>
        <w:t>34654</w:t>
      </w:r>
      <w:r w:rsidRPr="00A21838" w:rsidR="002373A5">
        <w:rPr>
          <w:rFonts w:ascii="Times New Roman" w:hAnsi="Times New Roman" w:cs="Times New Roman"/>
          <w:sz w:val="24"/>
          <w:szCs w:val="24"/>
        </w:rPr>
        <w:t>).</w:t>
      </w:r>
    </w:p>
    <w:p w:rsidR="00C4205B" w:rsidRPr="00B51BB8" w:rsidP="002A4142" w14:paraId="60D9FBAE" w14:textId="77777777">
      <w:pPr>
        <w:spacing w:after="0" w:line="240" w:lineRule="auto"/>
        <w:rPr>
          <w:rFonts w:ascii="Times New Roman" w:hAnsi="Times New Roman" w:cs="Times New Roman"/>
          <w:b/>
          <w:bCs/>
          <w:sz w:val="24"/>
          <w:szCs w:val="24"/>
        </w:rPr>
      </w:pPr>
    </w:p>
    <w:p w:rsidR="00C4205B" w:rsidRPr="00B51BB8" w:rsidP="00F64A6F" w14:paraId="51E51154"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rsidR="00C4205B" w:rsidRPr="00B51BB8" w:rsidP="00F26A37" w14:paraId="5BD69B41" w14:textId="77777777">
      <w:pPr>
        <w:spacing w:after="0" w:line="240" w:lineRule="auto"/>
        <w:rPr>
          <w:rFonts w:ascii="Times New Roman" w:hAnsi="Times New Roman" w:cs="Times New Roman"/>
          <w:b/>
          <w:bCs/>
          <w:sz w:val="24"/>
          <w:szCs w:val="24"/>
        </w:rPr>
      </w:pPr>
    </w:p>
    <w:p w:rsidR="00C4205B" w:rsidRPr="00B51BB8" w:rsidP="00F26A37" w14:paraId="530F015A"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No payments or </w:t>
      </w:r>
      <w:r w:rsidRPr="00B51BB8">
        <w:rPr>
          <w:rFonts w:ascii="Times New Roman" w:hAnsi="Times New Roman" w:cs="Times New Roman"/>
          <w:sz w:val="24"/>
          <w:szCs w:val="24"/>
        </w:rPr>
        <w:t>gifts have been made to respondents.</w:t>
      </w:r>
    </w:p>
    <w:p w:rsidR="00391060" w:rsidRPr="00B51BB8" w:rsidP="00F26A37" w14:paraId="01B3B363" w14:textId="77777777">
      <w:pPr>
        <w:spacing w:after="0" w:line="240" w:lineRule="auto"/>
        <w:rPr>
          <w:rFonts w:ascii="Times New Roman" w:hAnsi="Times New Roman" w:cs="Times New Roman"/>
          <w:sz w:val="24"/>
          <w:szCs w:val="24"/>
        </w:rPr>
      </w:pPr>
    </w:p>
    <w:p w:rsidR="00C4205B" w:rsidRPr="00B51BB8" w:rsidP="007C39D3" w14:paraId="65F5A0B3"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rsidR="00C4205B" w:rsidRPr="00B51BB8" w:rsidP="00F26A37" w14:paraId="1B22D4AA" w14:textId="77777777">
      <w:pPr>
        <w:spacing w:after="0" w:line="240" w:lineRule="auto"/>
        <w:rPr>
          <w:rFonts w:ascii="Times New Roman" w:hAnsi="Times New Roman" w:cs="Times New Roman"/>
          <w:b/>
          <w:bCs/>
          <w:sz w:val="24"/>
          <w:szCs w:val="24"/>
        </w:rPr>
      </w:pPr>
    </w:p>
    <w:p w:rsidR="00F14924" w:rsidRPr="00B51BB8" w:rsidP="002A4142" w14:paraId="22453BE0" w14:textId="77777777">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Pr>
          <w:rFonts w:ascii="Times New Roman" w:hAnsi="Times New Roman" w:cs="Times New Roman"/>
          <w:bCs/>
          <w:sz w:val="24"/>
          <w:szCs w:val="24"/>
          <w:vertAlign w:val="superscript"/>
        </w:rPr>
        <w:footnoteReference w:id="9"/>
      </w:r>
      <w:r w:rsidRPr="00B51BB8">
        <w:rPr>
          <w:rFonts w:ascii="Times New Roman" w:hAnsi="Times New Roman" w:cs="Times New Roman"/>
          <w:bCs/>
          <w:sz w:val="24"/>
          <w:szCs w:val="24"/>
        </w:rPr>
        <w:t xml:space="preserve">, “…a Receiving Entity shall keep in confidence and not copy, disclose, or distribute any </w:t>
      </w:r>
      <w:r w:rsidRPr="00B51BB8">
        <w:rPr>
          <w:rFonts w:ascii="Times New Roman" w:hAnsi="Times New Roman" w:cs="Times New Roman"/>
          <w:bCs/>
          <w:sz w:val="24"/>
          <w:szCs w:val="24"/>
        </w:rPr>
        <w:t>Confidential Information or any part thereof without the permission of the Submitting Entity, except as otherwise legally required.”  This serves to protect confidential information submitted to NERC or Regional Entities.</w:t>
      </w:r>
    </w:p>
    <w:p w:rsidR="00F14924" w:rsidRPr="00B51BB8" w:rsidP="002A4142" w14:paraId="5516CA1A" w14:textId="77777777">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Pr="00B51BB8" w:rsidR="00522521">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rsidR="00C4205B" w:rsidRPr="00B51BB8" w:rsidP="002A4142" w14:paraId="66543D75" w14:textId="77777777">
      <w:pPr>
        <w:spacing w:after="0" w:line="240" w:lineRule="auto"/>
        <w:ind w:firstLine="720"/>
        <w:rPr>
          <w:rFonts w:ascii="Times New Roman" w:hAnsi="Times New Roman" w:cs="Times New Roman"/>
          <w:sz w:val="24"/>
          <w:szCs w:val="24"/>
        </w:rPr>
      </w:pPr>
    </w:p>
    <w:p w:rsidR="00C4205B" w:rsidP="002A4142" w14:paraId="48C68E91"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Pr="00B51BB8" w:rsidR="00E0001D">
        <w:rPr>
          <w:rFonts w:ascii="Times New Roman" w:hAnsi="Times New Roman" w:cs="Times New Roman"/>
          <w:b/>
          <w:bCs/>
          <w:sz w:val="24"/>
          <w:szCs w:val="24"/>
        </w:rPr>
        <w:t>, SUCH AS SEXUAL BEHAVIOR AND ATTITUDES, RELIGIOUS BELIEFS, AND OTHER MATTERS THAT ARE COMMONLY CONSIDERED PRIVATE</w:t>
      </w:r>
    </w:p>
    <w:p w:rsidR="00115F24" w:rsidRPr="00115F24" w:rsidP="00115F24" w14:paraId="04581B15"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3C19D0" w:rsidRPr="00115F24" w:rsidP="002A4142" w14:paraId="4313B644" w14:textId="72CFD30B">
      <w:pPr>
        <w:spacing w:line="240" w:lineRule="auto"/>
        <w:rPr>
          <w:rFonts w:ascii="Times New Roman" w:hAnsi="Times New Roman" w:cs="Times New Roman"/>
          <w:sz w:val="24"/>
          <w:szCs w:val="24"/>
        </w:rPr>
      </w:pPr>
      <w:r>
        <w:rPr>
          <w:rFonts w:ascii="Times New Roman" w:hAnsi="Times New Roman" w:cs="Times New Roman"/>
          <w:sz w:val="24"/>
          <w:szCs w:val="24"/>
        </w:rPr>
        <w:t>The</w:t>
      </w:r>
      <w:r w:rsidRPr="00B51BB8" w:rsidR="00F14924">
        <w:rPr>
          <w:rFonts w:ascii="Times New Roman" w:hAnsi="Times New Roman" w:cs="Times New Roman"/>
          <w:sz w:val="24"/>
          <w:szCs w:val="24"/>
        </w:rPr>
        <w:t xml:space="preserve"> collection do</w:t>
      </w:r>
      <w:r w:rsidR="006D6849">
        <w:rPr>
          <w:rFonts w:ascii="Times New Roman" w:hAnsi="Times New Roman" w:cs="Times New Roman"/>
          <w:sz w:val="24"/>
          <w:szCs w:val="24"/>
        </w:rPr>
        <w:t>es</w:t>
      </w:r>
      <w:r w:rsidRPr="00B51BB8" w:rsidR="00F14924">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rsidR="00C4205B" w:rsidRPr="00B51BB8" w:rsidP="007C39D3" w14:paraId="66442D0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rsidR="00FC11BA" w:rsidP="005E2448" w14:paraId="6080A668"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D705F3" w:rsidP="00D705F3" w14:paraId="2E0FCA1D" w14:textId="094E1ADB">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 xml:space="preserve">Based on the NERC Compliance Registry, as of November 20, 2024, we estimate that 97 balancing authorities (BAs) would be subject to mandatory compliance with proposed Reliability Standard BAL-007-1.  </w:t>
      </w:r>
    </w:p>
    <w:p w:rsidR="00D705F3" w:rsidRPr="00D705F3" w:rsidP="00D705F3" w14:paraId="138261A1" w14:textId="77777777">
      <w:pPr>
        <w:widowControl w:val="0"/>
        <w:autoSpaceDE w:val="0"/>
        <w:autoSpaceDN w:val="0"/>
        <w:adjustRightInd w:val="0"/>
        <w:spacing w:after="0" w:line="240" w:lineRule="auto"/>
        <w:rPr>
          <w:rFonts w:ascii="Times New Roman" w:hAnsi="Times New Roman" w:cs="Times New Roman"/>
          <w:sz w:val="24"/>
          <w:szCs w:val="24"/>
        </w:rPr>
      </w:pPr>
    </w:p>
    <w:tbl>
      <w:tblPr>
        <w:tblW w:w="9625" w:type="dxa"/>
        <w:tblLayout w:type="fixed"/>
        <w:tblLook w:val="04A0"/>
      </w:tblPr>
      <w:tblGrid>
        <w:gridCol w:w="1525"/>
        <w:gridCol w:w="1530"/>
        <w:gridCol w:w="1620"/>
        <w:gridCol w:w="1440"/>
        <w:gridCol w:w="1890"/>
        <w:gridCol w:w="1620"/>
      </w:tblGrid>
      <w:tr w14:paraId="04A1ABD2" w14:textId="77777777" w:rsidTr="00F707D9">
        <w:tblPrEx>
          <w:tblW w:w="9625" w:type="dxa"/>
          <w:tblLayout w:type="fixed"/>
          <w:tblLook w:val="04A0"/>
        </w:tblPrEx>
        <w:tc>
          <w:tcPr>
            <w:tcW w:w="9625" w:type="dxa"/>
            <w:gridSpan w:val="6"/>
            <w:shd w:val="clear" w:color="auto" w:fill="D0CECE"/>
          </w:tcPr>
          <w:p w:rsidR="00D705F3" w:rsidRPr="00D705F3" w:rsidP="00D705F3" w14:paraId="2EC98936"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Proposed Burden BAL-007-1 Docket No. RD25-5</w:t>
            </w:r>
          </w:p>
        </w:tc>
      </w:tr>
      <w:tr w14:paraId="3B8BE256" w14:textId="77777777" w:rsidTr="00F707D9">
        <w:tblPrEx>
          <w:tblW w:w="9625" w:type="dxa"/>
          <w:tblLayout w:type="fixed"/>
          <w:tblLook w:val="04A0"/>
        </w:tblPrEx>
        <w:trPr>
          <w:trHeight w:val="1241"/>
        </w:trPr>
        <w:tc>
          <w:tcPr>
            <w:tcW w:w="1525" w:type="dxa"/>
          </w:tcPr>
          <w:p w:rsidR="00D705F3" w:rsidRPr="00D705F3" w:rsidP="00D705F3" w14:paraId="49494A8A"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Reliability Standard</w:t>
            </w:r>
          </w:p>
        </w:tc>
        <w:tc>
          <w:tcPr>
            <w:tcW w:w="1530" w:type="dxa"/>
          </w:tcPr>
          <w:p w:rsidR="00D705F3" w:rsidRPr="00D705F3" w:rsidP="00D705F3" w14:paraId="1BBD7344"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Type and Number of Entity</w:t>
            </w:r>
            <w:r>
              <w:rPr>
                <w:rFonts w:ascii="Times New Roman" w:hAnsi="Times New Roman" w:cs="Times New Roman"/>
                <w:bCs/>
                <w:sz w:val="24"/>
                <w:szCs w:val="24"/>
                <w:vertAlign w:val="superscript"/>
              </w:rPr>
              <w:footnoteReference w:id="10"/>
            </w:r>
            <w:r w:rsidRPr="00D705F3">
              <w:rPr>
                <w:rFonts w:ascii="Times New Roman" w:hAnsi="Times New Roman" w:cs="Times New Roman"/>
                <w:sz w:val="24"/>
                <w:szCs w:val="24"/>
              </w:rPr>
              <w:t> </w:t>
            </w:r>
            <w:r w:rsidRPr="00D705F3">
              <w:rPr>
                <w:rFonts w:ascii="Times New Roman" w:hAnsi="Times New Roman" w:cs="Times New Roman"/>
                <w:b/>
                <w:sz w:val="24"/>
                <w:szCs w:val="24"/>
              </w:rPr>
              <w:t>(1)</w:t>
            </w:r>
            <w:r w:rsidRPr="00D705F3">
              <w:rPr>
                <w:rFonts w:ascii="Times New Roman" w:hAnsi="Times New Roman" w:cs="Times New Roman"/>
                <w:sz w:val="24"/>
                <w:szCs w:val="24"/>
              </w:rPr>
              <w:t> </w:t>
            </w:r>
          </w:p>
        </w:tc>
        <w:tc>
          <w:tcPr>
            <w:tcW w:w="1620" w:type="dxa"/>
          </w:tcPr>
          <w:p w:rsidR="00D705F3" w:rsidRPr="00D705F3" w:rsidP="00D705F3" w14:paraId="4DFBB718"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sz w:val="24"/>
                <w:szCs w:val="24"/>
              </w:rPr>
              <w:t>Number of Annual Responses Per Entity</w:t>
            </w:r>
            <w:r w:rsidRPr="00D705F3">
              <w:rPr>
                <w:rFonts w:ascii="Times New Roman" w:hAnsi="Times New Roman" w:cs="Times New Roman"/>
                <w:sz w:val="24"/>
                <w:szCs w:val="24"/>
              </w:rPr>
              <w:t> </w:t>
            </w:r>
            <w:r w:rsidRPr="00D705F3">
              <w:rPr>
                <w:rFonts w:ascii="Times New Roman" w:hAnsi="Times New Roman" w:cs="Times New Roman"/>
                <w:b/>
                <w:sz w:val="24"/>
                <w:szCs w:val="24"/>
              </w:rPr>
              <w:t>(2)</w:t>
            </w:r>
          </w:p>
        </w:tc>
        <w:tc>
          <w:tcPr>
            <w:tcW w:w="1440" w:type="dxa"/>
          </w:tcPr>
          <w:p w:rsidR="00D705F3" w:rsidRPr="00D705F3" w:rsidP="00D705F3" w14:paraId="4CABE0D2"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Total Number of Responses</w:t>
            </w:r>
            <w:r w:rsidRPr="00D705F3">
              <w:rPr>
                <w:rFonts w:ascii="Times New Roman" w:hAnsi="Times New Roman" w:cs="Times New Roman"/>
                <w:sz w:val="24"/>
                <w:szCs w:val="24"/>
              </w:rPr>
              <w:t> </w:t>
            </w:r>
          </w:p>
          <w:p w:rsidR="00D705F3" w:rsidRPr="00D705F3" w:rsidP="00D705F3" w14:paraId="78DCAE9A"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(1)*(2)=(3)</w:t>
            </w:r>
            <w:r w:rsidRPr="00D705F3">
              <w:rPr>
                <w:rFonts w:ascii="Times New Roman" w:hAnsi="Times New Roman" w:cs="Times New Roman"/>
                <w:sz w:val="24"/>
                <w:szCs w:val="24"/>
              </w:rPr>
              <w:t> </w:t>
            </w:r>
          </w:p>
        </w:tc>
        <w:tc>
          <w:tcPr>
            <w:tcW w:w="1890" w:type="dxa"/>
          </w:tcPr>
          <w:p w:rsidR="00D705F3" w:rsidRPr="00D705F3" w:rsidP="00D705F3" w14:paraId="452353BD"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 xml:space="preserve">Average </w:t>
            </w:r>
            <w:r w:rsidRPr="00D705F3">
              <w:rPr>
                <w:rFonts w:ascii="Times New Roman" w:hAnsi="Times New Roman" w:cs="Times New Roman"/>
                <w:b/>
                <w:bCs/>
                <w:sz w:val="24"/>
                <w:szCs w:val="24"/>
              </w:rPr>
              <w:t>Number</w:t>
            </w:r>
            <w:r w:rsidRPr="00D705F3">
              <w:rPr>
                <w:rFonts w:ascii="Times New Roman" w:hAnsi="Times New Roman" w:cs="Times New Roman"/>
                <w:b/>
                <w:bCs/>
                <w:sz w:val="24"/>
                <w:szCs w:val="24"/>
              </w:rPr>
              <w:t xml:space="preserve"> of Burden </w:t>
            </w:r>
            <w:r w:rsidRPr="00D705F3">
              <w:rPr>
                <w:rFonts w:ascii="Times New Roman" w:hAnsi="Times New Roman" w:cs="Times New Roman"/>
                <w:b/>
                <w:bCs/>
                <w:sz w:val="24"/>
                <w:szCs w:val="24"/>
              </w:rPr>
              <w:t>Hours per Response</w:t>
            </w:r>
            <w:r>
              <w:rPr>
                <w:rFonts w:ascii="Times New Roman" w:hAnsi="Times New Roman" w:cs="Times New Roman"/>
                <w:b/>
                <w:bCs/>
                <w:sz w:val="24"/>
                <w:szCs w:val="24"/>
                <w:vertAlign w:val="superscript"/>
              </w:rPr>
              <w:footnoteReference w:id="11"/>
            </w:r>
            <w:r w:rsidRPr="00D705F3">
              <w:rPr>
                <w:rFonts w:ascii="Times New Roman" w:hAnsi="Times New Roman" w:cs="Times New Roman"/>
                <w:sz w:val="24"/>
                <w:szCs w:val="24"/>
              </w:rPr>
              <w:t> </w:t>
            </w:r>
            <w:r w:rsidRPr="00D705F3">
              <w:rPr>
                <w:rFonts w:ascii="Times New Roman" w:hAnsi="Times New Roman" w:cs="Times New Roman"/>
                <w:b/>
                <w:bCs/>
                <w:sz w:val="24"/>
                <w:szCs w:val="24"/>
              </w:rPr>
              <w:t>(4)</w:t>
            </w:r>
            <w:r w:rsidRPr="00D705F3">
              <w:rPr>
                <w:rFonts w:ascii="Times New Roman" w:hAnsi="Times New Roman" w:cs="Times New Roman"/>
                <w:sz w:val="24"/>
                <w:szCs w:val="24"/>
              </w:rPr>
              <w:t> </w:t>
            </w:r>
          </w:p>
        </w:tc>
        <w:tc>
          <w:tcPr>
            <w:tcW w:w="1620" w:type="dxa"/>
          </w:tcPr>
          <w:p w:rsidR="00D705F3" w:rsidRPr="00D705F3" w:rsidP="00D705F3" w14:paraId="775054FF"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Total Burden Hours</w:t>
            </w:r>
            <w:r w:rsidRPr="00D705F3">
              <w:rPr>
                <w:rFonts w:ascii="Times New Roman" w:hAnsi="Times New Roman" w:cs="Times New Roman"/>
                <w:sz w:val="24"/>
                <w:szCs w:val="24"/>
              </w:rPr>
              <w:t> </w:t>
            </w:r>
          </w:p>
          <w:p w:rsidR="00D705F3" w:rsidRPr="00D705F3" w:rsidP="00D705F3" w14:paraId="5FD9A495"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(3)*(4)=(5)</w:t>
            </w:r>
            <w:r w:rsidRPr="00D705F3">
              <w:rPr>
                <w:rFonts w:ascii="Times New Roman" w:hAnsi="Times New Roman" w:cs="Times New Roman"/>
                <w:sz w:val="24"/>
                <w:szCs w:val="24"/>
              </w:rPr>
              <w:t> </w:t>
            </w:r>
          </w:p>
        </w:tc>
      </w:tr>
      <w:tr w14:paraId="6B9EA15B" w14:textId="77777777" w:rsidTr="00F707D9">
        <w:tblPrEx>
          <w:tblW w:w="9625" w:type="dxa"/>
          <w:tblLayout w:type="fixed"/>
          <w:tblLook w:val="04A0"/>
        </w:tblPrEx>
        <w:trPr>
          <w:trHeight w:val="548"/>
        </w:trPr>
        <w:tc>
          <w:tcPr>
            <w:tcW w:w="9625" w:type="dxa"/>
            <w:gridSpan w:val="6"/>
            <w:shd w:val="clear" w:color="auto" w:fill="D0CECE"/>
          </w:tcPr>
          <w:p w:rsidR="00D705F3" w:rsidRPr="00D705F3" w:rsidP="00D705F3" w14:paraId="0076E0E7"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Annual Collection BAL-007-1 FERC-725R</w:t>
            </w:r>
          </w:p>
        </w:tc>
      </w:tr>
      <w:tr w14:paraId="504FA3D1" w14:textId="77777777" w:rsidTr="00F707D9">
        <w:tblPrEx>
          <w:tblW w:w="9625" w:type="dxa"/>
          <w:tblLayout w:type="fixed"/>
          <w:tblLook w:val="04A0"/>
        </w:tblPrEx>
        <w:tc>
          <w:tcPr>
            <w:tcW w:w="1525" w:type="dxa"/>
          </w:tcPr>
          <w:p w:rsidR="00D705F3" w:rsidRPr="00D705F3" w:rsidP="00D705F3" w14:paraId="3FA11D0A"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Annual review and record retention</w:t>
            </w:r>
          </w:p>
        </w:tc>
        <w:tc>
          <w:tcPr>
            <w:tcW w:w="1530" w:type="dxa"/>
          </w:tcPr>
          <w:p w:rsidR="00D705F3" w:rsidRPr="00D705F3" w:rsidP="00D705F3" w14:paraId="22E3ED1D"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97 (BA)</w:t>
            </w:r>
          </w:p>
        </w:tc>
        <w:tc>
          <w:tcPr>
            <w:tcW w:w="1620" w:type="dxa"/>
          </w:tcPr>
          <w:p w:rsidR="00D705F3" w:rsidRPr="00D705F3" w:rsidP="00D705F3" w14:paraId="1D0C3B44"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1</w:t>
            </w:r>
          </w:p>
        </w:tc>
        <w:tc>
          <w:tcPr>
            <w:tcW w:w="1440" w:type="dxa"/>
          </w:tcPr>
          <w:p w:rsidR="00D705F3" w:rsidRPr="00D705F3" w:rsidP="00D705F3" w14:paraId="794A6F59"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97</w:t>
            </w:r>
          </w:p>
        </w:tc>
        <w:tc>
          <w:tcPr>
            <w:tcW w:w="1890" w:type="dxa"/>
          </w:tcPr>
          <w:p w:rsidR="00D705F3" w:rsidRPr="00D705F3" w:rsidP="00D705F3" w14:paraId="379EACC2"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24 hrs.</w:t>
            </w:r>
          </w:p>
          <w:p w:rsidR="00D705F3" w:rsidRPr="00D705F3" w:rsidP="00D705F3" w14:paraId="5D565907"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$ 70.67/</w:t>
            </w:r>
            <w:r w:rsidRPr="00D705F3">
              <w:rPr>
                <w:rFonts w:ascii="Times New Roman" w:hAnsi="Times New Roman" w:cs="Times New Roman"/>
                <w:sz w:val="24"/>
                <w:szCs w:val="24"/>
              </w:rPr>
              <w:t>hr</w:t>
            </w:r>
          </w:p>
        </w:tc>
        <w:tc>
          <w:tcPr>
            <w:tcW w:w="1620" w:type="dxa"/>
          </w:tcPr>
          <w:p w:rsidR="00D705F3" w:rsidRPr="00D705F3" w:rsidP="00D705F3" w14:paraId="54A2577B"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 xml:space="preserve"> 2,328 hrs.</w:t>
            </w:r>
          </w:p>
          <w:p w:rsidR="00D705F3" w:rsidRPr="00D705F3" w:rsidP="00D705F3" w14:paraId="7302DFC6"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$ 164,519.76</w:t>
            </w:r>
          </w:p>
        </w:tc>
      </w:tr>
      <w:tr w14:paraId="2D9EC34C" w14:textId="77777777" w:rsidTr="00F707D9">
        <w:tblPrEx>
          <w:tblW w:w="9625" w:type="dxa"/>
          <w:tblLayout w:type="fixed"/>
          <w:tblLook w:val="04A0"/>
        </w:tblPrEx>
        <w:trPr>
          <w:trHeight w:val="593"/>
        </w:trPr>
        <w:tc>
          <w:tcPr>
            <w:tcW w:w="1525" w:type="dxa"/>
          </w:tcPr>
          <w:p w:rsidR="00D705F3" w:rsidRPr="00D705F3" w:rsidP="00D705F3" w14:paraId="1A4C708E"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Total for BAL-007-1</w:t>
            </w:r>
          </w:p>
        </w:tc>
        <w:tc>
          <w:tcPr>
            <w:tcW w:w="1530" w:type="dxa"/>
            <w:shd w:val="clear" w:color="auto" w:fill="BFBFBF"/>
          </w:tcPr>
          <w:p w:rsidR="00D705F3" w:rsidRPr="00D705F3" w:rsidP="00D705F3" w14:paraId="0186B315" w14:textId="77777777">
            <w:pPr>
              <w:widowControl w:val="0"/>
              <w:autoSpaceDE w:val="0"/>
              <w:autoSpaceDN w:val="0"/>
              <w:adjustRightInd w:val="0"/>
              <w:spacing w:after="0" w:line="240" w:lineRule="auto"/>
              <w:rPr>
                <w:rFonts w:ascii="Times New Roman" w:hAnsi="Times New Roman" w:cs="Times New Roman"/>
                <w:sz w:val="24"/>
                <w:szCs w:val="24"/>
              </w:rPr>
            </w:pPr>
          </w:p>
        </w:tc>
        <w:tc>
          <w:tcPr>
            <w:tcW w:w="1620" w:type="dxa"/>
            <w:shd w:val="clear" w:color="auto" w:fill="BFBFBF"/>
          </w:tcPr>
          <w:p w:rsidR="00D705F3" w:rsidRPr="00D705F3" w:rsidP="00D705F3" w14:paraId="2790E8A6" w14:textId="77777777">
            <w:pPr>
              <w:widowControl w:val="0"/>
              <w:autoSpaceDE w:val="0"/>
              <w:autoSpaceDN w:val="0"/>
              <w:adjustRightInd w:val="0"/>
              <w:spacing w:after="0" w:line="240" w:lineRule="auto"/>
              <w:rPr>
                <w:rFonts w:ascii="Times New Roman" w:hAnsi="Times New Roman" w:cs="Times New Roman"/>
                <w:sz w:val="24"/>
                <w:szCs w:val="24"/>
              </w:rPr>
            </w:pPr>
          </w:p>
        </w:tc>
        <w:tc>
          <w:tcPr>
            <w:tcW w:w="1440" w:type="dxa"/>
          </w:tcPr>
          <w:p w:rsidR="00D705F3" w:rsidRPr="00D705F3" w:rsidP="00D705F3" w14:paraId="7D39EEBC"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b/>
                <w:bCs/>
                <w:sz w:val="24"/>
                <w:szCs w:val="24"/>
              </w:rPr>
              <w:t>97</w:t>
            </w:r>
          </w:p>
        </w:tc>
        <w:tc>
          <w:tcPr>
            <w:tcW w:w="1890" w:type="dxa"/>
            <w:shd w:val="clear" w:color="auto" w:fill="BFBFBF"/>
          </w:tcPr>
          <w:p w:rsidR="00D705F3" w:rsidRPr="00D705F3" w:rsidP="00D705F3" w14:paraId="3288A41C" w14:textId="77777777">
            <w:pPr>
              <w:widowControl w:val="0"/>
              <w:autoSpaceDE w:val="0"/>
              <w:autoSpaceDN w:val="0"/>
              <w:adjustRightInd w:val="0"/>
              <w:spacing w:after="0" w:line="240" w:lineRule="auto"/>
              <w:rPr>
                <w:rFonts w:ascii="Times New Roman" w:hAnsi="Times New Roman" w:cs="Times New Roman"/>
                <w:sz w:val="24"/>
                <w:szCs w:val="24"/>
              </w:rPr>
            </w:pPr>
          </w:p>
        </w:tc>
        <w:tc>
          <w:tcPr>
            <w:tcW w:w="1620" w:type="dxa"/>
          </w:tcPr>
          <w:p w:rsidR="00D705F3" w:rsidRPr="00D705F3" w:rsidP="00D705F3" w14:paraId="3F0CA781"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2,328 hrs.</w:t>
            </w:r>
          </w:p>
          <w:p w:rsidR="00D705F3" w:rsidRPr="00D705F3" w:rsidP="00D705F3" w14:paraId="6382D7D4" w14:textId="77777777">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$ 164,519.76</w:t>
            </w:r>
          </w:p>
        </w:tc>
      </w:tr>
    </w:tbl>
    <w:p w:rsidR="00D705F3" w:rsidRPr="00D705F3" w:rsidP="00D705F3" w14:paraId="3EB707F0" w14:textId="77777777">
      <w:pPr>
        <w:widowControl w:val="0"/>
        <w:autoSpaceDE w:val="0"/>
        <w:autoSpaceDN w:val="0"/>
        <w:adjustRightInd w:val="0"/>
        <w:spacing w:after="0" w:line="240" w:lineRule="auto"/>
        <w:rPr>
          <w:rFonts w:ascii="Times New Roman" w:hAnsi="Times New Roman" w:cs="Times New Roman"/>
          <w:i/>
          <w:sz w:val="24"/>
          <w:szCs w:val="24"/>
        </w:rPr>
      </w:pPr>
    </w:p>
    <w:p w:rsidR="00D705F3" w:rsidRPr="00D705F3" w:rsidP="00D705F3" w14:paraId="1D3B057D" w14:textId="77777777">
      <w:pPr>
        <w:widowControl w:val="0"/>
        <w:autoSpaceDE w:val="0"/>
        <w:autoSpaceDN w:val="0"/>
        <w:adjustRightInd w:val="0"/>
        <w:spacing w:after="0" w:line="240" w:lineRule="auto"/>
        <w:rPr>
          <w:rFonts w:ascii="Times New Roman" w:hAnsi="Times New Roman" w:cs="Times New Roman"/>
          <w:sz w:val="24"/>
          <w:szCs w:val="24"/>
        </w:rPr>
      </w:pPr>
    </w:p>
    <w:p w:rsidR="00D705F3" w:rsidRPr="00D705F3" w:rsidP="00D705F3" w14:paraId="7C4E559D" w14:textId="71015AF1">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 xml:space="preserve">The annual responses and burden hours for proposed Reliability Standard BAL-007-1 is 97 </w:t>
      </w:r>
      <w:r w:rsidRPr="00D705F3">
        <w:rPr>
          <w:rFonts w:ascii="Times New Roman" w:hAnsi="Times New Roman" w:cs="Times New Roman"/>
          <w:sz w:val="24"/>
          <w:szCs w:val="24"/>
        </w:rPr>
        <w:t>responses;</w:t>
      </w:r>
      <w:r w:rsidRPr="00D705F3">
        <w:rPr>
          <w:rFonts w:ascii="Times New Roman" w:hAnsi="Times New Roman" w:cs="Times New Roman"/>
          <w:sz w:val="24"/>
          <w:szCs w:val="24"/>
        </w:rPr>
        <w:t xml:space="preserve"> 2,328 hours. </w:t>
      </w:r>
    </w:p>
    <w:p w:rsidR="00D705F3" w:rsidRPr="00D705F3" w:rsidP="00D705F3" w14:paraId="643753A1" w14:textId="17B2217F">
      <w:pPr>
        <w:widowControl w:val="0"/>
        <w:autoSpaceDE w:val="0"/>
        <w:autoSpaceDN w:val="0"/>
        <w:adjustRightInd w:val="0"/>
        <w:spacing w:after="0" w:line="240" w:lineRule="auto"/>
        <w:rPr>
          <w:rFonts w:ascii="Times New Roman" w:hAnsi="Times New Roman" w:cs="Times New Roman"/>
          <w:sz w:val="24"/>
          <w:szCs w:val="24"/>
        </w:rPr>
      </w:pPr>
      <w:r w:rsidRPr="00D705F3">
        <w:rPr>
          <w:rFonts w:ascii="Times New Roman" w:hAnsi="Times New Roman" w:cs="Times New Roman"/>
          <w:sz w:val="24"/>
          <w:szCs w:val="24"/>
        </w:rPr>
        <w:t>The annual cost burden is $ 164,519.76 for proposed Reliability Standard BAL-007-1</w:t>
      </w:r>
      <w:r>
        <w:rPr>
          <w:rFonts w:ascii="Times New Roman" w:hAnsi="Times New Roman" w:cs="Times New Roman"/>
          <w:sz w:val="24"/>
          <w:szCs w:val="24"/>
        </w:rPr>
        <w:t>.</w:t>
      </w:r>
    </w:p>
    <w:p w:rsidR="003C4B09" w:rsidRPr="00B51BB8" w:rsidP="00D705F3" w14:paraId="62C5B5A6" w14:textId="77777777">
      <w:pPr>
        <w:widowControl w:val="0"/>
        <w:autoSpaceDE w:val="0"/>
        <w:autoSpaceDN w:val="0"/>
        <w:adjustRightInd w:val="0"/>
        <w:spacing w:after="0" w:line="240" w:lineRule="auto"/>
        <w:rPr>
          <w:rFonts w:ascii="Times New Roman" w:hAnsi="Times New Roman" w:cs="Times New Roman"/>
          <w:sz w:val="24"/>
          <w:szCs w:val="24"/>
        </w:rPr>
      </w:pPr>
    </w:p>
    <w:p w:rsidR="00C4205B" w:rsidRPr="00B51BB8" w:rsidP="005E2448" w14:paraId="7408662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rsidR="002359F6" w:rsidRPr="00B51BB8" w:rsidP="002A4142" w14:paraId="0144A37E" w14:textId="77777777">
      <w:pPr>
        <w:spacing w:after="0" w:line="240" w:lineRule="auto"/>
        <w:rPr>
          <w:rFonts w:ascii="Times New Roman" w:hAnsi="Times New Roman" w:cs="Times New Roman"/>
          <w:sz w:val="24"/>
          <w:szCs w:val="24"/>
        </w:rPr>
      </w:pPr>
    </w:p>
    <w:p w:rsidR="002359F6" w:rsidRPr="00B51BB8" w:rsidP="002A4142" w14:paraId="4140D5D7" w14:textId="297EAC1E">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bookmarkStart w:id="0" w:name="_Ref500412215"/>
      <w:r w:rsidRPr="00954D7E" w:rsidR="003C4B09">
        <w:rPr>
          <w:rStyle w:val="FootnoteReference"/>
          <w:rFonts w:ascii="Times New Roman" w:hAnsi="Times New Roman" w:cs="Times New Roman"/>
          <w:sz w:val="24"/>
          <w:szCs w:val="24"/>
          <w:vertAlign w:val="superscript"/>
        </w:rPr>
        <w:t xml:space="preserve"> </w:t>
      </w:r>
      <w:bookmarkEnd w:id="0"/>
    </w:p>
    <w:p w:rsidR="002359F6" w:rsidRPr="00B51BB8" w:rsidP="0079402D" w14:paraId="6F58745E" w14:textId="77777777">
      <w:pPr>
        <w:spacing w:after="0" w:line="240" w:lineRule="auto"/>
        <w:ind w:right="-720"/>
        <w:rPr>
          <w:rFonts w:ascii="Times New Roman" w:hAnsi="Times New Roman" w:cs="Times New Roman"/>
          <w:sz w:val="24"/>
          <w:szCs w:val="24"/>
        </w:rPr>
      </w:pPr>
    </w:p>
    <w:p w:rsidR="002359F6" w:rsidRPr="00B51BB8" w:rsidP="002A4142" w14:paraId="2F752898" w14:textId="77777777">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rsidR="002359F6" w:rsidRPr="00B51BB8" w:rsidP="002A4142" w14:paraId="3CA31F2B" w14:textId="77777777">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rsidR="002359F6" w:rsidRPr="00B51BB8" w:rsidP="002A4142" w14:paraId="58EF8731" w14:textId="77777777">
      <w:pPr>
        <w:spacing w:after="0" w:line="240" w:lineRule="auto"/>
        <w:rPr>
          <w:rFonts w:ascii="Times New Roman" w:hAnsi="Times New Roman" w:cs="Times New Roman"/>
          <w:sz w:val="24"/>
          <w:szCs w:val="24"/>
        </w:rPr>
      </w:pPr>
    </w:p>
    <w:p w:rsidR="002359F6" w:rsidRPr="00B51BB8" w:rsidP="002A4142" w14:paraId="78224315" w14:textId="75D136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of the costs </w:t>
      </w:r>
      <w:r w:rsidRPr="00B51BB8">
        <w:rPr>
          <w:rFonts w:ascii="Times New Roman" w:hAnsi="Times New Roman" w:cs="Times New Roman"/>
          <w:sz w:val="24"/>
          <w:szCs w:val="24"/>
        </w:rPr>
        <w:t xml:space="preserve">are associated with burden hours (labor) and described in Questions #12 and #15 in this supporting statement. </w:t>
      </w:r>
    </w:p>
    <w:p w:rsidR="003C19D0" w:rsidRPr="00B51BB8" w:rsidP="00954D7E" w14:paraId="55746621" w14:textId="77777777">
      <w:pPr>
        <w:spacing w:after="0" w:line="240" w:lineRule="auto"/>
        <w:rPr>
          <w:rFonts w:ascii="Times New Roman" w:hAnsi="Times New Roman" w:cs="Times New Roman"/>
          <w:sz w:val="24"/>
          <w:szCs w:val="24"/>
        </w:rPr>
      </w:pPr>
    </w:p>
    <w:p w:rsidR="00C4205B" w:rsidRPr="00B51BB8" w:rsidP="007C39D3" w14:paraId="6D7ED03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rsidR="00C4205B" w:rsidRPr="00B51BB8" w:rsidP="0007783F" w14:paraId="35077C3E" w14:textId="77777777">
      <w:pPr>
        <w:spacing w:after="0" w:line="240" w:lineRule="auto"/>
        <w:rPr>
          <w:rFonts w:ascii="Times New Roman" w:hAnsi="Times New Roman" w:cs="Times New Roman"/>
          <w:b/>
          <w:bCs/>
          <w:sz w:val="24"/>
          <w:szCs w:val="24"/>
        </w:rPr>
      </w:pPr>
    </w:p>
    <w:p w:rsidR="00BA2E0E" w:rsidP="00BA2E0E" w14:paraId="41A2AE2C" w14:textId="181DA55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rsidR="00BA2E0E" w:rsidP="0007783F" w14:paraId="1B2682AE" w14:textId="77777777">
      <w:pPr>
        <w:spacing w:after="0" w:line="240" w:lineRule="auto"/>
        <w:rPr>
          <w:rFonts w:ascii="Times New Roman" w:hAnsi="Times New Roman" w:cs="Times New Roman"/>
          <w:sz w:val="24"/>
          <w:szCs w:val="24"/>
        </w:rPr>
      </w:pPr>
    </w:p>
    <w:p w:rsidR="002359F6" w:rsidP="0007783F" w14:paraId="19583A65" w14:textId="2614A56D">
      <w:pPr>
        <w:spacing w:after="0" w:line="240" w:lineRule="auto"/>
        <w:rPr>
          <w:rFonts w:ascii="Times New Roman" w:hAnsi="Times New Roman" w:cs="Times New Roman"/>
          <w:sz w:val="24"/>
          <w:szCs w:val="24"/>
        </w:rPr>
      </w:pPr>
      <w:r w:rsidRPr="00BA2E0E">
        <w:rPr>
          <w:rFonts w:ascii="Times New Roman" w:hAnsi="Times New Roman" w:cs="Times New Roman"/>
          <w:sz w:val="24"/>
          <w:szCs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BA2E0E" w:rsidRPr="00B51BB8" w:rsidP="0007783F" w14:paraId="12461808" w14:textId="77777777">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286DB52A" w14:textId="77777777" w:rsidTr="00C5545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9922B2" w:rsidRPr="00B51BB8" w:rsidP="00C55457" w14:paraId="2F32332B" w14:textId="23118AF4">
            <w:pPr>
              <w:spacing w:after="0" w:line="240" w:lineRule="auto"/>
              <w:rPr>
                <w:rFonts w:ascii="Times New Roman" w:hAnsi="Times New Roman" w:cs="Times New Roman"/>
                <w:b/>
                <w:sz w:val="24"/>
                <w:szCs w:val="24"/>
              </w:rPr>
            </w:pPr>
            <w:r>
              <w:rPr>
                <w:rFonts w:ascii="Times New Roman" w:hAnsi="Times New Roman" w:cs="Times New Roman"/>
                <w:b/>
                <w:sz w:val="24"/>
                <w:szCs w:val="24"/>
              </w:rPr>
              <w:t>FERC-725R</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9922B2" w:rsidRPr="00B51BB8" w:rsidP="00C55457" w14:paraId="33E1D156"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9922B2" w:rsidRPr="00B51BB8" w:rsidP="00C55457" w14:paraId="7928AC7A"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14:paraId="678FD3DB" w14:textId="77777777" w:rsidTr="00C5545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9922B2" w:rsidRPr="00B51BB8" w:rsidP="00C55457" w14:paraId="13CBD504"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and Processing of </w:t>
            </w:r>
            <w:r w:rsidRPr="00B51BB8">
              <w:rPr>
                <w:rFonts w:ascii="Times New Roman" w:hAnsi="Times New Roman" w:cs="Times New Roman"/>
                <w:sz w:val="24"/>
                <w:szCs w:val="24"/>
              </w:rPr>
              <w:t>filings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9922B2" w:rsidRPr="00B51BB8" w:rsidP="00C55457" w14:paraId="0DB7BC3E"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9922B2" w:rsidRPr="00B51BB8" w:rsidP="00C55457" w14:paraId="5CBD5C6E"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14:paraId="1935C1FE" w14:textId="77777777" w:rsidTr="00C5545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9922B2" w:rsidRPr="00B51BB8" w14:paraId="13BF67FB" w14:textId="10C9E659">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22B2" w:rsidRPr="00B51BB8" w:rsidP="00C55457" w14:paraId="3104BF7B" w14:textId="7777777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9922B2" w:rsidRPr="00FD7738" w:rsidP="000E1B92" w14:paraId="1E32AD79" w14:textId="14FAAF24">
            <w:pPr>
              <w:spacing w:after="0" w:line="240" w:lineRule="auto"/>
              <w:jc w:val="right"/>
              <w:rPr>
                <w:rFonts w:ascii="Times New Roman" w:hAnsi="Times New Roman" w:cs="Times New Roman"/>
                <w:bCs/>
                <w:sz w:val="24"/>
                <w:szCs w:val="24"/>
              </w:rPr>
            </w:pPr>
            <w:r w:rsidRPr="00FD7738">
              <w:rPr>
                <w:rFonts w:ascii="Times New Roman" w:hAnsi="Times New Roman" w:cs="Times New Roman"/>
                <w:bCs/>
                <w:sz w:val="24"/>
                <w:szCs w:val="24"/>
              </w:rPr>
              <w:t>$</w:t>
            </w:r>
            <w:r w:rsidR="009F7018">
              <w:rPr>
                <w:rFonts w:ascii="Times New Roman" w:hAnsi="Times New Roman" w:cs="Times New Roman"/>
                <w:bCs/>
                <w:sz w:val="24"/>
                <w:szCs w:val="24"/>
              </w:rPr>
              <w:t>7,978</w:t>
            </w:r>
          </w:p>
        </w:tc>
      </w:tr>
      <w:tr w14:paraId="7DB1F3A0" w14:textId="77777777" w:rsidTr="00C5545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9922B2" w:rsidRPr="00B51BB8" w:rsidP="00C55457" w14:paraId="3E5FE83E"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22B2" w:rsidRPr="00B51BB8" w:rsidP="00C55457" w14:paraId="005D6A7E" w14:textId="7777777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9922B2" w:rsidRPr="00FD7738" w:rsidP="000E1B92" w14:paraId="1ACB20B1" w14:textId="32F6A7A7">
            <w:pPr>
              <w:spacing w:after="0" w:line="240" w:lineRule="auto"/>
              <w:jc w:val="right"/>
              <w:rPr>
                <w:rFonts w:ascii="Times New Roman" w:hAnsi="Times New Roman" w:cs="Times New Roman"/>
                <w:bCs/>
                <w:sz w:val="24"/>
                <w:szCs w:val="24"/>
              </w:rPr>
            </w:pPr>
            <w:r w:rsidRPr="00FD7738">
              <w:rPr>
                <w:rFonts w:ascii="Times New Roman" w:hAnsi="Times New Roman" w:cs="Times New Roman"/>
                <w:bCs/>
                <w:sz w:val="24"/>
                <w:szCs w:val="24"/>
              </w:rPr>
              <w:t>$</w:t>
            </w:r>
            <w:r w:rsidR="009F7018">
              <w:rPr>
                <w:rFonts w:ascii="Times New Roman" w:hAnsi="Times New Roman" w:cs="Times New Roman"/>
                <w:bCs/>
                <w:sz w:val="24"/>
                <w:szCs w:val="24"/>
              </w:rPr>
              <w:t>7,978</w:t>
            </w:r>
          </w:p>
        </w:tc>
      </w:tr>
    </w:tbl>
    <w:p w:rsidR="009922B2" w:rsidRPr="00B51BB8" w:rsidP="00BA2E0E" w14:paraId="2EDC3ABC" w14:textId="77777777">
      <w:pPr>
        <w:spacing w:after="0" w:line="240" w:lineRule="auto"/>
        <w:rPr>
          <w:rFonts w:ascii="Times New Roman" w:hAnsi="Times New Roman" w:cs="Times New Roman"/>
          <w:sz w:val="24"/>
          <w:szCs w:val="24"/>
        </w:rPr>
      </w:pPr>
    </w:p>
    <w:p w:rsidR="00C4205B" w:rsidRPr="008E0E55" w:rsidP="007C39D3" w14:paraId="51C610A4" w14:textId="7752C51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rsidR="008E0E55" w:rsidP="008E0E55" w14:paraId="3D601DC8" w14:textId="2B63696F">
      <w:pPr>
        <w:widowControl w:val="0"/>
        <w:autoSpaceDE w:val="0"/>
        <w:autoSpaceDN w:val="0"/>
        <w:adjustRightInd w:val="0"/>
        <w:spacing w:after="0" w:line="240" w:lineRule="auto"/>
        <w:rPr>
          <w:rFonts w:ascii="Times New Roman" w:hAnsi="Times New Roman" w:cs="Times New Roman"/>
          <w:b/>
          <w:bCs/>
          <w:sz w:val="24"/>
          <w:szCs w:val="24"/>
        </w:rPr>
      </w:pPr>
    </w:p>
    <w:p w:rsidR="00F825DB" w:rsidP="008E0E55" w14:paraId="589AA44B" w14:textId="53B51020">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hAnsi="Times New Roman" w:cs="Times New Roman"/>
          <w:sz w:val="24"/>
          <w:szCs w:val="24"/>
        </w:rPr>
        <w:t xml:space="preserve">The information collection contained in FERC 725R </w:t>
      </w:r>
      <w:r w:rsidR="00FF6276">
        <w:rPr>
          <w:rFonts w:ascii="Times New Roman" w:hAnsi="Times New Roman" w:cs="Times New Roman"/>
          <w:sz w:val="24"/>
          <w:szCs w:val="24"/>
        </w:rPr>
        <w:t xml:space="preserve">is adding a new reliability standard, BAL-007-1, </w:t>
      </w:r>
      <w:r w:rsidRPr="00FF6276" w:rsidR="00FF6276">
        <w:rPr>
          <w:rFonts w:ascii="Times New Roman" w:eastAsia="Times New Roman" w:hAnsi="Times New Roman" w:cs="Times New Roman"/>
          <w:sz w:val="26"/>
          <w:szCs w:val="26"/>
        </w:rPr>
        <w:t>Near-Term ERA</w:t>
      </w:r>
      <w:r w:rsidR="008E4E3E">
        <w:rPr>
          <w:rFonts w:ascii="Times New Roman" w:eastAsia="Times New Roman" w:hAnsi="Times New Roman" w:cs="Times New Roman"/>
          <w:sz w:val="26"/>
          <w:szCs w:val="26"/>
        </w:rPr>
        <w:t xml:space="preserve">.  Burden has been added to reflect the 97 </w:t>
      </w:r>
      <w:r w:rsidR="00A422A8">
        <w:rPr>
          <w:rFonts w:ascii="Times New Roman" w:eastAsia="Times New Roman" w:hAnsi="Times New Roman" w:cs="Times New Roman"/>
          <w:sz w:val="26"/>
          <w:szCs w:val="26"/>
        </w:rPr>
        <w:t>annual responses and 2,328 hours.</w:t>
      </w:r>
      <w:r w:rsidR="00165FBF">
        <w:rPr>
          <w:rFonts w:ascii="Times New Roman" w:eastAsia="Times New Roman" w:hAnsi="Times New Roman" w:cs="Times New Roman"/>
          <w:sz w:val="26"/>
          <w:szCs w:val="26"/>
        </w:rPr>
        <w:t xml:space="preserve">  The were no changes made to the remaining Reliability standards that fall under FERC-725R.</w:t>
      </w:r>
    </w:p>
    <w:p w:rsidR="008E4E3E" w:rsidP="008E0E55" w14:paraId="15A27B95" w14:textId="77777777">
      <w:pPr>
        <w:widowControl w:val="0"/>
        <w:autoSpaceDE w:val="0"/>
        <w:autoSpaceDN w:val="0"/>
        <w:adjustRightInd w:val="0"/>
        <w:spacing w:after="0" w:line="240" w:lineRule="auto"/>
        <w:rPr>
          <w:rFonts w:ascii="Times New Roman" w:hAnsi="Times New Roman" w:cs="Times New Roman"/>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2700"/>
      </w:tblGrid>
      <w:tr w14:paraId="1C4818F5" w14:textId="77777777" w:rsidTr="00165FBF">
        <w:tblPrEx>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165FBF" w:rsidRPr="00F825DB" w:rsidP="00F825DB" w14:paraId="6821372A" w14:textId="42F7FD71">
            <w:pPr>
              <w:widowControl w:val="0"/>
              <w:autoSpaceDE w:val="0"/>
              <w:autoSpaceDN w:val="0"/>
              <w:adjustRightInd w:val="0"/>
              <w:spacing w:after="0" w:line="240" w:lineRule="auto"/>
              <w:rPr>
                <w:rFonts w:ascii="Times New Roman" w:hAnsi="Times New Roman" w:cs="Times New Roman"/>
                <w:b/>
                <w:sz w:val="24"/>
                <w:szCs w:val="24"/>
              </w:rPr>
            </w:pPr>
            <w:r w:rsidRPr="00F825DB">
              <w:rPr>
                <w:rFonts w:ascii="Times New Roman" w:hAnsi="Times New Roman" w:cs="Times New Roman"/>
                <w:b/>
                <w:sz w:val="24"/>
                <w:szCs w:val="24"/>
              </w:rPr>
              <w:t>FERC-725</w:t>
            </w:r>
            <w:r>
              <w:rPr>
                <w:rFonts w:ascii="Times New Roman" w:hAnsi="Times New Roman" w:cs="Times New Roman"/>
                <w:b/>
                <w:sz w:val="24"/>
                <w:szCs w:val="24"/>
              </w:rPr>
              <w:t>R</w:t>
            </w:r>
          </w:p>
        </w:tc>
        <w:tc>
          <w:tcPr>
            <w:tcW w:w="1461" w:type="dxa"/>
            <w:shd w:val="clear" w:color="auto" w:fill="D9D9D9"/>
            <w:vAlign w:val="bottom"/>
          </w:tcPr>
          <w:p w:rsidR="00165FBF" w:rsidRPr="00F825DB" w:rsidP="00F825DB" w14:paraId="5D4E2E7B" w14:textId="77777777">
            <w:pPr>
              <w:widowControl w:val="0"/>
              <w:autoSpaceDE w:val="0"/>
              <w:autoSpaceDN w:val="0"/>
              <w:adjustRightInd w:val="0"/>
              <w:spacing w:after="0" w:line="240" w:lineRule="auto"/>
              <w:rPr>
                <w:rFonts w:ascii="Times New Roman" w:hAnsi="Times New Roman" w:cs="Times New Roman"/>
                <w:b/>
                <w:sz w:val="24"/>
                <w:szCs w:val="24"/>
              </w:rPr>
            </w:pPr>
            <w:r w:rsidRPr="00F825DB">
              <w:rPr>
                <w:rFonts w:ascii="Times New Roman" w:hAnsi="Times New Roman" w:cs="Times New Roman"/>
                <w:b/>
                <w:sz w:val="24"/>
                <w:szCs w:val="24"/>
              </w:rPr>
              <w:t>Total Request</w:t>
            </w:r>
          </w:p>
        </w:tc>
        <w:tc>
          <w:tcPr>
            <w:tcW w:w="1620" w:type="dxa"/>
            <w:shd w:val="clear" w:color="auto" w:fill="D9D9D9"/>
            <w:vAlign w:val="bottom"/>
          </w:tcPr>
          <w:p w:rsidR="00165FBF" w:rsidRPr="00F825DB" w:rsidP="00F825DB" w14:paraId="1B5A17ED" w14:textId="041F453D">
            <w:pPr>
              <w:widowControl w:val="0"/>
              <w:autoSpaceDE w:val="0"/>
              <w:autoSpaceDN w:val="0"/>
              <w:adjustRightInd w:val="0"/>
              <w:spacing w:after="0" w:line="240" w:lineRule="auto"/>
              <w:rPr>
                <w:rFonts w:ascii="Times New Roman" w:hAnsi="Times New Roman" w:cs="Times New Roman"/>
                <w:b/>
                <w:sz w:val="24"/>
                <w:szCs w:val="24"/>
              </w:rPr>
            </w:pPr>
            <w:r w:rsidRPr="00F825DB">
              <w:rPr>
                <w:rFonts w:ascii="Times New Roman" w:hAnsi="Times New Roman" w:cs="Times New Roman"/>
                <w:b/>
                <w:sz w:val="24"/>
                <w:szCs w:val="24"/>
              </w:rPr>
              <w:t>Previously Approved</w:t>
            </w:r>
          </w:p>
        </w:tc>
        <w:tc>
          <w:tcPr>
            <w:tcW w:w="1800" w:type="dxa"/>
            <w:shd w:val="clear" w:color="auto" w:fill="D9D9D9"/>
            <w:vAlign w:val="bottom"/>
          </w:tcPr>
          <w:p w:rsidR="00165FBF" w:rsidRPr="00F825DB" w:rsidP="00F825DB" w14:paraId="6A54A082" w14:textId="77777777">
            <w:pPr>
              <w:widowControl w:val="0"/>
              <w:autoSpaceDE w:val="0"/>
              <w:autoSpaceDN w:val="0"/>
              <w:adjustRightInd w:val="0"/>
              <w:spacing w:after="0" w:line="240" w:lineRule="auto"/>
              <w:rPr>
                <w:rFonts w:ascii="Times New Roman" w:hAnsi="Times New Roman" w:cs="Times New Roman"/>
                <w:b/>
                <w:sz w:val="24"/>
                <w:szCs w:val="24"/>
              </w:rPr>
            </w:pPr>
            <w:r w:rsidRPr="00F825DB">
              <w:rPr>
                <w:rFonts w:ascii="Times New Roman" w:hAnsi="Times New Roman" w:cs="Times New Roman"/>
                <w:b/>
                <w:sz w:val="24"/>
                <w:szCs w:val="24"/>
              </w:rPr>
              <w:t xml:space="preserve">Change due to Adjustment in Estimate </w:t>
            </w:r>
          </w:p>
        </w:tc>
        <w:tc>
          <w:tcPr>
            <w:tcW w:w="2700" w:type="dxa"/>
            <w:shd w:val="clear" w:color="auto" w:fill="D9D9D9"/>
            <w:vAlign w:val="bottom"/>
          </w:tcPr>
          <w:p w:rsidR="00165FBF" w:rsidRPr="00F825DB" w:rsidP="00F825DB" w14:paraId="4B9E8B05" w14:textId="77777777">
            <w:pPr>
              <w:widowControl w:val="0"/>
              <w:autoSpaceDE w:val="0"/>
              <w:autoSpaceDN w:val="0"/>
              <w:adjustRightInd w:val="0"/>
              <w:spacing w:after="0" w:line="240" w:lineRule="auto"/>
              <w:rPr>
                <w:rFonts w:ascii="Times New Roman" w:hAnsi="Times New Roman" w:cs="Times New Roman"/>
                <w:b/>
                <w:sz w:val="24"/>
                <w:szCs w:val="24"/>
              </w:rPr>
            </w:pPr>
            <w:r w:rsidRPr="00F825DB">
              <w:rPr>
                <w:rFonts w:ascii="Times New Roman" w:hAnsi="Times New Roman" w:cs="Times New Roman"/>
                <w:b/>
                <w:sz w:val="24"/>
                <w:szCs w:val="24"/>
              </w:rPr>
              <w:t>Change Due to Agency Discretion</w:t>
            </w:r>
          </w:p>
        </w:tc>
      </w:tr>
      <w:tr w14:paraId="1E83D138" w14:textId="77777777" w:rsidTr="00165FBF">
        <w:tblPrEx>
          <w:tblW w:w="10260" w:type="dxa"/>
          <w:tblInd w:w="18" w:type="dxa"/>
          <w:tblLook w:val="01E0"/>
        </w:tblPrEx>
        <w:trPr>
          <w:trHeight w:val="591"/>
        </w:trPr>
        <w:tc>
          <w:tcPr>
            <w:tcW w:w="2679" w:type="dxa"/>
          </w:tcPr>
          <w:p w:rsidR="00165FBF" w:rsidRPr="00F825DB" w:rsidP="00F825DB" w14:paraId="14F23630" w14:textId="77777777">
            <w:pPr>
              <w:widowControl w:val="0"/>
              <w:autoSpaceDE w:val="0"/>
              <w:autoSpaceDN w:val="0"/>
              <w:adjustRightInd w:val="0"/>
              <w:spacing w:after="0" w:line="240" w:lineRule="auto"/>
              <w:rPr>
                <w:rFonts w:ascii="Times New Roman" w:hAnsi="Times New Roman" w:cs="Times New Roman"/>
                <w:sz w:val="24"/>
                <w:szCs w:val="24"/>
              </w:rPr>
            </w:pPr>
            <w:r w:rsidRPr="00F825DB">
              <w:rPr>
                <w:rFonts w:ascii="Times New Roman" w:hAnsi="Times New Roman" w:cs="Times New Roman"/>
                <w:sz w:val="24"/>
                <w:szCs w:val="24"/>
              </w:rPr>
              <w:t>Annual Number of Responses</w:t>
            </w:r>
          </w:p>
        </w:tc>
        <w:tc>
          <w:tcPr>
            <w:tcW w:w="1461" w:type="dxa"/>
            <w:vAlign w:val="center"/>
          </w:tcPr>
          <w:p w:rsidR="00165FBF" w:rsidRPr="00F825DB" w:rsidP="00F825DB" w14:paraId="2B159858" w14:textId="0B290DFE">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3,475</w:t>
            </w:r>
          </w:p>
        </w:tc>
        <w:tc>
          <w:tcPr>
            <w:tcW w:w="1620" w:type="dxa"/>
            <w:vAlign w:val="center"/>
          </w:tcPr>
          <w:p w:rsidR="00165FBF" w:rsidRPr="00F825DB" w:rsidP="00F825DB" w14:paraId="768237B0" w14:textId="1031567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3,572</w:t>
            </w:r>
          </w:p>
        </w:tc>
        <w:tc>
          <w:tcPr>
            <w:tcW w:w="1800" w:type="dxa"/>
            <w:vAlign w:val="center"/>
          </w:tcPr>
          <w:p w:rsidR="00165FBF" w:rsidRPr="00F825DB" w:rsidP="00F825DB" w14:paraId="7C9F6554" w14:textId="005F57C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700" w:type="dxa"/>
            <w:vAlign w:val="center"/>
          </w:tcPr>
          <w:p w:rsidR="00165FBF" w:rsidRPr="00F825DB" w:rsidP="00F825DB" w14:paraId="09FF343D" w14:textId="5C98668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+97</w:t>
            </w:r>
          </w:p>
        </w:tc>
      </w:tr>
      <w:tr w14:paraId="062BF7A7" w14:textId="77777777" w:rsidTr="00165FBF">
        <w:tblPrEx>
          <w:tblW w:w="10260" w:type="dxa"/>
          <w:tblInd w:w="18" w:type="dxa"/>
          <w:tblLook w:val="01E0"/>
        </w:tblPrEx>
        <w:trPr>
          <w:trHeight w:val="575"/>
        </w:trPr>
        <w:tc>
          <w:tcPr>
            <w:tcW w:w="2679" w:type="dxa"/>
          </w:tcPr>
          <w:p w:rsidR="00165FBF" w:rsidRPr="00F825DB" w:rsidP="00F825DB" w14:paraId="41FE08A4" w14:textId="77777777">
            <w:pPr>
              <w:widowControl w:val="0"/>
              <w:autoSpaceDE w:val="0"/>
              <w:autoSpaceDN w:val="0"/>
              <w:adjustRightInd w:val="0"/>
              <w:spacing w:after="0" w:line="240" w:lineRule="auto"/>
              <w:rPr>
                <w:rFonts w:ascii="Times New Roman" w:hAnsi="Times New Roman" w:cs="Times New Roman"/>
                <w:sz w:val="24"/>
                <w:szCs w:val="24"/>
              </w:rPr>
            </w:pPr>
            <w:r w:rsidRPr="00F825DB">
              <w:rPr>
                <w:rFonts w:ascii="Times New Roman" w:hAnsi="Times New Roman" w:cs="Times New Roman"/>
                <w:sz w:val="24"/>
                <w:szCs w:val="24"/>
              </w:rPr>
              <w:t>Annual Time Burden (Hr.)</w:t>
            </w:r>
          </w:p>
        </w:tc>
        <w:tc>
          <w:tcPr>
            <w:tcW w:w="1461" w:type="dxa"/>
            <w:vAlign w:val="center"/>
          </w:tcPr>
          <w:p w:rsidR="00165FBF" w:rsidRPr="00F825DB" w:rsidP="00F825DB" w14:paraId="499E575D" w14:textId="4954ED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25,018</w:t>
            </w:r>
          </w:p>
        </w:tc>
        <w:tc>
          <w:tcPr>
            <w:tcW w:w="1620" w:type="dxa"/>
            <w:vAlign w:val="center"/>
          </w:tcPr>
          <w:p w:rsidR="00165FBF" w:rsidRPr="00F825DB" w:rsidP="00F825DB" w14:paraId="5A8A782E" w14:textId="4D78B46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27,346</w:t>
            </w:r>
          </w:p>
        </w:tc>
        <w:tc>
          <w:tcPr>
            <w:tcW w:w="1800" w:type="dxa"/>
            <w:vAlign w:val="center"/>
          </w:tcPr>
          <w:p w:rsidR="00165FBF" w:rsidRPr="00F825DB" w:rsidP="00F825DB" w14:paraId="0D315E0C" w14:textId="506503A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700" w:type="dxa"/>
            <w:vAlign w:val="center"/>
          </w:tcPr>
          <w:p w:rsidR="00165FBF" w:rsidRPr="00F825DB" w:rsidP="00F825DB" w14:paraId="39F1A3F6" w14:textId="712BF1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+2,328</w:t>
            </w:r>
          </w:p>
        </w:tc>
      </w:tr>
      <w:tr w14:paraId="0967EEE3" w14:textId="77777777" w:rsidTr="00165FBF">
        <w:tblPrEx>
          <w:tblW w:w="10260" w:type="dxa"/>
          <w:tblInd w:w="18" w:type="dxa"/>
          <w:tblLook w:val="01E0"/>
        </w:tblPrEx>
        <w:trPr>
          <w:trHeight w:val="295"/>
        </w:trPr>
        <w:tc>
          <w:tcPr>
            <w:tcW w:w="2679" w:type="dxa"/>
          </w:tcPr>
          <w:p w:rsidR="00165FBF" w:rsidRPr="00F825DB" w:rsidP="00F825DB" w14:paraId="5FC868A1" w14:textId="77777777">
            <w:pPr>
              <w:widowControl w:val="0"/>
              <w:autoSpaceDE w:val="0"/>
              <w:autoSpaceDN w:val="0"/>
              <w:adjustRightInd w:val="0"/>
              <w:spacing w:after="0" w:line="240" w:lineRule="auto"/>
              <w:rPr>
                <w:rFonts w:ascii="Times New Roman" w:hAnsi="Times New Roman" w:cs="Times New Roman"/>
                <w:sz w:val="24"/>
                <w:szCs w:val="24"/>
              </w:rPr>
            </w:pPr>
            <w:r w:rsidRPr="00F825DB">
              <w:rPr>
                <w:rFonts w:ascii="Times New Roman" w:hAnsi="Times New Roman" w:cs="Times New Roman"/>
                <w:sz w:val="24"/>
                <w:szCs w:val="24"/>
              </w:rPr>
              <w:t>Annual Cost Burden ($)</w:t>
            </w:r>
          </w:p>
        </w:tc>
        <w:tc>
          <w:tcPr>
            <w:tcW w:w="1461" w:type="dxa"/>
            <w:vAlign w:val="center"/>
          </w:tcPr>
          <w:p w:rsidR="00165FBF" w:rsidRPr="00F825DB" w:rsidP="00F825DB" w14:paraId="2662D3B6" w14:textId="77777777">
            <w:pPr>
              <w:widowControl w:val="0"/>
              <w:autoSpaceDE w:val="0"/>
              <w:autoSpaceDN w:val="0"/>
              <w:adjustRightInd w:val="0"/>
              <w:spacing w:after="0" w:line="240" w:lineRule="auto"/>
              <w:rPr>
                <w:rFonts w:ascii="Times New Roman" w:hAnsi="Times New Roman" w:cs="Times New Roman"/>
                <w:sz w:val="24"/>
                <w:szCs w:val="24"/>
              </w:rPr>
            </w:pPr>
            <w:r w:rsidRPr="00F825DB">
              <w:rPr>
                <w:rFonts w:ascii="Times New Roman" w:hAnsi="Times New Roman" w:cs="Times New Roman"/>
                <w:sz w:val="24"/>
                <w:szCs w:val="24"/>
              </w:rPr>
              <w:t>-</w:t>
            </w:r>
          </w:p>
        </w:tc>
        <w:tc>
          <w:tcPr>
            <w:tcW w:w="1620" w:type="dxa"/>
            <w:vAlign w:val="center"/>
          </w:tcPr>
          <w:p w:rsidR="00165FBF" w:rsidRPr="00F825DB" w:rsidP="00F825DB" w14:paraId="3860C42F" w14:textId="7607CEFE">
            <w:pPr>
              <w:widowControl w:val="0"/>
              <w:autoSpaceDE w:val="0"/>
              <w:autoSpaceDN w:val="0"/>
              <w:adjustRightInd w:val="0"/>
              <w:spacing w:after="0" w:line="240" w:lineRule="auto"/>
              <w:rPr>
                <w:rFonts w:ascii="Times New Roman" w:hAnsi="Times New Roman" w:cs="Times New Roman"/>
                <w:sz w:val="24"/>
                <w:szCs w:val="24"/>
              </w:rPr>
            </w:pPr>
            <w:r w:rsidRPr="00F825DB">
              <w:rPr>
                <w:rFonts w:ascii="Times New Roman" w:hAnsi="Times New Roman" w:cs="Times New Roman"/>
                <w:sz w:val="24"/>
                <w:szCs w:val="24"/>
              </w:rPr>
              <w:t>-</w:t>
            </w:r>
          </w:p>
        </w:tc>
        <w:tc>
          <w:tcPr>
            <w:tcW w:w="1800" w:type="dxa"/>
            <w:vAlign w:val="center"/>
          </w:tcPr>
          <w:p w:rsidR="00165FBF" w:rsidRPr="00F825DB" w:rsidP="00F825DB" w14:paraId="73531B75" w14:textId="77777777">
            <w:pPr>
              <w:widowControl w:val="0"/>
              <w:autoSpaceDE w:val="0"/>
              <w:autoSpaceDN w:val="0"/>
              <w:adjustRightInd w:val="0"/>
              <w:spacing w:after="0" w:line="240" w:lineRule="auto"/>
              <w:rPr>
                <w:rFonts w:ascii="Times New Roman" w:hAnsi="Times New Roman" w:cs="Times New Roman"/>
                <w:sz w:val="24"/>
                <w:szCs w:val="24"/>
              </w:rPr>
            </w:pPr>
            <w:r w:rsidRPr="00F825DB">
              <w:rPr>
                <w:rFonts w:ascii="Times New Roman" w:hAnsi="Times New Roman" w:cs="Times New Roman"/>
                <w:sz w:val="24"/>
                <w:szCs w:val="24"/>
              </w:rPr>
              <w:t>-</w:t>
            </w:r>
          </w:p>
        </w:tc>
        <w:tc>
          <w:tcPr>
            <w:tcW w:w="2700" w:type="dxa"/>
            <w:vAlign w:val="center"/>
          </w:tcPr>
          <w:p w:rsidR="00165FBF" w:rsidRPr="00F825DB" w:rsidP="00F825DB" w14:paraId="56515648" w14:textId="77777777">
            <w:pPr>
              <w:widowControl w:val="0"/>
              <w:autoSpaceDE w:val="0"/>
              <w:autoSpaceDN w:val="0"/>
              <w:adjustRightInd w:val="0"/>
              <w:spacing w:after="0" w:line="240" w:lineRule="auto"/>
              <w:rPr>
                <w:rFonts w:ascii="Times New Roman" w:hAnsi="Times New Roman" w:cs="Times New Roman"/>
                <w:sz w:val="24"/>
                <w:szCs w:val="24"/>
              </w:rPr>
            </w:pPr>
            <w:r w:rsidRPr="00F825DB">
              <w:rPr>
                <w:rFonts w:ascii="Times New Roman" w:hAnsi="Times New Roman" w:cs="Times New Roman"/>
                <w:sz w:val="24"/>
                <w:szCs w:val="24"/>
              </w:rPr>
              <w:t>-</w:t>
            </w:r>
          </w:p>
        </w:tc>
      </w:tr>
    </w:tbl>
    <w:p w:rsidR="00F825DB" w:rsidP="008E0E55" w14:paraId="658E4C4B" w14:textId="77777777">
      <w:pPr>
        <w:widowControl w:val="0"/>
        <w:autoSpaceDE w:val="0"/>
        <w:autoSpaceDN w:val="0"/>
        <w:adjustRightInd w:val="0"/>
        <w:spacing w:after="0" w:line="240" w:lineRule="auto"/>
        <w:rPr>
          <w:rFonts w:ascii="Times New Roman" w:hAnsi="Times New Roman" w:cs="Times New Roman"/>
          <w:sz w:val="24"/>
          <w:szCs w:val="24"/>
        </w:rPr>
      </w:pPr>
    </w:p>
    <w:p w:rsidR="00105338" w:rsidP="008E0E55" w14:paraId="558DF50F" w14:textId="41FF2C7F">
      <w:pPr>
        <w:widowControl w:val="0"/>
        <w:autoSpaceDE w:val="0"/>
        <w:autoSpaceDN w:val="0"/>
        <w:adjustRightInd w:val="0"/>
        <w:spacing w:after="0" w:line="240" w:lineRule="auto"/>
        <w:rPr>
          <w:rFonts w:ascii="Times New Roman" w:hAnsi="Times New Roman" w:cs="Times New Roman"/>
          <w:sz w:val="24"/>
          <w:szCs w:val="24"/>
        </w:rPr>
      </w:pPr>
    </w:p>
    <w:p w:rsidR="00C4205B" w:rsidRPr="00B51BB8" w:rsidP="007C39D3" w14:paraId="4BDAC648"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rsidR="00C4205B" w:rsidRPr="00B51BB8" w:rsidP="00485D08" w14:paraId="22F58808" w14:textId="77777777">
      <w:pPr>
        <w:spacing w:after="0" w:line="240" w:lineRule="auto"/>
        <w:rPr>
          <w:rFonts w:ascii="Times New Roman" w:hAnsi="Times New Roman" w:cs="Times New Roman"/>
          <w:b/>
          <w:bCs/>
          <w:sz w:val="24"/>
          <w:szCs w:val="24"/>
        </w:rPr>
      </w:pPr>
    </w:p>
    <w:p w:rsidR="00042D80" w:rsidRPr="00B51BB8" w:rsidP="005768DB" w14:paraId="40706682"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rsidR="00C4205B" w:rsidRPr="00B51BB8" w:rsidP="002A4142" w14:paraId="33196DA2" w14:textId="77777777">
      <w:pPr>
        <w:spacing w:after="0" w:line="240" w:lineRule="auto"/>
        <w:rPr>
          <w:rFonts w:ascii="Times New Roman" w:hAnsi="Times New Roman" w:cs="Times New Roman"/>
          <w:sz w:val="24"/>
          <w:szCs w:val="24"/>
        </w:rPr>
      </w:pPr>
    </w:p>
    <w:p w:rsidR="00C4205B" w:rsidRPr="00B51BB8" w:rsidP="007C39D3" w14:paraId="718FA29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rsidR="00C4205B" w:rsidRPr="00B51BB8" w:rsidP="00485D08" w14:paraId="2E5E34CE" w14:textId="77777777">
      <w:pPr>
        <w:spacing w:after="0" w:line="240" w:lineRule="auto"/>
        <w:rPr>
          <w:rFonts w:ascii="Times New Roman" w:hAnsi="Times New Roman" w:cs="Times New Roman"/>
          <w:b/>
          <w:bCs/>
          <w:sz w:val="24"/>
          <w:szCs w:val="24"/>
        </w:rPr>
      </w:pPr>
    </w:p>
    <w:p w:rsidR="00233F88" w:rsidP="00485D08" w14:paraId="58F20750" w14:textId="7BFE3190">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 expiration date is displayed in a table posted at</w:t>
      </w:r>
      <w:r>
        <w:rPr>
          <w:rFonts w:ascii="Times New Roman" w:hAnsi="Times New Roman" w:cs="Times New Roman"/>
          <w:sz w:val="24"/>
          <w:szCs w:val="24"/>
        </w:rPr>
        <w:t xml:space="preserve"> </w:t>
      </w:r>
      <w:hyperlink r:id="rId9" w:history="1">
        <w:r w:rsidRPr="003B1867" w:rsidR="003B1867">
          <w:rPr>
            <w:rStyle w:val="Hyperlink"/>
            <w:rFonts w:ascii="Times New Roman" w:hAnsi="Times New Roman" w:cs="Times New Roman"/>
            <w:sz w:val="24"/>
            <w:szCs w:val="24"/>
          </w:rPr>
          <w:t>Information Collections | Federal Energy Regulatory Commission (ferc.gov)</w:t>
        </w:r>
      </w:hyperlink>
    </w:p>
    <w:p w:rsidR="000E1B92" w:rsidRPr="00B51BB8" w:rsidP="00485D08" w14:paraId="79AA615E" w14:textId="77777777">
      <w:pPr>
        <w:spacing w:after="0" w:line="240" w:lineRule="auto"/>
        <w:rPr>
          <w:rFonts w:ascii="Times New Roman" w:hAnsi="Times New Roman" w:cs="Times New Roman"/>
          <w:sz w:val="24"/>
          <w:szCs w:val="24"/>
        </w:rPr>
      </w:pPr>
    </w:p>
    <w:p w:rsidR="00C4205B" w:rsidRPr="00B51BB8" w:rsidP="007C39D3" w14:paraId="340AD57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rsidR="00C4205B" w:rsidRPr="00B51BB8" w:rsidP="00485D08" w14:paraId="1EACBAD5" w14:textId="77777777">
      <w:pPr>
        <w:spacing w:after="0" w:line="240" w:lineRule="auto"/>
        <w:rPr>
          <w:rFonts w:ascii="Times New Roman" w:hAnsi="Times New Roman" w:cs="Times New Roman"/>
          <w:sz w:val="24"/>
          <w:szCs w:val="24"/>
        </w:rPr>
      </w:pPr>
    </w:p>
    <w:p w:rsidR="00D350A8" w:rsidRPr="007A560D" w:rsidP="007A560D" w14:paraId="63884D7A" w14:textId="1A28F6DF">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Pr="00B51BB8" w:rsidR="009766A2">
        <w:rPr>
          <w:rFonts w:ascii="Times New Roman" w:hAnsi="Times New Roman" w:cs="Times New Roman"/>
          <w:sz w:val="24"/>
          <w:szCs w:val="24"/>
        </w:rPr>
        <w:t>re are no exceptions.</w:t>
      </w:r>
      <w:r w:rsidR="00105A51">
        <w:rPr>
          <w:rFonts w:ascii="Times New Roman" w:hAnsi="Times New Roman" w:cs="Times New Roman"/>
          <w:sz w:val="24"/>
          <w:szCs w:val="24"/>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C55457" w14:paraId="4A302353" w14:textId="77777777">
        <w:pPr>
          <w:pStyle w:val="Footer"/>
          <w:jc w:val="right"/>
        </w:pPr>
        <w:r>
          <w:fldChar w:fldCharType="begin"/>
        </w:r>
        <w:r>
          <w:instrText xml:space="preserve"> PAGE   \* MERGEFORMAT </w:instrText>
        </w:r>
        <w:r>
          <w:fldChar w:fldCharType="separate"/>
        </w:r>
        <w:r w:rsidR="009B0F4D">
          <w:rPr>
            <w:noProof/>
          </w:rPr>
          <w:t>1</w:t>
        </w:r>
        <w:r>
          <w:rPr>
            <w:noProof/>
          </w:rPr>
          <w:fldChar w:fldCharType="end"/>
        </w:r>
      </w:p>
    </w:sdtContent>
  </w:sdt>
  <w:p w:rsidR="00C55457" w14:paraId="33C80D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14AC" w:rsidP="00D350A8" w14:paraId="350155F8" w14:textId="77777777">
      <w:pPr>
        <w:spacing w:after="0" w:line="240" w:lineRule="auto"/>
      </w:pPr>
      <w:r>
        <w:separator/>
      </w:r>
    </w:p>
  </w:footnote>
  <w:footnote w:type="continuationSeparator" w:id="1">
    <w:p w:rsidR="00A714AC" w:rsidP="00D350A8" w14:paraId="6B97EDA5" w14:textId="77777777">
      <w:pPr>
        <w:spacing w:after="0" w:line="240" w:lineRule="auto"/>
      </w:pPr>
      <w:r>
        <w:continuationSeparator/>
      </w:r>
    </w:p>
  </w:footnote>
  <w:footnote w:type="continuationNotice" w:id="2">
    <w:p w:rsidR="00A714AC" w14:paraId="04245820" w14:textId="77777777">
      <w:pPr>
        <w:spacing w:after="0" w:line="240" w:lineRule="auto"/>
      </w:pPr>
    </w:p>
  </w:footnote>
  <w:footnote w:id="3">
    <w:p w:rsidR="004106D9" w:rsidRPr="00526FAC" w14:paraId="1197D546" w14:textId="4B29F396">
      <w:pPr>
        <w:pStyle w:val="FootnoteText"/>
        <w:rPr>
          <w:sz w:val="26"/>
          <w:szCs w:val="26"/>
        </w:rPr>
      </w:pPr>
      <w:r w:rsidRPr="00E304DE">
        <w:rPr>
          <w:rStyle w:val="FootnoteReference"/>
          <w:vertAlign w:val="superscript"/>
        </w:rPr>
        <w:footnoteRef/>
      </w:r>
      <w:r>
        <w:t xml:space="preserve"> </w:t>
      </w:r>
      <w:r>
        <w:rPr>
          <w:sz w:val="26"/>
          <w:szCs w:val="26"/>
        </w:rPr>
        <w:t xml:space="preserve">There are also regional BAL Reliability Standards.  They are not included in FERC-725R and are not discussed here.  The regional BAL </w:t>
      </w:r>
      <w:r>
        <w:rPr>
          <w:sz w:val="26"/>
          <w:szCs w:val="26"/>
        </w:rPr>
        <w:t>Reliability Standards are covered under other OMB Control Nos.</w:t>
      </w:r>
    </w:p>
  </w:footnote>
  <w:footnote w:id="4">
    <w:p w:rsidR="00514C31" w:rsidP="00514C31" w14:paraId="45F96A11" w14:textId="0EA0000B">
      <w:pPr>
        <w:pStyle w:val="FootnoteText"/>
      </w:pPr>
      <w:r w:rsidRPr="004F6484">
        <w:rPr>
          <w:rStyle w:val="FootnoteReference"/>
          <w:sz w:val="24"/>
          <w:vertAlign w:val="superscript"/>
        </w:rPr>
        <w:footnoteRef/>
      </w:r>
      <w:r>
        <w:t xml:space="preserve"> </w:t>
      </w:r>
      <w:r>
        <w:rPr>
          <w:rFonts w:eastAsia="Calibri"/>
          <w:color w:val="000000"/>
          <w:sz w:val="26"/>
          <w:szCs w:val="26"/>
        </w:rPr>
        <w:t>It was approved in Docket No. RM14-10.</w:t>
      </w:r>
    </w:p>
  </w:footnote>
  <w:footnote w:id="5">
    <w:p w:rsidR="00514C31" w:rsidP="00514C31" w14:paraId="603391E7" w14:textId="5AB2B487">
      <w:pPr>
        <w:pStyle w:val="FootnoteText"/>
        <w:rPr>
          <w:sz w:val="26"/>
          <w:szCs w:val="26"/>
        </w:rPr>
      </w:pPr>
      <w:r w:rsidRPr="004F6484">
        <w:rPr>
          <w:rStyle w:val="FootnoteReference"/>
          <w:sz w:val="24"/>
          <w:vertAlign w:val="superscript"/>
        </w:rPr>
        <w:footnoteRef/>
      </w:r>
      <w:r>
        <w:rPr>
          <w:sz w:val="26"/>
          <w:szCs w:val="26"/>
        </w:rPr>
        <w:t xml:space="preserve"> Area Control Error is the “instantaneous difference between a Balancing Authority’s net actual and scheduled interchange, taking into accounts the effects of Frequency Bias, correction for meter error, and Automatic Time Error Correction (ATEC), if operating in the ATEC mode.  ATEC is only applicable to Balancing Authorities in the Western Interconnection.”  NERC Glossary.</w:t>
      </w:r>
    </w:p>
  </w:footnote>
  <w:footnote w:id="6">
    <w:p w:rsidR="00514C31" w:rsidP="00514C31" w14:paraId="53CC536B" w14:textId="04B0A091">
      <w:pPr>
        <w:pStyle w:val="FootnoteText"/>
      </w:pPr>
      <w:r w:rsidRPr="00F012DD">
        <w:rPr>
          <w:rStyle w:val="FootnoteReference"/>
          <w:sz w:val="24"/>
          <w:vertAlign w:val="superscript"/>
        </w:rPr>
        <w:footnoteRef/>
      </w:r>
      <w:r>
        <w:t xml:space="preserve"> </w:t>
      </w:r>
      <w:r>
        <w:rPr>
          <w:rFonts w:eastAsia="Calibri"/>
          <w:color w:val="000000"/>
          <w:sz w:val="26"/>
          <w:szCs w:val="26"/>
        </w:rPr>
        <w:t xml:space="preserve"> It was approved in  Docket No. RD18-7.</w:t>
      </w:r>
    </w:p>
  </w:footnote>
  <w:footnote w:id="7">
    <w:p w:rsidR="00514C31" w:rsidP="00514C31" w14:paraId="60A91C24" w14:textId="77777777">
      <w:pPr>
        <w:pStyle w:val="FootnoteText"/>
        <w:rPr>
          <w:sz w:val="26"/>
          <w:szCs w:val="26"/>
        </w:rPr>
      </w:pPr>
      <w:r w:rsidRPr="00F012DD">
        <w:rPr>
          <w:rStyle w:val="FootnoteReference"/>
          <w:sz w:val="24"/>
          <w:vertAlign w:val="superscript"/>
        </w:rPr>
        <w:footnoteRef/>
      </w:r>
      <w:r>
        <w:rPr>
          <w:sz w:val="26"/>
          <w:szCs w:val="26"/>
        </w:rPr>
        <w:t xml:space="preserve"> It was approved in </w:t>
      </w:r>
      <w:r>
        <w:rPr>
          <w:rFonts w:eastAsia="Calibri"/>
          <w:color w:val="000000"/>
          <w:sz w:val="26"/>
          <w:szCs w:val="26"/>
        </w:rPr>
        <w:t>Docket No. RM16-13.</w:t>
      </w:r>
    </w:p>
  </w:footnote>
  <w:footnote w:id="8">
    <w:p w:rsidR="00353F0B" w14:paraId="1B9F95ED" w14:textId="0DF22152">
      <w:pPr>
        <w:pStyle w:val="FootnoteText"/>
      </w:pPr>
      <w:r w:rsidRPr="00A21838">
        <w:rPr>
          <w:rStyle w:val="FootnoteReference"/>
          <w:sz w:val="26"/>
          <w:szCs w:val="26"/>
          <w:vertAlign w:val="superscript"/>
        </w:rPr>
        <w:footnoteRef/>
      </w:r>
      <w:r>
        <w:t xml:space="preserve"> </w:t>
      </w:r>
      <w:r w:rsidRPr="00A21838">
        <w:rPr>
          <w:sz w:val="26"/>
          <w:szCs w:val="26"/>
        </w:rPr>
        <w:t>It was approved in Docket No. RM20-9-000</w:t>
      </w:r>
      <w:r w:rsidR="00611B2E">
        <w:rPr>
          <w:sz w:val="26"/>
          <w:szCs w:val="26"/>
        </w:rPr>
        <w:t>.</w:t>
      </w:r>
    </w:p>
  </w:footnote>
  <w:footnote w:id="9">
    <w:p w:rsidR="00C55457" w:rsidRPr="00C9693F" w:rsidP="00F14924" w14:paraId="50BEFF31" w14:textId="6F39064B">
      <w:pPr>
        <w:pStyle w:val="FootnoteText"/>
        <w:rPr>
          <w:sz w:val="24"/>
          <w:szCs w:val="24"/>
        </w:rPr>
      </w:pPr>
      <w:r w:rsidRPr="000F5479">
        <w:rPr>
          <w:rStyle w:val="FootnoteReference"/>
          <w:sz w:val="24"/>
          <w:szCs w:val="24"/>
          <w:vertAlign w:val="superscript"/>
        </w:rPr>
        <w:footnoteRef/>
      </w:r>
      <w:r w:rsidRPr="00C9693F">
        <w:rPr>
          <w:sz w:val="24"/>
          <w:szCs w:val="24"/>
        </w:rPr>
        <w:t xml:space="preserve"> Section 1502, Paragraph 2, available at NERCs website</w:t>
      </w:r>
      <w:r w:rsidR="000F5479">
        <w:rPr>
          <w:sz w:val="24"/>
          <w:szCs w:val="24"/>
        </w:rPr>
        <w:t>.</w:t>
      </w:r>
    </w:p>
  </w:footnote>
  <w:footnote w:id="10">
    <w:p w:rsidR="00D705F3" w:rsidRPr="00B43923" w:rsidP="00D705F3" w14:paraId="39904166" w14:textId="77777777">
      <w:pPr>
        <w:pStyle w:val="FootnoteText"/>
        <w:rPr>
          <w:sz w:val="26"/>
          <w:szCs w:val="26"/>
        </w:rPr>
      </w:pPr>
      <w:r w:rsidRPr="00B43923">
        <w:rPr>
          <w:rStyle w:val="FootnoteReference"/>
        </w:rPr>
        <w:footnoteRef/>
      </w:r>
      <w:r w:rsidRPr="00B43923">
        <w:rPr>
          <w:sz w:val="26"/>
          <w:szCs w:val="26"/>
        </w:rPr>
        <w:t xml:space="preserve"> Number of entity data taken from the NERC compliance registry, dated November 20, 2024.</w:t>
      </w:r>
    </w:p>
  </w:footnote>
  <w:footnote w:id="11">
    <w:p w:rsidR="00D705F3" w:rsidP="00D705F3" w14:paraId="6E29ADD5" w14:textId="77777777">
      <w:pPr>
        <w:pStyle w:val="FootnoteText"/>
        <w:spacing w:after="260"/>
      </w:pPr>
      <w:r w:rsidRPr="00B43923">
        <w:rPr>
          <w:rStyle w:val="FootnoteReference"/>
        </w:rPr>
        <w:footnoteRef/>
      </w:r>
      <w:r w:rsidRPr="00B43923">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sidRPr="00A5379E">
        <w:rPr>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457" w:rsidRPr="00B51BB8" w:rsidP="002A4142" w14:paraId="6AEFA464" w14:textId="170EAA96">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FERC-725R</w:t>
    </w:r>
    <w:r w:rsidRPr="00B51BB8">
      <w:rPr>
        <w:rFonts w:ascii="Times New Roman" w:hAnsi="Times New Roman" w:cs="Times New Roman"/>
        <w:sz w:val="24"/>
        <w:szCs w:val="24"/>
      </w:rPr>
      <w:t xml:space="preserve"> (OMB Control No. </w:t>
    </w:r>
    <w:r>
      <w:rPr>
        <w:rFonts w:ascii="Times New Roman" w:hAnsi="Times New Roman" w:cs="Times New Roman"/>
        <w:sz w:val="24"/>
        <w:szCs w:val="24"/>
      </w:rPr>
      <w:t>1902-0268</w:t>
    </w:r>
    <w:r w:rsidRPr="00B51BB8">
      <w:rPr>
        <w:rFonts w:ascii="Times New Roman" w:hAnsi="Times New Roman" w:cs="Times New Roman"/>
        <w:sz w:val="24"/>
        <w:szCs w:val="24"/>
      </w:rPr>
      <w:t xml:space="preserve">) </w:t>
    </w:r>
  </w:p>
  <w:p w:rsidR="00C55457" w:rsidP="002A4142" w14:paraId="06829268" w14:textId="4A601526">
    <w:pPr>
      <w:pStyle w:val="Header"/>
      <w:rPr>
        <w:rFonts w:ascii="Times New Roman" w:hAnsi="Times New Roman" w:cs="Times New Roman"/>
        <w:bCs/>
        <w:sz w:val="24"/>
        <w:szCs w:val="24"/>
      </w:rPr>
    </w:pPr>
    <w:r>
      <w:rPr>
        <w:rFonts w:ascii="Times New Roman" w:hAnsi="Times New Roman" w:cs="Times New Roman"/>
        <w:bCs/>
        <w:sz w:val="24"/>
        <w:szCs w:val="24"/>
      </w:rPr>
      <w:t xml:space="preserve">Docket No. </w:t>
    </w:r>
    <w:r w:rsidR="006821C6">
      <w:rPr>
        <w:rFonts w:ascii="Times New Roman" w:hAnsi="Times New Roman" w:cs="Times New Roman"/>
        <w:bCs/>
        <w:sz w:val="24"/>
        <w:szCs w:val="24"/>
      </w:rPr>
      <w:t>RD</w:t>
    </w:r>
    <w:r>
      <w:rPr>
        <w:rFonts w:ascii="Times New Roman" w:hAnsi="Times New Roman" w:cs="Times New Roman"/>
        <w:bCs/>
        <w:sz w:val="24"/>
        <w:szCs w:val="24"/>
      </w:rPr>
      <w:t>2</w:t>
    </w:r>
    <w:r w:rsidR="006821C6">
      <w:rPr>
        <w:rFonts w:ascii="Times New Roman" w:hAnsi="Times New Roman" w:cs="Times New Roman"/>
        <w:bCs/>
        <w:sz w:val="24"/>
        <w:szCs w:val="24"/>
      </w:rPr>
      <w:t>5</w:t>
    </w:r>
    <w:r>
      <w:rPr>
        <w:rFonts w:ascii="Times New Roman" w:hAnsi="Times New Roman" w:cs="Times New Roman"/>
        <w:bCs/>
        <w:sz w:val="24"/>
        <w:szCs w:val="24"/>
      </w:rPr>
      <w:t>-</w:t>
    </w:r>
    <w:r w:rsidR="006821C6">
      <w:rPr>
        <w:rFonts w:ascii="Times New Roman" w:hAnsi="Times New Roman" w:cs="Times New Roman"/>
        <w:bCs/>
        <w:sz w:val="24"/>
        <w:szCs w:val="24"/>
      </w:rPr>
      <w:t>5</w:t>
    </w:r>
    <w:r w:rsidR="00DD07F8">
      <w:rPr>
        <w:rFonts w:ascii="Times New Roman" w:hAnsi="Times New Roman" w:cs="Times New Roman"/>
        <w:bCs/>
        <w:sz w:val="24"/>
        <w:szCs w:val="24"/>
      </w:rPr>
      <w:t>-000</w:t>
    </w:r>
    <w:r w:rsidR="003A1E5A">
      <w:rPr>
        <w:rFonts w:ascii="Times New Roman" w:hAnsi="Times New Roman" w:cs="Times New Roman"/>
        <w:bCs/>
        <w:sz w:val="24"/>
        <w:szCs w:val="24"/>
      </w:rPr>
      <w:tab/>
    </w:r>
  </w:p>
  <w:p w:rsidR="00C55457" w:rsidRPr="00B51BB8" w:rsidP="002A4142" w14:paraId="1CE0015B" w14:textId="0DE8A829">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1CF7"/>
    <w:multiLevelType w:val="hybridMultilevel"/>
    <w:tmpl w:val="D41CB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57BE72F6"/>
    <w:lvl w:ilvl="0">
      <w:start w:val="1"/>
      <w:numFmt w:val="decimal"/>
      <w:lvlText w:val="%1."/>
      <w:lvlJc w:val="left"/>
      <w:pPr>
        <w:tabs>
          <w:tab w:val="num" w:pos="1080"/>
        </w:tabs>
        <w:ind w:left="1080" w:hanging="360"/>
      </w:pPr>
      <w:rPr>
        <w:b w:val="0"/>
        <w:sz w:val="26"/>
        <w:szCs w:val="26"/>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3">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4">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2866F36"/>
    <w:multiLevelType w:val="hybridMultilevel"/>
    <w:tmpl w:val="66321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4E6FE2"/>
    <w:multiLevelType w:val="hybridMultilevel"/>
    <w:tmpl w:val="0F467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F60680C"/>
    <w:multiLevelType w:val="hybridMultilevel"/>
    <w:tmpl w:val="AE903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4405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778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345795">
    <w:abstractNumId w:val="4"/>
  </w:num>
  <w:num w:numId="4" w16cid:durableId="1470441218">
    <w:abstractNumId w:val="5"/>
  </w:num>
  <w:num w:numId="5" w16cid:durableId="1175455550">
    <w:abstractNumId w:val="1"/>
  </w:num>
  <w:num w:numId="6" w16cid:durableId="1836146975">
    <w:abstractNumId w:val="2"/>
  </w:num>
  <w:num w:numId="7" w16cid:durableId="1715157830">
    <w:abstractNumId w:val="8"/>
  </w:num>
  <w:num w:numId="8" w16cid:durableId="1263688410">
    <w:abstractNumId w:val="3"/>
  </w:num>
  <w:num w:numId="9" w16cid:durableId="1326474853">
    <w:abstractNumId w:val="6"/>
  </w:num>
  <w:num w:numId="10" w16cid:durableId="1502622104">
    <w:abstractNumId w:val="0"/>
  </w:num>
  <w:num w:numId="11" w16cid:durableId="1476139148">
    <w:abstractNumId w:val="7"/>
  </w:num>
  <w:num w:numId="12" w16cid:durableId="1802914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A8"/>
    <w:rsid w:val="000027B8"/>
    <w:rsid w:val="00005289"/>
    <w:rsid w:val="000151A0"/>
    <w:rsid w:val="00017D46"/>
    <w:rsid w:val="000302F1"/>
    <w:rsid w:val="0004133D"/>
    <w:rsid w:val="000428A5"/>
    <w:rsid w:val="00042D80"/>
    <w:rsid w:val="00050740"/>
    <w:rsid w:val="00053805"/>
    <w:rsid w:val="00055683"/>
    <w:rsid w:val="00056CC4"/>
    <w:rsid w:val="00065CCE"/>
    <w:rsid w:val="000723A8"/>
    <w:rsid w:val="000728C5"/>
    <w:rsid w:val="0007589B"/>
    <w:rsid w:val="0007783F"/>
    <w:rsid w:val="00087336"/>
    <w:rsid w:val="00094D36"/>
    <w:rsid w:val="00096C1B"/>
    <w:rsid w:val="000B047C"/>
    <w:rsid w:val="000B1F3A"/>
    <w:rsid w:val="000C5D77"/>
    <w:rsid w:val="000E1B92"/>
    <w:rsid w:val="000E2BD1"/>
    <w:rsid w:val="000E3075"/>
    <w:rsid w:val="000E460B"/>
    <w:rsid w:val="000E5E73"/>
    <w:rsid w:val="000F0C7B"/>
    <w:rsid w:val="000F233D"/>
    <w:rsid w:val="000F341C"/>
    <w:rsid w:val="000F5088"/>
    <w:rsid w:val="000F5479"/>
    <w:rsid w:val="00100229"/>
    <w:rsid w:val="00100D18"/>
    <w:rsid w:val="00102F1A"/>
    <w:rsid w:val="00105338"/>
    <w:rsid w:val="00105A51"/>
    <w:rsid w:val="001062F8"/>
    <w:rsid w:val="00112429"/>
    <w:rsid w:val="001155F4"/>
    <w:rsid w:val="00115F24"/>
    <w:rsid w:val="0012731F"/>
    <w:rsid w:val="001301E0"/>
    <w:rsid w:val="00131470"/>
    <w:rsid w:val="0013511B"/>
    <w:rsid w:val="0014705F"/>
    <w:rsid w:val="001507EE"/>
    <w:rsid w:val="00150D8D"/>
    <w:rsid w:val="00155323"/>
    <w:rsid w:val="0015640F"/>
    <w:rsid w:val="00164B1B"/>
    <w:rsid w:val="00165955"/>
    <w:rsid w:val="00165FBF"/>
    <w:rsid w:val="001755B4"/>
    <w:rsid w:val="001767B3"/>
    <w:rsid w:val="00176C62"/>
    <w:rsid w:val="00183B70"/>
    <w:rsid w:val="00184236"/>
    <w:rsid w:val="00191849"/>
    <w:rsid w:val="00195476"/>
    <w:rsid w:val="001967A9"/>
    <w:rsid w:val="001976E0"/>
    <w:rsid w:val="001A03C2"/>
    <w:rsid w:val="001A1E3A"/>
    <w:rsid w:val="001A2058"/>
    <w:rsid w:val="001C5A9B"/>
    <w:rsid w:val="001C7456"/>
    <w:rsid w:val="001D2289"/>
    <w:rsid w:val="001D339C"/>
    <w:rsid w:val="001D7EB6"/>
    <w:rsid w:val="001F10CB"/>
    <w:rsid w:val="001F1D83"/>
    <w:rsid w:val="001F257C"/>
    <w:rsid w:val="002025A8"/>
    <w:rsid w:val="0020374D"/>
    <w:rsid w:val="00205EE8"/>
    <w:rsid w:val="0020666C"/>
    <w:rsid w:val="00213195"/>
    <w:rsid w:val="002143E7"/>
    <w:rsid w:val="002329FB"/>
    <w:rsid w:val="00233F88"/>
    <w:rsid w:val="002359F6"/>
    <w:rsid w:val="002370E2"/>
    <w:rsid w:val="002373A5"/>
    <w:rsid w:val="00240C3A"/>
    <w:rsid w:val="0024309E"/>
    <w:rsid w:val="0024485B"/>
    <w:rsid w:val="00255862"/>
    <w:rsid w:val="00257FBE"/>
    <w:rsid w:val="00263D1F"/>
    <w:rsid w:val="00270184"/>
    <w:rsid w:val="00271EC6"/>
    <w:rsid w:val="00275760"/>
    <w:rsid w:val="00282357"/>
    <w:rsid w:val="0029048F"/>
    <w:rsid w:val="00290ACC"/>
    <w:rsid w:val="00291A94"/>
    <w:rsid w:val="002A0B39"/>
    <w:rsid w:val="002A4142"/>
    <w:rsid w:val="002A45D0"/>
    <w:rsid w:val="002A5BA5"/>
    <w:rsid w:val="002A7EF0"/>
    <w:rsid w:val="002B3B00"/>
    <w:rsid w:val="002C4849"/>
    <w:rsid w:val="002C70B7"/>
    <w:rsid w:val="002D4CD4"/>
    <w:rsid w:val="002E0A22"/>
    <w:rsid w:val="002F3DB9"/>
    <w:rsid w:val="003013FE"/>
    <w:rsid w:val="00314EBE"/>
    <w:rsid w:val="00315F04"/>
    <w:rsid w:val="003227A3"/>
    <w:rsid w:val="00326FE5"/>
    <w:rsid w:val="003311BA"/>
    <w:rsid w:val="00332A43"/>
    <w:rsid w:val="0034287D"/>
    <w:rsid w:val="00353F0B"/>
    <w:rsid w:val="003542FD"/>
    <w:rsid w:val="0035608B"/>
    <w:rsid w:val="00360F81"/>
    <w:rsid w:val="00361094"/>
    <w:rsid w:val="003745F7"/>
    <w:rsid w:val="00375D67"/>
    <w:rsid w:val="003771D0"/>
    <w:rsid w:val="003811CE"/>
    <w:rsid w:val="003831D3"/>
    <w:rsid w:val="00383527"/>
    <w:rsid w:val="00391060"/>
    <w:rsid w:val="003938C1"/>
    <w:rsid w:val="003976CA"/>
    <w:rsid w:val="003A1E5A"/>
    <w:rsid w:val="003A2ECE"/>
    <w:rsid w:val="003A536E"/>
    <w:rsid w:val="003B1867"/>
    <w:rsid w:val="003B6534"/>
    <w:rsid w:val="003C19D0"/>
    <w:rsid w:val="003C4B09"/>
    <w:rsid w:val="003D017E"/>
    <w:rsid w:val="003D09FB"/>
    <w:rsid w:val="003D162A"/>
    <w:rsid w:val="003E3866"/>
    <w:rsid w:val="003E52D3"/>
    <w:rsid w:val="003E599C"/>
    <w:rsid w:val="003F3CC2"/>
    <w:rsid w:val="003F77BD"/>
    <w:rsid w:val="00401B62"/>
    <w:rsid w:val="0040637D"/>
    <w:rsid w:val="00407EA2"/>
    <w:rsid w:val="004106D9"/>
    <w:rsid w:val="00412935"/>
    <w:rsid w:val="004137F1"/>
    <w:rsid w:val="00416DFC"/>
    <w:rsid w:val="00420176"/>
    <w:rsid w:val="00423CE7"/>
    <w:rsid w:val="0042413B"/>
    <w:rsid w:val="00432EF2"/>
    <w:rsid w:val="00437EEE"/>
    <w:rsid w:val="00452265"/>
    <w:rsid w:val="0045515F"/>
    <w:rsid w:val="00457234"/>
    <w:rsid w:val="00457DEA"/>
    <w:rsid w:val="004671D3"/>
    <w:rsid w:val="004678E6"/>
    <w:rsid w:val="004723F3"/>
    <w:rsid w:val="00472F25"/>
    <w:rsid w:val="00485D08"/>
    <w:rsid w:val="00491CF6"/>
    <w:rsid w:val="00496E7A"/>
    <w:rsid w:val="004A1428"/>
    <w:rsid w:val="004A3189"/>
    <w:rsid w:val="004A4892"/>
    <w:rsid w:val="004B18AB"/>
    <w:rsid w:val="004B624E"/>
    <w:rsid w:val="004C0226"/>
    <w:rsid w:val="004C0981"/>
    <w:rsid w:val="004C334C"/>
    <w:rsid w:val="004C510E"/>
    <w:rsid w:val="004E6159"/>
    <w:rsid w:val="004F3F84"/>
    <w:rsid w:val="004F6484"/>
    <w:rsid w:val="00501F21"/>
    <w:rsid w:val="00503BD5"/>
    <w:rsid w:val="005052DF"/>
    <w:rsid w:val="00506164"/>
    <w:rsid w:val="005111F3"/>
    <w:rsid w:val="00511A94"/>
    <w:rsid w:val="00514C31"/>
    <w:rsid w:val="00516258"/>
    <w:rsid w:val="00520A3F"/>
    <w:rsid w:val="00522521"/>
    <w:rsid w:val="00523280"/>
    <w:rsid w:val="00526F2F"/>
    <w:rsid w:val="00526FAC"/>
    <w:rsid w:val="00527AE1"/>
    <w:rsid w:val="00531E9C"/>
    <w:rsid w:val="00533733"/>
    <w:rsid w:val="005368DE"/>
    <w:rsid w:val="00543FCE"/>
    <w:rsid w:val="005515AF"/>
    <w:rsid w:val="00555094"/>
    <w:rsid w:val="005558F8"/>
    <w:rsid w:val="005575ED"/>
    <w:rsid w:val="00561C8E"/>
    <w:rsid w:val="00565F74"/>
    <w:rsid w:val="00574282"/>
    <w:rsid w:val="005768DB"/>
    <w:rsid w:val="005774B1"/>
    <w:rsid w:val="00581276"/>
    <w:rsid w:val="0058191C"/>
    <w:rsid w:val="00581E3E"/>
    <w:rsid w:val="00582804"/>
    <w:rsid w:val="005853F1"/>
    <w:rsid w:val="005908AC"/>
    <w:rsid w:val="00597658"/>
    <w:rsid w:val="005A2C2A"/>
    <w:rsid w:val="005A717B"/>
    <w:rsid w:val="005A779D"/>
    <w:rsid w:val="005B1740"/>
    <w:rsid w:val="005B253C"/>
    <w:rsid w:val="005B2D2D"/>
    <w:rsid w:val="005B3351"/>
    <w:rsid w:val="005C0FD7"/>
    <w:rsid w:val="005C28A8"/>
    <w:rsid w:val="005C297F"/>
    <w:rsid w:val="005C2C89"/>
    <w:rsid w:val="005C3F3F"/>
    <w:rsid w:val="005C429E"/>
    <w:rsid w:val="005D017F"/>
    <w:rsid w:val="005D054F"/>
    <w:rsid w:val="005D06BE"/>
    <w:rsid w:val="005D4423"/>
    <w:rsid w:val="005D4947"/>
    <w:rsid w:val="005D4D35"/>
    <w:rsid w:val="005D6E4D"/>
    <w:rsid w:val="005E0A59"/>
    <w:rsid w:val="005E2448"/>
    <w:rsid w:val="005E7A9B"/>
    <w:rsid w:val="005F447E"/>
    <w:rsid w:val="00602096"/>
    <w:rsid w:val="00602E9F"/>
    <w:rsid w:val="00606999"/>
    <w:rsid w:val="00611B2E"/>
    <w:rsid w:val="00612E67"/>
    <w:rsid w:val="0061754A"/>
    <w:rsid w:val="00620EF8"/>
    <w:rsid w:val="00622E4D"/>
    <w:rsid w:val="00636ED2"/>
    <w:rsid w:val="00637613"/>
    <w:rsid w:val="00642D33"/>
    <w:rsid w:val="006524CA"/>
    <w:rsid w:val="006564E7"/>
    <w:rsid w:val="0065657B"/>
    <w:rsid w:val="00662368"/>
    <w:rsid w:val="0066599B"/>
    <w:rsid w:val="0067059B"/>
    <w:rsid w:val="00671505"/>
    <w:rsid w:val="00675E52"/>
    <w:rsid w:val="006821C6"/>
    <w:rsid w:val="00684F3E"/>
    <w:rsid w:val="00684FC0"/>
    <w:rsid w:val="006870C9"/>
    <w:rsid w:val="0069654D"/>
    <w:rsid w:val="00697993"/>
    <w:rsid w:val="006A2D09"/>
    <w:rsid w:val="006A32B8"/>
    <w:rsid w:val="006A7418"/>
    <w:rsid w:val="006A76FD"/>
    <w:rsid w:val="006B0E50"/>
    <w:rsid w:val="006B5EEB"/>
    <w:rsid w:val="006C0566"/>
    <w:rsid w:val="006C0F0B"/>
    <w:rsid w:val="006D6849"/>
    <w:rsid w:val="006E47EF"/>
    <w:rsid w:val="006F04F8"/>
    <w:rsid w:val="006F1615"/>
    <w:rsid w:val="006F199F"/>
    <w:rsid w:val="00703213"/>
    <w:rsid w:val="0070345D"/>
    <w:rsid w:val="00707A85"/>
    <w:rsid w:val="00714BA2"/>
    <w:rsid w:val="00717A1C"/>
    <w:rsid w:val="007321EE"/>
    <w:rsid w:val="00732818"/>
    <w:rsid w:val="00734A9C"/>
    <w:rsid w:val="00737581"/>
    <w:rsid w:val="0074093F"/>
    <w:rsid w:val="00756CB1"/>
    <w:rsid w:val="00757224"/>
    <w:rsid w:val="00757251"/>
    <w:rsid w:val="0076316B"/>
    <w:rsid w:val="00765358"/>
    <w:rsid w:val="007712FA"/>
    <w:rsid w:val="0077604E"/>
    <w:rsid w:val="0078329B"/>
    <w:rsid w:val="007841BD"/>
    <w:rsid w:val="00793598"/>
    <w:rsid w:val="0079402D"/>
    <w:rsid w:val="00794A5A"/>
    <w:rsid w:val="00797852"/>
    <w:rsid w:val="00797AAC"/>
    <w:rsid w:val="007A2FB5"/>
    <w:rsid w:val="007A560D"/>
    <w:rsid w:val="007A6365"/>
    <w:rsid w:val="007B2F86"/>
    <w:rsid w:val="007B7CCA"/>
    <w:rsid w:val="007C39D3"/>
    <w:rsid w:val="007D29A0"/>
    <w:rsid w:val="007E67E9"/>
    <w:rsid w:val="007E757F"/>
    <w:rsid w:val="007F1EC9"/>
    <w:rsid w:val="0080068D"/>
    <w:rsid w:val="00800E3F"/>
    <w:rsid w:val="00803E7C"/>
    <w:rsid w:val="008042BF"/>
    <w:rsid w:val="008062DC"/>
    <w:rsid w:val="00810BF9"/>
    <w:rsid w:val="00812AE2"/>
    <w:rsid w:val="00812D76"/>
    <w:rsid w:val="00814779"/>
    <w:rsid w:val="00820929"/>
    <w:rsid w:val="0082151E"/>
    <w:rsid w:val="00826CB4"/>
    <w:rsid w:val="00834BA6"/>
    <w:rsid w:val="00835CBD"/>
    <w:rsid w:val="00835E0A"/>
    <w:rsid w:val="0084600F"/>
    <w:rsid w:val="00847F18"/>
    <w:rsid w:val="008619AB"/>
    <w:rsid w:val="00863260"/>
    <w:rsid w:val="00866048"/>
    <w:rsid w:val="00870506"/>
    <w:rsid w:val="008738D6"/>
    <w:rsid w:val="008772F2"/>
    <w:rsid w:val="008815BC"/>
    <w:rsid w:val="008827C7"/>
    <w:rsid w:val="00886690"/>
    <w:rsid w:val="00887259"/>
    <w:rsid w:val="008A1478"/>
    <w:rsid w:val="008A463D"/>
    <w:rsid w:val="008A5C5C"/>
    <w:rsid w:val="008B1F7E"/>
    <w:rsid w:val="008B5C52"/>
    <w:rsid w:val="008B61D3"/>
    <w:rsid w:val="008C255C"/>
    <w:rsid w:val="008C747F"/>
    <w:rsid w:val="008D07CF"/>
    <w:rsid w:val="008D20D4"/>
    <w:rsid w:val="008D4025"/>
    <w:rsid w:val="008D6AED"/>
    <w:rsid w:val="008D6C55"/>
    <w:rsid w:val="008E0E55"/>
    <w:rsid w:val="008E3B4A"/>
    <w:rsid w:val="008E4424"/>
    <w:rsid w:val="008E4E3E"/>
    <w:rsid w:val="008F6579"/>
    <w:rsid w:val="008F76CB"/>
    <w:rsid w:val="00900C36"/>
    <w:rsid w:val="00905C29"/>
    <w:rsid w:val="0090666A"/>
    <w:rsid w:val="00907AB7"/>
    <w:rsid w:val="00910508"/>
    <w:rsid w:val="00912E58"/>
    <w:rsid w:val="009257C8"/>
    <w:rsid w:val="0093400C"/>
    <w:rsid w:val="00950542"/>
    <w:rsid w:val="009508FC"/>
    <w:rsid w:val="0095254F"/>
    <w:rsid w:val="00954899"/>
    <w:rsid w:val="00954D7E"/>
    <w:rsid w:val="00956612"/>
    <w:rsid w:val="00960411"/>
    <w:rsid w:val="00960643"/>
    <w:rsid w:val="00960BCF"/>
    <w:rsid w:val="0096473C"/>
    <w:rsid w:val="00965E2F"/>
    <w:rsid w:val="00970428"/>
    <w:rsid w:val="009708EE"/>
    <w:rsid w:val="00972F23"/>
    <w:rsid w:val="009766A2"/>
    <w:rsid w:val="00976B33"/>
    <w:rsid w:val="00982323"/>
    <w:rsid w:val="009922B2"/>
    <w:rsid w:val="00995B75"/>
    <w:rsid w:val="009A5F65"/>
    <w:rsid w:val="009B04FD"/>
    <w:rsid w:val="009B0F4D"/>
    <w:rsid w:val="009B6A77"/>
    <w:rsid w:val="009B749C"/>
    <w:rsid w:val="009C0D97"/>
    <w:rsid w:val="009C1020"/>
    <w:rsid w:val="009C2A3E"/>
    <w:rsid w:val="009D3108"/>
    <w:rsid w:val="009E1F0B"/>
    <w:rsid w:val="009E4A19"/>
    <w:rsid w:val="009F0B95"/>
    <w:rsid w:val="009F219E"/>
    <w:rsid w:val="009F7018"/>
    <w:rsid w:val="00A03749"/>
    <w:rsid w:val="00A04076"/>
    <w:rsid w:val="00A05452"/>
    <w:rsid w:val="00A11FA8"/>
    <w:rsid w:val="00A13DFB"/>
    <w:rsid w:val="00A21838"/>
    <w:rsid w:val="00A21CB4"/>
    <w:rsid w:val="00A2520A"/>
    <w:rsid w:val="00A2591A"/>
    <w:rsid w:val="00A25A61"/>
    <w:rsid w:val="00A301A2"/>
    <w:rsid w:val="00A34809"/>
    <w:rsid w:val="00A35996"/>
    <w:rsid w:val="00A3624F"/>
    <w:rsid w:val="00A4008C"/>
    <w:rsid w:val="00A41C82"/>
    <w:rsid w:val="00A422A8"/>
    <w:rsid w:val="00A50A21"/>
    <w:rsid w:val="00A5379E"/>
    <w:rsid w:val="00A55400"/>
    <w:rsid w:val="00A55EEA"/>
    <w:rsid w:val="00A56ED0"/>
    <w:rsid w:val="00A62BE9"/>
    <w:rsid w:val="00A64C19"/>
    <w:rsid w:val="00A7099E"/>
    <w:rsid w:val="00A70D34"/>
    <w:rsid w:val="00A7121F"/>
    <w:rsid w:val="00A714AC"/>
    <w:rsid w:val="00A7469A"/>
    <w:rsid w:val="00A74A0E"/>
    <w:rsid w:val="00A8130C"/>
    <w:rsid w:val="00A83705"/>
    <w:rsid w:val="00A858C8"/>
    <w:rsid w:val="00A86E73"/>
    <w:rsid w:val="00A971CF"/>
    <w:rsid w:val="00AC0CC2"/>
    <w:rsid w:val="00AD21A4"/>
    <w:rsid w:val="00AE43E1"/>
    <w:rsid w:val="00AF1AFA"/>
    <w:rsid w:val="00AF29FC"/>
    <w:rsid w:val="00AF2A9C"/>
    <w:rsid w:val="00B00671"/>
    <w:rsid w:val="00B04382"/>
    <w:rsid w:val="00B065DF"/>
    <w:rsid w:val="00B139FB"/>
    <w:rsid w:val="00B231D4"/>
    <w:rsid w:val="00B2336B"/>
    <w:rsid w:val="00B26E4A"/>
    <w:rsid w:val="00B2778A"/>
    <w:rsid w:val="00B34A73"/>
    <w:rsid w:val="00B35625"/>
    <w:rsid w:val="00B43923"/>
    <w:rsid w:val="00B46310"/>
    <w:rsid w:val="00B51BB8"/>
    <w:rsid w:val="00B52592"/>
    <w:rsid w:val="00B53FEB"/>
    <w:rsid w:val="00B574DE"/>
    <w:rsid w:val="00B61FB5"/>
    <w:rsid w:val="00B6240F"/>
    <w:rsid w:val="00B63850"/>
    <w:rsid w:val="00B63F5D"/>
    <w:rsid w:val="00B66443"/>
    <w:rsid w:val="00B70DFD"/>
    <w:rsid w:val="00B7228F"/>
    <w:rsid w:val="00B75373"/>
    <w:rsid w:val="00B757C0"/>
    <w:rsid w:val="00B820C3"/>
    <w:rsid w:val="00B843FF"/>
    <w:rsid w:val="00B85D31"/>
    <w:rsid w:val="00B94978"/>
    <w:rsid w:val="00B96B00"/>
    <w:rsid w:val="00BA2E0E"/>
    <w:rsid w:val="00BB5287"/>
    <w:rsid w:val="00BC132D"/>
    <w:rsid w:val="00BC2623"/>
    <w:rsid w:val="00BC26CE"/>
    <w:rsid w:val="00BC294C"/>
    <w:rsid w:val="00BC4817"/>
    <w:rsid w:val="00BD1C65"/>
    <w:rsid w:val="00BD4E24"/>
    <w:rsid w:val="00BE0F87"/>
    <w:rsid w:val="00BE59C7"/>
    <w:rsid w:val="00BE7F33"/>
    <w:rsid w:val="00C00BD5"/>
    <w:rsid w:val="00C012E5"/>
    <w:rsid w:val="00C02C35"/>
    <w:rsid w:val="00C04E75"/>
    <w:rsid w:val="00C05A81"/>
    <w:rsid w:val="00C07C9B"/>
    <w:rsid w:val="00C10A4D"/>
    <w:rsid w:val="00C110F2"/>
    <w:rsid w:val="00C114F4"/>
    <w:rsid w:val="00C17928"/>
    <w:rsid w:val="00C21655"/>
    <w:rsid w:val="00C21B06"/>
    <w:rsid w:val="00C25375"/>
    <w:rsid w:val="00C315D8"/>
    <w:rsid w:val="00C33170"/>
    <w:rsid w:val="00C3568C"/>
    <w:rsid w:val="00C360B7"/>
    <w:rsid w:val="00C3707D"/>
    <w:rsid w:val="00C4205B"/>
    <w:rsid w:val="00C430BB"/>
    <w:rsid w:val="00C453FF"/>
    <w:rsid w:val="00C55457"/>
    <w:rsid w:val="00C6042E"/>
    <w:rsid w:val="00C73F9E"/>
    <w:rsid w:val="00C80058"/>
    <w:rsid w:val="00C869E3"/>
    <w:rsid w:val="00C87CAF"/>
    <w:rsid w:val="00C9693F"/>
    <w:rsid w:val="00CA060D"/>
    <w:rsid w:val="00CB0831"/>
    <w:rsid w:val="00CB52C6"/>
    <w:rsid w:val="00CC2775"/>
    <w:rsid w:val="00CC559F"/>
    <w:rsid w:val="00CC6182"/>
    <w:rsid w:val="00CD5391"/>
    <w:rsid w:val="00CD5886"/>
    <w:rsid w:val="00CD609C"/>
    <w:rsid w:val="00CF172C"/>
    <w:rsid w:val="00CF5416"/>
    <w:rsid w:val="00CF644D"/>
    <w:rsid w:val="00D1124F"/>
    <w:rsid w:val="00D12E12"/>
    <w:rsid w:val="00D13727"/>
    <w:rsid w:val="00D14DFA"/>
    <w:rsid w:val="00D1601C"/>
    <w:rsid w:val="00D17060"/>
    <w:rsid w:val="00D17BB7"/>
    <w:rsid w:val="00D215A2"/>
    <w:rsid w:val="00D2371E"/>
    <w:rsid w:val="00D24D9C"/>
    <w:rsid w:val="00D26084"/>
    <w:rsid w:val="00D273EF"/>
    <w:rsid w:val="00D27D95"/>
    <w:rsid w:val="00D30BDF"/>
    <w:rsid w:val="00D31EFC"/>
    <w:rsid w:val="00D350A8"/>
    <w:rsid w:val="00D377A7"/>
    <w:rsid w:val="00D400ED"/>
    <w:rsid w:val="00D408BF"/>
    <w:rsid w:val="00D51DDF"/>
    <w:rsid w:val="00D55136"/>
    <w:rsid w:val="00D6422E"/>
    <w:rsid w:val="00D705F3"/>
    <w:rsid w:val="00D751AA"/>
    <w:rsid w:val="00D912A4"/>
    <w:rsid w:val="00D96897"/>
    <w:rsid w:val="00DA12D2"/>
    <w:rsid w:val="00DA4D6E"/>
    <w:rsid w:val="00DA70EE"/>
    <w:rsid w:val="00DC24D9"/>
    <w:rsid w:val="00DC70AE"/>
    <w:rsid w:val="00DD07F8"/>
    <w:rsid w:val="00DD4144"/>
    <w:rsid w:val="00DD705E"/>
    <w:rsid w:val="00DD749B"/>
    <w:rsid w:val="00DE1C2A"/>
    <w:rsid w:val="00DE7360"/>
    <w:rsid w:val="00DE7F4E"/>
    <w:rsid w:val="00DF1C8D"/>
    <w:rsid w:val="00DF2D62"/>
    <w:rsid w:val="00DF2F57"/>
    <w:rsid w:val="00E0001D"/>
    <w:rsid w:val="00E11A60"/>
    <w:rsid w:val="00E12DFA"/>
    <w:rsid w:val="00E14C63"/>
    <w:rsid w:val="00E20D10"/>
    <w:rsid w:val="00E24415"/>
    <w:rsid w:val="00E25814"/>
    <w:rsid w:val="00E304DE"/>
    <w:rsid w:val="00E33E65"/>
    <w:rsid w:val="00E454EA"/>
    <w:rsid w:val="00E616F0"/>
    <w:rsid w:val="00E73BD3"/>
    <w:rsid w:val="00E75CFB"/>
    <w:rsid w:val="00E778BE"/>
    <w:rsid w:val="00E854FA"/>
    <w:rsid w:val="00E86A49"/>
    <w:rsid w:val="00E96D9F"/>
    <w:rsid w:val="00E9729B"/>
    <w:rsid w:val="00EA3968"/>
    <w:rsid w:val="00EB13B8"/>
    <w:rsid w:val="00EB206D"/>
    <w:rsid w:val="00EB5147"/>
    <w:rsid w:val="00EC314F"/>
    <w:rsid w:val="00EC3236"/>
    <w:rsid w:val="00EC7882"/>
    <w:rsid w:val="00ED7A11"/>
    <w:rsid w:val="00EE1D2C"/>
    <w:rsid w:val="00EE22CC"/>
    <w:rsid w:val="00EE4195"/>
    <w:rsid w:val="00EF302A"/>
    <w:rsid w:val="00EF4AD6"/>
    <w:rsid w:val="00EF4E3E"/>
    <w:rsid w:val="00EF650C"/>
    <w:rsid w:val="00F012DD"/>
    <w:rsid w:val="00F11DCD"/>
    <w:rsid w:val="00F14924"/>
    <w:rsid w:val="00F23E3F"/>
    <w:rsid w:val="00F26A37"/>
    <w:rsid w:val="00F473FF"/>
    <w:rsid w:val="00F618F2"/>
    <w:rsid w:val="00F61F08"/>
    <w:rsid w:val="00F61FC9"/>
    <w:rsid w:val="00F63E0D"/>
    <w:rsid w:val="00F640A9"/>
    <w:rsid w:val="00F64A6F"/>
    <w:rsid w:val="00F67D17"/>
    <w:rsid w:val="00F67F37"/>
    <w:rsid w:val="00F72A8A"/>
    <w:rsid w:val="00F75941"/>
    <w:rsid w:val="00F76CEE"/>
    <w:rsid w:val="00F80FC4"/>
    <w:rsid w:val="00F825DB"/>
    <w:rsid w:val="00F839F8"/>
    <w:rsid w:val="00F95027"/>
    <w:rsid w:val="00F97133"/>
    <w:rsid w:val="00F97E14"/>
    <w:rsid w:val="00FA05A9"/>
    <w:rsid w:val="00FA0F7B"/>
    <w:rsid w:val="00FB4A38"/>
    <w:rsid w:val="00FB4B9A"/>
    <w:rsid w:val="00FB7786"/>
    <w:rsid w:val="00FC0E5E"/>
    <w:rsid w:val="00FC11BA"/>
    <w:rsid w:val="00FC30A2"/>
    <w:rsid w:val="00FC6722"/>
    <w:rsid w:val="00FD7738"/>
    <w:rsid w:val="00FD7DDD"/>
    <w:rsid w:val="00FF36D8"/>
    <w:rsid w:val="00FF600B"/>
    <w:rsid w:val="00FF6276"/>
    <w:rsid w:val="00FF701F"/>
    <w:rsid w:val="00FF7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5B55F"/>
  <w15:docId w15:val="{B377D444-A117-4FA4-8EC9-56F46A1D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styleId="FollowedHyperlink">
    <w:name w:val="FollowedHyperlink"/>
    <w:basedOn w:val="DefaultParagraphFont"/>
    <w:uiPriority w:val="99"/>
    <w:semiHidden/>
    <w:unhideWhenUsed/>
    <w:rsid w:val="0077604E"/>
    <w:rPr>
      <w:color w:val="800080" w:themeColor="followedHyperlink"/>
      <w:u w:val="single"/>
    </w:rPr>
  </w:style>
  <w:style w:type="table" w:styleId="TableGrid">
    <w:name w:val="Table Grid"/>
    <w:basedOn w:val="TableNormal"/>
    <w:uiPriority w:val="59"/>
    <w:rsid w:val="0049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3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05E70F4A-87E6-4221-8D2C-3B3AA38C812D}">
  <ds:schemaRefs>
    <ds:schemaRef ds:uri="http://schemas.openxmlformats.org/package/2006/metadata/core-properties"/>
    <ds:schemaRef ds:uri="http://purl.org/dc/elements/1.1/"/>
    <ds:schemaRef ds:uri="e029e753-062b-49ce-baa7-feb352134f8f"/>
    <ds:schemaRef ds:uri="5a7c6213-c3f8-4376-93f2-dc58e5c51d54"/>
    <ds:schemaRef ds:uri="http://purl.org/dc/terms/"/>
    <ds:schemaRef ds:uri="d6eefc7d-9817-4fa6-84d5-3bc009be21b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6DD8092-1017-498C-9CBD-459FF08BAD33}">
  <ds:schemaRefs>
    <ds:schemaRef ds:uri="http://schemas.openxmlformats.org/officeDocument/2006/bibliography"/>
  </ds:schemaRefs>
</ds:datastoreItem>
</file>

<file path=customXml/itemProps4.xml><?xml version="1.0" encoding="utf-8"?>
<ds:datastoreItem xmlns:ds="http://schemas.openxmlformats.org/officeDocument/2006/customXml" ds:itemID="{A6BE62E2-DFE9-4018-A3C3-8CC8BD34B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accept changes--clean version</vt:lpstr>
    </vt:vector>
  </TitlesOfParts>
  <Company>Federal Energy Regulatory Commission</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changes--clean version</dc:title>
  <dc:creator>Camilla Nader</dc:creator>
  <cp:lastModifiedBy>Kayla Williams</cp:lastModifiedBy>
  <cp:revision>2</cp:revision>
  <cp:lastPrinted>2019-02-19T20:31:00Z</cp:lastPrinted>
  <dcterms:created xsi:type="dcterms:W3CDTF">2025-07-30T13:44:00Z</dcterms:created>
  <dcterms:modified xsi:type="dcterms:W3CDTF">2025-07-30T13:44:00Z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e7fe2f49-db8a-4072-8e4a-2695c99fd5af</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2025-07-18T00:13:25Z</vt:lpwstr>
  </property>
  <property fmtid="{D5CDD505-2E9C-101B-9397-08002B2CF9AE}" pid="10" name="MSIP_Label_bd24d06a-0e85-4d57-b1e0-ba34b1abc708_SiteId">
    <vt:lpwstr>19caa9e9-04ff-43fa-885f-d77fac387903</vt:lpwstr>
  </property>
</Properties>
</file>