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12F0880B">
      <w:pPr>
        <w:jc w:val="center"/>
      </w:pPr>
      <w:r w:rsidRPr="007633DD">
        <w:t>Docket No</w:t>
      </w:r>
      <w:r w:rsidRPr="00413FDE">
        <w:t xml:space="preserve">. </w:t>
      </w:r>
      <w:r w:rsidR="00703313">
        <w:t>RD</w:t>
      </w:r>
      <w:r w:rsidR="008B70F5">
        <w:t>2</w:t>
      </w:r>
      <w:r w:rsidR="005A23EA">
        <w:t>5</w:t>
      </w:r>
      <w:r w:rsidRPr="00413FDE" w:rsidR="00613169">
        <w:t>-</w:t>
      </w:r>
      <w:r w:rsidR="0017796B">
        <w:t>5</w:t>
      </w:r>
      <w:r w:rsidRPr="00413FDE" w:rsidR="00613169">
        <w:t>-000</w:t>
      </w:r>
    </w:p>
    <w:p w:rsidR="00A2604E" w:rsidP="00A2604E" w14:paraId="4D16FE54" w14:textId="77777777"/>
    <w:p w:rsidR="00A2604E" w:rsidP="00A2604E" w14:paraId="0627AE31" w14:textId="33C6CFC3">
      <w:pPr>
        <w:jc w:val="center"/>
      </w:pPr>
      <w:r>
        <w:t>COMMISSION INFORMATION COLLECTION ACTIVITIES (FERC-</w:t>
      </w:r>
      <w:r w:rsidR="000D6969">
        <w:t>725</w:t>
      </w:r>
      <w:r w:rsidR="00E566A3">
        <w:t xml:space="preserve">R and </w:t>
      </w:r>
      <w:r w:rsidR="00AF0AF6">
        <w:t>FERC-725A</w:t>
      </w:r>
      <w:r w:rsidR="00B85549">
        <w:t>).</w:t>
      </w:r>
    </w:p>
    <w:p w:rsidR="00A2604E" w:rsidP="00A2604E" w14:paraId="3B5240D4" w14:textId="0F47A49F">
      <w:pPr>
        <w:jc w:val="center"/>
      </w:pPr>
      <w:r>
        <w:t xml:space="preserve">COMMENT REQUEST; </w:t>
      </w:r>
      <w:r w:rsidR="0017796B">
        <w:t>REVISION</w:t>
      </w:r>
    </w:p>
    <w:p w:rsidR="00881405" w:rsidP="00A2604E" w14:paraId="5D8DD33D" w14:textId="77777777">
      <w:pPr>
        <w:jc w:val="center"/>
      </w:pPr>
    </w:p>
    <w:p w:rsidR="009C408D" w:rsidP="00C47144" w14:paraId="5D961BD5" w14:textId="6548256E">
      <w:pPr>
        <w:jc w:val="center"/>
      </w:pPr>
      <w:r w:rsidRPr="00C47144">
        <w:t>(July 18, 2025)</w:t>
      </w:r>
    </w:p>
    <w:p w:rsidR="00C47144" w:rsidRPr="00C47144" w:rsidP="00C47144" w14:paraId="338716B9" w14:textId="77777777"/>
    <w:p w:rsidR="00A2604E" w:rsidRPr="00AB4DBF" w:rsidP="54C9162E" w14:paraId="634EF64B" w14:textId="1871F1E7">
      <w:pPr>
        <w:spacing w:line="480" w:lineRule="auto"/>
      </w:pPr>
      <w:r w:rsidRPr="54C9162E">
        <w:rPr>
          <w:b/>
          <w:bCs/>
        </w:rPr>
        <w:t>AGENCY:</w:t>
      </w:r>
      <w:r>
        <w:t xml:space="preserve">  Federal Energy Regulatory Commission.</w:t>
      </w:r>
    </w:p>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B556C9" w:rsidP="34EF1E99" w14:paraId="35DEAE81" w14:textId="648FDF74">
      <w:pPr>
        <w:spacing w:line="480" w:lineRule="auto"/>
        <w:rPr>
          <w:rFonts w:eastAsiaTheme="minorEastAsia"/>
        </w:rPr>
      </w:pPr>
      <w:r w:rsidRPr="50378267">
        <w:rPr>
          <w:b/>
          <w:bCs/>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w:t>
      </w:r>
      <w:r w:rsidR="2B904BD2">
        <w:t xml:space="preserve">proposed revisions of the </w:t>
      </w:r>
      <w:r>
        <w:t xml:space="preserve">currently approved information collection, </w:t>
      </w:r>
      <w:bookmarkStart w:id="1" w:name="_Hlk193891723"/>
      <w:r w:rsidRPr="00462CE1" w:rsidR="00462CE1">
        <w:t xml:space="preserve">FERC-725R, </w:t>
      </w:r>
      <w:r w:rsidR="00462CE1">
        <w:t>(</w:t>
      </w:r>
      <w:r w:rsidRPr="00462CE1" w:rsidR="00462CE1">
        <w:t>Mandatory Reliability Standards: BAL Reliability Standards</w:t>
      </w:r>
      <w:r w:rsidR="00462CE1">
        <w:t xml:space="preserve">) and </w:t>
      </w:r>
      <w:r w:rsidRPr="004B7AF5" w:rsidR="004B7AF5">
        <w:t>FERC-725A, Mandatory Reliability Standards for the Bulk-Power System</w:t>
      </w:r>
      <w:r w:rsidR="00706117">
        <w:t>: TOP and INT Standards.</w:t>
      </w:r>
      <w:r w:rsidR="0082500C">
        <w:t xml:space="preserve"> </w:t>
      </w:r>
      <w:r w:rsidR="001B3C6A">
        <w:t>The 60-day notice published on April 11, 2025, t</w:t>
      </w:r>
      <w:r w:rsidR="007056C1">
        <w:t>he comment period ended on June 10, 2025</w:t>
      </w:r>
      <w:r w:rsidR="001B3C6A">
        <w:t xml:space="preserve">, </w:t>
      </w:r>
      <w:r w:rsidR="00D606E4">
        <w:t>no comments were received</w:t>
      </w:r>
      <w:r w:rsidR="007056C1">
        <w:t>.</w:t>
      </w:r>
    </w:p>
    <w:bookmarkEnd w:id="1"/>
    <w:p w:rsidR="00AE38C6" w:rsidRPr="006D65AB" w:rsidP="00AE38C6" w14:paraId="6FACA27A" w14:textId="77777777">
      <w:pPr>
        <w:spacing w:line="480" w:lineRule="auto"/>
      </w:pPr>
      <w:r w:rsidRPr="006D65AB">
        <w:rPr>
          <w:b/>
          <w:bCs/>
        </w:rPr>
        <w:t>DATES:</w:t>
      </w:r>
      <w:r w:rsidRPr="006D65AB">
        <w:t xml:space="preserve">  Comments on the collection of information are due </w:t>
      </w:r>
      <w:r w:rsidRPr="006D65AB">
        <w:rPr>
          <w:b/>
          <w:bCs/>
        </w:rPr>
        <w:t>[INSERT DATE 30 DAYS AFTER DATE OF PUBLICATION IN THE FEDERAL REGISTER]</w:t>
      </w:r>
      <w:r w:rsidRPr="006D65AB">
        <w:t>.  </w:t>
      </w:r>
    </w:p>
    <w:p w:rsidR="00AE38C6" w:rsidRPr="006D65AB" w:rsidP="00AE38C6" w14:paraId="4CE2047A" w14:textId="2011EB78">
      <w:pPr>
        <w:spacing w:line="480" w:lineRule="auto"/>
      </w:pPr>
      <w:r w:rsidRPr="006D65AB">
        <w:rPr>
          <w:b/>
          <w:bCs/>
        </w:rPr>
        <w:t>ADDRESSES:</w:t>
      </w:r>
      <w:r w:rsidRPr="006D65AB">
        <w:t xml:space="preserve"> Send written comments on FERC-</w:t>
      </w:r>
      <w:r>
        <w:t>725</w:t>
      </w:r>
      <w:r w:rsidR="001E2B4A">
        <w:t>R</w:t>
      </w:r>
      <w:r w:rsidRPr="006D65AB">
        <w:t xml:space="preserve"> to OMB through </w:t>
      </w:r>
      <w:hyperlink r:id="rId10" w:history="1">
        <w:r w:rsidRPr="00DE4085" w:rsidR="001E2B4A">
          <w:rPr>
            <w:rStyle w:val="Hyperlink"/>
          </w:rPr>
          <w:t>https://www.reginfo.gov/public/do/PRA/icrPublicCommentRequest?ref_nbr=202507-1902-003</w:t>
        </w:r>
      </w:hyperlink>
      <w:r w:rsidR="001E2B4A">
        <w:t xml:space="preserve">, </w:t>
      </w:r>
      <w:r w:rsidRPr="001E2B4A" w:rsidR="001E2B4A">
        <w:t>FERC-725</w:t>
      </w:r>
      <w:r w:rsidR="001E2B4A">
        <w:t>A</w:t>
      </w:r>
      <w:r w:rsidRPr="001E2B4A" w:rsidR="001E2B4A">
        <w:t xml:space="preserve"> to OMB through</w:t>
      </w:r>
      <w:r w:rsidR="001E2B4A">
        <w:t xml:space="preserve"> </w:t>
      </w:r>
      <w:r w:rsidRPr="001E2B4A" w:rsidR="001E2B4A">
        <w:t>https://www.reginfo.gov/public/do/PRA/icrPublicCommentRequest?ref_nbr=202507-1902-00</w:t>
      </w:r>
      <w:r w:rsidR="001E2B4A">
        <w:t>4</w:t>
      </w:r>
      <w:r w:rsidRPr="006D65AB">
        <w:t xml:space="preserve">.  You can also visit </w:t>
      </w:r>
      <w:hyperlink r:id="rId11" w:tgtFrame="_blank" w:history="1">
        <w:r w:rsidRPr="006D65AB">
          <w:rPr>
            <w:rStyle w:val="Hyperlink"/>
          </w:rPr>
          <w:t>https://www.reginfo.gov/public/do/PRAMain</w:t>
        </w:r>
      </w:hyperlink>
      <w:r w:rsidRPr="006D65AB">
        <w:t xml:space="preserve"> and use the </w:t>
      </w:r>
      <w:r w:rsidRPr="006D65AB">
        <w:t>drop-down under “Currently under Review” to select the “Federal Energy Regulatory Commission” where you can see the open opportunities to provide comments. Comments should be sent within 30 days of publication of this notice. </w:t>
      </w:r>
    </w:p>
    <w:p w:rsidR="00AE38C6" w:rsidRPr="006D65AB" w:rsidP="00AE38C6" w14:paraId="15D2945D" w14:textId="358F8398">
      <w:pPr>
        <w:spacing w:line="480" w:lineRule="auto"/>
      </w:pPr>
      <w:r w:rsidRPr="006D65AB">
        <w:t xml:space="preserve">Please submit a copy of your comments to the Commission via email to </w:t>
      </w:r>
      <w:hyperlink r:id="rId12" w:tgtFrame="_blank" w:history="1">
        <w:r w:rsidRPr="006D65AB">
          <w:rPr>
            <w:rStyle w:val="Hyperlink"/>
          </w:rPr>
          <w:t>DataClearance@FERC.gov</w:t>
        </w:r>
      </w:hyperlink>
      <w:r w:rsidRPr="006D65AB">
        <w:t>. You must specify the Docket No. (</w:t>
      </w:r>
      <w:r w:rsidR="00830D19">
        <w:t>RD</w:t>
      </w:r>
      <w:r w:rsidRPr="006D65AB">
        <w:t>25-</w:t>
      </w:r>
      <w:r w:rsidR="00830D19">
        <w:t>5</w:t>
      </w:r>
      <w:r w:rsidRPr="006D65AB">
        <w:t>-000) and the FERC Information Collection number (FERC-</w:t>
      </w:r>
      <w:r>
        <w:t>725</w:t>
      </w:r>
      <w:r w:rsidR="00830D19">
        <w:t>R and 725A</w:t>
      </w:r>
      <w:r w:rsidRPr="006D65AB">
        <w:t>) in your email. If you are unable to file electronically, comments may be filed by USPS mail or by hand (including courier) delivery: </w:t>
      </w:r>
    </w:p>
    <w:p w:rsidR="00AE38C6" w:rsidRPr="006D65AB" w:rsidP="00AE38C6" w14:paraId="4A9277AB" w14:textId="77777777">
      <w:pPr>
        <w:numPr>
          <w:ilvl w:val="0"/>
          <w:numId w:val="18"/>
        </w:numPr>
        <w:spacing w:line="480" w:lineRule="auto"/>
      </w:pPr>
      <w:r w:rsidRPr="006D65AB">
        <w:t>Mail via U.S. Postal Service Only: Federal Energy Regulatory Commission, Secretary of the Commission, 888 First Street, N.E., Washington, DC 20426. </w:t>
      </w:r>
    </w:p>
    <w:p w:rsidR="00AE38C6" w:rsidRPr="006D65AB" w:rsidP="00AE38C6" w14:paraId="7005CAB0" w14:textId="77777777">
      <w:pPr>
        <w:numPr>
          <w:ilvl w:val="0"/>
          <w:numId w:val="19"/>
        </w:numPr>
        <w:spacing w:line="480" w:lineRule="auto"/>
      </w:pPr>
      <w:r w:rsidRPr="006D65AB">
        <w:t>All other delivery methods: Federal Energy Regulatory Commission, Secretary of the Commission, 12225 Wilkins Avenue, Rockville, MD 20852. </w:t>
      </w:r>
    </w:p>
    <w:p w:rsidR="00AE38C6" w:rsidRPr="006D65AB" w:rsidP="00AE38C6" w14:paraId="293DAD89" w14:textId="77777777">
      <w:pPr>
        <w:spacing w:line="480" w:lineRule="auto"/>
      </w:pPr>
      <w:r w:rsidRPr="006D65AB">
        <w:rPr>
          <w:i/>
          <w:iCs/>
        </w:rPr>
        <w:t>Docket</w:t>
      </w:r>
      <w:r w:rsidRPr="006D65AB">
        <w:t xml:space="preserve">:  To view comments and issuances in this docket, please visit </w:t>
      </w:r>
      <w:hyperlink r:id="rId13" w:tgtFrame="_blank" w:history="1">
        <w:r w:rsidRPr="006D65AB">
          <w:rPr>
            <w:rStyle w:val="Hyperlink"/>
          </w:rPr>
          <w:t>https://elibrary.ferc.gov/eLibrary/search</w:t>
        </w:r>
      </w:hyperlink>
      <w:r w:rsidRPr="006D65AB">
        <w:t>. Once there, you can also sign-up for automatic notification of activity in this docket.  </w:t>
      </w:r>
    </w:p>
    <w:p w:rsidR="00AE38C6" w:rsidRPr="00AE38C6" w:rsidP="000F3BC3" w14:paraId="5C75247D" w14:textId="7FA4024D">
      <w:pPr>
        <w:spacing w:line="480" w:lineRule="auto"/>
        <w:rPr>
          <w:b/>
        </w:rPr>
      </w:pPr>
      <w:r w:rsidRPr="006D65AB">
        <w:rPr>
          <w:b/>
          <w:bCs/>
        </w:rPr>
        <w:t>FOR FURTHER INFORMATION CONTACT:</w:t>
      </w:r>
      <w:r w:rsidRPr="006D65AB">
        <w:t xml:space="preserve">  Kayla Williams, (202) 502-6468. </w:t>
      </w:r>
      <w:hyperlink r:id="rId12" w:tgtFrame="_blank" w:history="1">
        <w:r w:rsidRPr="006D65AB">
          <w:rPr>
            <w:rStyle w:val="Hyperlink"/>
          </w:rPr>
          <w:t>DataClearance@FERC.gov</w:t>
        </w:r>
      </w:hyperlink>
      <w:r w:rsidRPr="006D65AB">
        <w:rPr>
          <w:b/>
        </w:rPr>
        <w:t> </w:t>
      </w:r>
    </w:p>
    <w:p w:rsidR="000F3BC3" w:rsidRPr="000F3BC3" w:rsidP="000F3BC3" w14:paraId="5169038C" w14:textId="0DB46436">
      <w:pPr>
        <w:spacing w:line="480" w:lineRule="auto"/>
        <w:rPr>
          <w:szCs w:val="26"/>
        </w:rPr>
      </w:pPr>
      <w:r w:rsidRPr="000F3BC3">
        <w:rPr>
          <w:b/>
          <w:szCs w:val="26"/>
        </w:rPr>
        <w:t>SUPPLEMENTARY INFORMATION:</w:t>
      </w:r>
      <w:r w:rsidRPr="000F3BC3">
        <w:rPr>
          <w:szCs w:val="26"/>
        </w:rPr>
        <w:t xml:space="preserve">  </w:t>
      </w:r>
    </w:p>
    <w:p w:rsidR="000F3BC3" w:rsidRPr="000F3BC3" w:rsidP="6D52CCCC" w14:paraId="5BC3B62F" w14:textId="20BE4641">
      <w:pPr>
        <w:spacing w:line="480" w:lineRule="auto"/>
        <w:rPr>
          <w:rFonts w:eastAsiaTheme="minorEastAsia"/>
        </w:rPr>
      </w:pPr>
      <w:r w:rsidRPr="6D52CCCC">
        <w:rPr>
          <w:i/>
          <w:iCs/>
        </w:rPr>
        <w:t xml:space="preserve">Title: </w:t>
      </w:r>
      <w:r w:rsidRPr="00462CE1" w:rsidR="0084717B">
        <w:t xml:space="preserve">FERC-725R, </w:t>
      </w:r>
      <w:r w:rsidR="0084717B">
        <w:t>(</w:t>
      </w:r>
      <w:r w:rsidRPr="00462CE1" w:rsidR="0084717B">
        <w:t>Mandatory Reliability Standards: BAL Reliability Standards</w:t>
      </w:r>
      <w:r w:rsidR="0084717B">
        <w:t xml:space="preserve">) and </w:t>
      </w:r>
      <w:r w:rsidRPr="004B7AF5" w:rsidR="0084717B">
        <w:t>FERC-725A, Mandatory Reliability Standards for the Bulk-Power System</w:t>
      </w:r>
      <w:r w:rsidR="0084717B">
        <w:t>: TOP and INT Standards.</w:t>
      </w:r>
    </w:p>
    <w:p w:rsidR="000F3BC3" w:rsidRPr="000F3BC3" w:rsidP="6D52CCCC" w14:paraId="2F68379A" w14:textId="44FA773C">
      <w:pPr>
        <w:spacing w:line="480" w:lineRule="auto"/>
        <w:rPr>
          <w:rFonts w:eastAsiaTheme="minorEastAsia"/>
        </w:rPr>
      </w:pPr>
      <w:r w:rsidRPr="6D52CCCC">
        <w:rPr>
          <w:i/>
          <w:iCs/>
        </w:rPr>
        <w:t xml:space="preserve">OMB Control No.: </w:t>
      </w:r>
      <w:r w:rsidRPr="00CF63DF" w:rsidR="00CF63DF">
        <w:t>FERC-725R (1902-0268) and FERC-725A (1902-0244)</w:t>
      </w:r>
    </w:p>
    <w:p w:rsidR="4E763C68" w:rsidP="6D52CCCC" w14:paraId="677404B4" w14:textId="6035DF6A">
      <w:pPr>
        <w:spacing w:line="480" w:lineRule="auto"/>
      </w:pPr>
      <w:r w:rsidRPr="6D52CCCC">
        <w:rPr>
          <w:i/>
          <w:iCs/>
        </w:rPr>
        <w:t>Type of Request:</w:t>
      </w:r>
      <w:r>
        <w:t xml:space="preserve"> </w:t>
      </w:r>
      <w:r w:rsidR="007B0911">
        <w:t xml:space="preserve">Revision of </w:t>
      </w:r>
      <w:r w:rsidR="00520275">
        <w:t>FERC-</w:t>
      </w:r>
      <w:r w:rsidR="007B0911">
        <w:t>725R</w:t>
      </w:r>
      <w:r w:rsidR="00520275">
        <w:t xml:space="preserve"> - </w:t>
      </w:r>
      <w:r w:rsidRPr="00BA375E" w:rsidR="000B3EC5">
        <w:t xml:space="preserve">Mandatory Reliability Standards, </w:t>
      </w:r>
      <w:r w:rsidR="007B0911">
        <w:t>proposed</w:t>
      </w:r>
      <w:r w:rsidRPr="00BA375E" w:rsidR="000B3EC5">
        <w:t xml:space="preserve"> Reliability Standard BAL-007-1 (Near-term Energy Reliability Assessments) and </w:t>
      </w:r>
      <w:r w:rsidR="00520275">
        <w:t xml:space="preserve">FERC-725A - </w:t>
      </w:r>
      <w:r w:rsidRPr="00BA375E" w:rsidR="000B3EC5">
        <w:t>proposed Reliability Standard TOP-003-7 (Transmission Operator and Balancing Authority Data and Information Specification and Collection).</w:t>
      </w:r>
    </w:p>
    <w:p w:rsidR="00EC4FC5" w:rsidRPr="00EC4FC5" w:rsidP="00EC4FC5" w14:paraId="27BF9255" w14:textId="77777777">
      <w:pPr>
        <w:spacing w:line="480" w:lineRule="auto"/>
        <w:rPr>
          <w:szCs w:val="26"/>
        </w:rPr>
      </w:pPr>
      <w:r w:rsidRPr="02DEA4E6">
        <w:rPr>
          <w:i/>
          <w:iCs/>
        </w:rPr>
        <w:t>Abstract:</w:t>
      </w:r>
      <w:r>
        <w:t xml:space="preserve"> </w:t>
      </w:r>
      <w:r w:rsidRPr="02DEA4E6" w:rsidR="564E98E0">
        <w:rPr>
          <w:szCs w:val="26"/>
        </w:rPr>
        <w:t xml:space="preserve"> </w:t>
      </w:r>
      <w:r w:rsidRPr="00EC4FC5">
        <w:rPr>
          <w:szCs w:val="26"/>
        </w:rPr>
        <w:t xml:space="preserve">The FERC-725R and FERC-725A information collection requirements are subject to review by the Office of Management and Budget (OMB) under section 3507(d) of the Paperwork Reduction Act of 1995.  OMB’s regulations require approval of certain information collection requirements imposed by agency rules.  Upon approval of a collection of information, OMB will assign an OMB control number and expiration date.  Respondents subject to the filing requirements will not be penalized for failing to respond to these collections of information unless the collections of information display a valid OMB control number.  The Commission solicits comments on the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 </w:t>
      </w:r>
    </w:p>
    <w:p w:rsidR="00EC4FC5" w:rsidRPr="00EC4FC5" w:rsidP="00EC4FC5" w14:paraId="7B5D9F97" w14:textId="77777777">
      <w:pPr>
        <w:spacing w:line="480" w:lineRule="auto"/>
        <w:rPr>
          <w:szCs w:val="26"/>
        </w:rPr>
      </w:pPr>
      <w:r w:rsidRPr="00EC4FC5">
        <w:rPr>
          <w:szCs w:val="26"/>
        </w:rPr>
        <w:t>The Commission bases its paperwork burden estimates on the additional paperwork burden presented by the proposed the Commission’s regulations,</w:t>
      </w:r>
      <w:r>
        <w:rPr>
          <w:b/>
          <w:bCs/>
          <w:szCs w:val="26"/>
          <w:vertAlign w:val="superscript"/>
        </w:rPr>
        <w:footnoteReference w:id="3"/>
      </w:r>
      <w:r w:rsidRPr="00EC4FC5">
        <w:rPr>
          <w:szCs w:val="26"/>
        </w:rPr>
        <w:t xml:space="preserve"> proposing the approval of proposed Reliability Standard BAL-007-1 (Near-term Energy Reliability Assessments), the approval of proposed Reliability Standard TOP-003-7 (Transmission </w:t>
      </w:r>
      <w:r w:rsidRPr="00EC4FC5">
        <w:rPr>
          <w:szCs w:val="26"/>
        </w:rPr>
        <w:t xml:space="preserve">Operator and Balancing Authority Data and Information Specification and Collection), and the approval of the proposed definitions of the terms Energy Reliability Assessment (ERA) and Near-Term Energy Reliability Assessment (Near-Term ERA) for inclusion in the Glossary of Terms Used in NERC Reliability Standards.  </w:t>
      </w:r>
    </w:p>
    <w:p w:rsidR="00A2075F" w:rsidRPr="00EC4FC5" w:rsidP="00132785" w14:paraId="22F25D34" w14:textId="768C2DBC">
      <w:pPr>
        <w:spacing w:line="480" w:lineRule="auto"/>
        <w:rPr>
          <w:rFonts w:eastAsia="Calibri"/>
          <w:szCs w:val="26"/>
        </w:rPr>
      </w:pPr>
      <w:r w:rsidRPr="00EC4FC5">
        <w:rPr>
          <w:szCs w:val="26"/>
        </w:rPr>
        <w:t>NERC explains “the purpose of proposed Reliability Standard BAL-007-1 is to identify and minimize the risks of forecasted Energy Emergencies in the operations planning time horizon by analyzing the expected resource mix availability.”</w:t>
      </w:r>
      <w:r>
        <w:rPr>
          <w:b/>
          <w:bCs/>
          <w:szCs w:val="26"/>
          <w:vertAlign w:val="superscript"/>
        </w:rPr>
        <w:footnoteReference w:id="4"/>
      </w:r>
      <w:r w:rsidRPr="00EC4FC5">
        <w:rPr>
          <w:szCs w:val="26"/>
        </w:rPr>
        <w:t xml:space="preserve">   NERC states that proposed Reliability Standard BAL-007-1 requires balancing authorities “to perform a Near-Term ERAs and have Operating Plans in place to identify and minimize the risks of forecasted Energy Emergencies.”</w:t>
      </w:r>
      <w:r>
        <w:rPr>
          <w:b/>
          <w:bCs/>
          <w:szCs w:val="26"/>
          <w:vertAlign w:val="superscript"/>
        </w:rPr>
        <w:footnoteReference w:id="5"/>
      </w:r>
      <w:r w:rsidRPr="00EC4FC5">
        <w:rPr>
          <w:szCs w:val="26"/>
        </w:rPr>
        <w:t xml:space="preserve">  Furthermore, NERC states that “proposed Reliability Standard TOP-003-7 would provide the Balancing Authority with specific authority to collect the data necessary to perform the Near-Term ERAs.”</w:t>
      </w:r>
      <w:r>
        <w:rPr>
          <w:b/>
          <w:bCs/>
          <w:szCs w:val="26"/>
          <w:vertAlign w:val="superscript"/>
        </w:rPr>
        <w:footnoteReference w:id="6"/>
      </w:r>
      <w:r w:rsidRPr="00EC4FC5">
        <w:rPr>
          <w:szCs w:val="26"/>
        </w:rPr>
        <w:t xml:space="preserve">  Based on the NERC Compliance Registry, as of November 20, 2024, we estimate that 97 balancing authorities (BAs) would be subject to mandatory compliance with proposed Reliability Standard BAL-007-1.  For proposed Reliability Standard TOP-003-7, only the 97 balancing authorities will have a change in burden.  </w:t>
      </w:r>
    </w:p>
    <w:tbl>
      <w:tblPr>
        <w:tblStyle w:val="TableGrid2"/>
        <w:tblW w:w="9625" w:type="dxa"/>
        <w:tblLayout w:type="fixed"/>
        <w:tblLook w:val="04A0"/>
      </w:tblPr>
      <w:tblGrid>
        <w:gridCol w:w="1525"/>
        <w:gridCol w:w="1530"/>
        <w:gridCol w:w="1620"/>
        <w:gridCol w:w="1440"/>
        <w:gridCol w:w="1890"/>
        <w:gridCol w:w="1620"/>
      </w:tblGrid>
      <w:tr w14:paraId="78464BD8" w14:textId="77777777" w:rsidTr="00C938FF">
        <w:tblPrEx>
          <w:tblW w:w="9625" w:type="dxa"/>
          <w:tblLayout w:type="fixed"/>
          <w:tblLook w:val="04A0"/>
        </w:tblPrEx>
        <w:tc>
          <w:tcPr>
            <w:tcW w:w="9625" w:type="dxa"/>
            <w:gridSpan w:val="6"/>
            <w:shd w:val="clear" w:color="auto" w:fill="D0CECE"/>
          </w:tcPr>
          <w:p w:rsidR="00CB400E" w:rsidRPr="00CB400E" w:rsidP="00CB400E" w14:paraId="50917BC6" w14:textId="77777777">
            <w:pPr>
              <w:jc w:val="center"/>
            </w:pPr>
            <w:r w:rsidRPr="00CB400E">
              <w:rPr>
                <w:b/>
                <w:bCs/>
              </w:rPr>
              <w:t>Proposed Burden BAL-007-1 Docket No. RD25-5</w:t>
            </w:r>
          </w:p>
        </w:tc>
      </w:tr>
      <w:tr w14:paraId="184FF2F5" w14:textId="77777777" w:rsidTr="00C938FF">
        <w:tblPrEx>
          <w:tblW w:w="9625" w:type="dxa"/>
          <w:tblLayout w:type="fixed"/>
          <w:tblLook w:val="04A0"/>
        </w:tblPrEx>
        <w:trPr>
          <w:trHeight w:val="1241"/>
        </w:trPr>
        <w:tc>
          <w:tcPr>
            <w:tcW w:w="1525" w:type="dxa"/>
          </w:tcPr>
          <w:p w:rsidR="00CB400E" w:rsidRPr="00CB400E" w:rsidP="00CB400E" w14:paraId="3BD89368" w14:textId="77777777">
            <w:r w:rsidRPr="00CB400E">
              <w:rPr>
                <w:b/>
                <w:bCs/>
              </w:rPr>
              <w:t>Reliability Standard</w:t>
            </w:r>
          </w:p>
        </w:tc>
        <w:tc>
          <w:tcPr>
            <w:tcW w:w="1530" w:type="dxa"/>
          </w:tcPr>
          <w:p w:rsidR="00CB400E" w:rsidRPr="00CB400E" w:rsidP="00CB400E" w14:paraId="7E9BD305" w14:textId="77777777">
            <w:r w:rsidRPr="00CB400E">
              <w:rPr>
                <w:b/>
                <w:bCs/>
              </w:rPr>
              <w:t>Type and Number of Entity</w:t>
            </w:r>
            <w:r>
              <w:rPr>
                <w:bCs/>
                <w:vertAlign w:val="superscript"/>
              </w:rPr>
              <w:footnoteReference w:id="7"/>
            </w:r>
            <w:r w:rsidRPr="00CB400E">
              <w:t> </w:t>
            </w:r>
            <w:r w:rsidRPr="00CB400E">
              <w:rPr>
                <w:b/>
              </w:rPr>
              <w:t>(1)</w:t>
            </w:r>
            <w:r w:rsidRPr="00CB400E">
              <w:t> </w:t>
            </w:r>
          </w:p>
        </w:tc>
        <w:tc>
          <w:tcPr>
            <w:tcW w:w="1620" w:type="dxa"/>
          </w:tcPr>
          <w:p w:rsidR="00CB400E" w:rsidRPr="00CB400E" w:rsidP="00CB400E" w14:paraId="3AFB69A4" w14:textId="77777777">
            <w:r w:rsidRPr="00CB400E">
              <w:rPr>
                <w:b/>
                <w:szCs w:val="20"/>
              </w:rPr>
              <w:t>Number of Annual Responses Per Entity</w:t>
            </w:r>
            <w:r w:rsidRPr="00CB400E">
              <w:t> </w:t>
            </w:r>
            <w:r w:rsidRPr="00CB400E">
              <w:rPr>
                <w:b/>
                <w:szCs w:val="20"/>
              </w:rPr>
              <w:t>(2)</w:t>
            </w:r>
          </w:p>
        </w:tc>
        <w:tc>
          <w:tcPr>
            <w:tcW w:w="1440" w:type="dxa"/>
          </w:tcPr>
          <w:p w:rsidR="00CB400E" w:rsidRPr="00CB400E" w:rsidP="00CB400E" w14:paraId="5A10981C" w14:textId="77777777">
            <w:pPr>
              <w:rPr>
                <w:kern w:val="2"/>
                <w14:ligatures w14:val="standardContextual"/>
              </w:rPr>
            </w:pPr>
            <w:r w:rsidRPr="00CB400E">
              <w:rPr>
                <w:b/>
                <w:bCs/>
                <w:kern w:val="2"/>
                <w14:ligatures w14:val="standardContextual"/>
              </w:rPr>
              <w:t>Total Number of Responses</w:t>
            </w:r>
            <w:r w:rsidRPr="00CB400E">
              <w:rPr>
                <w:kern w:val="2"/>
                <w14:ligatures w14:val="standardContextual"/>
              </w:rPr>
              <w:t> </w:t>
            </w:r>
          </w:p>
          <w:p w:rsidR="00CB400E" w:rsidRPr="00CB400E" w:rsidP="00CB400E" w14:paraId="49A85AB7" w14:textId="77777777">
            <w:r w:rsidRPr="00CB400E">
              <w:rPr>
                <w:b/>
                <w:bCs/>
                <w:kern w:val="2"/>
                <w14:ligatures w14:val="standardContextual"/>
              </w:rPr>
              <w:t>(1)*(2)=(3)</w:t>
            </w:r>
            <w:r w:rsidRPr="00CB400E">
              <w:rPr>
                <w:kern w:val="2"/>
                <w14:ligatures w14:val="standardContextual"/>
              </w:rPr>
              <w:t> </w:t>
            </w:r>
          </w:p>
        </w:tc>
        <w:tc>
          <w:tcPr>
            <w:tcW w:w="1890" w:type="dxa"/>
          </w:tcPr>
          <w:p w:rsidR="00CB400E" w:rsidRPr="00CB400E" w:rsidP="00CB400E" w14:paraId="5AACF193" w14:textId="77777777">
            <w:r w:rsidRPr="00CB400E">
              <w:rPr>
                <w:b/>
                <w:bCs/>
                <w:kern w:val="2"/>
                <w14:ligatures w14:val="standardContextual"/>
              </w:rPr>
              <w:t>Average Number of Burden Hours per Response</w:t>
            </w:r>
            <w:r>
              <w:rPr>
                <w:b/>
                <w:bCs/>
                <w:kern w:val="2"/>
                <w:vertAlign w:val="superscript"/>
                <w14:ligatures w14:val="standardContextual"/>
              </w:rPr>
              <w:footnoteReference w:id="8"/>
            </w:r>
            <w:r w:rsidRPr="00CB400E">
              <w:rPr>
                <w:kern w:val="2"/>
                <w14:ligatures w14:val="standardContextual"/>
              </w:rPr>
              <w:t> </w:t>
            </w:r>
            <w:r w:rsidRPr="00CB400E">
              <w:rPr>
                <w:b/>
                <w:bCs/>
                <w:kern w:val="2"/>
                <w14:ligatures w14:val="standardContextual"/>
              </w:rPr>
              <w:t>(4)</w:t>
            </w:r>
            <w:r w:rsidRPr="00CB400E">
              <w:rPr>
                <w:kern w:val="2"/>
                <w14:ligatures w14:val="standardContextual"/>
              </w:rPr>
              <w:t> </w:t>
            </w:r>
          </w:p>
        </w:tc>
        <w:tc>
          <w:tcPr>
            <w:tcW w:w="1620" w:type="dxa"/>
          </w:tcPr>
          <w:p w:rsidR="00CB400E" w:rsidRPr="00CB400E" w:rsidP="00CB400E" w14:paraId="37BC7F1A" w14:textId="77777777">
            <w:r w:rsidRPr="00CB400E">
              <w:rPr>
                <w:b/>
                <w:bCs/>
              </w:rPr>
              <w:t>Total Burden Hours</w:t>
            </w:r>
            <w:r w:rsidRPr="00CB400E">
              <w:t> </w:t>
            </w:r>
          </w:p>
          <w:p w:rsidR="00CB400E" w:rsidRPr="00CB400E" w:rsidP="00CB400E" w14:paraId="5564D519" w14:textId="77777777">
            <w:r w:rsidRPr="00CB400E">
              <w:rPr>
                <w:b/>
                <w:bCs/>
              </w:rPr>
              <w:t>(3)*(4)=(5)</w:t>
            </w:r>
            <w:r w:rsidRPr="00CB400E">
              <w:t> </w:t>
            </w:r>
          </w:p>
        </w:tc>
      </w:tr>
      <w:tr w14:paraId="7BA28B56" w14:textId="77777777" w:rsidTr="00C938FF">
        <w:tblPrEx>
          <w:tblW w:w="9625" w:type="dxa"/>
          <w:tblLayout w:type="fixed"/>
          <w:tblLook w:val="04A0"/>
        </w:tblPrEx>
        <w:trPr>
          <w:trHeight w:val="548"/>
        </w:trPr>
        <w:tc>
          <w:tcPr>
            <w:tcW w:w="9625" w:type="dxa"/>
            <w:gridSpan w:val="6"/>
            <w:shd w:val="clear" w:color="auto" w:fill="D0CECE"/>
          </w:tcPr>
          <w:p w:rsidR="00CB400E" w:rsidRPr="00CB400E" w:rsidP="00CB400E" w14:paraId="4E28506F" w14:textId="77777777">
            <w:pPr>
              <w:spacing w:line="480" w:lineRule="auto"/>
              <w:jc w:val="center"/>
            </w:pPr>
            <w:r w:rsidRPr="00CB400E">
              <w:rPr>
                <w:b/>
                <w:bCs/>
              </w:rPr>
              <w:t>Annual Collection BAL-007-1 FERC-725R</w:t>
            </w:r>
          </w:p>
        </w:tc>
      </w:tr>
      <w:tr w14:paraId="4FA198E0" w14:textId="77777777" w:rsidTr="00C938FF">
        <w:tblPrEx>
          <w:tblW w:w="9625" w:type="dxa"/>
          <w:tblLayout w:type="fixed"/>
          <w:tblLook w:val="04A0"/>
        </w:tblPrEx>
        <w:tc>
          <w:tcPr>
            <w:tcW w:w="1525" w:type="dxa"/>
          </w:tcPr>
          <w:p w:rsidR="00CB400E" w:rsidRPr="00CB400E" w:rsidP="00CB400E" w14:paraId="25C85A5B" w14:textId="77777777">
            <w:pPr>
              <w:rPr>
                <w:szCs w:val="26"/>
              </w:rPr>
            </w:pPr>
            <w:r w:rsidRPr="00CB400E">
              <w:rPr>
                <w:b/>
                <w:bCs/>
                <w:szCs w:val="20"/>
              </w:rPr>
              <w:t>Annual review and record retention</w:t>
            </w:r>
          </w:p>
        </w:tc>
        <w:tc>
          <w:tcPr>
            <w:tcW w:w="1530" w:type="dxa"/>
          </w:tcPr>
          <w:p w:rsidR="00CB400E" w:rsidRPr="00CB400E" w:rsidP="00CB400E" w14:paraId="123F0F22" w14:textId="77777777">
            <w:pPr>
              <w:spacing w:line="480" w:lineRule="auto"/>
              <w:jc w:val="center"/>
              <w:rPr>
                <w:szCs w:val="26"/>
              </w:rPr>
            </w:pPr>
            <w:r w:rsidRPr="00CB400E">
              <w:rPr>
                <w:kern w:val="2"/>
                <w:szCs w:val="20"/>
                <w14:ligatures w14:val="standardContextual"/>
              </w:rPr>
              <w:t>97 (BA)</w:t>
            </w:r>
          </w:p>
        </w:tc>
        <w:tc>
          <w:tcPr>
            <w:tcW w:w="1620" w:type="dxa"/>
          </w:tcPr>
          <w:p w:rsidR="00CB400E" w:rsidRPr="00CB400E" w:rsidP="00CB400E" w14:paraId="18343610" w14:textId="77777777">
            <w:pPr>
              <w:spacing w:line="480" w:lineRule="auto"/>
              <w:jc w:val="center"/>
              <w:rPr>
                <w:szCs w:val="26"/>
              </w:rPr>
            </w:pPr>
            <w:r w:rsidRPr="00CB400E">
              <w:rPr>
                <w:kern w:val="2"/>
                <w:szCs w:val="20"/>
                <w14:ligatures w14:val="standardContextual"/>
              </w:rPr>
              <w:t>1</w:t>
            </w:r>
          </w:p>
        </w:tc>
        <w:tc>
          <w:tcPr>
            <w:tcW w:w="1440" w:type="dxa"/>
          </w:tcPr>
          <w:p w:rsidR="00CB400E" w:rsidRPr="00CB400E" w:rsidP="00CB400E" w14:paraId="260ACBD2" w14:textId="77777777">
            <w:pPr>
              <w:spacing w:line="480" w:lineRule="auto"/>
              <w:jc w:val="center"/>
              <w:rPr>
                <w:szCs w:val="26"/>
              </w:rPr>
            </w:pPr>
            <w:r w:rsidRPr="00CB400E">
              <w:rPr>
                <w:kern w:val="2"/>
                <w:szCs w:val="20"/>
                <w14:ligatures w14:val="standardContextual"/>
              </w:rPr>
              <w:t>97</w:t>
            </w:r>
          </w:p>
        </w:tc>
        <w:tc>
          <w:tcPr>
            <w:tcW w:w="1890" w:type="dxa"/>
          </w:tcPr>
          <w:p w:rsidR="00CB400E" w:rsidRPr="00CB400E" w:rsidP="00CB400E" w14:paraId="073A0020" w14:textId="77777777">
            <w:pPr>
              <w:jc w:val="right"/>
              <w:rPr>
                <w:kern w:val="2"/>
                <w:szCs w:val="20"/>
                <w14:ligatures w14:val="standardContextual"/>
              </w:rPr>
            </w:pPr>
            <w:r w:rsidRPr="00CB400E">
              <w:rPr>
                <w:kern w:val="2"/>
                <w:szCs w:val="20"/>
                <w14:ligatures w14:val="standardContextual"/>
              </w:rPr>
              <w:t>24 hrs.</w:t>
            </w:r>
          </w:p>
          <w:p w:rsidR="00CB400E" w:rsidRPr="00CB400E" w:rsidP="00CB400E" w14:paraId="57236E04" w14:textId="3B5A7FE5">
            <w:pPr>
              <w:spacing w:line="480" w:lineRule="auto"/>
              <w:jc w:val="right"/>
              <w:rPr>
                <w:szCs w:val="26"/>
              </w:rPr>
            </w:pPr>
            <w:r w:rsidRPr="00CB400E">
              <w:rPr>
                <w:kern w:val="2"/>
                <w:szCs w:val="20"/>
                <w14:ligatures w14:val="standardContextual"/>
              </w:rPr>
              <w:t>$ 70.67/</w:t>
            </w:r>
            <w:r w:rsidRPr="00CB400E" w:rsidR="00266774">
              <w:rPr>
                <w:kern w:val="2"/>
                <w:szCs w:val="20"/>
                <w14:ligatures w14:val="standardContextual"/>
              </w:rPr>
              <w:t>hr.</w:t>
            </w:r>
          </w:p>
        </w:tc>
        <w:tc>
          <w:tcPr>
            <w:tcW w:w="1620" w:type="dxa"/>
          </w:tcPr>
          <w:p w:rsidR="00CB400E" w:rsidRPr="00CB400E" w:rsidP="00CB400E" w14:paraId="0540779B" w14:textId="77777777">
            <w:pPr>
              <w:jc w:val="right"/>
              <w:rPr>
                <w:kern w:val="2"/>
                <w:szCs w:val="20"/>
                <w14:ligatures w14:val="standardContextual"/>
              </w:rPr>
            </w:pPr>
            <w:r w:rsidRPr="00CB400E">
              <w:rPr>
                <w:kern w:val="2"/>
                <w:szCs w:val="20"/>
                <w14:ligatures w14:val="standardContextual"/>
              </w:rPr>
              <w:t xml:space="preserve"> 2,328 hrs.</w:t>
            </w:r>
          </w:p>
          <w:p w:rsidR="00CB400E" w:rsidRPr="00CB400E" w:rsidP="00CB400E" w14:paraId="15393B38" w14:textId="77777777">
            <w:pPr>
              <w:spacing w:line="480" w:lineRule="auto"/>
              <w:jc w:val="right"/>
              <w:rPr>
                <w:szCs w:val="26"/>
              </w:rPr>
            </w:pPr>
            <w:r w:rsidRPr="00CB400E">
              <w:rPr>
                <w:kern w:val="2"/>
                <w:szCs w:val="20"/>
                <w14:ligatures w14:val="standardContextual"/>
              </w:rPr>
              <w:t>$ 164,519.76</w:t>
            </w:r>
          </w:p>
        </w:tc>
      </w:tr>
      <w:tr w14:paraId="08D813DA" w14:textId="77777777" w:rsidTr="00C938FF">
        <w:tblPrEx>
          <w:tblW w:w="9625" w:type="dxa"/>
          <w:tblLayout w:type="fixed"/>
          <w:tblLook w:val="04A0"/>
        </w:tblPrEx>
        <w:trPr>
          <w:trHeight w:val="593"/>
        </w:trPr>
        <w:tc>
          <w:tcPr>
            <w:tcW w:w="1525" w:type="dxa"/>
          </w:tcPr>
          <w:p w:rsidR="00CB400E" w:rsidRPr="00CB400E" w:rsidP="00CB400E" w14:paraId="0572B8CC" w14:textId="77777777">
            <w:pPr>
              <w:rPr>
                <w:szCs w:val="26"/>
              </w:rPr>
            </w:pPr>
            <w:r w:rsidRPr="00CB400E">
              <w:rPr>
                <w:b/>
                <w:bCs/>
                <w:kern w:val="2"/>
                <w:szCs w:val="20"/>
                <w14:ligatures w14:val="standardContextual"/>
              </w:rPr>
              <w:t>Total for BAL-007-1</w:t>
            </w:r>
          </w:p>
        </w:tc>
        <w:tc>
          <w:tcPr>
            <w:tcW w:w="1530" w:type="dxa"/>
            <w:shd w:val="clear" w:color="auto" w:fill="BFBFBF"/>
          </w:tcPr>
          <w:p w:rsidR="00CB400E" w:rsidRPr="00CB400E" w:rsidP="00CB400E" w14:paraId="1D282169" w14:textId="77777777">
            <w:pPr>
              <w:spacing w:line="480" w:lineRule="auto"/>
              <w:jc w:val="center"/>
              <w:rPr>
                <w:szCs w:val="26"/>
                <w:highlight w:val="black"/>
              </w:rPr>
            </w:pPr>
          </w:p>
        </w:tc>
        <w:tc>
          <w:tcPr>
            <w:tcW w:w="1620" w:type="dxa"/>
            <w:shd w:val="clear" w:color="auto" w:fill="BFBFBF"/>
          </w:tcPr>
          <w:p w:rsidR="00CB400E" w:rsidRPr="00CB400E" w:rsidP="00CB400E" w14:paraId="27966E92" w14:textId="77777777">
            <w:pPr>
              <w:spacing w:line="480" w:lineRule="auto"/>
              <w:jc w:val="center"/>
              <w:rPr>
                <w:szCs w:val="26"/>
                <w:highlight w:val="lightGray"/>
              </w:rPr>
            </w:pPr>
          </w:p>
        </w:tc>
        <w:tc>
          <w:tcPr>
            <w:tcW w:w="1440" w:type="dxa"/>
          </w:tcPr>
          <w:p w:rsidR="00CB400E" w:rsidRPr="00CB400E" w:rsidP="00CB400E" w14:paraId="511C9E12" w14:textId="77777777">
            <w:pPr>
              <w:spacing w:line="480" w:lineRule="auto"/>
              <w:jc w:val="center"/>
              <w:rPr>
                <w:szCs w:val="26"/>
              </w:rPr>
            </w:pPr>
            <w:r w:rsidRPr="00CB400E">
              <w:rPr>
                <w:b/>
                <w:bCs/>
                <w:kern w:val="2"/>
                <w:szCs w:val="20"/>
                <w14:ligatures w14:val="standardContextual"/>
              </w:rPr>
              <w:t>97</w:t>
            </w:r>
          </w:p>
        </w:tc>
        <w:tc>
          <w:tcPr>
            <w:tcW w:w="1890" w:type="dxa"/>
            <w:shd w:val="clear" w:color="auto" w:fill="BFBFBF"/>
          </w:tcPr>
          <w:p w:rsidR="00CB400E" w:rsidRPr="00CB400E" w:rsidP="00CB400E" w14:paraId="51E8F9DF" w14:textId="77777777">
            <w:pPr>
              <w:spacing w:line="480" w:lineRule="auto"/>
              <w:jc w:val="right"/>
              <w:rPr>
                <w:szCs w:val="26"/>
              </w:rPr>
            </w:pPr>
          </w:p>
        </w:tc>
        <w:tc>
          <w:tcPr>
            <w:tcW w:w="1620" w:type="dxa"/>
          </w:tcPr>
          <w:p w:rsidR="00CB400E" w:rsidRPr="00CB400E" w:rsidP="00CB400E" w14:paraId="71C6B7FA" w14:textId="77777777">
            <w:pPr>
              <w:jc w:val="right"/>
              <w:rPr>
                <w:kern w:val="2"/>
                <w:szCs w:val="20"/>
                <w14:ligatures w14:val="standardContextual"/>
              </w:rPr>
            </w:pPr>
            <w:r w:rsidRPr="00CB400E">
              <w:rPr>
                <w:kern w:val="2"/>
                <w:szCs w:val="20"/>
                <w14:ligatures w14:val="standardContextual"/>
              </w:rPr>
              <w:t>2,328 hrs.</w:t>
            </w:r>
          </w:p>
          <w:p w:rsidR="00CB400E" w:rsidRPr="00CB400E" w:rsidP="00CB400E" w14:paraId="6F8CD519" w14:textId="77777777">
            <w:pPr>
              <w:spacing w:line="480" w:lineRule="auto"/>
              <w:jc w:val="right"/>
              <w:rPr>
                <w:szCs w:val="26"/>
              </w:rPr>
            </w:pPr>
            <w:r w:rsidRPr="00CB400E">
              <w:rPr>
                <w:kern w:val="2"/>
                <w:szCs w:val="20"/>
                <w14:ligatures w14:val="standardContextual"/>
              </w:rPr>
              <w:t>$ 164,519.76</w:t>
            </w:r>
          </w:p>
        </w:tc>
      </w:tr>
    </w:tbl>
    <w:p w:rsidR="00C84DE9" w:rsidP="00AE02A7" w14:paraId="66C2C620" w14:textId="77777777">
      <w:pPr>
        <w:spacing w:line="480" w:lineRule="auto"/>
        <w:rPr>
          <w:i/>
        </w:rPr>
      </w:pPr>
    </w:p>
    <w:tbl>
      <w:tblPr>
        <w:tblStyle w:val="TableGrid3"/>
        <w:tblW w:w="9625" w:type="dxa"/>
        <w:tblLayout w:type="fixed"/>
        <w:tblLook w:val="04A0"/>
      </w:tblPr>
      <w:tblGrid>
        <w:gridCol w:w="1525"/>
        <w:gridCol w:w="1530"/>
        <w:gridCol w:w="1620"/>
        <w:gridCol w:w="1440"/>
        <w:gridCol w:w="1890"/>
        <w:gridCol w:w="1620"/>
      </w:tblGrid>
      <w:tr w14:paraId="7DEBF6DE" w14:textId="77777777" w:rsidTr="00C938FF">
        <w:tblPrEx>
          <w:tblW w:w="9625" w:type="dxa"/>
          <w:tblLayout w:type="fixed"/>
          <w:tblLook w:val="04A0"/>
        </w:tblPrEx>
        <w:tc>
          <w:tcPr>
            <w:tcW w:w="9625" w:type="dxa"/>
            <w:gridSpan w:val="6"/>
            <w:shd w:val="clear" w:color="auto" w:fill="D0CECE"/>
          </w:tcPr>
          <w:p w:rsidR="008613BD" w:rsidRPr="008613BD" w:rsidP="008613BD" w14:paraId="40EDCD5B" w14:textId="77777777">
            <w:pPr>
              <w:jc w:val="center"/>
            </w:pPr>
            <w:r w:rsidRPr="008613BD">
              <w:rPr>
                <w:b/>
                <w:bCs/>
              </w:rPr>
              <w:t>Proposed Burden TOP-003-7 Docket No. RD25-5</w:t>
            </w:r>
          </w:p>
        </w:tc>
      </w:tr>
      <w:tr w14:paraId="1403F4CA" w14:textId="77777777" w:rsidTr="00C938FF">
        <w:tblPrEx>
          <w:tblW w:w="9625" w:type="dxa"/>
          <w:tblLayout w:type="fixed"/>
          <w:tblLook w:val="04A0"/>
        </w:tblPrEx>
        <w:trPr>
          <w:trHeight w:val="1241"/>
        </w:trPr>
        <w:tc>
          <w:tcPr>
            <w:tcW w:w="1525" w:type="dxa"/>
          </w:tcPr>
          <w:p w:rsidR="008613BD" w:rsidRPr="008613BD" w:rsidP="008613BD" w14:paraId="606AA88B" w14:textId="77777777">
            <w:r w:rsidRPr="008613BD">
              <w:rPr>
                <w:b/>
                <w:bCs/>
              </w:rPr>
              <w:t>Reliability Standard</w:t>
            </w:r>
          </w:p>
        </w:tc>
        <w:tc>
          <w:tcPr>
            <w:tcW w:w="1530" w:type="dxa"/>
          </w:tcPr>
          <w:p w:rsidR="008613BD" w:rsidRPr="008613BD" w:rsidP="008613BD" w14:paraId="76D0CD1C" w14:textId="77777777">
            <w:r w:rsidRPr="008613BD">
              <w:rPr>
                <w:b/>
                <w:bCs/>
              </w:rPr>
              <w:t>Type and Number of Entity</w:t>
            </w:r>
            <w:r>
              <w:rPr>
                <w:bCs/>
                <w:vertAlign w:val="superscript"/>
              </w:rPr>
              <w:footnoteReference w:id="9"/>
            </w:r>
            <w:r w:rsidRPr="008613BD">
              <w:t> </w:t>
            </w:r>
            <w:r w:rsidRPr="008613BD">
              <w:rPr>
                <w:b/>
              </w:rPr>
              <w:t>(1)</w:t>
            </w:r>
            <w:r w:rsidRPr="008613BD">
              <w:t> </w:t>
            </w:r>
          </w:p>
        </w:tc>
        <w:tc>
          <w:tcPr>
            <w:tcW w:w="1620" w:type="dxa"/>
          </w:tcPr>
          <w:p w:rsidR="008613BD" w:rsidRPr="008613BD" w:rsidP="008613BD" w14:paraId="4359AB99" w14:textId="77777777">
            <w:r w:rsidRPr="008613BD">
              <w:rPr>
                <w:b/>
                <w:szCs w:val="20"/>
              </w:rPr>
              <w:t>Number of Annual Responses Per Entity</w:t>
            </w:r>
            <w:r w:rsidRPr="008613BD">
              <w:t> </w:t>
            </w:r>
            <w:r w:rsidRPr="008613BD">
              <w:rPr>
                <w:b/>
                <w:szCs w:val="20"/>
              </w:rPr>
              <w:t>(2)</w:t>
            </w:r>
          </w:p>
        </w:tc>
        <w:tc>
          <w:tcPr>
            <w:tcW w:w="1440" w:type="dxa"/>
          </w:tcPr>
          <w:p w:rsidR="008613BD" w:rsidRPr="008613BD" w:rsidP="008613BD" w14:paraId="6218F34F" w14:textId="77777777">
            <w:pPr>
              <w:rPr>
                <w:kern w:val="2"/>
                <w14:ligatures w14:val="standardContextual"/>
              </w:rPr>
            </w:pPr>
            <w:r w:rsidRPr="008613BD">
              <w:rPr>
                <w:b/>
                <w:bCs/>
                <w:kern w:val="2"/>
                <w14:ligatures w14:val="standardContextual"/>
              </w:rPr>
              <w:t>Total Number of Responses</w:t>
            </w:r>
            <w:r w:rsidRPr="008613BD">
              <w:rPr>
                <w:kern w:val="2"/>
                <w14:ligatures w14:val="standardContextual"/>
              </w:rPr>
              <w:t> </w:t>
            </w:r>
          </w:p>
          <w:p w:rsidR="008613BD" w:rsidRPr="008613BD" w:rsidP="008613BD" w14:paraId="723AF8A9" w14:textId="77777777">
            <w:r w:rsidRPr="008613BD">
              <w:rPr>
                <w:b/>
                <w:bCs/>
                <w:kern w:val="2"/>
                <w14:ligatures w14:val="standardContextual"/>
              </w:rPr>
              <w:t>(1)*(2)=(3)</w:t>
            </w:r>
            <w:r w:rsidRPr="008613BD">
              <w:rPr>
                <w:kern w:val="2"/>
                <w14:ligatures w14:val="standardContextual"/>
              </w:rPr>
              <w:t> </w:t>
            </w:r>
          </w:p>
        </w:tc>
        <w:tc>
          <w:tcPr>
            <w:tcW w:w="1890" w:type="dxa"/>
          </w:tcPr>
          <w:p w:rsidR="008613BD" w:rsidRPr="008613BD" w:rsidP="008613BD" w14:paraId="5B6258DD" w14:textId="77777777">
            <w:bookmarkStart w:id="2" w:name="_Hlk189468676"/>
            <w:r w:rsidRPr="008613BD">
              <w:rPr>
                <w:b/>
                <w:bCs/>
                <w:kern w:val="2"/>
                <w14:ligatures w14:val="standardContextual"/>
              </w:rPr>
              <w:t>Average Number of Burden Hours per Response</w:t>
            </w:r>
            <w:bookmarkEnd w:id="2"/>
            <w:r>
              <w:rPr>
                <w:b/>
                <w:bCs/>
                <w:kern w:val="2"/>
                <w:vertAlign w:val="superscript"/>
                <w14:ligatures w14:val="standardContextual"/>
              </w:rPr>
              <w:footnoteReference w:id="10"/>
            </w:r>
            <w:r w:rsidRPr="008613BD">
              <w:rPr>
                <w:kern w:val="2"/>
                <w14:ligatures w14:val="standardContextual"/>
              </w:rPr>
              <w:t> </w:t>
            </w:r>
            <w:r w:rsidRPr="008613BD">
              <w:rPr>
                <w:b/>
                <w:bCs/>
                <w:kern w:val="2"/>
                <w14:ligatures w14:val="standardContextual"/>
              </w:rPr>
              <w:t>(4)</w:t>
            </w:r>
            <w:r w:rsidRPr="008613BD">
              <w:rPr>
                <w:kern w:val="2"/>
                <w14:ligatures w14:val="standardContextual"/>
              </w:rPr>
              <w:t> </w:t>
            </w:r>
          </w:p>
        </w:tc>
        <w:tc>
          <w:tcPr>
            <w:tcW w:w="1620" w:type="dxa"/>
          </w:tcPr>
          <w:p w:rsidR="008613BD" w:rsidRPr="008613BD" w:rsidP="008613BD" w14:paraId="66F7FEA9" w14:textId="77777777">
            <w:r w:rsidRPr="008613BD">
              <w:rPr>
                <w:b/>
                <w:bCs/>
              </w:rPr>
              <w:t>Total Burden Hours</w:t>
            </w:r>
            <w:r w:rsidRPr="008613BD">
              <w:t> </w:t>
            </w:r>
          </w:p>
          <w:p w:rsidR="008613BD" w:rsidRPr="008613BD" w:rsidP="008613BD" w14:paraId="52F17435" w14:textId="77777777">
            <w:r w:rsidRPr="008613BD">
              <w:rPr>
                <w:b/>
                <w:bCs/>
              </w:rPr>
              <w:t>(3)*(4)=(5)</w:t>
            </w:r>
            <w:r w:rsidRPr="008613BD">
              <w:t> </w:t>
            </w:r>
          </w:p>
        </w:tc>
      </w:tr>
      <w:tr w14:paraId="0C3F6E69" w14:textId="77777777" w:rsidTr="00C938FF">
        <w:tblPrEx>
          <w:tblW w:w="9625" w:type="dxa"/>
          <w:tblLayout w:type="fixed"/>
          <w:tblLook w:val="04A0"/>
        </w:tblPrEx>
        <w:trPr>
          <w:trHeight w:val="467"/>
        </w:trPr>
        <w:tc>
          <w:tcPr>
            <w:tcW w:w="9625" w:type="dxa"/>
            <w:gridSpan w:val="6"/>
            <w:shd w:val="clear" w:color="auto" w:fill="D0CECE"/>
          </w:tcPr>
          <w:p w:rsidR="008613BD" w:rsidRPr="008613BD" w:rsidP="008613BD" w14:paraId="76D2B38F" w14:textId="77777777">
            <w:pPr>
              <w:spacing w:line="480" w:lineRule="auto"/>
              <w:jc w:val="center"/>
            </w:pPr>
            <w:r w:rsidRPr="008613BD">
              <w:rPr>
                <w:b/>
                <w:bCs/>
              </w:rPr>
              <w:t>Annual Collection TOP-003-7 FERC-725A</w:t>
            </w:r>
          </w:p>
        </w:tc>
      </w:tr>
      <w:tr w14:paraId="68ADB3BA" w14:textId="77777777" w:rsidTr="00C938FF">
        <w:tblPrEx>
          <w:tblW w:w="9625" w:type="dxa"/>
          <w:tblLayout w:type="fixed"/>
          <w:tblLook w:val="04A0"/>
        </w:tblPrEx>
        <w:tc>
          <w:tcPr>
            <w:tcW w:w="1525" w:type="dxa"/>
          </w:tcPr>
          <w:p w:rsidR="008613BD" w:rsidRPr="008613BD" w:rsidP="008613BD" w14:paraId="787B768D" w14:textId="77777777">
            <w:pPr>
              <w:rPr>
                <w:szCs w:val="26"/>
              </w:rPr>
            </w:pPr>
            <w:r w:rsidRPr="008613BD">
              <w:rPr>
                <w:b/>
                <w:bCs/>
                <w:szCs w:val="20"/>
              </w:rPr>
              <w:t>Annual review and record retention</w:t>
            </w:r>
          </w:p>
        </w:tc>
        <w:tc>
          <w:tcPr>
            <w:tcW w:w="1530" w:type="dxa"/>
          </w:tcPr>
          <w:p w:rsidR="008613BD" w:rsidRPr="008613BD" w:rsidP="008613BD" w14:paraId="337FF935" w14:textId="77777777">
            <w:pPr>
              <w:spacing w:line="480" w:lineRule="auto"/>
              <w:jc w:val="center"/>
              <w:rPr>
                <w:szCs w:val="26"/>
              </w:rPr>
            </w:pPr>
            <w:r w:rsidRPr="008613BD">
              <w:rPr>
                <w:kern w:val="2"/>
                <w:szCs w:val="20"/>
                <w14:ligatures w14:val="standardContextual"/>
              </w:rPr>
              <w:t>97 (BA)</w:t>
            </w:r>
          </w:p>
        </w:tc>
        <w:tc>
          <w:tcPr>
            <w:tcW w:w="1620" w:type="dxa"/>
          </w:tcPr>
          <w:p w:rsidR="008613BD" w:rsidRPr="008613BD" w:rsidP="008613BD" w14:paraId="4F883501" w14:textId="77777777">
            <w:pPr>
              <w:spacing w:line="480" w:lineRule="auto"/>
              <w:jc w:val="center"/>
              <w:rPr>
                <w:szCs w:val="26"/>
              </w:rPr>
            </w:pPr>
            <w:r w:rsidRPr="008613BD">
              <w:rPr>
                <w:kern w:val="2"/>
                <w:szCs w:val="20"/>
                <w14:ligatures w14:val="standardContextual"/>
              </w:rPr>
              <w:t>1</w:t>
            </w:r>
          </w:p>
        </w:tc>
        <w:tc>
          <w:tcPr>
            <w:tcW w:w="1440" w:type="dxa"/>
          </w:tcPr>
          <w:p w:rsidR="008613BD" w:rsidRPr="008613BD" w:rsidP="008613BD" w14:paraId="37663D88" w14:textId="77777777">
            <w:pPr>
              <w:spacing w:line="480" w:lineRule="auto"/>
              <w:jc w:val="center"/>
              <w:rPr>
                <w:szCs w:val="26"/>
              </w:rPr>
            </w:pPr>
            <w:r w:rsidRPr="008613BD">
              <w:rPr>
                <w:kern w:val="2"/>
                <w:szCs w:val="20"/>
                <w14:ligatures w14:val="standardContextual"/>
              </w:rPr>
              <w:t>97</w:t>
            </w:r>
          </w:p>
        </w:tc>
        <w:tc>
          <w:tcPr>
            <w:tcW w:w="1890" w:type="dxa"/>
          </w:tcPr>
          <w:p w:rsidR="008613BD" w:rsidRPr="008613BD" w:rsidP="008613BD" w14:paraId="68535FE6" w14:textId="77777777">
            <w:pPr>
              <w:jc w:val="right"/>
              <w:rPr>
                <w:kern w:val="2"/>
                <w:szCs w:val="20"/>
                <w14:ligatures w14:val="standardContextual"/>
              </w:rPr>
            </w:pPr>
            <w:r w:rsidRPr="008613BD">
              <w:rPr>
                <w:kern w:val="2"/>
                <w:szCs w:val="20"/>
                <w14:ligatures w14:val="standardContextual"/>
              </w:rPr>
              <w:t>4 hrs.</w:t>
            </w:r>
          </w:p>
          <w:p w:rsidR="008613BD" w:rsidRPr="008613BD" w:rsidP="008613BD" w14:paraId="6192DE0F" w14:textId="03BA0567">
            <w:pPr>
              <w:spacing w:line="480" w:lineRule="auto"/>
              <w:jc w:val="right"/>
              <w:rPr>
                <w:szCs w:val="26"/>
              </w:rPr>
            </w:pPr>
            <w:r w:rsidRPr="008613BD">
              <w:rPr>
                <w:kern w:val="2"/>
                <w:szCs w:val="20"/>
                <w14:ligatures w14:val="standardContextual"/>
              </w:rPr>
              <w:t>$ 70.67/</w:t>
            </w:r>
            <w:r w:rsidRPr="008613BD" w:rsidR="00266774">
              <w:rPr>
                <w:kern w:val="2"/>
                <w:szCs w:val="20"/>
                <w14:ligatures w14:val="standardContextual"/>
              </w:rPr>
              <w:t>hr.</w:t>
            </w:r>
          </w:p>
        </w:tc>
        <w:tc>
          <w:tcPr>
            <w:tcW w:w="1620" w:type="dxa"/>
          </w:tcPr>
          <w:p w:rsidR="008613BD" w:rsidRPr="008613BD" w:rsidP="008613BD" w14:paraId="5A5DC7AE" w14:textId="77777777">
            <w:pPr>
              <w:jc w:val="right"/>
              <w:rPr>
                <w:kern w:val="2"/>
                <w:szCs w:val="20"/>
                <w14:ligatures w14:val="standardContextual"/>
              </w:rPr>
            </w:pPr>
            <w:r w:rsidRPr="008613BD">
              <w:rPr>
                <w:kern w:val="2"/>
                <w:szCs w:val="20"/>
                <w14:ligatures w14:val="standardContextual"/>
              </w:rPr>
              <w:t>388 hrs.</w:t>
            </w:r>
          </w:p>
          <w:p w:rsidR="008613BD" w:rsidRPr="008613BD" w:rsidP="008613BD" w14:paraId="5AC23D12" w14:textId="77777777">
            <w:pPr>
              <w:spacing w:line="480" w:lineRule="auto"/>
              <w:jc w:val="right"/>
              <w:rPr>
                <w:szCs w:val="26"/>
              </w:rPr>
            </w:pPr>
            <w:r w:rsidRPr="008613BD">
              <w:rPr>
                <w:kern w:val="2"/>
                <w:szCs w:val="20"/>
                <w14:ligatures w14:val="standardContextual"/>
              </w:rPr>
              <w:t>$ 27,419.96</w:t>
            </w:r>
          </w:p>
        </w:tc>
      </w:tr>
      <w:tr w14:paraId="527731DB" w14:textId="77777777" w:rsidTr="00C938FF">
        <w:tblPrEx>
          <w:tblW w:w="9625" w:type="dxa"/>
          <w:tblLayout w:type="fixed"/>
          <w:tblLook w:val="04A0"/>
        </w:tblPrEx>
        <w:trPr>
          <w:trHeight w:val="593"/>
        </w:trPr>
        <w:tc>
          <w:tcPr>
            <w:tcW w:w="1525" w:type="dxa"/>
          </w:tcPr>
          <w:p w:rsidR="008613BD" w:rsidRPr="008613BD" w:rsidP="008613BD" w14:paraId="6AD4DEC1" w14:textId="77777777">
            <w:pPr>
              <w:rPr>
                <w:szCs w:val="26"/>
              </w:rPr>
            </w:pPr>
            <w:r w:rsidRPr="008613BD">
              <w:rPr>
                <w:b/>
                <w:bCs/>
                <w:kern w:val="2"/>
                <w:szCs w:val="20"/>
                <w14:ligatures w14:val="standardContextual"/>
              </w:rPr>
              <w:t>Total for TOP-003-7</w:t>
            </w:r>
          </w:p>
        </w:tc>
        <w:tc>
          <w:tcPr>
            <w:tcW w:w="1530" w:type="dxa"/>
            <w:shd w:val="clear" w:color="auto" w:fill="BFBFBF"/>
          </w:tcPr>
          <w:p w:rsidR="008613BD" w:rsidRPr="008613BD" w:rsidP="008613BD" w14:paraId="03727972" w14:textId="77777777">
            <w:pPr>
              <w:spacing w:line="480" w:lineRule="auto"/>
              <w:jc w:val="center"/>
              <w:rPr>
                <w:szCs w:val="26"/>
                <w:highlight w:val="black"/>
              </w:rPr>
            </w:pPr>
          </w:p>
        </w:tc>
        <w:tc>
          <w:tcPr>
            <w:tcW w:w="1620" w:type="dxa"/>
            <w:shd w:val="clear" w:color="auto" w:fill="BFBFBF"/>
          </w:tcPr>
          <w:p w:rsidR="008613BD" w:rsidRPr="008613BD" w:rsidP="008613BD" w14:paraId="59A9AA1C" w14:textId="77777777">
            <w:pPr>
              <w:spacing w:line="480" w:lineRule="auto"/>
              <w:jc w:val="center"/>
              <w:rPr>
                <w:szCs w:val="26"/>
                <w:highlight w:val="lightGray"/>
              </w:rPr>
            </w:pPr>
          </w:p>
        </w:tc>
        <w:tc>
          <w:tcPr>
            <w:tcW w:w="1440" w:type="dxa"/>
          </w:tcPr>
          <w:p w:rsidR="008613BD" w:rsidRPr="008613BD" w:rsidP="008613BD" w14:paraId="5CEFC7A4" w14:textId="77777777">
            <w:pPr>
              <w:spacing w:line="480" w:lineRule="auto"/>
              <w:jc w:val="center"/>
              <w:rPr>
                <w:szCs w:val="26"/>
              </w:rPr>
            </w:pPr>
            <w:r w:rsidRPr="008613BD">
              <w:rPr>
                <w:b/>
                <w:bCs/>
                <w:kern w:val="2"/>
                <w:szCs w:val="20"/>
                <w14:ligatures w14:val="standardContextual"/>
              </w:rPr>
              <w:t>97</w:t>
            </w:r>
          </w:p>
        </w:tc>
        <w:tc>
          <w:tcPr>
            <w:tcW w:w="1890" w:type="dxa"/>
            <w:shd w:val="clear" w:color="auto" w:fill="BFBFBF"/>
          </w:tcPr>
          <w:p w:rsidR="008613BD" w:rsidRPr="008613BD" w:rsidP="008613BD" w14:paraId="75CAC5C0" w14:textId="77777777">
            <w:pPr>
              <w:spacing w:line="480" w:lineRule="auto"/>
              <w:jc w:val="right"/>
              <w:rPr>
                <w:szCs w:val="26"/>
              </w:rPr>
            </w:pPr>
          </w:p>
        </w:tc>
        <w:tc>
          <w:tcPr>
            <w:tcW w:w="1620" w:type="dxa"/>
          </w:tcPr>
          <w:p w:rsidR="008613BD" w:rsidRPr="008613BD" w:rsidP="008613BD" w14:paraId="7F115B85" w14:textId="77777777">
            <w:pPr>
              <w:jc w:val="right"/>
              <w:rPr>
                <w:kern w:val="2"/>
                <w:szCs w:val="20"/>
                <w14:ligatures w14:val="standardContextual"/>
              </w:rPr>
            </w:pPr>
            <w:r w:rsidRPr="008613BD">
              <w:rPr>
                <w:kern w:val="2"/>
                <w:szCs w:val="20"/>
                <w14:ligatures w14:val="standardContextual"/>
              </w:rPr>
              <w:t>388 hrs.</w:t>
            </w:r>
          </w:p>
          <w:p w:rsidR="008613BD" w:rsidRPr="008613BD" w:rsidP="008613BD" w14:paraId="57F0F86C" w14:textId="77777777">
            <w:pPr>
              <w:spacing w:line="480" w:lineRule="auto"/>
              <w:jc w:val="right"/>
              <w:rPr>
                <w:szCs w:val="26"/>
              </w:rPr>
            </w:pPr>
            <w:r w:rsidRPr="008613BD">
              <w:rPr>
                <w:kern w:val="2"/>
                <w:szCs w:val="20"/>
                <w14:ligatures w14:val="standardContextual"/>
              </w:rPr>
              <w:t>$ 27,419.96</w:t>
            </w:r>
          </w:p>
        </w:tc>
      </w:tr>
    </w:tbl>
    <w:p w:rsidR="00830D19" w:rsidP="00BA375E" w14:paraId="4D55DA5D" w14:textId="77777777">
      <w:pPr>
        <w:tabs>
          <w:tab w:val="num" w:pos="720"/>
        </w:tabs>
        <w:spacing w:after="260"/>
        <w:rPr>
          <w:rFonts w:eastAsia="Calibri"/>
          <w:szCs w:val="22"/>
        </w:rPr>
      </w:pPr>
    </w:p>
    <w:p w:rsidR="00BA375E" w:rsidRPr="00BA375E" w:rsidP="003E0BE0" w14:paraId="20675EBE" w14:textId="0B476762">
      <w:pPr>
        <w:tabs>
          <w:tab w:val="num" w:pos="720"/>
        </w:tabs>
        <w:spacing w:after="260" w:line="480" w:lineRule="auto"/>
        <w:rPr>
          <w:rFonts w:eastAsia="Calibri"/>
          <w:szCs w:val="22"/>
        </w:rPr>
      </w:pPr>
      <w:r w:rsidRPr="00BA375E">
        <w:rPr>
          <w:rFonts w:eastAsia="Calibri"/>
          <w:szCs w:val="22"/>
        </w:rPr>
        <w:t xml:space="preserve">The annual responses and burden hours for proposed Reliability Standard BAL-007-1 is 97 responses; 2,328 hours.  The annual responses and burden hours for proposed Reliability Standard TOP-003-7 is 97 responses; 388 hours. </w:t>
      </w:r>
    </w:p>
    <w:p w:rsidR="00BA375E" w:rsidRPr="00BA375E" w:rsidP="003E0BE0" w14:paraId="38AA4FE1" w14:textId="77777777">
      <w:pPr>
        <w:tabs>
          <w:tab w:val="num" w:pos="720"/>
        </w:tabs>
        <w:spacing w:after="260" w:line="480" w:lineRule="auto"/>
        <w:rPr>
          <w:rFonts w:eastAsia="Calibri"/>
          <w:szCs w:val="22"/>
        </w:rPr>
      </w:pPr>
      <w:r w:rsidRPr="00BA375E">
        <w:rPr>
          <w:rFonts w:eastAsia="Calibri"/>
          <w:szCs w:val="22"/>
        </w:rPr>
        <w:t>The annual cost burden is $ 164,519.76 for proposed Reliability Standard BAL-007-1, and $ 27,419.96 for proposed Reliability Standard TOP-003-7.</w:t>
      </w:r>
    </w:p>
    <w:p w:rsidR="00AE02A7" w:rsidP="00AE02A7" w14:paraId="6F619A04" w14:textId="13D17D5B">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AE02A7" w:rsidP="00AE02A7" w14:paraId="0E5E8EE1" w14:textId="77777777"/>
    <w:p w:rsidR="00AE02A7" w:rsidP="00AE02A7" w14:paraId="5C9C184A" w14:textId="77777777"/>
    <w:p w:rsidR="00AE02A7" w:rsidP="009C408D" w14:paraId="73188195" w14:textId="77777777">
      <w:pPr>
        <w:tabs>
          <w:tab w:val="left" w:pos="720"/>
        </w:tabs>
        <w:autoSpaceDE w:val="0"/>
        <w:autoSpaceDN w:val="0"/>
        <w:adjustRightInd w:val="0"/>
      </w:pPr>
    </w:p>
    <w:p w:rsidR="009C408D" w:rsidRPr="009C408D" w:rsidP="009C408D" w14:paraId="71D51A0E" w14:textId="2DF178CE">
      <w:pPr>
        <w:ind w:firstLine="2606"/>
        <w:jc w:val="center"/>
        <w:rPr>
          <w:rFonts w:eastAsia="Calibri"/>
        </w:rPr>
      </w:pPr>
      <w:r w:rsidRPr="009C408D">
        <w:rPr>
          <w:rFonts w:eastAsia="Calibri"/>
        </w:rPr>
        <w:t>Debbie-Anne A. Reese,</w:t>
      </w:r>
    </w:p>
    <w:p w:rsidR="009C408D" w:rsidRPr="009C408D" w:rsidP="009C408D" w14:paraId="450487B4" w14:textId="23B44716">
      <w:pPr>
        <w:ind w:firstLine="2606"/>
        <w:jc w:val="center"/>
        <w:rPr>
          <w:rFonts w:eastAsia="Calibri"/>
        </w:rPr>
      </w:pPr>
      <w:r w:rsidRPr="009C408D">
        <w:rPr>
          <w:rFonts w:eastAsia="Calibri"/>
        </w:rPr>
        <w:t>Secretary.</w:t>
      </w:r>
    </w:p>
    <w:p w:rsidR="009C408D" w:rsidRPr="00AE02A7" w:rsidP="009C408D" w14:paraId="22017BA7" w14:textId="77777777">
      <w:pPr>
        <w:tabs>
          <w:tab w:val="left" w:pos="720"/>
        </w:tabs>
        <w:autoSpaceDE w:val="0"/>
        <w:autoSpaceDN w:val="0"/>
        <w:adjustRightInd w:val="0"/>
        <w:rPr>
          <w:rFonts w:eastAsia="Calibri"/>
          <w:highlight w:val="yellow"/>
        </w:rPr>
      </w:pPr>
    </w:p>
    <w:sectPr w:rsidSect="00BF2D74">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41ED" w:rsidP="00B01B16" w14:paraId="66F0D74E" w14:textId="77777777">
      <w:r>
        <w:separator/>
      </w:r>
    </w:p>
  </w:footnote>
  <w:footnote w:type="continuationSeparator" w:id="1">
    <w:p w:rsidR="00DF41ED" w:rsidP="00B01B16" w14:paraId="25B199F7" w14:textId="77777777">
      <w:r>
        <w:continuationSeparator/>
      </w:r>
    </w:p>
  </w:footnote>
  <w:footnote w:type="continuationNotice" w:id="2">
    <w:p w:rsidR="00DF41ED" w14:paraId="3DD93AB7" w14:textId="77777777"/>
  </w:footnote>
  <w:footnote w:id="3">
    <w:p w:rsidR="00EC4FC5" w:rsidRPr="00E25B15" w:rsidP="00EC4FC5" w14:paraId="5D27610E" w14:textId="77777777">
      <w:pPr>
        <w:pStyle w:val="FootnoteText"/>
        <w:spacing w:after="260"/>
        <w:rPr>
          <w:sz w:val="26"/>
          <w:szCs w:val="26"/>
        </w:rPr>
      </w:pPr>
      <w:r>
        <w:tab/>
      </w:r>
      <w:r>
        <w:rPr>
          <w:rStyle w:val="FootnoteReference"/>
        </w:rPr>
        <w:footnoteRef/>
      </w:r>
      <w:r>
        <w:t xml:space="preserve"> </w:t>
      </w:r>
      <w:r w:rsidRPr="00E25B15">
        <w:rPr>
          <w:sz w:val="26"/>
          <w:szCs w:val="26"/>
        </w:rPr>
        <w:t>18 C.F.R. § 39.5.</w:t>
      </w:r>
    </w:p>
  </w:footnote>
  <w:footnote w:id="4">
    <w:p w:rsidR="00EC4FC5" w:rsidP="00EC4FC5" w14:paraId="4AC34C06" w14:textId="77777777">
      <w:pPr>
        <w:pStyle w:val="FootnoteText"/>
        <w:ind w:firstLine="720"/>
      </w:pPr>
      <w:r>
        <w:rPr>
          <w:rStyle w:val="FootnoteReference"/>
        </w:rPr>
        <w:footnoteRef/>
      </w:r>
      <w:r>
        <w:t xml:space="preserve"> </w:t>
      </w:r>
      <w:r w:rsidRPr="00197481">
        <w:rPr>
          <w:sz w:val="26"/>
          <w:szCs w:val="26"/>
        </w:rPr>
        <w:t xml:space="preserve">NERC Petition at </w:t>
      </w:r>
      <w:r>
        <w:rPr>
          <w:sz w:val="26"/>
          <w:szCs w:val="26"/>
        </w:rPr>
        <w:t>3.</w:t>
      </w:r>
    </w:p>
  </w:footnote>
  <w:footnote w:id="5">
    <w:p w:rsidR="00EC4FC5" w:rsidP="00EC4FC5" w14:paraId="41485846" w14:textId="77777777">
      <w:pPr>
        <w:pStyle w:val="FootnoteText"/>
        <w:ind w:firstLine="720"/>
      </w:pPr>
    </w:p>
    <w:p w:rsidR="00EC4FC5" w:rsidP="00EC4FC5" w14:paraId="0F6F43F5" w14:textId="77777777">
      <w:pPr>
        <w:pStyle w:val="FootnoteText"/>
        <w:ind w:firstLine="720"/>
      </w:pPr>
      <w:r>
        <w:rPr>
          <w:rStyle w:val="FootnoteReference"/>
        </w:rPr>
        <w:footnoteRef/>
      </w:r>
      <w:r>
        <w:t xml:space="preserve"> </w:t>
      </w:r>
      <w:r>
        <w:rPr>
          <w:i/>
          <w:iCs/>
          <w:sz w:val="26"/>
          <w:szCs w:val="26"/>
        </w:rPr>
        <w:t>Id.</w:t>
      </w:r>
    </w:p>
  </w:footnote>
  <w:footnote w:id="6">
    <w:p w:rsidR="00EC4FC5" w:rsidP="00EC4FC5" w14:paraId="3A8ECF44" w14:textId="77777777">
      <w:pPr>
        <w:pStyle w:val="FootnoteText"/>
        <w:ind w:firstLine="720"/>
      </w:pPr>
    </w:p>
    <w:p w:rsidR="00EC4FC5" w:rsidP="00EC4FC5" w14:paraId="13B24590" w14:textId="77777777">
      <w:pPr>
        <w:pStyle w:val="FootnoteText"/>
        <w:ind w:firstLine="720"/>
        <w:rPr>
          <w:sz w:val="26"/>
          <w:szCs w:val="26"/>
        </w:rPr>
      </w:pPr>
      <w:r>
        <w:rPr>
          <w:rStyle w:val="FootnoteReference"/>
        </w:rPr>
        <w:footnoteRef/>
      </w:r>
      <w:r>
        <w:t xml:space="preserve"> </w:t>
      </w:r>
      <w:r>
        <w:rPr>
          <w:i/>
          <w:iCs/>
          <w:sz w:val="26"/>
          <w:szCs w:val="26"/>
        </w:rPr>
        <w:t>Id.</w:t>
      </w:r>
      <w:r w:rsidRPr="00197481">
        <w:rPr>
          <w:sz w:val="26"/>
          <w:szCs w:val="26"/>
        </w:rPr>
        <w:t xml:space="preserve"> at </w:t>
      </w:r>
      <w:r>
        <w:rPr>
          <w:sz w:val="26"/>
          <w:szCs w:val="26"/>
        </w:rPr>
        <w:t>4.</w:t>
      </w:r>
    </w:p>
    <w:p w:rsidR="00EC4FC5" w:rsidP="00EC4FC5" w14:paraId="39236155" w14:textId="77777777">
      <w:pPr>
        <w:pStyle w:val="FootnoteText"/>
        <w:ind w:firstLine="720"/>
      </w:pPr>
    </w:p>
  </w:footnote>
  <w:footnote w:id="7">
    <w:p w:rsidR="00CB400E" w:rsidRPr="00B43923" w:rsidP="00CB400E" w14:paraId="647E37BC" w14:textId="77777777">
      <w:pPr>
        <w:pStyle w:val="FootnoteText"/>
        <w:rPr>
          <w:sz w:val="26"/>
          <w:szCs w:val="26"/>
        </w:rPr>
      </w:pPr>
      <w:r w:rsidRPr="00B43923">
        <w:rPr>
          <w:rStyle w:val="FootnoteReference"/>
        </w:rPr>
        <w:footnoteRef/>
      </w:r>
      <w:r w:rsidRPr="00B43923">
        <w:rPr>
          <w:sz w:val="26"/>
          <w:szCs w:val="26"/>
        </w:rPr>
        <w:t xml:space="preserve"> Number of entity data taken from the NERC compliance registry, dated November 20, 2024.</w:t>
      </w:r>
    </w:p>
  </w:footnote>
  <w:footnote w:id="8">
    <w:p w:rsidR="00CB400E" w:rsidP="009C408D" w14:paraId="592D0136" w14:textId="77777777">
      <w:pPr>
        <w:pStyle w:val="FootnoteText"/>
        <w:spacing w:after="260"/>
      </w:pPr>
      <w:r w:rsidRPr="00B43923">
        <w:rPr>
          <w:rStyle w:val="FootnoteReference"/>
        </w:rPr>
        <w:footnoteRef/>
      </w:r>
      <w:r w:rsidRPr="00B43923">
        <w:rPr>
          <w:sz w:val="26"/>
          <w:szCs w:val="26"/>
        </w:rPr>
        <w:t xml:space="preserve"> 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r w:rsidRPr="00A5379E">
        <w:rPr>
          <w:szCs w:val="26"/>
        </w:rPr>
        <w:t>).</w:t>
      </w:r>
    </w:p>
  </w:footnote>
  <w:footnote w:id="9">
    <w:p w:rsidR="008613BD" w:rsidRPr="00B43923" w:rsidP="009C408D" w14:paraId="41C08A9B" w14:textId="77777777">
      <w:pPr>
        <w:pStyle w:val="FootnoteText"/>
        <w:spacing w:after="260"/>
        <w:rPr>
          <w:sz w:val="26"/>
          <w:szCs w:val="26"/>
        </w:rPr>
      </w:pPr>
      <w:r w:rsidRPr="00B43923">
        <w:rPr>
          <w:rStyle w:val="FootnoteReference"/>
        </w:rPr>
        <w:footnoteRef/>
      </w:r>
      <w:r w:rsidRPr="00B43923">
        <w:rPr>
          <w:sz w:val="26"/>
          <w:szCs w:val="26"/>
        </w:rPr>
        <w:t xml:space="preserve"> Number of entity data taken from the NERC compliance registry, dated November 20, 2024.</w:t>
      </w:r>
    </w:p>
  </w:footnote>
  <w:footnote w:id="10">
    <w:p w:rsidR="008613BD" w:rsidP="009C408D" w14:paraId="1292334E" w14:textId="77777777">
      <w:pPr>
        <w:pStyle w:val="FootnoteText"/>
        <w:spacing w:after="260"/>
      </w:pPr>
      <w:r w:rsidRPr="00B43923">
        <w:rPr>
          <w:rStyle w:val="FootnoteReference"/>
        </w:rPr>
        <w:footnoteRef/>
      </w:r>
      <w:r w:rsidRPr="00B43923">
        <w:rPr>
          <w:sz w:val="26"/>
          <w:szCs w:val="26"/>
        </w:rPr>
        <w:t xml:space="preserve"> 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51D5BA17">
        <w:pPr>
          <w:pStyle w:val="Header"/>
        </w:pPr>
        <w:r w:rsidRPr="00D954AE">
          <w:t xml:space="preserve">Docket No. </w:t>
        </w:r>
        <w:r w:rsidR="00703313">
          <w:t>RD</w:t>
        </w:r>
        <w:r w:rsidRPr="00D954AE">
          <w:t>2</w:t>
        </w:r>
        <w:r w:rsidR="00E94A54">
          <w:t>5</w:t>
        </w:r>
        <w:r w:rsidRPr="00D954AE">
          <w:t>-</w:t>
        </w:r>
        <w:r w:rsidR="0017796B">
          <w:t>5</w:t>
        </w:r>
        <w:r w:rsidRPr="00D954AE">
          <w:t>-000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524B3B"/>
    <w:multiLevelType w:val="hybridMultilevel"/>
    <w:tmpl w:val="EE32B17E"/>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5">
    <w:nsid w:val="17CA5E7B"/>
    <w:multiLevelType w:val="multilevel"/>
    <w:tmpl w:val="A7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7">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nsid w:val="39C61D17"/>
    <w:multiLevelType w:val="multilevel"/>
    <w:tmpl w:val="490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1">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67044C1C"/>
    <w:multiLevelType w:val="hybridMultilevel"/>
    <w:tmpl w:val="FBB8783A"/>
    <w:lvl w:ilvl="0">
      <w:start w:val="98"/>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3380708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703877">
    <w:abstractNumId w:val="6"/>
  </w:num>
  <w:num w:numId="3" w16cid:durableId="903417670">
    <w:abstractNumId w:val="12"/>
  </w:num>
  <w:num w:numId="4" w16cid:durableId="1149052004">
    <w:abstractNumId w:val="9"/>
  </w:num>
  <w:num w:numId="5" w16cid:durableId="1854490639">
    <w:abstractNumId w:val="18"/>
  </w:num>
  <w:num w:numId="6" w16cid:durableId="314338978">
    <w:abstractNumId w:val="2"/>
  </w:num>
  <w:num w:numId="7" w16cid:durableId="1174344768">
    <w:abstractNumId w:val="13"/>
  </w:num>
  <w:num w:numId="8" w16cid:durableId="1748648823">
    <w:abstractNumId w:val="1"/>
  </w:num>
  <w:num w:numId="9" w16cid:durableId="2116244772">
    <w:abstractNumId w:val="11"/>
  </w:num>
  <w:num w:numId="10" w16cid:durableId="1320773160">
    <w:abstractNumId w:val="17"/>
  </w:num>
  <w:num w:numId="11" w16cid:durableId="1571038222">
    <w:abstractNumId w:val="3"/>
  </w:num>
  <w:num w:numId="12" w16cid:durableId="553780793">
    <w:abstractNumId w:val="15"/>
  </w:num>
  <w:num w:numId="13" w16cid:durableId="463546188">
    <w:abstractNumId w:val="0"/>
  </w:num>
  <w:num w:numId="14" w16cid:durableId="1701586126">
    <w:abstractNumId w:val="16"/>
  </w:num>
  <w:num w:numId="15" w16cid:durableId="197011097">
    <w:abstractNumId w:val="10"/>
  </w:num>
  <w:num w:numId="16" w16cid:durableId="247085332">
    <w:abstractNumId w:val="4"/>
  </w:num>
  <w:num w:numId="17" w16cid:durableId="695468739">
    <w:abstractNumId w:val="14"/>
  </w:num>
  <w:num w:numId="18" w16cid:durableId="38208452">
    <w:abstractNumId w:val="8"/>
  </w:num>
  <w:num w:numId="19" w16cid:durableId="1239710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4343"/>
    <w:rsid w:val="00016D90"/>
    <w:rsid w:val="00026C2D"/>
    <w:rsid w:val="000370BC"/>
    <w:rsid w:val="000379D6"/>
    <w:rsid w:val="00042F33"/>
    <w:rsid w:val="000459B6"/>
    <w:rsid w:val="0005167F"/>
    <w:rsid w:val="000578D5"/>
    <w:rsid w:val="00062427"/>
    <w:rsid w:val="0006681D"/>
    <w:rsid w:val="00070ECD"/>
    <w:rsid w:val="00072E34"/>
    <w:rsid w:val="00074CC7"/>
    <w:rsid w:val="00082413"/>
    <w:rsid w:val="00084E3D"/>
    <w:rsid w:val="0008692A"/>
    <w:rsid w:val="00097607"/>
    <w:rsid w:val="000A0250"/>
    <w:rsid w:val="000A3078"/>
    <w:rsid w:val="000A3C2F"/>
    <w:rsid w:val="000A4305"/>
    <w:rsid w:val="000A6164"/>
    <w:rsid w:val="000A6F37"/>
    <w:rsid w:val="000A7E68"/>
    <w:rsid w:val="000B3479"/>
    <w:rsid w:val="000B3EC5"/>
    <w:rsid w:val="000B431B"/>
    <w:rsid w:val="000B5B66"/>
    <w:rsid w:val="000B5C78"/>
    <w:rsid w:val="000B6174"/>
    <w:rsid w:val="000C2353"/>
    <w:rsid w:val="000D318C"/>
    <w:rsid w:val="000D6512"/>
    <w:rsid w:val="000D6969"/>
    <w:rsid w:val="000E1256"/>
    <w:rsid w:val="000E2568"/>
    <w:rsid w:val="000E4C61"/>
    <w:rsid w:val="000F3BC3"/>
    <w:rsid w:val="000F606E"/>
    <w:rsid w:val="000F7B45"/>
    <w:rsid w:val="00101565"/>
    <w:rsid w:val="00112B6B"/>
    <w:rsid w:val="00116326"/>
    <w:rsid w:val="00125991"/>
    <w:rsid w:val="001309CE"/>
    <w:rsid w:val="0013255C"/>
    <w:rsid w:val="00132785"/>
    <w:rsid w:val="001352F4"/>
    <w:rsid w:val="00135FC5"/>
    <w:rsid w:val="00137823"/>
    <w:rsid w:val="001460DD"/>
    <w:rsid w:val="00150CBC"/>
    <w:rsid w:val="0015445B"/>
    <w:rsid w:val="00156BBB"/>
    <w:rsid w:val="001600DF"/>
    <w:rsid w:val="00164215"/>
    <w:rsid w:val="0017145A"/>
    <w:rsid w:val="00171725"/>
    <w:rsid w:val="0017684C"/>
    <w:rsid w:val="00177704"/>
    <w:rsid w:val="0017796B"/>
    <w:rsid w:val="00181BF7"/>
    <w:rsid w:val="00182D98"/>
    <w:rsid w:val="00184250"/>
    <w:rsid w:val="00184A26"/>
    <w:rsid w:val="00184B43"/>
    <w:rsid w:val="0019402A"/>
    <w:rsid w:val="00197435"/>
    <w:rsid w:val="00197481"/>
    <w:rsid w:val="001974A9"/>
    <w:rsid w:val="001A2DAA"/>
    <w:rsid w:val="001A3D57"/>
    <w:rsid w:val="001A4804"/>
    <w:rsid w:val="001A6645"/>
    <w:rsid w:val="001A6AD6"/>
    <w:rsid w:val="001A6F26"/>
    <w:rsid w:val="001A738D"/>
    <w:rsid w:val="001B0BD2"/>
    <w:rsid w:val="001B3C6A"/>
    <w:rsid w:val="001B78B8"/>
    <w:rsid w:val="001C0889"/>
    <w:rsid w:val="001C3BEC"/>
    <w:rsid w:val="001C543C"/>
    <w:rsid w:val="001C7064"/>
    <w:rsid w:val="001D3E7A"/>
    <w:rsid w:val="001D4C7C"/>
    <w:rsid w:val="001D578A"/>
    <w:rsid w:val="001D68BE"/>
    <w:rsid w:val="001E0030"/>
    <w:rsid w:val="001E2B4A"/>
    <w:rsid w:val="001E3237"/>
    <w:rsid w:val="001E521B"/>
    <w:rsid w:val="001F1CDF"/>
    <w:rsid w:val="00200139"/>
    <w:rsid w:val="00202E41"/>
    <w:rsid w:val="00207AE7"/>
    <w:rsid w:val="00211105"/>
    <w:rsid w:val="002131D0"/>
    <w:rsid w:val="00213696"/>
    <w:rsid w:val="002137CC"/>
    <w:rsid w:val="002220C2"/>
    <w:rsid w:val="00224BF8"/>
    <w:rsid w:val="00224DD2"/>
    <w:rsid w:val="00227D0E"/>
    <w:rsid w:val="00235FEE"/>
    <w:rsid w:val="00236ED4"/>
    <w:rsid w:val="00237AB9"/>
    <w:rsid w:val="0024271E"/>
    <w:rsid w:val="0024309C"/>
    <w:rsid w:val="002433B3"/>
    <w:rsid w:val="00253F98"/>
    <w:rsid w:val="00257CC2"/>
    <w:rsid w:val="00262096"/>
    <w:rsid w:val="00265B23"/>
    <w:rsid w:val="00266431"/>
    <w:rsid w:val="00266774"/>
    <w:rsid w:val="002673BC"/>
    <w:rsid w:val="00267798"/>
    <w:rsid w:val="0027179A"/>
    <w:rsid w:val="00272C05"/>
    <w:rsid w:val="0027313E"/>
    <w:rsid w:val="00287E9A"/>
    <w:rsid w:val="002906E5"/>
    <w:rsid w:val="00292A4C"/>
    <w:rsid w:val="00297211"/>
    <w:rsid w:val="002B5874"/>
    <w:rsid w:val="002C0F86"/>
    <w:rsid w:val="002C2C8B"/>
    <w:rsid w:val="002C3223"/>
    <w:rsid w:val="002C32D0"/>
    <w:rsid w:val="002C3579"/>
    <w:rsid w:val="002C46BF"/>
    <w:rsid w:val="002C5E0E"/>
    <w:rsid w:val="002D17E5"/>
    <w:rsid w:val="002D57E8"/>
    <w:rsid w:val="002D6667"/>
    <w:rsid w:val="002D6750"/>
    <w:rsid w:val="002E06A0"/>
    <w:rsid w:val="002E1C29"/>
    <w:rsid w:val="002E1D8F"/>
    <w:rsid w:val="002E686A"/>
    <w:rsid w:val="002E68D4"/>
    <w:rsid w:val="002E6DAA"/>
    <w:rsid w:val="002F0144"/>
    <w:rsid w:val="002F4401"/>
    <w:rsid w:val="002F708A"/>
    <w:rsid w:val="00301E3D"/>
    <w:rsid w:val="00303516"/>
    <w:rsid w:val="00306318"/>
    <w:rsid w:val="00311329"/>
    <w:rsid w:val="00311D90"/>
    <w:rsid w:val="00313373"/>
    <w:rsid w:val="00314219"/>
    <w:rsid w:val="003142B5"/>
    <w:rsid w:val="003149BC"/>
    <w:rsid w:val="0033340D"/>
    <w:rsid w:val="00336AD9"/>
    <w:rsid w:val="00337CDE"/>
    <w:rsid w:val="00340D3C"/>
    <w:rsid w:val="00342C38"/>
    <w:rsid w:val="00343A74"/>
    <w:rsid w:val="00353270"/>
    <w:rsid w:val="0036430E"/>
    <w:rsid w:val="00365468"/>
    <w:rsid w:val="003658A2"/>
    <w:rsid w:val="003673EC"/>
    <w:rsid w:val="0037304A"/>
    <w:rsid w:val="00373A2E"/>
    <w:rsid w:val="00376525"/>
    <w:rsid w:val="00381882"/>
    <w:rsid w:val="003940FF"/>
    <w:rsid w:val="00397ABE"/>
    <w:rsid w:val="003A2C3F"/>
    <w:rsid w:val="003B435C"/>
    <w:rsid w:val="003B5B0B"/>
    <w:rsid w:val="003C002D"/>
    <w:rsid w:val="003C08DE"/>
    <w:rsid w:val="003C3E7A"/>
    <w:rsid w:val="003C4C49"/>
    <w:rsid w:val="003D0BB4"/>
    <w:rsid w:val="003D28D2"/>
    <w:rsid w:val="003E0BE0"/>
    <w:rsid w:val="003E1657"/>
    <w:rsid w:val="003E1B25"/>
    <w:rsid w:val="003E1B5A"/>
    <w:rsid w:val="003E2AB4"/>
    <w:rsid w:val="003E40B2"/>
    <w:rsid w:val="003E44AD"/>
    <w:rsid w:val="003F0FE7"/>
    <w:rsid w:val="003F2E32"/>
    <w:rsid w:val="003F2EC7"/>
    <w:rsid w:val="003F4B12"/>
    <w:rsid w:val="003F570B"/>
    <w:rsid w:val="003F6466"/>
    <w:rsid w:val="003F6DEE"/>
    <w:rsid w:val="00407BCE"/>
    <w:rsid w:val="00410A8B"/>
    <w:rsid w:val="00411B62"/>
    <w:rsid w:val="00413AA8"/>
    <w:rsid w:val="00413FDE"/>
    <w:rsid w:val="00415E2C"/>
    <w:rsid w:val="004177CD"/>
    <w:rsid w:val="0042688C"/>
    <w:rsid w:val="0042765E"/>
    <w:rsid w:val="00427AE5"/>
    <w:rsid w:val="00430620"/>
    <w:rsid w:val="00431210"/>
    <w:rsid w:val="00443282"/>
    <w:rsid w:val="00447C9E"/>
    <w:rsid w:val="00450D64"/>
    <w:rsid w:val="004554C9"/>
    <w:rsid w:val="004562F1"/>
    <w:rsid w:val="004628F2"/>
    <w:rsid w:val="00462CE1"/>
    <w:rsid w:val="00465456"/>
    <w:rsid w:val="00471921"/>
    <w:rsid w:val="004725A7"/>
    <w:rsid w:val="00480D2D"/>
    <w:rsid w:val="00491543"/>
    <w:rsid w:val="00497A62"/>
    <w:rsid w:val="004A3167"/>
    <w:rsid w:val="004A661D"/>
    <w:rsid w:val="004A6FC8"/>
    <w:rsid w:val="004B7AF5"/>
    <w:rsid w:val="004BEE0F"/>
    <w:rsid w:val="004C0BC3"/>
    <w:rsid w:val="004C70C8"/>
    <w:rsid w:val="004D3B2D"/>
    <w:rsid w:val="004E44F8"/>
    <w:rsid w:val="004E683E"/>
    <w:rsid w:val="004F2232"/>
    <w:rsid w:val="004F56E3"/>
    <w:rsid w:val="00503954"/>
    <w:rsid w:val="00520275"/>
    <w:rsid w:val="00524164"/>
    <w:rsid w:val="00527733"/>
    <w:rsid w:val="00531000"/>
    <w:rsid w:val="005401E0"/>
    <w:rsid w:val="00544424"/>
    <w:rsid w:val="0054746C"/>
    <w:rsid w:val="00565830"/>
    <w:rsid w:val="00565B5E"/>
    <w:rsid w:val="00566B5F"/>
    <w:rsid w:val="00567315"/>
    <w:rsid w:val="005739F7"/>
    <w:rsid w:val="00573FA8"/>
    <w:rsid w:val="005749DE"/>
    <w:rsid w:val="0057709C"/>
    <w:rsid w:val="00577E4C"/>
    <w:rsid w:val="0058195F"/>
    <w:rsid w:val="00582915"/>
    <w:rsid w:val="00584A11"/>
    <w:rsid w:val="0058779A"/>
    <w:rsid w:val="00587D1F"/>
    <w:rsid w:val="005953A1"/>
    <w:rsid w:val="00596242"/>
    <w:rsid w:val="00597970"/>
    <w:rsid w:val="005A0A9F"/>
    <w:rsid w:val="005A0B82"/>
    <w:rsid w:val="005A0D62"/>
    <w:rsid w:val="005A1E8A"/>
    <w:rsid w:val="005A23EA"/>
    <w:rsid w:val="005A2F24"/>
    <w:rsid w:val="005A5AB9"/>
    <w:rsid w:val="005A6119"/>
    <w:rsid w:val="005B0254"/>
    <w:rsid w:val="005B4DA4"/>
    <w:rsid w:val="005B7231"/>
    <w:rsid w:val="005C09F1"/>
    <w:rsid w:val="005C12CF"/>
    <w:rsid w:val="005C180F"/>
    <w:rsid w:val="005C35B6"/>
    <w:rsid w:val="005C77BE"/>
    <w:rsid w:val="005D0259"/>
    <w:rsid w:val="005D0A61"/>
    <w:rsid w:val="005D238D"/>
    <w:rsid w:val="005D4628"/>
    <w:rsid w:val="005D630A"/>
    <w:rsid w:val="005E0B1A"/>
    <w:rsid w:val="005E1000"/>
    <w:rsid w:val="005E458C"/>
    <w:rsid w:val="005E45C6"/>
    <w:rsid w:val="005E68E7"/>
    <w:rsid w:val="005E7A9B"/>
    <w:rsid w:val="005F7CE1"/>
    <w:rsid w:val="00602995"/>
    <w:rsid w:val="006117BC"/>
    <w:rsid w:val="006128A5"/>
    <w:rsid w:val="00613169"/>
    <w:rsid w:val="006131EE"/>
    <w:rsid w:val="00620474"/>
    <w:rsid w:val="0062572C"/>
    <w:rsid w:val="00630E07"/>
    <w:rsid w:val="00632B22"/>
    <w:rsid w:val="0063784F"/>
    <w:rsid w:val="00637F43"/>
    <w:rsid w:val="00641F0D"/>
    <w:rsid w:val="00643772"/>
    <w:rsid w:val="00644A1B"/>
    <w:rsid w:val="00647718"/>
    <w:rsid w:val="00650E6C"/>
    <w:rsid w:val="006536D8"/>
    <w:rsid w:val="00654399"/>
    <w:rsid w:val="00654BA4"/>
    <w:rsid w:val="0066195A"/>
    <w:rsid w:val="00662FC3"/>
    <w:rsid w:val="0066364E"/>
    <w:rsid w:val="00663FBE"/>
    <w:rsid w:val="00664931"/>
    <w:rsid w:val="00665F91"/>
    <w:rsid w:val="006670C8"/>
    <w:rsid w:val="006740AF"/>
    <w:rsid w:val="006841A7"/>
    <w:rsid w:val="00687348"/>
    <w:rsid w:val="00693721"/>
    <w:rsid w:val="00694C22"/>
    <w:rsid w:val="006963BC"/>
    <w:rsid w:val="006970F4"/>
    <w:rsid w:val="006A2E15"/>
    <w:rsid w:val="006A4398"/>
    <w:rsid w:val="006A53D8"/>
    <w:rsid w:val="006A7F70"/>
    <w:rsid w:val="006B3479"/>
    <w:rsid w:val="006B5461"/>
    <w:rsid w:val="006B6BA9"/>
    <w:rsid w:val="006D5669"/>
    <w:rsid w:val="006D65AB"/>
    <w:rsid w:val="006E7CBB"/>
    <w:rsid w:val="006E7EBE"/>
    <w:rsid w:val="006F0D0B"/>
    <w:rsid w:val="006F7028"/>
    <w:rsid w:val="006F749E"/>
    <w:rsid w:val="00701F6A"/>
    <w:rsid w:val="007024F1"/>
    <w:rsid w:val="00703313"/>
    <w:rsid w:val="007056C1"/>
    <w:rsid w:val="00706117"/>
    <w:rsid w:val="00707D60"/>
    <w:rsid w:val="00713417"/>
    <w:rsid w:val="00714EDD"/>
    <w:rsid w:val="0071596F"/>
    <w:rsid w:val="00716554"/>
    <w:rsid w:val="00723505"/>
    <w:rsid w:val="00725E0F"/>
    <w:rsid w:val="007263B9"/>
    <w:rsid w:val="007352F2"/>
    <w:rsid w:val="007377F0"/>
    <w:rsid w:val="0074277A"/>
    <w:rsid w:val="0075009F"/>
    <w:rsid w:val="00752A48"/>
    <w:rsid w:val="00757503"/>
    <w:rsid w:val="00757707"/>
    <w:rsid w:val="00757D44"/>
    <w:rsid w:val="00761148"/>
    <w:rsid w:val="00761431"/>
    <w:rsid w:val="007633DD"/>
    <w:rsid w:val="00771B1A"/>
    <w:rsid w:val="00771EAE"/>
    <w:rsid w:val="007753BE"/>
    <w:rsid w:val="007755E3"/>
    <w:rsid w:val="00781E6A"/>
    <w:rsid w:val="00792436"/>
    <w:rsid w:val="007A068A"/>
    <w:rsid w:val="007A2D9B"/>
    <w:rsid w:val="007B0911"/>
    <w:rsid w:val="007B17C9"/>
    <w:rsid w:val="007B1F57"/>
    <w:rsid w:val="007B370F"/>
    <w:rsid w:val="007B40DD"/>
    <w:rsid w:val="007B4938"/>
    <w:rsid w:val="007B7029"/>
    <w:rsid w:val="007C50E2"/>
    <w:rsid w:val="007C7D00"/>
    <w:rsid w:val="007D02D8"/>
    <w:rsid w:val="007E3706"/>
    <w:rsid w:val="007E5A29"/>
    <w:rsid w:val="007F0E62"/>
    <w:rsid w:val="007F2C39"/>
    <w:rsid w:val="007F4CD3"/>
    <w:rsid w:val="007F61C2"/>
    <w:rsid w:val="00801456"/>
    <w:rsid w:val="008018DB"/>
    <w:rsid w:val="00803CA2"/>
    <w:rsid w:val="008056E7"/>
    <w:rsid w:val="00807CAC"/>
    <w:rsid w:val="008115BF"/>
    <w:rsid w:val="008143B0"/>
    <w:rsid w:val="00816942"/>
    <w:rsid w:val="0082071E"/>
    <w:rsid w:val="008212DA"/>
    <w:rsid w:val="00821E99"/>
    <w:rsid w:val="008225F7"/>
    <w:rsid w:val="00823681"/>
    <w:rsid w:val="00824D81"/>
    <w:rsid w:val="0082500C"/>
    <w:rsid w:val="0082638F"/>
    <w:rsid w:val="00827650"/>
    <w:rsid w:val="00830D19"/>
    <w:rsid w:val="00835322"/>
    <w:rsid w:val="008376AE"/>
    <w:rsid w:val="00841075"/>
    <w:rsid w:val="008416FD"/>
    <w:rsid w:val="00845FCF"/>
    <w:rsid w:val="0084717B"/>
    <w:rsid w:val="008507FE"/>
    <w:rsid w:val="00851BDE"/>
    <w:rsid w:val="00853ABC"/>
    <w:rsid w:val="00855BDC"/>
    <w:rsid w:val="008575C2"/>
    <w:rsid w:val="008613BD"/>
    <w:rsid w:val="00863A2C"/>
    <w:rsid w:val="00863E08"/>
    <w:rsid w:val="00871D53"/>
    <w:rsid w:val="00871DCE"/>
    <w:rsid w:val="008755D6"/>
    <w:rsid w:val="00880340"/>
    <w:rsid w:val="00881405"/>
    <w:rsid w:val="00883F45"/>
    <w:rsid w:val="00886E29"/>
    <w:rsid w:val="0088713C"/>
    <w:rsid w:val="0089069F"/>
    <w:rsid w:val="00893C9F"/>
    <w:rsid w:val="00895B40"/>
    <w:rsid w:val="00895DA2"/>
    <w:rsid w:val="00897359"/>
    <w:rsid w:val="008A050A"/>
    <w:rsid w:val="008A1C9C"/>
    <w:rsid w:val="008A4835"/>
    <w:rsid w:val="008A4C8D"/>
    <w:rsid w:val="008A55FC"/>
    <w:rsid w:val="008A7371"/>
    <w:rsid w:val="008B70F5"/>
    <w:rsid w:val="008B7EC5"/>
    <w:rsid w:val="008D146C"/>
    <w:rsid w:val="008D25B7"/>
    <w:rsid w:val="008D5479"/>
    <w:rsid w:val="008E0DC0"/>
    <w:rsid w:val="008E0DF5"/>
    <w:rsid w:val="008E3273"/>
    <w:rsid w:val="008E70D6"/>
    <w:rsid w:val="008F0AEA"/>
    <w:rsid w:val="008F0C45"/>
    <w:rsid w:val="008F6D40"/>
    <w:rsid w:val="0090185B"/>
    <w:rsid w:val="009019EF"/>
    <w:rsid w:val="00904B00"/>
    <w:rsid w:val="009112D0"/>
    <w:rsid w:val="009327AF"/>
    <w:rsid w:val="009405C8"/>
    <w:rsid w:val="00940C0F"/>
    <w:rsid w:val="00943CA7"/>
    <w:rsid w:val="00951DC3"/>
    <w:rsid w:val="00952652"/>
    <w:rsid w:val="0095548F"/>
    <w:rsid w:val="009610D9"/>
    <w:rsid w:val="00973905"/>
    <w:rsid w:val="009744C8"/>
    <w:rsid w:val="00974530"/>
    <w:rsid w:val="00980E58"/>
    <w:rsid w:val="009815BD"/>
    <w:rsid w:val="00981886"/>
    <w:rsid w:val="00990102"/>
    <w:rsid w:val="00990FEC"/>
    <w:rsid w:val="00992257"/>
    <w:rsid w:val="009928CD"/>
    <w:rsid w:val="009949AA"/>
    <w:rsid w:val="00995921"/>
    <w:rsid w:val="0099713F"/>
    <w:rsid w:val="009A1B08"/>
    <w:rsid w:val="009A4418"/>
    <w:rsid w:val="009A5CE4"/>
    <w:rsid w:val="009A66A5"/>
    <w:rsid w:val="009B0524"/>
    <w:rsid w:val="009C3CB9"/>
    <w:rsid w:val="009C408D"/>
    <w:rsid w:val="009C4A13"/>
    <w:rsid w:val="009C745D"/>
    <w:rsid w:val="009D50C1"/>
    <w:rsid w:val="009E2D84"/>
    <w:rsid w:val="009E68AD"/>
    <w:rsid w:val="009F1618"/>
    <w:rsid w:val="009F279E"/>
    <w:rsid w:val="009F39AC"/>
    <w:rsid w:val="009F7DE3"/>
    <w:rsid w:val="00A04C8E"/>
    <w:rsid w:val="00A07154"/>
    <w:rsid w:val="00A07B06"/>
    <w:rsid w:val="00A11624"/>
    <w:rsid w:val="00A11868"/>
    <w:rsid w:val="00A127D3"/>
    <w:rsid w:val="00A1386C"/>
    <w:rsid w:val="00A14335"/>
    <w:rsid w:val="00A14B43"/>
    <w:rsid w:val="00A15EFE"/>
    <w:rsid w:val="00A166E7"/>
    <w:rsid w:val="00A178B0"/>
    <w:rsid w:val="00A2075F"/>
    <w:rsid w:val="00A23612"/>
    <w:rsid w:val="00A2604E"/>
    <w:rsid w:val="00A27C67"/>
    <w:rsid w:val="00A31A17"/>
    <w:rsid w:val="00A32860"/>
    <w:rsid w:val="00A34A90"/>
    <w:rsid w:val="00A366C7"/>
    <w:rsid w:val="00A417A2"/>
    <w:rsid w:val="00A45401"/>
    <w:rsid w:val="00A52189"/>
    <w:rsid w:val="00A5379E"/>
    <w:rsid w:val="00A57463"/>
    <w:rsid w:val="00A57959"/>
    <w:rsid w:val="00A63DAF"/>
    <w:rsid w:val="00A643A2"/>
    <w:rsid w:val="00A664DF"/>
    <w:rsid w:val="00A71219"/>
    <w:rsid w:val="00A713D0"/>
    <w:rsid w:val="00A722D4"/>
    <w:rsid w:val="00A75AAA"/>
    <w:rsid w:val="00A82A29"/>
    <w:rsid w:val="00A868C3"/>
    <w:rsid w:val="00A86B6F"/>
    <w:rsid w:val="00A94F94"/>
    <w:rsid w:val="00AA516A"/>
    <w:rsid w:val="00AA5B0E"/>
    <w:rsid w:val="00AA6A4A"/>
    <w:rsid w:val="00AB4DBF"/>
    <w:rsid w:val="00AC0504"/>
    <w:rsid w:val="00AC1DB7"/>
    <w:rsid w:val="00AC24E2"/>
    <w:rsid w:val="00AC381D"/>
    <w:rsid w:val="00AC3A7C"/>
    <w:rsid w:val="00AC62A6"/>
    <w:rsid w:val="00AC664F"/>
    <w:rsid w:val="00AC750B"/>
    <w:rsid w:val="00AD13D4"/>
    <w:rsid w:val="00AD1E15"/>
    <w:rsid w:val="00AD37A6"/>
    <w:rsid w:val="00AD6937"/>
    <w:rsid w:val="00AE02A7"/>
    <w:rsid w:val="00AE1F12"/>
    <w:rsid w:val="00AE24CC"/>
    <w:rsid w:val="00AE38C6"/>
    <w:rsid w:val="00AE4155"/>
    <w:rsid w:val="00AE4B7C"/>
    <w:rsid w:val="00AE66F6"/>
    <w:rsid w:val="00AF0AF6"/>
    <w:rsid w:val="00AF17CE"/>
    <w:rsid w:val="00AF336D"/>
    <w:rsid w:val="00AF349B"/>
    <w:rsid w:val="00AF65F0"/>
    <w:rsid w:val="00B009E9"/>
    <w:rsid w:val="00B01711"/>
    <w:rsid w:val="00B01B16"/>
    <w:rsid w:val="00B062D0"/>
    <w:rsid w:val="00B11D16"/>
    <w:rsid w:val="00B17A95"/>
    <w:rsid w:val="00B24588"/>
    <w:rsid w:val="00B253A6"/>
    <w:rsid w:val="00B25CF4"/>
    <w:rsid w:val="00B30F2D"/>
    <w:rsid w:val="00B34928"/>
    <w:rsid w:val="00B35B74"/>
    <w:rsid w:val="00B403F1"/>
    <w:rsid w:val="00B4163B"/>
    <w:rsid w:val="00B43923"/>
    <w:rsid w:val="00B447D7"/>
    <w:rsid w:val="00B45D28"/>
    <w:rsid w:val="00B512E2"/>
    <w:rsid w:val="00B556C9"/>
    <w:rsid w:val="00B60113"/>
    <w:rsid w:val="00B6081E"/>
    <w:rsid w:val="00B61016"/>
    <w:rsid w:val="00B624EB"/>
    <w:rsid w:val="00B64C8D"/>
    <w:rsid w:val="00B71BAA"/>
    <w:rsid w:val="00B76A1F"/>
    <w:rsid w:val="00B806DD"/>
    <w:rsid w:val="00B80E54"/>
    <w:rsid w:val="00B82F8C"/>
    <w:rsid w:val="00B8460F"/>
    <w:rsid w:val="00B84D34"/>
    <w:rsid w:val="00B85549"/>
    <w:rsid w:val="00B861EC"/>
    <w:rsid w:val="00B95477"/>
    <w:rsid w:val="00BA1D81"/>
    <w:rsid w:val="00BA2296"/>
    <w:rsid w:val="00BA375E"/>
    <w:rsid w:val="00BA7130"/>
    <w:rsid w:val="00BB436B"/>
    <w:rsid w:val="00BC58DF"/>
    <w:rsid w:val="00BC63AF"/>
    <w:rsid w:val="00BC6431"/>
    <w:rsid w:val="00BD205B"/>
    <w:rsid w:val="00BD74AE"/>
    <w:rsid w:val="00BD7F03"/>
    <w:rsid w:val="00BE16BC"/>
    <w:rsid w:val="00BE3970"/>
    <w:rsid w:val="00BE3FE7"/>
    <w:rsid w:val="00BE6EDF"/>
    <w:rsid w:val="00BF2315"/>
    <w:rsid w:val="00BF2922"/>
    <w:rsid w:val="00BF2D74"/>
    <w:rsid w:val="00BF4CC8"/>
    <w:rsid w:val="00BF51ED"/>
    <w:rsid w:val="00BF75B6"/>
    <w:rsid w:val="00C02547"/>
    <w:rsid w:val="00C025C8"/>
    <w:rsid w:val="00C04E54"/>
    <w:rsid w:val="00C058D5"/>
    <w:rsid w:val="00C1124F"/>
    <w:rsid w:val="00C14903"/>
    <w:rsid w:val="00C1686C"/>
    <w:rsid w:val="00C30486"/>
    <w:rsid w:val="00C3051C"/>
    <w:rsid w:val="00C30740"/>
    <w:rsid w:val="00C30DED"/>
    <w:rsid w:val="00C367A6"/>
    <w:rsid w:val="00C37BFF"/>
    <w:rsid w:val="00C42500"/>
    <w:rsid w:val="00C425AD"/>
    <w:rsid w:val="00C45F17"/>
    <w:rsid w:val="00C47144"/>
    <w:rsid w:val="00C50BD5"/>
    <w:rsid w:val="00C50EB1"/>
    <w:rsid w:val="00C51458"/>
    <w:rsid w:val="00C51E5F"/>
    <w:rsid w:val="00C52E2C"/>
    <w:rsid w:val="00C53580"/>
    <w:rsid w:val="00C55838"/>
    <w:rsid w:val="00C56745"/>
    <w:rsid w:val="00C63C66"/>
    <w:rsid w:val="00C67035"/>
    <w:rsid w:val="00C70729"/>
    <w:rsid w:val="00C71475"/>
    <w:rsid w:val="00C76958"/>
    <w:rsid w:val="00C77EF7"/>
    <w:rsid w:val="00C80D25"/>
    <w:rsid w:val="00C82053"/>
    <w:rsid w:val="00C820F1"/>
    <w:rsid w:val="00C822C1"/>
    <w:rsid w:val="00C84936"/>
    <w:rsid w:val="00C84DE9"/>
    <w:rsid w:val="00C859F7"/>
    <w:rsid w:val="00C85A38"/>
    <w:rsid w:val="00C91512"/>
    <w:rsid w:val="00C94A53"/>
    <w:rsid w:val="00CA0DEC"/>
    <w:rsid w:val="00CA2DE2"/>
    <w:rsid w:val="00CA3A85"/>
    <w:rsid w:val="00CA6636"/>
    <w:rsid w:val="00CA6D76"/>
    <w:rsid w:val="00CA7FBE"/>
    <w:rsid w:val="00CB2E91"/>
    <w:rsid w:val="00CB400E"/>
    <w:rsid w:val="00CB51CC"/>
    <w:rsid w:val="00CB6F28"/>
    <w:rsid w:val="00CC0389"/>
    <w:rsid w:val="00CC1A72"/>
    <w:rsid w:val="00CC3633"/>
    <w:rsid w:val="00CC5692"/>
    <w:rsid w:val="00CC64E8"/>
    <w:rsid w:val="00CC65F3"/>
    <w:rsid w:val="00CD09E8"/>
    <w:rsid w:val="00CD0A18"/>
    <w:rsid w:val="00CD143D"/>
    <w:rsid w:val="00CD56E5"/>
    <w:rsid w:val="00CE0C1B"/>
    <w:rsid w:val="00CE64F2"/>
    <w:rsid w:val="00CF0C67"/>
    <w:rsid w:val="00CF0F40"/>
    <w:rsid w:val="00CF3AED"/>
    <w:rsid w:val="00CF4753"/>
    <w:rsid w:val="00CF63DF"/>
    <w:rsid w:val="00D0083B"/>
    <w:rsid w:val="00D04DF4"/>
    <w:rsid w:val="00D15403"/>
    <w:rsid w:val="00D172D8"/>
    <w:rsid w:val="00D2396F"/>
    <w:rsid w:val="00D26488"/>
    <w:rsid w:val="00D3231A"/>
    <w:rsid w:val="00D35B2D"/>
    <w:rsid w:val="00D37FE5"/>
    <w:rsid w:val="00D44183"/>
    <w:rsid w:val="00D44A55"/>
    <w:rsid w:val="00D47931"/>
    <w:rsid w:val="00D47B74"/>
    <w:rsid w:val="00D47F3F"/>
    <w:rsid w:val="00D5276C"/>
    <w:rsid w:val="00D606E4"/>
    <w:rsid w:val="00D61B79"/>
    <w:rsid w:val="00D62C84"/>
    <w:rsid w:val="00D6384D"/>
    <w:rsid w:val="00D653F3"/>
    <w:rsid w:val="00D65EC2"/>
    <w:rsid w:val="00D66B24"/>
    <w:rsid w:val="00D67307"/>
    <w:rsid w:val="00D73DF8"/>
    <w:rsid w:val="00D751EB"/>
    <w:rsid w:val="00D763FD"/>
    <w:rsid w:val="00D776AF"/>
    <w:rsid w:val="00D80EA7"/>
    <w:rsid w:val="00D85E13"/>
    <w:rsid w:val="00D8600E"/>
    <w:rsid w:val="00D86288"/>
    <w:rsid w:val="00D872BC"/>
    <w:rsid w:val="00D872D9"/>
    <w:rsid w:val="00D900CF"/>
    <w:rsid w:val="00D954AE"/>
    <w:rsid w:val="00D96929"/>
    <w:rsid w:val="00DA1B6F"/>
    <w:rsid w:val="00DA529F"/>
    <w:rsid w:val="00DB2E03"/>
    <w:rsid w:val="00DB5AAE"/>
    <w:rsid w:val="00DB636B"/>
    <w:rsid w:val="00DB6882"/>
    <w:rsid w:val="00DC4B63"/>
    <w:rsid w:val="00DC5017"/>
    <w:rsid w:val="00DC5129"/>
    <w:rsid w:val="00DC5352"/>
    <w:rsid w:val="00DD7F1B"/>
    <w:rsid w:val="00DE1A87"/>
    <w:rsid w:val="00DE4085"/>
    <w:rsid w:val="00DE451F"/>
    <w:rsid w:val="00DF41ED"/>
    <w:rsid w:val="00DF4921"/>
    <w:rsid w:val="00DF5B46"/>
    <w:rsid w:val="00E03D2D"/>
    <w:rsid w:val="00E12A7A"/>
    <w:rsid w:val="00E25B15"/>
    <w:rsid w:val="00E27FD6"/>
    <w:rsid w:val="00E36A0F"/>
    <w:rsid w:val="00E400C7"/>
    <w:rsid w:val="00E40322"/>
    <w:rsid w:val="00E40CB4"/>
    <w:rsid w:val="00E40CB7"/>
    <w:rsid w:val="00E41DB9"/>
    <w:rsid w:val="00E56612"/>
    <w:rsid w:val="00E566A3"/>
    <w:rsid w:val="00E60A4F"/>
    <w:rsid w:val="00E63808"/>
    <w:rsid w:val="00E71CC0"/>
    <w:rsid w:val="00E730CB"/>
    <w:rsid w:val="00E731AE"/>
    <w:rsid w:val="00E74310"/>
    <w:rsid w:val="00E762BB"/>
    <w:rsid w:val="00E865C8"/>
    <w:rsid w:val="00E8661B"/>
    <w:rsid w:val="00E87A8A"/>
    <w:rsid w:val="00E9084E"/>
    <w:rsid w:val="00E94A54"/>
    <w:rsid w:val="00E962E6"/>
    <w:rsid w:val="00E97D7C"/>
    <w:rsid w:val="00EA1793"/>
    <w:rsid w:val="00EA27C1"/>
    <w:rsid w:val="00EA689F"/>
    <w:rsid w:val="00EB1B49"/>
    <w:rsid w:val="00EB2F0C"/>
    <w:rsid w:val="00EC1434"/>
    <w:rsid w:val="00EC3C9F"/>
    <w:rsid w:val="00EC4FC5"/>
    <w:rsid w:val="00EC72B0"/>
    <w:rsid w:val="00EC77B3"/>
    <w:rsid w:val="00EC799B"/>
    <w:rsid w:val="00ED0142"/>
    <w:rsid w:val="00ED05F9"/>
    <w:rsid w:val="00EE04B1"/>
    <w:rsid w:val="00EE18F2"/>
    <w:rsid w:val="00EE277D"/>
    <w:rsid w:val="00EE365D"/>
    <w:rsid w:val="00EE74F3"/>
    <w:rsid w:val="00EF33BE"/>
    <w:rsid w:val="00EF4F97"/>
    <w:rsid w:val="00EF7C11"/>
    <w:rsid w:val="00F03DD4"/>
    <w:rsid w:val="00F05673"/>
    <w:rsid w:val="00F126FC"/>
    <w:rsid w:val="00F12983"/>
    <w:rsid w:val="00F15359"/>
    <w:rsid w:val="00F164C4"/>
    <w:rsid w:val="00F175C4"/>
    <w:rsid w:val="00F17CE2"/>
    <w:rsid w:val="00F23714"/>
    <w:rsid w:val="00F245A2"/>
    <w:rsid w:val="00F309CB"/>
    <w:rsid w:val="00F31ACB"/>
    <w:rsid w:val="00F32B03"/>
    <w:rsid w:val="00F33EED"/>
    <w:rsid w:val="00F33EEE"/>
    <w:rsid w:val="00F34068"/>
    <w:rsid w:val="00F375FB"/>
    <w:rsid w:val="00F37677"/>
    <w:rsid w:val="00F37B05"/>
    <w:rsid w:val="00F44A0E"/>
    <w:rsid w:val="00F44FC2"/>
    <w:rsid w:val="00F4763C"/>
    <w:rsid w:val="00F540BA"/>
    <w:rsid w:val="00F570F0"/>
    <w:rsid w:val="00F60E60"/>
    <w:rsid w:val="00F64069"/>
    <w:rsid w:val="00F64D6D"/>
    <w:rsid w:val="00F654D4"/>
    <w:rsid w:val="00F6574C"/>
    <w:rsid w:val="00F66182"/>
    <w:rsid w:val="00F71399"/>
    <w:rsid w:val="00F82EE1"/>
    <w:rsid w:val="00F842B8"/>
    <w:rsid w:val="00F866C9"/>
    <w:rsid w:val="00F93134"/>
    <w:rsid w:val="00F93EC2"/>
    <w:rsid w:val="00FA2803"/>
    <w:rsid w:val="00FB078F"/>
    <w:rsid w:val="00FB0A35"/>
    <w:rsid w:val="00FB3586"/>
    <w:rsid w:val="00FC3F00"/>
    <w:rsid w:val="00FC750D"/>
    <w:rsid w:val="00FD0EA3"/>
    <w:rsid w:val="00FD1ED0"/>
    <w:rsid w:val="00FD5CBC"/>
    <w:rsid w:val="00FE17CC"/>
    <w:rsid w:val="00FE34E4"/>
    <w:rsid w:val="00FE5D32"/>
    <w:rsid w:val="00FF1D71"/>
    <w:rsid w:val="00FF5141"/>
    <w:rsid w:val="00FF52AE"/>
    <w:rsid w:val="0150F23C"/>
    <w:rsid w:val="0165C0A2"/>
    <w:rsid w:val="02361C8C"/>
    <w:rsid w:val="02BC052D"/>
    <w:rsid w:val="02DEA4E6"/>
    <w:rsid w:val="0310494D"/>
    <w:rsid w:val="049B92DE"/>
    <w:rsid w:val="04B03DF6"/>
    <w:rsid w:val="04C86B4E"/>
    <w:rsid w:val="05074556"/>
    <w:rsid w:val="05F9B8B4"/>
    <w:rsid w:val="05FBA5CF"/>
    <w:rsid w:val="0618EBAA"/>
    <w:rsid w:val="061F8014"/>
    <w:rsid w:val="069CB28C"/>
    <w:rsid w:val="07B28F09"/>
    <w:rsid w:val="08585E03"/>
    <w:rsid w:val="086F3F57"/>
    <w:rsid w:val="08CE570B"/>
    <w:rsid w:val="09E94EFF"/>
    <w:rsid w:val="0A2E8201"/>
    <w:rsid w:val="0AF835D9"/>
    <w:rsid w:val="0B93A992"/>
    <w:rsid w:val="0BFB4FEC"/>
    <w:rsid w:val="0BFC081D"/>
    <w:rsid w:val="0D5E7CF0"/>
    <w:rsid w:val="0D9027FA"/>
    <w:rsid w:val="0DB0F6B3"/>
    <w:rsid w:val="0E299198"/>
    <w:rsid w:val="0F8EEAAC"/>
    <w:rsid w:val="0FC4AA08"/>
    <w:rsid w:val="1045B40B"/>
    <w:rsid w:val="107F1EFF"/>
    <w:rsid w:val="147BF9A3"/>
    <w:rsid w:val="15DF01DE"/>
    <w:rsid w:val="16196C8A"/>
    <w:rsid w:val="165915AB"/>
    <w:rsid w:val="168D589F"/>
    <w:rsid w:val="16B5A27A"/>
    <w:rsid w:val="17749E81"/>
    <w:rsid w:val="17F35275"/>
    <w:rsid w:val="194F6AC6"/>
    <w:rsid w:val="1B4FD258"/>
    <w:rsid w:val="1C3BBE74"/>
    <w:rsid w:val="1C4FE28C"/>
    <w:rsid w:val="1C94BA8A"/>
    <w:rsid w:val="1CD53CE3"/>
    <w:rsid w:val="1D76BE8C"/>
    <w:rsid w:val="1E23B990"/>
    <w:rsid w:val="1EC5DD49"/>
    <w:rsid w:val="1FBF89F1"/>
    <w:rsid w:val="1FE428A6"/>
    <w:rsid w:val="20B720BA"/>
    <w:rsid w:val="20C8080D"/>
    <w:rsid w:val="215B5A52"/>
    <w:rsid w:val="21853056"/>
    <w:rsid w:val="22D8E2EA"/>
    <w:rsid w:val="2373BC2C"/>
    <w:rsid w:val="23ED0EF4"/>
    <w:rsid w:val="242D914D"/>
    <w:rsid w:val="245B0F0F"/>
    <w:rsid w:val="251BEEE8"/>
    <w:rsid w:val="2547A327"/>
    <w:rsid w:val="255DA2D4"/>
    <w:rsid w:val="25C961AE"/>
    <w:rsid w:val="264FB5CD"/>
    <w:rsid w:val="2662F6CC"/>
    <w:rsid w:val="26C41655"/>
    <w:rsid w:val="273B0C95"/>
    <w:rsid w:val="27658342"/>
    <w:rsid w:val="28389230"/>
    <w:rsid w:val="2846B374"/>
    <w:rsid w:val="28667B7D"/>
    <w:rsid w:val="2956206E"/>
    <w:rsid w:val="2B904BD2"/>
    <w:rsid w:val="2CA98351"/>
    <w:rsid w:val="2D24A135"/>
    <w:rsid w:val="2E4553B2"/>
    <w:rsid w:val="2E477A49"/>
    <w:rsid w:val="2ED49E65"/>
    <w:rsid w:val="2EE62440"/>
    <w:rsid w:val="2F0D8784"/>
    <w:rsid w:val="2F15DBC6"/>
    <w:rsid w:val="2F261417"/>
    <w:rsid w:val="2FFF6FB6"/>
    <w:rsid w:val="34580A7C"/>
    <w:rsid w:val="34BB335E"/>
    <w:rsid w:val="34EF1E99"/>
    <w:rsid w:val="35C4DF18"/>
    <w:rsid w:val="36307F9F"/>
    <w:rsid w:val="36CAD848"/>
    <w:rsid w:val="3BBB0EF3"/>
    <w:rsid w:val="3CE0670C"/>
    <w:rsid w:val="3CE94BDB"/>
    <w:rsid w:val="3D176554"/>
    <w:rsid w:val="3D3A19CC"/>
    <w:rsid w:val="3D9A8CB5"/>
    <w:rsid w:val="3F31E01D"/>
    <w:rsid w:val="40CA6F92"/>
    <w:rsid w:val="40CAFFA2"/>
    <w:rsid w:val="4217F350"/>
    <w:rsid w:val="42AC0D0A"/>
    <w:rsid w:val="438F9754"/>
    <w:rsid w:val="44A08B00"/>
    <w:rsid w:val="4548C8DC"/>
    <w:rsid w:val="45BE7BF3"/>
    <w:rsid w:val="477FD93D"/>
    <w:rsid w:val="4922DB51"/>
    <w:rsid w:val="4978BC43"/>
    <w:rsid w:val="4A0BF9F8"/>
    <w:rsid w:val="4A1C39FF"/>
    <w:rsid w:val="4AA25E9F"/>
    <w:rsid w:val="4B54BA52"/>
    <w:rsid w:val="4D0D6D47"/>
    <w:rsid w:val="4E763C68"/>
    <w:rsid w:val="4EE34343"/>
    <w:rsid w:val="50282B75"/>
    <w:rsid w:val="50378267"/>
    <w:rsid w:val="50BF72DF"/>
    <w:rsid w:val="50CA7767"/>
    <w:rsid w:val="516278EE"/>
    <w:rsid w:val="51B28E2E"/>
    <w:rsid w:val="51EF7A1A"/>
    <w:rsid w:val="5238B98C"/>
    <w:rsid w:val="54C9162E"/>
    <w:rsid w:val="5524EC81"/>
    <w:rsid w:val="55ED9F3E"/>
    <w:rsid w:val="564E98E0"/>
    <w:rsid w:val="5653D8D9"/>
    <w:rsid w:val="5671D160"/>
    <w:rsid w:val="582AFF86"/>
    <w:rsid w:val="58ABA058"/>
    <w:rsid w:val="5B3E3E7A"/>
    <w:rsid w:val="5B62A048"/>
    <w:rsid w:val="5B965C60"/>
    <w:rsid w:val="5BB1EA6D"/>
    <w:rsid w:val="5C54D0C1"/>
    <w:rsid w:val="5D1E7BD7"/>
    <w:rsid w:val="5D2C8F2C"/>
    <w:rsid w:val="5E7753AC"/>
    <w:rsid w:val="5F71ABEF"/>
    <w:rsid w:val="5F8CF385"/>
    <w:rsid w:val="6005FBC4"/>
    <w:rsid w:val="60202400"/>
    <w:rsid w:val="60AD9582"/>
    <w:rsid w:val="61E20D26"/>
    <w:rsid w:val="6277F6FC"/>
    <w:rsid w:val="62F960D7"/>
    <w:rsid w:val="63CE9A9F"/>
    <w:rsid w:val="63E53644"/>
    <w:rsid w:val="64164094"/>
    <w:rsid w:val="64975C47"/>
    <w:rsid w:val="64BD4124"/>
    <w:rsid w:val="653D58FE"/>
    <w:rsid w:val="655A3041"/>
    <w:rsid w:val="65B9A2B8"/>
    <w:rsid w:val="66310199"/>
    <w:rsid w:val="66D3FE0B"/>
    <w:rsid w:val="67557319"/>
    <w:rsid w:val="67CEFD09"/>
    <w:rsid w:val="6878A8A6"/>
    <w:rsid w:val="6A84891A"/>
    <w:rsid w:val="6B7C829C"/>
    <w:rsid w:val="6BB04968"/>
    <w:rsid w:val="6D52CCCC"/>
    <w:rsid w:val="6E072668"/>
    <w:rsid w:val="728620A0"/>
    <w:rsid w:val="73470079"/>
    <w:rsid w:val="745ADA20"/>
    <w:rsid w:val="75B8F547"/>
    <w:rsid w:val="761118E9"/>
    <w:rsid w:val="764F4F95"/>
    <w:rsid w:val="77189FEF"/>
    <w:rsid w:val="774D29E4"/>
    <w:rsid w:val="78661771"/>
    <w:rsid w:val="78D4FB9D"/>
    <w:rsid w:val="7A448487"/>
    <w:rsid w:val="7B52B354"/>
    <w:rsid w:val="7CA82F0D"/>
    <w:rsid w:val="7CDFB9BB"/>
    <w:rsid w:val="7D1BF9BE"/>
    <w:rsid w:val="7DFD538E"/>
    <w:rsid w:val="7E42E056"/>
    <w:rsid w:val="7E461DF2"/>
    <w:rsid w:val="7F2EFC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A16F87E4-1ABC-48E6-85C7-2EC9346B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17B"/>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D6667"/>
    <w:rPr>
      <w:color w:val="2B579A"/>
      <w:shd w:val="clear" w:color="auto" w:fill="E1DFDD"/>
    </w:rPr>
  </w:style>
  <w:style w:type="table" w:customStyle="1" w:styleId="TableGrid1">
    <w:name w:val="Table Grid1"/>
    <w:basedOn w:val="TableNormal"/>
    <w:next w:val="TableGrid"/>
    <w:uiPriority w:val="39"/>
    <w:rsid w:val="00A2075F"/>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C64E8"/>
    <w:pPr>
      <w:spacing w:after="120"/>
    </w:pPr>
  </w:style>
  <w:style w:type="character" w:customStyle="1" w:styleId="BodyTextChar">
    <w:name w:val="Body Text Char"/>
    <w:basedOn w:val="DefaultParagraphFont"/>
    <w:link w:val="BodyText"/>
    <w:uiPriority w:val="99"/>
    <w:semiHidden/>
    <w:rsid w:val="00CC64E8"/>
    <w:rPr>
      <w:rFonts w:ascii="Times New Roman" w:eastAsia="Times New Roman" w:hAnsi="Times New Roman" w:cs="Times New Roman"/>
      <w:sz w:val="26"/>
      <w:szCs w:val="24"/>
    </w:rPr>
  </w:style>
  <w:style w:type="table" w:customStyle="1" w:styleId="TableGrid2">
    <w:name w:val="Table Grid2"/>
    <w:basedOn w:val="TableNormal"/>
    <w:next w:val="TableGrid"/>
    <w:uiPriority w:val="39"/>
    <w:rsid w:val="00CB400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13B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icrPublicCommentRequest?ref_nbr=202507-1902-003" TargetMode="External" /><Relationship Id="rId11" Type="http://schemas.openxmlformats.org/officeDocument/2006/relationships/hyperlink" Target="https://www.reginfo.gov/public/do/PRAMain" TargetMode="External" /><Relationship Id="rId12" Type="http://schemas.openxmlformats.org/officeDocument/2006/relationships/hyperlink" Target="mailto:DataClearance@FERC.gov" TargetMode="External" /><Relationship Id="rId13" Type="http://schemas.openxmlformats.org/officeDocument/2006/relationships/hyperlink" Target="https://elibrary.ferc.gov/eLibrary/search"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189CE-936E-4DF8-891B-F7271E930CFD}">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www.w3.org/XML/1998/namespace"/>
  </ds:schemaRefs>
</ds:datastoreItem>
</file>

<file path=customXml/itemProps4.xml><?xml version="1.0" encoding="utf-8"?>
<ds:datastoreItem xmlns:ds="http://schemas.openxmlformats.org/officeDocument/2006/customXml" ds:itemID="{51B8B937-91EC-4E0F-9F38-4BD864C9D76E}">
  <ds:schemaRefs>
    <ds:schemaRef ds:uri="http://schemas.openxmlformats.org/officeDocument/2006/bibliography"/>
  </ds:schemaRefs>
</ds:datastoreItem>
</file>

<file path=customXml/itemProps5.xml><?xml version="1.0" encoding="utf-8"?>
<ds:datastoreItem xmlns:ds="http://schemas.openxmlformats.org/officeDocument/2006/customXml" ds:itemID="{609C49C1-0AB0-42B1-9860-68D3D4361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2016-12-21T04:40:00Z</cp:lastPrinted>
  <dcterms:created xsi:type="dcterms:W3CDTF">2025-07-29T19:32:00Z</dcterms:created>
  <dcterms:modified xsi:type="dcterms:W3CDTF">2025-07-29T19:32:00Z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d6f85463-5dde-428d-b9e1-1d9caf493e1c</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2025-07-29T19:31:56Z</vt:lpwstr>
  </property>
  <property fmtid="{D5CDD505-2E9C-101B-9397-08002B2CF9AE}" pid="8" name="MSIP_Label_bd24d06a-0e85-4d57-b1e0-ba34b1abc708_SiteId">
    <vt:lpwstr>19caa9e9-04ff-43fa-885f-d77fac387903</vt:lpwstr>
  </property>
</Properties>
</file>