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63" w:rsidRPr="00466165" w:rsidP="00F94A61" w14:paraId="60ACE081" w14:textId="3FF9A896">
      <w:pPr>
        <w:rPr>
          <w:rFonts w:ascii="Times New Roman" w:hAnsi="Times New Roman" w:cs="Times New Roman"/>
          <w:sz w:val="26"/>
          <w:szCs w:val="26"/>
        </w:rPr>
      </w:pPr>
      <w:r w:rsidRPr="00466165">
        <w:rPr>
          <w:rFonts w:ascii="Times New Roman" w:hAnsi="Times New Roman" w:cs="Times New Roman"/>
          <w:sz w:val="26"/>
          <w:szCs w:val="26"/>
        </w:rPr>
        <w:t>Supporting Statement for</w:t>
      </w:r>
      <w:r w:rsidR="00466165">
        <w:rPr>
          <w:rFonts w:ascii="Times New Roman" w:hAnsi="Times New Roman" w:cs="Times New Roman"/>
          <w:sz w:val="26"/>
          <w:szCs w:val="26"/>
        </w:rPr>
        <w:t>:</w:t>
      </w:r>
    </w:p>
    <w:p w:rsidR="00D350A8" w:rsidRPr="00595846" w:rsidP="009E4495" w14:paraId="67A86B77" w14:textId="5E720292">
      <w:pPr>
        <w:spacing w:after="0" w:line="240" w:lineRule="auto"/>
        <w:ind w:right="-180"/>
        <w:jc w:val="center"/>
        <w:rPr>
          <w:rFonts w:ascii="Times New Roman" w:hAnsi="Times New Roman" w:cs="Times New Roman"/>
          <w:b/>
          <w:sz w:val="26"/>
          <w:szCs w:val="24"/>
        </w:rPr>
      </w:pPr>
      <w:r w:rsidRPr="00595846">
        <w:rPr>
          <w:rFonts w:ascii="Times New Roman" w:hAnsi="Times New Roman" w:cs="Times New Roman"/>
          <w:b/>
          <w:sz w:val="26"/>
          <w:szCs w:val="24"/>
        </w:rPr>
        <w:t>FERC-725B</w:t>
      </w:r>
      <w:r w:rsidRPr="00595846" w:rsidR="00686C70">
        <w:rPr>
          <w:rFonts w:ascii="Times New Roman" w:hAnsi="Times New Roman" w:cs="Times New Roman"/>
          <w:b/>
          <w:sz w:val="26"/>
          <w:szCs w:val="24"/>
        </w:rPr>
        <w:t>, Revisions in R</w:t>
      </w:r>
      <w:r w:rsidR="006278A2">
        <w:rPr>
          <w:rFonts w:ascii="Times New Roman" w:hAnsi="Times New Roman" w:cs="Times New Roman"/>
          <w:b/>
          <w:sz w:val="26"/>
          <w:szCs w:val="24"/>
        </w:rPr>
        <w:t>M</w:t>
      </w:r>
      <w:r w:rsidR="00AA7635">
        <w:rPr>
          <w:rFonts w:ascii="Times New Roman" w:hAnsi="Times New Roman" w:cs="Times New Roman"/>
          <w:b/>
          <w:sz w:val="26"/>
          <w:szCs w:val="24"/>
        </w:rPr>
        <w:t>24-</w:t>
      </w:r>
      <w:r w:rsidR="00147873">
        <w:rPr>
          <w:rFonts w:ascii="Times New Roman" w:hAnsi="Times New Roman" w:cs="Times New Roman"/>
          <w:b/>
          <w:sz w:val="26"/>
          <w:szCs w:val="24"/>
        </w:rPr>
        <w:t>7</w:t>
      </w:r>
      <w:r w:rsidRPr="00595846" w:rsidR="00686C70">
        <w:rPr>
          <w:rFonts w:ascii="Times New Roman" w:hAnsi="Times New Roman" w:cs="Times New Roman"/>
          <w:b/>
          <w:sz w:val="26"/>
          <w:szCs w:val="24"/>
        </w:rPr>
        <w:t xml:space="preserve">, </w:t>
      </w:r>
      <w:r w:rsidRPr="006C6EE5" w:rsidR="006C6EE5">
        <w:rPr>
          <w:rFonts w:ascii="Times New Roman" w:hAnsi="Times New Roman" w:cs="Times New Roman"/>
          <w:b/>
          <w:sz w:val="26"/>
          <w:szCs w:val="24"/>
        </w:rPr>
        <w:t>Critical Infrastructure Protection Reliability Standard CIP-015-1-Cyber Security-Internal Network Security Monitoring</w:t>
      </w:r>
    </w:p>
    <w:p w:rsidR="00D7421A" w:rsidP="002A4142" w14:paraId="64B7B174" w14:textId="77777777">
      <w:pPr>
        <w:spacing w:after="0" w:line="240" w:lineRule="auto"/>
        <w:rPr>
          <w:rFonts w:ascii="Times New Roman" w:hAnsi="Times New Roman" w:cs="Times New Roman"/>
          <w:sz w:val="26"/>
          <w:szCs w:val="24"/>
        </w:rPr>
      </w:pPr>
    </w:p>
    <w:p w:rsidR="00C4205B" w:rsidRPr="00595846" w:rsidP="002A4142" w14:paraId="12B1F6FB" w14:textId="5707B91A">
      <w:pPr>
        <w:spacing w:after="0" w:line="240" w:lineRule="auto"/>
        <w:rPr>
          <w:rFonts w:ascii="Times New Roman" w:hAnsi="Times New Roman" w:cs="Times New Roman"/>
          <w:sz w:val="26"/>
          <w:szCs w:val="24"/>
        </w:rPr>
      </w:pPr>
      <w:r w:rsidRPr="00D7421A">
        <w:rPr>
          <w:rFonts w:ascii="Times New Roman" w:hAnsi="Times New Roman" w:cs="Times New Roman"/>
          <w:sz w:val="26"/>
          <w:szCs w:val="24"/>
        </w:rPr>
        <w:t>The Federal Energy Regulatory Commission (Commission or FERC) requests that the Office of Management and Budget (OMB) review the revised collection of information designated as FERC-725B (Mandatory Reliability Standards:  Critical Infrastructure Protection Reliability Standards)</w:t>
      </w:r>
      <w:r>
        <w:rPr>
          <w:rFonts w:ascii="Times New Roman" w:hAnsi="Times New Roman" w:cs="Times New Roman"/>
          <w:sz w:val="26"/>
          <w:szCs w:val="24"/>
        </w:rPr>
        <w:t xml:space="preserve"> in </w:t>
      </w:r>
      <w:r w:rsidRPr="00595846" w:rsidR="007502F1">
        <w:rPr>
          <w:rFonts w:ascii="Times New Roman" w:hAnsi="Times New Roman" w:cs="Times New Roman"/>
          <w:sz w:val="26"/>
          <w:szCs w:val="24"/>
        </w:rPr>
        <w:t>R</w:t>
      </w:r>
      <w:r w:rsidR="003B514D">
        <w:rPr>
          <w:rFonts w:ascii="Times New Roman" w:hAnsi="Times New Roman" w:cs="Times New Roman"/>
          <w:sz w:val="26"/>
          <w:szCs w:val="24"/>
        </w:rPr>
        <w:t>M</w:t>
      </w:r>
      <w:r w:rsidR="00401261">
        <w:rPr>
          <w:rFonts w:ascii="Times New Roman" w:hAnsi="Times New Roman" w:cs="Times New Roman"/>
          <w:sz w:val="26"/>
          <w:szCs w:val="24"/>
        </w:rPr>
        <w:t>24-</w:t>
      </w:r>
      <w:r w:rsidR="003B514D">
        <w:rPr>
          <w:rFonts w:ascii="Times New Roman" w:hAnsi="Times New Roman" w:cs="Times New Roman"/>
          <w:sz w:val="26"/>
          <w:szCs w:val="24"/>
        </w:rPr>
        <w:t>7</w:t>
      </w:r>
      <w:r w:rsidR="00401261">
        <w:rPr>
          <w:rFonts w:ascii="Times New Roman" w:hAnsi="Times New Roman" w:cs="Times New Roman"/>
          <w:sz w:val="26"/>
          <w:szCs w:val="24"/>
        </w:rPr>
        <w:t>-000</w:t>
      </w:r>
      <w:r w:rsidRPr="00595846" w:rsidR="00774B70">
        <w:rPr>
          <w:rFonts w:ascii="Times New Roman" w:hAnsi="Times New Roman" w:cs="Times New Roman"/>
          <w:sz w:val="26"/>
          <w:szCs w:val="24"/>
        </w:rPr>
        <w:t>.</w:t>
      </w:r>
      <w:r w:rsidRPr="00595846" w:rsidR="0038265B">
        <w:rPr>
          <w:rFonts w:ascii="Times New Roman" w:hAnsi="Times New Roman" w:cs="Times New Roman"/>
          <w:sz w:val="26"/>
          <w:szCs w:val="24"/>
        </w:rPr>
        <w:t xml:space="preserve"> </w:t>
      </w:r>
    </w:p>
    <w:p w:rsidR="002A4142" w:rsidRPr="00595846" w:rsidP="002A4142" w14:paraId="505CBA46" w14:textId="77777777">
      <w:pPr>
        <w:spacing w:after="0" w:line="240" w:lineRule="auto"/>
        <w:rPr>
          <w:rFonts w:ascii="Times New Roman" w:hAnsi="Times New Roman" w:cs="Times New Roman"/>
          <w:b/>
          <w:sz w:val="26"/>
          <w:szCs w:val="24"/>
        </w:rPr>
      </w:pPr>
    </w:p>
    <w:p w:rsidR="00C4205B" w:rsidP="007C39D3" w14:paraId="1062E706" w14:textId="0B7F1CAA">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CIRCUMSTANCES THAT MAKE THE COLLECTION OF INFORMATION NECESSARY</w:t>
      </w:r>
    </w:p>
    <w:p w:rsidR="001566F0" w:rsidP="0098263D" w14:paraId="04F2B306" w14:textId="77777777">
      <w:pPr>
        <w:widowControl w:val="0"/>
        <w:autoSpaceDE w:val="0"/>
        <w:autoSpaceDN w:val="0"/>
        <w:adjustRightInd w:val="0"/>
        <w:spacing w:after="0" w:line="240" w:lineRule="auto"/>
        <w:rPr>
          <w:rFonts w:ascii="Times New Roman" w:hAnsi="Times New Roman" w:cs="Times New Roman"/>
          <w:b/>
          <w:bCs/>
          <w:sz w:val="26"/>
          <w:szCs w:val="24"/>
        </w:rPr>
      </w:pPr>
    </w:p>
    <w:p w:rsidR="00EA08B2" w:rsidRPr="00EA08B2" w:rsidP="75D7739E" w14:paraId="66B09BFC" w14:textId="596A6068">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On August 8, 2005, The Electricity Modernization Act of 2005, which is Title XII of the Energy Policy Act of 2005 (EPAct 2005), was enacted into law.  EPAct 2005 added a new </w:t>
      </w:r>
      <w:r w:rsidRPr="75D7739E" w:rsidR="00852704">
        <w:rPr>
          <w:rFonts w:ascii="Times New Roman" w:eastAsia="Calibri" w:hAnsi="Times New Roman" w:cs="Times New Roman"/>
          <w:sz w:val="26"/>
          <w:szCs w:val="26"/>
        </w:rPr>
        <w:t>s</w:t>
      </w:r>
      <w:r w:rsidRPr="75D7739E">
        <w:rPr>
          <w:rFonts w:ascii="Times New Roman" w:eastAsia="Calibri" w:hAnsi="Times New Roman" w:cs="Times New Roman"/>
          <w:sz w:val="26"/>
          <w:szCs w:val="26"/>
        </w:rPr>
        <w:t>ection 215 to the Federal Power Act (FPA)</w:t>
      </w:r>
      <w:r w:rsidRPr="75D7739E" w:rsidR="00852704">
        <w:rPr>
          <w:rFonts w:ascii="Times New Roman" w:eastAsia="Calibri" w:hAnsi="Times New Roman" w:cs="Times New Roman"/>
          <w:sz w:val="26"/>
          <w:szCs w:val="26"/>
        </w:rPr>
        <w:t>,</w:t>
      </w:r>
      <w:r>
        <w:rPr>
          <w:rFonts w:ascii="Times New Roman" w:eastAsia="Calibri" w:hAnsi="Times New Roman" w:cs="Times New Roman"/>
          <w:sz w:val="26"/>
          <w:vertAlign w:val="superscript"/>
        </w:rPr>
        <w:footnoteReference w:id="3"/>
      </w:r>
      <w:r w:rsidRPr="75D7739E">
        <w:rPr>
          <w:rFonts w:ascii="Times New Roman" w:eastAsia="Calibri" w:hAnsi="Times New Roman" w:cs="Times New Roman"/>
          <w:sz w:val="26"/>
          <w:szCs w:val="26"/>
        </w:rPr>
        <w:t xml:space="preserve"> which </w:t>
      </w:r>
      <w:r w:rsidRPr="75D7739E" w:rsidR="00C71944">
        <w:rPr>
          <w:rFonts w:ascii="Times New Roman" w:eastAsia="Calibri" w:hAnsi="Times New Roman" w:cs="Times New Roman"/>
          <w:sz w:val="26"/>
          <w:szCs w:val="26"/>
        </w:rPr>
        <w:t>provides that the Commission may certify an Electric Reliability Organization (ERO), the purpose of which is to establish and enforce Reliability Standards, which are subject to Commission review and approval.</w:t>
      </w:r>
      <w:r w:rsidRPr="75D7739E">
        <w:rPr>
          <w:rFonts w:ascii="Times New Roman" w:eastAsia="Calibri" w:hAnsi="Times New Roman" w:cs="Times New Roman"/>
          <w:sz w:val="26"/>
          <w:szCs w:val="26"/>
        </w:rPr>
        <w:t xml:space="preserve">  Once approved, the Reliability Standards may be enforced by the ERO, subject to Commission oversight</w:t>
      </w:r>
      <w:r w:rsidRPr="75D7739E" w:rsidR="00C71944">
        <w:rPr>
          <w:rFonts w:ascii="Times New Roman" w:eastAsia="Calibri" w:hAnsi="Times New Roman" w:cs="Times New Roman"/>
          <w:sz w:val="26"/>
          <w:szCs w:val="26"/>
        </w:rPr>
        <w:t>, or by the Commission independently</w:t>
      </w:r>
      <w:r w:rsidRPr="75D7739E">
        <w:rPr>
          <w:rFonts w:ascii="Times New Roman" w:eastAsia="Calibri" w:hAnsi="Times New Roman" w:cs="Times New Roman"/>
          <w:sz w:val="26"/>
          <w:szCs w:val="26"/>
        </w:rPr>
        <w:t>.</w:t>
      </w:r>
      <w:r>
        <w:rPr>
          <w:rStyle w:val="FootnoteReference"/>
          <w:rFonts w:ascii="Times New Roman" w:eastAsia="Calibri" w:hAnsi="Times New Roman" w:cs="Times New Roman"/>
          <w:sz w:val="26"/>
          <w:vertAlign w:val="superscript"/>
        </w:rPr>
        <w:footnoteReference w:id="4"/>
      </w:r>
      <w:r w:rsidRPr="75D7739E">
        <w:rPr>
          <w:rFonts w:ascii="Times New Roman" w:eastAsia="Calibri" w:hAnsi="Times New Roman" w:cs="Times New Roman"/>
          <w:sz w:val="26"/>
          <w:szCs w:val="26"/>
        </w:rPr>
        <w:t xml:space="preserve">  In 2006, the Commission certified the North American Electric Reliability Corporation (NERC) as the ERO pursuant to FPA section 215.</w:t>
      </w:r>
      <w:r>
        <w:rPr>
          <w:rFonts w:ascii="Times New Roman" w:eastAsia="Calibri" w:hAnsi="Times New Roman" w:cs="Times New Roman"/>
          <w:sz w:val="26"/>
          <w:vertAlign w:val="superscript"/>
        </w:rPr>
        <w:footnoteReference w:id="5"/>
      </w:r>
    </w:p>
    <w:p w:rsidR="0098263D" w:rsidP="0098263D" w14:paraId="50A81DF5" w14:textId="77777777">
      <w:pPr>
        <w:tabs>
          <w:tab w:val="num" w:pos="720"/>
        </w:tabs>
        <w:spacing w:after="0" w:line="240" w:lineRule="auto"/>
        <w:rPr>
          <w:rFonts w:ascii="Times New Roman" w:eastAsia="Calibri" w:hAnsi="Times New Roman" w:cs="Times New Roman"/>
          <w:sz w:val="26"/>
        </w:rPr>
      </w:pPr>
    </w:p>
    <w:p w:rsidR="003F6126" w:rsidP="0098263D" w14:paraId="18088DB5" w14:textId="142FAAF1">
      <w:pPr>
        <w:tabs>
          <w:tab w:val="num" w:pos="720"/>
        </w:tabs>
        <w:spacing w:after="0" w:line="240" w:lineRule="auto"/>
        <w:rPr>
          <w:rFonts w:ascii="Times New Roman" w:eastAsia="Calibri" w:hAnsi="Times New Roman" w:cs="Times New Roman"/>
          <w:b/>
          <w:bCs/>
          <w:sz w:val="26"/>
        </w:rPr>
      </w:pPr>
      <w:r>
        <w:rPr>
          <w:rFonts w:ascii="Times New Roman" w:eastAsia="Calibri" w:hAnsi="Times New Roman" w:cs="Times New Roman"/>
          <w:b/>
          <w:bCs/>
          <w:sz w:val="26"/>
        </w:rPr>
        <w:t>Reliability Standard CIP</w:t>
      </w:r>
      <w:r w:rsidR="00705889">
        <w:rPr>
          <w:rFonts w:ascii="Times New Roman" w:eastAsia="Calibri" w:hAnsi="Times New Roman" w:cs="Times New Roman"/>
          <w:b/>
          <w:bCs/>
          <w:sz w:val="26"/>
        </w:rPr>
        <w:t>-015-1</w:t>
      </w:r>
      <w:r w:rsidR="00986421">
        <w:rPr>
          <w:rFonts w:ascii="Times New Roman" w:eastAsia="Calibri" w:hAnsi="Times New Roman" w:cs="Times New Roman"/>
          <w:b/>
          <w:bCs/>
          <w:sz w:val="26"/>
        </w:rPr>
        <w:t xml:space="preserve"> (active</w:t>
      </w:r>
      <w:r w:rsidR="00E92D02">
        <w:rPr>
          <w:rFonts w:ascii="Times New Roman" w:eastAsia="Calibri" w:hAnsi="Times New Roman" w:cs="Times New Roman"/>
          <w:b/>
          <w:bCs/>
          <w:sz w:val="26"/>
        </w:rPr>
        <w:t>)</w:t>
      </w:r>
    </w:p>
    <w:p w:rsidR="00BE757E" w:rsidP="10D0B2FA" w14:paraId="2982C0B2" w14:textId="6548D41D">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Proposed Reliability Standard CIP-015</w:t>
      </w:r>
      <w:r w:rsidR="006812AD">
        <w:rPr>
          <w:rFonts w:ascii="Times New Roman" w:eastAsia="Calibri" w:hAnsi="Times New Roman" w:cs="Times New Roman"/>
          <w:sz w:val="26"/>
          <w:szCs w:val="26"/>
        </w:rPr>
        <w:t>-</w:t>
      </w:r>
      <w:r w:rsidRPr="75D7739E">
        <w:rPr>
          <w:rFonts w:ascii="Times New Roman" w:eastAsia="Calibri" w:hAnsi="Times New Roman" w:cs="Times New Roman"/>
          <w:sz w:val="26"/>
          <w:szCs w:val="26"/>
        </w:rPr>
        <w:t>1 is a</w:t>
      </w:r>
      <w:r w:rsidRPr="75D7739E" w:rsidR="5F899EF5">
        <w:rPr>
          <w:rFonts w:ascii="Times New Roman" w:eastAsia="Calibri" w:hAnsi="Times New Roman" w:cs="Times New Roman"/>
          <w:sz w:val="26"/>
          <w:szCs w:val="26"/>
        </w:rPr>
        <w:t xml:space="preserve"> </w:t>
      </w:r>
      <w:r w:rsidRPr="75D7739E" w:rsidR="1631235A">
        <w:rPr>
          <w:rFonts w:ascii="Times New Roman" w:eastAsia="Calibri" w:hAnsi="Times New Roman" w:cs="Times New Roman"/>
          <w:sz w:val="26"/>
          <w:szCs w:val="26"/>
        </w:rPr>
        <w:t xml:space="preserve">new </w:t>
      </w:r>
      <w:r w:rsidRPr="75D7739E" w:rsidR="5F899EF5">
        <w:rPr>
          <w:rFonts w:ascii="Times New Roman" w:eastAsia="Calibri" w:hAnsi="Times New Roman" w:cs="Times New Roman"/>
          <w:sz w:val="26"/>
          <w:szCs w:val="26"/>
        </w:rPr>
        <w:t>cybersecurity</w:t>
      </w:r>
      <w:r w:rsidRPr="75D7739E">
        <w:rPr>
          <w:rFonts w:ascii="Times New Roman" w:eastAsia="Calibri" w:hAnsi="Times New Roman" w:cs="Times New Roman"/>
          <w:sz w:val="26"/>
          <w:szCs w:val="26"/>
        </w:rPr>
        <w:t>-related Reliability</w:t>
      </w:r>
      <w:r w:rsidRPr="75D7739E" w:rsidR="5F899EF5">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S</w:t>
      </w:r>
      <w:r w:rsidRPr="75D7739E" w:rsidR="5F899EF5">
        <w:rPr>
          <w:rFonts w:ascii="Times New Roman" w:eastAsia="Calibri" w:hAnsi="Times New Roman" w:cs="Times New Roman"/>
          <w:sz w:val="26"/>
          <w:szCs w:val="26"/>
        </w:rPr>
        <w:t xml:space="preserve">tandard </w:t>
      </w:r>
      <w:r w:rsidRPr="75D7739E" w:rsidR="32B79253">
        <w:rPr>
          <w:rFonts w:ascii="Times New Roman" w:eastAsia="Calibri" w:hAnsi="Times New Roman" w:cs="Times New Roman"/>
          <w:sz w:val="26"/>
          <w:szCs w:val="26"/>
        </w:rPr>
        <w:t>requir</w:t>
      </w:r>
      <w:r w:rsidRPr="75D7739E">
        <w:rPr>
          <w:rFonts w:ascii="Times New Roman" w:eastAsia="Calibri" w:hAnsi="Times New Roman" w:cs="Times New Roman"/>
          <w:sz w:val="26"/>
          <w:szCs w:val="26"/>
        </w:rPr>
        <w:t>ing</w:t>
      </w:r>
      <w:r w:rsidRPr="75D7739E" w:rsidR="32B79253">
        <w:rPr>
          <w:rFonts w:ascii="Times New Roman" w:eastAsia="Calibri" w:hAnsi="Times New Roman" w:cs="Times New Roman"/>
          <w:sz w:val="26"/>
          <w:szCs w:val="26"/>
        </w:rPr>
        <w:t xml:space="preserve"> </w:t>
      </w:r>
      <w:r w:rsidRPr="75D7739E" w:rsidR="528139D7">
        <w:rPr>
          <w:rFonts w:ascii="Times New Roman" w:eastAsia="Calibri" w:hAnsi="Times New Roman" w:cs="Times New Roman"/>
          <w:sz w:val="26"/>
          <w:szCs w:val="26"/>
        </w:rPr>
        <w:t>Internal Network Security Monitoring (INSM)</w:t>
      </w:r>
      <w:r>
        <w:rPr>
          <w:rStyle w:val="FootnoteReference"/>
          <w:rFonts w:ascii="Times New Roman" w:eastAsia="Calibri" w:hAnsi="Times New Roman" w:cs="Times New Roman"/>
          <w:sz w:val="26"/>
          <w:vertAlign w:val="superscript"/>
        </w:rPr>
        <w:footnoteReference w:id="6"/>
      </w:r>
      <w:r w:rsidRPr="0076060C" w:rsidR="528139D7">
        <w:rPr>
          <w:rFonts w:ascii="Times New Roman" w:eastAsia="Calibri" w:hAnsi="Times New Roman" w:cs="Times New Roman"/>
          <w:sz w:val="26"/>
          <w:szCs w:val="26"/>
        </w:rPr>
        <w:t xml:space="preserve"> </w:t>
      </w:r>
      <w:r w:rsidRPr="75D7739E" w:rsidR="4E6A5D55">
        <w:rPr>
          <w:rFonts w:ascii="Times New Roman" w:eastAsia="Calibri" w:hAnsi="Times New Roman" w:cs="Times New Roman"/>
          <w:sz w:val="26"/>
          <w:szCs w:val="26"/>
        </w:rPr>
        <w:t xml:space="preserve">for Critical Infrastructure Protection (CIP) networked environments for all high impact bulk electric </w:t>
      </w:r>
      <w:r w:rsidRPr="75D7739E" w:rsidR="4E6A5D55">
        <w:rPr>
          <w:rFonts w:ascii="Times New Roman" w:eastAsia="Calibri" w:hAnsi="Times New Roman" w:cs="Times New Roman"/>
          <w:sz w:val="26"/>
          <w:szCs w:val="26"/>
        </w:rPr>
        <w:t>system (BES)</w:t>
      </w:r>
      <w:r>
        <w:rPr>
          <w:rStyle w:val="FootnoteReference"/>
          <w:rFonts w:ascii="Times New Roman" w:eastAsia="Calibri" w:hAnsi="Times New Roman" w:cs="Times New Roman"/>
          <w:sz w:val="26"/>
          <w:vertAlign w:val="superscript"/>
        </w:rPr>
        <w:footnoteReference w:id="7"/>
      </w:r>
      <w:r w:rsidRPr="75D7739E" w:rsidR="4E6A5D55">
        <w:rPr>
          <w:rFonts w:ascii="Times New Roman" w:eastAsia="Calibri" w:hAnsi="Times New Roman" w:cs="Times New Roman"/>
          <w:sz w:val="26"/>
          <w:szCs w:val="26"/>
        </w:rPr>
        <w:t xml:space="preserve"> Cyber Systems</w:t>
      </w:r>
      <w:r>
        <w:rPr>
          <w:rStyle w:val="FootnoteReference"/>
          <w:rFonts w:ascii="Times New Roman" w:eastAsia="Calibri" w:hAnsi="Times New Roman" w:cs="Times New Roman"/>
          <w:sz w:val="26"/>
          <w:vertAlign w:val="superscript"/>
        </w:rPr>
        <w:footnoteReference w:id="8"/>
      </w:r>
      <w:r w:rsidRPr="00D60FEE" w:rsidR="4E6A5D55">
        <w:rPr>
          <w:rFonts w:ascii="Times New Roman" w:eastAsia="Calibri" w:hAnsi="Times New Roman" w:cs="Times New Roman"/>
          <w:b/>
          <w:bCs/>
          <w:sz w:val="26"/>
          <w:szCs w:val="26"/>
        </w:rPr>
        <w:t xml:space="preserve"> </w:t>
      </w:r>
      <w:r w:rsidRPr="75D7739E" w:rsidR="4E6A5D55">
        <w:rPr>
          <w:rFonts w:ascii="Times New Roman" w:eastAsia="Calibri" w:hAnsi="Times New Roman" w:cs="Times New Roman"/>
          <w:sz w:val="26"/>
          <w:szCs w:val="26"/>
        </w:rPr>
        <w:t xml:space="preserve">with and without external routable connectivity and medium impact BES </w:t>
      </w:r>
      <w:r w:rsidRPr="75D7739E" w:rsidR="57C9EBF0">
        <w:rPr>
          <w:rFonts w:ascii="Times New Roman" w:eastAsia="Calibri" w:hAnsi="Times New Roman" w:cs="Times New Roman"/>
          <w:sz w:val="26"/>
          <w:szCs w:val="26"/>
        </w:rPr>
        <w:t>Cyber Systems with external routable connectivity.</w:t>
      </w:r>
      <w:r w:rsidRPr="75D7739E" w:rsidR="6E5ABDAB">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 xml:space="preserve"> </w:t>
      </w:r>
      <w:r w:rsidRPr="75D7739E" w:rsidR="6E5ABDAB">
        <w:rPr>
          <w:rFonts w:ascii="Times New Roman" w:eastAsia="Calibri" w:hAnsi="Times New Roman" w:cs="Times New Roman"/>
          <w:sz w:val="26"/>
          <w:szCs w:val="26"/>
        </w:rPr>
        <w:t xml:space="preserve">Proposed Reliability </w:t>
      </w:r>
      <w:r w:rsidRPr="75D7739E">
        <w:rPr>
          <w:rFonts w:ascii="Times New Roman" w:eastAsia="Calibri" w:hAnsi="Times New Roman" w:cs="Times New Roman"/>
          <w:sz w:val="26"/>
          <w:szCs w:val="26"/>
        </w:rPr>
        <w:t xml:space="preserve">Standard </w:t>
      </w:r>
      <w:r w:rsidRPr="75D7739E" w:rsidR="6E5ABDAB">
        <w:rPr>
          <w:rFonts w:ascii="Times New Roman" w:eastAsia="Calibri" w:hAnsi="Times New Roman" w:cs="Times New Roman"/>
          <w:sz w:val="26"/>
          <w:szCs w:val="26"/>
        </w:rPr>
        <w:t xml:space="preserve">CIP-015-1 will not </w:t>
      </w:r>
      <w:r w:rsidRPr="75D7739E" w:rsidR="6C477364">
        <w:rPr>
          <w:rFonts w:ascii="Times New Roman" w:eastAsia="Calibri" w:hAnsi="Times New Roman" w:cs="Times New Roman"/>
          <w:sz w:val="26"/>
          <w:szCs w:val="26"/>
        </w:rPr>
        <w:t xml:space="preserve">apply to medium impact BES Cyber Systems without external routable connectivity. </w:t>
      </w:r>
    </w:p>
    <w:p w:rsidR="005467DA" w:rsidRPr="00D60FEE" w:rsidP="0098263D" w14:paraId="4B6C1C5F" w14:textId="77777777">
      <w:pPr>
        <w:tabs>
          <w:tab w:val="num" w:pos="720"/>
        </w:tabs>
        <w:spacing w:after="0" w:line="240" w:lineRule="auto"/>
        <w:rPr>
          <w:rFonts w:ascii="Times New Roman" w:eastAsia="Calibri" w:hAnsi="Times New Roman" w:cs="Times New Roman"/>
          <w:b/>
          <w:bCs/>
          <w:sz w:val="26"/>
        </w:rPr>
      </w:pPr>
    </w:p>
    <w:p w:rsidR="003F6126" w:rsidP="0098263D" w14:paraId="25850E00" w14:textId="347AAEAA">
      <w:pPr>
        <w:tabs>
          <w:tab w:val="num" w:pos="720"/>
        </w:tabs>
        <w:spacing w:after="0" w:line="240" w:lineRule="auto"/>
        <w:rPr>
          <w:rFonts w:ascii="Times New Roman" w:eastAsia="Calibri" w:hAnsi="Times New Roman" w:cs="Times New Roman"/>
          <w:b/>
          <w:bCs/>
          <w:sz w:val="26"/>
        </w:rPr>
      </w:pPr>
      <w:r>
        <w:rPr>
          <w:rFonts w:ascii="Times New Roman" w:eastAsia="Calibri" w:hAnsi="Times New Roman" w:cs="Times New Roman"/>
          <w:b/>
          <w:bCs/>
          <w:sz w:val="26"/>
        </w:rPr>
        <w:t>NERC Petition June 24, 2024</w:t>
      </w:r>
    </w:p>
    <w:p w:rsidR="00986421" w:rsidRPr="00986421" w:rsidP="10D0B2FA" w14:paraId="2080B3E5" w14:textId="35FE38B3">
      <w:pPr>
        <w:tabs>
          <w:tab w:val="num" w:pos="720"/>
        </w:tabs>
        <w:spacing w:after="0" w:line="240" w:lineRule="auto"/>
        <w:rPr>
          <w:rFonts w:ascii="Times New Roman" w:eastAsia="Calibri" w:hAnsi="Times New Roman" w:cs="Times New Roman"/>
          <w:sz w:val="26"/>
          <w:szCs w:val="26"/>
        </w:rPr>
      </w:pPr>
      <w:r w:rsidRPr="10D0B2FA">
        <w:rPr>
          <w:rFonts w:ascii="Times New Roman" w:eastAsia="Calibri" w:hAnsi="Times New Roman" w:cs="Times New Roman"/>
          <w:sz w:val="26"/>
          <w:szCs w:val="26"/>
        </w:rPr>
        <w:t>The new standard, proposed by NERC, in June 2024</w:t>
      </w:r>
      <w:r w:rsidRPr="10D0B2FA" w:rsidR="3DEED8C5">
        <w:rPr>
          <w:rFonts w:ascii="Times New Roman" w:eastAsia="Calibri" w:hAnsi="Times New Roman" w:cs="Times New Roman"/>
          <w:sz w:val="26"/>
          <w:szCs w:val="26"/>
        </w:rPr>
        <w:t>, requires entities with BES facilities whose assets are designated high impact and medium impact with external routable connectivity to implement INSM for network traffic inside an ele</w:t>
      </w:r>
      <w:r w:rsidR="009C7A00">
        <w:rPr>
          <w:rFonts w:ascii="Times New Roman" w:eastAsia="Calibri" w:hAnsi="Times New Roman" w:cs="Times New Roman"/>
          <w:sz w:val="26"/>
          <w:szCs w:val="26"/>
        </w:rPr>
        <w:t>ctronic</w:t>
      </w:r>
      <w:r w:rsidRPr="10D0B2FA" w:rsidR="3DEED8C5">
        <w:rPr>
          <w:rFonts w:ascii="Times New Roman" w:eastAsia="Calibri" w:hAnsi="Times New Roman" w:cs="Times New Roman"/>
          <w:sz w:val="26"/>
          <w:szCs w:val="26"/>
        </w:rPr>
        <w:t xml:space="preserve"> security perimeter to ensure the identification of anomalous network activity including an ongoing attack.  High impact systems include large control centers.  Medium impact systems include smaller control centers, ultra-high voltage transmission, and large substations and generating facilities. </w:t>
      </w:r>
    </w:p>
    <w:p w:rsidR="00986421" w:rsidRPr="0098263D" w:rsidP="0098263D" w14:paraId="4C64E90C" w14:textId="77777777">
      <w:pPr>
        <w:tabs>
          <w:tab w:val="num" w:pos="720"/>
        </w:tabs>
        <w:spacing w:after="0" w:line="240" w:lineRule="auto"/>
        <w:rPr>
          <w:rFonts w:ascii="Times New Roman" w:eastAsia="Calibri" w:hAnsi="Times New Roman" w:cs="Times New Roman"/>
          <w:sz w:val="26"/>
        </w:rPr>
      </w:pPr>
    </w:p>
    <w:p w:rsidR="009D1B94" w:rsidRPr="009D1B94" w:rsidP="009D1B94" w14:paraId="6E324145" w14:textId="77777777">
      <w:pPr>
        <w:spacing w:after="0" w:line="240" w:lineRule="auto"/>
        <w:rPr>
          <w:rFonts w:ascii="Times New Roman" w:eastAsia="Calibri" w:hAnsi="Times New Roman" w:cs="Times New Roman"/>
          <w:sz w:val="26"/>
        </w:rPr>
      </w:pPr>
      <w:r w:rsidRPr="75D7739E">
        <w:rPr>
          <w:rFonts w:ascii="Times New Roman" w:eastAsia="Calibri" w:hAnsi="Times New Roman" w:cs="Times New Roman"/>
          <w:sz w:val="26"/>
          <w:szCs w:val="26"/>
        </w:rPr>
        <w:t xml:space="preserve">Proposed Reliability Standard CIP-015-1 was developed in response to a Commission directive in Order No. 887. </w:t>
      </w:r>
      <w:r w:rsidRPr="75D7739E">
        <w:rPr>
          <w:rFonts w:ascii="Times New Roman" w:eastAsia="Calibri" w:hAnsi="Times New Roman" w:cs="Times New Roman"/>
          <w:sz w:val="26"/>
          <w:szCs w:val="26"/>
        </w:rPr>
        <w:t xml:space="preserve"> Order No. 887 was a final rule that directed NERC to develop new or modified CIP Reliability Standards requiring INSM for all high impact BES Cyber Systems with and without external routable connectivity and medium impact BES Cyber Systems with external routable connectivity to ensure the detection of anomalous network activity indicative of an attack in progress.”</w:t>
      </w:r>
      <w:r>
        <w:rPr>
          <w:rFonts w:ascii="Times New Roman" w:eastAsia="Calibri" w:hAnsi="Times New Roman" w:cs="Times New Roman"/>
          <w:bCs/>
          <w:sz w:val="26"/>
          <w:vertAlign w:val="superscript"/>
        </w:rPr>
        <w:footnoteReference w:id="9"/>
      </w:r>
      <w:r w:rsidRPr="75D7739E">
        <w:rPr>
          <w:rFonts w:ascii="Times New Roman" w:eastAsia="Calibri" w:hAnsi="Times New Roman" w:cs="Times New Roman"/>
          <w:sz w:val="26"/>
          <w:szCs w:val="26"/>
        </w:rPr>
        <w:t xml:space="preserve"> The Commission, noting that INSM is “applied within a ‘trust zone,’ such as an electronic security perimeter,” stated that for the final rule the applicable trust zone for INSM is the CIP-networked environment.</w:t>
      </w:r>
      <w:r>
        <w:rPr>
          <w:rFonts w:ascii="Times New Roman" w:eastAsia="Calibri" w:hAnsi="Times New Roman" w:cs="Times New Roman"/>
          <w:bCs/>
          <w:sz w:val="26"/>
          <w:vertAlign w:val="superscript"/>
        </w:rPr>
        <w:footnoteReference w:id="10"/>
      </w:r>
      <w:r w:rsidRPr="00F40068">
        <w:rPr>
          <w:rFonts w:ascii="Times New Roman" w:eastAsia="Calibri" w:hAnsi="Times New Roman" w:cs="Times New Roman"/>
          <w:bCs/>
          <w:sz w:val="26"/>
          <w:szCs w:val="26"/>
        </w:rPr>
        <w:t xml:space="preserve">   </w:t>
      </w:r>
    </w:p>
    <w:p w:rsidR="00E35D25" w:rsidP="00B401F8" w14:paraId="6AC8F782" w14:textId="77777777">
      <w:pPr>
        <w:spacing w:after="0" w:line="240" w:lineRule="auto"/>
        <w:rPr>
          <w:rFonts w:ascii="Times New Roman" w:eastAsia="Calibri" w:hAnsi="Times New Roman" w:cs="Times New Roman"/>
          <w:sz w:val="26"/>
        </w:rPr>
      </w:pPr>
    </w:p>
    <w:p w:rsidR="00B401F8" w:rsidRPr="00B401F8" w:rsidP="00D60FEE" w14:paraId="0283D196" w14:textId="34B8F0DC">
      <w:pPr>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Proposed </w:t>
      </w:r>
      <w:r w:rsidRPr="75D7739E" w:rsidR="006D211B">
        <w:rPr>
          <w:rFonts w:ascii="Times New Roman" w:eastAsia="Calibri" w:hAnsi="Times New Roman" w:cs="Times New Roman"/>
          <w:sz w:val="26"/>
          <w:szCs w:val="26"/>
        </w:rPr>
        <w:t xml:space="preserve">Reliability Standard CIP-015-1 requires entities to implement INSM </w:t>
      </w:r>
      <w:r w:rsidRPr="75D7739E">
        <w:rPr>
          <w:rFonts w:ascii="Times New Roman" w:eastAsia="Calibri" w:hAnsi="Times New Roman" w:cs="Times New Roman"/>
          <w:sz w:val="26"/>
          <w:szCs w:val="26"/>
        </w:rPr>
        <w:t xml:space="preserve">within the </w:t>
      </w:r>
      <w:r w:rsidRPr="75D7739E" w:rsidR="009D1B94">
        <w:rPr>
          <w:rFonts w:ascii="Times New Roman" w:eastAsia="Calibri" w:hAnsi="Times New Roman" w:cs="Times New Roman"/>
          <w:sz w:val="26"/>
          <w:szCs w:val="26"/>
        </w:rPr>
        <w:t xml:space="preserve">electronic security </w:t>
      </w:r>
      <w:r w:rsidRPr="75D7739E" w:rsidR="009A1C21">
        <w:rPr>
          <w:rFonts w:ascii="Times New Roman" w:eastAsia="Calibri" w:hAnsi="Times New Roman" w:cs="Times New Roman"/>
          <w:sz w:val="26"/>
          <w:szCs w:val="26"/>
        </w:rPr>
        <w:t>perimeter</w:t>
      </w:r>
      <w:r w:rsidRPr="75D7739E">
        <w:rPr>
          <w:rFonts w:ascii="Times New Roman" w:eastAsia="Calibri" w:hAnsi="Times New Roman" w:cs="Times New Roman"/>
          <w:sz w:val="26"/>
          <w:szCs w:val="26"/>
        </w:rPr>
        <w:t xml:space="preserve"> to close a reliability gap where vendors or individuals with authorized access in the CIP-networked environment are deemed trustworthy but could still introduce a cybersecurity risk.  Requirement R1 of proposed Reliability Standard CIP-015-1 requires responsible entities to implement process(es) to monitor, detect, and evaluate anomalous activity in “networks protected by the Responsible Entity’s Electronic Security Perimeter(s)” of high impact BES Cyber Systems and medium impact BES Cyber Systems with external routable connectivity.  Requirement R2 of proposed Reliability Standard CIP-015-1 requires responsible entities to implement process(es) for retaining INSM data associated with anomalous network activity as determined by the applicable responsible entities.  Requirement R3 of proposed Reliability Standard CIP-015-1 requires responsible entities to implement process(es) to protect INSM monitoring data collected and retained in support of Requirements R1 and R2 to guard against the risk of unauthorized deletion or modification.</w:t>
      </w:r>
      <w:r w:rsidRPr="75D7739E" w:rsidR="005467DA">
        <w:rPr>
          <w:rFonts w:ascii="Times New Roman" w:eastAsia="Calibri" w:hAnsi="Times New Roman" w:cs="Times New Roman"/>
          <w:sz w:val="26"/>
          <w:szCs w:val="26"/>
        </w:rPr>
        <w:t xml:space="preserve">  Pursuant to section 215(d)(2) of the FPA</w:t>
      </w:r>
      <w:r w:rsidRPr="75D7739E" w:rsidR="0067273C">
        <w:rPr>
          <w:rFonts w:ascii="Times New Roman" w:eastAsia="Calibri" w:hAnsi="Times New Roman" w:cs="Times New Roman"/>
          <w:sz w:val="26"/>
          <w:szCs w:val="26"/>
        </w:rPr>
        <w:t>,</w:t>
      </w:r>
      <w:r>
        <w:rPr>
          <w:rStyle w:val="FootnoteReference"/>
          <w:rFonts w:ascii="Times New Roman" w:eastAsia="Calibri" w:hAnsi="Times New Roman" w:cs="Times New Roman"/>
          <w:sz w:val="26"/>
          <w:vertAlign w:val="superscript"/>
        </w:rPr>
        <w:footnoteReference w:id="11"/>
      </w:r>
      <w:r w:rsidRPr="00D60FEE" w:rsidR="0067273C">
        <w:rPr>
          <w:rFonts w:ascii="Times New Roman" w:eastAsia="Calibri" w:hAnsi="Times New Roman" w:cs="Times New Roman"/>
          <w:b/>
          <w:bCs/>
          <w:sz w:val="26"/>
          <w:szCs w:val="26"/>
        </w:rPr>
        <w:t xml:space="preserve"> </w:t>
      </w:r>
      <w:r w:rsidRPr="75D7739E" w:rsidR="0067273C">
        <w:rPr>
          <w:rFonts w:ascii="Times New Roman" w:eastAsia="Calibri" w:hAnsi="Times New Roman" w:cs="Times New Roman"/>
          <w:sz w:val="26"/>
          <w:szCs w:val="26"/>
        </w:rPr>
        <w:t xml:space="preserve">the </w:t>
      </w:r>
      <w:r w:rsidRPr="75D7739E" w:rsidR="009A1C21">
        <w:rPr>
          <w:rFonts w:ascii="Times New Roman" w:eastAsia="Calibri" w:hAnsi="Times New Roman" w:cs="Times New Roman"/>
          <w:sz w:val="26"/>
          <w:szCs w:val="26"/>
        </w:rPr>
        <w:t>Commission</w:t>
      </w:r>
      <w:r w:rsidRPr="75D7739E" w:rsidR="005467DA">
        <w:rPr>
          <w:rFonts w:ascii="Times New Roman" w:eastAsia="Calibri" w:hAnsi="Times New Roman" w:cs="Times New Roman"/>
          <w:sz w:val="26"/>
          <w:szCs w:val="26"/>
        </w:rPr>
        <w:t xml:space="preserve"> proposes to approve proposed Reliability Standard CIP-015-1. </w:t>
      </w:r>
    </w:p>
    <w:p w:rsidR="00B401F8" w:rsidP="0098263D" w14:paraId="1C168F91" w14:textId="77777777">
      <w:pPr>
        <w:spacing w:after="0" w:line="240" w:lineRule="auto"/>
        <w:rPr>
          <w:rFonts w:ascii="Times New Roman" w:eastAsia="Calibri" w:hAnsi="Times New Roman" w:cs="Times New Roman"/>
          <w:sz w:val="26"/>
        </w:rPr>
      </w:pPr>
    </w:p>
    <w:p w:rsidR="0098263D" w:rsidRPr="00D60FEE" w:rsidP="0098263D" w14:paraId="49663514" w14:textId="43CE9FD7">
      <w:pPr>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However, </w:t>
      </w:r>
      <w:r w:rsidRPr="75D7739E" w:rsidR="00E35D25">
        <w:rPr>
          <w:rFonts w:ascii="Times New Roman" w:eastAsia="Calibri" w:hAnsi="Times New Roman" w:cs="Times New Roman"/>
          <w:sz w:val="26"/>
          <w:szCs w:val="26"/>
        </w:rPr>
        <w:t xml:space="preserve">proposed Reliability Standard CIP-015-1 </w:t>
      </w:r>
      <w:r w:rsidRPr="75D7739E" w:rsidR="009D1B94">
        <w:rPr>
          <w:rFonts w:ascii="Times New Roman" w:eastAsia="Calibri" w:hAnsi="Times New Roman" w:cs="Times New Roman"/>
          <w:sz w:val="26"/>
          <w:szCs w:val="26"/>
        </w:rPr>
        <w:t xml:space="preserve">is not fully responsive to the Commission’s directive to implement INSM for the “CIP-networked environment.”  In particular, the proposed Standard may not adequately defend against attacks that circumvent network perimeter-based security controls.  Attacks external to the electronic security perimeter may compromise systems, such as </w:t>
      </w:r>
      <w:r w:rsidRPr="75D7739E" w:rsidR="76795DDB">
        <w:rPr>
          <w:rFonts w:ascii="Times New Roman" w:eastAsia="Calibri" w:hAnsi="Times New Roman" w:cs="Times New Roman"/>
          <w:sz w:val="26"/>
          <w:szCs w:val="26"/>
        </w:rPr>
        <w:t xml:space="preserve">electronic access control or </w:t>
      </w:r>
      <w:r w:rsidRPr="75D7739E" w:rsidR="76795DDB">
        <w:rPr>
          <w:rFonts w:ascii="Times New Roman" w:eastAsia="Calibri" w:hAnsi="Times New Roman" w:cs="Times New Roman"/>
          <w:sz w:val="26"/>
          <w:szCs w:val="26"/>
        </w:rPr>
        <w:t>monitoring systems (EACMS)</w:t>
      </w:r>
      <w:r>
        <w:rPr>
          <w:rFonts w:ascii="Times New Roman" w:eastAsia="Calibri" w:hAnsi="Times New Roman" w:cs="Times New Roman"/>
          <w:sz w:val="26"/>
          <w:szCs w:val="26"/>
          <w:vertAlign w:val="superscript"/>
        </w:rPr>
        <w:footnoteReference w:id="12"/>
      </w:r>
      <w:r w:rsidRPr="75D7739E" w:rsidR="76795DDB">
        <w:rPr>
          <w:rFonts w:ascii="Times New Roman" w:eastAsia="Calibri" w:hAnsi="Times New Roman" w:cs="Times New Roman"/>
          <w:sz w:val="26"/>
          <w:szCs w:val="26"/>
        </w:rPr>
        <w:t xml:space="preserve"> and physical access control systems (PACS)</w:t>
      </w:r>
      <w:r w:rsidRPr="75D7739E" w:rsidR="43845478">
        <w:rPr>
          <w:rFonts w:ascii="Times New Roman" w:eastAsia="Calibri" w:hAnsi="Times New Roman" w:cs="Times New Roman"/>
          <w:sz w:val="26"/>
          <w:szCs w:val="26"/>
        </w:rPr>
        <w:t>,</w:t>
      </w:r>
      <w:r>
        <w:rPr>
          <w:rFonts w:ascii="Times New Roman" w:eastAsia="Calibri" w:hAnsi="Times New Roman" w:cs="Times New Roman"/>
          <w:sz w:val="26"/>
          <w:szCs w:val="26"/>
          <w:vertAlign w:val="superscript"/>
        </w:rPr>
        <w:footnoteReference w:id="13"/>
      </w:r>
      <w:r w:rsidRPr="00F40068" w:rsidR="002F155C">
        <w:rPr>
          <w:rFonts w:ascii="Times New Roman" w:eastAsia="Calibri" w:hAnsi="Times New Roman" w:cs="Times New Roman"/>
          <w:sz w:val="26"/>
          <w:szCs w:val="26"/>
        </w:rPr>
        <w:t xml:space="preserve"> </w:t>
      </w:r>
      <w:r w:rsidRPr="002F155C" w:rsidR="002F155C">
        <w:rPr>
          <w:rFonts w:ascii="Times New Roman" w:eastAsia="Calibri" w:hAnsi="Times New Roman" w:cs="Times New Roman"/>
          <w:sz w:val="26"/>
          <w:szCs w:val="26"/>
        </w:rPr>
        <w:t>and then infiltrate the perimeter as a trusted communication, thus limiting the effectiveness of an approach that employs INSM only within the electronic security perimeter.</w:t>
      </w:r>
      <w:r w:rsidR="00D30320">
        <w:rPr>
          <w:rFonts w:ascii="Times New Roman" w:eastAsia="Calibri" w:hAnsi="Times New Roman" w:cs="Times New Roman"/>
          <w:sz w:val="26"/>
          <w:szCs w:val="26"/>
        </w:rPr>
        <w:t xml:space="preserve">  </w:t>
      </w:r>
      <w:r w:rsidRPr="75D7739E" w:rsidR="009D1B94">
        <w:rPr>
          <w:rFonts w:ascii="Times New Roman" w:eastAsia="Calibri" w:hAnsi="Times New Roman" w:cs="Times New Roman"/>
          <w:sz w:val="26"/>
          <w:szCs w:val="26"/>
        </w:rPr>
        <w:t>Accordingly, to address this reliability and security gap, the Commission</w:t>
      </w:r>
      <w:r w:rsidRPr="75D7739E" w:rsidR="0067273C">
        <w:rPr>
          <w:rFonts w:ascii="Times New Roman" w:eastAsia="Calibri" w:hAnsi="Times New Roman" w:cs="Times New Roman"/>
          <w:sz w:val="26"/>
          <w:szCs w:val="26"/>
        </w:rPr>
        <w:t>, pursuant to section 215(d)(5) of the FPA,</w:t>
      </w:r>
      <w:r>
        <w:rPr>
          <w:rFonts w:ascii="Times New Roman" w:eastAsia="Calibri" w:hAnsi="Times New Roman" w:cs="Times New Roman"/>
          <w:b/>
          <w:sz w:val="26"/>
          <w:vertAlign w:val="superscript"/>
        </w:rPr>
        <w:footnoteReference w:id="14"/>
      </w:r>
      <w:r w:rsidRPr="75D7739E" w:rsidR="0067273C">
        <w:rPr>
          <w:rFonts w:ascii="Times New Roman" w:eastAsia="Calibri" w:hAnsi="Times New Roman" w:cs="Times New Roman"/>
          <w:sz w:val="26"/>
          <w:szCs w:val="26"/>
        </w:rPr>
        <w:t xml:space="preserve"> </w:t>
      </w:r>
      <w:r w:rsidRPr="75D7739E" w:rsidR="009D1B94">
        <w:rPr>
          <w:rFonts w:ascii="Times New Roman" w:eastAsia="Calibri" w:hAnsi="Times New Roman" w:cs="Times New Roman"/>
          <w:sz w:val="26"/>
          <w:szCs w:val="26"/>
        </w:rPr>
        <w:t xml:space="preserve">proposes to direct that NERC develop modifications to the proposed Reliability Standard CIP-015-1 to extend INSM to include </w:t>
      </w:r>
      <w:r w:rsidRPr="75D7739E" w:rsidR="196D89EB">
        <w:rPr>
          <w:rFonts w:ascii="Times New Roman" w:eastAsia="Calibri" w:hAnsi="Times New Roman" w:cs="Times New Roman"/>
          <w:sz w:val="26"/>
          <w:szCs w:val="26"/>
        </w:rPr>
        <w:t>EACMS and PACS</w:t>
      </w:r>
      <w:r w:rsidRPr="75D7739E" w:rsidR="009D1B94">
        <w:rPr>
          <w:rFonts w:ascii="Times New Roman" w:eastAsia="Calibri" w:hAnsi="Times New Roman" w:cs="Times New Roman"/>
          <w:sz w:val="26"/>
          <w:szCs w:val="26"/>
        </w:rPr>
        <w:t xml:space="preserve"> outside of the electronic security perimeter.  </w:t>
      </w:r>
    </w:p>
    <w:p w:rsidR="00C4205B" w:rsidRPr="00595846" w:rsidP="005E2448" w14:paraId="3D45919E"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A08B2" w:rsidRPr="00D60FEE" w:rsidP="00D60FEE" w14:paraId="7C65496D" w14:textId="2887CFEB">
      <w:pPr>
        <w:pStyle w:val="ListParagraph"/>
        <w:numPr>
          <w:ilvl w:val="0"/>
          <w:numId w:val="2"/>
        </w:numPr>
        <w:rPr>
          <w:rFonts w:ascii="Times New Roman" w:hAnsi="Times New Roman" w:cs="Times New Roman"/>
          <w:b/>
          <w:bCs/>
          <w:sz w:val="26"/>
          <w:szCs w:val="24"/>
        </w:rPr>
      </w:pPr>
      <w:r w:rsidRPr="00E52254">
        <w:rPr>
          <w:rFonts w:ascii="Times New Roman" w:hAnsi="Times New Roman" w:cs="Times New Roman"/>
          <w:b/>
          <w:bCs/>
          <w:sz w:val="26"/>
          <w:szCs w:val="24"/>
        </w:rPr>
        <w:t xml:space="preserve">HOW, BY WHOM AND FOR WHAT PURPOSE IS THE INFORMATION TO BE USED AND THE CONSEQUENCES OF NOT COLLECTING THE INFORMATION </w:t>
      </w:r>
    </w:p>
    <w:p w:rsidR="00EA08B2" w:rsidP="75D7739E" w14:paraId="396DB437" w14:textId="175DD148">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On August 8, 2005, Congress enacted the </w:t>
      </w:r>
      <w:r w:rsidR="00A11A00">
        <w:rPr>
          <w:rFonts w:ascii="Times New Roman" w:eastAsia="Calibri" w:hAnsi="Times New Roman" w:cs="Times New Roman"/>
          <w:sz w:val="26"/>
          <w:szCs w:val="26"/>
        </w:rPr>
        <w:t xml:space="preserve">EPAct </w:t>
      </w:r>
      <w:r w:rsidRPr="75D7739E">
        <w:rPr>
          <w:rFonts w:ascii="Times New Roman" w:eastAsia="Calibri" w:hAnsi="Times New Roman" w:cs="Times New Roman"/>
          <w:sz w:val="26"/>
          <w:szCs w:val="26"/>
        </w:rPr>
        <w:t xml:space="preserve">2005.  The </w:t>
      </w:r>
      <w:r w:rsidR="00A11A00">
        <w:rPr>
          <w:rFonts w:ascii="Times New Roman" w:eastAsia="Calibri" w:hAnsi="Times New Roman" w:cs="Times New Roman"/>
          <w:sz w:val="26"/>
          <w:szCs w:val="26"/>
        </w:rPr>
        <w:t xml:space="preserve">EPAct </w:t>
      </w:r>
      <w:r w:rsidRPr="75D7739E" w:rsidR="00A11A00">
        <w:rPr>
          <w:rFonts w:ascii="Times New Roman" w:eastAsia="Calibri" w:hAnsi="Times New Roman" w:cs="Times New Roman"/>
          <w:sz w:val="26"/>
          <w:szCs w:val="26"/>
        </w:rPr>
        <w:t>2005</w:t>
      </w:r>
      <w:r w:rsidR="00A11A00">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added section 215 to the FPA, which requires a Commission-certified ERO to develop mandatory and enforceable Reliability Standards,</w:t>
      </w:r>
      <w:r>
        <w:rPr>
          <w:rFonts w:ascii="Times New Roman" w:eastAsia="Calibri" w:hAnsi="Times New Roman" w:cs="Times New Roman"/>
          <w:bCs/>
          <w:sz w:val="26"/>
          <w:vertAlign w:val="superscript"/>
        </w:rPr>
        <w:footnoteReference w:id="15"/>
      </w:r>
      <w:r w:rsidRPr="75D7739E">
        <w:rPr>
          <w:rFonts w:ascii="Times New Roman" w:eastAsia="Calibri" w:hAnsi="Times New Roman" w:cs="Times New Roman"/>
          <w:sz w:val="26"/>
          <w:szCs w:val="26"/>
        </w:rPr>
        <w:t xml:space="preserve"> including requirements for cybersecurity protection, which are subject to Commission review and approval.  Once approved, the Reliability Standards may be enforced by the ERO subject to Commission oversight, or the Commission can independently enforce Reliability Standards. </w:t>
      </w:r>
    </w:p>
    <w:p w:rsidR="00EA08B2" w:rsidP="00EA08B2" w14:paraId="6B2E54C2" w14:textId="77777777">
      <w:pPr>
        <w:tabs>
          <w:tab w:val="num" w:pos="720"/>
        </w:tabs>
        <w:spacing w:after="0" w:line="240" w:lineRule="auto"/>
        <w:rPr>
          <w:rFonts w:ascii="Times New Roman" w:eastAsia="Calibri" w:hAnsi="Times New Roman" w:cs="Times New Roman"/>
          <w:sz w:val="26"/>
        </w:rPr>
      </w:pPr>
    </w:p>
    <w:p w:rsidR="00EA08B2" w:rsidP="75D7739E" w14:paraId="50998E5B" w14:textId="54457537">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On February 3, 2006, the Commission issued Order No. 672,</w:t>
      </w:r>
      <w:r>
        <w:rPr>
          <w:rFonts w:ascii="Times New Roman" w:eastAsia="Calibri" w:hAnsi="Times New Roman" w:cs="Times New Roman"/>
          <w:bCs/>
          <w:sz w:val="26"/>
          <w:vertAlign w:val="superscript"/>
        </w:rPr>
        <w:footnoteReference w:id="16"/>
      </w:r>
      <w:r w:rsidRPr="75D7739E">
        <w:rPr>
          <w:rFonts w:ascii="Times New Roman" w:eastAsia="Calibri" w:hAnsi="Times New Roman" w:cs="Times New Roman"/>
          <w:sz w:val="26"/>
          <w:szCs w:val="26"/>
        </w:rPr>
        <w:t xml:space="preserve"> implementing FPA section 215.  The Commission subsequently certified NERC</w:t>
      </w:r>
      <w:r w:rsidR="00A11A00">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as the</w:t>
      </w:r>
      <w:r w:rsidR="00A11A00">
        <w:rPr>
          <w:rFonts w:ascii="Times New Roman" w:eastAsia="Calibri" w:hAnsi="Times New Roman" w:cs="Times New Roman"/>
          <w:sz w:val="26"/>
          <w:szCs w:val="26"/>
        </w:rPr>
        <w:t xml:space="preserve"> ERO</w:t>
      </w:r>
      <w:r w:rsidRPr="75D7739E">
        <w:rPr>
          <w:rFonts w:ascii="Times New Roman" w:eastAsia="Calibri" w:hAnsi="Times New Roman" w:cs="Times New Roman"/>
          <w:sz w:val="26"/>
          <w:szCs w:val="26"/>
        </w:rPr>
        <w:t xml:space="preserve">.  </w:t>
      </w:r>
      <w:r w:rsidRPr="00D60FEE">
        <w:rPr>
          <w:rFonts w:ascii="Times New Roman" w:eastAsia="Calibri" w:hAnsi="Times New Roman" w:cs="Times New Roman"/>
          <w:sz w:val="26"/>
          <w:szCs w:val="26"/>
        </w:rPr>
        <w:t xml:space="preserve">The Reliability Standards developed by NERC become mandatory and enforceable after Commission </w:t>
      </w:r>
      <w:r w:rsidRPr="00D60FEE">
        <w:rPr>
          <w:rFonts w:ascii="Times New Roman" w:eastAsia="Calibri" w:hAnsi="Times New Roman" w:cs="Times New Roman"/>
          <w:sz w:val="26"/>
          <w:szCs w:val="26"/>
        </w:rPr>
        <w:t>approval and apply to users, owners, and operators of the Bulk-Power System, as set forth in each Reliability Standard.</w:t>
      </w:r>
      <w:r>
        <w:rPr>
          <w:rFonts w:ascii="Times New Roman" w:eastAsia="Calibri" w:hAnsi="Times New Roman" w:cs="Times New Roman"/>
          <w:sz w:val="26"/>
          <w:szCs w:val="26"/>
          <w:vertAlign w:val="superscript"/>
        </w:rPr>
        <w:footnoteReference w:id="17"/>
      </w:r>
    </w:p>
    <w:p w:rsidR="0067273C" w:rsidP="00EA08B2" w14:paraId="40845EB4" w14:textId="77777777">
      <w:pPr>
        <w:tabs>
          <w:tab w:val="num" w:pos="720"/>
        </w:tabs>
        <w:spacing w:after="0" w:line="240" w:lineRule="auto"/>
        <w:rPr>
          <w:rFonts w:ascii="Times New Roman" w:eastAsia="Calibri" w:hAnsi="Times New Roman" w:cs="Times New Roman"/>
          <w:sz w:val="26"/>
        </w:rPr>
      </w:pPr>
    </w:p>
    <w:p w:rsidR="0067273C" w:rsidP="75D7739E" w14:paraId="65A3390F" w14:textId="752EF1AE">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The CIP Reliability Standards require entities to comply with specific requirements to safeguard critical cyber assets.  These standards are results-based and do not specify a technology or method to achieve compliance, instead leaving it up to the entity to decide how best to comply.  On January 18, 2008, the Commission issued Order No. 706,</w:t>
      </w:r>
      <w:r>
        <w:rPr>
          <w:rFonts w:ascii="Times New Roman" w:eastAsia="Calibri" w:hAnsi="Times New Roman" w:cs="Times New Roman"/>
          <w:bCs/>
          <w:sz w:val="26"/>
          <w:vertAlign w:val="superscript"/>
        </w:rPr>
        <w:footnoteReference w:id="18"/>
      </w:r>
      <w:r w:rsidRPr="00F40068">
        <w:rPr>
          <w:rFonts w:ascii="Times New Roman" w:eastAsia="Calibri" w:hAnsi="Times New Roman" w:cs="Times New Roman"/>
          <w:bCs/>
          <w:sz w:val="26"/>
          <w:szCs w:val="26"/>
        </w:rPr>
        <w:t xml:space="preserve"> </w:t>
      </w:r>
      <w:r w:rsidRPr="75D7739E">
        <w:rPr>
          <w:rFonts w:ascii="Times New Roman" w:eastAsia="Calibri" w:hAnsi="Times New Roman" w:cs="Times New Roman"/>
          <w:sz w:val="26"/>
          <w:szCs w:val="26"/>
        </w:rPr>
        <w:t>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ascii="Times New Roman" w:eastAsia="Calibri" w:hAnsi="Times New Roman" w:cs="Times New Roman"/>
          <w:bCs/>
          <w:sz w:val="26"/>
          <w:vertAlign w:val="superscript"/>
        </w:rPr>
        <w:footnoteReference w:id="19"/>
      </w:r>
      <w:r w:rsidRPr="75D7739E">
        <w:rPr>
          <w:rFonts w:ascii="Times New Roman" w:eastAsia="Calibri" w:hAnsi="Times New Roman" w:cs="Times New Roman"/>
          <w:sz w:val="26"/>
          <w:szCs w:val="26"/>
        </w:rPr>
        <w:t xml:space="preserve"> approving CIP version 5 Standards, the last major revision to the CIP Reliability Standards.  The CIP version 5 Standards implement a tiered approach to categorize assets, identifying them as high, medium, or low risk to the operation of the BES</w:t>
      </w:r>
      <w:r w:rsidRPr="00D60FEE">
        <w:rPr>
          <w:rFonts w:ascii="Times New Roman" w:eastAsia="Calibri" w:hAnsi="Times New Roman" w:cs="Times New Roman"/>
          <w:b/>
          <w:sz w:val="26"/>
          <w:szCs w:val="26"/>
        </w:rPr>
        <w:t xml:space="preserve"> </w:t>
      </w:r>
      <w:r w:rsidRPr="75D7739E">
        <w:rPr>
          <w:rFonts w:ascii="Times New Roman" w:eastAsia="Calibri" w:hAnsi="Times New Roman" w:cs="Times New Roman"/>
          <w:sz w:val="26"/>
          <w:szCs w:val="26"/>
        </w:rPr>
        <w:t xml:space="preserve">if compromised.  </w:t>
      </w:r>
    </w:p>
    <w:p w:rsidR="00EA08B2" w:rsidP="00EA08B2" w14:paraId="71069D28" w14:textId="77777777">
      <w:pPr>
        <w:tabs>
          <w:tab w:val="num" w:pos="720"/>
        </w:tabs>
        <w:spacing w:after="0" w:line="240" w:lineRule="auto"/>
        <w:rPr>
          <w:rFonts w:ascii="Times New Roman" w:eastAsia="Calibri" w:hAnsi="Times New Roman" w:cs="Times New Roman"/>
          <w:sz w:val="26"/>
        </w:rPr>
      </w:pPr>
    </w:p>
    <w:p w:rsidR="0067273C" w:rsidRPr="0067273C" w:rsidP="75D7739E" w14:paraId="6C8A4B8F" w14:textId="7315FCBF">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The Commission is currently </w:t>
      </w:r>
      <w:r w:rsidRPr="75D7739E" w:rsidR="1050BC9D">
        <w:rPr>
          <w:rFonts w:ascii="Times New Roman" w:eastAsia="Calibri" w:hAnsi="Times New Roman" w:cs="Times New Roman"/>
          <w:sz w:val="26"/>
          <w:szCs w:val="26"/>
        </w:rPr>
        <w:t>proposing to approve proposed Reliability Standard CIP-015-1 and proposing to direct NERC to develop modifications to the proposed Reliability Standard CIP-015-1 to extend INSM to include EACMS and PACS outside of the electronic security perimeter.  The FERC-725B information collection requirements are subject to review by</w:t>
      </w:r>
      <w:r w:rsidR="00A11A00">
        <w:rPr>
          <w:rFonts w:ascii="Times New Roman" w:eastAsia="Calibri" w:hAnsi="Times New Roman" w:cs="Times New Roman"/>
          <w:sz w:val="26"/>
          <w:szCs w:val="26"/>
        </w:rPr>
        <w:t xml:space="preserve"> </w:t>
      </w:r>
      <w:r w:rsidRPr="75D7739E" w:rsidR="1050BC9D">
        <w:rPr>
          <w:rFonts w:ascii="Times New Roman" w:eastAsia="Calibri" w:hAnsi="Times New Roman" w:cs="Times New Roman"/>
          <w:sz w:val="26"/>
          <w:szCs w:val="26"/>
        </w:rPr>
        <w:t>OMB under section 3507(d) of the Paperwork Reduction Act of 1995</w:t>
      </w:r>
      <w:r w:rsidR="00181270">
        <w:rPr>
          <w:rFonts w:ascii="Times New Roman" w:eastAsia="Calibri" w:hAnsi="Times New Roman" w:cs="Times New Roman"/>
          <w:sz w:val="26"/>
          <w:szCs w:val="26"/>
        </w:rPr>
        <w:t xml:space="preserve"> (PRA)</w:t>
      </w:r>
      <w:r w:rsidRPr="75D7739E" w:rsidR="1050BC9D">
        <w:rPr>
          <w:rFonts w:ascii="Times New Roman" w:eastAsia="Calibri" w:hAnsi="Times New Roman" w:cs="Times New Roman"/>
          <w:sz w:val="26"/>
          <w:szCs w:val="26"/>
        </w:rPr>
        <w:t>.</w:t>
      </w:r>
      <w:r>
        <w:rPr>
          <w:rFonts w:ascii="Times New Roman" w:eastAsia="Calibri" w:hAnsi="Times New Roman" w:cs="Times New Roman"/>
          <w:bCs/>
          <w:sz w:val="26"/>
          <w:vertAlign w:val="superscript"/>
        </w:rPr>
        <w:footnoteReference w:id="20"/>
      </w:r>
      <w:r w:rsidRPr="00D60FEE" w:rsidR="1050BC9D">
        <w:rPr>
          <w:rFonts w:ascii="Times New Roman" w:eastAsia="Calibri" w:hAnsi="Times New Roman" w:cs="Times New Roman"/>
          <w:b/>
          <w:bCs/>
          <w:sz w:val="26"/>
          <w:szCs w:val="26"/>
        </w:rPr>
        <w:t xml:space="preserve"> </w:t>
      </w:r>
      <w:r w:rsidRPr="75D7739E" w:rsidR="1050BC9D">
        <w:rPr>
          <w:rFonts w:ascii="Times New Roman" w:eastAsia="Calibri" w:hAnsi="Times New Roman" w:cs="Times New Roman"/>
          <w:sz w:val="26"/>
          <w:szCs w:val="26"/>
        </w:rPr>
        <w:t xml:space="preserve"> OMB’s regulations require approval of certain information collection requirements imposed by agency rules.</w:t>
      </w:r>
      <w:r>
        <w:rPr>
          <w:rFonts w:ascii="Times New Roman" w:eastAsia="Calibri" w:hAnsi="Times New Roman" w:cs="Times New Roman"/>
          <w:bCs/>
          <w:sz w:val="26"/>
          <w:vertAlign w:val="superscript"/>
        </w:rPr>
        <w:footnoteReference w:id="21"/>
      </w:r>
      <w:r w:rsidRPr="00F40068" w:rsidR="1050BC9D">
        <w:rPr>
          <w:rFonts w:ascii="Times New Roman" w:eastAsia="Calibri" w:hAnsi="Times New Roman" w:cs="Times New Roman"/>
          <w:bCs/>
          <w:sz w:val="26"/>
          <w:szCs w:val="26"/>
        </w:rPr>
        <w:t xml:space="preserve"> </w:t>
      </w:r>
      <w:r w:rsidRPr="75D7739E" w:rsidR="1050BC9D">
        <w:rPr>
          <w:rFonts w:ascii="Times New Roman" w:eastAsia="Calibri" w:hAnsi="Times New Roman" w:cs="Times New Roman"/>
          <w:sz w:val="26"/>
          <w:szCs w:val="26"/>
        </w:rPr>
        <w:t xml:space="preserve">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Commission’s need for this information, </w:t>
      </w:r>
      <w:r w:rsidRPr="75D7739E" w:rsidR="1050BC9D">
        <w:rPr>
          <w:rFonts w:ascii="Times New Roman" w:eastAsia="Calibri" w:hAnsi="Times New Roman" w:cs="Times New Roman"/>
          <w:sz w:val="26"/>
          <w:szCs w:val="26"/>
        </w:rPr>
        <w:t xml:space="preserve">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r w:rsidR="00F40068">
        <w:rPr>
          <w:rFonts w:ascii="Times New Roman" w:eastAsia="Calibri" w:hAnsi="Times New Roman" w:cs="Times New Roman"/>
          <w:sz w:val="26"/>
          <w:szCs w:val="26"/>
        </w:rPr>
        <w:t xml:space="preserve"> </w:t>
      </w:r>
      <w:r w:rsidRPr="75D7739E" w:rsidR="1050BC9D">
        <w:rPr>
          <w:rFonts w:ascii="Times New Roman" w:eastAsia="Calibri" w:hAnsi="Times New Roman" w:cs="Times New Roman"/>
          <w:sz w:val="26"/>
          <w:szCs w:val="26"/>
        </w:rPr>
        <w:t xml:space="preserve">It is part of the implementation of the Congressional mandate of the </w:t>
      </w:r>
      <w:r w:rsidR="00FB6A70">
        <w:rPr>
          <w:rFonts w:ascii="Times New Roman" w:eastAsia="Calibri" w:hAnsi="Times New Roman" w:cs="Times New Roman"/>
          <w:sz w:val="26"/>
          <w:szCs w:val="26"/>
        </w:rPr>
        <w:t xml:space="preserve">EPAct </w:t>
      </w:r>
      <w:r w:rsidRPr="75D7739E" w:rsidR="00FB6A70">
        <w:rPr>
          <w:rFonts w:ascii="Times New Roman" w:eastAsia="Calibri" w:hAnsi="Times New Roman" w:cs="Times New Roman"/>
          <w:sz w:val="26"/>
          <w:szCs w:val="26"/>
        </w:rPr>
        <w:t>2005</w:t>
      </w:r>
      <w:r w:rsidR="00FB6A70">
        <w:rPr>
          <w:rFonts w:ascii="Times New Roman" w:eastAsia="Calibri" w:hAnsi="Times New Roman" w:cs="Times New Roman"/>
          <w:sz w:val="26"/>
          <w:szCs w:val="26"/>
        </w:rPr>
        <w:t xml:space="preserve"> </w:t>
      </w:r>
      <w:r w:rsidRPr="75D7739E" w:rsidR="1050BC9D">
        <w:rPr>
          <w:rFonts w:ascii="Times New Roman" w:eastAsia="Calibri" w:hAnsi="Times New Roman" w:cs="Times New Roman"/>
          <w:sz w:val="26"/>
          <w:szCs w:val="26"/>
        </w:rPr>
        <w:t xml:space="preserve">to develop mandatory and enforceable Reliability Standards to better ensure the reliability of the nation’s Bulk-Power System.  </w:t>
      </w:r>
    </w:p>
    <w:p w:rsidR="00107105" w:rsidP="00E34B15" w14:paraId="7F109425" w14:textId="77777777">
      <w:pPr>
        <w:widowControl w:val="0"/>
        <w:autoSpaceDE w:val="0"/>
        <w:autoSpaceDN w:val="0"/>
        <w:adjustRightInd w:val="0"/>
        <w:spacing w:after="0" w:line="240" w:lineRule="auto"/>
        <w:rPr>
          <w:rFonts w:ascii="Times New Roman" w:hAnsi="Times New Roman" w:cs="Times New Roman"/>
          <w:b/>
          <w:bCs/>
          <w:sz w:val="26"/>
          <w:szCs w:val="24"/>
        </w:rPr>
      </w:pPr>
    </w:p>
    <w:p w:rsidR="00C4205B" w:rsidP="007C39D3" w14:paraId="726125D5" w14:textId="16817274">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ANY CONSIDERATION OF THE USE OF IMPROVED TECHNOLOGY TO REDUCE BURDEN AND TECHNICAL OR LEGAL OBSTACLES TO REDUCING BURDEN.</w:t>
      </w:r>
    </w:p>
    <w:p w:rsidR="00E55772" w:rsidRPr="00595846" w:rsidP="00E55772" w14:paraId="1408B44B"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5F7BEE" w:rsidRPr="005F7BEE" w:rsidP="00D60FEE" w14:paraId="75E7F3B9" w14:textId="433924A5">
      <w:pPr>
        <w:widowControl w:val="0"/>
        <w:autoSpaceDE w:val="0"/>
        <w:autoSpaceDN w:val="0"/>
        <w:adjustRightInd w:val="0"/>
        <w:spacing w:after="0" w:line="240" w:lineRule="auto"/>
        <w:rPr>
          <w:rFonts w:ascii="Times New Roman" w:eastAsia="Calibri" w:hAnsi="Times New Roman" w:cs="Times New Roman"/>
          <w:sz w:val="26"/>
          <w:szCs w:val="24"/>
        </w:rPr>
      </w:pPr>
      <w:r w:rsidRPr="005F7BEE">
        <w:rPr>
          <w:rFonts w:ascii="Times New Roman" w:eastAsia="Calibri" w:hAnsi="Times New Roman" w:cs="Times New Roman"/>
          <w:sz w:val="26"/>
          <w:szCs w:val="24"/>
        </w:rPr>
        <w:t>This collection does not require industry to file the information with the Commission.  However, FERC-725B does contain information collection and record retention requirements for which using current technology is an option.</w:t>
      </w:r>
    </w:p>
    <w:p w:rsidR="005F7BEE" w:rsidRPr="005F7BEE" w:rsidP="005F7BEE" w14:paraId="5E7DE85B" w14:textId="77777777">
      <w:pPr>
        <w:widowControl w:val="0"/>
        <w:autoSpaceDE w:val="0"/>
        <w:autoSpaceDN w:val="0"/>
        <w:adjustRightInd w:val="0"/>
        <w:spacing w:after="0" w:line="240" w:lineRule="auto"/>
        <w:ind w:left="360"/>
        <w:rPr>
          <w:rFonts w:ascii="Times New Roman" w:eastAsia="Calibri" w:hAnsi="Times New Roman" w:cs="Times New Roman"/>
          <w:sz w:val="26"/>
          <w:szCs w:val="24"/>
        </w:rPr>
      </w:pPr>
    </w:p>
    <w:p w:rsidR="005F7BEE" w:rsidRPr="005F7BEE" w:rsidP="00D60FEE" w14:paraId="1F47D77B" w14:textId="77777777">
      <w:pPr>
        <w:widowControl w:val="0"/>
        <w:autoSpaceDE w:val="0"/>
        <w:autoSpaceDN w:val="0"/>
        <w:adjustRightInd w:val="0"/>
        <w:spacing w:after="0" w:line="240" w:lineRule="auto"/>
        <w:rPr>
          <w:rFonts w:ascii="Times New Roman" w:eastAsia="Calibri" w:hAnsi="Times New Roman" w:cs="Times New Roman"/>
          <w:sz w:val="26"/>
          <w:szCs w:val="24"/>
        </w:rPr>
      </w:pPr>
      <w:r w:rsidRPr="005F7BEE">
        <w:rPr>
          <w:rFonts w:ascii="Times New Roman" w:eastAsia="Calibri" w:hAnsi="Times New Roman" w:cs="Times New Roman"/>
          <w:sz w:val="26"/>
          <w:szCs w:val="24"/>
        </w:rPr>
        <w:t>The information technology to meet the information collection requirements is not specifically covered in the Reliability Standard.</w:t>
      </w:r>
    </w:p>
    <w:p w:rsidR="005F7BEE" w:rsidP="00E55772" w14:paraId="0F2B8755" w14:textId="424F56B6">
      <w:pPr>
        <w:spacing w:after="0" w:line="240" w:lineRule="auto"/>
        <w:rPr>
          <w:rFonts w:ascii="Times New Roman" w:eastAsia="Calibri" w:hAnsi="Times New Roman" w:cs="Times New Roman"/>
          <w:sz w:val="26"/>
          <w:szCs w:val="24"/>
        </w:rPr>
      </w:pPr>
    </w:p>
    <w:p w:rsidR="00F95C69" w:rsidRPr="00595846" w:rsidP="00F95C69" w14:paraId="3C9F8AFE" w14:textId="54479146">
      <w:pPr>
        <w:widowControl w:val="0"/>
        <w:autoSpaceDE w:val="0"/>
        <w:autoSpaceDN w:val="0"/>
        <w:adjustRightInd w:val="0"/>
        <w:spacing w:after="0" w:line="240" w:lineRule="auto"/>
        <w:rPr>
          <w:rFonts w:ascii="Times New Roman" w:hAnsi="Times New Roman" w:cs="Times New Roman"/>
          <w:b/>
          <w:bCs/>
          <w:sz w:val="26"/>
          <w:szCs w:val="24"/>
        </w:rPr>
      </w:pPr>
    </w:p>
    <w:p w:rsidR="00C4205B" w:rsidRPr="00595846" w:rsidP="007C39D3"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C4205B" w:rsidRPr="00595846" w:rsidP="002A4142" w14:paraId="7F8F98B7" w14:textId="77777777">
      <w:pPr>
        <w:spacing w:after="0" w:line="240" w:lineRule="auto"/>
        <w:rPr>
          <w:rFonts w:ascii="Times New Roman" w:hAnsi="Times New Roman" w:cs="Times New Roman"/>
          <w:sz w:val="26"/>
          <w:szCs w:val="24"/>
        </w:rPr>
      </w:pPr>
    </w:p>
    <w:p w:rsidR="00B218E9" w:rsidP="00AC06A5" w14:paraId="70C55870" w14:textId="415BD15F">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Filing requirements are periodically reviewed as OMB review dates arise or as the Commission may deem necessary in carrying out its regulatory responsibilities under the FPA </w:t>
      </w:r>
      <w:r w:rsidRPr="00595846" w:rsidR="00C81A35">
        <w:rPr>
          <w:rFonts w:ascii="Times New Roman" w:hAnsi="Times New Roman" w:cs="Times New Roman"/>
          <w:sz w:val="26"/>
          <w:szCs w:val="24"/>
        </w:rPr>
        <w:t>to</w:t>
      </w:r>
      <w:r w:rsidRPr="00595846">
        <w:rPr>
          <w:rFonts w:ascii="Times New Roman" w:hAnsi="Times New Roman" w:cs="Times New Roman"/>
          <w:sz w:val="26"/>
          <w:szCs w:val="24"/>
        </w:rPr>
        <w:t xml:space="preserve"> eliminate duplication and ensure that filing burden is minimized. There are no similar sources for information available that can be used or modified for these reporting purposes.</w:t>
      </w:r>
    </w:p>
    <w:p w:rsidR="00AC06A5" w:rsidRPr="00595846" w:rsidP="00AC06A5" w14:paraId="40A8E717" w14:textId="77777777">
      <w:pPr>
        <w:spacing w:after="0" w:line="240" w:lineRule="auto"/>
        <w:rPr>
          <w:rFonts w:ascii="Times New Roman" w:hAnsi="Times New Roman" w:cs="Times New Roman"/>
          <w:sz w:val="26"/>
          <w:szCs w:val="24"/>
        </w:rPr>
      </w:pPr>
    </w:p>
    <w:p w:rsidR="00C4205B" w:rsidRPr="00595846" w:rsidP="007C39D3"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METHODS USED TO MINIMIZE BURDEN IN COLLECTION OF INFORMATION INVOLVING SMALL ENTITIES</w:t>
      </w:r>
    </w:p>
    <w:p w:rsidR="00DF1C8D" w:rsidRPr="00595846" w:rsidP="00DF1C8D" w14:paraId="6B22F49C" w14:textId="4C2E2BFE">
      <w:pPr>
        <w:spacing w:after="0" w:line="240" w:lineRule="auto"/>
        <w:rPr>
          <w:rFonts w:ascii="Times New Roman" w:hAnsi="Times New Roman" w:cs="Times New Roman"/>
          <w:bCs/>
          <w:sz w:val="26"/>
          <w:szCs w:val="24"/>
        </w:rPr>
      </w:pPr>
    </w:p>
    <w:p w:rsidR="00FE0EF5" w:rsidRPr="00FE0EF5" w:rsidP="75D7739E" w14:paraId="3EA083AD" w14:textId="165C9BD8">
      <w:pPr>
        <w:spacing w:after="0" w:line="240" w:lineRule="auto"/>
        <w:rPr>
          <w:rFonts w:ascii="Times New Roman" w:eastAsia="Calibri" w:hAnsi="Times New Roman" w:cs="Times New Roman"/>
          <w:sz w:val="26"/>
          <w:szCs w:val="26"/>
        </w:rPr>
      </w:pPr>
      <w:r w:rsidRPr="00FE0EF5">
        <w:rPr>
          <w:rFonts w:ascii="Times New Roman" w:eastAsia="Calibri" w:hAnsi="Times New Roman" w:cs="Times New Roman"/>
          <w:sz w:val="26"/>
          <w:szCs w:val="26"/>
        </w:rPr>
        <w:t>The Commission estimates</w:t>
      </w:r>
      <w:r w:rsidR="00D94F16">
        <w:rPr>
          <w:rFonts w:ascii="Times New Roman" w:eastAsia="Calibri" w:hAnsi="Times New Roman" w:cs="Times New Roman"/>
          <w:sz w:val="26"/>
          <w:szCs w:val="26"/>
        </w:rPr>
        <w:t xml:space="preserve"> a</w:t>
      </w:r>
      <w:r w:rsidRPr="00FE0EF5">
        <w:rPr>
          <w:rFonts w:ascii="Times New Roman" w:eastAsia="Calibri" w:hAnsi="Times New Roman" w:cs="Times New Roman"/>
          <w:sz w:val="26"/>
          <w:szCs w:val="26"/>
        </w:rPr>
        <w:t xml:space="preserve"> one-time and ongoing increases in reporting burden on </w:t>
      </w:r>
      <w:r w:rsidR="00D94F16">
        <w:rPr>
          <w:rFonts w:ascii="Times New Roman" w:eastAsia="Calibri" w:hAnsi="Times New Roman" w:cs="Times New Roman"/>
          <w:sz w:val="26"/>
          <w:szCs w:val="26"/>
        </w:rPr>
        <w:t xml:space="preserve">a </w:t>
      </w:r>
      <w:r w:rsidRPr="00FE0EF5">
        <w:rPr>
          <w:rFonts w:ascii="Times New Roman" w:eastAsia="Calibri" w:hAnsi="Times New Roman" w:cs="Times New Roman"/>
          <w:sz w:val="26"/>
          <w:szCs w:val="26"/>
        </w:rPr>
        <w:t xml:space="preserve">variety of NERC-registered entities (including Reliability Coordinators, Generator Operators, Generator Owners, Interchange Coordinators, Transmission Operators, Balancing Authorities, Transmission Owners) due to the changes in the </w:t>
      </w:r>
      <w:r w:rsidRPr="75D7739E" w:rsidR="00C81A35">
        <w:rPr>
          <w:rFonts w:ascii="Times New Roman" w:eastAsia="Calibri" w:hAnsi="Times New Roman" w:cs="Times New Roman"/>
          <w:sz w:val="26"/>
          <w:szCs w:val="26"/>
        </w:rPr>
        <w:t xml:space="preserve">proposed </w:t>
      </w:r>
      <w:r w:rsidRPr="00FE0EF5">
        <w:rPr>
          <w:rFonts w:ascii="Times New Roman" w:eastAsia="Calibri" w:hAnsi="Times New Roman" w:cs="Times New Roman"/>
          <w:sz w:val="26"/>
          <w:szCs w:val="26"/>
        </w:rPr>
        <w:t xml:space="preserve">Reliability Standard, with no other increase in the cost of compliance (when compared </w:t>
      </w:r>
      <w:r w:rsidRPr="00FE0EF5">
        <w:rPr>
          <w:rFonts w:ascii="Times New Roman" w:eastAsia="Calibri" w:hAnsi="Times New Roman" w:cs="Times New Roman"/>
          <w:sz w:val="26"/>
          <w:szCs w:val="26"/>
        </w:rPr>
        <w:t xml:space="preserve">with the current </w:t>
      </w:r>
      <w:r w:rsidRPr="75D7739E" w:rsidR="00C81A35">
        <w:rPr>
          <w:rFonts w:ascii="Times New Roman" w:eastAsia="Calibri" w:hAnsi="Times New Roman" w:cs="Times New Roman"/>
          <w:sz w:val="26"/>
          <w:szCs w:val="26"/>
        </w:rPr>
        <w:t>S</w:t>
      </w:r>
      <w:r w:rsidRPr="00FE0EF5">
        <w:rPr>
          <w:rFonts w:ascii="Times New Roman" w:eastAsia="Calibri" w:hAnsi="Times New Roman" w:cs="Times New Roman"/>
          <w:sz w:val="26"/>
          <w:szCs w:val="26"/>
        </w:rPr>
        <w:t xml:space="preserve">tandards).  Approximately </w:t>
      </w:r>
      <w:r>
        <w:rPr>
          <w:rFonts w:ascii="Times New Roman" w:eastAsia="Calibri" w:hAnsi="Times New Roman" w:cs="Times New Roman"/>
          <w:sz w:val="26"/>
          <w:szCs w:val="26"/>
        </w:rPr>
        <w:t>400</w:t>
      </w:r>
      <w:r w:rsidRPr="00FE0EF5">
        <w:rPr>
          <w:rFonts w:ascii="Times New Roman" w:eastAsia="Calibri" w:hAnsi="Times New Roman" w:cs="Times New Roman"/>
          <w:sz w:val="26"/>
          <w:szCs w:val="26"/>
        </w:rPr>
        <w:t xml:space="preserve"> of the 714 affected entities are expected to meet the</w:t>
      </w:r>
      <w:r w:rsidRPr="75D7739E" w:rsidR="6FF35311">
        <w:rPr>
          <w:rFonts w:ascii="Times New Roman" w:eastAsia="Calibri" w:hAnsi="Times New Roman" w:cs="Times New Roman"/>
          <w:sz w:val="26"/>
          <w:szCs w:val="26"/>
        </w:rPr>
        <w:t xml:space="preserve"> Small Business Administration</w:t>
      </w:r>
      <w:r w:rsidRPr="00FE0EF5">
        <w:rPr>
          <w:rFonts w:ascii="Times New Roman" w:eastAsia="Calibri" w:hAnsi="Times New Roman" w:cs="Times New Roman"/>
          <w:sz w:val="26"/>
          <w:szCs w:val="26"/>
        </w:rPr>
        <w:t>’s definition for a small entity.</w:t>
      </w:r>
      <w:r>
        <w:rPr>
          <w:rFonts w:ascii="Times New Roman" w:eastAsia="Calibri" w:hAnsi="Times New Roman" w:cs="Arial"/>
          <w:sz w:val="26"/>
          <w:szCs w:val="26"/>
          <w:vertAlign w:val="superscript"/>
        </w:rPr>
        <w:footnoteReference w:id="22"/>
      </w:r>
    </w:p>
    <w:p w:rsidR="00FE0EF5" w:rsidRPr="00FE0EF5" w:rsidP="00FE0EF5" w14:paraId="2EE84E67" w14:textId="77777777">
      <w:pPr>
        <w:spacing w:after="0" w:line="240" w:lineRule="auto"/>
        <w:rPr>
          <w:rFonts w:ascii="Times New Roman" w:eastAsia="Calibri" w:hAnsi="Times New Roman" w:cs="Times New Roman"/>
          <w:bCs/>
          <w:sz w:val="26"/>
          <w:szCs w:val="24"/>
        </w:rPr>
      </w:pPr>
    </w:p>
    <w:p w:rsidR="00FE0EF5" w:rsidRPr="00FE0EF5" w:rsidP="75D7739E" w14:paraId="211494FE" w14:textId="42D5F33A">
      <w:pPr>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The Reliability Standards do not contain provisions for minimizing the burden of the collection for small entities.  All the requirements in the Reliability Standards apply to every applicable entity.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w:t>
      </w:r>
      <w:r w:rsidRPr="75D7739E" w:rsidR="00C81A35">
        <w:rPr>
          <w:rFonts w:ascii="Times New Roman" w:eastAsia="Calibri" w:hAnsi="Times New Roman" w:cs="Times New Roman"/>
          <w:sz w:val="26"/>
          <w:szCs w:val="26"/>
        </w:rPr>
        <w:t>s</w:t>
      </w:r>
      <w:r w:rsidRPr="75D7739E">
        <w:rPr>
          <w:rFonts w:ascii="Times New Roman" w:eastAsia="Calibri" w:hAnsi="Times New Roman" w:cs="Times New Roman"/>
          <w:sz w:val="26"/>
          <w:szCs w:val="26"/>
        </w:rPr>
        <w:t xml:space="preserve">ection 1502, available </w:t>
      </w:r>
      <w:r w:rsidRPr="75D7739E" w:rsidR="00C81A35">
        <w:rPr>
          <w:rFonts w:ascii="Times New Roman" w:eastAsia="Calibri" w:hAnsi="Times New Roman" w:cs="Times New Roman"/>
          <w:sz w:val="26"/>
          <w:szCs w:val="26"/>
        </w:rPr>
        <w:t>on</w:t>
      </w:r>
      <w:r w:rsidRPr="75D7739E">
        <w:rPr>
          <w:rFonts w:ascii="Times New Roman" w:eastAsia="Calibri" w:hAnsi="Times New Roman" w:cs="Times New Roman"/>
          <w:sz w:val="26"/>
          <w:szCs w:val="26"/>
        </w:rPr>
        <w:t xml:space="preserve"> NERC</w:t>
      </w:r>
      <w:r w:rsidRPr="75D7739E" w:rsidR="007A5DEA">
        <w:rPr>
          <w:rFonts w:ascii="Times New Roman" w:eastAsia="Calibri" w:hAnsi="Times New Roman" w:cs="Times New Roman"/>
          <w:sz w:val="26"/>
          <w:szCs w:val="26"/>
        </w:rPr>
        <w:t>’</w:t>
      </w:r>
      <w:r w:rsidRPr="75D7739E">
        <w:rPr>
          <w:rFonts w:ascii="Times New Roman" w:eastAsia="Calibri" w:hAnsi="Times New Roman" w:cs="Times New Roman"/>
          <w:sz w:val="26"/>
          <w:szCs w:val="26"/>
        </w:rPr>
        <w:t>s website.</w:t>
      </w:r>
      <w:r>
        <w:rPr>
          <w:rStyle w:val="FootnoteReference"/>
          <w:rFonts w:ascii="Times New Roman" w:eastAsia="Calibri" w:hAnsi="Times New Roman" w:cs="Times New Roman"/>
          <w:bCs/>
          <w:sz w:val="26"/>
          <w:szCs w:val="24"/>
          <w:vertAlign w:val="superscript"/>
        </w:rPr>
        <w:footnoteReference w:id="23"/>
      </w:r>
    </w:p>
    <w:p w:rsidR="00B218E9" w:rsidRPr="00FE0EF5" w:rsidP="00DF1C8D" w14:paraId="225A8E96" w14:textId="4565A83A">
      <w:pPr>
        <w:spacing w:after="0" w:line="240" w:lineRule="auto"/>
        <w:rPr>
          <w:rFonts w:ascii="Times New Roman" w:eastAsia="Calibri" w:hAnsi="Times New Roman" w:cs="Times New Roman"/>
          <w:bCs/>
          <w:sz w:val="26"/>
          <w:szCs w:val="24"/>
        </w:rPr>
      </w:pPr>
    </w:p>
    <w:p w:rsidR="00C4205B" w:rsidRPr="00595846" w:rsidP="007C39D3"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sz w:val="26"/>
          <w:szCs w:val="24"/>
        </w:rPr>
        <w:t>CONSEQUENCE TO FEDERAL PROGRAM IF COLLECTION WERE CONDUCTED LESS FREQUENTLY</w:t>
      </w:r>
    </w:p>
    <w:p w:rsidR="00C4205B" w:rsidRPr="00595846" w:rsidP="005E2448" w14:paraId="53BF93C7" w14:textId="77777777">
      <w:pPr>
        <w:pStyle w:val="FERCparanumber"/>
        <w:widowControl/>
        <w:numPr>
          <w:ilvl w:val="0"/>
          <w:numId w:val="0"/>
        </w:numPr>
        <w:tabs>
          <w:tab w:val="left" w:pos="720"/>
        </w:tabs>
        <w:rPr>
          <w:rFonts w:ascii="Times New Roman" w:hAnsi="Times New Roman" w:cs="Times New Roman"/>
          <w:sz w:val="26"/>
        </w:rPr>
      </w:pPr>
    </w:p>
    <w:p w:rsidR="000E2750" w:rsidP="002A4142" w14:paraId="16CAA16E" w14:textId="61FB3121">
      <w:pPr>
        <w:spacing w:after="0" w:line="240" w:lineRule="auto"/>
        <w:rPr>
          <w:rFonts w:ascii="Times New Roman" w:hAnsi="Times New Roman" w:cs="Times New Roman"/>
          <w:sz w:val="26"/>
          <w:szCs w:val="24"/>
        </w:rPr>
      </w:pPr>
      <w:r w:rsidRPr="005F7BEE">
        <w:rPr>
          <w:rFonts w:ascii="Times New Roman" w:hAnsi="Times New Roman" w:cs="Times New Roman"/>
          <w:sz w:val="26"/>
          <w:szCs w:val="24"/>
        </w:rPr>
        <w:t xml:space="preserve">The paperwork requirements are related </w:t>
      </w:r>
      <w:r>
        <w:rPr>
          <w:rFonts w:ascii="Times New Roman" w:hAnsi="Times New Roman" w:cs="Times New Roman"/>
          <w:sz w:val="26"/>
          <w:szCs w:val="24"/>
        </w:rPr>
        <w:t>to</w:t>
      </w:r>
      <w:r w:rsidRPr="005F7BEE">
        <w:rPr>
          <w:rFonts w:ascii="Times New Roman" w:hAnsi="Times New Roman" w:cs="Times New Roman"/>
          <w:sz w:val="26"/>
          <w:szCs w:val="24"/>
        </w:rPr>
        <w:t xml:space="preserve"> documenting compliance with substantive requirements and maintaining such documents.  The frequency of the paperwork requirements was vetted and approved by industry consensus in the NERC standard development process and is ultimately meant to support the reliability of the </w:t>
      </w:r>
      <w:r w:rsidR="00B76D6E">
        <w:rPr>
          <w:rFonts w:ascii="Times New Roman" w:hAnsi="Times New Roman" w:cs="Times New Roman"/>
          <w:sz w:val="26"/>
          <w:szCs w:val="24"/>
        </w:rPr>
        <w:t>Bulk-Power System.</w:t>
      </w:r>
    </w:p>
    <w:p w:rsidR="001075FC" w:rsidRPr="00595846" w:rsidP="002A4142" w14:paraId="51DD904C" w14:textId="77777777">
      <w:pPr>
        <w:spacing w:after="0" w:line="240" w:lineRule="auto"/>
        <w:rPr>
          <w:rFonts w:ascii="Times New Roman" w:hAnsi="Times New Roman" w:cs="Times New Roman"/>
          <w:sz w:val="26"/>
          <w:szCs w:val="24"/>
        </w:rPr>
      </w:pPr>
    </w:p>
    <w:p w:rsidR="00C4205B" w:rsidRPr="00595846" w:rsidP="007C39D3"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EXPLAIN ANY SPECIAL CIRCUMSTANCES RELATING TO THE INFORMATION COLLECTION</w:t>
      </w:r>
    </w:p>
    <w:p w:rsidR="00C4205B" w:rsidRPr="00595846" w:rsidP="002A4142" w14:paraId="3D593F90" w14:textId="77777777">
      <w:pPr>
        <w:spacing w:after="0" w:line="240" w:lineRule="auto"/>
        <w:rPr>
          <w:rFonts w:ascii="Times New Roman" w:hAnsi="Times New Roman" w:cs="Times New Roman"/>
          <w:b/>
          <w:bCs/>
          <w:sz w:val="26"/>
          <w:szCs w:val="24"/>
        </w:rPr>
      </w:pPr>
    </w:p>
    <w:p w:rsidR="00115F24" w:rsidRPr="00595846" w:rsidP="002A4142" w14:paraId="23E84D55" w14:textId="1862A5A9">
      <w:pPr>
        <w:spacing w:after="0" w:line="240" w:lineRule="auto"/>
        <w:rPr>
          <w:rFonts w:ascii="Times New Roman" w:eastAsia="Calibri" w:hAnsi="Times New Roman" w:cs="Times New Roman"/>
          <w:sz w:val="26"/>
          <w:szCs w:val="24"/>
        </w:rPr>
      </w:pPr>
      <w:r w:rsidRPr="00595846">
        <w:rPr>
          <w:rFonts w:ascii="Times New Roman" w:eastAsia="Calibri" w:hAnsi="Times New Roman" w:cs="Times New Roman"/>
          <w:sz w:val="26"/>
          <w:szCs w:val="24"/>
        </w:rPr>
        <w:t>FERC-725B</w:t>
      </w:r>
      <w:r w:rsidRPr="00595846" w:rsidR="0044319A">
        <w:rPr>
          <w:rFonts w:ascii="Times New Roman" w:eastAsia="Calibri" w:hAnsi="Times New Roman" w:cs="Times New Roman"/>
          <w:sz w:val="26"/>
          <w:szCs w:val="24"/>
        </w:rPr>
        <w:t xml:space="preserve"> information collection has</w:t>
      </w:r>
      <w:r w:rsidRPr="00595846" w:rsidR="00CB0831">
        <w:rPr>
          <w:rFonts w:ascii="Times New Roman" w:eastAsia="Calibri" w:hAnsi="Times New Roman" w:cs="Times New Roman"/>
          <w:sz w:val="26"/>
          <w:szCs w:val="24"/>
        </w:rPr>
        <w:t xml:space="preserve"> no special circumstances.  </w:t>
      </w:r>
    </w:p>
    <w:p w:rsidR="006C0F0B" w:rsidRPr="00595846" w:rsidP="002A4142" w14:paraId="21EB7D70" w14:textId="77777777">
      <w:pPr>
        <w:spacing w:after="0" w:line="240" w:lineRule="auto"/>
        <w:rPr>
          <w:rFonts w:ascii="Times New Roman" w:hAnsi="Times New Roman" w:cs="Times New Roman"/>
          <w:sz w:val="26"/>
          <w:szCs w:val="24"/>
        </w:rPr>
      </w:pPr>
    </w:p>
    <w:p w:rsidR="00C4205B" w:rsidRPr="00595846" w:rsidP="007C39D3"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CONSULT OUTSIDE THE AGENCY: SUMMARIZE PUBLIC COMMENTS AND THE AGENCY'S RESPONSE TO THESE COMMENTS</w:t>
      </w:r>
    </w:p>
    <w:p w:rsidR="00C4205B" w:rsidP="002A4142" w14:paraId="180E4F06" w14:textId="77777777">
      <w:pPr>
        <w:spacing w:after="0" w:line="240" w:lineRule="auto"/>
        <w:rPr>
          <w:rFonts w:ascii="Times New Roman" w:hAnsi="Times New Roman" w:cs="Times New Roman"/>
          <w:b/>
          <w:bCs/>
          <w:sz w:val="26"/>
          <w:szCs w:val="24"/>
        </w:rPr>
      </w:pPr>
    </w:p>
    <w:p w:rsidR="005F7BEE" w:rsidRPr="00D60FEE" w:rsidP="005F7BEE" w14:paraId="04BDE182" w14:textId="77777777">
      <w:pPr>
        <w:spacing w:after="0" w:line="240" w:lineRule="auto"/>
        <w:rPr>
          <w:rFonts w:ascii="Times New Roman" w:hAnsi="Times New Roman" w:cs="Times New Roman"/>
          <w:sz w:val="26"/>
          <w:szCs w:val="26"/>
        </w:rPr>
      </w:pPr>
      <w:r w:rsidRPr="00D60FEE">
        <w:rPr>
          <w:rFonts w:ascii="Times New Roman" w:hAnsi="Times New Roman" w:cs="Times New Roman"/>
          <w:sz w:val="26"/>
          <w:szCs w:val="26"/>
        </w:rPr>
        <w:t xml:space="preserve">The ERO process to establish Reliability Standards is a collaborative process with the ERO, Regional Entities, and other stakeholders developing and reviewing drafts and </w:t>
      </w:r>
      <w:r w:rsidRPr="00D60FEE">
        <w:rPr>
          <w:rFonts w:ascii="Times New Roman" w:hAnsi="Times New Roman" w:cs="Times New Roman"/>
          <w:sz w:val="26"/>
          <w:szCs w:val="26"/>
        </w:rPr>
        <w:t>providing comments.</w:t>
      </w:r>
      <w:r>
        <w:rPr>
          <w:rFonts w:ascii="Times New Roman" w:hAnsi="Times New Roman" w:cs="Times New Roman"/>
          <w:sz w:val="26"/>
          <w:szCs w:val="24"/>
          <w:vertAlign w:val="superscript"/>
        </w:rPr>
        <w:footnoteReference w:id="24"/>
      </w:r>
      <w:r w:rsidRPr="00D60FEE">
        <w:rPr>
          <w:rFonts w:ascii="Times New Roman" w:hAnsi="Times New Roman" w:cs="Times New Roman"/>
          <w:sz w:val="26"/>
          <w:szCs w:val="26"/>
        </w:rPr>
        <w:t xml:space="preserve">  The NERC-approved Reliability Standards were then submitted by NERC to the FERC for review and approval.</w:t>
      </w:r>
    </w:p>
    <w:p w:rsidR="005F7BEE" w:rsidP="002A4142" w14:paraId="471DE6D2" w14:textId="77777777">
      <w:pPr>
        <w:spacing w:after="0" w:line="240" w:lineRule="auto"/>
        <w:rPr>
          <w:rFonts w:ascii="Times New Roman" w:hAnsi="Times New Roman" w:cs="Times New Roman"/>
          <w:b/>
          <w:bCs/>
          <w:sz w:val="26"/>
          <w:szCs w:val="24"/>
        </w:rPr>
      </w:pPr>
    </w:p>
    <w:p w:rsidR="008E61D9" w:rsidP="005935E9" w14:paraId="7D179D72" w14:textId="77777777">
      <w:pPr>
        <w:spacing w:after="0" w:line="240" w:lineRule="auto"/>
        <w:rPr>
          <w:rFonts w:ascii="Times New Roman" w:eastAsia="Calibri" w:hAnsi="Times New Roman" w:cs="Times New Roman"/>
          <w:sz w:val="26"/>
          <w:szCs w:val="24"/>
        </w:rPr>
      </w:pPr>
      <w:r w:rsidRPr="005935E9">
        <w:rPr>
          <w:rFonts w:ascii="Times New Roman" w:eastAsia="Calibri" w:hAnsi="Times New Roman" w:cs="Times New Roman"/>
          <w:sz w:val="26"/>
          <w:szCs w:val="24"/>
        </w:rPr>
        <w:t xml:space="preserve">The Commission </w:t>
      </w:r>
      <w:r w:rsidR="0087187E">
        <w:rPr>
          <w:rFonts w:ascii="Times New Roman" w:eastAsia="Calibri" w:hAnsi="Times New Roman" w:cs="Times New Roman"/>
          <w:sz w:val="26"/>
          <w:szCs w:val="24"/>
        </w:rPr>
        <w:t>pub</w:t>
      </w:r>
      <w:r w:rsidR="00F63133">
        <w:rPr>
          <w:rFonts w:ascii="Times New Roman" w:eastAsia="Calibri" w:hAnsi="Times New Roman" w:cs="Times New Roman"/>
          <w:sz w:val="26"/>
          <w:szCs w:val="24"/>
        </w:rPr>
        <w:t>lished the</w:t>
      </w:r>
      <w:r w:rsidRPr="005935E9">
        <w:rPr>
          <w:rFonts w:ascii="Times New Roman" w:eastAsia="Calibri" w:hAnsi="Times New Roman" w:cs="Times New Roman"/>
          <w:sz w:val="26"/>
          <w:szCs w:val="24"/>
        </w:rPr>
        <w:t xml:space="preserve"> </w:t>
      </w:r>
      <w:r w:rsidR="00EE4D63">
        <w:rPr>
          <w:rFonts w:ascii="Times New Roman" w:eastAsia="Calibri" w:hAnsi="Times New Roman" w:cs="Times New Roman"/>
          <w:sz w:val="26"/>
          <w:szCs w:val="24"/>
        </w:rPr>
        <w:t>Proposed Rule</w:t>
      </w:r>
      <w:r w:rsidRPr="005935E9">
        <w:rPr>
          <w:rFonts w:ascii="Times New Roman" w:eastAsia="Calibri" w:hAnsi="Times New Roman" w:cs="Times New Roman"/>
          <w:sz w:val="26"/>
          <w:szCs w:val="24"/>
        </w:rPr>
        <w:t xml:space="preserve"> in Docket No. R</w:t>
      </w:r>
      <w:r w:rsidR="00EE4D63">
        <w:rPr>
          <w:rFonts w:ascii="Times New Roman" w:eastAsia="Calibri" w:hAnsi="Times New Roman" w:cs="Times New Roman"/>
          <w:sz w:val="26"/>
          <w:szCs w:val="24"/>
        </w:rPr>
        <w:t>M</w:t>
      </w:r>
      <w:r w:rsidRPr="005935E9">
        <w:rPr>
          <w:rFonts w:ascii="Times New Roman" w:eastAsia="Calibri" w:hAnsi="Times New Roman" w:cs="Times New Roman"/>
          <w:sz w:val="26"/>
          <w:szCs w:val="24"/>
        </w:rPr>
        <w:t>2</w:t>
      </w:r>
      <w:r w:rsidR="0087187E">
        <w:rPr>
          <w:rFonts w:ascii="Times New Roman" w:eastAsia="Calibri" w:hAnsi="Times New Roman" w:cs="Times New Roman"/>
          <w:sz w:val="26"/>
          <w:szCs w:val="24"/>
        </w:rPr>
        <w:t>4-</w:t>
      </w:r>
      <w:r w:rsidR="00EE4D63">
        <w:rPr>
          <w:rFonts w:ascii="Times New Roman" w:eastAsia="Calibri" w:hAnsi="Times New Roman" w:cs="Times New Roman"/>
          <w:sz w:val="26"/>
          <w:szCs w:val="24"/>
        </w:rPr>
        <w:t>7</w:t>
      </w:r>
      <w:r w:rsidR="0087187E">
        <w:rPr>
          <w:rFonts w:ascii="Times New Roman" w:eastAsia="Calibri" w:hAnsi="Times New Roman" w:cs="Times New Roman"/>
          <w:sz w:val="26"/>
          <w:szCs w:val="24"/>
        </w:rPr>
        <w:t xml:space="preserve">-000 </w:t>
      </w:r>
      <w:r w:rsidRPr="005935E9">
        <w:rPr>
          <w:rFonts w:ascii="Times New Roman" w:eastAsia="Calibri" w:hAnsi="Times New Roman" w:cs="Times New Roman"/>
          <w:sz w:val="26"/>
          <w:szCs w:val="24"/>
        </w:rPr>
        <w:t>on</w:t>
      </w:r>
      <w:r w:rsidR="0087187E">
        <w:rPr>
          <w:rFonts w:ascii="Times New Roman" w:eastAsia="Calibri" w:hAnsi="Times New Roman" w:cs="Times New Roman"/>
          <w:sz w:val="26"/>
          <w:szCs w:val="24"/>
        </w:rPr>
        <w:t xml:space="preserve"> </w:t>
      </w:r>
      <w:r w:rsidR="001E628C">
        <w:rPr>
          <w:rFonts w:ascii="Times New Roman" w:eastAsia="Calibri" w:hAnsi="Times New Roman" w:cs="Times New Roman"/>
          <w:sz w:val="26"/>
          <w:szCs w:val="24"/>
        </w:rPr>
        <w:t xml:space="preserve">September </w:t>
      </w:r>
      <w:r w:rsidR="0086678B">
        <w:rPr>
          <w:rFonts w:ascii="Times New Roman" w:eastAsia="Calibri" w:hAnsi="Times New Roman" w:cs="Times New Roman"/>
          <w:sz w:val="26"/>
          <w:szCs w:val="24"/>
        </w:rPr>
        <w:t>27</w:t>
      </w:r>
      <w:r w:rsidR="001E628C">
        <w:rPr>
          <w:rFonts w:ascii="Times New Roman" w:eastAsia="Calibri" w:hAnsi="Times New Roman" w:cs="Times New Roman"/>
          <w:sz w:val="26"/>
          <w:szCs w:val="24"/>
        </w:rPr>
        <w:t xml:space="preserve">, </w:t>
      </w:r>
      <w:r w:rsidR="00E54473">
        <w:rPr>
          <w:rFonts w:ascii="Times New Roman" w:eastAsia="Calibri" w:hAnsi="Times New Roman" w:cs="Times New Roman"/>
          <w:sz w:val="26"/>
          <w:szCs w:val="24"/>
        </w:rPr>
        <w:t>2024</w:t>
      </w:r>
      <w:r w:rsidR="00A55996">
        <w:rPr>
          <w:rFonts w:ascii="Times New Roman" w:eastAsia="Calibri" w:hAnsi="Times New Roman" w:cs="Times New Roman"/>
          <w:sz w:val="26"/>
          <w:szCs w:val="24"/>
        </w:rPr>
        <w:t xml:space="preserve"> </w:t>
      </w:r>
      <w:r w:rsidR="000758B5">
        <w:rPr>
          <w:rFonts w:ascii="Times New Roman" w:eastAsia="Calibri" w:hAnsi="Times New Roman" w:cs="Times New Roman"/>
          <w:sz w:val="26"/>
          <w:szCs w:val="24"/>
        </w:rPr>
        <w:t>(</w:t>
      </w:r>
      <w:r w:rsidRPr="00A55996" w:rsidR="00A55996">
        <w:rPr>
          <w:rFonts w:ascii="Times New Roman" w:eastAsia="Calibri" w:hAnsi="Times New Roman" w:cs="Times New Roman"/>
          <w:sz w:val="26"/>
          <w:szCs w:val="24"/>
        </w:rPr>
        <w:t xml:space="preserve">89 FR </w:t>
      </w:r>
      <w:r w:rsidR="00C07E51">
        <w:rPr>
          <w:rFonts w:ascii="Times New Roman" w:eastAsia="Calibri" w:hAnsi="Times New Roman" w:cs="Times New Roman"/>
          <w:sz w:val="26"/>
          <w:szCs w:val="24"/>
        </w:rPr>
        <w:t>79178</w:t>
      </w:r>
      <w:r w:rsidR="000758B5">
        <w:rPr>
          <w:rFonts w:ascii="Times New Roman" w:eastAsia="Calibri" w:hAnsi="Times New Roman" w:cs="Times New Roman"/>
          <w:sz w:val="26"/>
          <w:szCs w:val="24"/>
        </w:rPr>
        <w:t>)</w:t>
      </w:r>
      <w:r w:rsidRPr="005935E9">
        <w:rPr>
          <w:rFonts w:ascii="Times New Roman" w:eastAsia="Calibri" w:hAnsi="Times New Roman" w:cs="Times New Roman"/>
          <w:sz w:val="26"/>
          <w:szCs w:val="24"/>
        </w:rPr>
        <w:t>.</w:t>
      </w:r>
      <w:r w:rsidR="001E628C">
        <w:rPr>
          <w:rFonts w:ascii="Times New Roman" w:eastAsia="Calibri" w:hAnsi="Times New Roman" w:cs="Times New Roman"/>
          <w:sz w:val="26"/>
          <w:szCs w:val="24"/>
        </w:rPr>
        <w:t xml:space="preserve">  </w:t>
      </w:r>
    </w:p>
    <w:p w:rsidR="008E61D9" w:rsidP="005935E9" w14:paraId="338CBD33" w14:textId="77777777">
      <w:pPr>
        <w:spacing w:after="0" w:line="240" w:lineRule="auto"/>
        <w:rPr>
          <w:rFonts w:ascii="Times New Roman" w:eastAsia="Calibri" w:hAnsi="Times New Roman" w:cs="Times New Roman"/>
          <w:sz w:val="26"/>
          <w:szCs w:val="24"/>
        </w:rPr>
      </w:pPr>
    </w:p>
    <w:p w:rsidR="008E61D9" w:rsidP="005935E9" w14:paraId="612768DC" w14:textId="5B28D029">
      <w:pPr>
        <w:spacing w:after="0" w:line="240" w:lineRule="auto"/>
        <w:rPr>
          <w:rFonts w:ascii="Times New Roman" w:eastAsia="Calibri" w:hAnsi="Times New Roman" w:cs="Times New Roman"/>
          <w:sz w:val="26"/>
          <w:szCs w:val="24"/>
        </w:rPr>
      </w:pPr>
      <w:r>
        <w:rPr>
          <w:rFonts w:ascii="Times New Roman" w:eastAsia="Calibri" w:hAnsi="Times New Roman" w:cs="Times New Roman"/>
          <w:sz w:val="26"/>
          <w:szCs w:val="24"/>
        </w:rPr>
        <w:t>Comments were received:</w:t>
      </w:r>
    </w:p>
    <w:p w:rsidR="008E61D9" w:rsidRPr="008E61D9" w:rsidP="008E61D9" w14:paraId="07186CB3" w14:textId="57D84D84">
      <w:pPr>
        <w:pStyle w:val="ListParagraph"/>
        <w:numPr>
          <w:ilvl w:val="0"/>
          <w:numId w:val="41"/>
        </w:numPr>
        <w:spacing w:after="0" w:line="240" w:lineRule="auto"/>
        <w:rPr>
          <w:rFonts w:ascii="Times New Roman" w:eastAsia="Calibri" w:hAnsi="Times New Roman" w:cs="Times New Roman"/>
          <w:sz w:val="26"/>
          <w:szCs w:val="24"/>
        </w:rPr>
      </w:pPr>
      <w:r w:rsidRPr="008E61D9">
        <w:rPr>
          <w:rFonts w:ascii="Times New Roman" w:eastAsia="Calibri" w:hAnsi="Times New Roman" w:cs="Times New Roman"/>
          <w:sz w:val="26"/>
        </w:rPr>
        <w:t>NERC, NESCOE, OpenPolicy, and Trade Associations support the Commission’s proposal to approve proposed Reliability Standard CIP-015-1</w:t>
      </w:r>
    </w:p>
    <w:p w:rsidR="008E61D9" w:rsidRPr="008E61D9" w:rsidP="008E61D9" w14:paraId="18ECB630" w14:textId="72AA842C">
      <w:pPr>
        <w:pStyle w:val="ListParagraph"/>
        <w:numPr>
          <w:ilvl w:val="0"/>
          <w:numId w:val="41"/>
        </w:numPr>
        <w:spacing w:after="0" w:line="240" w:lineRule="auto"/>
        <w:rPr>
          <w:rFonts w:ascii="Times New Roman" w:eastAsia="Calibri" w:hAnsi="Times New Roman" w:cs="Times New Roman"/>
          <w:sz w:val="26"/>
          <w:szCs w:val="24"/>
        </w:rPr>
      </w:pPr>
      <w:r w:rsidRPr="008E61D9">
        <w:rPr>
          <w:rFonts w:ascii="Times New Roman" w:eastAsia="Calibri" w:hAnsi="Times New Roman" w:cs="Times New Roman"/>
          <w:sz w:val="26"/>
        </w:rPr>
        <w:t>NERC, OpenPolicy, and Trade Associations indicate that proposed Reliability Standard CIP-015-1 would improve the detection of anomalous, malicious, or unauthorized network activity</w:t>
      </w:r>
    </w:p>
    <w:p w:rsidR="008E61D9" w:rsidRPr="008E61D9" w:rsidP="008E61D9" w14:paraId="40D34089" w14:textId="49C07EC1">
      <w:pPr>
        <w:pStyle w:val="ListParagraph"/>
        <w:numPr>
          <w:ilvl w:val="0"/>
          <w:numId w:val="41"/>
        </w:numPr>
        <w:spacing w:after="0" w:line="240" w:lineRule="auto"/>
        <w:rPr>
          <w:rFonts w:ascii="Times New Roman" w:eastAsia="Calibri" w:hAnsi="Times New Roman" w:cs="Times New Roman"/>
          <w:sz w:val="26"/>
        </w:rPr>
      </w:pPr>
      <w:r w:rsidRPr="008E61D9">
        <w:rPr>
          <w:rFonts w:ascii="Times New Roman" w:eastAsia="Calibri" w:hAnsi="Times New Roman" w:cs="Times New Roman"/>
          <w:sz w:val="26"/>
        </w:rPr>
        <w:t>NERC and OpenPolicy both note that improved detection of anomalous or malicious activity will strengthen responses to and recovery from threats and attacks.</w:t>
      </w:r>
    </w:p>
    <w:p w:rsidR="008E61D9" w:rsidRPr="008E61D9" w:rsidP="008E61D9" w14:paraId="7C7F3D02" w14:textId="3804670E">
      <w:pPr>
        <w:pStyle w:val="ListParagraph"/>
        <w:numPr>
          <w:ilvl w:val="0"/>
          <w:numId w:val="41"/>
        </w:numPr>
        <w:tabs>
          <w:tab w:val="num" w:pos="720"/>
        </w:tabs>
        <w:spacing w:after="0" w:line="480" w:lineRule="auto"/>
        <w:rPr>
          <w:rFonts w:ascii="Times New Roman" w:eastAsia="Calibri" w:hAnsi="Times New Roman" w:cs="Times New Roman"/>
          <w:sz w:val="26"/>
        </w:rPr>
      </w:pPr>
      <w:r w:rsidRPr="008E61D9">
        <w:rPr>
          <w:rFonts w:ascii="Times New Roman" w:eastAsia="Calibri" w:hAnsi="Times New Roman" w:cs="Times New Roman"/>
          <w:sz w:val="26"/>
        </w:rPr>
        <w:t>No commenters oppose approval of the proposed Reliability Standard.</w:t>
      </w:r>
    </w:p>
    <w:p w:rsidR="008E61D9" w:rsidP="005935E9" w14:paraId="060B6F22" w14:textId="6E2AB671">
      <w:pPr>
        <w:spacing w:after="0" w:line="240" w:lineRule="auto"/>
        <w:rPr>
          <w:rFonts w:ascii="Times New Roman" w:eastAsia="Calibri" w:hAnsi="Times New Roman" w:cs="Times New Roman"/>
          <w:sz w:val="26"/>
        </w:rPr>
      </w:pPr>
      <w:r w:rsidRPr="008E61D9">
        <w:rPr>
          <w:rFonts w:ascii="Times New Roman" w:eastAsia="Calibri" w:hAnsi="Times New Roman" w:cs="Times New Roman"/>
          <w:sz w:val="26"/>
        </w:rPr>
        <w:t>OpenPolicy, while supporting approval of proposed Reliability Standard CIP</w:t>
      </w:r>
      <w:r w:rsidRPr="008E61D9">
        <w:rPr>
          <w:rFonts w:ascii="Times New Roman" w:eastAsia="Calibri" w:hAnsi="Times New Roman" w:cs="Times New Roman"/>
          <w:sz w:val="26"/>
        </w:rPr>
        <w:noBreakHyphen/>
        <w:t>015</w:t>
      </w:r>
      <w:r w:rsidRPr="008E61D9">
        <w:rPr>
          <w:rFonts w:ascii="Times New Roman" w:eastAsia="Calibri" w:hAnsi="Times New Roman" w:cs="Times New Roman"/>
          <w:sz w:val="26"/>
        </w:rPr>
        <w:noBreakHyphen/>
        <w:t>1, also recommends ways to strengthen the proposed Standard.  For example, OpenPolicy proposes adopting scalable and modular INSM architectures to adapt to evolving cybersecurity threats by enhancing threat detection and simplifying compliance processes; and mandating robust encryption standards to secure logs against tampering and unauthorized access.</w:t>
      </w:r>
    </w:p>
    <w:p w:rsidR="008E61D9" w:rsidP="005935E9" w14:paraId="70CB03C9" w14:textId="77777777">
      <w:pPr>
        <w:spacing w:after="0" w:line="240" w:lineRule="auto"/>
        <w:rPr>
          <w:rFonts w:ascii="Times New Roman" w:eastAsia="Calibri" w:hAnsi="Times New Roman" w:cs="Times New Roman"/>
          <w:sz w:val="26"/>
        </w:rPr>
      </w:pPr>
    </w:p>
    <w:p w:rsidR="008E61D9" w:rsidP="005935E9" w14:paraId="098C4D5C" w14:textId="171298C1">
      <w:pPr>
        <w:spacing w:after="0" w:line="240" w:lineRule="auto"/>
        <w:rPr>
          <w:rFonts w:ascii="Times New Roman" w:eastAsia="Calibri" w:hAnsi="Times New Roman" w:cs="Times New Roman"/>
          <w:sz w:val="26"/>
        </w:rPr>
      </w:pPr>
      <w:r>
        <w:rPr>
          <w:rFonts w:ascii="Times New Roman" w:eastAsia="Calibri" w:hAnsi="Times New Roman" w:cs="Times New Roman"/>
          <w:sz w:val="26"/>
        </w:rPr>
        <w:t>Response:</w:t>
      </w:r>
    </w:p>
    <w:p w:rsidR="008E61D9" w:rsidRPr="008E61D9" w:rsidP="008E61D9" w14:paraId="7E362506" w14:textId="26789E51">
      <w:pPr>
        <w:tabs>
          <w:tab w:val="num" w:pos="720"/>
        </w:tabs>
        <w:spacing w:after="0" w:line="240" w:lineRule="auto"/>
        <w:rPr>
          <w:rFonts w:ascii="Times New Roman" w:eastAsia="Calibri" w:hAnsi="Times New Roman" w:cs="Times New Roman"/>
          <w:sz w:val="26"/>
        </w:rPr>
      </w:pPr>
      <w:r w:rsidRPr="008E61D9">
        <w:rPr>
          <w:rFonts w:ascii="Times New Roman" w:eastAsia="Calibri" w:hAnsi="Times New Roman" w:cs="Times New Roman"/>
          <w:sz w:val="26"/>
        </w:rPr>
        <w:t>We decline to direct NERC to modify the proposed Standard to address OpenPolicy’s recommendations.  We note, however, that responsible entities, in addition to implementing the INSM requirements set forth in proposed Reliability Standard CIP</w:t>
      </w:r>
      <w:r w:rsidRPr="008E61D9">
        <w:rPr>
          <w:rFonts w:ascii="Times New Roman" w:eastAsia="Calibri" w:hAnsi="Times New Roman" w:cs="Times New Roman"/>
          <w:sz w:val="26"/>
        </w:rPr>
        <w:noBreakHyphen/>
        <w:t xml:space="preserve">015-1, may voluntarily choose to adopt additional INSM practices such as those recommended by OpenPolicy.  Moreover, OpenPolicy or other entities may advocate for OpenPolicy’s recommendations in the NERC Reliability Standard development process.  </w:t>
      </w:r>
    </w:p>
    <w:p w:rsidR="008E61D9" w:rsidP="005935E9" w14:paraId="3F31CE65" w14:textId="77777777">
      <w:pPr>
        <w:spacing w:after="0" w:line="240" w:lineRule="auto"/>
        <w:rPr>
          <w:rFonts w:ascii="Times New Roman" w:eastAsia="Calibri" w:hAnsi="Times New Roman" w:cs="Times New Roman"/>
          <w:sz w:val="26"/>
          <w:szCs w:val="24"/>
        </w:rPr>
      </w:pPr>
    </w:p>
    <w:p w:rsidR="005935E9" w:rsidP="005935E9" w14:paraId="4591019E" w14:textId="0E0010AF">
      <w:pPr>
        <w:spacing w:after="0" w:line="240" w:lineRule="auto"/>
        <w:rPr>
          <w:rFonts w:ascii="Times New Roman" w:eastAsia="Calibri" w:hAnsi="Times New Roman" w:cs="Times New Roman"/>
          <w:sz w:val="26"/>
          <w:szCs w:val="24"/>
        </w:rPr>
      </w:pPr>
      <w:r>
        <w:rPr>
          <w:rFonts w:ascii="Times New Roman" w:eastAsia="Calibri" w:hAnsi="Times New Roman" w:cs="Times New Roman"/>
          <w:sz w:val="26"/>
          <w:szCs w:val="24"/>
        </w:rPr>
        <w:t xml:space="preserve">The Final Rule published on July 2, 2025 (90 FR 28889) </w:t>
      </w:r>
    </w:p>
    <w:p w:rsidR="00F116E4" w:rsidP="005935E9" w14:paraId="18D84460" w14:textId="77777777">
      <w:pPr>
        <w:spacing w:after="0" w:line="240" w:lineRule="auto"/>
        <w:rPr>
          <w:rFonts w:ascii="Times New Roman" w:eastAsia="Calibri" w:hAnsi="Times New Roman" w:cs="Times New Roman"/>
          <w:sz w:val="26"/>
          <w:szCs w:val="24"/>
        </w:rPr>
      </w:pPr>
    </w:p>
    <w:p w:rsidR="00F116E4" w:rsidRPr="00F116E4" w:rsidP="00F116E4" w14:paraId="525E7711" w14:textId="77777777">
      <w:pPr>
        <w:spacing w:after="0" w:line="240" w:lineRule="auto"/>
        <w:rPr>
          <w:rFonts w:ascii="Times New Roman" w:eastAsia="Calibri" w:hAnsi="Times New Roman" w:cs="Times New Roman"/>
          <w:b/>
          <w:sz w:val="26"/>
          <w:szCs w:val="24"/>
          <w:u w:val="single"/>
        </w:rPr>
      </w:pPr>
      <w:r w:rsidRPr="00F116E4">
        <w:rPr>
          <w:rFonts w:ascii="Times New Roman" w:eastAsia="Calibri" w:hAnsi="Times New Roman" w:cs="Times New Roman"/>
          <w:b/>
          <w:sz w:val="26"/>
          <w:szCs w:val="24"/>
          <w:u w:val="single"/>
        </w:rPr>
        <w:t xml:space="preserve">Notice of Filing and Responsive Pleadings </w:t>
      </w:r>
    </w:p>
    <w:p w:rsidR="00F116E4" w:rsidP="75D7739E" w14:paraId="236F66ED" w14:textId="3196D4EA">
      <w:pPr>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As required by Section 39.5(a) of the Commission’s regulations,</w:t>
      </w:r>
      <w:r>
        <w:rPr>
          <w:rStyle w:val="FootnoteReference"/>
          <w:rFonts w:ascii="Times New Roman" w:eastAsia="Calibri" w:hAnsi="Times New Roman" w:cs="Times New Roman"/>
          <w:bCs/>
          <w:sz w:val="26"/>
          <w:szCs w:val="24"/>
          <w:vertAlign w:val="superscript"/>
        </w:rPr>
        <w:footnoteReference w:id="25"/>
      </w:r>
      <w:r w:rsidRPr="75D7739E">
        <w:rPr>
          <w:rFonts w:ascii="Times New Roman" w:eastAsia="Calibri" w:hAnsi="Times New Roman" w:cs="Times New Roman"/>
          <w:sz w:val="26"/>
          <w:szCs w:val="26"/>
        </w:rPr>
        <w:t xml:space="preserve"> this petition presents the technical basis and purpose of the proposed Reliability Standard, a summary of the development history and complete record of development (Exhibit G), and a demonstration that the proposed Reliability Standard meets the criteria identified by the Commission in Order No. 672 (Exhibit C). </w:t>
      </w:r>
      <w:r w:rsidR="00E61262">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 xml:space="preserve">The NERC Board of Trustees (“Board”) adopted the proposed Reliability Standard on May 9, 2024. </w:t>
      </w:r>
    </w:p>
    <w:p w:rsidR="00F116E4" w:rsidP="00D60FEE" w14:paraId="170CB061" w14:textId="00A377FD">
      <w:pPr>
        <w:spacing w:after="0" w:line="240" w:lineRule="auto"/>
        <w:rPr>
          <w:rFonts w:ascii="Times New Roman" w:eastAsia="Calibri" w:hAnsi="Times New Roman" w:cs="Times New Roman"/>
          <w:sz w:val="26"/>
          <w:szCs w:val="26"/>
        </w:rPr>
      </w:pPr>
    </w:p>
    <w:p w:rsidR="00F116E4" w:rsidRPr="00F116E4" w:rsidP="00F116E4" w14:paraId="0A3C8C0E" w14:textId="0D4D7780">
      <w:pPr>
        <w:spacing w:after="0" w:line="240" w:lineRule="auto"/>
        <w:rPr>
          <w:rFonts w:ascii="Times New Roman" w:eastAsia="Calibri" w:hAnsi="Times New Roman" w:cs="Times New Roman"/>
          <w:sz w:val="26"/>
          <w:szCs w:val="24"/>
        </w:rPr>
      </w:pPr>
      <w:r w:rsidRPr="75D7739E">
        <w:rPr>
          <w:rFonts w:ascii="Times New Roman" w:eastAsia="Calibri" w:hAnsi="Times New Roman" w:cs="Times New Roman"/>
          <w:sz w:val="26"/>
          <w:szCs w:val="26"/>
        </w:rPr>
        <w:t>Currently effective CIP Reliability Standards focus on preventing unauthorized access at the electronic security perimeter and do not require INSM inside trusted CIP-networked environments.</w:t>
      </w:r>
      <w:r>
        <w:rPr>
          <w:rFonts w:ascii="Times New Roman" w:eastAsia="Calibri" w:hAnsi="Times New Roman" w:cs="Times New Roman"/>
          <w:bCs/>
          <w:sz w:val="26"/>
          <w:szCs w:val="24"/>
          <w:vertAlign w:val="superscript"/>
        </w:rPr>
        <w:footnoteReference w:id="26"/>
      </w:r>
      <w:r w:rsidRPr="00F40068">
        <w:rPr>
          <w:rFonts w:ascii="Times New Roman" w:eastAsia="Calibri" w:hAnsi="Times New Roman" w:cs="Times New Roman"/>
          <w:bCs/>
          <w:sz w:val="26"/>
          <w:szCs w:val="26"/>
        </w:rPr>
        <w:t xml:space="preserve"> </w:t>
      </w:r>
      <w:r w:rsidRPr="75D7739E">
        <w:rPr>
          <w:rFonts w:ascii="Times New Roman" w:eastAsia="Calibri" w:hAnsi="Times New Roman" w:cs="Times New Roman"/>
          <w:sz w:val="26"/>
          <w:szCs w:val="26"/>
        </w:rPr>
        <w:t xml:space="preserve"> In Order No. 887, the Commission determined that this left a reliability gap when vendors or individuals with authorized access are deemed trustworthy but could still introduce a cybersecurity risk.</w:t>
      </w:r>
      <w:r>
        <w:rPr>
          <w:rFonts w:ascii="Times New Roman" w:eastAsia="Calibri" w:hAnsi="Times New Roman" w:cs="Times New Roman"/>
          <w:bCs/>
          <w:sz w:val="26"/>
          <w:szCs w:val="24"/>
          <w:vertAlign w:val="superscript"/>
        </w:rPr>
        <w:footnoteReference w:id="27"/>
      </w:r>
      <w:r w:rsidRPr="00F40068">
        <w:rPr>
          <w:rFonts w:ascii="Times New Roman" w:eastAsia="Calibri" w:hAnsi="Times New Roman" w:cs="Times New Roman"/>
          <w:bCs/>
          <w:sz w:val="26"/>
          <w:szCs w:val="26"/>
        </w:rPr>
        <w:t xml:space="preserve"> </w:t>
      </w:r>
      <w:r w:rsidRPr="75D7739E">
        <w:rPr>
          <w:rFonts w:ascii="Times New Roman" w:eastAsia="Calibri" w:hAnsi="Times New Roman" w:cs="Times New Roman"/>
          <w:sz w:val="26"/>
          <w:szCs w:val="26"/>
        </w:rPr>
        <w:t xml:space="preserve"> </w:t>
      </w:r>
      <w:bookmarkStart w:id="0" w:name="_Hlk172454102"/>
      <w:r w:rsidRPr="75D7739E">
        <w:rPr>
          <w:rFonts w:ascii="Times New Roman" w:eastAsia="Calibri" w:hAnsi="Times New Roman" w:cs="Times New Roman"/>
          <w:sz w:val="26"/>
          <w:szCs w:val="26"/>
        </w:rPr>
        <w:t>The Commission then concluded that requirements to implement ISNM</w:t>
      </w:r>
      <w:r w:rsidRPr="75D7739E" w:rsidR="2006266A">
        <w:rPr>
          <w:rFonts w:ascii="Times New Roman" w:eastAsia="Calibri" w:hAnsi="Times New Roman" w:cs="Times New Roman"/>
          <w:sz w:val="26"/>
          <w:szCs w:val="26"/>
        </w:rPr>
        <w:t xml:space="preserve"> for all high impact BES Cyber Systems with and without external routable connectivity and medium impact BES Cyber Systems with external routable connectivity</w:t>
      </w:r>
      <w:r w:rsidRPr="75D7739E">
        <w:rPr>
          <w:rFonts w:ascii="Times New Roman" w:eastAsia="Calibri" w:hAnsi="Times New Roman" w:cs="Times New Roman"/>
          <w:sz w:val="26"/>
          <w:szCs w:val="26"/>
        </w:rPr>
        <w:t xml:space="preserve"> will “fill a gap in the current suite of CIP Reliability Standards and improve the cybersecurity posture of the Bulk-Power System.”</w:t>
      </w:r>
      <w:r>
        <w:rPr>
          <w:rFonts w:ascii="Times New Roman" w:eastAsia="Calibri" w:hAnsi="Times New Roman" w:cs="Times New Roman"/>
          <w:bCs/>
          <w:sz w:val="26"/>
          <w:szCs w:val="24"/>
          <w:vertAlign w:val="superscript"/>
        </w:rPr>
        <w:footnoteReference w:id="28"/>
      </w:r>
      <w:r w:rsidRPr="75D7739E">
        <w:rPr>
          <w:rFonts w:ascii="Times New Roman" w:eastAsia="Calibri" w:hAnsi="Times New Roman" w:cs="Times New Roman"/>
          <w:sz w:val="26"/>
          <w:szCs w:val="26"/>
        </w:rPr>
        <w:t xml:space="preserve">  </w:t>
      </w:r>
      <w:r w:rsidRPr="75D7739E" w:rsidR="2006266A">
        <w:rPr>
          <w:rFonts w:ascii="Times New Roman" w:eastAsia="Calibri" w:hAnsi="Times New Roman" w:cs="Times New Roman"/>
          <w:sz w:val="26"/>
          <w:szCs w:val="26"/>
        </w:rPr>
        <w:t>Proposed Reliability Standard CIP-015-1 requires high impact BES Cyber Systems with and without external routable connectivity and medium impact BES Cyber Systems with external routable connectivity to implement INSM for network traffic inside an electronic security approval.  Consequently, the Commission proposes to approve proposed Reliability Standard CIP-015-1.  However, the proposed Reliability Standard does not require implementation of INSM at EACMS and PAC</w:t>
      </w:r>
      <w:r w:rsidRPr="75D7739E" w:rsidR="3D1FFE6A">
        <w:rPr>
          <w:rFonts w:ascii="Times New Roman" w:eastAsia="Calibri" w:hAnsi="Times New Roman" w:cs="Times New Roman"/>
          <w:sz w:val="26"/>
          <w:szCs w:val="26"/>
        </w:rPr>
        <w:t>S</w:t>
      </w:r>
      <w:r w:rsidRPr="75D7739E" w:rsidR="2006266A">
        <w:rPr>
          <w:rFonts w:ascii="Times New Roman" w:eastAsia="Calibri" w:hAnsi="Times New Roman" w:cs="Times New Roman"/>
          <w:sz w:val="26"/>
          <w:szCs w:val="26"/>
        </w:rPr>
        <w:t xml:space="preserve"> outside of the electronic security perimeter. </w:t>
      </w:r>
      <w:r w:rsidR="00E61262">
        <w:rPr>
          <w:rFonts w:ascii="Times New Roman" w:eastAsia="Calibri" w:hAnsi="Times New Roman" w:cs="Times New Roman"/>
          <w:sz w:val="26"/>
          <w:szCs w:val="26"/>
        </w:rPr>
        <w:t xml:space="preserve"> </w:t>
      </w:r>
      <w:r w:rsidRPr="75D7739E" w:rsidR="2006266A">
        <w:rPr>
          <w:rFonts w:ascii="Times New Roman" w:eastAsia="Calibri" w:hAnsi="Times New Roman" w:cs="Times New Roman"/>
          <w:sz w:val="26"/>
          <w:szCs w:val="26"/>
        </w:rPr>
        <w:t xml:space="preserve">The proposed Standard may not adequately defend against attacks that circumvent network perimeter-based security controls.  Attacks external to the electronic security perimeter may compromise systems, such as EACMS or PACS, and then infiltrate the perimeter as a trusted communication, thus limiting the effectiveness of an </w:t>
      </w:r>
      <w:r w:rsidRPr="75D7739E" w:rsidR="2006266A">
        <w:rPr>
          <w:rFonts w:ascii="Times New Roman" w:eastAsia="Calibri" w:hAnsi="Times New Roman" w:cs="Times New Roman"/>
          <w:sz w:val="26"/>
          <w:szCs w:val="26"/>
        </w:rPr>
        <w:t>approach that employs INSM only within the electronic security perimeter. Consequently, the Commission is also proposing to direct NERC to develop further modifications to Reliability Standard CIP-015</w:t>
      </w:r>
      <w:r w:rsidR="00E61262">
        <w:rPr>
          <w:rFonts w:ascii="Times New Roman" w:eastAsia="Calibri" w:hAnsi="Times New Roman" w:cs="Times New Roman"/>
          <w:sz w:val="26"/>
          <w:szCs w:val="26"/>
        </w:rPr>
        <w:t>-1</w:t>
      </w:r>
      <w:r w:rsidRPr="75D7739E" w:rsidR="2006266A">
        <w:rPr>
          <w:rFonts w:ascii="Times New Roman" w:eastAsia="Calibri" w:hAnsi="Times New Roman" w:cs="Times New Roman"/>
          <w:sz w:val="26"/>
          <w:szCs w:val="26"/>
        </w:rPr>
        <w:t xml:space="preserve"> to extend INSM to include EACMS and PACS outside of the electronic security per</w:t>
      </w:r>
      <w:r w:rsidRPr="75D7739E" w:rsidR="3D1FFE6A">
        <w:rPr>
          <w:rFonts w:ascii="Times New Roman" w:eastAsia="Calibri" w:hAnsi="Times New Roman" w:cs="Times New Roman"/>
          <w:sz w:val="26"/>
          <w:szCs w:val="26"/>
        </w:rPr>
        <w:t xml:space="preserve">imeter. </w:t>
      </w:r>
      <w:r w:rsidRPr="75D7739E" w:rsidR="2006266A">
        <w:rPr>
          <w:rFonts w:ascii="Times New Roman" w:eastAsia="Calibri" w:hAnsi="Times New Roman" w:cs="Times New Roman"/>
          <w:sz w:val="26"/>
          <w:szCs w:val="26"/>
        </w:rPr>
        <w:t xml:space="preserve"> </w:t>
      </w:r>
    </w:p>
    <w:bookmarkEnd w:id="0"/>
    <w:p w:rsidR="005935E9" w:rsidRPr="005935E9" w:rsidP="005935E9" w14:paraId="66F7D673" w14:textId="77777777">
      <w:pPr>
        <w:spacing w:after="0" w:line="240" w:lineRule="auto"/>
        <w:rPr>
          <w:rFonts w:ascii="Times New Roman" w:eastAsia="Calibri" w:hAnsi="Times New Roman" w:cs="Times New Roman"/>
          <w:sz w:val="26"/>
          <w:szCs w:val="24"/>
        </w:rPr>
      </w:pPr>
    </w:p>
    <w:p w:rsidR="00C4205B" w:rsidRPr="00595846" w:rsidP="00F64A6F" w14:paraId="0AF258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EXPLAIN ANY PAYMENT OR GIFTS TO RESPONDENTS</w:t>
      </w:r>
    </w:p>
    <w:p w:rsidR="00C4205B" w:rsidRPr="00595846" w:rsidP="00F26A37" w14:paraId="0E2CB0AE" w14:textId="77777777">
      <w:pPr>
        <w:spacing w:after="0" w:line="240" w:lineRule="auto"/>
        <w:rPr>
          <w:rFonts w:ascii="Times New Roman" w:hAnsi="Times New Roman" w:cs="Times New Roman"/>
          <w:b/>
          <w:bCs/>
          <w:sz w:val="26"/>
          <w:szCs w:val="24"/>
        </w:rPr>
      </w:pPr>
    </w:p>
    <w:p w:rsidR="002C1CD8" w:rsidP="00563E91" w14:paraId="795FF422" w14:textId="569FA3F3">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No payments or gifts have been made to respondents.</w:t>
      </w:r>
    </w:p>
    <w:p w:rsidR="00AC06A5" w:rsidRPr="00595846" w:rsidP="00563E91" w14:paraId="45619065" w14:textId="77777777">
      <w:pPr>
        <w:spacing w:after="0" w:line="240" w:lineRule="auto"/>
        <w:rPr>
          <w:rFonts w:ascii="Times New Roman" w:hAnsi="Times New Roman" w:cs="Times New Roman"/>
          <w:sz w:val="26"/>
          <w:szCs w:val="24"/>
        </w:rPr>
      </w:pPr>
    </w:p>
    <w:p w:rsidR="00085AB8" w:rsidRPr="00595846" w:rsidP="00085AB8" w14:paraId="5D22800B" w14:textId="7125C0D2">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ANY ASSURANCE OF CONFIDENTIALITY PROVIDED TO RESPONDENTS</w:t>
      </w:r>
    </w:p>
    <w:p w:rsidR="002C1CD8" w:rsidRPr="00595846" w:rsidP="002C1CD8" w14:paraId="50633DE3" w14:textId="0A4A0236">
      <w:pPr>
        <w:widowControl w:val="0"/>
        <w:autoSpaceDE w:val="0"/>
        <w:autoSpaceDN w:val="0"/>
        <w:adjustRightInd w:val="0"/>
        <w:spacing w:after="0" w:line="240" w:lineRule="auto"/>
        <w:rPr>
          <w:rFonts w:ascii="Times New Roman" w:hAnsi="Times New Roman" w:cs="Times New Roman"/>
          <w:sz w:val="26"/>
          <w:szCs w:val="24"/>
        </w:rPr>
      </w:pPr>
    </w:p>
    <w:p w:rsidR="00532F8E" w:rsidRPr="00532F8E" w:rsidP="75D7739E" w14:paraId="50F1D795" w14:textId="77777777">
      <w:pPr>
        <w:spacing w:line="240" w:lineRule="auto"/>
        <w:rPr>
          <w:rFonts w:ascii="Times New Roman" w:eastAsia="Calibri" w:hAnsi="Times New Roman" w:cs="Times New Roman"/>
          <w:sz w:val="26"/>
          <w:szCs w:val="26"/>
        </w:rPr>
      </w:pPr>
      <w:r w:rsidRPr="00532F8E">
        <w:rPr>
          <w:rFonts w:ascii="Times New Roman" w:eastAsia="Calibri" w:hAnsi="Times New Roman" w:cs="Times New Roman"/>
          <w:sz w:val="26"/>
          <w:szCs w:val="26"/>
        </w:rPr>
        <w:t>According to the NERC Rules of Procedure,</w:t>
      </w:r>
      <w:r>
        <w:rPr>
          <w:rFonts w:ascii="Times New Roman" w:eastAsia="Calibri" w:hAnsi="Times New Roman" w:cs="Times New Roman"/>
          <w:sz w:val="26"/>
          <w:szCs w:val="26"/>
          <w:vertAlign w:val="superscript"/>
        </w:rPr>
        <w:footnoteReference w:id="29"/>
      </w:r>
      <w:r w:rsidRPr="00532F8E">
        <w:rPr>
          <w:rFonts w:ascii="Times New Roman" w:eastAsia="Calibri"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532F8E" w:rsidRPr="00532F8E" w:rsidP="00532F8E" w14:paraId="68E8563A" w14:textId="77777777">
      <w:pPr>
        <w:spacing w:after="0" w:line="240" w:lineRule="auto"/>
        <w:rPr>
          <w:rFonts w:ascii="Times New Roman" w:eastAsia="Calibri" w:hAnsi="Times New Roman" w:cs="Times New Roman"/>
          <w:bCs/>
          <w:sz w:val="26"/>
          <w:szCs w:val="24"/>
        </w:rPr>
      </w:pPr>
      <w:r w:rsidRPr="00532F8E">
        <w:rPr>
          <w:rFonts w:ascii="Times New Roman" w:eastAsia="Calibri" w:hAnsi="Times New Roman" w:cs="Times New Roman"/>
          <w:bCs/>
          <w:sz w:val="26"/>
          <w:szCs w:val="24"/>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085AB8" w:rsidRPr="00532F8E" w:rsidP="00532F8E" w14:paraId="4614E8F9" w14:textId="48AAE24B">
      <w:pPr>
        <w:spacing w:after="0" w:line="240" w:lineRule="auto"/>
        <w:ind w:firstLine="720"/>
        <w:rPr>
          <w:rFonts w:ascii="Times New Roman" w:eastAsia="Calibri" w:hAnsi="Times New Roman" w:cs="Times New Roman"/>
          <w:sz w:val="26"/>
          <w:szCs w:val="24"/>
        </w:rPr>
      </w:pPr>
    </w:p>
    <w:p w:rsidR="00C4205B" w:rsidRPr="00595846" w:rsidP="002A4142"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PROVIDE ADDITIONAL JUSTIFICATION FOR ANY QUESTIONS OF A SENSITIVE NATURE</w:t>
      </w:r>
      <w:r w:rsidRPr="00595846" w:rsidR="00E0001D">
        <w:rPr>
          <w:rFonts w:ascii="Times New Roman" w:hAnsi="Times New Roman" w:cs="Times New Roman"/>
          <w:b/>
          <w:bCs/>
          <w:sz w:val="26"/>
          <w:szCs w:val="24"/>
        </w:rPr>
        <w:t>, SUCH AS SEXUAL BEHAVIOR AND ATTITUDES, RELIGIOUS BELIEFS, AND OTHER MATTERS THAT ARE COMMONLY CONSIDERED PRIVATE</w:t>
      </w:r>
    </w:p>
    <w:p w:rsidR="00115F24" w:rsidRPr="00595846" w:rsidP="00115F24" w14:paraId="57DE9DF6"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3C19D0" w:rsidRPr="00595846" w:rsidP="002A4142" w14:paraId="125EDD35" w14:textId="48C3EE71">
      <w:pPr>
        <w:spacing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This </w:t>
      </w:r>
      <w:r w:rsidRPr="00595846" w:rsidR="00F14924">
        <w:rPr>
          <w:rFonts w:ascii="Times New Roman" w:hAnsi="Times New Roman" w:cs="Times New Roman"/>
          <w:sz w:val="26"/>
          <w:szCs w:val="24"/>
        </w:rPr>
        <w:t>collection do</w:t>
      </w:r>
      <w:r w:rsidRPr="00595846">
        <w:rPr>
          <w:rFonts w:ascii="Times New Roman" w:hAnsi="Times New Roman" w:cs="Times New Roman"/>
          <w:sz w:val="26"/>
          <w:szCs w:val="24"/>
        </w:rPr>
        <w:t>es</w:t>
      </w:r>
      <w:r w:rsidRPr="00595846" w:rsidR="00F14924">
        <w:rPr>
          <w:rFonts w:ascii="Times New Roman" w:hAnsi="Times New Roman" w:cs="Times New Roman"/>
          <w:sz w:val="26"/>
          <w:szCs w:val="24"/>
        </w:rPr>
        <w:t xml:space="preserve"> not contain any qu</w:t>
      </w:r>
      <w:r w:rsidRPr="00595846" w:rsidR="00115F24">
        <w:rPr>
          <w:rFonts w:ascii="Times New Roman" w:hAnsi="Times New Roman" w:cs="Times New Roman"/>
          <w:sz w:val="26"/>
          <w:szCs w:val="24"/>
        </w:rPr>
        <w:t>estions of a sensitive nature.</w:t>
      </w:r>
    </w:p>
    <w:p w:rsidR="00C4205B" w:rsidRPr="00595846" w:rsidP="007C39D3" w14:paraId="5C58F0E0" w14:textId="1DA328F5">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BURDEN OF COLLECTION OF INFORMATION</w:t>
      </w:r>
    </w:p>
    <w:p w:rsidR="00213EC6" w:rsidRPr="00595846" w:rsidP="00213EC6" w14:paraId="1766F8A0" w14:textId="645CDFC0">
      <w:pPr>
        <w:widowControl w:val="0"/>
        <w:autoSpaceDE w:val="0"/>
        <w:autoSpaceDN w:val="0"/>
        <w:adjustRightInd w:val="0"/>
        <w:spacing w:after="0" w:line="240" w:lineRule="auto"/>
        <w:rPr>
          <w:rFonts w:ascii="Times New Roman" w:hAnsi="Times New Roman" w:cs="Times New Roman"/>
          <w:b/>
          <w:bCs/>
          <w:sz w:val="26"/>
          <w:szCs w:val="24"/>
        </w:rPr>
      </w:pPr>
    </w:p>
    <w:p w:rsidR="00FB7209" w:rsidRPr="00FB7209" w:rsidP="00FB7209" w14:paraId="28AAFA13" w14:textId="77777777">
      <w:pPr>
        <w:spacing w:after="0" w:line="240" w:lineRule="auto"/>
        <w:rPr>
          <w:rFonts w:ascii="Times New Roman" w:eastAsia="Times New Roman" w:hAnsi="Times New Roman" w:cs="Times New Roman"/>
          <w:iCs/>
          <w:color w:val="000000"/>
          <w:sz w:val="26"/>
        </w:rPr>
      </w:pPr>
      <w:r w:rsidRPr="75D7739E">
        <w:rPr>
          <w:rFonts w:ascii="Times New Roman" w:eastAsia="Times New Roman" w:hAnsi="Times New Roman" w:cs="Times New Roman"/>
          <w:i/>
          <w:iCs/>
          <w:color w:val="000000"/>
          <w:sz w:val="26"/>
          <w:szCs w:val="26"/>
        </w:rPr>
        <w:t>Estimate of Annual Burden:</w:t>
      </w:r>
      <w:r>
        <w:rPr>
          <w:rFonts w:ascii="Times New Roman" w:eastAsia="Times New Roman" w:hAnsi="Times New Roman" w:cs="Times New Roman"/>
          <w:color w:val="000000"/>
          <w:sz w:val="26"/>
          <w:szCs w:val="26"/>
          <w:vertAlign w:val="superscript"/>
        </w:rPr>
        <w:footnoteReference w:id="30"/>
      </w:r>
      <w:r w:rsidRPr="75D7739E">
        <w:rPr>
          <w:rFonts w:ascii="Times New Roman" w:eastAsia="Times New Roman" w:hAnsi="Times New Roman" w:cs="Times New Roman"/>
          <w:i/>
          <w:iCs/>
          <w:color w:val="000000"/>
          <w:sz w:val="26"/>
          <w:szCs w:val="26"/>
        </w:rPr>
        <w:t xml:space="preserve"> </w:t>
      </w:r>
      <w:r w:rsidRPr="10D0B2FA" w:rsidR="4490B75A">
        <w:rPr>
          <w:rFonts w:ascii="Times New Roman" w:eastAsia="Times New Roman" w:hAnsi="Times New Roman" w:cs="Times New Roman"/>
          <w:color w:val="000000"/>
          <w:sz w:val="26"/>
          <w:szCs w:val="26"/>
        </w:rPr>
        <w:t xml:space="preserve">The Commission bases its paperwork burden estimates on the additional paperwork burden presented by the proposed revision to Reliability Standard CIP-015-1 as this is a new proposed Reliability Standard.  Reliability Standards are objective-based and allow entities to choose compliance approaches best tailored to their systems.  The NERC Compliance Registry, as of July 2024, identifies </w:t>
      </w:r>
      <w:r w:rsidRPr="10D0B2FA" w:rsidR="4490B75A">
        <w:rPr>
          <w:rFonts w:ascii="Times New Roman" w:eastAsia="Times New Roman" w:hAnsi="Times New Roman" w:cs="Times New Roman"/>
          <w:color w:val="000000"/>
          <w:sz w:val="26"/>
          <w:szCs w:val="26"/>
        </w:rPr>
        <w:t>approximately 1,636 unique U.S. entities that are subject to mandatory compliance with CIP Reliability Standards.  Of this total, we estimate that 400 entities will face an increased paperwork burden under proposed Reliability Standard CIP-015-1.  Based on these assumptions, we estimate the following reporting burden:</w:t>
      </w:r>
    </w:p>
    <w:p w:rsidR="006B0EC2" w:rsidP="006B0EC2" w14:paraId="57C1DA70" w14:textId="42487216">
      <w:pPr>
        <w:spacing w:after="0" w:line="240" w:lineRule="auto"/>
        <w:rPr>
          <w:rFonts w:ascii="Times New Roman" w:eastAsia="Times New Roman" w:hAnsi="Times New Roman" w:cs="Times New Roman"/>
          <w:iCs/>
          <w:sz w:val="26"/>
          <w:szCs w:val="24"/>
        </w:rPr>
      </w:pPr>
    </w:p>
    <w:p w:rsidR="00FB7209" w:rsidRPr="00FB7209" w:rsidP="006B0EC2" w14:paraId="1D3E2D55" w14:textId="77777777">
      <w:pPr>
        <w:spacing w:after="0" w:line="240" w:lineRule="auto"/>
        <w:rPr>
          <w:rFonts w:ascii="Times New Roman" w:eastAsia="Times New Roman" w:hAnsi="Times New Roman" w:cs="Times New Roman"/>
          <w:iCs/>
          <w:sz w:val="26"/>
          <w:szCs w:val="24"/>
        </w:rPr>
      </w:pPr>
    </w:p>
    <w:tbl>
      <w:tblPr>
        <w:tblpPr w:leftFromText="187" w:rightFromText="187" w:horzAnchor="margin" w:tblpXSpec="center" w:tblpYSpec="top"/>
        <w:tblW w:w="11394" w:type="dxa"/>
        <w:tblCellMar>
          <w:top w:w="61" w:type="dxa"/>
          <w:left w:w="106" w:type="dxa"/>
          <w:bottom w:w="6" w:type="dxa"/>
          <w:right w:w="46" w:type="dxa"/>
        </w:tblCellMar>
        <w:tblLook w:val="04A0"/>
      </w:tblPr>
      <w:tblGrid>
        <w:gridCol w:w="1893"/>
        <w:gridCol w:w="1568"/>
        <w:gridCol w:w="1467"/>
        <w:gridCol w:w="1340"/>
        <w:gridCol w:w="2207"/>
        <w:gridCol w:w="1452"/>
        <w:gridCol w:w="1467"/>
      </w:tblGrid>
      <w:tr w14:paraId="0BC0DA00" w14:textId="77777777" w:rsidTr="75D7739E">
        <w:tblPrEx>
          <w:tblW w:w="11394" w:type="dxa"/>
          <w:tblCellMar>
            <w:top w:w="61" w:type="dxa"/>
            <w:left w:w="106" w:type="dxa"/>
            <w:bottom w:w="6" w:type="dxa"/>
            <w:right w:w="46" w:type="dxa"/>
          </w:tblCellMar>
          <w:tblLook w:val="04A0"/>
        </w:tblPrEx>
        <w:trPr>
          <w:trHeight w:val="379"/>
        </w:trPr>
        <w:tc>
          <w:tcPr>
            <w:tcW w:w="113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6E5B" w:rsidRPr="00316E5B" w:rsidP="00316E5B" w14:paraId="43B18179" w14:textId="77777777">
            <w:pPr>
              <w:spacing w:after="160" w:line="259" w:lineRule="auto"/>
              <w:jc w:val="center"/>
              <w:rPr>
                <w:rFonts w:ascii="Times New Roman" w:eastAsia="Calibri" w:hAnsi="Times New Roman" w:cs="Times New Roman"/>
                <w:kern w:val="2"/>
                <w:sz w:val="26"/>
                <w:szCs w:val="26"/>
                <w14:ligatures w14:val="standardContextual"/>
              </w:rPr>
            </w:pPr>
            <w:r w:rsidRPr="10D0B2FA">
              <w:rPr>
                <w:rFonts w:ascii="Times New Roman" w:eastAsia="Calibri" w:hAnsi="Times New Roman" w:cs="Times New Roman"/>
                <w:b/>
                <w:bCs/>
                <w:kern w:val="2"/>
                <w:sz w:val="26"/>
                <w:szCs w:val="26"/>
                <w14:ligatures w14:val="standardContextual"/>
              </w:rPr>
              <w:t>Annual Changes Proposed by the NOPR in Docket No.RM24-7-000</w:t>
            </w:r>
            <w:r>
              <w:rPr>
                <w:rFonts w:ascii="Times New Roman" w:eastAsia="Calibri" w:hAnsi="Times New Roman" w:cs="Times New Roman"/>
                <w:kern w:val="2"/>
                <w:sz w:val="26"/>
                <w:szCs w:val="26"/>
                <w:vertAlign w:val="superscript"/>
                <w14:ligatures w14:val="standardContextual"/>
              </w:rPr>
              <w:footnoteReference w:id="31"/>
            </w:r>
            <w:r w:rsidRPr="00D60FEE">
              <w:rPr>
                <w:rFonts w:ascii="Times New Roman" w:eastAsia="Calibri" w:hAnsi="Times New Roman" w:cs="Times New Roman"/>
                <w:kern w:val="2"/>
                <w:sz w:val="26"/>
                <w:szCs w:val="26"/>
                <w14:ligatures w14:val="standardContextual"/>
              </w:rPr>
              <w:t xml:space="preserve"> </w:t>
            </w:r>
          </w:p>
        </w:tc>
      </w:tr>
      <w:tr w14:paraId="587DDC52" w14:textId="77777777" w:rsidTr="75D7739E">
        <w:tblPrEx>
          <w:tblW w:w="11394" w:type="dxa"/>
          <w:tblCellMar>
            <w:top w:w="61" w:type="dxa"/>
            <w:left w:w="106" w:type="dxa"/>
            <w:bottom w:w="6" w:type="dxa"/>
            <w:right w:w="46" w:type="dxa"/>
          </w:tblCellMar>
          <w:tblLook w:val="04A0"/>
        </w:tblPrEx>
        <w:trPr>
          <w:trHeight w:val="24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6E5B" w:rsidRPr="00316E5B" w:rsidP="00316E5B" w14:paraId="0077D9B7" w14:textId="77777777">
            <w:pPr>
              <w:spacing w:after="160" w:line="259" w:lineRule="auto"/>
              <w:rPr>
                <w:rFonts w:ascii="Times New Roman" w:eastAsia="Calibri" w:hAnsi="Times New Roman" w:cs="Times New Roman"/>
                <w:kern w:val="2"/>
                <w:sz w:val="26"/>
                <w:szCs w:val="26"/>
                <w14:ligatures w14:val="standardContextual"/>
              </w:rPr>
            </w:pP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10E7FF4D"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Number of</w:t>
            </w:r>
          </w:p>
          <w:p w:rsidR="00316E5B" w:rsidRPr="00316E5B" w:rsidP="00316E5B" w14:paraId="2F39DAD5"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Respondents</w:t>
            </w:r>
          </w:p>
          <w:p w:rsidR="00316E5B" w:rsidRPr="00316E5B" w:rsidP="00316E5B" w14:paraId="598CE2A6"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0CDFE485"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Annual</w:t>
            </w:r>
          </w:p>
          <w:p w:rsidR="00316E5B" w:rsidRPr="00316E5B" w:rsidP="00316E5B" w14:paraId="044E74D2"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Number of</w:t>
            </w:r>
          </w:p>
          <w:p w:rsidR="00316E5B" w:rsidRPr="00316E5B" w:rsidP="00316E5B" w14:paraId="50E4601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Responses per</w:t>
            </w:r>
          </w:p>
          <w:p w:rsidR="00316E5B" w:rsidRPr="00316E5B" w:rsidP="00316E5B" w14:paraId="644787AE"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Respondent</w:t>
            </w:r>
          </w:p>
          <w:p w:rsidR="00316E5B" w:rsidRPr="00316E5B" w:rsidP="00316E5B" w14:paraId="272D0DEE"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(2)</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067C36A3"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Total</w:t>
            </w:r>
          </w:p>
          <w:p w:rsidR="00316E5B" w:rsidRPr="00316E5B" w:rsidP="00316E5B" w14:paraId="6648B027"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Number of</w:t>
            </w:r>
          </w:p>
          <w:p w:rsidR="00316E5B" w:rsidRPr="00316E5B" w:rsidP="00316E5B" w14:paraId="0D9AB711"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Responses</w:t>
            </w:r>
          </w:p>
          <w:p w:rsidR="00316E5B" w:rsidRPr="00316E5B" w:rsidP="00316E5B" w14:paraId="036DB41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(1)*(2)=(3)</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22A175B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Average</w:t>
            </w:r>
          </w:p>
          <w:p w:rsidR="00316E5B" w:rsidRPr="00316E5B" w:rsidP="00316E5B" w14:paraId="272DFE9E"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Burden &amp;</w:t>
            </w:r>
          </w:p>
          <w:p w:rsidR="00316E5B" w:rsidRPr="00316E5B" w:rsidP="00316E5B" w14:paraId="2A8DC705"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Cost Per</w:t>
            </w:r>
          </w:p>
          <w:p w:rsidR="00316E5B" w:rsidRPr="00316E5B" w:rsidP="00316E5B" w14:paraId="1C18D992"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10D0B2FA">
              <w:rPr>
                <w:rFonts w:ascii="Times New Roman" w:eastAsia="Calibri" w:hAnsi="Times New Roman" w:cs="Times New Roman"/>
                <w:b/>
                <w:bCs/>
                <w:kern w:val="2"/>
                <w:sz w:val="26"/>
                <w:szCs w:val="26"/>
                <w14:ligatures w14:val="standardContextual"/>
              </w:rPr>
              <w:t>Response</w:t>
            </w:r>
            <w:r>
              <w:rPr>
                <w:rFonts w:ascii="Times New Roman" w:eastAsia="Calibri" w:hAnsi="Times New Roman" w:cs="Times New Roman"/>
                <w:kern w:val="2"/>
                <w:sz w:val="26"/>
                <w:szCs w:val="26"/>
                <w:vertAlign w:val="superscript"/>
                <w14:ligatures w14:val="standardContextual"/>
              </w:rPr>
              <w:footnoteReference w:id="32"/>
            </w:r>
          </w:p>
          <w:p w:rsidR="00316E5B" w:rsidRPr="00316E5B" w:rsidP="00316E5B" w14:paraId="005F65D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(4)</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6E5B" w:rsidRPr="00316E5B" w:rsidP="00316E5B" w14:paraId="66D2E4F6"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Total</w:t>
            </w:r>
          </w:p>
          <w:p w:rsidR="00316E5B" w:rsidRPr="00316E5B" w:rsidP="00316E5B" w14:paraId="43A694E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Annual</w:t>
            </w:r>
          </w:p>
          <w:p w:rsidR="00316E5B" w:rsidRPr="00316E5B" w:rsidP="00316E5B" w14:paraId="68AA1FA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Burden</w:t>
            </w:r>
          </w:p>
          <w:p w:rsidR="00316E5B" w:rsidRPr="00316E5B" w:rsidP="00316E5B" w14:paraId="618C3D8D"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Hours &amp;</w:t>
            </w:r>
          </w:p>
          <w:p w:rsidR="00316E5B" w:rsidRPr="00316E5B" w:rsidP="00316E5B" w14:paraId="5C2230CC"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Total</w:t>
            </w:r>
          </w:p>
          <w:p w:rsidR="00316E5B" w:rsidRPr="00316E5B" w:rsidP="00316E5B" w14:paraId="26B6F58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Annual</w:t>
            </w:r>
          </w:p>
          <w:p w:rsidR="00316E5B" w:rsidRPr="00316E5B" w:rsidP="00316E5B" w14:paraId="53F4FED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Cost</w:t>
            </w:r>
          </w:p>
          <w:p w:rsidR="00316E5B" w:rsidRPr="00316E5B" w:rsidP="00316E5B" w14:paraId="78E1B261"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(3)*(4)=(5)</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0585347E"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Cost per</w:t>
            </w:r>
          </w:p>
          <w:p w:rsidR="00316E5B" w:rsidRPr="00316E5B" w:rsidP="00316E5B" w14:paraId="623B85FC"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Respondent</w:t>
            </w:r>
          </w:p>
          <w:p w:rsidR="00316E5B" w:rsidRPr="00316E5B" w:rsidP="00316E5B" w14:paraId="209007F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w:t>
            </w:r>
          </w:p>
          <w:p w:rsidR="00316E5B" w:rsidRPr="00316E5B" w:rsidP="00316E5B" w14:paraId="508D518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(5)÷(1)</w:t>
            </w:r>
          </w:p>
        </w:tc>
      </w:tr>
      <w:tr w14:paraId="539CE484" w14:textId="77777777" w:rsidTr="75D7739E">
        <w:tblPrEx>
          <w:tblW w:w="11394" w:type="dxa"/>
          <w:tblCellMar>
            <w:top w:w="61" w:type="dxa"/>
            <w:left w:w="106" w:type="dxa"/>
            <w:bottom w:w="6" w:type="dxa"/>
            <w:right w:w="46" w:type="dxa"/>
          </w:tblCellMar>
          <w:tblLook w:val="04A0"/>
        </w:tblPrEx>
        <w:trPr>
          <w:trHeight w:val="1207"/>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F7A10A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one or more documented process(es) (R1)</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8DEA35A"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502D79C1"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BA4B495"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8B09F4D"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 hrs.;</w:t>
            </w:r>
          </w:p>
          <w:p w:rsidR="00316E5B" w:rsidRPr="00316E5B" w:rsidP="00316E5B" w14:paraId="2ADC51D2"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$3,880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13BC113"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16,000 hrs.;</w:t>
            </w:r>
          </w:p>
          <w:p w:rsidR="00316E5B" w:rsidRPr="00316E5B" w:rsidP="00316E5B" w14:paraId="4C6AE34C"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$1,552,000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B9EBBF1"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$3,880</w:t>
            </w:r>
          </w:p>
        </w:tc>
      </w:tr>
      <w:tr w14:paraId="0A0B1BB5"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4F77F3C"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documentation detailing network data feed(s) and reason (R1.1)</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5D8EE1F"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E34067C"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CE99A1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8CA26EB"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2E440427"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2600C89"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39CD985F"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F5B3BA0"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33F2C205"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732932B"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documentation of: anomalous events and baseline used to detect anomalous events (R1.2)</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A44BD1A"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5A17582C"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C9E85FF"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88764B2"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7D2EF16E"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CF0F10A"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125BCBA7"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6A06FE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2A5251CC"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30A1B61"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Create documentation of methods to: evaluate anomalous activity; response to detected activity; and </w:t>
            </w:r>
            <w:r w:rsidRPr="00316E5B">
              <w:rPr>
                <w:rFonts w:ascii="Times New Roman" w:eastAsia="Calibri" w:hAnsi="Times New Roman" w:cs="Times New Roman"/>
                <w:kern w:val="2"/>
                <w:sz w:val="26"/>
                <w:szCs w:val="26"/>
                <w14:ligatures w14:val="standardContextual"/>
              </w:rPr>
              <w:t>escalation process(es) (R1.3)</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5C8F862"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9ED9E84"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2BE739C5"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0A0124E"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77EB2F12"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479C598"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1E9E1C08"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2A62125"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0E577506"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318D248"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documentation of: data retention process(es); system configuration(s), or system-generated report(s) (R2)</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5A47DF75"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2547A67"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DE86E4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8DC523E"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674BFF4B"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98DDA3A"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01F9D830"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8E7593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6FE36493"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C3114F6"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documentation of how the collected data is being protected (R3)</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1FDFA89"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57811317"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DC63179"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764B9D0"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3E3925A6"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16616EA"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3489DF08"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283E0F73"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22FADDE8"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1964548"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Total burden for </w:t>
            </w:r>
          </w:p>
          <w:p w:rsidR="00316E5B" w:rsidRPr="00316E5B" w:rsidP="00316E5B" w14:paraId="7CEC8197"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FERC-</w:t>
            </w:r>
          </w:p>
          <w:p w:rsidR="00316E5B" w:rsidRPr="00316E5B" w:rsidP="00316E5B" w14:paraId="18348508" w14:textId="3E0833C3">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725B</w:t>
            </w:r>
            <w:r w:rsidR="000C01BD">
              <w:rPr>
                <w:rFonts w:ascii="Times New Roman" w:eastAsia="Calibri" w:hAnsi="Times New Roman" w:cs="Times New Roman"/>
                <w:kern w:val="2"/>
                <w:sz w:val="26"/>
                <w:szCs w:val="26"/>
                <w14:ligatures w14:val="standardContextual"/>
              </w:rPr>
              <w:t xml:space="preserve"> </w:t>
            </w:r>
            <w:r w:rsidRPr="00316E5B">
              <w:rPr>
                <w:rFonts w:ascii="Times New Roman" w:eastAsia="Calibri" w:hAnsi="Times New Roman" w:cs="Times New Roman"/>
                <w:kern w:val="2"/>
                <w:sz w:val="26"/>
                <w:szCs w:val="26"/>
                <w14:ligatures w14:val="standardContextual"/>
              </w:rPr>
              <w:t xml:space="preserve">under </w:t>
            </w:r>
          </w:p>
          <w:p w:rsidR="00316E5B" w:rsidRPr="00316E5B" w:rsidP="00316E5B" w14:paraId="31E036A2"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CIP-015-1 </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19CBD92" w14:textId="77777777">
            <w:pPr>
              <w:spacing w:after="160" w:line="259" w:lineRule="auto"/>
              <w:rPr>
                <w:rFonts w:ascii="Times New Roman" w:eastAsia="Calibri" w:hAnsi="Times New Roman" w:cs="Times New Roman"/>
                <w:kern w:val="2"/>
                <w:sz w:val="26"/>
                <w:szCs w:val="26"/>
                <w14:ligatures w14:val="standardContextual"/>
              </w:rPr>
            </w:pP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5213FE9" w14:textId="77777777">
            <w:pPr>
              <w:spacing w:after="160" w:line="259" w:lineRule="auto"/>
              <w:rPr>
                <w:rFonts w:ascii="Times New Roman" w:eastAsia="Calibri" w:hAnsi="Times New Roman" w:cs="Times New Roman"/>
                <w:kern w:val="2"/>
                <w:sz w:val="26"/>
                <w:szCs w:val="26"/>
                <w14:ligatures w14:val="standardContextual"/>
              </w:rPr>
            </w:pP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79DBE7E"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w:t>
            </w:r>
          </w:p>
          <w:p w:rsidR="00316E5B" w:rsidRPr="00316E5B" w:rsidP="00316E5B" w14:paraId="19A1958F" w14:textId="77777777">
            <w:pPr>
              <w:spacing w:after="160" w:line="259" w:lineRule="auto"/>
              <w:rPr>
                <w:rFonts w:ascii="Times New Roman" w:eastAsia="Calibri" w:hAnsi="Times New Roman" w:cs="Times New Roman"/>
                <w:kern w:val="2"/>
                <w:sz w:val="26"/>
                <w:szCs w:val="26"/>
                <w14:ligatures w14:val="standardContextual"/>
              </w:rPr>
            </w:pP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6F341C0" w14:textId="77777777">
            <w:pPr>
              <w:spacing w:after="160" w:line="259" w:lineRule="auto"/>
              <w:rPr>
                <w:rFonts w:ascii="Times New Roman" w:eastAsia="Calibri" w:hAnsi="Times New Roman" w:cs="Times New Roman"/>
                <w:kern w:val="2"/>
                <w:sz w:val="26"/>
                <w:szCs w:val="26"/>
                <w14:ligatures w14:val="standardContextual"/>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D2E4270"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136,000 hrs.; $13,192,000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2B77471"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$32,980</w:t>
            </w:r>
          </w:p>
        </w:tc>
      </w:tr>
    </w:tbl>
    <w:p w:rsidR="008763BF" w:rsidRPr="008763BF" w:rsidP="00017AC9" w14:paraId="0827F8EC" w14:textId="22D3CBBF">
      <w:pPr>
        <w:spacing w:after="0" w:line="240" w:lineRule="auto"/>
        <w:rPr>
          <w:rFonts w:ascii="Times New Roman" w:eastAsia="Times New Roman" w:hAnsi="Times New Roman" w:cs="Times New Roman"/>
          <w:sz w:val="26"/>
          <w:szCs w:val="24"/>
        </w:rPr>
      </w:pPr>
    </w:p>
    <w:p w:rsidR="006B0EC2" w:rsidRPr="006B0EC2" w:rsidP="006B0EC2" w14:paraId="7CE2E020" w14:textId="77777777">
      <w:pPr>
        <w:tabs>
          <w:tab w:val="num" w:pos="720"/>
        </w:tabs>
        <w:spacing w:after="0" w:line="480" w:lineRule="auto"/>
        <w:rPr>
          <w:rFonts w:ascii="Times New Roman" w:eastAsia="Calibri" w:hAnsi="Times New Roman" w:cs="Times New Roman"/>
          <w:sz w:val="26"/>
        </w:rPr>
      </w:pPr>
      <w:r w:rsidRPr="006B0EC2">
        <w:rPr>
          <w:rFonts w:ascii="Times New Roman" w:eastAsia="Calibri" w:hAnsi="Times New Roman" w:cs="Times New Roman"/>
          <w:sz w:val="26"/>
        </w:rPr>
        <w:t>The responses and burden hours for Years 1-3 will total respectively as follows:</w:t>
      </w:r>
    </w:p>
    <w:p w:rsidR="006B0EC2" w:rsidRPr="006B0EC2" w:rsidP="006B0EC2" w14:paraId="26BD21A4" w14:textId="77777777">
      <w:pPr>
        <w:widowControl w:val="0"/>
        <w:numPr>
          <w:ilvl w:val="0"/>
          <w:numId w:val="38"/>
        </w:numPr>
        <w:spacing w:after="0" w:line="480" w:lineRule="auto"/>
        <w:rPr>
          <w:rFonts w:ascii="Times New Roman" w:eastAsia="Calibri" w:hAnsi="Times New Roman" w:cs="Times New Roman"/>
          <w:sz w:val="26"/>
        </w:rPr>
      </w:pPr>
      <w:r w:rsidRPr="006B0EC2">
        <w:rPr>
          <w:rFonts w:ascii="Times New Roman" w:eastAsia="Calibri" w:hAnsi="Times New Roman" w:cs="Times New Roman"/>
          <w:sz w:val="26"/>
        </w:rPr>
        <w:t>Year 1-3 each: 2,400 responses; 136,000 hours</w:t>
      </w:r>
    </w:p>
    <w:p w:rsidR="006B0EC2" w:rsidRPr="006B0EC2" w:rsidP="008763BF" w14:paraId="79B83B88" w14:textId="36779228">
      <w:pPr>
        <w:widowControl w:val="0"/>
        <w:numPr>
          <w:ilvl w:val="0"/>
          <w:numId w:val="38"/>
        </w:numPr>
        <w:spacing w:after="0" w:line="480" w:lineRule="auto"/>
        <w:rPr>
          <w:rFonts w:ascii="Times New Roman" w:eastAsia="Calibri" w:hAnsi="Times New Roman" w:cs="Times New Roman"/>
          <w:sz w:val="26"/>
        </w:rPr>
      </w:pPr>
      <w:r w:rsidRPr="006B0EC2">
        <w:rPr>
          <w:rFonts w:ascii="Times New Roman" w:eastAsia="Calibri" w:hAnsi="Times New Roman" w:cs="Times New Roman"/>
          <w:sz w:val="26"/>
        </w:rPr>
        <w:t>The annual cost burden for each year One to Three is $13,192,000.</w:t>
      </w:r>
    </w:p>
    <w:p w:rsidR="00C4205B" w:rsidRPr="00595846" w:rsidP="005E2448"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 OF THE TOTAL ANNUAL COST BURDEN TO RESPONDENTS</w:t>
      </w:r>
    </w:p>
    <w:p w:rsidR="002359F6" w:rsidRPr="00595846" w:rsidP="002A4142" w14:paraId="5900A782" w14:textId="77777777">
      <w:pPr>
        <w:spacing w:after="0" w:line="240" w:lineRule="auto"/>
        <w:rPr>
          <w:rFonts w:ascii="Times New Roman" w:hAnsi="Times New Roman" w:cs="Times New Roman"/>
          <w:sz w:val="26"/>
          <w:szCs w:val="24"/>
        </w:rPr>
      </w:pPr>
    </w:p>
    <w:p w:rsidR="002359F6" w:rsidRPr="00595846" w:rsidP="002A4142" w14:paraId="0926F9C6"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There are no start-up or other non-labor costs.</w:t>
      </w:r>
    </w:p>
    <w:p w:rsidR="002359F6" w:rsidRPr="00595846" w:rsidP="002A4142" w14:paraId="3748E8B6" w14:textId="77777777">
      <w:pPr>
        <w:spacing w:after="0" w:line="240" w:lineRule="auto"/>
        <w:rPr>
          <w:rFonts w:ascii="Times New Roman" w:hAnsi="Times New Roman" w:cs="Times New Roman"/>
          <w:sz w:val="26"/>
          <w:szCs w:val="24"/>
        </w:rPr>
      </w:pPr>
    </w:p>
    <w:p w:rsidR="002359F6" w:rsidRPr="00595846" w:rsidP="002A4142" w14:paraId="03146869" w14:textId="77777777">
      <w:pPr>
        <w:spacing w:after="0" w:line="240" w:lineRule="auto"/>
        <w:ind w:firstLine="720"/>
        <w:rPr>
          <w:rFonts w:ascii="Times New Roman" w:hAnsi="Times New Roman" w:cs="Times New Roman"/>
          <w:sz w:val="26"/>
          <w:szCs w:val="24"/>
        </w:rPr>
      </w:pPr>
      <w:r w:rsidRPr="00595846">
        <w:rPr>
          <w:rFonts w:ascii="Times New Roman" w:hAnsi="Times New Roman" w:cs="Times New Roman"/>
          <w:sz w:val="26"/>
          <w:szCs w:val="24"/>
        </w:rPr>
        <w:t>Total Capital and Start-up cost: $0</w:t>
      </w:r>
    </w:p>
    <w:p w:rsidR="002359F6" w:rsidRPr="00595846" w:rsidP="002A4142" w14:paraId="40F632E6" w14:textId="77777777">
      <w:pPr>
        <w:spacing w:after="0" w:line="240" w:lineRule="auto"/>
        <w:ind w:left="720"/>
        <w:rPr>
          <w:rFonts w:ascii="Times New Roman" w:hAnsi="Times New Roman" w:cs="Times New Roman"/>
          <w:sz w:val="26"/>
          <w:szCs w:val="24"/>
        </w:rPr>
      </w:pPr>
      <w:r w:rsidRPr="00595846">
        <w:rPr>
          <w:rFonts w:ascii="Times New Roman" w:hAnsi="Times New Roman" w:cs="Times New Roman"/>
          <w:sz w:val="26"/>
          <w:szCs w:val="24"/>
        </w:rPr>
        <w:t>Total Operation, Maintenance, and Purchase of Services: $0</w:t>
      </w:r>
    </w:p>
    <w:p w:rsidR="002359F6" w:rsidRPr="00595846" w:rsidP="002A4142" w14:paraId="400B8895" w14:textId="77777777">
      <w:pPr>
        <w:spacing w:after="0" w:line="240" w:lineRule="auto"/>
        <w:rPr>
          <w:rFonts w:ascii="Times New Roman" w:hAnsi="Times New Roman" w:cs="Times New Roman"/>
          <w:sz w:val="26"/>
          <w:szCs w:val="24"/>
        </w:rPr>
      </w:pPr>
    </w:p>
    <w:p w:rsidR="002359F6" w:rsidRPr="00595846" w:rsidP="002A4142" w14:paraId="1583A39C" w14:textId="01F8297A">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All costs </w:t>
      </w:r>
      <w:r w:rsidRPr="00595846" w:rsidR="005F55AB">
        <w:rPr>
          <w:rFonts w:ascii="Times New Roman" w:hAnsi="Times New Roman" w:cs="Times New Roman"/>
          <w:sz w:val="26"/>
          <w:szCs w:val="24"/>
        </w:rPr>
        <w:t>due to th</w:t>
      </w:r>
      <w:r w:rsidRPr="00595846" w:rsidR="00021862">
        <w:rPr>
          <w:rFonts w:ascii="Times New Roman" w:hAnsi="Times New Roman" w:cs="Times New Roman"/>
          <w:sz w:val="26"/>
          <w:szCs w:val="24"/>
        </w:rPr>
        <w:t xml:space="preserve">e final rule </w:t>
      </w:r>
      <w:r w:rsidRPr="00595846">
        <w:rPr>
          <w:rFonts w:ascii="Times New Roman" w:hAnsi="Times New Roman" w:cs="Times New Roman"/>
          <w:sz w:val="26"/>
          <w:szCs w:val="24"/>
        </w:rPr>
        <w:t xml:space="preserve">are associated with burden hours (labor) and described in Questions #12 and #15 in this supporting statement. </w:t>
      </w:r>
    </w:p>
    <w:p w:rsidR="003C19D0" w:rsidRPr="00595846" w:rsidP="005D011E" w14:paraId="7628453A" w14:textId="77777777">
      <w:pPr>
        <w:spacing w:after="0" w:line="240" w:lineRule="auto"/>
        <w:rPr>
          <w:rFonts w:ascii="Times New Roman" w:hAnsi="Times New Roman" w:cs="Times New Roman"/>
          <w:sz w:val="26"/>
          <w:szCs w:val="24"/>
        </w:rPr>
      </w:pPr>
    </w:p>
    <w:p w:rsidR="00C4205B" w:rsidRPr="00595846" w:rsidP="007C39D3"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ANNUALIZED COST TO FEDERAL GOVERNMENT</w:t>
      </w:r>
    </w:p>
    <w:p w:rsidR="00C41218" w:rsidRPr="00595846" w:rsidP="0025674D" w14:paraId="0832560C" w14:textId="77777777">
      <w:pPr>
        <w:spacing w:after="0" w:line="240" w:lineRule="auto"/>
        <w:rPr>
          <w:rFonts w:ascii="Times New Roman" w:hAnsi="Times New Roman" w:cs="Times New Roman"/>
          <w:sz w:val="26"/>
          <w:szCs w:val="24"/>
        </w:rPr>
      </w:pPr>
    </w:p>
    <w:p w:rsidR="009C7756" w:rsidRPr="00595846" w:rsidP="0007783F" w14:paraId="768F178F" w14:textId="20E2DF53">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Commission would incur costs associated with processing filings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and in obtaining OMB clearance under the PRA.  The estimated processing cost total $</w:t>
      </w:r>
      <w:r w:rsidR="00682507">
        <w:rPr>
          <w:rFonts w:ascii="Times New Roman" w:hAnsi="Times New Roman" w:cs="Times New Roman"/>
          <w:sz w:val="26"/>
          <w:szCs w:val="24"/>
        </w:rPr>
        <w:t>207,787</w:t>
      </w:r>
      <w:r w:rsidRPr="00595846">
        <w:rPr>
          <w:rFonts w:ascii="Times New Roman" w:hAnsi="Times New Roman" w:cs="Times New Roman"/>
          <w:sz w:val="26"/>
          <w:szCs w:val="24"/>
        </w:rPr>
        <w:t xml:space="preserve"> annually.  The Commission estimates receiving 20 informational filings per year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xml:space="preserve">, with each filing estimated to take approximately 100 hours to analyze and process, totaling the number of hours and cost of one FTE. </w:t>
      </w:r>
    </w:p>
    <w:p w:rsidR="009C7756" w:rsidRPr="00595846" w:rsidP="0007783F" w14:paraId="75C9B416" w14:textId="77777777">
      <w:pPr>
        <w:spacing w:after="0" w:line="240" w:lineRule="auto"/>
        <w:rPr>
          <w:rFonts w:ascii="Times New Roman" w:hAnsi="Times New Roman" w:cs="Times New Roman"/>
          <w:sz w:val="26"/>
          <w:szCs w:val="24"/>
        </w:rPr>
      </w:pPr>
    </w:p>
    <w:p w:rsidR="009C7756" w:rsidRPr="00595846" w:rsidP="0007783F" w14:paraId="7A1569C0" w14:textId="3F083510">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w:t>
      </w:r>
      <w:r w:rsidRPr="00595846" w:rsidR="00501F6B">
        <w:rPr>
          <w:rFonts w:ascii="Times New Roman" w:hAnsi="Times New Roman" w:cs="Times New Roman"/>
          <w:sz w:val="26"/>
          <w:szCs w:val="24"/>
        </w:rPr>
        <w:t xml:space="preserve">estimated </w:t>
      </w:r>
      <w:r w:rsidRPr="00595846">
        <w:rPr>
          <w:rFonts w:ascii="Times New Roman" w:hAnsi="Times New Roman" w:cs="Times New Roman"/>
          <w:sz w:val="26"/>
          <w:szCs w:val="24"/>
        </w:rPr>
        <w:t xml:space="preserve">PRA Administrative Cost </w:t>
      </w:r>
      <w:r w:rsidRPr="00595846" w:rsidR="00501F6B">
        <w:rPr>
          <w:rFonts w:ascii="Times New Roman" w:hAnsi="Times New Roman" w:cs="Times New Roman"/>
          <w:sz w:val="26"/>
          <w:szCs w:val="24"/>
        </w:rPr>
        <w:t>of $</w:t>
      </w:r>
      <w:r w:rsidR="00682507">
        <w:rPr>
          <w:rFonts w:ascii="Times New Roman" w:hAnsi="Times New Roman" w:cs="Times New Roman"/>
          <w:sz w:val="26"/>
          <w:szCs w:val="24"/>
        </w:rPr>
        <w:t>8,396</w:t>
      </w:r>
      <w:r w:rsidRPr="00595846" w:rsidR="00501F6B">
        <w:rPr>
          <w:rFonts w:ascii="Times New Roman" w:hAnsi="Times New Roman" w:cs="Times New Roman"/>
          <w:sz w:val="26"/>
          <w:szCs w:val="24"/>
        </w:rPr>
        <w:t xml:space="preserve"> </w:t>
      </w:r>
      <w:r w:rsidRPr="00595846">
        <w:rPr>
          <w:rFonts w:ascii="Times New Roman" w:hAnsi="Times New Roman" w:cs="Times New Roman"/>
          <w:sz w:val="26"/>
          <w:szCs w:val="24"/>
        </w:rPr>
        <w:t xml:space="preserve">is a </w:t>
      </w:r>
      <w:r w:rsidRPr="00595846" w:rsidR="00D25B8F">
        <w:rPr>
          <w:rFonts w:ascii="Times New Roman" w:hAnsi="Times New Roman" w:cs="Times New Roman"/>
          <w:sz w:val="26"/>
          <w:szCs w:val="24"/>
        </w:rPr>
        <w:t>f</w:t>
      </w:r>
      <w:r w:rsidRPr="00595846">
        <w:rPr>
          <w:rFonts w:ascii="Times New Roman" w:hAnsi="Times New Roman" w:cs="Times New Roman"/>
          <w:sz w:val="26"/>
          <w:szCs w:val="24"/>
        </w:rPr>
        <w:t xml:space="preserve">ederal </w:t>
      </w:r>
      <w:r w:rsidRPr="00595846" w:rsidR="00D25B8F">
        <w:rPr>
          <w:rFonts w:ascii="Times New Roman" w:hAnsi="Times New Roman" w:cs="Times New Roman"/>
          <w:sz w:val="26"/>
          <w:szCs w:val="24"/>
        </w:rPr>
        <w:t>c</w:t>
      </w:r>
      <w:r w:rsidRPr="00595846">
        <w:rPr>
          <w:rFonts w:ascii="Times New Roman" w:hAnsi="Times New Roman" w:cs="Times New Roman"/>
          <w:sz w:val="26"/>
          <w:szCs w:val="24"/>
        </w:rPr>
        <w:t>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C41218" w:rsidRPr="00595846" w:rsidP="0007783F" w14:paraId="7120040C" w14:textId="521D046D">
      <w:pPr>
        <w:spacing w:after="0" w:line="240" w:lineRule="auto"/>
        <w:rPr>
          <w:rFonts w:ascii="Times New Roman" w:hAnsi="Times New Roman" w:cs="Times New Roman"/>
          <w:sz w:val="26"/>
          <w:szCs w:val="24"/>
        </w:rPr>
      </w:pPr>
    </w:p>
    <w:p w:rsidR="009C7756" w:rsidRPr="00595846" w:rsidP="00501F6B" w14:paraId="3AF1D9EB" w14:textId="1A13230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As shown in the table below, </w:t>
      </w:r>
      <w:r w:rsidRPr="00595846" w:rsidR="00A431A2">
        <w:rPr>
          <w:rFonts w:ascii="Times New Roman" w:hAnsi="Times New Roman" w:cs="Times New Roman"/>
          <w:sz w:val="26"/>
          <w:szCs w:val="24"/>
        </w:rPr>
        <w:t>$</w:t>
      </w:r>
      <w:r w:rsidRPr="00595846" w:rsidR="00D25B8F">
        <w:rPr>
          <w:rFonts w:ascii="Times New Roman" w:hAnsi="Times New Roman" w:cs="Times New Roman"/>
          <w:sz w:val="26"/>
          <w:szCs w:val="24"/>
        </w:rPr>
        <w:t xml:space="preserve"> is </w:t>
      </w:r>
      <w:r w:rsidRPr="00595846">
        <w:rPr>
          <w:rFonts w:ascii="Times New Roman" w:hAnsi="Times New Roman" w:cs="Times New Roman"/>
          <w:sz w:val="26"/>
          <w:szCs w:val="24"/>
        </w:rPr>
        <w:t xml:space="preserve">the sum of the estimated annual federal cost of analyzing and processing the filings </w:t>
      </w:r>
      <w:r w:rsidRPr="00595846" w:rsidR="00623C7C">
        <w:rPr>
          <w:rFonts w:ascii="Times New Roman" w:hAnsi="Times New Roman" w:cs="Times New Roman"/>
          <w:sz w:val="26"/>
          <w:szCs w:val="24"/>
        </w:rPr>
        <w:t>(</w:t>
      </w:r>
      <w:r w:rsidRPr="00595846">
        <w:rPr>
          <w:rFonts w:ascii="Times New Roman" w:hAnsi="Times New Roman" w:cs="Times New Roman"/>
          <w:sz w:val="26"/>
          <w:szCs w:val="24"/>
        </w:rPr>
        <w:t>which is the annual salary for one Full-Time Equivalent (FTE) of $</w:t>
      </w:r>
      <w:r w:rsidR="00682507">
        <w:rPr>
          <w:rFonts w:ascii="Times New Roman" w:hAnsi="Times New Roman" w:cs="Times New Roman"/>
          <w:sz w:val="26"/>
          <w:szCs w:val="24"/>
        </w:rPr>
        <w:t>207,78</w:t>
      </w:r>
      <w:r w:rsidR="00F42B6D">
        <w:rPr>
          <w:rFonts w:ascii="Times New Roman" w:hAnsi="Times New Roman" w:cs="Times New Roman"/>
          <w:sz w:val="26"/>
          <w:szCs w:val="24"/>
        </w:rPr>
        <w:t>6</w:t>
      </w:r>
      <w:r w:rsidRPr="00595846" w:rsidR="00623C7C">
        <w:rPr>
          <w:rFonts w:ascii="Times New Roman" w:hAnsi="Times New Roman" w:cs="Times New Roman"/>
          <w:sz w:val="26"/>
          <w:szCs w:val="24"/>
        </w:rPr>
        <w:t xml:space="preserve">) </w:t>
      </w:r>
      <w:r w:rsidRPr="00595846">
        <w:rPr>
          <w:rFonts w:ascii="Times New Roman" w:hAnsi="Times New Roman" w:cs="Times New Roman"/>
          <w:sz w:val="26"/>
          <w:szCs w:val="24"/>
        </w:rPr>
        <w:t>plus the estimated PRA administrative cos</w:t>
      </w:r>
      <w:r w:rsidRPr="00595846" w:rsidR="00145E58">
        <w:rPr>
          <w:rFonts w:ascii="Times New Roman" w:hAnsi="Times New Roman" w:cs="Times New Roman"/>
          <w:sz w:val="26"/>
          <w:szCs w:val="24"/>
        </w:rPr>
        <w:t>t</w:t>
      </w:r>
      <w:r w:rsidRPr="00595846">
        <w:rPr>
          <w:rFonts w:ascii="Times New Roman" w:hAnsi="Times New Roman" w:cs="Times New Roman"/>
          <w:sz w:val="26"/>
          <w:szCs w:val="24"/>
        </w:rPr>
        <w:t xml:space="preserve"> of $</w:t>
      </w:r>
      <w:r w:rsidR="00682507">
        <w:rPr>
          <w:rFonts w:ascii="Times New Roman" w:hAnsi="Times New Roman" w:cs="Times New Roman"/>
          <w:sz w:val="26"/>
          <w:szCs w:val="24"/>
        </w:rPr>
        <w:t>8,396</w:t>
      </w:r>
      <w:r w:rsidRPr="00595846" w:rsidR="00EF04D5">
        <w:rPr>
          <w:rFonts w:ascii="Times New Roman" w:hAnsi="Times New Roman" w:cs="Times New Roman"/>
          <w:sz w:val="26"/>
          <w:szCs w:val="24"/>
        </w:rPr>
        <w:t>.</w:t>
      </w:r>
    </w:p>
    <w:p w:rsidR="00EA3369" w:rsidRPr="00595846" w:rsidP="0007783F" w14:paraId="2C8BC8D7" w14:textId="77777777">
      <w:pPr>
        <w:spacing w:after="0" w:line="240" w:lineRule="auto"/>
        <w:rPr>
          <w:rFonts w:ascii="Times New Roman" w:hAnsi="Times New Roman" w:cs="Times New Roman"/>
          <w:sz w:val="26"/>
          <w:szCs w:val="24"/>
        </w:rPr>
      </w:pPr>
    </w:p>
    <w:p w:rsidR="00EA3369" w:rsidRPr="00595846" w:rsidP="00EA3369" w14:paraId="7518C682" w14:textId="77777777">
      <w:pPr>
        <w:spacing w:after="0" w:line="240" w:lineRule="auto"/>
        <w:jc w:val="center"/>
        <w:rPr>
          <w:rFonts w:ascii="Times New Roman" w:hAnsi="Times New Roman" w:cs="Times New Roman"/>
          <w:b/>
          <w:bCs/>
          <w:sz w:val="26"/>
          <w:szCs w:val="24"/>
        </w:rPr>
      </w:pPr>
      <w:r w:rsidRPr="00595846">
        <w:rPr>
          <w:rFonts w:ascii="Times New Roman" w:hAnsi="Times New Roman" w:cs="Times New Roman"/>
          <w:b/>
          <w:bCs/>
          <w:sz w:val="26"/>
          <w:szCs w:val="24"/>
        </w:rPr>
        <w:t>Table 14</w:t>
      </w:r>
    </w:p>
    <w:p w:rsidR="002359F6" w:rsidRPr="00595846" w:rsidP="00EA3369" w14:paraId="40DD9213" w14:textId="646766BC">
      <w:pPr>
        <w:spacing w:after="0" w:line="240" w:lineRule="auto"/>
        <w:jc w:val="center"/>
        <w:rPr>
          <w:rFonts w:ascii="Times New Roman" w:hAnsi="Times New Roman" w:cs="Times New Roman"/>
          <w:sz w:val="26"/>
          <w:szCs w:val="24"/>
        </w:rPr>
      </w:pPr>
      <w:r w:rsidRPr="00595846">
        <w:rPr>
          <w:rFonts w:ascii="Times New Roman" w:hAnsi="Times New Roman" w:cs="Times New Roman"/>
          <w:b/>
          <w:bCs/>
          <w:sz w:val="26"/>
          <w:szCs w:val="24"/>
        </w:rPr>
        <w:t>Estimated Annual Federal Costs</w:t>
      </w:r>
      <w:r w:rsidRPr="00595846" w:rsidR="00BC3F97">
        <w:rPr>
          <w:rFonts w:ascii="Times New Roman" w:hAnsi="Times New Roman" w:cs="Times New Roman"/>
          <w:sz w:val="26"/>
          <w:szCs w:val="24"/>
        </w:rPr>
        <w:t xml:space="preserve"> </w:t>
      </w:r>
    </w:p>
    <w:p w:rsidR="00BC3F97" w:rsidRPr="00595846" w:rsidP="0007783F" w14:paraId="0F39C68F"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4760D27" w14:textId="77777777" w:rsidTr="002359F6">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7C39D3" w14:paraId="368325C1" w14:textId="74DC5114">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5E2448" w14:paraId="604C33BB"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2A4142" w14:paraId="666965DF"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Estimated Annual Federal Cost</w:t>
            </w:r>
          </w:p>
        </w:tc>
      </w:tr>
      <w:tr w14:paraId="3E7BA932"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E66667" w14:paraId="6FE375A5" w14:textId="01D52A7A">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Analysis </w:t>
            </w:r>
            <w:r w:rsidRPr="00595846" w:rsidR="005F55AB">
              <w:rPr>
                <w:rFonts w:ascii="Times New Roman" w:hAnsi="Times New Roman" w:cs="Times New Roman"/>
                <w:sz w:val="26"/>
                <w:szCs w:val="24"/>
              </w:rPr>
              <w:t xml:space="preserve">and Processing </w:t>
            </w:r>
            <w:r w:rsidRPr="00595846" w:rsidR="00E66667">
              <w:rPr>
                <w:rFonts w:ascii="Times New Roman" w:hAnsi="Times New Roman" w:cs="Times New Roman"/>
                <w:sz w:val="26"/>
                <w:szCs w:val="24"/>
              </w:rPr>
              <w:t>of F</w:t>
            </w:r>
            <w:r w:rsidRPr="00595846">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95846" w:rsidP="005E2448" w14:paraId="04252B1D" w14:textId="72204F66">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20F3A7DE" w14:textId="4D06F0F3">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682507">
              <w:rPr>
                <w:rFonts w:ascii="Times New Roman" w:hAnsi="Times New Roman" w:cs="Times New Roman"/>
                <w:sz w:val="26"/>
                <w:szCs w:val="24"/>
              </w:rPr>
              <w:t>207,78</w:t>
            </w:r>
            <w:r w:rsidR="00F42B6D">
              <w:rPr>
                <w:rFonts w:ascii="Times New Roman" w:hAnsi="Times New Roman" w:cs="Times New Roman"/>
                <w:sz w:val="26"/>
                <w:szCs w:val="24"/>
              </w:rPr>
              <w:t>6</w:t>
            </w:r>
          </w:p>
        </w:tc>
      </w:tr>
      <w:tr w14:paraId="453A7B37"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99517B" w14:paraId="69B8A50D" w14:textId="17F573A8">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Paperwork Reduction Act Administrative Cost</w:t>
            </w:r>
            <w:r w:rsidRPr="00595846" w:rsidR="003611DF">
              <w:rPr>
                <w:rFonts w:ascii="Times New Roman" w:hAnsi="Times New Roman" w:cs="Times New Roman"/>
                <w:sz w:val="26"/>
                <w:szCs w:val="24"/>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6BA0C2F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116405AD" w14:textId="57D1D6A1">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682507">
              <w:rPr>
                <w:rFonts w:ascii="Times New Roman" w:hAnsi="Times New Roman" w:cs="Times New Roman"/>
                <w:sz w:val="26"/>
                <w:szCs w:val="24"/>
              </w:rPr>
              <w:t>8,396</w:t>
            </w:r>
          </w:p>
        </w:tc>
      </w:tr>
      <w:tr w14:paraId="2F75250A"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7C39D3" w14:paraId="6F95BDC0"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5E9D679C"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579CA50F" w14:textId="45ED2278">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5840F4">
              <w:rPr>
                <w:rFonts w:ascii="Times New Roman" w:hAnsi="Times New Roman" w:cs="Times New Roman"/>
                <w:sz w:val="26"/>
                <w:szCs w:val="24"/>
              </w:rPr>
              <w:t>216,182</w:t>
            </w:r>
          </w:p>
        </w:tc>
      </w:tr>
    </w:tbl>
    <w:p w:rsidR="009922B2" w:rsidRPr="00595846" w:rsidP="002A4142" w14:paraId="3C1ABC63" w14:textId="77777777">
      <w:pPr>
        <w:spacing w:line="240" w:lineRule="auto"/>
        <w:rPr>
          <w:rFonts w:ascii="Times New Roman" w:hAnsi="Times New Roman" w:cs="Times New Roman"/>
          <w:sz w:val="26"/>
          <w:szCs w:val="24"/>
        </w:rPr>
      </w:pPr>
    </w:p>
    <w:p w:rsidR="00C4205B" w:rsidRPr="0007783C" w:rsidP="007C39D3" w14:paraId="68B9EDF1" w14:textId="5FEC04C2">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REASONS FOR CHANGES IN BURDEN INCLUDING THE NEED FOR ANY INCREAS</w:t>
      </w:r>
      <w:r w:rsidR="00195646">
        <w:rPr>
          <w:rFonts w:ascii="Times New Roman" w:hAnsi="Times New Roman" w:cs="Times New Roman"/>
          <w:b/>
          <w:bCs/>
          <w:sz w:val="26"/>
          <w:szCs w:val="24"/>
        </w:rPr>
        <w:t>E</w:t>
      </w:r>
    </w:p>
    <w:p w:rsidR="0007783C" w:rsidRPr="0007783C" w:rsidP="0007783C" w14:paraId="15C986E7"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07783C" w:rsidRPr="0007783C" w:rsidP="0007783C" w14:paraId="2DF4B0B6" w14:textId="0E3F71F4">
      <w:pPr>
        <w:widowControl w:val="0"/>
        <w:autoSpaceDE w:val="0"/>
        <w:autoSpaceDN w:val="0"/>
        <w:adjustRightInd w:val="0"/>
        <w:spacing w:after="0" w:line="240" w:lineRule="auto"/>
        <w:rPr>
          <w:rFonts w:ascii="Times New Roman" w:hAnsi="Times New Roman" w:cs="Times New Roman"/>
          <w:sz w:val="26"/>
          <w:szCs w:val="24"/>
        </w:rPr>
      </w:pPr>
      <w:r w:rsidRPr="0007783C">
        <w:rPr>
          <w:rFonts w:ascii="Times New Roman" w:hAnsi="Times New Roman" w:cs="Times New Roman"/>
          <w:sz w:val="26"/>
          <w:szCs w:val="24"/>
        </w:rPr>
        <w:t>CIP-015-1 Presents new burden of 2,400 responses and 136,000 hrs. as stated above in the table within section #12.</w:t>
      </w:r>
    </w:p>
    <w:p w:rsidR="00195646" w:rsidRPr="0007783C" w:rsidP="00195646" w14:paraId="1B8E229A" w14:textId="77777777">
      <w:pPr>
        <w:widowControl w:val="0"/>
        <w:autoSpaceDE w:val="0"/>
        <w:autoSpaceDN w:val="0"/>
        <w:adjustRightInd w:val="0"/>
        <w:spacing w:after="0" w:line="240" w:lineRule="auto"/>
        <w:rPr>
          <w:rFonts w:ascii="Times New Roman" w:hAnsi="Times New Roman" w:cs="Times New Roman"/>
          <w:sz w:val="26"/>
          <w:szCs w:val="24"/>
        </w:rPr>
      </w:pPr>
    </w:p>
    <w:p w:rsidR="00C4205B" w:rsidRPr="00595846" w:rsidP="007C39D3"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TIME SCHEDULE FOR THE PUBLICATION OF DATA</w:t>
      </w:r>
    </w:p>
    <w:p w:rsidR="00C4205B" w:rsidRPr="00595846" w:rsidP="00485D08" w14:paraId="4CC944AC" w14:textId="77777777">
      <w:pPr>
        <w:spacing w:after="0" w:line="240" w:lineRule="auto"/>
        <w:rPr>
          <w:rFonts w:ascii="Times New Roman" w:hAnsi="Times New Roman" w:cs="Times New Roman"/>
          <w:b/>
          <w:bCs/>
          <w:sz w:val="26"/>
          <w:szCs w:val="24"/>
        </w:rPr>
      </w:pPr>
    </w:p>
    <w:p w:rsidR="00042D80" w:rsidRPr="00595846" w:rsidP="005768DB" w14:paraId="605C5CB7" w14:textId="18071D5C">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There </w:t>
      </w:r>
      <w:r w:rsidR="00FE7D01">
        <w:rPr>
          <w:rFonts w:ascii="Times New Roman" w:hAnsi="Times New Roman" w:cs="Times New Roman"/>
          <w:sz w:val="26"/>
          <w:szCs w:val="24"/>
        </w:rPr>
        <w:t>is</w:t>
      </w:r>
      <w:r w:rsidRPr="00595846" w:rsidR="009C7756">
        <w:rPr>
          <w:rFonts w:ascii="Times New Roman" w:hAnsi="Times New Roman" w:cs="Times New Roman"/>
          <w:sz w:val="26"/>
          <w:szCs w:val="24"/>
        </w:rPr>
        <w:t xml:space="preserve"> </w:t>
      </w:r>
      <w:r w:rsidRPr="00595846">
        <w:rPr>
          <w:rFonts w:ascii="Times New Roman" w:hAnsi="Times New Roman" w:cs="Times New Roman"/>
          <w:sz w:val="26"/>
          <w:szCs w:val="24"/>
        </w:rPr>
        <w:t>no tabulating, statistical or publication plans</w:t>
      </w:r>
      <w:r w:rsidRPr="00595846" w:rsidR="009C7756">
        <w:rPr>
          <w:rFonts w:ascii="Times New Roman" w:hAnsi="Times New Roman" w:cs="Times New Roman"/>
          <w:sz w:val="26"/>
          <w:szCs w:val="24"/>
        </w:rPr>
        <w:t xml:space="preserve"> in accordance with the</w:t>
      </w:r>
      <w:r w:rsidRPr="00595846" w:rsidR="009A584B">
        <w:rPr>
          <w:rFonts w:ascii="Times New Roman" w:hAnsi="Times New Roman" w:cs="Times New Roman"/>
          <w:sz w:val="26"/>
          <w:szCs w:val="24"/>
        </w:rPr>
        <w:t xml:space="preserve"> final rule</w:t>
      </w:r>
      <w:r w:rsidRPr="00595846" w:rsidR="009C7756">
        <w:rPr>
          <w:rFonts w:ascii="Times New Roman" w:hAnsi="Times New Roman" w:cs="Times New Roman"/>
          <w:sz w:val="26"/>
          <w:szCs w:val="24"/>
        </w:rPr>
        <w:t>.</w:t>
      </w:r>
    </w:p>
    <w:p w:rsidR="00C4205B" w:rsidRPr="00595846" w:rsidP="002A4142" w14:paraId="525DB757" w14:textId="77777777">
      <w:pPr>
        <w:spacing w:after="0" w:line="240" w:lineRule="auto"/>
        <w:rPr>
          <w:rFonts w:ascii="Times New Roman" w:hAnsi="Times New Roman" w:cs="Times New Roman"/>
          <w:sz w:val="26"/>
          <w:szCs w:val="24"/>
        </w:rPr>
      </w:pPr>
    </w:p>
    <w:p w:rsidR="00C4205B" w:rsidRPr="00595846" w:rsidP="007C39D3"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DISPLAY OF THE EXPIRATION DATE</w:t>
      </w:r>
    </w:p>
    <w:p w:rsidR="00C4205B" w:rsidRPr="00595846" w:rsidP="00485D08" w14:paraId="2FA7CFEF" w14:textId="77777777">
      <w:pPr>
        <w:spacing w:after="0" w:line="240" w:lineRule="auto"/>
        <w:rPr>
          <w:rFonts w:ascii="Times New Roman" w:hAnsi="Times New Roman" w:cs="Times New Roman"/>
          <w:b/>
          <w:bCs/>
          <w:sz w:val="26"/>
          <w:szCs w:val="24"/>
        </w:rPr>
      </w:pPr>
    </w:p>
    <w:p w:rsidR="00DC0C15" w:rsidRPr="00DC0C15" w:rsidP="00DC0C15" w14:paraId="7BAC06E9" w14:textId="77777777">
      <w:pPr>
        <w:spacing w:after="0" w:line="240" w:lineRule="auto"/>
        <w:rPr>
          <w:rFonts w:ascii="Times New Roman" w:eastAsia="Calibri" w:hAnsi="Times New Roman" w:cs="Times New Roman"/>
          <w:sz w:val="24"/>
          <w:szCs w:val="24"/>
        </w:rPr>
      </w:pPr>
      <w:r w:rsidRPr="001C4610">
        <w:rPr>
          <w:rFonts w:ascii="Times New Roman" w:hAnsi="Times New Roman" w:cs="Times New Roman"/>
          <w:sz w:val="26"/>
          <w:szCs w:val="26"/>
        </w:rPr>
        <w:t xml:space="preserve">The expiration date </w:t>
      </w:r>
      <w:r w:rsidRPr="001C4610" w:rsidR="00AC06A5">
        <w:rPr>
          <w:rFonts w:ascii="Times New Roman" w:hAnsi="Times New Roman" w:cs="Times New Roman"/>
          <w:sz w:val="26"/>
          <w:szCs w:val="26"/>
        </w:rPr>
        <w:t xml:space="preserve">is </w:t>
      </w:r>
      <w:r w:rsidRPr="001C4610">
        <w:rPr>
          <w:rFonts w:ascii="Times New Roman" w:hAnsi="Times New Roman" w:cs="Times New Roman"/>
          <w:sz w:val="26"/>
          <w:szCs w:val="26"/>
        </w:rPr>
        <w:t>displayed in a table posted on ferc.gov at</w:t>
      </w:r>
      <w:r w:rsidRPr="36394A6D">
        <w:rPr>
          <w:rFonts w:ascii="Times New Roman" w:hAnsi="Times New Roman" w:cs="Times New Roman"/>
          <w:sz w:val="26"/>
          <w:szCs w:val="26"/>
        </w:rPr>
        <w:t xml:space="preserve"> </w:t>
      </w:r>
      <w:hyperlink r:id="rId9" w:history="1">
        <w:r w:rsidRPr="00DC0C15">
          <w:rPr>
            <w:rFonts w:ascii="Times New Roman" w:eastAsia="Calibri" w:hAnsi="Times New Roman" w:cs="Times New Roman"/>
            <w:color w:val="0000FF"/>
            <w:sz w:val="24"/>
            <w:szCs w:val="24"/>
            <w:u w:val="single"/>
          </w:rPr>
          <w:t>https://www.ferc.gov/information-collections</w:t>
        </w:r>
      </w:hyperlink>
      <w:r w:rsidRPr="00DC0C15">
        <w:rPr>
          <w:rFonts w:ascii="Times New Roman" w:eastAsia="Calibri" w:hAnsi="Times New Roman" w:cs="Times New Roman"/>
          <w:color w:val="0000FF"/>
          <w:sz w:val="24"/>
          <w:szCs w:val="24"/>
          <w:u w:val="single"/>
        </w:rPr>
        <w:t>.</w:t>
      </w:r>
    </w:p>
    <w:p w:rsidR="00D7367E" w:rsidRPr="00DC0C15" w:rsidP="00485D08" w14:paraId="7876E53A" w14:textId="497CA3F3">
      <w:pPr>
        <w:spacing w:after="0" w:line="240" w:lineRule="auto"/>
        <w:rPr>
          <w:rFonts w:ascii="Times New Roman" w:hAnsi="Times New Roman" w:cs="Times New Roman"/>
          <w:sz w:val="26"/>
          <w:szCs w:val="26"/>
        </w:rPr>
      </w:pPr>
    </w:p>
    <w:p w:rsidR="00C4205B" w:rsidRPr="00595846" w:rsidP="007C39D3" w14:paraId="658DC5A6"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EXCEPTIONS TO THE CERTIFICATION STATEMENT</w:t>
      </w:r>
    </w:p>
    <w:p w:rsidR="00C4205B" w:rsidRPr="00595846" w:rsidP="00485D08" w14:paraId="0AE45CAE" w14:textId="77777777">
      <w:pPr>
        <w:spacing w:after="0" w:line="240" w:lineRule="auto"/>
        <w:rPr>
          <w:rFonts w:ascii="Times New Roman" w:hAnsi="Times New Roman" w:cs="Times New Roman"/>
          <w:sz w:val="26"/>
          <w:szCs w:val="24"/>
        </w:rPr>
      </w:pPr>
    </w:p>
    <w:p w:rsidR="00D350A8" w:rsidRPr="00595846" w:rsidP="007A560D" w14:paraId="75C43DD9" w14:textId="75761279">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w:t>
      </w:r>
      <w:r w:rsidRPr="00595846" w:rsidR="009766A2">
        <w:rPr>
          <w:rFonts w:ascii="Times New Roman" w:hAnsi="Times New Roman" w:cs="Times New Roman"/>
          <w:sz w:val="26"/>
          <w:szCs w:val="24"/>
        </w:rPr>
        <w:t>re are no exceptions.</w:t>
      </w: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EE7398D" w14:textId="77777777">
    <w:pPr>
      <w:pStyle w:val="Footer"/>
    </w:pPr>
  </w:p>
  <w:p w:rsidR="00E63496" w14:paraId="5403061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noProof/>
      </w:rPr>
    </w:sdtEndPr>
    <w:sdtContent>
      <w:p w:rsidR="00C55457" w14:paraId="07EB7F9D" w14:textId="7CF6D8D3">
        <w:pPr>
          <w:pStyle w:val="Footer"/>
          <w:jc w:val="right"/>
        </w:pPr>
        <w:r>
          <w:fldChar w:fldCharType="begin"/>
        </w:r>
        <w:r>
          <w:instrText xml:space="preserve"> PAGE   \* MERGEFORMAT </w:instrText>
        </w:r>
        <w:r>
          <w:fldChar w:fldCharType="separate"/>
        </w:r>
        <w:r w:rsidR="000F3EB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F12" w:rsidP="00D350A8" w14:paraId="74532717" w14:textId="77777777">
      <w:pPr>
        <w:spacing w:after="0" w:line="240" w:lineRule="auto"/>
      </w:pPr>
      <w:r>
        <w:separator/>
      </w:r>
    </w:p>
  </w:footnote>
  <w:footnote w:type="continuationSeparator" w:id="1">
    <w:p w:rsidR="005B2F12" w:rsidP="00D350A8" w14:paraId="3352E651" w14:textId="77777777">
      <w:pPr>
        <w:spacing w:after="0" w:line="240" w:lineRule="auto"/>
      </w:pPr>
      <w:r>
        <w:continuationSeparator/>
      </w:r>
    </w:p>
  </w:footnote>
  <w:footnote w:type="continuationNotice" w:id="2">
    <w:p w:rsidR="005B2F12" w14:paraId="3EA6CF07" w14:textId="77777777">
      <w:pPr>
        <w:spacing w:after="0" w:line="240" w:lineRule="auto"/>
      </w:pPr>
    </w:p>
  </w:footnote>
  <w:footnote w:id="3">
    <w:p w:rsidR="00EA08B2" w:rsidRPr="00D60FEE" w:rsidP="00EA08B2" w14:paraId="285E1E35"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16 U.S.C. 824o.</w:t>
      </w:r>
    </w:p>
  </w:footnote>
  <w:footnote w:id="4">
    <w:p w:rsidR="00C71944" w:rsidRPr="00C71944" w14:paraId="4AA42A93" w14:textId="6F525329">
      <w:pPr>
        <w:pStyle w:val="FootnoteText"/>
      </w:pPr>
      <w:r w:rsidRPr="00D60FEE">
        <w:rPr>
          <w:sz w:val="26"/>
          <w:szCs w:val="26"/>
          <w:vertAlign w:val="superscript"/>
        </w:rPr>
        <w:footnoteRef/>
      </w:r>
      <w:r w:rsidRPr="00D60FEE">
        <w:rPr>
          <w:sz w:val="26"/>
          <w:szCs w:val="26"/>
        </w:rPr>
        <w:t xml:space="preserve"> </w:t>
      </w:r>
      <w:r w:rsidRPr="00D60FEE">
        <w:rPr>
          <w:i/>
          <w:iCs/>
          <w:sz w:val="26"/>
          <w:szCs w:val="26"/>
        </w:rPr>
        <w:t>Id</w:t>
      </w:r>
      <w:r w:rsidRPr="00D60FEE">
        <w:rPr>
          <w:sz w:val="26"/>
          <w:szCs w:val="26"/>
        </w:rPr>
        <w:t>. 824o(e).</w:t>
      </w:r>
    </w:p>
  </w:footnote>
  <w:footnote w:id="5">
    <w:p w:rsidR="00EA08B2" w:rsidRPr="00D60FEE" w:rsidP="00EA08B2" w14:paraId="3DB99D03" w14:textId="7AE2104E">
      <w:pPr>
        <w:pStyle w:val="FootnoteText"/>
        <w:rPr>
          <w:sz w:val="26"/>
          <w:szCs w:val="26"/>
        </w:rPr>
      </w:pPr>
      <w:r w:rsidRPr="00D60FEE">
        <w:rPr>
          <w:rStyle w:val="FootnoteReference"/>
          <w:sz w:val="26"/>
          <w:szCs w:val="26"/>
          <w:vertAlign w:val="superscript"/>
        </w:rPr>
        <w:footnoteRef/>
      </w:r>
      <w:r w:rsidRPr="00D60FEE">
        <w:rPr>
          <w:sz w:val="26"/>
          <w:szCs w:val="26"/>
        </w:rPr>
        <w:t xml:space="preserve"> </w:t>
      </w:r>
      <w:r w:rsidRPr="00EA08B2">
        <w:rPr>
          <w:i/>
          <w:sz w:val="26"/>
          <w:szCs w:val="26"/>
        </w:rPr>
        <w:t>N. Am. Elec. Reliability Corp.</w:t>
      </w:r>
      <w:r w:rsidRPr="00EA08B2">
        <w:rPr>
          <w:sz w:val="26"/>
          <w:szCs w:val="26"/>
        </w:rPr>
        <w:t xml:space="preserve">, 116 FERC ¶ 61,062, </w:t>
      </w:r>
      <w:r w:rsidRPr="00EA08B2">
        <w:rPr>
          <w:i/>
          <w:sz w:val="26"/>
          <w:szCs w:val="26"/>
        </w:rPr>
        <w:t>order on reh’g &amp; compliance</w:t>
      </w:r>
      <w:r w:rsidRPr="00EA08B2">
        <w:rPr>
          <w:sz w:val="26"/>
          <w:szCs w:val="26"/>
        </w:rPr>
        <w:t xml:space="preserve">, 117 FERC ¶ 61,126 (2006), </w:t>
      </w:r>
      <w:r w:rsidRPr="00EA08B2">
        <w:rPr>
          <w:i/>
          <w:sz w:val="26"/>
          <w:szCs w:val="26"/>
        </w:rPr>
        <w:t>order on compliance</w:t>
      </w:r>
      <w:r w:rsidRPr="00EA08B2">
        <w:rPr>
          <w:sz w:val="26"/>
          <w:szCs w:val="26"/>
        </w:rPr>
        <w:t xml:space="preserve">, 118 FERC ¶ 61,030, </w:t>
      </w:r>
      <w:r w:rsidRPr="00EA08B2">
        <w:rPr>
          <w:i/>
          <w:sz w:val="26"/>
          <w:szCs w:val="26"/>
        </w:rPr>
        <w:t>order on compliance</w:t>
      </w:r>
      <w:r w:rsidRPr="00EA08B2">
        <w:rPr>
          <w:sz w:val="26"/>
          <w:szCs w:val="26"/>
        </w:rPr>
        <w:t xml:space="preserve">, 118 FERC ¶ 61,190, </w:t>
      </w:r>
      <w:r w:rsidRPr="00EA08B2">
        <w:rPr>
          <w:i/>
          <w:sz w:val="26"/>
          <w:szCs w:val="26"/>
        </w:rPr>
        <w:t>order on reh’g</w:t>
      </w:r>
      <w:r w:rsidRPr="00EA08B2">
        <w:rPr>
          <w:sz w:val="26"/>
          <w:szCs w:val="26"/>
        </w:rPr>
        <w:t xml:space="preserve">, 119 FERC ¶ 61,046 (2007), </w:t>
      </w:r>
      <w:r w:rsidRPr="00EA08B2">
        <w:rPr>
          <w:i/>
          <w:sz w:val="26"/>
          <w:szCs w:val="26"/>
        </w:rPr>
        <w:t xml:space="preserve">aff’d </w:t>
      </w:r>
      <w:r w:rsidRPr="00EA08B2">
        <w:rPr>
          <w:i/>
          <w:iCs/>
          <w:sz w:val="26"/>
          <w:szCs w:val="26"/>
        </w:rPr>
        <w:t>sub nom. Alcoa Inc. v. FERC</w:t>
      </w:r>
      <w:r w:rsidRPr="00EA08B2">
        <w:rPr>
          <w:sz w:val="26"/>
          <w:szCs w:val="26"/>
        </w:rPr>
        <w:t>, 564 F.3d 1342 (D.C. Cir 2009).</w:t>
      </w:r>
      <w:r w:rsidRPr="00B51110">
        <w:t xml:space="preserve"> </w:t>
      </w:r>
    </w:p>
  </w:footnote>
  <w:footnote w:id="6">
    <w:p w:rsidR="00E92D02" w:rsidRPr="00D60FEE" w14:paraId="23823380" w14:textId="379A0846">
      <w:pPr>
        <w:pStyle w:val="FootnoteText"/>
        <w:rPr>
          <w:sz w:val="26"/>
          <w:szCs w:val="26"/>
        </w:rPr>
      </w:pPr>
      <w:r w:rsidRPr="00D60FEE">
        <w:rPr>
          <w:rStyle w:val="FootnoteReference"/>
          <w:sz w:val="26"/>
          <w:szCs w:val="26"/>
          <w:vertAlign w:val="superscript"/>
        </w:rPr>
        <w:footnoteRef/>
      </w:r>
      <w:r w:rsidRPr="00D60FEE">
        <w:rPr>
          <w:sz w:val="26"/>
          <w:szCs w:val="26"/>
          <w:vertAlign w:val="superscript"/>
        </w:rPr>
        <w:t xml:space="preserve"> </w:t>
      </w:r>
      <w:r w:rsidRPr="00364EB0">
        <w:rPr>
          <w:sz w:val="26"/>
          <w:szCs w:val="26"/>
        </w:rPr>
        <w:t xml:space="preserve">INSM is “a subset of network security monitoring that is applied within a ‘trust zone,’ such as an electronic security perimeter.”  </w:t>
      </w:r>
      <w:r w:rsidRPr="00364EB0" w:rsidR="00D439E4">
        <w:rPr>
          <w:i/>
          <w:iCs/>
          <w:sz w:val="26"/>
          <w:szCs w:val="26"/>
        </w:rPr>
        <w:t>Internal Network Sec. Monitoring for High &amp; Medium Impact Bulk Elec. Sys. Cyber Sys.</w:t>
      </w:r>
      <w:r w:rsidRPr="00364EB0" w:rsidR="00D439E4">
        <w:rPr>
          <w:sz w:val="26"/>
          <w:szCs w:val="26"/>
        </w:rPr>
        <w:t>, Order No. 887, 88 FR 8354 (Feb. 9, 2023), 182 FERC ¶ 61,021</w:t>
      </w:r>
      <w:r w:rsidR="00D439E4">
        <w:rPr>
          <w:sz w:val="26"/>
          <w:szCs w:val="26"/>
        </w:rPr>
        <w:t xml:space="preserve"> at P 2</w:t>
      </w:r>
      <w:r w:rsidRPr="00364EB0" w:rsidR="00D439E4">
        <w:rPr>
          <w:sz w:val="26"/>
          <w:szCs w:val="26"/>
        </w:rPr>
        <w:t xml:space="preserve"> </w:t>
      </w:r>
      <w:r w:rsidRPr="00364EB0" w:rsidR="00D439E4">
        <w:rPr>
          <w:sz w:val="26"/>
          <w:szCs w:val="26"/>
        </w:rPr>
        <w:t xml:space="preserve">(2023). </w:t>
      </w:r>
    </w:p>
  </w:footnote>
  <w:footnote w:id="7">
    <w:p w:rsidR="00986421" w:rsidRPr="00D60FEE" w14:paraId="17C48D7B" w14:textId="7C242665">
      <w:pPr>
        <w:pStyle w:val="FootnoteText"/>
        <w:rPr>
          <w:sz w:val="26"/>
        </w:rPr>
      </w:pPr>
      <w:r w:rsidRPr="00D60FEE">
        <w:rPr>
          <w:rStyle w:val="FootnoteReference"/>
          <w:sz w:val="26"/>
          <w:szCs w:val="26"/>
          <w:vertAlign w:val="superscript"/>
        </w:rPr>
        <w:footnoteRef/>
      </w:r>
      <w:r>
        <w:t xml:space="preserve"> </w:t>
      </w:r>
      <w:r>
        <w:rPr>
          <w:sz w:val="26"/>
        </w:rPr>
        <w:t xml:space="preserve">In general, NERC defines BES to include all Transmission Elements operated at 100 kV or higher and Real Power and Reactive Power resources connected at 100 kV or higher.  This does not include facilities used in the local distribution of electric energy.  </w:t>
      </w:r>
      <w:r>
        <w:rPr>
          <w:i/>
          <w:iCs/>
          <w:sz w:val="26"/>
        </w:rPr>
        <w:t>See</w:t>
      </w:r>
      <w:r>
        <w:rPr>
          <w:sz w:val="26"/>
        </w:rPr>
        <w:t xml:space="preserve"> NERC, </w:t>
      </w:r>
      <w:r>
        <w:rPr>
          <w:i/>
          <w:iCs/>
          <w:sz w:val="26"/>
        </w:rPr>
        <w:t>Bulk Electric System Definition Reference Document</w:t>
      </w:r>
      <w:r>
        <w:rPr>
          <w:sz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Pr>
          <w:i/>
          <w:iCs/>
          <w:sz w:val="26"/>
        </w:rPr>
        <w:t>See</w:t>
      </w:r>
      <w:r>
        <w:rPr>
          <w:sz w:val="26"/>
        </w:rPr>
        <w:t xml:space="preserve"> </w:t>
      </w:r>
      <w:r>
        <w:rPr>
          <w:i/>
          <w:iCs/>
          <w:sz w:val="26"/>
        </w:rPr>
        <w:t xml:space="preserve">Mandatory Reliability Standards for the Bulk-Power System, </w:t>
      </w:r>
      <w:r>
        <w:rPr>
          <w:sz w:val="26"/>
        </w:rPr>
        <w:t xml:space="preserve">Order No. 693, 72 FR 16415 (Apr. 4, 2007), 118 FERC ¶ 61,218, at PP 75, 79, 491, </w:t>
      </w:r>
      <w:r>
        <w:rPr>
          <w:i/>
          <w:iCs/>
          <w:sz w:val="26"/>
        </w:rPr>
        <w:t>order on reh’g</w:t>
      </w:r>
      <w:r>
        <w:rPr>
          <w:sz w:val="26"/>
        </w:rPr>
        <w:t>, Order No. 693-A, 72 FR 49717 (July 25, 2007), 120 FERC ¶ 61,053 (2007).</w:t>
      </w:r>
    </w:p>
  </w:footnote>
  <w:footnote w:id="8">
    <w:p w:rsidR="00986421" w:rsidP="00986421" w14:paraId="1210D82A" w14:textId="60966844">
      <w:pPr>
        <w:pStyle w:val="FootnoteText"/>
        <w:rPr>
          <w:sz w:val="26"/>
        </w:rPr>
      </w:pPr>
      <w:r w:rsidRPr="00D60FEE">
        <w:rPr>
          <w:rStyle w:val="FootnoteReference"/>
          <w:sz w:val="26"/>
          <w:szCs w:val="26"/>
          <w:vertAlign w:val="superscript"/>
        </w:rPr>
        <w:footnoteRef/>
      </w:r>
      <w:r>
        <w:t xml:space="preserve"> </w:t>
      </w:r>
      <w:r>
        <w:rPr>
          <w:sz w:val="26"/>
        </w:rPr>
        <w:t>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Pr>
          <w:rStyle w:val="Hyperlink"/>
          <w:sz w:val="26"/>
        </w:rPr>
        <w:t xml:space="preserve"> </w:t>
      </w:r>
      <w:r>
        <w:rPr>
          <w:sz w:val="26"/>
        </w:rPr>
        <w:t>NERC Glossary of Terms).  NERC defines BES Cyber Asset as</w:t>
      </w:r>
      <w:r w:rsidR="009C7F52">
        <w:rPr>
          <w:sz w:val="26"/>
        </w:rPr>
        <w:t>:</w:t>
      </w:r>
      <w:r>
        <w:rPr>
          <w:sz w:val="26"/>
        </w:rPr>
        <w:t xml:space="preserve"> </w:t>
      </w:r>
    </w:p>
    <w:p w:rsidR="00986421" w:rsidP="00D60FEE" w14:paraId="2B417ED4" w14:textId="77777777">
      <w:pPr>
        <w:pStyle w:val="FootnoteText"/>
        <w:ind w:left="1440" w:right="1440"/>
        <w:contextualSpacing/>
        <w:rPr>
          <w:sz w:val="26"/>
        </w:rPr>
      </w:pPr>
      <w:r>
        <w:rPr>
          <w:sz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986421" w:rsidP="00D60FEE" w14:paraId="16373CCE" w14:textId="0AAB4E01">
      <w:pPr>
        <w:pStyle w:val="FootnoteText"/>
        <w:contextualSpacing/>
      </w:pPr>
    </w:p>
  </w:footnote>
  <w:footnote w:id="9">
    <w:p w:rsidR="009D1B94" w:rsidRPr="00D60FEE" w:rsidP="00D60FEE" w14:paraId="43D07B5C" w14:textId="77777777">
      <w:pPr>
        <w:pStyle w:val="FootnoteText"/>
        <w:contextualSpacing/>
        <w:rPr>
          <w:sz w:val="26"/>
          <w:szCs w:val="26"/>
        </w:rPr>
      </w:pPr>
      <w:r w:rsidRPr="00D60FEE">
        <w:rPr>
          <w:rStyle w:val="FootnoteReference"/>
          <w:sz w:val="26"/>
          <w:szCs w:val="26"/>
          <w:vertAlign w:val="superscript"/>
        </w:rPr>
        <w:footnoteRef/>
      </w:r>
      <w:r w:rsidRPr="00D60FEE">
        <w:rPr>
          <w:sz w:val="26"/>
          <w:szCs w:val="26"/>
        </w:rPr>
        <w:t xml:space="preserve"> Order No. 887, 182 FERC ¶ 61,021 at P 3.</w:t>
      </w:r>
    </w:p>
  </w:footnote>
  <w:footnote w:id="10">
    <w:p w:rsidR="009D1B94" w:rsidRPr="00D60FEE" w:rsidP="009D1B94" w14:paraId="03DD5290"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w:t>
      </w:r>
      <w:r w:rsidRPr="00D60FEE">
        <w:rPr>
          <w:i/>
          <w:iCs/>
          <w:sz w:val="26"/>
          <w:szCs w:val="26"/>
        </w:rPr>
        <w:t xml:space="preserve">Id. </w:t>
      </w:r>
      <w:r w:rsidRPr="00D60FEE">
        <w:rPr>
          <w:sz w:val="26"/>
          <w:szCs w:val="26"/>
        </w:rPr>
        <w:t xml:space="preserve">P 2. </w:t>
      </w:r>
    </w:p>
  </w:footnote>
  <w:footnote w:id="11">
    <w:p w:rsidR="005467DA" w:rsidRPr="00D60FEE" w14:paraId="3258CFB2" w14:textId="21E44C32">
      <w:pPr>
        <w:pStyle w:val="FootnoteText"/>
        <w:rPr>
          <w:sz w:val="26"/>
          <w:szCs w:val="26"/>
        </w:rPr>
      </w:pPr>
      <w:r w:rsidRPr="00D60FEE">
        <w:rPr>
          <w:rStyle w:val="FootnoteReference"/>
          <w:sz w:val="26"/>
          <w:szCs w:val="26"/>
          <w:vertAlign w:val="superscript"/>
        </w:rPr>
        <w:footnoteRef/>
      </w:r>
      <w:r w:rsidRPr="00D60FEE">
        <w:rPr>
          <w:sz w:val="26"/>
          <w:szCs w:val="26"/>
          <w:vertAlign w:val="superscript"/>
        </w:rPr>
        <w:t xml:space="preserve"> </w:t>
      </w:r>
      <w:r w:rsidRPr="00D60FEE">
        <w:rPr>
          <w:sz w:val="26"/>
          <w:szCs w:val="26"/>
        </w:rPr>
        <w:t>16 U.S.C. 824o(d)(2).</w:t>
      </w:r>
    </w:p>
  </w:footnote>
  <w:footnote w:id="12">
    <w:p w:rsidR="18B8630B" w:rsidP="18B8630B" w14:paraId="576D85B6" w14:textId="77777777">
      <w:pPr>
        <w:pStyle w:val="FootnoteText"/>
        <w:rPr>
          <w:sz w:val="26"/>
          <w:szCs w:val="26"/>
        </w:rPr>
      </w:pPr>
      <w:r w:rsidRPr="18B8630B">
        <w:rPr>
          <w:rStyle w:val="FootnoteReference"/>
          <w:sz w:val="26"/>
          <w:szCs w:val="26"/>
          <w:vertAlign w:val="superscript"/>
        </w:rPr>
        <w:footnoteRef/>
      </w:r>
      <w:r w:rsidRPr="18B8630B">
        <w:rPr>
          <w:sz w:val="26"/>
          <w:szCs w:val="26"/>
        </w:rPr>
        <w:t xml:space="preserve"> EACMS are “Cyber Assets that perform electronic access control or electronic access monitoring of the Electronic Security Perimeter(s) or BES Cyber Systems.  This includes Intermediate Systems.”  NERC, </w:t>
      </w:r>
      <w:r w:rsidRPr="18B8630B">
        <w:rPr>
          <w:i/>
          <w:iCs/>
          <w:sz w:val="26"/>
          <w:szCs w:val="26"/>
        </w:rPr>
        <w:t>Glossary of Terms Used in NERC Reliability</w:t>
      </w:r>
      <w:r w:rsidRPr="18B8630B">
        <w:rPr>
          <w:sz w:val="26"/>
          <w:szCs w:val="26"/>
        </w:rPr>
        <w:t xml:space="preserve"> </w:t>
      </w:r>
      <w:r w:rsidRPr="18B8630B">
        <w:rPr>
          <w:i/>
          <w:iCs/>
          <w:sz w:val="26"/>
          <w:szCs w:val="26"/>
        </w:rPr>
        <w:t>Standards</w:t>
      </w:r>
      <w:r w:rsidRPr="18B8630B">
        <w:rPr>
          <w:sz w:val="26"/>
          <w:szCs w:val="26"/>
        </w:rPr>
        <w:t>, (July 22, 2024), https://www.nerc.com/pa/Stand/Glossary%20of%20Terms/Glossary_of_Terms.pdf (NERC Glossary).</w:t>
      </w:r>
    </w:p>
  </w:footnote>
  <w:footnote w:id="13">
    <w:p w:rsidR="4452B592" w:rsidP="4452B592" w14:paraId="48E9A24F" w14:textId="77777777">
      <w:pPr>
        <w:pStyle w:val="FootnoteText"/>
        <w:rPr>
          <w:i/>
          <w:iCs/>
          <w:sz w:val="26"/>
          <w:szCs w:val="26"/>
        </w:rPr>
      </w:pPr>
      <w:r w:rsidRPr="4452B592">
        <w:rPr>
          <w:rStyle w:val="FootnoteReference"/>
          <w:sz w:val="26"/>
          <w:szCs w:val="26"/>
          <w:vertAlign w:val="superscript"/>
        </w:rPr>
        <w:footnoteRef/>
      </w:r>
      <w:r w:rsidRPr="4452B592">
        <w:rPr>
          <w:sz w:val="26"/>
          <w:szCs w:val="26"/>
        </w:rPr>
        <w:t xml:space="preserve"> PACS are “Cyber Assets that control, alert, or log access to the Physical Security Perimeter(s), exclusive of locally mounted hardware or devices at the Physical Security Perimeter such as motion sensors, electronic lock control mechanisms, and badge readers.”  </w:t>
      </w:r>
      <w:r w:rsidRPr="4452B592">
        <w:rPr>
          <w:i/>
          <w:iCs/>
          <w:sz w:val="26"/>
          <w:szCs w:val="26"/>
        </w:rPr>
        <w:t>Id.</w:t>
      </w:r>
    </w:p>
  </w:footnote>
  <w:footnote w:id="14">
    <w:p w:rsidR="0067273C" w:rsidRPr="00D60FEE" w:rsidP="0067273C" w14:paraId="53763767"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16 U.S.C. 824o(d)(5).</w:t>
      </w:r>
    </w:p>
  </w:footnote>
  <w:footnote w:id="15">
    <w:p w:rsidR="00EA08B2" w:rsidP="00EA08B2" w14:paraId="52B94C54" w14:textId="77777777">
      <w:pPr>
        <w:pStyle w:val="FootnoteText"/>
        <w:rPr>
          <w:sz w:val="26"/>
        </w:rPr>
      </w:pPr>
      <w:r>
        <w:rPr>
          <w:rStyle w:val="FootnoteReference"/>
          <w:sz w:val="26"/>
          <w:vertAlign w:val="superscript"/>
        </w:rPr>
        <w:footnoteRef/>
      </w:r>
      <w:r>
        <w:rPr>
          <w:sz w:val="26"/>
        </w:rPr>
        <w:t xml:space="preserve"> The FPA, at 16 U.S.C. 824</w:t>
      </w:r>
      <w:r>
        <w:rPr>
          <w:i/>
          <w:iCs/>
          <w:sz w:val="26"/>
        </w:rPr>
        <w:t>o</w:t>
      </w:r>
      <w:r>
        <w:rPr>
          <w:sz w:val="26"/>
        </w:rPr>
        <w:t>(a)(3), defines “Reliability Standard” as a requirement, approved by the Commission, to provide for reliable operation of the bulk-power system.  This definition includes cybersecurity protection, and the design of planned additions or modifications to bulk-power facilities to the extent necessary to provide for reliable operation of the Bulk-Power System.  However, the term does not include any requirement to enlarge such facilities or to construct new transmission capacity or generation capacity.</w:t>
      </w:r>
    </w:p>
  </w:footnote>
  <w:footnote w:id="16">
    <w:p/>
  </w:footnote>
  <w:footnote w:id="17">
    <w:p w:rsidR="75D7739E" w:rsidP="00D60FEE" w14:paraId="72F51F2F" w14:textId="75DF6E01">
      <w:pPr>
        <w:pStyle w:val="FootnoteText"/>
        <w:rPr>
          <w:sz w:val="26"/>
          <w:szCs w:val="26"/>
        </w:rPr>
      </w:pPr>
      <w:r>
        <w:footnoteRef/>
      </w:r>
      <w:r>
        <w:t xml:space="preserve"> </w:t>
      </w:r>
      <w:r w:rsidRPr="75D7739E">
        <w:rPr>
          <w:sz w:val="26"/>
          <w:szCs w:val="26"/>
        </w:rPr>
        <w:t xml:space="preserve">NERC uses the term “registered entity” to identify users, owners, and operators of the Bulk-Power System responsible for performing specified reliability functions with respect to NERC Reliability Standards.  </w:t>
      </w:r>
      <w:r w:rsidRPr="75D7739E">
        <w:rPr>
          <w:i/>
          <w:iCs/>
          <w:sz w:val="26"/>
          <w:szCs w:val="26"/>
        </w:rPr>
        <w:t>See</w:t>
      </w:r>
      <w:r w:rsidRPr="75D7739E">
        <w:rPr>
          <w:sz w:val="26"/>
          <w:szCs w:val="26"/>
        </w:rPr>
        <w:t xml:space="preserve">, </w:t>
      </w:r>
      <w:r w:rsidRPr="75D7739E">
        <w:rPr>
          <w:i/>
          <w:iCs/>
          <w:sz w:val="26"/>
          <w:szCs w:val="26"/>
        </w:rPr>
        <w:t>e.g</w:t>
      </w:r>
      <w:r w:rsidRPr="75D7739E">
        <w:rPr>
          <w:sz w:val="26"/>
          <w:szCs w:val="26"/>
        </w:rPr>
        <w:t xml:space="preserve">., </w:t>
      </w:r>
      <w:r w:rsidRPr="75D7739E">
        <w:rPr>
          <w:i/>
          <w:iCs/>
          <w:sz w:val="26"/>
          <w:szCs w:val="26"/>
        </w:rPr>
        <w:t>Version 4 Critical Infrastructure Protection Reliability Standards</w:t>
      </w:r>
      <w:r w:rsidRPr="75D7739E">
        <w:rPr>
          <w:sz w:val="26"/>
          <w:szCs w:val="26"/>
        </w:rPr>
        <w:t xml:space="preserve">, Order No. 761, 77 FR 24594 (Apr. 25, 2012), 139 FERC ¶ 61,058, at P 46, </w:t>
      </w:r>
      <w:r w:rsidRPr="75D7739E">
        <w:rPr>
          <w:i/>
          <w:iCs/>
          <w:sz w:val="26"/>
          <w:szCs w:val="26"/>
        </w:rPr>
        <w:t>order denying clarification and reh’g</w:t>
      </w:r>
      <w:r w:rsidRPr="75D7739E">
        <w:rPr>
          <w:sz w:val="26"/>
          <w:szCs w:val="26"/>
        </w:rPr>
        <w:t>, 140 FERC ¶ 61,109 (2012).  Within the NERC Reliability Standards are various subsets of entities responsible for performing various specified reliability functions.  We collectively refer to these as “entities.”</w:t>
      </w:r>
    </w:p>
  </w:footnote>
  <w:footnote w:id="18">
    <w:p w:rsidR="0067273C" w:rsidP="0067273C" w14:paraId="65D00244" w14:textId="77777777">
      <w:pPr>
        <w:pStyle w:val="FootnoteText"/>
        <w:rPr>
          <w:sz w:val="26"/>
        </w:rPr>
      </w:pPr>
      <w:r>
        <w:rPr>
          <w:rStyle w:val="FootnoteReference"/>
          <w:sz w:val="26"/>
          <w:vertAlign w:val="superscript"/>
        </w:rPr>
        <w:footnoteRef/>
      </w:r>
      <w:r>
        <w:rPr>
          <w:sz w:val="26"/>
        </w:rPr>
        <w:t xml:space="preserve"> Order No. 706, 122 FERC ¶ 61,040 at P 1 (2008).</w:t>
      </w:r>
    </w:p>
  </w:footnote>
  <w:footnote w:id="19">
    <w:p w:rsidR="0067273C" w:rsidP="0067273C" w14:paraId="77F3E848" w14:textId="77777777">
      <w:pPr>
        <w:pStyle w:val="FootnoteText"/>
        <w:rPr>
          <w:sz w:val="26"/>
        </w:rPr>
      </w:pPr>
      <w:r>
        <w:rPr>
          <w:rStyle w:val="FootnoteReference"/>
          <w:sz w:val="26"/>
          <w:vertAlign w:val="superscript"/>
        </w:rPr>
        <w:footnoteRef/>
      </w:r>
      <w:r>
        <w:rPr>
          <w:sz w:val="26"/>
        </w:rPr>
        <w:t xml:space="preserve"> </w:t>
      </w:r>
      <w:r>
        <w:rPr>
          <w:i/>
          <w:iCs/>
          <w:sz w:val="26"/>
        </w:rPr>
        <w:t>Version 5 Critical Infrastructure Protection Reliability Standards</w:t>
      </w:r>
      <w:r>
        <w:rPr>
          <w:sz w:val="26"/>
        </w:rPr>
        <w:t xml:space="preserve">, Order No. 791, 78 FR 72755 (Dec. 13, 2013), 145 FERC ¶ 61,160 (2013), </w:t>
      </w:r>
      <w:r>
        <w:rPr>
          <w:i/>
          <w:iCs/>
          <w:sz w:val="26"/>
        </w:rPr>
        <w:t>order on reh’g</w:t>
      </w:r>
      <w:r>
        <w:rPr>
          <w:sz w:val="26"/>
        </w:rPr>
        <w:t>, Order No. 791-A, 146 FERC ¶ 61,188 (2014).</w:t>
      </w:r>
    </w:p>
  </w:footnote>
  <w:footnote w:id="20">
    <w:p w:rsidR="0067273C" w:rsidRPr="002161EB" w:rsidP="0067273C" w14:paraId="56A947D9" w14:textId="77777777">
      <w:pPr>
        <w:pStyle w:val="FootnoteText"/>
      </w:pPr>
      <w:r w:rsidRPr="00D60FEE">
        <w:rPr>
          <w:rStyle w:val="FootnoteReference"/>
          <w:vertAlign w:val="superscript"/>
        </w:rPr>
        <w:footnoteRef/>
      </w:r>
      <w:r w:rsidRPr="002161EB">
        <w:rPr>
          <w:b/>
        </w:rPr>
        <w:t xml:space="preserve"> </w:t>
      </w:r>
      <w:r w:rsidRPr="002161EB">
        <w:rPr>
          <w:sz w:val="26"/>
          <w:szCs w:val="26"/>
        </w:rPr>
        <w:t>44 U.S.C. 3507(d) (2012).</w:t>
      </w:r>
    </w:p>
  </w:footnote>
  <w:footnote w:id="21">
    <w:p w:rsidR="0067273C" w:rsidRPr="002161EB" w:rsidP="0067273C" w14:paraId="37362866" w14:textId="77777777">
      <w:pPr>
        <w:pStyle w:val="FootnoteText"/>
      </w:pPr>
      <w:r w:rsidRPr="00D60FEE">
        <w:rPr>
          <w:rStyle w:val="FootnoteReference"/>
          <w:vertAlign w:val="superscript"/>
        </w:rPr>
        <w:footnoteRef/>
      </w:r>
      <w:r w:rsidRPr="002161EB">
        <w:t xml:space="preserve"> </w:t>
      </w:r>
      <w:r w:rsidRPr="002161EB">
        <w:rPr>
          <w:sz w:val="26"/>
          <w:szCs w:val="26"/>
        </w:rPr>
        <w:t>5 CFR 1320.11 (2017).</w:t>
      </w:r>
    </w:p>
  </w:footnote>
  <w:footnote w:id="22">
    <w:p w:rsidR="00FE0EF5" w:rsidP="003F0B1A" w14:paraId="2128A6AD" w14:textId="77777777">
      <w:pPr>
        <w:pStyle w:val="FootnoteText"/>
      </w:pPr>
      <w:r>
        <w:rPr>
          <w:rStyle w:val="FootnoteReference"/>
          <w:sz w:val="26"/>
          <w:vertAlign w:val="superscript"/>
        </w:rPr>
        <w:footnoteRef/>
      </w:r>
      <w:r>
        <w:t xml:space="preserve"> </w:t>
      </w:r>
      <w:r>
        <w:rPr>
          <w:sz w:val="26"/>
        </w:rPr>
        <w:t>Public utilities may fall under one of several different categories, each with a size threshold based on the company’s number of employees, including affiliates, the parent company, and subsidiaries.  For the analysis in this Final Rule, we are using a 500-employee threshold due to each affected entity falling in the role of Electric Bulk Power Transmission and Control (NAISC Code: 221121).</w:t>
      </w:r>
    </w:p>
  </w:footnote>
  <w:footnote w:id="23">
    <w:p w:rsidR="00C81A35" w14:paraId="581A21A2" w14:textId="64C32C0A">
      <w:pPr>
        <w:pStyle w:val="FootnoteText"/>
      </w:pPr>
      <w:r w:rsidRPr="00D60FEE">
        <w:rPr>
          <w:rStyle w:val="FootnoteReference"/>
          <w:vertAlign w:val="superscript"/>
        </w:rPr>
        <w:footnoteRef/>
      </w:r>
      <w:r w:rsidRPr="00D60FEE">
        <w:rPr>
          <w:vertAlign w:val="superscript"/>
        </w:rPr>
        <w:t xml:space="preserve"> </w:t>
      </w:r>
      <w:r w:rsidR="00355831">
        <w:rPr>
          <w:vertAlign w:val="superscript"/>
        </w:rPr>
        <w:t xml:space="preserve"> </w:t>
      </w:r>
      <w:r w:rsidRPr="00D60FEE" w:rsidR="00355831">
        <w:rPr>
          <w:sz w:val="26"/>
        </w:rPr>
        <w:t>NERC</w:t>
      </w:r>
      <w:r w:rsidRPr="00D60FEE" w:rsidR="000C54ED">
        <w:rPr>
          <w:sz w:val="26"/>
        </w:rPr>
        <w:t>,</w:t>
      </w:r>
      <w:r w:rsidRPr="00D60FEE" w:rsidR="00355831">
        <w:rPr>
          <w:sz w:val="26"/>
        </w:rPr>
        <w:t xml:space="preserve"> </w:t>
      </w:r>
      <w:r w:rsidRPr="00D60FEE" w:rsidR="00355831">
        <w:rPr>
          <w:i/>
          <w:iCs/>
          <w:sz w:val="26"/>
        </w:rPr>
        <w:t>Rules of Procedure</w:t>
      </w:r>
      <w:r w:rsidRPr="00D60FEE" w:rsidR="000C54ED">
        <w:rPr>
          <w:sz w:val="26"/>
        </w:rPr>
        <w:t xml:space="preserve"> (2024), </w:t>
      </w:r>
      <w:r w:rsidRPr="000C54ED" w:rsidR="000C54ED">
        <w:rPr>
          <w:sz w:val="26"/>
        </w:rPr>
        <w:t>https://www.nerc.com/AboutNERC/pages/rules-of-procedure.aspx</w:t>
      </w:r>
      <w:r w:rsidR="000C54ED">
        <w:rPr>
          <w:sz w:val="26"/>
        </w:rPr>
        <w:t>.</w:t>
      </w:r>
      <w:r w:rsidRPr="00D60FEE" w:rsidR="000C54ED">
        <w:rPr>
          <w:sz w:val="26"/>
        </w:rPr>
        <w:t xml:space="preserve"> </w:t>
      </w:r>
    </w:p>
  </w:footnote>
  <w:footnote w:id="24">
    <w:p w:rsidR="005F7BEE" w:rsidRPr="00D60FEE" w:rsidP="005F7BEE" w14:paraId="0380DDEB" w14:textId="77777777">
      <w:pPr>
        <w:pStyle w:val="FootnoteText"/>
        <w:rPr>
          <w:sz w:val="26"/>
          <w:szCs w:val="26"/>
        </w:rPr>
      </w:pPr>
      <w:r w:rsidRPr="00D60FEE">
        <w:rPr>
          <w:rStyle w:val="FootnoteReference"/>
          <w:sz w:val="26"/>
          <w:szCs w:val="26"/>
          <w:vertAlign w:val="superscript"/>
        </w:rPr>
        <w:footnoteRef/>
      </w:r>
      <w:r w:rsidRPr="00D60FEE">
        <w:rPr>
          <w:sz w:val="26"/>
          <w:szCs w:val="26"/>
          <w:vertAlign w:val="superscript"/>
        </w:rPr>
        <w:t xml:space="preserve"> </w:t>
      </w:r>
      <w:r w:rsidRPr="00D60FEE">
        <w:rPr>
          <w:sz w:val="26"/>
          <w:szCs w:val="26"/>
        </w:rPr>
        <w:t xml:space="preserve">Details of the ERO standards development process are available on the NERC website at </w:t>
      </w:r>
      <w:hyperlink r:id="rId1" w:history="1">
        <w:r w:rsidRPr="00D60FEE">
          <w:rPr>
            <w:rStyle w:val="Hyperlink"/>
            <w:sz w:val="26"/>
            <w:szCs w:val="26"/>
          </w:rPr>
          <w:t>http://www.nerc.com/pa/Stand/Documents/Appendix_3A_StandardsProcessesManual.pdf</w:t>
        </w:r>
      </w:hyperlink>
      <w:r w:rsidRPr="00D60FEE">
        <w:rPr>
          <w:sz w:val="26"/>
          <w:szCs w:val="26"/>
        </w:rPr>
        <w:t>.</w:t>
      </w:r>
    </w:p>
  </w:footnote>
  <w:footnote w:id="25">
    <w:p w:rsidR="00F116E4" w:rsidRPr="00D60FEE" w14:paraId="6BF5DD77" w14:textId="2C0546DB">
      <w:pPr>
        <w:pStyle w:val="FootnoteText"/>
        <w:rPr>
          <w:sz w:val="26"/>
          <w:szCs w:val="26"/>
        </w:rPr>
      </w:pPr>
      <w:r w:rsidRPr="00D60FEE">
        <w:rPr>
          <w:rStyle w:val="FootnoteReference"/>
          <w:sz w:val="26"/>
          <w:szCs w:val="26"/>
          <w:vertAlign w:val="superscript"/>
        </w:rPr>
        <w:footnoteRef/>
      </w:r>
      <w:r w:rsidRPr="00D60FEE">
        <w:rPr>
          <w:sz w:val="26"/>
          <w:szCs w:val="26"/>
          <w:vertAlign w:val="superscript"/>
        </w:rPr>
        <w:t xml:space="preserve"> </w:t>
      </w:r>
      <w:r w:rsidRPr="00F116E4">
        <w:rPr>
          <w:sz w:val="26"/>
          <w:szCs w:val="26"/>
        </w:rPr>
        <w:t xml:space="preserve">18 CFR 39.5. </w:t>
      </w:r>
    </w:p>
  </w:footnote>
  <w:footnote w:id="26">
    <w:p w:rsidR="00F116E4" w:rsidRPr="00D60FEE" w:rsidP="00F116E4" w14:paraId="4FD5A377" w14:textId="176BD134">
      <w:pPr>
        <w:pStyle w:val="FootnoteText"/>
        <w:rPr>
          <w:sz w:val="26"/>
          <w:szCs w:val="26"/>
        </w:rPr>
      </w:pPr>
      <w:r w:rsidRPr="00D60FEE">
        <w:rPr>
          <w:rStyle w:val="FootnoteReference"/>
          <w:sz w:val="26"/>
          <w:szCs w:val="26"/>
          <w:vertAlign w:val="superscript"/>
        </w:rPr>
        <w:footnoteRef/>
      </w:r>
      <w:r w:rsidRPr="00D60FEE">
        <w:rPr>
          <w:sz w:val="26"/>
          <w:szCs w:val="26"/>
        </w:rPr>
        <w:t xml:space="preserve"> </w:t>
      </w:r>
      <w:r w:rsidRPr="00D60FEE" w:rsidR="00D1761E">
        <w:rPr>
          <w:sz w:val="26"/>
          <w:szCs w:val="26"/>
        </w:rPr>
        <w:t>Order No. 887, 182 FERC ¶ 61,021 at</w:t>
      </w:r>
      <w:r w:rsidRPr="00D60FEE">
        <w:rPr>
          <w:i/>
          <w:iCs/>
          <w:sz w:val="26"/>
          <w:szCs w:val="26"/>
        </w:rPr>
        <w:t xml:space="preserve"> </w:t>
      </w:r>
      <w:r w:rsidRPr="00D60FEE">
        <w:rPr>
          <w:sz w:val="26"/>
          <w:szCs w:val="26"/>
        </w:rPr>
        <w:t>P 20.</w:t>
      </w:r>
    </w:p>
  </w:footnote>
  <w:footnote w:id="27">
    <w:p w:rsidR="00F116E4" w:rsidRPr="00D60FEE" w:rsidP="00F116E4" w14:paraId="51ECF6C7"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w:t>
      </w:r>
      <w:r w:rsidRPr="00D60FEE">
        <w:rPr>
          <w:i/>
          <w:iCs/>
          <w:sz w:val="26"/>
          <w:szCs w:val="26"/>
        </w:rPr>
        <w:t xml:space="preserve">Id.  </w:t>
      </w:r>
      <w:r w:rsidRPr="00D60FEE">
        <w:rPr>
          <w:sz w:val="26"/>
          <w:szCs w:val="26"/>
        </w:rPr>
        <w:t xml:space="preserve">An attacker could move among devices inside a trust zone and perform actions such as:  (1) escalate privileges (such as gaining administrator account privileges through a vulnerability); (2) move undetected inside the CIP-networked environment; or (3) execute a virus, ransomware or another form of unauthorized code.  </w:t>
      </w:r>
      <w:r w:rsidRPr="00D60FEE">
        <w:rPr>
          <w:i/>
          <w:iCs/>
          <w:sz w:val="26"/>
          <w:szCs w:val="26"/>
        </w:rPr>
        <w:t xml:space="preserve">Id. </w:t>
      </w:r>
      <w:r w:rsidRPr="00D60FEE">
        <w:rPr>
          <w:sz w:val="26"/>
          <w:szCs w:val="26"/>
        </w:rPr>
        <w:t>P 19.</w:t>
      </w:r>
    </w:p>
  </w:footnote>
  <w:footnote w:id="28">
    <w:p w:rsidR="00F116E4" w:rsidRPr="00822F06" w:rsidP="00F116E4" w14:paraId="0AC41560" w14:textId="77777777">
      <w:pPr>
        <w:pStyle w:val="FootnoteText"/>
        <w:rPr>
          <w:highlight w:val="yellow"/>
        </w:rPr>
      </w:pPr>
      <w:r w:rsidRPr="00D60FEE">
        <w:rPr>
          <w:rStyle w:val="FootnoteReference"/>
          <w:sz w:val="26"/>
          <w:szCs w:val="26"/>
          <w:vertAlign w:val="superscript"/>
        </w:rPr>
        <w:footnoteRef/>
      </w:r>
      <w:r w:rsidRPr="00D60FEE">
        <w:rPr>
          <w:sz w:val="26"/>
          <w:szCs w:val="26"/>
          <w:vertAlign w:val="superscript"/>
        </w:rPr>
        <w:t xml:space="preserve"> </w:t>
      </w:r>
      <w:r w:rsidRPr="00D60FEE">
        <w:rPr>
          <w:i/>
          <w:iCs/>
          <w:sz w:val="26"/>
          <w:szCs w:val="26"/>
        </w:rPr>
        <w:t xml:space="preserve">Id. </w:t>
      </w:r>
      <w:r w:rsidRPr="00D60FEE">
        <w:rPr>
          <w:sz w:val="26"/>
          <w:szCs w:val="26"/>
        </w:rPr>
        <w:t>P 49 (citing NERC Comments in Response to Notice of Proposed Rulemaking under Docket No. RM22-3-000 at 4-5 (current CIP Standards require “malicious communications monitoring at the Electronic Access Point on the [electronic security perimeter], not necessarily monitoring of activity of those who already have access to the network”)).  The Bulk-Power System is defined in the FPA as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  16 U.S.C. 824o(a)(1).</w:t>
      </w:r>
    </w:p>
  </w:footnote>
  <w:footnote w:id="29">
    <w:p w:rsidR="00532F8E" w:rsidP="003F0B1A" w14:paraId="39CC263E" w14:textId="48CFA8D8">
      <w:pPr>
        <w:pStyle w:val="FootnoteText"/>
        <w:rPr>
          <w:sz w:val="26"/>
          <w:szCs w:val="24"/>
        </w:rPr>
      </w:pPr>
      <w:r>
        <w:rPr>
          <w:rStyle w:val="FootnoteReference"/>
          <w:sz w:val="26"/>
          <w:szCs w:val="24"/>
          <w:vertAlign w:val="superscript"/>
        </w:rPr>
        <w:footnoteRef/>
      </w:r>
      <w:r>
        <w:rPr>
          <w:sz w:val="26"/>
          <w:szCs w:val="24"/>
        </w:rPr>
        <w:t xml:space="preserve"> </w:t>
      </w:r>
      <w:r w:rsidR="00F8716D">
        <w:rPr>
          <w:sz w:val="26"/>
          <w:szCs w:val="24"/>
        </w:rPr>
        <w:t xml:space="preserve">NERC Rules of Procedure, </w:t>
      </w:r>
      <w:r w:rsidR="00EB2D45">
        <w:rPr>
          <w:sz w:val="26"/>
          <w:szCs w:val="24"/>
        </w:rPr>
        <w:t>s</w:t>
      </w:r>
      <w:r>
        <w:rPr>
          <w:sz w:val="26"/>
          <w:szCs w:val="24"/>
        </w:rPr>
        <w:t>ec</w:t>
      </w:r>
      <w:r w:rsidR="00EB2D45">
        <w:rPr>
          <w:sz w:val="26"/>
          <w:szCs w:val="24"/>
        </w:rPr>
        <w:t>.</w:t>
      </w:r>
      <w:r>
        <w:rPr>
          <w:sz w:val="26"/>
          <w:szCs w:val="24"/>
        </w:rPr>
        <w:t xml:space="preserve"> 1502,</w:t>
      </w:r>
      <w:r w:rsidR="00F8716D">
        <w:rPr>
          <w:sz w:val="26"/>
          <w:szCs w:val="24"/>
        </w:rPr>
        <w:t xml:space="preserve"> at 91-92 (revised </w:t>
      </w:r>
      <w:r w:rsidR="00EB2D45">
        <w:rPr>
          <w:sz w:val="26"/>
          <w:szCs w:val="24"/>
        </w:rPr>
        <w:t xml:space="preserve">Nov. </w:t>
      </w:r>
      <w:r w:rsidR="00F8716D">
        <w:rPr>
          <w:sz w:val="26"/>
          <w:szCs w:val="24"/>
        </w:rPr>
        <w:t>28, 2023)</w:t>
      </w:r>
      <w:r>
        <w:rPr>
          <w:sz w:val="26"/>
          <w:szCs w:val="24"/>
        </w:rPr>
        <w:t>.</w:t>
      </w:r>
    </w:p>
  </w:footnote>
  <w:footnote w:id="30">
    <w:p w:rsidR="00CB0F6A" w:rsidRPr="003F0B1A" w:rsidP="003F0B1A" w14:paraId="7FF973B9" w14:textId="1FA853AD">
      <w:pPr>
        <w:pStyle w:val="footnotedescription"/>
        <w:spacing w:line="240" w:lineRule="auto"/>
        <w:ind w:left="0" w:right="183" w:firstLine="0"/>
        <w:rPr>
          <w:szCs w:val="26"/>
        </w:rPr>
      </w:pPr>
      <w:r w:rsidRPr="00AA7635">
        <w:rPr>
          <w:rStyle w:val="footnotemark"/>
          <w:b w:val="0"/>
          <w:bCs/>
          <w:szCs w:val="26"/>
        </w:rPr>
        <w:footnoteRef/>
      </w:r>
      <w:r w:rsidRPr="00CB0F6A">
        <w:rPr>
          <w:szCs w:val="26"/>
        </w:rPr>
        <w:t xml:space="preserve"> “Burden” is the total time, effort, or financial resources expended by persons to generate, maintain, retain, or disclose or provide information to or for a </w:t>
      </w:r>
      <w:r w:rsidRPr="00CB0F6A" w:rsidR="00542F94">
        <w:rPr>
          <w:szCs w:val="26"/>
        </w:rPr>
        <w:t>federal</w:t>
      </w:r>
      <w:r w:rsidRPr="00CB0F6A">
        <w:rPr>
          <w:szCs w:val="26"/>
        </w:rPr>
        <w:t xml:space="preserve"> agency.  </w:t>
      </w:r>
      <w:r w:rsidR="000F38B3">
        <w:rPr>
          <w:szCs w:val="26"/>
        </w:rPr>
        <w:t xml:space="preserve"> </w:t>
      </w:r>
      <w:r w:rsidRPr="00CB0F6A">
        <w:rPr>
          <w:szCs w:val="26"/>
        </w:rPr>
        <w:t>5 C</w:t>
      </w:r>
      <w:r w:rsidR="000F38B3">
        <w:rPr>
          <w:szCs w:val="26"/>
        </w:rPr>
        <w:t>.</w:t>
      </w:r>
      <w:r w:rsidRPr="00CB0F6A">
        <w:rPr>
          <w:szCs w:val="26"/>
        </w:rPr>
        <w:t>F</w:t>
      </w:r>
      <w:r w:rsidR="000F38B3">
        <w:rPr>
          <w:szCs w:val="26"/>
        </w:rPr>
        <w:t>.</w:t>
      </w:r>
      <w:r w:rsidRPr="00CB0F6A">
        <w:rPr>
          <w:szCs w:val="26"/>
        </w:rPr>
        <w:t>R</w:t>
      </w:r>
      <w:r w:rsidR="000F38B3">
        <w:rPr>
          <w:szCs w:val="26"/>
        </w:rPr>
        <w:t>. §</w:t>
      </w:r>
      <w:r w:rsidRPr="00CB0F6A">
        <w:rPr>
          <w:szCs w:val="26"/>
        </w:rPr>
        <w:t xml:space="preserve"> 1320.3.</w:t>
      </w:r>
    </w:p>
  </w:footnote>
  <w:footnote w:id="31">
    <w:p w:rsidR="00316E5B" w:rsidRPr="00D60FEE" w:rsidP="00316E5B" w14:paraId="0D1FD25E"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The paperwork burden estimate includes costs associated with the initial development of a policy to address the requirements.</w:t>
      </w:r>
    </w:p>
  </w:footnote>
  <w:footnote w:id="32">
    <w:p w:rsidR="00316E5B" w:rsidRPr="00D60FEE" w:rsidP="00316E5B" w14:paraId="18D625C2"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This burden applies in Year One to Year Three.</w:t>
      </w:r>
    </w:p>
    <w:p w:rsidR="00316E5B" w:rsidRPr="00D60FEE" w:rsidP="00316E5B" w14:paraId="6A73537F" w14:textId="77777777">
      <w:pPr>
        <w:pStyle w:val="FootnoteText"/>
        <w:rPr>
          <w:sz w:val="26"/>
          <w:szCs w:val="26"/>
        </w:rPr>
      </w:pPr>
    </w:p>
    <w:p w:rsidR="00316E5B" w:rsidRPr="00D60FEE" w:rsidP="00316E5B" w14:paraId="65572F0A" w14:textId="77777777">
      <w:pPr>
        <w:pStyle w:val="FootnoteText"/>
        <w:rPr>
          <w:sz w:val="26"/>
          <w:szCs w:val="26"/>
        </w:rPr>
      </w:pPr>
      <w:r w:rsidRPr="00D60FEE">
        <w:rPr>
          <w:sz w:val="26"/>
          <w:szCs w:val="26"/>
        </w:rPr>
        <w:t>The hourly cost for wages is based in part on the average of the occupational categories from the Bureau of Labor Statistics website (</w:t>
      </w:r>
      <w:hyperlink r:id="rId2" w:history="1">
        <w:r w:rsidRPr="00D60FEE">
          <w:rPr>
            <w:rStyle w:val="Hyperlink"/>
            <w:sz w:val="26"/>
            <w:szCs w:val="26"/>
          </w:rPr>
          <w:t>http://www.bls.gov/oes/current/naics2_22.htm</w:t>
        </w:r>
      </w:hyperlink>
      <w:r w:rsidRPr="00D60FEE">
        <w:rPr>
          <w:sz w:val="26"/>
          <w:szCs w:val="26"/>
        </w:rPr>
        <w:t>) plus benefits:</w:t>
      </w:r>
    </w:p>
    <w:p w:rsidR="00316E5B" w:rsidRPr="00D60FEE" w:rsidP="00316E5B" w14:paraId="5CB46ECB" w14:textId="77777777">
      <w:pPr>
        <w:pStyle w:val="FootnoteText"/>
        <w:rPr>
          <w:sz w:val="26"/>
          <w:szCs w:val="26"/>
        </w:rPr>
      </w:pPr>
    </w:p>
    <w:p w:rsidR="00316E5B" w:rsidRPr="00D60FEE" w:rsidP="00316E5B" w14:paraId="110B4B9F" w14:textId="77777777">
      <w:pPr>
        <w:pStyle w:val="FootnoteText"/>
        <w:rPr>
          <w:sz w:val="26"/>
          <w:szCs w:val="26"/>
        </w:rPr>
      </w:pPr>
      <w:r w:rsidRPr="00D60FEE">
        <w:rPr>
          <w:sz w:val="26"/>
          <w:szCs w:val="26"/>
        </w:rPr>
        <w:t xml:space="preserve">Legal (Occupation Code: 23-0000): $162.66 </w:t>
      </w:r>
    </w:p>
    <w:p w:rsidR="00316E5B" w:rsidRPr="00D60FEE" w:rsidP="00316E5B" w14:paraId="7960DF7C" w14:textId="77777777">
      <w:pPr>
        <w:pStyle w:val="FootnoteText"/>
        <w:rPr>
          <w:sz w:val="26"/>
          <w:szCs w:val="26"/>
        </w:rPr>
      </w:pPr>
      <w:r w:rsidRPr="00D60FEE">
        <w:rPr>
          <w:sz w:val="26"/>
          <w:szCs w:val="26"/>
        </w:rPr>
        <w:t>Electrical Engineer (Occupation Code: 17-2071): $79.31</w:t>
      </w:r>
    </w:p>
    <w:p w:rsidR="00316E5B" w:rsidRPr="00D60FEE" w:rsidP="00316E5B" w14:paraId="146A9841" w14:textId="77777777">
      <w:pPr>
        <w:pStyle w:val="FootnoteText"/>
        <w:rPr>
          <w:sz w:val="26"/>
          <w:szCs w:val="26"/>
        </w:rPr>
      </w:pPr>
      <w:r w:rsidRPr="00D60FEE">
        <w:rPr>
          <w:sz w:val="26"/>
          <w:szCs w:val="26"/>
        </w:rPr>
        <w:t>Office and Administrative Support (Occupation Code: 43-0000): $48.59</w:t>
      </w:r>
    </w:p>
    <w:p w:rsidR="00316E5B" w:rsidRPr="00D60FEE" w:rsidP="00316E5B" w14:paraId="585FA0FF" w14:textId="77777777">
      <w:pPr>
        <w:pStyle w:val="FootnoteText"/>
        <w:rPr>
          <w:sz w:val="26"/>
          <w:szCs w:val="26"/>
        </w:rPr>
      </w:pPr>
      <w:r w:rsidRPr="00D60FEE">
        <w:rPr>
          <w:sz w:val="26"/>
          <w:szCs w:val="26"/>
        </w:rPr>
        <w:t xml:space="preserve">($162.66 + $79.31 + $48.59) ÷ 3 = $96.85  </w:t>
      </w:r>
    </w:p>
    <w:p w:rsidR="00316E5B" w:rsidRPr="00D60FEE" w:rsidP="00316E5B" w14:paraId="67B036FE" w14:textId="77777777">
      <w:pPr>
        <w:pStyle w:val="FootnoteText"/>
        <w:rPr>
          <w:sz w:val="26"/>
          <w:szCs w:val="26"/>
        </w:rPr>
      </w:pPr>
      <w:r w:rsidRPr="00D60FEE">
        <w:rPr>
          <w:sz w:val="26"/>
          <w:szCs w:val="26"/>
        </w:rPr>
        <w:t>The figure is rounded to $97.00 for use in calculating wage figures in this NOPR.</w:t>
      </w:r>
    </w:p>
    <w:p w:rsidR="00316E5B" w:rsidRPr="003A70F0" w:rsidP="00316E5B" w14:paraId="6E3A9EBD" w14:textId="77777777">
      <w:pPr>
        <w:pStyle w:val="FootnoteText"/>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1686CF65" w14:textId="77777777">
    <w:pPr>
      <w:pStyle w:val="Header"/>
    </w:pPr>
  </w:p>
  <w:p w:rsidR="00E63496" w14:paraId="05CCD04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14D" w:rsidP="002A4142" w14:paraId="0C2BCAF6" w14:textId="77777777">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Pr="00B51BB8">
      <w:rPr>
        <w:rFonts w:ascii="Times New Roman" w:hAnsi="Times New Roman" w:cs="Times New Roman"/>
        <w:sz w:val="24"/>
        <w:szCs w:val="24"/>
      </w:rPr>
      <w:t>)</w:t>
    </w:r>
  </w:p>
  <w:p w:rsidR="00C55457" w:rsidP="002A4142" w14:paraId="28A9C44C" w14:textId="4973004F">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RIN: </w:t>
    </w:r>
    <w:r w:rsidRPr="00B51BB8" w:rsidR="0007783C">
      <w:rPr>
        <w:rFonts w:ascii="Times New Roman" w:hAnsi="Times New Roman" w:cs="Times New Roman"/>
        <w:sz w:val="24"/>
        <w:szCs w:val="24"/>
      </w:rPr>
      <w:t xml:space="preserve"> </w:t>
    </w:r>
    <w:r w:rsidR="00B87FBA">
      <w:rPr>
        <w:rFonts w:ascii="Times New Roman" w:hAnsi="Times New Roman" w:cs="Times New Roman"/>
        <w:sz w:val="24"/>
        <w:szCs w:val="24"/>
      </w:rPr>
      <w:t>1902-AG23</w:t>
    </w:r>
  </w:p>
  <w:p w:rsidR="00335A11" w:rsidRPr="00B51BB8" w:rsidP="002A4142" w14:paraId="123C6C6A" w14:textId="74CD0925">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Final Rule published on July 2, 2025 (90 FR 28889)</w:t>
    </w:r>
  </w:p>
  <w:p w:rsidR="00AC06A5" w:rsidRPr="00470B2A" w:rsidP="00470B2A" w14:paraId="618B642F" w14:textId="77777777">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697C32"/>
    <w:multiLevelType w:val="hybridMultilevel"/>
    <w:tmpl w:val="EC96D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1">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FB2F9D"/>
    <w:multiLevelType w:val="hybridMultilevel"/>
    <w:tmpl w:val="89DA1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072502"/>
    <w:multiLevelType w:val="hybridMultilevel"/>
    <w:tmpl w:val="DE10B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F11F95"/>
    <w:multiLevelType w:val="hybridMultilevel"/>
    <w:tmpl w:val="B3901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20">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3">
    <w:nsid w:val="4FCC1895"/>
    <w:multiLevelType w:val="hybridMultilevel"/>
    <w:tmpl w:val="B602E31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791DA3"/>
    <w:multiLevelType w:val="hybridMultilevel"/>
    <w:tmpl w:val="E4647D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F1871B5"/>
    <w:multiLevelType w:val="hybridMultilevel"/>
    <w:tmpl w:val="F54C0E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A06BAD"/>
    <w:multiLevelType w:val="hybridMultilevel"/>
    <w:tmpl w:val="47AC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90689D"/>
    <w:multiLevelType w:val="hybridMultilevel"/>
    <w:tmpl w:val="21308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DE3D22"/>
    <w:multiLevelType w:val="hybridMultilevel"/>
    <w:tmpl w:val="11EA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4E44C9"/>
    <w:multiLevelType w:val="hybridMultilevel"/>
    <w:tmpl w:val="3A34531A"/>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hAnsi="Times New Roman" w:eastAsiaTheme="minorHAnsi"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36613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7749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4081">
    <w:abstractNumId w:val="27"/>
  </w:num>
  <w:num w:numId="4" w16cid:durableId="1415399731">
    <w:abstractNumId w:val="28"/>
  </w:num>
  <w:num w:numId="5" w16cid:durableId="844831613">
    <w:abstractNumId w:val="4"/>
  </w:num>
  <w:num w:numId="6" w16cid:durableId="1794254158">
    <w:abstractNumId w:val="19"/>
  </w:num>
  <w:num w:numId="7" w16cid:durableId="1572614205">
    <w:abstractNumId w:val="38"/>
  </w:num>
  <w:num w:numId="8" w16cid:durableId="1437629803">
    <w:abstractNumId w:val="22"/>
  </w:num>
  <w:num w:numId="9" w16cid:durableId="186063330">
    <w:abstractNumId w:val="20"/>
  </w:num>
  <w:num w:numId="10" w16cid:durableId="767115022">
    <w:abstractNumId w:val="34"/>
  </w:num>
  <w:num w:numId="11" w16cid:durableId="294719020">
    <w:abstractNumId w:val="21"/>
  </w:num>
  <w:num w:numId="12" w16cid:durableId="1727875903">
    <w:abstractNumId w:val="5"/>
  </w:num>
  <w:num w:numId="13" w16cid:durableId="1634630046">
    <w:abstractNumId w:val="13"/>
  </w:num>
  <w:num w:numId="14" w16cid:durableId="1080564002">
    <w:abstractNumId w:val="25"/>
  </w:num>
  <w:num w:numId="15" w16cid:durableId="1918393747">
    <w:abstractNumId w:val="36"/>
  </w:num>
  <w:num w:numId="16" w16cid:durableId="1021276500">
    <w:abstractNumId w:val="24"/>
  </w:num>
  <w:num w:numId="17" w16cid:durableId="2020694400">
    <w:abstractNumId w:val="17"/>
  </w:num>
  <w:num w:numId="18" w16cid:durableId="966740612">
    <w:abstractNumId w:val="11"/>
  </w:num>
  <w:num w:numId="19" w16cid:durableId="1544828605">
    <w:abstractNumId w:val="6"/>
  </w:num>
  <w:num w:numId="20" w16cid:durableId="84108037">
    <w:abstractNumId w:val="3"/>
  </w:num>
  <w:num w:numId="21" w16cid:durableId="254751495">
    <w:abstractNumId w:val="8"/>
  </w:num>
  <w:num w:numId="22" w16cid:durableId="1489053934">
    <w:abstractNumId w:val="30"/>
  </w:num>
  <w:num w:numId="23" w16cid:durableId="362901518">
    <w:abstractNumId w:val="10"/>
  </w:num>
  <w:num w:numId="24" w16cid:durableId="1442915944">
    <w:abstractNumId w:val="7"/>
  </w:num>
  <w:num w:numId="25" w16cid:durableId="1760984500">
    <w:abstractNumId w:val="12"/>
  </w:num>
  <w:num w:numId="26" w16cid:durableId="137036359">
    <w:abstractNumId w:val="2"/>
  </w:num>
  <w:num w:numId="27" w16cid:durableId="1882205948">
    <w:abstractNumId w:val="1"/>
  </w:num>
  <w:num w:numId="28" w16cid:durableId="1622608606">
    <w:abstractNumId w:val="0"/>
  </w:num>
  <w:num w:numId="29" w16cid:durableId="49501384">
    <w:abstractNumId w:val="18"/>
  </w:num>
  <w:num w:numId="30" w16cid:durableId="2079281319">
    <w:abstractNumId w:val="35"/>
  </w:num>
  <w:num w:numId="31" w16cid:durableId="1680888409">
    <w:abstractNumId w:val="15"/>
  </w:num>
  <w:num w:numId="32" w16cid:durableId="703676899">
    <w:abstractNumId w:val="29"/>
  </w:num>
  <w:num w:numId="33" w16cid:durableId="318460812">
    <w:abstractNumId w:val="32"/>
  </w:num>
  <w:num w:numId="34" w16cid:durableId="1461150061">
    <w:abstractNumId w:val="37"/>
  </w:num>
  <w:num w:numId="35" w16cid:durableId="311910907">
    <w:abstractNumId w:val="9"/>
  </w:num>
  <w:num w:numId="36" w16cid:durableId="652638146">
    <w:abstractNumId w:val="14"/>
  </w:num>
  <w:num w:numId="37" w16cid:durableId="993610265">
    <w:abstractNumId w:val="33"/>
  </w:num>
  <w:num w:numId="38" w16cid:durableId="1387483946">
    <w:abstractNumId w:val="31"/>
  </w:num>
  <w:num w:numId="39" w16cid:durableId="1901206502">
    <w:abstractNumId w:val="23"/>
  </w:num>
  <w:num w:numId="40" w16cid:durableId="621574822">
    <w:abstractNumId w:val="26"/>
  </w:num>
  <w:num w:numId="41" w16cid:durableId="37474400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mpden Macbeth">
    <w15:presenceInfo w15:providerId="AD" w15:userId="S::hampden.macbeth@ferc.gov::3a186c0d-27f1-4550-a34d-fdb461f1f6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0B5"/>
    <w:rsid w:val="0000146B"/>
    <w:rsid w:val="00001E77"/>
    <w:rsid w:val="000027B8"/>
    <w:rsid w:val="00005289"/>
    <w:rsid w:val="00005F2F"/>
    <w:rsid w:val="000151A0"/>
    <w:rsid w:val="00017AC9"/>
    <w:rsid w:val="00017D46"/>
    <w:rsid w:val="000203A0"/>
    <w:rsid w:val="000206A8"/>
    <w:rsid w:val="000216C0"/>
    <w:rsid w:val="00021862"/>
    <w:rsid w:val="00021D22"/>
    <w:rsid w:val="00024339"/>
    <w:rsid w:val="00026087"/>
    <w:rsid w:val="000302F1"/>
    <w:rsid w:val="00030744"/>
    <w:rsid w:val="00031CE6"/>
    <w:rsid w:val="000347AE"/>
    <w:rsid w:val="00034D83"/>
    <w:rsid w:val="0004111C"/>
    <w:rsid w:val="0004133D"/>
    <w:rsid w:val="000428A5"/>
    <w:rsid w:val="00042D80"/>
    <w:rsid w:val="00043C81"/>
    <w:rsid w:val="0004532C"/>
    <w:rsid w:val="00045FB6"/>
    <w:rsid w:val="000478CB"/>
    <w:rsid w:val="00050740"/>
    <w:rsid w:val="00051544"/>
    <w:rsid w:val="00052A3B"/>
    <w:rsid w:val="000537F7"/>
    <w:rsid w:val="00053805"/>
    <w:rsid w:val="00053EA8"/>
    <w:rsid w:val="00054FA4"/>
    <w:rsid w:val="00055683"/>
    <w:rsid w:val="00055F3B"/>
    <w:rsid w:val="0005637A"/>
    <w:rsid w:val="00063974"/>
    <w:rsid w:val="00065F10"/>
    <w:rsid w:val="0006703B"/>
    <w:rsid w:val="000723A8"/>
    <w:rsid w:val="000728C5"/>
    <w:rsid w:val="00073AED"/>
    <w:rsid w:val="00074A25"/>
    <w:rsid w:val="0007589B"/>
    <w:rsid w:val="000758B5"/>
    <w:rsid w:val="000759E0"/>
    <w:rsid w:val="0007783C"/>
    <w:rsid w:val="0007783F"/>
    <w:rsid w:val="00080F42"/>
    <w:rsid w:val="00085AB8"/>
    <w:rsid w:val="00085C16"/>
    <w:rsid w:val="00087086"/>
    <w:rsid w:val="00087336"/>
    <w:rsid w:val="00092114"/>
    <w:rsid w:val="000925EA"/>
    <w:rsid w:val="00092CAA"/>
    <w:rsid w:val="00094D36"/>
    <w:rsid w:val="00094D4F"/>
    <w:rsid w:val="000A1388"/>
    <w:rsid w:val="000A74EF"/>
    <w:rsid w:val="000B117D"/>
    <w:rsid w:val="000B4143"/>
    <w:rsid w:val="000B7013"/>
    <w:rsid w:val="000C01BD"/>
    <w:rsid w:val="000C1902"/>
    <w:rsid w:val="000C1EE9"/>
    <w:rsid w:val="000C54ED"/>
    <w:rsid w:val="000D2D65"/>
    <w:rsid w:val="000D384E"/>
    <w:rsid w:val="000D4A29"/>
    <w:rsid w:val="000E1839"/>
    <w:rsid w:val="000E2750"/>
    <w:rsid w:val="000E4B49"/>
    <w:rsid w:val="000E5E73"/>
    <w:rsid w:val="000F03BB"/>
    <w:rsid w:val="000F341C"/>
    <w:rsid w:val="000F3601"/>
    <w:rsid w:val="000F38B3"/>
    <w:rsid w:val="000F3EBB"/>
    <w:rsid w:val="000F7090"/>
    <w:rsid w:val="000F73BF"/>
    <w:rsid w:val="00100229"/>
    <w:rsid w:val="00100D18"/>
    <w:rsid w:val="00102231"/>
    <w:rsid w:val="00102F1A"/>
    <w:rsid w:val="00103120"/>
    <w:rsid w:val="00105164"/>
    <w:rsid w:val="00105A3D"/>
    <w:rsid w:val="001062F8"/>
    <w:rsid w:val="00107105"/>
    <w:rsid w:val="001075FC"/>
    <w:rsid w:val="0011241C"/>
    <w:rsid w:val="001144FB"/>
    <w:rsid w:val="001147A7"/>
    <w:rsid w:val="00115677"/>
    <w:rsid w:val="00115C06"/>
    <w:rsid w:val="00115F24"/>
    <w:rsid w:val="00124F70"/>
    <w:rsid w:val="00125D58"/>
    <w:rsid w:val="00126877"/>
    <w:rsid w:val="0012731F"/>
    <w:rsid w:val="001301E0"/>
    <w:rsid w:val="00130417"/>
    <w:rsid w:val="00131470"/>
    <w:rsid w:val="00133488"/>
    <w:rsid w:val="0013550F"/>
    <w:rsid w:val="00135CDF"/>
    <w:rsid w:val="00136ED1"/>
    <w:rsid w:val="00137551"/>
    <w:rsid w:val="00145E58"/>
    <w:rsid w:val="0014705F"/>
    <w:rsid w:val="00147873"/>
    <w:rsid w:val="00150D8D"/>
    <w:rsid w:val="001513E7"/>
    <w:rsid w:val="0015264C"/>
    <w:rsid w:val="00155323"/>
    <w:rsid w:val="0015640F"/>
    <w:rsid w:val="001566F0"/>
    <w:rsid w:val="00160787"/>
    <w:rsid w:val="00163CCB"/>
    <w:rsid w:val="00164079"/>
    <w:rsid w:val="001647E7"/>
    <w:rsid w:val="00165FD4"/>
    <w:rsid w:val="00167C07"/>
    <w:rsid w:val="00167C8E"/>
    <w:rsid w:val="001737AC"/>
    <w:rsid w:val="00173D5C"/>
    <w:rsid w:val="00173E2A"/>
    <w:rsid w:val="00174279"/>
    <w:rsid w:val="001755B4"/>
    <w:rsid w:val="00181270"/>
    <w:rsid w:val="0018141D"/>
    <w:rsid w:val="00181C6A"/>
    <w:rsid w:val="00181D4D"/>
    <w:rsid w:val="00183FE9"/>
    <w:rsid w:val="00185B93"/>
    <w:rsid w:val="00191849"/>
    <w:rsid w:val="001936B6"/>
    <w:rsid w:val="00195646"/>
    <w:rsid w:val="001967A9"/>
    <w:rsid w:val="001976E0"/>
    <w:rsid w:val="001A03C2"/>
    <w:rsid w:val="001A22CF"/>
    <w:rsid w:val="001A2CF8"/>
    <w:rsid w:val="001A44F2"/>
    <w:rsid w:val="001A5842"/>
    <w:rsid w:val="001A76A3"/>
    <w:rsid w:val="001A786F"/>
    <w:rsid w:val="001B79BD"/>
    <w:rsid w:val="001C153D"/>
    <w:rsid w:val="001C1A0F"/>
    <w:rsid w:val="001C4610"/>
    <w:rsid w:val="001C4667"/>
    <w:rsid w:val="001C7766"/>
    <w:rsid w:val="001C7872"/>
    <w:rsid w:val="001D0877"/>
    <w:rsid w:val="001D1065"/>
    <w:rsid w:val="001D47A6"/>
    <w:rsid w:val="001D4C3D"/>
    <w:rsid w:val="001D6820"/>
    <w:rsid w:val="001D6A97"/>
    <w:rsid w:val="001D7EB6"/>
    <w:rsid w:val="001E06BD"/>
    <w:rsid w:val="001E11E7"/>
    <w:rsid w:val="001E4D08"/>
    <w:rsid w:val="001E53A9"/>
    <w:rsid w:val="001E628C"/>
    <w:rsid w:val="001F0961"/>
    <w:rsid w:val="001F1D83"/>
    <w:rsid w:val="001F298F"/>
    <w:rsid w:val="001F2E9C"/>
    <w:rsid w:val="001F4069"/>
    <w:rsid w:val="002025A8"/>
    <w:rsid w:val="002034E6"/>
    <w:rsid w:val="00205F7B"/>
    <w:rsid w:val="00211860"/>
    <w:rsid w:val="002127F7"/>
    <w:rsid w:val="00213195"/>
    <w:rsid w:val="00213EC6"/>
    <w:rsid w:val="002159F5"/>
    <w:rsid w:val="002161EB"/>
    <w:rsid w:val="0021658A"/>
    <w:rsid w:val="002229D8"/>
    <w:rsid w:val="00224A37"/>
    <w:rsid w:val="00230B2A"/>
    <w:rsid w:val="00232182"/>
    <w:rsid w:val="002329FB"/>
    <w:rsid w:val="002332C2"/>
    <w:rsid w:val="002359F6"/>
    <w:rsid w:val="00235C09"/>
    <w:rsid w:val="00236FF2"/>
    <w:rsid w:val="002370E2"/>
    <w:rsid w:val="0024001F"/>
    <w:rsid w:val="00240C3A"/>
    <w:rsid w:val="0024309E"/>
    <w:rsid w:val="002522F6"/>
    <w:rsid w:val="00252E73"/>
    <w:rsid w:val="00254850"/>
    <w:rsid w:val="0025674D"/>
    <w:rsid w:val="00257FBE"/>
    <w:rsid w:val="0026021C"/>
    <w:rsid w:val="00260F6F"/>
    <w:rsid w:val="00261443"/>
    <w:rsid w:val="0026236C"/>
    <w:rsid w:val="002648F4"/>
    <w:rsid w:val="0026658C"/>
    <w:rsid w:val="00270184"/>
    <w:rsid w:val="00271EC6"/>
    <w:rsid w:val="00275760"/>
    <w:rsid w:val="00281141"/>
    <w:rsid w:val="0028418B"/>
    <w:rsid w:val="0028671F"/>
    <w:rsid w:val="00287433"/>
    <w:rsid w:val="00290004"/>
    <w:rsid w:val="0029048F"/>
    <w:rsid w:val="00290ACC"/>
    <w:rsid w:val="0029198C"/>
    <w:rsid w:val="00291A94"/>
    <w:rsid w:val="00297207"/>
    <w:rsid w:val="002A4142"/>
    <w:rsid w:val="002A45D0"/>
    <w:rsid w:val="002A4B6B"/>
    <w:rsid w:val="002A4B80"/>
    <w:rsid w:val="002A5BA5"/>
    <w:rsid w:val="002A7EF0"/>
    <w:rsid w:val="002B0760"/>
    <w:rsid w:val="002B0CC8"/>
    <w:rsid w:val="002B3B00"/>
    <w:rsid w:val="002B3EBF"/>
    <w:rsid w:val="002C1CD8"/>
    <w:rsid w:val="002C1E7D"/>
    <w:rsid w:val="002C4849"/>
    <w:rsid w:val="002C531C"/>
    <w:rsid w:val="002C536B"/>
    <w:rsid w:val="002C6BEA"/>
    <w:rsid w:val="002C70B7"/>
    <w:rsid w:val="002D1B4A"/>
    <w:rsid w:val="002D2A4D"/>
    <w:rsid w:val="002D4CD4"/>
    <w:rsid w:val="002D4F21"/>
    <w:rsid w:val="002D4FFD"/>
    <w:rsid w:val="002D6C88"/>
    <w:rsid w:val="002D736A"/>
    <w:rsid w:val="002E0A22"/>
    <w:rsid w:val="002E108D"/>
    <w:rsid w:val="002E1E40"/>
    <w:rsid w:val="002E26ED"/>
    <w:rsid w:val="002E4D73"/>
    <w:rsid w:val="002F155C"/>
    <w:rsid w:val="002F157F"/>
    <w:rsid w:val="002F1B6D"/>
    <w:rsid w:val="002F3DB9"/>
    <w:rsid w:val="00300EBE"/>
    <w:rsid w:val="00302F75"/>
    <w:rsid w:val="00314EBE"/>
    <w:rsid w:val="00315F04"/>
    <w:rsid w:val="00316E5B"/>
    <w:rsid w:val="00320BCA"/>
    <w:rsid w:val="00326933"/>
    <w:rsid w:val="0033288D"/>
    <w:rsid w:val="003329AF"/>
    <w:rsid w:val="00332A43"/>
    <w:rsid w:val="00332B3A"/>
    <w:rsid w:val="00333085"/>
    <w:rsid w:val="00335A11"/>
    <w:rsid w:val="00336CEE"/>
    <w:rsid w:val="00337299"/>
    <w:rsid w:val="00340456"/>
    <w:rsid w:val="00340971"/>
    <w:rsid w:val="003464A8"/>
    <w:rsid w:val="00353BFC"/>
    <w:rsid w:val="003542F8"/>
    <w:rsid w:val="003542FD"/>
    <w:rsid w:val="00355831"/>
    <w:rsid w:val="0035608B"/>
    <w:rsid w:val="00360F81"/>
    <w:rsid w:val="00361094"/>
    <w:rsid w:val="003611DF"/>
    <w:rsid w:val="00364EB0"/>
    <w:rsid w:val="0036566E"/>
    <w:rsid w:val="00366042"/>
    <w:rsid w:val="00366051"/>
    <w:rsid w:val="003702E7"/>
    <w:rsid w:val="003745F7"/>
    <w:rsid w:val="00374A3F"/>
    <w:rsid w:val="00375F53"/>
    <w:rsid w:val="00376367"/>
    <w:rsid w:val="003771D0"/>
    <w:rsid w:val="00380310"/>
    <w:rsid w:val="0038265B"/>
    <w:rsid w:val="00387ADF"/>
    <w:rsid w:val="00391060"/>
    <w:rsid w:val="00394225"/>
    <w:rsid w:val="00394FC5"/>
    <w:rsid w:val="003976CA"/>
    <w:rsid w:val="003979D6"/>
    <w:rsid w:val="003A1FED"/>
    <w:rsid w:val="003A2A25"/>
    <w:rsid w:val="003A37A8"/>
    <w:rsid w:val="003A536E"/>
    <w:rsid w:val="003A5537"/>
    <w:rsid w:val="003A70F0"/>
    <w:rsid w:val="003A79FA"/>
    <w:rsid w:val="003B00BB"/>
    <w:rsid w:val="003B279C"/>
    <w:rsid w:val="003B514D"/>
    <w:rsid w:val="003B56D0"/>
    <w:rsid w:val="003B5BA9"/>
    <w:rsid w:val="003B6534"/>
    <w:rsid w:val="003B681E"/>
    <w:rsid w:val="003C19D0"/>
    <w:rsid w:val="003C1A02"/>
    <w:rsid w:val="003C1B83"/>
    <w:rsid w:val="003C4DC8"/>
    <w:rsid w:val="003C60DE"/>
    <w:rsid w:val="003D09FB"/>
    <w:rsid w:val="003D54E3"/>
    <w:rsid w:val="003E28B1"/>
    <w:rsid w:val="003E2EB0"/>
    <w:rsid w:val="003E599C"/>
    <w:rsid w:val="003F0B1A"/>
    <w:rsid w:val="003F1569"/>
    <w:rsid w:val="003F6126"/>
    <w:rsid w:val="003F77BD"/>
    <w:rsid w:val="00401261"/>
    <w:rsid w:val="00401B62"/>
    <w:rsid w:val="0040637D"/>
    <w:rsid w:val="00410870"/>
    <w:rsid w:val="00413222"/>
    <w:rsid w:val="004137F1"/>
    <w:rsid w:val="00414F6C"/>
    <w:rsid w:val="00415E90"/>
    <w:rsid w:val="00416DFC"/>
    <w:rsid w:val="004270C2"/>
    <w:rsid w:val="004317D0"/>
    <w:rsid w:val="00431AFA"/>
    <w:rsid w:val="004320D5"/>
    <w:rsid w:val="0043221E"/>
    <w:rsid w:val="0043303B"/>
    <w:rsid w:val="004335A7"/>
    <w:rsid w:val="00433A3A"/>
    <w:rsid w:val="0044319A"/>
    <w:rsid w:val="0044405A"/>
    <w:rsid w:val="004474E2"/>
    <w:rsid w:val="00450FFA"/>
    <w:rsid w:val="00452265"/>
    <w:rsid w:val="00452997"/>
    <w:rsid w:val="004551F4"/>
    <w:rsid w:val="00460748"/>
    <w:rsid w:val="004655E3"/>
    <w:rsid w:val="00465FB7"/>
    <w:rsid w:val="00466165"/>
    <w:rsid w:val="004700FA"/>
    <w:rsid w:val="00470B2A"/>
    <w:rsid w:val="00471C82"/>
    <w:rsid w:val="00471C95"/>
    <w:rsid w:val="004735B8"/>
    <w:rsid w:val="00476EA3"/>
    <w:rsid w:val="0047703B"/>
    <w:rsid w:val="004845D0"/>
    <w:rsid w:val="00485D08"/>
    <w:rsid w:val="00485D09"/>
    <w:rsid w:val="0048633D"/>
    <w:rsid w:val="00491BAA"/>
    <w:rsid w:val="004958E4"/>
    <w:rsid w:val="0049735F"/>
    <w:rsid w:val="004A1428"/>
    <w:rsid w:val="004A49D5"/>
    <w:rsid w:val="004A4D2F"/>
    <w:rsid w:val="004A6B89"/>
    <w:rsid w:val="004B1760"/>
    <w:rsid w:val="004B33F1"/>
    <w:rsid w:val="004B37E6"/>
    <w:rsid w:val="004B53CD"/>
    <w:rsid w:val="004B624E"/>
    <w:rsid w:val="004B6FC2"/>
    <w:rsid w:val="004C0226"/>
    <w:rsid w:val="004C02FA"/>
    <w:rsid w:val="004C0813"/>
    <w:rsid w:val="004C0981"/>
    <w:rsid w:val="004C0DC2"/>
    <w:rsid w:val="004C2BD7"/>
    <w:rsid w:val="004C334C"/>
    <w:rsid w:val="004C510E"/>
    <w:rsid w:val="004C537D"/>
    <w:rsid w:val="004C79F1"/>
    <w:rsid w:val="004D0ED6"/>
    <w:rsid w:val="004D1F53"/>
    <w:rsid w:val="004D66A6"/>
    <w:rsid w:val="004E6159"/>
    <w:rsid w:val="004F3921"/>
    <w:rsid w:val="004F3F84"/>
    <w:rsid w:val="004F6B1A"/>
    <w:rsid w:val="005016D2"/>
    <w:rsid w:val="00501F21"/>
    <w:rsid w:val="00501F6B"/>
    <w:rsid w:val="00503408"/>
    <w:rsid w:val="00503446"/>
    <w:rsid w:val="00503BD5"/>
    <w:rsid w:val="00505E74"/>
    <w:rsid w:val="00506164"/>
    <w:rsid w:val="005075DD"/>
    <w:rsid w:val="00511A94"/>
    <w:rsid w:val="00511CAB"/>
    <w:rsid w:val="0051451B"/>
    <w:rsid w:val="00516258"/>
    <w:rsid w:val="00522521"/>
    <w:rsid w:val="00522B8A"/>
    <w:rsid w:val="00523129"/>
    <w:rsid w:val="00524C44"/>
    <w:rsid w:val="005255E2"/>
    <w:rsid w:val="00526310"/>
    <w:rsid w:val="00526E25"/>
    <w:rsid w:val="00526F2F"/>
    <w:rsid w:val="00527AE1"/>
    <w:rsid w:val="00532F8E"/>
    <w:rsid w:val="0053499F"/>
    <w:rsid w:val="005368DE"/>
    <w:rsid w:val="0054100A"/>
    <w:rsid w:val="00542F94"/>
    <w:rsid w:val="00543FCE"/>
    <w:rsid w:val="00545C3F"/>
    <w:rsid w:val="005467DA"/>
    <w:rsid w:val="00550405"/>
    <w:rsid w:val="005504BA"/>
    <w:rsid w:val="00550754"/>
    <w:rsid w:val="00551C05"/>
    <w:rsid w:val="00555094"/>
    <w:rsid w:val="005558F8"/>
    <w:rsid w:val="005565BB"/>
    <w:rsid w:val="005575ED"/>
    <w:rsid w:val="00562697"/>
    <w:rsid w:val="00562DEC"/>
    <w:rsid w:val="00563E91"/>
    <w:rsid w:val="00565350"/>
    <w:rsid w:val="00565F74"/>
    <w:rsid w:val="00566988"/>
    <w:rsid w:val="00566DAE"/>
    <w:rsid w:val="00567B0B"/>
    <w:rsid w:val="0057098C"/>
    <w:rsid w:val="0057337C"/>
    <w:rsid w:val="005768DB"/>
    <w:rsid w:val="0057714E"/>
    <w:rsid w:val="005774B1"/>
    <w:rsid w:val="005817C4"/>
    <w:rsid w:val="00581C37"/>
    <w:rsid w:val="00581E3E"/>
    <w:rsid w:val="00582804"/>
    <w:rsid w:val="00583842"/>
    <w:rsid w:val="005840F4"/>
    <w:rsid w:val="005853F1"/>
    <w:rsid w:val="00585915"/>
    <w:rsid w:val="00586DC2"/>
    <w:rsid w:val="005908AC"/>
    <w:rsid w:val="005935E9"/>
    <w:rsid w:val="00594F81"/>
    <w:rsid w:val="00595846"/>
    <w:rsid w:val="00597658"/>
    <w:rsid w:val="005A0C89"/>
    <w:rsid w:val="005A2A38"/>
    <w:rsid w:val="005A465A"/>
    <w:rsid w:val="005A4E10"/>
    <w:rsid w:val="005A613C"/>
    <w:rsid w:val="005A779D"/>
    <w:rsid w:val="005B07A1"/>
    <w:rsid w:val="005B07E8"/>
    <w:rsid w:val="005B253C"/>
    <w:rsid w:val="005B2D2D"/>
    <w:rsid w:val="005B2F12"/>
    <w:rsid w:val="005B3351"/>
    <w:rsid w:val="005B36B9"/>
    <w:rsid w:val="005B7001"/>
    <w:rsid w:val="005C0FD7"/>
    <w:rsid w:val="005C28A8"/>
    <w:rsid w:val="005C297F"/>
    <w:rsid w:val="005C2C3C"/>
    <w:rsid w:val="005C2C89"/>
    <w:rsid w:val="005C3098"/>
    <w:rsid w:val="005C49B4"/>
    <w:rsid w:val="005D011E"/>
    <w:rsid w:val="005D017F"/>
    <w:rsid w:val="005D054F"/>
    <w:rsid w:val="005D1A54"/>
    <w:rsid w:val="005D1E72"/>
    <w:rsid w:val="005D4423"/>
    <w:rsid w:val="005D4796"/>
    <w:rsid w:val="005D4947"/>
    <w:rsid w:val="005D58C3"/>
    <w:rsid w:val="005D6E4D"/>
    <w:rsid w:val="005E1E5D"/>
    <w:rsid w:val="005E2448"/>
    <w:rsid w:val="005F3E7E"/>
    <w:rsid w:val="005F447E"/>
    <w:rsid w:val="005F55AB"/>
    <w:rsid w:val="005F6267"/>
    <w:rsid w:val="005F7BEE"/>
    <w:rsid w:val="00600719"/>
    <w:rsid w:val="00602096"/>
    <w:rsid w:val="00603960"/>
    <w:rsid w:val="006041BB"/>
    <w:rsid w:val="0060467A"/>
    <w:rsid w:val="00604AEC"/>
    <w:rsid w:val="00604FC5"/>
    <w:rsid w:val="00605AFD"/>
    <w:rsid w:val="00606999"/>
    <w:rsid w:val="00612E67"/>
    <w:rsid w:val="006151D8"/>
    <w:rsid w:val="00615AF5"/>
    <w:rsid w:val="00616635"/>
    <w:rsid w:val="00617258"/>
    <w:rsid w:val="0061754A"/>
    <w:rsid w:val="00620C12"/>
    <w:rsid w:val="00623C7C"/>
    <w:rsid w:val="006259AE"/>
    <w:rsid w:val="006278A2"/>
    <w:rsid w:val="00627E40"/>
    <w:rsid w:val="0063488A"/>
    <w:rsid w:val="00635A43"/>
    <w:rsid w:val="0063704B"/>
    <w:rsid w:val="00637613"/>
    <w:rsid w:val="00640D3B"/>
    <w:rsid w:val="00642CE9"/>
    <w:rsid w:val="00642D33"/>
    <w:rsid w:val="00646C3C"/>
    <w:rsid w:val="006504DF"/>
    <w:rsid w:val="006524CA"/>
    <w:rsid w:val="00654D42"/>
    <w:rsid w:val="006564E7"/>
    <w:rsid w:val="0065657B"/>
    <w:rsid w:val="00660F09"/>
    <w:rsid w:val="00661D2C"/>
    <w:rsid w:val="00666672"/>
    <w:rsid w:val="00666F83"/>
    <w:rsid w:val="0067059B"/>
    <w:rsid w:val="006717E6"/>
    <w:rsid w:val="0067273C"/>
    <w:rsid w:val="00673A39"/>
    <w:rsid w:val="0067537A"/>
    <w:rsid w:val="00675A46"/>
    <w:rsid w:val="00675E52"/>
    <w:rsid w:val="00676763"/>
    <w:rsid w:val="00676A2F"/>
    <w:rsid w:val="006812AD"/>
    <w:rsid w:val="00682507"/>
    <w:rsid w:val="00684FC0"/>
    <w:rsid w:val="00685933"/>
    <w:rsid w:val="00686C70"/>
    <w:rsid w:val="00687711"/>
    <w:rsid w:val="006923A9"/>
    <w:rsid w:val="006935C6"/>
    <w:rsid w:val="00694503"/>
    <w:rsid w:val="00695620"/>
    <w:rsid w:val="0069654D"/>
    <w:rsid w:val="006A32B8"/>
    <w:rsid w:val="006A47F1"/>
    <w:rsid w:val="006A7418"/>
    <w:rsid w:val="006A76FD"/>
    <w:rsid w:val="006B03B4"/>
    <w:rsid w:val="006B0734"/>
    <w:rsid w:val="006B0E50"/>
    <w:rsid w:val="006B0EC2"/>
    <w:rsid w:val="006B2709"/>
    <w:rsid w:val="006B37E7"/>
    <w:rsid w:val="006B5EEB"/>
    <w:rsid w:val="006B7C3B"/>
    <w:rsid w:val="006C0F0B"/>
    <w:rsid w:val="006C325E"/>
    <w:rsid w:val="006C4B9E"/>
    <w:rsid w:val="006C5015"/>
    <w:rsid w:val="006C6EE5"/>
    <w:rsid w:val="006D185D"/>
    <w:rsid w:val="006D211B"/>
    <w:rsid w:val="006D3E19"/>
    <w:rsid w:val="006D3E4A"/>
    <w:rsid w:val="006D46BB"/>
    <w:rsid w:val="006D515F"/>
    <w:rsid w:val="006D718E"/>
    <w:rsid w:val="006D7EB9"/>
    <w:rsid w:val="006E5E9A"/>
    <w:rsid w:val="006E75AA"/>
    <w:rsid w:val="006F04F8"/>
    <w:rsid w:val="006F199F"/>
    <w:rsid w:val="006F2091"/>
    <w:rsid w:val="006F260D"/>
    <w:rsid w:val="006F3D9E"/>
    <w:rsid w:val="006F3F46"/>
    <w:rsid w:val="006F655D"/>
    <w:rsid w:val="006F7424"/>
    <w:rsid w:val="007026A0"/>
    <w:rsid w:val="00703213"/>
    <w:rsid w:val="0070345D"/>
    <w:rsid w:val="00705889"/>
    <w:rsid w:val="00706A33"/>
    <w:rsid w:val="00707A85"/>
    <w:rsid w:val="00712E32"/>
    <w:rsid w:val="007147E5"/>
    <w:rsid w:val="00714DB3"/>
    <w:rsid w:val="00717A1C"/>
    <w:rsid w:val="00717F12"/>
    <w:rsid w:val="0072145F"/>
    <w:rsid w:val="007222E6"/>
    <w:rsid w:val="007226EC"/>
    <w:rsid w:val="00723415"/>
    <w:rsid w:val="0072435E"/>
    <w:rsid w:val="00724CC3"/>
    <w:rsid w:val="00725924"/>
    <w:rsid w:val="00727951"/>
    <w:rsid w:val="00731FA0"/>
    <w:rsid w:val="00732818"/>
    <w:rsid w:val="00732A2F"/>
    <w:rsid w:val="00734A9C"/>
    <w:rsid w:val="00736D63"/>
    <w:rsid w:val="00737581"/>
    <w:rsid w:val="0074093F"/>
    <w:rsid w:val="0074583F"/>
    <w:rsid w:val="00746E99"/>
    <w:rsid w:val="007502F1"/>
    <w:rsid w:val="0075199D"/>
    <w:rsid w:val="0075544F"/>
    <w:rsid w:val="0075669D"/>
    <w:rsid w:val="0076060C"/>
    <w:rsid w:val="00763E2C"/>
    <w:rsid w:val="00764826"/>
    <w:rsid w:val="00764AFF"/>
    <w:rsid w:val="00765358"/>
    <w:rsid w:val="00765961"/>
    <w:rsid w:val="00765D54"/>
    <w:rsid w:val="00766152"/>
    <w:rsid w:val="00767126"/>
    <w:rsid w:val="00770A7C"/>
    <w:rsid w:val="007733E0"/>
    <w:rsid w:val="00774AAC"/>
    <w:rsid w:val="00774B70"/>
    <w:rsid w:val="00774F11"/>
    <w:rsid w:val="0077581C"/>
    <w:rsid w:val="00775ADE"/>
    <w:rsid w:val="00783250"/>
    <w:rsid w:val="0078329B"/>
    <w:rsid w:val="0079037E"/>
    <w:rsid w:val="00791255"/>
    <w:rsid w:val="00791559"/>
    <w:rsid w:val="007932C7"/>
    <w:rsid w:val="00793598"/>
    <w:rsid w:val="00794A5A"/>
    <w:rsid w:val="007961CF"/>
    <w:rsid w:val="00797852"/>
    <w:rsid w:val="007A0C62"/>
    <w:rsid w:val="007A24A4"/>
    <w:rsid w:val="007A519A"/>
    <w:rsid w:val="007A52E1"/>
    <w:rsid w:val="007A560D"/>
    <w:rsid w:val="007A5C2A"/>
    <w:rsid w:val="007A5DEA"/>
    <w:rsid w:val="007A6365"/>
    <w:rsid w:val="007A71F1"/>
    <w:rsid w:val="007B1F68"/>
    <w:rsid w:val="007B3450"/>
    <w:rsid w:val="007B5319"/>
    <w:rsid w:val="007B6440"/>
    <w:rsid w:val="007B7682"/>
    <w:rsid w:val="007B7CCA"/>
    <w:rsid w:val="007C115D"/>
    <w:rsid w:val="007C39D3"/>
    <w:rsid w:val="007C3BC1"/>
    <w:rsid w:val="007C5E3E"/>
    <w:rsid w:val="007C6494"/>
    <w:rsid w:val="007D0255"/>
    <w:rsid w:val="007D1DF5"/>
    <w:rsid w:val="007D29A0"/>
    <w:rsid w:val="007D2F03"/>
    <w:rsid w:val="007D3F11"/>
    <w:rsid w:val="007D71CE"/>
    <w:rsid w:val="007E1351"/>
    <w:rsid w:val="007E433E"/>
    <w:rsid w:val="007E67E9"/>
    <w:rsid w:val="007E757F"/>
    <w:rsid w:val="007F129D"/>
    <w:rsid w:val="007F1EC9"/>
    <w:rsid w:val="007F250A"/>
    <w:rsid w:val="007F5CAD"/>
    <w:rsid w:val="007F5D80"/>
    <w:rsid w:val="00800420"/>
    <w:rsid w:val="00800E3F"/>
    <w:rsid w:val="00801C72"/>
    <w:rsid w:val="00801E1B"/>
    <w:rsid w:val="00803E7C"/>
    <w:rsid w:val="008063D8"/>
    <w:rsid w:val="00807DCE"/>
    <w:rsid w:val="00810BF9"/>
    <w:rsid w:val="00812D76"/>
    <w:rsid w:val="00814779"/>
    <w:rsid w:val="00815706"/>
    <w:rsid w:val="0081623F"/>
    <w:rsid w:val="00820270"/>
    <w:rsid w:val="0082044F"/>
    <w:rsid w:val="008206B7"/>
    <w:rsid w:val="00820929"/>
    <w:rsid w:val="008225F7"/>
    <w:rsid w:val="00822F06"/>
    <w:rsid w:val="0082337B"/>
    <w:rsid w:val="00824132"/>
    <w:rsid w:val="00826CB4"/>
    <w:rsid w:val="0082752D"/>
    <w:rsid w:val="0083106C"/>
    <w:rsid w:val="00835E0A"/>
    <w:rsid w:val="008364C0"/>
    <w:rsid w:val="0084054C"/>
    <w:rsid w:val="00841807"/>
    <w:rsid w:val="008422C5"/>
    <w:rsid w:val="0084600F"/>
    <w:rsid w:val="00847F18"/>
    <w:rsid w:val="00852704"/>
    <w:rsid w:val="0085277E"/>
    <w:rsid w:val="00856F8A"/>
    <w:rsid w:val="0086089D"/>
    <w:rsid w:val="00860A1F"/>
    <w:rsid w:val="00860F5C"/>
    <w:rsid w:val="008616E2"/>
    <w:rsid w:val="00866048"/>
    <w:rsid w:val="0086678B"/>
    <w:rsid w:val="0087017E"/>
    <w:rsid w:val="00870506"/>
    <w:rsid w:val="00870D5A"/>
    <w:rsid w:val="0087187E"/>
    <w:rsid w:val="008738D6"/>
    <w:rsid w:val="008744AA"/>
    <w:rsid w:val="008763BF"/>
    <w:rsid w:val="008778CC"/>
    <w:rsid w:val="008802AB"/>
    <w:rsid w:val="0088120B"/>
    <w:rsid w:val="008815BC"/>
    <w:rsid w:val="008932AA"/>
    <w:rsid w:val="00894DFF"/>
    <w:rsid w:val="00894FFF"/>
    <w:rsid w:val="008A025E"/>
    <w:rsid w:val="008A04AA"/>
    <w:rsid w:val="008A1478"/>
    <w:rsid w:val="008A5616"/>
    <w:rsid w:val="008A5C5C"/>
    <w:rsid w:val="008A5F16"/>
    <w:rsid w:val="008B0895"/>
    <w:rsid w:val="008B1F7E"/>
    <w:rsid w:val="008B3E1C"/>
    <w:rsid w:val="008B5399"/>
    <w:rsid w:val="008B5C52"/>
    <w:rsid w:val="008B5E47"/>
    <w:rsid w:val="008B7206"/>
    <w:rsid w:val="008C0EA4"/>
    <w:rsid w:val="008C255C"/>
    <w:rsid w:val="008C747F"/>
    <w:rsid w:val="008D0DAF"/>
    <w:rsid w:val="008D18B1"/>
    <w:rsid w:val="008D20D4"/>
    <w:rsid w:val="008D4025"/>
    <w:rsid w:val="008D4563"/>
    <w:rsid w:val="008D6AED"/>
    <w:rsid w:val="008E1DEE"/>
    <w:rsid w:val="008E2021"/>
    <w:rsid w:val="008E309A"/>
    <w:rsid w:val="008E387A"/>
    <w:rsid w:val="008E605D"/>
    <w:rsid w:val="008E61D9"/>
    <w:rsid w:val="008E6B70"/>
    <w:rsid w:val="008E791C"/>
    <w:rsid w:val="008F0493"/>
    <w:rsid w:val="008F25ED"/>
    <w:rsid w:val="008F6579"/>
    <w:rsid w:val="008F76CB"/>
    <w:rsid w:val="00900C36"/>
    <w:rsid w:val="0090292A"/>
    <w:rsid w:val="00905B66"/>
    <w:rsid w:val="00905C29"/>
    <w:rsid w:val="0090691D"/>
    <w:rsid w:val="00907AB7"/>
    <w:rsid w:val="00907FAB"/>
    <w:rsid w:val="00912E58"/>
    <w:rsid w:val="00914CBC"/>
    <w:rsid w:val="00917C9A"/>
    <w:rsid w:val="00917EAF"/>
    <w:rsid w:val="009233AE"/>
    <w:rsid w:val="0092421E"/>
    <w:rsid w:val="00924C6E"/>
    <w:rsid w:val="0092525D"/>
    <w:rsid w:val="009257C8"/>
    <w:rsid w:val="009268E7"/>
    <w:rsid w:val="00930579"/>
    <w:rsid w:val="00930C74"/>
    <w:rsid w:val="00931AED"/>
    <w:rsid w:val="009329DB"/>
    <w:rsid w:val="00933835"/>
    <w:rsid w:val="00933F89"/>
    <w:rsid w:val="0093400C"/>
    <w:rsid w:val="00936236"/>
    <w:rsid w:val="00937B6E"/>
    <w:rsid w:val="009420DE"/>
    <w:rsid w:val="00943DF5"/>
    <w:rsid w:val="00944392"/>
    <w:rsid w:val="00945360"/>
    <w:rsid w:val="00950542"/>
    <w:rsid w:val="009508FC"/>
    <w:rsid w:val="00951209"/>
    <w:rsid w:val="0095165A"/>
    <w:rsid w:val="00951756"/>
    <w:rsid w:val="009519D2"/>
    <w:rsid w:val="00952695"/>
    <w:rsid w:val="00960295"/>
    <w:rsid w:val="00960411"/>
    <w:rsid w:val="00960BCF"/>
    <w:rsid w:val="00960D41"/>
    <w:rsid w:val="00961D6C"/>
    <w:rsid w:val="00965545"/>
    <w:rsid w:val="0096763F"/>
    <w:rsid w:val="00967D2F"/>
    <w:rsid w:val="00970428"/>
    <w:rsid w:val="00973364"/>
    <w:rsid w:val="009766A2"/>
    <w:rsid w:val="00976B33"/>
    <w:rsid w:val="00980266"/>
    <w:rsid w:val="00980815"/>
    <w:rsid w:val="009809EA"/>
    <w:rsid w:val="0098263D"/>
    <w:rsid w:val="009833C7"/>
    <w:rsid w:val="009838DD"/>
    <w:rsid w:val="00984878"/>
    <w:rsid w:val="00985DF5"/>
    <w:rsid w:val="00986421"/>
    <w:rsid w:val="009864F8"/>
    <w:rsid w:val="009875DB"/>
    <w:rsid w:val="0099105F"/>
    <w:rsid w:val="00991351"/>
    <w:rsid w:val="009921E1"/>
    <w:rsid w:val="009922B2"/>
    <w:rsid w:val="00993E6D"/>
    <w:rsid w:val="0099517B"/>
    <w:rsid w:val="00995A69"/>
    <w:rsid w:val="00995B75"/>
    <w:rsid w:val="009A1C21"/>
    <w:rsid w:val="009A2696"/>
    <w:rsid w:val="009A3E5A"/>
    <w:rsid w:val="009A584B"/>
    <w:rsid w:val="009A7F9D"/>
    <w:rsid w:val="009B00B0"/>
    <w:rsid w:val="009B04FD"/>
    <w:rsid w:val="009B0FA2"/>
    <w:rsid w:val="009B6A77"/>
    <w:rsid w:val="009C0D97"/>
    <w:rsid w:val="009C1020"/>
    <w:rsid w:val="009C2264"/>
    <w:rsid w:val="009C2A3E"/>
    <w:rsid w:val="009C3295"/>
    <w:rsid w:val="009C3DAB"/>
    <w:rsid w:val="009C4AE6"/>
    <w:rsid w:val="009C57F6"/>
    <w:rsid w:val="009C7756"/>
    <w:rsid w:val="009C7A00"/>
    <w:rsid w:val="009C7F52"/>
    <w:rsid w:val="009D070D"/>
    <w:rsid w:val="009D1B94"/>
    <w:rsid w:val="009D6183"/>
    <w:rsid w:val="009E3EE5"/>
    <w:rsid w:val="009E4495"/>
    <w:rsid w:val="009E4A19"/>
    <w:rsid w:val="009E782D"/>
    <w:rsid w:val="009F000A"/>
    <w:rsid w:val="009F0908"/>
    <w:rsid w:val="009F0B95"/>
    <w:rsid w:val="009F1EA4"/>
    <w:rsid w:val="009F2E63"/>
    <w:rsid w:val="009F7C75"/>
    <w:rsid w:val="00A02388"/>
    <w:rsid w:val="00A024F1"/>
    <w:rsid w:val="00A03BC0"/>
    <w:rsid w:val="00A062D9"/>
    <w:rsid w:val="00A06434"/>
    <w:rsid w:val="00A112D4"/>
    <w:rsid w:val="00A11A00"/>
    <w:rsid w:val="00A13DFB"/>
    <w:rsid w:val="00A14713"/>
    <w:rsid w:val="00A156F7"/>
    <w:rsid w:val="00A21CB4"/>
    <w:rsid w:val="00A23D7A"/>
    <w:rsid w:val="00A255FF"/>
    <w:rsid w:val="00A2591A"/>
    <w:rsid w:val="00A25A61"/>
    <w:rsid w:val="00A301A2"/>
    <w:rsid w:val="00A365E3"/>
    <w:rsid w:val="00A41056"/>
    <w:rsid w:val="00A41279"/>
    <w:rsid w:val="00A431A2"/>
    <w:rsid w:val="00A467AB"/>
    <w:rsid w:val="00A52344"/>
    <w:rsid w:val="00A52FD4"/>
    <w:rsid w:val="00A54525"/>
    <w:rsid w:val="00A54B1C"/>
    <w:rsid w:val="00A55360"/>
    <w:rsid w:val="00A557F3"/>
    <w:rsid w:val="00A55996"/>
    <w:rsid w:val="00A55E78"/>
    <w:rsid w:val="00A56ED0"/>
    <w:rsid w:val="00A61BBB"/>
    <w:rsid w:val="00A7099E"/>
    <w:rsid w:val="00A70D34"/>
    <w:rsid w:val="00A7121F"/>
    <w:rsid w:val="00A71762"/>
    <w:rsid w:val="00A71D80"/>
    <w:rsid w:val="00A7248F"/>
    <w:rsid w:val="00A73C15"/>
    <w:rsid w:val="00A73F74"/>
    <w:rsid w:val="00A740AF"/>
    <w:rsid w:val="00A7469A"/>
    <w:rsid w:val="00A7491C"/>
    <w:rsid w:val="00A74C35"/>
    <w:rsid w:val="00A75D8F"/>
    <w:rsid w:val="00A83705"/>
    <w:rsid w:val="00A8387C"/>
    <w:rsid w:val="00A83DCE"/>
    <w:rsid w:val="00A844EC"/>
    <w:rsid w:val="00A858C8"/>
    <w:rsid w:val="00A86E73"/>
    <w:rsid w:val="00A94A09"/>
    <w:rsid w:val="00A971CF"/>
    <w:rsid w:val="00AA2A0C"/>
    <w:rsid w:val="00AA5BC7"/>
    <w:rsid w:val="00AA7635"/>
    <w:rsid w:val="00AB1417"/>
    <w:rsid w:val="00AB2D6A"/>
    <w:rsid w:val="00AB36D0"/>
    <w:rsid w:val="00AB3A07"/>
    <w:rsid w:val="00AB5CBF"/>
    <w:rsid w:val="00AB7108"/>
    <w:rsid w:val="00AC01FE"/>
    <w:rsid w:val="00AC06A5"/>
    <w:rsid w:val="00AC22EB"/>
    <w:rsid w:val="00AC589F"/>
    <w:rsid w:val="00AD1139"/>
    <w:rsid w:val="00AD21A4"/>
    <w:rsid w:val="00AD2902"/>
    <w:rsid w:val="00AD7A4B"/>
    <w:rsid w:val="00AD7D40"/>
    <w:rsid w:val="00AE03FB"/>
    <w:rsid w:val="00AE3131"/>
    <w:rsid w:val="00AE6A31"/>
    <w:rsid w:val="00AE70BC"/>
    <w:rsid w:val="00AF12C4"/>
    <w:rsid w:val="00AF29FC"/>
    <w:rsid w:val="00AF34A3"/>
    <w:rsid w:val="00AF4114"/>
    <w:rsid w:val="00AF50F8"/>
    <w:rsid w:val="00B00671"/>
    <w:rsid w:val="00B01876"/>
    <w:rsid w:val="00B01AAB"/>
    <w:rsid w:val="00B065DF"/>
    <w:rsid w:val="00B101F2"/>
    <w:rsid w:val="00B123DB"/>
    <w:rsid w:val="00B12CBA"/>
    <w:rsid w:val="00B13AD6"/>
    <w:rsid w:val="00B15CBB"/>
    <w:rsid w:val="00B167B0"/>
    <w:rsid w:val="00B1715A"/>
    <w:rsid w:val="00B17D0C"/>
    <w:rsid w:val="00B202FA"/>
    <w:rsid w:val="00B20887"/>
    <w:rsid w:val="00B20B0C"/>
    <w:rsid w:val="00B218E9"/>
    <w:rsid w:val="00B22C15"/>
    <w:rsid w:val="00B231D4"/>
    <w:rsid w:val="00B2427A"/>
    <w:rsid w:val="00B255F1"/>
    <w:rsid w:val="00B25616"/>
    <w:rsid w:val="00B2664C"/>
    <w:rsid w:val="00B26E4A"/>
    <w:rsid w:val="00B2778A"/>
    <w:rsid w:val="00B27B98"/>
    <w:rsid w:val="00B30099"/>
    <w:rsid w:val="00B31B24"/>
    <w:rsid w:val="00B34A73"/>
    <w:rsid w:val="00B401F8"/>
    <w:rsid w:val="00B404A4"/>
    <w:rsid w:val="00B46310"/>
    <w:rsid w:val="00B50485"/>
    <w:rsid w:val="00B50C45"/>
    <w:rsid w:val="00B51110"/>
    <w:rsid w:val="00B51BB8"/>
    <w:rsid w:val="00B52297"/>
    <w:rsid w:val="00B52592"/>
    <w:rsid w:val="00B52EDD"/>
    <w:rsid w:val="00B53FEB"/>
    <w:rsid w:val="00B55C4B"/>
    <w:rsid w:val="00B60FD5"/>
    <w:rsid w:val="00B61FB5"/>
    <w:rsid w:val="00B6240F"/>
    <w:rsid w:val="00B63850"/>
    <w:rsid w:val="00B63F5D"/>
    <w:rsid w:val="00B67EB1"/>
    <w:rsid w:val="00B707E7"/>
    <w:rsid w:val="00B7228F"/>
    <w:rsid w:val="00B75373"/>
    <w:rsid w:val="00B762A7"/>
    <w:rsid w:val="00B76D6E"/>
    <w:rsid w:val="00B820C3"/>
    <w:rsid w:val="00B82C39"/>
    <w:rsid w:val="00B836F0"/>
    <w:rsid w:val="00B85D31"/>
    <w:rsid w:val="00B8623F"/>
    <w:rsid w:val="00B87FBA"/>
    <w:rsid w:val="00B94978"/>
    <w:rsid w:val="00B9626B"/>
    <w:rsid w:val="00B962D6"/>
    <w:rsid w:val="00B96B00"/>
    <w:rsid w:val="00BA0C91"/>
    <w:rsid w:val="00BA0EC4"/>
    <w:rsid w:val="00BA4664"/>
    <w:rsid w:val="00BB0A16"/>
    <w:rsid w:val="00BB26B0"/>
    <w:rsid w:val="00BB2766"/>
    <w:rsid w:val="00BB3181"/>
    <w:rsid w:val="00BB5287"/>
    <w:rsid w:val="00BB58BE"/>
    <w:rsid w:val="00BB6564"/>
    <w:rsid w:val="00BB7093"/>
    <w:rsid w:val="00BB722E"/>
    <w:rsid w:val="00BB7936"/>
    <w:rsid w:val="00BB799B"/>
    <w:rsid w:val="00BC132D"/>
    <w:rsid w:val="00BC2243"/>
    <w:rsid w:val="00BC26CE"/>
    <w:rsid w:val="00BC3F97"/>
    <w:rsid w:val="00BC4817"/>
    <w:rsid w:val="00BC5463"/>
    <w:rsid w:val="00BC6B9C"/>
    <w:rsid w:val="00BC7A8C"/>
    <w:rsid w:val="00BD1C65"/>
    <w:rsid w:val="00BD4E24"/>
    <w:rsid w:val="00BE03F3"/>
    <w:rsid w:val="00BE0F87"/>
    <w:rsid w:val="00BE319D"/>
    <w:rsid w:val="00BE757E"/>
    <w:rsid w:val="00BF0501"/>
    <w:rsid w:val="00BF1F3F"/>
    <w:rsid w:val="00C00BD5"/>
    <w:rsid w:val="00C00F67"/>
    <w:rsid w:val="00C02C35"/>
    <w:rsid w:val="00C031D6"/>
    <w:rsid w:val="00C047B1"/>
    <w:rsid w:val="00C04E2E"/>
    <w:rsid w:val="00C04E75"/>
    <w:rsid w:val="00C07A1E"/>
    <w:rsid w:val="00C07E51"/>
    <w:rsid w:val="00C114F4"/>
    <w:rsid w:val="00C14FAA"/>
    <w:rsid w:val="00C17928"/>
    <w:rsid w:val="00C2033F"/>
    <w:rsid w:val="00C24573"/>
    <w:rsid w:val="00C260C0"/>
    <w:rsid w:val="00C315D8"/>
    <w:rsid w:val="00C360B7"/>
    <w:rsid w:val="00C41218"/>
    <w:rsid w:val="00C41676"/>
    <w:rsid w:val="00C41A88"/>
    <w:rsid w:val="00C4205B"/>
    <w:rsid w:val="00C430BB"/>
    <w:rsid w:val="00C43658"/>
    <w:rsid w:val="00C453FF"/>
    <w:rsid w:val="00C46FF0"/>
    <w:rsid w:val="00C47EE9"/>
    <w:rsid w:val="00C543AA"/>
    <w:rsid w:val="00C55140"/>
    <w:rsid w:val="00C55457"/>
    <w:rsid w:val="00C5550D"/>
    <w:rsid w:val="00C5569B"/>
    <w:rsid w:val="00C556DB"/>
    <w:rsid w:val="00C561DF"/>
    <w:rsid w:val="00C57652"/>
    <w:rsid w:val="00C677AE"/>
    <w:rsid w:val="00C704F9"/>
    <w:rsid w:val="00C71944"/>
    <w:rsid w:val="00C728E1"/>
    <w:rsid w:val="00C74859"/>
    <w:rsid w:val="00C748BA"/>
    <w:rsid w:val="00C80058"/>
    <w:rsid w:val="00C81A35"/>
    <w:rsid w:val="00C81A78"/>
    <w:rsid w:val="00C82332"/>
    <w:rsid w:val="00C8503D"/>
    <w:rsid w:val="00C858AB"/>
    <w:rsid w:val="00C86748"/>
    <w:rsid w:val="00C869E3"/>
    <w:rsid w:val="00C87970"/>
    <w:rsid w:val="00C94FF5"/>
    <w:rsid w:val="00CA022C"/>
    <w:rsid w:val="00CA1287"/>
    <w:rsid w:val="00CA4590"/>
    <w:rsid w:val="00CA6406"/>
    <w:rsid w:val="00CB0831"/>
    <w:rsid w:val="00CB0F6A"/>
    <w:rsid w:val="00CB1CD4"/>
    <w:rsid w:val="00CC1CAD"/>
    <w:rsid w:val="00CC26D4"/>
    <w:rsid w:val="00CC2775"/>
    <w:rsid w:val="00CC2A76"/>
    <w:rsid w:val="00CC6461"/>
    <w:rsid w:val="00CC6753"/>
    <w:rsid w:val="00CC7B18"/>
    <w:rsid w:val="00CD18D4"/>
    <w:rsid w:val="00CD3E52"/>
    <w:rsid w:val="00CD5A26"/>
    <w:rsid w:val="00CE09AD"/>
    <w:rsid w:val="00CE5005"/>
    <w:rsid w:val="00CE6FD7"/>
    <w:rsid w:val="00CF14B3"/>
    <w:rsid w:val="00CF172C"/>
    <w:rsid w:val="00CF2263"/>
    <w:rsid w:val="00CF61D3"/>
    <w:rsid w:val="00D00B95"/>
    <w:rsid w:val="00D0288B"/>
    <w:rsid w:val="00D06745"/>
    <w:rsid w:val="00D06884"/>
    <w:rsid w:val="00D1124F"/>
    <w:rsid w:val="00D119AD"/>
    <w:rsid w:val="00D12958"/>
    <w:rsid w:val="00D12E12"/>
    <w:rsid w:val="00D13072"/>
    <w:rsid w:val="00D13727"/>
    <w:rsid w:val="00D13A80"/>
    <w:rsid w:val="00D15E7E"/>
    <w:rsid w:val="00D16C3A"/>
    <w:rsid w:val="00D1703C"/>
    <w:rsid w:val="00D1761E"/>
    <w:rsid w:val="00D17BB7"/>
    <w:rsid w:val="00D21033"/>
    <w:rsid w:val="00D215A2"/>
    <w:rsid w:val="00D23C0A"/>
    <w:rsid w:val="00D25B8F"/>
    <w:rsid w:val="00D26084"/>
    <w:rsid w:val="00D273EF"/>
    <w:rsid w:val="00D27D95"/>
    <w:rsid w:val="00D301EE"/>
    <w:rsid w:val="00D30320"/>
    <w:rsid w:val="00D30BDB"/>
    <w:rsid w:val="00D30BDF"/>
    <w:rsid w:val="00D31EFC"/>
    <w:rsid w:val="00D3290E"/>
    <w:rsid w:val="00D33AC4"/>
    <w:rsid w:val="00D3465C"/>
    <w:rsid w:val="00D350A8"/>
    <w:rsid w:val="00D3622F"/>
    <w:rsid w:val="00D362FD"/>
    <w:rsid w:val="00D400ED"/>
    <w:rsid w:val="00D408BF"/>
    <w:rsid w:val="00D43168"/>
    <w:rsid w:val="00D439E4"/>
    <w:rsid w:val="00D47D11"/>
    <w:rsid w:val="00D50910"/>
    <w:rsid w:val="00D51DDF"/>
    <w:rsid w:val="00D56FB6"/>
    <w:rsid w:val="00D60FEE"/>
    <w:rsid w:val="00D6422E"/>
    <w:rsid w:val="00D6522A"/>
    <w:rsid w:val="00D65C0F"/>
    <w:rsid w:val="00D704A2"/>
    <w:rsid w:val="00D71187"/>
    <w:rsid w:val="00D71461"/>
    <w:rsid w:val="00D7367E"/>
    <w:rsid w:val="00D7421A"/>
    <w:rsid w:val="00D7432E"/>
    <w:rsid w:val="00D74356"/>
    <w:rsid w:val="00D7509C"/>
    <w:rsid w:val="00D752EC"/>
    <w:rsid w:val="00D81807"/>
    <w:rsid w:val="00D8470E"/>
    <w:rsid w:val="00D84BD1"/>
    <w:rsid w:val="00D86377"/>
    <w:rsid w:val="00D87121"/>
    <w:rsid w:val="00D9225F"/>
    <w:rsid w:val="00D937DE"/>
    <w:rsid w:val="00D94F16"/>
    <w:rsid w:val="00D95D7A"/>
    <w:rsid w:val="00DA12D2"/>
    <w:rsid w:val="00DA32DF"/>
    <w:rsid w:val="00DA4D6E"/>
    <w:rsid w:val="00DA70EE"/>
    <w:rsid w:val="00DB0EE3"/>
    <w:rsid w:val="00DB2930"/>
    <w:rsid w:val="00DB3452"/>
    <w:rsid w:val="00DB5387"/>
    <w:rsid w:val="00DC0C15"/>
    <w:rsid w:val="00DC6FC8"/>
    <w:rsid w:val="00DD194D"/>
    <w:rsid w:val="00DD30E8"/>
    <w:rsid w:val="00DD4144"/>
    <w:rsid w:val="00DD749B"/>
    <w:rsid w:val="00DE0B2D"/>
    <w:rsid w:val="00DE204F"/>
    <w:rsid w:val="00DE45D6"/>
    <w:rsid w:val="00DE7C0A"/>
    <w:rsid w:val="00DF0E06"/>
    <w:rsid w:val="00DF1C8D"/>
    <w:rsid w:val="00DF3C35"/>
    <w:rsid w:val="00DF4AE5"/>
    <w:rsid w:val="00E0001D"/>
    <w:rsid w:val="00E0279C"/>
    <w:rsid w:val="00E03872"/>
    <w:rsid w:val="00E03E79"/>
    <w:rsid w:val="00E06669"/>
    <w:rsid w:val="00E11A60"/>
    <w:rsid w:val="00E1295A"/>
    <w:rsid w:val="00E1405D"/>
    <w:rsid w:val="00E14C63"/>
    <w:rsid w:val="00E14FDA"/>
    <w:rsid w:val="00E16C2F"/>
    <w:rsid w:val="00E17AE4"/>
    <w:rsid w:val="00E20DFD"/>
    <w:rsid w:val="00E2173D"/>
    <w:rsid w:val="00E21D19"/>
    <w:rsid w:val="00E22DE6"/>
    <w:rsid w:val="00E25814"/>
    <w:rsid w:val="00E269A9"/>
    <w:rsid w:val="00E309C1"/>
    <w:rsid w:val="00E309F0"/>
    <w:rsid w:val="00E31C54"/>
    <w:rsid w:val="00E33AA6"/>
    <w:rsid w:val="00E33E65"/>
    <w:rsid w:val="00E34B15"/>
    <w:rsid w:val="00E35D25"/>
    <w:rsid w:val="00E41A4A"/>
    <w:rsid w:val="00E41F54"/>
    <w:rsid w:val="00E454EA"/>
    <w:rsid w:val="00E47673"/>
    <w:rsid w:val="00E50F0A"/>
    <w:rsid w:val="00E52254"/>
    <w:rsid w:val="00E53A6D"/>
    <w:rsid w:val="00E54473"/>
    <w:rsid w:val="00E55296"/>
    <w:rsid w:val="00E55772"/>
    <w:rsid w:val="00E56B5C"/>
    <w:rsid w:val="00E61262"/>
    <w:rsid w:val="00E616F0"/>
    <w:rsid w:val="00E61AD9"/>
    <w:rsid w:val="00E63496"/>
    <w:rsid w:val="00E65DA0"/>
    <w:rsid w:val="00E66667"/>
    <w:rsid w:val="00E67A20"/>
    <w:rsid w:val="00E70AA6"/>
    <w:rsid w:val="00E714EE"/>
    <w:rsid w:val="00E7192E"/>
    <w:rsid w:val="00E72979"/>
    <w:rsid w:val="00E772C0"/>
    <w:rsid w:val="00E77652"/>
    <w:rsid w:val="00E81B9C"/>
    <w:rsid w:val="00E85520"/>
    <w:rsid w:val="00E92D02"/>
    <w:rsid w:val="00E94A62"/>
    <w:rsid w:val="00E9729B"/>
    <w:rsid w:val="00EA08B2"/>
    <w:rsid w:val="00EA0C94"/>
    <w:rsid w:val="00EA3369"/>
    <w:rsid w:val="00EA3968"/>
    <w:rsid w:val="00EA6F38"/>
    <w:rsid w:val="00EB2D45"/>
    <w:rsid w:val="00EB3C9A"/>
    <w:rsid w:val="00EB4746"/>
    <w:rsid w:val="00EB5451"/>
    <w:rsid w:val="00EB6133"/>
    <w:rsid w:val="00EB6BB8"/>
    <w:rsid w:val="00EC1651"/>
    <w:rsid w:val="00EC29F9"/>
    <w:rsid w:val="00EC3D83"/>
    <w:rsid w:val="00EC7882"/>
    <w:rsid w:val="00ED0FA7"/>
    <w:rsid w:val="00ED13DD"/>
    <w:rsid w:val="00ED3152"/>
    <w:rsid w:val="00ED3179"/>
    <w:rsid w:val="00ED3360"/>
    <w:rsid w:val="00ED5E9B"/>
    <w:rsid w:val="00ED6908"/>
    <w:rsid w:val="00ED7C66"/>
    <w:rsid w:val="00EE076B"/>
    <w:rsid w:val="00EE1D2C"/>
    <w:rsid w:val="00EE22CC"/>
    <w:rsid w:val="00EE4195"/>
    <w:rsid w:val="00EE4D63"/>
    <w:rsid w:val="00EE5DEF"/>
    <w:rsid w:val="00EF04D5"/>
    <w:rsid w:val="00EF20EC"/>
    <w:rsid w:val="00EF2528"/>
    <w:rsid w:val="00EF3586"/>
    <w:rsid w:val="00EF4AD6"/>
    <w:rsid w:val="00EF4E3E"/>
    <w:rsid w:val="00EF50B8"/>
    <w:rsid w:val="00EF5C76"/>
    <w:rsid w:val="00EF5EEF"/>
    <w:rsid w:val="00EF650C"/>
    <w:rsid w:val="00EF70FC"/>
    <w:rsid w:val="00F116E4"/>
    <w:rsid w:val="00F117C6"/>
    <w:rsid w:val="00F11DCD"/>
    <w:rsid w:val="00F14924"/>
    <w:rsid w:val="00F14C05"/>
    <w:rsid w:val="00F1583F"/>
    <w:rsid w:val="00F15A69"/>
    <w:rsid w:val="00F23DF8"/>
    <w:rsid w:val="00F23E3F"/>
    <w:rsid w:val="00F26059"/>
    <w:rsid w:val="00F26A37"/>
    <w:rsid w:val="00F26E15"/>
    <w:rsid w:val="00F27133"/>
    <w:rsid w:val="00F333D3"/>
    <w:rsid w:val="00F33BC8"/>
    <w:rsid w:val="00F3465A"/>
    <w:rsid w:val="00F34A7A"/>
    <w:rsid w:val="00F34C98"/>
    <w:rsid w:val="00F34DF9"/>
    <w:rsid w:val="00F40068"/>
    <w:rsid w:val="00F40F86"/>
    <w:rsid w:val="00F42B6D"/>
    <w:rsid w:val="00F432AF"/>
    <w:rsid w:val="00F44F20"/>
    <w:rsid w:val="00F471F0"/>
    <w:rsid w:val="00F473FF"/>
    <w:rsid w:val="00F47E48"/>
    <w:rsid w:val="00F47F3B"/>
    <w:rsid w:val="00F5267C"/>
    <w:rsid w:val="00F54C27"/>
    <w:rsid w:val="00F56A29"/>
    <w:rsid w:val="00F5760E"/>
    <w:rsid w:val="00F57805"/>
    <w:rsid w:val="00F57DC8"/>
    <w:rsid w:val="00F61FC9"/>
    <w:rsid w:val="00F62917"/>
    <w:rsid w:val="00F63133"/>
    <w:rsid w:val="00F63E0D"/>
    <w:rsid w:val="00F64A6F"/>
    <w:rsid w:val="00F651CE"/>
    <w:rsid w:val="00F65980"/>
    <w:rsid w:val="00F72A8A"/>
    <w:rsid w:val="00F74220"/>
    <w:rsid w:val="00F750BD"/>
    <w:rsid w:val="00F76F04"/>
    <w:rsid w:val="00F7783D"/>
    <w:rsid w:val="00F839F8"/>
    <w:rsid w:val="00F83E37"/>
    <w:rsid w:val="00F84AD8"/>
    <w:rsid w:val="00F8716D"/>
    <w:rsid w:val="00F9486A"/>
    <w:rsid w:val="00F94A61"/>
    <w:rsid w:val="00F94D5B"/>
    <w:rsid w:val="00F95C69"/>
    <w:rsid w:val="00F97210"/>
    <w:rsid w:val="00F97E14"/>
    <w:rsid w:val="00FA00E5"/>
    <w:rsid w:val="00FA0F7B"/>
    <w:rsid w:val="00FA26F3"/>
    <w:rsid w:val="00FA4718"/>
    <w:rsid w:val="00FA717D"/>
    <w:rsid w:val="00FB0D1A"/>
    <w:rsid w:val="00FB4A38"/>
    <w:rsid w:val="00FB54F4"/>
    <w:rsid w:val="00FB6A70"/>
    <w:rsid w:val="00FB7209"/>
    <w:rsid w:val="00FB7355"/>
    <w:rsid w:val="00FC0CB0"/>
    <w:rsid w:val="00FC11BA"/>
    <w:rsid w:val="00FC1EF1"/>
    <w:rsid w:val="00FC30A2"/>
    <w:rsid w:val="00FC34C4"/>
    <w:rsid w:val="00FC3E0E"/>
    <w:rsid w:val="00FC3EE7"/>
    <w:rsid w:val="00FC59FE"/>
    <w:rsid w:val="00FC6722"/>
    <w:rsid w:val="00FC7970"/>
    <w:rsid w:val="00FD0E6F"/>
    <w:rsid w:val="00FD1C34"/>
    <w:rsid w:val="00FD2847"/>
    <w:rsid w:val="00FD349F"/>
    <w:rsid w:val="00FE0C98"/>
    <w:rsid w:val="00FE0EF5"/>
    <w:rsid w:val="00FE7887"/>
    <w:rsid w:val="00FE7D01"/>
    <w:rsid w:val="00FF36D8"/>
    <w:rsid w:val="00FF40C2"/>
    <w:rsid w:val="00FF701F"/>
    <w:rsid w:val="00FF763D"/>
    <w:rsid w:val="0BE25239"/>
    <w:rsid w:val="0E12DF5E"/>
    <w:rsid w:val="0E718D46"/>
    <w:rsid w:val="1050BC9D"/>
    <w:rsid w:val="10D0B2FA"/>
    <w:rsid w:val="116F3064"/>
    <w:rsid w:val="1631235A"/>
    <w:rsid w:val="18B8630B"/>
    <w:rsid w:val="196D89EB"/>
    <w:rsid w:val="1B1040D9"/>
    <w:rsid w:val="2006266A"/>
    <w:rsid w:val="28379224"/>
    <w:rsid w:val="2A54971C"/>
    <w:rsid w:val="32B79253"/>
    <w:rsid w:val="36394A6D"/>
    <w:rsid w:val="3781276D"/>
    <w:rsid w:val="3ACFA4C4"/>
    <w:rsid w:val="3D1FFE6A"/>
    <w:rsid w:val="3DEED8C5"/>
    <w:rsid w:val="41F433D7"/>
    <w:rsid w:val="43845478"/>
    <w:rsid w:val="4452B592"/>
    <w:rsid w:val="4490B75A"/>
    <w:rsid w:val="4675BDDA"/>
    <w:rsid w:val="476B6CD5"/>
    <w:rsid w:val="4A998D8E"/>
    <w:rsid w:val="4BECDC1B"/>
    <w:rsid w:val="4D4C3D11"/>
    <w:rsid w:val="4E4BEF43"/>
    <w:rsid w:val="4E6A5D55"/>
    <w:rsid w:val="51046467"/>
    <w:rsid w:val="528139D7"/>
    <w:rsid w:val="530FA577"/>
    <w:rsid w:val="578A87E8"/>
    <w:rsid w:val="57C9EBF0"/>
    <w:rsid w:val="592B518E"/>
    <w:rsid w:val="5956ADD7"/>
    <w:rsid w:val="59800046"/>
    <w:rsid w:val="5F899EF5"/>
    <w:rsid w:val="5F9B9347"/>
    <w:rsid w:val="60A16741"/>
    <w:rsid w:val="6A425BFC"/>
    <w:rsid w:val="6B41862A"/>
    <w:rsid w:val="6C477364"/>
    <w:rsid w:val="6E5ABDAB"/>
    <w:rsid w:val="6FF35311"/>
    <w:rsid w:val="714F4947"/>
    <w:rsid w:val="71967B99"/>
    <w:rsid w:val="7236B171"/>
    <w:rsid w:val="7398B5BD"/>
    <w:rsid w:val="75D7739E"/>
    <w:rsid w:val="76795DDB"/>
    <w:rsid w:val="7CA88AB8"/>
    <w:rsid w:val="7DE75088"/>
    <w:rsid w:val="7F1B419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9D9CEC6"/>
  <w15:docId w15:val="{C9C7DD21-B9E0-4CBB-8320-5ED4E754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 w:type="character" w:styleId="PlaceholderText">
    <w:name w:val="Placeholder Text"/>
    <w:basedOn w:val="DefaultParagraphFont"/>
    <w:uiPriority w:val="99"/>
    <w:semiHidden/>
    <w:rsid w:val="0057098C"/>
    <w:rPr>
      <w:color w:val="808080"/>
    </w:rPr>
  </w:style>
  <w:style w:type="character" w:customStyle="1" w:styleId="normaltextrun">
    <w:name w:val="normaltextrun"/>
    <w:basedOn w:val="DefaultParagraphFont"/>
    <w:rsid w:val="001566F0"/>
  </w:style>
  <w:style w:type="character" w:customStyle="1" w:styleId="eop">
    <w:name w:val="eop"/>
    <w:basedOn w:val="DefaultParagraphFont"/>
    <w:rsid w:val="001566F0"/>
  </w:style>
  <w:style w:type="paragraph" w:customStyle="1" w:styleId="footnotedescription">
    <w:name w:val="footnote description"/>
    <w:next w:val="Normal"/>
    <w:link w:val="footnotedescriptionChar"/>
    <w:hidden/>
    <w:rsid w:val="008763BF"/>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8763BF"/>
    <w:rPr>
      <w:rFonts w:ascii="Times New Roman" w:eastAsia="Times New Roman" w:hAnsi="Times New Roman" w:cs="Times New Roman"/>
      <w:color w:val="000000"/>
      <w:sz w:val="26"/>
    </w:rPr>
  </w:style>
  <w:style w:type="character" w:customStyle="1" w:styleId="footnotemark">
    <w:name w:val="footnote mark"/>
    <w:hidden/>
    <w:rsid w:val="008763BF"/>
    <w:rPr>
      <w:rFonts w:ascii="Times New Roman" w:eastAsia="Times New Roman" w:hAnsi="Times New Roman" w:cs="Times New Roman"/>
      <w:b/>
      <w:color w:val="000000"/>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Stand/Documents/Appendix_3A_StandardsProcessesManual.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475BD20E8714BBCB48038B336F298" ma:contentTypeVersion="30" ma:contentTypeDescription="Create a new document." ma:contentTypeScope="" ma:versionID="7cfc5f586cfbfcede04de80a34916108">
  <xsd:schema xmlns:xsd="http://www.w3.org/2001/XMLSchema" xmlns:xs="http://www.w3.org/2001/XMLSchema" xmlns:p="http://schemas.microsoft.com/office/2006/metadata/properties" xmlns:ns2="http://schemas.microsoft.com/sharepoint/v4" xmlns:ns3="c1a318a1-ef03-4811-bcfa-14ec117bd669" xmlns:ns4="01a0ba4a-fdb5-4588-8216-0b8296e16851" xmlns:ns5="2f5d8004-ad89-4a42-9484-9bb9daee7cd0" targetNamespace="http://schemas.microsoft.com/office/2006/metadata/properties" ma:root="true" ma:fieldsID="c899739bf51d04e999651c2c9995e2a1" ns2:_="" ns3:_="" ns4:_="" ns5:_="">
    <xsd:import namespace="http://schemas.microsoft.com/sharepoint/v4"/>
    <xsd:import namespace="c1a318a1-ef03-4811-bcfa-14ec117bd669"/>
    <xsd:import namespace="01a0ba4a-fdb5-4588-8216-0b8296e16851"/>
    <xsd:import namespace="2f5d8004-ad89-4a42-9484-9bb9daee7cd0"/>
    <xsd:element name="properties">
      <xsd:complexType>
        <xsd:sequence>
          <xsd:element name="documentManagement">
            <xsd:complexType>
              <xsd:all>
                <xsd:element ref="ns2:IconOverlay" minOccurs="0"/>
                <xsd:element ref="ns3:SharedWithUsers" minOccurs="0"/>
                <xsd:element ref="ns3:SharedWithDetail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18a1-ef03-4811-bcfa-14ec117bd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0ba4a-fdb5-4588-8216-0b8296e1685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ateandtime" ma:index="2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5d8004-ad89-4a42-9484-9bb9daee7c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add788-35ba-4be2-ac1d-ea13a93e1414}" ma:internalName="TaxCatchAll" ma:showField="CatchAllData" ma:web="2f5d8004-ad89-4a42-9484-9bb9daee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5d8004-ad89-4a42-9484-9bb9daee7cd0" xsi:nil="true"/>
    <lcf76f155ced4ddcb4097134ff3c332f xmlns="01a0ba4a-fdb5-4588-8216-0b8296e16851">
      <Terms xmlns="http://schemas.microsoft.com/office/infopath/2007/PartnerControls"/>
    </lcf76f155ced4ddcb4097134ff3c332f>
    <IconOverlay xmlns="http://schemas.microsoft.com/sharepoint/v4" xsi:nil="true"/>
    <Dateandtime xmlns="01a0ba4a-fdb5-4588-8216-0b8296e168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B328-30A1-4BF9-BE15-4593F855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1a318a1-ef03-4811-bcfa-14ec117bd669"/>
    <ds:schemaRef ds:uri="01a0ba4a-fdb5-4588-8216-0b8296e16851"/>
    <ds:schemaRef ds:uri="2f5d8004-ad89-4a42-9484-9bb9daee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70F4A-87E6-4221-8D2C-3B3AA38C812D}">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sharepoint/v4"/>
    <ds:schemaRef ds:uri="http://schemas.microsoft.com/office/infopath/2007/PartnerControls"/>
    <ds:schemaRef ds:uri="http://schemas.openxmlformats.org/package/2006/metadata/core-properties"/>
    <ds:schemaRef ds:uri="2f5d8004-ad89-4a42-9484-9bb9daee7cd0"/>
    <ds:schemaRef ds:uri="01a0ba4a-fdb5-4588-8216-0b8296e16851"/>
    <ds:schemaRef ds:uri="c1a318a1-ef03-4811-bcfa-14ec117bd669"/>
    <ds:schemaRef ds:uri="http://purl.org/dc/dcmitype/"/>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02D33FB0-5489-46D7-93E2-40CE2664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15</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RM18-20 NOPR supporting statement</vt:lpstr>
    </vt:vector>
  </TitlesOfParts>
  <Company>Federal Energy Regulatory Commission</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anthony.may@ferc.gov</dc:creator>
  <cp:lastModifiedBy>Kayla Williams</cp:lastModifiedBy>
  <cp:revision>6</cp:revision>
  <cp:lastPrinted>2022-10-08T07:51:00Z</cp:lastPrinted>
  <dcterms:created xsi:type="dcterms:W3CDTF">2025-07-02T12:13:00Z</dcterms:created>
  <dcterms:modified xsi:type="dcterms:W3CDTF">2025-07-03T16:24:00Z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0x010100F72475BD20E8714BBCB48038B336F298</vt:lpwstr>
  </property>
  <property fmtid="{D5CDD505-2E9C-101B-9397-08002B2CF9AE}" pid="3" name="MediaServiceImageTags">
    <vt:lpwstr/>
  </property>
  <property fmtid="{D5CDD505-2E9C-101B-9397-08002B2CF9AE}" pid="4" name="MSIP_Label_bd24d06a-0e85-4d57-b1e0-ba34b1abc708_ActionId">
    <vt:lpwstr>e393b398-adf8-4038-9484-f9f3a83057c6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2024-10-17T13:43:41Z</vt:lpwstr>
  </property>
  <property fmtid="{D5CDD505-2E9C-101B-9397-08002B2CF9AE}" pid="10" name="MSIP_Label_bd24d06a-0e85-4d57-b1e0-ba34b1abc708_SiteId">
    <vt:lpwstr>19caa9e9-04ff-43fa-885f-d77fac387903</vt:lpwstr>
  </property>
</Properties>
</file>