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600B7" w:rsidP="00AD381B" w14:paraId="2E1278FB" w14:textId="77777777">
      <w:pPr>
        <w:pStyle w:val="Heading1"/>
        <w:rPr>
          <w:sz w:val="24"/>
          <w:szCs w:val="24"/>
        </w:rPr>
      </w:pPr>
    </w:p>
    <w:p w:rsidR="00043C32" w:rsidRPr="001A1026" w:rsidP="00AD381B" w14:paraId="60BC1449" w14:textId="15B7F9E5">
      <w:pPr>
        <w:pStyle w:val="Heading1"/>
        <w:rPr>
          <w:b/>
          <w:bCs/>
          <w:sz w:val="24"/>
          <w:szCs w:val="24"/>
        </w:rPr>
      </w:pPr>
      <w:r w:rsidRPr="001A1026">
        <w:rPr>
          <w:b/>
          <w:bCs/>
          <w:sz w:val="24"/>
          <w:szCs w:val="24"/>
        </w:rPr>
        <w:t>SUPPORTING STATEMENT</w:t>
      </w:r>
    </w:p>
    <w:p w:rsidR="00043C32" w:rsidRPr="001A1026" w:rsidP="00AD381B" w14:paraId="60BC144A" w14:textId="3BE23F40">
      <w:pPr>
        <w:pStyle w:val="Heading1"/>
        <w:rPr>
          <w:b/>
          <w:bCs/>
          <w:sz w:val="24"/>
          <w:szCs w:val="24"/>
        </w:rPr>
      </w:pPr>
      <w:r w:rsidRPr="001A1026">
        <w:rPr>
          <w:b/>
          <w:bCs/>
          <w:sz w:val="24"/>
          <w:szCs w:val="24"/>
        </w:rPr>
        <w:t>FOR PAPERWORK REDUCTION ACT SUBMISSION</w:t>
      </w:r>
    </w:p>
    <w:p w:rsidR="001A1026" w:rsidRPr="001A1026" w:rsidP="001A1026" w14:paraId="71A15B0E" w14:textId="77777777"/>
    <w:p w:rsidR="00D964C0" w:rsidRPr="00E43971" w:rsidP="00D964C0" w14:paraId="201B33EC" w14:textId="77777777">
      <w:pPr>
        <w:suppressAutoHyphens/>
        <w:jc w:val="center"/>
        <w:rPr>
          <w:rFonts w:asciiTheme="minorHAnsi" w:hAnsiTheme="minorHAnsi" w:cstheme="minorHAnsi"/>
          <w:bCs/>
          <w:szCs w:val="24"/>
        </w:rPr>
      </w:pPr>
      <w:r w:rsidRPr="00E43971">
        <w:rPr>
          <w:rFonts w:asciiTheme="minorHAnsi" w:hAnsiTheme="minorHAnsi" w:cstheme="minorHAnsi"/>
          <w:bCs/>
          <w:szCs w:val="24"/>
        </w:rPr>
        <w:t>Foreign Graduate Medical School Consumer Information Reporting Form</w:t>
      </w:r>
    </w:p>
    <w:p w:rsidR="00F600B7" w:rsidRPr="00AD381B" w:rsidP="00AD381B" w14:paraId="06AE1207" w14:textId="77777777">
      <w:pPr>
        <w:tabs>
          <w:tab w:val="left" w:pos="0"/>
        </w:tabs>
        <w:suppressAutoHyphens/>
        <w:rPr>
          <w:rFonts w:ascii="Times New Roman" w:hAnsi="Times New Roman"/>
          <w:szCs w:val="24"/>
        </w:rPr>
      </w:pPr>
    </w:p>
    <w:p w:rsidR="00EA1767" w:rsidRPr="00AD381B" w:rsidP="00AD381B" w14:paraId="60BC144C"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 xml:space="preserve">What is the purpose </w:t>
      </w:r>
      <w:r w:rsidRPr="00246FE9" w:rsidR="007C0A4C">
        <w:rPr>
          <w:rFonts w:ascii="Times New Roman" w:hAnsi="Times New Roman"/>
          <w:b/>
          <w:szCs w:val="24"/>
        </w:rPr>
        <w:t>for</w:t>
      </w:r>
      <w:r w:rsidRPr="00246FE9" w:rsidR="007C0A4C">
        <w:rPr>
          <w:rFonts w:ascii="Times New Roman" w:hAnsi="Times New Roman"/>
          <w:b/>
          <w:szCs w:val="24"/>
        </w:rPr>
        <w:t xml:space="preserve">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14:paraId="60BC144D" w14:textId="00C131DB">
      <w:pPr>
        <w:pStyle w:val="ListParagraph"/>
        <w:suppressAutoHyphens/>
        <w:spacing w:line="240" w:lineRule="exact"/>
        <w:rPr>
          <w:rFonts w:ascii="Times New Roman" w:hAnsi="Times New Roman"/>
          <w:szCs w:val="24"/>
        </w:rPr>
      </w:pPr>
    </w:p>
    <w:p w:rsidR="00D964C0" w:rsidRPr="00E43971" w:rsidP="00D964C0" w14:paraId="2A4BF085" w14:textId="0BCB99A0">
      <w:pPr>
        <w:tabs>
          <w:tab w:val="left" w:pos="0"/>
        </w:tabs>
        <w:suppressAutoHyphens/>
        <w:ind w:left="720"/>
        <w:rPr>
          <w:rFonts w:asciiTheme="minorHAnsi" w:hAnsiTheme="minorHAnsi" w:cstheme="minorHAnsi"/>
          <w:szCs w:val="24"/>
        </w:rPr>
      </w:pPr>
      <w:r w:rsidRPr="00E43971">
        <w:rPr>
          <w:rFonts w:asciiTheme="minorHAnsi" w:hAnsiTheme="minorHAnsi" w:cstheme="minorHAnsi"/>
          <w:szCs w:val="24"/>
        </w:rPr>
        <w:t xml:space="preserve">This is a request for </w:t>
      </w:r>
      <w:r w:rsidRPr="00E43971">
        <w:rPr>
          <w:rFonts w:asciiTheme="minorHAnsi" w:hAnsiTheme="minorHAnsi" w:cstheme="minorHAnsi"/>
          <w:szCs w:val="24"/>
        </w:rPr>
        <w:t>a</w:t>
      </w:r>
      <w:r w:rsidR="00664FCD">
        <w:rPr>
          <w:rFonts w:asciiTheme="minorHAnsi" w:hAnsiTheme="minorHAnsi" w:cstheme="minorHAnsi"/>
          <w:szCs w:val="24"/>
        </w:rPr>
        <w:t xml:space="preserve"> reinstatement</w:t>
      </w:r>
      <w:r w:rsidRPr="00E43971">
        <w:rPr>
          <w:rFonts w:asciiTheme="minorHAnsi" w:hAnsiTheme="minorHAnsi" w:cstheme="minorHAnsi"/>
          <w:szCs w:val="24"/>
        </w:rPr>
        <w:t xml:space="preserve"> </w:t>
      </w:r>
      <w:r w:rsidR="0009250C">
        <w:rPr>
          <w:rFonts w:asciiTheme="minorHAnsi" w:hAnsiTheme="minorHAnsi" w:cstheme="minorHAnsi"/>
          <w:szCs w:val="24"/>
        </w:rPr>
        <w:t xml:space="preserve">without change </w:t>
      </w:r>
      <w:r w:rsidRPr="00E43971">
        <w:rPr>
          <w:rFonts w:asciiTheme="minorHAnsi" w:hAnsiTheme="minorHAnsi" w:cstheme="minorHAnsi"/>
          <w:szCs w:val="24"/>
        </w:rPr>
        <w:t xml:space="preserve">of the information collection to obtain consumer information from foreign graduate medical institutions that participate in the William D. Ford Federal Direct Loan Program (Direct Loan Program) as authorized under Title IV of the Higher Education Act of 1963, as amended, (HEA). The form is used for reporting specific graduation information to the Department of Education (the Department) with a certification signed by the institution’s President/CEO/Chancellor.  </w:t>
      </w:r>
    </w:p>
    <w:p w:rsidR="00D964C0" w:rsidRPr="00E43971" w:rsidP="00D964C0" w14:paraId="3E56EF17" w14:textId="77777777">
      <w:pPr>
        <w:tabs>
          <w:tab w:val="left" w:pos="0"/>
        </w:tabs>
        <w:suppressAutoHyphens/>
        <w:ind w:left="720"/>
        <w:rPr>
          <w:rFonts w:asciiTheme="minorHAnsi" w:hAnsiTheme="minorHAnsi" w:cstheme="minorHAnsi"/>
          <w:szCs w:val="24"/>
        </w:rPr>
      </w:pPr>
    </w:p>
    <w:p w:rsidR="00D964C0" w:rsidRPr="00E43971" w:rsidP="00D964C0" w14:paraId="281F17DA" w14:textId="77777777">
      <w:pPr>
        <w:tabs>
          <w:tab w:val="left" w:pos="0"/>
        </w:tabs>
        <w:suppressAutoHyphens/>
        <w:ind w:left="720"/>
        <w:rPr>
          <w:rFonts w:asciiTheme="minorHAnsi" w:hAnsiTheme="minorHAnsi" w:cstheme="minorHAnsi"/>
          <w:szCs w:val="24"/>
        </w:rPr>
      </w:pPr>
      <w:r w:rsidRPr="00E43971">
        <w:rPr>
          <w:rFonts w:asciiTheme="minorHAnsi" w:hAnsiTheme="minorHAnsi" w:cstheme="minorHAnsi"/>
          <w:szCs w:val="24"/>
        </w:rPr>
        <w:t>The foreign medical institutions provide to the Department the following information for all U.S. students attending its approved graduate medical programs: on-time graduation rates for U.S. student completing the program; the median and mean Title IV loan debt incurred by U.S. students who completed the program, the median and mean private loan debt incurred by U.S. students who completed the program; the median and mean institutional financing debt incurred by U.S. students completing the program; and the total median and mean debt incurred by U.S. students who completed the program.</w:t>
      </w:r>
    </w:p>
    <w:p w:rsidR="00D964C0" w:rsidRPr="00E43971" w:rsidP="00D964C0" w14:paraId="4BE2DF82" w14:textId="77777777">
      <w:pPr>
        <w:tabs>
          <w:tab w:val="left" w:pos="0"/>
        </w:tabs>
        <w:suppressAutoHyphens/>
        <w:ind w:left="720"/>
        <w:rPr>
          <w:rFonts w:asciiTheme="minorHAnsi" w:hAnsiTheme="minorHAnsi" w:cstheme="minorHAnsi"/>
          <w:szCs w:val="24"/>
        </w:rPr>
      </w:pPr>
    </w:p>
    <w:p w:rsidR="00D964C0" w:rsidRPr="00E43971" w:rsidP="00D964C0" w14:paraId="59A56BD8" w14:textId="6D651CF8">
      <w:pPr>
        <w:tabs>
          <w:tab w:val="left" w:pos="0"/>
        </w:tabs>
        <w:suppressAutoHyphens/>
        <w:ind w:left="720"/>
        <w:rPr>
          <w:rFonts w:asciiTheme="minorHAnsi" w:hAnsiTheme="minorHAnsi" w:cstheme="minorHAnsi"/>
          <w:szCs w:val="24"/>
        </w:rPr>
      </w:pPr>
      <w:r w:rsidRPr="00E43971">
        <w:rPr>
          <w:rFonts w:asciiTheme="minorHAnsi" w:hAnsiTheme="minorHAnsi" w:cstheme="minorHAnsi"/>
          <w:szCs w:val="24"/>
        </w:rPr>
        <w:t xml:space="preserve">The Department’s regulations, at </w:t>
      </w:r>
      <w:r w:rsidRPr="0009250C">
        <w:rPr>
          <w:rFonts w:asciiTheme="minorHAnsi" w:hAnsiTheme="minorHAnsi" w:cstheme="minorHAnsi"/>
          <w:szCs w:val="24"/>
          <w:shd w:val="clear" w:color="auto" w:fill="FFFFFF"/>
        </w:rPr>
        <w:t>34 CFR 668.14(b)(7)</w:t>
      </w:r>
      <w:r w:rsidR="0009250C">
        <w:rPr>
          <w:rFonts w:asciiTheme="minorHAnsi" w:hAnsiTheme="minorHAnsi" w:cstheme="minorHAnsi"/>
          <w:color w:val="333333"/>
          <w:szCs w:val="24"/>
          <w:shd w:val="clear" w:color="auto" w:fill="FFFFFF"/>
        </w:rPr>
        <w:t xml:space="preserve"> </w:t>
      </w:r>
      <w:r w:rsidRPr="00E43971">
        <w:rPr>
          <w:rFonts w:asciiTheme="minorHAnsi" w:hAnsiTheme="minorHAnsi" w:cstheme="minorHAnsi"/>
          <w:szCs w:val="24"/>
        </w:rPr>
        <w:t xml:space="preserve">require Title IV participating institutions to submit reports to the Department containing such information as the Secretary may reasonably require </w:t>
      </w:r>
      <w:r w:rsidRPr="00E43971">
        <w:rPr>
          <w:rFonts w:asciiTheme="minorHAnsi" w:hAnsiTheme="minorHAnsi" w:cstheme="minorHAnsi"/>
          <w:szCs w:val="24"/>
        </w:rPr>
        <w:t>to carry</w:t>
      </w:r>
      <w:r w:rsidRPr="00E43971">
        <w:rPr>
          <w:rFonts w:asciiTheme="minorHAnsi" w:hAnsiTheme="minorHAnsi" w:cstheme="minorHAnsi"/>
          <w:szCs w:val="24"/>
        </w:rPr>
        <w:t xml:space="preserve"> out the purposes of the Title IV, HEA programs. This is done to improve consumer information by providing more specific consumer information to prospective U.S. medical students at foreign institutions.</w:t>
      </w:r>
    </w:p>
    <w:p w:rsidR="00D964C0" w:rsidRPr="00E43971" w:rsidP="00D964C0" w14:paraId="3A2733B5" w14:textId="77777777">
      <w:pPr>
        <w:tabs>
          <w:tab w:val="left" w:pos="0"/>
        </w:tabs>
        <w:suppressAutoHyphens/>
        <w:ind w:left="720"/>
        <w:rPr>
          <w:rFonts w:asciiTheme="minorHAnsi" w:hAnsiTheme="minorHAnsi" w:cstheme="minorHAnsi"/>
          <w:szCs w:val="24"/>
        </w:rPr>
      </w:pPr>
    </w:p>
    <w:p w:rsidR="00AD381B" w:rsidP="00AD381B" w14:paraId="60BC144F"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F600B7" w14:paraId="60BC1450" w14:textId="77777777">
      <w:pPr>
        <w:suppressAutoHyphens/>
        <w:spacing w:line="240" w:lineRule="exact"/>
        <w:ind w:left="720"/>
        <w:rPr>
          <w:rFonts w:ascii="Times New Roman" w:hAnsi="Times New Roman"/>
          <w:szCs w:val="24"/>
        </w:rPr>
      </w:pPr>
    </w:p>
    <w:p w:rsidR="00D964C0" w:rsidRPr="00E43971" w:rsidP="00D964C0" w14:paraId="394A4A7C" w14:textId="77777777">
      <w:pPr>
        <w:tabs>
          <w:tab w:val="left" w:pos="-720"/>
        </w:tabs>
        <w:suppressAutoHyphens/>
        <w:ind w:left="720"/>
        <w:rPr>
          <w:rFonts w:asciiTheme="minorHAnsi" w:hAnsiTheme="minorHAnsi" w:cstheme="minorHAnsi"/>
          <w:szCs w:val="24"/>
        </w:rPr>
      </w:pPr>
      <w:r w:rsidRPr="00E43971">
        <w:rPr>
          <w:rFonts w:asciiTheme="minorHAnsi" w:hAnsiTheme="minorHAnsi" w:cstheme="minorHAnsi"/>
          <w:szCs w:val="24"/>
        </w:rPr>
        <w:t xml:space="preserve">The information calculated and provided by the foreign medical schools is published on a Departmental website: </w:t>
      </w:r>
      <w:hyperlink r:id="rId9" w:history="1">
        <w:r w:rsidRPr="00E43971">
          <w:rPr>
            <w:rStyle w:val="Hyperlink"/>
            <w:rFonts w:asciiTheme="minorHAnsi" w:hAnsiTheme="minorHAnsi" w:cstheme="minorHAnsi"/>
            <w:szCs w:val="24"/>
          </w:rPr>
          <w:t>Aid for International Study | Federal Student Aid</w:t>
        </w:r>
      </w:hyperlink>
      <w:r w:rsidRPr="00E43971">
        <w:rPr>
          <w:rFonts w:asciiTheme="minorHAnsi" w:hAnsiTheme="minorHAnsi" w:cstheme="minorHAnsi"/>
          <w:szCs w:val="24"/>
        </w:rPr>
        <w:t xml:space="preserve">.  </w:t>
      </w:r>
    </w:p>
    <w:p w:rsidR="00F600B7" w:rsidRPr="00AD381B" w:rsidP="00F600B7" w14:paraId="3B06BC94" w14:textId="77777777">
      <w:pPr>
        <w:suppressAutoHyphens/>
        <w:spacing w:line="240" w:lineRule="exact"/>
        <w:ind w:left="720"/>
        <w:rPr>
          <w:rFonts w:ascii="Times New Roman" w:hAnsi="Times New Roman"/>
          <w:szCs w:val="24"/>
        </w:rPr>
      </w:pPr>
    </w:p>
    <w:p w:rsidR="00043C32" w:rsidRPr="00AD381B" w:rsidP="00AD381B" w14:paraId="60BC1452"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w:t>
      </w:r>
      <w:r w:rsidRPr="00AD381B">
        <w:rPr>
          <w:rFonts w:ascii="Times New Roman" w:hAnsi="Times New Roman"/>
          <w:b/>
          <w:szCs w:val="24"/>
        </w:rPr>
        <w:t xml:space="preserve">and the basis for the decision </w:t>
      </w:r>
      <w:r w:rsidRPr="00AD381B">
        <w:rPr>
          <w:rFonts w:ascii="Times New Roman" w:hAnsi="Times New Roman"/>
          <w:b/>
          <w:szCs w:val="24"/>
        </w:rPr>
        <w:t>of adopting</w:t>
      </w:r>
      <w:r w:rsidRPr="00AD381B">
        <w:rPr>
          <w:rFonts w:ascii="Times New Roman" w:hAnsi="Times New Roman"/>
          <w:b/>
          <w:szCs w:val="24"/>
        </w:rPr>
        <w:t xml:space="preserve">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60BC1453" w14:textId="77777777">
      <w:pPr>
        <w:pStyle w:val="ListParagraph"/>
        <w:tabs>
          <w:tab w:val="left" w:pos="-720"/>
        </w:tabs>
        <w:suppressAutoHyphens/>
        <w:contextualSpacing w:val="0"/>
        <w:rPr>
          <w:rFonts w:ascii="Times New Roman" w:hAnsi="Times New Roman"/>
          <w:szCs w:val="24"/>
        </w:rPr>
      </w:pPr>
    </w:p>
    <w:p w:rsidR="00D964C0" w:rsidRPr="00E43971" w:rsidP="00D964C0" w14:paraId="641EE23B" w14:textId="77777777">
      <w:pPr>
        <w:tabs>
          <w:tab w:val="left" w:pos="-720"/>
        </w:tabs>
        <w:suppressAutoHyphens/>
        <w:ind w:left="720"/>
        <w:rPr>
          <w:rFonts w:asciiTheme="minorHAnsi" w:hAnsiTheme="minorHAnsi" w:cstheme="minorHAnsi"/>
          <w:szCs w:val="24"/>
        </w:rPr>
      </w:pPr>
      <w:r w:rsidRPr="00E43971">
        <w:rPr>
          <w:rFonts w:asciiTheme="minorHAnsi" w:hAnsiTheme="minorHAnsi" w:cstheme="minorHAnsi"/>
          <w:szCs w:val="24"/>
        </w:rPr>
        <w:t xml:space="preserve">The Department now accepts manually drawn signatures (font-based signatures and certificate-based signatures are not authorized for use) instead of the “wet” signature from previous years. Reports signed in this way are required to be uploaded to the </w:t>
      </w:r>
      <w:hyperlink r:id="rId10" w:history="1">
        <w:r w:rsidRPr="00E43971">
          <w:rPr>
            <w:rStyle w:val="Hyperlink"/>
            <w:rFonts w:asciiTheme="minorHAnsi" w:hAnsiTheme="minorHAnsi" w:cstheme="minorHAnsi"/>
            <w:szCs w:val="24"/>
          </w:rPr>
          <w:t>COD Document Center</w:t>
        </w:r>
      </w:hyperlink>
      <w:r w:rsidRPr="00E43971">
        <w:rPr>
          <w:rFonts w:asciiTheme="minorHAnsi" w:hAnsiTheme="minorHAnsi" w:cstheme="minorHAnsi"/>
          <w:szCs w:val="24"/>
        </w:rPr>
        <w:t xml:space="preserve"> rather than shipped to the Department. There is no significant reduction in burden because the printing and mailing of the report is replaced by the printing and uploading of the report. </w:t>
      </w:r>
    </w:p>
    <w:p w:rsidR="00F600B7" w:rsidP="00AD381B" w14:paraId="4C4994F5" w14:textId="77777777">
      <w:pPr>
        <w:pStyle w:val="ListParagraph"/>
        <w:tabs>
          <w:tab w:val="left" w:pos="-720"/>
        </w:tabs>
        <w:suppressAutoHyphens/>
        <w:contextualSpacing w:val="0"/>
        <w:rPr>
          <w:rFonts w:ascii="Times New Roman" w:hAnsi="Times New Roman"/>
          <w:szCs w:val="24"/>
        </w:rPr>
      </w:pPr>
    </w:p>
    <w:p w:rsidR="00AD381B" w:rsidP="00AD381B" w14:paraId="60BC1455"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RPr="00F600B7" w:rsidP="00246FE9" w14:paraId="60BC1456" w14:textId="37573462">
      <w:pPr>
        <w:pStyle w:val="ListParagraph"/>
        <w:tabs>
          <w:tab w:val="left" w:pos="-720"/>
        </w:tabs>
        <w:suppressAutoHyphens/>
        <w:contextualSpacing w:val="0"/>
        <w:rPr>
          <w:rFonts w:ascii="Times New Roman" w:hAnsi="Times New Roman"/>
          <w:bCs/>
          <w:szCs w:val="24"/>
        </w:rPr>
      </w:pPr>
    </w:p>
    <w:p w:rsidR="00D964C0" w:rsidRPr="00E43971" w:rsidP="00D964C0" w14:paraId="4DD32EA3" w14:textId="77777777">
      <w:pPr>
        <w:tabs>
          <w:tab w:val="left" w:pos="-720"/>
        </w:tabs>
        <w:suppressAutoHyphens/>
        <w:ind w:left="720"/>
        <w:rPr>
          <w:rFonts w:asciiTheme="minorHAnsi" w:hAnsiTheme="minorHAnsi" w:cstheme="minorHAnsi"/>
          <w:szCs w:val="24"/>
        </w:rPr>
      </w:pPr>
      <w:r w:rsidRPr="00E43971">
        <w:rPr>
          <w:rFonts w:asciiTheme="minorHAnsi" w:hAnsiTheme="minorHAnsi" w:cstheme="minorHAnsi"/>
          <w:szCs w:val="24"/>
        </w:rPr>
        <w:t xml:space="preserve">There is no duplication of data </w:t>
      </w:r>
      <w:r w:rsidRPr="00E43971">
        <w:rPr>
          <w:rFonts w:asciiTheme="minorHAnsi" w:hAnsiTheme="minorHAnsi" w:cstheme="minorHAnsi"/>
          <w:szCs w:val="24"/>
        </w:rPr>
        <w:t>as a result of</w:t>
      </w:r>
      <w:r w:rsidRPr="00E43971">
        <w:rPr>
          <w:rFonts w:asciiTheme="minorHAnsi" w:hAnsiTheme="minorHAnsi" w:cstheme="minorHAnsi"/>
          <w:szCs w:val="24"/>
        </w:rPr>
        <w:t xml:space="preserve"> the collection of this information.  </w:t>
      </w:r>
    </w:p>
    <w:p w:rsidR="00D964C0" w:rsidRPr="00F600B7" w:rsidP="00246FE9" w14:paraId="28F807D3" w14:textId="77777777">
      <w:pPr>
        <w:pStyle w:val="ListParagraph"/>
        <w:tabs>
          <w:tab w:val="left" w:pos="-720"/>
        </w:tabs>
        <w:suppressAutoHyphens/>
        <w:contextualSpacing w:val="0"/>
        <w:rPr>
          <w:rFonts w:ascii="Times New Roman" w:hAnsi="Times New Roman"/>
          <w:bCs/>
          <w:szCs w:val="24"/>
        </w:rPr>
      </w:pPr>
    </w:p>
    <w:p w:rsidR="00043C32" w:rsidP="00F600B7" w14:paraId="60BC1457" w14:textId="77777777">
      <w:pPr>
        <w:pStyle w:val="ListParagraph"/>
        <w:numPr>
          <w:ilvl w:val="0"/>
          <w:numId w:val="4"/>
        </w:numPr>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60BC1458" w14:textId="77777777">
      <w:pPr>
        <w:pStyle w:val="ListParagraph"/>
        <w:contextualSpacing w:val="0"/>
        <w:rPr>
          <w:rFonts w:ascii="Times New Roman" w:hAnsi="Times New Roman"/>
          <w:szCs w:val="24"/>
        </w:rPr>
      </w:pPr>
    </w:p>
    <w:p w:rsidR="00D964C0" w:rsidRPr="00E43971" w:rsidP="00D964C0" w14:paraId="18234249" w14:textId="77777777">
      <w:pPr>
        <w:tabs>
          <w:tab w:val="left" w:pos="-720"/>
        </w:tabs>
        <w:suppressAutoHyphens/>
        <w:ind w:left="720"/>
        <w:rPr>
          <w:rFonts w:asciiTheme="minorHAnsi" w:hAnsiTheme="minorHAnsi" w:cstheme="minorHAnsi"/>
          <w:szCs w:val="24"/>
        </w:rPr>
      </w:pPr>
      <w:r w:rsidRPr="00E43971">
        <w:rPr>
          <w:rFonts w:asciiTheme="minorHAnsi" w:hAnsiTheme="minorHAnsi" w:cstheme="minorHAnsi"/>
          <w:szCs w:val="24"/>
        </w:rPr>
        <w:t>No small businesses are impacted by this collection.</w:t>
      </w:r>
    </w:p>
    <w:p w:rsidR="00D964C0" w:rsidP="00AD381B" w14:paraId="4841562F" w14:textId="77777777">
      <w:pPr>
        <w:pStyle w:val="ListParagraph"/>
        <w:contextualSpacing w:val="0"/>
        <w:rPr>
          <w:rFonts w:ascii="Times New Roman" w:hAnsi="Times New Roman"/>
          <w:szCs w:val="24"/>
        </w:rPr>
      </w:pPr>
    </w:p>
    <w:p w:rsidR="00043C32" w:rsidP="00AD381B" w14:paraId="60BC145A" w14:textId="59914A91">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the consequences </w:t>
      </w:r>
      <w:r w:rsidRPr="00AD381B">
        <w:rPr>
          <w:rFonts w:ascii="Times New Roman" w:hAnsi="Times New Roman"/>
          <w:b/>
          <w:szCs w:val="24"/>
        </w:rPr>
        <w:t>to</w:t>
      </w:r>
      <w:r w:rsidRPr="00AD381B">
        <w:rPr>
          <w:rFonts w:ascii="Times New Roman" w:hAnsi="Times New Roman"/>
          <w:b/>
          <w:szCs w:val="24"/>
        </w:rPr>
        <w:t xml:space="preserve"> Federal program or policy activities if the collection is not conducted or is conducted less frequently, as well as any technical or legal obstacles to reducing burden.</w:t>
      </w:r>
    </w:p>
    <w:p w:rsidR="00F600B7" w:rsidRPr="00F600B7" w:rsidP="00F600B7" w14:paraId="35E67996" w14:textId="16CD0B5D">
      <w:pPr>
        <w:tabs>
          <w:tab w:val="left" w:pos="-720"/>
        </w:tabs>
        <w:suppressAutoHyphens/>
        <w:ind w:left="720"/>
        <w:rPr>
          <w:rFonts w:ascii="Times New Roman" w:hAnsi="Times New Roman"/>
          <w:bCs/>
          <w:szCs w:val="24"/>
        </w:rPr>
      </w:pPr>
    </w:p>
    <w:p w:rsidR="00D964C0" w:rsidRPr="00E43971" w:rsidP="00D964C0" w14:paraId="281443F4" w14:textId="5B154121">
      <w:pPr>
        <w:tabs>
          <w:tab w:val="left" w:pos="-720"/>
        </w:tabs>
        <w:suppressAutoHyphens/>
        <w:ind w:left="720"/>
        <w:rPr>
          <w:rFonts w:asciiTheme="minorHAnsi" w:hAnsiTheme="minorHAnsi" w:cstheme="minorHAnsi"/>
          <w:szCs w:val="24"/>
        </w:rPr>
      </w:pPr>
      <w:r w:rsidRPr="00E43971">
        <w:rPr>
          <w:rFonts w:asciiTheme="minorHAnsi" w:hAnsiTheme="minorHAnsi" w:cstheme="minorHAnsi"/>
          <w:szCs w:val="24"/>
        </w:rPr>
        <w:t xml:space="preserve">Without the collection and dissemination of the information via the Department’s consumer web page prospective U.S. students at a foreign medical school may not have a clear indication of total costs of the medical program they wish to attend or an indication of the successful completion by other U.S. </w:t>
      </w:r>
      <w:r w:rsidRPr="00E43971">
        <w:rPr>
          <w:rFonts w:asciiTheme="minorHAnsi" w:hAnsiTheme="minorHAnsi" w:cstheme="minorHAnsi"/>
          <w:szCs w:val="24"/>
        </w:rPr>
        <w:t>student’s</w:t>
      </w:r>
      <w:r w:rsidRPr="00E43971">
        <w:rPr>
          <w:rFonts w:asciiTheme="minorHAnsi" w:hAnsiTheme="minorHAnsi" w:cstheme="minorHAnsi"/>
          <w:szCs w:val="24"/>
        </w:rPr>
        <w:t xml:space="preserve"> in that particular program. This will aid in prospective U.S. students making more informed </w:t>
      </w:r>
      <w:r w:rsidRPr="00E43971">
        <w:rPr>
          <w:rFonts w:asciiTheme="minorHAnsi" w:hAnsiTheme="minorHAnsi" w:cstheme="minorHAnsi"/>
          <w:szCs w:val="24"/>
        </w:rPr>
        <w:t>decisions, and</w:t>
      </w:r>
      <w:r w:rsidRPr="00E43971">
        <w:rPr>
          <w:rFonts w:asciiTheme="minorHAnsi" w:hAnsiTheme="minorHAnsi" w:cstheme="minorHAnsi"/>
          <w:szCs w:val="24"/>
        </w:rPr>
        <w:t xml:space="preserve"> avoiding over-borrowing in the Direct Loan Program.</w:t>
      </w:r>
    </w:p>
    <w:p w:rsidR="00F600B7" w:rsidRPr="00F600B7" w:rsidP="00F600B7" w14:paraId="3B4A9587" w14:textId="77777777">
      <w:pPr>
        <w:tabs>
          <w:tab w:val="left" w:pos="-720"/>
        </w:tabs>
        <w:suppressAutoHyphens/>
        <w:ind w:left="720"/>
        <w:rPr>
          <w:rFonts w:ascii="Times New Roman" w:hAnsi="Times New Roman"/>
          <w:bCs/>
          <w:szCs w:val="24"/>
        </w:rPr>
      </w:pPr>
    </w:p>
    <w:p w:rsidR="00043C32" w:rsidRPr="00AD381B" w:rsidP="00AD381B" w14:paraId="60BC145B"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0BC145D"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r w:rsidRPr="00AD381B">
        <w:rPr>
          <w:rFonts w:ascii="Times New Roman" w:hAnsi="Times New Roman"/>
          <w:b/>
          <w:szCs w:val="24"/>
        </w:rPr>
        <w:t>quarterly;</w:t>
      </w:r>
    </w:p>
    <w:p w:rsidR="00043C32" w:rsidRPr="00AD381B" w:rsidP="00AD381B" w14:paraId="60BC145F"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r w:rsidRPr="00AD381B">
        <w:rPr>
          <w:rFonts w:ascii="Times New Roman" w:hAnsi="Times New Roman"/>
          <w:b/>
          <w:szCs w:val="24"/>
        </w:rPr>
        <w:t>it;</w:t>
      </w:r>
    </w:p>
    <w:p w:rsidR="00043C32" w:rsidRPr="00AD381B" w:rsidP="00AD381B" w14:paraId="60BC1461"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r w:rsidRPr="00AD381B">
        <w:rPr>
          <w:rFonts w:ascii="Times New Roman" w:hAnsi="Times New Roman"/>
          <w:b/>
          <w:szCs w:val="24"/>
        </w:rPr>
        <w:t>document;</w:t>
      </w:r>
    </w:p>
    <w:p w:rsidR="00043C32" w:rsidRPr="00AD381B" w:rsidP="00AD381B" w14:paraId="60BC1463"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r w:rsidRPr="00AD381B">
        <w:rPr>
          <w:rFonts w:ascii="Times New Roman" w:hAnsi="Times New Roman"/>
          <w:b/>
          <w:szCs w:val="24"/>
        </w:rPr>
        <w:t>years;</w:t>
      </w:r>
    </w:p>
    <w:p w:rsidR="00043C32" w:rsidRPr="00AD381B" w:rsidP="00AD381B" w14:paraId="60BC1465"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r w:rsidRPr="00AD381B">
        <w:rPr>
          <w:rFonts w:ascii="Times New Roman" w:hAnsi="Times New Roman"/>
          <w:b/>
          <w:szCs w:val="24"/>
        </w:rPr>
        <w:t>study;</w:t>
      </w:r>
    </w:p>
    <w:p w:rsidR="00043C32" w:rsidRPr="00AD381B" w:rsidP="00AD381B" w14:paraId="60BC1467"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r w:rsidRPr="00AD381B">
        <w:rPr>
          <w:rFonts w:ascii="Times New Roman" w:hAnsi="Times New Roman"/>
          <w:b/>
          <w:szCs w:val="24"/>
        </w:rPr>
        <w:t>OMB;</w:t>
      </w:r>
    </w:p>
    <w:p w:rsidR="00043C32" w:rsidRPr="00AD381B" w:rsidP="00AD381B" w14:paraId="60BC1469"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60BC146B"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F600B7" w:rsidP="00AD381B" w14:paraId="60BC146C" w14:textId="4A47232F">
      <w:pPr>
        <w:pStyle w:val="ListParagraph"/>
        <w:rPr>
          <w:rFonts w:ascii="Times New Roman" w:hAnsi="Times New Roman"/>
          <w:bCs/>
          <w:szCs w:val="24"/>
        </w:rPr>
      </w:pPr>
    </w:p>
    <w:p w:rsidR="00D964C0" w:rsidRPr="00E43971" w:rsidP="00D964C0" w14:paraId="229E1080" w14:textId="77777777">
      <w:pPr>
        <w:tabs>
          <w:tab w:val="left" w:pos="-720"/>
        </w:tabs>
        <w:suppressAutoHyphens/>
        <w:ind w:left="720"/>
        <w:rPr>
          <w:rFonts w:asciiTheme="minorHAnsi" w:hAnsiTheme="minorHAnsi" w:cstheme="minorHAnsi"/>
          <w:szCs w:val="24"/>
        </w:rPr>
      </w:pPr>
      <w:r w:rsidRPr="00E43971">
        <w:rPr>
          <w:rFonts w:asciiTheme="minorHAnsi" w:hAnsiTheme="minorHAnsi" w:cstheme="minorHAnsi"/>
          <w:szCs w:val="24"/>
        </w:rPr>
        <w:t>The information collection requirements require no special circumstances.</w:t>
      </w:r>
    </w:p>
    <w:p w:rsidR="00AD381B" w:rsidRPr="00F600B7" w:rsidP="00F600B7" w14:paraId="60BC146D" w14:textId="77777777">
      <w:pPr>
        <w:tabs>
          <w:tab w:val="left" w:pos="-720"/>
        </w:tabs>
        <w:suppressAutoHyphens/>
        <w:ind w:left="720"/>
        <w:rPr>
          <w:rFonts w:ascii="Times New Roman" w:hAnsi="Times New Roman"/>
          <w:bCs/>
          <w:szCs w:val="24"/>
        </w:rPr>
      </w:pPr>
    </w:p>
    <w:p w:rsidR="00D75313" w:rsidP="00AD381B" w14:paraId="60BC146E"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w:t>
      </w:r>
      <w:r w:rsidRPr="00AD381B">
        <w:rPr>
          <w:rFonts w:ascii="Times New Roman" w:hAnsi="Times New Roman"/>
          <w:b/>
          <w:szCs w:val="24"/>
        </w:rPr>
        <w:t>, state that</w:t>
      </w:r>
      <w:r w:rsidRPr="00AD381B">
        <w:rPr>
          <w:rFonts w:ascii="Times New Roman" w:hAnsi="Times New Roman"/>
          <w:b/>
          <w:szCs w:val="24"/>
        </w:rPr>
        <w:t xml:space="preserve"> the Department has published the 60 and 30 Federal Register notices as required by 5 CFR 1320.8(d), soliciting comments on the information collection prior to submission to OMB.</w:t>
      </w:r>
    </w:p>
    <w:p w:rsidR="00D75313" w:rsidP="00D75313" w14:paraId="60BC146F"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60BC1470"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t>
      </w:r>
      <w:r w:rsidRPr="00D75313" w:rsidR="007C0A4C">
        <w:rPr>
          <w:rFonts w:ascii="Times New Roman" w:hAnsi="Times New Roman"/>
          <w:b/>
          <w:szCs w:val="24"/>
        </w:rPr>
        <w:t>warrant</w:t>
      </w:r>
      <w:r w:rsidRPr="00D75313" w:rsidR="007C0A4C">
        <w:rPr>
          <w:rFonts w:ascii="Times New Roman" w:hAnsi="Times New Roman"/>
          <w:b/>
          <w:szCs w:val="24"/>
        </w:rPr>
        <w:t xml:space="preserve">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60BC1471"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60BC1472"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p>
    <w:p w:rsidR="00043C32" w:rsidRPr="00AD381B" w:rsidP="00AD381B" w14:paraId="60BC1473"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 xml:space="preserve">Describe efforts to consult with </w:t>
      </w:r>
      <w:r w:rsidRPr="00AD381B">
        <w:rPr>
          <w:rStyle w:val="a"/>
          <w:rFonts w:ascii="Times New Roman" w:hAnsi="Times New Roman"/>
          <w:b/>
          <w:szCs w:val="24"/>
        </w:rPr>
        <w:t>persons</w:t>
      </w:r>
      <w:r w:rsidRPr="00AD381B">
        <w:rPr>
          <w:rStyle w:val="a"/>
          <w:rFonts w:ascii="Times New Roman" w:hAnsi="Times New Roman"/>
          <w:b/>
          <w:szCs w:val="24"/>
        </w:rPr>
        <w:t xml:space="preserve">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0BC1474" w14:textId="77777777">
      <w:pPr>
        <w:tabs>
          <w:tab w:val="left" w:pos="-720"/>
        </w:tabs>
        <w:suppressAutoHyphens/>
        <w:rPr>
          <w:rStyle w:val="a"/>
          <w:rFonts w:ascii="Times New Roman" w:hAnsi="Times New Roman"/>
          <w:b/>
          <w:szCs w:val="24"/>
        </w:rPr>
      </w:pPr>
    </w:p>
    <w:p w:rsidR="00043C32" w:rsidP="00AD381B" w14:paraId="60BC1475"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14:paraId="60BC1476" w14:textId="00D4DEA6">
      <w:pPr>
        <w:tabs>
          <w:tab w:val="left" w:pos="-720"/>
        </w:tabs>
        <w:suppressAutoHyphens/>
        <w:ind w:left="720"/>
        <w:rPr>
          <w:rFonts w:ascii="Times New Roman" w:hAnsi="Times New Roman"/>
          <w:bCs/>
          <w:szCs w:val="24"/>
        </w:rPr>
      </w:pPr>
    </w:p>
    <w:p w:rsidR="00E66550" w:rsidP="309F81CB" w14:paraId="60BC1477" w14:textId="157A4362">
      <w:pPr>
        <w:suppressAutoHyphens/>
        <w:ind w:left="720"/>
        <w:rPr>
          <w:rFonts w:asciiTheme="minorAscii" w:hAnsiTheme="minorAscii" w:cstheme="minorBidi"/>
        </w:rPr>
      </w:pPr>
      <w:r w:rsidRPr="309F81CB">
        <w:rPr>
          <w:rFonts w:asciiTheme="minorAscii" w:hAnsiTheme="minorAscii" w:cstheme="minorBidi"/>
        </w:rPr>
        <w:t xml:space="preserve">On August </w:t>
      </w:r>
      <w:r w:rsidRPr="309F81CB" w:rsidR="07689D74">
        <w:rPr>
          <w:rFonts w:asciiTheme="minorAscii" w:hAnsiTheme="minorAscii" w:cstheme="minorBidi"/>
        </w:rPr>
        <w:t xml:space="preserve">6, </w:t>
      </w:r>
      <w:r w:rsidRPr="309F81CB" w:rsidR="07689D74">
        <w:rPr>
          <w:rFonts w:asciiTheme="minorAscii" w:hAnsiTheme="minorAscii" w:cstheme="minorBidi"/>
        </w:rPr>
        <w:t>2025</w:t>
      </w:r>
      <w:r w:rsidRPr="309F81CB" w:rsidR="2D85F52C">
        <w:rPr>
          <w:rFonts w:asciiTheme="minorAscii" w:hAnsiTheme="minorAscii" w:cstheme="minorBidi"/>
        </w:rPr>
        <w:t xml:space="preserve">, </w:t>
      </w:r>
      <w:r w:rsidRPr="309F81CB" w:rsidR="07689D74">
        <w:rPr>
          <w:rFonts w:asciiTheme="minorAscii" w:hAnsiTheme="minorAscii" w:cstheme="minorBidi"/>
        </w:rPr>
        <w:t xml:space="preserve">a Federal Register Notice was published requesting comments on this collection. </w:t>
      </w:r>
      <w:r w:rsidRPr="309F81CB" w:rsidR="1C9D18BE">
        <w:rPr>
          <w:rFonts w:asciiTheme="minorAscii" w:hAnsiTheme="minorAscii" w:cstheme="minorBidi"/>
        </w:rPr>
        <w:t xml:space="preserve">One comment was received in support of this collection. No changes to the collection or the burden have been made based on any comments. The Department is now requesting </w:t>
      </w:r>
      <w:r w:rsidRPr="309F81CB" w:rsidR="14494821">
        <w:rPr>
          <w:rFonts w:asciiTheme="minorAscii" w:hAnsiTheme="minorAscii" w:cstheme="minorBidi"/>
        </w:rPr>
        <w:t>the</w:t>
      </w:r>
      <w:r w:rsidRPr="309F81CB" w:rsidR="14494821">
        <w:rPr>
          <w:rFonts w:asciiTheme="minorAscii" w:hAnsiTheme="minorAscii" w:cstheme="minorBidi"/>
        </w:rPr>
        <w:t xml:space="preserve"> </w:t>
      </w:r>
      <w:r w:rsidRPr="309F81CB" w:rsidR="14BBF185">
        <w:rPr>
          <w:rFonts w:asciiTheme="minorAscii" w:hAnsiTheme="minorAscii" w:cstheme="minorBidi"/>
        </w:rPr>
        <w:t>30-day</w:t>
      </w:r>
      <w:r w:rsidRPr="309F81CB" w:rsidR="14494821">
        <w:rPr>
          <w:rFonts w:asciiTheme="minorAscii" w:hAnsiTheme="minorAscii" w:cstheme="minorBidi"/>
        </w:rPr>
        <w:t xml:space="preserve"> public comment period. </w:t>
      </w:r>
    </w:p>
    <w:p w:rsidR="0009250C" w:rsidRPr="00F600B7" w:rsidP="00AD381B" w14:paraId="6E6E002C" w14:textId="77777777">
      <w:pPr>
        <w:tabs>
          <w:tab w:val="left" w:pos="-720"/>
        </w:tabs>
        <w:suppressAutoHyphens/>
        <w:ind w:left="720"/>
        <w:rPr>
          <w:rFonts w:ascii="Times New Roman" w:hAnsi="Times New Roman"/>
          <w:bCs/>
          <w:szCs w:val="24"/>
        </w:rPr>
      </w:pPr>
    </w:p>
    <w:p w:rsidR="00043C32" w:rsidP="00AD381B" w14:paraId="60BC1478"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RPr="00F600B7" w:rsidP="00920F63" w14:paraId="60BC1479" w14:textId="77777777">
      <w:pPr>
        <w:pStyle w:val="ListParagraph"/>
        <w:tabs>
          <w:tab w:val="left" w:pos="-720"/>
        </w:tabs>
        <w:suppressAutoHyphens/>
        <w:contextualSpacing w:val="0"/>
        <w:rPr>
          <w:rFonts w:ascii="Times New Roman" w:hAnsi="Times New Roman"/>
          <w:bCs/>
          <w:szCs w:val="24"/>
        </w:rPr>
      </w:pPr>
    </w:p>
    <w:p w:rsidR="00D964C0" w:rsidRPr="00E43971" w:rsidP="309F81CB" w14:paraId="5060BAF2" w14:textId="4D12196A">
      <w:pPr>
        <w:suppressAutoHyphens/>
        <w:ind w:left="720"/>
        <w:rPr>
          <w:rFonts w:asciiTheme="minorAscii" w:hAnsiTheme="minorAscii" w:cstheme="minorAscii"/>
        </w:rPr>
      </w:pPr>
      <w:r w:rsidRPr="309F81CB">
        <w:rPr>
          <w:rFonts w:asciiTheme="minorAscii" w:hAnsiTheme="minorAscii" w:cstheme="minorAscii"/>
        </w:rPr>
        <w:t xml:space="preserve">There </w:t>
      </w:r>
      <w:r w:rsidRPr="309F81CB" w:rsidR="21BE95BF">
        <w:rPr>
          <w:rFonts w:asciiTheme="minorAscii" w:hAnsiTheme="minorAscii" w:cstheme="minorAscii"/>
        </w:rPr>
        <w:t>are</w:t>
      </w:r>
      <w:r w:rsidRPr="309F81CB">
        <w:rPr>
          <w:rFonts w:asciiTheme="minorAscii" w:hAnsiTheme="minorAscii" w:cstheme="minorAscii"/>
        </w:rPr>
        <w:t xml:space="preserve"> no payment or gifts to respondents.</w:t>
      </w:r>
    </w:p>
    <w:p w:rsidR="00F600B7" w:rsidRPr="00F600B7" w:rsidP="00920F63" w14:paraId="6DC1FB78" w14:textId="77777777">
      <w:pPr>
        <w:pStyle w:val="ListParagraph"/>
        <w:tabs>
          <w:tab w:val="left" w:pos="-720"/>
        </w:tabs>
        <w:suppressAutoHyphens/>
        <w:contextualSpacing w:val="0"/>
        <w:rPr>
          <w:rFonts w:ascii="Times New Roman" w:hAnsi="Times New Roman"/>
          <w:bCs/>
          <w:szCs w:val="24"/>
        </w:rPr>
      </w:pPr>
    </w:p>
    <w:p w:rsidR="00043C32" w:rsidRPr="00D75313" w:rsidP="00AD381B" w14:paraId="60BC147B"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w:t>
      </w:r>
      <w:r w:rsidRPr="00920F63">
        <w:rPr>
          <w:rFonts w:ascii="Times New Roman" w:hAnsi="Times New Roman"/>
          <w:b/>
          <w:szCs w:val="24"/>
        </w:rPr>
        <w:t>on</w:t>
      </w:r>
      <w:r w:rsidRPr="00920F63">
        <w:rPr>
          <w:rFonts w:ascii="Times New Roman" w:hAnsi="Times New Roman"/>
          <w:b/>
          <w:szCs w:val="24"/>
        </w:rPr>
        <w:t xml:space="preserve"> the instrument. Please provide a citation for the Systems of Record Notice and the date </w:t>
      </w:r>
      <w:r w:rsidRPr="00920F63">
        <w:rPr>
          <w:rFonts w:ascii="Times New Roman" w:hAnsi="Times New Roman"/>
          <w:b/>
          <w:szCs w:val="24"/>
        </w:rPr>
        <w:t>a Privacy</w:t>
      </w:r>
      <w:r w:rsidRPr="00920F63">
        <w:rPr>
          <w:rFonts w:ascii="Times New Roman" w:hAnsi="Times New Roman"/>
          <w:b/>
          <w:szCs w:val="24"/>
        </w:rPr>
        <w:t xml:space="preserve">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F600B7" w14:paraId="60BC147C" w14:textId="6C557AF0">
      <w:pPr>
        <w:tabs>
          <w:tab w:val="left" w:pos="-720"/>
        </w:tabs>
        <w:suppressAutoHyphens/>
        <w:ind w:left="720"/>
        <w:rPr>
          <w:rFonts w:ascii="Times New Roman" w:hAnsi="Times New Roman"/>
          <w:bCs/>
          <w:szCs w:val="24"/>
        </w:rPr>
      </w:pPr>
    </w:p>
    <w:p w:rsidR="00D964C0" w:rsidRPr="00556EDB" w:rsidP="00D964C0" w14:paraId="330DC4BB" w14:textId="344C503F">
      <w:pPr>
        <w:tabs>
          <w:tab w:val="left" w:pos="-720"/>
        </w:tabs>
        <w:suppressAutoHyphens/>
        <w:ind w:left="720"/>
        <w:rPr>
          <w:rFonts w:asciiTheme="minorHAnsi" w:hAnsiTheme="minorHAnsi" w:cstheme="minorHAnsi"/>
          <w:szCs w:val="24"/>
        </w:rPr>
      </w:pPr>
      <w:r w:rsidRPr="00556EDB">
        <w:rPr>
          <w:rFonts w:asciiTheme="minorHAnsi" w:hAnsiTheme="minorHAnsi" w:cstheme="minorHAnsi"/>
          <w:szCs w:val="24"/>
        </w:rPr>
        <w:t xml:space="preserve">The Department requires all institutions to report the requested data. However, if the number of individuals reported is very small, it may be possible to identify information about specific individuals in </w:t>
      </w:r>
      <w:r w:rsidRPr="00556EDB">
        <w:rPr>
          <w:rFonts w:asciiTheme="minorHAnsi" w:hAnsiTheme="minorHAnsi" w:cstheme="minorHAnsi"/>
          <w:szCs w:val="24"/>
        </w:rPr>
        <w:t>these</w:t>
      </w:r>
      <w:r w:rsidRPr="00556EDB">
        <w:rPr>
          <w:rFonts w:asciiTheme="minorHAnsi" w:hAnsiTheme="minorHAnsi" w:cstheme="minorHAnsi"/>
          <w:szCs w:val="24"/>
        </w:rPr>
        <w:t xml:space="preserve"> data. Consequently, to protect the privacy of those individuals, the Department will not publish an institution’s data if doing so would reveal PII about specific students.</w:t>
      </w:r>
    </w:p>
    <w:p w:rsidR="00920F63" w:rsidRPr="00F600B7" w:rsidP="00F600B7" w14:paraId="60BC147D" w14:textId="77777777">
      <w:pPr>
        <w:tabs>
          <w:tab w:val="left" w:pos="-720"/>
        </w:tabs>
        <w:suppressAutoHyphens/>
        <w:ind w:left="720"/>
        <w:rPr>
          <w:rFonts w:ascii="Times New Roman" w:hAnsi="Times New Roman"/>
          <w:bCs/>
          <w:szCs w:val="24"/>
        </w:rPr>
      </w:pPr>
    </w:p>
    <w:p w:rsidR="00043C32" w:rsidP="00AD381B" w14:paraId="60BC147E"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 xml:space="preserve">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w:t>
      </w:r>
      <w:r w:rsidRPr="00920F63">
        <w:rPr>
          <w:rFonts w:ascii="Times New Roman" w:hAnsi="Times New Roman"/>
          <w:b/>
          <w:szCs w:val="24"/>
        </w:rPr>
        <w:t>persons</w:t>
      </w:r>
      <w:r w:rsidRPr="00920F63">
        <w:rPr>
          <w:rFonts w:ascii="Times New Roman" w:hAnsi="Times New Roman"/>
          <w:b/>
          <w:szCs w:val="24"/>
        </w:rPr>
        <w:t xml:space="preserve"> from whom the information is requested, and any steps to be taken to obtain their consent.</w:t>
      </w:r>
    </w:p>
    <w:p w:rsidR="00920F63" w:rsidRPr="00F600B7" w:rsidP="00F600B7" w14:paraId="60BC147F" w14:textId="77777777">
      <w:pPr>
        <w:tabs>
          <w:tab w:val="left" w:pos="-720"/>
        </w:tabs>
        <w:suppressAutoHyphens/>
        <w:ind w:left="720"/>
        <w:rPr>
          <w:rFonts w:ascii="Times New Roman" w:hAnsi="Times New Roman"/>
          <w:bCs/>
          <w:szCs w:val="24"/>
        </w:rPr>
      </w:pPr>
    </w:p>
    <w:p w:rsidR="00D964C0" w:rsidRPr="00E43971" w:rsidP="00D964C0" w14:paraId="04A993D4" w14:textId="77777777">
      <w:pPr>
        <w:tabs>
          <w:tab w:val="left" w:pos="-720"/>
        </w:tabs>
        <w:suppressAutoHyphens/>
        <w:ind w:left="720"/>
        <w:rPr>
          <w:rFonts w:asciiTheme="minorHAnsi" w:hAnsiTheme="minorHAnsi" w:cstheme="minorHAnsi"/>
          <w:szCs w:val="24"/>
        </w:rPr>
      </w:pPr>
      <w:r w:rsidRPr="00E43971">
        <w:rPr>
          <w:rFonts w:asciiTheme="minorHAnsi" w:hAnsiTheme="minorHAnsi" w:cstheme="minorHAnsi"/>
          <w:szCs w:val="24"/>
        </w:rPr>
        <w:t>The Department is not requesting any sensitive data.</w:t>
      </w:r>
    </w:p>
    <w:p w:rsidR="00F600B7" w:rsidRPr="00F600B7" w:rsidP="00F600B7" w14:paraId="197A1345" w14:textId="77777777">
      <w:pPr>
        <w:tabs>
          <w:tab w:val="left" w:pos="-720"/>
        </w:tabs>
        <w:suppressAutoHyphens/>
        <w:ind w:left="720"/>
        <w:rPr>
          <w:rFonts w:ascii="Times New Roman" w:hAnsi="Times New Roman"/>
          <w:bCs/>
          <w:szCs w:val="24"/>
        </w:rPr>
      </w:pPr>
    </w:p>
    <w:p w:rsidR="00043C32" w:rsidRPr="00920F63" w:rsidP="00AD381B" w14:paraId="60BC1481"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60BC1482" w14:textId="77777777">
      <w:pPr>
        <w:tabs>
          <w:tab w:val="left" w:pos="-720"/>
        </w:tabs>
        <w:suppressAutoHyphens/>
        <w:rPr>
          <w:rStyle w:val="a"/>
          <w:rFonts w:ascii="Times New Roman" w:hAnsi="Times New Roman"/>
          <w:b/>
          <w:szCs w:val="24"/>
        </w:rPr>
      </w:pPr>
    </w:p>
    <w:p w:rsidR="00C224FD" w:rsidP="00C224FD" w14:paraId="60BC1483"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0BC1484"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0BC1485"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60BC1486"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60BC1487"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1"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60BC1488" w14:textId="77777777">
      <w:pPr>
        <w:tabs>
          <w:tab w:val="left" w:pos="-720"/>
          <w:tab w:val="left" w:pos="1247"/>
        </w:tabs>
        <w:suppressAutoHyphens/>
        <w:rPr>
          <w:rStyle w:val="a"/>
          <w:rFonts w:ascii="Times New Roman" w:hAnsi="Times New Roman"/>
          <w:b/>
          <w:szCs w:val="24"/>
        </w:rPr>
      </w:pPr>
    </w:p>
    <w:p w:rsidR="00D964C0" w:rsidRPr="00E43971" w:rsidP="00D964C0" w14:paraId="2B8E58A3" w14:textId="65D80132">
      <w:pPr>
        <w:suppressAutoHyphens/>
        <w:ind w:left="720"/>
        <w:rPr>
          <w:rFonts w:asciiTheme="minorHAnsi" w:hAnsiTheme="minorHAnsi" w:cstheme="minorHAnsi"/>
          <w:szCs w:val="24"/>
        </w:rPr>
      </w:pPr>
      <w:r w:rsidRPr="00E43971">
        <w:rPr>
          <w:rFonts w:asciiTheme="minorHAnsi" w:hAnsiTheme="minorHAnsi" w:cstheme="minorHAnsi"/>
          <w:szCs w:val="24"/>
        </w:rPr>
        <w:t xml:space="preserve">The Department maintains its estimate of an average of 16 hours being needed to complete the reporting requirements for a total of 384 hours (24 institutions making an annual report multiplied by 16 hours).  </w:t>
      </w:r>
    </w:p>
    <w:p w:rsidR="00D964C0" w:rsidRPr="00E43971" w:rsidP="00D964C0" w14:paraId="0EEB3877" w14:textId="77777777">
      <w:pPr>
        <w:suppressAutoHyphens/>
        <w:ind w:left="720"/>
        <w:rPr>
          <w:rFonts w:asciiTheme="minorHAnsi" w:hAnsiTheme="minorHAnsi" w:cstheme="minorHAnsi"/>
          <w:szCs w:val="24"/>
        </w:rPr>
      </w:pPr>
    </w:p>
    <w:p w:rsidR="00D964C0" w:rsidRPr="00E43971" w:rsidP="00D964C0" w14:paraId="70E1D923" w14:textId="2AB2C27E">
      <w:pPr>
        <w:ind w:left="720"/>
        <w:rPr>
          <w:rFonts w:asciiTheme="minorHAnsi" w:hAnsiTheme="minorHAnsi" w:cstheme="minorHAnsi"/>
          <w:szCs w:val="24"/>
        </w:rPr>
      </w:pPr>
      <w:r w:rsidRPr="00E43971">
        <w:rPr>
          <w:rFonts w:asciiTheme="minorHAnsi" w:hAnsiTheme="minorHAnsi" w:cstheme="minorHAnsi"/>
          <w:szCs w:val="24"/>
        </w:rPr>
        <w:t xml:space="preserve">The Department has determined that all participating foreign institutions designated as public in their home country are considered foreign, private non-profit institutions for the purpose of Title IV unless the institution can provide documentation demonstrating that it meets the financial responsibility consideration as foreign public institution in </w:t>
      </w:r>
      <w:hyperlink r:id="rId12" w:history="1">
        <w:r w:rsidRPr="00E43971">
          <w:rPr>
            <w:rStyle w:val="Hyperlink"/>
            <w:rFonts w:asciiTheme="minorHAnsi" w:hAnsiTheme="minorHAnsi" w:cstheme="minorHAnsi"/>
            <w:szCs w:val="24"/>
          </w:rPr>
          <w:t xml:space="preserve">34 CFR § 668.171 (g)(2) </w:t>
        </w:r>
      </w:hyperlink>
      <w:r w:rsidRPr="00E43971">
        <w:rPr>
          <w:rFonts w:asciiTheme="minorHAnsi" w:hAnsiTheme="minorHAnsi" w:cstheme="minorHAnsi"/>
          <w:szCs w:val="24"/>
        </w:rPr>
        <w:t>. As a result, the count of institutions previously identified as “public” on this form have been combined with the “private non-profit” category where applicable in the responses below.</w:t>
      </w:r>
    </w:p>
    <w:p w:rsidR="00D964C0" w:rsidRPr="00E43971" w:rsidP="00D964C0" w14:paraId="2353FE7D" w14:textId="77777777">
      <w:pPr>
        <w:suppressAutoHyphens/>
        <w:ind w:left="1060"/>
        <w:rPr>
          <w:rFonts w:asciiTheme="minorHAnsi" w:hAnsiTheme="minorHAnsi" w:cstheme="minorHAnsi"/>
          <w:szCs w:val="24"/>
        </w:rPr>
      </w:pPr>
    </w:p>
    <w:p w:rsidR="00D964C0" w:rsidRPr="00E43971" w:rsidP="00D964C0" w14:paraId="6856D51A" w14:textId="77777777">
      <w:pPr>
        <w:suppressAutoHyphens/>
        <w:ind w:left="720"/>
        <w:rPr>
          <w:rFonts w:asciiTheme="minorHAnsi" w:hAnsiTheme="minorHAnsi" w:cstheme="minorHAnsi"/>
          <w:szCs w:val="24"/>
        </w:rPr>
      </w:pPr>
      <w:r w:rsidRPr="00E43971">
        <w:rPr>
          <w:rFonts w:asciiTheme="minorHAnsi" w:hAnsiTheme="minorHAnsi" w:cstheme="minorHAnsi"/>
          <w:szCs w:val="24"/>
          <w:u w:val="single"/>
        </w:rPr>
        <w:t>Affected Entities and Burden</w:t>
      </w:r>
      <w:r w:rsidRPr="00E43971">
        <w:rPr>
          <w:rFonts w:asciiTheme="minorHAnsi" w:hAnsiTheme="minorHAnsi" w:cstheme="minorHAnsi"/>
          <w:szCs w:val="24"/>
        </w:rPr>
        <w:t>:</w:t>
      </w:r>
    </w:p>
    <w:p w:rsidR="00D964C0" w:rsidRPr="00E43971" w:rsidP="00D964C0" w14:paraId="663A4286" w14:textId="77777777">
      <w:pPr>
        <w:suppressAutoHyphens/>
        <w:ind w:left="1060"/>
        <w:rPr>
          <w:rFonts w:asciiTheme="minorHAnsi" w:hAnsiTheme="minorHAnsi" w:cstheme="minorHAnsi"/>
          <w:szCs w:val="24"/>
        </w:rPr>
      </w:pPr>
    </w:p>
    <w:p w:rsidR="00D964C0" w:rsidRPr="00E43971" w:rsidP="00D964C0" w14:paraId="64170716" w14:textId="77777777">
      <w:pPr>
        <w:suppressAutoHyphens/>
        <w:ind w:left="720"/>
        <w:rPr>
          <w:rFonts w:asciiTheme="minorHAnsi" w:hAnsiTheme="minorHAnsi" w:cstheme="minorHAnsi"/>
          <w:szCs w:val="24"/>
        </w:rPr>
      </w:pPr>
      <w:r w:rsidRPr="00E43971">
        <w:rPr>
          <w:rFonts w:asciiTheme="minorHAnsi" w:hAnsiTheme="minorHAnsi" w:cstheme="minorHAnsi"/>
          <w:szCs w:val="24"/>
        </w:rPr>
        <w:t>Reporting required information to the Department and prospective U.S. students</w:t>
      </w:r>
    </w:p>
    <w:p w:rsidR="00D964C0" w:rsidRPr="00E43971" w:rsidP="00D964C0" w14:paraId="6277D339" w14:textId="77777777">
      <w:pPr>
        <w:suppressAutoHyphens/>
        <w:ind w:left="1060"/>
        <w:rPr>
          <w:rFonts w:asciiTheme="minorHAnsi" w:hAnsiTheme="minorHAnsi" w:cstheme="minorHAnsi"/>
          <w:szCs w:val="24"/>
        </w:rPr>
      </w:pPr>
      <w:r w:rsidRPr="00E43971">
        <w:rPr>
          <w:rFonts w:asciiTheme="minorHAnsi" w:hAnsiTheme="minorHAnsi" w:cstheme="minorHAnsi"/>
          <w:szCs w:val="24"/>
        </w:rPr>
        <w:tab/>
      </w:r>
      <w:r w:rsidRPr="00E43971">
        <w:rPr>
          <w:rFonts w:asciiTheme="minorHAnsi" w:hAnsiTheme="minorHAnsi" w:cstheme="minorHAnsi"/>
          <w:szCs w:val="24"/>
        </w:rPr>
        <w:tab/>
      </w:r>
      <w:r w:rsidRPr="00E43971">
        <w:rPr>
          <w:rFonts w:asciiTheme="minorHAnsi" w:hAnsiTheme="minorHAnsi" w:cstheme="minorHAnsi"/>
          <w:szCs w:val="24"/>
        </w:rPr>
        <w:tab/>
      </w:r>
      <w:r w:rsidRPr="00E43971">
        <w:rPr>
          <w:rFonts w:asciiTheme="minorHAnsi" w:hAnsiTheme="minorHAnsi" w:cstheme="minorHAnsi"/>
          <w:szCs w:val="24"/>
        </w:rPr>
        <w:tab/>
      </w:r>
      <w:r w:rsidRPr="00E43971">
        <w:rPr>
          <w:rFonts w:asciiTheme="minorHAnsi" w:hAnsiTheme="minorHAnsi" w:cstheme="minorHAnsi"/>
          <w:szCs w:val="24"/>
        </w:rPr>
        <w:t># of</w:t>
      </w:r>
      <w:r w:rsidRPr="00E43971">
        <w:rPr>
          <w:rFonts w:asciiTheme="minorHAnsi" w:hAnsiTheme="minorHAnsi" w:cstheme="minorHAnsi"/>
          <w:szCs w:val="24"/>
        </w:rPr>
        <w:tab/>
      </w:r>
      <w:r w:rsidRPr="00E43971">
        <w:rPr>
          <w:rFonts w:asciiTheme="minorHAnsi" w:hAnsiTheme="minorHAnsi" w:cstheme="minorHAnsi"/>
          <w:szCs w:val="24"/>
        </w:rPr>
        <w:tab/>
      </w:r>
      <w:r w:rsidRPr="00E43971">
        <w:rPr>
          <w:rFonts w:asciiTheme="minorHAnsi" w:hAnsiTheme="minorHAnsi" w:cstheme="minorHAnsi"/>
          <w:szCs w:val="24"/>
        </w:rPr>
        <w:t># of</w:t>
      </w:r>
      <w:r w:rsidRPr="00E43971">
        <w:rPr>
          <w:rFonts w:asciiTheme="minorHAnsi" w:hAnsiTheme="minorHAnsi" w:cstheme="minorHAnsi"/>
          <w:szCs w:val="24"/>
        </w:rPr>
        <w:tab/>
      </w:r>
      <w:r w:rsidRPr="00E43971">
        <w:rPr>
          <w:rFonts w:asciiTheme="minorHAnsi" w:hAnsiTheme="minorHAnsi" w:cstheme="minorHAnsi"/>
          <w:szCs w:val="24"/>
        </w:rPr>
        <w:tab/>
      </w:r>
      <w:r w:rsidRPr="00E43971">
        <w:rPr>
          <w:rFonts w:asciiTheme="minorHAnsi" w:hAnsiTheme="minorHAnsi" w:cstheme="minorHAnsi"/>
          <w:szCs w:val="24"/>
        </w:rPr>
        <w:tab/>
      </w:r>
      <w:r w:rsidRPr="00E43971">
        <w:rPr>
          <w:rFonts w:asciiTheme="minorHAnsi" w:hAnsiTheme="minorHAnsi" w:cstheme="minorHAnsi"/>
          <w:szCs w:val="24"/>
        </w:rPr>
        <w:t># of</w:t>
      </w:r>
    </w:p>
    <w:p w:rsidR="00D964C0" w:rsidRPr="00E43971" w:rsidP="00D964C0" w14:paraId="29EF11B1" w14:textId="77777777">
      <w:pPr>
        <w:suppressAutoHyphens/>
        <w:ind w:left="1060"/>
        <w:rPr>
          <w:rFonts w:asciiTheme="minorHAnsi" w:hAnsiTheme="minorHAnsi" w:cstheme="minorHAnsi"/>
          <w:szCs w:val="24"/>
          <w:u w:val="single"/>
        </w:rPr>
      </w:pPr>
      <w:r w:rsidRPr="00E43971">
        <w:rPr>
          <w:rFonts w:asciiTheme="minorHAnsi" w:hAnsiTheme="minorHAnsi" w:cstheme="minorHAnsi"/>
          <w:szCs w:val="24"/>
        </w:rPr>
        <w:t>Institutions:</w:t>
      </w:r>
      <w:r w:rsidRPr="00E43971">
        <w:rPr>
          <w:rFonts w:asciiTheme="minorHAnsi" w:hAnsiTheme="minorHAnsi" w:cstheme="minorHAnsi"/>
          <w:szCs w:val="24"/>
        </w:rPr>
        <w:tab/>
      </w:r>
      <w:r w:rsidRPr="00E43971">
        <w:rPr>
          <w:rFonts w:asciiTheme="minorHAnsi" w:hAnsiTheme="minorHAnsi" w:cstheme="minorHAnsi"/>
          <w:szCs w:val="24"/>
        </w:rPr>
        <w:tab/>
      </w:r>
      <w:r w:rsidRPr="00E43971">
        <w:rPr>
          <w:rFonts w:asciiTheme="minorHAnsi" w:hAnsiTheme="minorHAnsi" w:cstheme="minorHAnsi"/>
          <w:szCs w:val="24"/>
          <w:u w:val="single"/>
        </w:rPr>
        <w:t>Respondents</w:t>
      </w:r>
      <w:r w:rsidRPr="00E43971">
        <w:rPr>
          <w:rFonts w:asciiTheme="minorHAnsi" w:hAnsiTheme="minorHAnsi" w:cstheme="minorHAnsi"/>
          <w:szCs w:val="24"/>
          <w:u w:val="single"/>
        </w:rPr>
        <w:tab/>
      </w:r>
      <w:r w:rsidRPr="00E43971">
        <w:rPr>
          <w:rFonts w:asciiTheme="minorHAnsi" w:hAnsiTheme="minorHAnsi" w:cstheme="minorHAnsi"/>
          <w:szCs w:val="24"/>
          <w:u w:val="single"/>
        </w:rPr>
        <w:t>Responses</w:t>
      </w:r>
      <w:r w:rsidRPr="00E43971">
        <w:rPr>
          <w:rFonts w:asciiTheme="minorHAnsi" w:hAnsiTheme="minorHAnsi" w:cstheme="minorHAnsi"/>
          <w:szCs w:val="24"/>
          <w:u w:val="single"/>
        </w:rPr>
        <w:tab/>
      </w:r>
      <w:r w:rsidRPr="00E43971">
        <w:rPr>
          <w:rFonts w:asciiTheme="minorHAnsi" w:hAnsiTheme="minorHAnsi" w:cstheme="minorHAnsi"/>
          <w:szCs w:val="24"/>
          <w:u w:val="single"/>
        </w:rPr>
        <w:tab/>
      </w:r>
      <w:r w:rsidRPr="00E43971">
        <w:rPr>
          <w:rFonts w:asciiTheme="minorHAnsi" w:hAnsiTheme="minorHAnsi" w:cstheme="minorHAnsi"/>
          <w:szCs w:val="24"/>
          <w:u w:val="single"/>
        </w:rPr>
        <w:t>Burden Hours</w:t>
      </w:r>
    </w:p>
    <w:p w:rsidR="00D964C0" w:rsidRPr="00E43971" w:rsidP="00D964C0" w14:paraId="538680ED" w14:textId="77777777">
      <w:pPr>
        <w:suppressAutoHyphens/>
        <w:ind w:left="720"/>
        <w:rPr>
          <w:rFonts w:asciiTheme="minorHAnsi" w:hAnsiTheme="minorHAnsi" w:cstheme="minorHAnsi"/>
          <w:szCs w:val="24"/>
        </w:rPr>
      </w:pPr>
      <w:r w:rsidRPr="00E43971">
        <w:rPr>
          <w:rFonts w:asciiTheme="minorHAnsi" w:hAnsiTheme="minorHAnsi" w:cstheme="minorHAnsi"/>
          <w:szCs w:val="24"/>
        </w:rPr>
        <w:tab/>
      </w:r>
      <w:r w:rsidRPr="00E43971">
        <w:rPr>
          <w:rFonts w:asciiTheme="minorHAnsi" w:hAnsiTheme="minorHAnsi" w:cstheme="minorHAnsi"/>
          <w:szCs w:val="24"/>
        </w:rPr>
        <w:t>Not-for-profit</w:t>
      </w:r>
      <w:r w:rsidRPr="00E43971">
        <w:rPr>
          <w:rFonts w:asciiTheme="minorHAnsi" w:hAnsiTheme="minorHAnsi" w:cstheme="minorHAnsi"/>
          <w:szCs w:val="24"/>
        </w:rPr>
        <w:tab/>
      </w:r>
      <w:r w:rsidRPr="00E43971">
        <w:rPr>
          <w:rFonts w:asciiTheme="minorHAnsi" w:hAnsiTheme="minorHAnsi" w:cstheme="minorHAnsi"/>
          <w:szCs w:val="24"/>
        </w:rPr>
        <w:tab/>
      </w:r>
      <w:r w:rsidRPr="00E43971">
        <w:rPr>
          <w:rFonts w:asciiTheme="minorHAnsi" w:hAnsiTheme="minorHAnsi" w:cstheme="minorHAnsi"/>
          <w:szCs w:val="24"/>
        </w:rPr>
        <w:t xml:space="preserve">  17</w:t>
      </w:r>
      <w:r w:rsidRPr="00E43971">
        <w:rPr>
          <w:rFonts w:asciiTheme="minorHAnsi" w:hAnsiTheme="minorHAnsi" w:cstheme="minorHAnsi"/>
          <w:szCs w:val="24"/>
        </w:rPr>
        <w:t xml:space="preserve"> X</w:t>
      </w:r>
      <w:r w:rsidRPr="00E43971">
        <w:rPr>
          <w:rFonts w:asciiTheme="minorHAnsi" w:hAnsiTheme="minorHAnsi" w:cstheme="minorHAnsi"/>
          <w:szCs w:val="24"/>
        </w:rPr>
        <w:tab/>
      </w:r>
      <w:r w:rsidRPr="00E43971">
        <w:rPr>
          <w:rFonts w:asciiTheme="minorHAnsi" w:hAnsiTheme="minorHAnsi" w:cstheme="minorHAnsi"/>
          <w:szCs w:val="24"/>
        </w:rPr>
        <w:tab/>
      </w:r>
      <w:r w:rsidRPr="00E43971">
        <w:rPr>
          <w:rFonts w:asciiTheme="minorHAnsi" w:hAnsiTheme="minorHAnsi" w:cstheme="minorHAnsi"/>
          <w:szCs w:val="24"/>
        </w:rPr>
        <w:t xml:space="preserve">  17 X </w:t>
      </w:r>
      <w:r w:rsidRPr="00E43971">
        <w:rPr>
          <w:rFonts w:asciiTheme="minorHAnsi" w:hAnsiTheme="minorHAnsi" w:cstheme="minorHAnsi"/>
          <w:szCs w:val="24"/>
        </w:rPr>
        <w:tab/>
      </w:r>
      <w:r w:rsidRPr="00E43971">
        <w:rPr>
          <w:rFonts w:asciiTheme="minorHAnsi" w:hAnsiTheme="minorHAnsi" w:cstheme="minorHAnsi"/>
          <w:szCs w:val="24"/>
        </w:rPr>
        <w:t xml:space="preserve">     16 hours =    272</w:t>
      </w:r>
    </w:p>
    <w:p w:rsidR="00D964C0" w:rsidRPr="00E43971" w:rsidP="00D964C0" w14:paraId="6A0CE4D4" w14:textId="77777777">
      <w:pPr>
        <w:suppressAutoHyphens/>
        <w:ind w:left="1060"/>
        <w:rPr>
          <w:rFonts w:asciiTheme="minorHAnsi" w:hAnsiTheme="minorHAnsi" w:cstheme="minorHAnsi"/>
          <w:szCs w:val="24"/>
          <w:u w:val="single"/>
        </w:rPr>
      </w:pPr>
      <w:r w:rsidRPr="00E43971">
        <w:rPr>
          <w:rFonts w:asciiTheme="minorHAnsi" w:hAnsiTheme="minorHAnsi" w:cstheme="minorHAnsi"/>
          <w:szCs w:val="24"/>
        </w:rPr>
        <w:tab/>
      </w:r>
      <w:r w:rsidRPr="00E43971">
        <w:rPr>
          <w:rFonts w:asciiTheme="minorHAnsi" w:hAnsiTheme="minorHAnsi" w:cstheme="minorHAnsi"/>
          <w:szCs w:val="24"/>
          <w:u w:val="single"/>
        </w:rPr>
        <w:t>For Profit</w:t>
      </w:r>
      <w:r w:rsidRPr="00E43971">
        <w:rPr>
          <w:rFonts w:asciiTheme="minorHAnsi" w:hAnsiTheme="minorHAnsi" w:cstheme="minorHAnsi"/>
          <w:szCs w:val="24"/>
          <w:u w:val="single"/>
        </w:rPr>
        <w:tab/>
      </w:r>
      <w:r w:rsidRPr="00E43971">
        <w:rPr>
          <w:rFonts w:asciiTheme="minorHAnsi" w:hAnsiTheme="minorHAnsi" w:cstheme="minorHAnsi"/>
          <w:szCs w:val="24"/>
          <w:u w:val="single"/>
        </w:rPr>
        <w:tab/>
      </w:r>
      <w:r w:rsidRPr="00E43971">
        <w:rPr>
          <w:rFonts w:asciiTheme="minorHAnsi" w:hAnsiTheme="minorHAnsi" w:cstheme="minorHAnsi"/>
          <w:szCs w:val="24"/>
          <w:u w:val="single"/>
        </w:rPr>
        <w:t xml:space="preserve">    7 X</w:t>
      </w:r>
      <w:r w:rsidRPr="00E43971">
        <w:rPr>
          <w:rFonts w:asciiTheme="minorHAnsi" w:hAnsiTheme="minorHAnsi" w:cstheme="minorHAnsi"/>
          <w:szCs w:val="24"/>
          <w:u w:val="single"/>
        </w:rPr>
        <w:tab/>
      </w:r>
      <w:r w:rsidRPr="00E43971">
        <w:rPr>
          <w:rFonts w:asciiTheme="minorHAnsi" w:hAnsiTheme="minorHAnsi" w:cstheme="minorHAnsi"/>
          <w:szCs w:val="24"/>
          <w:u w:val="single"/>
        </w:rPr>
        <w:tab/>
      </w:r>
      <w:r w:rsidRPr="00E43971">
        <w:rPr>
          <w:rFonts w:asciiTheme="minorHAnsi" w:hAnsiTheme="minorHAnsi" w:cstheme="minorHAnsi"/>
          <w:szCs w:val="24"/>
          <w:u w:val="single"/>
        </w:rPr>
        <w:t xml:space="preserve">    7 X </w:t>
      </w:r>
      <w:r w:rsidRPr="00E43971">
        <w:rPr>
          <w:rFonts w:asciiTheme="minorHAnsi" w:hAnsiTheme="minorHAnsi" w:cstheme="minorHAnsi"/>
          <w:szCs w:val="24"/>
          <w:u w:val="single"/>
        </w:rPr>
        <w:tab/>
      </w:r>
      <w:r w:rsidRPr="00E43971">
        <w:rPr>
          <w:rFonts w:asciiTheme="minorHAnsi" w:hAnsiTheme="minorHAnsi" w:cstheme="minorHAnsi"/>
          <w:szCs w:val="24"/>
          <w:u w:val="single"/>
        </w:rPr>
        <w:t xml:space="preserve">     16 hours =    112</w:t>
      </w:r>
    </w:p>
    <w:p w:rsidR="00D964C0" w:rsidRPr="00E43971" w:rsidP="00D964C0" w14:paraId="0BB385F7" w14:textId="77777777">
      <w:pPr>
        <w:suppressAutoHyphens/>
        <w:ind w:left="1060"/>
        <w:rPr>
          <w:rFonts w:asciiTheme="minorHAnsi" w:hAnsiTheme="minorHAnsi" w:cstheme="minorHAnsi"/>
          <w:szCs w:val="24"/>
        </w:rPr>
      </w:pPr>
      <w:r w:rsidRPr="00E43971">
        <w:rPr>
          <w:rFonts w:asciiTheme="minorHAnsi" w:hAnsiTheme="minorHAnsi" w:cstheme="minorHAnsi"/>
          <w:szCs w:val="24"/>
        </w:rPr>
        <w:t>TOTAL</w:t>
      </w:r>
      <w:r w:rsidRPr="00E43971">
        <w:rPr>
          <w:rFonts w:asciiTheme="minorHAnsi" w:hAnsiTheme="minorHAnsi" w:cstheme="minorHAnsi"/>
          <w:szCs w:val="24"/>
        </w:rPr>
        <w:tab/>
      </w:r>
      <w:r w:rsidRPr="00E43971">
        <w:rPr>
          <w:rFonts w:asciiTheme="minorHAnsi" w:hAnsiTheme="minorHAnsi" w:cstheme="minorHAnsi"/>
          <w:szCs w:val="24"/>
        </w:rPr>
        <w:tab/>
      </w:r>
      <w:r w:rsidRPr="00E43971">
        <w:rPr>
          <w:rFonts w:asciiTheme="minorHAnsi" w:hAnsiTheme="minorHAnsi" w:cstheme="minorHAnsi"/>
          <w:szCs w:val="24"/>
        </w:rPr>
        <w:tab/>
      </w:r>
      <w:r w:rsidRPr="00E43971">
        <w:rPr>
          <w:rFonts w:asciiTheme="minorHAnsi" w:hAnsiTheme="minorHAnsi" w:cstheme="minorHAnsi"/>
          <w:szCs w:val="24"/>
        </w:rPr>
        <w:t xml:space="preserve">  24</w:t>
      </w:r>
      <w:r w:rsidRPr="00E43971">
        <w:rPr>
          <w:rFonts w:asciiTheme="minorHAnsi" w:hAnsiTheme="minorHAnsi" w:cstheme="minorHAnsi"/>
          <w:szCs w:val="24"/>
        </w:rPr>
        <w:t xml:space="preserve"> </w:t>
      </w:r>
      <w:r w:rsidRPr="00E43971">
        <w:rPr>
          <w:rFonts w:asciiTheme="minorHAnsi" w:hAnsiTheme="minorHAnsi" w:cstheme="minorHAnsi"/>
          <w:szCs w:val="24"/>
        </w:rPr>
        <w:tab/>
      </w:r>
      <w:r w:rsidRPr="00E43971">
        <w:rPr>
          <w:rFonts w:asciiTheme="minorHAnsi" w:hAnsiTheme="minorHAnsi" w:cstheme="minorHAnsi"/>
          <w:szCs w:val="24"/>
        </w:rPr>
        <w:tab/>
      </w:r>
      <w:r w:rsidRPr="00E43971">
        <w:rPr>
          <w:rFonts w:asciiTheme="minorHAnsi" w:hAnsiTheme="minorHAnsi" w:cstheme="minorHAnsi"/>
          <w:szCs w:val="24"/>
        </w:rPr>
        <w:t xml:space="preserve">  24</w:t>
      </w:r>
      <w:r w:rsidRPr="00E43971">
        <w:rPr>
          <w:rFonts w:asciiTheme="minorHAnsi" w:hAnsiTheme="minorHAnsi" w:cstheme="minorHAnsi"/>
          <w:szCs w:val="24"/>
        </w:rPr>
        <w:tab/>
      </w:r>
      <w:r w:rsidRPr="00E43971">
        <w:rPr>
          <w:rFonts w:asciiTheme="minorHAnsi" w:hAnsiTheme="minorHAnsi" w:cstheme="minorHAnsi"/>
          <w:szCs w:val="24"/>
        </w:rPr>
        <w:tab/>
      </w:r>
      <w:r w:rsidRPr="00E43971">
        <w:rPr>
          <w:rFonts w:asciiTheme="minorHAnsi" w:hAnsiTheme="minorHAnsi" w:cstheme="minorHAnsi"/>
          <w:szCs w:val="24"/>
        </w:rPr>
        <w:tab/>
      </w:r>
      <w:r w:rsidRPr="00E43971">
        <w:rPr>
          <w:rFonts w:asciiTheme="minorHAnsi" w:hAnsiTheme="minorHAnsi" w:cstheme="minorHAnsi"/>
          <w:szCs w:val="24"/>
        </w:rPr>
        <w:t xml:space="preserve">     384 Hours</w:t>
      </w:r>
    </w:p>
    <w:p w:rsidR="00D964C0" w:rsidRPr="00E43971" w:rsidP="00D964C0" w14:paraId="01270C42" w14:textId="77777777">
      <w:pPr>
        <w:suppressAutoHyphens/>
        <w:ind w:left="1060"/>
        <w:rPr>
          <w:rFonts w:asciiTheme="minorHAnsi" w:hAnsiTheme="minorHAnsi" w:cstheme="minorHAnsi"/>
          <w:szCs w:val="24"/>
        </w:rPr>
      </w:pPr>
    </w:p>
    <w:p w:rsidR="00D964C0" w:rsidRPr="00E43971" w:rsidP="00D964C0" w14:paraId="520DE3F1" w14:textId="77777777">
      <w:pPr>
        <w:pStyle w:val="Caption"/>
        <w:jc w:val="center"/>
        <w:rPr>
          <w:rFonts w:asciiTheme="minorHAnsi" w:hAnsiTheme="minorHAnsi" w:cstheme="minorHAnsi"/>
          <w:color w:val="000000" w:themeColor="text1"/>
          <w:sz w:val="24"/>
          <w:szCs w:val="24"/>
        </w:rPr>
      </w:pPr>
      <w:r w:rsidRPr="00E43971">
        <w:rPr>
          <w:rFonts w:asciiTheme="minorHAnsi" w:hAnsiTheme="minorHAnsi" w:cstheme="minorHAnsi"/>
          <w:color w:val="000000" w:themeColor="text1"/>
          <w:sz w:val="24"/>
          <w:szCs w:val="24"/>
        </w:rPr>
        <w:t>Estimated Annual Burden and Respondent Costs Table</w:t>
      </w:r>
    </w:p>
    <w:p w:rsidR="00D964C0" w:rsidRPr="00E43971" w:rsidP="00D964C0" w14:paraId="79EE7595" w14:textId="77777777">
      <w:pPr>
        <w:rPr>
          <w:rFonts w:asciiTheme="minorHAnsi" w:hAnsiTheme="minorHAnsi" w:cstheme="minorHAnsi"/>
          <w:szCs w:val="24"/>
        </w:rPr>
      </w:pPr>
    </w:p>
    <w:tbl>
      <w:tblPr>
        <w:tblStyle w:val="GridTableLight"/>
        <w:tblpPr w:leftFromText="180" w:rightFromText="180" w:vertAnchor="text" w:horzAnchor="margin" w:tblpXSpec="center" w:tblpY="174"/>
        <w:tblW w:w="8815" w:type="dxa"/>
        <w:tblLayout w:type="fixed"/>
        <w:tblLook w:val="0020"/>
      </w:tblPr>
      <w:tblGrid>
        <w:gridCol w:w="1458"/>
        <w:gridCol w:w="1260"/>
        <w:gridCol w:w="1080"/>
        <w:gridCol w:w="990"/>
        <w:gridCol w:w="1147"/>
        <w:gridCol w:w="1530"/>
        <w:gridCol w:w="1350"/>
      </w:tblGrid>
      <w:tr w14:paraId="63634D22" w14:textId="77777777" w:rsidTr="00A75254">
        <w:tblPrEx>
          <w:tblW w:w="8815" w:type="dxa"/>
          <w:tblLayout w:type="fixed"/>
          <w:tblLook w:val="0020"/>
        </w:tblPrEx>
        <w:trPr>
          <w:tblHeader/>
        </w:trPr>
        <w:tc>
          <w:tcPr>
            <w:tcW w:w="1458" w:type="dxa"/>
          </w:tcPr>
          <w:p w:rsidR="00D964C0" w:rsidRPr="00E43971" w:rsidP="00A75254" w14:paraId="4C21C30C" w14:textId="77777777">
            <w:pPr>
              <w:jc w:val="center"/>
              <w:rPr>
                <w:rFonts w:asciiTheme="minorHAnsi" w:hAnsiTheme="minorHAnsi" w:cstheme="minorHAnsi"/>
                <w:szCs w:val="24"/>
              </w:rPr>
            </w:pPr>
            <w:r w:rsidRPr="00E43971">
              <w:rPr>
                <w:rFonts w:asciiTheme="minorHAnsi" w:hAnsiTheme="minorHAnsi" w:cstheme="minorHAnsi"/>
                <w:szCs w:val="24"/>
              </w:rPr>
              <w:t>Information Activity or IC (with type of respondent)</w:t>
            </w:r>
          </w:p>
        </w:tc>
        <w:tc>
          <w:tcPr>
            <w:tcW w:w="1260" w:type="dxa"/>
          </w:tcPr>
          <w:p w:rsidR="00D964C0" w:rsidRPr="00E43971" w:rsidP="00A75254" w14:paraId="46448F2E" w14:textId="77777777">
            <w:pPr>
              <w:jc w:val="center"/>
              <w:rPr>
                <w:rFonts w:asciiTheme="minorHAnsi" w:hAnsiTheme="minorHAnsi" w:cstheme="minorHAnsi"/>
                <w:szCs w:val="24"/>
              </w:rPr>
            </w:pPr>
            <w:r w:rsidRPr="00E43971">
              <w:rPr>
                <w:rFonts w:asciiTheme="minorHAnsi" w:hAnsiTheme="minorHAnsi" w:cstheme="minorHAnsi"/>
                <w:szCs w:val="24"/>
              </w:rPr>
              <w:t>Number of Respondents</w:t>
            </w:r>
          </w:p>
        </w:tc>
        <w:tc>
          <w:tcPr>
            <w:tcW w:w="1080" w:type="dxa"/>
          </w:tcPr>
          <w:p w:rsidR="00D964C0" w:rsidRPr="00E43971" w:rsidP="00A75254" w14:paraId="4F35C029" w14:textId="77777777">
            <w:pPr>
              <w:jc w:val="center"/>
              <w:rPr>
                <w:rFonts w:asciiTheme="minorHAnsi" w:hAnsiTheme="minorHAnsi" w:cstheme="minorHAnsi"/>
                <w:szCs w:val="24"/>
              </w:rPr>
            </w:pPr>
            <w:r w:rsidRPr="00E43971">
              <w:rPr>
                <w:rFonts w:asciiTheme="minorHAnsi" w:hAnsiTheme="minorHAnsi" w:cstheme="minorHAnsi"/>
                <w:szCs w:val="24"/>
              </w:rPr>
              <w:t>Number of Responses</w:t>
            </w:r>
          </w:p>
        </w:tc>
        <w:tc>
          <w:tcPr>
            <w:tcW w:w="990" w:type="dxa"/>
          </w:tcPr>
          <w:p w:rsidR="00D964C0" w:rsidRPr="00E43971" w:rsidP="00A75254" w14:paraId="5C19C6AD" w14:textId="77777777">
            <w:pPr>
              <w:jc w:val="center"/>
              <w:rPr>
                <w:rFonts w:asciiTheme="minorHAnsi" w:hAnsiTheme="minorHAnsi" w:cstheme="minorHAnsi"/>
                <w:szCs w:val="24"/>
              </w:rPr>
            </w:pPr>
            <w:r w:rsidRPr="00E43971">
              <w:rPr>
                <w:rFonts w:asciiTheme="minorHAnsi" w:hAnsiTheme="minorHAnsi" w:cstheme="minorHAnsi"/>
                <w:szCs w:val="24"/>
              </w:rPr>
              <w:t xml:space="preserve">Average </w:t>
            </w:r>
            <w:r w:rsidRPr="00E43971">
              <w:rPr>
                <w:rFonts w:asciiTheme="minorHAnsi" w:hAnsiTheme="minorHAnsi" w:cstheme="minorHAnsi"/>
                <w:szCs w:val="24"/>
              </w:rPr>
              <w:t>Burden</w:t>
            </w:r>
            <w:r w:rsidRPr="00E43971">
              <w:rPr>
                <w:rFonts w:asciiTheme="minorHAnsi" w:hAnsiTheme="minorHAnsi" w:cstheme="minorHAnsi"/>
                <w:szCs w:val="24"/>
              </w:rPr>
              <w:t xml:space="preserve"> Hours per Response</w:t>
            </w:r>
          </w:p>
        </w:tc>
        <w:tc>
          <w:tcPr>
            <w:tcW w:w="1147" w:type="dxa"/>
          </w:tcPr>
          <w:p w:rsidR="00D964C0" w:rsidRPr="00E43971" w:rsidP="00A75254" w14:paraId="63E7B642" w14:textId="77777777">
            <w:pPr>
              <w:jc w:val="center"/>
              <w:rPr>
                <w:rFonts w:asciiTheme="minorHAnsi" w:hAnsiTheme="minorHAnsi" w:cstheme="minorHAnsi"/>
                <w:szCs w:val="24"/>
              </w:rPr>
            </w:pPr>
            <w:r w:rsidRPr="00E43971">
              <w:rPr>
                <w:rFonts w:asciiTheme="minorHAnsi" w:hAnsiTheme="minorHAnsi" w:cstheme="minorHAnsi"/>
                <w:szCs w:val="24"/>
              </w:rPr>
              <w:t>Total Annual Burden Hours</w:t>
            </w:r>
          </w:p>
        </w:tc>
        <w:tc>
          <w:tcPr>
            <w:tcW w:w="1530" w:type="dxa"/>
          </w:tcPr>
          <w:p w:rsidR="00D964C0" w:rsidRPr="00E43971" w:rsidP="00A75254" w14:paraId="4B47F2E5" w14:textId="77777777">
            <w:pPr>
              <w:jc w:val="center"/>
              <w:rPr>
                <w:rFonts w:asciiTheme="minorHAnsi" w:hAnsiTheme="minorHAnsi" w:cstheme="minorHAnsi"/>
                <w:szCs w:val="24"/>
              </w:rPr>
            </w:pPr>
            <w:r w:rsidRPr="00E43971">
              <w:rPr>
                <w:rFonts w:asciiTheme="minorHAnsi" w:hAnsiTheme="minorHAnsi" w:cstheme="minorHAnsi"/>
                <w:szCs w:val="24"/>
              </w:rPr>
              <w:t>Estimated Respondent Average Hourly Wage</w:t>
            </w:r>
          </w:p>
        </w:tc>
        <w:tc>
          <w:tcPr>
            <w:tcW w:w="1350" w:type="dxa"/>
          </w:tcPr>
          <w:p w:rsidR="00D964C0" w:rsidRPr="00E43971" w:rsidP="00A75254" w14:paraId="223E0AC4" w14:textId="77777777">
            <w:pPr>
              <w:jc w:val="center"/>
              <w:rPr>
                <w:rFonts w:asciiTheme="minorHAnsi" w:hAnsiTheme="minorHAnsi" w:cstheme="minorHAnsi"/>
                <w:szCs w:val="24"/>
              </w:rPr>
            </w:pPr>
            <w:r w:rsidRPr="00E43971">
              <w:rPr>
                <w:rFonts w:asciiTheme="minorHAnsi" w:hAnsiTheme="minorHAnsi" w:cstheme="minorHAnsi"/>
                <w:szCs w:val="24"/>
              </w:rPr>
              <w:t>Total Annual Costs (hourly wage x total burden hours)</w:t>
            </w:r>
          </w:p>
          <w:p w:rsidR="00D964C0" w:rsidRPr="00E43971" w:rsidP="00A75254" w14:paraId="412FD74C" w14:textId="77777777">
            <w:pPr>
              <w:rPr>
                <w:rFonts w:asciiTheme="minorHAnsi" w:hAnsiTheme="minorHAnsi" w:cstheme="minorHAnsi"/>
                <w:szCs w:val="24"/>
              </w:rPr>
            </w:pPr>
          </w:p>
        </w:tc>
      </w:tr>
      <w:tr w14:paraId="21226717" w14:textId="77777777" w:rsidTr="00A75254">
        <w:tblPrEx>
          <w:tblW w:w="8815" w:type="dxa"/>
          <w:tblLayout w:type="fixed"/>
          <w:tblLook w:val="0020"/>
        </w:tblPrEx>
        <w:tc>
          <w:tcPr>
            <w:tcW w:w="1458" w:type="dxa"/>
          </w:tcPr>
          <w:p w:rsidR="00D964C0" w:rsidRPr="00E43971" w:rsidP="00A75254" w14:paraId="7392F8F9" w14:textId="77777777">
            <w:pPr>
              <w:rPr>
                <w:rFonts w:asciiTheme="minorHAnsi" w:hAnsiTheme="minorHAnsi" w:cstheme="minorHAnsi"/>
                <w:szCs w:val="24"/>
              </w:rPr>
            </w:pPr>
            <w:r w:rsidRPr="00E43971">
              <w:rPr>
                <w:rFonts w:asciiTheme="minorHAnsi" w:hAnsiTheme="minorHAnsi" w:cstheme="minorHAnsi"/>
                <w:szCs w:val="24"/>
              </w:rPr>
              <w:t>For-Profit Institutions</w:t>
            </w:r>
          </w:p>
        </w:tc>
        <w:tc>
          <w:tcPr>
            <w:tcW w:w="1260" w:type="dxa"/>
          </w:tcPr>
          <w:p w:rsidR="00D964C0" w:rsidRPr="00E43971" w:rsidP="00A75254" w14:paraId="686670AD" w14:textId="77777777">
            <w:pPr>
              <w:jc w:val="right"/>
              <w:rPr>
                <w:rFonts w:asciiTheme="minorHAnsi" w:hAnsiTheme="minorHAnsi" w:cstheme="minorHAnsi"/>
                <w:szCs w:val="24"/>
              </w:rPr>
            </w:pPr>
            <w:r w:rsidRPr="00E43971">
              <w:rPr>
                <w:rFonts w:asciiTheme="minorHAnsi" w:hAnsiTheme="minorHAnsi" w:cstheme="minorHAnsi"/>
                <w:szCs w:val="24"/>
              </w:rPr>
              <w:t>7</w:t>
            </w:r>
          </w:p>
        </w:tc>
        <w:tc>
          <w:tcPr>
            <w:tcW w:w="1080" w:type="dxa"/>
          </w:tcPr>
          <w:p w:rsidR="00D964C0" w:rsidRPr="00E43971" w:rsidP="00A75254" w14:paraId="3CFD7F61" w14:textId="77777777">
            <w:pPr>
              <w:jc w:val="right"/>
              <w:rPr>
                <w:rFonts w:asciiTheme="minorHAnsi" w:hAnsiTheme="minorHAnsi" w:cstheme="minorHAnsi"/>
                <w:szCs w:val="24"/>
              </w:rPr>
            </w:pPr>
            <w:r w:rsidRPr="00E43971">
              <w:rPr>
                <w:rFonts w:asciiTheme="minorHAnsi" w:hAnsiTheme="minorHAnsi" w:cstheme="minorHAnsi"/>
                <w:szCs w:val="24"/>
              </w:rPr>
              <w:t>7</w:t>
            </w:r>
          </w:p>
        </w:tc>
        <w:tc>
          <w:tcPr>
            <w:tcW w:w="990" w:type="dxa"/>
          </w:tcPr>
          <w:p w:rsidR="00D964C0" w:rsidRPr="00E43971" w:rsidP="00A75254" w14:paraId="640C809B" w14:textId="77777777">
            <w:pPr>
              <w:jc w:val="center"/>
              <w:rPr>
                <w:rFonts w:asciiTheme="minorHAnsi" w:hAnsiTheme="minorHAnsi" w:cstheme="minorHAnsi"/>
                <w:szCs w:val="24"/>
              </w:rPr>
            </w:pPr>
            <w:r w:rsidRPr="00E43971">
              <w:rPr>
                <w:rFonts w:asciiTheme="minorHAnsi" w:hAnsiTheme="minorHAnsi" w:cstheme="minorHAnsi"/>
                <w:szCs w:val="24"/>
              </w:rPr>
              <w:t>16 hours</w:t>
            </w:r>
          </w:p>
        </w:tc>
        <w:tc>
          <w:tcPr>
            <w:tcW w:w="1147" w:type="dxa"/>
          </w:tcPr>
          <w:p w:rsidR="00D964C0" w:rsidRPr="00E43971" w:rsidP="00A75254" w14:paraId="4EAEA861" w14:textId="77777777">
            <w:pPr>
              <w:pStyle w:val="EndnoteText"/>
              <w:tabs>
                <w:tab w:val="clear" w:pos="-720"/>
              </w:tabs>
              <w:suppressAutoHyphens w:val="0"/>
              <w:jc w:val="right"/>
              <w:rPr>
                <w:rFonts w:asciiTheme="minorHAnsi" w:hAnsiTheme="minorHAnsi" w:cstheme="minorHAnsi"/>
                <w:szCs w:val="24"/>
              </w:rPr>
            </w:pPr>
            <w:r w:rsidRPr="00E43971">
              <w:rPr>
                <w:rFonts w:asciiTheme="minorHAnsi" w:hAnsiTheme="minorHAnsi" w:cstheme="minorHAnsi"/>
                <w:szCs w:val="24"/>
              </w:rPr>
              <w:t>112</w:t>
            </w:r>
          </w:p>
        </w:tc>
        <w:tc>
          <w:tcPr>
            <w:tcW w:w="1530" w:type="dxa"/>
          </w:tcPr>
          <w:p w:rsidR="00D964C0" w:rsidRPr="00E43971" w:rsidP="00A75254" w14:paraId="1D7E6490" w14:textId="7AF7162E">
            <w:pPr>
              <w:jc w:val="right"/>
              <w:rPr>
                <w:rFonts w:asciiTheme="minorHAnsi" w:hAnsiTheme="minorHAnsi" w:cstheme="minorHAnsi"/>
                <w:szCs w:val="24"/>
              </w:rPr>
            </w:pPr>
            <w:r w:rsidRPr="00E43971">
              <w:rPr>
                <w:rFonts w:asciiTheme="minorHAnsi" w:hAnsiTheme="minorHAnsi" w:cstheme="minorHAnsi"/>
                <w:szCs w:val="24"/>
              </w:rPr>
              <w:t>$4</w:t>
            </w:r>
            <w:r w:rsidR="0009250C">
              <w:rPr>
                <w:rFonts w:asciiTheme="minorHAnsi" w:hAnsiTheme="minorHAnsi" w:cstheme="minorHAnsi"/>
                <w:szCs w:val="24"/>
              </w:rPr>
              <w:t>9.98</w:t>
            </w:r>
          </w:p>
        </w:tc>
        <w:tc>
          <w:tcPr>
            <w:tcW w:w="1350" w:type="dxa"/>
          </w:tcPr>
          <w:p w:rsidR="00D964C0" w:rsidRPr="00E43971" w:rsidP="00A75254" w14:paraId="14E49B31" w14:textId="6EB78E10">
            <w:pPr>
              <w:jc w:val="right"/>
              <w:rPr>
                <w:rFonts w:asciiTheme="minorHAnsi" w:hAnsiTheme="minorHAnsi" w:cstheme="minorHAnsi"/>
                <w:szCs w:val="24"/>
              </w:rPr>
            </w:pPr>
            <w:r w:rsidRPr="00E43971">
              <w:rPr>
                <w:rFonts w:asciiTheme="minorHAnsi" w:hAnsiTheme="minorHAnsi" w:cstheme="minorHAnsi"/>
                <w:szCs w:val="24"/>
              </w:rPr>
              <w:t>$5,</w:t>
            </w:r>
            <w:r w:rsidR="0009250C">
              <w:rPr>
                <w:rFonts w:asciiTheme="minorHAnsi" w:hAnsiTheme="minorHAnsi" w:cstheme="minorHAnsi"/>
                <w:szCs w:val="24"/>
              </w:rPr>
              <w:t>598</w:t>
            </w:r>
          </w:p>
        </w:tc>
      </w:tr>
      <w:tr w14:paraId="044700AB" w14:textId="77777777" w:rsidTr="00A75254">
        <w:tblPrEx>
          <w:tblW w:w="8815" w:type="dxa"/>
          <w:tblLayout w:type="fixed"/>
          <w:tblLook w:val="0020"/>
        </w:tblPrEx>
        <w:tc>
          <w:tcPr>
            <w:tcW w:w="1458" w:type="dxa"/>
          </w:tcPr>
          <w:p w:rsidR="00D964C0" w:rsidRPr="00E43971" w:rsidP="00A75254" w14:paraId="3FD9B15A" w14:textId="77777777">
            <w:pPr>
              <w:rPr>
                <w:rFonts w:asciiTheme="minorHAnsi" w:hAnsiTheme="minorHAnsi" w:cstheme="minorHAnsi"/>
                <w:szCs w:val="24"/>
              </w:rPr>
            </w:pPr>
            <w:r w:rsidRPr="00E43971">
              <w:rPr>
                <w:rFonts w:asciiTheme="minorHAnsi" w:hAnsiTheme="minorHAnsi" w:cstheme="minorHAnsi"/>
                <w:szCs w:val="24"/>
              </w:rPr>
              <w:t>Private Institutions</w:t>
            </w:r>
          </w:p>
        </w:tc>
        <w:tc>
          <w:tcPr>
            <w:tcW w:w="1260" w:type="dxa"/>
          </w:tcPr>
          <w:p w:rsidR="00D964C0" w:rsidRPr="00E43971" w:rsidP="00A75254" w14:paraId="1D7594ED" w14:textId="77777777">
            <w:pPr>
              <w:jc w:val="right"/>
              <w:rPr>
                <w:rFonts w:asciiTheme="minorHAnsi" w:hAnsiTheme="minorHAnsi" w:cstheme="minorHAnsi"/>
                <w:szCs w:val="24"/>
              </w:rPr>
            </w:pPr>
            <w:r w:rsidRPr="00E43971">
              <w:rPr>
                <w:rFonts w:asciiTheme="minorHAnsi" w:hAnsiTheme="minorHAnsi" w:cstheme="minorHAnsi"/>
                <w:szCs w:val="24"/>
              </w:rPr>
              <w:t>17</w:t>
            </w:r>
          </w:p>
        </w:tc>
        <w:tc>
          <w:tcPr>
            <w:tcW w:w="1080" w:type="dxa"/>
          </w:tcPr>
          <w:p w:rsidR="00D964C0" w:rsidRPr="00E43971" w:rsidP="00A75254" w14:paraId="42DF09A9" w14:textId="77777777">
            <w:pPr>
              <w:jc w:val="right"/>
              <w:rPr>
                <w:rFonts w:asciiTheme="minorHAnsi" w:hAnsiTheme="minorHAnsi" w:cstheme="minorHAnsi"/>
                <w:szCs w:val="24"/>
              </w:rPr>
            </w:pPr>
            <w:r w:rsidRPr="00E43971">
              <w:rPr>
                <w:rFonts w:asciiTheme="minorHAnsi" w:hAnsiTheme="minorHAnsi" w:cstheme="minorHAnsi"/>
                <w:szCs w:val="24"/>
              </w:rPr>
              <w:t>17</w:t>
            </w:r>
          </w:p>
        </w:tc>
        <w:tc>
          <w:tcPr>
            <w:tcW w:w="990" w:type="dxa"/>
          </w:tcPr>
          <w:p w:rsidR="00D964C0" w:rsidRPr="00E43971" w:rsidP="00A75254" w14:paraId="01826FC4" w14:textId="77777777">
            <w:pPr>
              <w:jc w:val="center"/>
              <w:rPr>
                <w:rFonts w:asciiTheme="minorHAnsi" w:hAnsiTheme="minorHAnsi" w:cstheme="minorHAnsi"/>
                <w:szCs w:val="24"/>
              </w:rPr>
            </w:pPr>
            <w:r w:rsidRPr="00E43971">
              <w:rPr>
                <w:rFonts w:asciiTheme="minorHAnsi" w:hAnsiTheme="minorHAnsi" w:cstheme="minorHAnsi"/>
                <w:szCs w:val="24"/>
              </w:rPr>
              <w:t>16 hours</w:t>
            </w:r>
          </w:p>
        </w:tc>
        <w:tc>
          <w:tcPr>
            <w:tcW w:w="1147" w:type="dxa"/>
          </w:tcPr>
          <w:p w:rsidR="00D964C0" w:rsidRPr="00E43971" w:rsidP="00A75254" w14:paraId="04065DBE" w14:textId="77777777">
            <w:pPr>
              <w:pStyle w:val="EndnoteText"/>
              <w:tabs>
                <w:tab w:val="clear" w:pos="-720"/>
              </w:tabs>
              <w:suppressAutoHyphens w:val="0"/>
              <w:jc w:val="right"/>
              <w:rPr>
                <w:rFonts w:asciiTheme="minorHAnsi" w:hAnsiTheme="minorHAnsi" w:cstheme="minorHAnsi"/>
                <w:szCs w:val="24"/>
              </w:rPr>
            </w:pPr>
            <w:r w:rsidRPr="00E43971">
              <w:rPr>
                <w:rFonts w:asciiTheme="minorHAnsi" w:hAnsiTheme="minorHAnsi" w:cstheme="minorHAnsi"/>
                <w:szCs w:val="24"/>
              </w:rPr>
              <w:t>272</w:t>
            </w:r>
          </w:p>
        </w:tc>
        <w:tc>
          <w:tcPr>
            <w:tcW w:w="1530" w:type="dxa"/>
          </w:tcPr>
          <w:p w:rsidR="00D964C0" w:rsidRPr="00E43971" w:rsidP="00A75254" w14:paraId="0346E399" w14:textId="33C74B16">
            <w:pPr>
              <w:jc w:val="right"/>
              <w:rPr>
                <w:rFonts w:asciiTheme="minorHAnsi" w:hAnsiTheme="minorHAnsi" w:cstheme="minorHAnsi"/>
                <w:szCs w:val="24"/>
              </w:rPr>
            </w:pPr>
            <w:r w:rsidRPr="00E43971">
              <w:rPr>
                <w:rFonts w:asciiTheme="minorHAnsi" w:hAnsiTheme="minorHAnsi" w:cstheme="minorHAnsi"/>
                <w:szCs w:val="24"/>
              </w:rPr>
              <w:t>$4</w:t>
            </w:r>
            <w:r w:rsidR="0009250C">
              <w:rPr>
                <w:rFonts w:asciiTheme="minorHAnsi" w:hAnsiTheme="minorHAnsi" w:cstheme="minorHAnsi"/>
                <w:szCs w:val="24"/>
              </w:rPr>
              <w:t>9.98</w:t>
            </w:r>
          </w:p>
        </w:tc>
        <w:tc>
          <w:tcPr>
            <w:tcW w:w="1350" w:type="dxa"/>
          </w:tcPr>
          <w:p w:rsidR="00D964C0" w:rsidRPr="00E43971" w:rsidP="00A75254" w14:paraId="51960B94" w14:textId="00C3E503">
            <w:pPr>
              <w:jc w:val="right"/>
              <w:rPr>
                <w:rFonts w:asciiTheme="minorHAnsi" w:hAnsiTheme="minorHAnsi" w:cstheme="minorHAnsi"/>
                <w:szCs w:val="24"/>
              </w:rPr>
            </w:pPr>
            <w:r w:rsidRPr="00E43971">
              <w:rPr>
                <w:rFonts w:asciiTheme="minorHAnsi" w:hAnsiTheme="minorHAnsi" w:cstheme="minorHAnsi"/>
                <w:szCs w:val="24"/>
              </w:rPr>
              <w:t>$1</w:t>
            </w:r>
            <w:r w:rsidR="0009250C">
              <w:rPr>
                <w:rFonts w:asciiTheme="minorHAnsi" w:hAnsiTheme="minorHAnsi" w:cstheme="minorHAnsi"/>
                <w:szCs w:val="24"/>
              </w:rPr>
              <w:t>3,595</w:t>
            </w:r>
          </w:p>
        </w:tc>
      </w:tr>
      <w:tr w14:paraId="4804D381" w14:textId="77777777" w:rsidTr="00A75254">
        <w:tblPrEx>
          <w:tblW w:w="8815" w:type="dxa"/>
          <w:tblLayout w:type="fixed"/>
          <w:tblLook w:val="0020"/>
        </w:tblPrEx>
        <w:tc>
          <w:tcPr>
            <w:tcW w:w="1458" w:type="dxa"/>
          </w:tcPr>
          <w:p w:rsidR="00D964C0" w:rsidRPr="00E43971" w:rsidP="00A75254" w14:paraId="32F1553F" w14:textId="77777777">
            <w:pPr>
              <w:rPr>
                <w:rFonts w:asciiTheme="minorHAnsi" w:hAnsiTheme="minorHAnsi" w:cstheme="minorHAnsi"/>
                <w:szCs w:val="24"/>
              </w:rPr>
            </w:pPr>
            <w:r w:rsidRPr="00E43971">
              <w:rPr>
                <w:rFonts w:asciiTheme="minorHAnsi" w:hAnsiTheme="minorHAnsi" w:cstheme="minorHAnsi"/>
                <w:szCs w:val="24"/>
              </w:rPr>
              <w:t>Annualized Totals</w:t>
            </w:r>
          </w:p>
        </w:tc>
        <w:tc>
          <w:tcPr>
            <w:tcW w:w="1260" w:type="dxa"/>
          </w:tcPr>
          <w:p w:rsidR="00D964C0" w:rsidRPr="00E43971" w:rsidP="00A75254" w14:paraId="6F602368" w14:textId="77777777">
            <w:pPr>
              <w:jc w:val="right"/>
              <w:rPr>
                <w:rFonts w:asciiTheme="minorHAnsi" w:hAnsiTheme="minorHAnsi" w:cstheme="minorHAnsi"/>
                <w:szCs w:val="24"/>
              </w:rPr>
            </w:pPr>
            <w:r w:rsidRPr="00E43971">
              <w:rPr>
                <w:rFonts w:asciiTheme="minorHAnsi" w:hAnsiTheme="minorHAnsi" w:cstheme="minorHAnsi"/>
                <w:szCs w:val="24"/>
              </w:rPr>
              <w:t>24</w:t>
            </w:r>
          </w:p>
        </w:tc>
        <w:tc>
          <w:tcPr>
            <w:tcW w:w="1080" w:type="dxa"/>
          </w:tcPr>
          <w:p w:rsidR="00D964C0" w:rsidRPr="00E43971" w:rsidP="00A75254" w14:paraId="563B3E99" w14:textId="77777777">
            <w:pPr>
              <w:jc w:val="right"/>
              <w:rPr>
                <w:rFonts w:asciiTheme="minorHAnsi" w:hAnsiTheme="minorHAnsi" w:cstheme="minorHAnsi"/>
                <w:szCs w:val="24"/>
              </w:rPr>
            </w:pPr>
            <w:r w:rsidRPr="00E43971">
              <w:rPr>
                <w:rFonts w:asciiTheme="minorHAnsi" w:hAnsiTheme="minorHAnsi" w:cstheme="minorHAnsi"/>
                <w:szCs w:val="24"/>
              </w:rPr>
              <w:t>24</w:t>
            </w:r>
          </w:p>
        </w:tc>
        <w:tc>
          <w:tcPr>
            <w:tcW w:w="990" w:type="dxa"/>
          </w:tcPr>
          <w:p w:rsidR="00D964C0" w:rsidRPr="00E43971" w:rsidP="00A75254" w14:paraId="39DD4A20" w14:textId="77777777">
            <w:pPr>
              <w:jc w:val="right"/>
              <w:rPr>
                <w:rFonts w:asciiTheme="minorHAnsi" w:hAnsiTheme="minorHAnsi" w:cstheme="minorHAnsi"/>
                <w:szCs w:val="24"/>
              </w:rPr>
            </w:pPr>
          </w:p>
        </w:tc>
        <w:tc>
          <w:tcPr>
            <w:tcW w:w="1147" w:type="dxa"/>
          </w:tcPr>
          <w:p w:rsidR="00D964C0" w:rsidRPr="00E43971" w:rsidP="00A75254" w14:paraId="79717F98" w14:textId="77777777">
            <w:pPr>
              <w:jc w:val="right"/>
              <w:rPr>
                <w:rFonts w:asciiTheme="minorHAnsi" w:hAnsiTheme="minorHAnsi" w:cstheme="minorHAnsi"/>
                <w:szCs w:val="24"/>
              </w:rPr>
            </w:pPr>
            <w:r w:rsidRPr="00E43971">
              <w:rPr>
                <w:rFonts w:asciiTheme="minorHAnsi" w:hAnsiTheme="minorHAnsi" w:cstheme="minorHAnsi"/>
                <w:szCs w:val="24"/>
              </w:rPr>
              <w:t>384</w:t>
            </w:r>
          </w:p>
        </w:tc>
        <w:tc>
          <w:tcPr>
            <w:tcW w:w="1530" w:type="dxa"/>
          </w:tcPr>
          <w:p w:rsidR="00D964C0" w:rsidRPr="00E43971" w:rsidP="00A75254" w14:paraId="1238DF7C" w14:textId="77777777">
            <w:pPr>
              <w:jc w:val="right"/>
              <w:rPr>
                <w:rFonts w:asciiTheme="minorHAnsi" w:hAnsiTheme="minorHAnsi" w:cstheme="minorHAnsi"/>
                <w:szCs w:val="24"/>
              </w:rPr>
            </w:pPr>
          </w:p>
        </w:tc>
        <w:tc>
          <w:tcPr>
            <w:tcW w:w="1350" w:type="dxa"/>
          </w:tcPr>
          <w:p w:rsidR="00D964C0" w:rsidRPr="00E43971" w:rsidP="00A75254" w14:paraId="2AE255DD" w14:textId="458287FB">
            <w:pPr>
              <w:jc w:val="right"/>
              <w:rPr>
                <w:rFonts w:asciiTheme="minorHAnsi" w:hAnsiTheme="minorHAnsi" w:cstheme="minorHAnsi"/>
                <w:szCs w:val="24"/>
              </w:rPr>
            </w:pPr>
            <w:r w:rsidRPr="00E43971">
              <w:rPr>
                <w:rFonts w:asciiTheme="minorHAnsi" w:hAnsiTheme="minorHAnsi" w:cstheme="minorHAnsi"/>
                <w:szCs w:val="24"/>
              </w:rPr>
              <w:t>$1</w:t>
            </w:r>
            <w:r w:rsidR="0009250C">
              <w:rPr>
                <w:rFonts w:asciiTheme="minorHAnsi" w:hAnsiTheme="minorHAnsi" w:cstheme="minorHAnsi"/>
                <w:szCs w:val="24"/>
              </w:rPr>
              <w:t>9,192</w:t>
            </w:r>
          </w:p>
        </w:tc>
      </w:tr>
    </w:tbl>
    <w:p w:rsidR="00D964C0" w:rsidRPr="00E43971" w:rsidP="00D964C0" w14:paraId="7C32DBFE" w14:textId="77777777">
      <w:pPr>
        <w:suppressAutoHyphens/>
        <w:rPr>
          <w:rFonts w:asciiTheme="minorHAnsi" w:hAnsiTheme="minorHAnsi" w:cstheme="minorHAnsi"/>
          <w:szCs w:val="24"/>
        </w:rPr>
      </w:pPr>
    </w:p>
    <w:p w:rsidR="00D964C0" w:rsidP="00D964C0" w14:paraId="462EA133" w14:textId="3ED205AA">
      <w:pPr>
        <w:pStyle w:val="ListParagraph"/>
        <w:tabs>
          <w:tab w:val="left" w:pos="-720"/>
        </w:tabs>
        <w:suppressAutoHyphens/>
        <w:ind w:left="0" w:right="-864"/>
        <w:rPr>
          <w:rFonts w:asciiTheme="minorHAnsi" w:hAnsiTheme="minorHAnsi" w:cstheme="minorHAnsi"/>
          <w:szCs w:val="24"/>
        </w:rPr>
      </w:pPr>
      <w:r w:rsidRPr="00E43971">
        <w:rPr>
          <w:rFonts w:asciiTheme="minorHAnsi" w:hAnsiTheme="minorHAnsi" w:cstheme="minorHAnsi"/>
          <w:szCs w:val="24"/>
        </w:rPr>
        <w:t>For institutions we have used the median hourly wage for Education Administrators, Postsecondary, $4</w:t>
      </w:r>
      <w:r w:rsidR="0009250C">
        <w:rPr>
          <w:rFonts w:asciiTheme="minorHAnsi" w:hAnsiTheme="minorHAnsi" w:cstheme="minorHAnsi"/>
          <w:szCs w:val="24"/>
        </w:rPr>
        <w:t>9.98</w:t>
      </w:r>
      <w:r w:rsidRPr="00E43971">
        <w:rPr>
          <w:rFonts w:asciiTheme="minorHAnsi" w:hAnsiTheme="minorHAnsi" w:cstheme="minorHAnsi"/>
          <w:szCs w:val="24"/>
        </w:rPr>
        <w:t xml:space="preserve"> per hour according to BLS. </w:t>
      </w:r>
      <w:hyperlink r:id="rId13" w:history="1">
        <w:r w:rsidRPr="00E43971">
          <w:rPr>
            <w:rStyle w:val="Hyperlink"/>
            <w:rFonts w:asciiTheme="minorHAnsi" w:hAnsiTheme="minorHAnsi" w:cstheme="minorHAnsi"/>
            <w:szCs w:val="24"/>
          </w:rPr>
          <w:t>https://www.bls.gov/oes/current/oes119033.htm</w:t>
        </w:r>
      </w:hyperlink>
      <w:r w:rsidRPr="00E43971">
        <w:rPr>
          <w:rFonts w:asciiTheme="minorHAnsi" w:hAnsiTheme="minorHAnsi" w:cstheme="minorHAnsi"/>
          <w:szCs w:val="24"/>
        </w:rPr>
        <w:t xml:space="preserve"> .</w:t>
      </w:r>
    </w:p>
    <w:p w:rsidR="00D964C0" w:rsidRPr="00D964C0" w:rsidP="00D964C0" w14:paraId="2C8309F7" w14:textId="77777777">
      <w:pPr>
        <w:pStyle w:val="ListParagraph"/>
        <w:tabs>
          <w:tab w:val="left" w:pos="-720"/>
        </w:tabs>
        <w:suppressAutoHyphens/>
        <w:ind w:left="0" w:right="-864"/>
        <w:rPr>
          <w:rStyle w:val="a"/>
          <w:rFonts w:asciiTheme="minorHAnsi" w:hAnsiTheme="minorHAnsi" w:cstheme="minorHAnsi"/>
          <w:szCs w:val="24"/>
        </w:rPr>
      </w:pPr>
    </w:p>
    <w:p w:rsidR="00F31BEC" w:rsidRPr="00AF5D1A" w:rsidP="000446F5" w14:paraId="60BC14D7"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w:t>
      </w:r>
      <w:r w:rsidRPr="00AF5D1A">
        <w:rPr>
          <w:rStyle w:val="a"/>
          <w:rFonts w:ascii="Times New Roman" w:hAnsi="Times New Roman"/>
          <w:b/>
          <w:bCs/>
          <w:i/>
          <w:iCs/>
          <w:sz w:val="22"/>
          <w:szCs w:val="22"/>
        </w:rPr>
        <w:t>on</w:t>
      </w:r>
      <w:r w:rsidRPr="00AF5D1A">
        <w:rPr>
          <w:rStyle w:val="a"/>
          <w:rFonts w:ascii="Times New Roman" w:hAnsi="Times New Roman"/>
          <w:b/>
          <w:bCs/>
          <w:i/>
          <w:iCs/>
          <w:sz w:val="22"/>
          <w:szCs w:val="22"/>
        </w:rPr>
        <w:t xml:space="preserve"> all forms.</w:t>
      </w:r>
    </w:p>
    <w:p w:rsidR="00920F63" w:rsidP="00920F63" w14:paraId="60BC14D8" w14:textId="77777777">
      <w:pPr>
        <w:pStyle w:val="ListParagraph"/>
        <w:tabs>
          <w:tab w:val="left" w:pos="-720"/>
        </w:tabs>
        <w:suppressAutoHyphens/>
        <w:rPr>
          <w:rStyle w:val="a"/>
          <w:rFonts w:ascii="Times New Roman" w:hAnsi="Times New Roman"/>
          <w:szCs w:val="24"/>
        </w:rPr>
      </w:pPr>
    </w:p>
    <w:p w:rsidR="00043C32" w:rsidRPr="00ED7195" w:rsidP="00AD381B" w14:paraId="60BC14D9"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0BC14DB"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ED7195">
        <w:rPr>
          <w:rFonts w:ascii="Times New Roman" w:hAnsi="Times New Roman"/>
          <w:b/>
          <w:szCs w:val="24"/>
        </w:rPr>
        <w:t>time period</w:t>
      </w:r>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w:t>
      </w:r>
      <w:r w:rsidRPr="00ED7195">
        <w:rPr>
          <w:rFonts w:ascii="Times New Roman" w:hAnsi="Times New Roman"/>
          <w:b/>
          <w:szCs w:val="24"/>
        </w:rPr>
        <w:t>monitoring, sampling, drilling and testing equipment; and acquiring and maintaining record storage facilities.</w:t>
      </w:r>
    </w:p>
    <w:p w:rsidR="00043C32" w:rsidRPr="00ED7195" w:rsidP="00AD381B" w14:paraId="60BC14DD"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w:t>
      </w:r>
      <w:r w:rsidRPr="00ED7195">
        <w:rPr>
          <w:rFonts w:ascii="Times New Roman" w:hAnsi="Times New Roman"/>
          <w:b/>
          <w:szCs w:val="24"/>
        </w:rPr>
        <w:t>contracting out</w:t>
      </w:r>
      <w:r w:rsidRPr="00ED7195">
        <w:rPr>
          <w:rFonts w:ascii="Times New Roman" w:hAnsi="Times New Roman"/>
          <w:b/>
          <w:szCs w:val="24"/>
        </w:rPr>
        <w:t xml:space="preserve">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AD381B" w14:paraId="60BC14DF"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0BC14E0" w14:textId="77777777">
      <w:pPr>
        <w:tabs>
          <w:tab w:val="left" w:pos="-720"/>
        </w:tabs>
        <w:suppressAutoHyphens/>
        <w:rPr>
          <w:rFonts w:ascii="Times New Roman" w:hAnsi="Times New Roman"/>
          <w:b/>
          <w:szCs w:val="24"/>
        </w:rPr>
      </w:pPr>
    </w:p>
    <w:p w:rsidR="00043C32" w:rsidRPr="00ED7195" w:rsidP="00AD381B" w14:paraId="60BC14E1" w14:textId="77777777">
      <w:pPr>
        <w:tabs>
          <w:tab w:val="left" w:pos="-720"/>
        </w:tabs>
        <w:suppressAutoHyphens/>
        <w:rPr>
          <w:rFonts w:ascii="Times New Roman" w:hAnsi="Times New Roman"/>
          <w:b/>
          <w:szCs w:val="24"/>
        </w:rPr>
      </w:pPr>
      <w:r w:rsidRPr="00ED7195">
        <w:rPr>
          <w:rFonts w:ascii="Times New Roman" w:hAnsi="Times New Roman"/>
          <w:b/>
          <w:szCs w:val="24"/>
        </w:rPr>
        <w:tab/>
      </w:r>
      <w:r w:rsidRPr="00ED7195">
        <w:rPr>
          <w:rFonts w:ascii="Times New Roman" w:hAnsi="Times New Roman"/>
          <w:b/>
          <w:szCs w:val="24"/>
        </w:rPr>
        <w:t>Total Annualized Capital/Startup Cost</w:t>
      </w:r>
      <w:r w:rsidRPr="00ED7195">
        <w:rPr>
          <w:rFonts w:ascii="Times New Roman" w:hAnsi="Times New Roman"/>
          <w:b/>
          <w:szCs w:val="24"/>
        </w:rPr>
        <w:tab/>
      </w:r>
      <w:r w:rsidRPr="00ED7195">
        <w:rPr>
          <w:rFonts w:ascii="Times New Roman" w:hAnsi="Times New Roman"/>
          <w:b/>
          <w:szCs w:val="24"/>
        </w:rPr>
        <w:t>:</w:t>
      </w:r>
    </w:p>
    <w:p w:rsidR="00043C32" w:rsidRPr="00ED7195" w:rsidP="00AD381B" w14:paraId="60BC14E2" w14:textId="77777777">
      <w:pPr>
        <w:tabs>
          <w:tab w:val="left" w:pos="-720"/>
        </w:tabs>
        <w:suppressAutoHyphens/>
        <w:rPr>
          <w:rFonts w:ascii="Times New Roman" w:hAnsi="Times New Roman"/>
          <w:b/>
          <w:szCs w:val="24"/>
        </w:rPr>
      </w:pPr>
      <w:r w:rsidRPr="00ED7195">
        <w:rPr>
          <w:rFonts w:ascii="Times New Roman" w:hAnsi="Times New Roman"/>
          <w:b/>
          <w:szCs w:val="24"/>
        </w:rPr>
        <w:tab/>
      </w:r>
      <w:r w:rsidRPr="00ED7195">
        <w:rPr>
          <w:rFonts w:ascii="Times New Roman" w:hAnsi="Times New Roman"/>
          <w:b/>
          <w:szCs w:val="24"/>
        </w:rPr>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w:t>
      </w:r>
      <w:r w:rsidRPr="00ED7195">
        <w:rPr>
          <w:rFonts w:ascii="Times New Roman" w:hAnsi="Times New Roman"/>
          <w:b/>
          <w:szCs w:val="24"/>
        </w:rPr>
        <w:t>___________________</w:t>
      </w:r>
    </w:p>
    <w:p w:rsidR="00043C32" w:rsidRPr="00ED7195" w:rsidP="00AD381B" w14:paraId="60BC14E3" w14:textId="77777777">
      <w:pPr>
        <w:tabs>
          <w:tab w:val="left" w:pos="-720"/>
        </w:tabs>
        <w:suppressAutoHyphens/>
        <w:rPr>
          <w:rFonts w:ascii="Times New Roman" w:hAnsi="Times New Roman"/>
          <w:b/>
          <w:szCs w:val="24"/>
        </w:rPr>
      </w:pPr>
      <w:r w:rsidRPr="00ED7195">
        <w:rPr>
          <w:rFonts w:ascii="Times New Roman" w:hAnsi="Times New Roman"/>
          <w:b/>
          <w:szCs w:val="24"/>
        </w:rPr>
        <w:tab/>
      </w:r>
      <w:r w:rsidRPr="00ED7195">
        <w:rPr>
          <w:rFonts w:ascii="Times New Roman" w:hAnsi="Times New Roman"/>
          <w:b/>
          <w:szCs w:val="24"/>
        </w:rPr>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F600B7" w14:paraId="60BC14E4" w14:textId="4A69BCBC">
      <w:pPr>
        <w:tabs>
          <w:tab w:val="left" w:pos="-720"/>
        </w:tabs>
        <w:suppressAutoHyphens/>
        <w:ind w:left="720"/>
        <w:rPr>
          <w:rFonts w:ascii="Times New Roman" w:hAnsi="Times New Roman"/>
          <w:szCs w:val="24"/>
        </w:rPr>
      </w:pPr>
    </w:p>
    <w:p w:rsidR="00D964C0" w:rsidRPr="00E43971" w:rsidP="309F81CB" w14:paraId="6DF560DF" w14:textId="655AE84F">
      <w:pPr>
        <w:suppressAutoHyphens/>
        <w:ind w:left="720"/>
        <w:rPr>
          <w:rFonts w:asciiTheme="minorAscii" w:hAnsiTheme="minorAscii" w:cstheme="minorAscii"/>
        </w:rPr>
      </w:pPr>
      <w:r w:rsidRPr="309F81CB">
        <w:rPr>
          <w:rFonts w:asciiTheme="minorAscii" w:hAnsiTheme="minorAscii" w:cstheme="minorAscii"/>
        </w:rPr>
        <w:t xml:space="preserve">There </w:t>
      </w:r>
      <w:r w:rsidRPr="309F81CB" w:rsidR="53269DE3">
        <w:rPr>
          <w:rFonts w:asciiTheme="minorAscii" w:hAnsiTheme="minorAscii" w:cstheme="minorAscii"/>
        </w:rPr>
        <w:t>is</w:t>
      </w:r>
      <w:r w:rsidRPr="309F81CB">
        <w:rPr>
          <w:rFonts w:asciiTheme="minorAscii" w:hAnsiTheme="minorAscii" w:cstheme="minorAscii"/>
        </w:rPr>
        <w:t xml:space="preserve"> no </w:t>
      </w:r>
      <w:r w:rsidRPr="309F81CB">
        <w:rPr>
          <w:rFonts w:asciiTheme="minorAscii" w:hAnsiTheme="minorAscii" w:cstheme="minorAscii"/>
        </w:rPr>
        <w:t>additional</w:t>
      </w:r>
      <w:r w:rsidRPr="309F81CB">
        <w:rPr>
          <w:rFonts w:asciiTheme="minorAscii" w:hAnsiTheme="minorAscii" w:cstheme="minorAscii"/>
        </w:rPr>
        <w:t xml:space="preserve"> cost burdens associated with this collection.</w:t>
      </w:r>
    </w:p>
    <w:p w:rsidR="00F600B7" w:rsidP="00F600B7" w14:paraId="22BD334A" w14:textId="77777777">
      <w:pPr>
        <w:tabs>
          <w:tab w:val="left" w:pos="-720"/>
        </w:tabs>
        <w:suppressAutoHyphens/>
        <w:ind w:left="720"/>
        <w:rPr>
          <w:rFonts w:ascii="Times New Roman" w:hAnsi="Times New Roman"/>
          <w:szCs w:val="24"/>
        </w:rPr>
      </w:pPr>
    </w:p>
    <w:p w:rsidR="00043C32" w:rsidRPr="00534B4A" w:rsidP="00AD381B" w14:paraId="60BC14E5"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534B4A">
        <w:rPr>
          <w:rStyle w:val="a"/>
          <w:rFonts w:ascii="Times New Roman" w:hAnsi="Times New Roman"/>
          <w:b/>
          <w:szCs w:val="24"/>
        </w:rPr>
        <w:t>expense</w:t>
      </w:r>
      <w:r w:rsidRPr="00534B4A">
        <w:rPr>
          <w:rStyle w:val="a"/>
          <w:rFonts w:ascii="Times New Roman" w:hAnsi="Times New Roman"/>
          <w:b/>
          <w:szCs w:val="24"/>
        </w:rPr>
        <w:t xml:space="preserve"> that would not have been incurred without this collection of information.  Agencies also may aggregate cost estimates from Items 12, 13, and 14 in a single table.</w:t>
      </w:r>
    </w:p>
    <w:p w:rsidR="00534B4A" w:rsidP="00F600B7" w14:paraId="60BC14E6" w14:textId="77777777">
      <w:pPr>
        <w:tabs>
          <w:tab w:val="left" w:pos="-720"/>
        </w:tabs>
        <w:suppressAutoHyphens/>
        <w:ind w:left="720"/>
        <w:rPr>
          <w:rFonts w:ascii="Times New Roman" w:hAnsi="Times New Roman"/>
          <w:szCs w:val="24"/>
        </w:rPr>
      </w:pPr>
    </w:p>
    <w:p w:rsidR="00D964C0" w:rsidRPr="00E43971" w:rsidP="00D964C0" w14:paraId="4DD55AFA" w14:textId="77777777">
      <w:pPr>
        <w:tabs>
          <w:tab w:val="left" w:pos="-720"/>
        </w:tabs>
        <w:suppressAutoHyphens/>
        <w:ind w:left="720"/>
        <w:rPr>
          <w:rFonts w:asciiTheme="minorHAnsi" w:hAnsiTheme="minorHAnsi" w:cstheme="minorHAnsi"/>
          <w:szCs w:val="24"/>
        </w:rPr>
      </w:pPr>
      <w:r w:rsidRPr="00E43971">
        <w:rPr>
          <w:rFonts w:asciiTheme="minorHAnsi" w:hAnsiTheme="minorHAnsi" w:cstheme="minorHAnsi"/>
          <w:szCs w:val="24"/>
        </w:rPr>
        <w:t xml:space="preserve">There is no </w:t>
      </w:r>
      <w:r w:rsidRPr="00E43971">
        <w:rPr>
          <w:rFonts w:asciiTheme="minorHAnsi" w:hAnsiTheme="minorHAnsi" w:cstheme="minorHAnsi"/>
          <w:szCs w:val="24"/>
        </w:rPr>
        <w:t>new system</w:t>
      </w:r>
      <w:r w:rsidRPr="00E43971">
        <w:rPr>
          <w:rFonts w:asciiTheme="minorHAnsi" w:hAnsiTheme="minorHAnsi" w:cstheme="minorHAnsi"/>
          <w:szCs w:val="24"/>
        </w:rPr>
        <w:t xml:space="preserve"> start-up cost to the Federal government related to this collection.</w:t>
      </w:r>
    </w:p>
    <w:p w:rsidR="00F600B7" w:rsidP="00F600B7" w14:paraId="13E58A30" w14:textId="77777777">
      <w:pPr>
        <w:pStyle w:val="ListParagraph"/>
        <w:tabs>
          <w:tab w:val="left" w:pos="-720"/>
        </w:tabs>
        <w:suppressAutoHyphens/>
        <w:contextualSpacing w:val="0"/>
        <w:rPr>
          <w:rFonts w:ascii="Times New Roman" w:hAnsi="Times New Roman"/>
          <w:szCs w:val="24"/>
        </w:rPr>
      </w:pPr>
    </w:p>
    <w:p w:rsidR="00800D30" w:rsidP="00800D30" w14:paraId="60BC14E8"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w:t>
      </w:r>
      <w:r w:rsidRPr="00800D30">
        <w:rPr>
          <w:rFonts w:ascii="Times New Roman" w:hAnsi="Times New Roman"/>
          <w:b/>
          <w:szCs w:val="24"/>
        </w:rPr>
        <w:t>Program</w:t>
      </w:r>
      <w:r w:rsidRPr="00800D30">
        <w:rPr>
          <w:rFonts w:ascii="Times New Roman" w:hAnsi="Times New Roman"/>
          <w:b/>
          <w:szCs w:val="24"/>
        </w:rPr>
        <w:t xml:space="preserve">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60BC14E9" w14:textId="77777777">
      <w:pPr>
        <w:pStyle w:val="ListParagraph"/>
        <w:tabs>
          <w:tab w:val="left" w:pos="-720"/>
        </w:tabs>
        <w:suppressAutoHyphens/>
        <w:contextualSpacing w:val="0"/>
        <w:rPr>
          <w:rFonts w:ascii="Times New Roman" w:hAnsi="Times New Roman"/>
          <w:b/>
          <w:szCs w:val="24"/>
        </w:rPr>
      </w:pPr>
    </w:p>
    <w:p w:rsidR="00800D30" w:rsidRPr="00756FD3" w:rsidP="00800D30" w14:paraId="60BC14EA"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60BC14EB"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A3E1A8A" w14:textId="77777777" w:rsidTr="00A75254">
        <w:tblPrEx>
          <w:tblW w:w="9445" w:type="dxa"/>
          <w:tblLook w:val="04A0"/>
        </w:tblPrEx>
        <w:tc>
          <w:tcPr>
            <w:tcW w:w="2048" w:type="dxa"/>
            <w:shd w:val="clear" w:color="auto" w:fill="D9D9D9" w:themeFill="background1" w:themeFillShade="D9"/>
          </w:tcPr>
          <w:p w:rsidR="00D964C0" w:rsidRPr="00E43971" w:rsidP="00A75254" w14:paraId="0A42CD6B" w14:textId="77777777">
            <w:pPr>
              <w:tabs>
                <w:tab w:val="left" w:pos="-720"/>
              </w:tabs>
              <w:suppressAutoHyphens/>
              <w:rPr>
                <w:rFonts w:asciiTheme="minorHAnsi" w:hAnsiTheme="minorHAnsi" w:cstheme="minorHAnsi"/>
                <w:b/>
                <w:szCs w:val="24"/>
              </w:rPr>
            </w:pPr>
          </w:p>
        </w:tc>
        <w:tc>
          <w:tcPr>
            <w:tcW w:w="2048" w:type="dxa"/>
          </w:tcPr>
          <w:p w:rsidR="00D964C0" w:rsidRPr="00E43971" w:rsidP="00A75254" w14:paraId="3FCF45AE" w14:textId="77777777">
            <w:pPr>
              <w:tabs>
                <w:tab w:val="left" w:pos="-720"/>
              </w:tabs>
              <w:suppressAutoHyphens/>
              <w:rPr>
                <w:rFonts w:asciiTheme="minorHAnsi" w:hAnsiTheme="minorHAnsi" w:cstheme="minorHAnsi"/>
                <w:b/>
                <w:szCs w:val="24"/>
              </w:rPr>
            </w:pPr>
            <w:r w:rsidRPr="00E43971">
              <w:rPr>
                <w:rFonts w:asciiTheme="minorHAnsi" w:hAnsiTheme="minorHAnsi" w:cstheme="minorHAnsi"/>
                <w:b/>
                <w:szCs w:val="24"/>
              </w:rPr>
              <w:t>Program Change Due to New Statute</w:t>
            </w:r>
          </w:p>
        </w:tc>
        <w:tc>
          <w:tcPr>
            <w:tcW w:w="2829" w:type="dxa"/>
          </w:tcPr>
          <w:p w:rsidR="00D964C0" w:rsidRPr="00E43971" w:rsidP="00A75254" w14:paraId="0DB10CD0" w14:textId="77777777">
            <w:pPr>
              <w:tabs>
                <w:tab w:val="left" w:pos="-720"/>
              </w:tabs>
              <w:suppressAutoHyphens/>
              <w:rPr>
                <w:rFonts w:asciiTheme="minorHAnsi" w:hAnsiTheme="minorHAnsi" w:cstheme="minorHAnsi"/>
                <w:b/>
                <w:szCs w:val="24"/>
              </w:rPr>
            </w:pPr>
            <w:r w:rsidRPr="00E43971">
              <w:rPr>
                <w:rFonts w:asciiTheme="minorHAnsi" w:hAnsiTheme="minorHAnsi" w:cstheme="minorHAnsi"/>
                <w:b/>
                <w:szCs w:val="24"/>
              </w:rPr>
              <w:t>Program Change Due to Agency Discretion</w:t>
            </w:r>
          </w:p>
        </w:tc>
        <w:tc>
          <w:tcPr>
            <w:tcW w:w="2520" w:type="dxa"/>
          </w:tcPr>
          <w:p w:rsidR="00D964C0" w:rsidRPr="00E43971" w:rsidP="00A75254" w14:paraId="5C4550EA" w14:textId="77777777">
            <w:pPr>
              <w:tabs>
                <w:tab w:val="left" w:pos="-720"/>
              </w:tabs>
              <w:suppressAutoHyphens/>
              <w:rPr>
                <w:rFonts w:asciiTheme="minorHAnsi" w:hAnsiTheme="minorHAnsi" w:cstheme="minorHAnsi"/>
                <w:b/>
                <w:szCs w:val="24"/>
              </w:rPr>
            </w:pPr>
            <w:r w:rsidRPr="00E43971">
              <w:rPr>
                <w:rFonts w:asciiTheme="minorHAnsi" w:hAnsiTheme="minorHAnsi" w:cstheme="minorHAnsi"/>
                <w:b/>
                <w:szCs w:val="24"/>
              </w:rPr>
              <w:t>Change Due to Adjustment in Agency Estimate</w:t>
            </w:r>
          </w:p>
        </w:tc>
      </w:tr>
      <w:tr w14:paraId="766B1952" w14:textId="77777777" w:rsidTr="00A75254">
        <w:tblPrEx>
          <w:tblW w:w="9445" w:type="dxa"/>
          <w:tblLook w:val="04A0"/>
        </w:tblPrEx>
        <w:tc>
          <w:tcPr>
            <w:tcW w:w="2048" w:type="dxa"/>
          </w:tcPr>
          <w:p w:rsidR="00D964C0" w:rsidRPr="00E43971" w:rsidP="00A75254" w14:paraId="6B8D11CC" w14:textId="77777777">
            <w:pPr>
              <w:tabs>
                <w:tab w:val="left" w:pos="-720"/>
              </w:tabs>
              <w:suppressAutoHyphens/>
              <w:rPr>
                <w:rFonts w:asciiTheme="minorHAnsi" w:hAnsiTheme="minorHAnsi" w:cstheme="minorHAnsi"/>
                <w:b/>
                <w:szCs w:val="24"/>
              </w:rPr>
            </w:pPr>
            <w:r w:rsidRPr="00E43971">
              <w:rPr>
                <w:rFonts w:asciiTheme="minorHAnsi" w:hAnsiTheme="minorHAnsi" w:cstheme="minorHAnsi"/>
                <w:b/>
                <w:szCs w:val="24"/>
              </w:rPr>
              <w:t>Total Burden</w:t>
            </w:r>
          </w:p>
        </w:tc>
        <w:tc>
          <w:tcPr>
            <w:tcW w:w="2048" w:type="dxa"/>
          </w:tcPr>
          <w:p w:rsidR="00D964C0" w:rsidRPr="00E43971" w:rsidP="00A75254" w14:paraId="1DF0AE01" w14:textId="77777777">
            <w:pPr>
              <w:tabs>
                <w:tab w:val="left" w:pos="-720"/>
              </w:tabs>
              <w:suppressAutoHyphens/>
              <w:rPr>
                <w:rFonts w:asciiTheme="minorHAnsi" w:hAnsiTheme="minorHAnsi" w:cstheme="minorHAnsi"/>
                <w:b/>
                <w:szCs w:val="24"/>
              </w:rPr>
            </w:pPr>
          </w:p>
        </w:tc>
        <w:tc>
          <w:tcPr>
            <w:tcW w:w="2829" w:type="dxa"/>
          </w:tcPr>
          <w:p w:rsidR="00D964C0" w:rsidRPr="00E43971" w:rsidP="00A75254" w14:paraId="35502F9C" w14:textId="77777777">
            <w:pPr>
              <w:tabs>
                <w:tab w:val="left" w:pos="-720"/>
              </w:tabs>
              <w:suppressAutoHyphens/>
              <w:rPr>
                <w:rFonts w:asciiTheme="minorHAnsi" w:hAnsiTheme="minorHAnsi" w:cstheme="minorHAnsi"/>
                <w:b/>
                <w:szCs w:val="24"/>
              </w:rPr>
            </w:pPr>
            <w:r w:rsidRPr="00E43971">
              <w:rPr>
                <w:rFonts w:asciiTheme="minorHAnsi" w:hAnsiTheme="minorHAnsi" w:cstheme="minorHAnsi"/>
                <w:b/>
                <w:szCs w:val="24"/>
              </w:rPr>
              <w:t>0</w:t>
            </w:r>
          </w:p>
        </w:tc>
        <w:tc>
          <w:tcPr>
            <w:tcW w:w="2520" w:type="dxa"/>
          </w:tcPr>
          <w:p w:rsidR="00D964C0" w:rsidRPr="00E43971" w:rsidP="00A75254" w14:paraId="603F45F1" w14:textId="77777777">
            <w:pPr>
              <w:tabs>
                <w:tab w:val="left" w:pos="-720"/>
              </w:tabs>
              <w:suppressAutoHyphens/>
              <w:rPr>
                <w:rFonts w:asciiTheme="minorHAnsi" w:hAnsiTheme="minorHAnsi" w:cstheme="minorHAnsi"/>
                <w:b/>
                <w:szCs w:val="24"/>
              </w:rPr>
            </w:pPr>
          </w:p>
        </w:tc>
      </w:tr>
      <w:tr w14:paraId="1ADB3A71" w14:textId="77777777" w:rsidTr="00A75254">
        <w:tblPrEx>
          <w:tblW w:w="9445" w:type="dxa"/>
          <w:tblLook w:val="04A0"/>
        </w:tblPrEx>
        <w:tc>
          <w:tcPr>
            <w:tcW w:w="2048" w:type="dxa"/>
          </w:tcPr>
          <w:p w:rsidR="00D964C0" w:rsidRPr="00E43971" w:rsidP="00A75254" w14:paraId="05B758C7" w14:textId="77777777">
            <w:pPr>
              <w:tabs>
                <w:tab w:val="left" w:pos="-720"/>
              </w:tabs>
              <w:suppressAutoHyphens/>
              <w:rPr>
                <w:rFonts w:asciiTheme="minorHAnsi" w:hAnsiTheme="minorHAnsi" w:cstheme="minorHAnsi"/>
                <w:b/>
                <w:szCs w:val="24"/>
              </w:rPr>
            </w:pPr>
            <w:r w:rsidRPr="00E43971">
              <w:rPr>
                <w:rFonts w:asciiTheme="minorHAnsi" w:hAnsiTheme="minorHAnsi" w:cstheme="minorHAnsi"/>
                <w:b/>
                <w:szCs w:val="24"/>
              </w:rPr>
              <w:t>Total Responses</w:t>
            </w:r>
          </w:p>
        </w:tc>
        <w:tc>
          <w:tcPr>
            <w:tcW w:w="2048" w:type="dxa"/>
          </w:tcPr>
          <w:p w:rsidR="00D964C0" w:rsidRPr="00E43971" w:rsidP="00A75254" w14:paraId="65D572AD" w14:textId="77777777">
            <w:pPr>
              <w:tabs>
                <w:tab w:val="left" w:pos="-720"/>
              </w:tabs>
              <w:suppressAutoHyphens/>
              <w:rPr>
                <w:rFonts w:asciiTheme="minorHAnsi" w:hAnsiTheme="minorHAnsi" w:cstheme="minorHAnsi"/>
                <w:b/>
                <w:szCs w:val="24"/>
              </w:rPr>
            </w:pPr>
          </w:p>
        </w:tc>
        <w:tc>
          <w:tcPr>
            <w:tcW w:w="2829" w:type="dxa"/>
          </w:tcPr>
          <w:p w:rsidR="00D964C0" w:rsidRPr="00E43971" w:rsidP="00A75254" w14:paraId="489D5361" w14:textId="77777777">
            <w:pPr>
              <w:tabs>
                <w:tab w:val="left" w:pos="-720"/>
              </w:tabs>
              <w:suppressAutoHyphens/>
              <w:rPr>
                <w:rFonts w:asciiTheme="minorHAnsi" w:hAnsiTheme="minorHAnsi" w:cstheme="minorHAnsi"/>
                <w:b/>
                <w:szCs w:val="24"/>
              </w:rPr>
            </w:pPr>
            <w:r w:rsidRPr="00E43971">
              <w:rPr>
                <w:rFonts w:asciiTheme="minorHAnsi" w:hAnsiTheme="minorHAnsi" w:cstheme="minorHAnsi"/>
                <w:b/>
                <w:szCs w:val="24"/>
              </w:rPr>
              <w:t>0</w:t>
            </w:r>
          </w:p>
        </w:tc>
        <w:tc>
          <w:tcPr>
            <w:tcW w:w="2520" w:type="dxa"/>
          </w:tcPr>
          <w:p w:rsidR="00D964C0" w:rsidRPr="00E43971" w:rsidP="00A75254" w14:paraId="569485BB" w14:textId="77777777">
            <w:pPr>
              <w:tabs>
                <w:tab w:val="left" w:pos="-720"/>
              </w:tabs>
              <w:suppressAutoHyphens/>
              <w:rPr>
                <w:rFonts w:asciiTheme="minorHAnsi" w:hAnsiTheme="minorHAnsi" w:cstheme="minorHAnsi"/>
                <w:b/>
                <w:szCs w:val="24"/>
              </w:rPr>
            </w:pPr>
          </w:p>
        </w:tc>
      </w:tr>
      <w:tr w14:paraId="1A353B3E" w14:textId="77777777" w:rsidTr="00A75254">
        <w:tblPrEx>
          <w:tblW w:w="9445" w:type="dxa"/>
          <w:tblLook w:val="04A0"/>
        </w:tblPrEx>
        <w:tc>
          <w:tcPr>
            <w:tcW w:w="2048" w:type="dxa"/>
          </w:tcPr>
          <w:p w:rsidR="00D964C0" w:rsidRPr="00E43971" w:rsidP="00A75254" w14:paraId="675DBCEB" w14:textId="77777777">
            <w:pPr>
              <w:tabs>
                <w:tab w:val="left" w:pos="-720"/>
              </w:tabs>
              <w:suppressAutoHyphens/>
              <w:rPr>
                <w:rFonts w:asciiTheme="minorHAnsi" w:hAnsiTheme="minorHAnsi" w:cstheme="minorHAnsi"/>
                <w:b/>
                <w:szCs w:val="24"/>
              </w:rPr>
            </w:pPr>
            <w:r w:rsidRPr="00E43971">
              <w:rPr>
                <w:rFonts w:asciiTheme="minorHAnsi" w:hAnsiTheme="minorHAnsi" w:cstheme="minorHAnsi"/>
                <w:b/>
                <w:szCs w:val="24"/>
              </w:rPr>
              <w:t>Total Costs (if applicable)</w:t>
            </w:r>
          </w:p>
        </w:tc>
        <w:tc>
          <w:tcPr>
            <w:tcW w:w="2048" w:type="dxa"/>
          </w:tcPr>
          <w:p w:rsidR="00D964C0" w:rsidRPr="00E43971" w:rsidP="00A75254" w14:paraId="1225623C" w14:textId="77777777">
            <w:pPr>
              <w:tabs>
                <w:tab w:val="left" w:pos="-720"/>
              </w:tabs>
              <w:suppressAutoHyphens/>
              <w:rPr>
                <w:rFonts w:asciiTheme="minorHAnsi" w:hAnsiTheme="minorHAnsi" w:cstheme="minorHAnsi"/>
                <w:b/>
                <w:szCs w:val="24"/>
              </w:rPr>
            </w:pPr>
          </w:p>
        </w:tc>
        <w:tc>
          <w:tcPr>
            <w:tcW w:w="2829" w:type="dxa"/>
          </w:tcPr>
          <w:p w:rsidR="00D964C0" w:rsidRPr="00E43971" w:rsidP="00A75254" w14:paraId="3F3649A0" w14:textId="77777777">
            <w:pPr>
              <w:tabs>
                <w:tab w:val="left" w:pos="-720"/>
              </w:tabs>
              <w:suppressAutoHyphens/>
              <w:rPr>
                <w:rFonts w:asciiTheme="minorHAnsi" w:hAnsiTheme="minorHAnsi" w:cstheme="minorHAnsi"/>
                <w:b/>
                <w:szCs w:val="24"/>
              </w:rPr>
            </w:pPr>
          </w:p>
        </w:tc>
        <w:tc>
          <w:tcPr>
            <w:tcW w:w="2520" w:type="dxa"/>
          </w:tcPr>
          <w:p w:rsidR="00D964C0" w:rsidRPr="00E43971" w:rsidP="00A75254" w14:paraId="20B350F3" w14:textId="77777777">
            <w:pPr>
              <w:tabs>
                <w:tab w:val="left" w:pos="-720"/>
              </w:tabs>
              <w:suppressAutoHyphens/>
              <w:rPr>
                <w:rFonts w:asciiTheme="minorHAnsi" w:hAnsiTheme="minorHAnsi" w:cstheme="minorHAnsi"/>
                <w:b/>
                <w:szCs w:val="24"/>
              </w:rPr>
            </w:pPr>
          </w:p>
        </w:tc>
      </w:tr>
    </w:tbl>
    <w:p w:rsidR="00F27AAF" w:rsidP="00F600B7" w14:paraId="60BC1500" w14:textId="612B5F9C">
      <w:pPr>
        <w:tabs>
          <w:tab w:val="left" w:pos="-720"/>
        </w:tabs>
        <w:suppressAutoHyphens/>
        <w:ind w:left="720"/>
        <w:rPr>
          <w:rFonts w:ascii="Times New Roman" w:hAnsi="Times New Roman"/>
          <w:bCs/>
          <w:szCs w:val="24"/>
        </w:rPr>
      </w:pPr>
    </w:p>
    <w:p w:rsidR="00D964C0" w:rsidRPr="00E43971" w:rsidP="00D964C0" w14:paraId="68377D49" w14:textId="5F5D5963">
      <w:pPr>
        <w:tabs>
          <w:tab w:val="left" w:pos="-720"/>
        </w:tabs>
        <w:suppressAutoHyphens/>
        <w:ind w:left="720"/>
        <w:rPr>
          <w:rFonts w:asciiTheme="minorHAnsi" w:hAnsiTheme="minorHAnsi" w:cstheme="minorHAnsi"/>
          <w:szCs w:val="24"/>
        </w:rPr>
      </w:pPr>
      <w:r w:rsidRPr="00E43971">
        <w:rPr>
          <w:rFonts w:asciiTheme="minorHAnsi" w:hAnsiTheme="minorHAnsi" w:cstheme="minorHAnsi"/>
          <w:szCs w:val="24"/>
        </w:rPr>
        <w:t>This is a</w:t>
      </w:r>
      <w:r w:rsidR="00664FCD">
        <w:rPr>
          <w:rFonts w:asciiTheme="minorHAnsi" w:hAnsiTheme="minorHAnsi" w:cstheme="minorHAnsi"/>
          <w:szCs w:val="24"/>
        </w:rPr>
        <w:t xml:space="preserve"> reinstatement</w:t>
      </w:r>
      <w:r w:rsidR="0009250C">
        <w:rPr>
          <w:rFonts w:asciiTheme="minorHAnsi" w:hAnsiTheme="minorHAnsi" w:cstheme="minorHAnsi"/>
          <w:szCs w:val="24"/>
        </w:rPr>
        <w:t xml:space="preserve"> without change</w:t>
      </w:r>
      <w:r w:rsidRPr="00E43971">
        <w:rPr>
          <w:rFonts w:asciiTheme="minorHAnsi" w:hAnsiTheme="minorHAnsi" w:cstheme="minorHAnsi"/>
          <w:szCs w:val="24"/>
        </w:rPr>
        <w:t xml:space="preserve"> of this current information collection request.  There are no changes to the number of institutions or the burden hours. </w:t>
      </w:r>
    </w:p>
    <w:p w:rsidR="00D964C0" w:rsidRPr="00E43971" w:rsidP="00D964C0" w14:paraId="33CE469E" w14:textId="77777777">
      <w:pPr>
        <w:tabs>
          <w:tab w:val="left" w:pos="-720"/>
        </w:tabs>
        <w:suppressAutoHyphens/>
        <w:rPr>
          <w:rFonts w:asciiTheme="minorHAnsi" w:hAnsiTheme="minorHAnsi" w:cstheme="minorHAnsi"/>
          <w:szCs w:val="24"/>
        </w:rPr>
      </w:pPr>
    </w:p>
    <w:p w:rsidR="00043C32" w:rsidP="00AD381B" w14:paraId="60BC1502"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F600B7" w14:paraId="60BC1503" w14:textId="77777777">
      <w:pPr>
        <w:tabs>
          <w:tab w:val="left" w:pos="-720"/>
        </w:tabs>
        <w:suppressAutoHyphens/>
        <w:ind w:left="720"/>
        <w:rPr>
          <w:rFonts w:ascii="Times New Roman" w:hAnsi="Times New Roman"/>
          <w:szCs w:val="24"/>
        </w:rPr>
      </w:pPr>
    </w:p>
    <w:p w:rsidR="00D964C0" w:rsidRPr="00E43971" w:rsidP="00D964C0" w14:paraId="724D6353" w14:textId="1135D367">
      <w:pPr>
        <w:tabs>
          <w:tab w:val="left" w:pos="-720"/>
        </w:tabs>
        <w:suppressAutoHyphens/>
        <w:ind w:left="720"/>
        <w:rPr>
          <w:rFonts w:asciiTheme="minorHAnsi" w:hAnsiTheme="minorHAnsi" w:cstheme="minorHAnsi"/>
          <w:szCs w:val="24"/>
        </w:rPr>
      </w:pPr>
      <w:r w:rsidRPr="00E43971">
        <w:rPr>
          <w:rFonts w:asciiTheme="minorHAnsi" w:hAnsiTheme="minorHAnsi" w:cstheme="minorHAnsi"/>
          <w:szCs w:val="24"/>
        </w:rPr>
        <w:t xml:space="preserve">The Department publishes the provided graduation and debt information on this Departmental website: </w:t>
      </w:r>
      <w:hyperlink r:id="rId9" w:history="1">
        <w:r w:rsidRPr="00E43971">
          <w:rPr>
            <w:rStyle w:val="Hyperlink"/>
            <w:rFonts w:asciiTheme="minorHAnsi" w:hAnsiTheme="minorHAnsi" w:cstheme="minorHAnsi"/>
            <w:szCs w:val="24"/>
          </w:rPr>
          <w:t>Aid for International Study | Federal Student Aid</w:t>
        </w:r>
      </w:hyperlink>
      <w:r w:rsidRPr="00E43971">
        <w:rPr>
          <w:rFonts w:asciiTheme="minorHAnsi" w:hAnsiTheme="minorHAnsi" w:cstheme="minorHAnsi"/>
          <w:szCs w:val="24"/>
        </w:rPr>
        <w:t xml:space="preserve">.  Annual reporting has been collected by the Department since 2013. </w:t>
      </w:r>
    </w:p>
    <w:p w:rsidR="00F600B7" w:rsidRPr="00534B4A" w:rsidP="00F600B7" w14:paraId="31D090E1" w14:textId="77777777">
      <w:pPr>
        <w:tabs>
          <w:tab w:val="left" w:pos="-720"/>
        </w:tabs>
        <w:suppressAutoHyphens/>
        <w:ind w:left="720"/>
        <w:rPr>
          <w:rFonts w:ascii="Times New Roman" w:hAnsi="Times New Roman"/>
          <w:szCs w:val="24"/>
        </w:rPr>
      </w:pPr>
    </w:p>
    <w:p w:rsidR="00043C32" w:rsidRPr="00534B4A" w:rsidP="00AD381B" w14:paraId="60BC1505"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F600B7" w:rsidP="00F600B7" w14:paraId="60BC1506" w14:textId="77777777">
      <w:pPr>
        <w:tabs>
          <w:tab w:val="left" w:pos="-720"/>
        </w:tabs>
        <w:suppressAutoHyphens/>
        <w:ind w:left="720"/>
        <w:rPr>
          <w:rFonts w:ascii="Times New Roman" w:hAnsi="Times New Roman"/>
          <w:bCs/>
          <w:szCs w:val="24"/>
        </w:rPr>
      </w:pPr>
    </w:p>
    <w:p w:rsidR="00D964C0" w:rsidRPr="00E43971" w:rsidP="00D964C0" w14:paraId="54A130AC" w14:textId="77777777">
      <w:pPr>
        <w:tabs>
          <w:tab w:val="left" w:pos="-720"/>
        </w:tabs>
        <w:suppressAutoHyphens/>
        <w:ind w:left="720"/>
        <w:rPr>
          <w:rFonts w:asciiTheme="minorHAnsi" w:hAnsiTheme="minorHAnsi" w:cstheme="minorHAnsi"/>
          <w:szCs w:val="24"/>
        </w:rPr>
      </w:pPr>
      <w:r w:rsidRPr="00E43971">
        <w:rPr>
          <w:rFonts w:asciiTheme="minorHAnsi" w:hAnsiTheme="minorHAnsi" w:cstheme="minorHAnsi"/>
          <w:szCs w:val="24"/>
        </w:rPr>
        <w:t>The Department is not seeking this approval.</w:t>
      </w:r>
    </w:p>
    <w:p w:rsidR="00F600B7" w:rsidRPr="00F600B7" w:rsidP="00F600B7" w14:paraId="65C31BE0" w14:textId="77777777">
      <w:pPr>
        <w:tabs>
          <w:tab w:val="left" w:pos="-720"/>
        </w:tabs>
        <w:suppressAutoHyphens/>
        <w:ind w:left="720"/>
        <w:rPr>
          <w:rFonts w:ascii="Times New Roman" w:hAnsi="Times New Roman"/>
          <w:bCs/>
          <w:szCs w:val="24"/>
        </w:rPr>
      </w:pPr>
    </w:p>
    <w:p w:rsidR="001C73C0" w:rsidP="00AD381B" w14:paraId="60BC1508" w14:textId="091140D0">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F600B7" w:rsidRPr="00F600B7" w:rsidP="00F600B7" w14:paraId="75F01645" w14:textId="372142D0">
      <w:pPr>
        <w:tabs>
          <w:tab w:val="left" w:pos="-720"/>
        </w:tabs>
        <w:suppressAutoHyphens/>
        <w:ind w:left="720"/>
        <w:rPr>
          <w:rFonts w:ascii="Times New Roman" w:hAnsi="Times New Roman"/>
          <w:bCs/>
          <w:szCs w:val="24"/>
        </w:rPr>
      </w:pPr>
    </w:p>
    <w:p w:rsidR="00D964C0" w:rsidRPr="00E43971" w:rsidP="00D964C0" w14:paraId="651C5892" w14:textId="77777777">
      <w:pPr>
        <w:tabs>
          <w:tab w:val="left" w:pos="-720"/>
        </w:tabs>
        <w:suppressAutoHyphens/>
        <w:ind w:left="720"/>
        <w:rPr>
          <w:rFonts w:asciiTheme="minorHAnsi" w:hAnsiTheme="minorHAnsi" w:cstheme="minorHAnsi"/>
          <w:szCs w:val="24"/>
        </w:rPr>
      </w:pPr>
      <w:r w:rsidRPr="00E43971">
        <w:rPr>
          <w:rStyle w:val="a"/>
          <w:rFonts w:asciiTheme="minorHAnsi" w:hAnsiTheme="minorHAnsi" w:cstheme="minorHAnsi"/>
          <w:szCs w:val="24"/>
        </w:rPr>
        <w:t>The Department is not requesting any exceptions to the “Certification for Paperwork Reduction Act Submissions” of OMB Form 83-1.</w:t>
      </w:r>
    </w:p>
    <w:p w:rsidR="00F600B7" w:rsidRPr="00F600B7" w:rsidP="00F600B7" w14:paraId="13E5C7D4" w14:textId="77777777">
      <w:pPr>
        <w:tabs>
          <w:tab w:val="left" w:pos="-720"/>
        </w:tabs>
        <w:suppressAutoHyphens/>
        <w:ind w:left="720"/>
        <w:rPr>
          <w:rFonts w:ascii="Times New Roman" w:hAnsi="Times New Roman"/>
          <w:bCs/>
          <w:szCs w:val="24"/>
        </w:rPr>
      </w:pPr>
    </w:p>
    <w:sectPr w:rsidSect="00043C32">
      <w:headerReference w:type="default" r:id="rId14"/>
      <w:footerReference w:type="default" r:id="rId15"/>
      <w:endnotePr>
        <w:numFmt w:val="decimal"/>
      </w:endnotePr>
      <w:pgSz w:w="12240" w:h="15840" w:orient="portrait"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1070" w14:paraId="60BC150D" w14:textId="77777777">
    <w:pPr>
      <w:spacing w:before="140" w:line="100" w:lineRule="exact"/>
      <w:rPr>
        <w:sz w:val="10"/>
      </w:rPr>
    </w:pPr>
  </w:p>
  <w:p w:rsidR="004A1070" w14:paraId="60BC150E" w14:textId="77777777">
    <w:pPr>
      <w:tabs>
        <w:tab w:val="left" w:pos="0"/>
      </w:tabs>
      <w:suppressAutoHyphens/>
    </w:pPr>
  </w:p>
  <w:p w:rsidR="004A1070" w14:paraId="60BC150F"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4A1070" w:rsidRPr="00534B4A" w14:paraId="60BC1513"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33A137DF"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463E3" w:rsidP="00043C32" w14:paraId="60BC1509" w14:textId="77777777">
      <w:r>
        <w:separator/>
      </w:r>
    </w:p>
  </w:footnote>
  <w:footnote w:type="continuationSeparator" w:id="1">
    <w:p w:rsidR="005463E3" w:rsidP="00043C32" w14:paraId="60BC150A" w14:textId="77777777">
      <w:r>
        <w:continuationSeparator/>
      </w:r>
    </w:p>
  </w:footnote>
  <w:footnote w:id="2">
    <w:p w:rsidR="00043C32" w:rsidP="00043C32" w14:paraId="60BC1512"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00B7" w:rsidRPr="00AD381B" w:rsidP="0B96BD59" w14:paraId="5BA85CF2" w14:textId="01A2DA17">
    <w:pPr>
      <w:pStyle w:val="Header"/>
      <w:rPr>
        <w:rFonts w:ascii="Times New Roman" w:hAnsi="Times New Roman"/>
      </w:rPr>
    </w:pPr>
    <w:r w:rsidRPr="0B96BD59">
      <w:rPr>
        <w:rFonts w:ascii="Times New Roman" w:hAnsi="Times New Roman"/>
      </w:rPr>
      <w:t>Tracking and OMB Number: (XX) 1845-</w:t>
    </w:r>
    <w:r w:rsidRPr="0B96BD59">
      <w:rPr>
        <w:rFonts w:ascii="Times New Roman" w:hAnsi="Times New Roman"/>
      </w:rPr>
      <w:t xml:space="preserve">0117  </w:t>
    </w:r>
    <w:r>
      <w:tab/>
    </w:r>
    <w:r w:rsidRPr="0B96BD59">
      <w:rPr>
        <w:rFonts w:ascii="Times New Roman" w:hAnsi="Times New Roman"/>
      </w:rPr>
      <w:t>Revised: 01/07/2026</w:t>
    </w:r>
  </w:p>
  <w:p w:rsidR="00F600B7" w14:paraId="02641A9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01292020">
    <w:abstractNumId w:val="0"/>
  </w:num>
  <w:num w:numId="2" w16cid:durableId="1733305258">
    <w:abstractNumId w:val="2"/>
  </w:num>
  <w:num w:numId="3" w16cid:durableId="835917817">
    <w:abstractNumId w:val="1"/>
  </w:num>
  <w:num w:numId="4" w16cid:durableId="17782124">
    <w:abstractNumId w:val="3"/>
  </w:num>
  <w:num w:numId="5" w16cid:durableId="21454653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3C32"/>
    <w:rsid w:val="000446F5"/>
    <w:rsid w:val="0009250C"/>
    <w:rsid w:val="00093017"/>
    <w:rsid w:val="001824F3"/>
    <w:rsid w:val="001A1026"/>
    <w:rsid w:val="001A6AE0"/>
    <w:rsid w:val="001C73C0"/>
    <w:rsid w:val="001E79BD"/>
    <w:rsid w:val="00211721"/>
    <w:rsid w:val="002225CC"/>
    <w:rsid w:val="00224A3B"/>
    <w:rsid w:val="00240A39"/>
    <w:rsid w:val="00246FE9"/>
    <w:rsid w:val="00250100"/>
    <w:rsid w:val="00262A69"/>
    <w:rsid w:val="00270AF7"/>
    <w:rsid w:val="002A3221"/>
    <w:rsid w:val="002C3520"/>
    <w:rsid w:val="002E14E0"/>
    <w:rsid w:val="002F55E5"/>
    <w:rsid w:val="0032078A"/>
    <w:rsid w:val="0032539E"/>
    <w:rsid w:val="00386054"/>
    <w:rsid w:val="003860E4"/>
    <w:rsid w:val="003B1545"/>
    <w:rsid w:val="00411FEB"/>
    <w:rsid w:val="00412915"/>
    <w:rsid w:val="00442E07"/>
    <w:rsid w:val="004A1070"/>
    <w:rsid w:val="005146F9"/>
    <w:rsid w:val="0052073E"/>
    <w:rsid w:val="00534B4A"/>
    <w:rsid w:val="005463E3"/>
    <w:rsid w:val="00556EDB"/>
    <w:rsid w:val="00581C11"/>
    <w:rsid w:val="00664FCD"/>
    <w:rsid w:val="0068567A"/>
    <w:rsid w:val="006A292A"/>
    <w:rsid w:val="006A38F7"/>
    <w:rsid w:val="006A4EBB"/>
    <w:rsid w:val="006B4172"/>
    <w:rsid w:val="00755D99"/>
    <w:rsid w:val="00756FD3"/>
    <w:rsid w:val="00765392"/>
    <w:rsid w:val="00790E3E"/>
    <w:rsid w:val="007B0A24"/>
    <w:rsid w:val="007C0A4C"/>
    <w:rsid w:val="007F6104"/>
    <w:rsid w:val="00800D30"/>
    <w:rsid w:val="00807D1A"/>
    <w:rsid w:val="00874EFE"/>
    <w:rsid w:val="00882126"/>
    <w:rsid w:val="008933F1"/>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E3E86"/>
    <w:rsid w:val="00A118A2"/>
    <w:rsid w:val="00A23F26"/>
    <w:rsid w:val="00A4001C"/>
    <w:rsid w:val="00A40AAB"/>
    <w:rsid w:val="00A46D01"/>
    <w:rsid w:val="00A70816"/>
    <w:rsid w:val="00A75254"/>
    <w:rsid w:val="00A7636D"/>
    <w:rsid w:val="00A9138E"/>
    <w:rsid w:val="00AC1C89"/>
    <w:rsid w:val="00AD381B"/>
    <w:rsid w:val="00AF5B5B"/>
    <w:rsid w:val="00AF5D1A"/>
    <w:rsid w:val="00B017F9"/>
    <w:rsid w:val="00B07213"/>
    <w:rsid w:val="00B10A05"/>
    <w:rsid w:val="00B50FF0"/>
    <w:rsid w:val="00B54167"/>
    <w:rsid w:val="00B57F19"/>
    <w:rsid w:val="00B62E06"/>
    <w:rsid w:val="00B64B1D"/>
    <w:rsid w:val="00B9671B"/>
    <w:rsid w:val="00BA1D31"/>
    <w:rsid w:val="00BA3BBB"/>
    <w:rsid w:val="00C164D3"/>
    <w:rsid w:val="00C20670"/>
    <w:rsid w:val="00C224FD"/>
    <w:rsid w:val="00C86713"/>
    <w:rsid w:val="00C875E8"/>
    <w:rsid w:val="00C92035"/>
    <w:rsid w:val="00CC2A72"/>
    <w:rsid w:val="00CC3FB5"/>
    <w:rsid w:val="00CD2067"/>
    <w:rsid w:val="00CD47BC"/>
    <w:rsid w:val="00CE31A2"/>
    <w:rsid w:val="00D34984"/>
    <w:rsid w:val="00D36C35"/>
    <w:rsid w:val="00D75313"/>
    <w:rsid w:val="00D964C0"/>
    <w:rsid w:val="00E16ACD"/>
    <w:rsid w:val="00E17134"/>
    <w:rsid w:val="00E25EBC"/>
    <w:rsid w:val="00E43971"/>
    <w:rsid w:val="00E66550"/>
    <w:rsid w:val="00E877BF"/>
    <w:rsid w:val="00EA1767"/>
    <w:rsid w:val="00EB0929"/>
    <w:rsid w:val="00EB0FA5"/>
    <w:rsid w:val="00EC01DD"/>
    <w:rsid w:val="00EC35E3"/>
    <w:rsid w:val="00ED7195"/>
    <w:rsid w:val="00F0414F"/>
    <w:rsid w:val="00F27AAF"/>
    <w:rsid w:val="00F31BEC"/>
    <w:rsid w:val="00F5782B"/>
    <w:rsid w:val="00F600B7"/>
    <w:rsid w:val="00F73131"/>
    <w:rsid w:val="00FC669D"/>
    <w:rsid w:val="00FD4F0B"/>
    <w:rsid w:val="00FE02FC"/>
    <w:rsid w:val="00FE1BAE"/>
    <w:rsid w:val="07689D74"/>
    <w:rsid w:val="0B96BD59"/>
    <w:rsid w:val="0EF59A2D"/>
    <w:rsid w:val="14494821"/>
    <w:rsid w:val="14BBF185"/>
    <w:rsid w:val="1C9D18BE"/>
    <w:rsid w:val="21BE95BF"/>
    <w:rsid w:val="22BDB794"/>
    <w:rsid w:val="263044E4"/>
    <w:rsid w:val="2D82F6E1"/>
    <w:rsid w:val="2D85F52C"/>
    <w:rsid w:val="2E8C77DF"/>
    <w:rsid w:val="309F81CB"/>
    <w:rsid w:val="343B758C"/>
    <w:rsid w:val="3E6F146A"/>
    <w:rsid w:val="53269DE3"/>
    <w:rsid w:val="71C20737"/>
    <w:rsid w:val="72181CDF"/>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0BC1447"/>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D964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cod.ed.gov/cod/LoginPage" TargetMode="External" /><Relationship Id="rId11" Type="http://schemas.openxmlformats.org/officeDocument/2006/relationships/hyperlink" Target="https://www.bls.gov/oes/current/oes_nat.html" TargetMode="External" /><Relationship Id="rId12" Type="http://schemas.openxmlformats.org/officeDocument/2006/relationships/hyperlink" Target="https://www.ecfr.gov/current/title-34/subtitle-B/chapter-VI/part-668/subpart-L/section-668.171" TargetMode="External" /><Relationship Id="rId13" Type="http://schemas.openxmlformats.org/officeDocument/2006/relationships/hyperlink" Target="https://www.bls.gov/oes/current/oes119033.htm"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studentaid.gov/understand-aid/types/internationa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Status xmlns="bd10e23a-f09c-45e3-849e-438a97faa086" xsi:nil="true"/>
    <lcf76f155ced4ddcb4097134ff3c332f xmlns="bd10e23a-f09c-45e3-849e-438a97faa0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F635D102-E1B2-4D4F-9348-1901B691F0BF}">
  <ds:schemaRefs/>
</ds:datastoreItem>
</file>

<file path=customXml/itemProps4.xml><?xml version="1.0" encoding="utf-8"?>
<ds:datastoreItem xmlns:ds="http://schemas.openxmlformats.org/officeDocument/2006/customXml" ds:itemID="{1C0FC2ED-6745-40E5-99DC-404EF7F56774}">
  <ds:schemaRefs>
    <ds:schemaRef ds:uri="bd10e23a-f09c-45e3-849e-438a97faa086"/>
    <ds:schemaRef ds:uri="http://schemas.microsoft.com/office/infopath/2007/PartnerControls"/>
    <ds:schemaRef ds:uri="http://schemas.microsoft.com/office/2006/metadata/properties"/>
    <ds:schemaRef ds:uri="http://schemas.microsoft.com/office/2006/documentManagement/types"/>
    <ds:schemaRef ds:uri="http://purl.org/dc/elements/1.1/"/>
    <ds:schemaRef ds:uri="2a2db8c4-56ab-4882-a5d0-0fe8165c6658"/>
    <ds:schemaRef ds:uri="http://purl.org/dc/terms/"/>
    <ds:schemaRef ds:uri="http://schemas.openxmlformats.org/package/2006/metadata/core-properties"/>
    <ds:schemaRef ds:uri="a9a93928-7ac7-4c2f-90e6-3a0e778b9dd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Barrett, Zelma</cp:lastModifiedBy>
  <cp:revision>7</cp:revision>
  <dcterms:created xsi:type="dcterms:W3CDTF">2025-07-10T12:58:00Z</dcterms:created>
  <dcterms:modified xsi:type="dcterms:W3CDTF">2026-02-25T19:15:52Z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41013e83-931d-4b51-a694-340c449e8e68</vt:lpwstr>
  </property>
  <property fmtid="{D5CDD505-2E9C-101B-9397-08002B2CF9AE}" pid="15" name="_dlc_LastRun">
    <vt:lpwstr>03/23/2021 01:12:33</vt:lpwstr>
  </property>
  <property fmtid="{D5CDD505-2E9C-101B-9397-08002B2CF9AE}" pid="16" name="_dlc_policyId">
    <vt:lpwstr>0x0101001C22A2B9DBEDBB4DB130C1FAF5F2F008|-874002092</vt:lpwstr>
  </property>
</Properties>
</file>