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169E0" w:rsidP="00D169E0" w14:paraId="42E713D7" w14:textId="77777777">
      <w:pPr>
        <w:pStyle w:val="Title"/>
      </w:pPr>
      <w:r>
        <w:t>Supporting Statement</w:t>
      </w:r>
    </w:p>
    <w:p w:rsidR="00EB4CBD" w:rsidRPr="002643BE" w:rsidP="00EB4CBD" w14:paraId="35F0F234" w14:textId="77777777">
      <w:pPr>
        <w:pStyle w:val="Heading1"/>
        <w:rPr>
          <w:sz w:val="28"/>
        </w:rPr>
      </w:pPr>
      <w:r w:rsidRPr="002643BE">
        <w:rPr>
          <w:sz w:val="28"/>
        </w:rPr>
        <w:t>Drawback Process Regulation</w:t>
      </w:r>
      <w:r w:rsidRPr="002643BE">
        <w:rPr>
          <w:sz w:val="28"/>
        </w:rPr>
        <w:t xml:space="preserve">s </w:t>
      </w:r>
    </w:p>
    <w:p w:rsidR="00D169E0" w:rsidRPr="002643BE" w:rsidP="00EB4CBD" w14:paraId="77887939" w14:textId="77777777">
      <w:pPr>
        <w:pStyle w:val="Heading1"/>
        <w:rPr>
          <w:sz w:val="28"/>
        </w:rPr>
      </w:pPr>
      <w:r w:rsidRPr="002643BE">
        <w:rPr>
          <w:sz w:val="28"/>
        </w:rPr>
        <w:t>1651-0075</w:t>
      </w:r>
    </w:p>
    <w:p w:rsidR="00D169E0" w:rsidP="00D169E0" w14:paraId="499F72B9" w14:textId="77777777">
      <w:pPr>
        <w:tabs>
          <w:tab w:val="left" w:pos="3780"/>
          <w:tab w:val="center" w:pos="4824"/>
        </w:tabs>
        <w:rPr>
          <w:rFonts w:ascii="Arial" w:hAnsi="Arial"/>
        </w:rPr>
      </w:pPr>
      <w:r>
        <w:rPr>
          <w:rFonts w:ascii="Arial" w:hAnsi="Arial"/>
        </w:rPr>
        <w:tab/>
      </w:r>
    </w:p>
    <w:p w:rsidR="00D169E0" w:rsidP="00D169E0" w14:paraId="0500F628" w14:textId="77777777">
      <w:pPr>
        <w:tabs>
          <w:tab w:val="center" w:pos="4824"/>
        </w:tabs>
        <w:jc w:val="both"/>
        <w:rPr>
          <w:rFonts w:ascii="Arial" w:hAnsi="Arial"/>
          <w:b/>
          <w:sz w:val="28"/>
        </w:rPr>
      </w:pPr>
      <w:r>
        <w:rPr>
          <w:rFonts w:ascii="Arial" w:hAnsi="Arial"/>
          <w:b/>
          <w:sz w:val="28"/>
        </w:rPr>
        <w:t>A.      Justification</w:t>
      </w:r>
    </w:p>
    <w:p w:rsidR="00D169E0" w:rsidP="00D169E0" w14:paraId="10F012EF" w14:textId="77777777">
      <w:pPr>
        <w:pStyle w:val="Heading1"/>
        <w:jc w:val="both"/>
      </w:pPr>
    </w:p>
    <w:p w:rsidR="00D169E0" w:rsidRPr="00DF5872" w:rsidP="00D169E0" w14:paraId="6513095A" w14:textId="5727E62B">
      <w:pPr>
        <w:numPr>
          <w:ilvl w:val="0"/>
          <w:numId w:val="5"/>
        </w:numPr>
        <w:jc w:val="both"/>
        <w:rPr>
          <w:rFonts w:ascii="Arial" w:hAnsi="Arial" w:cs="Arial"/>
          <w:b/>
          <w:bCs/>
          <w:szCs w:val="24"/>
        </w:rPr>
      </w:pPr>
      <w:r w:rsidRPr="00DF5872">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w:t>
      </w:r>
      <w:r w:rsidR="00DF5872">
        <w:rPr>
          <w:rFonts w:ascii="Arial" w:hAnsi="Arial" w:cs="Arial"/>
          <w:b/>
          <w:bCs/>
          <w:szCs w:val="24"/>
        </w:rPr>
        <w:t xml:space="preserve"> </w:t>
      </w:r>
      <w:r w:rsidRPr="00DF5872" w:rsidR="009106AC">
        <w:rPr>
          <w:rFonts w:ascii="Arial" w:hAnsi="Arial" w:cs="Arial"/>
          <w:b/>
          <w:bCs/>
          <w:szCs w:val="24"/>
        </w:rPr>
        <w:t>statute</w:t>
      </w:r>
      <w:r w:rsidRPr="00DF5872">
        <w:rPr>
          <w:rFonts w:ascii="Arial" w:hAnsi="Arial" w:cs="Arial"/>
          <w:b/>
          <w:bCs/>
          <w:szCs w:val="24"/>
        </w:rPr>
        <w:t xml:space="preserve"> and regulation mandating or authorizing the collection of information.</w:t>
      </w:r>
    </w:p>
    <w:p w:rsidR="002643BE" w:rsidRPr="00CF1201" w:rsidP="002643BE" w14:paraId="265ABA2F" w14:textId="77777777">
      <w:pPr>
        <w:ind w:left="720"/>
        <w:jc w:val="both"/>
        <w:rPr>
          <w:rFonts w:ascii="Arial" w:hAnsi="Arial" w:cs="Arial"/>
          <w:b/>
          <w:bCs/>
          <w:szCs w:val="24"/>
        </w:rPr>
      </w:pPr>
    </w:p>
    <w:p w:rsidR="00865EED" w:rsidP="00865EED" w14:paraId="01A5538D" w14:textId="1E1D53D6">
      <w:pPr>
        <w:widowControl/>
        <w:autoSpaceDE w:val="0"/>
        <w:autoSpaceDN w:val="0"/>
        <w:adjustRightInd w:val="0"/>
        <w:ind w:left="810"/>
      </w:pPr>
      <w:r w:rsidRPr="00865EED">
        <w:rPr>
          <w:rFonts w:ascii="Arial" w:hAnsi="Arial" w:cs="Arial"/>
          <w:snapToGrid/>
          <w:szCs w:val="24"/>
        </w:rPr>
        <w:t xml:space="preserve">The collections of information related to the drawback process are required as per 19 CFR </w:t>
      </w:r>
      <w:r w:rsidR="009106AC">
        <w:rPr>
          <w:rFonts w:ascii="Arial" w:hAnsi="Arial" w:cs="Arial"/>
          <w:snapToGrid/>
          <w:szCs w:val="24"/>
        </w:rPr>
        <w:t>P</w:t>
      </w:r>
      <w:r w:rsidR="00DF5872">
        <w:rPr>
          <w:rFonts w:ascii="Arial" w:hAnsi="Arial" w:cs="Arial"/>
          <w:snapToGrid/>
          <w:szCs w:val="24"/>
        </w:rPr>
        <w:t>art</w:t>
      </w:r>
      <w:r w:rsidRPr="00865EED">
        <w:rPr>
          <w:rFonts w:ascii="Arial" w:hAnsi="Arial" w:cs="Arial"/>
          <w:snapToGrid/>
          <w:szCs w:val="24"/>
        </w:rPr>
        <w:t xml:space="preserve"> 190 (Modernized Drawback), which provides for refunds of duties, taxes, and fees for certain merchandise that is imported into the United States where there is a subsequent related exportation or destruction.  </w:t>
      </w:r>
      <w:r w:rsidRPr="00865EED">
        <w:rPr>
          <w:rFonts w:ascii="Arial" w:hAnsi="Arial" w:cs="Arial"/>
          <w:snapToGrid/>
          <w:szCs w:val="24"/>
          <w:lang w:val="en"/>
        </w:rPr>
        <w:t>All claims for drawback</w:t>
      </w:r>
      <w:r w:rsidRPr="00865EED">
        <w:rPr>
          <w:rFonts w:ascii="Arial" w:hAnsi="Arial" w:cs="Arial"/>
          <w:snapToGrid/>
          <w:szCs w:val="24"/>
        </w:rPr>
        <w:t xml:space="preserve">, sometimes referred to as TFTEA-Drawback, </w:t>
      </w:r>
      <w:r w:rsidRPr="00865EED">
        <w:rPr>
          <w:rFonts w:ascii="Arial" w:hAnsi="Arial" w:cs="Arial"/>
          <w:snapToGrid/>
          <w:szCs w:val="24"/>
          <w:lang w:val="en"/>
        </w:rPr>
        <w:t xml:space="preserve">must be filed electronically in the </w:t>
      </w:r>
      <w:r w:rsidRPr="00865EED">
        <w:rPr>
          <w:rFonts w:ascii="Arial" w:hAnsi="Arial" w:cs="Arial"/>
          <w:snapToGrid/>
          <w:szCs w:val="24"/>
        </w:rPr>
        <w:t>Automated Commercial Environment (ACE)</w:t>
      </w:r>
      <w:r w:rsidRPr="00865EED">
        <w:rPr>
          <w:rFonts w:ascii="Arial" w:hAnsi="Arial" w:cs="Arial"/>
          <w:snapToGrid/>
          <w:szCs w:val="24"/>
          <w:lang w:val="en"/>
        </w:rPr>
        <w:t>, in accordance with the Trade Facilitation Trade Enforcement Act of 2015 (TFTEA) (Pub. L. 114–125, 130 Stat. 122), and in compliance with the regulations in part 190, 181 (NAFTA Drawback) and 182 (USMCA Drawback).  </w:t>
      </w:r>
      <w:r w:rsidRPr="00865EED">
        <w:rPr>
          <w:rFonts w:ascii="Arial" w:hAnsi="Arial" w:cs="Arial"/>
          <w:snapToGrid/>
          <w:szCs w:val="24"/>
        </w:rPr>
        <w:t xml:space="preserve">Specific information on completing a claim is available in the drawback CBP and Trade Automated Interface Requirement (CATAIR) document at: </w:t>
      </w:r>
      <w:hyperlink r:id="rId9" w:history="1">
        <w:r w:rsidRPr="00865EED">
          <w:rPr>
            <w:rFonts w:ascii="Arial" w:hAnsi="Arial" w:cs="Arial"/>
            <w:snapToGrid/>
            <w:color w:val="0000FF"/>
            <w:szCs w:val="24"/>
            <w:u w:val="single"/>
          </w:rPr>
          <w:t>https://www.cbp.gov/document/guidance/ace-drawback-catair-guidelines</w:t>
        </w:r>
      </w:hyperlink>
      <w:r w:rsidRPr="00865EED">
        <w:rPr>
          <w:rFonts w:ascii="Arial" w:hAnsi="Arial" w:cs="Arial"/>
          <w:snapToGrid/>
          <w:color w:val="0000FF"/>
          <w:szCs w:val="24"/>
          <w:u w:val="single"/>
        </w:rPr>
        <w:t>.</w:t>
      </w:r>
      <w:r w:rsidRPr="00567C52" w:rsidR="00567C52">
        <w:t xml:space="preserve"> </w:t>
      </w:r>
      <w:r w:rsidR="00D651B8">
        <w:t xml:space="preserve">Also, see </w:t>
      </w:r>
      <w:r w:rsidR="00567C52">
        <w:t>ACE Entry Summary Business Rules and Process Document at:</w:t>
      </w:r>
    </w:p>
    <w:p w:rsidR="00F113BD" w:rsidRPr="00865EED" w:rsidP="00865EED" w14:paraId="1B58A6E4" w14:textId="63905115">
      <w:pPr>
        <w:widowControl/>
        <w:autoSpaceDE w:val="0"/>
        <w:autoSpaceDN w:val="0"/>
        <w:adjustRightInd w:val="0"/>
        <w:ind w:left="810"/>
        <w:rPr>
          <w:rFonts w:ascii="Arial" w:hAnsi="Arial" w:cs="Arial"/>
          <w:snapToGrid/>
          <w:color w:val="000000"/>
          <w:szCs w:val="24"/>
        </w:rPr>
      </w:pPr>
      <w:r w:rsidRPr="00F113BD">
        <w:rPr>
          <w:rFonts w:ascii="Arial" w:hAnsi="Arial" w:cs="Arial"/>
          <w:snapToGrid/>
          <w:color w:val="000000"/>
          <w:szCs w:val="24"/>
        </w:rPr>
        <w:t>https://www.cbp.gov/sites/default/files/assets/documents/2023-Dec/CBP%20Publication%20No.%203499-1223%20-%20ACE%20ESBP%20Document%20External%20Version%2012.0.pdf</w:t>
      </w:r>
      <w:r>
        <w:rPr>
          <w:rFonts w:ascii="Arial" w:hAnsi="Arial" w:cs="Arial"/>
          <w:snapToGrid/>
          <w:color w:val="000000"/>
          <w:szCs w:val="24"/>
        </w:rPr>
        <w:t>.</w:t>
      </w:r>
    </w:p>
    <w:p w:rsidR="00865EED" w:rsidRPr="00865EED" w:rsidP="00865EED" w14:paraId="3E82FDB9" w14:textId="77777777">
      <w:pPr>
        <w:widowControl/>
        <w:autoSpaceDE w:val="0"/>
        <w:autoSpaceDN w:val="0"/>
        <w:adjustRightInd w:val="0"/>
        <w:ind w:left="810"/>
        <w:rPr>
          <w:rFonts w:ascii="Arial" w:hAnsi="Arial" w:cs="Arial"/>
          <w:snapToGrid/>
          <w:color w:val="000000"/>
          <w:szCs w:val="24"/>
        </w:rPr>
      </w:pPr>
    </w:p>
    <w:p w:rsidR="00865EED" w:rsidRPr="00865EED" w:rsidP="00865EED" w14:paraId="424C7035" w14:textId="77777777">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CBP Form 7553, Notice of Intent to Export, Destroy or Return Merchandise for Purposes of Drawback (NOI), documents both the exportation and destruction of merchandise eligible for drawback.  The NOI is the official notification to CBP that an exportation or destruction will occur for drawback eligible merchandise.  The CBP Form 7553 has been updated to comply with TFTEA-Drawback requirements and is accessible at </w:t>
      </w:r>
      <w:hyperlink r:id="rId10" w:history="1">
        <w:r w:rsidRPr="00865EED">
          <w:rPr>
            <w:rFonts w:ascii="Arial" w:hAnsi="Arial" w:cs="Arial"/>
            <w:snapToGrid/>
            <w:color w:val="0000FF"/>
            <w:szCs w:val="24"/>
            <w:u w:val="single"/>
          </w:rPr>
          <w:t>http://www.cbp.gov/newsroom/publications/forms</w:t>
        </w:r>
      </w:hyperlink>
      <w:r w:rsidRPr="00865EED">
        <w:rPr>
          <w:rFonts w:ascii="Arial" w:hAnsi="Arial" w:cs="Arial"/>
          <w:snapToGrid/>
          <w:color w:val="000000"/>
          <w:szCs w:val="24"/>
        </w:rPr>
        <w:t>.</w:t>
      </w:r>
    </w:p>
    <w:p w:rsidR="00865EED" w:rsidRPr="00865EED" w:rsidP="00865EED" w14:paraId="097989EF" w14:textId="77777777">
      <w:pPr>
        <w:widowControl/>
        <w:autoSpaceDE w:val="0"/>
        <w:autoSpaceDN w:val="0"/>
        <w:adjustRightInd w:val="0"/>
        <w:ind w:left="810"/>
        <w:rPr>
          <w:rFonts w:ascii="Arial" w:hAnsi="Arial" w:cs="Arial"/>
          <w:snapToGrid/>
          <w:color w:val="000000"/>
          <w:szCs w:val="24"/>
        </w:rPr>
      </w:pPr>
    </w:p>
    <w:p w:rsidR="00865EED" w:rsidRPr="00865EED" w:rsidP="00865EED" w14:paraId="16AD3FC9" w14:textId="77777777">
      <w:pPr>
        <w:widowControl/>
        <w:autoSpaceDE w:val="0"/>
        <w:autoSpaceDN w:val="0"/>
        <w:adjustRightInd w:val="0"/>
        <w:ind w:left="810"/>
        <w:rPr>
          <w:rFonts w:ascii="Arial" w:hAnsi="Arial" w:cs="Arial"/>
          <w:snapToGrid/>
          <w:szCs w:val="24"/>
        </w:rPr>
      </w:pPr>
      <w:r w:rsidRPr="00865EED">
        <w:rPr>
          <w:rFonts w:ascii="Arial" w:hAnsi="Arial" w:cs="Arial"/>
          <w:snapToGrid/>
          <w:szCs w:val="24"/>
        </w:rPr>
        <w:t>Relevant Regulations and Statutes:</w:t>
      </w:r>
    </w:p>
    <w:p w:rsidR="00865EED" w:rsidRPr="00865EED" w:rsidP="00865EED" w14:paraId="0F74D112" w14:textId="093A69A8">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Title 19, </w:t>
      </w:r>
      <w:r w:rsidR="00C02E0A">
        <w:rPr>
          <w:rFonts w:ascii="Arial" w:hAnsi="Arial" w:cs="Arial"/>
          <w:snapToGrid/>
          <w:szCs w:val="24"/>
        </w:rPr>
        <w:t>P</w:t>
      </w:r>
      <w:r w:rsidRPr="00865EED">
        <w:rPr>
          <w:rFonts w:ascii="Arial" w:hAnsi="Arial" w:cs="Arial"/>
          <w:snapToGrid/>
          <w:szCs w:val="24"/>
        </w:rPr>
        <w:t xml:space="preserve">art 190 - </w:t>
      </w:r>
      <w:hyperlink r:id="rId11" w:history="1">
        <w:r w:rsidRPr="00865EED">
          <w:rPr>
            <w:rFonts w:ascii="Arial" w:hAnsi="Arial" w:cs="Arial"/>
            <w:snapToGrid/>
            <w:color w:val="0000FF"/>
            <w:szCs w:val="24"/>
            <w:u w:val="single"/>
          </w:rPr>
          <w:t>https://ecfr.io/Title-19/Part-190</w:t>
        </w:r>
      </w:hyperlink>
    </w:p>
    <w:p w:rsidR="00865EED" w:rsidRPr="00865EED" w:rsidP="00865EED" w14:paraId="0F856B38" w14:textId="77777777">
      <w:pPr>
        <w:widowControl/>
        <w:autoSpaceDE w:val="0"/>
        <w:autoSpaceDN w:val="0"/>
        <w:adjustRightInd w:val="0"/>
        <w:ind w:left="810"/>
        <w:rPr>
          <w:rFonts w:ascii="Arial" w:hAnsi="Arial" w:cs="Arial"/>
          <w:snapToGrid/>
          <w:color w:val="000000"/>
          <w:szCs w:val="24"/>
        </w:rPr>
      </w:pPr>
      <w:r w:rsidRPr="00865EED">
        <w:rPr>
          <w:rFonts w:ascii="Arial" w:hAnsi="Arial" w:cs="Arial"/>
          <w:snapToGrid/>
          <w:szCs w:val="24"/>
        </w:rPr>
        <w:t xml:space="preserve">19 USC 1313 - </w:t>
      </w:r>
      <w:hyperlink r:id="rId12" w:history="1">
        <w:r w:rsidRPr="00865EED">
          <w:rPr>
            <w:rFonts w:ascii="Arial" w:hAnsi="Arial" w:cs="Arial"/>
            <w:snapToGrid/>
            <w:color w:val="0000FF"/>
            <w:szCs w:val="24"/>
            <w:u w:val="single"/>
          </w:rPr>
          <w:t>https://www.govinfo.gov/content/pkg/USCODE-2011-title19/pdf/USCODE-2011-title19-chap4-subtitleII-partI-sec1313.pdf</w:t>
        </w:r>
      </w:hyperlink>
    </w:p>
    <w:p w:rsidR="00865EED" w:rsidRPr="00865EED" w:rsidP="00865EED" w14:paraId="0C6F085B" w14:textId="77777777">
      <w:pPr>
        <w:widowControl/>
        <w:autoSpaceDE w:val="0"/>
        <w:autoSpaceDN w:val="0"/>
        <w:adjustRightInd w:val="0"/>
        <w:ind w:left="810"/>
        <w:rPr>
          <w:rFonts w:ascii="Arial" w:hAnsi="Arial" w:cs="Arial"/>
          <w:snapToGrid/>
          <w:color w:val="000000"/>
          <w:szCs w:val="24"/>
        </w:rPr>
      </w:pPr>
    </w:p>
    <w:p w:rsidR="00865EED" w:rsidP="00865EED" w14:paraId="1AA049B4" w14:textId="77777777">
      <w:pPr>
        <w:widowControl/>
        <w:autoSpaceDE w:val="0"/>
        <w:autoSpaceDN w:val="0"/>
        <w:adjustRightInd w:val="0"/>
        <w:ind w:left="810"/>
        <w:rPr>
          <w:rFonts w:ascii="Arial" w:hAnsi="Arial" w:cs="Arial"/>
          <w:snapToGrid/>
          <w:szCs w:val="24"/>
        </w:rPr>
      </w:pPr>
      <w:r w:rsidRPr="00865EED">
        <w:rPr>
          <w:rFonts w:ascii="Arial" w:hAnsi="Arial" w:cs="Arial"/>
          <w:snapToGrid/>
          <w:szCs w:val="24"/>
        </w:rPr>
        <w:t>19 USC 1313 authorizes the information collected on the CBP form 7553 as well as in the ACE system for the electronic drawback claim.</w:t>
      </w:r>
    </w:p>
    <w:p w:rsidR="009106AC" w:rsidP="00865EED" w14:paraId="1C364754" w14:textId="77777777">
      <w:pPr>
        <w:widowControl/>
        <w:autoSpaceDE w:val="0"/>
        <w:autoSpaceDN w:val="0"/>
        <w:adjustRightInd w:val="0"/>
        <w:ind w:left="810"/>
        <w:rPr>
          <w:rFonts w:ascii="Arial" w:hAnsi="Arial" w:cs="Arial"/>
          <w:snapToGrid/>
          <w:szCs w:val="24"/>
        </w:rPr>
      </w:pPr>
    </w:p>
    <w:p w:rsidR="00C02E0A" w:rsidRPr="00E44CC4" w:rsidP="009106AC" w14:paraId="7E568DE6" w14:textId="1AD8C641">
      <w:pPr>
        <w:widowControl/>
        <w:autoSpaceDE w:val="0"/>
        <w:autoSpaceDN w:val="0"/>
        <w:adjustRightInd w:val="0"/>
        <w:ind w:left="810"/>
        <w:rPr>
          <w:rFonts w:ascii="Arial" w:hAnsi="Arial" w:cs="Arial"/>
          <w:szCs w:val="24"/>
        </w:rPr>
      </w:pPr>
      <w:r w:rsidRPr="00E44CC4">
        <w:rPr>
          <w:rFonts w:ascii="Arial" w:hAnsi="Arial" w:cs="Arial"/>
          <w:szCs w:val="24"/>
        </w:rPr>
        <w:t xml:space="preserve">Effective February 24, 2019, all drawback claims </w:t>
      </w:r>
      <w:r w:rsidRPr="00E44CC4" w:rsidR="00E44CC4">
        <w:rPr>
          <w:rFonts w:ascii="Arial" w:hAnsi="Arial" w:cs="Arial"/>
          <w:szCs w:val="24"/>
        </w:rPr>
        <w:t>must</w:t>
      </w:r>
      <w:r w:rsidRPr="00E44CC4">
        <w:rPr>
          <w:rFonts w:ascii="Arial" w:hAnsi="Arial" w:cs="Arial"/>
          <w:szCs w:val="24"/>
        </w:rPr>
        <w:t xml:space="preserve"> be filed electronically in ACE under TFTEA</w:t>
      </w:r>
      <w:r w:rsidRPr="00E44CC4">
        <w:rPr>
          <w:rFonts w:ascii="Arial" w:hAnsi="Arial" w:cs="Arial"/>
          <w:szCs w:val="24"/>
        </w:rPr>
        <w:t>-</w:t>
      </w:r>
      <w:r w:rsidRPr="00E44CC4">
        <w:rPr>
          <w:rFonts w:ascii="Arial" w:hAnsi="Arial" w:cs="Arial"/>
          <w:szCs w:val="24"/>
        </w:rPr>
        <w:t xml:space="preserve">Drawback (19 CFR Part 190). </w:t>
      </w:r>
    </w:p>
    <w:p w:rsidR="00C02E0A" w:rsidRPr="00E44CC4" w:rsidP="009106AC" w14:paraId="076B9726" w14:textId="77777777">
      <w:pPr>
        <w:widowControl/>
        <w:autoSpaceDE w:val="0"/>
        <w:autoSpaceDN w:val="0"/>
        <w:adjustRightInd w:val="0"/>
        <w:ind w:left="810"/>
        <w:rPr>
          <w:rFonts w:ascii="Arial" w:hAnsi="Arial" w:cs="Arial"/>
          <w:szCs w:val="24"/>
        </w:rPr>
      </w:pPr>
    </w:p>
    <w:p w:rsidR="009106AC" w:rsidRPr="00E44CC4" w:rsidP="009106AC" w14:paraId="4BBACD40" w14:textId="35364D93">
      <w:pPr>
        <w:widowControl/>
        <w:autoSpaceDE w:val="0"/>
        <w:autoSpaceDN w:val="0"/>
        <w:adjustRightInd w:val="0"/>
        <w:ind w:left="810"/>
        <w:rPr>
          <w:rFonts w:ascii="Arial" w:hAnsi="Arial" w:cs="Arial"/>
          <w:snapToGrid/>
          <w:szCs w:val="24"/>
        </w:rPr>
      </w:pPr>
      <w:r w:rsidRPr="00E44CC4">
        <w:rPr>
          <w:rFonts w:ascii="Arial" w:hAnsi="Arial" w:cs="Arial"/>
          <w:szCs w:val="24"/>
        </w:rPr>
        <w:t xml:space="preserve">The data elements </w:t>
      </w:r>
      <w:r w:rsidRPr="00E44CC4" w:rsidR="00C02E0A">
        <w:rPr>
          <w:rFonts w:ascii="Arial" w:hAnsi="Arial" w:cs="Arial"/>
          <w:szCs w:val="24"/>
        </w:rPr>
        <w:t>referenced below are the additional data elements resulting from the implementation of TFTEA-Drawback.</w:t>
      </w:r>
    </w:p>
    <w:p w:rsidR="009106AC" w:rsidRPr="00865EED" w:rsidP="00865EED" w14:paraId="7AB31902" w14:textId="77777777">
      <w:pPr>
        <w:widowControl/>
        <w:autoSpaceDE w:val="0"/>
        <w:autoSpaceDN w:val="0"/>
        <w:adjustRightInd w:val="0"/>
        <w:ind w:left="810"/>
        <w:rPr>
          <w:rFonts w:ascii="Arial" w:hAnsi="Arial" w:cs="Arial"/>
          <w:snapToGrid/>
          <w:szCs w:val="24"/>
        </w:rPr>
      </w:pPr>
    </w:p>
    <w:p w:rsidR="00865EED" w:rsidRPr="00865EED" w:rsidP="00865EED" w14:paraId="12382C2D" w14:textId="77777777">
      <w:pPr>
        <w:widowControl/>
        <w:autoSpaceDE w:val="0"/>
        <w:autoSpaceDN w:val="0"/>
        <w:adjustRightInd w:val="0"/>
        <w:ind w:left="810"/>
        <w:rPr>
          <w:rFonts w:ascii="Arial" w:hAnsi="Arial" w:cs="Arial"/>
          <w:snapToGrid/>
          <w:szCs w:val="24"/>
        </w:rPr>
      </w:pPr>
    </w:p>
    <w:p w:rsidR="00865EED" w:rsidRPr="00865EED" w:rsidP="00865EED" w14:paraId="10036D27" w14:textId="2ABF2F16">
      <w:pPr>
        <w:widowControl/>
        <w:autoSpaceDE w:val="0"/>
        <w:autoSpaceDN w:val="0"/>
        <w:adjustRightInd w:val="0"/>
        <w:ind w:left="810"/>
        <w:rPr>
          <w:rFonts w:ascii="Arial" w:hAnsi="Arial" w:cs="Arial"/>
          <w:snapToGrid/>
          <w:szCs w:val="24"/>
        </w:rPr>
      </w:pPr>
      <w:r w:rsidRPr="00865EED">
        <w:rPr>
          <w:rFonts w:ascii="Arial" w:hAnsi="Arial" w:cs="Arial"/>
          <w:snapToGrid/>
          <w:szCs w:val="24"/>
        </w:rPr>
        <w:t xml:space="preserve">The </w:t>
      </w:r>
      <w:r w:rsidR="00E44CC4">
        <w:rPr>
          <w:rFonts w:ascii="Arial" w:hAnsi="Arial" w:cs="Arial"/>
          <w:snapToGrid/>
          <w:szCs w:val="24"/>
        </w:rPr>
        <w:t>d</w:t>
      </w:r>
      <w:r w:rsidRPr="00865EED">
        <w:rPr>
          <w:rFonts w:ascii="Arial" w:hAnsi="Arial" w:cs="Arial"/>
          <w:snapToGrid/>
          <w:szCs w:val="24"/>
        </w:rPr>
        <w:t xml:space="preserve">ata </w:t>
      </w:r>
      <w:r w:rsidR="00E44CC4">
        <w:rPr>
          <w:rFonts w:ascii="Arial" w:hAnsi="Arial" w:cs="Arial"/>
          <w:snapToGrid/>
          <w:szCs w:val="24"/>
        </w:rPr>
        <w:t>e</w:t>
      </w:r>
      <w:r w:rsidRPr="00865EED">
        <w:rPr>
          <w:rFonts w:ascii="Arial" w:hAnsi="Arial" w:cs="Arial"/>
          <w:snapToGrid/>
          <w:szCs w:val="24"/>
        </w:rPr>
        <w:t>lements in ACE for Drawback include the following:</w:t>
      </w:r>
    </w:p>
    <w:p w:rsidR="00865EED" w:rsidRPr="00865EED" w:rsidP="00865EED" w14:paraId="6E7F2A7C" w14:textId="77777777">
      <w:pPr>
        <w:widowControl/>
        <w:autoSpaceDE w:val="0"/>
        <w:autoSpaceDN w:val="0"/>
        <w:adjustRightInd w:val="0"/>
        <w:rPr>
          <w:rFonts w:ascii="Arial" w:hAnsi="Arial" w:cs="Arial"/>
          <w:snapToGrid/>
          <w:szCs w:val="24"/>
        </w:rPr>
      </w:pPr>
    </w:p>
    <w:p w:rsidR="00865EED" w:rsidRPr="00865EED" w:rsidP="00865EED" w14:paraId="1F8DD587" w14:textId="77777777">
      <w:pPr>
        <w:numPr>
          <w:ilvl w:val="0"/>
          <w:numId w:val="15"/>
        </w:numPr>
        <w:rPr>
          <w:rFonts w:ascii="Arial" w:hAnsi="Arial" w:cs="Arial"/>
          <w:snapToGrid/>
          <w:szCs w:val="24"/>
        </w:rPr>
      </w:pPr>
      <w:r w:rsidRPr="00865EED">
        <w:rPr>
          <w:rFonts w:ascii="Arial" w:hAnsi="Arial" w:cs="Arial"/>
          <w:snapToGrid/>
          <w:szCs w:val="24"/>
        </w:rPr>
        <w:t>Substituted Value per Unit</w:t>
      </w:r>
    </w:p>
    <w:p w:rsidR="00865EED" w:rsidRPr="00865EED" w:rsidP="00865EED" w14:paraId="1F4566E6" w14:textId="77777777">
      <w:pPr>
        <w:numPr>
          <w:ilvl w:val="0"/>
          <w:numId w:val="15"/>
        </w:numPr>
        <w:rPr>
          <w:rFonts w:ascii="Arial" w:hAnsi="Arial" w:cs="Arial"/>
          <w:snapToGrid/>
          <w:szCs w:val="24"/>
        </w:rPr>
      </w:pPr>
      <w:r w:rsidRPr="00865EED">
        <w:rPr>
          <w:rFonts w:ascii="Arial" w:hAnsi="Arial" w:cs="Arial"/>
          <w:snapToGrid/>
          <w:szCs w:val="24"/>
        </w:rPr>
        <w:t>Entry Summary Line Item Number</w:t>
      </w:r>
    </w:p>
    <w:p w:rsidR="00865EED" w:rsidRPr="00865EED" w:rsidP="00865EED" w14:paraId="44894AA3" w14:textId="77777777">
      <w:pPr>
        <w:numPr>
          <w:ilvl w:val="0"/>
          <w:numId w:val="15"/>
        </w:numPr>
        <w:rPr>
          <w:rFonts w:ascii="Arial" w:hAnsi="Arial" w:cs="Arial"/>
          <w:snapToGrid/>
          <w:szCs w:val="24"/>
        </w:rPr>
      </w:pPr>
      <w:r w:rsidRPr="00865EED">
        <w:rPr>
          <w:rFonts w:ascii="Arial" w:hAnsi="Arial" w:cs="Arial"/>
          <w:snapToGrid/>
          <w:szCs w:val="24"/>
        </w:rPr>
        <w:t>Bill of Materials/Formula</w:t>
      </w:r>
    </w:p>
    <w:p w:rsidR="00865EED" w:rsidRPr="00865EED" w:rsidP="00865EED" w14:paraId="62013B2F" w14:textId="77777777">
      <w:pPr>
        <w:numPr>
          <w:ilvl w:val="0"/>
          <w:numId w:val="15"/>
        </w:numPr>
        <w:rPr>
          <w:rFonts w:ascii="Arial" w:hAnsi="Arial" w:cs="Arial"/>
          <w:snapToGrid/>
          <w:szCs w:val="24"/>
        </w:rPr>
      </w:pPr>
      <w:r w:rsidRPr="00865EED">
        <w:rPr>
          <w:rFonts w:ascii="Arial" w:hAnsi="Arial" w:cs="Arial"/>
          <w:snapToGrid/>
          <w:szCs w:val="24"/>
        </w:rPr>
        <w:t xml:space="preserve">Certificate of Delivery/Drawback Eligibility Indicator                 </w:t>
      </w:r>
    </w:p>
    <w:p w:rsidR="00865EED" w:rsidRPr="00865EED" w:rsidP="00865EED" w14:paraId="64487076" w14:textId="77777777">
      <w:pPr>
        <w:numPr>
          <w:ilvl w:val="0"/>
          <w:numId w:val="15"/>
        </w:numPr>
        <w:rPr>
          <w:rFonts w:ascii="Arial" w:hAnsi="Arial" w:cs="Arial"/>
          <w:snapToGrid/>
          <w:szCs w:val="24"/>
        </w:rPr>
      </w:pPr>
      <w:r w:rsidRPr="00865EED">
        <w:rPr>
          <w:rFonts w:ascii="Arial" w:hAnsi="Arial" w:cs="Arial"/>
          <w:snapToGrid/>
          <w:szCs w:val="24"/>
        </w:rPr>
        <w:t>Import Tracing Identification Number (ITIN)</w:t>
      </w:r>
    </w:p>
    <w:p w:rsidR="00865EED" w:rsidRPr="00865EED" w:rsidP="00865EED" w14:paraId="4A0F3868" w14:textId="77777777">
      <w:pPr>
        <w:numPr>
          <w:ilvl w:val="0"/>
          <w:numId w:val="15"/>
        </w:numPr>
        <w:rPr>
          <w:rFonts w:ascii="Arial" w:hAnsi="Arial" w:cs="Arial"/>
          <w:snapToGrid/>
          <w:szCs w:val="24"/>
        </w:rPr>
      </w:pPr>
      <w:r w:rsidRPr="00865EED">
        <w:rPr>
          <w:rFonts w:ascii="Arial" w:hAnsi="Arial" w:cs="Arial"/>
          <w:snapToGrid/>
          <w:szCs w:val="24"/>
        </w:rPr>
        <w:t>Manufacture Tracing Identification Number (MTIN)</w:t>
      </w:r>
    </w:p>
    <w:p w:rsidR="00865EED" w:rsidRPr="00865EED" w:rsidP="00865EED" w14:paraId="44F3C9F1" w14:textId="77777777">
      <w:pPr>
        <w:widowControl/>
        <w:numPr>
          <w:ilvl w:val="0"/>
          <w:numId w:val="15"/>
        </w:numPr>
        <w:autoSpaceDE w:val="0"/>
        <w:autoSpaceDN w:val="0"/>
        <w:adjustRightInd w:val="0"/>
        <w:rPr>
          <w:rFonts w:ascii="Arial" w:hAnsi="Arial" w:cs="Arial"/>
          <w:snapToGrid/>
          <w:szCs w:val="24"/>
        </w:rPr>
      </w:pPr>
      <w:r w:rsidRPr="00865EED">
        <w:rPr>
          <w:rFonts w:ascii="Arial" w:hAnsi="Arial" w:cs="Arial"/>
        </w:rPr>
        <w:t>Certification for Valuation of Destroyed Merchandise</w:t>
      </w:r>
    </w:p>
    <w:p w:rsidR="00865EED" w:rsidRPr="00865EED" w:rsidP="00865EED" w14:paraId="57970C6C" w14:textId="77777777">
      <w:pPr>
        <w:numPr>
          <w:ilvl w:val="0"/>
          <w:numId w:val="15"/>
        </w:numPr>
        <w:rPr>
          <w:rFonts w:ascii="Arial" w:hAnsi="Arial" w:cs="Arial"/>
          <w:snapToGrid/>
          <w:szCs w:val="24"/>
        </w:rPr>
      </w:pPr>
      <w:r w:rsidRPr="00865EED">
        <w:rPr>
          <w:rFonts w:ascii="Arial" w:hAnsi="Arial" w:cs="Arial"/>
          <w:snapToGrid/>
          <w:szCs w:val="24"/>
        </w:rPr>
        <w:t>Substituted Unused Wine Certification</w:t>
      </w:r>
    </w:p>
    <w:p w:rsidR="00865EED" w:rsidRPr="00865EED" w:rsidP="00865EED" w14:paraId="58C47E53" w14:textId="77777777">
      <w:pPr>
        <w:numPr>
          <w:ilvl w:val="0"/>
          <w:numId w:val="15"/>
        </w:numPr>
        <w:rPr>
          <w:rFonts w:ascii="Arial" w:hAnsi="Arial" w:cs="Arial"/>
          <w:snapToGrid/>
          <w:szCs w:val="24"/>
        </w:rPr>
      </w:pPr>
      <w:r w:rsidRPr="00865EED">
        <w:rPr>
          <w:rFonts w:ascii="Arial" w:hAnsi="Arial" w:cs="Arial"/>
          <w:snapToGrid/>
          <w:szCs w:val="24"/>
        </w:rPr>
        <w:t xml:space="preserve">Certification of Eligibility for AP and/or WPN Privilege(s)  </w:t>
      </w:r>
    </w:p>
    <w:p w:rsidR="00865EED" w:rsidRPr="00865EED" w:rsidP="00865EED" w14:paraId="052F0FFF" w14:textId="77777777">
      <w:pPr>
        <w:numPr>
          <w:ilvl w:val="0"/>
          <w:numId w:val="15"/>
        </w:numPr>
        <w:rPr>
          <w:rFonts w:ascii="Arial" w:hAnsi="Arial" w:cs="Arial"/>
          <w:snapToGrid/>
          <w:szCs w:val="24"/>
        </w:rPr>
      </w:pPr>
      <w:r w:rsidRPr="00865EED">
        <w:rPr>
          <w:rFonts w:ascii="Arial" w:hAnsi="Arial" w:cs="Arial"/>
          <w:snapToGrid/>
          <w:szCs w:val="24"/>
        </w:rPr>
        <w:t>Identification of Accounting Methodology</w:t>
      </w:r>
    </w:p>
    <w:p w:rsidR="00865EED" w:rsidRPr="00865EED" w:rsidP="00865EED" w14:paraId="798554F1" w14:textId="77777777">
      <w:pPr>
        <w:numPr>
          <w:ilvl w:val="0"/>
          <w:numId w:val="15"/>
        </w:numPr>
        <w:rPr>
          <w:rFonts w:ascii="Arial" w:hAnsi="Arial" w:cs="Arial"/>
          <w:snapToGrid/>
          <w:szCs w:val="24"/>
        </w:rPr>
      </w:pPr>
      <w:r w:rsidRPr="00865EED">
        <w:rPr>
          <w:rFonts w:ascii="Arial" w:hAnsi="Arial" w:cs="Arial"/>
          <w:snapToGrid/>
          <w:szCs w:val="24"/>
        </w:rPr>
        <w:t>Indicator for Notice of Intent to Export or Destroy</w:t>
      </w:r>
    </w:p>
    <w:p w:rsidR="00865EED" w:rsidRPr="00865EED" w:rsidP="00865EED" w14:paraId="0B18A14F" w14:textId="77777777">
      <w:pPr>
        <w:numPr>
          <w:ilvl w:val="0"/>
          <w:numId w:val="15"/>
        </w:numPr>
        <w:rPr>
          <w:rFonts w:ascii="Arial" w:hAnsi="Arial" w:cs="Arial"/>
          <w:snapToGrid/>
          <w:szCs w:val="24"/>
        </w:rPr>
      </w:pPr>
      <w:r w:rsidRPr="00865EED">
        <w:rPr>
          <w:rFonts w:ascii="Arial" w:hAnsi="Arial" w:cs="Arial"/>
          <w:snapToGrid/>
          <w:szCs w:val="24"/>
        </w:rPr>
        <w:t>Indicator for Waiver of Drawback Claim Rights</w:t>
      </w:r>
    </w:p>
    <w:p w:rsidR="00865EED" w:rsidRPr="00865EED" w:rsidP="00865EED" w14:paraId="4AF0FBA3" w14:textId="77777777">
      <w:pPr>
        <w:ind w:left="432"/>
        <w:rPr>
          <w:rFonts w:ascii="Arial" w:hAnsi="Arial" w:cs="Arial"/>
          <w:snapToGrid/>
          <w:szCs w:val="24"/>
        </w:rPr>
      </w:pPr>
    </w:p>
    <w:p w:rsidR="00865EED" w:rsidRPr="00865EED" w:rsidP="00865EED" w14:paraId="19F26EF0" w14:textId="1CBABCEE">
      <w:pPr>
        <w:ind w:left="720"/>
        <w:rPr>
          <w:rFonts w:ascii="Arial" w:hAnsi="Arial" w:cs="Arial"/>
          <w:snapToGrid/>
          <w:szCs w:val="24"/>
        </w:rPr>
      </w:pPr>
      <w:r w:rsidRPr="00C02E0A">
        <w:rPr>
          <w:rFonts w:ascii="Arial" w:hAnsi="Arial" w:cs="Arial"/>
          <w:snapToGrid/>
          <w:szCs w:val="24"/>
        </w:rPr>
        <w:t>New d</w:t>
      </w:r>
      <w:r w:rsidRPr="00865EED">
        <w:rPr>
          <w:rFonts w:ascii="Arial" w:hAnsi="Arial" w:cs="Arial"/>
          <w:snapToGrid/>
          <w:szCs w:val="24"/>
        </w:rPr>
        <w:t>ata elements added to the CBP Form 7553:</w:t>
      </w:r>
    </w:p>
    <w:p w:rsidR="00865EED" w:rsidRPr="00865EED" w:rsidP="00865EED" w14:paraId="0496B50C" w14:textId="77777777">
      <w:pPr>
        <w:numPr>
          <w:ilvl w:val="0"/>
          <w:numId w:val="16"/>
        </w:numPr>
        <w:rPr>
          <w:rFonts w:ascii="Arial" w:hAnsi="Arial" w:cs="Arial"/>
          <w:snapToGrid/>
          <w:szCs w:val="24"/>
        </w:rPr>
      </w:pPr>
      <w:r w:rsidRPr="00865EED">
        <w:rPr>
          <w:rFonts w:ascii="Arial" w:hAnsi="Arial" w:cs="Arial"/>
          <w:snapToGrid/>
          <w:szCs w:val="24"/>
        </w:rPr>
        <w:t>Continuation sheet(#15-19)</w:t>
      </w:r>
    </w:p>
    <w:p w:rsidR="00865EED" w:rsidRPr="00865EED" w:rsidP="00865EED" w14:paraId="24AC4841" w14:textId="77777777">
      <w:pPr>
        <w:numPr>
          <w:ilvl w:val="0"/>
          <w:numId w:val="16"/>
        </w:numPr>
        <w:rPr>
          <w:rFonts w:ascii="Arial" w:hAnsi="Arial" w:cs="Arial"/>
          <w:snapToGrid/>
          <w:szCs w:val="24"/>
        </w:rPr>
      </w:pPr>
      <w:r w:rsidRPr="00865EED">
        <w:rPr>
          <w:rFonts w:ascii="Arial" w:hAnsi="Arial" w:cs="Arial"/>
          <w:snapToGrid/>
          <w:szCs w:val="24"/>
        </w:rPr>
        <w:t>Line item number added (#15)</w:t>
      </w:r>
    </w:p>
    <w:p w:rsidR="00865EED" w:rsidRPr="00865EED" w:rsidP="00865EED" w14:paraId="005CB69D" w14:textId="77777777">
      <w:pPr>
        <w:numPr>
          <w:ilvl w:val="0"/>
          <w:numId w:val="16"/>
        </w:numPr>
        <w:rPr>
          <w:rFonts w:ascii="Arial" w:hAnsi="Arial" w:cs="Arial"/>
          <w:snapToGrid/>
          <w:szCs w:val="24"/>
        </w:rPr>
      </w:pPr>
      <w:r w:rsidRPr="00865EED">
        <w:rPr>
          <w:rFonts w:ascii="Arial" w:hAnsi="Arial" w:cs="Arial"/>
          <w:snapToGrid/>
          <w:szCs w:val="24"/>
        </w:rPr>
        <w:t>Rejected merchandise box added (#20)</w:t>
      </w:r>
    </w:p>
    <w:p w:rsidR="00865EED" w:rsidRPr="00865EED" w:rsidP="00865EED" w14:paraId="7FD66612" w14:textId="77777777">
      <w:pPr>
        <w:numPr>
          <w:ilvl w:val="0"/>
          <w:numId w:val="16"/>
        </w:numPr>
        <w:rPr>
          <w:rFonts w:ascii="Arial" w:hAnsi="Arial" w:cs="Arial"/>
          <w:snapToGrid/>
          <w:szCs w:val="24"/>
        </w:rPr>
      </w:pPr>
      <w:r w:rsidRPr="00865EED">
        <w:rPr>
          <w:rFonts w:ascii="Arial" w:hAnsi="Arial" w:cs="Arial"/>
          <w:snapToGrid/>
          <w:szCs w:val="24"/>
        </w:rPr>
        <w:t>Instructions were edited to comply with TFTEA-Drawback requirements</w:t>
      </w:r>
    </w:p>
    <w:p w:rsidR="00865EED" w:rsidRPr="00865EED" w:rsidP="00865EED" w14:paraId="5F16B3DB" w14:textId="77777777">
      <w:pPr>
        <w:rPr>
          <w:rFonts w:ascii="Arial" w:hAnsi="Arial" w:cs="Arial"/>
          <w:snapToGrid/>
          <w:szCs w:val="24"/>
        </w:rPr>
      </w:pPr>
    </w:p>
    <w:p w:rsidR="00865EED" w:rsidRPr="00865EED" w:rsidP="00865EED" w14:paraId="04FEAF68" w14:textId="77777777">
      <w:pPr>
        <w:ind w:left="720"/>
        <w:rPr>
          <w:rFonts w:ascii="Arial" w:hAnsi="Arial" w:cs="Arial"/>
          <w:snapToGrid/>
          <w:szCs w:val="24"/>
        </w:rPr>
      </w:pPr>
      <w:r w:rsidRPr="00865EED">
        <w:rPr>
          <w:rFonts w:ascii="Arial" w:hAnsi="Arial" w:cs="Arial"/>
          <w:snapToGrid/>
          <w:szCs w:val="24"/>
        </w:rPr>
        <w:t>This collection of information applies to the individuals and companies in the trade community who are and are not familiar with drawback, importing and exporting procedures, and with the CBP regulations.</w:t>
      </w:r>
    </w:p>
    <w:p w:rsidR="00865EED" w:rsidRPr="00865EED" w:rsidP="00865EED" w14:paraId="399BC9E6" w14:textId="77777777">
      <w:pPr>
        <w:ind w:left="720"/>
        <w:rPr>
          <w:rFonts w:ascii="Arial" w:hAnsi="Arial" w:cs="Arial"/>
          <w:snapToGrid/>
          <w:szCs w:val="24"/>
        </w:rPr>
      </w:pPr>
    </w:p>
    <w:p w:rsidR="00865EED" w:rsidRPr="00865EED" w:rsidP="00865EED" w14:paraId="289D6156" w14:textId="77777777">
      <w:pPr>
        <w:ind w:left="720"/>
        <w:rPr>
          <w:rFonts w:ascii="Arial" w:hAnsi="Arial" w:cs="Arial"/>
          <w:snapToGrid/>
          <w:szCs w:val="24"/>
        </w:rPr>
      </w:pPr>
      <w:r w:rsidRPr="00865EED">
        <w:rPr>
          <w:rFonts w:ascii="Arial" w:hAnsi="Arial" w:cs="Arial"/>
          <w:snapToGrid/>
          <w:szCs w:val="24"/>
        </w:rPr>
        <w:t>Please note that CBP Forms 7551 and 7552 are both abolished.  From February 24, 2019, onward, TFTEA-Drawback, as provided for in part 190, is the only legal framework for filing drawback claims.  No new drawback claims may be filed under the paper-based processes previously provided for in part 191 (Drawback).   Sections 190.51, 190.52, and 190.53 provide the requirements to submit a drawback claim electronically.  The provisions of part 190 are similar to the provisions in part 191, except where necessary to outline all the data elements for a complete claim (previously contained in CBP form 7551) and modify those requirements to comply with TFTEA-Drawback.  CBP form 7552, Certificates of Delivery and Certificates of Manufacturing &amp; Delivery will no longer be requested or accepted to demonstrate the transfer of merchandise.  Sections 190.10 and 190.24 require that any transfers of merchandise must be evidenced by business records, as defined in section 190.2.</w:t>
      </w:r>
    </w:p>
    <w:p w:rsidR="00D169E0" w:rsidRPr="00D82D18" w:rsidP="00D169E0" w14:paraId="38ABDF7C" w14:textId="77777777">
      <w:pPr>
        <w:ind w:left="720"/>
        <w:jc w:val="both"/>
        <w:rPr>
          <w:rFonts w:ascii="Arial" w:hAnsi="Arial" w:cs="Arial"/>
          <w:color w:val="FF0000"/>
          <w:szCs w:val="24"/>
        </w:rPr>
      </w:pPr>
    </w:p>
    <w:p w:rsidR="00D169E0" w:rsidRPr="00D169E0" w:rsidP="00D169E0" w14:paraId="34A95736"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E44CC4">
        <w:rPr>
          <w:rFonts w:ascii="Arial" w:hAnsi="Arial" w:cs="Arial"/>
          <w:b/>
          <w:bCs/>
          <w:szCs w:val="24"/>
        </w:rPr>
        <w:t xml:space="preserve">Indicate how, by whom, and for what purpose the information is to be used.  Except for a new collection, indicate the actual use the agency has made of the </w:t>
      </w:r>
      <w:r w:rsidRPr="00E44CC4">
        <w:rPr>
          <w:rFonts w:ascii="Arial" w:hAnsi="Arial" w:cs="Arial"/>
          <w:b/>
          <w:bCs/>
          <w:szCs w:val="24"/>
        </w:rPr>
        <w:t>information received from the current collection</w:t>
      </w:r>
      <w:r w:rsidRPr="00E44CC4">
        <w:rPr>
          <w:rFonts w:ascii="Arial" w:hAnsi="Arial" w:cs="Arial"/>
          <w:szCs w:val="24"/>
        </w:rPr>
        <w:t>.</w:t>
      </w:r>
    </w:p>
    <w:p w:rsidR="00D169E0" w:rsidRPr="00D169E0" w:rsidP="00D169E0" w14:paraId="5F83912D" w14:textId="77777777">
      <w:pPr>
        <w:jc w:val="both"/>
        <w:rPr>
          <w:rFonts w:ascii="Arial" w:hAnsi="Arial" w:cs="Arial"/>
          <w:szCs w:val="24"/>
        </w:rPr>
      </w:pPr>
      <w:r w:rsidRPr="00D169E0">
        <w:rPr>
          <w:rFonts w:ascii="Arial" w:hAnsi="Arial" w:cs="Arial"/>
          <w:szCs w:val="24"/>
        </w:rPr>
        <w:tab/>
      </w:r>
    </w:p>
    <w:p w:rsidR="00D169E0" w:rsidRPr="00D169E0" w:rsidP="00106C11" w14:paraId="55654E07"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szCs w:val="24"/>
        </w:rPr>
        <w:tab/>
      </w:r>
      <w:r w:rsidRPr="000A6023" w:rsidR="000A6023">
        <w:rPr>
          <w:rFonts w:ascii="Arial" w:hAnsi="Arial"/>
        </w:rPr>
        <w:t>The information is to be used by CBP to expedite the filing and processing of drawback claims and to maintain effective oversight over the drawback program. CBP receives and reviews drawback information submitted by the trade from the ACE system.</w:t>
      </w:r>
    </w:p>
    <w:p w:rsidR="00321F85" w:rsidP="00D169E0" w14:paraId="2A6F44DA" w14:textId="77777777">
      <w:pPr>
        <w:tabs>
          <w:tab w:val="left" w:pos="-1440"/>
        </w:tabs>
        <w:ind w:left="720" w:hanging="720"/>
        <w:jc w:val="both"/>
        <w:rPr>
          <w:rFonts w:ascii="Arial" w:hAnsi="Arial" w:cs="Arial"/>
          <w:b/>
          <w:bCs/>
          <w:szCs w:val="24"/>
        </w:rPr>
      </w:pPr>
    </w:p>
    <w:p w:rsidR="00D169E0" w:rsidRPr="00D169E0" w:rsidP="00D169E0" w14:paraId="09B11EAA"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E44CC4">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44CC4">
        <w:rPr>
          <w:rFonts w:ascii="Arial" w:hAnsi="Arial" w:cs="Arial"/>
          <w:szCs w:val="24"/>
        </w:rPr>
        <w:t>.</w:t>
      </w:r>
      <w:r w:rsidRPr="00D169E0">
        <w:rPr>
          <w:rFonts w:ascii="Arial" w:hAnsi="Arial" w:cs="Arial"/>
          <w:szCs w:val="24"/>
        </w:rPr>
        <w:t xml:space="preserve">  </w:t>
      </w:r>
    </w:p>
    <w:p w:rsidR="00D169E0" w:rsidP="00D169E0" w14:paraId="6AF20D76" w14:textId="77777777">
      <w:pPr>
        <w:jc w:val="both"/>
        <w:rPr>
          <w:rFonts w:ascii="Arial" w:hAnsi="Arial" w:cs="Arial"/>
          <w:szCs w:val="24"/>
        </w:rPr>
      </w:pPr>
      <w:r w:rsidRPr="00D169E0">
        <w:rPr>
          <w:rFonts w:ascii="Arial" w:hAnsi="Arial" w:cs="Arial"/>
          <w:szCs w:val="24"/>
        </w:rPr>
        <w:tab/>
      </w:r>
    </w:p>
    <w:p w:rsidR="000A6023" w:rsidRPr="000A6023" w:rsidP="000A6023" w14:paraId="62FB606D" w14:textId="77777777">
      <w:pPr>
        <w:tabs>
          <w:tab w:val="left" w:pos="-1440"/>
        </w:tabs>
        <w:ind w:left="720" w:hanging="720"/>
        <w:rPr>
          <w:rFonts w:ascii="Arial" w:hAnsi="Arial"/>
        </w:rPr>
      </w:pPr>
      <w:r>
        <w:rPr>
          <w:rFonts w:ascii="Arial" w:hAnsi="Arial"/>
        </w:rPr>
        <w:tab/>
      </w:r>
      <w:r w:rsidRPr="000A6023">
        <w:rPr>
          <w:rFonts w:ascii="Arial" w:hAnsi="Arial" w:cs="Arial"/>
          <w:szCs w:val="24"/>
          <w:shd w:val="clear" w:color="auto" w:fill="FAF9F8"/>
        </w:rPr>
        <w:t>All drawback claims must be filed electronically through a CBP-authorized Electronic Data Interchange system. The drawback claims are accepted via our Automated Commercial Environment (ACE) system</w:t>
      </w:r>
      <w:r w:rsidRPr="000A6023">
        <w:rPr>
          <w:rFonts w:ascii="Arial" w:hAnsi="Arial"/>
        </w:rPr>
        <w:t xml:space="preserve">. In order to file a drawback claim, a company has to either have a direct communications to ACE, hire a broker to submit the information through a direct communication connection to ACE, or self-file through a service provider that provides the software and ACE connection for a company to submit the information to CBP.  Information for first time drawback fliers can be found at </w:t>
      </w:r>
      <w:hyperlink r:id="rId13" w:history="1">
        <w:r w:rsidRPr="000A6023">
          <w:rPr>
            <w:rFonts w:ascii="Arial" w:hAnsi="Arial"/>
            <w:color w:val="0000FF"/>
            <w:u w:val="single"/>
          </w:rPr>
          <w:t>https://www.cbp.gov/trade/drawback/drawback-reminder-manual-filers</w:t>
        </w:r>
      </w:hyperlink>
    </w:p>
    <w:p w:rsidR="000A6023" w:rsidRPr="000A6023" w:rsidP="000A6023" w14:paraId="60AF197A" w14:textId="77777777">
      <w:pPr>
        <w:tabs>
          <w:tab w:val="left" w:pos="-1440"/>
        </w:tabs>
        <w:ind w:left="720" w:hanging="720"/>
        <w:rPr>
          <w:rFonts w:ascii="Arial" w:hAnsi="Arial"/>
          <w:szCs w:val="24"/>
        </w:rPr>
      </w:pPr>
    </w:p>
    <w:p w:rsidR="000A6023" w:rsidRPr="000A6023" w:rsidP="000A6023" w14:paraId="38713C08" w14:textId="447A0DCE">
      <w:pPr>
        <w:widowControl/>
        <w:shd w:val="clear" w:color="auto" w:fill="FAF9F8"/>
        <w:ind w:left="720"/>
        <w:rPr>
          <w:rFonts w:ascii="Segoe UI" w:hAnsi="Segoe UI" w:cs="Segoe UI"/>
          <w:snapToGrid/>
          <w:szCs w:val="24"/>
        </w:rPr>
      </w:pPr>
      <w:r w:rsidRPr="000A6023">
        <w:rPr>
          <w:rFonts w:ascii="Arial" w:hAnsi="Arial" w:cs="Arial"/>
          <w:snapToGrid/>
          <w:szCs w:val="24"/>
        </w:rPr>
        <w:t>When the CBP Form 7553 is required, filers must submit the form to a CBP Officer (CBPO) at the port of intended examination, destruction, or redelivery prior to exporting or destroying the merchandise. Upon receipt of a complete form, a CBPO will make a determination as to whether the merchandise will be examined prior to export, or the destruction will be witnessed. The form will be returned to the company, indicating CBP's decisions on examination, destruction or waiver (indicating that CBP has made a determination not to examine the merchandise prior to export or witness the destruction). CBPOs are not required to maintain a copy. This is because the company is required to submit the signed form into CBP’s D</w:t>
      </w:r>
      <w:r w:rsidR="00C02E0A">
        <w:rPr>
          <w:rFonts w:ascii="Arial" w:hAnsi="Arial" w:cs="Arial"/>
          <w:snapToGrid/>
          <w:szCs w:val="24"/>
        </w:rPr>
        <w:t>ocument</w:t>
      </w:r>
      <w:r w:rsidRPr="000A6023">
        <w:rPr>
          <w:rFonts w:ascii="Arial" w:hAnsi="Arial" w:cs="Arial"/>
          <w:snapToGrid/>
          <w:szCs w:val="24"/>
        </w:rPr>
        <w:t xml:space="preserve"> Image System (DIS). After this form is returned by CBP, it should be uploaded as an attachment to the company's drawback claim in DIS, along with proof of exportation or destruction, and submitted for acceptance in Automated Commercial Environment (ACE). This form is a required document that must be provided to CBP within 24 hours of the filing of the drawback claim </w:t>
      </w:r>
      <w:r w:rsidRPr="000A6023">
        <w:rPr>
          <w:rFonts w:ascii="Arial" w:hAnsi="Arial" w:cs="Arial"/>
          <w:snapToGrid/>
          <w:szCs w:val="24"/>
        </w:rPr>
        <w:t>in order to</w:t>
      </w:r>
      <w:r w:rsidRPr="000A6023">
        <w:rPr>
          <w:rFonts w:ascii="Arial" w:hAnsi="Arial" w:cs="Arial"/>
          <w:snapToGrid/>
          <w:szCs w:val="24"/>
        </w:rPr>
        <w:t xml:space="preserve"> fulfill the complete claim requirements (if the claimant does not have one-time waiver (OTW) or waiver of prior notice (WPN) privileges</w:t>
      </w:r>
      <w:r w:rsidR="0066548E">
        <w:rPr>
          <w:rFonts w:ascii="Arial" w:hAnsi="Arial" w:cs="Arial"/>
          <w:snapToGrid/>
          <w:szCs w:val="24"/>
        </w:rPr>
        <w:t>.</w:t>
      </w:r>
    </w:p>
    <w:p w:rsidR="000A6023" w:rsidRPr="000A6023" w:rsidP="000A6023" w14:paraId="6B18C928" w14:textId="77777777">
      <w:pPr>
        <w:widowControl/>
        <w:shd w:val="clear" w:color="auto" w:fill="FAF9F8"/>
        <w:ind w:left="720"/>
        <w:rPr>
          <w:rFonts w:ascii="Arial" w:hAnsi="Arial" w:cs="Arial"/>
          <w:snapToGrid/>
          <w:szCs w:val="24"/>
        </w:rPr>
      </w:pPr>
    </w:p>
    <w:p w:rsidR="005B748F" w:rsidP="00DF5872" w14:paraId="1CA6B4BC" w14:textId="547DCB20">
      <w:pPr>
        <w:widowControl/>
        <w:shd w:val="clear" w:color="auto" w:fill="FAF9F8"/>
        <w:ind w:left="720"/>
        <w:rPr>
          <w:rFonts w:ascii="Arial" w:hAnsi="Arial" w:cs="Arial"/>
          <w:sz w:val="20"/>
        </w:rPr>
      </w:pPr>
      <w:r w:rsidRPr="000A6023">
        <w:rPr>
          <w:rFonts w:ascii="Arial" w:hAnsi="Arial" w:cs="Arial"/>
          <w:snapToGrid/>
          <w:szCs w:val="24"/>
        </w:rPr>
        <w:t xml:space="preserve">Drawback filers can submit supporting documentation for drawback claims to CBP through the Document Image System (DIS). Instead of providing a physical copy of the CBP form 7553, users should submit an electronic version of a document (i.e. PDF or JPEG). This process as well as submitting the claim electronically allows </w:t>
      </w:r>
      <w:r w:rsidRPr="000A6023">
        <w:rPr>
          <w:rFonts w:ascii="Arial" w:hAnsi="Arial" w:cs="Arial"/>
          <w:snapToGrid/>
          <w:szCs w:val="24"/>
        </w:rPr>
        <w:t>CBP personnel to receive and review documentation in a timelier manner than with paper counterparts.</w:t>
      </w:r>
      <w:r w:rsidRPr="000A6023">
        <w:rPr>
          <w:rFonts w:ascii="Segoe UI" w:hAnsi="Segoe UI" w:cs="Segoe UI"/>
          <w:snapToGrid/>
          <w:szCs w:val="24"/>
        </w:rPr>
        <w:t xml:space="preserve"> </w:t>
      </w:r>
    </w:p>
    <w:p w:rsidR="00D169E0" w:rsidP="00D169E0" w14:paraId="427044E6" w14:textId="77777777">
      <w:pPr>
        <w:jc w:val="both"/>
        <w:rPr>
          <w:rFonts w:ascii="Arial" w:hAnsi="Arial" w:cs="Arial"/>
          <w:szCs w:val="24"/>
        </w:rPr>
      </w:pPr>
      <w:r w:rsidRPr="00D169E0">
        <w:rPr>
          <w:rFonts w:ascii="Arial" w:hAnsi="Arial" w:cs="Arial"/>
          <w:szCs w:val="24"/>
        </w:rPr>
        <w:tab/>
        <w:t xml:space="preserve">       </w:t>
      </w:r>
    </w:p>
    <w:p w:rsidR="00DF5872" w:rsidP="00DF5872" w14:paraId="39F0D7AB" w14:textId="7D0E5F79">
      <w:pPr>
        <w:ind w:left="720"/>
        <w:jc w:val="both"/>
        <w:rPr>
          <w:rFonts w:ascii="Arial" w:hAnsi="Arial" w:cs="Arial"/>
          <w:b/>
          <w:bCs/>
          <w:szCs w:val="24"/>
          <w:u w:val="single"/>
        </w:rPr>
      </w:pPr>
      <w:r w:rsidRPr="00DF5872">
        <w:rPr>
          <w:rFonts w:ascii="Arial" w:hAnsi="Arial" w:cs="Arial"/>
          <w:b/>
          <w:bCs/>
          <w:szCs w:val="24"/>
          <w:u w:val="single"/>
        </w:rPr>
        <w:t>Usability Testing:</w:t>
      </w:r>
    </w:p>
    <w:p w:rsidR="00DF5872" w:rsidRPr="00DF5872" w:rsidP="00DF5872" w14:paraId="0BBDAAA2" w14:textId="02C5F067">
      <w:pPr>
        <w:ind w:left="720"/>
        <w:jc w:val="both"/>
        <w:rPr>
          <w:rFonts w:ascii="Arial" w:hAnsi="Arial" w:cs="Arial"/>
          <w:szCs w:val="24"/>
        </w:rPr>
      </w:pPr>
      <w:r w:rsidRPr="00DF5872">
        <w:rPr>
          <w:rFonts w:ascii="Arial" w:hAnsi="Arial" w:cs="Arial"/>
          <w:szCs w:val="24"/>
        </w:rPr>
        <w:t xml:space="preserve">Usability testing for CBP form 7553 was conducted through a survey using a brief questionnaire. The participants were drawback filers. Only one responded to the survey, but they are a specialist who files drawback claims for over 100 companies, making their feedback very valuable. The respondent indicated they rarely complete Form 7553 but are very familiar with the process. While they found it somewhat easy to use, they noted certain sections like items 15 and 16 are </w:t>
      </w:r>
      <w:r w:rsidRPr="00DF5872">
        <w:rPr>
          <w:rFonts w:ascii="Arial" w:hAnsi="Arial" w:cs="Arial"/>
          <w:szCs w:val="24"/>
        </w:rPr>
        <w:t>unclear,</w:t>
      </w:r>
      <w:r w:rsidRPr="00DF5872">
        <w:rPr>
          <w:rFonts w:ascii="Arial" w:hAnsi="Arial" w:cs="Arial"/>
          <w:szCs w:val="24"/>
        </w:rPr>
        <w:t xml:space="preserve"> especially when filing for more than one import. The respondent also indicated generalists, and less experienced brokers often struggle and have provided guidance to competitors. The recommendation is to separate out claim details from the export/destruction details to make </w:t>
      </w:r>
      <w:r w:rsidRPr="00DF5872">
        <w:rPr>
          <w:rFonts w:ascii="Arial" w:hAnsi="Arial" w:cs="Arial"/>
          <w:szCs w:val="24"/>
        </w:rPr>
        <w:t>forms</w:t>
      </w:r>
      <w:r w:rsidRPr="00DF5872">
        <w:rPr>
          <w:rFonts w:ascii="Arial" w:hAnsi="Arial" w:cs="Arial"/>
          <w:szCs w:val="24"/>
        </w:rPr>
        <w:t xml:space="preserve"> easier to complete. Other suggestions included clarifying submission protocols, removing the refund calculation step, and maybe even considering eliminating the form entirely to streamline the process. Because of the complexity and administrative burden of form 7553, many companies opt for the Privileges Application Process. If the form were simplified, improved, examples, guidelines were provided users will consider using it more frequently instead of the Privileges Application.</w:t>
      </w:r>
    </w:p>
    <w:p w:rsidR="00DF5872" w:rsidRPr="00D169E0" w:rsidP="00D169E0" w14:paraId="65B5DEDD" w14:textId="77777777">
      <w:pPr>
        <w:jc w:val="both"/>
        <w:rPr>
          <w:rFonts w:ascii="Arial" w:hAnsi="Arial" w:cs="Arial"/>
          <w:szCs w:val="24"/>
        </w:rPr>
      </w:pPr>
    </w:p>
    <w:p w:rsidR="00D169E0" w:rsidRPr="00D169E0" w:rsidP="00D169E0" w14:paraId="680FF2A9"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46DD25B2" w14:textId="77777777">
      <w:pPr>
        <w:tabs>
          <w:tab w:val="left" w:pos="-1440"/>
        </w:tabs>
        <w:ind w:left="720" w:hanging="720"/>
        <w:jc w:val="both"/>
        <w:rPr>
          <w:rFonts w:ascii="Arial" w:hAnsi="Arial" w:cs="Arial"/>
          <w:szCs w:val="24"/>
        </w:rPr>
      </w:pPr>
    </w:p>
    <w:p w:rsidR="00D169E0" w:rsidRPr="00D169E0" w:rsidP="00D169E0" w14:paraId="2CFBF183"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14:paraId="586CEBE1" w14:textId="77777777">
      <w:pPr>
        <w:ind w:left="720" w:hanging="720"/>
        <w:jc w:val="both"/>
        <w:rPr>
          <w:rFonts w:ascii="Arial" w:hAnsi="Arial" w:cs="Arial"/>
          <w:b/>
          <w:bCs/>
          <w:szCs w:val="24"/>
        </w:rPr>
      </w:pPr>
    </w:p>
    <w:p w:rsidR="00D169E0" w:rsidRPr="00D169E0" w:rsidP="00D169E0" w14:paraId="65A206E7"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B520C1">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13EFC8E7" w14:textId="77777777">
      <w:pPr>
        <w:tabs>
          <w:tab w:val="left" w:pos="-1440"/>
        </w:tabs>
        <w:ind w:left="720" w:hanging="720"/>
        <w:jc w:val="both"/>
        <w:rPr>
          <w:rFonts w:ascii="Arial" w:hAnsi="Arial" w:cs="Arial"/>
          <w:szCs w:val="24"/>
        </w:rPr>
      </w:pPr>
    </w:p>
    <w:p w:rsidR="00825C92" w:rsidP="00D169E0" w14:paraId="70FAF87E"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00D169E0" w:rsidRPr="00D169E0" w:rsidP="00825C92" w14:paraId="671BEAEA"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350FF7A3"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409BFFE2" w14:textId="77777777">
      <w:pPr>
        <w:tabs>
          <w:tab w:val="left" w:pos="-1080"/>
          <w:tab w:val="left" w:pos="-720"/>
          <w:tab w:val="left" w:pos="0"/>
          <w:tab w:val="left" w:pos="1080"/>
        </w:tabs>
        <w:jc w:val="both"/>
        <w:rPr>
          <w:rFonts w:ascii="Arial" w:hAnsi="Arial" w:cs="Arial"/>
          <w:b/>
          <w:bCs/>
          <w:szCs w:val="24"/>
        </w:rPr>
      </w:pPr>
    </w:p>
    <w:p w:rsidR="00767C95" w:rsidP="00767C95" w14:paraId="3BB44882" w14:textId="77777777">
      <w:pPr>
        <w:tabs>
          <w:tab w:val="left" w:pos="-1080"/>
          <w:tab w:val="left" w:pos="-720"/>
          <w:tab w:val="left" w:pos="0"/>
          <w:tab w:val="left" w:pos="1080"/>
        </w:tabs>
        <w:ind w:left="720"/>
        <w:jc w:val="both"/>
        <w:rPr>
          <w:rFonts w:ascii="Arial" w:hAnsi="Arial"/>
        </w:rPr>
      </w:pPr>
      <w:r>
        <w:rPr>
          <w:rFonts w:ascii="Arial" w:hAnsi="Arial"/>
        </w:rPr>
        <w:t xml:space="preserve">Failure to collect this information would </w:t>
      </w:r>
      <w:r w:rsidR="00B12931">
        <w:rPr>
          <w:rFonts w:ascii="Arial" w:hAnsi="Arial"/>
        </w:rPr>
        <w:t xml:space="preserve">prevent </w:t>
      </w:r>
      <w:r>
        <w:rPr>
          <w:rFonts w:ascii="Arial" w:hAnsi="Arial"/>
        </w:rPr>
        <w:t xml:space="preserve">CBP from </w:t>
      </w:r>
      <w:r w:rsidR="00F26C22">
        <w:rPr>
          <w:rFonts w:ascii="Arial" w:hAnsi="Arial"/>
        </w:rPr>
        <w:t>processing cl</w:t>
      </w:r>
      <w:r>
        <w:rPr>
          <w:rFonts w:ascii="Arial" w:hAnsi="Arial"/>
        </w:rPr>
        <w:t xml:space="preserve">aims from affected domestic producers that petitioned for or supported the issuance of the order or finding under which the duties were assessed.  </w:t>
      </w:r>
    </w:p>
    <w:p w:rsidR="00767C95" w:rsidP="00767C95" w14:paraId="0E4E810A" w14:textId="77777777">
      <w:pPr>
        <w:tabs>
          <w:tab w:val="left" w:pos="-1440"/>
        </w:tabs>
        <w:ind w:left="720" w:hanging="720"/>
        <w:jc w:val="both"/>
        <w:rPr>
          <w:rFonts w:ascii="Arial" w:hAnsi="Arial" w:cs="Arial"/>
          <w:szCs w:val="24"/>
        </w:rPr>
      </w:pPr>
    </w:p>
    <w:p w:rsidR="00D169E0" w:rsidP="006E1E43" w14:paraId="74B91FFE"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7D0D386C" w14:textId="77777777">
      <w:pPr>
        <w:tabs>
          <w:tab w:val="left" w:pos="-1440"/>
        </w:tabs>
        <w:ind w:left="720" w:hanging="720"/>
        <w:jc w:val="both"/>
        <w:rPr>
          <w:rFonts w:ascii="Arial" w:hAnsi="Arial" w:cs="Arial"/>
          <w:szCs w:val="24"/>
        </w:rPr>
      </w:pPr>
    </w:p>
    <w:p w:rsidR="00D169E0" w:rsidRPr="00AD6108" w:rsidP="00D169E0" w14:paraId="7F3A8FD3"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14:paraId="04AC96F4" w14:textId="77777777">
      <w:pPr>
        <w:ind w:left="720" w:hanging="720"/>
        <w:jc w:val="both"/>
        <w:rPr>
          <w:rFonts w:ascii="Arial" w:hAnsi="Arial" w:cs="Arial"/>
          <w:b/>
          <w:bCs/>
          <w:szCs w:val="24"/>
        </w:rPr>
      </w:pPr>
    </w:p>
    <w:p w:rsidR="00D169E0" w:rsidP="00767C95" w14:paraId="6C27C782"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 xml:space="preserve">publication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14:paraId="4D1DC142" w14:textId="77777777">
      <w:pPr>
        <w:ind w:left="720" w:hanging="720"/>
        <w:jc w:val="both"/>
        <w:rPr>
          <w:rFonts w:ascii="Arial" w:hAnsi="Arial" w:cs="Arial"/>
          <w:b/>
          <w:bCs/>
          <w:szCs w:val="24"/>
        </w:rPr>
      </w:pPr>
    </w:p>
    <w:p w:rsidR="005B7B52" w:rsidP="00B7037E" w14:paraId="098BE4B6" w14:textId="2134C132">
      <w:pPr>
        <w:ind w:left="720" w:hanging="720"/>
        <w:jc w:val="both"/>
        <w:rPr>
          <w:rFonts w:ascii="Arial" w:hAnsi="Arial" w:cs="Arial"/>
          <w:szCs w:val="24"/>
        </w:rPr>
      </w:pPr>
      <w:r>
        <w:rPr>
          <w:rFonts w:ascii="Arial" w:hAnsi="Arial" w:cs="Arial"/>
          <w:b/>
          <w:bCs/>
          <w:szCs w:val="24"/>
        </w:rPr>
        <w:tab/>
      </w:r>
      <w:r w:rsidRPr="00112293">
        <w:rPr>
          <w:rFonts w:ascii="Arial" w:hAnsi="Arial" w:cs="Arial"/>
          <w:szCs w:val="24"/>
        </w:rPr>
        <w:t xml:space="preserve">Public comments were solicited through </w:t>
      </w:r>
      <w:bookmarkStart w:id="0" w:name="OLE_LINK8"/>
      <w:r w:rsidRPr="00112293">
        <w:rPr>
          <w:rFonts w:ascii="Arial" w:hAnsi="Arial" w:cs="Arial"/>
          <w:szCs w:val="24"/>
        </w:rPr>
        <w:t>two Federal Register notices</w:t>
      </w:r>
      <w:r w:rsidR="00DF5872">
        <w:rPr>
          <w:rFonts w:ascii="Arial" w:hAnsi="Arial" w:cs="Arial"/>
          <w:szCs w:val="24"/>
        </w:rPr>
        <w:t>, a 60-day notice</w:t>
      </w:r>
      <w:r w:rsidRPr="00112293">
        <w:rPr>
          <w:rFonts w:ascii="Arial" w:hAnsi="Arial" w:cs="Arial"/>
          <w:szCs w:val="24"/>
        </w:rPr>
        <w:t xml:space="preserve"> published on</w:t>
      </w:r>
      <w:r w:rsidR="00DF5872">
        <w:rPr>
          <w:rFonts w:ascii="Arial" w:hAnsi="Arial" w:cs="Arial"/>
          <w:szCs w:val="24"/>
        </w:rPr>
        <w:t xml:space="preserve"> June 13</w:t>
      </w:r>
      <w:r w:rsidRPr="00857641" w:rsidR="00112293">
        <w:rPr>
          <w:rFonts w:ascii="Arial" w:hAnsi="Arial" w:cs="Arial"/>
          <w:szCs w:val="24"/>
        </w:rPr>
        <w:t>, 202</w:t>
      </w:r>
      <w:r w:rsidR="00DF5872">
        <w:rPr>
          <w:rFonts w:ascii="Arial" w:hAnsi="Arial" w:cs="Arial"/>
          <w:szCs w:val="24"/>
        </w:rPr>
        <w:t>5</w:t>
      </w:r>
      <w:r w:rsidRPr="00857641" w:rsidR="00C511E4">
        <w:rPr>
          <w:rFonts w:ascii="Arial" w:hAnsi="Arial" w:cs="Arial"/>
          <w:szCs w:val="24"/>
        </w:rPr>
        <w:t xml:space="preserve"> (</w:t>
      </w:r>
      <w:r w:rsidR="00DF5872">
        <w:rPr>
          <w:rFonts w:ascii="Arial" w:hAnsi="Arial" w:cs="Arial"/>
          <w:szCs w:val="24"/>
        </w:rPr>
        <w:t>90</w:t>
      </w:r>
      <w:r w:rsidRPr="00857641">
        <w:rPr>
          <w:rFonts w:ascii="Arial" w:hAnsi="Arial" w:cs="Arial"/>
          <w:szCs w:val="24"/>
        </w:rPr>
        <w:t xml:space="preserve"> </w:t>
      </w:r>
      <w:r w:rsidR="00DF5872">
        <w:rPr>
          <w:rFonts w:ascii="Arial" w:hAnsi="Arial" w:cs="Arial"/>
          <w:szCs w:val="24"/>
        </w:rPr>
        <w:t>FR 25064</w:t>
      </w:r>
      <w:r w:rsidRPr="0008705C">
        <w:rPr>
          <w:rFonts w:ascii="Arial" w:hAnsi="Arial" w:cs="Arial"/>
          <w:szCs w:val="24"/>
        </w:rPr>
        <w:t xml:space="preserve">) on which no comments were received, and </w:t>
      </w:r>
      <w:r w:rsidR="00DF5872">
        <w:rPr>
          <w:rFonts w:ascii="Arial" w:hAnsi="Arial" w:cs="Arial"/>
          <w:szCs w:val="24"/>
        </w:rPr>
        <w:t xml:space="preserve">a 30-day notice published </w:t>
      </w:r>
      <w:r w:rsidRPr="0008705C">
        <w:rPr>
          <w:rFonts w:ascii="Arial" w:hAnsi="Arial" w:cs="Arial"/>
          <w:szCs w:val="24"/>
        </w:rPr>
        <w:t>on</w:t>
      </w:r>
      <w:r w:rsidRPr="0008705C" w:rsidR="00857641">
        <w:rPr>
          <w:rFonts w:ascii="Arial" w:hAnsi="Arial" w:cs="Arial"/>
          <w:szCs w:val="24"/>
        </w:rPr>
        <w:t xml:space="preserve"> </w:t>
      </w:r>
      <w:r w:rsidR="00DF5872">
        <w:rPr>
          <w:rFonts w:ascii="Arial" w:hAnsi="Arial" w:cs="Arial"/>
          <w:szCs w:val="24"/>
        </w:rPr>
        <w:t>November</w:t>
      </w:r>
      <w:r w:rsidRPr="0008705C" w:rsidR="00C511E4">
        <w:rPr>
          <w:rFonts w:ascii="Arial" w:hAnsi="Arial" w:cs="Arial"/>
          <w:szCs w:val="24"/>
        </w:rPr>
        <w:t xml:space="preserve"> </w:t>
      </w:r>
      <w:r w:rsidR="00DF5872">
        <w:rPr>
          <w:rFonts w:ascii="Arial" w:hAnsi="Arial" w:cs="Arial"/>
          <w:szCs w:val="24"/>
        </w:rPr>
        <w:t>25</w:t>
      </w:r>
      <w:r w:rsidRPr="0008705C">
        <w:rPr>
          <w:rFonts w:ascii="Arial" w:hAnsi="Arial" w:cs="Arial"/>
          <w:szCs w:val="24"/>
        </w:rPr>
        <w:t xml:space="preserve">, </w:t>
      </w:r>
      <w:r w:rsidRPr="0008705C" w:rsidR="00857641">
        <w:rPr>
          <w:rFonts w:ascii="Arial" w:hAnsi="Arial" w:cs="Arial"/>
          <w:szCs w:val="24"/>
        </w:rPr>
        <w:t>20</w:t>
      </w:r>
      <w:r w:rsidR="00DF5872">
        <w:rPr>
          <w:rFonts w:ascii="Arial" w:hAnsi="Arial" w:cs="Arial"/>
          <w:szCs w:val="24"/>
        </w:rPr>
        <w:t>25</w:t>
      </w:r>
      <w:r w:rsidRPr="0008705C" w:rsidR="0008705C">
        <w:rPr>
          <w:rFonts w:ascii="Arial" w:hAnsi="Arial" w:cs="Arial"/>
          <w:szCs w:val="24"/>
        </w:rPr>
        <w:t xml:space="preserve"> (</w:t>
      </w:r>
      <w:r w:rsidR="00DF5872">
        <w:rPr>
          <w:rFonts w:ascii="Arial" w:hAnsi="Arial" w:cs="Arial"/>
          <w:szCs w:val="24"/>
        </w:rPr>
        <w:t>90 FR 52989</w:t>
      </w:r>
      <w:r w:rsidRPr="0008705C">
        <w:rPr>
          <w:rFonts w:ascii="Arial" w:hAnsi="Arial" w:cs="Arial"/>
          <w:szCs w:val="24"/>
        </w:rPr>
        <w:t xml:space="preserve">) </w:t>
      </w:r>
      <w:bookmarkEnd w:id="0"/>
      <w:r w:rsidRPr="0008705C">
        <w:rPr>
          <w:rFonts w:ascii="Arial" w:hAnsi="Arial" w:cs="Arial"/>
          <w:szCs w:val="24"/>
        </w:rPr>
        <w:t>on which no comments have been received.</w:t>
      </w:r>
      <w:r w:rsidRPr="00D169E0">
        <w:rPr>
          <w:rFonts w:ascii="Arial" w:hAnsi="Arial" w:cs="Arial"/>
          <w:szCs w:val="24"/>
        </w:rPr>
        <w:t xml:space="preserve">   </w:t>
      </w:r>
    </w:p>
    <w:p w:rsidR="00D169E0" w:rsidRPr="00D169E0" w:rsidP="007D5DD8" w14:paraId="56D1C487" w14:textId="77777777">
      <w:pPr>
        <w:jc w:val="both"/>
        <w:rPr>
          <w:rFonts w:ascii="Arial" w:hAnsi="Arial" w:cs="Arial"/>
          <w:b/>
          <w:bCs/>
          <w:szCs w:val="24"/>
        </w:rPr>
      </w:pPr>
    </w:p>
    <w:p w:rsidR="00D169E0" w:rsidRPr="00D169E0" w:rsidP="00D169E0" w14:paraId="486D418A"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22782473" w14:textId="77777777">
      <w:pPr>
        <w:tabs>
          <w:tab w:val="left" w:pos="-1440"/>
        </w:tabs>
        <w:ind w:left="720" w:hanging="720"/>
        <w:jc w:val="both"/>
        <w:rPr>
          <w:rFonts w:ascii="Arial" w:hAnsi="Arial" w:cs="Arial"/>
          <w:szCs w:val="24"/>
        </w:rPr>
      </w:pPr>
    </w:p>
    <w:p w:rsidR="00D169E0" w:rsidRPr="00D169E0" w:rsidP="00D169E0" w14:paraId="761B1708"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084F8426" w14:textId="77777777">
      <w:pPr>
        <w:ind w:left="720" w:hanging="720"/>
        <w:jc w:val="both"/>
        <w:rPr>
          <w:rFonts w:ascii="Arial" w:hAnsi="Arial" w:cs="Arial"/>
          <w:b/>
          <w:bCs/>
          <w:szCs w:val="24"/>
        </w:rPr>
      </w:pPr>
    </w:p>
    <w:p w:rsidR="00D169E0" w:rsidRPr="00D169E0" w:rsidP="00D169E0" w14:paraId="6D8D4B31"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E44CC4">
        <w:rPr>
          <w:rFonts w:ascii="Arial" w:hAnsi="Arial" w:cs="Arial"/>
          <w:b/>
          <w:bCs/>
          <w:szCs w:val="24"/>
        </w:rPr>
        <w:t>Describe any assurance of confidentiality provided to respondents and the basis for the assurance in statute, regulation, or agency policy.</w:t>
      </w:r>
    </w:p>
    <w:p w:rsidR="00D169E0" w:rsidRPr="00D169E0" w:rsidP="00D169E0" w14:paraId="608A8924" w14:textId="77777777">
      <w:pPr>
        <w:tabs>
          <w:tab w:val="left" w:pos="-1440"/>
        </w:tabs>
        <w:ind w:left="720" w:hanging="720"/>
        <w:jc w:val="both"/>
        <w:rPr>
          <w:rFonts w:ascii="Arial" w:hAnsi="Arial" w:cs="Arial"/>
          <w:szCs w:val="24"/>
        </w:rPr>
      </w:pPr>
      <w:r w:rsidRPr="00D169E0">
        <w:rPr>
          <w:rFonts w:ascii="Arial" w:hAnsi="Arial" w:cs="Arial"/>
          <w:szCs w:val="24"/>
        </w:rPr>
        <w:tab/>
      </w:r>
    </w:p>
    <w:p w:rsidR="00625E90" w:rsidP="00625E90" w14:paraId="3DBC0B1C" w14:textId="77777777">
      <w:pPr>
        <w:tabs>
          <w:tab w:val="left" w:pos="-1440"/>
        </w:tabs>
        <w:ind w:left="720" w:hanging="720"/>
        <w:rPr>
          <w:rFonts w:ascii="Arial" w:hAnsi="Arial"/>
          <w:b/>
          <w:bCs/>
          <w:szCs w:val="24"/>
        </w:rPr>
      </w:pPr>
      <w:r w:rsidRPr="00C47181">
        <w:rPr>
          <w:rFonts w:ascii="Arial" w:hAnsi="Arial"/>
          <w:szCs w:val="24"/>
        </w:rPr>
        <w:t xml:space="preserve">          </w:t>
      </w:r>
      <w:r>
        <w:rPr>
          <w:rFonts w:ascii="Arial" w:hAnsi="Arial"/>
          <w:szCs w:val="24"/>
        </w:rPr>
        <w:t xml:space="preserve"> </w:t>
      </w:r>
      <w:r w:rsidRPr="00E50E59">
        <w:rPr>
          <w:rFonts w:ascii="Arial" w:hAnsi="Arial"/>
          <w:szCs w:val="24"/>
        </w:rPr>
        <w:t xml:space="preserve">A PIA for ACE, dated July 31, 2015, and a SORN for Import Information System, dated July 26, 2016 (Vol. 81, Page 48826), will be included in this ICR. </w:t>
      </w:r>
      <w:r>
        <w:rPr>
          <w:rFonts w:ascii="Arial" w:hAnsi="Arial"/>
          <w:szCs w:val="24"/>
        </w:rPr>
        <w:t>No assurances of confidentiality are provided to respondents.</w:t>
      </w:r>
    </w:p>
    <w:p w:rsidR="00D169E0" w:rsidRPr="00D169E0" w:rsidP="00D169E0" w14:paraId="720313A0"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7B14D4E3"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6937FABA" w14:textId="77777777">
      <w:pPr>
        <w:tabs>
          <w:tab w:val="left" w:pos="-1440"/>
        </w:tabs>
        <w:ind w:left="720" w:hanging="720"/>
        <w:jc w:val="both"/>
        <w:rPr>
          <w:rFonts w:ascii="Arial" w:hAnsi="Arial" w:cs="Arial"/>
          <w:szCs w:val="24"/>
        </w:rPr>
      </w:pPr>
      <w:r w:rsidRPr="00D169E0">
        <w:rPr>
          <w:rFonts w:ascii="Arial" w:hAnsi="Arial" w:cs="Arial"/>
          <w:szCs w:val="24"/>
        </w:rPr>
        <w:tab/>
      </w:r>
    </w:p>
    <w:p w:rsidR="006E2119" w:rsidP="004435B5" w14:paraId="239AB1ED"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9C650F" w:rsidP="00D169E0" w14:paraId="00A88A59" w14:textId="77777777">
      <w:pPr>
        <w:tabs>
          <w:tab w:val="left" w:pos="-1440"/>
        </w:tabs>
        <w:ind w:left="720" w:hanging="720"/>
        <w:jc w:val="both"/>
        <w:rPr>
          <w:rFonts w:ascii="Arial" w:hAnsi="Arial" w:cs="Arial"/>
          <w:szCs w:val="24"/>
        </w:rPr>
      </w:pPr>
    </w:p>
    <w:p w:rsidR="009C650F" w:rsidRPr="00D169E0" w:rsidP="00D169E0" w14:paraId="5CD0231D" w14:textId="77777777">
      <w:pPr>
        <w:tabs>
          <w:tab w:val="left" w:pos="-1440"/>
        </w:tabs>
        <w:ind w:left="720" w:hanging="720"/>
        <w:jc w:val="both"/>
        <w:rPr>
          <w:rFonts w:ascii="Arial" w:hAnsi="Arial" w:cs="Arial"/>
          <w:szCs w:val="24"/>
        </w:rPr>
      </w:pPr>
    </w:p>
    <w:p w:rsidR="00D169E0" w:rsidRPr="00D169E0" w:rsidP="00D169E0" w14:paraId="37E004E0" w14:textId="77777777">
      <w:pPr>
        <w:tabs>
          <w:tab w:val="left" w:pos="-1440"/>
        </w:tabs>
        <w:jc w:val="both"/>
        <w:rPr>
          <w:rFonts w:ascii="Arial" w:hAnsi="Arial" w:cs="Arial"/>
          <w:szCs w:val="24"/>
        </w:rPr>
      </w:pPr>
      <w:r w:rsidRPr="00D169E0">
        <w:rPr>
          <w:rFonts w:ascii="Arial" w:hAnsi="Arial" w:cs="Arial"/>
          <w:b/>
          <w:bCs/>
          <w:szCs w:val="24"/>
        </w:rPr>
        <w:t>12</w:t>
      </w:r>
      <w:r w:rsidRPr="00D169E0">
        <w:rPr>
          <w:rFonts w:ascii="Arial" w:hAnsi="Arial" w:cs="Arial"/>
          <w:b/>
          <w:bCs/>
          <w:szCs w:val="24"/>
        </w:rPr>
        <w:t xml:space="preserve">. </w:t>
      </w:r>
      <w:r w:rsidRPr="00D169E0">
        <w:rPr>
          <w:rFonts w:ascii="Arial" w:hAnsi="Arial" w:cs="Arial"/>
          <w:b/>
          <w:bCs/>
          <w:szCs w:val="24"/>
        </w:rPr>
        <w:tab/>
      </w:r>
      <w:r w:rsidRPr="00E44CC4">
        <w:rPr>
          <w:rFonts w:ascii="Arial" w:hAnsi="Arial" w:cs="Arial"/>
          <w:b/>
          <w:bCs/>
          <w:szCs w:val="24"/>
        </w:rPr>
        <w:t>Provide</w:t>
      </w:r>
      <w:r w:rsidRPr="00E44CC4">
        <w:rPr>
          <w:rFonts w:ascii="Arial" w:hAnsi="Arial" w:cs="Arial"/>
          <w:b/>
          <w:bCs/>
          <w:szCs w:val="24"/>
        </w:rPr>
        <w:t xml:space="preserve"> estimates of the hour burden of the collection of information.</w:t>
      </w:r>
      <w:r w:rsidRPr="00D169E0">
        <w:rPr>
          <w:rFonts w:ascii="Arial" w:hAnsi="Arial" w:cs="Arial"/>
          <w:szCs w:val="24"/>
        </w:rPr>
        <w:tab/>
      </w:r>
    </w:p>
    <w:p w:rsidR="003B745B" w:rsidP="003B745B" w14:paraId="2827D58D" w14:textId="77777777">
      <w:pPr>
        <w:tabs>
          <w:tab w:val="left" w:pos="-1440"/>
        </w:tabs>
        <w:ind w:left="720" w:hanging="720"/>
        <w:jc w:val="both"/>
        <w:rPr>
          <w:rFonts w:ascii="Arial" w:hAnsi="Arial" w:cs="Arial"/>
          <w:b/>
          <w:color w:val="FF0000"/>
          <w:szCs w:val="24"/>
        </w:rPr>
      </w:pPr>
    </w:p>
    <w:tbl>
      <w:tblPr>
        <w:tblW w:w="96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8"/>
        <w:gridCol w:w="1266"/>
        <w:gridCol w:w="1899"/>
        <w:gridCol w:w="1718"/>
        <w:gridCol w:w="1537"/>
        <w:gridCol w:w="1483"/>
      </w:tblGrid>
      <w:tr w14:paraId="566B2D97" w14:textId="77777777" w:rsidTr="00070F41">
        <w:tblPrEx>
          <w:tblW w:w="96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54"/>
        </w:trPr>
        <w:tc>
          <w:tcPr>
            <w:tcW w:w="1718" w:type="dxa"/>
          </w:tcPr>
          <w:p w:rsidR="006E2119" w:rsidRPr="00DD0C01" w:rsidP="00070F41" w14:paraId="1B384357" w14:textId="77777777">
            <w:pPr>
              <w:pStyle w:val="Style"/>
              <w:tabs>
                <w:tab w:val="left" w:pos="-1440"/>
              </w:tabs>
              <w:ind w:left="0" w:firstLine="0"/>
              <w:rPr>
                <w:rFonts w:ascii="Arial" w:hAnsi="Arial"/>
              </w:rPr>
            </w:pPr>
          </w:p>
          <w:p w:rsidR="006E2119" w:rsidRPr="00DD0C01" w:rsidP="00070F41" w14:paraId="587C0E29" w14:textId="77777777">
            <w:pPr>
              <w:pStyle w:val="Style"/>
              <w:tabs>
                <w:tab w:val="left" w:pos="-1440"/>
              </w:tabs>
              <w:ind w:left="0" w:firstLine="0"/>
              <w:rPr>
                <w:rFonts w:ascii="Arial" w:hAnsi="Arial"/>
                <w:b/>
                <w:sz w:val="22"/>
                <w:szCs w:val="22"/>
              </w:rPr>
            </w:pPr>
            <w:r w:rsidRPr="00DD0C01">
              <w:rPr>
                <w:rFonts w:ascii="Arial" w:hAnsi="Arial"/>
                <w:b/>
                <w:sz w:val="22"/>
                <w:szCs w:val="22"/>
              </w:rPr>
              <w:t>FORM NUMBER/</w:t>
            </w:r>
          </w:p>
          <w:p w:rsidR="006E2119" w:rsidRPr="00DD0C01" w:rsidP="00070F41" w14:paraId="2A382585" w14:textId="77777777">
            <w:pPr>
              <w:pStyle w:val="Style"/>
              <w:tabs>
                <w:tab w:val="left" w:pos="-1440"/>
              </w:tabs>
              <w:ind w:left="0" w:firstLine="0"/>
              <w:rPr>
                <w:rFonts w:ascii="Arial" w:hAnsi="Arial"/>
                <w:sz w:val="22"/>
                <w:szCs w:val="22"/>
              </w:rPr>
            </w:pPr>
            <w:r w:rsidRPr="00DD0C01">
              <w:rPr>
                <w:rFonts w:ascii="Arial" w:hAnsi="Arial"/>
                <w:b/>
                <w:sz w:val="22"/>
                <w:szCs w:val="22"/>
              </w:rPr>
              <w:t>TITLE</w:t>
            </w:r>
          </w:p>
        </w:tc>
        <w:tc>
          <w:tcPr>
            <w:tcW w:w="1266" w:type="dxa"/>
          </w:tcPr>
          <w:p w:rsidR="006E2119" w:rsidRPr="00DD0C01" w:rsidP="00070F41" w14:paraId="47042500" w14:textId="77777777">
            <w:pPr>
              <w:pStyle w:val="Style"/>
              <w:tabs>
                <w:tab w:val="left" w:pos="-1440"/>
              </w:tabs>
              <w:ind w:left="0" w:firstLine="0"/>
              <w:rPr>
                <w:rFonts w:ascii="Arial" w:hAnsi="Arial"/>
                <w:b/>
                <w:sz w:val="22"/>
                <w:szCs w:val="22"/>
              </w:rPr>
            </w:pPr>
            <w:r w:rsidRPr="00DD0C01">
              <w:rPr>
                <w:rFonts w:ascii="Arial" w:hAnsi="Arial"/>
                <w:b/>
                <w:sz w:val="22"/>
                <w:szCs w:val="22"/>
              </w:rPr>
              <w:t>TOTAL ANNUAL BURDEN HOURS</w:t>
            </w:r>
          </w:p>
        </w:tc>
        <w:tc>
          <w:tcPr>
            <w:tcW w:w="1899" w:type="dxa"/>
          </w:tcPr>
          <w:p w:rsidR="006E2119" w:rsidRPr="00DD0C01" w:rsidP="00070F41" w14:paraId="050C47FF" w14:textId="77777777">
            <w:pPr>
              <w:pStyle w:val="Style"/>
              <w:tabs>
                <w:tab w:val="left" w:pos="-1440"/>
              </w:tabs>
              <w:ind w:left="0" w:firstLine="0"/>
              <w:rPr>
                <w:rFonts w:ascii="Arial" w:hAnsi="Arial"/>
                <w:b/>
                <w:sz w:val="22"/>
                <w:szCs w:val="22"/>
              </w:rPr>
            </w:pPr>
            <w:r w:rsidRPr="00DD0C01">
              <w:rPr>
                <w:rFonts w:ascii="Arial" w:hAnsi="Arial"/>
                <w:b/>
                <w:sz w:val="22"/>
                <w:szCs w:val="22"/>
              </w:rPr>
              <w:t>NO. OF</w:t>
            </w:r>
          </w:p>
          <w:p w:rsidR="006E2119" w:rsidRPr="00DD0C01" w:rsidP="00070F41" w14:paraId="4332B0B1" w14:textId="77777777">
            <w:pPr>
              <w:pStyle w:val="Style"/>
              <w:tabs>
                <w:tab w:val="left" w:pos="-1440"/>
              </w:tabs>
              <w:ind w:left="0" w:firstLine="0"/>
              <w:rPr>
                <w:rFonts w:ascii="Arial" w:hAnsi="Arial"/>
                <w:b/>
                <w:sz w:val="22"/>
                <w:szCs w:val="22"/>
              </w:rPr>
            </w:pPr>
            <w:r w:rsidRPr="00DD0C01">
              <w:rPr>
                <w:rFonts w:ascii="Arial" w:hAnsi="Arial"/>
                <w:b/>
                <w:sz w:val="22"/>
                <w:szCs w:val="22"/>
              </w:rPr>
              <w:t>RESPONDENTS</w:t>
            </w:r>
          </w:p>
        </w:tc>
        <w:tc>
          <w:tcPr>
            <w:tcW w:w="1718" w:type="dxa"/>
          </w:tcPr>
          <w:p w:rsidR="006E2119" w:rsidRPr="00DD0C01" w:rsidP="00070F41" w14:paraId="0AB152D7" w14:textId="77777777">
            <w:pPr>
              <w:pStyle w:val="Style"/>
              <w:tabs>
                <w:tab w:val="left" w:pos="-1440"/>
              </w:tabs>
              <w:ind w:left="0" w:firstLine="0"/>
              <w:rPr>
                <w:rFonts w:ascii="Arial" w:hAnsi="Arial"/>
                <w:b/>
                <w:sz w:val="20"/>
              </w:rPr>
            </w:pPr>
            <w:r w:rsidRPr="00DD0C01">
              <w:rPr>
                <w:rFonts w:ascii="Arial" w:hAnsi="Arial"/>
                <w:b/>
                <w:sz w:val="20"/>
              </w:rPr>
              <w:t>NO. OF RESPONSES PER RESPONDENT</w:t>
            </w:r>
          </w:p>
        </w:tc>
        <w:tc>
          <w:tcPr>
            <w:tcW w:w="1537" w:type="dxa"/>
          </w:tcPr>
          <w:p w:rsidR="006E2119" w:rsidRPr="00DD0C01" w:rsidP="00070F41" w14:paraId="4FC3C218" w14:textId="77777777">
            <w:pPr>
              <w:pStyle w:val="Style"/>
              <w:tabs>
                <w:tab w:val="left" w:pos="-1440"/>
              </w:tabs>
              <w:ind w:left="0" w:firstLine="0"/>
              <w:rPr>
                <w:rFonts w:ascii="Arial" w:hAnsi="Arial"/>
              </w:rPr>
            </w:pPr>
          </w:p>
          <w:p w:rsidR="006E2119" w:rsidRPr="00DD0C01" w:rsidP="00070F41" w14:paraId="23F9F135" w14:textId="77777777">
            <w:pPr>
              <w:pStyle w:val="Style"/>
              <w:tabs>
                <w:tab w:val="left" w:pos="-1440"/>
              </w:tabs>
              <w:ind w:left="0" w:firstLine="0"/>
              <w:rPr>
                <w:rFonts w:ascii="Arial" w:hAnsi="Arial"/>
                <w:b/>
                <w:sz w:val="20"/>
              </w:rPr>
            </w:pPr>
            <w:r w:rsidRPr="00DD0C01">
              <w:rPr>
                <w:rFonts w:ascii="Arial" w:hAnsi="Arial"/>
                <w:b/>
                <w:sz w:val="20"/>
              </w:rPr>
              <w:t>TOTAL</w:t>
            </w:r>
          </w:p>
          <w:p w:rsidR="006E2119" w:rsidRPr="00DD0C01" w:rsidP="00070F41" w14:paraId="46A7339A" w14:textId="77777777">
            <w:pPr>
              <w:pStyle w:val="Style"/>
              <w:tabs>
                <w:tab w:val="left" w:pos="-1440"/>
              </w:tabs>
              <w:ind w:left="0" w:firstLine="0"/>
              <w:rPr>
                <w:rFonts w:ascii="Arial" w:hAnsi="Arial"/>
              </w:rPr>
            </w:pPr>
            <w:r w:rsidRPr="00DD0C01">
              <w:rPr>
                <w:rFonts w:ascii="Arial" w:hAnsi="Arial"/>
                <w:b/>
                <w:sz w:val="20"/>
              </w:rPr>
              <w:t>RESPONSES</w:t>
            </w:r>
          </w:p>
        </w:tc>
        <w:tc>
          <w:tcPr>
            <w:tcW w:w="1483" w:type="dxa"/>
          </w:tcPr>
          <w:p w:rsidR="006E2119" w:rsidRPr="00DD0C01" w:rsidP="00070F41" w14:paraId="17738160" w14:textId="77777777">
            <w:pPr>
              <w:pStyle w:val="Style"/>
              <w:tabs>
                <w:tab w:val="left" w:pos="-1440"/>
              </w:tabs>
              <w:ind w:left="0" w:firstLine="0"/>
              <w:rPr>
                <w:rFonts w:ascii="Arial" w:hAnsi="Arial"/>
              </w:rPr>
            </w:pPr>
          </w:p>
          <w:p w:rsidR="006E2119" w:rsidRPr="00DD0C01" w:rsidP="00070F41" w14:paraId="4536FEF7" w14:textId="77777777">
            <w:pPr>
              <w:pStyle w:val="Style"/>
              <w:tabs>
                <w:tab w:val="left" w:pos="-1440"/>
              </w:tabs>
              <w:ind w:left="0" w:firstLine="0"/>
              <w:rPr>
                <w:rFonts w:ascii="Arial" w:hAnsi="Arial"/>
                <w:b/>
                <w:sz w:val="22"/>
                <w:szCs w:val="22"/>
              </w:rPr>
            </w:pPr>
            <w:r w:rsidRPr="00DD0C01">
              <w:rPr>
                <w:rFonts w:ascii="Arial" w:hAnsi="Arial"/>
                <w:b/>
                <w:sz w:val="22"/>
                <w:szCs w:val="22"/>
              </w:rPr>
              <w:t>TIME PER</w:t>
            </w:r>
          </w:p>
          <w:p w:rsidR="006E2119" w:rsidRPr="00DD0C01" w:rsidP="00070F41" w14:paraId="69E02152" w14:textId="77777777">
            <w:pPr>
              <w:pStyle w:val="Style"/>
              <w:tabs>
                <w:tab w:val="left" w:pos="-1440"/>
              </w:tabs>
              <w:ind w:left="0" w:firstLine="0"/>
              <w:rPr>
                <w:rFonts w:ascii="Arial" w:hAnsi="Arial"/>
              </w:rPr>
            </w:pPr>
            <w:r w:rsidRPr="00DD0C01">
              <w:rPr>
                <w:rFonts w:ascii="Arial" w:hAnsi="Arial"/>
                <w:b/>
                <w:sz w:val="22"/>
                <w:szCs w:val="22"/>
              </w:rPr>
              <w:t>RESPONSE</w:t>
            </w:r>
          </w:p>
        </w:tc>
      </w:tr>
      <w:tr w14:paraId="72D7A602" w14:textId="77777777" w:rsidTr="00070F41">
        <w:tblPrEx>
          <w:tblW w:w="9621" w:type="dxa"/>
          <w:tblInd w:w="288" w:type="dxa"/>
          <w:tblLayout w:type="fixed"/>
          <w:tblLook w:val="01E0"/>
        </w:tblPrEx>
        <w:trPr>
          <w:trHeight w:val="1141"/>
        </w:trPr>
        <w:tc>
          <w:tcPr>
            <w:tcW w:w="1718" w:type="dxa"/>
            <w:tcBorders>
              <w:bottom w:val="single" w:sz="4" w:space="0" w:color="auto"/>
            </w:tcBorders>
          </w:tcPr>
          <w:p w:rsidR="006E2119" w:rsidRPr="00417BE3" w:rsidP="00070F41" w14:paraId="68C0DBC9" w14:textId="77777777">
            <w:pPr>
              <w:pStyle w:val="Style"/>
              <w:tabs>
                <w:tab w:val="left" w:pos="-1440"/>
              </w:tabs>
              <w:ind w:left="0" w:firstLine="0"/>
              <w:rPr>
                <w:rFonts w:ascii="Arial" w:hAnsi="Arial"/>
                <w:sz w:val="22"/>
                <w:szCs w:val="22"/>
              </w:rPr>
            </w:pPr>
            <w:r w:rsidRPr="00417BE3">
              <w:rPr>
                <w:rFonts w:ascii="Arial" w:hAnsi="Arial"/>
                <w:sz w:val="22"/>
                <w:szCs w:val="22"/>
              </w:rPr>
              <w:t>7553</w:t>
            </w:r>
          </w:p>
          <w:p w:rsidR="006E2119" w:rsidRPr="00417BE3" w:rsidP="00070F41" w14:paraId="49BC975E" w14:textId="77777777">
            <w:pPr>
              <w:pStyle w:val="Style"/>
              <w:tabs>
                <w:tab w:val="left" w:pos="-1440"/>
              </w:tabs>
              <w:ind w:left="0" w:firstLine="0"/>
              <w:rPr>
                <w:rFonts w:ascii="Arial" w:hAnsi="Arial"/>
                <w:sz w:val="22"/>
                <w:szCs w:val="22"/>
              </w:rPr>
            </w:pPr>
            <w:r w:rsidRPr="00417BE3">
              <w:rPr>
                <w:rFonts w:ascii="Arial" w:hAnsi="Arial"/>
                <w:sz w:val="22"/>
                <w:szCs w:val="22"/>
              </w:rPr>
              <w:t>Notice of Intent to Export/Destroy Merchandise</w:t>
            </w:r>
          </w:p>
        </w:tc>
        <w:tc>
          <w:tcPr>
            <w:tcW w:w="1266" w:type="dxa"/>
            <w:tcBorders>
              <w:bottom w:val="single" w:sz="4" w:space="0" w:color="auto"/>
            </w:tcBorders>
          </w:tcPr>
          <w:p w:rsidR="006E2119" w:rsidRPr="00417BE3" w:rsidP="00070F41" w14:paraId="6307D9D2" w14:textId="77777777">
            <w:pPr>
              <w:pStyle w:val="Style"/>
              <w:tabs>
                <w:tab w:val="left" w:pos="-1440"/>
              </w:tabs>
              <w:ind w:left="0" w:firstLine="0"/>
              <w:jc w:val="center"/>
              <w:rPr>
                <w:rFonts w:ascii="Arial" w:hAnsi="Arial"/>
              </w:rPr>
            </w:pPr>
            <w:r w:rsidRPr="00417BE3">
              <w:rPr>
                <w:rFonts w:ascii="Arial" w:hAnsi="Arial"/>
              </w:rPr>
              <w:t>1,650</w:t>
            </w:r>
          </w:p>
        </w:tc>
        <w:tc>
          <w:tcPr>
            <w:tcW w:w="1899" w:type="dxa"/>
            <w:tcBorders>
              <w:bottom w:val="single" w:sz="4" w:space="0" w:color="auto"/>
            </w:tcBorders>
          </w:tcPr>
          <w:p w:rsidR="006E2119" w:rsidRPr="00417BE3" w:rsidP="00070F41" w14:paraId="3F3C43FA" w14:textId="77777777">
            <w:pPr>
              <w:pStyle w:val="Style"/>
              <w:tabs>
                <w:tab w:val="left" w:pos="-1440"/>
              </w:tabs>
              <w:ind w:left="0" w:firstLine="0"/>
              <w:jc w:val="center"/>
              <w:rPr>
                <w:rFonts w:ascii="Arial" w:hAnsi="Arial"/>
              </w:rPr>
            </w:pPr>
            <w:r w:rsidRPr="00417BE3">
              <w:rPr>
                <w:rFonts w:ascii="Arial" w:hAnsi="Arial"/>
              </w:rPr>
              <w:t>150</w:t>
            </w:r>
          </w:p>
        </w:tc>
        <w:tc>
          <w:tcPr>
            <w:tcW w:w="1718" w:type="dxa"/>
            <w:tcBorders>
              <w:bottom w:val="single" w:sz="4" w:space="0" w:color="auto"/>
            </w:tcBorders>
          </w:tcPr>
          <w:p w:rsidR="006E2119" w:rsidRPr="00417BE3" w:rsidP="00070F41" w14:paraId="06089CE0" w14:textId="77777777">
            <w:pPr>
              <w:pStyle w:val="Style"/>
              <w:tabs>
                <w:tab w:val="left" w:pos="-1440"/>
              </w:tabs>
              <w:ind w:left="0" w:firstLine="0"/>
              <w:jc w:val="center"/>
              <w:rPr>
                <w:rFonts w:ascii="Arial" w:hAnsi="Arial"/>
              </w:rPr>
            </w:pPr>
            <w:r w:rsidRPr="00417BE3">
              <w:rPr>
                <w:rFonts w:ascii="Arial" w:hAnsi="Arial"/>
              </w:rPr>
              <w:t>20</w:t>
            </w:r>
          </w:p>
        </w:tc>
        <w:tc>
          <w:tcPr>
            <w:tcW w:w="1537" w:type="dxa"/>
            <w:tcBorders>
              <w:bottom w:val="single" w:sz="4" w:space="0" w:color="auto"/>
            </w:tcBorders>
          </w:tcPr>
          <w:p w:rsidR="006E2119" w:rsidRPr="00417BE3" w:rsidP="00070F41" w14:paraId="1376E2B1" w14:textId="77777777">
            <w:pPr>
              <w:pStyle w:val="Style"/>
              <w:tabs>
                <w:tab w:val="left" w:pos="-1440"/>
              </w:tabs>
              <w:ind w:left="0" w:firstLine="0"/>
              <w:jc w:val="center"/>
              <w:rPr>
                <w:rFonts w:ascii="Arial" w:hAnsi="Arial"/>
              </w:rPr>
            </w:pPr>
            <w:r w:rsidRPr="00417BE3">
              <w:rPr>
                <w:rFonts w:ascii="Arial" w:hAnsi="Arial"/>
              </w:rPr>
              <w:t>3,000</w:t>
            </w:r>
          </w:p>
          <w:p w:rsidR="006E2119" w:rsidRPr="00417BE3" w:rsidP="00070F41" w14:paraId="52E3654F" w14:textId="77777777">
            <w:pPr>
              <w:pStyle w:val="Style"/>
              <w:tabs>
                <w:tab w:val="left" w:pos="-1440"/>
              </w:tabs>
              <w:ind w:left="0" w:firstLine="0"/>
              <w:jc w:val="center"/>
              <w:rPr>
                <w:rFonts w:ascii="Arial" w:hAnsi="Arial"/>
              </w:rPr>
            </w:pPr>
          </w:p>
        </w:tc>
        <w:tc>
          <w:tcPr>
            <w:tcW w:w="1483" w:type="dxa"/>
            <w:tcBorders>
              <w:bottom w:val="single" w:sz="4" w:space="0" w:color="auto"/>
            </w:tcBorders>
          </w:tcPr>
          <w:p w:rsidR="006E2119" w:rsidRPr="00417BE3" w:rsidP="00070F41" w14:paraId="78B26CB3" w14:textId="77777777">
            <w:pPr>
              <w:pStyle w:val="Style"/>
              <w:tabs>
                <w:tab w:val="left" w:pos="-1440"/>
              </w:tabs>
              <w:ind w:left="0" w:firstLine="0"/>
              <w:jc w:val="center"/>
              <w:rPr>
                <w:rFonts w:ascii="Arial" w:hAnsi="Arial"/>
              </w:rPr>
            </w:pPr>
            <w:r w:rsidRPr="00417BE3">
              <w:rPr>
                <w:rFonts w:ascii="Arial" w:hAnsi="Arial"/>
              </w:rPr>
              <w:t>33 minutes</w:t>
            </w:r>
          </w:p>
          <w:p w:rsidR="006E2119" w:rsidRPr="00417BE3" w:rsidP="00070F41" w14:paraId="70010988" w14:textId="77777777">
            <w:pPr>
              <w:pStyle w:val="Style"/>
              <w:tabs>
                <w:tab w:val="left" w:pos="-1440"/>
              </w:tabs>
              <w:ind w:left="0" w:firstLine="0"/>
              <w:jc w:val="center"/>
              <w:rPr>
                <w:rFonts w:ascii="Arial" w:hAnsi="Arial"/>
                <w:sz w:val="22"/>
                <w:szCs w:val="22"/>
              </w:rPr>
            </w:pPr>
            <w:r w:rsidRPr="00417BE3">
              <w:rPr>
                <w:rFonts w:ascii="Arial" w:hAnsi="Arial"/>
                <w:sz w:val="22"/>
                <w:szCs w:val="22"/>
              </w:rPr>
              <w:t>(.55 hours)</w:t>
            </w:r>
          </w:p>
        </w:tc>
      </w:tr>
      <w:tr w14:paraId="0AD2B6FE" w14:textId="77777777" w:rsidTr="00070F41">
        <w:tblPrEx>
          <w:tblW w:w="9621" w:type="dxa"/>
          <w:tblInd w:w="288" w:type="dxa"/>
          <w:tblLayout w:type="fixed"/>
          <w:tblLook w:val="01E0"/>
        </w:tblPrEx>
        <w:trPr>
          <w:trHeight w:val="512"/>
        </w:trPr>
        <w:tc>
          <w:tcPr>
            <w:tcW w:w="1718" w:type="dxa"/>
            <w:tcBorders>
              <w:top w:val="single" w:sz="4" w:space="0" w:color="auto"/>
              <w:left w:val="single" w:sz="4" w:space="0" w:color="auto"/>
              <w:bottom w:val="single" w:sz="4" w:space="0" w:color="auto"/>
              <w:right w:val="single" w:sz="4" w:space="0" w:color="auto"/>
            </w:tcBorders>
          </w:tcPr>
          <w:p w:rsidR="006E2119" w:rsidRPr="00417BE3" w:rsidP="00070F41" w14:paraId="56088174" w14:textId="77777777">
            <w:pPr>
              <w:pStyle w:val="Style"/>
              <w:tabs>
                <w:tab w:val="left" w:pos="-1440"/>
              </w:tabs>
              <w:ind w:left="0" w:firstLine="0"/>
              <w:rPr>
                <w:rFonts w:ascii="Arial" w:hAnsi="Arial"/>
              </w:rPr>
            </w:pPr>
          </w:p>
          <w:p w:rsidR="006E2119" w:rsidRPr="00417BE3" w:rsidP="00070F41" w14:paraId="1F5B1A2E" w14:textId="77777777">
            <w:pPr>
              <w:pStyle w:val="Style"/>
              <w:tabs>
                <w:tab w:val="left" w:pos="-1440"/>
              </w:tabs>
              <w:ind w:left="0" w:firstLine="0"/>
              <w:rPr>
                <w:rFonts w:ascii="Arial" w:hAnsi="Arial"/>
                <w:b/>
              </w:rPr>
            </w:pPr>
            <w:r w:rsidRPr="00417BE3">
              <w:rPr>
                <w:rFonts w:ascii="Arial" w:hAnsi="Arial"/>
                <w:b/>
              </w:rPr>
              <w:t>TOTAL</w:t>
            </w:r>
          </w:p>
        </w:tc>
        <w:tc>
          <w:tcPr>
            <w:tcW w:w="1266" w:type="dxa"/>
            <w:tcBorders>
              <w:top w:val="single" w:sz="4" w:space="0" w:color="auto"/>
              <w:left w:val="single" w:sz="4" w:space="0" w:color="auto"/>
              <w:bottom w:val="single" w:sz="4" w:space="0" w:color="auto"/>
              <w:right w:val="single" w:sz="4" w:space="0" w:color="auto"/>
            </w:tcBorders>
          </w:tcPr>
          <w:p w:rsidR="006E2119" w:rsidRPr="00417BE3" w:rsidP="00070F41" w14:paraId="050824CA" w14:textId="77777777">
            <w:pPr>
              <w:pStyle w:val="Style"/>
              <w:tabs>
                <w:tab w:val="left" w:pos="-1440"/>
              </w:tabs>
              <w:ind w:left="0" w:firstLine="0"/>
              <w:jc w:val="center"/>
              <w:rPr>
                <w:rFonts w:ascii="Arial" w:hAnsi="Arial"/>
              </w:rPr>
            </w:pPr>
          </w:p>
          <w:p w:rsidR="006E2119" w:rsidRPr="00417BE3" w:rsidP="00070F41" w14:paraId="24781733" w14:textId="77777777">
            <w:pPr>
              <w:pStyle w:val="Style"/>
              <w:tabs>
                <w:tab w:val="left" w:pos="-1440"/>
              </w:tabs>
              <w:ind w:left="0" w:firstLine="0"/>
              <w:jc w:val="center"/>
              <w:rPr>
                <w:rFonts w:ascii="Arial" w:hAnsi="Arial"/>
                <w:b/>
              </w:rPr>
            </w:pPr>
            <w:r>
              <w:rPr>
                <w:rFonts w:ascii="Arial" w:hAnsi="Arial"/>
                <w:b/>
              </w:rPr>
              <w:t>1,650</w:t>
            </w:r>
          </w:p>
        </w:tc>
        <w:tc>
          <w:tcPr>
            <w:tcW w:w="1899" w:type="dxa"/>
            <w:tcBorders>
              <w:top w:val="single" w:sz="4" w:space="0" w:color="auto"/>
              <w:left w:val="single" w:sz="4" w:space="0" w:color="auto"/>
              <w:bottom w:val="single" w:sz="4" w:space="0" w:color="auto"/>
              <w:right w:val="single" w:sz="4" w:space="0" w:color="auto"/>
            </w:tcBorders>
          </w:tcPr>
          <w:p w:rsidR="006E2119" w:rsidRPr="00417BE3" w:rsidP="00070F41" w14:paraId="2E1ED3C0" w14:textId="77777777">
            <w:pPr>
              <w:pStyle w:val="Style"/>
              <w:tabs>
                <w:tab w:val="left" w:pos="-1440"/>
              </w:tabs>
              <w:ind w:left="0" w:firstLine="0"/>
              <w:jc w:val="center"/>
              <w:rPr>
                <w:rFonts w:ascii="Arial" w:hAnsi="Arial"/>
              </w:rPr>
            </w:pPr>
          </w:p>
          <w:p w:rsidR="006E2119" w:rsidRPr="00417BE3" w:rsidP="00070F41" w14:paraId="6FAE2684" w14:textId="77777777">
            <w:pPr>
              <w:pStyle w:val="Style"/>
              <w:tabs>
                <w:tab w:val="left" w:pos="-1440"/>
              </w:tabs>
              <w:ind w:left="0" w:firstLine="0"/>
              <w:jc w:val="center"/>
              <w:rPr>
                <w:rFonts w:ascii="Arial" w:hAnsi="Arial"/>
                <w:b/>
              </w:rPr>
            </w:pPr>
            <w:r>
              <w:rPr>
                <w:rFonts w:ascii="Arial" w:hAnsi="Arial"/>
                <w:b/>
              </w:rPr>
              <w:t>150</w:t>
            </w:r>
          </w:p>
        </w:tc>
        <w:tc>
          <w:tcPr>
            <w:tcW w:w="1718" w:type="dxa"/>
            <w:tcBorders>
              <w:top w:val="single" w:sz="4" w:space="0" w:color="auto"/>
              <w:left w:val="single" w:sz="4" w:space="0" w:color="auto"/>
              <w:bottom w:val="single" w:sz="4" w:space="0" w:color="auto"/>
              <w:right w:val="single" w:sz="4" w:space="0" w:color="auto"/>
            </w:tcBorders>
          </w:tcPr>
          <w:p w:rsidR="006E2119" w:rsidRPr="00417BE3" w:rsidP="00070F41" w14:paraId="070897E2" w14:textId="77777777">
            <w:pPr>
              <w:pStyle w:val="Style"/>
              <w:tabs>
                <w:tab w:val="left" w:pos="-1440"/>
              </w:tabs>
              <w:ind w:left="0" w:firstLine="0"/>
              <w:jc w:val="center"/>
              <w:rPr>
                <w:rFonts w:ascii="Arial" w:hAnsi="Arial"/>
              </w:rPr>
            </w:pPr>
          </w:p>
        </w:tc>
        <w:tc>
          <w:tcPr>
            <w:tcW w:w="1537" w:type="dxa"/>
            <w:tcBorders>
              <w:top w:val="single" w:sz="4" w:space="0" w:color="auto"/>
              <w:left w:val="single" w:sz="4" w:space="0" w:color="auto"/>
              <w:bottom w:val="single" w:sz="4" w:space="0" w:color="auto"/>
              <w:right w:val="single" w:sz="4" w:space="0" w:color="auto"/>
            </w:tcBorders>
          </w:tcPr>
          <w:p w:rsidR="006E2119" w:rsidRPr="00417BE3" w:rsidP="00070F41" w14:paraId="6FB76B60" w14:textId="77777777">
            <w:pPr>
              <w:pStyle w:val="Style"/>
              <w:tabs>
                <w:tab w:val="left" w:pos="-1440"/>
              </w:tabs>
              <w:ind w:left="0" w:firstLine="0"/>
              <w:jc w:val="center"/>
              <w:rPr>
                <w:rFonts w:ascii="Arial" w:hAnsi="Arial"/>
              </w:rPr>
            </w:pPr>
          </w:p>
          <w:p w:rsidR="006E2119" w:rsidRPr="00417BE3" w:rsidP="00070F41" w14:paraId="6A9F3D81" w14:textId="77777777">
            <w:pPr>
              <w:pStyle w:val="Style"/>
              <w:tabs>
                <w:tab w:val="left" w:pos="-1440"/>
              </w:tabs>
              <w:ind w:left="0" w:firstLine="0"/>
              <w:jc w:val="center"/>
              <w:rPr>
                <w:rFonts w:ascii="Arial" w:hAnsi="Arial"/>
                <w:b/>
              </w:rPr>
            </w:pPr>
            <w:r>
              <w:rPr>
                <w:rFonts w:ascii="Arial" w:hAnsi="Arial"/>
                <w:b/>
              </w:rPr>
              <w:t>3,000</w:t>
            </w:r>
          </w:p>
        </w:tc>
        <w:tc>
          <w:tcPr>
            <w:tcW w:w="1483" w:type="dxa"/>
            <w:tcBorders>
              <w:top w:val="single" w:sz="4" w:space="0" w:color="auto"/>
              <w:left w:val="single" w:sz="4" w:space="0" w:color="auto"/>
              <w:bottom w:val="single" w:sz="4" w:space="0" w:color="auto"/>
              <w:right w:val="single" w:sz="4" w:space="0" w:color="auto"/>
            </w:tcBorders>
          </w:tcPr>
          <w:p w:rsidR="006E2119" w:rsidRPr="00417BE3" w:rsidP="00070F41" w14:paraId="7A0772F9" w14:textId="77777777">
            <w:pPr>
              <w:pStyle w:val="Style"/>
              <w:tabs>
                <w:tab w:val="left" w:pos="-1440"/>
              </w:tabs>
              <w:ind w:left="0" w:firstLine="0"/>
              <w:jc w:val="center"/>
              <w:rPr>
                <w:rFonts w:ascii="Arial" w:hAnsi="Arial"/>
              </w:rPr>
            </w:pPr>
          </w:p>
        </w:tc>
      </w:tr>
    </w:tbl>
    <w:p w:rsidR="006E2119" w:rsidP="003B745B" w14:paraId="50C2DD8D" w14:textId="77777777">
      <w:pPr>
        <w:tabs>
          <w:tab w:val="left" w:pos="-1440"/>
        </w:tabs>
        <w:ind w:left="720" w:hanging="720"/>
        <w:jc w:val="both"/>
        <w:rPr>
          <w:rFonts w:ascii="Arial" w:hAnsi="Arial" w:cs="Arial"/>
          <w:b/>
          <w:color w:val="FF0000"/>
          <w:szCs w:val="24"/>
        </w:rPr>
      </w:pPr>
    </w:p>
    <w:p w:rsidR="00D169E0" w:rsidRPr="00D169E0" w:rsidP="00D169E0" w14:paraId="5EBA5BAA"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344CD9" w:rsidP="00344CD9" w14:paraId="2E5B62C0" w14:textId="77777777">
      <w:pPr>
        <w:rPr>
          <w:rFonts w:ascii="Arial" w:hAnsi="Arial" w:cs="Arial"/>
          <w:b/>
          <w:bCs/>
          <w:szCs w:val="24"/>
        </w:rPr>
      </w:pPr>
    </w:p>
    <w:p w:rsidR="00E44CC4" w:rsidRPr="00E44CC4" w:rsidP="00E44CC4" w14:paraId="1138B8D1" w14:textId="3225849A">
      <w:pPr>
        <w:tabs>
          <w:tab w:val="left" w:pos="-1440"/>
        </w:tabs>
        <w:ind w:left="720"/>
        <w:jc w:val="both"/>
        <w:rPr>
          <w:rFonts w:ascii="Arial" w:eastAsia="Calibri" w:hAnsi="Arial" w:cs="Arial"/>
          <w:snapToGrid/>
          <w:szCs w:val="24"/>
        </w:rPr>
      </w:pPr>
      <w:r w:rsidRPr="00E44CC4">
        <w:rPr>
          <w:rFonts w:ascii="Arial" w:eastAsia="Calibri" w:hAnsi="Arial" w:cs="Arial"/>
          <w:snapToGrid/>
          <w:szCs w:val="24"/>
        </w:rPr>
        <w:t>The estimated cost to the respondents is $.  This is based on the estimated burden hours (</w:t>
      </w:r>
      <w:r>
        <w:rPr>
          <w:rFonts w:ascii="Arial" w:eastAsia="Calibri" w:hAnsi="Arial" w:cs="Arial"/>
          <w:snapToGrid/>
          <w:szCs w:val="24"/>
        </w:rPr>
        <w:t>1,650</w:t>
      </w:r>
      <w:r w:rsidRPr="00E44CC4">
        <w:rPr>
          <w:rFonts w:ascii="Arial" w:eastAsia="Calibri" w:hAnsi="Arial" w:cs="Arial"/>
          <w:snapToGrid/>
          <w:szCs w:val="24"/>
        </w:rPr>
        <w:t>) multiplied by the average loaded hourly wage rate for brokers ($36.57).  CBP calculated this loaded wage rate by first multiplying the Bureau of Labor Statistics’ (BLS) 2024 median hourly wage rate for Cargo and Freight Agents ($23.99), which CBP assumes best represents the wage for brokers, by the ratio of BLS’ Q4 2024 total compensation to wages and salaries for Office and Administrative Support occupations (1.4886), the assumed occupational group for brokers, to account for non-salary employee benefits.</w:t>
      </w:r>
      <w:r>
        <w:rPr>
          <w:rFonts w:ascii="Arial" w:eastAsia="Calibri" w:hAnsi="Arial" w:cs="Arial"/>
          <w:snapToGrid/>
          <w:szCs w:val="24"/>
          <w:vertAlign w:val="superscript"/>
        </w:rPr>
        <w:footnoteReference w:id="2"/>
      </w:r>
      <w:r w:rsidRPr="00E44CC4">
        <w:rPr>
          <w:rFonts w:ascii="Arial" w:eastAsia="Calibri" w:hAnsi="Arial" w:cs="Arial"/>
          <w:snapToGrid/>
          <w:szCs w:val="24"/>
        </w:rPr>
        <w:t xml:space="preserve">  CBP uses an annual growth rate of 2.42% based on the prior year's change in the implicit price deflator, published by the Bureau of Economic Analysis.</w:t>
      </w:r>
      <w:r>
        <w:rPr>
          <w:rFonts w:ascii="Arial" w:eastAsia="Calibri" w:hAnsi="Arial" w:cs="Arial"/>
          <w:snapToGrid/>
          <w:szCs w:val="24"/>
          <w:vertAlign w:val="superscript"/>
        </w:rPr>
        <w:footnoteReference w:id="3"/>
      </w:r>
    </w:p>
    <w:p w:rsidR="00D169E0" w:rsidP="00D169E0" w14:paraId="1D13BFC9" w14:textId="77777777">
      <w:pPr>
        <w:tabs>
          <w:tab w:val="left" w:pos="-1440"/>
        </w:tabs>
        <w:ind w:left="720" w:hanging="720"/>
        <w:jc w:val="both"/>
        <w:rPr>
          <w:rFonts w:ascii="Arial" w:hAnsi="Arial" w:cs="Arial"/>
          <w:b/>
          <w:bCs/>
          <w:szCs w:val="24"/>
        </w:rPr>
      </w:pPr>
    </w:p>
    <w:p w:rsidR="006970DB" w:rsidP="00EB26DC" w14:paraId="19B15100" w14:textId="77777777">
      <w:pPr>
        <w:tabs>
          <w:tab w:val="left" w:pos="-1440"/>
        </w:tabs>
        <w:ind w:left="720" w:hanging="720"/>
        <w:jc w:val="both"/>
        <w:rPr>
          <w:rFonts w:ascii="Arial" w:hAnsi="Arial" w:cs="Arial"/>
          <w:b/>
          <w:bCs/>
          <w:szCs w:val="24"/>
        </w:rPr>
      </w:pPr>
    </w:p>
    <w:p w:rsidR="00D169E0" w:rsidRPr="00D169E0" w:rsidP="00C002D6" w14:paraId="427D2259"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559B96C2" w14:textId="77777777">
      <w:pPr>
        <w:tabs>
          <w:tab w:val="left" w:pos="-1440"/>
        </w:tabs>
        <w:ind w:left="720" w:hanging="720"/>
        <w:jc w:val="both"/>
        <w:rPr>
          <w:rFonts w:ascii="Arial" w:hAnsi="Arial" w:cs="Arial"/>
          <w:szCs w:val="24"/>
        </w:rPr>
      </w:pPr>
    </w:p>
    <w:p w:rsidR="00D169E0" w:rsidRPr="00D169E0" w:rsidP="00D169E0" w14:paraId="4CF375EE" w14:textId="77777777">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00D169E0" w:rsidRPr="00D169E0" w:rsidP="00D169E0" w14:paraId="3300030E"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2281F087"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D237A" w:rsidRPr="00AD237A" w:rsidP="00E75A98" w14:paraId="6DF5269C" w14:textId="77777777">
      <w:pPr>
        <w:tabs>
          <w:tab w:val="left" w:pos="-1080"/>
          <w:tab w:val="left" w:pos="-720"/>
          <w:tab w:val="left" w:pos="0"/>
          <w:tab w:val="left" w:pos="720"/>
          <w:tab w:val="left" w:pos="1080"/>
        </w:tabs>
        <w:jc w:val="both"/>
        <w:rPr>
          <w:rFonts w:ascii="Arial" w:hAnsi="Arial" w:cs="Arial"/>
          <w:color w:val="FF0000"/>
          <w:szCs w:val="24"/>
        </w:rPr>
      </w:pPr>
    </w:p>
    <w:p w:rsidR="00E44CC4" w:rsidRPr="00E44CC4" w:rsidP="00E44CC4" w14:paraId="7DFDC215" w14:textId="1E4471F6">
      <w:pPr>
        <w:widowControl/>
        <w:tabs>
          <w:tab w:val="left" w:pos="-1440"/>
        </w:tabs>
        <w:ind w:left="660"/>
        <w:jc w:val="both"/>
        <w:rPr>
          <w:rFonts w:ascii="Arial" w:eastAsia="Calibri" w:hAnsi="Arial" w:cs="Arial"/>
          <w:snapToGrid/>
          <w:szCs w:val="24"/>
        </w:rPr>
      </w:pPr>
      <w:r w:rsidRPr="00E44CC4">
        <w:rPr>
          <w:rFonts w:ascii="Arial" w:eastAsia="Calibri" w:hAnsi="Arial" w:cs="Arial"/>
          <w:snapToGrid/>
          <w:szCs w:val="24"/>
        </w:rPr>
        <w:t>The estimated annual cost to the Federal Government associated with the review of th</w:t>
      </w:r>
      <w:r>
        <w:rPr>
          <w:rFonts w:ascii="Arial" w:eastAsia="Calibri" w:hAnsi="Arial" w:cs="Arial"/>
          <w:snapToGrid/>
          <w:szCs w:val="24"/>
        </w:rPr>
        <w:t>is information collection</w:t>
      </w:r>
      <w:r w:rsidRPr="00E44CC4">
        <w:rPr>
          <w:rFonts w:ascii="Arial" w:eastAsia="Calibri" w:hAnsi="Arial" w:cs="Arial"/>
          <w:snapToGrid/>
          <w:szCs w:val="24"/>
        </w:rPr>
        <w:t xml:space="preserve"> is $</w:t>
      </w:r>
      <w:r>
        <w:rPr>
          <w:rFonts w:ascii="Arial" w:eastAsia="Calibri" w:hAnsi="Arial" w:cs="Arial"/>
          <w:snapToGrid/>
          <w:szCs w:val="24"/>
        </w:rPr>
        <w:t>63,128</w:t>
      </w:r>
      <w:r w:rsidRPr="00E44CC4">
        <w:rPr>
          <w:rFonts w:ascii="Arial" w:eastAsia="Calibri" w:hAnsi="Arial" w:cs="Arial"/>
          <w:snapToGrid/>
          <w:szCs w:val="24"/>
        </w:rPr>
        <w:t>.  This is based on the number of responses that must be reviewed (</w:t>
      </w:r>
      <w:r>
        <w:rPr>
          <w:rFonts w:ascii="Arial" w:eastAsia="Calibri" w:hAnsi="Arial" w:cs="Arial"/>
          <w:snapToGrid/>
          <w:szCs w:val="24"/>
        </w:rPr>
        <w:t>3,000</w:t>
      </w:r>
      <w:r w:rsidRPr="00E44CC4">
        <w:rPr>
          <w:rFonts w:ascii="Arial" w:eastAsia="Calibri" w:hAnsi="Arial" w:cs="Arial"/>
          <w:snapToGrid/>
          <w:szCs w:val="24"/>
        </w:rPr>
        <w:t>) multiplied by the time burden to review and process each response (</w:t>
      </w:r>
      <w:r>
        <w:rPr>
          <w:rFonts w:ascii="Arial" w:eastAsia="Calibri" w:hAnsi="Arial" w:cs="Arial"/>
          <w:snapToGrid/>
          <w:szCs w:val="24"/>
        </w:rPr>
        <w:t>15 minutes or 0.25</w:t>
      </w:r>
      <w:r w:rsidRPr="00E44CC4">
        <w:rPr>
          <w:rFonts w:ascii="Arial" w:eastAsia="Calibri" w:hAnsi="Arial" w:cs="Arial"/>
          <w:snapToGrid/>
          <w:szCs w:val="24"/>
        </w:rPr>
        <w:t xml:space="preserve"> hours) = </w:t>
      </w:r>
      <w:r>
        <w:rPr>
          <w:rFonts w:ascii="Arial" w:eastAsia="Calibri" w:hAnsi="Arial" w:cs="Arial"/>
          <w:snapToGrid/>
          <w:szCs w:val="24"/>
        </w:rPr>
        <w:t>750</w:t>
      </w:r>
      <w:r w:rsidRPr="00E44CC4">
        <w:rPr>
          <w:rFonts w:ascii="Arial" w:eastAsia="Calibri" w:hAnsi="Arial" w:cs="Arial"/>
          <w:snapToGrid/>
          <w:szCs w:val="24"/>
        </w:rPr>
        <w:t xml:space="preserve"> hours multiplied by the average hourly loaded rate for a CBP Trade and Revenue employee ($84.17)</w:t>
      </w:r>
      <w:r>
        <w:rPr>
          <w:rFonts w:ascii="Arial" w:eastAsia="Calibri" w:hAnsi="Arial" w:cs="Arial"/>
          <w:snapToGrid/>
          <w:szCs w:val="24"/>
          <w:vertAlign w:val="superscript"/>
        </w:rPr>
        <w:footnoteReference w:id="4"/>
      </w:r>
      <w:r w:rsidRPr="00E44CC4">
        <w:rPr>
          <w:rFonts w:ascii="Arial" w:eastAsia="Calibri" w:hAnsi="Arial" w:cs="Arial"/>
          <w:snapToGrid/>
          <w:szCs w:val="24"/>
        </w:rPr>
        <w:t xml:space="preserve"> = $</w:t>
      </w:r>
      <w:r>
        <w:rPr>
          <w:rFonts w:ascii="Arial" w:eastAsia="Calibri" w:hAnsi="Arial" w:cs="Arial"/>
          <w:snapToGrid/>
          <w:szCs w:val="24"/>
        </w:rPr>
        <w:t>63,128</w:t>
      </w:r>
      <w:r w:rsidRPr="00E44CC4">
        <w:rPr>
          <w:rFonts w:ascii="Arial" w:eastAsia="Calibri" w:hAnsi="Arial" w:cs="Arial"/>
          <w:snapToGrid/>
          <w:szCs w:val="24"/>
        </w:rPr>
        <w:t>.</w:t>
      </w:r>
    </w:p>
    <w:p w:rsidR="00344CD9" w:rsidRPr="00E75A98" w:rsidP="00E44CC4" w14:paraId="06C160A5" w14:textId="77777777">
      <w:pPr>
        <w:tabs>
          <w:tab w:val="left" w:pos="-1440"/>
        </w:tabs>
        <w:jc w:val="both"/>
        <w:rPr>
          <w:rFonts w:ascii="Arial" w:hAnsi="Arial" w:cs="Arial"/>
          <w:szCs w:val="24"/>
        </w:rPr>
      </w:pPr>
    </w:p>
    <w:p w:rsidR="00D169E0" w:rsidRPr="00D169E0" w:rsidP="00D169E0" w14:paraId="43A551EA" w14:textId="77777777">
      <w:pPr>
        <w:tabs>
          <w:tab w:val="left" w:pos="-1440"/>
        </w:tabs>
        <w:ind w:left="720" w:hanging="720"/>
        <w:jc w:val="both"/>
        <w:rPr>
          <w:rFonts w:ascii="Arial" w:hAnsi="Arial" w:cs="Arial"/>
          <w:szCs w:val="24"/>
        </w:rPr>
      </w:pPr>
    </w:p>
    <w:p w:rsidR="00D169E0" w:rsidRPr="00D169E0" w:rsidP="00D169E0" w14:paraId="38444BC9"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E44CC4">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6E2119" w:rsidP="006E2119" w14:paraId="2F1C2654" w14:textId="77777777">
      <w:pPr>
        <w:jc w:val="both"/>
        <w:rPr>
          <w:rFonts w:ascii="Arial" w:hAnsi="Arial" w:cs="Arial"/>
          <w:b/>
          <w:bCs/>
          <w:szCs w:val="24"/>
        </w:rPr>
      </w:pPr>
    </w:p>
    <w:p w:rsidR="00230024" w:rsidP="00720CFA" w14:paraId="65F722DB" w14:textId="1FD3827D">
      <w:pPr>
        <w:ind w:left="720"/>
        <w:jc w:val="both"/>
        <w:rPr>
          <w:rFonts w:ascii="Arial" w:hAnsi="Arial" w:cs="Arial"/>
        </w:rPr>
      </w:pPr>
      <w:r>
        <w:rPr>
          <w:rFonts w:ascii="Arial" w:hAnsi="Arial" w:cs="Arial"/>
        </w:rPr>
        <w:t>No change to the annual burden previously reported for this information collection. No change to the collection of information or method of collection.</w:t>
      </w:r>
    </w:p>
    <w:p w:rsidR="006E2119" w:rsidP="006E2119" w14:paraId="55010A31" w14:textId="77777777">
      <w:pPr>
        <w:ind w:left="720"/>
        <w:jc w:val="both"/>
        <w:rPr>
          <w:rFonts w:ascii="Arial" w:hAnsi="Arial" w:cs="Arial"/>
          <w:b/>
          <w:bCs/>
          <w:szCs w:val="24"/>
        </w:rPr>
      </w:pPr>
    </w:p>
    <w:p w:rsidR="00F108E6" w:rsidRPr="00D169E0" w:rsidP="006E2119" w14:paraId="23F0E374" w14:textId="77777777">
      <w:pPr>
        <w:ind w:left="720"/>
        <w:jc w:val="both"/>
        <w:rPr>
          <w:rFonts w:ascii="Arial" w:hAnsi="Arial" w:cs="Arial"/>
          <w:b/>
          <w:bCs/>
          <w:szCs w:val="24"/>
        </w:rPr>
      </w:pPr>
    </w:p>
    <w:p w:rsidR="00D169E0" w:rsidRPr="00D169E0" w:rsidP="00D169E0" w14:paraId="6B5290F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59901391"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074B9897" w14:textId="77777777">
      <w:pPr>
        <w:ind w:firstLine="720"/>
        <w:jc w:val="both"/>
        <w:rPr>
          <w:rFonts w:ascii="Arial" w:hAnsi="Arial" w:cs="Arial"/>
          <w:szCs w:val="24"/>
        </w:rPr>
      </w:pPr>
      <w:r w:rsidRPr="00D169E0">
        <w:rPr>
          <w:rFonts w:ascii="Arial" w:hAnsi="Arial" w:cs="Arial"/>
          <w:szCs w:val="24"/>
        </w:rPr>
        <w:t>This information collection will not be pub</w:t>
      </w:r>
      <w:r w:rsidR="00625E90">
        <w:rPr>
          <w:rFonts w:ascii="Arial" w:hAnsi="Arial" w:cs="Arial"/>
          <w:szCs w:val="24"/>
        </w:rPr>
        <w:t>lished.</w:t>
      </w:r>
    </w:p>
    <w:p w:rsidR="00D169E0" w:rsidP="00D169E0" w14:paraId="7A299671" w14:textId="77777777">
      <w:pPr>
        <w:jc w:val="both"/>
        <w:rPr>
          <w:rFonts w:ascii="Arial" w:hAnsi="Arial" w:cs="Arial"/>
          <w:szCs w:val="24"/>
        </w:rPr>
      </w:pPr>
    </w:p>
    <w:p w:rsidR="00D169E0" w:rsidRPr="00D169E0" w:rsidP="00D169E0" w14:paraId="287D7918"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709B53ED" w14:textId="77777777">
      <w:pPr>
        <w:jc w:val="both"/>
        <w:rPr>
          <w:rFonts w:ascii="Arial" w:hAnsi="Arial" w:cs="Arial"/>
          <w:b/>
          <w:bCs/>
          <w:szCs w:val="24"/>
        </w:rPr>
      </w:pPr>
      <w:r w:rsidRPr="00D169E0">
        <w:rPr>
          <w:rFonts w:ascii="Arial" w:hAnsi="Arial" w:cs="Arial"/>
          <w:b/>
          <w:bCs/>
          <w:szCs w:val="24"/>
        </w:rPr>
        <w:tab/>
      </w:r>
    </w:p>
    <w:p w:rsidR="00D169E0" w:rsidRPr="00D169E0" w:rsidP="00D169E0" w14:paraId="11EF8C82"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00D169E0" w:rsidRPr="00D169E0" w:rsidP="00D169E0" w14:paraId="2DEE0FCD"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20E0E445"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00D169E0" w:rsidRPr="00D169E0" w:rsidP="00D169E0" w14:paraId="6EA1F8C4"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56D15EE7"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3932ACBE"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6819D348"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41CB5E54" w14:textId="77777777">
      <w:pPr>
        <w:jc w:val="both"/>
        <w:rPr>
          <w:rFonts w:ascii="Arial" w:hAnsi="Arial" w:cs="Arial"/>
          <w:szCs w:val="24"/>
        </w:rPr>
      </w:pPr>
    </w:p>
    <w:p w:rsidR="00D169E0" w:rsidRPr="00D169E0" w:rsidP="00D169E0" w14:paraId="31EE88F2"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14"/>
      <w:footerReference w:type="default" r:id="rId15"/>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3556" w:rsidP="00CB0B86" w14:paraId="2F3725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71A102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3556" w:rsidP="00CB0B86" w14:paraId="19E322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CFA">
      <w:rPr>
        <w:rStyle w:val="PageNumber"/>
        <w:noProof/>
      </w:rPr>
      <w:t>6</w:t>
    </w:r>
    <w:r>
      <w:rPr>
        <w:rStyle w:val="PageNumber"/>
      </w:rPr>
      <w:fldChar w:fldCharType="end"/>
    </w:r>
  </w:p>
  <w:p w:rsidR="00E53556" w14:paraId="399EA9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24022" w14:paraId="1A6187F5" w14:textId="77777777">
      <w:r>
        <w:separator/>
      </w:r>
    </w:p>
  </w:footnote>
  <w:footnote w:type="continuationSeparator" w:id="1">
    <w:p w:rsidR="00924022" w14:paraId="42491EA4" w14:textId="77777777">
      <w:r>
        <w:continuationSeparator/>
      </w:r>
    </w:p>
  </w:footnote>
  <w:footnote w:id="2">
    <w:p w:rsidR="00E44CC4" w:rsidP="00E44CC4" w14:paraId="4816E891"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E44CC4" w:rsidP="00E44CC4" w14:paraId="31E4D6D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E44CC4" w:rsidP="00E44CC4" w14:paraId="0B0B94F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96C4984"/>
    <w:multiLevelType w:val="hybridMultilevel"/>
    <w:tmpl w:val="85FCA1DC"/>
    <w:lvl w:ilvl="0">
      <w:start w:val="1"/>
      <w:numFmt w:val="decimal"/>
      <w:suff w:val="space"/>
      <w:lvlText w:val="%1."/>
      <w:lvlJc w:val="left"/>
      <w:pPr>
        <w:ind w:left="432" w:firstLine="738"/>
      </w:pPr>
      <w:rPr>
        <w:rFonts w:ascii="Arial" w:hAnsi="Aria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EC35363"/>
    <w:multiLevelType w:val="hybridMultilevel"/>
    <w:tmpl w:val="C138118E"/>
    <w:lvl w:ilvl="0">
      <w:start w:val="1"/>
      <w:numFmt w:val="decimal"/>
      <w:lvlText w:val="%1."/>
      <w:lvlJc w:val="left"/>
      <w:pPr>
        <w:ind w:left="1440" w:hanging="274"/>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A22AAD88"/>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8240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69006091">
    <w:abstractNumId w:val="11"/>
  </w:num>
  <w:num w:numId="3" w16cid:durableId="363404037">
    <w:abstractNumId w:val="2"/>
  </w:num>
  <w:num w:numId="4" w16cid:durableId="2012365411">
    <w:abstractNumId w:val="5"/>
  </w:num>
  <w:num w:numId="5" w16cid:durableId="210042881">
    <w:abstractNumId w:val="12"/>
  </w:num>
  <w:num w:numId="6" w16cid:durableId="1551651445">
    <w:abstractNumId w:val="1"/>
  </w:num>
  <w:num w:numId="7" w16cid:durableId="153764289">
    <w:abstractNumId w:val="3"/>
  </w:num>
  <w:num w:numId="8" w16cid:durableId="248006733">
    <w:abstractNumId w:val="10"/>
  </w:num>
  <w:num w:numId="9" w16cid:durableId="712119444">
    <w:abstractNumId w:val="7"/>
  </w:num>
  <w:num w:numId="10" w16cid:durableId="425002681">
    <w:abstractNumId w:val="15"/>
  </w:num>
  <w:num w:numId="11" w16cid:durableId="921527541">
    <w:abstractNumId w:val="13"/>
  </w:num>
  <w:num w:numId="12" w16cid:durableId="1781604909">
    <w:abstractNumId w:val="9"/>
  </w:num>
  <w:num w:numId="13" w16cid:durableId="445587372">
    <w:abstractNumId w:val="14"/>
  </w:num>
  <w:num w:numId="14" w16cid:durableId="138110790">
    <w:abstractNumId w:val="4"/>
  </w:num>
  <w:num w:numId="15" w16cid:durableId="667053097">
    <w:abstractNumId w:val="6"/>
  </w:num>
  <w:num w:numId="16" w16cid:durableId="5510436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LIAMS, SHADE">
    <w15:presenceInfo w15:providerId="AD" w15:userId="S::0041937762@cbp.dhs.gov::4dafa48f-86f7-4357-a8d1-248795e24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21433"/>
    <w:rsid w:val="00023AD2"/>
    <w:rsid w:val="00044418"/>
    <w:rsid w:val="00070F41"/>
    <w:rsid w:val="0008705C"/>
    <w:rsid w:val="00087255"/>
    <w:rsid w:val="000A365A"/>
    <w:rsid w:val="000A4F4A"/>
    <w:rsid w:val="000A6023"/>
    <w:rsid w:val="000D50CB"/>
    <w:rsid w:val="000E58E4"/>
    <w:rsid w:val="000E6516"/>
    <w:rsid w:val="000F2451"/>
    <w:rsid w:val="001010FF"/>
    <w:rsid w:val="00106C11"/>
    <w:rsid w:val="00112293"/>
    <w:rsid w:val="00120C02"/>
    <w:rsid w:val="00121042"/>
    <w:rsid w:val="00126E18"/>
    <w:rsid w:val="001352EE"/>
    <w:rsid w:val="0015458B"/>
    <w:rsid w:val="00161769"/>
    <w:rsid w:val="001669BD"/>
    <w:rsid w:val="001A65FA"/>
    <w:rsid w:val="001B4987"/>
    <w:rsid w:val="001C55CD"/>
    <w:rsid w:val="001D112C"/>
    <w:rsid w:val="001D1A09"/>
    <w:rsid w:val="001E6693"/>
    <w:rsid w:val="001E7E83"/>
    <w:rsid w:val="001F7C91"/>
    <w:rsid w:val="00210510"/>
    <w:rsid w:val="00210BB1"/>
    <w:rsid w:val="00216E84"/>
    <w:rsid w:val="00216EF4"/>
    <w:rsid w:val="002230E2"/>
    <w:rsid w:val="00230024"/>
    <w:rsid w:val="00253347"/>
    <w:rsid w:val="002601BA"/>
    <w:rsid w:val="00263C8F"/>
    <w:rsid w:val="002643BE"/>
    <w:rsid w:val="002937AC"/>
    <w:rsid w:val="002A286C"/>
    <w:rsid w:val="002B13EE"/>
    <w:rsid w:val="002B3E8A"/>
    <w:rsid w:val="002C493E"/>
    <w:rsid w:val="002C586C"/>
    <w:rsid w:val="00305B25"/>
    <w:rsid w:val="0031236C"/>
    <w:rsid w:val="00316EB1"/>
    <w:rsid w:val="00321F85"/>
    <w:rsid w:val="00330144"/>
    <w:rsid w:val="003401E8"/>
    <w:rsid w:val="00344CD9"/>
    <w:rsid w:val="00355047"/>
    <w:rsid w:val="00361762"/>
    <w:rsid w:val="00397D8B"/>
    <w:rsid w:val="003B745B"/>
    <w:rsid w:val="003B7F1D"/>
    <w:rsid w:val="003C2801"/>
    <w:rsid w:val="003C29F0"/>
    <w:rsid w:val="003C3840"/>
    <w:rsid w:val="003E5443"/>
    <w:rsid w:val="003E7DF5"/>
    <w:rsid w:val="00416DC8"/>
    <w:rsid w:val="00417BE3"/>
    <w:rsid w:val="00441945"/>
    <w:rsid w:val="004435B5"/>
    <w:rsid w:val="00450E24"/>
    <w:rsid w:val="00466C91"/>
    <w:rsid w:val="00481454"/>
    <w:rsid w:val="0048524A"/>
    <w:rsid w:val="004A1E70"/>
    <w:rsid w:val="004A7125"/>
    <w:rsid w:val="004B391B"/>
    <w:rsid w:val="004F21C3"/>
    <w:rsid w:val="004F337D"/>
    <w:rsid w:val="00507C1B"/>
    <w:rsid w:val="00516090"/>
    <w:rsid w:val="0052208D"/>
    <w:rsid w:val="00526E8B"/>
    <w:rsid w:val="00567C52"/>
    <w:rsid w:val="00571F3A"/>
    <w:rsid w:val="00575BB6"/>
    <w:rsid w:val="0058625C"/>
    <w:rsid w:val="0059479E"/>
    <w:rsid w:val="0059560F"/>
    <w:rsid w:val="005967E4"/>
    <w:rsid w:val="005A241C"/>
    <w:rsid w:val="005B748F"/>
    <w:rsid w:val="005B7B52"/>
    <w:rsid w:val="005C7349"/>
    <w:rsid w:val="005F020F"/>
    <w:rsid w:val="005F17E5"/>
    <w:rsid w:val="005F3F97"/>
    <w:rsid w:val="005F7B4B"/>
    <w:rsid w:val="00612064"/>
    <w:rsid w:val="00625E90"/>
    <w:rsid w:val="00627943"/>
    <w:rsid w:val="00631911"/>
    <w:rsid w:val="00655D1B"/>
    <w:rsid w:val="006622C3"/>
    <w:rsid w:val="0066548E"/>
    <w:rsid w:val="00665737"/>
    <w:rsid w:val="00694CD9"/>
    <w:rsid w:val="006970DB"/>
    <w:rsid w:val="006A36D0"/>
    <w:rsid w:val="006D1E16"/>
    <w:rsid w:val="006D57AE"/>
    <w:rsid w:val="006E1E43"/>
    <w:rsid w:val="006E2119"/>
    <w:rsid w:val="006E3339"/>
    <w:rsid w:val="006E4A74"/>
    <w:rsid w:val="007062AC"/>
    <w:rsid w:val="00720CFA"/>
    <w:rsid w:val="00726D7A"/>
    <w:rsid w:val="00742C5C"/>
    <w:rsid w:val="007535FC"/>
    <w:rsid w:val="00767C95"/>
    <w:rsid w:val="007757A5"/>
    <w:rsid w:val="007A0C96"/>
    <w:rsid w:val="007C3EF0"/>
    <w:rsid w:val="007D5DD8"/>
    <w:rsid w:val="007F10F2"/>
    <w:rsid w:val="00805242"/>
    <w:rsid w:val="00816110"/>
    <w:rsid w:val="00825C92"/>
    <w:rsid w:val="00832AD0"/>
    <w:rsid w:val="00846B36"/>
    <w:rsid w:val="00854D4F"/>
    <w:rsid w:val="00857641"/>
    <w:rsid w:val="00865EED"/>
    <w:rsid w:val="00872918"/>
    <w:rsid w:val="008976A2"/>
    <w:rsid w:val="008A670D"/>
    <w:rsid w:val="008A7976"/>
    <w:rsid w:val="008B34F9"/>
    <w:rsid w:val="008C1BA6"/>
    <w:rsid w:val="008D407B"/>
    <w:rsid w:val="008F5D38"/>
    <w:rsid w:val="00902ABF"/>
    <w:rsid w:val="0090768D"/>
    <w:rsid w:val="009106AC"/>
    <w:rsid w:val="00924022"/>
    <w:rsid w:val="00945CAD"/>
    <w:rsid w:val="00947617"/>
    <w:rsid w:val="00966380"/>
    <w:rsid w:val="0097738A"/>
    <w:rsid w:val="009817AA"/>
    <w:rsid w:val="009C4F17"/>
    <w:rsid w:val="009C650F"/>
    <w:rsid w:val="009D3C23"/>
    <w:rsid w:val="009E1FA5"/>
    <w:rsid w:val="00A00D39"/>
    <w:rsid w:val="00A36EC3"/>
    <w:rsid w:val="00A53AB2"/>
    <w:rsid w:val="00A66BF8"/>
    <w:rsid w:val="00A66D18"/>
    <w:rsid w:val="00A71546"/>
    <w:rsid w:val="00A7547D"/>
    <w:rsid w:val="00A920B6"/>
    <w:rsid w:val="00A9406A"/>
    <w:rsid w:val="00AB3008"/>
    <w:rsid w:val="00AB5F67"/>
    <w:rsid w:val="00AC0C31"/>
    <w:rsid w:val="00AD237A"/>
    <w:rsid w:val="00AD6108"/>
    <w:rsid w:val="00AE221B"/>
    <w:rsid w:val="00AE5077"/>
    <w:rsid w:val="00B04B99"/>
    <w:rsid w:val="00B12931"/>
    <w:rsid w:val="00B269D7"/>
    <w:rsid w:val="00B314AF"/>
    <w:rsid w:val="00B46345"/>
    <w:rsid w:val="00B520C1"/>
    <w:rsid w:val="00B7037E"/>
    <w:rsid w:val="00BD0B71"/>
    <w:rsid w:val="00BE070F"/>
    <w:rsid w:val="00BE1E43"/>
    <w:rsid w:val="00BE66C0"/>
    <w:rsid w:val="00BF2B7D"/>
    <w:rsid w:val="00BF58EE"/>
    <w:rsid w:val="00BF7FB5"/>
    <w:rsid w:val="00C002D6"/>
    <w:rsid w:val="00C02E0A"/>
    <w:rsid w:val="00C04974"/>
    <w:rsid w:val="00C233E7"/>
    <w:rsid w:val="00C37221"/>
    <w:rsid w:val="00C47181"/>
    <w:rsid w:val="00C511E4"/>
    <w:rsid w:val="00C65921"/>
    <w:rsid w:val="00C77063"/>
    <w:rsid w:val="00C84790"/>
    <w:rsid w:val="00C86056"/>
    <w:rsid w:val="00CB0B86"/>
    <w:rsid w:val="00CB4FAE"/>
    <w:rsid w:val="00CB754B"/>
    <w:rsid w:val="00CC16E5"/>
    <w:rsid w:val="00CC1F1B"/>
    <w:rsid w:val="00CD2634"/>
    <w:rsid w:val="00CE09D9"/>
    <w:rsid w:val="00CE34EA"/>
    <w:rsid w:val="00CF1201"/>
    <w:rsid w:val="00CF6677"/>
    <w:rsid w:val="00D04008"/>
    <w:rsid w:val="00D05A5F"/>
    <w:rsid w:val="00D116BD"/>
    <w:rsid w:val="00D169E0"/>
    <w:rsid w:val="00D50CC7"/>
    <w:rsid w:val="00D5506B"/>
    <w:rsid w:val="00D62AAD"/>
    <w:rsid w:val="00D651B8"/>
    <w:rsid w:val="00D73A10"/>
    <w:rsid w:val="00D742C5"/>
    <w:rsid w:val="00D76DAF"/>
    <w:rsid w:val="00D82D18"/>
    <w:rsid w:val="00D87770"/>
    <w:rsid w:val="00D94F95"/>
    <w:rsid w:val="00DA2D97"/>
    <w:rsid w:val="00DA7968"/>
    <w:rsid w:val="00DC4847"/>
    <w:rsid w:val="00DD0C01"/>
    <w:rsid w:val="00DE33DB"/>
    <w:rsid w:val="00DE4B41"/>
    <w:rsid w:val="00DE5D42"/>
    <w:rsid w:val="00DF5872"/>
    <w:rsid w:val="00E313DA"/>
    <w:rsid w:val="00E353C6"/>
    <w:rsid w:val="00E44CC4"/>
    <w:rsid w:val="00E50E59"/>
    <w:rsid w:val="00E53556"/>
    <w:rsid w:val="00E75A98"/>
    <w:rsid w:val="00EA4CD9"/>
    <w:rsid w:val="00EB26DC"/>
    <w:rsid w:val="00EB2722"/>
    <w:rsid w:val="00EB4CBD"/>
    <w:rsid w:val="00EB7829"/>
    <w:rsid w:val="00EE6CA1"/>
    <w:rsid w:val="00EE7085"/>
    <w:rsid w:val="00EF5ABA"/>
    <w:rsid w:val="00F0595B"/>
    <w:rsid w:val="00F1052C"/>
    <w:rsid w:val="00F108E6"/>
    <w:rsid w:val="00F113BD"/>
    <w:rsid w:val="00F171EF"/>
    <w:rsid w:val="00F177C2"/>
    <w:rsid w:val="00F26C22"/>
    <w:rsid w:val="00F341FF"/>
    <w:rsid w:val="00F86324"/>
    <w:rsid w:val="00F935F4"/>
    <w:rsid w:val="00F95404"/>
    <w:rsid w:val="00FB64F9"/>
    <w:rsid w:val="00FE62C2"/>
    <w:rsid w:val="00FF3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152814"/>
  <w15:chartTrackingRefBased/>
  <w15:docId w15:val="{C071F85A-1A73-4D71-BEDA-D7A88DD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rsid w:val="006E2119"/>
    <w:rPr>
      <w:snapToGrid w:val="0"/>
    </w:rPr>
  </w:style>
  <w:style w:type="paragraph" w:styleId="FootnoteText">
    <w:name w:val="footnote text"/>
    <w:basedOn w:val="Normal"/>
    <w:link w:val="FootnoteTextChar"/>
    <w:unhideWhenUsed/>
    <w:rsid w:val="00E75A98"/>
    <w:pPr>
      <w:widowControl/>
    </w:pPr>
    <w:rPr>
      <w:rFonts w:ascii="Calibri" w:eastAsia="Calibri" w:hAnsi="Calibri" w:cs="Calibri"/>
      <w:snapToGrid/>
      <w:sz w:val="20"/>
    </w:rPr>
  </w:style>
  <w:style w:type="character" w:customStyle="1" w:styleId="FootnoteTextChar">
    <w:name w:val="Footnote Text Char"/>
    <w:link w:val="FootnoteText"/>
    <w:rsid w:val="00E75A98"/>
    <w:rPr>
      <w:rFonts w:ascii="Calibri" w:eastAsia="Calibri" w:hAnsi="Calibri" w:cs="Calibri"/>
    </w:rPr>
  </w:style>
  <w:style w:type="paragraph" w:styleId="Revision">
    <w:name w:val="Revision"/>
    <w:hidden/>
    <w:uiPriority w:val="99"/>
    <w:semiHidden/>
    <w:rsid w:val="009106AC"/>
    <w:rPr>
      <w:snapToGrid w:val="0"/>
      <w:sz w:val="24"/>
    </w:rPr>
  </w:style>
  <w:style w:type="character" w:styleId="UnresolvedMention">
    <w:name w:val="Unresolved Mention"/>
    <w:basedOn w:val="DefaultParagraphFont"/>
    <w:uiPriority w:val="99"/>
    <w:semiHidden/>
    <w:unhideWhenUsed/>
    <w:rsid w:val="0072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bp.gov/newsroom/publications/forms" TargetMode="External" /><Relationship Id="rId11" Type="http://schemas.openxmlformats.org/officeDocument/2006/relationships/hyperlink" Target="https://ecfr.io/Title-19/Part-190" TargetMode="External" /><Relationship Id="rId12" Type="http://schemas.openxmlformats.org/officeDocument/2006/relationships/hyperlink" Target="https://www.govinfo.gov/content/pkg/USCODE-2011-title19/pdf/USCODE-2011-title19-chap4-subtitleII-partI-sec1313.pdf" TargetMode="External" /><Relationship Id="rId13" Type="http://schemas.openxmlformats.org/officeDocument/2006/relationships/hyperlink" Target="https://www.cbp.gov/trade/drawback/drawback-reminder-manual-filer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document/guidance/ace-drawback-catair-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BC67-2244-4AB0-8941-EF07DF20ADA1}">
  <ds:schemaRefs>
    <ds:schemaRef ds:uri="http://schemas.openxmlformats.org/officeDocument/2006/bibliography"/>
  </ds:schemaRefs>
</ds:datastoreItem>
</file>

<file path=customXml/itemProps2.xml><?xml version="1.0" encoding="utf-8"?>
<ds:datastoreItem xmlns:ds="http://schemas.openxmlformats.org/officeDocument/2006/customXml" ds:itemID="{F8F6BF34-1778-4A26-B851-CE422C108422}">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A03460A6-945A-4A74-B252-EB589419C444}">
  <ds:schemaRefs>
    <ds:schemaRef ds:uri="http://schemas.microsoft.com/sharepoint/v3/contenttype/forms"/>
  </ds:schemaRefs>
</ds:datastoreItem>
</file>

<file path=customXml/itemProps4.xml><?xml version="1.0" encoding="utf-8"?>
<ds:datastoreItem xmlns:ds="http://schemas.openxmlformats.org/officeDocument/2006/customXml" ds:itemID="{4BF73EEF-F08E-4EF9-B782-C8747F54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2025-11-25T14:58:00Z</dcterms:created>
  <dcterms:modified xsi:type="dcterms:W3CDTF">2025-11-25T14:58:00Z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