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57E5" w:rsidRPr="00E936F6" w:rsidP="000E57E5" w14:paraId="26A8757D" w14:textId="109DEE8D">
      <w:pPr>
        <w:widowControl w:val="0"/>
        <w:jc w:val="center"/>
        <w:rPr>
          <w:rFonts w:ascii="Times New Roman" w:hAnsi="Times New Roman"/>
          <w:szCs w:val="22"/>
        </w:rPr>
      </w:pPr>
      <w:bookmarkStart w:id="0" w:name="_Hlk126579133"/>
      <w:r w:rsidRPr="00E936F6">
        <w:rPr>
          <w:rFonts w:ascii="Times New Roman" w:hAnsi="Times New Roman"/>
          <w:szCs w:val="22"/>
        </w:rPr>
        <w:t xml:space="preserve">U.S. </w:t>
      </w:r>
      <w:r w:rsidR="00E936F6">
        <w:rPr>
          <w:rFonts w:ascii="Times New Roman" w:hAnsi="Times New Roman"/>
          <w:szCs w:val="22"/>
        </w:rPr>
        <w:t>DEPARTMENT OF HOMELAND SECURITY</w:t>
      </w:r>
    </w:p>
    <w:p w:rsidR="000E57E5" w:rsidRPr="00E936F6" w:rsidP="000E57E5" w14:paraId="27B00F0F" w14:textId="77777777">
      <w:pPr>
        <w:widowControl w:val="0"/>
        <w:jc w:val="center"/>
        <w:rPr>
          <w:rFonts w:ascii="Times New Roman" w:hAnsi="Times New Roman"/>
          <w:szCs w:val="22"/>
        </w:rPr>
      </w:pPr>
      <w:r w:rsidRPr="00E936F6">
        <w:rPr>
          <w:rFonts w:ascii="Times New Roman" w:hAnsi="Times New Roman"/>
          <w:szCs w:val="22"/>
        </w:rPr>
        <w:t>Generic Clearance for Formative Data Collections for Evaluation, Research, and Evidence-Building</w:t>
      </w:r>
    </w:p>
    <w:p w:rsidR="000E57E5" w:rsidRPr="00E936F6" w:rsidP="000E57E5" w14:paraId="283E7357" w14:textId="1E5016E8">
      <w:pPr>
        <w:widowControl w:val="0"/>
        <w:jc w:val="center"/>
        <w:rPr>
          <w:rFonts w:ascii="Times New Roman" w:hAnsi="Times New Roman"/>
          <w:szCs w:val="22"/>
        </w:rPr>
      </w:pPr>
      <w:r w:rsidRPr="00E936F6">
        <w:rPr>
          <w:rFonts w:ascii="Times New Roman" w:hAnsi="Times New Roman"/>
          <w:szCs w:val="22"/>
        </w:rPr>
        <w:t xml:space="preserve">OMB Control Number, </w:t>
      </w:r>
      <w:r w:rsidR="00E936F6">
        <w:rPr>
          <w:rFonts w:ascii="Times New Roman" w:hAnsi="Times New Roman"/>
          <w:szCs w:val="22"/>
        </w:rPr>
        <w:t>1601</w:t>
      </w:r>
      <w:r w:rsidRPr="00E936F6">
        <w:rPr>
          <w:rFonts w:ascii="Times New Roman" w:hAnsi="Times New Roman"/>
          <w:szCs w:val="22"/>
        </w:rPr>
        <w:t>-</w:t>
      </w:r>
      <w:r w:rsidR="006B557D">
        <w:rPr>
          <w:rFonts w:ascii="Times New Roman" w:hAnsi="Times New Roman"/>
          <w:szCs w:val="22"/>
        </w:rPr>
        <w:t>New</w:t>
      </w:r>
    </w:p>
    <w:p w:rsidR="000E57E5" w:rsidRPr="00E936F6" w:rsidP="000E57E5" w14:paraId="7EDB8F9E" w14:textId="1DA18110">
      <w:pPr>
        <w:widowControl w:val="0"/>
        <w:jc w:val="center"/>
        <w:rPr>
          <w:rFonts w:ascii="Times New Roman" w:hAnsi="Times New Roman"/>
          <w:szCs w:val="22"/>
        </w:rPr>
      </w:pPr>
      <w:r w:rsidRPr="00E936F6">
        <w:rPr>
          <w:rFonts w:ascii="Times New Roman" w:hAnsi="Times New Roman"/>
          <w:szCs w:val="22"/>
        </w:rPr>
        <w:t>Part B Supporting Statement</w:t>
      </w:r>
    </w:p>
    <w:bookmarkEnd w:id="0"/>
    <w:p w:rsidR="00F0379E" w:rsidRPr="00E936F6" w14:paraId="661B9C32" w14:textId="2D6CE24F">
      <w:pPr>
        <w:rPr>
          <w:rFonts w:ascii="Times New Roman" w:hAnsi="Times New Roman"/>
        </w:rPr>
      </w:pPr>
    </w:p>
    <w:p w:rsidR="003D5938" w:rsidRPr="00E936F6" w14:paraId="4532AF44" w14:textId="6289B77F">
      <w:pPr>
        <w:rPr>
          <w:rFonts w:ascii="Times New Roman" w:hAnsi="Times New Roman"/>
        </w:rPr>
      </w:pPr>
    </w:p>
    <w:p w:rsidR="00A227D6" w:rsidRPr="00E936F6" w:rsidP="00A227D6" w14:paraId="49C6B6AD" w14:textId="77777777">
      <w:pPr>
        <w:ind w:hanging="360"/>
        <w:rPr>
          <w:rFonts w:ascii="Times New Roman" w:hAnsi="Times New Roman"/>
          <w:b/>
        </w:rPr>
      </w:pPr>
      <w:r w:rsidRPr="00E936F6">
        <w:rPr>
          <w:rFonts w:ascii="Times New Roman" w:hAnsi="Times New Roman"/>
          <w:b/>
        </w:rPr>
        <w:t>B.</w:t>
      </w:r>
      <w:r w:rsidRPr="00E936F6">
        <w:rPr>
          <w:rFonts w:ascii="Times New Roman" w:hAnsi="Times New Roman"/>
          <w:b/>
        </w:rPr>
        <w:tab/>
        <w:t>STATISTICAL METHODS</w:t>
      </w:r>
    </w:p>
    <w:p w:rsidR="00A227D6" w:rsidRPr="004957C0" w14:paraId="585180CA" w14:textId="2918489A">
      <w:pPr>
        <w:rPr>
          <w:rFonts w:ascii="Times New Roman" w:hAnsi="Times New Roman"/>
          <w:szCs w:val="24"/>
        </w:rPr>
      </w:pPr>
      <w:r w:rsidRPr="00E936F6">
        <w:rPr>
          <w:rFonts w:ascii="Times New Roman" w:hAnsi="Times New Roman"/>
          <w:szCs w:val="24"/>
        </w:rPr>
        <w:t>The primary pur</w:t>
      </w:r>
      <w:r w:rsidRPr="00E936F6" w:rsidR="00724C64">
        <w:rPr>
          <w:rFonts w:ascii="Times New Roman" w:hAnsi="Times New Roman"/>
          <w:szCs w:val="24"/>
        </w:rPr>
        <w:t xml:space="preserve">pose </w:t>
      </w:r>
      <w:r w:rsidRPr="00E936F6" w:rsidR="00EE7460">
        <w:rPr>
          <w:rFonts w:ascii="Times New Roman" w:hAnsi="Times New Roman"/>
          <w:szCs w:val="24"/>
        </w:rPr>
        <w:t xml:space="preserve">of this generic </w:t>
      </w:r>
      <w:r w:rsidRPr="00E936F6" w:rsidR="0036351E">
        <w:rPr>
          <w:rFonts w:ascii="Times New Roman" w:hAnsi="Times New Roman"/>
          <w:szCs w:val="24"/>
        </w:rPr>
        <w:t>clearance</w:t>
      </w:r>
      <w:r w:rsidRPr="00E936F6" w:rsidR="00EE7460">
        <w:rPr>
          <w:rFonts w:ascii="Times New Roman" w:hAnsi="Times New Roman"/>
          <w:szCs w:val="24"/>
        </w:rPr>
        <w:t xml:space="preserve"> </w:t>
      </w:r>
      <w:r w:rsidRPr="00E936F6" w:rsidR="00F447CA">
        <w:rPr>
          <w:rFonts w:ascii="Times New Roman" w:hAnsi="Times New Roman"/>
          <w:szCs w:val="24"/>
        </w:rPr>
        <w:t xml:space="preserve">is to collect </w:t>
      </w:r>
      <w:r w:rsidRPr="00E936F6" w:rsidR="00357A11">
        <w:rPr>
          <w:rFonts w:ascii="Times New Roman" w:hAnsi="Times New Roman"/>
          <w:szCs w:val="24"/>
        </w:rPr>
        <w:t xml:space="preserve">data </w:t>
      </w:r>
      <w:r w:rsidRPr="00E936F6" w:rsidR="00F447CA">
        <w:rPr>
          <w:rFonts w:ascii="Times New Roman" w:hAnsi="Times New Roman"/>
          <w:szCs w:val="24"/>
        </w:rPr>
        <w:t>to</w:t>
      </w:r>
      <w:r w:rsidRPr="00E936F6" w:rsidR="00357A11">
        <w:rPr>
          <w:rFonts w:ascii="Times New Roman" w:hAnsi="Times New Roman"/>
          <w:szCs w:val="24"/>
        </w:rPr>
        <w:t xml:space="preserve"> </w:t>
      </w:r>
      <w:r w:rsidRPr="00E936F6" w:rsidR="001453F9">
        <w:rPr>
          <w:rFonts w:ascii="Times New Roman" w:hAnsi="Times New Roman"/>
        </w:rPr>
        <w:t xml:space="preserve">inform the U.S. </w:t>
      </w:r>
      <w:r w:rsidR="00E936F6">
        <w:rPr>
          <w:rFonts w:ascii="Times New Roman" w:hAnsi="Times New Roman"/>
        </w:rPr>
        <w:t>Department of Homeland Security</w:t>
      </w:r>
      <w:r w:rsidRPr="00E936F6" w:rsidR="001453F9">
        <w:rPr>
          <w:rFonts w:ascii="Times New Roman" w:hAnsi="Times New Roman"/>
        </w:rPr>
        <w:t>’s (</w:t>
      </w:r>
      <w:r w:rsidR="00E936F6">
        <w:rPr>
          <w:rFonts w:ascii="Times New Roman" w:hAnsi="Times New Roman"/>
        </w:rPr>
        <w:t>DHS</w:t>
      </w:r>
      <w:r w:rsidRPr="00E936F6" w:rsidR="001453F9">
        <w:rPr>
          <w:rFonts w:ascii="Times New Roman" w:hAnsi="Times New Roman"/>
        </w:rPr>
        <w:t xml:space="preserve">) evaluation, research, and evidence-building activities and </w:t>
      </w:r>
      <w:r w:rsidRPr="00E936F6" w:rsidR="00357A11">
        <w:rPr>
          <w:rFonts w:ascii="Times New Roman" w:hAnsi="Times New Roman"/>
          <w:szCs w:val="24"/>
        </w:rPr>
        <w:t xml:space="preserve">allow for collaborative, ongoing, and actionable communications between the Agency and its customers and stakeholders </w:t>
      </w:r>
      <w:r w:rsidRPr="00E936F6" w:rsidR="00F447CA">
        <w:rPr>
          <w:rFonts w:ascii="Times New Roman" w:hAnsi="Times New Roman"/>
          <w:szCs w:val="24"/>
        </w:rPr>
        <w:t xml:space="preserve">that </w:t>
      </w:r>
      <w:r w:rsidRPr="00E936F6" w:rsidR="00357A11">
        <w:rPr>
          <w:rFonts w:ascii="Times New Roman" w:hAnsi="Times New Roman"/>
          <w:szCs w:val="24"/>
        </w:rPr>
        <w:t xml:space="preserve">allow the </w:t>
      </w:r>
      <w:r w:rsidR="00E936F6">
        <w:rPr>
          <w:rFonts w:ascii="Times New Roman" w:hAnsi="Times New Roman"/>
          <w:szCs w:val="24"/>
        </w:rPr>
        <w:t>DHS</w:t>
      </w:r>
      <w:r w:rsidRPr="00E936F6" w:rsidR="00357A11">
        <w:rPr>
          <w:rFonts w:ascii="Times New Roman" w:hAnsi="Times New Roman"/>
          <w:szCs w:val="24"/>
        </w:rPr>
        <w:t xml:space="preserve"> to identify the strengths and weaknesses of current programs, initiatives, and services.</w:t>
      </w:r>
      <w:r w:rsidRPr="00E936F6" w:rsidR="00A3261E">
        <w:rPr>
          <w:rFonts w:ascii="Times New Roman" w:hAnsi="Times New Roman"/>
          <w:szCs w:val="24"/>
        </w:rPr>
        <w:t xml:space="preserve"> </w:t>
      </w:r>
      <w:bookmarkStart w:id="1" w:name="_Hlk126579816"/>
      <w:r w:rsidRPr="00E936F6" w:rsidR="00BE1C1F">
        <w:rPr>
          <w:rFonts w:ascii="Times New Roman" w:hAnsi="Times New Roman"/>
        </w:rPr>
        <w:t>Due to the nature of the proposed activities</w:t>
      </w:r>
      <w:r w:rsidRPr="00E936F6" w:rsidR="0036351E">
        <w:rPr>
          <w:rFonts w:ascii="Times New Roman" w:hAnsi="Times New Roman"/>
        </w:rPr>
        <w:t>,</w:t>
      </w:r>
      <w:r w:rsidRPr="00E936F6" w:rsidR="00BE1C1F">
        <w:rPr>
          <w:rFonts w:ascii="Times New Roman" w:hAnsi="Times New Roman"/>
        </w:rPr>
        <w:t xml:space="preserve"> </w:t>
      </w:r>
      <w:r w:rsidRPr="00E936F6" w:rsidR="001272FE">
        <w:rPr>
          <w:rFonts w:ascii="Times New Roman" w:hAnsi="Times New Roman"/>
          <w:szCs w:val="24"/>
        </w:rPr>
        <w:t>various data collection techniques and instruments and</w:t>
      </w:r>
      <w:r w:rsidRPr="00E936F6" w:rsidR="001272FE">
        <w:rPr>
          <w:rFonts w:ascii="Times New Roman" w:hAnsi="Times New Roman"/>
        </w:rPr>
        <w:t xml:space="preserve"> </w:t>
      </w:r>
      <w:r w:rsidRPr="00E936F6" w:rsidR="00BE1C1F">
        <w:rPr>
          <w:rFonts w:ascii="Times New Roman" w:hAnsi="Times New Roman"/>
        </w:rPr>
        <w:t>information will not be collected requiring statistical</w:t>
      </w:r>
      <w:r w:rsidR="003F767F">
        <w:rPr>
          <w:rFonts w:ascii="Times New Roman" w:hAnsi="Times New Roman"/>
        </w:rPr>
        <w:t>ly sophisticated strategy for respondent selection</w:t>
      </w:r>
      <w:r w:rsidR="004F3319">
        <w:rPr>
          <w:rFonts w:ascii="Times New Roman" w:hAnsi="Times New Roman"/>
        </w:rPr>
        <w:t xml:space="preserve"> or analysis</w:t>
      </w:r>
      <w:r w:rsidRPr="00E936F6" w:rsidR="00BE1C1F">
        <w:rPr>
          <w:rFonts w:ascii="Times New Roman" w:hAnsi="Times New Roman"/>
        </w:rPr>
        <w:t xml:space="preserve">. </w:t>
      </w:r>
      <w:r w:rsidRPr="00E936F6" w:rsidR="00A3261E">
        <w:rPr>
          <w:rFonts w:ascii="Times New Roman" w:hAnsi="Times New Roman"/>
          <w:szCs w:val="24"/>
        </w:rPr>
        <w:t>Public sharing of this data is limited to the context described in Supporting Statement A.</w:t>
      </w:r>
    </w:p>
    <w:bookmarkEnd w:id="1"/>
    <w:p w:rsidR="00AF21FB" w:rsidRPr="00E936F6" w14:paraId="12AF7E25" w14:textId="77777777">
      <w:pPr>
        <w:rPr>
          <w:rFonts w:ascii="Times New Roman" w:hAnsi="Times New Roman"/>
        </w:rPr>
      </w:pPr>
    </w:p>
    <w:p w:rsidR="008E2AB9" w:rsidRPr="00E936F6" w:rsidP="007D2195" w14:paraId="7F888028" w14:textId="50851181">
      <w:pPr>
        <w:pStyle w:val="ListParagraph"/>
        <w:numPr>
          <w:ilvl w:val="0"/>
          <w:numId w:val="1"/>
        </w:numPr>
        <w:ind w:left="0"/>
        <w:rPr>
          <w:rFonts w:ascii="Times New Roman" w:hAnsi="Times New Roman"/>
          <w:u w:val="single"/>
        </w:rPr>
      </w:pPr>
      <w:r w:rsidRPr="00E936F6">
        <w:rPr>
          <w:rFonts w:ascii="Times New Roman" w:hAnsi="Times New Roman"/>
          <w:u w:val="single"/>
        </w:rPr>
        <w:t>Universe and Respondent Selection</w:t>
      </w:r>
    </w:p>
    <w:p w:rsidR="00710F9B" w:rsidRPr="00D549FE" w:rsidP="00D549FE" w14:paraId="4C405611" w14:textId="229E7871">
      <w:pPr>
        <w:rPr>
          <w:rFonts w:ascii="TimesNewRoman" w:hAnsi="TimesNewRoman" w:cs="TimesNewRoman"/>
        </w:rPr>
      </w:pPr>
      <w:bookmarkStart w:id="2" w:name="_Hlk126579273"/>
      <w:r>
        <w:rPr>
          <w:rFonts w:ascii="TimesNewRoman" w:hAnsi="TimesNewRoman" w:cs="TimesNewRoman"/>
        </w:rPr>
        <w:t xml:space="preserve">Given the nature of the information collection activities under this request, the universe and respondent selection varies considerably. However, for the most part, the </w:t>
      </w:r>
      <w:r w:rsidRPr="00454397" w:rsidR="00457756">
        <w:rPr>
          <w:rFonts w:ascii="Times New Roman" w:hAnsi="Times New Roman"/>
        </w:rPr>
        <w:t>questionnaires and surveys, semi-structured small group discussions or focus groups, observation, interviews, and cognitive interviews and user testing</w:t>
      </w:r>
      <w:r w:rsidR="00457756">
        <w:rPr>
          <w:rFonts w:ascii="TimesNewRoman" w:hAnsi="TimesNewRoman" w:cs="TimesNewRoman"/>
        </w:rPr>
        <w:t xml:space="preserve"> </w:t>
      </w:r>
      <w:r>
        <w:rPr>
          <w:rFonts w:ascii="TimesNewRoman" w:hAnsi="TimesNewRoman" w:cs="TimesNewRoman"/>
        </w:rPr>
        <w:t xml:space="preserve"> undertaken as part of this clearance will involve </w:t>
      </w:r>
      <w:r w:rsidR="00290705">
        <w:rPr>
          <w:rFonts w:ascii="TimesNewRoman" w:hAnsi="TimesNewRoman" w:cs="TimesNewRoman"/>
        </w:rPr>
        <w:t xml:space="preserve">self-selected and convenience, quota, </w:t>
      </w:r>
      <w:r w:rsidR="00290B7F">
        <w:rPr>
          <w:rFonts w:ascii="TimesNewRoman" w:hAnsi="TimesNewRoman" w:cs="TimesNewRoman"/>
        </w:rPr>
        <w:t xml:space="preserve">or </w:t>
      </w:r>
      <w:r>
        <w:rPr>
          <w:rFonts w:ascii="TimesNewRoman" w:hAnsi="TimesNewRoman" w:cs="TimesNewRoman"/>
        </w:rPr>
        <w:t xml:space="preserve">purposive samples with respondents selected either to cover a broad range of groups or to include specific characteristics related to the topic of the study. Respondents could include key stakeholder groups involved in DHS projects and programs, state or local government officials, service providers, participants in DHS programs or similar comparison groups, experts in fields pertaining to DHS research and programs, or others involved in conducting DHS research or evaluation projects. </w:t>
      </w:r>
      <w:bookmarkStart w:id="3" w:name="_Hlk126579294"/>
      <w:bookmarkEnd w:id="2"/>
      <w:r w:rsidR="00E936F6">
        <w:rPr>
          <w:rFonts w:ascii="Times New Roman" w:hAnsi="Times New Roman"/>
        </w:rPr>
        <w:t>DHS</w:t>
      </w:r>
      <w:r w:rsidRPr="00E936F6" w:rsidR="0070795B">
        <w:rPr>
          <w:rFonts w:ascii="Times New Roman" w:hAnsi="Times New Roman"/>
        </w:rPr>
        <w:t xml:space="preserve"> will submit information about the sampling strategy with each individual collection request.</w:t>
      </w:r>
      <w:bookmarkEnd w:id="3"/>
    </w:p>
    <w:p w:rsidR="0070795B" w:rsidRPr="00E936F6" w:rsidP="007D2195" w14:paraId="71498565" w14:textId="77777777">
      <w:pPr>
        <w:pStyle w:val="ListParagraph"/>
        <w:ind w:left="0"/>
        <w:rPr>
          <w:rFonts w:ascii="Times New Roman" w:hAnsi="Times New Roman"/>
        </w:rPr>
      </w:pPr>
    </w:p>
    <w:p w:rsidR="00F26456" w:rsidRPr="00E936F6" w:rsidP="007D2195" w14:paraId="53B7C126" w14:textId="46348AC3">
      <w:pPr>
        <w:pStyle w:val="ListParagraph"/>
        <w:ind w:left="0"/>
        <w:rPr>
          <w:rFonts w:ascii="Times New Roman" w:hAnsi="Times New Roman"/>
        </w:rPr>
      </w:pPr>
      <w:r w:rsidRPr="00E936F6">
        <w:rPr>
          <w:rFonts w:ascii="Times New Roman" w:hAnsi="Times New Roman"/>
          <w:szCs w:val="24"/>
        </w:rPr>
        <w:t xml:space="preserve">Data collection requests under this generic </w:t>
      </w:r>
      <w:r w:rsidR="004957C0">
        <w:rPr>
          <w:rFonts w:ascii="Times New Roman" w:hAnsi="Times New Roman"/>
          <w:szCs w:val="24"/>
        </w:rPr>
        <w:t>clearance</w:t>
      </w:r>
      <w:r w:rsidRPr="00E936F6" w:rsidR="004957C0">
        <w:rPr>
          <w:rFonts w:ascii="Times New Roman" w:hAnsi="Times New Roman"/>
          <w:szCs w:val="24"/>
        </w:rPr>
        <w:t xml:space="preserve"> </w:t>
      </w:r>
      <w:r w:rsidRPr="00E936F6">
        <w:rPr>
          <w:rFonts w:ascii="Times New Roman" w:hAnsi="Times New Roman"/>
          <w:szCs w:val="24"/>
        </w:rPr>
        <w:t>are not intended for statistical purposes as defined by 44 U.S. Code § 3561</w:t>
      </w:r>
      <w:r w:rsidRPr="00E936F6" w:rsidR="005C7D3E">
        <w:rPr>
          <w:rFonts w:ascii="Times New Roman" w:hAnsi="Times New Roman"/>
          <w:szCs w:val="24"/>
        </w:rPr>
        <w:t xml:space="preserve">, </w:t>
      </w:r>
      <w:r w:rsidRPr="00E936F6" w:rsidR="005C7D3E">
        <w:rPr>
          <w:rFonts w:ascii="Times New Roman" w:hAnsi="Times New Roman"/>
        </w:rPr>
        <w:t>and t</w:t>
      </w:r>
      <w:r w:rsidRPr="00E936F6" w:rsidR="005C7D3E">
        <w:rPr>
          <w:rFonts w:ascii="Times New Roman" w:hAnsi="Times New Roman"/>
          <w:szCs w:val="24"/>
        </w:rPr>
        <w:t>he samples associated with these collections are not subject to the same scrutiny as scientifically drawn samples.</w:t>
      </w:r>
      <w:r w:rsidRPr="00E936F6" w:rsidR="006250DD">
        <w:rPr>
          <w:rFonts w:ascii="Times New Roman" w:hAnsi="Times New Roman"/>
          <w:szCs w:val="24"/>
        </w:rPr>
        <w:t xml:space="preserve"> All sampling methods used with requests made under this </w:t>
      </w:r>
      <w:r w:rsidR="00E617D0">
        <w:rPr>
          <w:rFonts w:ascii="Times New Roman" w:hAnsi="Times New Roman"/>
          <w:szCs w:val="24"/>
        </w:rPr>
        <w:t>generic clearance</w:t>
      </w:r>
      <w:r w:rsidRPr="00E936F6" w:rsidR="00E617D0">
        <w:rPr>
          <w:rFonts w:ascii="Times New Roman" w:hAnsi="Times New Roman"/>
          <w:szCs w:val="24"/>
        </w:rPr>
        <w:t xml:space="preserve"> </w:t>
      </w:r>
      <w:r w:rsidRPr="00E936F6" w:rsidR="006250DD">
        <w:rPr>
          <w:rFonts w:ascii="Times New Roman" w:hAnsi="Times New Roman"/>
          <w:szCs w:val="24"/>
        </w:rPr>
        <w:t>are to gain insight from a broad and diverse set of stakeholders while simultaneously minimizing the burden, not intended to make inferences about a population.</w:t>
      </w:r>
      <w:r w:rsidRPr="00E936F6" w:rsidR="00295E5A">
        <w:rPr>
          <w:rFonts w:ascii="Times New Roman" w:hAnsi="Times New Roman"/>
          <w:szCs w:val="24"/>
        </w:rPr>
        <w:t xml:space="preserve"> </w:t>
      </w:r>
      <w:r w:rsidRPr="00E936F6" w:rsidR="004F3E60">
        <w:rPr>
          <w:rFonts w:ascii="Times New Roman" w:hAnsi="Times New Roman"/>
        </w:rPr>
        <w:t>Findings from these formative studies will not be generalized to the broader population. The results will not be used to make statements representative of the universe of study, produce statistical descriptions (careful, repeatable measurements), or generalize the data beyond the scope of the sample.</w:t>
      </w:r>
    </w:p>
    <w:p w:rsidR="007856E1" w:rsidRPr="00E936F6" w:rsidP="007D2195" w14:paraId="5C49F76E" w14:textId="77777777">
      <w:pPr>
        <w:pStyle w:val="ListParagraph"/>
        <w:ind w:left="0"/>
        <w:rPr>
          <w:rFonts w:ascii="Times New Roman" w:hAnsi="Times New Roman"/>
        </w:rPr>
      </w:pPr>
    </w:p>
    <w:p w:rsidR="00295E5A" w:rsidRPr="00E936F6" w:rsidP="007D2195" w14:paraId="37F7D69C" w14:textId="77777777">
      <w:pPr>
        <w:pStyle w:val="ListParagraph"/>
        <w:ind w:left="0"/>
        <w:rPr>
          <w:rFonts w:ascii="Times New Roman" w:hAnsi="Times New Roman"/>
        </w:rPr>
      </w:pPr>
    </w:p>
    <w:p w:rsidR="004C136C" w:rsidRPr="00E936F6" w:rsidP="007D2195" w14:paraId="3A804295" w14:textId="3B09300A">
      <w:pPr>
        <w:pStyle w:val="ListParagraph"/>
        <w:numPr>
          <w:ilvl w:val="0"/>
          <w:numId w:val="1"/>
        </w:numPr>
        <w:ind w:left="0"/>
        <w:rPr>
          <w:rFonts w:ascii="Times New Roman" w:hAnsi="Times New Roman"/>
          <w:u w:val="single"/>
        </w:rPr>
      </w:pPr>
      <w:r w:rsidRPr="00E936F6">
        <w:rPr>
          <w:rFonts w:ascii="Times New Roman" w:hAnsi="Times New Roman"/>
          <w:u w:val="single"/>
        </w:rPr>
        <w:t>Procedures for Collecting Information</w:t>
      </w:r>
    </w:p>
    <w:p w:rsidR="00710F9B" w:rsidRPr="00E936F6" w:rsidP="007D2195" w14:paraId="6A84B35E" w14:textId="00C044AD">
      <w:pPr>
        <w:pStyle w:val="ListParagraph"/>
        <w:ind w:left="0"/>
        <w:rPr>
          <w:rFonts w:ascii="Times New Roman" w:hAnsi="Times New Roman"/>
        </w:rPr>
      </w:pPr>
      <w:r w:rsidRPr="00E936F6">
        <w:rPr>
          <w:rFonts w:ascii="Times New Roman" w:hAnsi="Times New Roman"/>
        </w:rPr>
        <w:t xml:space="preserve">The </w:t>
      </w:r>
      <w:r w:rsidR="00E936F6">
        <w:rPr>
          <w:rFonts w:ascii="Times New Roman" w:hAnsi="Times New Roman"/>
        </w:rPr>
        <w:t>DHS</w:t>
      </w:r>
      <w:r w:rsidRPr="00E936F6">
        <w:rPr>
          <w:rFonts w:ascii="Times New Roman" w:hAnsi="Times New Roman"/>
        </w:rPr>
        <w:t xml:space="preserve">’s formative studies will collect data using well-established methodologies, including but not limited to </w:t>
      </w:r>
      <w:r w:rsidRPr="00454397" w:rsidR="00457756">
        <w:rPr>
          <w:rFonts w:ascii="Times New Roman" w:hAnsi="Times New Roman"/>
        </w:rPr>
        <w:t>questionnaires and surveys, semi-structured small group discussions or focus groups, observation, interviews, and cognitive interviews and user testing</w:t>
      </w:r>
      <w:r w:rsidRPr="00E936F6">
        <w:rPr>
          <w:rFonts w:ascii="Times New Roman" w:hAnsi="Times New Roman"/>
        </w:rPr>
        <w:t xml:space="preserve">. </w:t>
      </w:r>
      <w:r w:rsidR="00D549FE">
        <w:rPr>
          <w:rFonts w:ascii="TimesNewRoman" w:hAnsi="TimesNewRoman" w:cs="TimesNewRoman"/>
        </w:rPr>
        <w:t xml:space="preserve">The particular </w:t>
      </w:r>
      <w:r w:rsidR="00D549FE">
        <w:rPr>
          <w:rFonts w:ascii="TimesNewRoman" w:hAnsi="TimesNewRoman" w:cs="TimesNewRoman"/>
        </w:rPr>
        <w:t>samples will vary based on the content of the discussion and the programs or policies of interest.</w:t>
      </w:r>
      <w:r w:rsidRPr="00E936F6" w:rsidR="00D549FE">
        <w:rPr>
          <w:rFonts w:ascii="Times New Roman" w:hAnsi="Times New Roman"/>
        </w:rPr>
        <w:t xml:space="preserve"> </w:t>
      </w:r>
      <w:r w:rsidRPr="00E936F6" w:rsidR="00400B88">
        <w:rPr>
          <w:rFonts w:ascii="Times New Roman" w:hAnsi="Times New Roman"/>
        </w:rPr>
        <w:t>Each individual collection request will provide specific data collection methods and procedures.</w:t>
      </w:r>
    </w:p>
    <w:p w:rsidR="00D41CFE" w:rsidRPr="00E936F6" w:rsidP="005609A2" w14:paraId="6FDA56D8" w14:textId="2642964E">
      <w:pPr>
        <w:pStyle w:val="ListParagraph"/>
        <w:ind w:left="0"/>
        <w:rPr>
          <w:rFonts w:ascii="Times New Roman" w:hAnsi="Times New Roman"/>
        </w:rPr>
      </w:pPr>
    </w:p>
    <w:p w:rsidR="00D41CFE" w:rsidRPr="00E936F6" w:rsidP="005609A2" w14:paraId="638CEF4C" w14:textId="77777777">
      <w:pPr>
        <w:pStyle w:val="ListParagraph"/>
        <w:ind w:left="0"/>
        <w:rPr>
          <w:rFonts w:ascii="Times New Roman" w:hAnsi="Times New Roman"/>
        </w:rPr>
      </w:pPr>
    </w:p>
    <w:p w:rsidR="0094263D" w:rsidRPr="00E936F6" w:rsidP="005609A2" w14:paraId="5C9529F5" w14:textId="0870892A">
      <w:pPr>
        <w:pStyle w:val="ListParagraph"/>
        <w:numPr>
          <w:ilvl w:val="0"/>
          <w:numId w:val="1"/>
        </w:numPr>
        <w:ind w:left="0"/>
        <w:rPr>
          <w:rFonts w:ascii="Times New Roman" w:hAnsi="Times New Roman"/>
        </w:rPr>
      </w:pPr>
      <w:r w:rsidRPr="00E936F6">
        <w:rPr>
          <w:rFonts w:ascii="Times New Roman" w:hAnsi="Times New Roman"/>
          <w:u w:val="single"/>
        </w:rPr>
        <w:t>Methods to Maximize Response</w:t>
      </w:r>
    </w:p>
    <w:p w:rsidR="00CD3329" w:rsidP="00CD3329" w14:paraId="2627AC92" w14:textId="545FE77D">
      <w:pPr>
        <w:pStyle w:val="ListParagraph"/>
        <w:ind w:left="0"/>
        <w:rPr>
          <w:rFonts w:ascii="Times New Roman" w:hAnsi="Times New Roman"/>
        </w:rPr>
      </w:pPr>
    </w:p>
    <w:p w:rsidR="00D549FE" w:rsidP="00D549FE" w14:paraId="7EC38806" w14:textId="7E40905B">
      <w:pPr>
        <w:rPr>
          <w:rFonts w:ascii="Times New Roman" w:hAnsi="Times New Roman"/>
        </w:rPr>
      </w:pPr>
      <w:r w:rsidRPr="00D549FE">
        <w:rPr>
          <w:rFonts w:ascii="Times New Roman" w:hAnsi="Times New Roman"/>
          <w:i/>
          <w:iCs/>
        </w:rPr>
        <w:t>Expected Response Rates:</w:t>
      </w:r>
      <w:r>
        <w:rPr>
          <w:rFonts w:ascii="Times New Roman" w:hAnsi="Times New Roman"/>
        </w:rPr>
        <w:t xml:space="preserve"> </w:t>
      </w:r>
      <w:r>
        <w:t xml:space="preserve">Expected response rates will vary for individual information collection requests. Information about expected response rates will be provided with each </w:t>
      </w:r>
      <w:r w:rsidR="00E617D0">
        <w:t>individual information collection request</w:t>
      </w:r>
      <w:r>
        <w:t xml:space="preserve">. </w:t>
      </w:r>
      <w:r w:rsidR="00C02DE4">
        <w:t>An industry average is approximate</w:t>
      </w:r>
      <w:r w:rsidRPr="00276070" w:rsidR="00C02DE4">
        <w:t xml:space="preserve">ly </w:t>
      </w:r>
      <w:r w:rsidRPr="00276070" w:rsidR="00276070">
        <w:t>4</w:t>
      </w:r>
      <w:r w:rsidRPr="00276070" w:rsidR="00C02DE4">
        <w:t>0%</w:t>
      </w:r>
      <w:r>
        <w:rPr>
          <w:rStyle w:val="FootnoteReference"/>
        </w:rPr>
        <w:footnoteReference w:id="2"/>
      </w:r>
      <w:r w:rsidRPr="00276070" w:rsidR="00C02DE4">
        <w:t>.</w:t>
      </w:r>
      <w:r w:rsidR="00C02DE4">
        <w:t xml:space="preserve"> </w:t>
      </w:r>
    </w:p>
    <w:p w:rsidR="00D549FE" w:rsidP="00CD3329" w14:paraId="259D8667" w14:textId="4B4C3C82">
      <w:pPr>
        <w:pStyle w:val="ListParagraph"/>
        <w:ind w:left="0"/>
        <w:rPr>
          <w:rFonts w:ascii="Times New Roman" w:hAnsi="Times New Roman"/>
        </w:rPr>
      </w:pPr>
    </w:p>
    <w:p w:rsidR="00D549FE" w:rsidRPr="00D549FE" w:rsidP="00276070" w14:paraId="46BA29AF" w14:textId="39A4B3E5">
      <w:pPr>
        <w:rPr>
          <w:rFonts w:ascii="TimesNewRoman" w:hAnsi="TimesNewRoman" w:cs="TimesNewRoman"/>
        </w:rPr>
      </w:pPr>
      <w:r w:rsidRPr="00D549FE">
        <w:rPr>
          <w:rFonts w:ascii="Times New Roman" w:hAnsi="Times New Roman"/>
          <w:i/>
          <w:iCs/>
        </w:rPr>
        <w:t>Maximizing Response Rates and Dealing with Nonresponse:</w:t>
      </w:r>
      <w:r>
        <w:rPr>
          <w:rFonts w:ascii="Times New Roman" w:hAnsi="Times New Roman"/>
        </w:rPr>
        <w:t xml:space="preserve"> </w:t>
      </w:r>
      <w:r>
        <w:rPr>
          <w:rFonts w:ascii="TimesNewRoman" w:hAnsi="TimesNewRoman" w:cs="TimesNewRoman"/>
        </w:rPr>
        <w:t xml:space="preserve">In general, callbacks will be used to maximize response rates for telephone surveys and interviews; reminder phone calls, letters, emails and/or second questionnaires are some methods that will be used to maximize response rates in mail and web-based surveys. Reminder phone calls, letters, and/or emails to participants are some methods that will be used to encourage them to keep their appointments. Each </w:t>
      </w:r>
      <w:r w:rsidR="00E617D0">
        <w:rPr>
          <w:rFonts w:ascii="TimesNewRoman" w:hAnsi="TimesNewRoman" w:cs="TimesNewRoman"/>
        </w:rPr>
        <w:t xml:space="preserve">individual information collection request </w:t>
      </w:r>
      <w:r>
        <w:rPr>
          <w:rFonts w:ascii="TimesNewRoman" w:hAnsi="TimesNewRoman" w:cs="TimesNewRoman"/>
        </w:rPr>
        <w:t xml:space="preserve">will provide specific information about methods to maximize response rates and deal with nonresponse. </w:t>
      </w:r>
    </w:p>
    <w:p w:rsidR="00CD3329" w:rsidRPr="00E936F6" w:rsidP="00CD3329" w14:paraId="5B141E9A" w14:textId="77777777">
      <w:pPr>
        <w:pStyle w:val="ListParagraph"/>
        <w:rPr>
          <w:rFonts w:ascii="Times New Roman" w:hAnsi="Times New Roman"/>
        </w:rPr>
      </w:pPr>
      <w:r w:rsidRPr="00E936F6">
        <w:rPr>
          <w:rFonts w:ascii="Times New Roman" w:hAnsi="Times New Roman"/>
        </w:rPr>
        <w:t xml:space="preserve"> </w:t>
      </w:r>
    </w:p>
    <w:p w:rsidR="00826EDB" w:rsidRPr="00E936F6" w:rsidP="00CD3329" w14:paraId="629871A9" w14:textId="0AF8BBF6">
      <w:pPr>
        <w:pStyle w:val="ListParagraph"/>
        <w:ind w:left="0"/>
        <w:rPr>
          <w:rFonts w:ascii="Times New Roman" w:hAnsi="Times New Roman"/>
        </w:rPr>
      </w:pPr>
      <w:r w:rsidRPr="00E936F6">
        <w:rPr>
          <w:rFonts w:ascii="Times New Roman" w:hAnsi="Times New Roman"/>
        </w:rPr>
        <w:t>Information collected under this generic clearance will be voluntary and will not yield generalizable quantitative findings. While the collected information can provide useful stakeholder input, it does not produce results that can be generalized.</w:t>
      </w:r>
    </w:p>
    <w:p w:rsidR="00CD3329" w:rsidRPr="00E936F6" w:rsidP="00CD3329" w14:paraId="034F944D" w14:textId="1EF90FD6">
      <w:pPr>
        <w:pStyle w:val="ListParagraph"/>
        <w:ind w:left="0"/>
        <w:rPr>
          <w:rFonts w:ascii="Times New Roman" w:hAnsi="Times New Roman"/>
        </w:rPr>
      </w:pPr>
    </w:p>
    <w:p w:rsidR="00CD3329" w:rsidRPr="00E936F6" w:rsidP="00CD3329" w14:paraId="53E1519F" w14:textId="77777777">
      <w:pPr>
        <w:pStyle w:val="ListParagraph"/>
        <w:ind w:left="0"/>
        <w:rPr>
          <w:rFonts w:ascii="Times New Roman" w:hAnsi="Times New Roman"/>
        </w:rPr>
      </w:pPr>
    </w:p>
    <w:p w:rsidR="00B716AA" w:rsidRPr="00E936F6" w:rsidP="005609A2" w14:paraId="7D0A0F7F" w14:textId="2FE4CDBA">
      <w:pPr>
        <w:pStyle w:val="ListParagraph"/>
        <w:numPr>
          <w:ilvl w:val="0"/>
          <w:numId w:val="1"/>
        </w:numPr>
        <w:ind w:left="0"/>
        <w:rPr>
          <w:rFonts w:ascii="Times New Roman" w:hAnsi="Times New Roman"/>
          <w:u w:val="single"/>
        </w:rPr>
      </w:pPr>
      <w:r w:rsidRPr="00E936F6">
        <w:rPr>
          <w:rFonts w:ascii="Times New Roman" w:hAnsi="Times New Roman"/>
          <w:u w:val="single"/>
        </w:rPr>
        <w:t>Testing of Procedures</w:t>
      </w:r>
    </w:p>
    <w:p w:rsidR="0027583F" w:rsidRPr="00E936F6" w:rsidP="005609A2" w14:paraId="47C43BF1" w14:textId="7E961ED8">
      <w:pPr>
        <w:pStyle w:val="ListParagraph"/>
        <w:ind w:left="0"/>
        <w:rPr>
          <w:rFonts w:ascii="Times New Roman" w:hAnsi="Times New Roman"/>
        </w:rPr>
      </w:pPr>
      <w:r w:rsidRPr="00E936F6">
        <w:rPr>
          <w:rFonts w:ascii="Times New Roman" w:hAnsi="Times New Roman"/>
        </w:rPr>
        <w:t xml:space="preserve">Pretesting </w:t>
      </w:r>
      <w:r w:rsidR="004957C0">
        <w:rPr>
          <w:rFonts w:ascii="Times New Roman" w:hAnsi="Times New Roman"/>
        </w:rPr>
        <w:t xml:space="preserve">information collections under this generic clearance </w:t>
      </w:r>
      <w:r w:rsidRPr="00E936F6">
        <w:rPr>
          <w:rFonts w:ascii="Times New Roman" w:hAnsi="Times New Roman"/>
        </w:rPr>
        <w:t xml:space="preserve">may be conducted with internal staff, a limited number of external colleagues, and/or customers who are familiar with the programs and products. If the number of pretest respondents exceeds nine members of the public, the </w:t>
      </w:r>
      <w:r w:rsidR="00E936F6">
        <w:rPr>
          <w:rFonts w:ascii="Times New Roman" w:hAnsi="Times New Roman"/>
        </w:rPr>
        <w:t>DHS</w:t>
      </w:r>
      <w:r w:rsidRPr="00E936F6">
        <w:rPr>
          <w:rFonts w:ascii="Times New Roman" w:hAnsi="Times New Roman"/>
        </w:rPr>
        <w:t xml:space="preserve"> will submit the pretest instruments for review under this generic clearance.</w:t>
      </w:r>
    </w:p>
    <w:p w:rsidR="006378E5" w:rsidRPr="00E936F6" w:rsidP="005609A2" w14:paraId="20CFA9E4" w14:textId="77777777">
      <w:pPr>
        <w:pStyle w:val="ListParagraph"/>
        <w:ind w:left="0"/>
        <w:rPr>
          <w:rFonts w:ascii="Times New Roman" w:hAnsi="Times New Roman"/>
        </w:rPr>
      </w:pPr>
    </w:p>
    <w:p w:rsidR="00265752" w:rsidRPr="00E936F6" w:rsidP="005609A2" w14:paraId="7EB3C4BC" w14:textId="77777777">
      <w:pPr>
        <w:pStyle w:val="ListParagraph"/>
        <w:ind w:left="0"/>
        <w:rPr>
          <w:rFonts w:ascii="Times New Roman" w:hAnsi="Times New Roman"/>
        </w:rPr>
      </w:pPr>
    </w:p>
    <w:p w:rsidR="00E914B1" w:rsidRPr="00E936F6" w:rsidP="005609A2" w14:paraId="7B7F8880" w14:textId="07A11978">
      <w:pPr>
        <w:pStyle w:val="ListParagraph"/>
        <w:numPr>
          <w:ilvl w:val="0"/>
          <w:numId w:val="1"/>
        </w:numPr>
        <w:ind w:left="0"/>
        <w:rPr>
          <w:rFonts w:ascii="Times New Roman" w:hAnsi="Times New Roman"/>
          <w:u w:val="single"/>
        </w:rPr>
      </w:pPr>
      <w:r w:rsidRPr="00E936F6">
        <w:rPr>
          <w:rFonts w:ascii="Times New Roman" w:hAnsi="Times New Roman"/>
          <w:u w:val="single"/>
        </w:rPr>
        <w:t>Contacts for Statistical Aspects and Data Collection</w:t>
      </w:r>
    </w:p>
    <w:p w:rsidR="0026204B" w:rsidRPr="001A6DC4" w:rsidP="009F1701" w14:paraId="51902893" w14:textId="3BC4A366">
      <w:pPr>
        <w:pStyle w:val="ListParagraph"/>
        <w:ind w:left="0"/>
      </w:pPr>
      <w:r w:rsidRPr="00E936F6">
        <w:rPr>
          <w:rFonts w:ascii="Times New Roman" w:hAnsi="Times New Roman"/>
        </w:rPr>
        <w:t xml:space="preserve">Information collections under this generic clearance will not require </w:t>
      </w:r>
      <w:r w:rsidR="004F3319">
        <w:rPr>
          <w:rFonts w:ascii="Times New Roman" w:hAnsi="Times New Roman"/>
        </w:rPr>
        <w:t>sophisticated</w:t>
      </w:r>
      <w:r w:rsidRPr="00E936F6">
        <w:rPr>
          <w:rFonts w:ascii="Times New Roman" w:hAnsi="Times New Roman"/>
        </w:rPr>
        <w:t xml:space="preserve"> statistical analysis. However, as appropriate, </w:t>
      </w:r>
      <w:r w:rsidR="00E936F6">
        <w:rPr>
          <w:rFonts w:ascii="Times New Roman" w:hAnsi="Times New Roman"/>
        </w:rPr>
        <w:t>DHS</w:t>
      </w:r>
      <w:r w:rsidRPr="00E936F6">
        <w:rPr>
          <w:rFonts w:ascii="Times New Roman" w:hAnsi="Times New Roman"/>
        </w:rPr>
        <w:t>’s internal evidence experts (evaluators, researchers, economists, data scientists, statisticians) or qualified external contractors will provide guidance in the design, development, administration, or analysis of data collection instruments.</w:t>
      </w:r>
      <w:r w:rsidR="004F3319">
        <w:rPr>
          <w:rFonts w:ascii="Times New Roman" w:hAnsi="Times New Roman"/>
        </w:rPr>
        <w:t xml:space="preserve"> Additional information about consultation and contact information will be provided to OMB within each individual information collection request package.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31538" w:rsidP="00D31538" w14:paraId="3916BFAA" w14:textId="77777777">
      <w:r>
        <w:separator/>
      </w:r>
    </w:p>
  </w:footnote>
  <w:footnote w:type="continuationSeparator" w:id="1">
    <w:p w:rsidR="00D31538" w:rsidP="00D31538" w14:paraId="37067834" w14:textId="77777777">
      <w:r>
        <w:continuationSeparator/>
      </w:r>
    </w:p>
  </w:footnote>
  <w:footnote w:id="2">
    <w:p w:rsidR="00C02DE4" w14:paraId="2F5BA5CF" w14:textId="20BB5402">
      <w:pPr>
        <w:pStyle w:val="FootnoteText"/>
      </w:pPr>
      <w:r>
        <w:rPr>
          <w:rStyle w:val="FootnoteReference"/>
        </w:rPr>
        <w:footnoteRef/>
      </w:r>
      <w:r>
        <w:t xml:space="preserve"> </w:t>
      </w:r>
      <w:hyperlink r:id="rId1" w:history="1">
        <w:r w:rsidR="00102921">
          <w:rPr>
            <w:rStyle w:val="Hyperlink"/>
          </w:rPr>
          <w:t>Household and establishment survey response rates : U.S. Bureau of Labor Statistics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9851B4"/>
    <w:multiLevelType w:val="hybridMultilevel"/>
    <w:tmpl w:val="5A7A56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71"/>
    <w:rsid w:val="00005B3A"/>
    <w:rsid w:val="000846DA"/>
    <w:rsid w:val="000A6EAC"/>
    <w:rsid w:val="000C3976"/>
    <w:rsid w:val="000E2547"/>
    <w:rsid w:val="000E57E5"/>
    <w:rsid w:val="00102921"/>
    <w:rsid w:val="001175C1"/>
    <w:rsid w:val="001272FE"/>
    <w:rsid w:val="001453F9"/>
    <w:rsid w:val="001A6DC4"/>
    <w:rsid w:val="001D4319"/>
    <w:rsid w:val="00243C76"/>
    <w:rsid w:val="0026204B"/>
    <w:rsid w:val="00265752"/>
    <w:rsid w:val="0027583F"/>
    <w:rsid w:val="00276070"/>
    <w:rsid w:val="00283372"/>
    <w:rsid w:val="00290705"/>
    <w:rsid w:val="00290B7F"/>
    <w:rsid w:val="00295E5A"/>
    <w:rsid w:val="002E54FC"/>
    <w:rsid w:val="0030258A"/>
    <w:rsid w:val="003052FE"/>
    <w:rsid w:val="003236FA"/>
    <w:rsid w:val="003477D5"/>
    <w:rsid w:val="00357A11"/>
    <w:rsid w:val="0036351E"/>
    <w:rsid w:val="00393BD3"/>
    <w:rsid w:val="003B1B76"/>
    <w:rsid w:val="003D5938"/>
    <w:rsid w:val="003F6461"/>
    <w:rsid w:val="003F767F"/>
    <w:rsid w:val="00400B88"/>
    <w:rsid w:val="00454397"/>
    <w:rsid w:val="00457756"/>
    <w:rsid w:val="00470410"/>
    <w:rsid w:val="004957C0"/>
    <w:rsid w:val="004A3D7E"/>
    <w:rsid w:val="004B7453"/>
    <w:rsid w:val="004C136C"/>
    <w:rsid w:val="004F3319"/>
    <w:rsid w:val="004F3E60"/>
    <w:rsid w:val="005609A2"/>
    <w:rsid w:val="005C7D3E"/>
    <w:rsid w:val="005E4712"/>
    <w:rsid w:val="00617C6D"/>
    <w:rsid w:val="006250DD"/>
    <w:rsid w:val="006378E5"/>
    <w:rsid w:val="006B557D"/>
    <w:rsid w:val="006C3BC3"/>
    <w:rsid w:val="006E4D4B"/>
    <w:rsid w:val="0070795B"/>
    <w:rsid w:val="00710F9B"/>
    <w:rsid w:val="0071543C"/>
    <w:rsid w:val="00724C64"/>
    <w:rsid w:val="007258AC"/>
    <w:rsid w:val="00741261"/>
    <w:rsid w:val="007856E1"/>
    <w:rsid w:val="007D2195"/>
    <w:rsid w:val="007D4139"/>
    <w:rsid w:val="007E3669"/>
    <w:rsid w:val="00816FFB"/>
    <w:rsid w:val="00826EDB"/>
    <w:rsid w:val="00826EFB"/>
    <w:rsid w:val="00853E35"/>
    <w:rsid w:val="008A481B"/>
    <w:rsid w:val="008E2AB9"/>
    <w:rsid w:val="00925552"/>
    <w:rsid w:val="00931B89"/>
    <w:rsid w:val="009378F5"/>
    <w:rsid w:val="0094263D"/>
    <w:rsid w:val="00956E44"/>
    <w:rsid w:val="009967E9"/>
    <w:rsid w:val="009B79CF"/>
    <w:rsid w:val="009F1701"/>
    <w:rsid w:val="00A227D6"/>
    <w:rsid w:val="00A3261E"/>
    <w:rsid w:val="00A42E03"/>
    <w:rsid w:val="00A476DC"/>
    <w:rsid w:val="00A82059"/>
    <w:rsid w:val="00AA532E"/>
    <w:rsid w:val="00AC7697"/>
    <w:rsid w:val="00AF21FB"/>
    <w:rsid w:val="00B469E3"/>
    <w:rsid w:val="00B511AD"/>
    <w:rsid w:val="00B52BD0"/>
    <w:rsid w:val="00B716AA"/>
    <w:rsid w:val="00BB3BD3"/>
    <w:rsid w:val="00BE1C1F"/>
    <w:rsid w:val="00C02DE4"/>
    <w:rsid w:val="00C429D1"/>
    <w:rsid w:val="00C807D5"/>
    <w:rsid w:val="00CA2929"/>
    <w:rsid w:val="00CB2405"/>
    <w:rsid w:val="00CB7971"/>
    <w:rsid w:val="00CD3329"/>
    <w:rsid w:val="00D22834"/>
    <w:rsid w:val="00D31538"/>
    <w:rsid w:val="00D32E9B"/>
    <w:rsid w:val="00D41CFE"/>
    <w:rsid w:val="00D549FE"/>
    <w:rsid w:val="00D55211"/>
    <w:rsid w:val="00E51CCA"/>
    <w:rsid w:val="00E617D0"/>
    <w:rsid w:val="00E914B1"/>
    <w:rsid w:val="00E936F6"/>
    <w:rsid w:val="00EB4FF7"/>
    <w:rsid w:val="00EE7460"/>
    <w:rsid w:val="00F0379E"/>
    <w:rsid w:val="00F25E45"/>
    <w:rsid w:val="00F26456"/>
    <w:rsid w:val="00F447CA"/>
    <w:rsid w:val="00F7378F"/>
    <w:rsid w:val="00F96289"/>
    <w:rsid w:val="00FE65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573524"/>
  <w15:chartTrackingRefBased/>
  <w15:docId w15:val="{0A8D4497-083E-4FE0-B725-AE35FAB0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7E5"/>
    <w:pPr>
      <w:overflowPunct w:val="0"/>
      <w:autoSpaceDE w:val="0"/>
      <w:autoSpaceDN w:val="0"/>
      <w:adjustRightInd w:val="0"/>
      <w:spacing w:after="0" w:line="240" w:lineRule="auto"/>
      <w:textAlignment w:val="baseline"/>
    </w:pPr>
    <w:rPr>
      <w:rFonts w:ascii="Tms Rmn" w:eastAsia="Times New Roman" w:hAnsi="Tms Rm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BD3"/>
    <w:pPr>
      <w:ind w:left="720"/>
      <w:contextualSpacing/>
    </w:pPr>
  </w:style>
  <w:style w:type="character" w:styleId="CommentReference">
    <w:name w:val="annotation reference"/>
    <w:basedOn w:val="DefaultParagraphFont"/>
    <w:uiPriority w:val="99"/>
    <w:semiHidden/>
    <w:unhideWhenUsed/>
    <w:rsid w:val="003052FE"/>
    <w:rPr>
      <w:sz w:val="16"/>
      <w:szCs w:val="16"/>
    </w:rPr>
  </w:style>
  <w:style w:type="paragraph" w:styleId="CommentText">
    <w:name w:val="annotation text"/>
    <w:basedOn w:val="Normal"/>
    <w:link w:val="CommentTextChar"/>
    <w:uiPriority w:val="99"/>
    <w:semiHidden/>
    <w:unhideWhenUsed/>
    <w:rsid w:val="003052FE"/>
    <w:rPr>
      <w:sz w:val="20"/>
    </w:rPr>
  </w:style>
  <w:style w:type="character" w:customStyle="1" w:styleId="CommentTextChar">
    <w:name w:val="Comment Text Char"/>
    <w:basedOn w:val="DefaultParagraphFont"/>
    <w:link w:val="CommentText"/>
    <w:uiPriority w:val="99"/>
    <w:semiHidden/>
    <w:rsid w:val="003052FE"/>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3052FE"/>
    <w:rPr>
      <w:b/>
      <w:bCs/>
    </w:rPr>
  </w:style>
  <w:style w:type="character" w:customStyle="1" w:styleId="CommentSubjectChar">
    <w:name w:val="Comment Subject Char"/>
    <w:basedOn w:val="CommentTextChar"/>
    <w:link w:val="CommentSubject"/>
    <w:uiPriority w:val="99"/>
    <w:semiHidden/>
    <w:rsid w:val="003052FE"/>
    <w:rPr>
      <w:rFonts w:ascii="Tms Rmn" w:eastAsia="Times New Roman" w:hAnsi="Tms Rmn"/>
      <w:b/>
      <w:bCs/>
      <w:sz w:val="20"/>
      <w:szCs w:val="20"/>
    </w:rPr>
  </w:style>
  <w:style w:type="paragraph" w:styleId="FootnoteText">
    <w:name w:val="footnote text"/>
    <w:basedOn w:val="Normal"/>
    <w:link w:val="FootnoteTextChar"/>
    <w:uiPriority w:val="99"/>
    <w:semiHidden/>
    <w:unhideWhenUsed/>
    <w:rsid w:val="00C02DE4"/>
    <w:rPr>
      <w:sz w:val="20"/>
    </w:rPr>
  </w:style>
  <w:style w:type="character" w:customStyle="1" w:styleId="FootnoteTextChar">
    <w:name w:val="Footnote Text Char"/>
    <w:basedOn w:val="DefaultParagraphFont"/>
    <w:link w:val="FootnoteText"/>
    <w:uiPriority w:val="99"/>
    <w:semiHidden/>
    <w:rsid w:val="00C02DE4"/>
    <w:rPr>
      <w:rFonts w:ascii="Tms Rmn" w:eastAsia="Times New Roman" w:hAnsi="Tms Rmn"/>
      <w:sz w:val="20"/>
      <w:szCs w:val="20"/>
    </w:rPr>
  </w:style>
  <w:style w:type="character" w:styleId="FootnoteReference">
    <w:name w:val="footnote reference"/>
    <w:basedOn w:val="DefaultParagraphFont"/>
    <w:uiPriority w:val="99"/>
    <w:semiHidden/>
    <w:unhideWhenUsed/>
    <w:rsid w:val="00C02DE4"/>
    <w:rPr>
      <w:vertAlign w:val="superscript"/>
    </w:rPr>
  </w:style>
  <w:style w:type="character" w:styleId="Hyperlink">
    <w:name w:val="Hyperlink"/>
    <w:basedOn w:val="DefaultParagraphFont"/>
    <w:uiPriority w:val="99"/>
    <w:semiHidden/>
    <w:unhideWhenUsed/>
    <w:rsid w:val="00102921"/>
    <w:rPr>
      <w:color w:val="0000FF"/>
      <w:u w:val="single"/>
    </w:rPr>
  </w:style>
  <w:style w:type="paragraph" w:styleId="NormalWeb">
    <w:name w:val="Normal (Web)"/>
    <w:basedOn w:val="Normal"/>
    <w:uiPriority w:val="99"/>
    <w:unhideWhenUsed/>
    <w:rsid w:val="00276070"/>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smr/response-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97ECE-0BD7-40A4-B479-36A200C1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Formative ICR_SSB</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ICR_SSB</dc:title>
  <dc:creator>Meinzer, Shay L.</dc:creator>
  <cp:lastModifiedBy>SKERRETT, WINSTON</cp:lastModifiedBy>
  <cp:revision>2</cp:revision>
  <dcterms:created xsi:type="dcterms:W3CDTF">2023-06-16T16:39:00Z</dcterms:created>
  <dcterms:modified xsi:type="dcterms:W3CDTF">2023-06-16T16:39:00Z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e27c29e0-420b-4857-b4bf-13f2743408f0</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2023-01-20T20:25:21Z</vt:lpwstr>
  </property>
  <property fmtid="{D5CDD505-2E9C-101B-9397-08002B2CF9AE}" pid="8" name="MSIP_Label_a2eef23d-2e95-4428-9a3c-2526d95b164a_SiteId">
    <vt:lpwstr>3ccde76c-946d-4a12-bb7a-fc9d0842354a</vt:lpwstr>
  </property>
</Properties>
</file>