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5164325E">
      <w:pPr>
        <w:jc w:val="center"/>
        <w:rPr>
          <w:b/>
          <w:bCs/>
          <w:color w:val="000000"/>
        </w:rPr>
      </w:pPr>
      <w:r>
        <w:rPr>
          <w:b/>
          <w:bCs/>
          <w:color w:val="000000"/>
        </w:rPr>
        <w:t>Reverse Mortgage Products – Guidance for Managing Compliance and Risks</w:t>
      </w:r>
      <w:r>
        <w:rPr>
          <w:b/>
          <w:bCs/>
          <w:color w:val="000000"/>
        </w:rPr>
        <w:t xml:space="preserve"> </w:t>
      </w:r>
    </w:p>
    <w:p w:rsidR="0051709A" w14:paraId="02359D10" w14:textId="5ACB0D63">
      <w:pPr>
        <w:jc w:val="center"/>
        <w:rPr>
          <w:b/>
          <w:bCs/>
          <w:color w:val="000000"/>
        </w:rPr>
      </w:pPr>
      <w:r>
        <w:rPr>
          <w:b/>
          <w:bCs/>
          <w:color w:val="000000"/>
        </w:rPr>
        <w:t>OMB Control No.</w:t>
      </w:r>
      <w:r>
        <w:rPr>
          <w:b/>
          <w:bCs/>
          <w:color w:val="000000"/>
        </w:rPr>
        <w:t xml:space="preserve"> 1557-</w:t>
      </w:r>
      <w:r w:rsidR="00252CF9">
        <w:rPr>
          <w:b/>
          <w:bCs/>
          <w:color w:val="000000"/>
        </w:rPr>
        <w:t>0246</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RPr="00252CF9" w:rsidP="00252CF9" w14:paraId="3203A40D" w14:textId="58A3042E">
      <w:pPr>
        <w:ind w:firstLine="720"/>
      </w:pPr>
      <w:r w:rsidRPr="007C0B55">
        <w:t xml:space="preserve">On </w:t>
      </w:r>
      <w:r w:rsidRPr="007C0B55" w:rsidR="00EC1FBC">
        <w:t>August 1</w:t>
      </w:r>
      <w:r w:rsidR="00BA3816">
        <w:t>7</w:t>
      </w:r>
      <w:r w:rsidRPr="007C0B55" w:rsidR="00EC1FBC">
        <w:t>, 2010</w:t>
      </w:r>
      <w:r w:rsidRPr="007C0B55">
        <w:t>, the OCC, FDIC, FRB</w:t>
      </w:r>
      <w:r>
        <w:t>,</w:t>
      </w:r>
      <w:r w:rsidRPr="007C0B55">
        <w:t xml:space="preserve"> and NCUA  issued guidance</w:t>
      </w:r>
      <w:r>
        <w:rPr>
          <w:rStyle w:val="FootnoteReference"/>
        </w:rPr>
        <w:footnoteReference w:id="2"/>
      </w:r>
      <w:r w:rsidRPr="007C0B55">
        <w:t xml:space="preserve"> focus</w:t>
      </w:r>
      <w:r w:rsidR="00EC1FBC">
        <w:t>ing</w:t>
      </w:r>
      <w:r w:rsidRPr="007C0B55">
        <w:t xml:space="preserve"> on the need to provide adequate information to consumers about reverse mortgage products</w:t>
      </w:r>
      <w:r>
        <w:t>,</w:t>
      </w:r>
      <w:r w:rsidRPr="007C0B55">
        <w:t xml:space="preserve"> to provide qualified independent counseling to consumers considering these products</w:t>
      </w:r>
      <w:r>
        <w:t>,</w:t>
      </w:r>
      <w:r w:rsidRPr="007C0B55">
        <w:t xml:space="preserve"> and to avoid potential conflicts of interest.  It also addressed related policies, procedures, internal controls, and </w:t>
      </w:r>
      <w:r w:rsidRPr="007C0B55" w:rsidR="00EC1FBC">
        <w:t>third</w:t>
      </w:r>
      <w:r w:rsidR="00C4624C">
        <w:noBreakHyphen/>
      </w:r>
      <w:r w:rsidRPr="007C0B55" w:rsidR="00EC1FBC">
        <w:t>party</w:t>
      </w:r>
      <w:r w:rsidRPr="007C0B55">
        <w:t xml:space="preserve"> risk management.</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252CF9" w:rsidRPr="00252CF9" w:rsidP="00252CF9" w14:paraId="3C86BF15" w14:textId="594837F0">
      <w:pPr>
        <w:ind w:firstLine="720"/>
        <w:rPr>
          <w:rStyle w:val="Heading5Char"/>
          <w:b w:val="0"/>
          <w:bCs w:val="0"/>
          <w:i/>
          <w:iCs/>
          <w:szCs w:val="24"/>
        </w:rPr>
      </w:pPr>
      <w:r w:rsidRPr="00252CF9">
        <w:rPr>
          <w:rStyle w:val="Heading5Char"/>
          <w:b w:val="0"/>
          <w:bCs w:val="0"/>
          <w:szCs w:val="24"/>
        </w:rPr>
        <w:t>The information collection requirements contained in the guidance include</w:t>
      </w:r>
      <w:r w:rsidR="00C4624C">
        <w:rPr>
          <w:rStyle w:val="Heading5Char"/>
          <w:b w:val="0"/>
          <w:bCs w:val="0"/>
          <w:szCs w:val="24"/>
        </w:rPr>
        <w:t xml:space="preserve"> provisions related to the</w:t>
      </w:r>
      <w:r w:rsidRPr="00252CF9">
        <w:rPr>
          <w:rStyle w:val="Heading5Char"/>
          <w:b w:val="0"/>
          <w:bCs w:val="0"/>
          <w:szCs w:val="24"/>
        </w:rPr>
        <w:t xml:space="preserve"> implementation of policies and procedures, training, and program maintenance.</w:t>
      </w:r>
      <w:r w:rsidR="00C4624C">
        <w:rPr>
          <w:rStyle w:val="Heading5Char"/>
          <w:b w:val="0"/>
          <w:bCs w:val="0"/>
          <w:szCs w:val="24"/>
        </w:rPr>
        <w:t xml:space="preserve"> The requirements provide that —</w:t>
      </w:r>
    </w:p>
    <w:p w:rsidR="00252CF9" w:rsidRPr="00252CF9" w:rsidP="00252CF9" w14:paraId="185D6684" w14:textId="77777777">
      <w:pPr>
        <w:ind w:firstLine="720"/>
        <w:rPr>
          <w:rStyle w:val="Heading5Char"/>
          <w:b w:val="0"/>
          <w:bCs w:val="0"/>
          <w:i/>
          <w:iCs/>
          <w:szCs w:val="24"/>
        </w:rPr>
      </w:pPr>
    </w:p>
    <w:p w:rsidR="00252CF9" w:rsidRPr="007C0B55" w:rsidP="00252CF9" w14:paraId="5232A048" w14:textId="77777777">
      <w:pPr>
        <w:numPr>
          <w:ilvl w:val="0"/>
          <w:numId w:val="28"/>
        </w:numPr>
      </w:pPr>
      <w:r w:rsidRPr="00252CF9">
        <w:rPr>
          <w:rStyle w:val="Heading5Char"/>
          <w:b w:val="0"/>
          <w:bCs w:val="0"/>
          <w:szCs w:val="24"/>
        </w:rPr>
        <w:t>Institutions offering reverse mortgages should have written</w:t>
      </w:r>
      <w:r w:rsidRPr="007C0B55">
        <w:rPr>
          <w:rStyle w:val="Heading5Char"/>
          <w:szCs w:val="24"/>
        </w:rPr>
        <w:t xml:space="preserve"> </w:t>
      </w:r>
      <w:r w:rsidRPr="007C0B55">
        <w:t xml:space="preserve">policies and procedures that prohibit the practice of directing a consumer to a particular counseling agency or contacting a counselor on the consumer’s behalf.  </w:t>
      </w:r>
    </w:p>
    <w:p w:rsidR="00252CF9" w:rsidRPr="007C0B55" w:rsidP="00252CF9" w14:paraId="7B3BCB2F" w14:textId="77777777">
      <w:pPr>
        <w:numPr>
          <w:ilvl w:val="0"/>
          <w:numId w:val="28"/>
        </w:numPr>
      </w:pPr>
      <w:r w:rsidRPr="007C0B55">
        <w:t xml:space="preserve">Policies should be clear so that originators do not have an inappropriate incentive to sell other products that appear linked to the granting of a mortgage.  </w:t>
      </w:r>
    </w:p>
    <w:p w:rsidR="00252CF9" w:rsidRPr="007C0B55" w:rsidP="00252CF9" w14:paraId="3FEED2E5" w14:textId="77777777">
      <w:pPr>
        <w:numPr>
          <w:ilvl w:val="0"/>
          <w:numId w:val="28"/>
        </w:numPr>
      </w:pPr>
      <w:r w:rsidRPr="007C0B55">
        <w:t xml:space="preserve">Legal and compliance reviews should include oversight of compensation programs so that lending personnel are not improperly encouraged to direct consumers to </w:t>
      </w:r>
      <w:r w:rsidRPr="007C0B55">
        <w:t>particular products</w:t>
      </w:r>
      <w:r w:rsidRPr="007C0B55">
        <w:t xml:space="preserve">. </w:t>
      </w:r>
    </w:p>
    <w:p w:rsidR="0051709A" w:rsidRPr="00252CF9" w:rsidP="00252CF9" w14:paraId="3266E0E3" w14:textId="481D68BE">
      <w:pPr>
        <w:pStyle w:val="ListParagraph"/>
        <w:numPr>
          <w:ilvl w:val="0"/>
          <w:numId w:val="28"/>
        </w:numPr>
        <w:rPr>
          <w:color w:val="000000"/>
        </w:rPr>
      </w:pPr>
      <w:r w:rsidRPr="007C0B55">
        <w:t>Training should be designed so that relevant lending personnel are able to convey information to consumers about product terms and risks in a timely, accurate, and balanced manner.</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10733B02">
      <w:pPr>
        <w:ind w:firstLine="720"/>
        <w:rPr>
          <w:color w:val="000000"/>
        </w:rPr>
      </w:pPr>
      <w:r w:rsidRPr="00420322">
        <w:rPr>
          <w:color w:val="000000"/>
        </w:rPr>
        <w:t>To the extent that institutions already have policies in place</w:t>
      </w:r>
      <w:r w:rsidR="00CE16A2">
        <w:rPr>
          <w:color w:val="000000"/>
        </w:rPr>
        <w:t xml:space="preserve"> that align with the guidance’s recommendations</w:t>
      </w:r>
      <w:r w:rsidRPr="00420322">
        <w:rPr>
          <w:color w:val="000000"/>
        </w:rPr>
        <w:t xml:space="preserve">, no new policies would be necessary.  Generally, the guidance to adopt policies and internal controls for reverse mortgage products would be </w:t>
      </w:r>
      <w:r>
        <w:rPr>
          <w:color w:val="000000"/>
        </w:rPr>
        <w:t>consistent with</w:t>
      </w:r>
      <w:r w:rsidRPr="00420322">
        <w:rPr>
          <w:color w:val="000000"/>
        </w:rPr>
        <w:t xml:space="preserve"> an institution’s existing loan policies.</w:t>
      </w:r>
      <w:r w:rsidRPr="00420322">
        <w:t> </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18950CF7">
      <w:pPr>
        <w:ind w:firstLine="720"/>
        <w:rPr>
          <w:color w:val="000000"/>
        </w:rPr>
      </w:pPr>
      <w:r>
        <w:rPr>
          <w:color w:val="000000"/>
        </w:rPr>
        <w:t>Reverse mortgage lending risks could not be adequately monitored by the OCC.</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20FBBF27">
      <w:pPr>
        <w:ind w:firstLine="720"/>
        <w:rPr>
          <w:bCs/>
        </w:rPr>
      </w:pPr>
      <w:bookmarkStart w:id="0" w:name="_Hlk160007020"/>
      <w:r>
        <w:rPr>
          <w:bCs/>
        </w:rPr>
        <w:t xml:space="preserve">The OCC issued a 60-day </w:t>
      </w:r>
      <w:r w:rsidRPr="00B32F4C">
        <w:rPr>
          <w:bCs/>
          <w:i/>
        </w:rPr>
        <w:t xml:space="preserve">Federal Register </w:t>
      </w:r>
      <w:r>
        <w:rPr>
          <w:bCs/>
        </w:rPr>
        <w:t xml:space="preserve">notice on </w:t>
      </w:r>
      <w:r w:rsidR="00C4624C">
        <w:rPr>
          <w:bCs/>
        </w:rPr>
        <w:t>May 20</w:t>
      </w:r>
      <w:r w:rsidR="00922BA6">
        <w:rPr>
          <w:bCs/>
        </w:rPr>
        <w:t>,</w:t>
      </w:r>
      <w:r w:rsidR="009B1BC5">
        <w:rPr>
          <w:bCs/>
        </w:rPr>
        <w:t xml:space="preserve"> </w:t>
      </w:r>
      <w:r w:rsidR="00FF7FAE">
        <w:rPr>
          <w:bCs/>
        </w:rPr>
        <w:t>2025</w:t>
      </w:r>
      <w:r w:rsidR="009B1BC5">
        <w:rPr>
          <w:bCs/>
        </w:rPr>
        <w:t>,</w:t>
      </w:r>
      <w:r w:rsidR="009E7C2D">
        <w:rPr>
          <w:bCs/>
        </w:rPr>
        <w:t xml:space="preserve"> </w:t>
      </w:r>
      <w:r w:rsidR="00FF7FAE">
        <w:rPr>
          <w:bCs/>
        </w:rPr>
        <w:t>90</w:t>
      </w:r>
      <w:r w:rsidR="009E7C2D">
        <w:rPr>
          <w:bCs/>
        </w:rPr>
        <w:t xml:space="preserve"> FR </w:t>
      </w:r>
      <w:r w:rsidR="00C4624C">
        <w:rPr>
          <w:bCs/>
        </w:rPr>
        <w:t>21543</w:t>
      </w:r>
      <w:r w:rsidR="009B1BC5">
        <w:rPr>
          <w:bCs/>
        </w:rPr>
        <w:t>.</w:t>
      </w:r>
      <w:r w:rsidR="0044411A">
        <w:rPr>
          <w:bCs/>
        </w:rPr>
        <w:t xml:space="preserve">  </w:t>
      </w:r>
      <w:r w:rsidR="00C4624C">
        <w:rPr>
          <w:bCs/>
        </w:rPr>
        <w:t>No</w:t>
      </w:r>
      <w:r w:rsidR="0044411A">
        <w:rPr>
          <w:bCs/>
        </w:rPr>
        <w:t xml:space="preserve"> comments were received.</w:t>
      </w:r>
      <w:r w:rsidR="00BB31A5">
        <w:rPr>
          <w:bCs/>
        </w:rPr>
        <w:t xml:space="preserve">  </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77777777">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p w:rsidR="00BB31A5" w14:paraId="41FD51AE" w14:textId="54F8070E">
      <w:pPr>
        <w:pStyle w:val="BodyText"/>
        <w:rPr>
          <w:bCs/>
          <w:i w:val="0"/>
          <w:color w:val="000000"/>
        </w:rPr>
      </w:pPr>
      <w:r>
        <w:rPr>
          <w:bCs/>
          <w:i w:val="0"/>
          <w:color w:val="000000"/>
        </w:rPr>
        <w:t>Number of Respondents:</w:t>
      </w:r>
      <w:r w:rsidR="00252CF9">
        <w:rPr>
          <w:bCs/>
          <w:i w:val="0"/>
          <w:color w:val="000000"/>
        </w:rPr>
        <w:t xml:space="preserve"> </w:t>
      </w:r>
      <w:r w:rsidRPr="00CE16A2" w:rsidR="00252CF9">
        <w:rPr>
          <w:bCs/>
          <w:i w:val="0"/>
          <w:color w:val="000000"/>
        </w:rPr>
        <w:t>12</w:t>
      </w:r>
      <w:r w:rsidRPr="00CE16A2" w:rsidR="00DE0904">
        <w:rPr>
          <w:bCs/>
          <w:i w:val="0"/>
          <w:color w:val="000000"/>
        </w:rPr>
        <w:t xml:space="preserve"> (11 existing, 1 new).</w:t>
      </w:r>
    </w:p>
    <w:p w:rsidR="00BB31A5" w14:paraId="6769C6F8" w14:textId="2CB0E1AF">
      <w:pPr>
        <w:pStyle w:val="BodyText"/>
        <w:rPr>
          <w:bCs/>
          <w:i w:val="0"/>
          <w:color w:val="000000"/>
        </w:rPr>
      </w:pPr>
      <w:r>
        <w:rPr>
          <w:bCs/>
          <w:i w:val="0"/>
          <w:color w:val="000000"/>
        </w:rPr>
        <w:t>Burden per Respondent:</w:t>
      </w:r>
      <w:r w:rsidR="00252CF9">
        <w:rPr>
          <w:bCs/>
          <w:i w:val="0"/>
          <w:color w:val="000000"/>
        </w:rPr>
        <w:t xml:space="preserve"> </w:t>
      </w:r>
    </w:p>
    <w:p w:rsidR="00DE0904" w:rsidP="00DE0904" w14:paraId="3CC8C164" w14:textId="77777777">
      <w:pPr>
        <w:pStyle w:val="BodyText"/>
        <w:rPr>
          <w:bCs/>
          <w:i w:val="0"/>
          <w:color w:val="000000"/>
        </w:rPr>
      </w:pPr>
      <w:r>
        <w:rPr>
          <w:bCs/>
          <w:i w:val="0"/>
          <w:color w:val="000000"/>
        </w:rPr>
        <w:tab/>
      </w:r>
    </w:p>
    <w:p w:rsidR="00252CF9" w:rsidP="00DE0904" w14:paraId="4E7DA271" w14:textId="2B74D980">
      <w:pPr>
        <w:pStyle w:val="BodyText"/>
        <w:ind w:firstLine="720"/>
        <w:rPr>
          <w:bCs/>
          <w:i w:val="0"/>
          <w:color w:val="000000"/>
        </w:rPr>
      </w:pPr>
      <w:r w:rsidRPr="00CE16A2">
        <w:rPr>
          <w:bCs/>
          <w:i w:val="0"/>
          <w:color w:val="000000"/>
        </w:rPr>
        <w:t>40</w:t>
      </w:r>
      <w:r>
        <w:rPr>
          <w:bCs/>
          <w:i w:val="0"/>
          <w:color w:val="000000"/>
        </w:rPr>
        <w:t xml:space="preserve"> hours to implement policies and procedures and to provide training.</w:t>
      </w:r>
    </w:p>
    <w:p w:rsidR="00252CF9" w:rsidP="00DE0904" w14:paraId="7BA22722" w14:textId="0BED59D1">
      <w:pPr>
        <w:pStyle w:val="BodyText"/>
        <w:rPr>
          <w:bCs/>
          <w:i w:val="0"/>
          <w:color w:val="000000"/>
        </w:rPr>
      </w:pPr>
      <w:r>
        <w:rPr>
          <w:bCs/>
          <w:i w:val="0"/>
          <w:color w:val="000000"/>
        </w:rPr>
        <w:tab/>
      </w:r>
      <w:r w:rsidRPr="00CE16A2">
        <w:rPr>
          <w:bCs/>
          <w:i w:val="0"/>
          <w:color w:val="000000"/>
        </w:rPr>
        <w:t>8</w:t>
      </w:r>
      <w:r>
        <w:rPr>
          <w:bCs/>
          <w:i w:val="0"/>
          <w:color w:val="000000"/>
        </w:rPr>
        <w:t xml:space="preserve"> hours annually to maintain program.</w:t>
      </w:r>
    </w:p>
    <w:p w:rsidR="00DE0904" w:rsidP="00DE0904" w14:paraId="1A65E45B" w14:textId="77777777">
      <w:pPr>
        <w:pStyle w:val="BodyText"/>
        <w:rPr>
          <w:bCs/>
          <w:i w:val="0"/>
          <w:color w:val="000000"/>
        </w:rPr>
      </w:pPr>
    </w:p>
    <w:p w:rsidR="00BB31A5" w14:paraId="564EC253" w14:textId="2EF195C6">
      <w:pPr>
        <w:pStyle w:val="BodyText"/>
        <w:rPr>
          <w:bCs/>
          <w:i w:val="0"/>
          <w:color w:val="000000"/>
        </w:rPr>
      </w:pPr>
      <w:r>
        <w:rPr>
          <w:bCs/>
          <w:i w:val="0"/>
          <w:color w:val="000000"/>
        </w:rPr>
        <w:t xml:space="preserve">Total Burden:  </w:t>
      </w:r>
    </w:p>
    <w:p w:rsidR="00DE0904" w14:paraId="38A5CE67" w14:textId="4BEC1810">
      <w:pPr>
        <w:pStyle w:val="BodyText"/>
        <w:rPr>
          <w:bCs/>
          <w:i w:val="0"/>
          <w:color w:val="000000"/>
        </w:rPr>
      </w:pPr>
      <w:r>
        <w:rPr>
          <w:bCs/>
          <w:i w:val="0"/>
          <w:color w:val="000000"/>
        </w:rPr>
        <w:tab/>
      </w:r>
    </w:p>
    <w:p w:rsidR="00DE0904" w14:paraId="07231C32" w14:textId="359119A0">
      <w:pPr>
        <w:pStyle w:val="BodyText"/>
        <w:rPr>
          <w:bCs/>
          <w:i w:val="0"/>
          <w:color w:val="000000"/>
        </w:rPr>
      </w:pPr>
      <w:r>
        <w:rPr>
          <w:bCs/>
          <w:i w:val="0"/>
          <w:color w:val="000000"/>
        </w:rPr>
        <w:tab/>
      </w:r>
      <w:r w:rsidRPr="00CE16A2">
        <w:rPr>
          <w:bCs/>
          <w:i w:val="0"/>
          <w:color w:val="000000"/>
        </w:rPr>
        <w:t>11</w:t>
      </w:r>
      <w:r>
        <w:rPr>
          <w:bCs/>
          <w:i w:val="0"/>
          <w:color w:val="000000"/>
        </w:rPr>
        <w:t xml:space="preserve"> existing respondents x </w:t>
      </w:r>
      <w:r w:rsidRPr="00CE16A2">
        <w:rPr>
          <w:bCs/>
          <w:i w:val="0"/>
          <w:color w:val="000000"/>
        </w:rPr>
        <w:t>8</w:t>
      </w:r>
      <w:r>
        <w:rPr>
          <w:bCs/>
          <w:i w:val="0"/>
          <w:color w:val="000000"/>
        </w:rPr>
        <w:t xml:space="preserve"> hours annually to maintain program = </w:t>
      </w:r>
      <w:r w:rsidRPr="00CE16A2">
        <w:rPr>
          <w:bCs/>
          <w:i w:val="0"/>
          <w:color w:val="000000"/>
        </w:rPr>
        <w:t>88</w:t>
      </w:r>
      <w:r>
        <w:rPr>
          <w:bCs/>
          <w:i w:val="0"/>
          <w:color w:val="000000"/>
        </w:rPr>
        <w:t xml:space="preserve"> hours</w:t>
      </w:r>
    </w:p>
    <w:p w:rsidR="00DE0904" w14:paraId="22957FA4" w14:textId="107BC7F7">
      <w:pPr>
        <w:pStyle w:val="BodyText"/>
        <w:rPr>
          <w:bCs/>
          <w:i w:val="0"/>
          <w:color w:val="000000"/>
        </w:rPr>
      </w:pPr>
      <w:r>
        <w:rPr>
          <w:bCs/>
          <w:i w:val="0"/>
          <w:color w:val="000000"/>
        </w:rPr>
        <w:tab/>
      </w:r>
      <w:r w:rsidRPr="00CE16A2">
        <w:rPr>
          <w:bCs/>
          <w:i w:val="0"/>
          <w:color w:val="000000"/>
        </w:rPr>
        <w:t>1 n</w:t>
      </w:r>
      <w:r>
        <w:rPr>
          <w:bCs/>
          <w:i w:val="0"/>
          <w:color w:val="000000"/>
        </w:rPr>
        <w:t xml:space="preserve">ew respondent x </w:t>
      </w:r>
      <w:r w:rsidRPr="00CE16A2">
        <w:rPr>
          <w:bCs/>
          <w:i w:val="0"/>
          <w:color w:val="000000"/>
        </w:rPr>
        <w:t>8</w:t>
      </w:r>
      <w:r>
        <w:rPr>
          <w:bCs/>
          <w:i w:val="0"/>
          <w:color w:val="000000"/>
        </w:rPr>
        <w:t xml:space="preserve"> hours annually to maintain program = </w:t>
      </w:r>
      <w:r w:rsidRPr="00CE16A2">
        <w:rPr>
          <w:bCs/>
          <w:i w:val="0"/>
          <w:color w:val="000000"/>
        </w:rPr>
        <w:t>8</w:t>
      </w:r>
      <w:r>
        <w:rPr>
          <w:bCs/>
          <w:i w:val="0"/>
          <w:color w:val="000000"/>
        </w:rPr>
        <w:t xml:space="preserve"> hours</w:t>
      </w:r>
    </w:p>
    <w:p w:rsidR="00DE0904" w14:paraId="2B45A776" w14:textId="30C28672">
      <w:pPr>
        <w:pStyle w:val="BodyText"/>
        <w:rPr>
          <w:bCs/>
          <w:i w:val="0"/>
          <w:color w:val="000000"/>
        </w:rPr>
      </w:pPr>
      <w:r>
        <w:rPr>
          <w:bCs/>
          <w:i w:val="0"/>
          <w:color w:val="000000"/>
        </w:rPr>
        <w:tab/>
      </w:r>
      <w:r w:rsidRPr="00CE16A2">
        <w:rPr>
          <w:bCs/>
          <w:i w:val="0"/>
          <w:color w:val="000000"/>
        </w:rPr>
        <w:t>1</w:t>
      </w:r>
      <w:r>
        <w:rPr>
          <w:bCs/>
          <w:i w:val="0"/>
          <w:color w:val="000000"/>
        </w:rPr>
        <w:t xml:space="preserve"> new respondent </w:t>
      </w:r>
      <w:r w:rsidRPr="00CE16A2">
        <w:rPr>
          <w:bCs/>
          <w:i w:val="0"/>
          <w:color w:val="000000"/>
        </w:rPr>
        <w:t>x 40</w:t>
      </w:r>
      <w:r>
        <w:rPr>
          <w:bCs/>
          <w:i w:val="0"/>
          <w:color w:val="000000"/>
        </w:rPr>
        <w:t xml:space="preserve"> hours to implement policies and procedures and to provide training = </w:t>
      </w:r>
      <w:r w:rsidRPr="00CE16A2">
        <w:rPr>
          <w:bCs/>
          <w:i w:val="0"/>
          <w:color w:val="000000"/>
        </w:rPr>
        <w:t>40</w:t>
      </w:r>
      <w:r>
        <w:rPr>
          <w:bCs/>
          <w:i w:val="0"/>
          <w:color w:val="000000"/>
        </w:rPr>
        <w:t xml:space="preserve"> hours.</w:t>
      </w:r>
    </w:p>
    <w:p w:rsidR="00DE0904" w14:paraId="245C4F86" w14:textId="77777777">
      <w:pPr>
        <w:pStyle w:val="BodyText"/>
        <w:rPr>
          <w:bCs/>
          <w:i w:val="0"/>
          <w:color w:val="000000"/>
        </w:rPr>
      </w:pPr>
      <w:r>
        <w:rPr>
          <w:bCs/>
          <w:i w:val="0"/>
          <w:color w:val="000000"/>
        </w:rPr>
        <w:tab/>
      </w:r>
    </w:p>
    <w:p w:rsidR="00DE0904" w:rsidP="00DE0904" w14:paraId="419BCC04" w14:textId="187A3BFE">
      <w:pPr>
        <w:pStyle w:val="BodyText"/>
        <w:ind w:firstLine="720"/>
        <w:rPr>
          <w:bCs/>
          <w:i w:val="0"/>
          <w:color w:val="000000"/>
        </w:rPr>
      </w:pPr>
      <w:r>
        <w:rPr>
          <w:bCs/>
          <w:i w:val="0"/>
          <w:color w:val="000000"/>
        </w:rPr>
        <w:t xml:space="preserve">Total estimated annual burden: </w:t>
      </w:r>
      <w:r w:rsidRPr="00CE16A2">
        <w:rPr>
          <w:bCs/>
          <w:i w:val="0"/>
          <w:color w:val="000000"/>
        </w:rPr>
        <w:t>136</w:t>
      </w:r>
      <w:r>
        <w:rPr>
          <w:bCs/>
          <w:i w:val="0"/>
          <w:color w:val="000000"/>
        </w:rPr>
        <w:t xml:space="preserve"> hours.</w:t>
      </w:r>
    </w:p>
    <w:p w:rsidR="00BB31A5" w:rsidRPr="00BB31A5" w14:paraId="7B396ABE" w14:textId="77777777">
      <w:pPr>
        <w:pStyle w:val="BodyText"/>
        <w:rPr>
          <w:bCs/>
          <w:i w:val="0"/>
          <w:color w:val="000000"/>
        </w:rPr>
      </w:pPr>
    </w:p>
    <w:p w:rsidR="000A4144" w14:paraId="06C06736" w14:textId="77777777">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0A4144" w14:paraId="3ADEBCC0" w14:textId="2EAD7351">
      <w:pPr>
        <w:pStyle w:val="BodyText"/>
        <w:rPr>
          <w:b/>
          <w:bCs/>
          <w:i w:val="0"/>
          <w:color w:val="000000"/>
        </w:rPr>
      </w:pPr>
      <w:r w:rsidRPr="00CE16A2">
        <w:rPr>
          <w:b/>
          <w:bCs/>
          <w:i w:val="0"/>
          <w:color w:val="000000"/>
        </w:rPr>
        <w:t>136</w:t>
      </w:r>
      <w:r>
        <w:rPr>
          <w:b/>
          <w:bCs/>
          <w:i w:val="0"/>
          <w:color w:val="000000"/>
        </w:rPr>
        <w:t xml:space="preserve"> </w:t>
      </w:r>
      <w:r w:rsidR="009B1BC5">
        <w:rPr>
          <w:b/>
          <w:bCs/>
          <w:i w:val="0"/>
          <w:color w:val="000000"/>
        </w:rPr>
        <w:t>hours x $1</w:t>
      </w:r>
      <w:r w:rsidR="00CE16A2">
        <w:rPr>
          <w:b/>
          <w:bCs/>
          <w:i w:val="0"/>
          <w:color w:val="000000"/>
        </w:rPr>
        <w:t>31</w:t>
      </w:r>
      <w:r w:rsidR="004C7D91">
        <w:rPr>
          <w:b/>
          <w:bCs/>
          <w:i w:val="0"/>
          <w:color w:val="000000"/>
        </w:rPr>
        <w:t>.</w:t>
      </w:r>
      <w:r w:rsidR="00CE16A2">
        <w:rPr>
          <w:b/>
          <w:bCs/>
          <w:i w:val="0"/>
          <w:color w:val="000000"/>
        </w:rPr>
        <w:t>1</w:t>
      </w:r>
      <w:r w:rsidR="004C7D91">
        <w:rPr>
          <w:b/>
          <w:bCs/>
          <w:i w:val="0"/>
          <w:color w:val="000000"/>
        </w:rPr>
        <w:t>0</w:t>
      </w:r>
      <w:r>
        <w:rPr>
          <w:b/>
          <w:bCs/>
          <w:i w:val="0"/>
          <w:color w:val="000000"/>
        </w:rPr>
        <w:t xml:space="preserve"> = </w:t>
      </w:r>
      <w:r>
        <w:rPr>
          <w:b/>
          <w:bCs/>
          <w:i w:val="0"/>
          <w:color w:val="000000"/>
        </w:rPr>
        <w:t>$17,</w:t>
      </w:r>
      <w:r w:rsidR="00CE16A2">
        <w:rPr>
          <w:b/>
          <w:bCs/>
          <w:i w:val="0"/>
          <w:color w:val="000000"/>
        </w:rPr>
        <w:t>829</w:t>
      </w:r>
      <w:r>
        <w:rPr>
          <w:b/>
          <w:bCs/>
          <w:i w:val="0"/>
          <w:color w:val="000000"/>
        </w:rPr>
        <w:t>.</w:t>
      </w:r>
      <w:r w:rsidR="00CE16A2">
        <w:rPr>
          <w:b/>
          <w:bCs/>
          <w:i w:val="0"/>
          <w:color w:val="000000"/>
        </w:rPr>
        <w:t>6</w:t>
      </w:r>
      <w:r>
        <w:rPr>
          <w:b/>
          <w:bCs/>
          <w:i w:val="0"/>
          <w:color w:val="000000"/>
        </w:rPr>
        <w:t>0</w:t>
      </w:r>
    </w:p>
    <w:p w:rsidR="000A4144" w14:paraId="0DFBF7E1" w14:textId="77777777">
      <w:pPr>
        <w:pStyle w:val="BodyText"/>
        <w:rPr>
          <w:b/>
          <w:bCs/>
          <w:i w:val="0"/>
          <w:color w:val="000000"/>
        </w:rPr>
      </w:pPr>
    </w:p>
    <w:p w:rsidR="006C38DE" w:rsidP="006C38DE" w14:paraId="0BA97564" w14:textId="71FB83C6">
      <w:pPr>
        <w:tabs>
          <w:tab w:val="left" w:pos="-1440"/>
        </w:tabs>
        <w:rPr>
          <w:color w:val="000000"/>
        </w:rPr>
      </w:pPr>
      <w:r>
        <w:rPr>
          <w:color w:val="000000"/>
        </w:rPr>
        <w:t>To estimate wages the OCC reviewed May 202</w:t>
      </w:r>
      <w:r w:rsidR="00CE16A2">
        <w:rPr>
          <w:color w:val="000000"/>
        </w:rPr>
        <w:t>4</w:t>
      </w:r>
      <w:r>
        <w:rPr>
          <w:color w:val="000000"/>
        </w:rPr>
        <w:t xml:space="preserve"> data for wages (by industry and occupation) from the U.S. Bureau of Labor Statistics (BLS) for credit intermediation and related activities (NAICS 5220A1).  To estimate compensation costs associated with the rule, the OCC uses $1</w:t>
      </w:r>
      <w:r w:rsidR="00CE16A2">
        <w:rPr>
          <w:color w:val="000000"/>
        </w:rPr>
        <w:t>31</w:t>
      </w:r>
      <w:r>
        <w:rPr>
          <w:color w:val="000000"/>
        </w:rPr>
        <w:t>.</w:t>
      </w:r>
      <w:r w:rsidR="00CE16A2">
        <w:rPr>
          <w:color w:val="000000"/>
        </w:rPr>
        <w:t>1</w:t>
      </w:r>
      <w:r>
        <w:rPr>
          <w:color w:val="000000"/>
        </w:rPr>
        <w:t>0 per hour, which is based on the average of the 90th percentile for six occupations adjusted for inflation (</w:t>
      </w:r>
      <w:r w:rsidR="00CE16A2">
        <w:rPr>
          <w:color w:val="000000"/>
        </w:rPr>
        <w:t>3.6</w:t>
      </w:r>
      <w:r>
        <w:rPr>
          <w:color w:val="000000"/>
        </w:rPr>
        <w:t xml:space="preserve"> percent as of Q1 2024), plus an additional 3</w:t>
      </w:r>
      <w:r w:rsidR="00CE16A2">
        <w:rPr>
          <w:color w:val="000000"/>
        </w:rPr>
        <w:t>5</w:t>
      </w:r>
      <w:r>
        <w:rPr>
          <w:color w:val="000000"/>
        </w:rPr>
        <w:t>.6 percent for benefits (based on the percent of total compensation allocated to benefits as of Q4 202</w:t>
      </w:r>
      <w:r w:rsidR="00CE16A2">
        <w:rPr>
          <w:color w:val="000000"/>
        </w:rPr>
        <w:t>4</w:t>
      </w:r>
      <w:r>
        <w:rPr>
          <w:color w:val="000000"/>
        </w:rPr>
        <w:t xml:space="preserve">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D331B3" w14:paraId="621DB674" w14:textId="6B3547B2">
      <w:pPr>
        <w:pStyle w:val="Footer"/>
        <w:tabs>
          <w:tab w:val="clear" w:pos="4320"/>
          <w:tab w:val="clear" w:pos="8640"/>
        </w:tabs>
        <w:rPr>
          <w:color w:val="000000"/>
        </w:rPr>
      </w:pPr>
      <w:r>
        <w:rPr>
          <w:color w:val="000000"/>
        </w:rPr>
        <w:tab/>
        <w:t>None.</w:t>
      </w:r>
    </w:p>
    <w:p w:rsidR="00CE16A2" w14:paraId="56905AB5"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3576" w14:paraId="359B03D5" w14:textId="77777777">
      <w:r>
        <w:separator/>
      </w:r>
    </w:p>
  </w:footnote>
  <w:footnote w:type="continuationSeparator" w:id="1">
    <w:p w:rsidR="00133576" w14:paraId="61A3431F" w14:textId="77777777">
      <w:r>
        <w:continuationSeparator/>
      </w:r>
    </w:p>
  </w:footnote>
  <w:footnote w:id="2">
    <w:p w:rsidR="00C4624C" w:rsidRPr="00CF0523" w:rsidP="00C4624C" w14:paraId="2FF19700" w14:textId="77777777">
      <w:pPr>
        <w:pStyle w:val="FootnoteText"/>
      </w:pPr>
      <w:r w:rsidRPr="00420322">
        <w:rPr>
          <w:rStyle w:val="FootnoteReference"/>
          <w:sz w:val="24"/>
          <w:szCs w:val="24"/>
        </w:rPr>
        <w:footnoteRef/>
      </w:r>
      <w:r w:rsidRPr="00420322">
        <w:rPr>
          <w:sz w:val="24"/>
          <w:szCs w:val="24"/>
        </w:rPr>
        <w:t xml:space="preserve"> 75 FR 50801.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BF369A"/>
    <w:multiLevelType w:val="hybridMultilevel"/>
    <w:tmpl w:val="EB7803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 w:numId="28" w16cid:durableId="1211527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3174B"/>
    <w:rsid w:val="0003678A"/>
    <w:rsid w:val="000429F8"/>
    <w:rsid w:val="00056C76"/>
    <w:rsid w:val="00061205"/>
    <w:rsid w:val="000732E2"/>
    <w:rsid w:val="000774D6"/>
    <w:rsid w:val="00081F26"/>
    <w:rsid w:val="000903EC"/>
    <w:rsid w:val="00094127"/>
    <w:rsid w:val="000976C2"/>
    <w:rsid w:val="000A4144"/>
    <w:rsid w:val="000A492F"/>
    <w:rsid w:val="000B2636"/>
    <w:rsid w:val="000C4722"/>
    <w:rsid w:val="000D3D3C"/>
    <w:rsid w:val="000D4607"/>
    <w:rsid w:val="0010090B"/>
    <w:rsid w:val="00112B75"/>
    <w:rsid w:val="00123913"/>
    <w:rsid w:val="00133576"/>
    <w:rsid w:val="00136525"/>
    <w:rsid w:val="0013796A"/>
    <w:rsid w:val="00146058"/>
    <w:rsid w:val="001466D8"/>
    <w:rsid w:val="00146794"/>
    <w:rsid w:val="001468A6"/>
    <w:rsid w:val="00153911"/>
    <w:rsid w:val="0015493B"/>
    <w:rsid w:val="00156213"/>
    <w:rsid w:val="00164623"/>
    <w:rsid w:val="00164C9C"/>
    <w:rsid w:val="00172F24"/>
    <w:rsid w:val="0017568B"/>
    <w:rsid w:val="00186ED7"/>
    <w:rsid w:val="001A034B"/>
    <w:rsid w:val="001A2EDF"/>
    <w:rsid w:val="001B10F5"/>
    <w:rsid w:val="001C18AC"/>
    <w:rsid w:val="001C6B5A"/>
    <w:rsid w:val="001C705C"/>
    <w:rsid w:val="001D3BB1"/>
    <w:rsid w:val="001E3340"/>
    <w:rsid w:val="001E33F3"/>
    <w:rsid w:val="001F6818"/>
    <w:rsid w:val="00203C0F"/>
    <w:rsid w:val="002112CB"/>
    <w:rsid w:val="00212527"/>
    <w:rsid w:val="0021595B"/>
    <w:rsid w:val="00240D95"/>
    <w:rsid w:val="002504FE"/>
    <w:rsid w:val="00252CF9"/>
    <w:rsid w:val="00257709"/>
    <w:rsid w:val="0026241C"/>
    <w:rsid w:val="0026750D"/>
    <w:rsid w:val="0026786D"/>
    <w:rsid w:val="00271250"/>
    <w:rsid w:val="002719DA"/>
    <w:rsid w:val="0028032E"/>
    <w:rsid w:val="00283A34"/>
    <w:rsid w:val="002867E6"/>
    <w:rsid w:val="00297CC5"/>
    <w:rsid w:val="002B1BD4"/>
    <w:rsid w:val="002B32B2"/>
    <w:rsid w:val="002B7253"/>
    <w:rsid w:val="002C7FFE"/>
    <w:rsid w:val="002D27DD"/>
    <w:rsid w:val="002D3094"/>
    <w:rsid w:val="002D6281"/>
    <w:rsid w:val="002F0CDF"/>
    <w:rsid w:val="002F637C"/>
    <w:rsid w:val="003024C3"/>
    <w:rsid w:val="003058B5"/>
    <w:rsid w:val="00312DFA"/>
    <w:rsid w:val="00330F2E"/>
    <w:rsid w:val="00341F49"/>
    <w:rsid w:val="00342908"/>
    <w:rsid w:val="00345966"/>
    <w:rsid w:val="00354EAF"/>
    <w:rsid w:val="00357171"/>
    <w:rsid w:val="003618F7"/>
    <w:rsid w:val="00370630"/>
    <w:rsid w:val="00371B30"/>
    <w:rsid w:val="00375494"/>
    <w:rsid w:val="00387640"/>
    <w:rsid w:val="00395789"/>
    <w:rsid w:val="003A5ABE"/>
    <w:rsid w:val="003C0A58"/>
    <w:rsid w:val="003C5162"/>
    <w:rsid w:val="003C5F80"/>
    <w:rsid w:val="003C7D1A"/>
    <w:rsid w:val="003E2687"/>
    <w:rsid w:val="003E27D9"/>
    <w:rsid w:val="004024F4"/>
    <w:rsid w:val="00415ADB"/>
    <w:rsid w:val="00420322"/>
    <w:rsid w:val="0043060F"/>
    <w:rsid w:val="0043160D"/>
    <w:rsid w:val="004335BB"/>
    <w:rsid w:val="0044411A"/>
    <w:rsid w:val="0044648C"/>
    <w:rsid w:val="00453B8A"/>
    <w:rsid w:val="0046055A"/>
    <w:rsid w:val="0048405C"/>
    <w:rsid w:val="00491FCD"/>
    <w:rsid w:val="004928B5"/>
    <w:rsid w:val="004A33A4"/>
    <w:rsid w:val="004C0929"/>
    <w:rsid w:val="004C4D25"/>
    <w:rsid w:val="004C53A4"/>
    <w:rsid w:val="004C7D91"/>
    <w:rsid w:val="004D2CFF"/>
    <w:rsid w:val="004D39DE"/>
    <w:rsid w:val="004D7A48"/>
    <w:rsid w:val="00501CF2"/>
    <w:rsid w:val="005044F1"/>
    <w:rsid w:val="0051709A"/>
    <w:rsid w:val="00542EF2"/>
    <w:rsid w:val="005543FF"/>
    <w:rsid w:val="00555394"/>
    <w:rsid w:val="00560223"/>
    <w:rsid w:val="0056185D"/>
    <w:rsid w:val="00562F0F"/>
    <w:rsid w:val="005675AB"/>
    <w:rsid w:val="00575076"/>
    <w:rsid w:val="00585ABF"/>
    <w:rsid w:val="005878C9"/>
    <w:rsid w:val="00590D43"/>
    <w:rsid w:val="00597EAF"/>
    <w:rsid w:val="005B4717"/>
    <w:rsid w:val="005B6406"/>
    <w:rsid w:val="005C0AE2"/>
    <w:rsid w:val="005C310C"/>
    <w:rsid w:val="005D2AD2"/>
    <w:rsid w:val="005E4215"/>
    <w:rsid w:val="005E58F7"/>
    <w:rsid w:val="005F1A23"/>
    <w:rsid w:val="005F440A"/>
    <w:rsid w:val="00601D88"/>
    <w:rsid w:val="006037C2"/>
    <w:rsid w:val="00606463"/>
    <w:rsid w:val="00611617"/>
    <w:rsid w:val="00624AE6"/>
    <w:rsid w:val="00627925"/>
    <w:rsid w:val="00641631"/>
    <w:rsid w:val="0064178C"/>
    <w:rsid w:val="00657C95"/>
    <w:rsid w:val="00673B11"/>
    <w:rsid w:val="00681826"/>
    <w:rsid w:val="00685C8D"/>
    <w:rsid w:val="0068742D"/>
    <w:rsid w:val="006A1916"/>
    <w:rsid w:val="006A2208"/>
    <w:rsid w:val="006A2F9F"/>
    <w:rsid w:val="006B40D8"/>
    <w:rsid w:val="006C3736"/>
    <w:rsid w:val="006C38DE"/>
    <w:rsid w:val="006C53FB"/>
    <w:rsid w:val="006C7C76"/>
    <w:rsid w:val="006D535A"/>
    <w:rsid w:val="006E4703"/>
    <w:rsid w:val="007149CD"/>
    <w:rsid w:val="00716CCA"/>
    <w:rsid w:val="00722148"/>
    <w:rsid w:val="00735F09"/>
    <w:rsid w:val="007501C2"/>
    <w:rsid w:val="00753CFF"/>
    <w:rsid w:val="00756398"/>
    <w:rsid w:val="00756754"/>
    <w:rsid w:val="0076144A"/>
    <w:rsid w:val="007726B9"/>
    <w:rsid w:val="007732CA"/>
    <w:rsid w:val="0077568D"/>
    <w:rsid w:val="007765A6"/>
    <w:rsid w:val="00785BD8"/>
    <w:rsid w:val="00797F47"/>
    <w:rsid w:val="007A2589"/>
    <w:rsid w:val="007A4323"/>
    <w:rsid w:val="007A4582"/>
    <w:rsid w:val="007A4A3A"/>
    <w:rsid w:val="007B28B6"/>
    <w:rsid w:val="007B6321"/>
    <w:rsid w:val="007B6ADD"/>
    <w:rsid w:val="007C0B55"/>
    <w:rsid w:val="007D7EE6"/>
    <w:rsid w:val="007F0D8B"/>
    <w:rsid w:val="007F33E2"/>
    <w:rsid w:val="008069FD"/>
    <w:rsid w:val="008132DF"/>
    <w:rsid w:val="008138EF"/>
    <w:rsid w:val="00815227"/>
    <w:rsid w:val="00821885"/>
    <w:rsid w:val="008222F0"/>
    <w:rsid w:val="0082231E"/>
    <w:rsid w:val="008374DA"/>
    <w:rsid w:val="008435D2"/>
    <w:rsid w:val="00847554"/>
    <w:rsid w:val="00862D9B"/>
    <w:rsid w:val="00863893"/>
    <w:rsid w:val="00876806"/>
    <w:rsid w:val="00882FE4"/>
    <w:rsid w:val="00883FA6"/>
    <w:rsid w:val="00890AB7"/>
    <w:rsid w:val="00891902"/>
    <w:rsid w:val="008924FB"/>
    <w:rsid w:val="008A58AC"/>
    <w:rsid w:val="008A643D"/>
    <w:rsid w:val="008B661A"/>
    <w:rsid w:val="008C6440"/>
    <w:rsid w:val="008C70DC"/>
    <w:rsid w:val="008D0847"/>
    <w:rsid w:val="008D6467"/>
    <w:rsid w:val="008E0842"/>
    <w:rsid w:val="008E0FA3"/>
    <w:rsid w:val="008E25ED"/>
    <w:rsid w:val="008F021D"/>
    <w:rsid w:val="008F11DE"/>
    <w:rsid w:val="008F5E5F"/>
    <w:rsid w:val="0090147D"/>
    <w:rsid w:val="009177F7"/>
    <w:rsid w:val="00922BA6"/>
    <w:rsid w:val="00924A92"/>
    <w:rsid w:val="009253F8"/>
    <w:rsid w:val="00927B27"/>
    <w:rsid w:val="00934C19"/>
    <w:rsid w:val="009360E7"/>
    <w:rsid w:val="0093781D"/>
    <w:rsid w:val="00944FB5"/>
    <w:rsid w:val="00953FEC"/>
    <w:rsid w:val="00960C77"/>
    <w:rsid w:val="00967825"/>
    <w:rsid w:val="00971B95"/>
    <w:rsid w:val="00975575"/>
    <w:rsid w:val="00975A62"/>
    <w:rsid w:val="00981E48"/>
    <w:rsid w:val="00983B3B"/>
    <w:rsid w:val="00995F60"/>
    <w:rsid w:val="00997FD0"/>
    <w:rsid w:val="009A271C"/>
    <w:rsid w:val="009B0F9C"/>
    <w:rsid w:val="009B1BC5"/>
    <w:rsid w:val="009E7AC0"/>
    <w:rsid w:val="009E7C2D"/>
    <w:rsid w:val="009F2DE2"/>
    <w:rsid w:val="009F4755"/>
    <w:rsid w:val="00A11956"/>
    <w:rsid w:val="00A121E7"/>
    <w:rsid w:val="00A2457F"/>
    <w:rsid w:val="00A30DBC"/>
    <w:rsid w:val="00A34F29"/>
    <w:rsid w:val="00A35623"/>
    <w:rsid w:val="00A367D0"/>
    <w:rsid w:val="00A554C2"/>
    <w:rsid w:val="00A637EA"/>
    <w:rsid w:val="00A658F6"/>
    <w:rsid w:val="00A70C9F"/>
    <w:rsid w:val="00A72474"/>
    <w:rsid w:val="00A73FE6"/>
    <w:rsid w:val="00A77A45"/>
    <w:rsid w:val="00A81A71"/>
    <w:rsid w:val="00A87283"/>
    <w:rsid w:val="00A96AEC"/>
    <w:rsid w:val="00AA4733"/>
    <w:rsid w:val="00AA611C"/>
    <w:rsid w:val="00AB7DFA"/>
    <w:rsid w:val="00AC08C7"/>
    <w:rsid w:val="00AC6A28"/>
    <w:rsid w:val="00AD17AA"/>
    <w:rsid w:val="00AD1AD6"/>
    <w:rsid w:val="00AD25F4"/>
    <w:rsid w:val="00AD60CA"/>
    <w:rsid w:val="00AD69A7"/>
    <w:rsid w:val="00AD71D8"/>
    <w:rsid w:val="00AE1CEF"/>
    <w:rsid w:val="00AE31DD"/>
    <w:rsid w:val="00AE3AD6"/>
    <w:rsid w:val="00AE53CE"/>
    <w:rsid w:val="00AF6BA0"/>
    <w:rsid w:val="00B12D2C"/>
    <w:rsid w:val="00B16D39"/>
    <w:rsid w:val="00B32F4C"/>
    <w:rsid w:val="00B35C58"/>
    <w:rsid w:val="00B37BB7"/>
    <w:rsid w:val="00B44A77"/>
    <w:rsid w:val="00B4777D"/>
    <w:rsid w:val="00B47E4A"/>
    <w:rsid w:val="00B511E7"/>
    <w:rsid w:val="00B6583D"/>
    <w:rsid w:val="00B7061E"/>
    <w:rsid w:val="00B73245"/>
    <w:rsid w:val="00B74071"/>
    <w:rsid w:val="00B8002D"/>
    <w:rsid w:val="00B83ECF"/>
    <w:rsid w:val="00B927EF"/>
    <w:rsid w:val="00B92E25"/>
    <w:rsid w:val="00B9494A"/>
    <w:rsid w:val="00B955B7"/>
    <w:rsid w:val="00B97BC7"/>
    <w:rsid w:val="00BA2266"/>
    <w:rsid w:val="00BA3816"/>
    <w:rsid w:val="00BB0C1A"/>
    <w:rsid w:val="00BB31A5"/>
    <w:rsid w:val="00BB37CF"/>
    <w:rsid w:val="00BB48B0"/>
    <w:rsid w:val="00BC21AC"/>
    <w:rsid w:val="00BC3F29"/>
    <w:rsid w:val="00BD7B61"/>
    <w:rsid w:val="00BE008C"/>
    <w:rsid w:val="00BE4452"/>
    <w:rsid w:val="00BE715F"/>
    <w:rsid w:val="00BF285A"/>
    <w:rsid w:val="00C11863"/>
    <w:rsid w:val="00C145E5"/>
    <w:rsid w:val="00C14FD7"/>
    <w:rsid w:val="00C2172D"/>
    <w:rsid w:val="00C21FEB"/>
    <w:rsid w:val="00C24D32"/>
    <w:rsid w:val="00C25194"/>
    <w:rsid w:val="00C26228"/>
    <w:rsid w:val="00C41073"/>
    <w:rsid w:val="00C45975"/>
    <w:rsid w:val="00C4624C"/>
    <w:rsid w:val="00C55628"/>
    <w:rsid w:val="00C663B8"/>
    <w:rsid w:val="00C679FD"/>
    <w:rsid w:val="00C73CC3"/>
    <w:rsid w:val="00C8083F"/>
    <w:rsid w:val="00CC0074"/>
    <w:rsid w:val="00CC74A2"/>
    <w:rsid w:val="00CE16A2"/>
    <w:rsid w:val="00CF0523"/>
    <w:rsid w:val="00D00195"/>
    <w:rsid w:val="00D1092B"/>
    <w:rsid w:val="00D10E2E"/>
    <w:rsid w:val="00D12BF6"/>
    <w:rsid w:val="00D14293"/>
    <w:rsid w:val="00D262C4"/>
    <w:rsid w:val="00D331B3"/>
    <w:rsid w:val="00D46AA2"/>
    <w:rsid w:val="00D5393B"/>
    <w:rsid w:val="00D541B6"/>
    <w:rsid w:val="00D5448D"/>
    <w:rsid w:val="00D76087"/>
    <w:rsid w:val="00D775EC"/>
    <w:rsid w:val="00D870DF"/>
    <w:rsid w:val="00D90449"/>
    <w:rsid w:val="00D95B18"/>
    <w:rsid w:val="00DB0C09"/>
    <w:rsid w:val="00DC2367"/>
    <w:rsid w:val="00DC6B5F"/>
    <w:rsid w:val="00DD7F67"/>
    <w:rsid w:val="00DE0904"/>
    <w:rsid w:val="00DE33D8"/>
    <w:rsid w:val="00E16095"/>
    <w:rsid w:val="00E17853"/>
    <w:rsid w:val="00E17D9F"/>
    <w:rsid w:val="00E316C6"/>
    <w:rsid w:val="00E42BD9"/>
    <w:rsid w:val="00E43AD9"/>
    <w:rsid w:val="00E43BAD"/>
    <w:rsid w:val="00E43F1C"/>
    <w:rsid w:val="00E51026"/>
    <w:rsid w:val="00E56F2F"/>
    <w:rsid w:val="00E6072D"/>
    <w:rsid w:val="00E62BDB"/>
    <w:rsid w:val="00E656DA"/>
    <w:rsid w:val="00E7483E"/>
    <w:rsid w:val="00E7525C"/>
    <w:rsid w:val="00E83FD7"/>
    <w:rsid w:val="00E940D8"/>
    <w:rsid w:val="00EA0DB6"/>
    <w:rsid w:val="00EA76D1"/>
    <w:rsid w:val="00EB27AA"/>
    <w:rsid w:val="00EB4089"/>
    <w:rsid w:val="00EB4B71"/>
    <w:rsid w:val="00EC1FBC"/>
    <w:rsid w:val="00EC49D8"/>
    <w:rsid w:val="00ED1737"/>
    <w:rsid w:val="00EF1E84"/>
    <w:rsid w:val="00EF5AF5"/>
    <w:rsid w:val="00EF64FB"/>
    <w:rsid w:val="00F01977"/>
    <w:rsid w:val="00F147EE"/>
    <w:rsid w:val="00F40B75"/>
    <w:rsid w:val="00F429D2"/>
    <w:rsid w:val="00F53BCA"/>
    <w:rsid w:val="00F5492F"/>
    <w:rsid w:val="00F67110"/>
    <w:rsid w:val="00F70DC3"/>
    <w:rsid w:val="00F72B9D"/>
    <w:rsid w:val="00F83450"/>
    <w:rsid w:val="00F936AC"/>
    <w:rsid w:val="00FA59E4"/>
    <w:rsid w:val="00FB4F38"/>
    <w:rsid w:val="00FB5330"/>
    <w:rsid w:val="00FB666D"/>
    <w:rsid w:val="00FE0D0D"/>
    <w:rsid w:val="00FF7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link w:val="Heading5Char"/>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customStyle="1" w:styleId="Heading5Char">
    <w:name w:val="Heading 5 Char"/>
    <w:link w:val="Heading5"/>
    <w:rsid w:val="00252CF9"/>
    <w:rPr>
      <w:b/>
      <w:bCs/>
    </w:rPr>
  </w:style>
  <w:style w:type="paragraph" w:styleId="ListParagraph">
    <w:name w:val="List Paragraph"/>
    <w:basedOn w:val="Normal"/>
    <w:uiPriority w:val="34"/>
    <w:qFormat/>
    <w:rsid w:val="00252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8DBD-CCB7-488B-95A4-F3CD97B2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2025-07-25T17:25:00Z</dcterms:created>
  <dcterms:modified xsi:type="dcterms:W3CDTF">2025-07-25T17:25:00Z</dcterms:modified>
</cp:coreProperties>
</file>