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844CC" w14:paraId="5FB4732E" w14:textId="77777777">
      <w:pPr>
        <w:jc w:val="center"/>
        <w:rPr>
          <w:rFonts w:ascii="Times New Roman" w:hAnsi="Times New Roman"/>
          <w:b/>
          <w:bCs/>
        </w:rPr>
      </w:pPr>
      <w:r>
        <w:rPr>
          <w:rFonts w:ascii="Times New Roman" w:hAnsi="Times New Roman"/>
          <w:b/>
          <w:bCs/>
        </w:rPr>
        <w:t>Office of the Comptroller of the Currency</w:t>
      </w:r>
    </w:p>
    <w:p w:rsidR="006353FB" w14:paraId="28B386E7" w14:textId="77777777">
      <w:pPr>
        <w:jc w:val="center"/>
        <w:rPr>
          <w:rFonts w:ascii="Times New Roman" w:hAnsi="Times New Roman"/>
          <w:b/>
          <w:bCs/>
        </w:rPr>
      </w:pPr>
      <w:r>
        <w:rPr>
          <w:rFonts w:ascii="Times New Roman" w:hAnsi="Times New Roman"/>
          <w:b/>
          <w:bCs/>
        </w:rPr>
        <w:t>Supporting Statement</w:t>
      </w:r>
    </w:p>
    <w:p w:rsidR="0042007E" w14:paraId="0A4B0192" w14:textId="77777777">
      <w:pPr>
        <w:jc w:val="center"/>
        <w:rPr>
          <w:rFonts w:ascii="Times New Roman" w:hAnsi="Times New Roman"/>
          <w:b/>
          <w:bCs/>
        </w:rPr>
      </w:pPr>
      <w:r>
        <w:rPr>
          <w:rFonts w:ascii="Times New Roman" w:hAnsi="Times New Roman"/>
          <w:b/>
          <w:bCs/>
        </w:rPr>
        <w:t xml:space="preserve">Interagency Policy Statement on </w:t>
      </w:r>
    </w:p>
    <w:p w:rsidR="0042007E" w:rsidRPr="0042007E" w:rsidP="0042007E" w14:paraId="7A87F39C" w14:textId="77777777">
      <w:pPr>
        <w:jc w:val="center"/>
        <w:rPr>
          <w:rFonts w:ascii="Times New Roman" w:hAnsi="Times New Roman"/>
          <w:b/>
          <w:bCs/>
        </w:rPr>
      </w:pPr>
      <w:r>
        <w:rPr>
          <w:rFonts w:ascii="Times New Roman" w:hAnsi="Times New Roman"/>
          <w:b/>
          <w:bCs/>
        </w:rPr>
        <w:t>Funding an</w:t>
      </w:r>
      <w:r w:rsidRPr="0042007E">
        <w:rPr>
          <w:rFonts w:ascii="Times New Roman" w:hAnsi="Times New Roman"/>
          <w:b/>
          <w:bCs/>
        </w:rPr>
        <w:t>d Liquidity Risk Management</w:t>
      </w:r>
    </w:p>
    <w:p w:rsidR="007844CC" w:rsidRPr="0042007E" w14:paraId="4C99A301" w14:textId="77777777">
      <w:pPr>
        <w:jc w:val="center"/>
        <w:rPr>
          <w:rFonts w:ascii="Times New Roman" w:hAnsi="Times New Roman"/>
          <w:b/>
          <w:bCs/>
        </w:rPr>
      </w:pPr>
      <w:r>
        <w:rPr>
          <w:rFonts w:ascii="Times New Roman" w:hAnsi="Times New Roman"/>
          <w:b/>
        </w:rPr>
        <w:t xml:space="preserve">OMB Control No. </w:t>
      </w:r>
      <w:r w:rsidR="009A6377">
        <w:rPr>
          <w:rFonts w:ascii="Times New Roman" w:hAnsi="Times New Roman"/>
          <w:b/>
        </w:rPr>
        <w:t>1557-02</w:t>
      </w:r>
      <w:r w:rsidRPr="00C326D8" w:rsidR="009A6377">
        <w:rPr>
          <w:rFonts w:ascii="Times New Roman" w:hAnsi="Times New Roman"/>
          <w:b/>
        </w:rPr>
        <w:t>44</w:t>
      </w:r>
    </w:p>
    <w:p w:rsidR="006353FB" w14:paraId="3D0F369A" w14:textId="77777777">
      <w:pPr>
        <w:rPr>
          <w:rFonts w:ascii="Times New Roman" w:hAnsi="Times New Roman"/>
        </w:rPr>
      </w:pPr>
    </w:p>
    <w:p w:rsidR="006353FB" w14:paraId="0BAE989A" w14:textId="77777777">
      <w:pPr>
        <w:rPr>
          <w:rFonts w:ascii="Times New Roman" w:hAnsi="Times New Roman"/>
        </w:rPr>
      </w:pPr>
    </w:p>
    <w:p w:rsidR="006353FB" w:rsidRPr="00C273AE" w14:paraId="4420F994" w14:textId="77777777">
      <w:pPr>
        <w:tabs>
          <w:tab w:val="left" w:pos="-1440"/>
        </w:tabs>
        <w:ind w:left="720" w:hanging="720"/>
        <w:rPr>
          <w:rFonts w:ascii="Times New Roman" w:hAnsi="Times New Roman"/>
          <w:b/>
        </w:rPr>
      </w:pPr>
      <w:r w:rsidRPr="00C273AE">
        <w:rPr>
          <w:rFonts w:ascii="Times New Roman" w:hAnsi="Times New Roman"/>
          <w:b/>
        </w:rPr>
        <w:t>A. Justification.</w:t>
      </w:r>
    </w:p>
    <w:p w:rsidR="006353FB" w14:paraId="40136DFE" w14:textId="77777777">
      <w:pPr>
        <w:rPr>
          <w:rFonts w:ascii="Times New Roman" w:hAnsi="Times New Roman"/>
        </w:rPr>
      </w:pPr>
    </w:p>
    <w:p w:rsidR="006353FB" w:rsidRPr="00824F40" w14:paraId="446F9133" w14:textId="77777777">
      <w:pPr>
        <w:tabs>
          <w:tab w:val="left" w:pos="-1440"/>
        </w:tabs>
        <w:ind w:left="720" w:hanging="720"/>
        <w:rPr>
          <w:rFonts w:ascii="Times New Roman" w:hAnsi="Times New Roman"/>
          <w:b/>
          <w:i/>
        </w:rPr>
      </w:pPr>
      <w:r w:rsidRPr="00824F40">
        <w:rPr>
          <w:rFonts w:ascii="Times New Roman" w:hAnsi="Times New Roman"/>
          <w:b/>
          <w:i/>
        </w:rPr>
        <w:t>1. Circumstances that make the collection necessary:</w:t>
      </w:r>
    </w:p>
    <w:p w:rsidR="006353FB" w14:paraId="072228E6" w14:textId="77777777">
      <w:pPr>
        <w:rPr>
          <w:rFonts w:ascii="Times New Roman" w:hAnsi="Times New Roman"/>
        </w:rPr>
      </w:pPr>
    </w:p>
    <w:p w:rsidR="003C5858" w:rsidP="00CE1E39" w14:paraId="46255A85" w14:textId="00AA999E">
      <w:pPr>
        <w:rPr>
          <w:rFonts w:ascii="Times New Roman" w:hAnsi="Times New Roman"/>
        </w:rPr>
      </w:pPr>
      <w:r w:rsidRPr="00CE1E39">
        <w:rPr>
          <w:rFonts w:ascii="Times New Roman" w:hAnsi="Times New Roman"/>
        </w:rPr>
        <w:t xml:space="preserve">          </w:t>
      </w:r>
      <w:bookmarkStart w:id="0" w:name="_Hlk198641035"/>
      <w:r w:rsidR="00ED5E11">
        <w:rPr>
          <w:rFonts w:ascii="Times New Roman" w:hAnsi="Times New Roman"/>
        </w:rPr>
        <w:t xml:space="preserve">On March 22, 2010, </w:t>
      </w:r>
      <w:bookmarkStart w:id="1" w:name="_Hlk198629499"/>
      <w:r w:rsidR="00ED5E11">
        <w:rPr>
          <w:rFonts w:ascii="Times New Roman" w:hAnsi="Times New Roman"/>
        </w:rPr>
        <w:t>t</w:t>
      </w:r>
      <w:r w:rsidRPr="00CE1E39" w:rsidR="00CE1E39">
        <w:rPr>
          <w:rFonts w:ascii="Times New Roman" w:hAnsi="Times New Roman"/>
        </w:rPr>
        <w:t xml:space="preserve">he </w:t>
      </w:r>
      <w:r w:rsidR="00CE1E39">
        <w:rPr>
          <w:rFonts w:ascii="Times New Roman" w:hAnsi="Times New Roman"/>
        </w:rPr>
        <w:t>Office of the Comptroller of the Currency, the Board of Governors of the Federal Reserve System, the Federal Deposit Insurance Corporation, and the National Credit Union Administration</w:t>
      </w:r>
      <w:r w:rsidR="00B4293D">
        <w:rPr>
          <w:rFonts w:ascii="Times New Roman" w:hAnsi="Times New Roman"/>
        </w:rPr>
        <w:t xml:space="preserve"> (the agencies)</w:t>
      </w:r>
      <w:r w:rsidR="008D0B1A">
        <w:rPr>
          <w:rFonts w:ascii="Times New Roman" w:hAnsi="Times New Roman"/>
        </w:rPr>
        <w:t>,</w:t>
      </w:r>
      <w:r w:rsidRPr="00CE1E39" w:rsidR="00CE1E39">
        <w:rPr>
          <w:rFonts w:ascii="Times New Roman" w:hAnsi="Times New Roman"/>
        </w:rPr>
        <w:t xml:space="preserve"> </w:t>
      </w:r>
      <w:bookmarkEnd w:id="1"/>
      <w:r w:rsidRPr="00CE1E39" w:rsidR="00CE1E39">
        <w:rPr>
          <w:rFonts w:ascii="Times New Roman" w:hAnsi="Times New Roman"/>
        </w:rPr>
        <w:t xml:space="preserve">in conjunction with the Conference of State Bank Supervisors, </w:t>
      </w:r>
      <w:r w:rsidR="009A6377">
        <w:rPr>
          <w:rFonts w:ascii="Times New Roman" w:hAnsi="Times New Roman"/>
        </w:rPr>
        <w:t>issued</w:t>
      </w:r>
      <w:r w:rsidRPr="00CE1E39" w:rsidR="00CE1E39">
        <w:rPr>
          <w:rFonts w:ascii="Times New Roman" w:hAnsi="Times New Roman"/>
        </w:rPr>
        <w:t xml:space="preserve"> </w:t>
      </w:r>
      <w:r w:rsidR="009A6377">
        <w:rPr>
          <w:rFonts w:ascii="Times New Roman" w:hAnsi="Times New Roman"/>
        </w:rPr>
        <w:t>a policy statement</w:t>
      </w:r>
      <w:r w:rsidRPr="00CE1E39" w:rsidR="00CE1E39">
        <w:rPr>
          <w:rFonts w:ascii="Times New Roman" w:hAnsi="Times New Roman"/>
        </w:rPr>
        <w:t xml:space="preserve"> on funding and liquidity risk management</w:t>
      </w:r>
      <w:r w:rsidR="008D07E4">
        <w:rPr>
          <w:rFonts w:ascii="Times New Roman" w:hAnsi="Times New Roman"/>
        </w:rPr>
        <w:t xml:space="preserve"> (Policy Statement)</w:t>
      </w:r>
      <w:r w:rsidRPr="00CE1E39" w:rsidR="00CE1E39">
        <w:rPr>
          <w:rFonts w:ascii="Times New Roman" w:hAnsi="Times New Roman"/>
        </w:rPr>
        <w:t>.</w:t>
      </w:r>
      <w:r>
        <w:rPr>
          <w:rStyle w:val="FootnoteReference"/>
          <w:rFonts w:ascii="Times New Roman" w:hAnsi="Times New Roman"/>
          <w:vertAlign w:val="superscript"/>
        </w:rPr>
        <w:footnoteReference w:id="3"/>
      </w:r>
      <w:r w:rsidRPr="00CE1E39" w:rsidR="00CE1E39">
        <w:rPr>
          <w:rFonts w:ascii="Times New Roman" w:hAnsi="Times New Roman"/>
        </w:rPr>
        <w:t xml:space="preserve">  The </w:t>
      </w:r>
      <w:r w:rsidR="00751CD5">
        <w:rPr>
          <w:rFonts w:ascii="Times New Roman" w:hAnsi="Times New Roman"/>
        </w:rPr>
        <w:t xml:space="preserve">Policy Statement </w:t>
      </w:r>
      <w:r w:rsidR="008D0B1A">
        <w:rPr>
          <w:rFonts w:ascii="Times New Roman" w:hAnsi="Times New Roman"/>
        </w:rPr>
        <w:t>sets forth</w:t>
      </w:r>
      <w:r w:rsidRPr="00CE1E39" w:rsidR="00CE1E39">
        <w:rPr>
          <w:rFonts w:ascii="Times New Roman" w:hAnsi="Times New Roman"/>
        </w:rPr>
        <w:t xml:space="preserve"> </w:t>
      </w:r>
      <w:r w:rsidR="008D0B1A">
        <w:rPr>
          <w:rFonts w:ascii="Times New Roman" w:hAnsi="Times New Roman"/>
        </w:rPr>
        <w:t xml:space="preserve">guidance and </w:t>
      </w:r>
      <w:r w:rsidRPr="00CE1E39" w:rsidR="00CE1E39">
        <w:rPr>
          <w:rFonts w:ascii="Times New Roman" w:hAnsi="Times New Roman"/>
        </w:rPr>
        <w:t xml:space="preserve">principles </w:t>
      </w:r>
      <w:r w:rsidR="008D0B1A">
        <w:rPr>
          <w:rFonts w:ascii="Times New Roman" w:hAnsi="Times New Roman"/>
        </w:rPr>
        <w:t xml:space="preserve">for </w:t>
      </w:r>
      <w:r w:rsidRPr="00CE1E39" w:rsidR="00CE1E39">
        <w:rPr>
          <w:rFonts w:ascii="Times New Roman" w:hAnsi="Times New Roman"/>
        </w:rPr>
        <w:t>sound liquidity risk management</w:t>
      </w:r>
      <w:r w:rsidR="008C2DCC">
        <w:rPr>
          <w:rFonts w:ascii="Times New Roman" w:hAnsi="Times New Roman"/>
        </w:rPr>
        <w:t xml:space="preserve"> that apply to OCC-supervised national banks</w:t>
      </w:r>
      <w:r w:rsidR="00FD6C8E">
        <w:rPr>
          <w:rFonts w:ascii="Times New Roman" w:hAnsi="Times New Roman"/>
        </w:rPr>
        <w:t>,</w:t>
      </w:r>
      <w:r w:rsidR="008C2DCC">
        <w:rPr>
          <w:rFonts w:ascii="Times New Roman" w:hAnsi="Times New Roman"/>
        </w:rPr>
        <w:t xml:space="preserve"> Federal savings associations</w:t>
      </w:r>
      <w:r w:rsidR="00FD6C8E">
        <w:rPr>
          <w:rFonts w:ascii="Times New Roman" w:hAnsi="Times New Roman"/>
        </w:rPr>
        <w:t xml:space="preserve">, </w:t>
      </w:r>
      <w:r w:rsidRPr="00FD6C8E" w:rsidR="00FD6C8E">
        <w:rPr>
          <w:rFonts w:ascii="Times New Roman" w:hAnsi="Times New Roman"/>
        </w:rPr>
        <w:t xml:space="preserve">and </w:t>
      </w:r>
      <w:bookmarkStart w:id="3" w:name="_Hlk198628261"/>
      <w:r w:rsidR="00B13071">
        <w:rPr>
          <w:rFonts w:ascii="Times New Roman" w:hAnsi="Times New Roman"/>
        </w:rPr>
        <w:t>F</w:t>
      </w:r>
      <w:r w:rsidRPr="00FD6C8E" w:rsidR="00FD6C8E">
        <w:rPr>
          <w:rFonts w:ascii="Times New Roman" w:hAnsi="Times New Roman"/>
        </w:rPr>
        <w:t>ederal branches and agencies of foreign banking organizations</w:t>
      </w:r>
      <w:r w:rsidR="00FD6C8E">
        <w:rPr>
          <w:rFonts w:ascii="Times New Roman" w:hAnsi="Times New Roman"/>
        </w:rPr>
        <w:t xml:space="preserve"> (together, banks)</w:t>
      </w:r>
      <w:bookmarkEnd w:id="3"/>
      <w:r w:rsidR="008D0B1A">
        <w:rPr>
          <w:rFonts w:ascii="Times New Roman" w:hAnsi="Times New Roman"/>
        </w:rPr>
        <w:t>.</w:t>
      </w:r>
      <w:bookmarkEnd w:id="0"/>
      <w:r>
        <w:rPr>
          <w:rFonts w:ascii="Times New Roman" w:hAnsi="Times New Roman"/>
        </w:rPr>
        <w:t xml:space="preserve"> </w:t>
      </w:r>
      <w:r w:rsidRPr="003C5858">
        <w:rPr>
          <w:rFonts w:ascii="Times New Roman" w:hAnsi="Times New Roman"/>
        </w:rPr>
        <w:t>The Policy Statement summarizes and builds on previously issued guidance.</w:t>
      </w:r>
      <w:r>
        <w:rPr>
          <w:rFonts w:ascii="Times New Roman" w:hAnsi="Times New Roman"/>
          <w:vertAlign w:val="superscript"/>
        </w:rPr>
        <w:footnoteReference w:id="4"/>
      </w:r>
      <w:r w:rsidRPr="003C5858">
        <w:rPr>
          <w:rFonts w:ascii="Times New Roman" w:hAnsi="Times New Roman"/>
        </w:rPr>
        <w:t xml:space="preserve"> </w:t>
      </w:r>
    </w:p>
    <w:p w:rsidR="003C5858" w:rsidP="003C5858" w14:paraId="2C07A393" w14:textId="77777777">
      <w:pPr>
        <w:ind w:firstLine="720"/>
        <w:rPr>
          <w:rFonts w:ascii="Times New Roman" w:hAnsi="Times New Roman"/>
        </w:rPr>
      </w:pPr>
    </w:p>
    <w:p w:rsidR="00CE1E39" w:rsidRPr="00CE1E39" w:rsidP="00B97796" w14:paraId="4487AB17" w14:textId="40EA4A27">
      <w:pPr>
        <w:ind w:firstLine="720"/>
        <w:rPr>
          <w:rFonts w:ascii="Times New Roman" w:hAnsi="Times New Roman"/>
        </w:rPr>
      </w:pPr>
      <w:r w:rsidRPr="003C5858">
        <w:rPr>
          <w:rFonts w:ascii="Times New Roman" w:hAnsi="Times New Roman"/>
        </w:rPr>
        <w:t xml:space="preserve">In 2023, the agencies supplemented </w:t>
      </w:r>
      <w:bookmarkStart w:id="4" w:name="_Hlk198641755"/>
      <w:r>
        <w:rPr>
          <w:rFonts w:ascii="Times New Roman" w:hAnsi="Times New Roman"/>
        </w:rPr>
        <w:t>their liquidity risk management</w:t>
      </w:r>
      <w:r w:rsidRPr="003C5858">
        <w:rPr>
          <w:rFonts w:ascii="Times New Roman" w:hAnsi="Times New Roman"/>
        </w:rPr>
        <w:t xml:space="preserve"> guidance </w:t>
      </w:r>
      <w:bookmarkEnd w:id="4"/>
      <w:r w:rsidRPr="003C5858">
        <w:rPr>
          <w:rFonts w:ascii="Times New Roman" w:hAnsi="Times New Roman"/>
        </w:rPr>
        <w:t>with an Addendum to the Policy Statement.</w:t>
      </w:r>
      <w:r>
        <w:rPr>
          <w:rFonts w:ascii="Times New Roman" w:hAnsi="Times New Roman"/>
          <w:vertAlign w:val="superscript"/>
        </w:rPr>
        <w:footnoteReference w:id="5"/>
      </w:r>
    </w:p>
    <w:p w:rsidR="006353FB" w14:paraId="23BB594A" w14:textId="77777777">
      <w:pPr>
        <w:rPr>
          <w:rFonts w:ascii="Times New Roman" w:hAnsi="Times New Roman"/>
        </w:rPr>
      </w:pPr>
    </w:p>
    <w:p w:rsidR="00177B32" w:rsidP="00D65549" w14:paraId="26835971" w14:textId="66036F0E">
      <w:pPr>
        <w:ind w:firstLine="720"/>
        <w:rPr>
          <w:rFonts w:ascii="Times New Roman" w:hAnsi="Times New Roman"/>
        </w:rPr>
      </w:pPr>
      <w:r w:rsidRPr="00177B32">
        <w:rPr>
          <w:rFonts w:ascii="Times New Roman" w:hAnsi="Times New Roman"/>
        </w:rPr>
        <w:t>The OCC is proposing to revise this information collection to account for all the recordkeeping provisions set forth in the Policy Statement related to liquidity risk management policies, procedures, and assumptions, and Contingency Funding Plans (CFPs).  The information collection currently does not account for the recordkeeping provisions related to CFPs and does not fully account for the recordkeeping provisions related to liquidity risk management policies, procedures, and assumptions.</w:t>
      </w:r>
      <w:r w:rsidR="003C5858">
        <w:rPr>
          <w:rFonts w:ascii="Times New Roman" w:hAnsi="Times New Roman"/>
        </w:rPr>
        <w:t xml:space="preserve"> </w:t>
      </w:r>
      <w:r w:rsidRPr="003C5858" w:rsidR="003C5858">
        <w:rPr>
          <w:rFonts w:ascii="Times New Roman" w:hAnsi="Times New Roman"/>
        </w:rPr>
        <w:t>In addition, the OCC is proposing to revise the information collection to account for the guidance in the Addendum to the Policy Statement.</w:t>
      </w:r>
    </w:p>
    <w:p w:rsidR="00177B32" w14:paraId="25BAFA41" w14:textId="77777777">
      <w:pPr>
        <w:rPr>
          <w:rFonts w:ascii="Times New Roman" w:hAnsi="Times New Roman"/>
        </w:rPr>
      </w:pPr>
    </w:p>
    <w:p w:rsidR="00106C75" w:rsidRPr="00106C75" w:rsidP="00D65549" w14:paraId="1AFFC2E6" w14:textId="2B6A5F73">
      <w:pPr>
        <w:tabs>
          <w:tab w:val="left" w:pos="-1440"/>
        </w:tabs>
        <w:ind w:left="4320" w:hanging="4320"/>
        <w:rPr>
          <w:rFonts w:ascii="Times New Roman" w:hAnsi="Times New Roman"/>
          <w:snapToGrid/>
          <w:color w:val="000000"/>
          <w:szCs w:val="19"/>
        </w:rPr>
      </w:pPr>
      <w:r w:rsidRPr="00824F40">
        <w:rPr>
          <w:rFonts w:ascii="Times New Roman" w:hAnsi="Times New Roman"/>
          <w:b/>
          <w:i/>
        </w:rPr>
        <w:t>2. Use of the information:</w:t>
      </w:r>
      <w:r w:rsidRPr="00824F40">
        <w:rPr>
          <w:rFonts w:ascii="Times New Roman" w:hAnsi="Times New Roman"/>
          <w:b/>
          <w:i/>
        </w:rPr>
        <w:tab/>
      </w:r>
      <w:r w:rsidRPr="00824F40">
        <w:rPr>
          <w:rFonts w:ascii="Times New Roman" w:hAnsi="Times New Roman"/>
          <w:b/>
          <w:i/>
        </w:rPr>
        <w:tab/>
      </w:r>
    </w:p>
    <w:p w:rsidR="00106C75" w14:paraId="53D206CD" w14:textId="77777777">
      <w:pPr>
        <w:pStyle w:val="Header"/>
        <w:tabs>
          <w:tab w:val="clear" w:pos="4320"/>
          <w:tab w:val="clear" w:pos="8640"/>
        </w:tabs>
        <w:rPr>
          <w:rFonts w:ascii="Times New Roman" w:hAnsi="Times New Roman"/>
        </w:rPr>
      </w:pPr>
    </w:p>
    <w:p w:rsidR="00106C75" w14:paraId="62E5A097" w14:textId="796A0FB0">
      <w:pPr>
        <w:pStyle w:val="Header"/>
        <w:tabs>
          <w:tab w:val="clear" w:pos="4320"/>
          <w:tab w:val="clear" w:pos="8640"/>
        </w:tabs>
        <w:rPr>
          <w:rFonts w:ascii="Times New Roman" w:hAnsi="Times New Roman"/>
        </w:rPr>
      </w:pPr>
      <w:r w:rsidRPr="00106C75">
        <w:rPr>
          <w:rFonts w:ascii="Times New Roman" w:hAnsi="Times New Roman"/>
        </w:rPr>
        <w:t>Section-by-Section Analysis</w:t>
      </w:r>
    </w:p>
    <w:p w:rsidR="00106C75" w14:paraId="2C8F16C8" w14:textId="77777777">
      <w:pPr>
        <w:pStyle w:val="Header"/>
        <w:tabs>
          <w:tab w:val="clear" w:pos="4320"/>
          <w:tab w:val="clear" w:pos="8640"/>
        </w:tabs>
        <w:rPr>
          <w:rFonts w:ascii="Times New Roman" w:hAnsi="Times New Roman"/>
        </w:rPr>
      </w:pPr>
    </w:p>
    <w:p w:rsidR="00106C75" w:rsidRPr="00106C75" w:rsidP="00106C75" w14:paraId="04FADFC5" w14:textId="77777777">
      <w:pPr>
        <w:widowControl/>
        <w:spacing w:after="200"/>
        <w:rPr>
          <w:rFonts w:ascii="Times New Roman" w:hAnsi="Times New Roman"/>
          <w:bCs/>
          <w:i/>
          <w:snapToGrid/>
          <w:spacing w:val="-1"/>
          <w:szCs w:val="24"/>
        </w:rPr>
      </w:pPr>
      <w:r w:rsidRPr="00106C75">
        <w:rPr>
          <w:rFonts w:ascii="Times New Roman" w:hAnsi="Times New Roman"/>
          <w:bCs/>
          <w:i/>
          <w:snapToGrid/>
          <w:spacing w:val="-1"/>
          <w:szCs w:val="24"/>
        </w:rPr>
        <w:t>Proposed Updates to Collection</w:t>
      </w:r>
    </w:p>
    <w:p w:rsidR="00106C75" w:rsidP="00106C75" w14:paraId="1F5B6A8F" w14:textId="19777C7E">
      <w:pPr>
        <w:widowControl/>
        <w:ind w:right="72" w:firstLine="720"/>
        <w:rPr>
          <w:rFonts w:ascii="Times New Roman" w:hAnsi="Times New Roman"/>
          <w:snapToGrid/>
          <w:color w:val="000000"/>
          <w:szCs w:val="19"/>
        </w:rPr>
      </w:pPr>
      <w:r w:rsidRPr="00106C75">
        <w:rPr>
          <w:rFonts w:ascii="Times New Roman" w:hAnsi="Times New Roman"/>
          <w:snapToGrid/>
          <w:color w:val="000000"/>
          <w:szCs w:val="19"/>
        </w:rPr>
        <w:t xml:space="preserve">Section 3 of the Policy Statement provides that </w:t>
      </w:r>
      <w:r w:rsidR="00FD6C8E">
        <w:rPr>
          <w:rFonts w:ascii="Times New Roman" w:hAnsi="Times New Roman"/>
          <w:snapToGrid/>
          <w:color w:val="000000"/>
          <w:szCs w:val="19"/>
        </w:rPr>
        <w:t>banks</w:t>
      </w:r>
      <w:r w:rsidRPr="00106C75">
        <w:rPr>
          <w:rFonts w:ascii="Times New Roman" w:hAnsi="Times New Roman"/>
          <w:snapToGrid/>
          <w:color w:val="000000"/>
          <w:szCs w:val="19"/>
        </w:rPr>
        <w:t xml:space="preserve"> </w:t>
      </w:r>
      <w:r w:rsidR="0067307F">
        <w:rPr>
          <w:rFonts w:ascii="Times New Roman" w:hAnsi="Times New Roman"/>
          <w:snapToGrid/>
          <w:color w:val="000000"/>
          <w:szCs w:val="19"/>
        </w:rPr>
        <w:t xml:space="preserve">should </w:t>
      </w:r>
      <w:r w:rsidRPr="00106C75">
        <w:rPr>
          <w:rFonts w:ascii="Times New Roman" w:hAnsi="Times New Roman"/>
          <w:snapToGrid/>
          <w:color w:val="000000"/>
          <w:szCs w:val="19"/>
        </w:rPr>
        <w:t xml:space="preserve">use </w:t>
      </w:r>
      <w:r w:rsidR="0067307F">
        <w:rPr>
          <w:rFonts w:ascii="Times New Roman" w:hAnsi="Times New Roman"/>
          <w:snapToGrid/>
          <w:color w:val="000000"/>
          <w:szCs w:val="19"/>
        </w:rPr>
        <w:t xml:space="preserve">liquidity risk management </w:t>
      </w:r>
      <w:r w:rsidRPr="00106C75">
        <w:rPr>
          <w:rFonts w:ascii="Times New Roman" w:hAnsi="Times New Roman"/>
          <w:snapToGrid/>
          <w:color w:val="000000"/>
          <w:szCs w:val="19"/>
        </w:rPr>
        <w:t xml:space="preserve">processes and systems that are commensurate with </w:t>
      </w:r>
      <w:r w:rsidR="002279D4">
        <w:rPr>
          <w:rFonts w:ascii="Times New Roman" w:hAnsi="Times New Roman"/>
          <w:snapToGrid/>
          <w:color w:val="000000"/>
          <w:szCs w:val="19"/>
        </w:rPr>
        <w:t>bank</w:t>
      </w:r>
      <w:r w:rsidR="00D85B29">
        <w:rPr>
          <w:rFonts w:ascii="Times New Roman" w:hAnsi="Times New Roman"/>
          <w:snapToGrid/>
          <w:color w:val="000000"/>
          <w:szCs w:val="19"/>
        </w:rPr>
        <w:t>’</w:t>
      </w:r>
      <w:r w:rsidRPr="00106C75">
        <w:rPr>
          <w:rFonts w:ascii="Times New Roman" w:hAnsi="Times New Roman"/>
          <w:snapToGrid/>
          <w:color w:val="000000"/>
          <w:szCs w:val="19"/>
        </w:rPr>
        <w:t xml:space="preserve">s complexity, risk profile, </w:t>
      </w:r>
      <w:r w:rsidRPr="00106C75">
        <w:rPr>
          <w:rFonts w:ascii="Times New Roman" w:hAnsi="Times New Roman"/>
          <w:snapToGrid/>
          <w:color w:val="000000"/>
          <w:szCs w:val="19"/>
        </w:rPr>
        <w:t xml:space="preserve">and scope of operations.  </w:t>
      </w:r>
      <w:r w:rsidR="0067307F">
        <w:rPr>
          <w:rFonts w:ascii="Times New Roman" w:hAnsi="Times New Roman"/>
          <w:snapToGrid/>
          <w:color w:val="000000"/>
          <w:szCs w:val="19"/>
        </w:rPr>
        <w:t>In addition,</w:t>
      </w:r>
      <w:r w:rsidRPr="00106C75">
        <w:rPr>
          <w:rFonts w:ascii="Times New Roman" w:hAnsi="Times New Roman"/>
          <w:snapToGrid/>
          <w:color w:val="000000"/>
          <w:szCs w:val="19"/>
        </w:rPr>
        <w:t xml:space="preserve"> processes and plans should be well documented and available for supervisory review.</w:t>
      </w:r>
    </w:p>
    <w:p w:rsidR="00106C75" w:rsidRPr="00106C75" w:rsidP="00D65549" w14:paraId="0B3A30E5" w14:textId="77777777">
      <w:pPr>
        <w:widowControl/>
        <w:ind w:right="72" w:firstLine="720"/>
        <w:rPr>
          <w:rFonts w:ascii="Times New Roman" w:hAnsi="Times New Roman"/>
          <w:snapToGrid/>
          <w:color w:val="000000"/>
          <w:szCs w:val="19"/>
        </w:rPr>
      </w:pPr>
    </w:p>
    <w:p w:rsidR="00106C75" w:rsidP="00D65549" w14:paraId="1113C3DF" w14:textId="1913C0DD">
      <w:pPr>
        <w:widowControl/>
        <w:ind w:right="72" w:firstLine="360"/>
        <w:rPr>
          <w:rFonts w:ascii="Times New Roman" w:hAnsi="Times New Roman"/>
          <w:snapToGrid/>
          <w:color w:val="000000"/>
          <w:szCs w:val="19"/>
        </w:rPr>
      </w:pPr>
      <w:r w:rsidRPr="00106C75">
        <w:rPr>
          <w:rFonts w:ascii="Times New Roman" w:hAnsi="Times New Roman"/>
          <w:snapToGrid/>
          <w:color w:val="000000"/>
          <w:szCs w:val="19"/>
        </w:rPr>
        <w:t xml:space="preserve">Section 6 of the Policy Statement </w:t>
      </w:r>
      <w:r w:rsidR="008D0B1A">
        <w:rPr>
          <w:rFonts w:ascii="Times New Roman" w:hAnsi="Times New Roman"/>
          <w:snapToGrid/>
          <w:color w:val="000000"/>
          <w:szCs w:val="19"/>
        </w:rPr>
        <w:t>provides</w:t>
      </w:r>
      <w:r w:rsidRPr="00106C75" w:rsidR="008D0B1A">
        <w:rPr>
          <w:rFonts w:ascii="Times New Roman" w:hAnsi="Times New Roman"/>
          <w:snapToGrid/>
          <w:color w:val="000000"/>
          <w:szCs w:val="19"/>
        </w:rPr>
        <w:t xml:space="preserve"> </w:t>
      </w:r>
      <w:r w:rsidRPr="00106C75">
        <w:rPr>
          <w:rFonts w:ascii="Times New Roman" w:hAnsi="Times New Roman"/>
          <w:snapToGrid/>
          <w:color w:val="000000"/>
          <w:szCs w:val="19"/>
        </w:rPr>
        <w:t xml:space="preserve">that a </w:t>
      </w:r>
      <w:r w:rsidR="00FC6836">
        <w:rPr>
          <w:rFonts w:ascii="Times New Roman" w:hAnsi="Times New Roman"/>
          <w:snapToGrid/>
          <w:color w:val="000000"/>
          <w:szCs w:val="19"/>
        </w:rPr>
        <w:t>bank</w:t>
      </w:r>
      <w:r w:rsidR="008D0B1A">
        <w:rPr>
          <w:rFonts w:ascii="Times New Roman" w:hAnsi="Times New Roman"/>
          <w:snapToGrid/>
          <w:color w:val="000000"/>
          <w:szCs w:val="19"/>
        </w:rPr>
        <w:t>’</w:t>
      </w:r>
      <w:r w:rsidRPr="00106C75">
        <w:rPr>
          <w:rFonts w:ascii="Times New Roman" w:hAnsi="Times New Roman"/>
          <w:snapToGrid/>
          <w:color w:val="000000"/>
          <w:szCs w:val="19"/>
        </w:rPr>
        <w:t xml:space="preserve">s liquidity management process should be sufficient to meet its daily funding needs and cover both expected and unexpected deviations from normal operations.  Accordingly, </w:t>
      </w:r>
      <w:r w:rsidR="00B13071">
        <w:rPr>
          <w:rFonts w:ascii="Times New Roman" w:hAnsi="Times New Roman"/>
          <w:snapToGrid/>
          <w:color w:val="000000"/>
          <w:szCs w:val="19"/>
        </w:rPr>
        <w:t>banks</w:t>
      </w:r>
      <w:r w:rsidRPr="00106C75">
        <w:rPr>
          <w:rFonts w:ascii="Times New Roman" w:hAnsi="Times New Roman"/>
          <w:snapToGrid/>
          <w:color w:val="000000"/>
          <w:szCs w:val="19"/>
        </w:rPr>
        <w:t xml:space="preserve"> </w:t>
      </w:r>
      <w:r w:rsidR="008D0B1A">
        <w:rPr>
          <w:rFonts w:ascii="Times New Roman" w:hAnsi="Times New Roman"/>
          <w:snapToGrid/>
          <w:color w:val="000000"/>
          <w:szCs w:val="19"/>
        </w:rPr>
        <w:t xml:space="preserve">should </w:t>
      </w:r>
      <w:r w:rsidRPr="00106C75">
        <w:rPr>
          <w:rFonts w:ascii="Times New Roman" w:hAnsi="Times New Roman"/>
          <w:snapToGrid/>
          <w:color w:val="000000"/>
          <w:szCs w:val="19"/>
        </w:rPr>
        <w:t>have a comprehensive management process for identifying, measuring, monitoring, and controlling liquidity risk</w:t>
      </w:r>
      <w:r w:rsidR="008D0B1A">
        <w:rPr>
          <w:rFonts w:ascii="Times New Roman" w:hAnsi="Times New Roman"/>
          <w:snapToGrid/>
          <w:color w:val="000000"/>
          <w:szCs w:val="19"/>
        </w:rPr>
        <w:t>, which</w:t>
      </w:r>
      <w:r w:rsidRPr="00106C75">
        <w:rPr>
          <w:rFonts w:ascii="Times New Roman" w:hAnsi="Times New Roman"/>
          <w:snapToGrid/>
          <w:color w:val="000000"/>
          <w:szCs w:val="19"/>
        </w:rPr>
        <w:t xml:space="preserve"> should be fully integrated into the </w:t>
      </w:r>
      <w:r w:rsidR="00FC6836">
        <w:rPr>
          <w:rFonts w:ascii="Times New Roman" w:hAnsi="Times New Roman"/>
          <w:snapToGrid/>
          <w:color w:val="000000"/>
          <w:szCs w:val="19"/>
        </w:rPr>
        <w:t>bank</w:t>
      </w:r>
      <w:r w:rsidRPr="00106C75">
        <w:rPr>
          <w:rFonts w:ascii="Times New Roman" w:hAnsi="Times New Roman"/>
          <w:snapToGrid/>
          <w:color w:val="000000"/>
          <w:szCs w:val="19"/>
        </w:rPr>
        <w:t xml:space="preserve">'s risk management processes. </w:t>
      </w:r>
      <w:r w:rsidR="008D0B1A">
        <w:rPr>
          <w:rFonts w:ascii="Times New Roman" w:hAnsi="Times New Roman"/>
          <w:snapToGrid/>
          <w:color w:val="000000"/>
          <w:szCs w:val="19"/>
        </w:rPr>
        <w:t xml:space="preserve"> </w:t>
      </w:r>
      <w:bookmarkStart w:id="5" w:name="_Hlk198646431"/>
      <w:r w:rsidRPr="00106C75" w:rsidR="008D0B1A">
        <w:rPr>
          <w:rFonts w:ascii="Times New Roman" w:hAnsi="Times New Roman"/>
          <w:snapToGrid/>
          <w:color w:val="000000"/>
          <w:szCs w:val="19"/>
        </w:rPr>
        <w:t>Section 6 of the Policy Statement</w:t>
      </w:r>
      <w:r w:rsidRPr="00106C75">
        <w:rPr>
          <w:rFonts w:ascii="Times New Roman" w:hAnsi="Times New Roman"/>
          <w:snapToGrid/>
          <w:color w:val="000000"/>
          <w:szCs w:val="19"/>
        </w:rPr>
        <w:t xml:space="preserve"> </w:t>
      </w:r>
      <w:r w:rsidR="008D0B1A">
        <w:rPr>
          <w:rFonts w:ascii="Times New Roman" w:hAnsi="Times New Roman"/>
          <w:snapToGrid/>
          <w:color w:val="000000"/>
          <w:szCs w:val="19"/>
        </w:rPr>
        <w:t xml:space="preserve">also describes </w:t>
      </w:r>
      <w:r w:rsidR="008C2DCC">
        <w:rPr>
          <w:rFonts w:ascii="Times New Roman" w:hAnsi="Times New Roman"/>
          <w:snapToGrid/>
          <w:color w:val="000000"/>
          <w:szCs w:val="19"/>
        </w:rPr>
        <w:t xml:space="preserve">the </w:t>
      </w:r>
      <w:bookmarkEnd w:id="5"/>
      <w:r w:rsidR="008D0B1A">
        <w:rPr>
          <w:rFonts w:ascii="Times New Roman" w:hAnsi="Times New Roman"/>
          <w:snapToGrid/>
          <w:color w:val="000000"/>
          <w:szCs w:val="19"/>
        </w:rPr>
        <w:t>c</w:t>
      </w:r>
      <w:r w:rsidRPr="00106C75">
        <w:rPr>
          <w:rFonts w:ascii="Times New Roman" w:hAnsi="Times New Roman"/>
          <w:snapToGrid/>
          <w:color w:val="000000"/>
          <w:szCs w:val="19"/>
        </w:rPr>
        <w:t>ritical elements of sound liquidity risk management</w:t>
      </w:r>
      <w:r w:rsidR="008C2DCC">
        <w:rPr>
          <w:rFonts w:ascii="Times New Roman" w:hAnsi="Times New Roman"/>
          <w:snapToGrid/>
          <w:color w:val="000000"/>
          <w:szCs w:val="19"/>
        </w:rPr>
        <w:t>:</w:t>
      </w:r>
    </w:p>
    <w:p w:rsidR="00693C7A" w:rsidRPr="00106C75" w:rsidP="00D65549" w14:paraId="2A948218" w14:textId="77777777">
      <w:pPr>
        <w:widowControl/>
        <w:ind w:right="72" w:firstLine="360"/>
        <w:rPr>
          <w:rFonts w:ascii="Times New Roman" w:hAnsi="Times New Roman"/>
          <w:snapToGrid/>
          <w:color w:val="000000"/>
          <w:szCs w:val="19"/>
        </w:rPr>
      </w:pPr>
    </w:p>
    <w:p w:rsidR="00106C75" w:rsidRPr="00106C75" w:rsidP="00D65549" w14:paraId="3E4E0646" w14:textId="4FB75940">
      <w:pPr>
        <w:widowControl/>
        <w:numPr>
          <w:ilvl w:val="0"/>
          <w:numId w:val="19"/>
        </w:numPr>
        <w:ind w:right="72"/>
        <w:rPr>
          <w:rFonts w:ascii="Times New Roman" w:hAnsi="Times New Roman"/>
          <w:snapToGrid/>
          <w:color w:val="000000"/>
          <w:szCs w:val="19"/>
        </w:rPr>
      </w:pPr>
      <w:r w:rsidRPr="00106C75">
        <w:rPr>
          <w:rFonts w:ascii="Times New Roman" w:hAnsi="Times New Roman"/>
          <w:snapToGrid/>
          <w:color w:val="000000"/>
          <w:szCs w:val="19"/>
        </w:rPr>
        <w:t xml:space="preserve">Effective corporate governance consisting of oversight by the board of directors and active involvement by management in a </w:t>
      </w:r>
      <w:r w:rsidR="00FC6836">
        <w:rPr>
          <w:rFonts w:ascii="Times New Roman" w:hAnsi="Times New Roman"/>
          <w:snapToGrid/>
          <w:color w:val="000000"/>
          <w:szCs w:val="19"/>
        </w:rPr>
        <w:t>bank</w:t>
      </w:r>
      <w:r w:rsidRPr="00106C75">
        <w:rPr>
          <w:rFonts w:ascii="Times New Roman" w:hAnsi="Times New Roman"/>
          <w:snapToGrid/>
          <w:color w:val="000000"/>
          <w:szCs w:val="19"/>
        </w:rPr>
        <w:t>'s control of liquidity risk.</w:t>
      </w:r>
    </w:p>
    <w:p w:rsidR="00106C75" w:rsidRPr="00106C75" w:rsidP="00D65549" w14:paraId="5253711D" w14:textId="77777777">
      <w:pPr>
        <w:widowControl/>
        <w:numPr>
          <w:ilvl w:val="0"/>
          <w:numId w:val="19"/>
        </w:numPr>
        <w:ind w:right="72"/>
        <w:rPr>
          <w:rFonts w:ascii="Times New Roman" w:hAnsi="Times New Roman"/>
          <w:snapToGrid/>
          <w:color w:val="000000"/>
          <w:szCs w:val="19"/>
        </w:rPr>
      </w:pPr>
      <w:r w:rsidRPr="00106C75">
        <w:rPr>
          <w:rFonts w:ascii="Times New Roman" w:hAnsi="Times New Roman"/>
          <w:snapToGrid/>
          <w:color w:val="000000"/>
          <w:szCs w:val="19"/>
        </w:rPr>
        <w:t>Appropriate strategies, policies, procedures, and limits used to manage and mitigate liquidity risk.</w:t>
      </w:r>
    </w:p>
    <w:p w:rsidR="00106C75" w:rsidRPr="00106C75" w:rsidP="00D65549" w14:paraId="66273C86" w14:textId="47E7C065">
      <w:pPr>
        <w:widowControl/>
        <w:numPr>
          <w:ilvl w:val="0"/>
          <w:numId w:val="19"/>
        </w:numPr>
        <w:ind w:right="72"/>
        <w:rPr>
          <w:rFonts w:ascii="Times New Roman" w:hAnsi="Times New Roman"/>
          <w:snapToGrid/>
          <w:color w:val="000000"/>
          <w:szCs w:val="19"/>
        </w:rPr>
      </w:pPr>
      <w:r w:rsidRPr="00106C75">
        <w:rPr>
          <w:rFonts w:ascii="Times New Roman" w:hAnsi="Times New Roman"/>
          <w:snapToGrid/>
          <w:color w:val="000000"/>
          <w:szCs w:val="19"/>
        </w:rPr>
        <w:t xml:space="preserve">Comprehensive liquidity risk measurement and monitoring systems (including assessments of the current and prospective cash flows or sources and uses of funds) that are commensurate with the complexity and business activities of the </w:t>
      </w:r>
      <w:r w:rsidR="00FC6836">
        <w:rPr>
          <w:rFonts w:ascii="Times New Roman" w:hAnsi="Times New Roman"/>
          <w:snapToGrid/>
          <w:color w:val="000000"/>
          <w:szCs w:val="19"/>
        </w:rPr>
        <w:t>bank</w:t>
      </w:r>
      <w:r w:rsidRPr="00106C75">
        <w:rPr>
          <w:rFonts w:ascii="Times New Roman" w:hAnsi="Times New Roman"/>
          <w:snapToGrid/>
          <w:color w:val="000000"/>
          <w:szCs w:val="19"/>
        </w:rPr>
        <w:t>.</w:t>
      </w:r>
    </w:p>
    <w:p w:rsidR="00106C75" w:rsidRPr="00106C75" w:rsidP="00D65549" w14:paraId="0A49DC77" w14:textId="77777777">
      <w:pPr>
        <w:widowControl/>
        <w:numPr>
          <w:ilvl w:val="0"/>
          <w:numId w:val="19"/>
        </w:numPr>
        <w:ind w:right="72"/>
        <w:rPr>
          <w:rFonts w:ascii="Times New Roman" w:hAnsi="Times New Roman"/>
          <w:snapToGrid/>
          <w:color w:val="000000"/>
          <w:szCs w:val="19"/>
        </w:rPr>
      </w:pPr>
      <w:r w:rsidRPr="00106C75">
        <w:rPr>
          <w:rFonts w:ascii="Times New Roman" w:hAnsi="Times New Roman"/>
          <w:snapToGrid/>
          <w:color w:val="000000"/>
          <w:szCs w:val="19"/>
        </w:rPr>
        <w:t>Active management of intraday liquidity and collateral.</w:t>
      </w:r>
    </w:p>
    <w:p w:rsidR="00106C75" w:rsidRPr="00106C75" w:rsidP="00D65549" w14:paraId="4E9B7767" w14:textId="77777777">
      <w:pPr>
        <w:widowControl/>
        <w:numPr>
          <w:ilvl w:val="0"/>
          <w:numId w:val="19"/>
        </w:numPr>
        <w:ind w:right="72"/>
        <w:rPr>
          <w:rFonts w:ascii="Times New Roman" w:hAnsi="Times New Roman"/>
          <w:snapToGrid/>
          <w:color w:val="000000"/>
          <w:szCs w:val="19"/>
        </w:rPr>
      </w:pPr>
      <w:r w:rsidRPr="00106C75">
        <w:rPr>
          <w:rFonts w:ascii="Times New Roman" w:hAnsi="Times New Roman"/>
          <w:snapToGrid/>
          <w:color w:val="000000"/>
          <w:szCs w:val="19"/>
        </w:rPr>
        <w:t>An appropriately diverse mix of existing and potential future funding sources.</w:t>
      </w:r>
    </w:p>
    <w:p w:rsidR="00106C75" w:rsidRPr="00106C75" w:rsidP="00D65549" w14:paraId="3D4090C5" w14:textId="77777777">
      <w:pPr>
        <w:widowControl/>
        <w:numPr>
          <w:ilvl w:val="0"/>
          <w:numId w:val="19"/>
        </w:numPr>
        <w:ind w:right="72"/>
        <w:rPr>
          <w:rFonts w:ascii="Times New Roman" w:hAnsi="Times New Roman"/>
          <w:snapToGrid/>
          <w:color w:val="000000"/>
          <w:szCs w:val="19"/>
        </w:rPr>
      </w:pPr>
      <w:r w:rsidRPr="00106C75">
        <w:rPr>
          <w:rFonts w:ascii="Times New Roman" w:hAnsi="Times New Roman"/>
          <w:snapToGrid/>
          <w:color w:val="000000"/>
          <w:szCs w:val="19"/>
        </w:rPr>
        <w:t>Adequate levels of highly liquid marketable securities free of legal, regulatory, or operational impediments, that can be used to meet liquidity needs in stressful situations.</w:t>
      </w:r>
    </w:p>
    <w:p w:rsidR="00106C75" w:rsidRPr="00106C75" w:rsidP="00D65549" w14:paraId="70FEB40C" w14:textId="694FA03D">
      <w:pPr>
        <w:widowControl/>
        <w:numPr>
          <w:ilvl w:val="0"/>
          <w:numId w:val="19"/>
        </w:numPr>
        <w:ind w:right="72"/>
        <w:rPr>
          <w:rFonts w:ascii="Times New Roman" w:hAnsi="Times New Roman"/>
          <w:snapToGrid/>
          <w:color w:val="000000"/>
          <w:szCs w:val="19"/>
        </w:rPr>
      </w:pPr>
      <w:r w:rsidRPr="00106C75">
        <w:rPr>
          <w:rFonts w:ascii="Times New Roman" w:hAnsi="Times New Roman"/>
          <w:snapToGrid/>
          <w:color w:val="000000"/>
          <w:szCs w:val="19"/>
        </w:rPr>
        <w:t>CFPs that sufficiently address potential adverse liquidity events and emergency cash flow requirements.</w:t>
      </w:r>
    </w:p>
    <w:p w:rsidR="00106C75" w:rsidP="00106C75" w14:paraId="764E326F" w14:textId="2EC342A4">
      <w:pPr>
        <w:widowControl/>
        <w:numPr>
          <w:ilvl w:val="0"/>
          <w:numId w:val="19"/>
        </w:numPr>
        <w:ind w:right="72"/>
        <w:rPr>
          <w:rFonts w:ascii="Times New Roman" w:hAnsi="Times New Roman"/>
          <w:snapToGrid/>
          <w:color w:val="000000"/>
          <w:szCs w:val="19"/>
        </w:rPr>
      </w:pPr>
      <w:r w:rsidRPr="00106C75">
        <w:rPr>
          <w:rFonts w:ascii="Times New Roman" w:hAnsi="Times New Roman"/>
          <w:snapToGrid/>
          <w:color w:val="000000"/>
          <w:szCs w:val="19"/>
        </w:rPr>
        <w:t xml:space="preserve">Internal controls and internal audit processes sufficient to determine the adequacy of the </w:t>
      </w:r>
      <w:r w:rsidR="00FC6836">
        <w:rPr>
          <w:rFonts w:ascii="Times New Roman" w:hAnsi="Times New Roman"/>
          <w:snapToGrid/>
          <w:color w:val="000000"/>
          <w:szCs w:val="19"/>
        </w:rPr>
        <w:t>bank</w:t>
      </w:r>
      <w:r w:rsidRPr="00106C75">
        <w:rPr>
          <w:rFonts w:ascii="Times New Roman" w:hAnsi="Times New Roman"/>
          <w:snapToGrid/>
          <w:color w:val="000000"/>
          <w:szCs w:val="19"/>
        </w:rPr>
        <w:t>'s liquidity risk management process.</w:t>
      </w:r>
    </w:p>
    <w:p w:rsidR="00106C75" w:rsidRPr="00106C75" w:rsidP="00D65549" w14:paraId="56B21321" w14:textId="77777777">
      <w:pPr>
        <w:widowControl/>
        <w:ind w:left="720" w:right="72"/>
        <w:rPr>
          <w:rFonts w:ascii="Times New Roman" w:hAnsi="Times New Roman"/>
          <w:snapToGrid/>
          <w:color w:val="000000"/>
          <w:szCs w:val="19"/>
        </w:rPr>
      </w:pPr>
    </w:p>
    <w:p w:rsidR="00AF17DD" w:rsidP="00AF17DD" w14:paraId="4A812F18" w14:textId="20AD5F69">
      <w:pPr>
        <w:widowControl/>
        <w:ind w:right="72" w:firstLine="360"/>
        <w:rPr>
          <w:rFonts w:ascii="Times New Roman" w:hAnsi="Times New Roman"/>
          <w:snapToGrid/>
          <w:color w:val="000000"/>
          <w:szCs w:val="19"/>
        </w:rPr>
      </w:pPr>
      <w:r w:rsidRPr="00106C75">
        <w:rPr>
          <w:rFonts w:ascii="Times New Roman" w:hAnsi="Times New Roman"/>
          <w:snapToGrid/>
          <w:color w:val="000000"/>
          <w:szCs w:val="19"/>
        </w:rPr>
        <w:t xml:space="preserve">Section 7 of the Policy Statement provides that </w:t>
      </w:r>
      <w:r w:rsidR="001412EF">
        <w:rPr>
          <w:rFonts w:ascii="Times New Roman" w:hAnsi="Times New Roman"/>
          <w:snapToGrid/>
          <w:color w:val="000000"/>
          <w:szCs w:val="19"/>
        </w:rPr>
        <w:t>a</w:t>
      </w:r>
      <w:r w:rsidRPr="00106C75" w:rsidR="001412EF">
        <w:rPr>
          <w:rFonts w:ascii="Times New Roman" w:hAnsi="Times New Roman"/>
          <w:snapToGrid/>
          <w:color w:val="000000"/>
          <w:szCs w:val="19"/>
        </w:rPr>
        <w:t xml:space="preserve"> </w:t>
      </w:r>
      <w:r w:rsidR="00FC6836">
        <w:rPr>
          <w:rFonts w:ascii="Times New Roman" w:hAnsi="Times New Roman"/>
          <w:snapToGrid/>
          <w:color w:val="000000"/>
          <w:szCs w:val="19"/>
        </w:rPr>
        <w:t>bank</w:t>
      </w:r>
      <w:r w:rsidRPr="00106C75">
        <w:rPr>
          <w:rFonts w:ascii="Times New Roman" w:hAnsi="Times New Roman"/>
          <w:snapToGrid/>
          <w:color w:val="000000"/>
          <w:szCs w:val="19"/>
        </w:rPr>
        <w:t>’s board of directors or its delegated committee of board members should oversee the establishment and approval of liquidity management strategies, policies and procedures, and review them at least annually.</w:t>
      </w:r>
      <w:r>
        <w:rPr>
          <w:rFonts w:ascii="Times New Roman" w:hAnsi="Times New Roman"/>
          <w:snapToGrid/>
          <w:color w:val="000000"/>
          <w:szCs w:val="19"/>
        </w:rPr>
        <w:t xml:space="preserve"> </w:t>
      </w:r>
      <w:bookmarkStart w:id="6" w:name="_Hlk198646492"/>
      <w:r>
        <w:rPr>
          <w:rFonts w:ascii="Times New Roman" w:hAnsi="Times New Roman"/>
          <w:snapToGrid/>
          <w:color w:val="000000"/>
          <w:szCs w:val="19"/>
        </w:rPr>
        <w:t>In addition, the board should ensure that it u</w:t>
      </w:r>
      <w:r w:rsidRPr="00AF17DD">
        <w:rPr>
          <w:rFonts w:ascii="Times New Roman" w:hAnsi="Times New Roman"/>
          <w:snapToGrid/>
          <w:color w:val="000000"/>
          <w:szCs w:val="19"/>
        </w:rPr>
        <w:t xml:space="preserve">nderstands and periodically reviews the </w:t>
      </w:r>
      <w:r w:rsidR="00FC6836">
        <w:rPr>
          <w:rFonts w:ascii="Times New Roman" w:hAnsi="Times New Roman"/>
          <w:snapToGrid/>
          <w:color w:val="000000"/>
          <w:szCs w:val="19"/>
        </w:rPr>
        <w:t>bank</w:t>
      </w:r>
      <w:r>
        <w:rPr>
          <w:rFonts w:ascii="Times New Roman" w:hAnsi="Times New Roman"/>
          <w:snapToGrid/>
          <w:color w:val="000000"/>
          <w:szCs w:val="19"/>
        </w:rPr>
        <w:t>’</w:t>
      </w:r>
      <w:r w:rsidRPr="00AF17DD">
        <w:rPr>
          <w:rFonts w:ascii="Times New Roman" w:hAnsi="Times New Roman"/>
          <w:snapToGrid/>
          <w:color w:val="000000"/>
          <w:szCs w:val="19"/>
        </w:rPr>
        <w:t>s CFPs for handling potential adverse liquidity events.</w:t>
      </w:r>
      <w:bookmarkEnd w:id="6"/>
    </w:p>
    <w:p w:rsidR="00AF17DD" w:rsidRPr="00106C75" w:rsidP="00D65549" w14:paraId="2E25B4ED" w14:textId="77777777">
      <w:pPr>
        <w:widowControl/>
        <w:ind w:right="72"/>
        <w:rPr>
          <w:rFonts w:ascii="Times New Roman" w:hAnsi="Times New Roman"/>
          <w:snapToGrid/>
          <w:color w:val="000000"/>
          <w:szCs w:val="19"/>
        </w:rPr>
      </w:pPr>
    </w:p>
    <w:p w:rsidR="00106C75" w:rsidP="00D65549" w14:paraId="43635547" w14:textId="6BD69848">
      <w:pPr>
        <w:widowControl/>
        <w:ind w:right="72" w:firstLine="360"/>
        <w:rPr>
          <w:rFonts w:ascii="Times New Roman" w:hAnsi="Times New Roman"/>
          <w:snapToGrid/>
          <w:color w:val="000000"/>
          <w:szCs w:val="19"/>
        </w:rPr>
      </w:pPr>
      <w:r w:rsidRPr="00106C75">
        <w:rPr>
          <w:rFonts w:ascii="Times New Roman" w:hAnsi="Times New Roman"/>
          <w:snapToGrid/>
          <w:color w:val="000000"/>
          <w:szCs w:val="19"/>
        </w:rPr>
        <w:t xml:space="preserve">Section 9 of the Policy Statement </w:t>
      </w:r>
      <w:r w:rsidR="008C2DCC">
        <w:rPr>
          <w:rFonts w:ascii="Times New Roman" w:hAnsi="Times New Roman"/>
          <w:snapToGrid/>
          <w:color w:val="000000"/>
          <w:szCs w:val="19"/>
        </w:rPr>
        <w:t>provides</w:t>
      </w:r>
      <w:r w:rsidRPr="00106C75" w:rsidR="008C2DCC">
        <w:rPr>
          <w:rFonts w:ascii="Times New Roman" w:hAnsi="Times New Roman"/>
          <w:snapToGrid/>
          <w:color w:val="000000"/>
          <w:szCs w:val="19"/>
        </w:rPr>
        <w:t xml:space="preserve"> </w:t>
      </w:r>
      <w:r w:rsidRPr="00106C75">
        <w:rPr>
          <w:rFonts w:ascii="Times New Roman" w:hAnsi="Times New Roman"/>
          <w:snapToGrid/>
          <w:color w:val="000000"/>
          <w:szCs w:val="19"/>
        </w:rPr>
        <w:t xml:space="preserve">that </w:t>
      </w:r>
      <w:r w:rsidR="008C2DCC">
        <w:rPr>
          <w:rFonts w:ascii="Times New Roman" w:hAnsi="Times New Roman"/>
          <w:snapToGrid/>
          <w:color w:val="000000"/>
          <w:szCs w:val="19"/>
        </w:rPr>
        <w:t>a</w:t>
      </w:r>
      <w:r w:rsidRPr="00106C75" w:rsidR="008C2DCC">
        <w:rPr>
          <w:rFonts w:ascii="Times New Roman" w:hAnsi="Times New Roman"/>
          <w:snapToGrid/>
          <w:color w:val="000000"/>
          <w:szCs w:val="19"/>
        </w:rPr>
        <w:t xml:space="preserve"> </w:t>
      </w:r>
      <w:r w:rsidR="00FC6836">
        <w:rPr>
          <w:rFonts w:ascii="Times New Roman" w:hAnsi="Times New Roman"/>
          <w:snapToGrid/>
          <w:color w:val="000000"/>
          <w:szCs w:val="19"/>
        </w:rPr>
        <w:t>bank</w:t>
      </w:r>
      <w:r w:rsidR="00CF2B0B">
        <w:rPr>
          <w:rFonts w:ascii="Times New Roman" w:hAnsi="Times New Roman"/>
          <w:snapToGrid/>
          <w:color w:val="000000"/>
          <w:szCs w:val="19"/>
        </w:rPr>
        <w:t>’s</w:t>
      </w:r>
      <w:r w:rsidRPr="00106C75">
        <w:rPr>
          <w:rFonts w:ascii="Times New Roman" w:hAnsi="Times New Roman"/>
          <w:snapToGrid/>
          <w:color w:val="000000"/>
          <w:szCs w:val="19"/>
        </w:rPr>
        <w:t xml:space="preserve"> senior management should determine the structure, responsibilities, and controls for managing liquidity risk and for overseeing the liquidity positions of the </w:t>
      </w:r>
      <w:r w:rsidR="00FC6836">
        <w:rPr>
          <w:rFonts w:ascii="Times New Roman" w:hAnsi="Times New Roman"/>
          <w:snapToGrid/>
          <w:color w:val="000000"/>
          <w:szCs w:val="19"/>
        </w:rPr>
        <w:t>bank</w:t>
      </w:r>
      <w:r w:rsidRPr="00106C75">
        <w:rPr>
          <w:rFonts w:ascii="Times New Roman" w:hAnsi="Times New Roman"/>
          <w:snapToGrid/>
          <w:color w:val="000000"/>
          <w:szCs w:val="19"/>
        </w:rPr>
        <w:t>.  These elements should be clearly documented in liquidity risk policies and procedures.  For institutions</w:t>
      </w:r>
      <w:r w:rsidR="00FC6836">
        <w:rPr>
          <w:rFonts w:ascii="Times New Roman" w:hAnsi="Times New Roman"/>
          <w:snapToGrid/>
          <w:color w:val="000000"/>
          <w:szCs w:val="19"/>
        </w:rPr>
        <w:t xml:space="preserve"> </w:t>
      </w:r>
      <w:r w:rsidRPr="00106C75">
        <w:rPr>
          <w:rFonts w:ascii="Times New Roman" w:hAnsi="Times New Roman"/>
          <w:snapToGrid/>
          <w:color w:val="000000"/>
          <w:szCs w:val="19"/>
        </w:rPr>
        <w:t>comprised of multiple entities, such elements should be fully specified and documented in policies for each material legal entity and subsidiary.  Senior management should be able to monitor liquidity risks for each entity across the institution on an ongoing basis.  Processes should be in place to ensure that the group's senior management is actively monitoring and quickly responding to all material developments and reporting to the boards of directors as appropriate.</w:t>
      </w:r>
    </w:p>
    <w:p w:rsidR="00106C75" w:rsidRPr="00106C75" w:rsidP="00D65549" w14:paraId="50BC776B" w14:textId="77777777">
      <w:pPr>
        <w:widowControl/>
        <w:ind w:right="72"/>
        <w:rPr>
          <w:rFonts w:ascii="Times New Roman" w:hAnsi="Times New Roman"/>
          <w:snapToGrid/>
          <w:color w:val="000000"/>
          <w:szCs w:val="19"/>
        </w:rPr>
      </w:pPr>
    </w:p>
    <w:p w:rsidR="00106C75" w:rsidP="00106C75" w14:paraId="54CB635A" w14:textId="01BA5645">
      <w:pPr>
        <w:widowControl/>
        <w:ind w:right="72" w:firstLine="360"/>
        <w:rPr>
          <w:rFonts w:ascii="Times New Roman" w:hAnsi="Times New Roman"/>
          <w:snapToGrid/>
          <w:color w:val="000000"/>
          <w:szCs w:val="19"/>
        </w:rPr>
      </w:pPr>
      <w:r w:rsidRPr="00106C75">
        <w:rPr>
          <w:rFonts w:ascii="Times New Roman" w:hAnsi="Times New Roman"/>
          <w:snapToGrid/>
          <w:color w:val="000000"/>
          <w:szCs w:val="19"/>
        </w:rPr>
        <w:t xml:space="preserve">Section 11 of the Policy Statement </w:t>
      </w:r>
      <w:r w:rsidR="008D0B1A">
        <w:rPr>
          <w:rFonts w:ascii="Times New Roman" w:hAnsi="Times New Roman"/>
          <w:snapToGrid/>
          <w:color w:val="000000"/>
          <w:szCs w:val="19"/>
        </w:rPr>
        <w:t xml:space="preserve">provides that </w:t>
      </w:r>
      <w:r w:rsidR="00FD6C8E">
        <w:rPr>
          <w:rFonts w:ascii="Times New Roman" w:hAnsi="Times New Roman"/>
          <w:snapToGrid/>
          <w:color w:val="000000"/>
          <w:szCs w:val="19"/>
        </w:rPr>
        <w:t>banks</w:t>
      </w:r>
      <w:r w:rsidRPr="00106C75">
        <w:rPr>
          <w:rFonts w:ascii="Times New Roman" w:hAnsi="Times New Roman"/>
          <w:snapToGrid/>
          <w:color w:val="000000"/>
          <w:szCs w:val="19"/>
        </w:rPr>
        <w:t xml:space="preserve"> </w:t>
      </w:r>
      <w:r w:rsidR="008D0B1A">
        <w:rPr>
          <w:rFonts w:ascii="Times New Roman" w:hAnsi="Times New Roman"/>
          <w:snapToGrid/>
          <w:color w:val="000000"/>
          <w:szCs w:val="19"/>
        </w:rPr>
        <w:t xml:space="preserve">should </w:t>
      </w:r>
      <w:r w:rsidRPr="00106C75">
        <w:rPr>
          <w:rFonts w:ascii="Times New Roman" w:hAnsi="Times New Roman"/>
          <w:snapToGrid/>
          <w:color w:val="000000"/>
          <w:szCs w:val="19"/>
        </w:rPr>
        <w:t xml:space="preserve">have documented strategies for managing liquidity risk and clear policies and procedures for limiting and controlling risk </w:t>
      </w:r>
      <w:r w:rsidRPr="00106C75">
        <w:rPr>
          <w:rFonts w:ascii="Times New Roman" w:hAnsi="Times New Roman"/>
          <w:snapToGrid/>
          <w:color w:val="000000"/>
          <w:szCs w:val="19"/>
        </w:rPr>
        <w:t xml:space="preserve">exposures that appropriately reflect the </w:t>
      </w:r>
      <w:r w:rsidR="00FC6836">
        <w:rPr>
          <w:rFonts w:ascii="Times New Roman" w:hAnsi="Times New Roman"/>
          <w:snapToGrid/>
          <w:color w:val="000000"/>
          <w:szCs w:val="19"/>
        </w:rPr>
        <w:t>bank</w:t>
      </w:r>
      <w:r w:rsidR="008C2DCC">
        <w:rPr>
          <w:rFonts w:ascii="Times New Roman" w:hAnsi="Times New Roman"/>
          <w:snapToGrid/>
          <w:color w:val="000000"/>
          <w:szCs w:val="19"/>
        </w:rPr>
        <w:t>’</w:t>
      </w:r>
      <w:r w:rsidRPr="00106C75">
        <w:rPr>
          <w:rFonts w:ascii="Times New Roman" w:hAnsi="Times New Roman"/>
          <w:snapToGrid/>
          <w:color w:val="000000"/>
          <w:szCs w:val="19"/>
        </w:rPr>
        <w:t>s risk tolerances.  The strategies should identify primary sources of funding for meeting daily operating cash outflows, as well as seasonal and cyclical cash flow fluctuations.  Strategies should also address alternative responses to various adverse business scenarios.  Policies and procedures should provide for the formulation of plans and courses of actions for dealing with potential temporary, intermediate-term, and long-term liquidity disruptions.  Policies, procedures, and limits also should address liquidity separately for individual currencies, legal entities, and business lines, when appropriate and material, and should allow for legal, regulatory, and operational limits for the transferability of liquidity as well.</w:t>
      </w:r>
    </w:p>
    <w:p w:rsidR="00106C75" w:rsidRPr="00106C75" w:rsidP="00D65549" w14:paraId="7E4F2E16" w14:textId="77777777">
      <w:pPr>
        <w:widowControl/>
        <w:ind w:right="72" w:firstLine="360"/>
        <w:rPr>
          <w:rFonts w:ascii="Times New Roman" w:hAnsi="Times New Roman"/>
          <w:snapToGrid/>
          <w:color w:val="000000"/>
          <w:szCs w:val="19"/>
        </w:rPr>
      </w:pPr>
    </w:p>
    <w:p w:rsidR="00106C75" w:rsidP="00106C75" w14:paraId="19AF5661" w14:textId="445A269D">
      <w:pPr>
        <w:widowControl/>
        <w:ind w:right="72" w:firstLine="360"/>
        <w:rPr>
          <w:rFonts w:ascii="Times New Roman" w:hAnsi="Times New Roman"/>
          <w:snapToGrid/>
          <w:color w:val="000000"/>
          <w:szCs w:val="19"/>
        </w:rPr>
      </w:pPr>
      <w:r w:rsidRPr="00106C75">
        <w:rPr>
          <w:rFonts w:ascii="Times New Roman" w:hAnsi="Times New Roman"/>
          <w:snapToGrid/>
          <w:color w:val="000000"/>
          <w:szCs w:val="19"/>
        </w:rPr>
        <w:t xml:space="preserve">Section 12 of the Policy Statement </w:t>
      </w:r>
      <w:r w:rsidR="008C2DCC">
        <w:rPr>
          <w:rFonts w:ascii="Times New Roman" w:hAnsi="Times New Roman"/>
          <w:snapToGrid/>
          <w:color w:val="000000"/>
          <w:szCs w:val="19"/>
        </w:rPr>
        <w:t>provides</w:t>
      </w:r>
      <w:r w:rsidRPr="00106C75" w:rsidR="008C2DCC">
        <w:rPr>
          <w:rFonts w:ascii="Times New Roman" w:hAnsi="Times New Roman"/>
          <w:snapToGrid/>
          <w:color w:val="000000"/>
          <w:szCs w:val="19"/>
        </w:rPr>
        <w:t xml:space="preserve"> </w:t>
      </w:r>
      <w:r w:rsidRPr="00106C75">
        <w:rPr>
          <w:rFonts w:ascii="Times New Roman" w:hAnsi="Times New Roman"/>
          <w:snapToGrid/>
          <w:color w:val="000000"/>
          <w:szCs w:val="19"/>
        </w:rPr>
        <w:t xml:space="preserve">that </w:t>
      </w:r>
      <w:r w:rsidR="008C2DCC">
        <w:rPr>
          <w:rFonts w:ascii="Times New Roman" w:hAnsi="Times New Roman"/>
          <w:snapToGrid/>
          <w:color w:val="000000"/>
          <w:szCs w:val="19"/>
        </w:rPr>
        <w:t xml:space="preserve">a </w:t>
      </w:r>
      <w:r w:rsidR="00FC6836">
        <w:rPr>
          <w:rFonts w:ascii="Times New Roman" w:hAnsi="Times New Roman"/>
          <w:snapToGrid/>
          <w:color w:val="000000"/>
          <w:szCs w:val="19"/>
        </w:rPr>
        <w:t>bank</w:t>
      </w:r>
      <w:r w:rsidRPr="00106C75">
        <w:rPr>
          <w:rFonts w:ascii="Times New Roman" w:hAnsi="Times New Roman"/>
          <w:snapToGrid/>
          <w:color w:val="000000"/>
          <w:szCs w:val="19"/>
        </w:rPr>
        <w:t xml:space="preserve">’s policies should clearly articulate a liquidity risk tolerance that is appropriate for the business strategy of the </w:t>
      </w:r>
      <w:r w:rsidR="00FC6836">
        <w:rPr>
          <w:rFonts w:ascii="Times New Roman" w:hAnsi="Times New Roman"/>
          <w:snapToGrid/>
          <w:color w:val="000000"/>
          <w:szCs w:val="19"/>
        </w:rPr>
        <w:t>bank</w:t>
      </w:r>
      <w:r w:rsidRPr="00106C75">
        <w:rPr>
          <w:rFonts w:ascii="Times New Roman" w:hAnsi="Times New Roman"/>
          <w:snapToGrid/>
          <w:color w:val="000000"/>
          <w:szCs w:val="19"/>
        </w:rPr>
        <w:t xml:space="preserve"> considering its complexity, business mix, liquidity risk profile, and its role in the financial system.  Policies should also contain provisions for documenting and periodically reviewing assumptions used in liquidity projections. Policy guidelines should employ both quantitative targets and qualitative guidelines.</w:t>
      </w:r>
    </w:p>
    <w:p w:rsidR="00106C75" w:rsidRPr="00106C75" w:rsidP="00D65549" w14:paraId="11FB0BAC" w14:textId="77777777">
      <w:pPr>
        <w:widowControl/>
        <w:ind w:right="72" w:firstLine="360"/>
        <w:rPr>
          <w:rFonts w:ascii="Times New Roman" w:hAnsi="Times New Roman"/>
          <w:snapToGrid/>
          <w:color w:val="000000"/>
          <w:szCs w:val="19"/>
        </w:rPr>
      </w:pPr>
    </w:p>
    <w:p w:rsidR="00106C75" w:rsidRPr="00106C75" w:rsidP="00D65549" w14:paraId="7691832E" w14:textId="63562DE1">
      <w:pPr>
        <w:widowControl/>
        <w:ind w:right="72" w:firstLine="360"/>
        <w:rPr>
          <w:rFonts w:ascii="Times New Roman" w:hAnsi="Times New Roman"/>
          <w:snapToGrid/>
          <w:color w:val="000000"/>
          <w:szCs w:val="19"/>
        </w:rPr>
      </w:pPr>
      <w:r w:rsidRPr="00106C75">
        <w:rPr>
          <w:rFonts w:ascii="Times New Roman" w:hAnsi="Times New Roman"/>
          <w:snapToGrid/>
          <w:color w:val="000000"/>
          <w:szCs w:val="19"/>
        </w:rPr>
        <w:t xml:space="preserve">Section 13 of the Policy Statement provides that </w:t>
      </w:r>
      <w:r w:rsidR="008C2DCC">
        <w:rPr>
          <w:rFonts w:ascii="Times New Roman" w:hAnsi="Times New Roman"/>
          <w:snapToGrid/>
          <w:color w:val="000000"/>
          <w:szCs w:val="19"/>
        </w:rPr>
        <w:t xml:space="preserve">a </w:t>
      </w:r>
      <w:r w:rsidR="00FC6836">
        <w:rPr>
          <w:rFonts w:ascii="Times New Roman" w:hAnsi="Times New Roman"/>
          <w:snapToGrid/>
          <w:color w:val="000000"/>
          <w:szCs w:val="19"/>
        </w:rPr>
        <w:t>bank</w:t>
      </w:r>
      <w:r w:rsidRPr="00106C75">
        <w:rPr>
          <w:rFonts w:ascii="Times New Roman" w:hAnsi="Times New Roman"/>
          <w:snapToGrid/>
          <w:color w:val="000000"/>
          <w:szCs w:val="19"/>
        </w:rPr>
        <w:t xml:space="preserve">’s policies should specify the nature and frequency of management reporting.  Senior managers should receive liquidity risk reports at least monthly, while the board of directors should receive liquidity risk reports at least quarterly.  </w:t>
      </w:r>
      <w:r w:rsidR="001412EF">
        <w:rPr>
          <w:rFonts w:ascii="Times New Roman" w:hAnsi="Times New Roman"/>
          <w:snapToGrid/>
          <w:color w:val="000000"/>
          <w:szCs w:val="19"/>
        </w:rPr>
        <w:t>M</w:t>
      </w:r>
      <w:r w:rsidRPr="00106C75">
        <w:rPr>
          <w:rFonts w:ascii="Times New Roman" w:hAnsi="Times New Roman"/>
          <w:snapToGrid/>
          <w:color w:val="000000"/>
          <w:szCs w:val="19"/>
        </w:rPr>
        <w:t>anagement reporting may need to be more frequent</w:t>
      </w:r>
      <w:bookmarkStart w:id="7" w:name="_Hlk198646640"/>
      <w:r w:rsidR="001412EF">
        <w:rPr>
          <w:rFonts w:ascii="Times New Roman" w:hAnsi="Times New Roman"/>
          <w:snapToGrid/>
          <w:color w:val="000000"/>
          <w:szCs w:val="19"/>
        </w:rPr>
        <w:t xml:space="preserve">, </w:t>
      </w:r>
      <w:r w:rsidR="00D85B29">
        <w:rPr>
          <w:rFonts w:ascii="Times New Roman" w:hAnsi="Times New Roman"/>
          <w:snapToGrid/>
          <w:color w:val="000000"/>
          <w:szCs w:val="19"/>
        </w:rPr>
        <w:t xml:space="preserve">depending on </w:t>
      </w:r>
      <w:r w:rsidRPr="00106C75" w:rsidR="00D85B29">
        <w:rPr>
          <w:rFonts w:ascii="Times New Roman" w:hAnsi="Times New Roman"/>
          <w:snapToGrid/>
          <w:color w:val="000000"/>
          <w:szCs w:val="19"/>
        </w:rPr>
        <w:t xml:space="preserve">the complexity of the </w:t>
      </w:r>
      <w:r w:rsidR="00FC6836">
        <w:rPr>
          <w:rFonts w:ascii="Times New Roman" w:hAnsi="Times New Roman"/>
          <w:snapToGrid/>
          <w:color w:val="000000"/>
          <w:szCs w:val="19"/>
        </w:rPr>
        <w:t>bank</w:t>
      </w:r>
      <w:r w:rsidR="00D85B29">
        <w:rPr>
          <w:rFonts w:ascii="Times New Roman" w:hAnsi="Times New Roman"/>
          <w:snapToGrid/>
          <w:color w:val="000000"/>
          <w:szCs w:val="19"/>
        </w:rPr>
        <w:t>’</w:t>
      </w:r>
      <w:r w:rsidRPr="00106C75" w:rsidR="00D85B29">
        <w:rPr>
          <w:rFonts w:ascii="Times New Roman" w:hAnsi="Times New Roman"/>
          <w:snapToGrid/>
          <w:color w:val="000000"/>
          <w:szCs w:val="19"/>
        </w:rPr>
        <w:t>s business mix and liquidity risk profile</w:t>
      </w:r>
      <w:r w:rsidRPr="00106C75">
        <w:rPr>
          <w:rFonts w:ascii="Times New Roman" w:hAnsi="Times New Roman"/>
          <w:snapToGrid/>
          <w:color w:val="000000"/>
          <w:szCs w:val="19"/>
        </w:rPr>
        <w:t xml:space="preserve">.  </w:t>
      </w:r>
      <w:bookmarkEnd w:id="7"/>
      <w:r w:rsidRPr="00106C75">
        <w:rPr>
          <w:rFonts w:ascii="Times New Roman" w:hAnsi="Times New Roman"/>
          <w:snapToGrid/>
          <w:color w:val="000000"/>
          <w:szCs w:val="19"/>
        </w:rPr>
        <w:t xml:space="preserve">Regardless of an institution's complexity, it should have the ability to increase the frequency of reporting on short notice, if the need arises.  Liquidity risk reports should impart to senior management and the board a clear understanding of the </w:t>
      </w:r>
      <w:r w:rsidR="00FC6836">
        <w:rPr>
          <w:rFonts w:ascii="Times New Roman" w:hAnsi="Times New Roman"/>
          <w:snapToGrid/>
          <w:color w:val="000000"/>
          <w:szCs w:val="19"/>
        </w:rPr>
        <w:t>bank</w:t>
      </w:r>
      <w:r w:rsidR="00D85B29">
        <w:rPr>
          <w:rFonts w:ascii="Times New Roman" w:hAnsi="Times New Roman"/>
          <w:snapToGrid/>
          <w:color w:val="000000"/>
          <w:szCs w:val="19"/>
        </w:rPr>
        <w:t>’</w:t>
      </w:r>
      <w:r w:rsidRPr="00106C75">
        <w:rPr>
          <w:rFonts w:ascii="Times New Roman" w:hAnsi="Times New Roman"/>
          <w:snapToGrid/>
          <w:color w:val="000000"/>
          <w:szCs w:val="19"/>
        </w:rPr>
        <w:t>s liquidity risk exposure, compliance with risk limits, consistency between management</w:t>
      </w:r>
      <w:r w:rsidR="00D85B29">
        <w:rPr>
          <w:rFonts w:ascii="Times New Roman" w:hAnsi="Times New Roman"/>
          <w:snapToGrid/>
          <w:color w:val="000000"/>
          <w:szCs w:val="19"/>
        </w:rPr>
        <w:t>’</w:t>
      </w:r>
      <w:r w:rsidRPr="00106C75">
        <w:rPr>
          <w:rFonts w:ascii="Times New Roman" w:hAnsi="Times New Roman"/>
          <w:snapToGrid/>
          <w:color w:val="000000"/>
          <w:szCs w:val="19"/>
        </w:rPr>
        <w:t>s strategies and tactics, and consistency between these strategies and the board</w:t>
      </w:r>
      <w:r w:rsidR="00D85B29">
        <w:rPr>
          <w:rFonts w:ascii="Times New Roman" w:hAnsi="Times New Roman"/>
          <w:snapToGrid/>
          <w:color w:val="000000"/>
          <w:szCs w:val="19"/>
        </w:rPr>
        <w:t>’</w:t>
      </w:r>
      <w:r w:rsidRPr="00106C75">
        <w:rPr>
          <w:rFonts w:ascii="Times New Roman" w:hAnsi="Times New Roman"/>
          <w:snapToGrid/>
          <w:color w:val="000000"/>
          <w:szCs w:val="19"/>
        </w:rPr>
        <w:t>s expressed risk tolerance.</w:t>
      </w:r>
    </w:p>
    <w:p w:rsidR="00106C75" w14:paraId="33B5CF78" w14:textId="77777777">
      <w:pPr>
        <w:pStyle w:val="Header"/>
        <w:tabs>
          <w:tab w:val="clear" w:pos="4320"/>
          <w:tab w:val="clear" w:pos="8640"/>
        </w:tabs>
        <w:rPr>
          <w:rFonts w:ascii="Times New Roman" w:hAnsi="Times New Roman"/>
        </w:rPr>
      </w:pPr>
    </w:p>
    <w:p w:rsidR="00106C75" w:rsidP="00B97796" w14:paraId="58F71DF8" w14:textId="2445F870">
      <w:pPr>
        <w:widowControl/>
        <w:ind w:right="72" w:firstLine="360"/>
        <w:rPr>
          <w:rFonts w:ascii="Times New Roman" w:hAnsi="Times New Roman"/>
        </w:rPr>
      </w:pPr>
      <w:r w:rsidRPr="00B97796">
        <w:rPr>
          <w:rFonts w:ascii="Times New Roman" w:hAnsi="Times New Roman"/>
          <w:snapToGrid/>
          <w:color w:val="000000"/>
          <w:szCs w:val="19"/>
        </w:rPr>
        <w:t>Section</w:t>
      </w:r>
      <w:r w:rsidRPr="00106C75">
        <w:rPr>
          <w:rFonts w:ascii="Times New Roman" w:hAnsi="Times New Roman"/>
        </w:rPr>
        <w:t xml:space="preserve"> 15 of the Policy Statement </w:t>
      </w:r>
      <w:r w:rsidR="00D85B29">
        <w:rPr>
          <w:rFonts w:ascii="Times New Roman" w:hAnsi="Times New Roman"/>
        </w:rPr>
        <w:t>provides</w:t>
      </w:r>
      <w:r w:rsidRPr="00106C75">
        <w:rPr>
          <w:rFonts w:ascii="Times New Roman" w:hAnsi="Times New Roman"/>
        </w:rPr>
        <w:t xml:space="preserve"> that the process </w:t>
      </w:r>
      <w:r w:rsidR="00D85B29">
        <w:rPr>
          <w:rFonts w:ascii="Times New Roman" w:hAnsi="Times New Roman"/>
        </w:rPr>
        <w:t xml:space="preserve">for </w:t>
      </w:r>
      <w:r w:rsidRPr="00106C75">
        <w:rPr>
          <w:rFonts w:ascii="Times New Roman" w:hAnsi="Times New Roman"/>
        </w:rPr>
        <w:t xml:space="preserve">measuring liquidity risk should include robust methods for comprehensively projecting cash flows arising from assets, liabilities, and off-balance-sheet items over an appropriate set of time horizons.  </w:t>
      </w:r>
      <w:r w:rsidR="00B13071">
        <w:rPr>
          <w:rFonts w:ascii="Times New Roman" w:hAnsi="Times New Roman"/>
        </w:rPr>
        <w:t>Banks</w:t>
      </w:r>
      <w:r w:rsidRPr="00106C75">
        <w:rPr>
          <w:rFonts w:ascii="Times New Roman" w:hAnsi="Times New Roman"/>
        </w:rPr>
        <w:t xml:space="preserve"> should ensure that the assumptions used are reasonable, appropriate, and adequately documented.  </w:t>
      </w:r>
      <w:r w:rsidR="00B13071">
        <w:rPr>
          <w:rFonts w:ascii="Times New Roman" w:hAnsi="Times New Roman"/>
        </w:rPr>
        <w:t>Banks</w:t>
      </w:r>
      <w:r w:rsidRPr="00106C75" w:rsidR="00B13071">
        <w:rPr>
          <w:rFonts w:ascii="Times New Roman" w:hAnsi="Times New Roman"/>
        </w:rPr>
        <w:t xml:space="preserve"> </w:t>
      </w:r>
      <w:r w:rsidRPr="00106C75">
        <w:rPr>
          <w:rFonts w:ascii="Times New Roman" w:hAnsi="Times New Roman"/>
        </w:rPr>
        <w:t>should periodically review and formally approve these assumptions.</w:t>
      </w:r>
    </w:p>
    <w:p w:rsidR="00106C75" w:rsidRPr="00B4293D" w14:paraId="053112A3" w14:textId="77777777">
      <w:pPr>
        <w:pStyle w:val="Header"/>
        <w:tabs>
          <w:tab w:val="clear" w:pos="4320"/>
          <w:tab w:val="clear" w:pos="8640"/>
        </w:tabs>
        <w:rPr>
          <w:rFonts w:ascii="Times New Roman" w:hAnsi="Times New Roman"/>
        </w:rPr>
      </w:pPr>
    </w:p>
    <w:p w:rsidR="00D85B29" w:rsidRPr="00B4293D" w:rsidP="00B97796" w14:paraId="24A1B816" w14:textId="4C28BDF4">
      <w:pPr>
        <w:pStyle w:val="Header"/>
        <w:tabs>
          <w:tab w:val="clear" w:pos="4320"/>
          <w:tab w:val="clear" w:pos="8640"/>
        </w:tabs>
        <w:ind w:firstLine="360"/>
        <w:rPr>
          <w:rFonts w:ascii="Times New Roman" w:hAnsi="Times New Roman"/>
        </w:rPr>
      </w:pPr>
      <w:bookmarkStart w:id="8" w:name="_Hlk198646883"/>
      <w:r w:rsidRPr="00B4293D">
        <w:rPr>
          <w:rFonts w:ascii="Times New Roman" w:hAnsi="Times New Roman"/>
          <w:snapToGrid/>
          <w:color w:val="000000"/>
          <w:szCs w:val="19"/>
        </w:rPr>
        <w:t>Section</w:t>
      </w:r>
      <w:r w:rsidRPr="00B4293D">
        <w:rPr>
          <w:rFonts w:ascii="Times New Roman" w:hAnsi="Times New Roman"/>
        </w:rPr>
        <w:t xml:space="preserve"> 18 of the Policy Statement </w:t>
      </w:r>
      <w:r w:rsidRPr="00B97796">
        <w:rPr>
          <w:rFonts w:ascii="Times New Roman" w:hAnsi="Times New Roman"/>
        </w:rPr>
        <w:t xml:space="preserve">provides that </w:t>
      </w:r>
      <w:r w:rsidR="00B13071">
        <w:rPr>
          <w:rFonts w:ascii="Times New Roman" w:hAnsi="Times New Roman"/>
        </w:rPr>
        <w:t>banks</w:t>
      </w:r>
      <w:r w:rsidRPr="00B97796">
        <w:rPr>
          <w:rFonts w:ascii="Times New Roman" w:hAnsi="Times New Roman"/>
        </w:rPr>
        <w:t xml:space="preserve"> should conduct stress tests regularly for a variety of </w:t>
      </w:r>
      <w:r w:rsidR="00FC6836">
        <w:rPr>
          <w:rFonts w:ascii="Times New Roman" w:hAnsi="Times New Roman"/>
        </w:rPr>
        <w:t>bank</w:t>
      </w:r>
      <w:r w:rsidRPr="00B97796">
        <w:rPr>
          <w:rFonts w:ascii="Times New Roman" w:hAnsi="Times New Roman"/>
        </w:rPr>
        <w:t>-specific and market</w:t>
      </w:r>
      <w:r w:rsidRPr="00B97796">
        <w:rPr>
          <w:rFonts w:ascii="Times New Roman" w:hAnsi="Times New Roman"/>
        </w:rPr>
        <w:t>-</w:t>
      </w:r>
      <w:r w:rsidRPr="00B97796">
        <w:rPr>
          <w:rFonts w:ascii="Times New Roman" w:hAnsi="Times New Roman"/>
        </w:rPr>
        <w:t xml:space="preserve">wide events across multiple time horizons. The magnitude and frequency of stress testing should be commensurate with the complexity of the </w:t>
      </w:r>
      <w:r w:rsidR="00FC6836">
        <w:rPr>
          <w:rFonts w:ascii="Times New Roman" w:hAnsi="Times New Roman"/>
        </w:rPr>
        <w:t xml:space="preserve">bank </w:t>
      </w:r>
      <w:r w:rsidRPr="00B97796">
        <w:rPr>
          <w:rFonts w:ascii="Times New Roman" w:hAnsi="Times New Roman"/>
        </w:rPr>
        <w:t xml:space="preserve">and the level of its risk exposures. Stress test </w:t>
      </w:r>
      <w:r w:rsidRPr="00B97796">
        <w:rPr>
          <w:rFonts w:ascii="Times New Roman" w:hAnsi="Times New Roman"/>
        </w:rPr>
        <w:t>o</w:t>
      </w:r>
      <w:r w:rsidRPr="00B97796">
        <w:rPr>
          <w:rFonts w:ascii="Times New Roman" w:hAnsi="Times New Roman"/>
        </w:rPr>
        <w:t xml:space="preserve">utcomes should be used to identify and quantify sources of potential liquidity strain and to analyze possible impacts on the </w:t>
      </w:r>
      <w:r w:rsidR="00FC6836">
        <w:rPr>
          <w:rFonts w:ascii="Times New Roman" w:hAnsi="Times New Roman"/>
        </w:rPr>
        <w:t>bank</w:t>
      </w:r>
      <w:r w:rsidRPr="00B97796">
        <w:rPr>
          <w:rFonts w:ascii="Times New Roman" w:hAnsi="Times New Roman"/>
        </w:rPr>
        <w:t xml:space="preserve">'s cash flows, liquidity position, profitability, and solvency. Stress tests should also be used to ensure that current exposures are consistent with the </w:t>
      </w:r>
      <w:r w:rsidR="00FC6836">
        <w:rPr>
          <w:rFonts w:ascii="Times New Roman" w:hAnsi="Times New Roman"/>
        </w:rPr>
        <w:t>bank</w:t>
      </w:r>
      <w:r w:rsidRPr="00B97796">
        <w:rPr>
          <w:rFonts w:ascii="Times New Roman" w:hAnsi="Times New Roman"/>
        </w:rPr>
        <w:t xml:space="preserve">'s established liquidity risk tolerance. The results of stress tests should also play a key role in shaping the </w:t>
      </w:r>
      <w:r w:rsidR="00FC6836">
        <w:rPr>
          <w:rFonts w:ascii="Times New Roman" w:hAnsi="Times New Roman"/>
        </w:rPr>
        <w:t>bank</w:t>
      </w:r>
      <w:r w:rsidRPr="00B97796">
        <w:rPr>
          <w:rFonts w:ascii="Times New Roman" w:hAnsi="Times New Roman"/>
        </w:rPr>
        <w:t>'s contingency planning.</w:t>
      </w:r>
    </w:p>
    <w:bookmarkEnd w:id="8"/>
    <w:p w:rsidR="00735311" w:rsidP="00B97796" w14:paraId="0C547071" w14:textId="77777777">
      <w:pPr>
        <w:widowControl/>
        <w:ind w:right="72"/>
        <w:rPr>
          <w:rFonts w:ascii="Times New Roman" w:hAnsi="Times New Roman"/>
        </w:rPr>
      </w:pPr>
    </w:p>
    <w:p w:rsidR="00BE4540" w:rsidP="00735311" w14:paraId="647ABF09" w14:textId="5564F73C">
      <w:pPr>
        <w:widowControl/>
        <w:ind w:right="72" w:firstLine="360"/>
        <w:rPr>
          <w:rFonts w:ascii="Times New Roman" w:hAnsi="Times New Roman"/>
        </w:rPr>
      </w:pPr>
      <w:bookmarkStart w:id="9" w:name="_Hlk198646911"/>
      <w:r>
        <w:rPr>
          <w:rFonts w:ascii="Times New Roman" w:hAnsi="Times New Roman"/>
        </w:rPr>
        <w:t xml:space="preserve">Section 23 of the Policy Statement provides that </w:t>
      </w:r>
      <w:r w:rsidRPr="00BE4540">
        <w:rPr>
          <w:rFonts w:ascii="Times New Roman" w:hAnsi="Times New Roman"/>
        </w:rPr>
        <w:t>liquidity risk management plans</w:t>
      </w:r>
      <w:r>
        <w:rPr>
          <w:rFonts w:ascii="Times New Roman" w:hAnsi="Times New Roman"/>
        </w:rPr>
        <w:t xml:space="preserve"> should describe a</w:t>
      </w:r>
      <w:r w:rsidRPr="00BE4540">
        <w:rPr>
          <w:rFonts w:ascii="Times New Roman" w:hAnsi="Times New Roman"/>
        </w:rPr>
        <w:t>ssumptions regarding the transferability of funds and collateral</w:t>
      </w:r>
      <w:r>
        <w:rPr>
          <w:rFonts w:ascii="Times New Roman" w:hAnsi="Times New Roman"/>
        </w:rPr>
        <w:t>.</w:t>
      </w:r>
    </w:p>
    <w:p w:rsidR="00735311" w:rsidP="00735311" w14:paraId="1A812C05" w14:textId="77777777">
      <w:pPr>
        <w:widowControl/>
        <w:ind w:right="72" w:firstLine="360"/>
        <w:rPr>
          <w:rFonts w:ascii="Times New Roman" w:hAnsi="Times New Roman"/>
        </w:rPr>
      </w:pPr>
    </w:p>
    <w:p w:rsidR="00BE4540" w:rsidRPr="00BE4540" w:rsidP="00B97796" w14:paraId="50B55A91" w14:textId="090C7389">
      <w:pPr>
        <w:widowControl/>
        <w:ind w:right="72" w:firstLine="360"/>
        <w:rPr>
          <w:rFonts w:ascii="Times New Roman" w:hAnsi="Times New Roman"/>
        </w:rPr>
      </w:pPr>
      <w:r>
        <w:rPr>
          <w:rFonts w:ascii="Times New Roman" w:hAnsi="Times New Roman"/>
        </w:rPr>
        <w:t>Section 24 of the Policy Statement provides that s</w:t>
      </w:r>
      <w:r w:rsidRPr="00BE4540">
        <w:rPr>
          <w:rFonts w:ascii="Times New Roman" w:hAnsi="Times New Roman"/>
        </w:rPr>
        <w:t xml:space="preserve">enior management should develop and </w:t>
      </w:r>
    </w:p>
    <w:p w:rsidR="00735311" w:rsidP="00BE4540" w14:paraId="4DF6F6DB" w14:textId="3C8CD797">
      <w:pPr>
        <w:pStyle w:val="Header"/>
        <w:rPr>
          <w:rFonts w:ascii="Times New Roman" w:hAnsi="Times New Roman"/>
        </w:rPr>
      </w:pPr>
      <w:r w:rsidRPr="00BE4540">
        <w:rPr>
          <w:rFonts w:ascii="Times New Roman" w:hAnsi="Times New Roman"/>
        </w:rPr>
        <w:t xml:space="preserve">adopt an intraday liquidity strategy that allows the </w:t>
      </w:r>
      <w:r w:rsidR="00FC6836">
        <w:rPr>
          <w:rFonts w:ascii="Times New Roman" w:hAnsi="Times New Roman"/>
        </w:rPr>
        <w:t>bank</w:t>
      </w:r>
      <w:r w:rsidRPr="00BE4540">
        <w:rPr>
          <w:rFonts w:ascii="Times New Roman" w:hAnsi="Times New Roman"/>
        </w:rPr>
        <w:t xml:space="preserve"> to:</w:t>
      </w:r>
    </w:p>
    <w:p w:rsidR="00693C7A" w:rsidP="00BE4540" w14:paraId="472176D7" w14:textId="77777777">
      <w:pPr>
        <w:pStyle w:val="Header"/>
        <w:rPr>
          <w:rFonts w:ascii="Times New Roman" w:hAnsi="Times New Roman"/>
        </w:rPr>
      </w:pPr>
    </w:p>
    <w:p w:rsidR="00735311" w:rsidP="00B44A58" w14:paraId="1478A804" w14:textId="77777777">
      <w:pPr>
        <w:pStyle w:val="Header"/>
        <w:numPr>
          <w:ilvl w:val="0"/>
          <w:numId w:val="19"/>
        </w:numPr>
        <w:rPr>
          <w:rFonts w:ascii="Times New Roman" w:hAnsi="Times New Roman"/>
        </w:rPr>
      </w:pPr>
      <w:r w:rsidRPr="00735311">
        <w:rPr>
          <w:rFonts w:ascii="Times New Roman" w:hAnsi="Times New Roman"/>
        </w:rPr>
        <w:t>Monitor and measure expected daily gross liquidity inflows and outflows.</w:t>
      </w:r>
    </w:p>
    <w:p w:rsidR="00735311" w:rsidP="00DC56B1" w14:paraId="4F556965" w14:textId="77777777">
      <w:pPr>
        <w:pStyle w:val="Header"/>
        <w:numPr>
          <w:ilvl w:val="0"/>
          <w:numId w:val="19"/>
        </w:numPr>
        <w:rPr>
          <w:rFonts w:ascii="Times New Roman" w:hAnsi="Times New Roman"/>
        </w:rPr>
      </w:pPr>
      <w:r w:rsidRPr="00735311">
        <w:rPr>
          <w:rFonts w:ascii="Times New Roman" w:hAnsi="Times New Roman"/>
        </w:rPr>
        <w:t>Manage and mobilize collateral when necessary to obtain intraday credit.</w:t>
      </w:r>
    </w:p>
    <w:p w:rsidR="00735311" w:rsidP="00B8753F" w14:paraId="1AAAB88C" w14:textId="77777777">
      <w:pPr>
        <w:pStyle w:val="Header"/>
        <w:numPr>
          <w:ilvl w:val="0"/>
          <w:numId w:val="19"/>
        </w:numPr>
        <w:rPr>
          <w:rFonts w:ascii="Times New Roman" w:hAnsi="Times New Roman"/>
        </w:rPr>
      </w:pPr>
      <w:r w:rsidRPr="00735311">
        <w:rPr>
          <w:rFonts w:ascii="Times New Roman" w:hAnsi="Times New Roman"/>
        </w:rPr>
        <w:t xml:space="preserve">Identify and prioritize time-specific and other critical obligations </w:t>
      </w:r>
      <w:r w:rsidRPr="00735311">
        <w:rPr>
          <w:rFonts w:ascii="Times New Roman" w:hAnsi="Times New Roman"/>
        </w:rPr>
        <w:t>in order to</w:t>
      </w:r>
      <w:r w:rsidRPr="00735311">
        <w:rPr>
          <w:rFonts w:ascii="Times New Roman" w:hAnsi="Times New Roman"/>
        </w:rPr>
        <w:t xml:space="preserve"> meet them when expected.</w:t>
      </w:r>
    </w:p>
    <w:p w:rsidR="00735311" w:rsidP="003702FF" w14:paraId="7ED547AB" w14:textId="77777777">
      <w:pPr>
        <w:pStyle w:val="Header"/>
        <w:numPr>
          <w:ilvl w:val="0"/>
          <w:numId w:val="19"/>
        </w:numPr>
        <w:rPr>
          <w:rFonts w:ascii="Times New Roman" w:hAnsi="Times New Roman"/>
        </w:rPr>
      </w:pPr>
      <w:r w:rsidRPr="00735311">
        <w:rPr>
          <w:rFonts w:ascii="Times New Roman" w:hAnsi="Times New Roman"/>
        </w:rPr>
        <w:t>Settle other less critical obligations as soon as possible.</w:t>
      </w:r>
    </w:p>
    <w:p w:rsidR="00735311" w:rsidP="004C5017" w14:paraId="110A7E39" w14:textId="77777777">
      <w:pPr>
        <w:pStyle w:val="Header"/>
        <w:numPr>
          <w:ilvl w:val="0"/>
          <w:numId w:val="19"/>
        </w:numPr>
        <w:rPr>
          <w:rFonts w:ascii="Times New Roman" w:hAnsi="Times New Roman"/>
        </w:rPr>
      </w:pPr>
      <w:r w:rsidRPr="00735311">
        <w:rPr>
          <w:rFonts w:ascii="Times New Roman" w:hAnsi="Times New Roman"/>
        </w:rPr>
        <w:t>Control credit to customers when necessary.</w:t>
      </w:r>
    </w:p>
    <w:p w:rsidR="00BE4540" w:rsidP="009D4F03" w14:paraId="118B89E2" w14:textId="12B7C8F0">
      <w:pPr>
        <w:pStyle w:val="Header"/>
        <w:numPr>
          <w:ilvl w:val="0"/>
          <w:numId w:val="19"/>
        </w:numPr>
        <w:rPr>
          <w:rFonts w:ascii="Times New Roman" w:hAnsi="Times New Roman"/>
        </w:rPr>
      </w:pPr>
      <w:r w:rsidRPr="00735311">
        <w:rPr>
          <w:rFonts w:ascii="Times New Roman" w:hAnsi="Times New Roman"/>
        </w:rPr>
        <w:t>Ensure that liquidity planners understand the amounts of collateral and liquidity needed to perform payment-system obligations when assessing the organization</w:t>
      </w:r>
      <w:r w:rsidRPr="00735311" w:rsidR="00D85B29">
        <w:rPr>
          <w:rFonts w:ascii="Times New Roman" w:hAnsi="Times New Roman"/>
        </w:rPr>
        <w:t>’</w:t>
      </w:r>
      <w:r w:rsidRPr="00735311">
        <w:rPr>
          <w:rFonts w:ascii="Times New Roman" w:hAnsi="Times New Roman"/>
        </w:rPr>
        <w:t>s overall liquidity needs.</w:t>
      </w:r>
    </w:p>
    <w:p w:rsidR="00735311" w:rsidP="00735311" w14:paraId="35D8CE5E" w14:textId="77777777">
      <w:pPr>
        <w:pStyle w:val="Header"/>
        <w:ind w:left="360"/>
        <w:rPr>
          <w:rFonts w:ascii="Times New Roman" w:hAnsi="Times New Roman"/>
        </w:rPr>
      </w:pPr>
    </w:p>
    <w:p w:rsidR="00BE4540" w:rsidRPr="00BE4540" w:rsidP="00B97796" w14:paraId="53AF1E6C" w14:textId="1BF1B38B">
      <w:pPr>
        <w:widowControl/>
        <w:ind w:right="72" w:firstLine="360"/>
        <w:rPr>
          <w:rFonts w:ascii="Times New Roman" w:hAnsi="Times New Roman"/>
        </w:rPr>
      </w:pPr>
      <w:r>
        <w:rPr>
          <w:rFonts w:ascii="Times New Roman" w:hAnsi="Times New Roman"/>
        </w:rPr>
        <w:t xml:space="preserve">Section 25 of the Policy Statement provides that </w:t>
      </w:r>
      <w:r w:rsidR="00FC6836">
        <w:rPr>
          <w:rFonts w:ascii="Times New Roman" w:hAnsi="Times New Roman"/>
        </w:rPr>
        <w:t>a bank</w:t>
      </w:r>
      <w:r w:rsidRPr="00BE4540">
        <w:rPr>
          <w:rFonts w:ascii="Times New Roman" w:hAnsi="Times New Roman"/>
        </w:rPr>
        <w:t xml:space="preserve"> should establish a funding</w:t>
      </w:r>
      <w:r>
        <w:rPr>
          <w:rFonts w:ascii="Times New Roman" w:hAnsi="Times New Roman"/>
        </w:rPr>
        <w:t xml:space="preserve"> </w:t>
      </w:r>
      <w:r w:rsidRPr="00BE4540">
        <w:rPr>
          <w:rFonts w:ascii="Times New Roman" w:hAnsi="Times New Roman"/>
        </w:rPr>
        <w:t xml:space="preserve">strategy that provides effective diversification in the sources and tenor of funding. </w:t>
      </w:r>
    </w:p>
    <w:bookmarkEnd w:id="9"/>
    <w:p w:rsidR="00BE4540" w14:paraId="72B464CF" w14:textId="77777777">
      <w:pPr>
        <w:pStyle w:val="Header"/>
        <w:tabs>
          <w:tab w:val="clear" w:pos="4320"/>
          <w:tab w:val="clear" w:pos="8640"/>
        </w:tabs>
        <w:rPr>
          <w:rFonts w:ascii="Times New Roman" w:hAnsi="Times New Roman"/>
        </w:rPr>
      </w:pPr>
    </w:p>
    <w:p w:rsidR="00106C75" w:rsidP="00B97796" w14:paraId="6F7EF3ED" w14:textId="639FFD87">
      <w:pPr>
        <w:widowControl/>
        <w:ind w:right="72" w:firstLine="360"/>
        <w:rPr>
          <w:rFonts w:ascii="Times New Roman" w:hAnsi="Times New Roman"/>
        </w:rPr>
      </w:pPr>
      <w:r w:rsidRPr="00106C75">
        <w:rPr>
          <w:rFonts w:ascii="Times New Roman" w:hAnsi="Times New Roman"/>
        </w:rPr>
        <w:t xml:space="preserve">Section 31 of the Policy Statement </w:t>
      </w:r>
      <w:r w:rsidR="00E14466">
        <w:rPr>
          <w:rFonts w:ascii="Times New Roman" w:hAnsi="Times New Roman"/>
        </w:rPr>
        <w:t>provides additional</w:t>
      </w:r>
      <w:r w:rsidRPr="00106C75">
        <w:rPr>
          <w:rFonts w:ascii="Times New Roman" w:hAnsi="Times New Roman"/>
        </w:rPr>
        <w:t xml:space="preserve"> </w:t>
      </w:r>
      <w:r w:rsidR="00E14466">
        <w:rPr>
          <w:rFonts w:ascii="Times New Roman" w:hAnsi="Times New Roman"/>
        </w:rPr>
        <w:t>guidance</w:t>
      </w:r>
      <w:r w:rsidRPr="00106C75" w:rsidR="00E14466">
        <w:rPr>
          <w:rFonts w:ascii="Times New Roman" w:hAnsi="Times New Roman"/>
        </w:rPr>
        <w:t xml:space="preserve"> </w:t>
      </w:r>
      <w:r w:rsidR="008D0B1A">
        <w:rPr>
          <w:rFonts w:ascii="Times New Roman" w:hAnsi="Times New Roman"/>
        </w:rPr>
        <w:t>concerning the</w:t>
      </w:r>
      <w:r w:rsidRPr="00106C75">
        <w:rPr>
          <w:rFonts w:ascii="Times New Roman" w:hAnsi="Times New Roman"/>
        </w:rPr>
        <w:t xml:space="preserve"> CFP</w:t>
      </w:r>
      <w:r w:rsidR="00E14466">
        <w:rPr>
          <w:rFonts w:ascii="Times New Roman" w:hAnsi="Times New Roman"/>
        </w:rPr>
        <w:t>,</w:t>
      </w:r>
      <w:r w:rsidRPr="00106C75">
        <w:rPr>
          <w:rFonts w:ascii="Times New Roman" w:hAnsi="Times New Roman"/>
        </w:rPr>
        <w:t xml:space="preserve"> as </w:t>
      </w:r>
      <w:r w:rsidR="00E14466">
        <w:rPr>
          <w:rFonts w:ascii="Times New Roman" w:hAnsi="Times New Roman"/>
        </w:rPr>
        <w:t>described</w:t>
      </w:r>
      <w:r w:rsidRPr="00106C75">
        <w:rPr>
          <w:rFonts w:ascii="Times New Roman" w:hAnsi="Times New Roman"/>
        </w:rPr>
        <w:t xml:space="preserve"> in section 6.  The section provides that all </w:t>
      </w:r>
      <w:r w:rsidR="00B13071">
        <w:rPr>
          <w:rFonts w:ascii="Times New Roman" w:hAnsi="Times New Roman"/>
        </w:rPr>
        <w:t>banks</w:t>
      </w:r>
      <w:r w:rsidRPr="00106C75">
        <w:rPr>
          <w:rFonts w:ascii="Times New Roman" w:hAnsi="Times New Roman"/>
        </w:rPr>
        <w:t xml:space="preserve">, regardless of size and complexity, should have a formal CFP that clearly sets out the strategies for addressing liquidity shortfalls in emergency situations.  A CFP should delineate policies to manage a range of stress environments, establish clear lines of responsibility, and articulate clear implementation and escalation procedures.  It should be regularly tested and updated to ensure that it is operationally sound.  </w:t>
      </w:r>
      <w:r w:rsidR="00735311">
        <w:rPr>
          <w:rFonts w:ascii="Times New Roman" w:hAnsi="Times New Roman"/>
        </w:rPr>
        <w:t>S</w:t>
      </w:r>
      <w:r w:rsidRPr="00106C75">
        <w:rPr>
          <w:rFonts w:ascii="Times New Roman" w:hAnsi="Times New Roman"/>
        </w:rPr>
        <w:t>ections 34, 35, and 37 of the Policy Statement</w:t>
      </w:r>
      <w:r w:rsidR="00735311">
        <w:rPr>
          <w:rFonts w:ascii="Times New Roman" w:hAnsi="Times New Roman"/>
        </w:rPr>
        <w:t xml:space="preserve"> include additional guidance concerning CFPs</w:t>
      </w:r>
      <w:r w:rsidRPr="00106C75">
        <w:rPr>
          <w:rFonts w:ascii="Times New Roman" w:hAnsi="Times New Roman"/>
        </w:rPr>
        <w:t>.</w:t>
      </w:r>
    </w:p>
    <w:p w:rsidR="00106C75" w14:paraId="1E3F8F53" w14:textId="77777777">
      <w:pPr>
        <w:pStyle w:val="Header"/>
        <w:tabs>
          <w:tab w:val="clear" w:pos="4320"/>
          <w:tab w:val="clear" w:pos="8640"/>
        </w:tabs>
        <w:rPr>
          <w:rFonts w:ascii="Times New Roman" w:hAnsi="Times New Roman"/>
        </w:rPr>
      </w:pPr>
    </w:p>
    <w:p w:rsidR="00106C75" w:rsidP="00B97796" w14:paraId="63DE648C" w14:textId="645DC7B1">
      <w:pPr>
        <w:widowControl/>
        <w:ind w:right="72" w:firstLine="360"/>
        <w:rPr>
          <w:rFonts w:ascii="Times New Roman" w:hAnsi="Times New Roman"/>
        </w:rPr>
      </w:pPr>
      <w:r w:rsidRPr="00106C75">
        <w:rPr>
          <w:rFonts w:ascii="Times New Roman" w:hAnsi="Times New Roman"/>
        </w:rPr>
        <w:t>Section 34 of the Policy Statement provides that</w:t>
      </w:r>
      <w:r w:rsidRPr="00735311" w:rsidR="00735311">
        <w:rPr>
          <w:rFonts w:ascii="Times New Roman" w:hAnsi="Times New Roman"/>
        </w:rPr>
        <w:t xml:space="preserve"> </w:t>
      </w:r>
      <w:r w:rsidRPr="00106C75" w:rsidR="00735311">
        <w:rPr>
          <w:rFonts w:ascii="Times New Roman" w:hAnsi="Times New Roman"/>
        </w:rPr>
        <w:t>CFPs should be revised</w:t>
      </w:r>
      <w:r w:rsidR="00735311">
        <w:rPr>
          <w:rFonts w:ascii="Times New Roman" w:hAnsi="Times New Roman"/>
        </w:rPr>
        <w:t xml:space="preserve"> to reflect</w:t>
      </w:r>
      <w:r w:rsidRPr="00106C75">
        <w:rPr>
          <w:rFonts w:ascii="Times New Roman" w:hAnsi="Times New Roman"/>
        </w:rPr>
        <w:t xml:space="preserve"> macroeconomic and institution-specific conditions change.</w:t>
      </w:r>
    </w:p>
    <w:p w:rsidR="00F3168F" w14:paraId="7C9634C9" w14:textId="77777777">
      <w:pPr>
        <w:pStyle w:val="Header"/>
        <w:tabs>
          <w:tab w:val="clear" w:pos="4320"/>
          <w:tab w:val="clear" w:pos="8640"/>
        </w:tabs>
        <w:rPr>
          <w:rFonts w:ascii="Times New Roman" w:hAnsi="Times New Roman"/>
        </w:rPr>
      </w:pPr>
    </w:p>
    <w:p w:rsidR="00F3168F" w:rsidP="00735311" w14:paraId="17FB5CB0" w14:textId="50A26C2B">
      <w:pPr>
        <w:widowControl/>
        <w:ind w:right="72" w:firstLine="360"/>
        <w:rPr>
          <w:rFonts w:ascii="Times New Roman" w:hAnsi="Times New Roman"/>
        </w:rPr>
      </w:pPr>
      <w:bookmarkStart w:id="10" w:name="_Hlk198647809"/>
      <w:r w:rsidRPr="00106C75">
        <w:rPr>
          <w:rFonts w:ascii="Times New Roman" w:hAnsi="Times New Roman"/>
        </w:rPr>
        <w:t>Section 3</w:t>
      </w:r>
      <w:r>
        <w:rPr>
          <w:rFonts w:ascii="Times New Roman" w:hAnsi="Times New Roman"/>
        </w:rPr>
        <w:t>5</w:t>
      </w:r>
      <w:r w:rsidRPr="00106C75">
        <w:rPr>
          <w:rFonts w:ascii="Times New Roman" w:hAnsi="Times New Roman"/>
        </w:rPr>
        <w:t xml:space="preserve"> of the Policy Statement </w:t>
      </w:r>
      <w:r>
        <w:rPr>
          <w:rFonts w:ascii="Times New Roman" w:hAnsi="Times New Roman"/>
        </w:rPr>
        <w:t xml:space="preserve">provides that the CFP should identify stress events, assess levels of severity and timing, assess funding sources and needs, identify potential funding sources, establish liquidity event management processes, and establish a monitoring framework for contingent events. </w:t>
      </w:r>
    </w:p>
    <w:p w:rsidR="00735311" w:rsidP="00735311" w14:paraId="30D5B31B" w14:textId="77777777">
      <w:pPr>
        <w:widowControl/>
        <w:ind w:right="72" w:firstLine="360"/>
        <w:rPr>
          <w:rFonts w:ascii="Times New Roman" w:hAnsi="Times New Roman"/>
        </w:rPr>
      </w:pPr>
    </w:p>
    <w:p w:rsidR="00470283" w:rsidRPr="00B97796" w:rsidP="00B97796" w14:paraId="53ADE806" w14:textId="56962E6F">
      <w:pPr>
        <w:widowControl/>
        <w:ind w:right="72" w:firstLine="360"/>
        <w:rPr>
          <w:rFonts w:ascii="Times New Roman" w:hAnsi="Times New Roman"/>
        </w:rPr>
      </w:pPr>
      <w:r w:rsidRPr="00106C75">
        <w:rPr>
          <w:rFonts w:ascii="Times New Roman" w:hAnsi="Times New Roman"/>
        </w:rPr>
        <w:t>Section 3</w:t>
      </w:r>
      <w:r>
        <w:rPr>
          <w:rFonts w:ascii="Times New Roman" w:hAnsi="Times New Roman"/>
        </w:rPr>
        <w:t>6</w:t>
      </w:r>
      <w:r w:rsidRPr="00106C75">
        <w:rPr>
          <w:rFonts w:ascii="Times New Roman" w:hAnsi="Times New Roman"/>
        </w:rPr>
        <w:t xml:space="preserve"> of the Policy Statement </w:t>
      </w:r>
      <w:r>
        <w:rPr>
          <w:rFonts w:ascii="Times New Roman" w:hAnsi="Times New Roman"/>
        </w:rPr>
        <w:t>provides that s</w:t>
      </w:r>
      <w:r w:rsidRPr="00F3168F" w:rsidR="00F3168F">
        <w:rPr>
          <w:rFonts w:ascii="Times New Roman" w:hAnsi="Times New Roman"/>
        </w:rPr>
        <w:t xml:space="preserve">maller </w:t>
      </w:r>
      <w:r w:rsidR="00B13071">
        <w:rPr>
          <w:rFonts w:ascii="Times New Roman" w:hAnsi="Times New Roman"/>
        </w:rPr>
        <w:t>banks</w:t>
      </w:r>
      <w:r w:rsidRPr="00F3168F" w:rsidR="00F3168F">
        <w:rPr>
          <w:rFonts w:ascii="Times New Roman" w:hAnsi="Times New Roman"/>
        </w:rPr>
        <w:t xml:space="preserve"> should have plans in place for </w:t>
      </w:r>
      <w:r>
        <w:rPr>
          <w:rFonts w:ascii="Times New Roman" w:hAnsi="Times New Roman"/>
        </w:rPr>
        <w:t xml:space="preserve">managing </w:t>
      </w:r>
      <w:r w:rsidRPr="00F3168F" w:rsidR="00F3168F">
        <w:rPr>
          <w:rFonts w:ascii="Times New Roman" w:hAnsi="Times New Roman"/>
        </w:rPr>
        <w:t xml:space="preserve">press inquiries that may arise </w:t>
      </w:r>
      <w:r w:rsidRPr="00B97796" w:rsidR="00F3168F">
        <w:rPr>
          <w:rFonts w:ascii="Times New Roman" w:hAnsi="Times New Roman"/>
        </w:rPr>
        <w:t xml:space="preserve">during a liquidity event. </w:t>
      </w:r>
    </w:p>
    <w:p w:rsidR="00470283" w14:paraId="2235900F" w14:textId="77777777">
      <w:pPr>
        <w:pStyle w:val="Header"/>
        <w:rPr>
          <w:rFonts w:ascii="Times New Roman" w:hAnsi="Times New Roman"/>
        </w:rPr>
      </w:pPr>
    </w:p>
    <w:p w:rsidR="00470283" w:rsidP="00B97796" w14:paraId="6B7BFF00" w14:textId="04FFB0B1">
      <w:pPr>
        <w:widowControl/>
        <w:ind w:right="72" w:firstLine="360"/>
        <w:rPr>
          <w:rFonts w:ascii="Times New Roman" w:hAnsi="Times New Roman"/>
        </w:rPr>
      </w:pPr>
      <w:r>
        <w:rPr>
          <w:rFonts w:ascii="Times New Roman" w:hAnsi="Times New Roman"/>
        </w:rPr>
        <w:t>Section 41 of the Policy Statement provides that a</w:t>
      </w:r>
      <w:r w:rsidR="00FC6836">
        <w:rPr>
          <w:rFonts w:ascii="Times New Roman" w:hAnsi="Times New Roman"/>
        </w:rPr>
        <w:t xml:space="preserve"> bank</w:t>
      </w:r>
      <w:r>
        <w:rPr>
          <w:rFonts w:ascii="Times New Roman" w:hAnsi="Times New Roman"/>
        </w:rPr>
        <w:t xml:space="preserve">’s internal controls should address </w:t>
      </w:r>
      <w:r w:rsidRPr="00CF2B0B">
        <w:rPr>
          <w:rFonts w:ascii="Times New Roman" w:hAnsi="Times New Roman"/>
        </w:rPr>
        <w:t>relevant</w:t>
      </w:r>
      <w:r>
        <w:rPr>
          <w:rFonts w:ascii="Times New Roman" w:hAnsi="Times New Roman"/>
        </w:rPr>
        <w:t xml:space="preserve"> </w:t>
      </w:r>
      <w:r w:rsidRPr="00CF2B0B">
        <w:rPr>
          <w:rFonts w:ascii="Times New Roman" w:hAnsi="Times New Roman"/>
        </w:rPr>
        <w:t>elements of the risk management</w:t>
      </w:r>
      <w:r>
        <w:rPr>
          <w:rFonts w:ascii="Times New Roman" w:hAnsi="Times New Roman"/>
        </w:rPr>
        <w:t xml:space="preserve"> </w:t>
      </w:r>
      <w:r w:rsidRPr="00CF2B0B">
        <w:rPr>
          <w:rFonts w:ascii="Times New Roman" w:hAnsi="Times New Roman"/>
        </w:rPr>
        <w:t>process, including adherence to policies</w:t>
      </w:r>
      <w:r>
        <w:rPr>
          <w:rFonts w:ascii="Times New Roman" w:hAnsi="Times New Roman"/>
        </w:rPr>
        <w:t xml:space="preserve"> </w:t>
      </w:r>
      <w:r w:rsidRPr="00CF2B0B">
        <w:rPr>
          <w:rFonts w:ascii="Times New Roman" w:hAnsi="Times New Roman"/>
        </w:rPr>
        <w:t>and procedures, the adequacy of risk</w:t>
      </w:r>
      <w:r>
        <w:rPr>
          <w:rFonts w:ascii="Times New Roman" w:hAnsi="Times New Roman"/>
        </w:rPr>
        <w:t xml:space="preserve"> </w:t>
      </w:r>
      <w:r w:rsidRPr="00CF2B0B">
        <w:rPr>
          <w:rFonts w:ascii="Times New Roman" w:hAnsi="Times New Roman"/>
        </w:rPr>
        <w:t>identification, risk measurement,</w:t>
      </w:r>
      <w:r>
        <w:rPr>
          <w:rFonts w:ascii="Times New Roman" w:hAnsi="Times New Roman"/>
        </w:rPr>
        <w:t xml:space="preserve"> </w:t>
      </w:r>
      <w:r w:rsidRPr="00CF2B0B">
        <w:rPr>
          <w:rFonts w:ascii="Times New Roman" w:hAnsi="Times New Roman"/>
        </w:rPr>
        <w:t>reporting, and compliance</w:t>
      </w:r>
      <w:r>
        <w:rPr>
          <w:rFonts w:ascii="Times New Roman" w:hAnsi="Times New Roman"/>
        </w:rPr>
        <w:t xml:space="preserve"> </w:t>
      </w:r>
      <w:r w:rsidRPr="00CF2B0B">
        <w:rPr>
          <w:rFonts w:ascii="Times New Roman" w:hAnsi="Times New Roman"/>
        </w:rPr>
        <w:t>with</w:t>
      </w:r>
      <w:r>
        <w:rPr>
          <w:rFonts w:ascii="Times New Roman" w:hAnsi="Times New Roman"/>
        </w:rPr>
        <w:t xml:space="preserve"> </w:t>
      </w:r>
      <w:r w:rsidRPr="00CF2B0B">
        <w:rPr>
          <w:rFonts w:ascii="Times New Roman" w:hAnsi="Times New Roman"/>
        </w:rPr>
        <w:t>applicable rules and regulations.</w:t>
      </w:r>
    </w:p>
    <w:p w:rsidR="00F3168F" w14:paraId="4EE98EE8" w14:textId="77777777">
      <w:pPr>
        <w:pStyle w:val="Header"/>
        <w:tabs>
          <w:tab w:val="clear" w:pos="4320"/>
          <w:tab w:val="clear" w:pos="8640"/>
        </w:tabs>
        <w:rPr>
          <w:rFonts w:ascii="Times New Roman" w:hAnsi="Times New Roman"/>
        </w:rPr>
      </w:pPr>
    </w:p>
    <w:p w:rsidR="00F3168F" w:rsidP="00B97796" w14:paraId="29A1CCBD" w14:textId="16467039">
      <w:pPr>
        <w:widowControl/>
        <w:ind w:right="72" w:firstLine="360"/>
        <w:rPr>
          <w:rFonts w:ascii="Times New Roman" w:hAnsi="Times New Roman"/>
        </w:rPr>
      </w:pPr>
      <w:r w:rsidRPr="00106C75">
        <w:rPr>
          <w:rFonts w:ascii="Times New Roman" w:hAnsi="Times New Roman"/>
        </w:rPr>
        <w:t xml:space="preserve">Section </w:t>
      </w:r>
      <w:r>
        <w:rPr>
          <w:rFonts w:ascii="Times New Roman" w:hAnsi="Times New Roman"/>
        </w:rPr>
        <w:t>42</w:t>
      </w:r>
      <w:r w:rsidRPr="00106C75">
        <w:rPr>
          <w:rFonts w:ascii="Times New Roman" w:hAnsi="Times New Roman"/>
        </w:rPr>
        <w:t xml:space="preserve"> of the Policy Statement </w:t>
      </w:r>
      <w:r>
        <w:rPr>
          <w:rFonts w:ascii="Times New Roman" w:hAnsi="Times New Roman"/>
        </w:rPr>
        <w:t>provides that m</w:t>
      </w:r>
      <w:r w:rsidRPr="00F3168F">
        <w:rPr>
          <w:rFonts w:ascii="Times New Roman" w:hAnsi="Times New Roman"/>
        </w:rPr>
        <w:t xml:space="preserve">anagement should ensure that an independent party regularly reviews and evaluates the various components of the </w:t>
      </w:r>
      <w:r w:rsidR="00FC6836">
        <w:rPr>
          <w:rFonts w:ascii="Times New Roman" w:hAnsi="Times New Roman"/>
        </w:rPr>
        <w:t>bank</w:t>
      </w:r>
      <w:r w:rsidR="00D85B29">
        <w:rPr>
          <w:rFonts w:ascii="Times New Roman" w:hAnsi="Times New Roman"/>
        </w:rPr>
        <w:t>’</w:t>
      </w:r>
      <w:r w:rsidRPr="00F3168F">
        <w:rPr>
          <w:rFonts w:ascii="Times New Roman" w:hAnsi="Times New Roman"/>
        </w:rPr>
        <w:t xml:space="preserve">s liquidity risk management process. These reviews should assess the extent to which the </w:t>
      </w:r>
      <w:r w:rsidR="00FC6836">
        <w:rPr>
          <w:rFonts w:ascii="Times New Roman" w:hAnsi="Times New Roman"/>
        </w:rPr>
        <w:t>bank</w:t>
      </w:r>
      <w:r w:rsidR="00D85B29">
        <w:rPr>
          <w:rFonts w:ascii="Times New Roman" w:hAnsi="Times New Roman"/>
        </w:rPr>
        <w:t>’</w:t>
      </w:r>
      <w:r w:rsidRPr="00F3168F">
        <w:rPr>
          <w:rFonts w:ascii="Times New Roman" w:hAnsi="Times New Roman"/>
        </w:rPr>
        <w:t>s</w:t>
      </w:r>
      <w:r w:rsidR="008008E7">
        <w:rPr>
          <w:rFonts w:ascii="Times New Roman" w:hAnsi="Times New Roman"/>
        </w:rPr>
        <w:t xml:space="preserve"> </w:t>
      </w:r>
      <w:r w:rsidRPr="00F3168F">
        <w:rPr>
          <w:rFonts w:ascii="Times New Roman" w:hAnsi="Times New Roman"/>
        </w:rPr>
        <w:t xml:space="preserve">liquidity risk management complies with both supervisory guidance and industry sound practices, </w:t>
      </w:r>
      <w:r w:rsidRPr="00F3168F">
        <w:rPr>
          <w:rFonts w:ascii="Times New Roman" w:hAnsi="Times New Roman"/>
        </w:rPr>
        <w:t>taking into account</w:t>
      </w:r>
      <w:r w:rsidRPr="00F3168F">
        <w:rPr>
          <w:rFonts w:ascii="Times New Roman" w:hAnsi="Times New Roman"/>
        </w:rPr>
        <w:t xml:space="preserve"> the level of sophistication and complexity of the </w:t>
      </w:r>
      <w:r w:rsidR="00FC6836">
        <w:rPr>
          <w:rFonts w:ascii="Times New Roman" w:hAnsi="Times New Roman"/>
        </w:rPr>
        <w:t>bank</w:t>
      </w:r>
      <w:r w:rsidR="00D85B29">
        <w:rPr>
          <w:rFonts w:ascii="Times New Roman" w:hAnsi="Times New Roman"/>
        </w:rPr>
        <w:t>’</w:t>
      </w:r>
      <w:r w:rsidRPr="00F3168F">
        <w:rPr>
          <w:rFonts w:ascii="Times New Roman" w:hAnsi="Times New Roman"/>
        </w:rPr>
        <w:t xml:space="preserve">s liquidity risk profile. Smaller, less-complex </w:t>
      </w:r>
      <w:r w:rsidR="00B13071">
        <w:rPr>
          <w:rFonts w:ascii="Times New Roman" w:hAnsi="Times New Roman"/>
        </w:rPr>
        <w:t>banks</w:t>
      </w:r>
      <w:r w:rsidRPr="00F3168F">
        <w:rPr>
          <w:rFonts w:ascii="Times New Roman" w:hAnsi="Times New Roman"/>
        </w:rPr>
        <w:t xml:space="preserve"> may achieve independence by assigning this responsibility to the audit function or other qualified individuals independent of the risk management process. </w:t>
      </w:r>
    </w:p>
    <w:p w:rsidR="00F3168F" w:rsidP="00B4293D" w14:paraId="3AFD2E35" w14:textId="77777777">
      <w:pPr>
        <w:pStyle w:val="Header"/>
        <w:tabs>
          <w:tab w:val="clear" w:pos="4320"/>
          <w:tab w:val="clear" w:pos="8640"/>
        </w:tabs>
        <w:ind w:firstLine="360"/>
        <w:rPr>
          <w:rFonts w:ascii="Times New Roman" w:hAnsi="Times New Roman"/>
        </w:rPr>
      </w:pPr>
    </w:p>
    <w:p w:rsidR="00B4293D" w:rsidP="00693C7A" w14:paraId="2B37487B" w14:textId="74DD6D93">
      <w:pPr>
        <w:pStyle w:val="Header"/>
        <w:ind w:firstLine="360"/>
        <w:rPr>
          <w:rFonts w:ascii="Times New Roman" w:hAnsi="Times New Roman"/>
        </w:rPr>
      </w:pPr>
      <w:bookmarkStart w:id="11" w:name="_Hlk198641152"/>
      <w:bookmarkStart w:id="12" w:name="_Hlk198627506"/>
      <w:bookmarkEnd w:id="10"/>
      <w:r>
        <w:rPr>
          <w:rFonts w:ascii="Times New Roman" w:hAnsi="Times New Roman"/>
        </w:rPr>
        <w:tab/>
      </w:r>
      <w:bookmarkEnd w:id="11"/>
      <w:r>
        <w:rPr>
          <w:rFonts w:ascii="Times New Roman" w:hAnsi="Times New Roman"/>
        </w:rPr>
        <w:t>T</w:t>
      </w:r>
      <w:r w:rsidRPr="002239CB">
        <w:rPr>
          <w:rFonts w:ascii="Times New Roman" w:hAnsi="Times New Roman"/>
        </w:rPr>
        <w:t xml:space="preserve">he </w:t>
      </w:r>
      <w:r w:rsidR="003C5858">
        <w:rPr>
          <w:rFonts w:ascii="Times New Roman" w:hAnsi="Times New Roman"/>
        </w:rPr>
        <w:t xml:space="preserve">Addendum to the Policy Statement </w:t>
      </w:r>
      <w:r w:rsidRPr="002239CB">
        <w:rPr>
          <w:rFonts w:ascii="Times New Roman" w:hAnsi="Times New Roman"/>
        </w:rPr>
        <w:t xml:space="preserve">provides that </w:t>
      </w:r>
      <w:r w:rsidR="00FC6836">
        <w:rPr>
          <w:rFonts w:ascii="Times New Roman" w:hAnsi="Times New Roman"/>
        </w:rPr>
        <w:t>bank</w:t>
      </w:r>
      <w:r w:rsidRPr="002239CB">
        <w:rPr>
          <w:rFonts w:ascii="Times New Roman" w:hAnsi="Times New Roman"/>
        </w:rPr>
        <w:t>s should be aware of the operational steps required to obtain funding from contingency funding sources, including potential counterparties, contact details, and availability of collateral.</w:t>
      </w:r>
      <w:r w:rsidR="003C5858">
        <w:rPr>
          <w:rFonts w:ascii="Times New Roman" w:hAnsi="Times New Roman"/>
        </w:rPr>
        <w:t xml:space="preserve"> In addition, </w:t>
      </w:r>
      <w:r w:rsidR="00B13071">
        <w:rPr>
          <w:rFonts w:ascii="Times New Roman" w:hAnsi="Times New Roman"/>
        </w:rPr>
        <w:t>banks</w:t>
      </w:r>
      <w:r w:rsidRPr="002239CB">
        <w:rPr>
          <w:rFonts w:ascii="Times New Roman" w:hAnsi="Times New Roman"/>
        </w:rPr>
        <w:t xml:space="preserve"> should: </w:t>
      </w:r>
    </w:p>
    <w:p w:rsidR="00693C7A" w:rsidRPr="002239CB" w:rsidP="00B97796" w14:paraId="35F6765F" w14:textId="77777777">
      <w:pPr>
        <w:pStyle w:val="Header"/>
        <w:ind w:firstLine="360"/>
        <w:rPr>
          <w:rFonts w:ascii="Times New Roman" w:hAnsi="Times New Roman"/>
        </w:rPr>
      </w:pPr>
    </w:p>
    <w:p w:rsidR="00B4293D" w:rsidRPr="002239CB" w:rsidP="00B4293D" w14:paraId="02E457A7" w14:textId="6DC18F38">
      <w:pPr>
        <w:pStyle w:val="Header"/>
        <w:numPr>
          <w:ilvl w:val="0"/>
          <w:numId w:val="20"/>
        </w:numPr>
        <w:rPr>
          <w:rFonts w:ascii="Times New Roman" w:hAnsi="Times New Roman"/>
        </w:rPr>
      </w:pPr>
      <w:r w:rsidRPr="002239CB">
        <w:rPr>
          <w:rFonts w:ascii="Times New Roman" w:hAnsi="Times New Roman"/>
        </w:rPr>
        <w:t xml:space="preserve">Regularly test any contingency borrowing lines to ensure the </w:t>
      </w:r>
      <w:r w:rsidR="00FC6836">
        <w:rPr>
          <w:rFonts w:ascii="Times New Roman" w:hAnsi="Times New Roman"/>
        </w:rPr>
        <w:t>bank</w:t>
      </w:r>
      <w:r w:rsidRPr="002239CB">
        <w:rPr>
          <w:rFonts w:ascii="Times New Roman" w:hAnsi="Times New Roman"/>
        </w:rPr>
        <w:t xml:space="preserve">’s staff are well versed in how to access them and that they function as envisioned. </w:t>
      </w:r>
    </w:p>
    <w:p w:rsidR="00B4293D" w:rsidRPr="002239CB" w:rsidP="00B4293D" w14:paraId="0D03414B" w14:textId="77777777">
      <w:pPr>
        <w:pStyle w:val="Header"/>
        <w:numPr>
          <w:ilvl w:val="0"/>
          <w:numId w:val="20"/>
        </w:numPr>
        <w:rPr>
          <w:rFonts w:ascii="Times New Roman" w:hAnsi="Times New Roman"/>
        </w:rPr>
      </w:pPr>
      <w:r w:rsidRPr="002239CB">
        <w:rPr>
          <w:rFonts w:ascii="Times New Roman" w:hAnsi="Times New Roman"/>
        </w:rPr>
        <w:t>Engage in planning that recognizes the operational challenges involved in moving and posting collateral to access critical funding in a timely fashion.</w:t>
      </w:r>
    </w:p>
    <w:p w:rsidR="00B4293D" w:rsidRPr="002239CB" w:rsidP="00B4293D" w14:paraId="50EC8063" w14:textId="77777777">
      <w:pPr>
        <w:pStyle w:val="Header"/>
        <w:numPr>
          <w:ilvl w:val="0"/>
          <w:numId w:val="20"/>
        </w:numPr>
        <w:rPr>
          <w:rFonts w:ascii="Times New Roman" w:hAnsi="Times New Roman"/>
        </w:rPr>
      </w:pPr>
      <w:r w:rsidRPr="002239CB">
        <w:rPr>
          <w:rFonts w:ascii="Times New Roman" w:hAnsi="Times New Roman"/>
        </w:rPr>
        <w:t>Ensure that the CFPs recognize that during times of stress, contingency lines may become unavailable and include a range of contingency funding sources.</w:t>
      </w:r>
    </w:p>
    <w:p w:rsidR="00B4293D" w:rsidRPr="002239CB" w:rsidP="00B4293D" w14:paraId="1C0631E5" w14:textId="77777777">
      <w:pPr>
        <w:pStyle w:val="Header"/>
        <w:numPr>
          <w:ilvl w:val="0"/>
          <w:numId w:val="20"/>
        </w:numPr>
        <w:rPr>
          <w:rFonts w:ascii="Times New Roman" w:hAnsi="Times New Roman"/>
        </w:rPr>
      </w:pPr>
      <w:r w:rsidRPr="002239CB">
        <w:rPr>
          <w:rFonts w:ascii="Times New Roman" w:hAnsi="Times New Roman"/>
        </w:rPr>
        <w:t xml:space="preserve">Review and revise the CFPs periodically and more frequently as market conditions and strategic initiatives change </w:t>
      </w:r>
      <w:r w:rsidRPr="002239CB">
        <w:rPr>
          <w:rFonts w:ascii="Times New Roman" w:hAnsi="Times New Roman"/>
        </w:rPr>
        <w:t>in order to</w:t>
      </w:r>
      <w:r w:rsidRPr="002239CB">
        <w:rPr>
          <w:rFonts w:ascii="Times New Roman" w:hAnsi="Times New Roman"/>
        </w:rPr>
        <w:t xml:space="preserve"> address evolving liquidity risks.</w:t>
      </w:r>
    </w:p>
    <w:p w:rsidR="00B4293D" w:rsidRPr="00B4293D" w:rsidP="00B97796" w14:paraId="7CB7C4C1" w14:textId="35A04A0F">
      <w:pPr>
        <w:pStyle w:val="Header"/>
        <w:numPr>
          <w:ilvl w:val="0"/>
          <w:numId w:val="20"/>
        </w:numPr>
        <w:tabs>
          <w:tab w:val="clear" w:pos="4320"/>
          <w:tab w:val="clear" w:pos="8640"/>
        </w:tabs>
        <w:rPr>
          <w:rFonts w:ascii="Times New Roman" w:hAnsi="Times New Roman"/>
        </w:rPr>
      </w:pPr>
      <w:r w:rsidRPr="002239CB">
        <w:rPr>
          <w:rFonts w:ascii="Times New Roman" w:hAnsi="Times New Roman"/>
        </w:rPr>
        <w:t xml:space="preserve">Incorporate the discount window as part of their contingency funding arrangements.  If the discount window is included in the </w:t>
      </w:r>
      <w:r w:rsidR="00FC6836">
        <w:rPr>
          <w:rFonts w:ascii="Times New Roman" w:hAnsi="Times New Roman"/>
        </w:rPr>
        <w:t>bank</w:t>
      </w:r>
      <w:r w:rsidRPr="002239CB">
        <w:rPr>
          <w:rFonts w:ascii="Times New Roman" w:hAnsi="Times New Roman"/>
        </w:rPr>
        <w:t>’s CFP, establish and maintain operational readiness to borrow from the discount window.</w:t>
      </w:r>
    </w:p>
    <w:bookmarkEnd w:id="12"/>
    <w:p w:rsidR="00B4293D" w14:paraId="52F8622D" w14:textId="77777777">
      <w:pPr>
        <w:pStyle w:val="Header"/>
        <w:tabs>
          <w:tab w:val="clear" w:pos="4320"/>
          <w:tab w:val="clear" w:pos="8640"/>
        </w:tabs>
        <w:rPr>
          <w:rFonts w:ascii="Times New Roman" w:hAnsi="Times New Roman"/>
        </w:rPr>
      </w:pPr>
    </w:p>
    <w:p w:rsidR="00106C75" w14:paraId="1A0A839C" w14:textId="58CDEC5A">
      <w:pPr>
        <w:pStyle w:val="Header"/>
        <w:tabs>
          <w:tab w:val="clear" w:pos="4320"/>
          <w:tab w:val="clear" w:pos="8640"/>
        </w:tabs>
        <w:rPr>
          <w:rFonts w:ascii="Times New Roman" w:hAnsi="Times New Roman"/>
          <w:i/>
          <w:iCs/>
        </w:rPr>
      </w:pPr>
      <w:r w:rsidRPr="00D65549">
        <w:rPr>
          <w:rFonts w:ascii="Times New Roman" w:hAnsi="Times New Roman"/>
          <w:i/>
          <w:iCs/>
        </w:rPr>
        <w:t>Previously Approved Collection</w:t>
      </w:r>
    </w:p>
    <w:p w:rsidR="00106C75" w:rsidRPr="00D65549" w14:paraId="49E027AA" w14:textId="77777777">
      <w:pPr>
        <w:pStyle w:val="Header"/>
        <w:tabs>
          <w:tab w:val="clear" w:pos="4320"/>
          <w:tab w:val="clear" w:pos="8640"/>
        </w:tabs>
        <w:rPr>
          <w:rFonts w:ascii="Times New Roman" w:hAnsi="Times New Roman"/>
          <w:i/>
          <w:iCs/>
        </w:rPr>
      </w:pPr>
    </w:p>
    <w:p w:rsidR="00443206" w:rsidP="00443206" w14:paraId="128C831E" w14:textId="5062699F">
      <w:pPr>
        <w:tabs>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olor w:val="000000"/>
        </w:rPr>
      </w:pPr>
      <w:r w:rsidRPr="00443206">
        <w:rPr>
          <w:rFonts w:ascii="Times New Roman" w:hAnsi="Times New Roman"/>
        </w:rPr>
        <w:t xml:space="preserve">  </w:t>
      </w:r>
      <w:r>
        <w:rPr>
          <w:rFonts w:ascii="Times New Roman" w:hAnsi="Times New Roman"/>
        </w:rPr>
        <w:tab/>
      </w:r>
      <w:r w:rsidRPr="00443206">
        <w:rPr>
          <w:rFonts w:ascii="Times New Roman" w:hAnsi="Times New Roman"/>
        </w:rPr>
        <w:t xml:space="preserve">Section 14 </w:t>
      </w:r>
      <w:r>
        <w:rPr>
          <w:rFonts w:ascii="Times New Roman" w:hAnsi="Times New Roman"/>
        </w:rPr>
        <w:t xml:space="preserve">of the </w:t>
      </w:r>
      <w:r w:rsidR="008D07E4">
        <w:rPr>
          <w:rFonts w:ascii="Times New Roman" w:hAnsi="Times New Roman"/>
        </w:rPr>
        <w:t>Policy Statement</w:t>
      </w:r>
      <w:r>
        <w:rPr>
          <w:rFonts w:ascii="Times New Roman" w:hAnsi="Times New Roman"/>
        </w:rPr>
        <w:t xml:space="preserve"> </w:t>
      </w:r>
      <w:r w:rsidR="00B824BC">
        <w:rPr>
          <w:rFonts w:ascii="Times New Roman" w:hAnsi="Times New Roman"/>
        </w:rPr>
        <w:t xml:space="preserve">provides </w:t>
      </w:r>
      <w:r w:rsidRPr="00443206">
        <w:rPr>
          <w:rFonts w:ascii="Times New Roman" w:hAnsi="Times New Roman"/>
        </w:rPr>
        <w:t xml:space="preserve">that </w:t>
      </w:r>
      <w:r w:rsidR="00B13071">
        <w:rPr>
          <w:rFonts w:ascii="Times New Roman" w:hAnsi="Times New Roman"/>
        </w:rPr>
        <w:t>banks</w:t>
      </w:r>
      <w:r w:rsidRPr="00443206">
        <w:rPr>
          <w:rFonts w:ascii="Times New Roman" w:hAnsi="Times New Roman"/>
          <w:color w:val="000000"/>
        </w:rPr>
        <w:t xml:space="preserve"> should consider liquidity costs, benefits, and risks in</w:t>
      </w:r>
      <w:r w:rsidR="00263445">
        <w:rPr>
          <w:rFonts w:ascii="Times New Roman" w:hAnsi="Times New Roman"/>
          <w:color w:val="000000"/>
        </w:rPr>
        <w:t xml:space="preserve"> their</w:t>
      </w:r>
      <w:r w:rsidRPr="00443206">
        <w:rPr>
          <w:rFonts w:ascii="Times New Roman" w:hAnsi="Times New Roman"/>
          <w:color w:val="000000"/>
        </w:rPr>
        <w:t xml:space="preserve"> strategic planning and budgeting processes.  Significant business activities should be evaluated for liquidity risk exposure as well as profitability.  More complex and sophisticated </w:t>
      </w:r>
      <w:r w:rsidR="00B13071">
        <w:rPr>
          <w:rFonts w:ascii="Times New Roman" w:hAnsi="Times New Roman"/>
          <w:color w:val="000000"/>
        </w:rPr>
        <w:t>banks</w:t>
      </w:r>
      <w:r w:rsidRPr="00443206">
        <w:rPr>
          <w:rFonts w:ascii="Times New Roman" w:hAnsi="Times New Roman"/>
          <w:color w:val="000000"/>
        </w:rPr>
        <w:t xml:space="preserve"> should incorporate liquidity costs, benefits, and risks in the internal product pricing, performance measurement, and new product approval process for all material business lines, products</w:t>
      </w:r>
      <w:r w:rsidR="00263445">
        <w:rPr>
          <w:rFonts w:ascii="Times New Roman" w:hAnsi="Times New Roman"/>
          <w:color w:val="000000"/>
        </w:rPr>
        <w:t>,</w:t>
      </w:r>
      <w:r w:rsidRPr="00443206">
        <w:rPr>
          <w:rFonts w:ascii="Times New Roman" w:hAnsi="Times New Roman"/>
          <w:color w:val="000000"/>
        </w:rPr>
        <w:t xml:space="preserve"> and activities. Incorporating the cost of liquidity into these functions should align the risk-taking incentives of individual business lines with the liquidity risk exposure their activities create for the </w:t>
      </w:r>
      <w:r w:rsidR="00FC6836">
        <w:rPr>
          <w:rFonts w:ascii="Times New Roman" w:hAnsi="Times New Roman"/>
          <w:color w:val="000000"/>
        </w:rPr>
        <w:t>bank</w:t>
      </w:r>
      <w:r w:rsidRPr="00443206">
        <w:rPr>
          <w:rFonts w:ascii="Times New Roman" w:hAnsi="Times New Roman"/>
          <w:color w:val="000000"/>
        </w:rPr>
        <w:t xml:space="preserve"> as a whole</w:t>
      </w:r>
      <w:r w:rsidRPr="00443206">
        <w:rPr>
          <w:rFonts w:ascii="Times New Roman" w:hAnsi="Times New Roman"/>
          <w:color w:val="000000"/>
        </w:rPr>
        <w:t xml:space="preserve">. The quantification and attribution of liquidity risks should be explicit and transparent at the line management level and should include consideration of how </w:t>
      </w:r>
      <w:r w:rsidR="00263445">
        <w:rPr>
          <w:rFonts w:ascii="Times New Roman" w:hAnsi="Times New Roman"/>
          <w:color w:val="000000"/>
        </w:rPr>
        <w:t xml:space="preserve">the </w:t>
      </w:r>
      <w:r w:rsidR="00FC6836">
        <w:rPr>
          <w:rFonts w:ascii="Times New Roman" w:hAnsi="Times New Roman"/>
          <w:color w:val="000000"/>
        </w:rPr>
        <w:t>bank</w:t>
      </w:r>
      <w:r w:rsidR="00D85B29">
        <w:rPr>
          <w:rFonts w:ascii="Times New Roman" w:hAnsi="Times New Roman"/>
          <w:color w:val="000000"/>
        </w:rPr>
        <w:t>’</w:t>
      </w:r>
      <w:r w:rsidR="00263445">
        <w:rPr>
          <w:rFonts w:ascii="Times New Roman" w:hAnsi="Times New Roman"/>
          <w:color w:val="000000"/>
        </w:rPr>
        <w:t xml:space="preserve">s </w:t>
      </w:r>
      <w:r w:rsidRPr="00443206">
        <w:rPr>
          <w:rFonts w:ascii="Times New Roman" w:hAnsi="Times New Roman"/>
          <w:color w:val="000000"/>
        </w:rPr>
        <w:t>liquidity would be affected under stressed conditions.</w:t>
      </w:r>
    </w:p>
    <w:p w:rsidR="00443206" w:rsidRPr="00443206" w:rsidP="00443206" w14:paraId="338EDF54" w14:textId="77777777">
      <w:pPr>
        <w:tabs>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rPr>
      </w:pPr>
    </w:p>
    <w:p w:rsidR="00443206" w:rsidRPr="00443206" w:rsidP="00443206" w14:paraId="0B1A73A8" w14:textId="08BF83A6">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i/>
        </w:rPr>
      </w:pPr>
      <w:r>
        <w:rPr>
          <w:rFonts w:ascii="Times New Roman" w:hAnsi="Times New Roman"/>
          <w:iCs/>
        </w:rPr>
        <w:t xml:space="preserve">          Section 20</w:t>
      </w:r>
      <w:r w:rsidR="008D07E4">
        <w:rPr>
          <w:rFonts w:ascii="Times New Roman" w:hAnsi="Times New Roman"/>
          <w:iCs/>
        </w:rPr>
        <w:t xml:space="preserve"> of the Policy Statement</w:t>
      </w:r>
      <w:r>
        <w:rPr>
          <w:rFonts w:ascii="Times New Roman" w:hAnsi="Times New Roman"/>
          <w:iCs/>
        </w:rPr>
        <w:t xml:space="preserve"> </w:t>
      </w:r>
      <w:r w:rsidR="00FC7F77">
        <w:rPr>
          <w:rFonts w:ascii="Times New Roman" w:hAnsi="Times New Roman"/>
          <w:iCs/>
        </w:rPr>
        <w:t>provides</w:t>
      </w:r>
      <w:r w:rsidRPr="00443206" w:rsidR="00FC7F77">
        <w:rPr>
          <w:rFonts w:ascii="Times New Roman" w:hAnsi="Times New Roman"/>
          <w:iCs/>
        </w:rPr>
        <w:t xml:space="preserve"> </w:t>
      </w:r>
      <w:r w:rsidRPr="00443206">
        <w:rPr>
          <w:rFonts w:ascii="Times New Roman" w:hAnsi="Times New Roman"/>
          <w:iCs/>
        </w:rPr>
        <w:t>that liquidity risk reports</w:t>
      </w:r>
      <w:r w:rsidR="00FC7F77">
        <w:rPr>
          <w:rFonts w:ascii="Times New Roman" w:hAnsi="Times New Roman"/>
          <w:iCs/>
        </w:rPr>
        <w:t xml:space="preserve"> should</w:t>
      </w:r>
      <w:r w:rsidRPr="00443206">
        <w:rPr>
          <w:rFonts w:ascii="Times New Roman" w:hAnsi="Times New Roman"/>
          <w:iCs/>
        </w:rPr>
        <w:t xml:space="preserve"> provide aggregate information with sufficient supporting detail to enable management to assess the sensitivity of the </w:t>
      </w:r>
      <w:r w:rsidR="00FC6836">
        <w:rPr>
          <w:rFonts w:ascii="Times New Roman" w:hAnsi="Times New Roman"/>
          <w:iCs/>
        </w:rPr>
        <w:t>bank</w:t>
      </w:r>
      <w:r w:rsidRPr="00443206">
        <w:rPr>
          <w:rFonts w:ascii="Times New Roman" w:hAnsi="Times New Roman"/>
          <w:iCs/>
        </w:rPr>
        <w:t xml:space="preserve"> to changes in market conditions, its own financial performance, and other important risk factors.  </w:t>
      </w:r>
      <w:r w:rsidR="00B13071">
        <w:rPr>
          <w:rFonts w:ascii="Times New Roman" w:hAnsi="Times New Roman"/>
          <w:iCs/>
        </w:rPr>
        <w:t>Banks</w:t>
      </w:r>
      <w:r w:rsidRPr="00443206">
        <w:rPr>
          <w:rFonts w:ascii="Times New Roman" w:hAnsi="Times New Roman"/>
          <w:iCs/>
        </w:rPr>
        <w:t xml:space="preserve"> </w:t>
      </w:r>
      <w:r w:rsidR="00B824BC">
        <w:rPr>
          <w:rFonts w:ascii="Times New Roman" w:hAnsi="Times New Roman"/>
          <w:iCs/>
        </w:rPr>
        <w:t xml:space="preserve">also </w:t>
      </w:r>
      <w:r w:rsidRPr="00443206">
        <w:rPr>
          <w:rFonts w:ascii="Times New Roman" w:hAnsi="Times New Roman"/>
          <w:iCs/>
        </w:rPr>
        <w:t xml:space="preserve">should report on the use and availability of government support, such as lending and guarantee programs, and </w:t>
      </w:r>
      <w:r w:rsidR="003A1961">
        <w:rPr>
          <w:rFonts w:ascii="Times New Roman" w:hAnsi="Times New Roman"/>
          <w:iCs/>
        </w:rPr>
        <w:t xml:space="preserve">the </w:t>
      </w:r>
      <w:r w:rsidRPr="00443206">
        <w:rPr>
          <w:rFonts w:ascii="Times New Roman" w:hAnsi="Times New Roman"/>
          <w:iCs/>
        </w:rPr>
        <w:t xml:space="preserve">implications on liquidity positions, particularly </w:t>
      </w:r>
      <w:r w:rsidR="00263445">
        <w:rPr>
          <w:rFonts w:ascii="Times New Roman" w:hAnsi="Times New Roman"/>
          <w:iCs/>
        </w:rPr>
        <w:t>because</w:t>
      </w:r>
      <w:r w:rsidRPr="00443206">
        <w:rPr>
          <w:rFonts w:ascii="Times New Roman" w:hAnsi="Times New Roman"/>
          <w:iCs/>
        </w:rPr>
        <w:t xml:space="preserve"> these programs generally</w:t>
      </w:r>
      <w:r w:rsidR="00263445">
        <w:rPr>
          <w:rFonts w:ascii="Times New Roman" w:hAnsi="Times New Roman"/>
          <w:iCs/>
        </w:rPr>
        <w:t xml:space="preserve"> are </w:t>
      </w:r>
      <w:r w:rsidRPr="00443206">
        <w:rPr>
          <w:rFonts w:ascii="Times New Roman" w:hAnsi="Times New Roman"/>
          <w:iCs/>
        </w:rPr>
        <w:t xml:space="preserve">temporary or reserved as a source for </w:t>
      </w:r>
      <w:r w:rsidRPr="00443206">
        <w:rPr>
          <w:rFonts w:ascii="Times New Roman" w:hAnsi="Times New Roman"/>
          <w:iCs/>
        </w:rPr>
        <w:t xml:space="preserve">contingent funding. </w:t>
      </w:r>
    </w:p>
    <w:p w:rsidR="00B33044" w14:paraId="10D3BB37" w14:textId="77777777">
      <w:pPr>
        <w:tabs>
          <w:tab w:val="left" w:pos="-1440"/>
        </w:tabs>
        <w:ind w:left="720" w:hanging="720"/>
        <w:rPr>
          <w:rFonts w:ascii="Times New Roman" w:hAnsi="Times New Roman"/>
        </w:rPr>
      </w:pPr>
    </w:p>
    <w:p w:rsidR="006353FB" w:rsidRPr="00824F40" w14:paraId="25C1F5E3" w14:textId="77777777">
      <w:pPr>
        <w:tabs>
          <w:tab w:val="left" w:pos="-1440"/>
        </w:tabs>
        <w:ind w:left="720" w:hanging="720"/>
        <w:rPr>
          <w:rFonts w:ascii="Times New Roman" w:hAnsi="Times New Roman"/>
          <w:b/>
          <w:i/>
        </w:rPr>
      </w:pPr>
      <w:r w:rsidRPr="00824F40">
        <w:rPr>
          <w:rFonts w:ascii="Times New Roman" w:hAnsi="Times New Roman"/>
          <w:b/>
          <w:i/>
        </w:rPr>
        <w:t>3. Consideration of the use of information technology:</w:t>
      </w:r>
    </w:p>
    <w:p w:rsidR="006353FB" w14:paraId="1D02D531" w14:textId="77777777">
      <w:pPr>
        <w:rPr>
          <w:rFonts w:ascii="Times New Roman" w:hAnsi="Times New Roman"/>
        </w:rPr>
      </w:pPr>
    </w:p>
    <w:p w:rsidR="006353FB" w14:paraId="10B97678" w14:textId="77777777">
      <w:pPr>
        <w:rPr>
          <w:rFonts w:ascii="Times New Roman" w:hAnsi="Times New Roman"/>
        </w:rPr>
        <w:sectPr>
          <w:headerReference w:type="even" r:id="rId9"/>
          <w:footerReference w:type="default" r:id="rId10"/>
          <w:endnotePr>
            <w:numFmt w:val="decimal"/>
          </w:endnotePr>
          <w:pgSz w:w="12240" w:h="15840"/>
          <w:pgMar w:top="1440" w:right="1440" w:bottom="1440" w:left="1440" w:header="1440" w:footer="1440" w:gutter="0"/>
          <w:cols w:space="720"/>
          <w:noEndnote/>
          <w:titlePg/>
        </w:sectPr>
      </w:pPr>
    </w:p>
    <w:p w:rsidR="008F7FD7" w14:paraId="36029FE1" w14:textId="77777777">
      <w:pPr>
        <w:rPr>
          <w:rFonts w:ascii="Times New Roman" w:hAnsi="Times New Roman"/>
        </w:rPr>
      </w:pPr>
      <w:r>
        <w:rPr>
          <w:rFonts w:ascii="Times New Roman" w:hAnsi="Times New Roman"/>
        </w:rPr>
        <w:t xml:space="preserve">           </w:t>
      </w:r>
      <w:r w:rsidR="006353FB">
        <w:rPr>
          <w:rFonts w:ascii="Times New Roman" w:hAnsi="Times New Roman"/>
        </w:rPr>
        <w:t>Respondents may use any available information technology</w:t>
      </w:r>
      <w:r w:rsidR="002B46E9">
        <w:rPr>
          <w:rFonts w:ascii="Times New Roman" w:hAnsi="Times New Roman"/>
        </w:rPr>
        <w:t>.</w:t>
      </w:r>
      <w:r w:rsidR="006353FB">
        <w:rPr>
          <w:rFonts w:ascii="Times New Roman" w:hAnsi="Times New Roman"/>
        </w:rPr>
        <w:t xml:space="preserve"> </w:t>
      </w:r>
    </w:p>
    <w:p w:rsidR="009A6377" w14:paraId="1DBC3CC1" w14:textId="77777777">
      <w:pPr>
        <w:tabs>
          <w:tab w:val="left" w:pos="-1440"/>
        </w:tabs>
        <w:ind w:left="720" w:hanging="720"/>
        <w:rPr>
          <w:rFonts w:ascii="Times New Roman" w:hAnsi="Times New Roman"/>
        </w:rPr>
      </w:pPr>
    </w:p>
    <w:p w:rsidR="006353FB" w:rsidRPr="00824F40" w14:paraId="59736C90" w14:textId="77777777">
      <w:pPr>
        <w:tabs>
          <w:tab w:val="left" w:pos="-1440"/>
        </w:tabs>
        <w:ind w:left="720" w:hanging="720"/>
        <w:rPr>
          <w:rFonts w:ascii="Times New Roman" w:hAnsi="Times New Roman"/>
          <w:b/>
          <w:i/>
        </w:rPr>
      </w:pPr>
      <w:r w:rsidRPr="00824F40">
        <w:rPr>
          <w:rFonts w:ascii="Times New Roman" w:hAnsi="Times New Roman"/>
          <w:b/>
          <w:i/>
        </w:rPr>
        <w:t>4.  Efforts to identify duplication:</w:t>
      </w:r>
    </w:p>
    <w:p w:rsidR="006353FB" w14:paraId="3C18AFD9" w14:textId="77777777">
      <w:pPr>
        <w:rPr>
          <w:rFonts w:ascii="Times New Roman" w:hAnsi="Times New Roman"/>
        </w:rPr>
      </w:pPr>
    </w:p>
    <w:p w:rsidR="006353FB" w:rsidP="008F322C" w14:paraId="1A1EE204" w14:textId="77777777">
      <w:pPr>
        <w:ind w:firstLine="720"/>
        <w:rPr>
          <w:rFonts w:ascii="Times New Roman" w:hAnsi="Times New Roman"/>
        </w:rPr>
      </w:pPr>
      <w:r>
        <w:rPr>
          <w:rFonts w:ascii="Times New Roman" w:hAnsi="Times New Roman"/>
        </w:rPr>
        <w:t>The information required is unique and is not duplicated elsewhere.</w:t>
      </w:r>
    </w:p>
    <w:p w:rsidR="00764098" w:rsidP="00764098" w14:paraId="2DD16030" w14:textId="77777777">
      <w:pPr>
        <w:pStyle w:val="BodyText"/>
        <w:widowControl w:val="0"/>
        <w:ind w:left="100" w:right="861"/>
        <w:rPr>
          <w:rFonts w:ascii="Times New Roman" w:hAnsi="Times New Roman"/>
          <w:b/>
          <w:bCs/>
          <w:i/>
          <w:iCs/>
          <w:u w:val="none"/>
        </w:rPr>
      </w:pPr>
    </w:p>
    <w:p w:rsidR="00764098" w:rsidP="00764098" w14:paraId="5463D5C5" w14:textId="77777777">
      <w:pPr>
        <w:pStyle w:val="BodyText"/>
        <w:widowControl w:val="0"/>
        <w:ind w:left="100" w:right="861"/>
        <w:rPr>
          <w:rFonts w:ascii="Times New Roman" w:hAnsi="Times New Roman"/>
          <w:b/>
          <w:i/>
          <w:u w:val="none"/>
        </w:rPr>
      </w:pPr>
      <w:r>
        <w:rPr>
          <w:rFonts w:ascii="Times New Roman" w:hAnsi="Times New Roman"/>
          <w:b/>
          <w:bCs/>
          <w:i/>
          <w:iCs/>
          <w:u w:val="none"/>
        </w:rPr>
        <w:t>5.</w:t>
      </w:r>
      <w:r>
        <w:rPr>
          <w:rFonts w:ascii="Times New Roman" w:hAnsi="Times New Roman"/>
          <w:b/>
          <w:bCs/>
          <w:i/>
          <w:iCs/>
          <w:u w:val="none"/>
        </w:rPr>
        <w:tab/>
      </w:r>
      <w:r>
        <w:rPr>
          <w:rFonts w:ascii="Times New Roman" w:hAnsi="Times New Roman"/>
          <w:b/>
          <w:i/>
          <w:spacing w:val="-2"/>
          <w:u w:val="none"/>
        </w:rPr>
        <w:t>If</w:t>
      </w:r>
      <w:r>
        <w:rPr>
          <w:rFonts w:ascii="Times New Roman" w:hAnsi="Times New Roman"/>
          <w:b/>
          <w:i/>
          <w:spacing w:val="-8"/>
          <w:u w:val="none"/>
        </w:rPr>
        <w:t xml:space="preserve"> </w:t>
      </w:r>
      <w:r>
        <w:rPr>
          <w:rFonts w:ascii="Times New Roman" w:hAnsi="Times New Roman"/>
          <w:b/>
          <w:i/>
          <w:u w:val="none"/>
        </w:rPr>
        <w:t>the</w:t>
      </w:r>
      <w:r>
        <w:rPr>
          <w:rFonts w:ascii="Times New Roman" w:hAnsi="Times New Roman"/>
          <w:b/>
          <w:i/>
          <w:spacing w:val="-7"/>
          <w:u w:val="none"/>
        </w:rPr>
        <w:t xml:space="preserve"> </w:t>
      </w:r>
      <w:r>
        <w:rPr>
          <w:rFonts w:ascii="Times New Roman" w:hAnsi="Times New Roman"/>
          <w:b/>
          <w:i/>
          <w:spacing w:val="-1"/>
          <w:u w:val="none"/>
        </w:rPr>
        <w:t>collection</w:t>
      </w:r>
      <w:r>
        <w:rPr>
          <w:rFonts w:ascii="Times New Roman" w:hAnsi="Times New Roman"/>
          <w:b/>
          <w:i/>
          <w:spacing w:val="-7"/>
          <w:u w:val="none"/>
        </w:rPr>
        <w:t xml:space="preserve"> </w:t>
      </w:r>
      <w:r>
        <w:rPr>
          <w:rFonts w:ascii="Times New Roman" w:hAnsi="Times New Roman"/>
          <w:b/>
          <w:i/>
          <w:u w:val="none"/>
        </w:rPr>
        <w:t>of</w:t>
      </w:r>
      <w:r>
        <w:rPr>
          <w:rFonts w:ascii="Times New Roman" w:hAnsi="Times New Roman"/>
          <w:b/>
          <w:i/>
          <w:spacing w:val="-8"/>
          <w:u w:val="none"/>
        </w:rPr>
        <w:t xml:space="preserve"> </w:t>
      </w:r>
      <w:r>
        <w:rPr>
          <w:rFonts w:ascii="Times New Roman" w:hAnsi="Times New Roman"/>
          <w:b/>
          <w:i/>
          <w:spacing w:val="-1"/>
          <w:u w:val="none"/>
        </w:rPr>
        <w:t>information</w:t>
      </w:r>
      <w:r>
        <w:rPr>
          <w:rFonts w:ascii="Times New Roman" w:hAnsi="Times New Roman"/>
          <w:b/>
          <w:i/>
          <w:spacing w:val="-7"/>
          <w:u w:val="none"/>
        </w:rPr>
        <w:t xml:space="preserve"> </w:t>
      </w:r>
      <w:r>
        <w:rPr>
          <w:rFonts w:ascii="Times New Roman" w:hAnsi="Times New Roman"/>
          <w:b/>
          <w:i/>
          <w:spacing w:val="-1"/>
          <w:u w:val="none"/>
        </w:rPr>
        <w:t>impacts</w:t>
      </w:r>
      <w:r>
        <w:rPr>
          <w:rFonts w:ascii="Times New Roman" w:hAnsi="Times New Roman"/>
          <w:b/>
          <w:i/>
          <w:spacing w:val="-6"/>
          <w:u w:val="none"/>
        </w:rPr>
        <w:t xml:space="preserve"> </w:t>
      </w:r>
      <w:r>
        <w:rPr>
          <w:rFonts w:ascii="Times New Roman" w:hAnsi="Times New Roman"/>
          <w:b/>
          <w:i/>
          <w:spacing w:val="-1"/>
          <w:u w:val="none"/>
        </w:rPr>
        <w:t>small</w:t>
      </w:r>
      <w:r>
        <w:rPr>
          <w:rFonts w:ascii="Times New Roman" w:hAnsi="Times New Roman"/>
          <w:b/>
          <w:i/>
          <w:spacing w:val="-7"/>
          <w:u w:val="none"/>
        </w:rPr>
        <w:t xml:space="preserve"> </w:t>
      </w:r>
      <w:r>
        <w:rPr>
          <w:rFonts w:ascii="Times New Roman" w:hAnsi="Times New Roman"/>
          <w:b/>
          <w:i/>
          <w:spacing w:val="-1"/>
          <w:u w:val="none"/>
        </w:rPr>
        <w:t>businesses</w:t>
      </w:r>
      <w:r>
        <w:rPr>
          <w:rFonts w:ascii="Times New Roman" w:hAnsi="Times New Roman"/>
          <w:b/>
          <w:i/>
          <w:spacing w:val="-6"/>
          <w:u w:val="none"/>
        </w:rPr>
        <w:t xml:space="preserve"> </w:t>
      </w:r>
      <w:r>
        <w:rPr>
          <w:rFonts w:ascii="Times New Roman" w:hAnsi="Times New Roman"/>
          <w:b/>
          <w:i/>
          <w:u w:val="none"/>
        </w:rPr>
        <w:t>or</w:t>
      </w:r>
      <w:r>
        <w:rPr>
          <w:rFonts w:ascii="Times New Roman" w:hAnsi="Times New Roman"/>
          <w:b/>
          <w:i/>
          <w:spacing w:val="-8"/>
          <w:u w:val="none"/>
        </w:rPr>
        <w:t xml:space="preserve"> </w:t>
      </w:r>
      <w:r>
        <w:rPr>
          <w:rFonts w:ascii="Times New Roman" w:hAnsi="Times New Roman"/>
          <w:b/>
          <w:i/>
          <w:spacing w:val="1"/>
          <w:u w:val="none"/>
        </w:rPr>
        <w:t>other</w:t>
      </w:r>
      <w:r>
        <w:rPr>
          <w:rFonts w:ascii="Times New Roman" w:hAnsi="Times New Roman"/>
          <w:b/>
          <w:i/>
          <w:spacing w:val="-7"/>
          <w:u w:val="none"/>
        </w:rPr>
        <w:t xml:space="preserve"> </w:t>
      </w:r>
      <w:r>
        <w:rPr>
          <w:rFonts w:ascii="Times New Roman" w:hAnsi="Times New Roman"/>
          <w:b/>
          <w:i/>
          <w:spacing w:val="-1"/>
          <w:u w:val="none"/>
        </w:rPr>
        <w:t>small</w:t>
      </w:r>
      <w:r>
        <w:rPr>
          <w:rFonts w:ascii="Times New Roman" w:hAnsi="Times New Roman"/>
          <w:b/>
          <w:i/>
          <w:spacing w:val="-6"/>
          <w:u w:val="none"/>
        </w:rPr>
        <w:t xml:space="preserve"> </w:t>
      </w:r>
      <w:r>
        <w:rPr>
          <w:rFonts w:ascii="Times New Roman" w:hAnsi="Times New Roman"/>
          <w:b/>
          <w:i/>
          <w:u w:val="none"/>
        </w:rPr>
        <w:t>entities, describe</w:t>
      </w:r>
      <w:r>
        <w:rPr>
          <w:rFonts w:ascii="Times New Roman" w:hAnsi="Times New Roman"/>
          <w:b/>
          <w:i/>
          <w:spacing w:val="-7"/>
          <w:u w:val="none"/>
        </w:rPr>
        <w:t xml:space="preserve"> </w:t>
      </w:r>
      <w:r>
        <w:rPr>
          <w:rFonts w:ascii="Times New Roman" w:hAnsi="Times New Roman"/>
          <w:b/>
          <w:i/>
          <w:spacing w:val="1"/>
          <w:u w:val="none"/>
        </w:rPr>
        <w:t>any</w:t>
      </w:r>
      <w:r>
        <w:rPr>
          <w:rFonts w:ascii="Times New Roman" w:hAnsi="Times New Roman"/>
          <w:b/>
          <w:i/>
          <w:spacing w:val="-11"/>
          <w:u w:val="none"/>
        </w:rPr>
        <w:t xml:space="preserve"> </w:t>
      </w:r>
      <w:r>
        <w:rPr>
          <w:rFonts w:ascii="Times New Roman" w:hAnsi="Times New Roman"/>
          <w:b/>
          <w:i/>
          <w:spacing w:val="-1"/>
          <w:u w:val="none"/>
        </w:rPr>
        <w:t>methods</w:t>
      </w:r>
      <w:r>
        <w:rPr>
          <w:rFonts w:ascii="Times New Roman" w:hAnsi="Times New Roman"/>
          <w:b/>
          <w:i/>
          <w:spacing w:val="-8"/>
          <w:u w:val="none"/>
        </w:rPr>
        <w:t xml:space="preserve"> </w:t>
      </w:r>
      <w:r>
        <w:rPr>
          <w:rFonts w:ascii="Times New Roman" w:hAnsi="Times New Roman"/>
          <w:b/>
          <w:i/>
          <w:spacing w:val="-1"/>
          <w:u w:val="none"/>
        </w:rPr>
        <w:t>used</w:t>
      </w:r>
      <w:r>
        <w:rPr>
          <w:rFonts w:ascii="Times New Roman" w:hAnsi="Times New Roman"/>
          <w:b/>
          <w:i/>
          <w:spacing w:val="-8"/>
          <w:u w:val="none"/>
        </w:rPr>
        <w:t xml:space="preserve"> </w:t>
      </w:r>
      <w:r>
        <w:rPr>
          <w:rFonts w:ascii="Times New Roman" w:hAnsi="Times New Roman"/>
          <w:b/>
          <w:i/>
          <w:u w:val="none"/>
        </w:rPr>
        <w:t>to</w:t>
      </w:r>
      <w:r>
        <w:rPr>
          <w:rFonts w:ascii="Times New Roman" w:hAnsi="Times New Roman"/>
          <w:b/>
          <w:i/>
          <w:spacing w:val="-8"/>
          <w:u w:val="none"/>
        </w:rPr>
        <w:t xml:space="preserve"> </w:t>
      </w:r>
      <w:r>
        <w:rPr>
          <w:rFonts w:ascii="Times New Roman" w:hAnsi="Times New Roman"/>
          <w:b/>
          <w:i/>
          <w:u w:val="none"/>
        </w:rPr>
        <w:t>minimize</w:t>
      </w:r>
      <w:r>
        <w:rPr>
          <w:rFonts w:ascii="Times New Roman" w:hAnsi="Times New Roman"/>
          <w:b/>
          <w:i/>
          <w:spacing w:val="-8"/>
          <w:u w:val="none"/>
        </w:rPr>
        <w:t xml:space="preserve"> </w:t>
      </w:r>
      <w:r>
        <w:rPr>
          <w:rFonts w:ascii="Times New Roman" w:hAnsi="Times New Roman"/>
          <w:b/>
          <w:i/>
          <w:spacing w:val="-1"/>
          <w:u w:val="none"/>
        </w:rPr>
        <w:t>burden.</w:t>
      </w:r>
    </w:p>
    <w:p w:rsidR="00764098" w:rsidP="00764098" w14:paraId="150CD996" w14:textId="77777777"/>
    <w:p w:rsidR="00764098" w:rsidRPr="00764098" w:rsidP="00764098" w14:paraId="2903FC00" w14:textId="0D642D8D">
      <w:pPr>
        <w:ind w:firstLine="720"/>
        <w:rPr>
          <w:rFonts w:ascii="Times New Roman" w:hAnsi="Times New Roman"/>
          <w:color w:val="000000"/>
        </w:rPr>
      </w:pPr>
      <w:r w:rsidRPr="00764098">
        <w:rPr>
          <w:rFonts w:ascii="Times New Roman" w:hAnsi="Times New Roman"/>
          <w:color w:val="000000"/>
        </w:rPr>
        <w:t xml:space="preserve">There are no alternatives that would result in lowering the burden on small </w:t>
      </w:r>
      <w:r w:rsidR="00B13071">
        <w:rPr>
          <w:rFonts w:ascii="Times New Roman" w:hAnsi="Times New Roman"/>
          <w:color w:val="000000"/>
        </w:rPr>
        <w:t>banks</w:t>
      </w:r>
      <w:r w:rsidRPr="00764098">
        <w:rPr>
          <w:rFonts w:ascii="Times New Roman" w:hAnsi="Times New Roman"/>
          <w:color w:val="000000"/>
        </w:rPr>
        <w:t xml:space="preserve"> while still accomplishing the </w:t>
      </w:r>
      <w:r>
        <w:rPr>
          <w:rFonts w:ascii="Times New Roman" w:hAnsi="Times New Roman"/>
          <w:color w:val="000000"/>
        </w:rPr>
        <w:t>purpose of the guidance</w:t>
      </w:r>
      <w:r w:rsidRPr="00764098">
        <w:rPr>
          <w:rFonts w:ascii="Times New Roman" w:hAnsi="Times New Roman"/>
          <w:color w:val="000000"/>
        </w:rPr>
        <w:t>.</w:t>
      </w:r>
    </w:p>
    <w:p w:rsidR="006353FB" w14:paraId="18E761CC" w14:textId="77777777">
      <w:pPr>
        <w:rPr>
          <w:rFonts w:ascii="Times New Roman" w:hAnsi="Times New Roman"/>
        </w:rPr>
      </w:pPr>
    </w:p>
    <w:p w:rsidR="006353FB" w:rsidRPr="00824F40" w14:paraId="7F9F81C2" w14:textId="2FC99DA7">
      <w:pPr>
        <w:tabs>
          <w:tab w:val="left" w:pos="-1440"/>
        </w:tabs>
        <w:ind w:left="720" w:hanging="720"/>
        <w:rPr>
          <w:rFonts w:ascii="Times New Roman" w:hAnsi="Times New Roman"/>
          <w:b/>
          <w:i/>
        </w:rPr>
      </w:pPr>
      <w:r w:rsidRPr="00824F40">
        <w:rPr>
          <w:rFonts w:ascii="Times New Roman" w:hAnsi="Times New Roman"/>
          <w:b/>
          <w:i/>
        </w:rPr>
        <w:t xml:space="preserve">6. Consequences to the </w:t>
      </w:r>
      <w:r w:rsidR="00B2168F">
        <w:rPr>
          <w:rFonts w:ascii="Times New Roman" w:hAnsi="Times New Roman"/>
          <w:b/>
          <w:i/>
        </w:rPr>
        <w:t>F</w:t>
      </w:r>
      <w:r w:rsidRPr="00824F40">
        <w:rPr>
          <w:rFonts w:ascii="Times New Roman" w:hAnsi="Times New Roman"/>
          <w:b/>
          <w:i/>
        </w:rPr>
        <w:t>ederal program if the collection were conducted less frequently:</w:t>
      </w:r>
    </w:p>
    <w:p w:rsidR="006353FB" w14:paraId="2541E797" w14:textId="77777777">
      <w:pPr>
        <w:rPr>
          <w:rFonts w:ascii="Times New Roman" w:hAnsi="Times New Roman"/>
        </w:rPr>
      </w:pPr>
    </w:p>
    <w:p w:rsidR="006353FB" w:rsidRPr="00092EE9" w:rsidP="008F322C" w14:paraId="6C5E45EC" w14:textId="767FEDCC">
      <w:pPr>
        <w:ind w:firstLine="720"/>
        <w:rPr>
          <w:rFonts w:ascii="Times New Roman" w:hAnsi="Times New Roman"/>
        </w:rPr>
      </w:pPr>
      <w:r>
        <w:rPr>
          <w:rFonts w:ascii="Times New Roman" w:hAnsi="Times New Roman"/>
        </w:rPr>
        <w:t xml:space="preserve">Sound </w:t>
      </w:r>
      <w:r w:rsidR="00092EE9">
        <w:rPr>
          <w:rFonts w:ascii="Times New Roman" w:hAnsi="Times New Roman"/>
        </w:rPr>
        <w:t xml:space="preserve">liquidity risk management is important </w:t>
      </w:r>
      <w:r w:rsidR="00263445">
        <w:rPr>
          <w:rFonts w:ascii="Times New Roman" w:hAnsi="Times New Roman"/>
        </w:rPr>
        <w:t>to ensure</w:t>
      </w:r>
      <w:r w:rsidR="00092EE9">
        <w:rPr>
          <w:rFonts w:ascii="Times New Roman" w:hAnsi="Times New Roman"/>
        </w:rPr>
        <w:t xml:space="preserve"> the safety and soundness of </w:t>
      </w:r>
      <w:r>
        <w:rPr>
          <w:rFonts w:ascii="Times New Roman" w:hAnsi="Times New Roman"/>
        </w:rPr>
        <w:t>banks</w:t>
      </w:r>
      <w:r w:rsidR="00092EE9">
        <w:rPr>
          <w:rFonts w:ascii="Times New Roman" w:hAnsi="Times New Roman"/>
        </w:rPr>
        <w:t xml:space="preserve">.  </w:t>
      </w:r>
      <w:r>
        <w:rPr>
          <w:rFonts w:ascii="Times New Roman" w:hAnsi="Times New Roman"/>
        </w:rPr>
        <w:t xml:space="preserve">Less frequent collection would </w:t>
      </w:r>
      <w:r w:rsidR="00092EE9">
        <w:rPr>
          <w:rFonts w:ascii="Times New Roman" w:hAnsi="Times New Roman"/>
        </w:rPr>
        <w:t xml:space="preserve">put </w:t>
      </w:r>
      <w:r>
        <w:rPr>
          <w:rFonts w:ascii="Times New Roman" w:hAnsi="Times New Roman"/>
        </w:rPr>
        <w:t>banks</w:t>
      </w:r>
      <w:r w:rsidR="00092EE9">
        <w:rPr>
          <w:rFonts w:ascii="Times New Roman" w:hAnsi="Times New Roman"/>
        </w:rPr>
        <w:t xml:space="preserve"> at risk.</w:t>
      </w:r>
    </w:p>
    <w:p w:rsidR="006353FB" w14:paraId="77AD662B" w14:textId="77777777">
      <w:pPr>
        <w:rPr>
          <w:rFonts w:ascii="Times New Roman" w:hAnsi="Times New Roman"/>
        </w:rPr>
      </w:pPr>
    </w:p>
    <w:p w:rsidR="006353FB" w:rsidRPr="00824F40" w14:paraId="52356E24" w14:textId="77777777">
      <w:pPr>
        <w:tabs>
          <w:tab w:val="left" w:pos="-1440"/>
        </w:tabs>
        <w:ind w:left="720" w:hanging="720"/>
        <w:rPr>
          <w:rFonts w:ascii="Times New Roman" w:hAnsi="Times New Roman"/>
          <w:b/>
          <w:i/>
        </w:rPr>
      </w:pPr>
      <w:r w:rsidRPr="00824F40">
        <w:rPr>
          <w:rFonts w:ascii="Times New Roman" w:hAnsi="Times New Roman"/>
          <w:b/>
          <w:i/>
        </w:rPr>
        <w:t>7. Special circumstances necessitating collection inconsistent with 5 CFR Part 1320:</w:t>
      </w:r>
    </w:p>
    <w:p w:rsidR="006353FB" w14:paraId="66CF31EB" w14:textId="77777777">
      <w:pPr>
        <w:rPr>
          <w:rFonts w:ascii="Times New Roman" w:hAnsi="Times New Roman"/>
        </w:rPr>
      </w:pPr>
    </w:p>
    <w:p w:rsidR="006353FB" w:rsidP="008F322C" w14:paraId="35BAF238" w14:textId="77777777">
      <w:pPr>
        <w:ind w:firstLine="720"/>
        <w:rPr>
          <w:rFonts w:ascii="Times New Roman" w:hAnsi="Times New Roman"/>
        </w:rPr>
      </w:pPr>
      <w:r>
        <w:rPr>
          <w:rFonts w:ascii="Times New Roman" w:hAnsi="Times New Roman"/>
        </w:rPr>
        <w:t>Not applicable.</w:t>
      </w:r>
    </w:p>
    <w:p w:rsidR="00813534" w:rsidP="008F322C" w14:paraId="5FEB0CC2" w14:textId="77777777">
      <w:pPr>
        <w:ind w:firstLine="720"/>
        <w:rPr>
          <w:rFonts w:ascii="Times New Roman" w:hAnsi="Times New Roman"/>
        </w:rPr>
      </w:pPr>
    </w:p>
    <w:p w:rsidR="006353FB" w:rsidRPr="00824F40" w14:paraId="57555414" w14:textId="77777777">
      <w:pPr>
        <w:tabs>
          <w:tab w:val="left" w:pos="-1440"/>
        </w:tabs>
        <w:rPr>
          <w:rFonts w:ascii="Times New Roman" w:hAnsi="Times New Roman"/>
          <w:b/>
          <w:i/>
        </w:rPr>
      </w:pPr>
      <w:r w:rsidRPr="00824F40">
        <w:rPr>
          <w:rFonts w:ascii="Times New Roman" w:hAnsi="Times New Roman"/>
          <w:b/>
          <w:i/>
        </w:rPr>
        <w:t>8. Efforts to consult with persons outside the agency:</w:t>
      </w:r>
    </w:p>
    <w:p w:rsidR="006353FB" w14:paraId="7F8768CA" w14:textId="77777777">
      <w:pPr>
        <w:rPr>
          <w:rFonts w:ascii="Times New Roman" w:hAnsi="Times New Roman"/>
        </w:rPr>
      </w:pPr>
    </w:p>
    <w:p w:rsidR="00512FD1" w:rsidRPr="00DF0C8E" w:rsidP="00764098" w14:paraId="08CC124F" w14:textId="00018D9D">
      <w:pPr>
        <w:rPr>
          <w:rFonts w:ascii="Times New Roman" w:eastAsia="Calibri" w:hAnsi="Times New Roman"/>
          <w:szCs w:val="24"/>
        </w:rPr>
      </w:pPr>
      <w:r>
        <w:rPr>
          <w:rFonts w:ascii="Times New Roman" w:eastAsia="Calibri" w:hAnsi="Times New Roman"/>
          <w:szCs w:val="24"/>
        </w:rPr>
        <w:t xml:space="preserve">            </w:t>
      </w:r>
      <w:r w:rsidR="00764098">
        <w:rPr>
          <w:rFonts w:ascii="Times New Roman" w:eastAsia="Calibri" w:hAnsi="Times New Roman"/>
          <w:szCs w:val="24"/>
        </w:rPr>
        <w:t xml:space="preserve">On </w:t>
      </w:r>
      <w:r w:rsidR="00E57789">
        <w:rPr>
          <w:rFonts w:ascii="Times New Roman" w:eastAsia="Calibri" w:hAnsi="Times New Roman"/>
          <w:szCs w:val="24"/>
        </w:rPr>
        <w:t>May 29</w:t>
      </w:r>
      <w:r w:rsidR="00764098">
        <w:rPr>
          <w:rFonts w:ascii="Times New Roman" w:eastAsia="Calibri" w:hAnsi="Times New Roman"/>
          <w:szCs w:val="24"/>
        </w:rPr>
        <w:t>, 20</w:t>
      </w:r>
      <w:r w:rsidR="004F641F">
        <w:rPr>
          <w:rFonts w:ascii="Times New Roman" w:eastAsia="Calibri" w:hAnsi="Times New Roman"/>
          <w:szCs w:val="24"/>
        </w:rPr>
        <w:t>2</w:t>
      </w:r>
      <w:r w:rsidR="007B20FD">
        <w:rPr>
          <w:rFonts w:ascii="Times New Roman" w:eastAsia="Calibri" w:hAnsi="Times New Roman"/>
          <w:szCs w:val="24"/>
        </w:rPr>
        <w:t>5</w:t>
      </w:r>
      <w:r w:rsidR="00764098">
        <w:rPr>
          <w:rFonts w:ascii="Times New Roman" w:eastAsia="Calibri" w:hAnsi="Times New Roman"/>
          <w:szCs w:val="24"/>
        </w:rPr>
        <w:t xml:space="preserve">, the OCC issued a notice for 60 days of comment regarding the collection, </w:t>
      </w:r>
      <w:r w:rsidR="007B20FD">
        <w:rPr>
          <w:rFonts w:ascii="Times New Roman" w:eastAsia="Calibri" w:hAnsi="Times New Roman"/>
          <w:szCs w:val="24"/>
        </w:rPr>
        <w:t xml:space="preserve">90 </w:t>
      </w:r>
      <w:r w:rsidR="00764098">
        <w:rPr>
          <w:rFonts w:ascii="Times New Roman" w:eastAsia="Calibri" w:hAnsi="Times New Roman"/>
          <w:szCs w:val="24"/>
        </w:rPr>
        <w:t xml:space="preserve">FR </w:t>
      </w:r>
      <w:r w:rsidR="00E57789">
        <w:rPr>
          <w:rFonts w:ascii="Times New Roman" w:eastAsia="Calibri" w:hAnsi="Times New Roman"/>
          <w:szCs w:val="24"/>
        </w:rPr>
        <w:t>22827</w:t>
      </w:r>
      <w:r w:rsidR="00764098">
        <w:rPr>
          <w:rFonts w:ascii="Times New Roman" w:eastAsia="Calibri" w:hAnsi="Times New Roman"/>
          <w:szCs w:val="24"/>
        </w:rPr>
        <w:t>.</w:t>
      </w:r>
      <w:r w:rsidR="001B18EF">
        <w:rPr>
          <w:rFonts w:ascii="Times New Roman" w:eastAsia="Calibri" w:hAnsi="Times New Roman"/>
          <w:szCs w:val="24"/>
        </w:rPr>
        <w:t xml:space="preserve">  </w:t>
      </w:r>
      <w:r w:rsidR="00E57789">
        <w:rPr>
          <w:rFonts w:ascii="Times New Roman" w:eastAsia="Calibri" w:hAnsi="Times New Roman"/>
          <w:szCs w:val="24"/>
        </w:rPr>
        <w:t>There were no comments received.</w:t>
      </w:r>
    </w:p>
    <w:p w:rsidR="006353FB" w14:paraId="17E71D2B" w14:textId="77777777">
      <w:pPr>
        <w:rPr>
          <w:rFonts w:ascii="Times New Roman" w:hAnsi="Times New Roman"/>
        </w:rPr>
      </w:pPr>
    </w:p>
    <w:p w:rsidR="006353FB" w14:paraId="1856C481" w14:textId="77777777">
      <w:pPr>
        <w:rPr>
          <w:rFonts w:ascii="Times New Roman" w:hAnsi="Times New Roman"/>
        </w:rPr>
        <w:sectPr>
          <w:headerReference w:type="default" r:id="rId11"/>
          <w:endnotePr>
            <w:numFmt w:val="decimal"/>
          </w:endnotePr>
          <w:type w:val="continuous"/>
          <w:pgSz w:w="12240" w:h="15840"/>
          <w:pgMar w:top="1440" w:right="1440" w:bottom="1440" w:left="1440" w:header="1440" w:footer="1440" w:gutter="0"/>
          <w:cols w:space="720"/>
          <w:noEndnote/>
        </w:sectPr>
      </w:pPr>
    </w:p>
    <w:p w:rsidR="006353FB" w:rsidRPr="00824F40" w14:paraId="53BD4016" w14:textId="77777777">
      <w:pPr>
        <w:rPr>
          <w:rFonts w:ascii="Times New Roman" w:hAnsi="Times New Roman"/>
          <w:b/>
          <w:i/>
        </w:rPr>
      </w:pPr>
      <w:r w:rsidRPr="00824F40">
        <w:rPr>
          <w:rFonts w:ascii="Times New Roman" w:hAnsi="Times New Roman"/>
          <w:b/>
          <w:i/>
        </w:rPr>
        <w:t>9. Payment to respondents:</w:t>
      </w:r>
    </w:p>
    <w:p w:rsidR="006353FB" w14:paraId="1E5060D0" w14:textId="77777777">
      <w:pPr>
        <w:rPr>
          <w:rFonts w:ascii="Times New Roman" w:hAnsi="Times New Roman"/>
        </w:rPr>
      </w:pPr>
    </w:p>
    <w:p w:rsidR="006353FB" w:rsidP="008F322C" w14:paraId="0C9ED6B8" w14:textId="77777777">
      <w:pPr>
        <w:ind w:firstLine="720"/>
        <w:rPr>
          <w:rFonts w:ascii="Times New Roman" w:hAnsi="Times New Roman"/>
        </w:rPr>
      </w:pPr>
      <w:r>
        <w:rPr>
          <w:rFonts w:ascii="Times New Roman" w:hAnsi="Times New Roman"/>
        </w:rPr>
        <w:t>None.</w:t>
      </w:r>
    </w:p>
    <w:p w:rsidR="006353FB" w14:paraId="44A00B70" w14:textId="77777777">
      <w:pPr>
        <w:rPr>
          <w:rFonts w:ascii="Times New Roman" w:hAnsi="Times New Roman"/>
        </w:rPr>
      </w:pPr>
    </w:p>
    <w:p w:rsidR="006353FB" w:rsidRPr="00824F40" w14:paraId="4AE3A32D" w14:textId="77777777">
      <w:pPr>
        <w:tabs>
          <w:tab w:val="left" w:pos="-1440"/>
        </w:tabs>
        <w:ind w:left="720" w:hanging="720"/>
        <w:rPr>
          <w:rFonts w:ascii="Times New Roman" w:hAnsi="Times New Roman"/>
          <w:b/>
          <w:i/>
        </w:rPr>
      </w:pPr>
      <w:r w:rsidRPr="00824F40">
        <w:rPr>
          <w:rFonts w:ascii="Times New Roman" w:hAnsi="Times New Roman"/>
          <w:b/>
          <w:i/>
        </w:rPr>
        <w:t>10. Any assurance of confidentiality:</w:t>
      </w:r>
    </w:p>
    <w:p w:rsidR="006353FB" w14:paraId="19F7C6DF" w14:textId="77777777">
      <w:pPr>
        <w:rPr>
          <w:rFonts w:ascii="Times New Roman" w:hAnsi="Times New Roman"/>
        </w:rPr>
      </w:pPr>
    </w:p>
    <w:p w:rsidR="006353FB" w:rsidP="008F322C" w14:paraId="51952477" w14:textId="77777777">
      <w:pPr>
        <w:ind w:firstLine="720"/>
        <w:rPr>
          <w:rFonts w:ascii="Times New Roman" w:hAnsi="Times New Roman"/>
        </w:rPr>
      </w:pPr>
      <w:r>
        <w:rPr>
          <w:rFonts w:ascii="Times New Roman" w:hAnsi="Times New Roman"/>
        </w:rPr>
        <w:t>The information collected will be kept private to the extent permitted by law</w:t>
      </w:r>
      <w:r>
        <w:rPr>
          <w:rFonts w:ascii="Times New Roman" w:hAnsi="Times New Roman"/>
        </w:rPr>
        <w:t>.</w:t>
      </w:r>
    </w:p>
    <w:p w:rsidR="006353FB" w14:paraId="61A4BFB2" w14:textId="77777777">
      <w:pPr>
        <w:rPr>
          <w:rFonts w:ascii="Times New Roman" w:hAnsi="Times New Roman"/>
        </w:rPr>
      </w:pPr>
    </w:p>
    <w:p w:rsidR="006353FB" w:rsidRPr="00824F40" w14:paraId="085B0109" w14:textId="77777777">
      <w:pPr>
        <w:tabs>
          <w:tab w:val="left" w:pos="-1440"/>
        </w:tabs>
        <w:ind w:left="720" w:hanging="720"/>
        <w:rPr>
          <w:rFonts w:ascii="Times New Roman" w:hAnsi="Times New Roman"/>
          <w:b/>
          <w:i/>
        </w:rPr>
      </w:pPr>
      <w:r w:rsidRPr="00824F40">
        <w:rPr>
          <w:rFonts w:ascii="Times New Roman" w:hAnsi="Times New Roman"/>
          <w:b/>
          <w:i/>
        </w:rPr>
        <w:t>11. Justification for questions of a sensitive nature:</w:t>
      </w:r>
    </w:p>
    <w:p w:rsidR="006353FB" w14:paraId="264362EE" w14:textId="77777777">
      <w:pPr>
        <w:rPr>
          <w:rFonts w:ascii="Times New Roman" w:hAnsi="Times New Roman"/>
        </w:rPr>
      </w:pPr>
    </w:p>
    <w:p w:rsidR="006353FB" w:rsidP="008F322C" w14:paraId="023701D5" w14:textId="77777777">
      <w:pPr>
        <w:ind w:firstLine="720"/>
        <w:rPr>
          <w:rFonts w:ascii="Times New Roman" w:hAnsi="Times New Roman"/>
        </w:rPr>
      </w:pPr>
      <w:r>
        <w:rPr>
          <w:rFonts w:ascii="Times New Roman" w:hAnsi="Times New Roman"/>
        </w:rPr>
        <w:t>Not applicable.</w:t>
      </w:r>
    </w:p>
    <w:p w:rsidR="007C73C6" w14:paraId="134DF2CB" w14:textId="77777777">
      <w:pPr>
        <w:tabs>
          <w:tab w:val="left" w:pos="-1440"/>
        </w:tabs>
        <w:ind w:left="720" w:hanging="720"/>
        <w:rPr>
          <w:rFonts w:ascii="Times New Roman" w:hAnsi="Times New Roman"/>
        </w:rPr>
      </w:pPr>
    </w:p>
    <w:p w:rsidR="006353FB" w:rsidRPr="00824F40" w14:paraId="306801E2" w14:textId="77777777">
      <w:pPr>
        <w:tabs>
          <w:tab w:val="left" w:pos="-1440"/>
        </w:tabs>
        <w:ind w:left="720" w:hanging="720"/>
        <w:rPr>
          <w:rFonts w:ascii="Times New Roman" w:hAnsi="Times New Roman"/>
          <w:b/>
          <w:i/>
        </w:rPr>
      </w:pPr>
      <w:r w:rsidRPr="00824F40">
        <w:rPr>
          <w:rFonts w:ascii="Times New Roman" w:hAnsi="Times New Roman"/>
          <w:b/>
          <w:i/>
        </w:rPr>
        <w:t>12. Burden estimate:</w:t>
      </w:r>
    </w:p>
    <w:p w:rsidR="00617A5B" w:rsidP="00210AD7" w14:paraId="14906A6E" w14:textId="47967FFA">
      <w:pPr>
        <w:pStyle w:val="HTMLPreformatted"/>
        <w:tabs>
          <w:tab w:val="left" w:pos="180"/>
          <w:tab w:val="left" w:pos="8640"/>
        </w:tabs>
        <w:spacing w:line="480" w:lineRule="auto"/>
        <w:ind w:right="-180"/>
        <w:rPr>
          <w:rFonts w:ascii="Times New Roman" w:hAnsi="Times New Roman" w:cs="Times New Roman"/>
          <w:color w:val="000000" w:themeColor="text1"/>
          <w:sz w:val="24"/>
          <w:szCs w:val="24"/>
        </w:rPr>
      </w:pPr>
    </w:p>
    <w:tbl>
      <w:tblPr>
        <w:tblStyle w:val="TableGrid"/>
        <w:tblW w:w="10980" w:type="dxa"/>
        <w:tblInd w:w="-545" w:type="dxa"/>
        <w:tblLook w:val="04A0"/>
      </w:tblPr>
      <w:tblGrid>
        <w:gridCol w:w="3420"/>
        <w:gridCol w:w="2450"/>
        <w:gridCol w:w="1203"/>
        <w:gridCol w:w="1995"/>
        <w:gridCol w:w="1912"/>
      </w:tblGrid>
      <w:tr w14:paraId="378DCA3C" w14:textId="77777777" w:rsidTr="00E57789">
        <w:tblPrEx>
          <w:tblW w:w="10980" w:type="dxa"/>
          <w:tblInd w:w="-545" w:type="dxa"/>
          <w:tblLook w:val="04A0"/>
        </w:tblPrEx>
        <w:tc>
          <w:tcPr>
            <w:tcW w:w="3420" w:type="dxa"/>
          </w:tcPr>
          <w:p w:rsidR="006707D8" w:rsidRPr="00E57789" w:rsidP="00E57789" w14:paraId="2F52D3A5" w14:textId="525A386A">
            <w:pPr>
              <w:pStyle w:val="HTMLPreformatted"/>
              <w:tabs>
                <w:tab w:val="left" w:pos="180"/>
                <w:tab w:val="left" w:pos="8640"/>
              </w:tabs>
              <w:ind w:right="-187"/>
              <w:rPr>
                <w:rFonts w:ascii="Times New Roman" w:hAnsi="Times New Roman" w:cs="Times New Roman"/>
                <w:b/>
                <w:bCs/>
                <w:i/>
                <w:iCs/>
                <w:color w:val="000000" w:themeColor="text1"/>
                <w:sz w:val="24"/>
                <w:szCs w:val="24"/>
              </w:rPr>
            </w:pPr>
            <w:r w:rsidRPr="00E57789">
              <w:rPr>
                <w:rFonts w:ascii="Times New Roman" w:hAnsi="Times New Roman" w:cs="Times New Roman"/>
                <w:b/>
                <w:bCs/>
                <w:i/>
                <w:iCs/>
                <w:color w:val="000000" w:themeColor="text1"/>
                <w:sz w:val="24"/>
                <w:szCs w:val="24"/>
              </w:rPr>
              <w:t>Liquidity Risk Management Policies, Procedures, Assumptions, and Contingency Funding Plans</w:t>
            </w:r>
          </w:p>
        </w:tc>
        <w:tc>
          <w:tcPr>
            <w:tcW w:w="2450" w:type="dxa"/>
          </w:tcPr>
          <w:p w:rsidR="006707D8" w:rsidRPr="00E57789" w:rsidP="00E57789" w14:paraId="178E201C" w14:textId="6D6DF3AD">
            <w:pPr>
              <w:pStyle w:val="HTMLPreformatted"/>
              <w:tabs>
                <w:tab w:val="left" w:pos="180"/>
                <w:tab w:val="left" w:pos="8640"/>
              </w:tabs>
              <w:ind w:right="-187"/>
              <w:rPr>
                <w:rFonts w:ascii="Times New Roman" w:hAnsi="Times New Roman" w:cs="Times New Roman"/>
                <w:b/>
                <w:bCs/>
                <w:i/>
                <w:iCs/>
                <w:color w:val="000000" w:themeColor="text1"/>
                <w:sz w:val="24"/>
                <w:szCs w:val="24"/>
              </w:rPr>
            </w:pPr>
            <w:r w:rsidRPr="00E57789">
              <w:rPr>
                <w:rFonts w:ascii="Times New Roman" w:hAnsi="Times New Roman" w:cs="Times New Roman"/>
                <w:b/>
                <w:bCs/>
                <w:i/>
                <w:iCs/>
                <w:color w:val="000000" w:themeColor="text1"/>
                <w:sz w:val="24"/>
                <w:szCs w:val="24"/>
              </w:rPr>
              <w:t>Estimated number of Respondents</w:t>
            </w:r>
          </w:p>
        </w:tc>
        <w:tc>
          <w:tcPr>
            <w:tcW w:w="1203" w:type="dxa"/>
          </w:tcPr>
          <w:p w:rsidR="006707D8" w:rsidRPr="00E57789" w:rsidP="00E57789" w14:paraId="42728A5E" w14:textId="5D82CD8C">
            <w:pPr>
              <w:pStyle w:val="HTMLPreformatted"/>
              <w:tabs>
                <w:tab w:val="left" w:pos="180"/>
                <w:tab w:val="left" w:pos="8640"/>
              </w:tabs>
              <w:ind w:right="-187"/>
              <w:rPr>
                <w:rFonts w:ascii="Times New Roman" w:hAnsi="Times New Roman" w:cs="Times New Roman"/>
                <w:b/>
                <w:bCs/>
                <w:i/>
                <w:iCs/>
                <w:color w:val="000000" w:themeColor="text1"/>
                <w:sz w:val="24"/>
                <w:szCs w:val="24"/>
              </w:rPr>
            </w:pPr>
            <w:r>
              <w:rPr>
                <w:rFonts w:ascii="Times New Roman" w:hAnsi="Times New Roman" w:cs="Times New Roman"/>
                <w:b/>
                <w:bCs/>
                <w:i/>
                <w:iCs/>
                <w:color w:val="000000" w:themeColor="text1"/>
                <w:sz w:val="24"/>
                <w:szCs w:val="24"/>
              </w:rPr>
              <w:t>Estimated annual frequency</w:t>
            </w:r>
          </w:p>
        </w:tc>
        <w:tc>
          <w:tcPr>
            <w:tcW w:w="1995" w:type="dxa"/>
          </w:tcPr>
          <w:p w:rsidR="006707D8" w:rsidRPr="00E57789" w:rsidP="00E57789" w14:paraId="3F331AD4" w14:textId="0DFBFCEF">
            <w:pPr>
              <w:pStyle w:val="HTMLPreformatted"/>
              <w:tabs>
                <w:tab w:val="left" w:pos="180"/>
                <w:tab w:val="left" w:pos="8640"/>
              </w:tabs>
              <w:ind w:right="-187"/>
              <w:rPr>
                <w:rFonts w:ascii="Times New Roman" w:hAnsi="Times New Roman" w:cs="Times New Roman"/>
                <w:b/>
                <w:bCs/>
                <w:i/>
                <w:iCs/>
                <w:color w:val="000000" w:themeColor="text1"/>
                <w:sz w:val="24"/>
                <w:szCs w:val="24"/>
              </w:rPr>
            </w:pPr>
            <w:r>
              <w:rPr>
                <w:rFonts w:ascii="Times New Roman" w:hAnsi="Times New Roman" w:cs="Times New Roman"/>
                <w:b/>
                <w:bCs/>
                <w:i/>
                <w:iCs/>
                <w:color w:val="000000" w:themeColor="text1"/>
                <w:sz w:val="24"/>
                <w:szCs w:val="24"/>
              </w:rPr>
              <w:t>Estimated average hours per response</w:t>
            </w:r>
          </w:p>
        </w:tc>
        <w:tc>
          <w:tcPr>
            <w:tcW w:w="1912" w:type="dxa"/>
          </w:tcPr>
          <w:p w:rsidR="006707D8" w:rsidRPr="00E57789" w:rsidP="00E57789" w14:paraId="26991953" w14:textId="26654949">
            <w:pPr>
              <w:pStyle w:val="HTMLPreformatted"/>
              <w:tabs>
                <w:tab w:val="left" w:pos="180"/>
                <w:tab w:val="left" w:pos="8640"/>
              </w:tabs>
              <w:ind w:right="-187"/>
              <w:rPr>
                <w:rFonts w:ascii="Times New Roman" w:hAnsi="Times New Roman" w:cs="Times New Roman"/>
                <w:b/>
                <w:bCs/>
                <w:i/>
                <w:iCs/>
                <w:color w:val="000000" w:themeColor="text1"/>
                <w:sz w:val="24"/>
                <w:szCs w:val="24"/>
              </w:rPr>
            </w:pPr>
            <w:r>
              <w:rPr>
                <w:rFonts w:ascii="Times New Roman" w:hAnsi="Times New Roman" w:cs="Times New Roman"/>
                <w:b/>
                <w:bCs/>
                <w:i/>
                <w:iCs/>
                <w:color w:val="000000" w:themeColor="text1"/>
                <w:sz w:val="24"/>
                <w:szCs w:val="24"/>
              </w:rPr>
              <w:t>Estimated annual burden hours</w:t>
            </w:r>
          </w:p>
        </w:tc>
      </w:tr>
      <w:tr w14:paraId="4DA9505B" w14:textId="77777777" w:rsidTr="00E57789">
        <w:tblPrEx>
          <w:tblW w:w="10980" w:type="dxa"/>
          <w:tblInd w:w="-545" w:type="dxa"/>
          <w:tblLook w:val="04A0"/>
        </w:tblPrEx>
        <w:tc>
          <w:tcPr>
            <w:tcW w:w="3420" w:type="dxa"/>
          </w:tcPr>
          <w:p w:rsidR="006707D8" w:rsidRPr="00E57789" w:rsidP="00E57789" w14:paraId="2CEE3578" w14:textId="1023EC41">
            <w:pPr>
              <w:pStyle w:val="HTMLPreformatted"/>
              <w:tabs>
                <w:tab w:val="left" w:pos="180"/>
                <w:tab w:val="left" w:pos="8640"/>
              </w:tabs>
              <w:ind w:right="-187"/>
              <w:rPr>
                <w:rFonts w:ascii="Times New Roman" w:hAnsi="Times New Roman" w:cs="Times New Roman"/>
                <w:color w:val="000000" w:themeColor="text1"/>
                <w:sz w:val="24"/>
                <w:szCs w:val="24"/>
              </w:rPr>
            </w:pPr>
            <w:r w:rsidRPr="00E57789">
              <w:rPr>
                <w:rFonts w:ascii="Times New Roman" w:hAnsi="Times New Roman" w:cs="Times New Roman"/>
                <w:color w:val="000000" w:themeColor="text1"/>
                <w:sz w:val="24"/>
                <w:szCs w:val="24"/>
              </w:rPr>
              <w:t>Implementation of recordkeeping</w:t>
            </w:r>
          </w:p>
        </w:tc>
        <w:tc>
          <w:tcPr>
            <w:tcW w:w="2450" w:type="dxa"/>
          </w:tcPr>
          <w:p w:rsidR="006707D8" w:rsidRPr="00E57789" w:rsidP="00B27453" w14:paraId="49860ECA" w14:textId="76CC5416">
            <w:pPr>
              <w:pStyle w:val="HTMLPreformatted"/>
              <w:tabs>
                <w:tab w:val="left" w:pos="180"/>
                <w:tab w:val="left" w:pos="8640"/>
              </w:tabs>
              <w:spacing w:line="480" w:lineRule="auto"/>
              <w:ind w:right="-1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New institutions- </w:t>
            </w:r>
            <w:r w:rsidRPr="00E57789">
              <w:rPr>
                <w:rFonts w:ascii="Times New Roman" w:hAnsi="Times New Roman" w:cs="Times New Roman"/>
                <w:color w:val="000000" w:themeColor="text1"/>
                <w:sz w:val="24"/>
                <w:szCs w:val="24"/>
              </w:rPr>
              <w:t>8</w:t>
            </w:r>
          </w:p>
        </w:tc>
        <w:tc>
          <w:tcPr>
            <w:tcW w:w="1203" w:type="dxa"/>
          </w:tcPr>
          <w:p w:rsidR="006707D8" w:rsidRPr="00E57789" w:rsidP="00E57789" w14:paraId="36F23F30" w14:textId="2A123DBA">
            <w:pPr>
              <w:pStyle w:val="HTMLPreformatted"/>
              <w:tabs>
                <w:tab w:val="left" w:pos="180"/>
                <w:tab w:val="left" w:pos="8640"/>
              </w:tabs>
              <w:spacing w:line="480" w:lineRule="auto"/>
              <w:ind w:right="-18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995" w:type="dxa"/>
          </w:tcPr>
          <w:p w:rsidR="006707D8" w:rsidRPr="00E57789" w:rsidP="00E57789" w14:paraId="066EEC2F" w14:textId="6ED9FEB1">
            <w:pPr>
              <w:pStyle w:val="HTMLPreformatted"/>
              <w:tabs>
                <w:tab w:val="left" w:pos="180"/>
                <w:tab w:val="left" w:pos="8640"/>
              </w:tabs>
              <w:spacing w:line="480" w:lineRule="auto"/>
              <w:ind w:right="-18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40</w:t>
            </w:r>
          </w:p>
        </w:tc>
        <w:tc>
          <w:tcPr>
            <w:tcW w:w="1912" w:type="dxa"/>
          </w:tcPr>
          <w:p w:rsidR="006707D8" w:rsidRPr="00E57789" w:rsidP="00E57789" w14:paraId="68676F15" w14:textId="2603E970">
            <w:pPr>
              <w:pStyle w:val="HTMLPreformatted"/>
              <w:tabs>
                <w:tab w:val="left" w:pos="180"/>
                <w:tab w:val="left" w:pos="8640"/>
              </w:tabs>
              <w:spacing w:line="480" w:lineRule="auto"/>
              <w:ind w:right="-18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320</w:t>
            </w:r>
          </w:p>
        </w:tc>
      </w:tr>
      <w:tr w14:paraId="490E7D67" w14:textId="77777777" w:rsidTr="00E57789">
        <w:tblPrEx>
          <w:tblW w:w="10980" w:type="dxa"/>
          <w:tblInd w:w="-545" w:type="dxa"/>
          <w:tblLook w:val="04A0"/>
        </w:tblPrEx>
        <w:tc>
          <w:tcPr>
            <w:tcW w:w="3420" w:type="dxa"/>
          </w:tcPr>
          <w:p w:rsidR="006707D8" w:rsidP="006707D8" w14:paraId="3701DF61" w14:textId="77777777">
            <w:pPr>
              <w:pStyle w:val="HTMLPreformatted"/>
              <w:tabs>
                <w:tab w:val="left" w:pos="180"/>
                <w:tab w:val="left" w:pos="8640"/>
              </w:tabs>
              <w:ind w:right="-187"/>
              <w:rPr>
                <w:rFonts w:ascii="Times New Roman" w:hAnsi="Times New Roman" w:cs="Times New Roman"/>
                <w:color w:val="000000" w:themeColor="text1"/>
                <w:sz w:val="24"/>
                <w:szCs w:val="24"/>
              </w:rPr>
            </w:pPr>
            <w:r w:rsidRPr="00E57789">
              <w:rPr>
                <w:rFonts w:ascii="Times New Roman" w:hAnsi="Times New Roman" w:cs="Times New Roman"/>
                <w:color w:val="000000" w:themeColor="text1"/>
                <w:sz w:val="24"/>
                <w:szCs w:val="24"/>
              </w:rPr>
              <w:t>Ongoing recordkeeping</w:t>
            </w:r>
          </w:p>
          <w:p w:rsidR="009C1001" w:rsidP="006707D8" w14:paraId="4B7034AF" w14:textId="77777777">
            <w:pPr>
              <w:pStyle w:val="HTMLPreformatted"/>
              <w:tabs>
                <w:tab w:val="left" w:pos="180"/>
                <w:tab w:val="left" w:pos="8640"/>
              </w:tabs>
              <w:ind w:right="-187"/>
              <w:rPr>
                <w:rFonts w:ascii="Times New Roman" w:hAnsi="Times New Roman" w:cs="Times New Roman"/>
                <w:i/>
                <w:iCs/>
                <w:color w:val="000000" w:themeColor="text1"/>
                <w:sz w:val="24"/>
                <w:szCs w:val="24"/>
              </w:rPr>
            </w:pPr>
          </w:p>
          <w:p w:rsidR="009C1001" w:rsidRPr="00E57789" w:rsidP="00E57789" w14:paraId="5440AF3A" w14:textId="79AE8EC9">
            <w:pPr>
              <w:pStyle w:val="HTMLPreformatted"/>
              <w:tabs>
                <w:tab w:val="left" w:pos="180"/>
                <w:tab w:val="left" w:pos="8640"/>
              </w:tabs>
              <w:ind w:right="-187"/>
              <w:rPr>
                <w:rFonts w:ascii="Times New Roman" w:hAnsi="Times New Roman" w:cs="Times New Roman"/>
                <w:color w:val="000000" w:themeColor="text1"/>
                <w:sz w:val="24"/>
                <w:szCs w:val="24"/>
              </w:rPr>
            </w:pPr>
          </w:p>
        </w:tc>
        <w:tc>
          <w:tcPr>
            <w:tcW w:w="2450" w:type="dxa"/>
          </w:tcPr>
          <w:p w:rsidR="006707D8" w:rsidP="009C1001" w14:paraId="2A59343C" w14:textId="7502C71F">
            <w:pPr>
              <w:pStyle w:val="HTMLPreformatted"/>
              <w:tabs>
                <w:tab w:val="left" w:pos="180"/>
                <w:tab w:val="left" w:pos="8640"/>
              </w:tabs>
              <w:ind w:right="-187"/>
              <w:rPr>
                <w:rFonts w:ascii="Times New Roman" w:hAnsi="Times New Roman" w:cs="Times New Roman"/>
                <w:color w:val="000000" w:themeColor="text1"/>
                <w:sz w:val="24"/>
                <w:szCs w:val="24"/>
              </w:rPr>
            </w:pPr>
            <w:r w:rsidRPr="00E57789">
              <w:rPr>
                <w:rFonts w:ascii="Times New Roman" w:hAnsi="Times New Roman" w:cs="Times New Roman"/>
                <w:color w:val="000000" w:themeColor="text1"/>
                <w:sz w:val="24"/>
                <w:szCs w:val="24"/>
              </w:rPr>
              <w:t>Large banks (over $100 billion in assets)- 20</w:t>
            </w:r>
          </w:p>
          <w:p w:rsidR="009C1001" w:rsidP="009C1001" w14:paraId="37580A26" w14:textId="77777777">
            <w:pPr>
              <w:pStyle w:val="HTMLPreformatted"/>
              <w:tabs>
                <w:tab w:val="left" w:pos="180"/>
                <w:tab w:val="left" w:pos="8640"/>
              </w:tabs>
              <w:ind w:right="-187"/>
              <w:rPr>
                <w:rFonts w:ascii="Times New Roman" w:hAnsi="Times New Roman" w:cs="Times New Roman"/>
                <w:color w:val="000000" w:themeColor="text1"/>
                <w:sz w:val="24"/>
                <w:szCs w:val="24"/>
              </w:rPr>
            </w:pPr>
          </w:p>
          <w:p w:rsidR="009C1001" w:rsidP="009C1001" w14:paraId="43660392" w14:textId="40EA3D4A">
            <w:pPr>
              <w:pStyle w:val="HTMLPreformatted"/>
              <w:tabs>
                <w:tab w:val="left" w:pos="180"/>
                <w:tab w:val="left" w:pos="8640"/>
              </w:tabs>
              <w:ind w:right="-187"/>
              <w:rPr>
                <w:rFonts w:ascii="Times New Roman" w:hAnsi="Times New Roman" w:cs="Times New Roman"/>
                <w:color w:val="000000" w:themeColor="text1"/>
                <w:sz w:val="24"/>
                <w:szCs w:val="24"/>
              </w:rPr>
            </w:pPr>
            <w:r w:rsidRPr="00E57789">
              <w:rPr>
                <w:rFonts w:ascii="Times New Roman" w:hAnsi="Times New Roman" w:cs="Times New Roman"/>
                <w:color w:val="000000" w:themeColor="text1"/>
                <w:sz w:val="24"/>
                <w:szCs w:val="24"/>
              </w:rPr>
              <w:t>Mid-size banks ($10 - $100 billion)</w:t>
            </w:r>
            <w:r>
              <w:rPr>
                <w:rFonts w:ascii="Times New Roman" w:hAnsi="Times New Roman" w:cs="Times New Roman"/>
                <w:color w:val="000000" w:themeColor="text1"/>
                <w:sz w:val="24"/>
                <w:szCs w:val="24"/>
              </w:rPr>
              <w:t>- 38</w:t>
            </w:r>
          </w:p>
          <w:p w:rsidR="009C1001" w:rsidP="009C1001" w14:paraId="0ACF6B03" w14:textId="77777777">
            <w:pPr>
              <w:pStyle w:val="HTMLPreformatted"/>
              <w:tabs>
                <w:tab w:val="left" w:pos="180"/>
                <w:tab w:val="left" w:pos="8640"/>
              </w:tabs>
              <w:ind w:right="-187"/>
              <w:rPr>
                <w:rFonts w:ascii="Times New Roman" w:hAnsi="Times New Roman" w:cs="Times New Roman"/>
                <w:color w:val="000000" w:themeColor="text1"/>
                <w:sz w:val="24"/>
                <w:szCs w:val="24"/>
              </w:rPr>
            </w:pPr>
          </w:p>
          <w:p w:rsidR="009C1001" w:rsidP="009C1001" w14:paraId="3CAF4AE7" w14:textId="6ACF0F08">
            <w:pPr>
              <w:pStyle w:val="HTMLPreformatted"/>
              <w:tabs>
                <w:tab w:val="left" w:pos="180"/>
                <w:tab w:val="left" w:pos="8640"/>
              </w:tabs>
              <w:ind w:right="-18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Small banks (</w:t>
            </w:r>
            <w:r w:rsidRPr="009C1001">
              <w:rPr>
                <w:rFonts w:ascii="Times New Roman" w:hAnsi="Times New Roman" w:cs="Times New Roman"/>
                <w:color w:val="000000" w:themeColor="text1"/>
                <w:sz w:val="24"/>
                <w:szCs w:val="24"/>
              </w:rPr>
              <w:t>less than $10 billion)</w:t>
            </w:r>
            <w:r>
              <w:rPr>
                <w:rFonts w:ascii="Times New Roman" w:hAnsi="Times New Roman" w:cs="Times New Roman"/>
                <w:color w:val="000000" w:themeColor="text1"/>
                <w:sz w:val="24"/>
                <w:szCs w:val="24"/>
              </w:rPr>
              <w:t>- 921</w:t>
            </w:r>
          </w:p>
          <w:p w:rsidR="009C1001" w:rsidP="009C1001" w14:paraId="74A3C05F" w14:textId="5AAE8BDD">
            <w:pPr>
              <w:pStyle w:val="HTMLPreformatted"/>
              <w:tabs>
                <w:tab w:val="left" w:pos="180"/>
                <w:tab w:val="left" w:pos="8640"/>
              </w:tabs>
              <w:ind w:right="-18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rsidR="009C1001" w:rsidRPr="00E57789" w:rsidP="00E57789" w14:paraId="508F25ED" w14:textId="3943BB15">
            <w:pPr>
              <w:pStyle w:val="HTMLPreformatted"/>
              <w:tabs>
                <w:tab w:val="left" w:pos="180"/>
                <w:tab w:val="left" w:pos="8640"/>
              </w:tabs>
              <w:ind w:right="-187"/>
              <w:rPr>
                <w:rFonts w:ascii="Times New Roman" w:hAnsi="Times New Roman" w:cs="Times New Roman"/>
                <w:color w:val="000000" w:themeColor="text1"/>
                <w:sz w:val="24"/>
                <w:szCs w:val="24"/>
              </w:rPr>
            </w:pPr>
          </w:p>
        </w:tc>
        <w:tc>
          <w:tcPr>
            <w:tcW w:w="1203" w:type="dxa"/>
          </w:tcPr>
          <w:p w:rsidR="006707D8" w:rsidRPr="00E57789" w:rsidP="00E57789" w14:paraId="1EAED77B" w14:textId="37A1A46A">
            <w:pPr>
              <w:pStyle w:val="HTMLPreformatted"/>
              <w:tabs>
                <w:tab w:val="left" w:pos="180"/>
                <w:tab w:val="left" w:pos="8640"/>
              </w:tabs>
              <w:spacing w:line="480" w:lineRule="auto"/>
              <w:ind w:right="-18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995" w:type="dxa"/>
          </w:tcPr>
          <w:p w:rsidR="009C1001" w:rsidRPr="00E57789" w:rsidP="00E57789" w14:paraId="348D501E" w14:textId="2A601B03">
            <w:pPr>
              <w:pStyle w:val="HTMLPreformatted"/>
              <w:tabs>
                <w:tab w:val="left" w:pos="180"/>
                <w:tab w:val="left" w:pos="8640"/>
              </w:tabs>
              <w:spacing w:line="480" w:lineRule="auto"/>
              <w:ind w:right="-18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p>
        </w:tc>
        <w:tc>
          <w:tcPr>
            <w:tcW w:w="1912" w:type="dxa"/>
          </w:tcPr>
          <w:p w:rsidR="006707D8" w:rsidRPr="00E57789" w:rsidP="00E57789" w14:paraId="2C475ED9" w14:textId="3C3C69DA">
            <w:pPr>
              <w:pStyle w:val="HTMLPreformatted"/>
              <w:tabs>
                <w:tab w:val="left" w:pos="180"/>
                <w:tab w:val="left" w:pos="8640"/>
              </w:tabs>
              <w:spacing w:line="480" w:lineRule="auto"/>
              <w:ind w:right="-180"/>
              <w:jc w:val="center"/>
              <w:rPr>
                <w:rFonts w:ascii="Times New Roman" w:hAnsi="Times New Roman" w:cs="Times New Roman"/>
                <w:color w:val="000000" w:themeColor="text1"/>
                <w:sz w:val="24"/>
                <w:szCs w:val="24"/>
              </w:rPr>
            </w:pPr>
            <w:r w:rsidRPr="006707D8">
              <w:rPr>
                <w:rFonts w:ascii="Times New Roman" w:hAnsi="Times New Roman" w:cs="Times New Roman"/>
                <w:color w:val="000000" w:themeColor="text1"/>
                <w:sz w:val="24"/>
                <w:szCs w:val="24"/>
              </w:rPr>
              <w:t>31,328</w:t>
            </w:r>
          </w:p>
        </w:tc>
      </w:tr>
      <w:tr w14:paraId="75B7210B" w14:textId="77777777" w:rsidTr="00E57789">
        <w:tblPrEx>
          <w:tblW w:w="10980" w:type="dxa"/>
          <w:tblInd w:w="-545" w:type="dxa"/>
          <w:tblLook w:val="04A0"/>
        </w:tblPrEx>
        <w:tc>
          <w:tcPr>
            <w:tcW w:w="3420" w:type="dxa"/>
          </w:tcPr>
          <w:p w:rsidR="006707D8" w:rsidRPr="00E57789" w:rsidP="006707D8" w14:paraId="6BE7B81A" w14:textId="7C37B16A">
            <w:pPr>
              <w:pStyle w:val="HTMLPreformatted"/>
              <w:tabs>
                <w:tab w:val="left" w:pos="180"/>
                <w:tab w:val="left" w:pos="8640"/>
              </w:tabs>
              <w:ind w:right="-187"/>
              <w:rPr>
                <w:rFonts w:ascii="Times New Roman" w:hAnsi="Times New Roman" w:cs="Times New Roman"/>
                <w:b/>
                <w:bCs/>
                <w:i/>
                <w:iCs/>
                <w:color w:val="000000" w:themeColor="text1"/>
                <w:sz w:val="24"/>
                <w:szCs w:val="24"/>
              </w:rPr>
            </w:pPr>
            <w:r w:rsidRPr="00E57789">
              <w:rPr>
                <w:rFonts w:ascii="Times New Roman" w:hAnsi="Times New Roman" w:cs="Times New Roman"/>
                <w:b/>
                <w:bCs/>
                <w:i/>
                <w:iCs/>
                <w:color w:val="000000" w:themeColor="text1"/>
                <w:sz w:val="24"/>
                <w:szCs w:val="24"/>
              </w:rPr>
              <w:t>Total</w:t>
            </w:r>
          </w:p>
        </w:tc>
        <w:tc>
          <w:tcPr>
            <w:tcW w:w="2450" w:type="dxa"/>
          </w:tcPr>
          <w:p w:rsidR="006707D8" w:rsidP="006707D8" w14:paraId="338EADEA" w14:textId="77777777">
            <w:pPr>
              <w:pStyle w:val="HTMLPreformatted"/>
              <w:tabs>
                <w:tab w:val="left" w:pos="180"/>
                <w:tab w:val="left" w:pos="8640"/>
              </w:tabs>
              <w:spacing w:line="480" w:lineRule="auto"/>
              <w:ind w:right="-180"/>
              <w:jc w:val="center"/>
              <w:rPr>
                <w:rFonts w:ascii="Times New Roman" w:hAnsi="Times New Roman" w:cs="Times New Roman"/>
                <w:color w:val="000000" w:themeColor="text1"/>
                <w:sz w:val="24"/>
                <w:szCs w:val="24"/>
              </w:rPr>
            </w:pPr>
          </w:p>
        </w:tc>
        <w:tc>
          <w:tcPr>
            <w:tcW w:w="1203" w:type="dxa"/>
          </w:tcPr>
          <w:p w:rsidR="006707D8" w:rsidP="006707D8" w14:paraId="03B2B637" w14:textId="77777777">
            <w:pPr>
              <w:pStyle w:val="HTMLPreformatted"/>
              <w:tabs>
                <w:tab w:val="left" w:pos="180"/>
                <w:tab w:val="left" w:pos="8640"/>
              </w:tabs>
              <w:spacing w:line="480" w:lineRule="auto"/>
              <w:ind w:right="-180"/>
              <w:jc w:val="center"/>
              <w:rPr>
                <w:rFonts w:ascii="Times New Roman" w:hAnsi="Times New Roman" w:cs="Times New Roman"/>
                <w:color w:val="000000" w:themeColor="text1"/>
                <w:sz w:val="24"/>
                <w:szCs w:val="24"/>
              </w:rPr>
            </w:pPr>
          </w:p>
        </w:tc>
        <w:tc>
          <w:tcPr>
            <w:tcW w:w="1995" w:type="dxa"/>
          </w:tcPr>
          <w:p w:rsidR="006707D8" w:rsidRPr="006707D8" w:rsidP="006707D8" w14:paraId="7A05050A" w14:textId="77777777">
            <w:pPr>
              <w:pStyle w:val="HTMLPreformatted"/>
              <w:tabs>
                <w:tab w:val="left" w:pos="180"/>
                <w:tab w:val="left" w:pos="8640"/>
              </w:tabs>
              <w:spacing w:line="480" w:lineRule="auto"/>
              <w:ind w:right="-180"/>
              <w:jc w:val="center"/>
              <w:rPr>
                <w:rFonts w:ascii="Times New Roman" w:hAnsi="Times New Roman" w:cs="Times New Roman"/>
                <w:color w:val="000000" w:themeColor="text1"/>
                <w:sz w:val="24"/>
                <w:szCs w:val="24"/>
              </w:rPr>
            </w:pPr>
          </w:p>
        </w:tc>
        <w:tc>
          <w:tcPr>
            <w:tcW w:w="1912" w:type="dxa"/>
          </w:tcPr>
          <w:p w:rsidR="006707D8" w:rsidRPr="00E57789" w:rsidP="006707D8" w14:paraId="2D9F3F27" w14:textId="54B2C629">
            <w:pPr>
              <w:pStyle w:val="HTMLPreformatted"/>
              <w:tabs>
                <w:tab w:val="left" w:pos="180"/>
                <w:tab w:val="left" w:pos="8640"/>
              </w:tabs>
              <w:spacing w:line="480" w:lineRule="auto"/>
              <w:ind w:right="-180"/>
              <w:jc w:val="center"/>
              <w:rPr>
                <w:rFonts w:ascii="Times New Roman" w:hAnsi="Times New Roman" w:cs="Times New Roman"/>
                <w:b/>
                <w:bCs/>
                <w:color w:val="000000" w:themeColor="text1"/>
                <w:sz w:val="24"/>
                <w:szCs w:val="24"/>
              </w:rPr>
            </w:pPr>
            <w:r w:rsidRPr="00E57789">
              <w:rPr>
                <w:rFonts w:ascii="Times New Roman" w:hAnsi="Times New Roman" w:cs="Times New Roman"/>
                <w:b/>
                <w:bCs/>
                <w:color w:val="000000" w:themeColor="text1"/>
                <w:sz w:val="24"/>
                <w:szCs w:val="24"/>
              </w:rPr>
              <w:t>31,648</w:t>
            </w:r>
          </w:p>
        </w:tc>
      </w:tr>
    </w:tbl>
    <w:p w:rsidR="006707D8" w:rsidP="00210AD7" w14:paraId="14BEACA6" w14:textId="77777777">
      <w:pPr>
        <w:pStyle w:val="HTMLPreformatted"/>
        <w:tabs>
          <w:tab w:val="left" w:pos="180"/>
          <w:tab w:val="left" w:pos="8640"/>
        </w:tabs>
        <w:spacing w:line="480" w:lineRule="auto"/>
        <w:ind w:right="-180"/>
        <w:rPr>
          <w:rFonts w:ascii="Times New Roman" w:hAnsi="Times New Roman" w:cs="Times New Roman"/>
          <w:b/>
          <w:bCs/>
          <w:color w:val="000000" w:themeColor="text1"/>
          <w:sz w:val="24"/>
          <w:szCs w:val="24"/>
          <w:u w:val="single"/>
        </w:rPr>
      </w:pPr>
    </w:p>
    <w:p w:rsidR="00B93E19" w:rsidRPr="00B93E19" w:rsidP="00FA062F" w14:paraId="7EDC5E62" w14:textId="7D9CAD06">
      <w:pPr>
        <w:pStyle w:val="HTMLPreformatted"/>
        <w:tabs>
          <w:tab w:val="left" w:pos="180"/>
          <w:tab w:val="left" w:pos="8640"/>
        </w:tabs>
        <w:spacing w:line="480" w:lineRule="auto"/>
        <w:ind w:left="-90" w:right="-180"/>
        <w:rPr>
          <w:rFonts w:ascii="Times New Roman" w:hAnsi="Times New Roman" w:cs="Times New Roman"/>
          <w:color w:val="000000" w:themeColor="text1"/>
          <w:sz w:val="24"/>
          <w:szCs w:val="24"/>
        </w:rPr>
      </w:pPr>
      <w:r w:rsidRPr="00210AD7">
        <w:rPr>
          <w:rFonts w:ascii="Times New Roman" w:hAnsi="Times New Roman" w:cs="Times New Roman"/>
          <w:b/>
          <w:bCs/>
          <w:color w:val="000000" w:themeColor="text1"/>
          <w:sz w:val="24"/>
          <w:szCs w:val="24"/>
          <w:u w:val="single"/>
        </w:rPr>
        <w:t xml:space="preserve">Estimated Burden per Respondent under </w:t>
      </w:r>
      <w:bookmarkStart w:id="13" w:name="_Hlk198735864"/>
      <w:r w:rsidRPr="00210AD7" w:rsidR="00617A5B">
        <w:rPr>
          <w:rFonts w:ascii="Times New Roman" w:hAnsi="Times New Roman" w:cs="Times New Roman"/>
          <w:b/>
          <w:bCs/>
          <w:color w:val="000000" w:themeColor="text1"/>
          <w:sz w:val="24"/>
          <w:szCs w:val="24"/>
          <w:u w:val="single"/>
        </w:rPr>
        <w:t xml:space="preserve">the Liquidity Risk Management </w:t>
      </w:r>
      <w:r w:rsidR="00210AD7">
        <w:rPr>
          <w:rFonts w:ascii="Times New Roman" w:hAnsi="Times New Roman" w:cs="Times New Roman"/>
          <w:b/>
          <w:bCs/>
          <w:color w:val="000000" w:themeColor="text1"/>
          <w:sz w:val="24"/>
          <w:szCs w:val="24"/>
          <w:u w:val="single"/>
        </w:rPr>
        <w:t>P</w:t>
      </w:r>
      <w:r w:rsidRPr="00210AD7" w:rsidR="00617A5B">
        <w:rPr>
          <w:rFonts w:ascii="Times New Roman" w:hAnsi="Times New Roman" w:cs="Times New Roman"/>
          <w:b/>
          <w:bCs/>
          <w:color w:val="000000" w:themeColor="text1"/>
          <w:sz w:val="24"/>
          <w:szCs w:val="24"/>
          <w:u w:val="single"/>
        </w:rPr>
        <w:t xml:space="preserve">olicies, </w:t>
      </w:r>
      <w:r w:rsidR="00210AD7">
        <w:rPr>
          <w:rFonts w:ascii="Times New Roman" w:hAnsi="Times New Roman" w:cs="Times New Roman"/>
          <w:b/>
          <w:bCs/>
          <w:color w:val="000000" w:themeColor="text1"/>
          <w:sz w:val="24"/>
          <w:szCs w:val="24"/>
          <w:u w:val="single"/>
        </w:rPr>
        <w:t>P</w:t>
      </w:r>
      <w:r w:rsidRPr="00210AD7" w:rsidR="00617A5B">
        <w:rPr>
          <w:rFonts w:ascii="Times New Roman" w:hAnsi="Times New Roman" w:cs="Times New Roman"/>
          <w:b/>
          <w:bCs/>
          <w:color w:val="000000" w:themeColor="text1"/>
          <w:sz w:val="24"/>
          <w:szCs w:val="24"/>
          <w:u w:val="single"/>
        </w:rPr>
        <w:t xml:space="preserve">rocedures, </w:t>
      </w:r>
      <w:r w:rsidR="00210AD7">
        <w:rPr>
          <w:rFonts w:ascii="Times New Roman" w:hAnsi="Times New Roman" w:cs="Times New Roman"/>
          <w:b/>
          <w:bCs/>
          <w:color w:val="000000" w:themeColor="text1"/>
          <w:sz w:val="24"/>
          <w:szCs w:val="24"/>
          <w:u w:val="single"/>
        </w:rPr>
        <w:t>A</w:t>
      </w:r>
      <w:r w:rsidRPr="00210AD7" w:rsidR="00617A5B">
        <w:rPr>
          <w:rFonts w:ascii="Times New Roman" w:hAnsi="Times New Roman" w:cs="Times New Roman"/>
          <w:b/>
          <w:bCs/>
          <w:color w:val="000000" w:themeColor="text1"/>
          <w:sz w:val="24"/>
          <w:szCs w:val="24"/>
          <w:u w:val="single"/>
        </w:rPr>
        <w:t>ssumptions, and Contingency Funding Plans- Implementation of recordkeeping</w:t>
      </w:r>
      <w:bookmarkEnd w:id="13"/>
      <w:r w:rsidRPr="00210AD7">
        <w:rPr>
          <w:rFonts w:ascii="Times New Roman" w:hAnsi="Times New Roman" w:cs="Times New Roman"/>
          <w:b/>
          <w:bCs/>
          <w:color w:val="000000" w:themeColor="text1"/>
          <w:sz w:val="24"/>
          <w:szCs w:val="24"/>
          <w:u w:val="single"/>
        </w:rPr>
        <w:t>:</w:t>
      </w:r>
      <w:r>
        <w:rPr>
          <w:rFonts w:ascii="Times New Roman" w:hAnsi="Times New Roman" w:cs="Times New Roman"/>
          <w:color w:val="000000" w:themeColor="text1"/>
          <w:sz w:val="24"/>
          <w:szCs w:val="24"/>
        </w:rPr>
        <w:t xml:space="preserve"> </w:t>
      </w:r>
      <w:r w:rsidR="004D476E">
        <w:rPr>
          <w:rFonts w:ascii="Times New Roman" w:hAnsi="Times New Roman" w:cs="Times New Roman"/>
          <w:color w:val="000000" w:themeColor="text1"/>
          <w:sz w:val="24"/>
          <w:szCs w:val="24"/>
        </w:rPr>
        <w:t xml:space="preserve"> </w:t>
      </w:r>
      <w:r w:rsidR="00943707">
        <w:rPr>
          <w:rFonts w:ascii="Times New Roman" w:hAnsi="Times New Roman" w:cs="Times New Roman"/>
          <w:color w:val="000000" w:themeColor="text1"/>
          <w:sz w:val="24"/>
          <w:szCs w:val="24"/>
        </w:rPr>
        <w:t>320</w:t>
      </w:r>
      <w:r w:rsidRPr="004D476E" w:rsidR="004D476E">
        <w:rPr>
          <w:rFonts w:ascii="Times New Roman" w:hAnsi="Times New Roman" w:cs="Times New Roman"/>
          <w:color w:val="000000" w:themeColor="text1"/>
          <w:sz w:val="24"/>
          <w:szCs w:val="24"/>
        </w:rPr>
        <w:t xml:space="preserve"> hours</w:t>
      </w:r>
      <w:r w:rsidR="00210AD7">
        <w:rPr>
          <w:rFonts w:ascii="Times New Roman" w:hAnsi="Times New Roman" w:cs="Times New Roman"/>
          <w:color w:val="000000" w:themeColor="text1"/>
          <w:sz w:val="24"/>
          <w:szCs w:val="24"/>
        </w:rPr>
        <w:t>.</w:t>
      </w:r>
    </w:p>
    <w:p w:rsidR="00B93E19" w:rsidP="00B93E19" w14:paraId="427F3CF6" w14:textId="77F6E513">
      <w:pPr>
        <w:pStyle w:val="HTMLPreformatted"/>
        <w:tabs>
          <w:tab w:val="left" w:pos="180"/>
          <w:tab w:val="left" w:pos="8640"/>
        </w:tabs>
        <w:spacing w:line="480" w:lineRule="auto"/>
        <w:ind w:left="-90" w:right="-180"/>
        <w:rPr>
          <w:rFonts w:ascii="Times New Roman" w:hAnsi="Times New Roman" w:cs="Times New Roman"/>
          <w:color w:val="000000" w:themeColor="text1"/>
          <w:sz w:val="24"/>
          <w:szCs w:val="24"/>
        </w:rPr>
      </w:pPr>
      <w:r w:rsidRPr="00B93E19">
        <w:rPr>
          <w:rFonts w:ascii="Times New Roman" w:hAnsi="Times New Roman" w:cs="Times New Roman"/>
          <w:color w:val="000000" w:themeColor="text1"/>
          <w:sz w:val="24"/>
          <w:szCs w:val="24"/>
        </w:rPr>
        <w:t xml:space="preserve">                      </w:t>
      </w:r>
      <w:r w:rsidRPr="00210AD7">
        <w:rPr>
          <w:rFonts w:ascii="Times New Roman" w:hAnsi="Times New Roman" w:cs="Times New Roman"/>
          <w:color w:val="000000" w:themeColor="text1"/>
          <w:sz w:val="24"/>
          <w:szCs w:val="24"/>
          <w:u w:val="single"/>
        </w:rPr>
        <w:t xml:space="preserve">Estimated Burden for </w:t>
      </w:r>
      <w:r w:rsidR="00B27453">
        <w:rPr>
          <w:rFonts w:ascii="Times New Roman" w:hAnsi="Times New Roman" w:cs="Times New Roman"/>
          <w:color w:val="000000" w:themeColor="text1"/>
          <w:sz w:val="24"/>
          <w:szCs w:val="24"/>
          <w:u w:val="single"/>
        </w:rPr>
        <w:t xml:space="preserve">New </w:t>
      </w:r>
      <w:r w:rsidRPr="00210AD7">
        <w:rPr>
          <w:rFonts w:ascii="Times New Roman" w:hAnsi="Times New Roman" w:cs="Times New Roman"/>
          <w:color w:val="000000" w:themeColor="text1"/>
          <w:sz w:val="24"/>
          <w:szCs w:val="24"/>
          <w:u w:val="single"/>
        </w:rPr>
        <w:t>Institutions</w:t>
      </w:r>
      <w:r w:rsidRPr="00B93E19">
        <w:rPr>
          <w:rFonts w:ascii="Times New Roman" w:hAnsi="Times New Roman" w:cs="Times New Roman"/>
          <w:color w:val="000000" w:themeColor="text1"/>
          <w:sz w:val="24"/>
          <w:szCs w:val="24"/>
        </w:rPr>
        <w:t xml:space="preserve">:  </w:t>
      </w:r>
      <w:r w:rsidR="00943707">
        <w:rPr>
          <w:rFonts w:ascii="Times New Roman" w:hAnsi="Times New Roman" w:cs="Times New Roman"/>
          <w:color w:val="000000" w:themeColor="text1"/>
          <w:sz w:val="24"/>
          <w:szCs w:val="24"/>
        </w:rPr>
        <w:t>8</w:t>
      </w:r>
      <w:r w:rsidRPr="00B93E19" w:rsidR="00943707">
        <w:rPr>
          <w:rFonts w:ascii="Times New Roman" w:hAnsi="Times New Roman" w:cs="Times New Roman"/>
          <w:color w:val="000000" w:themeColor="text1"/>
          <w:sz w:val="24"/>
          <w:szCs w:val="24"/>
        </w:rPr>
        <w:t xml:space="preserve"> </w:t>
      </w:r>
      <w:r w:rsidRPr="00B93E19">
        <w:rPr>
          <w:rFonts w:ascii="Times New Roman" w:hAnsi="Times New Roman" w:cs="Times New Roman"/>
          <w:color w:val="000000" w:themeColor="text1"/>
          <w:sz w:val="24"/>
          <w:szCs w:val="24"/>
        </w:rPr>
        <w:t xml:space="preserve">x </w:t>
      </w:r>
      <w:r>
        <w:rPr>
          <w:rFonts w:ascii="Times New Roman" w:hAnsi="Times New Roman" w:cs="Times New Roman"/>
          <w:color w:val="000000" w:themeColor="text1"/>
          <w:sz w:val="24"/>
          <w:szCs w:val="24"/>
        </w:rPr>
        <w:t>40</w:t>
      </w:r>
      <w:r w:rsidRPr="00B93E19">
        <w:rPr>
          <w:rFonts w:ascii="Times New Roman" w:hAnsi="Times New Roman" w:cs="Times New Roman"/>
          <w:color w:val="000000" w:themeColor="text1"/>
          <w:sz w:val="24"/>
          <w:szCs w:val="24"/>
        </w:rPr>
        <w:t xml:space="preserve"> = </w:t>
      </w:r>
      <w:r w:rsidR="00943707">
        <w:rPr>
          <w:rFonts w:ascii="Times New Roman" w:hAnsi="Times New Roman" w:cs="Times New Roman"/>
          <w:color w:val="000000" w:themeColor="text1"/>
          <w:sz w:val="24"/>
          <w:szCs w:val="24"/>
        </w:rPr>
        <w:t>320</w:t>
      </w:r>
      <w:r w:rsidRPr="00B93E19">
        <w:rPr>
          <w:rFonts w:ascii="Times New Roman" w:hAnsi="Times New Roman" w:cs="Times New Roman"/>
          <w:color w:val="000000" w:themeColor="text1"/>
          <w:sz w:val="24"/>
          <w:szCs w:val="24"/>
        </w:rPr>
        <w:t xml:space="preserve"> hours.</w:t>
      </w:r>
    </w:p>
    <w:p w:rsidR="00FA062F" w:rsidP="00FA062F" w14:paraId="39CA239C" w14:textId="29E3A531">
      <w:pPr>
        <w:pStyle w:val="HTMLPreformatted"/>
        <w:tabs>
          <w:tab w:val="left" w:pos="180"/>
          <w:tab w:val="left" w:pos="8640"/>
        </w:tabs>
        <w:spacing w:line="480" w:lineRule="auto"/>
        <w:ind w:right="-1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rsidR="00751CD5" w:rsidP="00E57789" w14:paraId="0DEFE419" w14:textId="53BDF76E">
      <w:pPr>
        <w:pStyle w:val="HTMLPreformatted"/>
        <w:tabs>
          <w:tab w:val="left" w:pos="180"/>
          <w:tab w:val="left" w:pos="8640"/>
        </w:tabs>
        <w:spacing w:line="480" w:lineRule="auto"/>
        <w:ind w:right="-180"/>
        <w:rPr>
          <w:rFonts w:ascii="Times New Roman" w:hAnsi="Times New Roman" w:cs="Times New Roman"/>
          <w:color w:val="000000" w:themeColor="text1"/>
          <w:sz w:val="24"/>
          <w:szCs w:val="24"/>
        </w:rPr>
      </w:pPr>
      <w:r w:rsidRPr="00210AD7">
        <w:rPr>
          <w:rFonts w:ascii="Times New Roman" w:hAnsi="Times New Roman" w:cs="Times New Roman"/>
          <w:b/>
          <w:bCs/>
          <w:color w:val="000000" w:themeColor="text1"/>
          <w:sz w:val="24"/>
          <w:szCs w:val="24"/>
          <w:u w:val="single"/>
        </w:rPr>
        <w:t xml:space="preserve">Estimated Burden per Respondent under </w:t>
      </w:r>
      <w:r w:rsidRPr="00210AD7" w:rsidR="000703EF">
        <w:rPr>
          <w:rFonts w:ascii="Times New Roman" w:hAnsi="Times New Roman" w:cs="Times New Roman"/>
          <w:b/>
          <w:bCs/>
          <w:color w:val="000000" w:themeColor="text1"/>
          <w:sz w:val="24"/>
          <w:szCs w:val="24"/>
          <w:u w:val="single"/>
        </w:rPr>
        <w:t xml:space="preserve">the Liquidity Risk Management </w:t>
      </w:r>
      <w:r w:rsidR="00210AD7">
        <w:rPr>
          <w:rFonts w:ascii="Times New Roman" w:hAnsi="Times New Roman" w:cs="Times New Roman"/>
          <w:b/>
          <w:bCs/>
          <w:color w:val="000000" w:themeColor="text1"/>
          <w:sz w:val="24"/>
          <w:szCs w:val="24"/>
          <w:u w:val="single"/>
        </w:rPr>
        <w:t>P</w:t>
      </w:r>
      <w:r w:rsidRPr="00210AD7" w:rsidR="000703EF">
        <w:rPr>
          <w:rFonts w:ascii="Times New Roman" w:hAnsi="Times New Roman" w:cs="Times New Roman"/>
          <w:b/>
          <w:bCs/>
          <w:color w:val="000000" w:themeColor="text1"/>
          <w:sz w:val="24"/>
          <w:szCs w:val="24"/>
          <w:u w:val="single"/>
        </w:rPr>
        <w:t xml:space="preserve">olicies, </w:t>
      </w:r>
      <w:r w:rsidR="00210AD7">
        <w:rPr>
          <w:rFonts w:ascii="Times New Roman" w:hAnsi="Times New Roman" w:cs="Times New Roman"/>
          <w:b/>
          <w:bCs/>
          <w:color w:val="000000" w:themeColor="text1"/>
          <w:sz w:val="24"/>
          <w:szCs w:val="24"/>
          <w:u w:val="single"/>
        </w:rPr>
        <w:t>P</w:t>
      </w:r>
      <w:r w:rsidRPr="00210AD7" w:rsidR="000703EF">
        <w:rPr>
          <w:rFonts w:ascii="Times New Roman" w:hAnsi="Times New Roman" w:cs="Times New Roman"/>
          <w:b/>
          <w:bCs/>
          <w:color w:val="000000" w:themeColor="text1"/>
          <w:sz w:val="24"/>
          <w:szCs w:val="24"/>
          <w:u w:val="single"/>
        </w:rPr>
        <w:t xml:space="preserve">rocedures, </w:t>
      </w:r>
      <w:r w:rsidR="00210AD7">
        <w:rPr>
          <w:rFonts w:ascii="Times New Roman" w:hAnsi="Times New Roman" w:cs="Times New Roman"/>
          <w:b/>
          <w:bCs/>
          <w:color w:val="000000" w:themeColor="text1"/>
          <w:sz w:val="24"/>
          <w:szCs w:val="24"/>
          <w:u w:val="single"/>
        </w:rPr>
        <w:t>A</w:t>
      </w:r>
      <w:r w:rsidRPr="00210AD7" w:rsidR="000703EF">
        <w:rPr>
          <w:rFonts w:ascii="Times New Roman" w:hAnsi="Times New Roman" w:cs="Times New Roman"/>
          <w:b/>
          <w:bCs/>
          <w:color w:val="000000" w:themeColor="text1"/>
          <w:sz w:val="24"/>
          <w:szCs w:val="24"/>
          <w:u w:val="single"/>
        </w:rPr>
        <w:t xml:space="preserve">ssumptions, and Contingency Funding Plans- </w:t>
      </w:r>
      <w:r w:rsidRPr="00210AD7" w:rsidR="002261D5">
        <w:rPr>
          <w:rFonts w:ascii="Times New Roman" w:hAnsi="Times New Roman" w:cs="Times New Roman"/>
          <w:b/>
          <w:bCs/>
          <w:color w:val="000000" w:themeColor="text1"/>
          <w:sz w:val="24"/>
          <w:szCs w:val="24"/>
          <w:u w:val="single"/>
        </w:rPr>
        <w:t>Ongoing</w:t>
      </w:r>
      <w:r w:rsidRPr="00210AD7" w:rsidR="000703EF">
        <w:rPr>
          <w:rFonts w:ascii="Times New Roman" w:hAnsi="Times New Roman" w:cs="Times New Roman"/>
          <w:b/>
          <w:bCs/>
          <w:color w:val="000000" w:themeColor="text1"/>
          <w:sz w:val="24"/>
          <w:szCs w:val="24"/>
          <w:u w:val="single"/>
        </w:rPr>
        <w:t xml:space="preserve"> </w:t>
      </w:r>
      <w:r w:rsidRPr="00210AD7" w:rsidR="00210AD7">
        <w:rPr>
          <w:rFonts w:ascii="Times New Roman" w:hAnsi="Times New Roman" w:cs="Times New Roman"/>
          <w:b/>
          <w:bCs/>
          <w:color w:val="000000" w:themeColor="text1"/>
          <w:sz w:val="24"/>
          <w:szCs w:val="24"/>
          <w:u w:val="single"/>
        </w:rPr>
        <w:t>recordkeeping</w:t>
      </w:r>
      <w:r w:rsidRPr="000703EF" w:rsidR="00210AD7">
        <w:rPr>
          <w:rFonts w:ascii="Times New Roman" w:hAnsi="Times New Roman" w:cs="Times New Roman"/>
          <w:color w:val="000000" w:themeColor="text1"/>
          <w:sz w:val="24"/>
          <w:szCs w:val="24"/>
          <w:u w:val="single"/>
        </w:rPr>
        <w:t>:</w:t>
      </w:r>
      <w:r w:rsidRPr="00E27860">
        <w:rPr>
          <w:rFonts w:ascii="Times New Roman" w:hAnsi="Times New Roman" w:cs="Times New Roman"/>
          <w:color w:val="000000" w:themeColor="text1"/>
          <w:sz w:val="24"/>
          <w:szCs w:val="24"/>
        </w:rPr>
        <w:t xml:space="preserve">  </w:t>
      </w:r>
      <w:r w:rsidRPr="004D476E" w:rsidR="002261D5">
        <w:rPr>
          <w:rFonts w:ascii="Times New Roman" w:hAnsi="Times New Roman" w:cs="Times New Roman"/>
          <w:color w:val="000000" w:themeColor="text1"/>
          <w:sz w:val="24"/>
          <w:szCs w:val="24"/>
        </w:rPr>
        <w:t>31</w:t>
      </w:r>
      <w:r w:rsidRPr="004D476E" w:rsidR="00B93E19">
        <w:rPr>
          <w:rFonts w:ascii="Times New Roman" w:hAnsi="Times New Roman" w:cs="Times New Roman"/>
          <w:color w:val="000000" w:themeColor="text1"/>
          <w:sz w:val="24"/>
          <w:szCs w:val="24"/>
        </w:rPr>
        <w:t>,</w:t>
      </w:r>
      <w:r w:rsidRPr="004D476E" w:rsidR="002261D5">
        <w:rPr>
          <w:rFonts w:ascii="Times New Roman" w:hAnsi="Times New Roman" w:cs="Times New Roman"/>
          <w:color w:val="000000" w:themeColor="text1"/>
          <w:sz w:val="24"/>
          <w:szCs w:val="24"/>
        </w:rPr>
        <w:t>32</w:t>
      </w:r>
      <w:r w:rsidRPr="004D476E" w:rsidR="00B93E19">
        <w:rPr>
          <w:rFonts w:ascii="Times New Roman" w:hAnsi="Times New Roman" w:cs="Times New Roman"/>
          <w:color w:val="000000" w:themeColor="text1"/>
          <w:sz w:val="24"/>
          <w:szCs w:val="24"/>
        </w:rPr>
        <w:t>8</w:t>
      </w:r>
      <w:r w:rsidRPr="004D476E" w:rsidR="002261D5">
        <w:rPr>
          <w:rFonts w:ascii="Times New Roman" w:hAnsi="Times New Roman" w:cs="Times New Roman"/>
          <w:color w:val="000000" w:themeColor="text1"/>
          <w:sz w:val="24"/>
          <w:szCs w:val="24"/>
        </w:rPr>
        <w:t xml:space="preserve"> </w:t>
      </w:r>
      <w:r w:rsidRPr="004D476E">
        <w:rPr>
          <w:rFonts w:ascii="Times New Roman" w:hAnsi="Times New Roman" w:cs="Times New Roman"/>
          <w:color w:val="000000" w:themeColor="text1"/>
          <w:sz w:val="24"/>
          <w:szCs w:val="24"/>
        </w:rPr>
        <w:t>hours</w:t>
      </w:r>
      <w:r w:rsidRPr="00E27860">
        <w:rPr>
          <w:rFonts w:ascii="Times New Roman" w:hAnsi="Times New Roman" w:cs="Times New Roman"/>
          <w:color w:val="000000" w:themeColor="text1"/>
          <w:sz w:val="24"/>
          <w:szCs w:val="24"/>
        </w:rPr>
        <w:t>.</w:t>
      </w:r>
    </w:p>
    <w:p w:rsidR="00751CD5" w:rsidP="00751CD5" w14:paraId="470E55D8" w14:textId="1D451B26">
      <w:pPr>
        <w:pStyle w:val="HTMLPreformatted"/>
        <w:tabs>
          <w:tab w:val="left" w:pos="180"/>
          <w:tab w:val="left" w:pos="8640"/>
        </w:tabs>
        <w:spacing w:line="480" w:lineRule="auto"/>
        <w:ind w:left="-90" w:right="-1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r>
        <w:rPr>
          <w:rFonts w:ascii="Times New Roman" w:hAnsi="Times New Roman" w:cs="Times New Roman"/>
          <w:color w:val="000000" w:themeColor="text1"/>
          <w:sz w:val="24"/>
          <w:szCs w:val="24"/>
          <w:u w:val="single"/>
        </w:rPr>
        <w:t>Estimated Burden for Large Institutions</w:t>
      </w:r>
      <w:r w:rsidR="001B50F8">
        <w:rPr>
          <w:rFonts w:ascii="Times New Roman" w:hAnsi="Times New Roman" w:cs="Times New Roman"/>
          <w:color w:val="000000" w:themeColor="text1"/>
          <w:sz w:val="24"/>
          <w:szCs w:val="24"/>
        </w:rPr>
        <w:t xml:space="preserve">:  </w:t>
      </w:r>
      <w:r w:rsidR="000001F7">
        <w:rPr>
          <w:rFonts w:ascii="Times New Roman" w:hAnsi="Times New Roman" w:cs="Times New Roman"/>
          <w:color w:val="000000" w:themeColor="text1"/>
          <w:sz w:val="24"/>
          <w:szCs w:val="24"/>
        </w:rPr>
        <w:t>20</w:t>
      </w:r>
      <w:r>
        <w:rPr>
          <w:rFonts w:ascii="Times New Roman" w:hAnsi="Times New Roman" w:cs="Times New Roman"/>
          <w:color w:val="000000" w:themeColor="text1"/>
          <w:sz w:val="24"/>
          <w:szCs w:val="24"/>
        </w:rPr>
        <w:t xml:space="preserve"> </w:t>
      </w:r>
      <w:r w:rsidR="00824BFB">
        <w:rPr>
          <w:rFonts w:ascii="Times New Roman" w:hAnsi="Times New Roman" w:cs="Times New Roman"/>
          <w:color w:val="000000" w:themeColor="text1"/>
          <w:sz w:val="24"/>
          <w:szCs w:val="24"/>
        </w:rPr>
        <w:t xml:space="preserve">x </w:t>
      </w:r>
      <w:r w:rsidR="002261D5">
        <w:rPr>
          <w:rFonts w:ascii="Times New Roman" w:hAnsi="Times New Roman" w:cs="Times New Roman"/>
          <w:color w:val="000000" w:themeColor="text1"/>
          <w:sz w:val="24"/>
          <w:szCs w:val="24"/>
        </w:rPr>
        <w:t xml:space="preserve">32 </w:t>
      </w:r>
      <w:r w:rsidR="00824BFB">
        <w:rPr>
          <w:rFonts w:ascii="Times New Roman" w:hAnsi="Times New Roman" w:cs="Times New Roman"/>
          <w:color w:val="000000" w:themeColor="text1"/>
          <w:sz w:val="24"/>
          <w:szCs w:val="24"/>
        </w:rPr>
        <w:t xml:space="preserve">= </w:t>
      </w:r>
      <w:r w:rsidR="002261D5">
        <w:rPr>
          <w:rFonts w:ascii="Times New Roman" w:hAnsi="Times New Roman" w:cs="Times New Roman"/>
          <w:color w:val="000000" w:themeColor="text1"/>
          <w:sz w:val="24"/>
          <w:szCs w:val="24"/>
        </w:rPr>
        <w:t>640</w:t>
      </w:r>
      <w:r>
        <w:rPr>
          <w:rFonts w:ascii="Times New Roman" w:hAnsi="Times New Roman" w:cs="Times New Roman"/>
          <w:color w:val="000000" w:themeColor="text1"/>
          <w:sz w:val="24"/>
          <w:szCs w:val="24"/>
        </w:rPr>
        <w:t xml:space="preserve"> hours.</w:t>
      </w:r>
    </w:p>
    <w:p w:rsidR="00751CD5" w:rsidP="00751CD5" w14:paraId="0C00133E" w14:textId="36F5506B">
      <w:pPr>
        <w:pStyle w:val="HTMLPreformatted"/>
        <w:tabs>
          <w:tab w:val="left" w:pos="180"/>
          <w:tab w:val="left" w:pos="8640"/>
        </w:tabs>
        <w:spacing w:line="480" w:lineRule="auto"/>
        <w:ind w:left="-90" w:right="-1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u w:val="single"/>
        </w:rPr>
        <w:t>Estimated Burden for Mid-size Institutions</w:t>
      </w:r>
      <w:r w:rsidR="00824BFB">
        <w:rPr>
          <w:rFonts w:ascii="Times New Roman" w:hAnsi="Times New Roman" w:cs="Times New Roman"/>
          <w:color w:val="000000" w:themeColor="text1"/>
          <w:sz w:val="24"/>
          <w:szCs w:val="24"/>
        </w:rPr>
        <w:t xml:space="preserve">:  </w:t>
      </w:r>
      <w:r w:rsidR="002261D5">
        <w:rPr>
          <w:rFonts w:ascii="Times New Roman" w:hAnsi="Times New Roman" w:cs="Times New Roman"/>
          <w:color w:val="000000" w:themeColor="text1"/>
          <w:sz w:val="24"/>
          <w:szCs w:val="24"/>
        </w:rPr>
        <w:t>38</w:t>
      </w:r>
      <w:r w:rsidR="00824BFB">
        <w:rPr>
          <w:rFonts w:ascii="Times New Roman" w:hAnsi="Times New Roman" w:cs="Times New Roman"/>
          <w:color w:val="000000" w:themeColor="text1"/>
          <w:sz w:val="24"/>
          <w:szCs w:val="24"/>
        </w:rPr>
        <w:t xml:space="preserve"> x </w:t>
      </w:r>
      <w:r w:rsidR="002261D5">
        <w:rPr>
          <w:rFonts w:ascii="Times New Roman" w:hAnsi="Times New Roman" w:cs="Times New Roman"/>
          <w:color w:val="000000" w:themeColor="text1"/>
          <w:sz w:val="24"/>
          <w:szCs w:val="24"/>
        </w:rPr>
        <w:t>32</w:t>
      </w:r>
      <w:r w:rsidR="00824BFB">
        <w:rPr>
          <w:rFonts w:ascii="Times New Roman" w:hAnsi="Times New Roman" w:cs="Times New Roman"/>
          <w:color w:val="000000" w:themeColor="text1"/>
          <w:sz w:val="24"/>
          <w:szCs w:val="24"/>
        </w:rPr>
        <w:t xml:space="preserve"> = </w:t>
      </w:r>
      <w:r w:rsidR="002261D5">
        <w:rPr>
          <w:rFonts w:ascii="Times New Roman" w:hAnsi="Times New Roman" w:cs="Times New Roman"/>
          <w:color w:val="000000" w:themeColor="text1"/>
          <w:sz w:val="24"/>
          <w:szCs w:val="24"/>
        </w:rPr>
        <w:t>1</w:t>
      </w:r>
      <w:r w:rsidR="000001F7">
        <w:rPr>
          <w:rFonts w:ascii="Times New Roman" w:hAnsi="Times New Roman" w:cs="Times New Roman"/>
          <w:color w:val="000000" w:themeColor="text1"/>
          <w:sz w:val="24"/>
          <w:szCs w:val="24"/>
        </w:rPr>
        <w:t>,</w:t>
      </w:r>
      <w:r w:rsidR="002261D5">
        <w:rPr>
          <w:rFonts w:ascii="Times New Roman" w:hAnsi="Times New Roman" w:cs="Times New Roman"/>
          <w:color w:val="000000" w:themeColor="text1"/>
          <w:sz w:val="24"/>
          <w:szCs w:val="24"/>
        </w:rPr>
        <w:t>216</w:t>
      </w:r>
      <w:r>
        <w:rPr>
          <w:rFonts w:ascii="Times New Roman" w:hAnsi="Times New Roman" w:cs="Times New Roman"/>
          <w:color w:val="000000" w:themeColor="text1"/>
          <w:sz w:val="24"/>
          <w:szCs w:val="24"/>
        </w:rPr>
        <w:t xml:space="preserve"> hours.</w:t>
      </w:r>
    </w:p>
    <w:p w:rsidR="007F785D" w:rsidRPr="000001F7" w:rsidP="000001F7" w14:paraId="5D413DC2" w14:textId="6D0D40D1">
      <w:pPr>
        <w:pStyle w:val="HTMLPreformatted"/>
        <w:tabs>
          <w:tab w:val="left" w:pos="180"/>
          <w:tab w:val="left" w:pos="8640"/>
        </w:tabs>
        <w:spacing w:line="480" w:lineRule="auto"/>
        <w:ind w:left="-90" w:right="-1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u w:val="single"/>
        </w:rPr>
        <w:t>Estimated Burden for Small Institutions</w:t>
      </w:r>
      <w:r w:rsidR="00824BFB">
        <w:rPr>
          <w:rFonts w:ascii="Times New Roman" w:hAnsi="Times New Roman" w:cs="Times New Roman"/>
          <w:color w:val="000000" w:themeColor="text1"/>
          <w:sz w:val="24"/>
          <w:szCs w:val="24"/>
        </w:rPr>
        <w:t xml:space="preserve">:  </w:t>
      </w:r>
      <w:r w:rsidR="002261D5">
        <w:rPr>
          <w:rFonts w:ascii="Times New Roman" w:hAnsi="Times New Roman" w:cs="Times New Roman"/>
          <w:color w:val="000000" w:themeColor="text1"/>
          <w:sz w:val="24"/>
          <w:szCs w:val="24"/>
        </w:rPr>
        <w:t>921</w:t>
      </w:r>
      <w:r w:rsidR="00234B04">
        <w:rPr>
          <w:rFonts w:ascii="Times New Roman" w:hAnsi="Times New Roman" w:cs="Times New Roman"/>
          <w:color w:val="000000" w:themeColor="text1"/>
          <w:sz w:val="24"/>
          <w:szCs w:val="24"/>
        </w:rPr>
        <w:t xml:space="preserve"> x </w:t>
      </w:r>
      <w:r w:rsidR="002261D5">
        <w:rPr>
          <w:rFonts w:ascii="Times New Roman" w:hAnsi="Times New Roman" w:cs="Times New Roman"/>
          <w:color w:val="000000" w:themeColor="text1"/>
          <w:sz w:val="24"/>
          <w:szCs w:val="24"/>
        </w:rPr>
        <w:t>32</w:t>
      </w:r>
      <w:r w:rsidR="00234B04">
        <w:rPr>
          <w:rFonts w:ascii="Times New Roman" w:hAnsi="Times New Roman" w:cs="Times New Roman"/>
          <w:color w:val="000000" w:themeColor="text1"/>
          <w:sz w:val="24"/>
          <w:szCs w:val="24"/>
        </w:rPr>
        <w:t xml:space="preserve"> = </w:t>
      </w:r>
      <w:r w:rsidR="002261D5">
        <w:rPr>
          <w:rFonts w:ascii="Times New Roman" w:hAnsi="Times New Roman" w:cs="Times New Roman"/>
          <w:color w:val="000000" w:themeColor="text1"/>
          <w:sz w:val="24"/>
          <w:szCs w:val="24"/>
        </w:rPr>
        <w:t>29</w:t>
      </w:r>
      <w:r w:rsidR="000001F7">
        <w:rPr>
          <w:rFonts w:ascii="Times New Roman" w:hAnsi="Times New Roman" w:cs="Times New Roman"/>
          <w:color w:val="000000" w:themeColor="text1"/>
          <w:sz w:val="24"/>
          <w:szCs w:val="24"/>
        </w:rPr>
        <w:t>,</w:t>
      </w:r>
      <w:r w:rsidR="002261D5">
        <w:rPr>
          <w:rFonts w:ascii="Times New Roman" w:hAnsi="Times New Roman" w:cs="Times New Roman"/>
          <w:color w:val="000000" w:themeColor="text1"/>
          <w:sz w:val="24"/>
          <w:szCs w:val="24"/>
        </w:rPr>
        <w:t>47</w:t>
      </w:r>
      <w:r w:rsidR="000001F7">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 xml:space="preserve"> hours.</w:t>
      </w:r>
    </w:p>
    <w:p w:rsidR="00751CD5" w:rsidRPr="002670B1" w:rsidP="00751CD5" w14:paraId="2AEB11B8" w14:textId="4664518F">
      <w:pPr>
        <w:pStyle w:val="HTMLPreformatted"/>
        <w:tabs>
          <w:tab w:val="left" w:pos="180"/>
          <w:tab w:val="left" w:pos="630"/>
          <w:tab w:val="left" w:pos="8640"/>
        </w:tabs>
        <w:spacing w:line="480" w:lineRule="auto"/>
        <w:ind w:left="-90" w:right="-180"/>
        <w:rPr>
          <w:rFonts w:ascii="Times New Roman" w:hAnsi="Times New Roman" w:cs="Times New Roman"/>
          <w:b/>
          <w:color w:val="000000" w:themeColor="text1"/>
          <w:sz w:val="24"/>
          <w:szCs w:val="24"/>
        </w:rPr>
      </w:pPr>
      <w:r w:rsidRPr="007F785D">
        <w:rPr>
          <w:rFonts w:ascii="Times New Roman" w:hAnsi="Times New Roman" w:cs="Times New Roman"/>
          <w:b/>
          <w:color w:val="000000" w:themeColor="text1"/>
          <w:sz w:val="24"/>
          <w:szCs w:val="24"/>
        </w:rPr>
        <w:t xml:space="preserve">                     </w:t>
      </w:r>
      <w:r w:rsidRPr="002670B1">
        <w:rPr>
          <w:rFonts w:ascii="Times New Roman" w:hAnsi="Times New Roman" w:cs="Times New Roman"/>
          <w:b/>
          <w:color w:val="000000" w:themeColor="text1"/>
          <w:sz w:val="24"/>
          <w:szCs w:val="24"/>
          <w:u w:val="single"/>
        </w:rPr>
        <w:t>Total Estimated Burden Hours</w:t>
      </w:r>
      <w:r w:rsidRPr="002670B1">
        <w:rPr>
          <w:rFonts w:ascii="Times New Roman" w:hAnsi="Times New Roman" w:cs="Times New Roman"/>
          <w:b/>
          <w:color w:val="000000" w:themeColor="text1"/>
          <w:sz w:val="24"/>
          <w:szCs w:val="24"/>
        </w:rPr>
        <w:t xml:space="preserve">:  </w:t>
      </w:r>
      <w:r w:rsidR="00C74804">
        <w:rPr>
          <w:rFonts w:ascii="Times New Roman" w:hAnsi="Times New Roman" w:cs="Times New Roman"/>
          <w:b/>
          <w:color w:val="000000" w:themeColor="text1"/>
          <w:sz w:val="24"/>
          <w:szCs w:val="24"/>
        </w:rPr>
        <w:t>31,648</w:t>
      </w:r>
      <w:r w:rsidRPr="000C7D33" w:rsidR="000C7D33">
        <w:rPr>
          <w:rFonts w:ascii="Times New Roman" w:hAnsi="Times New Roman" w:cs="Times New Roman"/>
          <w:color w:val="000000" w:themeColor="text1"/>
          <w:sz w:val="24"/>
          <w:szCs w:val="24"/>
        </w:rPr>
        <w:t xml:space="preserve"> </w:t>
      </w:r>
      <w:r w:rsidRPr="000C7D33">
        <w:rPr>
          <w:rFonts w:ascii="Times New Roman" w:hAnsi="Times New Roman" w:cs="Times New Roman"/>
          <w:b/>
          <w:color w:val="000000" w:themeColor="text1"/>
          <w:sz w:val="24"/>
          <w:szCs w:val="24"/>
        </w:rPr>
        <w:t>hours</w:t>
      </w:r>
      <w:r w:rsidRPr="002670B1">
        <w:rPr>
          <w:rFonts w:ascii="Times New Roman" w:hAnsi="Times New Roman" w:cs="Times New Roman"/>
          <w:b/>
          <w:color w:val="000000" w:themeColor="text1"/>
          <w:sz w:val="24"/>
          <w:szCs w:val="24"/>
        </w:rPr>
        <w:t>.</w:t>
      </w:r>
    </w:p>
    <w:p w:rsidR="00CC5213" w:rsidRPr="002670B1" w:rsidP="00751CD5" w14:paraId="17139C4F" w14:textId="521DEB04">
      <w:pPr>
        <w:pStyle w:val="HTMLPreformatted"/>
        <w:tabs>
          <w:tab w:val="left" w:pos="180"/>
          <w:tab w:val="left" w:pos="8640"/>
        </w:tabs>
        <w:spacing w:line="480" w:lineRule="auto"/>
        <w:ind w:left="-90" w:right="-45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Cost of Hour Burden</w:t>
      </w:r>
      <w:r w:rsidR="000C7D33">
        <w:rPr>
          <w:rFonts w:ascii="Times New Roman" w:hAnsi="Times New Roman" w:cs="Times New Roman"/>
          <w:b/>
          <w:color w:val="000000" w:themeColor="text1"/>
          <w:sz w:val="24"/>
          <w:szCs w:val="24"/>
        </w:rPr>
        <w:t>:</w:t>
      </w:r>
      <w:r w:rsidR="00842C34">
        <w:rPr>
          <w:rFonts w:ascii="Times New Roman" w:hAnsi="Times New Roman" w:cs="Times New Roman"/>
          <w:b/>
          <w:color w:val="000000" w:themeColor="text1"/>
          <w:sz w:val="24"/>
          <w:szCs w:val="24"/>
        </w:rPr>
        <w:t xml:space="preserve">  </w:t>
      </w:r>
      <w:r w:rsidR="00C74804">
        <w:rPr>
          <w:rFonts w:ascii="Times New Roman" w:hAnsi="Times New Roman" w:cs="Times New Roman"/>
          <w:b/>
          <w:color w:val="000000" w:themeColor="text1"/>
          <w:sz w:val="24"/>
          <w:szCs w:val="24"/>
        </w:rPr>
        <w:t>31,648</w:t>
      </w:r>
      <w:r w:rsidR="001620AA">
        <w:rPr>
          <w:rFonts w:ascii="Times New Roman" w:hAnsi="Times New Roman" w:cs="Times New Roman"/>
          <w:b/>
          <w:color w:val="000000" w:themeColor="text1"/>
          <w:sz w:val="24"/>
          <w:szCs w:val="24"/>
        </w:rPr>
        <w:t xml:space="preserve"> x $1</w:t>
      </w:r>
      <w:r w:rsidR="007B20FD">
        <w:rPr>
          <w:rFonts w:ascii="Times New Roman" w:hAnsi="Times New Roman" w:cs="Times New Roman"/>
          <w:b/>
          <w:color w:val="000000" w:themeColor="text1"/>
          <w:sz w:val="24"/>
          <w:szCs w:val="24"/>
        </w:rPr>
        <w:t>31</w:t>
      </w:r>
      <w:r w:rsidR="001B18EF">
        <w:rPr>
          <w:rFonts w:ascii="Times New Roman" w:hAnsi="Times New Roman" w:cs="Times New Roman"/>
          <w:b/>
          <w:color w:val="000000" w:themeColor="text1"/>
          <w:sz w:val="24"/>
          <w:szCs w:val="24"/>
        </w:rPr>
        <w:t>.1</w:t>
      </w:r>
      <w:r w:rsidR="007B20FD">
        <w:rPr>
          <w:rFonts w:ascii="Times New Roman" w:hAnsi="Times New Roman" w:cs="Times New Roman"/>
          <w:b/>
          <w:color w:val="000000" w:themeColor="text1"/>
          <w:sz w:val="24"/>
          <w:szCs w:val="24"/>
        </w:rPr>
        <w:t>0</w:t>
      </w:r>
      <w:r w:rsidR="001620AA">
        <w:rPr>
          <w:rFonts w:ascii="Times New Roman" w:hAnsi="Times New Roman" w:cs="Times New Roman"/>
          <w:b/>
          <w:color w:val="000000" w:themeColor="text1"/>
          <w:sz w:val="24"/>
          <w:szCs w:val="24"/>
        </w:rPr>
        <w:t xml:space="preserve"> = $</w:t>
      </w:r>
      <w:r w:rsidR="00C74804">
        <w:rPr>
          <w:rFonts w:ascii="Times New Roman" w:hAnsi="Times New Roman" w:cs="Times New Roman"/>
          <w:b/>
          <w:color w:val="000000" w:themeColor="text1"/>
          <w:sz w:val="24"/>
          <w:szCs w:val="24"/>
        </w:rPr>
        <w:t>4,149,052.80</w:t>
      </w:r>
    </w:p>
    <w:p w:rsidR="004D476E" w:rsidRPr="00210AD7" w:rsidP="004D476E" w14:paraId="1D3AC5C5" w14:textId="6880E842">
      <w:pPr>
        <w:rPr>
          <w:rFonts w:ascii="Times New Roman" w:hAnsi="Times New Roman"/>
          <w:color w:val="000000"/>
          <w:szCs w:val="24"/>
        </w:rPr>
      </w:pPr>
      <w:r w:rsidRPr="00210AD7">
        <w:rPr>
          <w:rFonts w:ascii="Times New Roman" w:hAnsi="Times New Roman"/>
        </w:rPr>
        <w:t>To estimate wages the OCC reviewed May 2024 data for wages (by industry and occupation) from the U.S. Bureau of Labor Statistics (BLS) for credit intermediation and related activities (NAICS 5220A1).  To estimate compensation costs associated with the rule, the OCC uses $131.10 per hour, which is based on the average of the 90th percentile for six occupations adjusted for inflation (3.6 percent as of Q1 2025), plus an additional 35.6 percent for benefits (based on the percent of total compensation allocated to benefits as of Q4 2024 for NAICS 522: credit intermediation and related</w:t>
      </w:r>
      <w:r>
        <w:rPr>
          <w:rFonts w:ascii="Times New Roman" w:hAnsi="Times New Roman"/>
        </w:rPr>
        <w:t xml:space="preserve"> a</w:t>
      </w:r>
      <w:r w:rsidRPr="004D476E">
        <w:rPr>
          <w:rFonts w:ascii="Times New Roman" w:hAnsi="Times New Roman"/>
        </w:rPr>
        <w:t>ctivities</w:t>
      </w:r>
      <w:r w:rsidRPr="00210AD7">
        <w:rPr>
          <w:rFonts w:ascii="Times New Roman" w:hAnsi="Times New Roman"/>
        </w:rPr>
        <w:t>).</w:t>
      </w:r>
    </w:p>
    <w:p w:rsidR="004D476E" w:rsidP="004D476E" w14:paraId="46661BC4" w14:textId="3FCA7283">
      <w:pPr>
        <w:tabs>
          <w:tab w:val="left" w:pos="-1440"/>
        </w:tabs>
        <w:ind w:left="720" w:hanging="720"/>
        <w:rPr>
          <w:rFonts w:ascii="Times New Roman" w:hAnsi="Times New Roman"/>
        </w:rPr>
      </w:pPr>
    </w:p>
    <w:p w:rsidR="006353FB" w:rsidRPr="00824F40" w:rsidP="004D476E" w14:paraId="6C4BEB1D" w14:textId="77777777">
      <w:pPr>
        <w:tabs>
          <w:tab w:val="left" w:pos="-1440"/>
        </w:tabs>
        <w:ind w:left="720" w:hanging="720"/>
        <w:rPr>
          <w:rFonts w:ascii="Times New Roman" w:hAnsi="Times New Roman"/>
          <w:b/>
          <w:i/>
        </w:rPr>
      </w:pPr>
      <w:r w:rsidRPr="00824F40">
        <w:rPr>
          <w:rFonts w:ascii="Times New Roman" w:hAnsi="Times New Roman"/>
          <w:b/>
          <w:i/>
        </w:rPr>
        <w:t>13. Estimate of annualized costs to respondents:</w:t>
      </w:r>
    </w:p>
    <w:p w:rsidR="006353FB" w14:paraId="3787A17C" w14:textId="77777777">
      <w:pPr>
        <w:rPr>
          <w:rFonts w:ascii="Times New Roman" w:hAnsi="Times New Roman"/>
        </w:rPr>
      </w:pPr>
    </w:p>
    <w:p w:rsidR="006353FB" w:rsidP="008F322C" w14:paraId="694AE5E4" w14:textId="77777777">
      <w:pPr>
        <w:ind w:firstLine="720"/>
        <w:rPr>
          <w:rFonts w:ascii="Times New Roman" w:hAnsi="Times New Roman"/>
        </w:rPr>
      </w:pPr>
      <w:r>
        <w:rPr>
          <w:rFonts w:ascii="Times New Roman" w:hAnsi="Times New Roman"/>
        </w:rPr>
        <w:t>Not applicable.</w:t>
      </w:r>
    </w:p>
    <w:p w:rsidR="006353FB" w14:paraId="79623F7B" w14:textId="77777777">
      <w:pPr>
        <w:rPr>
          <w:rFonts w:ascii="Times New Roman" w:hAnsi="Times New Roman"/>
        </w:rPr>
      </w:pPr>
    </w:p>
    <w:p w:rsidR="006353FB" w:rsidRPr="00824F40" w14:paraId="492A41DA" w14:textId="77777777">
      <w:pPr>
        <w:rPr>
          <w:rFonts w:ascii="Times New Roman" w:hAnsi="Times New Roman"/>
          <w:b/>
          <w:i/>
        </w:rPr>
      </w:pPr>
      <w:r w:rsidRPr="00824F40">
        <w:rPr>
          <w:rFonts w:ascii="Times New Roman" w:hAnsi="Times New Roman"/>
          <w:b/>
          <w:i/>
        </w:rPr>
        <w:t>14. Estimate of annualized costs to the government:</w:t>
      </w:r>
    </w:p>
    <w:p w:rsidR="006353FB" w14:paraId="752D1EE2" w14:textId="77777777">
      <w:pPr>
        <w:rPr>
          <w:rFonts w:ascii="Times New Roman" w:hAnsi="Times New Roman"/>
        </w:rPr>
      </w:pPr>
    </w:p>
    <w:p w:rsidR="006353FB" w:rsidP="008F322C" w14:paraId="5F06CA5F" w14:textId="77777777">
      <w:pPr>
        <w:ind w:firstLine="720"/>
        <w:rPr>
          <w:rFonts w:ascii="Times New Roman" w:hAnsi="Times New Roman"/>
        </w:rPr>
      </w:pPr>
      <w:r>
        <w:rPr>
          <w:rFonts w:ascii="Times New Roman" w:hAnsi="Times New Roman"/>
        </w:rPr>
        <w:t>Not applicable.</w:t>
      </w:r>
    </w:p>
    <w:p w:rsidR="006353FB" w14:paraId="228E8B89" w14:textId="77777777">
      <w:pPr>
        <w:rPr>
          <w:rFonts w:ascii="Times New Roman" w:hAnsi="Times New Roman"/>
        </w:rPr>
      </w:pPr>
    </w:p>
    <w:p w:rsidR="006353FB" w:rsidRPr="00824F40" w14:paraId="518BC542" w14:textId="77777777">
      <w:pPr>
        <w:tabs>
          <w:tab w:val="left" w:pos="-1440"/>
        </w:tabs>
        <w:ind w:left="720" w:hanging="720"/>
        <w:rPr>
          <w:rFonts w:ascii="Times New Roman" w:hAnsi="Times New Roman"/>
          <w:b/>
          <w:i/>
        </w:rPr>
      </w:pPr>
      <w:r w:rsidRPr="00824F40">
        <w:rPr>
          <w:rFonts w:ascii="Times New Roman" w:hAnsi="Times New Roman"/>
          <w:b/>
          <w:i/>
        </w:rPr>
        <w:t>15. Changes in burden:</w:t>
      </w:r>
    </w:p>
    <w:p w:rsidR="006353FB" w14:paraId="7A1B618B" w14:textId="77777777">
      <w:pPr>
        <w:rPr>
          <w:rFonts w:ascii="Times New Roman" w:hAnsi="Times New Roman"/>
        </w:rPr>
      </w:pPr>
    </w:p>
    <w:p w:rsidR="00774092" w14:paraId="077A1945" w14:textId="285AE4DE">
      <w:pPr>
        <w:rPr>
          <w:rFonts w:ascii="Times New Roman" w:hAnsi="Times New Roman"/>
        </w:rPr>
      </w:pPr>
      <w:r>
        <w:rPr>
          <w:rFonts w:ascii="Times New Roman" w:hAnsi="Times New Roman"/>
        </w:rPr>
        <w:t>Prior</w:t>
      </w:r>
      <w:r>
        <w:rPr>
          <w:rFonts w:ascii="Times New Roman" w:hAnsi="Times New Roman"/>
        </w:rPr>
        <w:t xml:space="preserve"> burden:</w:t>
      </w:r>
    </w:p>
    <w:p w:rsidR="00774092" w14:paraId="722824A2" w14:textId="77777777">
      <w:pPr>
        <w:rPr>
          <w:rFonts w:ascii="Times New Roman" w:hAnsi="Times New Roman"/>
        </w:rPr>
      </w:pPr>
    </w:p>
    <w:p w:rsidR="006353FB" w:rsidP="002B46E9" w14:paraId="09126061" w14:textId="5497D039">
      <w:pPr>
        <w:ind w:firstLine="720"/>
        <w:rPr>
          <w:rFonts w:ascii="Times New Roman" w:hAnsi="Times New Roman"/>
        </w:rPr>
      </w:pPr>
      <w:r w:rsidRPr="00C326D8">
        <w:rPr>
          <w:rFonts w:ascii="Times New Roman" w:hAnsi="Times New Roman"/>
        </w:rPr>
        <w:t xml:space="preserve">78,096 </w:t>
      </w:r>
      <w:r w:rsidR="00774092">
        <w:rPr>
          <w:rFonts w:ascii="Times New Roman" w:hAnsi="Times New Roman"/>
        </w:rPr>
        <w:t>Burden Hours</w:t>
      </w:r>
    </w:p>
    <w:p w:rsidR="00774092" w:rsidP="002B46E9" w14:paraId="210810BA" w14:textId="77777777">
      <w:pPr>
        <w:ind w:firstLine="720"/>
        <w:rPr>
          <w:rFonts w:ascii="Times New Roman" w:hAnsi="Times New Roman"/>
        </w:rPr>
      </w:pPr>
    </w:p>
    <w:p w:rsidR="00774092" w:rsidP="00774092" w14:paraId="4D767ED8" w14:textId="6955B463">
      <w:pPr>
        <w:rPr>
          <w:rFonts w:ascii="Times New Roman" w:hAnsi="Times New Roman"/>
        </w:rPr>
      </w:pPr>
      <w:r>
        <w:rPr>
          <w:rFonts w:ascii="Times New Roman" w:hAnsi="Times New Roman"/>
        </w:rPr>
        <w:t>Current</w:t>
      </w:r>
      <w:r>
        <w:rPr>
          <w:rFonts w:ascii="Times New Roman" w:hAnsi="Times New Roman"/>
        </w:rPr>
        <w:t xml:space="preserve"> burden:</w:t>
      </w:r>
    </w:p>
    <w:p w:rsidR="00774092" w:rsidP="002B46E9" w14:paraId="55ED050D" w14:textId="23A939B1">
      <w:pPr>
        <w:ind w:firstLine="720"/>
        <w:rPr>
          <w:rFonts w:ascii="Times New Roman" w:hAnsi="Times New Roman"/>
        </w:rPr>
      </w:pPr>
    </w:p>
    <w:p w:rsidR="000001F7" w:rsidP="002B46E9" w14:paraId="2E170196" w14:textId="60CDEBEA">
      <w:pPr>
        <w:ind w:firstLine="720"/>
        <w:rPr>
          <w:rFonts w:ascii="Times New Roman" w:hAnsi="Times New Roman"/>
        </w:rPr>
      </w:pPr>
      <w:r>
        <w:rPr>
          <w:rFonts w:ascii="Times New Roman" w:hAnsi="Times New Roman"/>
        </w:rPr>
        <w:t>31,648</w:t>
      </w:r>
      <w:r w:rsidR="00C326D8">
        <w:rPr>
          <w:rFonts w:ascii="Times New Roman" w:hAnsi="Times New Roman"/>
        </w:rPr>
        <w:t xml:space="preserve"> </w:t>
      </w:r>
      <w:r>
        <w:rPr>
          <w:rFonts w:ascii="Times New Roman" w:hAnsi="Times New Roman"/>
        </w:rPr>
        <w:t>Burden Hours</w:t>
      </w:r>
    </w:p>
    <w:p w:rsidR="00774092" w:rsidP="002B46E9" w14:paraId="515AC60F" w14:textId="77777777">
      <w:pPr>
        <w:ind w:firstLine="720"/>
        <w:rPr>
          <w:rFonts w:ascii="Times New Roman" w:hAnsi="Times New Roman"/>
        </w:rPr>
      </w:pPr>
    </w:p>
    <w:p w:rsidR="00774092" w:rsidP="00774092" w14:paraId="226D1D65" w14:textId="77777777">
      <w:pPr>
        <w:rPr>
          <w:rFonts w:ascii="Times New Roman" w:hAnsi="Times New Roman"/>
        </w:rPr>
      </w:pPr>
      <w:r>
        <w:rPr>
          <w:rFonts w:ascii="Times New Roman" w:hAnsi="Times New Roman"/>
        </w:rPr>
        <w:t>Difference:</w:t>
      </w:r>
    </w:p>
    <w:p w:rsidR="00774092" w:rsidP="00774092" w14:paraId="4F0D78DE" w14:textId="77777777">
      <w:pPr>
        <w:rPr>
          <w:rFonts w:ascii="Times New Roman" w:hAnsi="Times New Roman"/>
        </w:rPr>
      </w:pPr>
    </w:p>
    <w:p w:rsidR="00661FEE" w:rsidP="000001F7" w14:paraId="337A24FD" w14:textId="5F969F94">
      <w:pPr>
        <w:rPr>
          <w:rFonts w:ascii="Times New Roman" w:hAnsi="Times New Roman"/>
        </w:rPr>
      </w:pPr>
      <w:r>
        <w:rPr>
          <w:rFonts w:ascii="Times New Roman" w:hAnsi="Times New Roman"/>
        </w:rPr>
        <w:tab/>
      </w:r>
      <w:r w:rsidR="00C74804">
        <w:rPr>
          <w:rFonts w:ascii="Times New Roman" w:hAnsi="Times New Roman"/>
        </w:rPr>
        <w:t>-</w:t>
      </w:r>
      <w:r w:rsidR="004277E3">
        <w:rPr>
          <w:rFonts w:ascii="Times New Roman" w:hAnsi="Times New Roman"/>
        </w:rPr>
        <w:t>4</w:t>
      </w:r>
      <w:r w:rsidR="00C74804">
        <w:rPr>
          <w:rFonts w:ascii="Times New Roman" w:hAnsi="Times New Roman"/>
        </w:rPr>
        <w:t>6,448</w:t>
      </w:r>
      <w:r w:rsidR="00C326D8">
        <w:rPr>
          <w:rFonts w:ascii="Times New Roman" w:hAnsi="Times New Roman"/>
        </w:rPr>
        <w:t xml:space="preserve"> </w:t>
      </w:r>
      <w:r w:rsidR="00371E64">
        <w:rPr>
          <w:rFonts w:ascii="Times New Roman" w:hAnsi="Times New Roman"/>
        </w:rPr>
        <w:t>Burden Hours</w:t>
      </w:r>
    </w:p>
    <w:p w:rsidR="00371E64" w:rsidP="000001F7" w14:paraId="5FABFADB" w14:textId="63C391C7">
      <w:pPr>
        <w:rPr>
          <w:rFonts w:ascii="Times New Roman" w:hAnsi="Times New Roman"/>
        </w:rPr>
      </w:pPr>
    </w:p>
    <w:p w:rsidR="00E57789" w:rsidP="000001F7" w14:paraId="2FCDD211" w14:textId="0BDB0A7E">
      <w:pPr>
        <w:rPr>
          <w:rFonts w:ascii="Times New Roman" w:hAnsi="Times New Roman"/>
          <w:highlight w:val="yellow"/>
        </w:rPr>
      </w:pPr>
      <w:r w:rsidRPr="00E57789">
        <w:rPr>
          <w:rFonts w:ascii="Times New Roman" w:hAnsi="Times New Roman"/>
        </w:rPr>
        <w:t xml:space="preserve">The decrease in burden is due to the </w:t>
      </w:r>
      <w:r w:rsidR="00B27453">
        <w:rPr>
          <w:rFonts w:ascii="Times New Roman" w:hAnsi="Times New Roman"/>
        </w:rPr>
        <w:t xml:space="preserve">consideration of the </w:t>
      </w:r>
      <w:r w:rsidRPr="00E57789">
        <w:rPr>
          <w:rFonts w:ascii="Times New Roman" w:hAnsi="Times New Roman"/>
        </w:rPr>
        <w:t>on</w:t>
      </w:r>
      <w:r w:rsidR="00B27453">
        <w:rPr>
          <w:rFonts w:ascii="Times New Roman" w:hAnsi="Times New Roman"/>
        </w:rPr>
        <w:t xml:space="preserve">going </w:t>
      </w:r>
      <w:r w:rsidRPr="00E57789">
        <w:rPr>
          <w:rFonts w:ascii="Times New Roman" w:hAnsi="Times New Roman"/>
        </w:rPr>
        <w:t>maintenance and recordkeeping</w:t>
      </w:r>
      <w:r w:rsidR="00B27453">
        <w:rPr>
          <w:rFonts w:ascii="Times New Roman" w:hAnsi="Times New Roman"/>
        </w:rPr>
        <w:t xml:space="preserve"> requirements imposed by the Policy Statement</w:t>
      </w:r>
      <w:r w:rsidRPr="00E57789">
        <w:rPr>
          <w:rFonts w:ascii="Times New Roman" w:hAnsi="Times New Roman"/>
        </w:rPr>
        <w:t>. Only new charters have the burden of implementation</w:t>
      </w:r>
      <w:r w:rsidR="004277E3">
        <w:rPr>
          <w:rFonts w:ascii="Times New Roman" w:hAnsi="Times New Roman"/>
        </w:rPr>
        <w:t>.</w:t>
      </w:r>
      <w:r w:rsidRPr="00E57789">
        <w:rPr>
          <w:rFonts w:ascii="Times New Roman" w:hAnsi="Times New Roman"/>
        </w:rPr>
        <w:t xml:space="preserve"> </w:t>
      </w:r>
      <w:r w:rsidR="004277E3">
        <w:rPr>
          <w:rFonts w:ascii="Times New Roman" w:hAnsi="Times New Roman"/>
        </w:rPr>
        <w:t>A</w:t>
      </w:r>
      <w:r w:rsidRPr="00E57789">
        <w:rPr>
          <w:rFonts w:ascii="Times New Roman" w:hAnsi="Times New Roman"/>
        </w:rPr>
        <w:t xml:space="preserve">ll other banks have already implemented </w:t>
      </w:r>
      <w:r>
        <w:rPr>
          <w:rFonts w:ascii="Times New Roman" w:hAnsi="Times New Roman"/>
        </w:rPr>
        <w:t>the maintenance and recordkeeping requirements</w:t>
      </w:r>
      <w:r w:rsidRPr="00E57789">
        <w:rPr>
          <w:rFonts w:ascii="Times New Roman" w:hAnsi="Times New Roman"/>
        </w:rPr>
        <w:t>.</w:t>
      </w:r>
    </w:p>
    <w:p w:rsidR="00E57789" w:rsidP="000001F7" w14:paraId="60F61023" w14:textId="77777777">
      <w:pPr>
        <w:rPr>
          <w:rFonts w:ascii="Times New Roman" w:hAnsi="Times New Roman"/>
          <w:highlight w:val="yellow"/>
        </w:rPr>
      </w:pPr>
    </w:p>
    <w:p w:rsidR="00865C6E" w:rsidP="00B27453" w14:paraId="79DE48B8" w14:textId="642FF6F4">
      <w:pPr>
        <w:rPr>
          <w:rFonts w:ascii="Times New Roman" w:hAnsi="Times New Roman"/>
        </w:rPr>
      </w:pPr>
      <w:r>
        <w:rPr>
          <w:rFonts w:ascii="Times New Roman" w:hAnsi="Times New Roman"/>
        </w:rPr>
        <w:t xml:space="preserve"> </w:t>
      </w:r>
    </w:p>
    <w:p w:rsidR="006353FB" w:rsidRPr="00824F40" w14:paraId="5F98B87F" w14:textId="77777777">
      <w:pPr>
        <w:tabs>
          <w:tab w:val="left" w:pos="-1440"/>
        </w:tabs>
        <w:ind w:left="720" w:hanging="720"/>
        <w:rPr>
          <w:rFonts w:ascii="Times New Roman" w:hAnsi="Times New Roman"/>
          <w:b/>
          <w:i/>
        </w:rPr>
      </w:pPr>
      <w:r w:rsidRPr="00824F40">
        <w:rPr>
          <w:rFonts w:ascii="Times New Roman" w:hAnsi="Times New Roman"/>
          <w:b/>
          <w:i/>
        </w:rPr>
        <w:t>16. Information regarding collections whose results are planned to be published for statistical use:</w:t>
      </w:r>
    </w:p>
    <w:p w:rsidR="006353FB" w14:paraId="00EAD182" w14:textId="77777777">
      <w:pPr>
        <w:ind w:left="720"/>
        <w:rPr>
          <w:rFonts w:ascii="Times New Roman" w:hAnsi="Times New Roman"/>
        </w:rPr>
      </w:pPr>
    </w:p>
    <w:p w:rsidR="006353FB" w:rsidP="008F322C" w14:paraId="4B7414E2" w14:textId="77777777">
      <w:pPr>
        <w:ind w:firstLine="720"/>
        <w:rPr>
          <w:rFonts w:ascii="Times New Roman" w:hAnsi="Times New Roman"/>
        </w:rPr>
      </w:pPr>
      <w:r>
        <w:rPr>
          <w:rFonts w:ascii="Times New Roman" w:hAnsi="Times New Roman"/>
        </w:rPr>
        <w:t>No publication for statistical use is contemplated.</w:t>
      </w:r>
    </w:p>
    <w:p w:rsidR="006353FB" w14:paraId="3F5205D5" w14:textId="77777777">
      <w:pPr>
        <w:rPr>
          <w:rFonts w:ascii="Times New Roman" w:hAnsi="Times New Roman"/>
        </w:rPr>
      </w:pPr>
    </w:p>
    <w:p w:rsidR="006353FB" w:rsidRPr="00824F40" w14:paraId="48B6989E" w14:textId="77777777">
      <w:pPr>
        <w:rPr>
          <w:rFonts w:ascii="Times New Roman" w:hAnsi="Times New Roman"/>
          <w:b/>
          <w:i/>
        </w:rPr>
      </w:pPr>
      <w:r w:rsidRPr="00824F40">
        <w:rPr>
          <w:rFonts w:ascii="Times New Roman" w:hAnsi="Times New Roman"/>
          <w:b/>
          <w:i/>
        </w:rPr>
        <w:t>17. Display of expiration date:</w:t>
      </w:r>
    </w:p>
    <w:p w:rsidR="006353FB" w14:paraId="2009AFE1" w14:textId="77777777">
      <w:pPr>
        <w:rPr>
          <w:rFonts w:ascii="Times New Roman" w:hAnsi="Times New Roman"/>
        </w:rPr>
      </w:pPr>
    </w:p>
    <w:p w:rsidR="006353FB" w:rsidP="008F322C" w14:paraId="2EAD1358" w14:textId="77777777">
      <w:pPr>
        <w:ind w:firstLine="720"/>
        <w:rPr>
          <w:rFonts w:ascii="Times New Roman" w:hAnsi="Times New Roman"/>
        </w:rPr>
      </w:pPr>
      <w:r>
        <w:rPr>
          <w:rFonts w:ascii="Times New Roman" w:hAnsi="Times New Roman"/>
        </w:rPr>
        <w:t>Not applicable.</w:t>
      </w:r>
    </w:p>
    <w:p w:rsidR="006353FB" w14:paraId="40CBF12F" w14:textId="77777777">
      <w:pPr>
        <w:rPr>
          <w:rFonts w:ascii="Times New Roman" w:hAnsi="Times New Roman"/>
        </w:rPr>
      </w:pPr>
    </w:p>
    <w:p w:rsidR="006353FB" w:rsidRPr="00824F40" w14:paraId="6AF06639" w14:textId="77777777">
      <w:pPr>
        <w:rPr>
          <w:rFonts w:ascii="Times New Roman" w:hAnsi="Times New Roman"/>
          <w:b/>
          <w:i/>
        </w:rPr>
      </w:pPr>
      <w:r w:rsidRPr="00824F40">
        <w:rPr>
          <w:rFonts w:ascii="Times New Roman" w:hAnsi="Times New Roman"/>
          <w:b/>
          <w:i/>
        </w:rPr>
        <w:t>18. Exceptions to certification statement:</w:t>
      </w:r>
    </w:p>
    <w:p w:rsidR="006353FB" w14:paraId="238E83DB" w14:textId="77777777">
      <w:pPr>
        <w:rPr>
          <w:rFonts w:ascii="Times New Roman" w:hAnsi="Times New Roman"/>
        </w:rPr>
      </w:pPr>
    </w:p>
    <w:p w:rsidR="006353FB" w:rsidP="008F322C" w14:paraId="2D6538CF" w14:textId="77777777">
      <w:pPr>
        <w:ind w:firstLine="720"/>
        <w:rPr>
          <w:rFonts w:ascii="Times New Roman" w:hAnsi="Times New Roman"/>
        </w:rPr>
      </w:pPr>
      <w:r>
        <w:rPr>
          <w:rFonts w:ascii="Times New Roman" w:hAnsi="Times New Roman"/>
        </w:rPr>
        <w:t>Not applicable.</w:t>
      </w:r>
    </w:p>
    <w:p w:rsidR="006353FB" w14:paraId="1F412548" w14:textId="77777777">
      <w:pPr>
        <w:rPr>
          <w:rFonts w:ascii="Times New Roman" w:hAnsi="Times New Roman"/>
        </w:rPr>
      </w:pPr>
    </w:p>
    <w:p w:rsidR="00E3724A" w14:paraId="21400AF5" w14:textId="77777777">
      <w:pPr>
        <w:rPr>
          <w:rFonts w:ascii="Times New Roman" w:hAnsi="Times New Roman"/>
        </w:rPr>
      </w:pPr>
    </w:p>
    <w:p w:rsidR="006353FB" w:rsidRPr="00824F40" w14:paraId="30F11DA4" w14:textId="77777777">
      <w:pPr>
        <w:rPr>
          <w:rFonts w:ascii="Times New Roman" w:hAnsi="Times New Roman"/>
          <w:b/>
        </w:rPr>
      </w:pPr>
      <w:r w:rsidRPr="00824F40">
        <w:rPr>
          <w:rFonts w:ascii="Times New Roman" w:hAnsi="Times New Roman"/>
          <w:b/>
        </w:rPr>
        <w:t>B. Collections of Information Employing Statistical Methods.</w:t>
      </w:r>
    </w:p>
    <w:p w:rsidR="00E3724A" w14:paraId="2D0ADEBE" w14:textId="77777777">
      <w:pPr>
        <w:rPr>
          <w:rFonts w:ascii="Times New Roman" w:hAnsi="Times New Roman"/>
        </w:rPr>
      </w:pPr>
    </w:p>
    <w:p w:rsidR="006353FB" w:rsidP="008F7FD7" w14:paraId="150FE16A" w14:textId="77777777">
      <w:pPr>
        <w:ind w:firstLine="720"/>
        <w:rPr>
          <w:rFonts w:ascii="Times New Roman" w:hAnsi="Times New Roman"/>
        </w:rPr>
      </w:pPr>
      <w:r>
        <w:rPr>
          <w:rFonts w:ascii="Times New Roman" w:hAnsi="Times New Roman"/>
        </w:rPr>
        <w:t>Not applicable.</w:t>
      </w:r>
    </w:p>
    <w:sectPr w:rsidSect="00AB68F9">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85559910"/>
      <w:docPartObj>
        <w:docPartGallery w:val="Page Numbers (Bottom of Page)"/>
        <w:docPartUnique/>
      </w:docPartObj>
    </w:sdtPr>
    <w:sdtEndPr>
      <w:rPr>
        <w:rFonts w:ascii="Times New Roman" w:hAnsi="Times New Roman"/>
        <w:noProof/>
      </w:rPr>
    </w:sdtEndPr>
    <w:sdtContent>
      <w:p w:rsidR="00E535E6" w:rsidRPr="00E535E6" w14:paraId="2843B1E3" w14:textId="77777777">
        <w:pPr>
          <w:pStyle w:val="Footer"/>
          <w:jc w:val="center"/>
          <w:rPr>
            <w:rFonts w:ascii="Times New Roman" w:hAnsi="Times New Roman"/>
          </w:rPr>
        </w:pPr>
        <w:r w:rsidRPr="00E535E6">
          <w:rPr>
            <w:rFonts w:ascii="Times New Roman" w:hAnsi="Times New Roman"/>
          </w:rPr>
          <w:fldChar w:fldCharType="begin"/>
        </w:r>
        <w:r w:rsidRPr="00E535E6">
          <w:rPr>
            <w:rFonts w:ascii="Times New Roman" w:hAnsi="Times New Roman"/>
          </w:rPr>
          <w:instrText xml:space="preserve"> PAGE   \* MERGEFORMAT </w:instrText>
        </w:r>
        <w:r w:rsidRPr="00E535E6">
          <w:rPr>
            <w:rFonts w:ascii="Times New Roman" w:hAnsi="Times New Roman"/>
          </w:rPr>
          <w:fldChar w:fldCharType="separate"/>
        </w:r>
        <w:r w:rsidR="00227E31">
          <w:rPr>
            <w:rFonts w:ascii="Times New Roman" w:hAnsi="Times New Roman"/>
            <w:noProof/>
          </w:rPr>
          <w:t>4</w:t>
        </w:r>
        <w:r w:rsidRPr="00E535E6">
          <w:rPr>
            <w:rFonts w:ascii="Times New Roman" w:hAnsi="Times New Roman"/>
            <w:noProof/>
          </w:rPr>
          <w:fldChar w:fldCharType="end"/>
        </w:r>
      </w:p>
    </w:sdtContent>
  </w:sdt>
  <w:p w:rsidR="00E535E6" w14:paraId="480C156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A39FE" w14:paraId="792F167C" w14:textId="77777777">
      <w:r>
        <w:separator/>
      </w:r>
    </w:p>
  </w:footnote>
  <w:footnote w:type="continuationSeparator" w:id="1">
    <w:p w:rsidR="009A39FE" w14:paraId="7520DB3E" w14:textId="77777777">
      <w:r>
        <w:continuationSeparator/>
      </w:r>
    </w:p>
  </w:footnote>
  <w:footnote w:type="continuationNotice" w:id="2">
    <w:p w:rsidR="009A39FE" w14:paraId="5E932812" w14:textId="77777777"/>
  </w:footnote>
  <w:footnote w:id="3">
    <w:p w:rsidR="00A47304" w:rsidRPr="003C5858" w:rsidP="00A47304" w14:paraId="63EA8EF1" w14:textId="4D9C2F0F">
      <w:pPr>
        <w:rPr>
          <w:rFonts w:ascii="Times New Roman" w:hAnsi="Times New Roman"/>
          <w:sz w:val="20"/>
        </w:rPr>
      </w:pPr>
      <w:r w:rsidRPr="003C5858">
        <w:rPr>
          <w:rStyle w:val="FootnoteReference"/>
          <w:rFonts w:ascii="Times New Roman" w:hAnsi="Times New Roman"/>
          <w:sz w:val="20"/>
          <w:vertAlign w:val="superscript"/>
        </w:rPr>
        <w:footnoteRef/>
      </w:r>
      <w:r w:rsidRPr="003C5858">
        <w:rPr>
          <w:rFonts w:ascii="Times New Roman" w:hAnsi="Times New Roman"/>
          <w:sz w:val="20"/>
        </w:rPr>
        <w:t xml:space="preserve"> 75 FR 13656 (March 22, 2010).</w:t>
      </w:r>
      <w:r w:rsidRPr="003C5858" w:rsidR="00B4293D">
        <w:rPr>
          <w:rFonts w:ascii="Times New Roman" w:hAnsi="Times New Roman"/>
          <w:sz w:val="20"/>
        </w:rPr>
        <w:t xml:space="preserve"> </w:t>
      </w:r>
      <w:bookmarkStart w:id="2" w:name="_Hlk198629514"/>
      <w:r w:rsidRPr="003C5858" w:rsidR="00B4293D">
        <w:rPr>
          <w:rFonts w:ascii="Times New Roman" w:hAnsi="Times New Roman"/>
          <w:sz w:val="20"/>
        </w:rPr>
        <w:t xml:space="preserve">The </w:t>
      </w:r>
      <w:r w:rsidRPr="00B97796" w:rsidR="00802AD6">
        <w:rPr>
          <w:rFonts w:ascii="Times New Roman" w:hAnsi="Times New Roman"/>
          <w:sz w:val="20"/>
        </w:rPr>
        <w:t xml:space="preserve">former </w:t>
      </w:r>
      <w:r w:rsidRPr="003C5858" w:rsidR="00B4293D">
        <w:rPr>
          <w:rFonts w:ascii="Times New Roman" w:hAnsi="Times New Roman"/>
          <w:sz w:val="20"/>
        </w:rPr>
        <w:t>Office of Thrift Supervision</w:t>
      </w:r>
      <w:r w:rsidRPr="00B97796" w:rsidR="00802AD6">
        <w:rPr>
          <w:rFonts w:ascii="Times New Roman" w:hAnsi="Times New Roman"/>
          <w:sz w:val="20"/>
        </w:rPr>
        <w:t>, which merged with the Office of the Comptroller of the Currency on July 21, 2011,</w:t>
      </w:r>
      <w:r w:rsidRPr="003C5858" w:rsidR="00B4293D">
        <w:rPr>
          <w:rFonts w:ascii="Times New Roman" w:hAnsi="Times New Roman"/>
          <w:sz w:val="20"/>
        </w:rPr>
        <w:t xml:space="preserve"> was </w:t>
      </w:r>
      <w:r w:rsidRPr="003C5858" w:rsidR="00802AD6">
        <w:rPr>
          <w:rFonts w:ascii="Times New Roman" w:hAnsi="Times New Roman"/>
          <w:sz w:val="20"/>
        </w:rPr>
        <w:t>also involved in issuing the Policy Statement.</w:t>
      </w:r>
      <w:bookmarkEnd w:id="2"/>
    </w:p>
    <w:p w:rsidR="00A47304" w:rsidRPr="00B97796" w14:paraId="387A9209" w14:textId="77777777">
      <w:pPr>
        <w:pStyle w:val="FootnoteText"/>
        <w:rPr>
          <w:rFonts w:ascii="Times New Roman" w:hAnsi="Times New Roman"/>
        </w:rPr>
      </w:pPr>
    </w:p>
  </w:footnote>
  <w:footnote w:id="4">
    <w:p w:rsidR="003C5858" w:rsidP="003C5858" w14:paraId="509F833A" w14:textId="7A82AA42">
      <w:pPr>
        <w:pStyle w:val="FootnoteText"/>
        <w:rPr>
          <w:rFonts w:ascii="Times New Roman" w:hAnsi="Times New Roman"/>
        </w:rPr>
      </w:pPr>
      <w:r w:rsidRPr="00B97796">
        <w:rPr>
          <w:rStyle w:val="FootnoteReference"/>
          <w:rFonts w:ascii="Times New Roman" w:hAnsi="Times New Roman"/>
          <w:vertAlign w:val="superscript"/>
        </w:rPr>
        <w:footnoteRef/>
      </w:r>
      <w:r w:rsidRPr="00B97796">
        <w:rPr>
          <w:rFonts w:ascii="Times New Roman" w:hAnsi="Times New Roman"/>
        </w:rPr>
        <w:t xml:space="preserve"> For national banks and Federal savings associations, </w:t>
      </w:r>
      <w:r w:rsidR="00CA51F8">
        <w:rPr>
          <w:rFonts w:ascii="Times New Roman" w:hAnsi="Times New Roman"/>
        </w:rPr>
        <w:t>refer to</w:t>
      </w:r>
      <w:r w:rsidRPr="00B97796">
        <w:rPr>
          <w:rFonts w:ascii="Times New Roman" w:hAnsi="Times New Roman"/>
        </w:rPr>
        <w:t xml:space="preserve"> the </w:t>
      </w:r>
      <w:r w:rsidRPr="00B97796">
        <w:rPr>
          <w:rFonts w:ascii="Times New Roman" w:hAnsi="Times New Roman"/>
          <w:i/>
          <w:iCs/>
        </w:rPr>
        <w:t>Comptroller’s Handbook on Liquidity</w:t>
      </w:r>
      <w:r w:rsidRPr="00B97796">
        <w:rPr>
          <w:rFonts w:ascii="Times New Roman" w:hAnsi="Times New Roman"/>
        </w:rPr>
        <w:t>.</w:t>
      </w:r>
    </w:p>
    <w:p w:rsidR="003C5858" w:rsidRPr="00B97796" w:rsidP="003C5858" w14:paraId="0D781E68" w14:textId="77777777">
      <w:pPr>
        <w:pStyle w:val="FootnoteText"/>
        <w:rPr>
          <w:rFonts w:ascii="Times New Roman" w:hAnsi="Times New Roman"/>
        </w:rPr>
      </w:pPr>
    </w:p>
  </w:footnote>
  <w:footnote w:id="5">
    <w:p w:rsidR="003C5858" w:rsidRPr="003C5858" w:rsidP="003C5858" w14:paraId="0563D785" w14:textId="77777777">
      <w:pPr>
        <w:pStyle w:val="FootnoteText"/>
        <w:rPr>
          <w:rFonts w:ascii="Times New Roman" w:hAnsi="Times New Roman"/>
        </w:rPr>
      </w:pPr>
      <w:r w:rsidRPr="00B97796">
        <w:rPr>
          <w:rStyle w:val="FootnoteReference"/>
          <w:rFonts w:ascii="Times New Roman" w:hAnsi="Times New Roman"/>
          <w:vertAlign w:val="superscript"/>
        </w:rPr>
        <w:footnoteRef/>
      </w:r>
      <w:r w:rsidRPr="003C5858">
        <w:rPr>
          <w:rFonts w:ascii="Times New Roman" w:hAnsi="Times New Roman"/>
        </w:rPr>
        <w:t xml:space="preserve"> </w:t>
      </w:r>
      <w:r w:rsidRPr="003C5858">
        <w:rPr>
          <w:rFonts w:ascii="Times New Roman" w:hAnsi="Times New Roman"/>
          <w:i/>
          <w:iCs/>
        </w:rPr>
        <w:t>See</w:t>
      </w:r>
      <w:r w:rsidRPr="003C5858">
        <w:rPr>
          <w:rFonts w:ascii="Times New Roman" w:hAnsi="Times New Roman"/>
        </w:rPr>
        <w:t xml:space="preserve"> OCC Bulletin 2023-25, “Liquidity: Addendum to the Interagency Policy Statement on Funding and Liquidity Risk Management” (July 28, 2023), https://www.occ.gov/news-issuances/bulletins/2023/bulletin-2023-25.html.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2FB5" w14:paraId="27300FC9"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32FB5" w14:paraId="79DA518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2FB5" w14:paraId="5C0D75C3"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3665AC"/>
    <w:multiLevelType w:val="hybridMultilevel"/>
    <w:tmpl w:val="6DA83A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E811341"/>
    <w:multiLevelType w:val="hybridMultilevel"/>
    <w:tmpl w:val="B7000E0A"/>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
    <w:nsid w:val="15E23C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A6670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E362D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8183B22"/>
    <w:multiLevelType w:val="multilevel"/>
    <w:tmpl w:val="E124A508"/>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nsid w:val="38DA33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EEB7630"/>
    <w:multiLevelType w:val="multilevel"/>
    <w:tmpl w:val="CF6C1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5661A53"/>
    <w:multiLevelType w:val="hybridMultilevel"/>
    <w:tmpl w:val="2E222DF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
    <w:nsid w:val="564859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6FB2F38"/>
    <w:multiLevelType w:val="hybridMultilevel"/>
    <w:tmpl w:val="91CA7446"/>
    <w:lvl w:ilvl="0">
      <w:start w:val="12"/>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592249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5BC90A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629544E8"/>
    <w:multiLevelType w:val="hybridMultilevel"/>
    <w:tmpl w:val="DA405E4A"/>
    <w:lvl w:ilvl="0">
      <w:start w:val="12"/>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6ADC48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B184C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75A45B05"/>
    <w:multiLevelType w:val="hybridMultilevel"/>
    <w:tmpl w:val="4D785C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76555B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78F34C38"/>
    <w:multiLevelType w:val="multilevel"/>
    <w:tmpl w:val="6F20BE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7E12532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42218583">
    <w:abstractNumId w:val="11"/>
  </w:num>
  <w:num w:numId="2" w16cid:durableId="936672665">
    <w:abstractNumId w:val="15"/>
  </w:num>
  <w:num w:numId="3" w16cid:durableId="1816294970">
    <w:abstractNumId w:val="3"/>
  </w:num>
  <w:num w:numId="4" w16cid:durableId="1709841635">
    <w:abstractNumId w:val="19"/>
  </w:num>
  <w:num w:numId="5" w16cid:durableId="1671717315">
    <w:abstractNumId w:val="14"/>
  </w:num>
  <w:num w:numId="6" w16cid:durableId="270094559">
    <w:abstractNumId w:val="6"/>
  </w:num>
  <w:num w:numId="7" w16cid:durableId="93791303">
    <w:abstractNumId w:val="12"/>
  </w:num>
  <w:num w:numId="8" w16cid:durableId="54550726">
    <w:abstractNumId w:val="4"/>
  </w:num>
  <w:num w:numId="9" w16cid:durableId="1823498389">
    <w:abstractNumId w:val="2"/>
  </w:num>
  <w:num w:numId="10" w16cid:durableId="1186678086">
    <w:abstractNumId w:val="17"/>
  </w:num>
  <w:num w:numId="11" w16cid:durableId="2027825672">
    <w:abstractNumId w:val="9"/>
  </w:num>
  <w:num w:numId="12" w16cid:durableId="230896005">
    <w:abstractNumId w:val="16"/>
  </w:num>
  <w:num w:numId="13" w16cid:durableId="788283739">
    <w:abstractNumId w:val="8"/>
  </w:num>
  <w:num w:numId="14" w16cid:durableId="1732388773">
    <w:abstractNumId w:val="5"/>
  </w:num>
  <w:num w:numId="15" w16cid:durableId="171913807">
    <w:abstractNumId w:val="1"/>
  </w:num>
  <w:num w:numId="16" w16cid:durableId="344938610">
    <w:abstractNumId w:val="18"/>
  </w:num>
  <w:num w:numId="17" w16cid:durableId="912467885">
    <w:abstractNumId w:val="13"/>
  </w:num>
  <w:num w:numId="18" w16cid:durableId="797837354">
    <w:abstractNumId w:val="10"/>
  </w:num>
  <w:num w:numId="19" w16cid:durableId="1385710918">
    <w:abstractNumId w:val="7"/>
  </w:num>
  <w:num w:numId="20" w16cid:durableId="1516380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505"/>
    <w:rsid w:val="000001F7"/>
    <w:rsid w:val="00007EB2"/>
    <w:rsid w:val="00015625"/>
    <w:rsid w:val="00020282"/>
    <w:rsid w:val="000377CA"/>
    <w:rsid w:val="000703EF"/>
    <w:rsid w:val="00084BA7"/>
    <w:rsid w:val="00086123"/>
    <w:rsid w:val="00092EE9"/>
    <w:rsid w:val="000B3872"/>
    <w:rsid w:val="000B7F05"/>
    <w:rsid w:val="000C7D33"/>
    <w:rsid w:val="000D454D"/>
    <w:rsid w:val="000D71AB"/>
    <w:rsid w:val="00106C75"/>
    <w:rsid w:val="00114ACB"/>
    <w:rsid w:val="00121839"/>
    <w:rsid w:val="001270D7"/>
    <w:rsid w:val="001412EF"/>
    <w:rsid w:val="00156A4D"/>
    <w:rsid w:val="001620AA"/>
    <w:rsid w:val="00164769"/>
    <w:rsid w:val="00174548"/>
    <w:rsid w:val="00177B32"/>
    <w:rsid w:val="00182F89"/>
    <w:rsid w:val="00185603"/>
    <w:rsid w:val="001A48B8"/>
    <w:rsid w:val="001B18EF"/>
    <w:rsid w:val="001B50F8"/>
    <w:rsid w:val="001B79A3"/>
    <w:rsid w:val="00200204"/>
    <w:rsid w:val="002024C2"/>
    <w:rsid w:val="00210AD7"/>
    <w:rsid w:val="002239CB"/>
    <w:rsid w:val="002261D5"/>
    <w:rsid w:val="002279D4"/>
    <w:rsid w:val="00227E31"/>
    <w:rsid w:val="00234B04"/>
    <w:rsid w:val="00237CBA"/>
    <w:rsid w:val="002548AF"/>
    <w:rsid w:val="00263445"/>
    <w:rsid w:val="002670B1"/>
    <w:rsid w:val="00282B6A"/>
    <w:rsid w:val="002A7C2E"/>
    <w:rsid w:val="002B46E9"/>
    <w:rsid w:val="002C56E6"/>
    <w:rsid w:val="002E09AB"/>
    <w:rsid w:val="002E5067"/>
    <w:rsid w:val="00314CDC"/>
    <w:rsid w:val="00317848"/>
    <w:rsid w:val="003407AB"/>
    <w:rsid w:val="00343C80"/>
    <w:rsid w:val="003616E6"/>
    <w:rsid w:val="00366D05"/>
    <w:rsid w:val="003702FF"/>
    <w:rsid w:val="00371E64"/>
    <w:rsid w:val="00395E76"/>
    <w:rsid w:val="003A1961"/>
    <w:rsid w:val="003B1D2C"/>
    <w:rsid w:val="003C5858"/>
    <w:rsid w:val="003F0574"/>
    <w:rsid w:val="004010D9"/>
    <w:rsid w:val="0042007E"/>
    <w:rsid w:val="004277E3"/>
    <w:rsid w:val="00443206"/>
    <w:rsid w:val="00444403"/>
    <w:rsid w:val="00452DFD"/>
    <w:rsid w:val="00453571"/>
    <w:rsid w:val="0045475F"/>
    <w:rsid w:val="004614B2"/>
    <w:rsid w:val="00470283"/>
    <w:rsid w:val="00471267"/>
    <w:rsid w:val="00477E66"/>
    <w:rsid w:val="00482617"/>
    <w:rsid w:val="00482C79"/>
    <w:rsid w:val="00487CA2"/>
    <w:rsid w:val="004A5BE6"/>
    <w:rsid w:val="004B7124"/>
    <w:rsid w:val="004C5017"/>
    <w:rsid w:val="004D251E"/>
    <w:rsid w:val="004D476E"/>
    <w:rsid w:val="004F641F"/>
    <w:rsid w:val="00501BBB"/>
    <w:rsid w:val="00511BC7"/>
    <w:rsid w:val="00512FD1"/>
    <w:rsid w:val="00526EBB"/>
    <w:rsid w:val="00533EB9"/>
    <w:rsid w:val="0053531E"/>
    <w:rsid w:val="005B493A"/>
    <w:rsid w:val="005D33A9"/>
    <w:rsid w:val="005D33B0"/>
    <w:rsid w:val="005D3B05"/>
    <w:rsid w:val="005D76EC"/>
    <w:rsid w:val="005E2D96"/>
    <w:rsid w:val="005E7C2B"/>
    <w:rsid w:val="00607AB7"/>
    <w:rsid w:val="00617A5B"/>
    <w:rsid w:val="006353FB"/>
    <w:rsid w:val="00660A43"/>
    <w:rsid w:val="00661FEE"/>
    <w:rsid w:val="006707D8"/>
    <w:rsid w:val="0067307F"/>
    <w:rsid w:val="006816AA"/>
    <w:rsid w:val="00693C7A"/>
    <w:rsid w:val="006946E3"/>
    <w:rsid w:val="00695E5F"/>
    <w:rsid w:val="00696AA7"/>
    <w:rsid w:val="006C1F28"/>
    <w:rsid w:val="006D5505"/>
    <w:rsid w:val="006E7873"/>
    <w:rsid w:val="00735311"/>
    <w:rsid w:val="00751CD5"/>
    <w:rsid w:val="00764098"/>
    <w:rsid w:val="00770657"/>
    <w:rsid w:val="00772F78"/>
    <w:rsid w:val="00774092"/>
    <w:rsid w:val="00781670"/>
    <w:rsid w:val="007844CC"/>
    <w:rsid w:val="007B1341"/>
    <w:rsid w:val="007B20FD"/>
    <w:rsid w:val="007C73C6"/>
    <w:rsid w:val="007F0F41"/>
    <w:rsid w:val="007F12DC"/>
    <w:rsid w:val="007F4EEC"/>
    <w:rsid w:val="007F785D"/>
    <w:rsid w:val="008008E7"/>
    <w:rsid w:val="00802AD6"/>
    <w:rsid w:val="00813534"/>
    <w:rsid w:val="00824BFB"/>
    <w:rsid w:val="00824F40"/>
    <w:rsid w:val="00842987"/>
    <w:rsid w:val="00842C34"/>
    <w:rsid w:val="00853A27"/>
    <w:rsid w:val="00865C6E"/>
    <w:rsid w:val="008817AE"/>
    <w:rsid w:val="008A0E1B"/>
    <w:rsid w:val="008A1C2C"/>
    <w:rsid w:val="008B1F51"/>
    <w:rsid w:val="008C23D2"/>
    <w:rsid w:val="008C291C"/>
    <w:rsid w:val="008C2DCC"/>
    <w:rsid w:val="008D07E4"/>
    <w:rsid w:val="008D0B1A"/>
    <w:rsid w:val="008D1179"/>
    <w:rsid w:val="008D5653"/>
    <w:rsid w:val="008F322C"/>
    <w:rsid w:val="008F68C0"/>
    <w:rsid w:val="008F7FD7"/>
    <w:rsid w:val="00927030"/>
    <w:rsid w:val="009275C6"/>
    <w:rsid w:val="00943707"/>
    <w:rsid w:val="00944E72"/>
    <w:rsid w:val="0095197B"/>
    <w:rsid w:val="00982DFA"/>
    <w:rsid w:val="0098695D"/>
    <w:rsid w:val="00994A6B"/>
    <w:rsid w:val="009A39FE"/>
    <w:rsid w:val="009A6377"/>
    <w:rsid w:val="009B411A"/>
    <w:rsid w:val="009C1001"/>
    <w:rsid w:val="009C1657"/>
    <w:rsid w:val="009D1A42"/>
    <w:rsid w:val="009D4F03"/>
    <w:rsid w:val="009F1C87"/>
    <w:rsid w:val="00A20606"/>
    <w:rsid w:val="00A3779F"/>
    <w:rsid w:val="00A47304"/>
    <w:rsid w:val="00A607F6"/>
    <w:rsid w:val="00A622E9"/>
    <w:rsid w:val="00A626D8"/>
    <w:rsid w:val="00A642F9"/>
    <w:rsid w:val="00A72DC0"/>
    <w:rsid w:val="00A95DD2"/>
    <w:rsid w:val="00AB68F9"/>
    <w:rsid w:val="00AC6009"/>
    <w:rsid w:val="00AE7618"/>
    <w:rsid w:val="00AF17DD"/>
    <w:rsid w:val="00AF4907"/>
    <w:rsid w:val="00AF5BEA"/>
    <w:rsid w:val="00B04AA8"/>
    <w:rsid w:val="00B13071"/>
    <w:rsid w:val="00B2168F"/>
    <w:rsid w:val="00B27453"/>
    <w:rsid w:val="00B33044"/>
    <w:rsid w:val="00B4293D"/>
    <w:rsid w:val="00B44A58"/>
    <w:rsid w:val="00B46EA4"/>
    <w:rsid w:val="00B61535"/>
    <w:rsid w:val="00B70AC1"/>
    <w:rsid w:val="00B74C8F"/>
    <w:rsid w:val="00B80C92"/>
    <w:rsid w:val="00B824BC"/>
    <w:rsid w:val="00B8753F"/>
    <w:rsid w:val="00B93E19"/>
    <w:rsid w:val="00B94C76"/>
    <w:rsid w:val="00B970BE"/>
    <w:rsid w:val="00B97796"/>
    <w:rsid w:val="00BA1697"/>
    <w:rsid w:val="00BC22F9"/>
    <w:rsid w:val="00BE4540"/>
    <w:rsid w:val="00BF5D3C"/>
    <w:rsid w:val="00BF7ECA"/>
    <w:rsid w:val="00C11E36"/>
    <w:rsid w:val="00C144D4"/>
    <w:rsid w:val="00C273AE"/>
    <w:rsid w:val="00C326D8"/>
    <w:rsid w:val="00C436D9"/>
    <w:rsid w:val="00C441C2"/>
    <w:rsid w:val="00C66305"/>
    <w:rsid w:val="00C74804"/>
    <w:rsid w:val="00C96D4A"/>
    <w:rsid w:val="00C973EC"/>
    <w:rsid w:val="00CA13CF"/>
    <w:rsid w:val="00CA51F8"/>
    <w:rsid w:val="00CB4E7E"/>
    <w:rsid w:val="00CB5DE9"/>
    <w:rsid w:val="00CC5213"/>
    <w:rsid w:val="00CE12E4"/>
    <w:rsid w:val="00CE1E39"/>
    <w:rsid w:val="00CF2B0B"/>
    <w:rsid w:val="00D20B5F"/>
    <w:rsid w:val="00D2269B"/>
    <w:rsid w:val="00D22D6C"/>
    <w:rsid w:val="00D611A7"/>
    <w:rsid w:val="00D65549"/>
    <w:rsid w:val="00D85B29"/>
    <w:rsid w:val="00D9227A"/>
    <w:rsid w:val="00D934CB"/>
    <w:rsid w:val="00DA0FF7"/>
    <w:rsid w:val="00DC56B1"/>
    <w:rsid w:val="00DD7147"/>
    <w:rsid w:val="00DF0C8E"/>
    <w:rsid w:val="00DF79C1"/>
    <w:rsid w:val="00E14466"/>
    <w:rsid w:val="00E27860"/>
    <w:rsid w:val="00E32FB5"/>
    <w:rsid w:val="00E3724A"/>
    <w:rsid w:val="00E535E6"/>
    <w:rsid w:val="00E57789"/>
    <w:rsid w:val="00E6284F"/>
    <w:rsid w:val="00E733CC"/>
    <w:rsid w:val="00E75547"/>
    <w:rsid w:val="00E943B9"/>
    <w:rsid w:val="00EB10DD"/>
    <w:rsid w:val="00EB3898"/>
    <w:rsid w:val="00ED5E11"/>
    <w:rsid w:val="00EE5BCE"/>
    <w:rsid w:val="00EE75CF"/>
    <w:rsid w:val="00EF7100"/>
    <w:rsid w:val="00F00556"/>
    <w:rsid w:val="00F01151"/>
    <w:rsid w:val="00F06CDE"/>
    <w:rsid w:val="00F3168F"/>
    <w:rsid w:val="00F3460E"/>
    <w:rsid w:val="00F41F90"/>
    <w:rsid w:val="00F43EA1"/>
    <w:rsid w:val="00F47AE5"/>
    <w:rsid w:val="00F52DC5"/>
    <w:rsid w:val="00F7078C"/>
    <w:rsid w:val="00F90B1C"/>
    <w:rsid w:val="00FA062F"/>
    <w:rsid w:val="00FA7948"/>
    <w:rsid w:val="00FC35D3"/>
    <w:rsid w:val="00FC6836"/>
    <w:rsid w:val="00FC7F77"/>
    <w:rsid w:val="00FD4756"/>
    <w:rsid w:val="00FD5389"/>
    <w:rsid w:val="00FD6C8E"/>
    <w:rsid w:val="00FF1D6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4EF8B20"/>
  <w15:docId w15:val="{FD5B0C98-2E06-4301-80FC-05BF8D577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B68F9"/>
    <w:pPr>
      <w:widowControl w:val="0"/>
    </w:pPr>
    <w:rPr>
      <w:rFonts w:ascii="Courier" w:hAnsi="Courier"/>
      <w:snapToGrid w:val="0"/>
      <w:sz w:val="24"/>
    </w:rPr>
  </w:style>
  <w:style w:type="paragraph" w:styleId="Heading1">
    <w:name w:val="heading 1"/>
    <w:basedOn w:val="Normal"/>
    <w:next w:val="Normal"/>
    <w:link w:val="Heading1Char"/>
    <w:qFormat/>
    <w:rsid w:val="00802AD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B68F9"/>
  </w:style>
  <w:style w:type="paragraph" w:styleId="Header">
    <w:name w:val="header"/>
    <w:basedOn w:val="Normal"/>
    <w:rsid w:val="00AB68F9"/>
    <w:pPr>
      <w:tabs>
        <w:tab w:val="center" w:pos="4320"/>
        <w:tab w:val="right" w:pos="8640"/>
      </w:tabs>
    </w:pPr>
  </w:style>
  <w:style w:type="character" w:styleId="PageNumber">
    <w:name w:val="page number"/>
    <w:basedOn w:val="DefaultParagraphFont"/>
    <w:rsid w:val="00AB68F9"/>
  </w:style>
  <w:style w:type="paragraph" w:styleId="Footer">
    <w:name w:val="footer"/>
    <w:basedOn w:val="Normal"/>
    <w:link w:val="FooterChar"/>
    <w:uiPriority w:val="99"/>
    <w:rsid w:val="00AB68F9"/>
    <w:pPr>
      <w:tabs>
        <w:tab w:val="center" w:pos="4320"/>
        <w:tab w:val="right" w:pos="8640"/>
      </w:tabs>
    </w:pPr>
  </w:style>
  <w:style w:type="paragraph" w:styleId="HTMLPreformatted">
    <w:name w:val="HTML Preformatted"/>
    <w:basedOn w:val="Normal"/>
    <w:link w:val="HTMLPreformattedChar"/>
    <w:rsid w:val="00AB68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napToGrid/>
      <w:sz w:val="20"/>
    </w:rPr>
  </w:style>
  <w:style w:type="paragraph" w:customStyle="1" w:styleId="ArticleNumber">
    <w:name w:val="Article Number"/>
    <w:basedOn w:val="Normal"/>
    <w:rsid w:val="00AB68F9"/>
    <w:pPr>
      <w:widowControl/>
      <w:tabs>
        <w:tab w:val="num" w:pos="720"/>
      </w:tabs>
      <w:spacing w:line="480" w:lineRule="auto"/>
      <w:ind w:left="720" w:hanging="720"/>
      <w:jc w:val="center"/>
    </w:pPr>
    <w:rPr>
      <w:rFonts w:ascii="Times New Roman" w:hAnsi="Times New Roman"/>
      <w:snapToGrid/>
    </w:rPr>
  </w:style>
  <w:style w:type="paragraph" w:customStyle="1" w:styleId="ArticleLevel1">
    <w:name w:val="Article Level (1)"/>
    <w:basedOn w:val="Normal"/>
    <w:rsid w:val="00AB68F9"/>
    <w:pPr>
      <w:widowControl/>
      <w:spacing w:line="480" w:lineRule="auto"/>
      <w:ind w:left="1080" w:hanging="360"/>
    </w:pPr>
    <w:rPr>
      <w:rFonts w:ascii="Times New Roman" w:hAnsi="Times New Roman"/>
      <w:snapToGrid/>
    </w:rPr>
  </w:style>
  <w:style w:type="paragraph" w:customStyle="1" w:styleId="ArticleLevela">
    <w:name w:val="Article Level (a)"/>
    <w:basedOn w:val="Normal"/>
    <w:rsid w:val="00AB68F9"/>
    <w:pPr>
      <w:widowControl/>
      <w:spacing w:line="480" w:lineRule="auto"/>
      <w:ind w:left="2160" w:hanging="720"/>
    </w:pPr>
    <w:rPr>
      <w:rFonts w:ascii="Times New Roman" w:hAnsi="Times New Roman"/>
      <w:snapToGrid/>
    </w:rPr>
  </w:style>
  <w:style w:type="paragraph" w:customStyle="1" w:styleId="ArticleLeveli">
    <w:name w:val="Article Level (i)"/>
    <w:basedOn w:val="Normal"/>
    <w:rsid w:val="00AB68F9"/>
    <w:pPr>
      <w:widowControl/>
      <w:tabs>
        <w:tab w:val="num" w:pos="2520"/>
      </w:tabs>
      <w:spacing w:line="480" w:lineRule="auto"/>
      <w:ind w:left="2880" w:hanging="360"/>
    </w:pPr>
    <w:rPr>
      <w:rFonts w:ascii="Times New Roman" w:hAnsi="Times New Roman"/>
      <w:snapToGrid/>
    </w:rPr>
  </w:style>
  <w:style w:type="character" w:styleId="Hyperlink">
    <w:name w:val="Hyperlink"/>
    <w:basedOn w:val="DefaultParagraphFont"/>
    <w:rsid w:val="00D934CB"/>
    <w:rPr>
      <w:color w:val="0000FF"/>
      <w:u w:val="single"/>
    </w:rPr>
  </w:style>
  <w:style w:type="paragraph" w:styleId="BalloonText">
    <w:name w:val="Balloon Text"/>
    <w:basedOn w:val="Normal"/>
    <w:semiHidden/>
    <w:rsid w:val="00526EBB"/>
    <w:rPr>
      <w:rFonts w:ascii="Tahoma" w:hAnsi="Tahoma" w:cs="Tahoma"/>
      <w:sz w:val="16"/>
      <w:szCs w:val="16"/>
    </w:rPr>
  </w:style>
  <w:style w:type="character" w:styleId="CommentReference">
    <w:name w:val="annotation reference"/>
    <w:basedOn w:val="DefaultParagraphFont"/>
    <w:rsid w:val="00E32FB5"/>
    <w:rPr>
      <w:sz w:val="16"/>
      <w:szCs w:val="16"/>
    </w:rPr>
  </w:style>
  <w:style w:type="paragraph" w:styleId="CommentText">
    <w:name w:val="annotation text"/>
    <w:basedOn w:val="Normal"/>
    <w:link w:val="CommentTextChar"/>
    <w:rsid w:val="00E32FB5"/>
    <w:rPr>
      <w:sz w:val="20"/>
    </w:rPr>
  </w:style>
  <w:style w:type="character" w:customStyle="1" w:styleId="CommentTextChar">
    <w:name w:val="Comment Text Char"/>
    <w:basedOn w:val="DefaultParagraphFont"/>
    <w:link w:val="CommentText"/>
    <w:rsid w:val="00E32FB5"/>
    <w:rPr>
      <w:rFonts w:ascii="Courier" w:hAnsi="Courier"/>
      <w:snapToGrid w:val="0"/>
    </w:rPr>
  </w:style>
  <w:style w:type="paragraph" w:styleId="CommentSubject">
    <w:name w:val="annotation subject"/>
    <w:basedOn w:val="CommentText"/>
    <w:next w:val="CommentText"/>
    <w:link w:val="CommentSubjectChar"/>
    <w:rsid w:val="00E32FB5"/>
    <w:rPr>
      <w:b/>
      <w:bCs/>
    </w:rPr>
  </w:style>
  <w:style w:type="character" w:customStyle="1" w:styleId="CommentSubjectChar">
    <w:name w:val="Comment Subject Char"/>
    <w:basedOn w:val="CommentTextChar"/>
    <w:link w:val="CommentSubject"/>
    <w:rsid w:val="00E32FB5"/>
    <w:rPr>
      <w:rFonts w:ascii="Courier" w:hAnsi="Courier"/>
      <w:b/>
      <w:bCs/>
      <w:snapToGrid w:val="0"/>
    </w:rPr>
  </w:style>
  <w:style w:type="paragraph" w:styleId="FootnoteText">
    <w:name w:val="footnote text"/>
    <w:basedOn w:val="Normal"/>
    <w:link w:val="FootnoteTextChar"/>
    <w:rsid w:val="00A47304"/>
    <w:rPr>
      <w:sz w:val="20"/>
    </w:rPr>
  </w:style>
  <w:style w:type="character" w:customStyle="1" w:styleId="FootnoteTextChar">
    <w:name w:val="Footnote Text Char"/>
    <w:basedOn w:val="DefaultParagraphFont"/>
    <w:link w:val="FootnoteText"/>
    <w:rsid w:val="00A47304"/>
    <w:rPr>
      <w:rFonts w:ascii="Courier" w:hAnsi="Courier"/>
      <w:snapToGrid w:val="0"/>
    </w:rPr>
  </w:style>
  <w:style w:type="table" w:styleId="TableGrid">
    <w:name w:val="Table Grid"/>
    <w:basedOn w:val="TableNormal"/>
    <w:rsid w:val="00A473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E535E6"/>
    <w:rPr>
      <w:rFonts w:ascii="Courier" w:hAnsi="Courier"/>
      <w:snapToGrid w:val="0"/>
      <w:sz w:val="24"/>
    </w:rPr>
  </w:style>
  <w:style w:type="character" w:customStyle="1" w:styleId="HTMLPreformattedChar">
    <w:name w:val="HTML Preformatted Char"/>
    <w:basedOn w:val="DefaultParagraphFont"/>
    <w:link w:val="HTMLPreformatted"/>
    <w:rsid w:val="000377CA"/>
    <w:rPr>
      <w:rFonts w:ascii="Arial Unicode MS" w:eastAsia="Arial Unicode MS" w:hAnsi="Arial Unicode MS" w:cs="Arial Unicode MS"/>
    </w:rPr>
  </w:style>
  <w:style w:type="paragraph" w:styleId="BodyText">
    <w:name w:val="Body Text"/>
    <w:basedOn w:val="Normal"/>
    <w:link w:val="BodyTextChar"/>
    <w:unhideWhenUsed/>
    <w:qFormat/>
    <w:rsid w:val="00764098"/>
    <w:pPr>
      <w:widowControl/>
    </w:pPr>
    <w:rPr>
      <w:rFonts w:ascii="Arial Narrow" w:hAnsi="Arial Narrow"/>
      <w:snapToGrid/>
      <w:u w:val="single"/>
    </w:rPr>
  </w:style>
  <w:style w:type="character" w:customStyle="1" w:styleId="BodyTextChar">
    <w:name w:val="Body Text Char"/>
    <w:basedOn w:val="DefaultParagraphFont"/>
    <w:link w:val="BodyText"/>
    <w:rsid w:val="00764098"/>
    <w:rPr>
      <w:rFonts w:ascii="Arial Narrow" w:hAnsi="Arial Narrow"/>
      <w:sz w:val="24"/>
      <w:u w:val="single"/>
    </w:rPr>
  </w:style>
  <w:style w:type="paragraph" w:styleId="ListParagraph">
    <w:name w:val="List Paragraph"/>
    <w:basedOn w:val="Normal"/>
    <w:uiPriority w:val="34"/>
    <w:qFormat/>
    <w:rsid w:val="000001F7"/>
    <w:pPr>
      <w:ind w:left="720"/>
      <w:contextualSpacing/>
    </w:pPr>
  </w:style>
  <w:style w:type="paragraph" w:styleId="Revision">
    <w:name w:val="Revision"/>
    <w:hidden/>
    <w:uiPriority w:val="99"/>
    <w:semiHidden/>
    <w:rsid w:val="00177B32"/>
    <w:rPr>
      <w:rFonts w:ascii="Courier" w:hAnsi="Courier"/>
      <w:snapToGrid w:val="0"/>
      <w:sz w:val="24"/>
    </w:rPr>
  </w:style>
  <w:style w:type="character" w:styleId="UnresolvedMention">
    <w:name w:val="Unresolved Mention"/>
    <w:basedOn w:val="DefaultParagraphFont"/>
    <w:uiPriority w:val="99"/>
    <w:semiHidden/>
    <w:unhideWhenUsed/>
    <w:rsid w:val="00B4293D"/>
    <w:rPr>
      <w:color w:val="605E5C"/>
      <w:shd w:val="clear" w:color="auto" w:fill="E1DFDD"/>
    </w:rPr>
  </w:style>
  <w:style w:type="character" w:customStyle="1" w:styleId="Heading1Char">
    <w:name w:val="Heading 1 Char"/>
    <w:basedOn w:val="DefaultParagraphFont"/>
    <w:link w:val="Heading1"/>
    <w:rsid w:val="00802AD6"/>
    <w:rPr>
      <w:rFonts w:asciiTheme="majorHAnsi" w:eastAsiaTheme="majorEastAsia" w:hAnsiTheme="majorHAnsi" w:cstheme="majorBidi"/>
      <w:snapToGrid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FF47C462472B4DAE98E69E13331619" ma:contentTypeVersion="0" ma:contentTypeDescription="Create a new document." ma:contentTypeScope="" ma:versionID="161ee5a67774c96d4782b4e1c825a53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1C78E306-5F2F-428B-A0BE-D9ECC2F6E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1AA946D-9094-48C9-80CB-DE2D7D397303}">
  <ds:schemaRefs>
    <ds:schemaRef ds:uri="http://schemas.openxmlformats.org/officeDocument/2006/bibliography"/>
  </ds:schemaRefs>
</ds:datastoreItem>
</file>

<file path=customXml/itemProps3.xml><?xml version="1.0" encoding="utf-8"?>
<ds:datastoreItem xmlns:ds="http://schemas.openxmlformats.org/officeDocument/2006/customXml" ds:itemID="{9EC739F6-BC9E-4FFA-AF0D-DD3905C5E16B}">
  <ds:schemaRefs>
    <ds:schemaRef ds:uri="http://schemas.microsoft.com/sharepoint/v3/contenttype/forms"/>
  </ds:schemaRefs>
</ds:datastoreItem>
</file>

<file path=customXml/itemProps4.xml><?xml version="1.0" encoding="utf-8"?>
<ds:datastoreItem xmlns:ds="http://schemas.openxmlformats.org/officeDocument/2006/customXml" ds:itemID="{42B976D7-D230-44A7-8167-C35A12816FFB}">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9</Pages>
  <Words>2599</Words>
  <Characters>15838</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OCC</Company>
  <LinksUpToDate>false</LinksUpToDate>
  <CharactersWithSpaces>18401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OCC</dc:creator>
  <cp:lastModifiedBy>Merritt, Shaquita</cp:lastModifiedBy>
  <cp:revision>5</cp:revision>
  <cp:lastPrinted>2016-03-29T19:15:00Z</cp:lastPrinted>
  <dcterms:created xsi:type="dcterms:W3CDTF">2025-05-22T18:11:00Z</dcterms:created>
  <dcterms:modified xsi:type="dcterms:W3CDTF">2025-07-22T19:39:00Z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0x010100EAFF47C462472B4DAE98E69E13331619</vt:lpwstr>
  </property>
</Properties>
</file>