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537" w:rsidRPr="00235360" w:rsidP="00AE3D13" w14:paraId="797AE4B8" w14:textId="2C4D9AC4">
      <w:pPr>
        <w:jc w:val="center"/>
        <w:rPr>
          <w:b/>
          <w:szCs w:val="24"/>
        </w:rPr>
      </w:pPr>
      <w:r>
        <w:rPr>
          <w:b/>
          <w:szCs w:val="24"/>
        </w:rPr>
        <w:t>SUPPORTING STATEMENT FOR</w:t>
      </w:r>
    </w:p>
    <w:p w:rsidR="001D4974" w:rsidP="00AE3D13" w14:paraId="1DE424DC" w14:textId="77777777">
      <w:pPr>
        <w:jc w:val="center"/>
        <w:rPr>
          <w:b/>
        </w:rPr>
      </w:pPr>
      <w:r>
        <w:rPr>
          <w:b/>
        </w:rPr>
        <w:t>Annual Reporting for Manufacturers of Listed Chemicals</w:t>
      </w:r>
    </w:p>
    <w:p w:rsidR="00B051D2" w:rsidRPr="00235360" w:rsidP="00AE3D13" w14:paraId="53E5A7C9" w14:textId="77777777">
      <w:pPr>
        <w:jc w:val="center"/>
        <w:rPr>
          <w:b/>
          <w:szCs w:val="24"/>
        </w:rPr>
      </w:pPr>
    </w:p>
    <w:p w:rsidR="00B051D2" w:rsidRPr="00235360" w:rsidP="00B52B8D" w14:paraId="2C62A01D" w14:textId="6CF001AC">
      <w:pPr>
        <w:jc w:val="both"/>
        <w:rPr>
          <w:szCs w:val="24"/>
        </w:rPr>
      </w:pPr>
      <w:r w:rsidRPr="00235360">
        <w:rPr>
          <w:szCs w:val="24"/>
        </w:rPr>
        <w:t>The Drug Enforcement Administration (DEA) seeks</w:t>
      </w:r>
      <w:r w:rsidRPr="00235360" w:rsidR="00090C0E">
        <w:rPr>
          <w:szCs w:val="24"/>
        </w:rPr>
        <w:t xml:space="preserve"> approval by</w:t>
      </w:r>
      <w:r w:rsidRPr="00235360">
        <w:rPr>
          <w:szCs w:val="24"/>
        </w:rPr>
        <w:t xml:space="preserve"> </w:t>
      </w:r>
      <w:r w:rsidRPr="00235360" w:rsidR="009151B2">
        <w:rPr>
          <w:szCs w:val="24"/>
        </w:rPr>
        <w:t xml:space="preserve">the </w:t>
      </w:r>
      <w:r w:rsidRPr="00235360">
        <w:rPr>
          <w:szCs w:val="24"/>
        </w:rPr>
        <w:t xml:space="preserve">Office of Management and Budget (OMB) </w:t>
      </w:r>
      <w:r w:rsidRPr="00235360" w:rsidR="007B0BA3">
        <w:rPr>
          <w:szCs w:val="24"/>
        </w:rPr>
        <w:t>for</w:t>
      </w:r>
      <w:r w:rsidRPr="00235360">
        <w:rPr>
          <w:szCs w:val="24"/>
        </w:rPr>
        <w:t xml:space="preserve"> an existing collection of information that was previously approved by OMB</w:t>
      </w:r>
      <w:r w:rsidRPr="00235360" w:rsidR="00FB41E0">
        <w:rPr>
          <w:szCs w:val="24"/>
        </w:rPr>
        <w:t xml:space="preserve"> – </w:t>
      </w:r>
      <w:r w:rsidR="001D4974">
        <w:t>OMB Approval #1117-0029, Annual Reporting for Manufacturers of Listed Chemicals</w:t>
      </w:r>
      <w:r w:rsidRPr="00235360" w:rsidR="007A31AF">
        <w:rPr>
          <w:szCs w:val="24"/>
        </w:rPr>
        <w:t>.</w:t>
      </w:r>
    </w:p>
    <w:p w:rsidR="000C1537" w:rsidRPr="00FC0E66" w:rsidP="00AE3D13" w14:paraId="5EA5470F" w14:textId="77777777">
      <w:pPr>
        <w:rPr>
          <w:szCs w:val="24"/>
        </w:rPr>
      </w:pPr>
    </w:p>
    <w:p w:rsidR="000C1537" w:rsidRPr="00F24B74" w:rsidP="00FC0E66" w14:paraId="05A3F214" w14:textId="30260180">
      <w:pPr>
        <w:pStyle w:val="BodyText"/>
        <w:spacing w:line="240" w:lineRule="auto"/>
        <w:rPr>
          <w:rFonts w:ascii="Times New Roman" w:hAnsi="Times New Roman"/>
          <w:b/>
          <w:sz w:val="24"/>
          <w:szCs w:val="24"/>
        </w:rPr>
      </w:pPr>
      <w:r w:rsidRPr="00F24B74">
        <w:rPr>
          <w:rFonts w:ascii="Times New Roman" w:hAnsi="Times New Roman"/>
          <w:b/>
          <w:sz w:val="24"/>
          <w:szCs w:val="24"/>
        </w:rPr>
        <w:t xml:space="preserve">A. </w:t>
      </w:r>
      <w:r w:rsidR="00AE0409">
        <w:rPr>
          <w:rFonts w:ascii="Times New Roman" w:hAnsi="Times New Roman"/>
          <w:b/>
          <w:sz w:val="24"/>
          <w:szCs w:val="24"/>
        </w:rPr>
        <w:t xml:space="preserve">JUSTIFICAITON </w:t>
      </w:r>
    </w:p>
    <w:p w:rsidR="001A64B0" w:rsidRPr="00235360" w:rsidP="00AE3D13" w14:paraId="7D8AA4C1" w14:textId="77777777">
      <w:pPr>
        <w:rPr>
          <w:szCs w:val="24"/>
        </w:rPr>
      </w:pPr>
    </w:p>
    <w:p w:rsidR="001A347F" w:rsidP="00AE0409" w14:paraId="621C4383" w14:textId="4C2C6979">
      <w:pPr>
        <w:rPr>
          <w:szCs w:val="24"/>
        </w:rPr>
      </w:pPr>
      <w:r w:rsidRPr="000378D2">
        <w:rPr>
          <w:b/>
          <w:bCs/>
          <w:szCs w:val="24"/>
        </w:rPr>
        <w:t>1.</w:t>
      </w:r>
      <w:r w:rsidRPr="00235360">
        <w:rPr>
          <w:szCs w:val="24"/>
        </w:rPr>
        <w:t xml:space="preserve"> </w:t>
      </w:r>
      <w:r w:rsidRPr="00235360" w:rsidR="00090C0E">
        <w:rPr>
          <w:szCs w:val="24"/>
        </w:rPr>
        <w:t xml:space="preserve"> </w:t>
      </w:r>
      <w:r w:rsidRPr="00857FC9" w:rsidR="001D4974">
        <w:t>Pursuant to 21 U.S.C. 830(b)</w:t>
      </w:r>
      <w:r w:rsidR="001D4974">
        <w:t>(2)</w:t>
      </w:r>
      <w:r w:rsidRPr="00857FC9" w:rsidR="001D4974">
        <w:t xml:space="preserve"> and 21 CFR 1310.</w:t>
      </w:r>
      <w:r w:rsidR="001D4974">
        <w:t>05(d), manufacturers of listed chemicals must file annual reports of manufacturing, inventory, and use data for the listed chemicals they manufacture</w:t>
      </w:r>
      <w:r w:rsidRPr="006F4548" w:rsidR="001D4974">
        <w:t>.</w:t>
      </w:r>
      <w:r w:rsidR="001D4974">
        <w:t xml:space="preserve">  These reports allow DEA to monitor the volume and availability of domestically manufactured listed chemicals, which may be subject to diversion for the illicit production of controlled substances</w:t>
      </w:r>
      <w:r w:rsidRPr="00235360" w:rsidR="007537B1">
        <w:rPr>
          <w:szCs w:val="24"/>
        </w:rPr>
        <w:t>.</w:t>
      </w:r>
    </w:p>
    <w:p w:rsidR="00695627" w:rsidRPr="00235360" w:rsidP="00AE3D13" w14:paraId="5DCF2630" w14:textId="77777777">
      <w:pPr>
        <w:rPr>
          <w:szCs w:val="24"/>
        </w:rPr>
      </w:pPr>
    </w:p>
    <w:p w:rsidR="007537B1" w:rsidRPr="00AE0409" w:rsidP="00AE0409" w14:paraId="61A134BE" w14:textId="3F27D89A">
      <w:pPr>
        <w:rPr>
          <w:szCs w:val="24"/>
          <w:u w:val="single"/>
        </w:rPr>
      </w:pPr>
      <w:r w:rsidRPr="000378D2">
        <w:rPr>
          <w:b/>
          <w:bCs/>
          <w:szCs w:val="24"/>
        </w:rPr>
        <w:t>2.</w:t>
      </w:r>
      <w:r w:rsidR="00AE0409">
        <w:rPr>
          <w:szCs w:val="24"/>
        </w:rPr>
        <w:t xml:space="preserve">  </w:t>
      </w:r>
      <w:r w:rsidRPr="00486CC2" w:rsidR="001D4974">
        <w:t xml:space="preserve">DEA uses </w:t>
      </w:r>
      <w:r w:rsidR="001D4974">
        <w:t>this information from businesses and other for-profit entities which manufacture listed chemicals domestically.  The collection of this information enables DEA to monitor the domestic manufacture and availability of listed chemicals.  This reporting is mandated by the Domestic Chemical Diversion Control Act of 1993.  Failure to collect such information would impede DEA’s enforcement of the Controlled Substances Act.</w:t>
      </w:r>
    </w:p>
    <w:p w:rsidR="007537B1" w:rsidRPr="00235360" w:rsidP="00AE3D13" w14:paraId="00715450" w14:textId="77777777">
      <w:pPr>
        <w:rPr>
          <w:szCs w:val="24"/>
        </w:rPr>
      </w:pPr>
    </w:p>
    <w:p w:rsidR="00B91C3E" w:rsidRPr="00235360" w:rsidP="00AE0409" w14:paraId="6F8E211A" w14:textId="6B0CACE4">
      <w:pPr>
        <w:rPr>
          <w:szCs w:val="24"/>
        </w:rPr>
      </w:pPr>
      <w:r w:rsidRPr="000378D2">
        <w:rPr>
          <w:b/>
          <w:bCs/>
          <w:szCs w:val="24"/>
        </w:rPr>
        <w:t>3.</w:t>
      </w:r>
      <w:r w:rsidRPr="00235360">
        <w:rPr>
          <w:szCs w:val="24"/>
        </w:rPr>
        <w:t xml:space="preserve"> </w:t>
      </w:r>
      <w:r w:rsidR="007D2604">
        <w:rPr>
          <w:szCs w:val="24"/>
        </w:rPr>
        <w:t xml:space="preserve">Respondents </w:t>
      </w:r>
      <w:r w:rsidR="001D4974">
        <w:rPr>
          <w:szCs w:val="24"/>
        </w:rPr>
        <w:t xml:space="preserve">may </w:t>
      </w:r>
      <w:r w:rsidR="007D2604">
        <w:rPr>
          <w:szCs w:val="24"/>
        </w:rPr>
        <w:t xml:space="preserve">submit reports electronically </w:t>
      </w:r>
      <w:r w:rsidRPr="001D4974" w:rsidR="001D4974">
        <w:rPr>
          <w:szCs w:val="24"/>
        </w:rPr>
        <w:t>on DEA</w:t>
      </w:r>
      <w:r w:rsidR="007D2604">
        <w:rPr>
          <w:szCs w:val="24"/>
        </w:rPr>
        <w:t>’s</w:t>
      </w:r>
      <w:r w:rsidRPr="001D4974" w:rsidR="001D4974">
        <w:rPr>
          <w:szCs w:val="24"/>
        </w:rPr>
        <w:t xml:space="preserve"> Diversion Control </w:t>
      </w:r>
      <w:r w:rsidR="001D4974">
        <w:rPr>
          <w:szCs w:val="24"/>
        </w:rPr>
        <w:t>Division w</w:t>
      </w:r>
      <w:r w:rsidRPr="001D4974" w:rsidR="001D4974">
        <w:rPr>
          <w:szCs w:val="24"/>
        </w:rPr>
        <w:t>eb site (http://www.deadiversion.usdoj.gov)</w:t>
      </w:r>
      <w:r w:rsidR="00E60F37">
        <w:rPr>
          <w:szCs w:val="24"/>
        </w:rPr>
        <w:t>, or in writing on company letterhead</w:t>
      </w:r>
      <w:r w:rsidR="001D4974">
        <w:rPr>
          <w:szCs w:val="24"/>
        </w:rPr>
        <w:t xml:space="preserve">.  </w:t>
      </w:r>
      <w:r w:rsidRPr="001D4974" w:rsidR="001D4974">
        <w:rPr>
          <w:szCs w:val="24"/>
        </w:rPr>
        <w:t>Currently, 100% of DEA annual reports are submitted el</w:t>
      </w:r>
      <w:r w:rsidR="001D4974">
        <w:rPr>
          <w:szCs w:val="24"/>
        </w:rPr>
        <w:t>ectronically</w:t>
      </w:r>
      <w:r w:rsidRPr="00235360" w:rsidR="007537B1">
        <w:rPr>
          <w:szCs w:val="24"/>
        </w:rPr>
        <w:t>.</w:t>
      </w:r>
    </w:p>
    <w:p w:rsidR="001A64B0" w:rsidRPr="00235360" w:rsidP="00AE3D13" w14:paraId="3A98E053" w14:textId="77777777">
      <w:pPr>
        <w:rPr>
          <w:szCs w:val="24"/>
        </w:rPr>
      </w:pPr>
    </w:p>
    <w:p w:rsidR="00CE207E" w:rsidRPr="00235360" w:rsidP="00AE0409" w14:paraId="1CCFA28F" w14:textId="2EEC8AAE">
      <w:pPr>
        <w:rPr>
          <w:szCs w:val="24"/>
        </w:rPr>
      </w:pPr>
      <w:r w:rsidRPr="000378D2">
        <w:rPr>
          <w:b/>
          <w:bCs/>
          <w:szCs w:val="24"/>
        </w:rPr>
        <w:t>4.</w:t>
      </w:r>
      <w:r w:rsidRPr="00235360">
        <w:rPr>
          <w:szCs w:val="24"/>
        </w:rPr>
        <w:t xml:space="preserve"> </w:t>
      </w:r>
      <w:r w:rsidR="00AE0409">
        <w:rPr>
          <w:szCs w:val="24"/>
        </w:rPr>
        <w:t xml:space="preserve"> </w:t>
      </w:r>
      <w:r w:rsidRPr="00682AC6" w:rsidR="007D2604">
        <w:t xml:space="preserve">DEA has made efforts to identify and prevent duplication of the collection of information.  The collection </w:t>
      </w:r>
      <w:r w:rsidR="007D2604">
        <w:t xml:space="preserve">information related to domestic listed chemical production </w:t>
      </w:r>
      <w:r w:rsidRPr="00682AC6" w:rsidR="007D2604">
        <w:t>is unique to DEA</w:t>
      </w:r>
      <w:r w:rsidRPr="00235360" w:rsidR="004C2D8D">
        <w:rPr>
          <w:szCs w:val="24"/>
        </w:rPr>
        <w:t>.</w:t>
      </w:r>
    </w:p>
    <w:p w:rsidR="00AF2AFA" w:rsidRPr="00235360" w:rsidP="00AE3D13" w14:paraId="649C0DC8" w14:textId="77777777">
      <w:pPr>
        <w:rPr>
          <w:szCs w:val="24"/>
        </w:rPr>
      </w:pPr>
    </w:p>
    <w:p w:rsidR="00CE207E" w:rsidRPr="00235360" w:rsidP="00AE0409" w14:paraId="28860E69" w14:textId="5428D815">
      <w:pPr>
        <w:rPr>
          <w:szCs w:val="24"/>
        </w:rPr>
      </w:pPr>
      <w:r w:rsidRPr="000378D2">
        <w:rPr>
          <w:b/>
          <w:bCs/>
          <w:szCs w:val="24"/>
        </w:rPr>
        <w:t>5.</w:t>
      </w:r>
      <w:r w:rsidRPr="00235360">
        <w:rPr>
          <w:szCs w:val="24"/>
        </w:rPr>
        <w:t xml:space="preserve"> </w:t>
      </w:r>
      <w:r w:rsidRPr="00235360" w:rsidR="00090C0E">
        <w:rPr>
          <w:szCs w:val="24"/>
        </w:rPr>
        <w:t xml:space="preserve"> </w:t>
      </w:r>
      <w:r w:rsidRPr="007D2604" w:rsidR="007D2604">
        <w:rPr>
          <w:szCs w:val="24"/>
        </w:rPr>
        <w:t>This information collection will not have a significant economic impact on small businesses or other small entities within the meaning and intent of the Regulatory Flexibility Act</w:t>
      </w:r>
      <w:r w:rsidR="004F3C5B">
        <w:rPr>
          <w:szCs w:val="24"/>
        </w:rPr>
        <w:t xml:space="preserve"> (</w:t>
      </w:r>
      <w:r w:rsidRPr="007D2604" w:rsidR="007D2604">
        <w:rPr>
          <w:szCs w:val="24"/>
        </w:rPr>
        <w:t>5 U.S.C. 601–612</w:t>
      </w:r>
      <w:r w:rsidR="004F3C5B">
        <w:rPr>
          <w:szCs w:val="24"/>
        </w:rPr>
        <w:t>)</w:t>
      </w:r>
      <w:r w:rsidRPr="00235360" w:rsidR="004C2D8D">
        <w:rPr>
          <w:szCs w:val="24"/>
        </w:rPr>
        <w:t>.</w:t>
      </w:r>
    </w:p>
    <w:p w:rsidR="00E975C5" w:rsidP="00AE3D13" w14:paraId="39E38B17" w14:textId="0DD2F326">
      <w:pPr>
        <w:rPr>
          <w:szCs w:val="24"/>
        </w:rPr>
      </w:pPr>
    </w:p>
    <w:p w:rsidR="001A64B0" w:rsidRPr="00235360" w:rsidP="00AE0409" w14:paraId="3ED2EE82" w14:textId="60519CEA">
      <w:pPr>
        <w:rPr>
          <w:szCs w:val="24"/>
        </w:rPr>
      </w:pPr>
      <w:r w:rsidRPr="000378D2">
        <w:rPr>
          <w:b/>
          <w:bCs/>
          <w:szCs w:val="24"/>
        </w:rPr>
        <w:t>6.</w:t>
      </w:r>
      <w:r w:rsidR="00AE0409">
        <w:rPr>
          <w:szCs w:val="24"/>
        </w:rPr>
        <w:t xml:space="preserve"> </w:t>
      </w:r>
      <w:r w:rsidR="006C49B4">
        <w:rPr>
          <w:szCs w:val="24"/>
        </w:rPr>
        <w:t xml:space="preserve">The Controlled Substances Act requires this collection </w:t>
      </w:r>
      <w:r w:rsidR="006C49B4">
        <w:rPr>
          <w:szCs w:val="24"/>
        </w:rPr>
        <w:t>be</w:t>
      </w:r>
      <w:r w:rsidR="006C49B4">
        <w:rPr>
          <w:szCs w:val="24"/>
        </w:rPr>
        <w:t xml:space="preserve"> conducted annually.  21 U.S.C. 830(b)(2).  </w:t>
      </w:r>
      <w:r w:rsidRPr="006C49B4" w:rsidR="006C49B4">
        <w:rPr>
          <w:szCs w:val="24"/>
        </w:rPr>
        <w:t xml:space="preserve">This </w:t>
      </w:r>
      <w:r w:rsidR="006C49B4">
        <w:rPr>
          <w:szCs w:val="24"/>
        </w:rPr>
        <w:t xml:space="preserve">annual </w:t>
      </w:r>
      <w:r w:rsidRPr="006C49B4" w:rsidR="006C49B4">
        <w:rPr>
          <w:szCs w:val="24"/>
        </w:rPr>
        <w:t xml:space="preserve">reporting requirement </w:t>
      </w:r>
      <w:r w:rsidR="006C49B4">
        <w:rPr>
          <w:szCs w:val="24"/>
        </w:rPr>
        <w:t>allows</w:t>
      </w:r>
      <w:r w:rsidRPr="006C49B4" w:rsidR="006C49B4">
        <w:rPr>
          <w:szCs w:val="24"/>
        </w:rPr>
        <w:t xml:space="preserve"> DEA to carry out its policies and programs as they relate to the diversion of listed chemicals for the illicit manufacture of controlled substances.  </w:t>
      </w:r>
      <w:r w:rsidR="006C49B4">
        <w:rPr>
          <w:szCs w:val="24"/>
        </w:rPr>
        <w:t xml:space="preserve">Respondents </w:t>
      </w:r>
      <w:r w:rsidRPr="006C49B4" w:rsidR="006C49B4">
        <w:rPr>
          <w:szCs w:val="24"/>
        </w:rPr>
        <w:t>maintain the requested data as part of usual and customary business practice</w:t>
      </w:r>
      <w:r w:rsidRPr="00235360" w:rsidR="008964A5">
        <w:rPr>
          <w:szCs w:val="24"/>
        </w:rPr>
        <w:t>.</w:t>
      </w:r>
    </w:p>
    <w:p w:rsidR="008964A5" w:rsidRPr="00235360" w:rsidP="00AE3D13" w14:paraId="3D14C872" w14:textId="77777777">
      <w:pPr>
        <w:rPr>
          <w:szCs w:val="24"/>
        </w:rPr>
      </w:pPr>
    </w:p>
    <w:p w:rsidR="00CE207E" w:rsidRPr="00235360" w:rsidP="00AE0409" w14:paraId="3C3F8045" w14:textId="35FDA10A">
      <w:pPr>
        <w:rPr>
          <w:szCs w:val="24"/>
        </w:rPr>
      </w:pPr>
      <w:r w:rsidRPr="000378D2">
        <w:rPr>
          <w:b/>
          <w:bCs/>
          <w:szCs w:val="24"/>
        </w:rPr>
        <w:t>7.</w:t>
      </w:r>
      <w:r w:rsidRPr="00235360">
        <w:rPr>
          <w:szCs w:val="24"/>
        </w:rPr>
        <w:t xml:space="preserve"> </w:t>
      </w:r>
      <w:r w:rsidRPr="00235360" w:rsidR="00B2205F">
        <w:rPr>
          <w:szCs w:val="24"/>
        </w:rPr>
        <w:t>There are no special circumstances applicable to this information collection.</w:t>
      </w:r>
    </w:p>
    <w:p w:rsidR="00B2205F" w:rsidRPr="00235360" w:rsidP="00B2205F" w14:paraId="7A3264CF" w14:textId="77777777">
      <w:pPr>
        <w:rPr>
          <w:szCs w:val="24"/>
        </w:rPr>
      </w:pPr>
    </w:p>
    <w:p w:rsidR="00AE0409" w:rsidRPr="00AE0409" w:rsidP="00AE0409" w14:paraId="2FDFA003" w14:textId="2961326D">
      <w:pPr>
        <w:rPr>
          <w:szCs w:val="24"/>
        </w:rPr>
      </w:pPr>
      <w:r w:rsidRPr="000378D2">
        <w:rPr>
          <w:b/>
          <w:bCs/>
          <w:szCs w:val="24"/>
        </w:rPr>
        <w:t>8.</w:t>
      </w:r>
      <w:r>
        <w:rPr>
          <w:szCs w:val="24"/>
        </w:rPr>
        <w:t xml:space="preserve"> </w:t>
      </w:r>
      <w:bookmarkStart w:id="0" w:name="OLE_LINK2"/>
      <w:r w:rsidRPr="00AE0409">
        <w:rPr>
          <w:szCs w:val="24"/>
        </w:rPr>
        <w:t>The 60-Day Notice was published in the Federal Register on</w:t>
      </w:r>
      <w:r w:rsidR="00922BEE">
        <w:rPr>
          <w:szCs w:val="24"/>
        </w:rPr>
        <w:t xml:space="preserve"> July 7, 2025, at 90 FR 29888</w:t>
      </w:r>
      <w:r w:rsidRPr="00AE0409">
        <w:rPr>
          <w:szCs w:val="24"/>
        </w:rPr>
        <w:t xml:space="preserve">. The comment period ended on </w:t>
      </w:r>
      <w:r w:rsidR="00922BEE">
        <w:rPr>
          <w:szCs w:val="24"/>
        </w:rPr>
        <w:t>September 5, 2025</w:t>
      </w:r>
      <w:r w:rsidRPr="00AE0409">
        <w:rPr>
          <w:szCs w:val="24"/>
        </w:rPr>
        <w:t>. No comments were received.</w:t>
      </w:r>
      <w:r w:rsidR="00922BEE">
        <w:rPr>
          <w:szCs w:val="24"/>
        </w:rPr>
        <w:t xml:space="preserve">  A 30-Day Notice was published in the Federal Register on September 10, 2025, at 90 FR43634. </w:t>
      </w:r>
    </w:p>
    <w:bookmarkEnd w:id="0"/>
    <w:p w:rsidR="00AE0409" w:rsidRPr="00AE0409" w:rsidP="00AE0409" w14:paraId="310A703A" w14:textId="77777777">
      <w:pPr>
        <w:rPr>
          <w:szCs w:val="24"/>
        </w:rPr>
      </w:pPr>
    </w:p>
    <w:p w:rsidR="009151B2" w:rsidRPr="00235360" w:rsidP="00AE3D13" w14:paraId="0045D3AE" w14:textId="78803270">
      <w:pPr>
        <w:rPr>
          <w:szCs w:val="24"/>
        </w:rPr>
      </w:pPr>
    </w:p>
    <w:p w:rsidR="00695627" w:rsidRPr="00235360" w:rsidP="00B52B8D" w14:paraId="11D67149" w14:textId="4AFBD5DC">
      <w:pPr>
        <w:jc w:val="both"/>
        <w:rPr>
          <w:szCs w:val="24"/>
        </w:rPr>
      </w:pPr>
      <w:r w:rsidRPr="00235360">
        <w:rPr>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003E411E" w:rsidRPr="00235360" w:rsidP="00AE3D13" w14:paraId="6AC4C467" w14:textId="77777777">
      <w:pPr>
        <w:rPr>
          <w:szCs w:val="24"/>
        </w:rPr>
      </w:pPr>
    </w:p>
    <w:p w:rsidR="00072531" w:rsidRPr="00235360" w:rsidP="00AE0409" w14:paraId="5BEC9599" w14:textId="10D840B7">
      <w:pPr>
        <w:rPr>
          <w:szCs w:val="24"/>
        </w:rPr>
      </w:pPr>
      <w:r w:rsidRPr="000378D2">
        <w:rPr>
          <w:b/>
          <w:bCs/>
          <w:szCs w:val="24"/>
        </w:rPr>
        <w:t>9.</w:t>
      </w:r>
      <w:r w:rsidRPr="00235360">
        <w:rPr>
          <w:szCs w:val="24"/>
        </w:rPr>
        <w:t xml:space="preserve"> </w:t>
      </w:r>
      <w:r w:rsidRPr="00235360" w:rsidR="00A52C58">
        <w:rPr>
          <w:szCs w:val="24"/>
        </w:rPr>
        <w:t xml:space="preserve">This collection of information does </w:t>
      </w:r>
      <w:r w:rsidRPr="00235360" w:rsidR="00A52C58">
        <w:rPr>
          <w:szCs w:val="24"/>
        </w:rPr>
        <w:t>not propose to provide</w:t>
      </w:r>
      <w:r w:rsidRPr="00235360" w:rsidR="00A52C58">
        <w:rPr>
          <w:szCs w:val="24"/>
        </w:rPr>
        <w:t xml:space="preserve"> any payment or gift to respondents.</w:t>
      </w:r>
    </w:p>
    <w:p w:rsidR="00A52C58" w:rsidRPr="00235360" w:rsidP="00AE3D13" w14:paraId="1E33F9CF" w14:textId="77777777">
      <w:pPr>
        <w:rPr>
          <w:szCs w:val="24"/>
        </w:rPr>
      </w:pPr>
    </w:p>
    <w:p w:rsidR="001A64B0" w:rsidRPr="00235360" w:rsidP="00AE0409" w14:paraId="18F1D4C1" w14:textId="2B0BF1DE">
      <w:pPr>
        <w:rPr>
          <w:szCs w:val="24"/>
        </w:rPr>
      </w:pPr>
      <w:r w:rsidRPr="000378D2">
        <w:rPr>
          <w:b/>
          <w:bCs/>
          <w:szCs w:val="24"/>
        </w:rPr>
        <w:t>10.</w:t>
      </w:r>
      <w:r w:rsidRPr="00235360">
        <w:rPr>
          <w:szCs w:val="24"/>
        </w:rPr>
        <w:t xml:space="preserve"> </w:t>
      </w:r>
      <w:r w:rsidRPr="00235360" w:rsidR="00090C0E">
        <w:rPr>
          <w:szCs w:val="24"/>
        </w:rPr>
        <w:t xml:space="preserve"> </w:t>
      </w:r>
      <w:r w:rsidRPr="00235360" w:rsidR="009151B2">
        <w:rPr>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9151B2" w:rsidRPr="00235360" w:rsidP="00AE3D13" w14:paraId="107BB07B" w14:textId="77777777">
      <w:pPr>
        <w:rPr>
          <w:szCs w:val="24"/>
        </w:rPr>
      </w:pPr>
    </w:p>
    <w:p w:rsidR="00072531" w:rsidRPr="00235360" w:rsidP="00AE0409" w14:paraId="61204880" w14:textId="53375A09">
      <w:pPr>
        <w:rPr>
          <w:szCs w:val="24"/>
        </w:rPr>
      </w:pPr>
      <w:r w:rsidRPr="000378D2">
        <w:rPr>
          <w:b/>
          <w:bCs/>
          <w:szCs w:val="24"/>
        </w:rPr>
        <w:t>11.</w:t>
      </w:r>
      <w:r w:rsidRPr="00235360">
        <w:rPr>
          <w:szCs w:val="24"/>
        </w:rPr>
        <w:t xml:space="preserve"> </w:t>
      </w:r>
      <w:r w:rsidRPr="00235360" w:rsidR="00B051D2">
        <w:rPr>
          <w:szCs w:val="24"/>
        </w:rPr>
        <w:t>This collection of information does not ask any questions of a sensitive nature.</w:t>
      </w:r>
    </w:p>
    <w:p w:rsidR="00B051D2" w:rsidP="00AE3D13" w14:paraId="2E8A3151" w14:textId="084FFBEB">
      <w:pPr>
        <w:rPr>
          <w:szCs w:val="24"/>
        </w:rPr>
      </w:pPr>
    </w:p>
    <w:p w:rsidR="003D1F4A" w:rsidP="00AE0409" w14:paraId="7A3A3B05" w14:textId="0D85F5E5">
      <w:pPr>
        <w:pStyle w:val="BodyText2"/>
        <w:spacing w:line="240" w:lineRule="auto"/>
        <w:rPr>
          <w:szCs w:val="24"/>
        </w:rPr>
      </w:pPr>
      <w:r w:rsidRPr="000378D2">
        <w:rPr>
          <w:b/>
          <w:bCs/>
          <w:szCs w:val="24"/>
        </w:rPr>
        <w:t>12.</w:t>
      </w:r>
      <w:r w:rsidRPr="00235360" w:rsidR="00090C0E">
        <w:rPr>
          <w:szCs w:val="24"/>
        </w:rPr>
        <w:t xml:space="preserve"> </w:t>
      </w:r>
      <w:r w:rsidR="0075369B">
        <w:t xml:space="preserve">Respondents submit reports on an annual basis, using information </w:t>
      </w:r>
      <w:r w:rsidRPr="006C49B4" w:rsidR="0075369B">
        <w:rPr>
          <w:szCs w:val="24"/>
        </w:rPr>
        <w:t>maintain</w:t>
      </w:r>
      <w:r w:rsidR="0075369B">
        <w:rPr>
          <w:szCs w:val="24"/>
        </w:rPr>
        <w:t xml:space="preserve">ed </w:t>
      </w:r>
      <w:r w:rsidRPr="006C49B4" w:rsidR="0075369B">
        <w:rPr>
          <w:szCs w:val="24"/>
        </w:rPr>
        <w:t>as part of usual and customary business practice</w:t>
      </w:r>
      <w:r w:rsidRPr="00235360">
        <w:rPr>
          <w:szCs w:val="24"/>
        </w:rPr>
        <w:t>.</w:t>
      </w:r>
    </w:p>
    <w:p w:rsidR="0094062E" w:rsidP="00AE0409" w14:paraId="73423372" w14:textId="77777777">
      <w:pPr>
        <w:pStyle w:val="BodyText2"/>
        <w:spacing w:line="240" w:lineRule="auto"/>
        <w:rPr>
          <w:szCs w:val="24"/>
        </w:rPr>
      </w:pPr>
    </w:p>
    <w:p w:rsidR="0094062E" w:rsidRPr="0094062E" w:rsidP="00AE0409" w14:paraId="55E2C163" w14:textId="1E8CACE0">
      <w:pPr>
        <w:pStyle w:val="BodyText2"/>
        <w:spacing w:line="240" w:lineRule="auto"/>
        <w:rPr>
          <w:b/>
          <w:bCs/>
          <w:szCs w:val="24"/>
        </w:rPr>
      </w:pPr>
      <w:r>
        <w:rPr>
          <w:b/>
          <w:bCs/>
          <w:szCs w:val="24"/>
        </w:rPr>
        <w:t>Estimated Annualized Respondent Cost and Hour Burden</w:t>
      </w:r>
    </w:p>
    <w:p w:rsidR="00AE0409" w:rsidP="00AE0409" w14:paraId="1C806455" w14:textId="77777777">
      <w:pPr>
        <w:pStyle w:val="BodyText2"/>
        <w:spacing w:line="240" w:lineRule="auto"/>
        <w:rPr>
          <w:szCs w:val="24"/>
        </w:rPr>
      </w:pPr>
    </w:p>
    <w:tbl>
      <w:tblPr>
        <w:tblW w:w="9440" w:type="dxa"/>
        <w:tblLook w:val="04A0"/>
      </w:tblPr>
      <w:tblGrid>
        <w:gridCol w:w="1340"/>
        <w:gridCol w:w="1306"/>
        <w:gridCol w:w="1127"/>
        <w:gridCol w:w="1094"/>
        <w:gridCol w:w="1063"/>
        <w:gridCol w:w="1170"/>
        <w:gridCol w:w="990"/>
        <w:gridCol w:w="1350"/>
      </w:tblGrid>
      <w:tr w14:paraId="63E864FD" w14:textId="77777777" w:rsidTr="006B6011">
        <w:tblPrEx>
          <w:tblW w:w="9440" w:type="dxa"/>
          <w:tblLook w:val="04A0"/>
        </w:tblPrEx>
        <w:trPr>
          <w:trHeight w:val="1035"/>
        </w:trPr>
        <w:tc>
          <w:tcPr>
            <w:tcW w:w="1340" w:type="dxa"/>
            <w:tcBorders>
              <w:top w:val="single" w:sz="8" w:space="0" w:color="auto"/>
              <w:left w:val="single" w:sz="8" w:space="0" w:color="auto"/>
              <w:bottom w:val="nil"/>
              <w:right w:val="single" w:sz="8" w:space="0" w:color="auto"/>
            </w:tcBorders>
            <w:shd w:val="clear" w:color="000000" w:fill="C5D9F1"/>
            <w:vAlign w:val="center"/>
            <w:hideMark/>
          </w:tcPr>
          <w:p w:rsidR="00704F75" w:rsidRPr="00704F75" w:rsidP="00704F75" w14:paraId="4284CA46" w14:textId="77777777">
            <w:pPr>
              <w:rPr>
                <w:color w:val="000000"/>
                <w:sz w:val="20"/>
              </w:rPr>
            </w:pPr>
            <w:r w:rsidRPr="00704F75">
              <w:rPr>
                <w:color w:val="000000"/>
                <w:sz w:val="20"/>
              </w:rPr>
              <w:t> </w:t>
            </w:r>
            <w:r w:rsidRPr="00704F75">
              <w:rPr>
                <w:b/>
                <w:bCs/>
                <w:color w:val="000000"/>
                <w:sz w:val="20"/>
              </w:rPr>
              <w:t xml:space="preserve">Activity </w:t>
            </w:r>
          </w:p>
        </w:tc>
        <w:tc>
          <w:tcPr>
            <w:tcW w:w="1306" w:type="dxa"/>
            <w:tcBorders>
              <w:top w:val="single" w:sz="8" w:space="0" w:color="auto"/>
              <w:left w:val="nil"/>
              <w:bottom w:val="nil"/>
              <w:right w:val="single" w:sz="8" w:space="0" w:color="auto"/>
            </w:tcBorders>
            <w:shd w:val="clear" w:color="000000" w:fill="C5D9F1"/>
            <w:vAlign w:val="center"/>
            <w:hideMark/>
          </w:tcPr>
          <w:p w:rsidR="00704F75" w:rsidRPr="00704F75" w:rsidP="00704F75" w14:paraId="7B50C51B" w14:textId="77777777">
            <w:pPr>
              <w:jc w:val="center"/>
              <w:rPr>
                <w:b/>
                <w:bCs/>
                <w:color w:val="000000"/>
                <w:sz w:val="20"/>
              </w:rPr>
            </w:pPr>
            <w:r w:rsidRPr="00704F75">
              <w:rPr>
                <w:b/>
                <w:bCs/>
                <w:color w:val="000000"/>
                <w:sz w:val="20"/>
              </w:rPr>
              <w:t>Number of Respondents</w:t>
            </w:r>
          </w:p>
        </w:tc>
        <w:tc>
          <w:tcPr>
            <w:tcW w:w="1127" w:type="dxa"/>
            <w:tcBorders>
              <w:top w:val="single" w:sz="8" w:space="0" w:color="auto"/>
              <w:left w:val="nil"/>
              <w:bottom w:val="nil"/>
              <w:right w:val="single" w:sz="8" w:space="0" w:color="auto"/>
            </w:tcBorders>
            <w:shd w:val="clear" w:color="000000" w:fill="C5D9F1"/>
            <w:vAlign w:val="center"/>
            <w:hideMark/>
          </w:tcPr>
          <w:p w:rsidR="00704F75" w:rsidRPr="00704F75" w:rsidP="00704F75" w14:paraId="64A6894E" w14:textId="77777777">
            <w:pPr>
              <w:jc w:val="center"/>
              <w:rPr>
                <w:b/>
                <w:bCs/>
                <w:color w:val="000000"/>
                <w:sz w:val="20"/>
              </w:rPr>
            </w:pPr>
            <w:r w:rsidRPr="00704F75">
              <w:rPr>
                <w:b/>
                <w:bCs/>
                <w:color w:val="000000"/>
                <w:sz w:val="20"/>
              </w:rPr>
              <w:t>Frequency</w:t>
            </w:r>
          </w:p>
        </w:tc>
        <w:tc>
          <w:tcPr>
            <w:tcW w:w="1094" w:type="dxa"/>
            <w:tcBorders>
              <w:top w:val="single" w:sz="8" w:space="0" w:color="auto"/>
              <w:left w:val="nil"/>
              <w:bottom w:val="nil"/>
              <w:right w:val="single" w:sz="8" w:space="0" w:color="auto"/>
            </w:tcBorders>
            <w:shd w:val="clear" w:color="000000" w:fill="C5D9F1"/>
            <w:vAlign w:val="center"/>
            <w:hideMark/>
          </w:tcPr>
          <w:p w:rsidR="00704F75" w:rsidRPr="00704F75" w:rsidP="00704F75" w14:paraId="63EE4FC6" w14:textId="77777777">
            <w:pPr>
              <w:jc w:val="center"/>
              <w:rPr>
                <w:b/>
                <w:bCs/>
                <w:color w:val="000000"/>
                <w:sz w:val="20"/>
              </w:rPr>
            </w:pPr>
            <w:r w:rsidRPr="00704F75">
              <w:rPr>
                <w:b/>
                <w:bCs/>
                <w:color w:val="000000"/>
                <w:sz w:val="20"/>
              </w:rPr>
              <w:t>Total Annual Responses</w:t>
            </w:r>
          </w:p>
        </w:tc>
        <w:tc>
          <w:tcPr>
            <w:tcW w:w="1063" w:type="dxa"/>
            <w:tcBorders>
              <w:top w:val="single" w:sz="8" w:space="0" w:color="auto"/>
              <w:left w:val="nil"/>
              <w:bottom w:val="nil"/>
              <w:right w:val="single" w:sz="8" w:space="0" w:color="auto"/>
            </w:tcBorders>
            <w:shd w:val="clear" w:color="000000" w:fill="C5D9F1"/>
            <w:vAlign w:val="center"/>
            <w:hideMark/>
          </w:tcPr>
          <w:p w:rsidR="00704F75" w:rsidRPr="00704F75" w:rsidP="00704F75" w14:paraId="487741FC" w14:textId="264C639D">
            <w:pPr>
              <w:jc w:val="center"/>
              <w:rPr>
                <w:b/>
                <w:bCs/>
                <w:color w:val="000000"/>
                <w:sz w:val="20"/>
              </w:rPr>
            </w:pPr>
            <w:r w:rsidRPr="00704F75">
              <w:rPr>
                <w:b/>
                <w:bCs/>
                <w:color w:val="000000"/>
                <w:sz w:val="20"/>
              </w:rPr>
              <w:t>Time Per Response (</w:t>
            </w:r>
            <w:r w:rsidR="001505F1">
              <w:rPr>
                <w:b/>
                <w:bCs/>
                <w:color w:val="000000"/>
                <w:sz w:val="20"/>
              </w:rPr>
              <w:t>H</w:t>
            </w:r>
            <w:r w:rsidRPr="00704F75">
              <w:rPr>
                <w:b/>
                <w:bCs/>
                <w:color w:val="000000"/>
                <w:sz w:val="20"/>
              </w:rPr>
              <w:t>ours)</w:t>
            </w:r>
          </w:p>
        </w:tc>
        <w:tc>
          <w:tcPr>
            <w:tcW w:w="1170" w:type="dxa"/>
            <w:tcBorders>
              <w:top w:val="single" w:sz="8" w:space="0" w:color="auto"/>
              <w:left w:val="nil"/>
              <w:bottom w:val="nil"/>
              <w:right w:val="single" w:sz="8" w:space="0" w:color="auto"/>
            </w:tcBorders>
            <w:shd w:val="clear" w:color="000000" w:fill="C5D9F1"/>
            <w:vAlign w:val="center"/>
            <w:hideMark/>
          </w:tcPr>
          <w:p w:rsidR="00704F75" w:rsidRPr="00704F75" w:rsidP="00704F75" w14:paraId="222B3F55" w14:textId="77777777">
            <w:pPr>
              <w:jc w:val="center"/>
              <w:rPr>
                <w:b/>
                <w:bCs/>
                <w:color w:val="000000"/>
                <w:sz w:val="20"/>
              </w:rPr>
            </w:pPr>
            <w:r w:rsidRPr="00704F75">
              <w:rPr>
                <w:b/>
                <w:bCs/>
                <w:color w:val="000000"/>
                <w:sz w:val="20"/>
              </w:rPr>
              <w:t>Total Annual Burden (Hours)</w:t>
            </w:r>
          </w:p>
        </w:tc>
        <w:tc>
          <w:tcPr>
            <w:tcW w:w="990" w:type="dxa"/>
            <w:tcBorders>
              <w:top w:val="single" w:sz="8" w:space="0" w:color="auto"/>
              <w:left w:val="nil"/>
              <w:bottom w:val="nil"/>
              <w:right w:val="single" w:sz="8" w:space="0" w:color="auto"/>
            </w:tcBorders>
            <w:shd w:val="clear" w:color="000000" w:fill="C5D9F1"/>
            <w:vAlign w:val="center"/>
            <w:hideMark/>
          </w:tcPr>
          <w:p w:rsidR="00704F75" w:rsidRPr="00704F75" w:rsidP="00704F75" w14:paraId="70297119" w14:textId="77777777">
            <w:pPr>
              <w:jc w:val="center"/>
              <w:rPr>
                <w:b/>
                <w:bCs/>
                <w:color w:val="000000"/>
                <w:sz w:val="20"/>
              </w:rPr>
            </w:pPr>
            <w:r w:rsidRPr="00704F75">
              <w:rPr>
                <w:b/>
                <w:bCs/>
                <w:color w:val="000000"/>
                <w:sz w:val="20"/>
              </w:rPr>
              <w:t>Hourly Rate*</w:t>
            </w:r>
          </w:p>
        </w:tc>
        <w:tc>
          <w:tcPr>
            <w:tcW w:w="1350" w:type="dxa"/>
            <w:tcBorders>
              <w:top w:val="single" w:sz="8" w:space="0" w:color="auto"/>
              <w:left w:val="nil"/>
              <w:bottom w:val="nil"/>
              <w:right w:val="single" w:sz="8" w:space="0" w:color="auto"/>
            </w:tcBorders>
            <w:shd w:val="clear" w:color="000000" w:fill="C5D9F1"/>
            <w:vAlign w:val="center"/>
            <w:hideMark/>
          </w:tcPr>
          <w:p w:rsidR="00704F75" w:rsidRPr="00704F75" w:rsidP="00704F75" w14:paraId="00E4C864" w14:textId="77777777">
            <w:pPr>
              <w:jc w:val="center"/>
              <w:rPr>
                <w:b/>
                <w:bCs/>
                <w:color w:val="000000"/>
                <w:sz w:val="20"/>
              </w:rPr>
            </w:pPr>
            <w:r w:rsidRPr="00704F75">
              <w:rPr>
                <w:b/>
                <w:bCs/>
                <w:color w:val="000000"/>
                <w:sz w:val="20"/>
              </w:rPr>
              <w:t xml:space="preserve"> Monetized Value of Respondent Time </w:t>
            </w:r>
          </w:p>
        </w:tc>
      </w:tr>
      <w:tr w14:paraId="6C88712B" w14:textId="77777777" w:rsidTr="006B6011">
        <w:tblPrEx>
          <w:tblW w:w="9440" w:type="dxa"/>
          <w:tblLook w:val="04A0"/>
        </w:tblPrEx>
        <w:trPr>
          <w:trHeight w:val="675"/>
        </w:trPr>
        <w:tc>
          <w:tcPr>
            <w:tcW w:w="1340" w:type="dxa"/>
            <w:tcBorders>
              <w:top w:val="single" w:sz="8" w:space="0" w:color="auto"/>
              <w:left w:val="single" w:sz="8" w:space="0" w:color="auto"/>
              <w:bottom w:val="single" w:sz="8" w:space="0" w:color="auto"/>
              <w:right w:val="single" w:sz="8" w:space="0" w:color="auto"/>
            </w:tcBorders>
            <w:vAlign w:val="bottom"/>
            <w:hideMark/>
          </w:tcPr>
          <w:p w:rsidR="00704F75" w:rsidRPr="00704F75" w:rsidP="00704F75" w14:paraId="657734BF" w14:textId="77777777">
            <w:pPr>
              <w:rPr>
                <w:i/>
                <w:iCs/>
                <w:color w:val="000000"/>
                <w:sz w:val="22"/>
                <w:szCs w:val="22"/>
              </w:rPr>
            </w:pPr>
            <w:r w:rsidRPr="00704F75">
              <w:rPr>
                <w:i/>
                <w:iCs/>
                <w:color w:val="000000"/>
                <w:sz w:val="22"/>
                <w:szCs w:val="22"/>
              </w:rPr>
              <w:t>Electronic</w:t>
            </w:r>
          </w:p>
        </w:tc>
        <w:tc>
          <w:tcPr>
            <w:tcW w:w="1306" w:type="dxa"/>
            <w:tcBorders>
              <w:top w:val="single" w:sz="8" w:space="0" w:color="auto"/>
              <w:left w:val="nil"/>
              <w:bottom w:val="single" w:sz="8" w:space="0" w:color="auto"/>
              <w:right w:val="single" w:sz="8" w:space="0" w:color="auto"/>
            </w:tcBorders>
            <w:noWrap/>
            <w:vAlign w:val="bottom"/>
            <w:hideMark/>
          </w:tcPr>
          <w:p w:rsidR="00704F75" w:rsidRPr="00704F75" w:rsidP="00704F75" w14:paraId="292F6BD7" w14:textId="79D6C95A">
            <w:pPr>
              <w:jc w:val="right"/>
              <w:rPr>
                <w:color w:val="000000"/>
                <w:sz w:val="22"/>
                <w:szCs w:val="22"/>
              </w:rPr>
            </w:pPr>
            <w:r w:rsidRPr="00704F75">
              <w:rPr>
                <w:color w:val="000000"/>
                <w:sz w:val="22"/>
                <w:szCs w:val="22"/>
              </w:rPr>
              <w:t xml:space="preserve">                                    45</w:t>
            </w:r>
          </w:p>
        </w:tc>
        <w:tc>
          <w:tcPr>
            <w:tcW w:w="1127" w:type="dxa"/>
            <w:tcBorders>
              <w:top w:val="single" w:sz="8" w:space="0" w:color="auto"/>
              <w:left w:val="nil"/>
              <w:bottom w:val="single" w:sz="8" w:space="0" w:color="auto"/>
              <w:right w:val="nil"/>
            </w:tcBorders>
            <w:noWrap/>
            <w:vAlign w:val="bottom"/>
            <w:hideMark/>
          </w:tcPr>
          <w:p w:rsidR="00704F75" w:rsidRPr="00704F75" w:rsidP="00704F75" w14:paraId="1B48D287" w14:textId="77777777">
            <w:pPr>
              <w:jc w:val="right"/>
              <w:rPr>
                <w:color w:val="000000"/>
                <w:sz w:val="22"/>
                <w:szCs w:val="22"/>
              </w:rPr>
            </w:pPr>
            <w:r w:rsidRPr="00704F75">
              <w:rPr>
                <w:color w:val="000000"/>
                <w:sz w:val="22"/>
                <w:szCs w:val="22"/>
              </w:rPr>
              <w:t>4</w:t>
            </w:r>
          </w:p>
        </w:tc>
        <w:tc>
          <w:tcPr>
            <w:tcW w:w="1094" w:type="dxa"/>
            <w:tcBorders>
              <w:top w:val="single" w:sz="8" w:space="0" w:color="auto"/>
              <w:left w:val="single" w:sz="8" w:space="0" w:color="auto"/>
              <w:bottom w:val="single" w:sz="8" w:space="0" w:color="auto"/>
              <w:right w:val="single" w:sz="8" w:space="0" w:color="auto"/>
            </w:tcBorders>
            <w:noWrap/>
            <w:vAlign w:val="bottom"/>
            <w:hideMark/>
          </w:tcPr>
          <w:p w:rsidR="00704F75" w:rsidRPr="00704F75" w:rsidP="00704F75" w14:paraId="53C13A17" w14:textId="77777777">
            <w:pPr>
              <w:jc w:val="right"/>
              <w:rPr>
                <w:color w:val="000000"/>
                <w:sz w:val="22"/>
                <w:szCs w:val="22"/>
              </w:rPr>
            </w:pPr>
            <w:r w:rsidRPr="00704F75">
              <w:rPr>
                <w:color w:val="000000"/>
                <w:sz w:val="22"/>
                <w:szCs w:val="22"/>
              </w:rPr>
              <w:t xml:space="preserve">         180 </w:t>
            </w:r>
          </w:p>
        </w:tc>
        <w:tc>
          <w:tcPr>
            <w:tcW w:w="1063" w:type="dxa"/>
            <w:tcBorders>
              <w:top w:val="single" w:sz="8" w:space="0" w:color="auto"/>
              <w:left w:val="nil"/>
              <w:bottom w:val="single" w:sz="8" w:space="0" w:color="auto"/>
              <w:right w:val="nil"/>
            </w:tcBorders>
            <w:noWrap/>
            <w:vAlign w:val="bottom"/>
            <w:hideMark/>
          </w:tcPr>
          <w:p w:rsidR="00704F75" w:rsidRPr="00704F75" w:rsidP="00704F75" w14:paraId="36DE7546" w14:textId="73D46E6E">
            <w:pPr>
              <w:jc w:val="right"/>
              <w:rPr>
                <w:color w:val="000000"/>
                <w:sz w:val="22"/>
                <w:szCs w:val="22"/>
              </w:rPr>
            </w:pPr>
            <w:r w:rsidRPr="00704F75">
              <w:rPr>
                <w:color w:val="000000"/>
                <w:sz w:val="22"/>
                <w:szCs w:val="22"/>
              </w:rPr>
              <w:t>0.5</w:t>
            </w:r>
            <w:r w:rsidR="00BC4C4F">
              <w:rPr>
                <w:color w:val="000000"/>
                <w:sz w:val="22"/>
                <w:szCs w:val="22"/>
              </w:rPr>
              <w:t xml:space="preserve"> (30 minutes)</w:t>
            </w:r>
          </w:p>
        </w:tc>
        <w:tc>
          <w:tcPr>
            <w:tcW w:w="1170" w:type="dxa"/>
            <w:tcBorders>
              <w:top w:val="single" w:sz="8" w:space="0" w:color="auto"/>
              <w:left w:val="single" w:sz="8" w:space="0" w:color="auto"/>
              <w:bottom w:val="single" w:sz="8" w:space="0" w:color="auto"/>
              <w:right w:val="single" w:sz="8" w:space="0" w:color="auto"/>
            </w:tcBorders>
            <w:noWrap/>
            <w:vAlign w:val="bottom"/>
            <w:hideMark/>
          </w:tcPr>
          <w:p w:rsidR="00704F75" w:rsidRPr="00704F75" w:rsidP="00704F75" w14:paraId="0F45CE02" w14:textId="77777777">
            <w:pPr>
              <w:jc w:val="right"/>
              <w:rPr>
                <w:color w:val="000000"/>
                <w:sz w:val="22"/>
                <w:szCs w:val="22"/>
              </w:rPr>
            </w:pPr>
            <w:r w:rsidRPr="00704F75">
              <w:rPr>
                <w:color w:val="000000"/>
                <w:sz w:val="22"/>
                <w:szCs w:val="22"/>
              </w:rPr>
              <w:t>90</w:t>
            </w:r>
          </w:p>
        </w:tc>
        <w:tc>
          <w:tcPr>
            <w:tcW w:w="990" w:type="dxa"/>
            <w:tcBorders>
              <w:top w:val="single" w:sz="8" w:space="0" w:color="auto"/>
              <w:left w:val="nil"/>
              <w:bottom w:val="single" w:sz="8" w:space="0" w:color="auto"/>
              <w:right w:val="nil"/>
            </w:tcBorders>
            <w:noWrap/>
            <w:vAlign w:val="bottom"/>
            <w:hideMark/>
          </w:tcPr>
          <w:p w:rsidR="00704F75" w:rsidRPr="00704F75" w:rsidP="00704F75" w14:paraId="03FCD276" w14:textId="35B642C0">
            <w:pPr>
              <w:jc w:val="right"/>
              <w:rPr>
                <w:color w:val="000000"/>
                <w:sz w:val="22"/>
                <w:szCs w:val="22"/>
              </w:rPr>
            </w:pPr>
            <w:r w:rsidRPr="00704F75">
              <w:rPr>
                <w:color w:val="000000"/>
                <w:sz w:val="22"/>
                <w:szCs w:val="22"/>
              </w:rPr>
              <w:t xml:space="preserve"> $ 95.37 </w:t>
            </w:r>
          </w:p>
        </w:tc>
        <w:tc>
          <w:tcPr>
            <w:tcW w:w="1350" w:type="dxa"/>
            <w:tcBorders>
              <w:top w:val="single" w:sz="8" w:space="0" w:color="auto"/>
              <w:left w:val="single" w:sz="8" w:space="0" w:color="auto"/>
              <w:bottom w:val="single" w:sz="8" w:space="0" w:color="auto"/>
              <w:right w:val="single" w:sz="8" w:space="0" w:color="auto"/>
            </w:tcBorders>
            <w:noWrap/>
            <w:vAlign w:val="bottom"/>
            <w:hideMark/>
          </w:tcPr>
          <w:p w:rsidR="00704F75" w:rsidRPr="00704F75" w:rsidP="00704F75" w14:paraId="1522A108" w14:textId="0A2F1752">
            <w:pPr>
              <w:jc w:val="right"/>
              <w:rPr>
                <w:color w:val="000000"/>
                <w:sz w:val="22"/>
                <w:szCs w:val="22"/>
              </w:rPr>
            </w:pPr>
            <w:r w:rsidRPr="00704F75">
              <w:rPr>
                <w:color w:val="000000"/>
                <w:sz w:val="22"/>
                <w:szCs w:val="22"/>
              </w:rPr>
              <w:t xml:space="preserve"> $     </w:t>
            </w:r>
            <w:r>
              <w:rPr>
                <w:color w:val="000000"/>
                <w:sz w:val="22"/>
                <w:szCs w:val="22"/>
              </w:rPr>
              <w:t xml:space="preserve"> </w:t>
            </w:r>
            <w:r w:rsidRPr="00704F75">
              <w:rPr>
                <w:color w:val="000000"/>
                <w:sz w:val="22"/>
                <w:szCs w:val="22"/>
              </w:rPr>
              <w:t xml:space="preserve">8,583 </w:t>
            </w:r>
          </w:p>
        </w:tc>
      </w:tr>
      <w:tr w14:paraId="12CFC6BE" w14:textId="77777777" w:rsidTr="006B6011">
        <w:tblPrEx>
          <w:tblW w:w="9440" w:type="dxa"/>
          <w:tblLook w:val="04A0"/>
        </w:tblPrEx>
        <w:trPr>
          <w:trHeight w:val="525"/>
        </w:trPr>
        <w:tc>
          <w:tcPr>
            <w:tcW w:w="1340" w:type="dxa"/>
            <w:tcBorders>
              <w:top w:val="nil"/>
              <w:left w:val="single" w:sz="8" w:space="0" w:color="auto"/>
              <w:bottom w:val="single" w:sz="8" w:space="0" w:color="auto"/>
              <w:right w:val="single" w:sz="8" w:space="0" w:color="auto"/>
            </w:tcBorders>
            <w:noWrap/>
            <w:vAlign w:val="bottom"/>
            <w:hideMark/>
          </w:tcPr>
          <w:p w:rsidR="00704F75" w:rsidRPr="00704F75" w:rsidP="00704F75" w14:paraId="496A607A" w14:textId="77777777">
            <w:pPr>
              <w:rPr>
                <w:i/>
                <w:iCs/>
                <w:color w:val="000000"/>
                <w:sz w:val="22"/>
                <w:szCs w:val="22"/>
              </w:rPr>
            </w:pPr>
            <w:r w:rsidRPr="00704F75">
              <w:rPr>
                <w:i/>
                <w:iCs/>
                <w:color w:val="000000"/>
                <w:sz w:val="22"/>
                <w:szCs w:val="22"/>
              </w:rPr>
              <w:t>Paper</w:t>
            </w:r>
          </w:p>
        </w:tc>
        <w:tc>
          <w:tcPr>
            <w:tcW w:w="1306" w:type="dxa"/>
            <w:tcBorders>
              <w:top w:val="nil"/>
              <w:left w:val="nil"/>
              <w:bottom w:val="single" w:sz="8" w:space="0" w:color="auto"/>
              <w:right w:val="single" w:sz="8" w:space="0" w:color="auto"/>
            </w:tcBorders>
            <w:noWrap/>
            <w:vAlign w:val="bottom"/>
            <w:hideMark/>
          </w:tcPr>
          <w:p w:rsidR="00704F75" w:rsidRPr="00704F75" w:rsidP="00704F75" w14:paraId="11040ADB" w14:textId="151F87A7">
            <w:pPr>
              <w:jc w:val="right"/>
              <w:rPr>
                <w:color w:val="000000"/>
                <w:sz w:val="22"/>
                <w:szCs w:val="22"/>
              </w:rPr>
            </w:pPr>
            <w:r>
              <w:rPr>
                <w:color w:val="000000"/>
                <w:sz w:val="22"/>
                <w:szCs w:val="22"/>
              </w:rPr>
              <w:t>-</w:t>
            </w:r>
          </w:p>
        </w:tc>
        <w:tc>
          <w:tcPr>
            <w:tcW w:w="1127" w:type="dxa"/>
            <w:tcBorders>
              <w:top w:val="nil"/>
              <w:left w:val="nil"/>
              <w:bottom w:val="single" w:sz="8" w:space="0" w:color="auto"/>
              <w:right w:val="nil"/>
            </w:tcBorders>
            <w:noWrap/>
            <w:vAlign w:val="bottom"/>
            <w:hideMark/>
          </w:tcPr>
          <w:p w:rsidR="00704F75" w:rsidRPr="00704F75" w:rsidP="00704F75" w14:paraId="63212190" w14:textId="6CD61ED5">
            <w:pPr>
              <w:jc w:val="right"/>
              <w:rPr>
                <w:color w:val="000000"/>
                <w:sz w:val="22"/>
                <w:szCs w:val="22"/>
              </w:rPr>
            </w:pPr>
            <w:r>
              <w:rPr>
                <w:color w:val="000000"/>
                <w:sz w:val="22"/>
                <w:szCs w:val="22"/>
              </w:rPr>
              <w:t>-</w:t>
            </w:r>
          </w:p>
        </w:tc>
        <w:tc>
          <w:tcPr>
            <w:tcW w:w="1094" w:type="dxa"/>
            <w:tcBorders>
              <w:top w:val="nil"/>
              <w:left w:val="single" w:sz="8" w:space="0" w:color="auto"/>
              <w:bottom w:val="single" w:sz="8" w:space="0" w:color="auto"/>
              <w:right w:val="single" w:sz="8" w:space="0" w:color="auto"/>
            </w:tcBorders>
            <w:noWrap/>
            <w:vAlign w:val="bottom"/>
            <w:hideMark/>
          </w:tcPr>
          <w:p w:rsidR="00704F75" w:rsidRPr="00704F75" w:rsidP="00704F75" w14:paraId="09117F63" w14:textId="77777777">
            <w:pPr>
              <w:jc w:val="right"/>
              <w:rPr>
                <w:color w:val="000000"/>
                <w:sz w:val="22"/>
                <w:szCs w:val="22"/>
              </w:rPr>
            </w:pPr>
            <w:r w:rsidRPr="00704F75">
              <w:rPr>
                <w:color w:val="000000"/>
                <w:sz w:val="22"/>
                <w:szCs w:val="22"/>
              </w:rPr>
              <w:t xml:space="preserve">           -   </w:t>
            </w:r>
          </w:p>
        </w:tc>
        <w:tc>
          <w:tcPr>
            <w:tcW w:w="1063" w:type="dxa"/>
            <w:tcBorders>
              <w:top w:val="nil"/>
              <w:left w:val="nil"/>
              <w:bottom w:val="single" w:sz="8" w:space="0" w:color="auto"/>
              <w:right w:val="nil"/>
            </w:tcBorders>
            <w:noWrap/>
            <w:vAlign w:val="bottom"/>
            <w:hideMark/>
          </w:tcPr>
          <w:p w:rsidR="00704F75" w:rsidRPr="00704F75" w:rsidP="00704F75" w14:paraId="7F50A5EB" w14:textId="42B9156B">
            <w:pPr>
              <w:jc w:val="right"/>
              <w:rPr>
                <w:color w:val="000000"/>
                <w:sz w:val="22"/>
                <w:szCs w:val="22"/>
              </w:rPr>
            </w:pPr>
            <w:r>
              <w:rPr>
                <w:color w:val="000000"/>
                <w:sz w:val="22"/>
                <w:szCs w:val="22"/>
              </w:rPr>
              <w:t>N/A</w:t>
            </w:r>
          </w:p>
        </w:tc>
        <w:tc>
          <w:tcPr>
            <w:tcW w:w="1170" w:type="dxa"/>
            <w:tcBorders>
              <w:top w:val="nil"/>
              <w:left w:val="single" w:sz="8" w:space="0" w:color="auto"/>
              <w:bottom w:val="single" w:sz="8" w:space="0" w:color="auto"/>
              <w:right w:val="single" w:sz="8" w:space="0" w:color="auto"/>
            </w:tcBorders>
            <w:noWrap/>
            <w:vAlign w:val="bottom"/>
            <w:hideMark/>
          </w:tcPr>
          <w:p w:rsidR="00704F75" w:rsidRPr="00704F75" w:rsidP="00704F75" w14:paraId="53FA27F9" w14:textId="722FA156">
            <w:pPr>
              <w:jc w:val="right"/>
              <w:rPr>
                <w:color w:val="000000"/>
                <w:sz w:val="22"/>
                <w:szCs w:val="22"/>
              </w:rPr>
            </w:pPr>
            <w:r>
              <w:rPr>
                <w:color w:val="000000"/>
                <w:sz w:val="22"/>
                <w:szCs w:val="22"/>
              </w:rPr>
              <w:t>-</w:t>
            </w:r>
          </w:p>
        </w:tc>
        <w:tc>
          <w:tcPr>
            <w:tcW w:w="990" w:type="dxa"/>
            <w:tcBorders>
              <w:top w:val="nil"/>
              <w:left w:val="nil"/>
              <w:bottom w:val="single" w:sz="8" w:space="0" w:color="auto"/>
              <w:right w:val="nil"/>
            </w:tcBorders>
            <w:noWrap/>
            <w:vAlign w:val="bottom"/>
            <w:hideMark/>
          </w:tcPr>
          <w:p w:rsidR="00704F75" w:rsidRPr="00704F75" w:rsidP="00704F75" w14:paraId="3EDC622F" w14:textId="3A6B9351">
            <w:pPr>
              <w:jc w:val="right"/>
              <w:rPr>
                <w:color w:val="000000"/>
                <w:sz w:val="22"/>
                <w:szCs w:val="22"/>
              </w:rPr>
            </w:pPr>
            <w:r w:rsidRPr="00704F75">
              <w:rPr>
                <w:color w:val="000000"/>
                <w:sz w:val="22"/>
                <w:szCs w:val="22"/>
              </w:rPr>
              <w:t> </w:t>
            </w:r>
            <w:r>
              <w:rPr>
                <w:color w:val="000000"/>
                <w:sz w:val="22"/>
                <w:szCs w:val="22"/>
              </w:rPr>
              <w:t>-</w:t>
            </w:r>
          </w:p>
        </w:tc>
        <w:tc>
          <w:tcPr>
            <w:tcW w:w="1350" w:type="dxa"/>
            <w:tcBorders>
              <w:top w:val="nil"/>
              <w:left w:val="single" w:sz="8" w:space="0" w:color="auto"/>
              <w:bottom w:val="single" w:sz="8" w:space="0" w:color="auto"/>
              <w:right w:val="single" w:sz="8" w:space="0" w:color="auto"/>
            </w:tcBorders>
            <w:noWrap/>
            <w:vAlign w:val="bottom"/>
            <w:hideMark/>
          </w:tcPr>
          <w:p w:rsidR="00704F75" w:rsidRPr="00704F75" w:rsidP="00704F75" w14:paraId="27AF800A" w14:textId="284D5967">
            <w:pPr>
              <w:jc w:val="right"/>
              <w:rPr>
                <w:color w:val="000000"/>
                <w:sz w:val="22"/>
                <w:szCs w:val="22"/>
              </w:rPr>
            </w:pPr>
            <w:r w:rsidRPr="00704F75">
              <w:rPr>
                <w:color w:val="000000"/>
                <w:sz w:val="22"/>
                <w:szCs w:val="22"/>
              </w:rPr>
              <w:t xml:space="preserve">             -   </w:t>
            </w:r>
          </w:p>
        </w:tc>
      </w:tr>
      <w:tr w14:paraId="36D533B8" w14:textId="77777777" w:rsidTr="006B6011">
        <w:tblPrEx>
          <w:tblW w:w="9440" w:type="dxa"/>
          <w:tblLook w:val="04A0"/>
        </w:tblPrEx>
        <w:trPr>
          <w:trHeight w:val="555"/>
        </w:trPr>
        <w:tc>
          <w:tcPr>
            <w:tcW w:w="1340" w:type="dxa"/>
            <w:tcBorders>
              <w:top w:val="nil"/>
              <w:left w:val="single" w:sz="8" w:space="0" w:color="auto"/>
              <w:bottom w:val="single" w:sz="8" w:space="0" w:color="auto"/>
              <w:right w:val="single" w:sz="8" w:space="0" w:color="auto"/>
            </w:tcBorders>
            <w:shd w:val="clear" w:color="000000" w:fill="C5D9F1"/>
            <w:vAlign w:val="center"/>
            <w:hideMark/>
          </w:tcPr>
          <w:p w:rsidR="00704F75" w:rsidRPr="00704F75" w:rsidP="00704F75" w14:paraId="480828F6" w14:textId="77777777">
            <w:pPr>
              <w:rPr>
                <w:b/>
                <w:bCs/>
                <w:i/>
                <w:iCs/>
                <w:color w:val="000000"/>
                <w:sz w:val="20"/>
              </w:rPr>
            </w:pPr>
            <w:r w:rsidRPr="00704F75">
              <w:rPr>
                <w:b/>
                <w:bCs/>
                <w:i/>
                <w:iCs/>
                <w:color w:val="000000"/>
                <w:sz w:val="20"/>
              </w:rPr>
              <w:t>Unduplicated Totals</w:t>
            </w:r>
          </w:p>
        </w:tc>
        <w:tc>
          <w:tcPr>
            <w:tcW w:w="1306" w:type="dxa"/>
            <w:tcBorders>
              <w:top w:val="nil"/>
              <w:left w:val="nil"/>
              <w:bottom w:val="single" w:sz="8" w:space="0" w:color="auto"/>
              <w:right w:val="single" w:sz="8" w:space="0" w:color="auto"/>
            </w:tcBorders>
            <w:shd w:val="clear" w:color="000000" w:fill="C5D9F1"/>
            <w:vAlign w:val="center"/>
            <w:hideMark/>
          </w:tcPr>
          <w:p w:rsidR="00704F75" w:rsidRPr="00704F75" w:rsidP="00704F75" w14:paraId="7C183935" w14:textId="501968D0">
            <w:pPr>
              <w:jc w:val="center"/>
              <w:rPr>
                <w:b/>
                <w:bCs/>
                <w:i/>
                <w:iCs/>
                <w:color w:val="000000"/>
                <w:sz w:val="20"/>
              </w:rPr>
            </w:pPr>
            <w:r w:rsidRPr="00704F75">
              <w:rPr>
                <w:b/>
                <w:bCs/>
                <w:i/>
                <w:iCs/>
                <w:color w:val="000000"/>
                <w:sz w:val="20"/>
              </w:rPr>
              <w:t xml:space="preserve">                                          45 </w:t>
            </w:r>
          </w:p>
        </w:tc>
        <w:tc>
          <w:tcPr>
            <w:tcW w:w="1127" w:type="dxa"/>
            <w:tcBorders>
              <w:top w:val="nil"/>
              <w:left w:val="nil"/>
              <w:bottom w:val="single" w:sz="8" w:space="0" w:color="auto"/>
              <w:right w:val="single" w:sz="8" w:space="0" w:color="auto"/>
            </w:tcBorders>
            <w:shd w:val="clear" w:color="000000" w:fill="C5D9F1"/>
            <w:vAlign w:val="center"/>
            <w:hideMark/>
          </w:tcPr>
          <w:p w:rsidR="00704F75" w:rsidRPr="00704F75" w:rsidP="00704F75" w14:paraId="4857B046" w14:textId="456136D5">
            <w:pPr>
              <w:jc w:val="center"/>
              <w:rPr>
                <w:b/>
                <w:bCs/>
                <w:i/>
                <w:iCs/>
                <w:color w:val="000000"/>
                <w:sz w:val="20"/>
              </w:rPr>
            </w:pPr>
            <w:r>
              <w:rPr>
                <w:b/>
                <w:bCs/>
                <w:i/>
                <w:iCs/>
                <w:color w:val="000000"/>
                <w:sz w:val="20"/>
              </w:rPr>
              <w:t>4</w:t>
            </w:r>
          </w:p>
        </w:tc>
        <w:tc>
          <w:tcPr>
            <w:tcW w:w="1094" w:type="dxa"/>
            <w:tcBorders>
              <w:top w:val="nil"/>
              <w:left w:val="nil"/>
              <w:bottom w:val="single" w:sz="8" w:space="0" w:color="auto"/>
              <w:right w:val="single" w:sz="8" w:space="0" w:color="auto"/>
            </w:tcBorders>
            <w:shd w:val="clear" w:color="000000" w:fill="C5D9F1"/>
            <w:vAlign w:val="center"/>
            <w:hideMark/>
          </w:tcPr>
          <w:p w:rsidR="00704F75" w:rsidRPr="00704F75" w:rsidP="00704F75" w14:paraId="67123762" w14:textId="2BA2968F">
            <w:pPr>
              <w:jc w:val="center"/>
              <w:rPr>
                <w:b/>
                <w:bCs/>
                <w:i/>
                <w:iCs/>
                <w:color w:val="000000"/>
                <w:sz w:val="20"/>
              </w:rPr>
            </w:pPr>
            <w:r w:rsidRPr="00704F75">
              <w:rPr>
                <w:b/>
                <w:bCs/>
                <w:i/>
                <w:iCs/>
                <w:color w:val="000000"/>
                <w:sz w:val="20"/>
              </w:rPr>
              <w:t xml:space="preserve">           180 </w:t>
            </w:r>
          </w:p>
        </w:tc>
        <w:tc>
          <w:tcPr>
            <w:tcW w:w="1063" w:type="dxa"/>
            <w:tcBorders>
              <w:top w:val="nil"/>
              <w:left w:val="nil"/>
              <w:bottom w:val="single" w:sz="8" w:space="0" w:color="auto"/>
              <w:right w:val="nil"/>
            </w:tcBorders>
            <w:shd w:val="clear" w:color="000000" w:fill="C5D9F1"/>
            <w:vAlign w:val="center"/>
            <w:hideMark/>
          </w:tcPr>
          <w:p w:rsidR="00704F75" w:rsidRPr="00704F75" w:rsidP="00704F75" w14:paraId="40E38F28" w14:textId="4108CCB9">
            <w:pPr>
              <w:jc w:val="center"/>
              <w:rPr>
                <w:b/>
                <w:bCs/>
                <w:i/>
                <w:iCs/>
                <w:color w:val="000000"/>
                <w:sz w:val="20"/>
              </w:rPr>
            </w:pPr>
            <w:r w:rsidRPr="00704F75">
              <w:rPr>
                <w:b/>
                <w:bCs/>
                <w:i/>
                <w:iCs/>
                <w:color w:val="000000"/>
                <w:sz w:val="20"/>
              </w:rPr>
              <w:t>0.5</w:t>
            </w:r>
          </w:p>
        </w:tc>
        <w:tc>
          <w:tcPr>
            <w:tcW w:w="1170" w:type="dxa"/>
            <w:tcBorders>
              <w:top w:val="nil"/>
              <w:left w:val="single" w:sz="8" w:space="0" w:color="auto"/>
              <w:bottom w:val="single" w:sz="8" w:space="0" w:color="auto"/>
              <w:right w:val="single" w:sz="8" w:space="0" w:color="auto"/>
            </w:tcBorders>
            <w:shd w:val="clear" w:color="000000" w:fill="C5D9F1"/>
            <w:vAlign w:val="center"/>
            <w:hideMark/>
          </w:tcPr>
          <w:p w:rsidR="00704F75" w:rsidRPr="00704F75" w:rsidP="00704F75" w14:paraId="74F7C23A" w14:textId="77777777">
            <w:pPr>
              <w:jc w:val="center"/>
              <w:rPr>
                <w:b/>
                <w:bCs/>
                <w:i/>
                <w:iCs/>
                <w:color w:val="000000"/>
                <w:sz w:val="20"/>
              </w:rPr>
            </w:pPr>
            <w:r w:rsidRPr="00704F75">
              <w:rPr>
                <w:b/>
                <w:bCs/>
                <w:i/>
                <w:iCs/>
                <w:color w:val="000000"/>
                <w:sz w:val="20"/>
              </w:rPr>
              <w:t>90</w:t>
            </w:r>
          </w:p>
        </w:tc>
        <w:tc>
          <w:tcPr>
            <w:tcW w:w="990" w:type="dxa"/>
            <w:tcBorders>
              <w:top w:val="nil"/>
              <w:left w:val="nil"/>
              <w:bottom w:val="single" w:sz="8" w:space="0" w:color="auto"/>
              <w:right w:val="nil"/>
            </w:tcBorders>
            <w:shd w:val="clear" w:color="000000" w:fill="C5D9F1"/>
            <w:vAlign w:val="center"/>
            <w:hideMark/>
          </w:tcPr>
          <w:p w:rsidR="00704F75" w:rsidRPr="00704F75" w:rsidP="00704F75" w14:paraId="5FE31CF6" w14:textId="088E0E50">
            <w:pPr>
              <w:jc w:val="center"/>
              <w:rPr>
                <w:b/>
                <w:bCs/>
                <w:i/>
                <w:iCs/>
                <w:color w:val="000000"/>
                <w:sz w:val="20"/>
              </w:rPr>
            </w:pPr>
            <w:r w:rsidRPr="00704F75">
              <w:rPr>
                <w:b/>
                <w:bCs/>
                <w:i/>
                <w:iCs/>
                <w:color w:val="000000"/>
                <w:sz w:val="20"/>
              </w:rPr>
              <w:t xml:space="preserve"> </w:t>
            </w:r>
            <w:r w:rsidRPr="00704F75" w:rsidR="0094062E">
              <w:rPr>
                <w:b/>
                <w:bCs/>
                <w:i/>
                <w:iCs/>
                <w:color w:val="000000"/>
                <w:sz w:val="20"/>
              </w:rPr>
              <w:t>$ 95.37</w:t>
            </w:r>
            <w:r w:rsidRPr="00704F75">
              <w:rPr>
                <w:b/>
                <w:bCs/>
                <w:i/>
                <w:iCs/>
                <w:color w:val="000000"/>
                <w:sz w:val="20"/>
              </w:rPr>
              <w:t xml:space="preserve"> </w:t>
            </w:r>
          </w:p>
        </w:tc>
        <w:tc>
          <w:tcPr>
            <w:tcW w:w="1350" w:type="dxa"/>
            <w:tcBorders>
              <w:top w:val="nil"/>
              <w:left w:val="single" w:sz="8" w:space="0" w:color="auto"/>
              <w:bottom w:val="single" w:sz="8" w:space="0" w:color="auto"/>
              <w:right w:val="single" w:sz="8" w:space="0" w:color="auto"/>
            </w:tcBorders>
            <w:shd w:val="clear" w:color="000000" w:fill="C5D9F1"/>
            <w:vAlign w:val="center"/>
            <w:hideMark/>
          </w:tcPr>
          <w:p w:rsidR="00704F75" w:rsidRPr="00704F75" w:rsidP="00704F75" w14:paraId="26DAE6CE" w14:textId="174D9C1E">
            <w:pPr>
              <w:jc w:val="center"/>
              <w:rPr>
                <w:b/>
                <w:bCs/>
                <w:i/>
                <w:iCs/>
                <w:color w:val="000000"/>
                <w:sz w:val="20"/>
              </w:rPr>
            </w:pPr>
            <w:r w:rsidRPr="00704F75">
              <w:rPr>
                <w:b/>
                <w:bCs/>
                <w:i/>
                <w:iCs/>
                <w:color w:val="000000"/>
                <w:sz w:val="20"/>
              </w:rPr>
              <w:t xml:space="preserve"> $        8,583 </w:t>
            </w:r>
          </w:p>
        </w:tc>
      </w:tr>
    </w:tbl>
    <w:p w:rsidR="00AE0409" w:rsidP="00AE0409" w14:paraId="0304ACEE" w14:textId="77777777">
      <w:pPr>
        <w:pStyle w:val="BodyText2"/>
        <w:spacing w:line="240" w:lineRule="auto"/>
        <w:rPr>
          <w:szCs w:val="24"/>
        </w:rPr>
      </w:pPr>
    </w:p>
    <w:tbl>
      <w:tblPr>
        <w:tblW w:w="6140" w:type="dxa"/>
        <w:tblLook w:val="04A0"/>
      </w:tblPr>
      <w:tblGrid>
        <w:gridCol w:w="1420"/>
        <w:gridCol w:w="3760"/>
        <w:gridCol w:w="130"/>
        <w:gridCol w:w="850"/>
      </w:tblGrid>
      <w:tr w14:paraId="1E5E6F8F" w14:textId="77777777" w:rsidTr="00704F75">
        <w:tblPrEx>
          <w:tblW w:w="6140" w:type="dxa"/>
          <w:tblLook w:val="04A0"/>
        </w:tblPrEx>
        <w:trPr>
          <w:trHeight w:val="300"/>
        </w:trPr>
        <w:tc>
          <w:tcPr>
            <w:tcW w:w="1420" w:type="dxa"/>
            <w:tcBorders>
              <w:top w:val="nil"/>
              <w:left w:val="nil"/>
              <w:bottom w:val="nil"/>
              <w:right w:val="nil"/>
            </w:tcBorders>
            <w:noWrap/>
            <w:vAlign w:val="bottom"/>
            <w:hideMark/>
          </w:tcPr>
          <w:p w:rsidR="00704F75" w:rsidRPr="00704F75" w:rsidP="00704F75" w14:paraId="6D8BC5DB" w14:textId="77777777">
            <w:pPr>
              <w:rPr>
                <w:color w:val="000000"/>
                <w:sz w:val="22"/>
                <w:szCs w:val="22"/>
              </w:rPr>
            </w:pPr>
            <w:r w:rsidRPr="00704F75">
              <w:rPr>
                <w:color w:val="000000"/>
                <w:sz w:val="22"/>
                <w:szCs w:val="22"/>
              </w:rPr>
              <w:t>Hourly Rate*</w:t>
            </w:r>
          </w:p>
        </w:tc>
        <w:tc>
          <w:tcPr>
            <w:tcW w:w="3760" w:type="dxa"/>
            <w:tcBorders>
              <w:top w:val="nil"/>
              <w:left w:val="nil"/>
              <w:bottom w:val="nil"/>
              <w:right w:val="nil"/>
            </w:tcBorders>
            <w:noWrap/>
            <w:vAlign w:val="bottom"/>
            <w:hideMark/>
          </w:tcPr>
          <w:p w:rsidR="00704F75" w:rsidRPr="00704F75" w:rsidP="00704F75" w14:paraId="263263BD" w14:textId="77777777">
            <w:pPr>
              <w:rPr>
                <w:color w:val="000000"/>
                <w:sz w:val="22"/>
                <w:szCs w:val="22"/>
              </w:rPr>
            </w:pPr>
          </w:p>
        </w:tc>
        <w:tc>
          <w:tcPr>
            <w:tcW w:w="960" w:type="dxa"/>
            <w:gridSpan w:val="2"/>
            <w:tcBorders>
              <w:top w:val="nil"/>
              <w:left w:val="nil"/>
              <w:bottom w:val="nil"/>
              <w:right w:val="nil"/>
            </w:tcBorders>
            <w:noWrap/>
            <w:vAlign w:val="bottom"/>
            <w:hideMark/>
          </w:tcPr>
          <w:p w:rsidR="00704F75" w:rsidRPr="00704F75" w:rsidP="00704F75" w14:paraId="762902D4" w14:textId="77777777">
            <w:pPr>
              <w:rPr>
                <w:sz w:val="20"/>
              </w:rPr>
            </w:pPr>
          </w:p>
        </w:tc>
      </w:tr>
      <w:tr w14:paraId="50F27FC7" w14:textId="77777777" w:rsidTr="00704F75">
        <w:tblPrEx>
          <w:tblW w:w="6140" w:type="dxa"/>
          <w:tblLook w:val="04A0"/>
        </w:tblPrEx>
        <w:trPr>
          <w:trHeight w:val="300"/>
        </w:trPr>
        <w:tc>
          <w:tcPr>
            <w:tcW w:w="1420" w:type="dxa"/>
            <w:tcBorders>
              <w:top w:val="nil"/>
              <w:left w:val="nil"/>
              <w:bottom w:val="nil"/>
              <w:right w:val="nil"/>
            </w:tcBorders>
            <w:noWrap/>
            <w:vAlign w:val="bottom"/>
            <w:hideMark/>
          </w:tcPr>
          <w:p w:rsidR="00704F75" w:rsidRPr="00704F75" w:rsidP="00704F75" w14:paraId="27EA9432" w14:textId="77777777">
            <w:pPr>
              <w:rPr>
                <w:sz w:val="20"/>
              </w:rPr>
            </w:pPr>
          </w:p>
        </w:tc>
        <w:tc>
          <w:tcPr>
            <w:tcW w:w="3760" w:type="dxa"/>
            <w:tcBorders>
              <w:top w:val="nil"/>
              <w:left w:val="nil"/>
              <w:bottom w:val="nil"/>
              <w:right w:val="nil"/>
            </w:tcBorders>
            <w:noWrap/>
            <w:vAlign w:val="bottom"/>
            <w:hideMark/>
          </w:tcPr>
          <w:p w:rsidR="00704F75" w:rsidRPr="00704F75" w:rsidP="00704F75" w14:paraId="6D44146F" w14:textId="77777777">
            <w:pPr>
              <w:rPr>
                <w:color w:val="000000"/>
                <w:sz w:val="22"/>
                <w:szCs w:val="22"/>
              </w:rPr>
            </w:pPr>
            <w:r w:rsidRPr="00704F75">
              <w:rPr>
                <w:color w:val="000000"/>
                <w:sz w:val="22"/>
                <w:szCs w:val="22"/>
              </w:rPr>
              <w:t>Estimated hourly wage ($/hour):</w:t>
            </w:r>
          </w:p>
        </w:tc>
        <w:tc>
          <w:tcPr>
            <w:tcW w:w="960" w:type="dxa"/>
            <w:gridSpan w:val="2"/>
            <w:tcBorders>
              <w:top w:val="nil"/>
              <w:left w:val="nil"/>
              <w:bottom w:val="nil"/>
              <w:right w:val="nil"/>
            </w:tcBorders>
            <w:noWrap/>
            <w:vAlign w:val="bottom"/>
            <w:hideMark/>
          </w:tcPr>
          <w:p w:rsidR="00704F75" w:rsidRPr="00704F75" w:rsidP="00704F75" w14:paraId="67D0D118" w14:textId="3D0562C8">
            <w:pPr>
              <w:rPr>
                <w:color w:val="000000"/>
                <w:sz w:val="22"/>
                <w:szCs w:val="22"/>
              </w:rPr>
            </w:pPr>
            <w:r w:rsidRPr="00704F75">
              <w:rPr>
                <w:color w:val="000000"/>
                <w:sz w:val="22"/>
                <w:szCs w:val="22"/>
              </w:rPr>
              <w:t xml:space="preserve"> $67.07</w:t>
            </w:r>
            <w:r>
              <w:rPr>
                <w:rStyle w:val="FootnoteReference"/>
                <w:color w:val="000000"/>
                <w:szCs w:val="22"/>
              </w:rPr>
              <w:footnoteReference w:id="2"/>
            </w:r>
            <w:r w:rsidRPr="00704F75">
              <w:rPr>
                <w:color w:val="000000"/>
                <w:sz w:val="22"/>
                <w:szCs w:val="22"/>
              </w:rPr>
              <w:t xml:space="preserve"> </w:t>
            </w:r>
          </w:p>
        </w:tc>
      </w:tr>
      <w:tr w14:paraId="7E30B31D" w14:textId="77777777" w:rsidTr="00704F75">
        <w:tblPrEx>
          <w:tblW w:w="6140" w:type="dxa"/>
          <w:tblLook w:val="04A0"/>
        </w:tblPrEx>
        <w:trPr>
          <w:trHeight w:val="300"/>
        </w:trPr>
        <w:tc>
          <w:tcPr>
            <w:tcW w:w="1420" w:type="dxa"/>
            <w:tcBorders>
              <w:top w:val="nil"/>
              <w:left w:val="nil"/>
              <w:bottom w:val="nil"/>
              <w:right w:val="nil"/>
            </w:tcBorders>
            <w:noWrap/>
            <w:vAlign w:val="bottom"/>
            <w:hideMark/>
          </w:tcPr>
          <w:p w:rsidR="00704F75" w:rsidRPr="00704F75" w:rsidP="00704F75" w14:paraId="021CCB04" w14:textId="77777777">
            <w:pPr>
              <w:rPr>
                <w:color w:val="000000"/>
                <w:sz w:val="22"/>
                <w:szCs w:val="22"/>
              </w:rPr>
            </w:pPr>
          </w:p>
        </w:tc>
        <w:tc>
          <w:tcPr>
            <w:tcW w:w="3890" w:type="dxa"/>
            <w:gridSpan w:val="2"/>
            <w:tcBorders>
              <w:top w:val="nil"/>
              <w:left w:val="nil"/>
              <w:bottom w:val="nil"/>
              <w:right w:val="nil"/>
            </w:tcBorders>
            <w:noWrap/>
            <w:vAlign w:val="bottom"/>
            <w:hideMark/>
          </w:tcPr>
          <w:p w:rsidR="00704F75" w:rsidRPr="00704F75" w:rsidP="00704F75" w14:paraId="25A50423" w14:textId="77777777">
            <w:pPr>
              <w:rPr>
                <w:color w:val="000000"/>
                <w:sz w:val="22"/>
                <w:szCs w:val="22"/>
              </w:rPr>
            </w:pPr>
            <w:r w:rsidRPr="00704F75">
              <w:rPr>
                <w:color w:val="000000"/>
                <w:sz w:val="22"/>
                <w:szCs w:val="22"/>
              </w:rPr>
              <w:t>Load for benefits (percent of labor rate):</w:t>
            </w:r>
          </w:p>
        </w:tc>
        <w:tc>
          <w:tcPr>
            <w:tcW w:w="830" w:type="dxa"/>
            <w:tcBorders>
              <w:top w:val="nil"/>
              <w:left w:val="nil"/>
              <w:bottom w:val="single" w:sz="4" w:space="0" w:color="auto"/>
              <w:right w:val="nil"/>
            </w:tcBorders>
            <w:noWrap/>
            <w:vAlign w:val="bottom"/>
            <w:hideMark/>
          </w:tcPr>
          <w:p w:rsidR="00704F75" w:rsidRPr="00704F75" w:rsidP="00704F75" w14:paraId="469C8896" w14:textId="3DB5B6AD">
            <w:pPr>
              <w:jc w:val="right"/>
              <w:rPr>
                <w:color w:val="000000"/>
                <w:sz w:val="22"/>
                <w:szCs w:val="22"/>
              </w:rPr>
            </w:pPr>
            <w:r w:rsidRPr="00704F75">
              <w:rPr>
                <w:color w:val="000000"/>
                <w:sz w:val="22"/>
                <w:szCs w:val="22"/>
              </w:rPr>
              <w:t>42</w:t>
            </w:r>
            <w:r w:rsidR="006B6011">
              <w:rPr>
                <w:color w:val="000000"/>
                <w:sz w:val="22"/>
                <w:szCs w:val="22"/>
              </w:rPr>
              <w:t>.2</w:t>
            </w:r>
            <w:r w:rsidRPr="00704F75">
              <w:rPr>
                <w:color w:val="000000"/>
                <w:sz w:val="22"/>
                <w:szCs w:val="22"/>
              </w:rPr>
              <w:t>%</w:t>
            </w:r>
            <w:r>
              <w:rPr>
                <w:rStyle w:val="FootnoteReference"/>
                <w:color w:val="000000"/>
                <w:szCs w:val="22"/>
              </w:rPr>
              <w:footnoteReference w:id="3"/>
            </w:r>
          </w:p>
        </w:tc>
      </w:tr>
      <w:tr w14:paraId="2E033299" w14:textId="77777777" w:rsidTr="00704F75">
        <w:tblPrEx>
          <w:tblW w:w="6140" w:type="dxa"/>
          <w:tblLook w:val="04A0"/>
        </w:tblPrEx>
        <w:trPr>
          <w:trHeight w:val="300"/>
        </w:trPr>
        <w:tc>
          <w:tcPr>
            <w:tcW w:w="1420" w:type="dxa"/>
            <w:tcBorders>
              <w:top w:val="nil"/>
              <w:left w:val="nil"/>
              <w:bottom w:val="nil"/>
              <w:right w:val="nil"/>
            </w:tcBorders>
            <w:noWrap/>
            <w:vAlign w:val="bottom"/>
            <w:hideMark/>
          </w:tcPr>
          <w:p w:rsidR="00704F75" w:rsidRPr="00704F75" w:rsidP="00704F75" w14:paraId="2D544A76" w14:textId="77777777">
            <w:pPr>
              <w:jc w:val="right"/>
              <w:rPr>
                <w:color w:val="000000"/>
                <w:sz w:val="22"/>
                <w:szCs w:val="22"/>
              </w:rPr>
            </w:pPr>
          </w:p>
        </w:tc>
        <w:tc>
          <w:tcPr>
            <w:tcW w:w="3760" w:type="dxa"/>
            <w:tcBorders>
              <w:top w:val="nil"/>
              <w:left w:val="nil"/>
              <w:bottom w:val="nil"/>
              <w:right w:val="nil"/>
            </w:tcBorders>
            <w:noWrap/>
            <w:vAlign w:val="bottom"/>
            <w:hideMark/>
          </w:tcPr>
          <w:p w:rsidR="00704F75" w:rsidRPr="00704F75" w:rsidP="00704F75" w14:paraId="15B94C23" w14:textId="77777777">
            <w:pPr>
              <w:rPr>
                <w:color w:val="000000"/>
                <w:sz w:val="22"/>
                <w:szCs w:val="22"/>
              </w:rPr>
            </w:pPr>
            <w:r w:rsidRPr="00704F75">
              <w:rPr>
                <w:color w:val="000000"/>
                <w:sz w:val="22"/>
                <w:szCs w:val="22"/>
              </w:rPr>
              <w:t>Loaded labor rate ($/hour):</w:t>
            </w:r>
          </w:p>
        </w:tc>
        <w:tc>
          <w:tcPr>
            <w:tcW w:w="960" w:type="dxa"/>
            <w:gridSpan w:val="2"/>
            <w:tcBorders>
              <w:top w:val="nil"/>
              <w:left w:val="nil"/>
              <w:bottom w:val="nil"/>
              <w:right w:val="nil"/>
            </w:tcBorders>
            <w:noWrap/>
            <w:vAlign w:val="bottom"/>
            <w:hideMark/>
          </w:tcPr>
          <w:p w:rsidR="00704F75" w:rsidRPr="00704F75" w:rsidP="00704F75" w14:paraId="00AAA832" w14:textId="6B5FE27A">
            <w:pPr>
              <w:rPr>
                <w:color w:val="000000"/>
                <w:sz w:val="22"/>
                <w:szCs w:val="22"/>
              </w:rPr>
            </w:pPr>
            <w:r w:rsidRPr="00704F75">
              <w:rPr>
                <w:color w:val="000000"/>
                <w:sz w:val="22"/>
                <w:szCs w:val="22"/>
              </w:rPr>
              <w:t xml:space="preserve"> $ 95.37 </w:t>
            </w:r>
          </w:p>
        </w:tc>
      </w:tr>
      <w:tr w14:paraId="11F2C38C" w14:textId="77777777" w:rsidTr="00704F75">
        <w:tblPrEx>
          <w:tblW w:w="6140" w:type="dxa"/>
          <w:tblLook w:val="04A0"/>
        </w:tblPrEx>
        <w:trPr>
          <w:trHeight w:val="300"/>
        </w:trPr>
        <w:tc>
          <w:tcPr>
            <w:tcW w:w="1420" w:type="dxa"/>
            <w:tcBorders>
              <w:top w:val="nil"/>
              <w:left w:val="nil"/>
              <w:bottom w:val="nil"/>
              <w:right w:val="nil"/>
            </w:tcBorders>
            <w:noWrap/>
            <w:vAlign w:val="bottom"/>
          </w:tcPr>
          <w:p w:rsidR="00930527" w:rsidRPr="00704F75" w:rsidP="00930527" w14:paraId="6284C521" w14:textId="3B05C01C">
            <w:pPr>
              <w:rPr>
                <w:color w:val="000000"/>
                <w:sz w:val="22"/>
                <w:szCs w:val="22"/>
              </w:rPr>
            </w:pPr>
          </w:p>
        </w:tc>
        <w:tc>
          <w:tcPr>
            <w:tcW w:w="3760" w:type="dxa"/>
            <w:tcBorders>
              <w:top w:val="nil"/>
              <w:left w:val="nil"/>
              <w:bottom w:val="nil"/>
              <w:right w:val="nil"/>
            </w:tcBorders>
            <w:noWrap/>
            <w:vAlign w:val="bottom"/>
          </w:tcPr>
          <w:p w:rsidR="00930527" w:rsidRPr="00704F75" w:rsidP="00704F75" w14:paraId="1A8B73FC" w14:textId="77777777">
            <w:pPr>
              <w:rPr>
                <w:color w:val="000000"/>
                <w:sz w:val="22"/>
                <w:szCs w:val="22"/>
              </w:rPr>
            </w:pPr>
          </w:p>
        </w:tc>
        <w:tc>
          <w:tcPr>
            <w:tcW w:w="960" w:type="dxa"/>
            <w:gridSpan w:val="2"/>
            <w:tcBorders>
              <w:top w:val="nil"/>
              <w:left w:val="nil"/>
              <w:bottom w:val="nil"/>
              <w:right w:val="nil"/>
            </w:tcBorders>
            <w:noWrap/>
            <w:vAlign w:val="bottom"/>
          </w:tcPr>
          <w:p w:rsidR="00930527" w:rsidRPr="00704F75" w:rsidP="00704F75" w14:paraId="72ED3AB9" w14:textId="77777777">
            <w:pPr>
              <w:rPr>
                <w:color w:val="000000"/>
                <w:sz w:val="22"/>
                <w:szCs w:val="22"/>
              </w:rPr>
            </w:pPr>
          </w:p>
        </w:tc>
      </w:tr>
    </w:tbl>
    <w:p w:rsidR="003D1F4A" w:rsidP="00930527" w14:paraId="4A129264" w14:textId="3C2FDCB4">
      <w:pPr>
        <w:ind w:left="720" w:hanging="720"/>
        <w:rPr>
          <w:szCs w:val="24"/>
        </w:rPr>
      </w:pPr>
      <w:r>
        <w:rPr>
          <w:szCs w:val="24"/>
        </w:rPr>
        <w:t xml:space="preserve">Thus, the labor cost of this information collection is $8,583 annually. </w:t>
      </w:r>
    </w:p>
    <w:p w:rsidR="00930527" w:rsidRPr="00235360" w:rsidP="003D1F4A" w14:paraId="788F45FE" w14:textId="77777777">
      <w:pPr>
        <w:rPr>
          <w:szCs w:val="24"/>
        </w:rPr>
      </w:pPr>
    </w:p>
    <w:p w:rsidR="00E75B77" w:rsidRPr="00235360" w:rsidP="000378D2" w14:paraId="70B7C2F4" w14:textId="7A41E3B3">
      <w:pPr>
        <w:rPr>
          <w:szCs w:val="24"/>
        </w:rPr>
      </w:pPr>
      <w:r w:rsidRPr="000378D2">
        <w:rPr>
          <w:b/>
          <w:bCs/>
          <w:szCs w:val="24"/>
        </w:rPr>
        <w:t>13.</w:t>
      </w:r>
      <w:r w:rsidRPr="00235360">
        <w:rPr>
          <w:szCs w:val="24"/>
        </w:rPr>
        <w:t xml:space="preserve"> </w:t>
      </w:r>
      <w:r w:rsidRPr="00235360" w:rsidR="003D1F4A">
        <w:rPr>
          <w:szCs w:val="24"/>
        </w:rPr>
        <w:t>The estimated annual cost burden is zero.  Respondents</w:t>
      </w:r>
      <w:r w:rsidR="0075369B">
        <w:rPr>
          <w:szCs w:val="24"/>
        </w:rPr>
        <w:t xml:space="preserve"> are estimated to not incur </w:t>
      </w:r>
      <w:r w:rsidR="0075369B">
        <w:rPr>
          <w:szCs w:val="24"/>
        </w:rPr>
        <w:t xml:space="preserve">any </w:t>
      </w:r>
      <w:r w:rsidR="000B44B0">
        <w:rPr>
          <w:szCs w:val="24"/>
        </w:rPr>
        <w:t>a)</w:t>
      </w:r>
      <w:r w:rsidR="000B44B0">
        <w:rPr>
          <w:szCs w:val="24"/>
        </w:rPr>
        <w:t xml:space="preserve"> </w:t>
      </w:r>
      <w:r w:rsidRPr="00235360" w:rsidR="003D1F4A">
        <w:rPr>
          <w:szCs w:val="24"/>
        </w:rPr>
        <w:t>additional start-up co</w:t>
      </w:r>
      <w:r w:rsidR="0075369B">
        <w:rPr>
          <w:szCs w:val="24"/>
        </w:rPr>
        <w:t xml:space="preserve">sts or capital expenditures, or </w:t>
      </w:r>
      <w:r w:rsidR="000B44B0">
        <w:rPr>
          <w:szCs w:val="24"/>
        </w:rPr>
        <w:t xml:space="preserve">b) </w:t>
      </w:r>
      <w:r w:rsidRPr="00235360" w:rsidR="003D1F4A">
        <w:rPr>
          <w:szCs w:val="24"/>
        </w:rPr>
        <w:t>additional operation and maintenance costs</w:t>
      </w:r>
      <w:r w:rsidR="0075369B">
        <w:rPr>
          <w:szCs w:val="24"/>
        </w:rPr>
        <w:t>,</w:t>
      </w:r>
      <w:r w:rsidRPr="00235360" w:rsidR="003D1F4A">
        <w:rPr>
          <w:szCs w:val="24"/>
        </w:rPr>
        <w:t xml:space="preserve"> or </w:t>
      </w:r>
      <w:r w:rsidR="0075369B">
        <w:rPr>
          <w:szCs w:val="24"/>
        </w:rPr>
        <w:t xml:space="preserve">to </w:t>
      </w:r>
      <w:r w:rsidRPr="00235360" w:rsidR="003D1F4A">
        <w:rPr>
          <w:szCs w:val="24"/>
        </w:rPr>
        <w:t xml:space="preserve">purchase services </w:t>
      </w:r>
      <w:r w:rsidRPr="00235360" w:rsidR="003D1F4A">
        <w:rPr>
          <w:szCs w:val="24"/>
        </w:rPr>
        <w:t>as a result of</w:t>
      </w:r>
      <w:r w:rsidRPr="00235360" w:rsidR="003D1F4A">
        <w:rPr>
          <w:szCs w:val="24"/>
        </w:rPr>
        <w:t xml:space="preserve"> this information collection.</w:t>
      </w:r>
    </w:p>
    <w:p w:rsidR="003D1F4A" w:rsidP="00AE3D13" w14:paraId="1BC3B90C" w14:textId="725B25ED">
      <w:pPr>
        <w:rPr>
          <w:szCs w:val="24"/>
        </w:rPr>
      </w:pPr>
    </w:p>
    <w:p w:rsidR="00503D3D" w:rsidP="00AE3D13" w14:paraId="2DCAF1DB" w14:textId="77777777">
      <w:pPr>
        <w:rPr>
          <w:szCs w:val="24"/>
        </w:rPr>
      </w:pPr>
    </w:p>
    <w:p w:rsidR="00CD41A2" w:rsidRPr="000378D2" w:rsidP="00CD41A2" w14:paraId="65257D50" w14:textId="4CC9346D">
      <w:pPr>
        <w:rPr>
          <w:szCs w:val="24"/>
        </w:rPr>
      </w:pPr>
      <w:r w:rsidRPr="000378D2">
        <w:rPr>
          <w:b/>
          <w:bCs/>
          <w:szCs w:val="24"/>
        </w:rPr>
        <w:t>14.</w:t>
      </w:r>
      <w:r w:rsidRPr="00235360">
        <w:rPr>
          <w:szCs w:val="24"/>
        </w:rPr>
        <w:t xml:space="preserve"> </w:t>
      </w:r>
      <w:r w:rsidRPr="008929A7">
        <w:rPr>
          <w:color w:val="000000"/>
        </w:rPr>
        <w:t xml:space="preserve">Estimated </w:t>
      </w:r>
      <w:r w:rsidR="00B0441C">
        <w:rPr>
          <w:color w:val="000000"/>
        </w:rPr>
        <w:t>Annualized</w:t>
      </w:r>
      <w:r w:rsidRPr="008929A7">
        <w:rPr>
          <w:color w:val="000000"/>
        </w:rPr>
        <w:t xml:space="preserve"> Cost to</w:t>
      </w:r>
      <w:r w:rsidR="00B0441C">
        <w:rPr>
          <w:color w:val="000000"/>
        </w:rPr>
        <w:t xml:space="preserve"> Federal</w:t>
      </w:r>
      <w:r w:rsidRPr="008929A7">
        <w:rPr>
          <w:color w:val="000000"/>
        </w:rPr>
        <w:t xml:space="preserve"> Government:</w:t>
      </w:r>
      <w:r w:rsidR="00F946C7">
        <w:rPr>
          <w:color w:val="000000"/>
        </w:rPr>
        <w:t xml:space="preserve">  </w:t>
      </w:r>
    </w:p>
    <w:p w:rsidR="00CD41A2" w:rsidP="00CD41A2" w14:paraId="6A45449F" w14:textId="5BDD38A5"/>
    <w:p w:rsidR="00CD41A2" w:rsidP="00CD41A2" w14:paraId="52A0AFE3" w14:textId="3FA678E2">
      <w:pPr>
        <w:rPr>
          <w:color w:val="000000"/>
        </w:rPr>
      </w:pPr>
      <w:r w:rsidRPr="008929A7">
        <w:rPr>
          <w:color w:val="000000"/>
        </w:rPr>
        <w:t>Estimated Annual Labor Cost to Government:</w:t>
      </w:r>
      <w:r w:rsidR="001F2DAE">
        <w:rPr>
          <w:color w:val="000000"/>
        </w:rPr>
        <w:t xml:space="preserve"> $131,046</w:t>
      </w:r>
    </w:p>
    <w:p w:rsidR="00BE2F57" w:rsidP="00CD41A2" w14:paraId="47222016" w14:textId="40A8916A">
      <w:pPr>
        <w:rPr>
          <w:color w:val="000000"/>
        </w:rPr>
      </w:pPr>
    </w:p>
    <w:tbl>
      <w:tblPr>
        <w:tblW w:w="8720" w:type="dxa"/>
        <w:tblLook w:val="04A0"/>
      </w:tblPr>
      <w:tblGrid>
        <w:gridCol w:w="2060"/>
        <w:gridCol w:w="1800"/>
        <w:gridCol w:w="1300"/>
        <w:gridCol w:w="1300"/>
        <w:gridCol w:w="960"/>
        <w:gridCol w:w="1300"/>
      </w:tblGrid>
      <w:tr w14:paraId="750DB844" w14:textId="77777777" w:rsidTr="00BE2F57">
        <w:tblPrEx>
          <w:tblW w:w="8720" w:type="dxa"/>
          <w:tblLook w:val="04A0"/>
        </w:tblPrEx>
        <w:trPr>
          <w:trHeight w:val="1035"/>
        </w:trPr>
        <w:tc>
          <w:tcPr>
            <w:tcW w:w="206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BE2F57" w:rsidRPr="00BE2F57" w:rsidP="00BE2F57" w14:paraId="6B5C48F0" w14:textId="77777777">
            <w:pPr>
              <w:rPr>
                <w:b/>
                <w:bCs/>
                <w:color w:val="000000"/>
                <w:sz w:val="20"/>
              </w:rPr>
            </w:pPr>
            <w:r w:rsidRPr="00BE2F57">
              <w:rPr>
                <w:b/>
                <w:bCs/>
                <w:color w:val="000000"/>
                <w:sz w:val="20"/>
              </w:rPr>
              <w:t>Labor Category</w:t>
            </w:r>
          </w:p>
        </w:tc>
        <w:tc>
          <w:tcPr>
            <w:tcW w:w="1800" w:type="dxa"/>
            <w:tcBorders>
              <w:top w:val="single" w:sz="8" w:space="0" w:color="auto"/>
              <w:left w:val="nil"/>
              <w:bottom w:val="single" w:sz="8" w:space="0" w:color="auto"/>
              <w:right w:val="single" w:sz="8" w:space="0" w:color="auto"/>
            </w:tcBorders>
            <w:shd w:val="clear" w:color="000000" w:fill="C5D9F1"/>
            <w:vAlign w:val="center"/>
            <w:hideMark/>
          </w:tcPr>
          <w:p w:rsidR="00BE2F57" w:rsidRPr="00BE2F57" w:rsidP="00BE2F57" w14:paraId="4E67089C" w14:textId="77777777">
            <w:pPr>
              <w:jc w:val="center"/>
              <w:rPr>
                <w:b/>
                <w:bCs/>
                <w:color w:val="000000"/>
                <w:sz w:val="20"/>
              </w:rPr>
            </w:pPr>
            <w:r w:rsidRPr="00BE2F57">
              <w:rPr>
                <w:b/>
                <w:bCs/>
                <w:color w:val="000000"/>
                <w:sz w:val="20"/>
              </w:rPr>
              <w:t>Number</w:t>
            </w:r>
          </w:p>
        </w:tc>
        <w:tc>
          <w:tcPr>
            <w:tcW w:w="1300" w:type="dxa"/>
            <w:tcBorders>
              <w:top w:val="single" w:sz="8" w:space="0" w:color="auto"/>
              <w:left w:val="nil"/>
              <w:bottom w:val="single" w:sz="8" w:space="0" w:color="auto"/>
              <w:right w:val="nil"/>
            </w:tcBorders>
            <w:shd w:val="clear" w:color="000000" w:fill="C5D9F1"/>
            <w:vAlign w:val="center"/>
            <w:hideMark/>
          </w:tcPr>
          <w:p w:rsidR="00BE2F57" w:rsidRPr="00BE2F57" w:rsidP="00BE2F57" w14:paraId="61C23863" w14:textId="77777777">
            <w:pPr>
              <w:jc w:val="center"/>
              <w:rPr>
                <w:b/>
                <w:bCs/>
                <w:color w:val="000000"/>
                <w:sz w:val="20"/>
              </w:rPr>
            </w:pPr>
            <w:r w:rsidRPr="00BE2F57">
              <w:rPr>
                <w:b/>
                <w:bCs/>
                <w:color w:val="000000"/>
                <w:sz w:val="20"/>
              </w:rPr>
              <w:t>Annual rate</w:t>
            </w:r>
          </w:p>
        </w:tc>
        <w:tc>
          <w:tcPr>
            <w:tcW w:w="130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BE2F57" w:rsidRPr="00BE2F57" w:rsidP="00BE2F57" w14:paraId="72FA277F" w14:textId="77777777">
            <w:pPr>
              <w:jc w:val="center"/>
              <w:rPr>
                <w:b/>
                <w:bCs/>
                <w:color w:val="000000"/>
                <w:sz w:val="20"/>
              </w:rPr>
            </w:pPr>
            <w:r w:rsidRPr="00BE2F57">
              <w:rPr>
                <w:b/>
                <w:bCs/>
                <w:color w:val="000000"/>
                <w:sz w:val="20"/>
              </w:rPr>
              <w:t>Load</w:t>
            </w:r>
          </w:p>
        </w:tc>
        <w:tc>
          <w:tcPr>
            <w:tcW w:w="960" w:type="dxa"/>
            <w:tcBorders>
              <w:top w:val="single" w:sz="8" w:space="0" w:color="auto"/>
              <w:left w:val="nil"/>
              <w:bottom w:val="single" w:sz="8" w:space="0" w:color="auto"/>
              <w:right w:val="single" w:sz="8" w:space="0" w:color="auto"/>
            </w:tcBorders>
            <w:shd w:val="clear" w:color="000000" w:fill="C5D9F1"/>
            <w:vAlign w:val="center"/>
            <w:hideMark/>
          </w:tcPr>
          <w:p w:rsidR="00BE2F57" w:rsidRPr="00BE2F57" w:rsidP="00BE2F57" w14:paraId="01CA24CF" w14:textId="77777777">
            <w:pPr>
              <w:jc w:val="center"/>
              <w:rPr>
                <w:b/>
                <w:bCs/>
                <w:color w:val="000000"/>
                <w:sz w:val="20"/>
              </w:rPr>
            </w:pPr>
            <w:r w:rsidRPr="00BE2F57">
              <w:rPr>
                <w:b/>
                <w:bCs/>
                <w:color w:val="000000"/>
                <w:sz w:val="20"/>
              </w:rPr>
              <w:t>% of time</w:t>
            </w:r>
          </w:p>
        </w:tc>
        <w:tc>
          <w:tcPr>
            <w:tcW w:w="1300" w:type="dxa"/>
            <w:tcBorders>
              <w:top w:val="single" w:sz="8" w:space="0" w:color="auto"/>
              <w:left w:val="nil"/>
              <w:bottom w:val="single" w:sz="8" w:space="0" w:color="auto"/>
              <w:right w:val="single" w:sz="8" w:space="0" w:color="auto"/>
            </w:tcBorders>
            <w:shd w:val="clear" w:color="000000" w:fill="C5D9F1"/>
            <w:vAlign w:val="center"/>
            <w:hideMark/>
          </w:tcPr>
          <w:p w:rsidR="00BE2F57" w:rsidRPr="00BE2F57" w:rsidP="00BE2F57" w14:paraId="42F2BB71" w14:textId="77777777">
            <w:pPr>
              <w:jc w:val="center"/>
              <w:rPr>
                <w:b/>
                <w:bCs/>
                <w:color w:val="000000"/>
                <w:sz w:val="20"/>
              </w:rPr>
            </w:pPr>
            <w:r w:rsidRPr="00BE2F57">
              <w:rPr>
                <w:b/>
                <w:bCs/>
                <w:color w:val="000000"/>
                <w:sz w:val="20"/>
              </w:rPr>
              <w:t>Cost</w:t>
            </w:r>
          </w:p>
        </w:tc>
      </w:tr>
      <w:tr w14:paraId="47CCF4F5" w14:textId="77777777" w:rsidTr="00BE2F57">
        <w:tblPrEx>
          <w:tblW w:w="8720" w:type="dxa"/>
          <w:tblLook w:val="04A0"/>
        </w:tblPrEx>
        <w:trPr>
          <w:trHeight w:val="675"/>
        </w:trPr>
        <w:tc>
          <w:tcPr>
            <w:tcW w:w="2060" w:type="dxa"/>
            <w:tcBorders>
              <w:top w:val="nil"/>
              <w:left w:val="single" w:sz="8" w:space="0" w:color="auto"/>
              <w:bottom w:val="single" w:sz="8" w:space="0" w:color="auto"/>
              <w:right w:val="nil"/>
            </w:tcBorders>
            <w:vAlign w:val="bottom"/>
            <w:hideMark/>
          </w:tcPr>
          <w:p w:rsidR="00BE2F57" w:rsidRPr="00BE2F57" w:rsidP="00BE2F57" w14:paraId="2A62EDDC" w14:textId="77777777">
            <w:pPr>
              <w:rPr>
                <w:i/>
                <w:iCs/>
                <w:color w:val="000000"/>
                <w:sz w:val="22"/>
                <w:szCs w:val="22"/>
              </w:rPr>
            </w:pPr>
            <w:r w:rsidRPr="00BE2F57">
              <w:rPr>
                <w:i/>
                <w:iCs/>
                <w:color w:val="000000"/>
                <w:sz w:val="22"/>
                <w:szCs w:val="22"/>
              </w:rPr>
              <w:t>Program Analyst -- GS-14</w:t>
            </w:r>
          </w:p>
        </w:tc>
        <w:tc>
          <w:tcPr>
            <w:tcW w:w="1800" w:type="dxa"/>
            <w:tcBorders>
              <w:top w:val="nil"/>
              <w:left w:val="single" w:sz="8" w:space="0" w:color="auto"/>
              <w:bottom w:val="single" w:sz="8" w:space="0" w:color="auto"/>
              <w:right w:val="single" w:sz="8" w:space="0" w:color="auto"/>
            </w:tcBorders>
            <w:noWrap/>
            <w:vAlign w:val="bottom"/>
            <w:hideMark/>
          </w:tcPr>
          <w:p w:rsidR="00BE2F57" w:rsidRPr="00BE2F57" w:rsidP="00BE2F57" w14:paraId="304BCCCA" w14:textId="77777777">
            <w:pPr>
              <w:jc w:val="right"/>
              <w:rPr>
                <w:color w:val="000000"/>
                <w:sz w:val="22"/>
                <w:szCs w:val="22"/>
              </w:rPr>
            </w:pPr>
            <w:r w:rsidRPr="00BE2F57">
              <w:rPr>
                <w:color w:val="000000"/>
                <w:sz w:val="22"/>
                <w:szCs w:val="22"/>
              </w:rPr>
              <w:t>1</w:t>
            </w:r>
          </w:p>
        </w:tc>
        <w:tc>
          <w:tcPr>
            <w:tcW w:w="1300" w:type="dxa"/>
            <w:tcBorders>
              <w:top w:val="nil"/>
              <w:left w:val="nil"/>
              <w:bottom w:val="single" w:sz="8" w:space="0" w:color="auto"/>
              <w:right w:val="nil"/>
            </w:tcBorders>
            <w:noWrap/>
            <w:vAlign w:val="bottom"/>
            <w:hideMark/>
          </w:tcPr>
          <w:p w:rsidR="00BE2F57" w:rsidRPr="00BE2F57" w:rsidP="00BE2F57" w14:paraId="66FC403D" w14:textId="2B3F495A">
            <w:pPr>
              <w:rPr>
                <w:color w:val="000000"/>
                <w:sz w:val="22"/>
                <w:szCs w:val="22"/>
              </w:rPr>
            </w:pPr>
            <w:r w:rsidRPr="00BE2F57">
              <w:rPr>
                <w:color w:val="000000"/>
                <w:sz w:val="22"/>
                <w:szCs w:val="22"/>
              </w:rPr>
              <w:t xml:space="preserve"> </w:t>
            </w:r>
            <w:r w:rsidRPr="00BE2F57">
              <w:rPr>
                <w:color w:val="000000"/>
                <w:sz w:val="22"/>
                <w:szCs w:val="22"/>
              </w:rPr>
              <w:t>$  161,486</w:t>
            </w:r>
            <w:r>
              <w:rPr>
                <w:rStyle w:val="FootnoteReference"/>
                <w:color w:val="000000"/>
                <w:szCs w:val="22"/>
              </w:rPr>
              <w:footnoteReference w:id="4"/>
            </w:r>
            <w:r w:rsidRPr="00BE2F57">
              <w:rPr>
                <w:color w:val="000000"/>
                <w:sz w:val="22"/>
                <w:szCs w:val="22"/>
              </w:rPr>
              <w:t xml:space="preserve"> </w:t>
            </w:r>
          </w:p>
        </w:tc>
        <w:tc>
          <w:tcPr>
            <w:tcW w:w="1300" w:type="dxa"/>
            <w:tcBorders>
              <w:top w:val="nil"/>
              <w:left w:val="single" w:sz="8" w:space="0" w:color="auto"/>
              <w:bottom w:val="single" w:sz="8" w:space="0" w:color="auto"/>
              <w:right w:val="single" w:sz="8" w:space="0" w:color="auto"/>
            </w:tcBorders>
            <w:noWrap/>
            <w:vAlign w:val="bottom"/>
            <w:hideMark/>
          </w:tcPr>
          <w:p w:rsidR="00BE2F57" w:rsidRPr="00BE2F57" w:rsidP="00BE2F57" w14:paraId="763962B6" w14:textId="2B71034D">
            <w:pPr>
              <w:jc w:val="right"/>
              <w:rPr>
                <w:color w:val="000000"/>
                <w:sz w:val="22"/>
                <w:szCs w:val="22"/>
              </w:rPr>
            </w:pPr>
            <w:r w:rsidRPr="00BE2F57">
              <w:rPr>
                <w:color w:val="000000"/>
                <w:sz w:val="22"/>
                <w:szCs w:val="22"/>
              </w:rPr>
              <w:t>1.623</w:t>
            </w:r>
            <w:r>
              <w:rPr>
                <w:rStyle w:val="FootnoteReference"/>
                <w:color w:val="000000"/>
                <w:szCs w:val="22"/>
              </w:rPr>
              <w:footnoteReference w:id="5"/>
            </w:r>
          </w:p>
        </w:tc>
        <w:tc>
          <w:tcPr>
            <w:tcW w:w="960" w:type="dxa"/>
            <w:tcBorders>
              <w:top w:val="nil"/>
              <w:left w:val="nil"/>
              <w:bottom w:val="single" w:sz="8" w:space="0" w:color="auto"/>
              <w:right w:val="single" w:sz="8" w:space="0" w:color="auto"/>
            </w:tcBorders>
            <w:noWrap/>
            <w:vAlign w:val="bottom"/>
            <w:hideMark/>
          </w:tcPr>
          <w:p w:rsidR="00BE2F57" w:rsidRPr="00BE2F57" w:rsidP="00BE2F57" w14:paraId="128CD84E" w14:textId="77777777">
            <w:pPr>
              <w:jc w:val="right"/>
              <w:rPr>
                <w:color w:val="000000"/>
                <w:sz w:val="22"/>
                <w:szCs w:val="22"/>
              </w:rPr>
            </w:pPr>
            <w:r w:rsidRPr="00BE2F57">
              <w:rPr>
                <w:color w:val="000000"/>
                <w:sz w:val="22"/>
                <w:szCs w:val="22"/>
              </w:rPr>
              <w:t>50%</w:t>
            </w:r>
          </w:p>
        </w:tc>
        <w:tc>
          <w:tcPr>
            <w:tcW w:w="1300" w:type="dxa"/>
            <w:tcBorders>
              <w:top w:val="nil"/>
              <w:left w:val="nil"/>
              <w:bottom w:val="single" w:sz="8" w:space="0" w:color="auto"/>
              <w:right w:val="single" w:sz="8" w:space="0" w:color="auto"/>
            </w:tcBorders>
            <w:noWrap/>
            <w:vAlign w:val="bottom"/>
            <w:hideMark/>
          </w:tcPr>
          <w:p w:rsidR="00BE2F57" w:rsidRPr="00BE2F57" w:rsidP="00BE2F57" w14:paraId="4052E94D" w14:textId="384DAFAF">
            <w:pPr>
              <w:rPr>
                <w:color w:val="000000"/>
                <w:sz w:val="22"/>
                <w:szCs w:val="22"/>
              </w:rPr>
            </w:pPr>
            <w:r w:rsidRPr="00BE2F57">
              <w:rPr>
                <w:color w:val="000000"/>
                <w:sz w:val="22"/>
                <w:szCs w:val="22"/>
              </w:rPr>
              <w:t xml:space="preserve"> $   131,046 </w:t>
            </w:r>
          </w:p>
        </w:tc>
      </w:tr>
      <w:tr w14:paraId="084015DA" w14:textId="77777777" w:rsidTr="00BE2F57">
        <w:tblPrEx>
          <w:tblW w:w="8720" w:type="dxa"/>
          <w:tblLook w:val="04A0"/>
        </w:tblPrEx>
        <w:trPr>
          <w:trHeight w:val="525"/>
        </w:trPr>
        <w:tc>
          <w:tcPr>
            <w:tcW w:w="2060" w:type="dxa"/>
            <w:tcBorders>
              <w:top w:val="nil"/>
              <w:left w:val="single" w:sz="8" w:space="0" w:color="auto"/>
              <w:bottom w:val="single" w:sz="8" w:space="0" w:color="auto"/>
              <w:right w:val="single" w:sz="8" w:space="0" w:color="auto"/>
            </w:tcBorders>
            <w:shd w:val="clear" w:color="000000" w:fill="C5D9F1"/>
            <w:vAlign w:val="center"/>
            <w:hideMark/>
          </w:tcPr>
          <w:p w:rsidR="00BE2F57" w:rsidRPr="00BE2F57" w:rsidP="00BE2F57" w14:paraId="1CDE2782" w14:textId="77777777">
            <w:pPr>
              <w:rPr>
                <w:b/>
                <w:bCs/>
                <w:color w:val="000000"/>
                <w:sz w:val="20"/>
              </w:rPr>
            </w:pPr>
            <w:r w:rsidRPr="00BE2F57">
              <w:rPr>
                <w:b/>
                <w:bCs/>
                <w:color w:val="000000"/>
                <w:sz w:val="20"/>
              </w:rPr>
              <w:t>Total</w:t>
            </w:r>
          </w:p>
        </w:tc>
        <w:tc>
          <w:tcPr>
            <w:tcW w:w="1800" w:type="dxa"/>
            <w:tcBorders>
              <w:top w:val="nil"/>
              <w:left w:val="nil"/>
              <w:bottom w:val="single" w:sz="8" w:space="0" w:color="auto"/>
              <w:right w:val="single" w:sz="8" w:space="0" w:color="auto"/>
            </w:tcBorders>
            <w:shd w:val="clear" w:color="000000" w:fill="C5D9F1"/>
            <w:vAlign w:val="center"/>
            <w:hideMark/>
          </w:tcPr>
          <w:p w:rsidR="00BE2F57" w:rsidRPr="00BE2F57" w:rsidP="00BE2F57" w14:paraId="119E6B2A" w14:textId="77777777">
            <w:pPr>
              <w:jc w:val="center"/>
              <w:rPr>
                <w:b/>
                <w:bCs/>
                <w:color w:val="000000"/>
                <w:sz w:val="20"/>
              </w:rPr>
            </w:pPr>
            <w:r w:rsidRPr="00BE2F57">
              <w:rPr>
                <w:b/>
                <w:bCs/>
                <w:color w:val="000000"/>
                <w:sz w:val="20"/>
              </w:rPr>
              <w:t> </w:t>
            </w:r>
          </w:p>
        </w:tc>
        <w:tc>
          <w:tcPr>
            <w:tcW w:w="1300" w:type="dxa"/>
            <w:tcBorders>
              <w:top w:val="nil"/>
              <w:left w:val="nil"/>
              <w:bottom w:val="single" w:sz="8" w:space="0" w:color="auto"/>
              <w:right w:val="nil"/>
            </w:tcBorders>
            <w:shd w:val="clear" w:color="000000" w:fill="C5D9F1"/>
            <w:vAlign w:val="center"/>
            <w:hideMark/>
          </w:tcPr>
          <w:p w:rsidR="00BE2F57" w:rsidRPr="00BE2F57" w:rsidP="00BE2F57" w14:paraId="0581E1EF" w14:textId="77777777">
            <w:pPr>
              <w:jc w:val="center"/>
              <w:rPr>
                <w:b/>
                <w:bCs/>
                <w:color w:val="000000"/>
                <w:sz w:val="20"/>
              </w:rPr>
            </w:pPr>
            <w:r w:rsidRPr="00BE2F57">
              <w:rPr>
                <w:b/>
                <w:bCs/>
                <w:color w:val="000000"/>
                <w:sz w:val="20"/>
              </w:rPr>
              <w:t> </w:t>
            </w:r>
          </w:p>
        </w:tc>
        <w:tc>
          <w:tcPr>
            <w:tcW w:w="1300" w:type="dxa"/>
            <w:tcBorders>
              <w:top w:val="nil"/>
              <w:left w:val="single" w:sz="8" w:space="0" w:color="auto"/>
              <w:bottom w:val="single" w:sz="8" w:space="0" w:color="auto"/>
              <w:right w:val="single" w:sz="8" w:space="0" w:color="auto"/>
            </w:tcBorders>
            <w:shd w:val="clear" w:color="000000" w:fill="C5D9F1"/>
            <w:vAlign w:val="center"/>
            <w:hideMark/>
          </w:tcPr>
          <w:p w:rsidR="00BE2F57" w:rsidRPr="00BE2F57" w:rsidP="00BE2F57" w14:paraId="62C53FBA" w14:textId="77777777">
            <w:pPr>
              <w:jc w:val="center"/>
              <w:rPr>
                <w:b/>
                <w:bCs/>
                <w:color w:val="000000"/>
                <w:sz w:val="20"/>
              </w:rPr>
            </w:pPr>
            <w:r w:rsidRPr="00BE2F57">
              <w:rPr>
                <w:b/>
                <w:bCs/>
                <w:color w:val="000000"/>
                <w:sz w:val="20"/>
              </w:rPr>
              <w:t> </w:t>
            </w:r>
          </w:p>
        </w:tc>
        <w:tc>
          <w:tcPr>
            <w:tcW w:w="960" w:type="dxa"/>
            <w:tcBorders>
              <w:top w:val="nil"/>
              <w:left w:val="nil"/>
              <w:bottom w:val="single" w:sz="8" w:space="0" w:color="auto"/>
              <w:right w:val="single" w:sz="8" w:space="0" w:color="auto"/>
            </w:tcBorders>
            <w:shd w:val="clear" w:color="000000" w:fill="C5D9F1"/>
            <w:vAlign w:val="center"/>
            <w:hideMark/>
          </w:tcPr>
          <w:p w:rsidR="00BE2F57" w:rsidRPr="00BE2F57" w:rsidP="00BE2F57" w14:paraId="442A9B5C" w14:textId="77777777">
            <w:pPr>
              <w:jc w:val="center"/>
              <w:rPr>
                <w:b/>
                <w:bCs/>
                <w:color w:val="000000"/>
                <w:sz w:val="20"/>
              </w:rPr>
            </w:pPr>
            <w:r w:rsidRPr="00BE2F57">
              <w:rPr>
                <w:b/>
                <w:bCs/>
                <w:color w:val="000000"/>
                <w:sz w:val="20"/>
              </w:rPr>
              <w:t> </w:t>
            </w:r>
          </w:p>
        </w:tc>
        <w:tc>
          <w:tcPr>
            <w:tcW w:w="1300" w:type="dxa"/>
            <w:tcBorders>
              <w:top w:val="nil"/>
              <w:left w:val="nil"/>
              <w:bottom w:val="single" w:sz="8" w:space="0" w:color="auto"/>
              <w:right w:val="single" w:sz="8" w:space="0" w:color="auto"/>
            </w:tcBorders>
            <w:shd w:val="clear" w:color="000000" w:fill="C5D9F1"/>
            <w:vAlign w:val="center"/>
            <w:hideMark/>
          </w:tcPr>
          <w:p w:rsidR="00BE2F57" w:rsidRPr="00BE2F57" w:rsidP="00BE2F57" w14:paraId="3196FBA1" w14:textId="08F958C4">
            <w:pPr>
              <w:jc w:val="center"/>
              <w:rPr>
                <w:b/>
                <w:bCs/>
                <w:color w:val="000000"/>
                <w:sz w:val="20"/>
              </w:rPr>
            </w:pPr>
            <w:r w:rsidRPr="00BE2F57">
              <w:rPr>
                <w:b/>
                <w:bCs/>
                <w:color w:val="000000"/>
                <w:sz w:val="20"/>
              </w:rPr>
              <w:t xml:space="preserve"> $     131,046 </w:t>
            </w:r>
          </w:p>
        </w:tc>
      </w:tr>
    </w:tbl>
    <w:p w:rsidR="00CD41A2" w:rsidP="00CD41A2" w14:paraId="027DDDE3" w14:textId="77777777"/>
    <w:p w:rsidR="00CD41A2" w:rsidP="00CD41A2" w14:paraId="31B6104D" w14:textId="5DED10BD">
      <w:r>
        <w:t>Tot</w:t>
      </w:r>
      <w:r w:rsidR="008E5DB6">
        <w:t>al costs to Government: $</w:t>
      </w:r>
      <w:r w:rsidR="00BE2F57">
        <w:t>131,046</w:t>
      </w:r>
    </w:p>
    <w:p w:rsidR="00CD41A2" w:rsidP="00CD41A2" w14:paraId="309C34B7" w14:textId="396FB6A5"/>
    <w:p w:rsidR="00E75B77" w:rsidRPr="00235360" w:rsidP="006D160C" w14:paraId="6BC78D3E" w14:textId="7B163324">
      <w:pPr>
        <w:jc w:val="both"/>
        <w:rPr>
          <w:szCs w:val="24"/>
        </w:rPr>
      </w:pPr>
      <w:r w:rsidRPr="00235360">
        <w:rPr>
          <w:szCs w:val="24"/>
        </w:rPr>
        <w:t xml:space="preserve">All costs to the </w:t>
      </w:r>
      <w:r w:rsidR="00330B2A">
        <w:rPr>
          <w:szCs w:val="24"/>
        </w:rPr>
        <w:t>f</w:t>
      </w:r>
      <w:r w:rsidRPr="00235360">
        <w:rPr>
          <w:szCs w:val="24"/>
        </w:rPr>
        <w:t xml:space="preserve">ederal </w:t>
      </w:r>
      <w:r w:rsidR="00330B2A">
        <w:rPr>
          <w:szCs w:val="24"/>
        </w:rPr>
        <w:t>g</w:t>
      </w:r>
      <w:r w:rsidRPr="00235360">
        <w:rPr>
          <w:szCs w:val="24"/>
        </w:rPr>
        <w:t>overnment for these activities are recovered from registrants through registration fees, as required by the Departments of Commerce, Justice, State, the Judiciary, and Related Agencies Appropriations Act of 1993.</w:t>
      </w:r>
      <w:r w:rsidR="00CD41A2">
        <w:rPr>
          <w:szCs w:val="24"/>
        </w:rPr>
        <w:t xml:space="preserve">  </w:t>
      </w:r>
      <w:r w:rsidR="00CD41A2">
        <w:rPr>
          <w:color w:val="000000"/>
        </w:rPr>
        <w:t>21 U.S.C. 886a.</w:t>
      </w:r>
    </w:p>
    <w:p w:rsidR="003D1F4A" w:rsidRPr="00235360" w:rsidP="006A2E93" w14:paraId="2884B847" w14:textId="77777777">
      <w:pPr>
        <w:rPr>
          <w:szCs w:val="24"/>
        </w:rPr>
      </w:pPr>
    </w:p>
    <w:p w:rsidR="00CD41A2" w:rsidRPr="000378D2" w:rsidP="000378D2" w14:paraId="2F4A7494" w14:textId="78D4600F">
      <w:pPr>
        <w:jc w:val="both"/>
        <w:rPr>
          <w:szCs w:val="24"/>
        </w:rPr>
      </w:pPr>
      <w:r w:rsidRPr="000378D2">
        <w:rPr>
          <w:b/>
          <w:bCs/>
          <w:szCs w:val="24"/>
        </w:rPr>
        <w:t>15.</w:t>
      </w:r>
      <w:r w:rsidR="000378D2">
        <w:rPr>
          <w:szCs w:val="24"/>
        </w:rPr>
        <w:t xml:space="preserve"> </w:t>
      </w:r>
      <w:bookmarkStart w:id="3" w:name="OLE_LINK13"/>
      <w:r w:rsidR="00342D07">
        <w:t xml:space="preserve">The decrease in annual </w:t>
      </w:r>
      <w:r w:rsidR="00602577">
        <w:t>respondents</w:t>
      </w:r>
      <w:r w:rsidR="00342D07">
        <w:t xml:space="preserve"> is due to the fluctuating nature of the registrant population. The change in annual burden hours is due to </w:t>
      </w:r>
      <w:r w:rsidR="008F01C1">
        <w:t>an updated estimate of time per response.</w:t>
      </w:r>
      <w:r>
        <w:t xml:space="preserve"> </w:t>
      </w:r>
      <w:r w:rsidRPr="0039505B">
        <w:t xml:space="preserve"> </w:t>
      </w:r>
      <w:r w:rsidR="00F13C23">
        <w:t xml:space="preserve">The change in annual cost is </w:t>
      </w:r>
      <w:r w:rsidR="00342D07">
        <w:t xml:space="preserve">also </w:t>
      </w:r>
      <w:r w:rsidR="00F13C23">
        <w:t xml:space="preserve">due to </w:t>
      </w:r>
      <w:r w:rsidR="00602577">
        <w:t>a change</w:t>
      </w:r>
      <w:r w:rsidR="00342D07">
        <w:t xml:space="preserve"> in method</w:t>
      </w:r>
      <w:bookmarkStart w:id="4" w:name="OLE_LINK15"/>
      <w:r w:rsidR="00342D07">
        <w:t xml:space="preserve">. </w:t>
      </w:r>
      <w:r w:rsidR="000711AF">
        <w:t xml:space="preserve">Previously, the approved 2022 figure represented the “Monetized Value of Respondent Time” calculated in section 12. The </w:t>
      </w:r>
      <w:r w:rsidR="000711AF">
        <w:t>new</w:t>
      </w:r>
      <w:r w:rsidR="000711AF">
        <w:t xml:space="preserve"> requested annual cost represents the figure from section 13</w:t>
      </w:r>
      <w:bookmarkEnd w:id="4"/>
      <w:r w:rsidR="000711AF">
        <w:t>.</w:t>
      </w:r>
      <w:r w:rsidR="00041999">
        <w:t xml:space="preserve">  </w:t>
      </w:r>
      <w:r>
        <w:t xml:space="preserve">There have been no statutory or regulatory changes affecting this information collection.  </w:t>
      </w:r>
      <w:r w:rsidRPr="00577441">
        <w:t>The table below summarizes the changes since the last renewal of this information collection.</w:t>
      </w:r>
      <w:bookmarkEnd w:id="3"/>
    </w:p>
    <w:p w:rsidR="00CD41A2" w:rsidP="00926D4E" w14:paraId="251EE4EC" w14:textId="77777777">
      <w:pPr>
        <w:rPr>
          <w:szCs w:val="24"/>
        </w:rPr>
      </w:pPr>
    </w:p>
    <w:tbl>
      <w:tblPr>
        <w:tblW w:w="6200" w:type="dxa"/>
        <w:tblLayout w:type="fixed"/>
        <w:tblLook w:val="04A0"/>
      </w:tblPr>
      <w:tblGrid>
        <w:gridCol w:w="1970"/>
        <w:gridCol w:w="1260"/>
        <w:gridCol w:w="1260"/>
        <w:gridCol w:w="1710"/>
      </w:tblGrid>
      <w:tr w14:paraId="12324E7F" w14:textId="77777777" w:rsidTr="006B6011">
        <w:tblPrEx>
          <w:tblW w:w="6200" w:type="dxa"/>
          <w:tblLayout w:type="fixed"/>
          <w:tblLook w:val="04A0"/>
        </w:tblPrEx>
        <w:trPr>
          <w:trHeight w:val="1035"/>
        </w:trPr>
        <w:tc>
          <w:tcPr>
            <w:tcW w:w="197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BE2F57" w:rsidRPr="00BE2F57" w:rsidP="00BE2F57" w14:paraId="75098BA2" w14:textId="77777777">
            <w:pPr>
              <w:jc w:val="center"/>
              <w:rPr>
                <w:b/>
                <w:bCs/>
                <w:color w:val="000000"/>
                <w:sz w:val="20"/>
              </w:rPr>
            </w:pPr>
            <w:r w:rsidRPr="00BE2F57">
              <w:rPr>
                <w:b/>
                <w:bCs/>
                <w:color w:val="000000"/>
                <w:sz w:val="20"/>
              </w:rPr>
              <w:t> </w:t>
            </w:r>
          </w:p>
        </w:tc>
        <w:tc>
          <w:tcPr>
            <w:tcW w:w="1260" w:type="dxa"/>
            <w:tcBorders>
              <w:top w:val="single" w:sz="8" w:space="0" w:color="auto"/>
              <w:left w:val="nil"/>
              <w:bottom w:val="single" w:sz="8" w:space="0" w:color="auto"/>
              <w:right w:val="single" w:sz="8" w:space="0" w:color="auto"/>
            </w:tcBorders>
            <w:shd w:val="clear" w:color="000000" w:fill="C5D9F1"/>
            <w:vAlign w:val="center"/>
            <w:hideMark/>
          </w:tcPr>
          <w:p w:rsidR="00BE2F57" w:rsidRPr="00BE2F57" w:rsidP="00BE2F57" w14:paraId="0A3EC41C" w14:textId="77777777">
            <w:pPr>
              <w:jc w:val="center"/>
              <w:rPr>
                <w:b/>
                <w:bCs/>
                <w:color w:val="000000"/>
                <w:sz w:val="20"/>
              </w:rPr>
            </w:pPr>
            <w:r w:rsidRPr="00BE2F57">
              <w:rPr>
                <w:b/>
                <w:bCs/>
                <w:color w:val="000000"/>
                <w:sz w:val="20"/>
              </w:rPr>
              <w:t>2022 Approved Burden</w:t>
            </w:r>
          </w:p>
        </w:tc>
        <w:tc>
          <w:tcPr>
            <w:tcW w:w="1260" w:type="dxa"/>
            <w:tcBorders>
              <w:top w:val="single" w:sz="8" w:space="0" w:color="auto"/>
              <w:left w:val="nil"/>
              <w:bottom w:val="single" w:sz="8" w:space="0" w:color="auto"/>
              <w:right w:val="single" w:sz="8" w:space="0" w:color="auto"/>
            </w:tcBorders>
            <w:shd w:val="clear" w:color="000000" w:fill="C5D9F1"/>
            <w:vAlign w:val="center"/>
            <w:hideMark/>
          </w:tcPr>
          <w:p w:rsidR="00BE2F57" w:rsidRPr="00BE2F57" w:rsidP="00BE2F57" w14:paraId="24F61C32" w14:textId="77777777">
            <w:pPr>
              <w:jc w:val="center"/>
              <w:rPr>
                <w:b/>
                <w:bCs/>
                <w:color w:val="000000"/>
                <w:sz w:val="20"/>
              </w:rPr>
            </w:pPr>
            <w:r w:rsidRPr="00BE2F57">
              <w:rPr>
                <w:b/>
                <w:bCs/>
                <w:color w:val="000000"/>
                <w:sz w:val="20"/>
              </w:rPr>
              <w:t>2025 New Requested Burden</w:t>
            </w:r>
          </w:p>
        </w:tc>
        <w:tc>
          <w:tcPr>
            <w:tcW w:w="1710" w:type="dxa"/>
            <w:tcBorders>
              <w:top w:val="single" w:sz="8" w:space="0" w:color="auto"/>
              <w:left w:val="nil"/>
              <w:bottom w:val="single" w:sz="8" w:space="0" w:color="auto"/>
              <w:right w:val="single" w:sz="8" w:space="0" w:color="auto"/>
            </w:tcBorders>
            <w:shd w:val="clear" w:color="000000" w:fill="C5D9F1"/>
            <w:vAlign w:val="center"/>
            <w:hideMark/>
          </w:tcPr>
          <w:p w:rsidR="00BE2F57" w:rsidRPr="00BE2F57" w:rsidP="00BE2F57" w14:paraId="10A48295" w14:textId="77777777">
            <w:pPr>
              <w:jc w:val="center"/>
              <w:rPr>
                <w:b/>
                <w:bCs/>
                <w:color w:val="000000"/>
                <w:sz w:val="20"/>
              </w:rPr>
            </w:pPr>
            <w:r w:rsidRPr="00BE2F57">
              <w:rPr>
                <w:b/>
                <w:bCs/>
                <w:color w:val="000000"/>
                <w:sz w:val="20"/>
              </w:rPr>
              <w:t>Difference</w:t>
            </w:r>
          </w:p>
        </w:tc>
      </w:tr>
      <w:tr w14:paraId="351F7969" w14:textId="77777777" w:rsidTr="006B6011">
        <w:tblPrEx>
          <w:tblW w:w="6200" w:type="dxa"/>
          <w:tblLayout w:type="fixed"/>
          <w:tblLook w:val="04A0"/>
        </w:tblPrEx>
        <w:trPr>
          <w:trHeight w:val="675"/>
        </w:trPr>
        <w:tc>
          <w:tcPr>
            <w:tcW w:w="1970" w:type="dxa"/>
            <w:tcBorders>
              <w:top w:val="nil"/>
              <w:left w:val="single" w:sz="8" w:space="0" w:color="auto"/>
              <w:bottom w:val="single" w:sz="8" w:space="0" w:color="auto"/>
              <w:right w:val="single" w:sz="8" w:space="0" w:color="auto"/>
            </w:tcBorders>
            <w:vAlign w:val="center"/>
            <w:hideMark/>
          </w:tcPr>
          <w:p w:rsidR="00BE2F57" w:rsidRPr="00BE2F57" w:rsidP="00BE2F57" w14:paraId="2EFA12BD" w14:textId="77777777">
            <w:pPr>
              <w:rPr>
                <w:color w:val="000000"/>
                <w:sz w:val="20"/>
              </w:rPr>
            </w:pPr>
            <w:r w:rsidRPr="00BE2F57">
              <w:rPr>
                <w:color w:val="000000"/>
                <w:sz w:val="20"/>
              </w:rPr>
              <w:t>Annual respondents</w:t>
            </w:r>
          </w:p>
        </w:tc>
        <w:tc>
          <w:tcPr>
            <w:tcW w:w="1260" w:type="dxa"/>
            <w:tcBorders>
              <w:top w:val="nil"/>
              <w:left w:val="nil"/>
              <w:bottom w:val="single" w:sz="8" w:space="0" w:color="auto"/>
              <w:right w:val="nil"/>
            </w:tcBorders>
            <w:noWrap/>
            <w:vAlign w:val="bottom"/>
            <w:hideMark/>
          </w:tcPr>
          <w:p w:rsidR="00BE2F57" w:rsidRPr="00BE2F57" w:rsidP="00342D07" w14:paraId="4AADA3C4" w14:textId="77777777">
            <w:pPr>
              <w:jc w:val="right"/>
              <w:rPr>
                <w:color w:val="000000"/>
                <w:sz w:val="22"/>
                <w:szCs w:val="22"/>
              </w:rPr>
            </w:pPr>
            <w:r w:rsidRPr="00BE2F57">
              <w:rPr>
                <w:color w:val="000000"/>
                <w:sz w:val="22"/>
                <w:szCs w:val="22"/>
              </w:rPr>
              <w:t xml:space="preserve">                50 </w:t>
            </w:r>
          </w:p>
        </w:tc>
        <w:tc>
          <w:tcPr>
            <w:tcW w:w="1260" w:type="dxa"/>
            <w:tcBorders>
              <w:top w:val="nil"/>
              <w:left w:val="single" w:sz="8" w:space="0" w:color="auto"/>
              <w:bottom w:val="single" w:sz="8" w:space="0" w:color="auto"/>
              <w:right w:val="single" w:sz="8" w:space="0" w:color="auto"/>
            </w:tcBorders>
            <w:noWrap/>
            <w:vAlign w:val="bottom"/>
            <w:hideMark/>
          </w:tcPr>
          <w:p w:rsidR="00BE2F57" w:rsidRPr="00BE2F57" w:rsidP="00342D07" w14:paraId="02707E82" w14:textId="77777777">
            <w:pPr>
              <w:jc w:val="right"/>
              <w:rPr>
                <w:color w:val="000000"/>
                <w:sz w:val="22"/>
                <w:szCs w:val="22"/>
              </w:rPr>
            </w:pPr>
            <w:r w:rsidRPr="00BE2F57">
              <w:rPr>
                <w:color w:val="000000"/>
                <w:sz w:val="22"/>
                <w:szCs w:val="22"/>
              </w:rPr>
              <w:t xml:space="preserve">          45 </w:t>
            </w:r>
          </w:p>
        </w:tc>
        <w:tc>
          <w:tcPr>
            <w:tcW w:w="1710" w:type="dxa"/>
            <w:tcBorders>
              <w:top w:val="nil"/>
              <w:left w:val="nil"/>
              <w:bottom w:val="single" w:sz="8" w:space="0" w:color="auto"/>
              <w:right w:val="single" w:sz="8" w:space="0" w:color="auto"/>
            </w:tcBorders>
            <w:noWrap/>
            <w:vAlign w:val="bottom"/>
            <w:hideMark/>
          </w:tcPr>
          <w:p w:rsidR="00BE2F57" w:rsidRPr="00BE2F57" w:rsidP="00342D07" w14:paraId="30B1EEB6" w14:textId="77777777">
            <w:pPr>
              <w:jc w:val="right"/>
              <w:rPr>
                <w:color w:val="000000"/>
                <w:sz w:val="22"/>
                <w:szCs w:val="22"/>
              </w:rPr>
            </w:pPr>
            <w:r w:rsidRPr="00BE2F57">
              <w:rPr>
                <w:color w:val="000000"/>
                <w:sz w:val="22"/>
                <w:szCs w:val="22"/>
              </w:rPr>
              <w:t xml:space="preserve">                  (5)</w:t>
            </w:r>
          </w:p>
        </w:tc>
      </w:tr>
      <w:tr w14:paraId="11F62791" w14:textId="77777777" w:rsidTr="006B6011">
        <w:tblPrEx>
          <w:tblW w:w="6200" w:type="dxa"/>
          <w:tblLayout w:type="fixed"/>
          <w:tblLook w:val="04A0"/>
        </w:tblPrEx>
        <w:trPr>
          <w:trHeight w:val="525"/>
        </w:trPr>
        <w:tc>
          <w:tcPr>
            <w:tcW w:w="1970" w:type="dxa"/>
            <w:tcBorders>
              <w:top w:val="nil"/>
              <w:left w:val="single" w:sz="8" w:space="0" w:color="auto"/>
              <w:bottom w:val="single" w:sz="8" w:space="0" w:color="auto"/>
              <w:right w:val="single" w:sz="8" w:space="0" w:color="auto"/>
            </w:tcBorders>
            <w:vAlign w:val="center"/>
            <w:hideMark/>
          </w:tcPr>
          <w:p w:rsidR="00BE2F57" w:rsidRPr="00BE2F57" w:rsidP="00BE2F57" w14:paraId="138191F4" w14:textId="77777777">
            <w:pPr>
              <w:rPr>
                <w:color w:val="000000"/>
                <w:sz w:val="20"/>
              </w:rPr>
            </w:pPr>
            <w:r w:rsidRPr="00BE2F57">
              <w:rPr>
                <w:color w:val="000000"/>
                <w:sz w:val="20"/>
              </w:rPr>
              <w:t>Annual burden hours</w:t>
            </w:r>
          </w:p>
        </w:tc>
        <w:tc>
          <w:tcPr>
            <w:tcW w:w="1260" w:type="dxa"/>
            <w:tcBorders>
              <w:top w:val="nil"/>
              <w:left w:val="nil"/>
              <w:bottom w:val="single" w:sz="8" w:space="0" w:color="auto"/>
              <w:right w:val="nil"/>
            </w:tcBorders>
            <w:noWrap/>
            <w:vAlign w:val="bottom"/>
            <w:hideMark/>
          </w:tcPr>
          <w:p w:rsidR="00BE2F57" w:rsidRPr="00BE2F57" w:rsidP="00342D07" w14:paraId="6CC90B30" w14:textId="77777777">
            <w:pPr>
              <w:jc w:val="right"/>
              <w:rPr>
                <w:color w:val="000000"/>
                <w:sz w:val="22"/>
                <w:szCs w:val="22"/>
              </w:rPr>
            </w:pPr>
            <w:r w:rsidRPr="00BE2F57">
              <w:rPr>
                <w:color w:val="000000"/>
                <w:sz w:val="22"/>
                <w:szCs w:val="22"/>
              </w:rPr>
              <w:t xml:space="preserve">                13 </w:t>
            </w:r>
          </w:p>
        </w:tc>
        <w:tc>
          <w:tcPr>
            <w:tcW w:w="1260" w:type="dxa"/>
            <w:tcBorders>
              <w:top w:val="nil"/>
              <w:left w:val="single" w:sz="8" w:space="0" w:color="auto"/>
              <w:bottom w:val="single" w:sz="8" w:space="0" w:color="auto"/>
              <w:right w:val="single" w:sz="8" w:space="0" w:color="auto"/>
            </w:tcBorders>
            <w:noWrap/>
            <w:vAlign w:val="bottom"/>
            <w:hideMark/>
          </w:tcPr>
          <w:p w:rsidR="00BE2F57" w:rsidRPr="00BE2F57" w:rsidP="00342D07" w14:paraId="77BF3090" w14:textId="77777777">
            <w:pPr>
              <w:jc w:val="right"/>
              <w:rPr>
                <w:color w:val="000000"/>
                <w:sz w:val="22"/>
                <w:szCs w:val="22"/>
              </w:rPr>
            </w:pPr>
            <w:r w:rsidRPr="00BE2F57">
              <w:rPr>
                <w:color w:val="000000"/>
                <w:sz w:val="22"/>
                <w:szCs w:val="22"/>
              </w:rPr>
              <w:t xml:space="preserve">          90 </w:t>
            </w:r>
          </w:p>
        </w:tc>
        <w:tc>
          <w:tcPr>
            <w:tcW w:w="1710" w:type="dxa"/>
            <w:tcBorders>
              <w:top w:val="nil"/>
              <w:left w:val="nil"/>
              <w:bottom w:val="single" w:sz="8" w:space="0" w:color="auto"/>
              <w:right w:val="single" w:sz="8" w:space="0" w:color="auto"/>
            </w:tcBorders>
            <w:noWrap/>
            <w:vAlign w:val="bottom"/>
            <w:hideMark/>
          </w:tcPr>
          <w:p w:rsidR="00BE2F57" w:rsidRPr="00BE2F57" w:rsidP="00342D07" w14:paraId="7CB6F587" w14:textId="77777777">
            <w:pPr>
              <w:jc w:val="right"/>
              <w:rPr>
                <w:color w:val="000000"/>
                <w:sz w:val="22"/>
                <w:szCs w:val="22"/>
              </w:rPr>
            </w:pPr>
            <w:r w:rsidRPr="00BE2F57">
              <w:rPr>
                <w:color w:val="000000"/>
                <w:sz w:val="22"/>
                <w:szCs w:val="22"/>
              </w:rPr>
              <w:t xml:space="preserve">                  78 </w:t>
            </w:r>
          </w:p>
        </w:tc>
      </w:tr>
      <w:tr w14:paraId="3CC2B485" w14:textId="77777777" w:rsidTr="006B6011">
        <w:tblPrEx>
          <w:tblW w:w="6200" w:type="dxa"/>
          <w:tblLayout w:type="fixed"/>
          <w:tblLook w:val="04A0"/>
        </w:tblPrEx>
        <w:trPr>
          <w:trHeight w:val="555"/>
        </w:trPr>
        <w:tc>
          <w:tcPr>
            <w:tcW w:w="1970" w:type="dxa"/>
            <w:tcBorders>
              <w:top w:val="nil"/>
              <w:left w:val="single" w:sz="8" w:space="0" w:color="auto"/>
              <w:bottom w:val="single" w:sz="8" w:space="0" w:color="auto"/>
              <w:right w:val="single" w:sz="8" w:space="0" w:color="auto"/>
            </w:tcBorders>
            <w:vAlign w:val="center"/>
            <w:hideMark/>
          </w:tcPr>
          <w:p w:rsidR="00BE2F57" w:rsidRPr="00BE2F57" w:rsidP="00BE2F57" w14:paraId="2B58B254" w14:textId="77777777">
            <w:pPr>
              <w:rPr>
                <w:color w:val="000000"/>
                <w:sz w:val="20"/>
              </w:rPr>
            </w:pPr>
            <w:r w:rsidRPr="00BE2F57">
              <w:rPr>
                <w:color w:val="000000"/>
                <w:sz w:val="20"/>
              </w:rPr>
              <w:t>Annual cost ($)</w:t>
            </w:r>
          </w:p>
        </w:tc>
        <w:tc>
          <w:tcPr>
            <w:tcW w:w="1260" w:type="dxa"/>
            <w:tcBorders>
              <w:top w:val="nil"/>
              <w:left w:val="nil"/>
              <w:bottom w:val="single" w:sz="8" w:space="0" w:color="auto"/>
              <w:right w:val="nil"/>
            </w:tcBorders>
            <w:noWrap/>
            <w:vAlign w:val="bottom"/>
            <w:hideMark/>
          </w:tcPr>
          <w:p w:rsidR="00BE2F57" w:rsidRPr="00BE2F57" w:rsidP="00342D07" w14:paraId="04BE1364" w14:textId="4A393377">
            <w:pPr>
              <w:jc w:val="right"/>
              <w:rPr>
                <w:color w:val="000000"/>
                <w:sz w:val="22"/>
                <w:szCs w:val="22"/>
              </w:rPr>
            </w:pPr>
            <w:r w:rsidRPr="00BE2F57">
              <w:rPr>
                <w:color w:val="000000"/>
                <w:sz w:val="22"/>
                <w:szCs w:val="22"/>
              </w:rPr>
              <w:t xml:space="preserve">            1,</w:t>
            </w:r>
            <w:r w:rsidRPr="00BE2F57" w:rsidR="006B6011">
              <w:rPr>
                <w:color w:val="000000"/>
                <w:sz w:val="22"/>
                <w:szCs w:val="22"/>
              </w:rPr>
              <w:t>08</w:t>
            </w:r>
            <w:r w:rsidR="006B6011">
              <w:rPr>
                <w:color w:val="000000"/>
                <w:sz w:val="22"/>
                <w:szCs w:val="22"/>
              </w:rPr>
              <w:t>4</w:t>
            </w:r>
            <w:r w:rsidRPr="00BE2F57" w:rsidR="006B6011">
              <w:rPr>
                <w:color w:val="000000"/>
                <w:sz w:val="22"/>
                <w:szCs w:val="22"/>
              </w:rPr>
              <w:t xml:space="preserve"> </w:t>
            </w:r>
          </w:p>
        </w:tc>
        <w:tc>
          <w:tcPr>
            <w:tcW w:w="1260" w:type="dxa"/>
            <w:tcBorders>
              <w:top w:val="nil"/>
              <w:left w:val="single" w:sz="8" w:space="0" w:color="auto"/>
              <w:bottom w:val="single" w:sz="8" w:space="0" w:color="auto"/>
              <w:right w:val="single" w:sz="8" w:space="0" w:color="auto"/>
            </w:tcBorders>
            <w:noWrap/>
            <w:vAlign w:val="bottom"/>
            <w:hideMark/>
          </w:tcPr>
          <w:p w:rsidR="00BE2F57" w:rsidRPr="00BE2F57" w:rsidP="00342D07" w14:paraId="0AFA92C3" w14:textId="77777777">
            <w:pPr>
              <w:jc w:val="right"/>
              <w:rPr>
                <w:color w:val="000000"/>
                <w:sz w:val="22"/>
                <w:szCs w:val="22"/>
              </w:rPr>
            </w:pPr>
            <w:r w:rsidRPr="00BE2F57">
              <w:rPr>
                <w:color w:val="000000"/>
                <w:sz w:val="22"/>
                <w:szCs w:val="22"/>
              </w:rPr>
              <w:t>0</w:t>
            </w:r>
          </w:p>
        </w:tc>
        <w:tc>
          <w:tcPr>
            <w:tcW w:w="1710" w:type="dxa"/>
            <w:tcBorders>
              <w:top w:val="nil"/>
              <w:left w:val="nil"/>
              <w:bottom w:val="single" w:sz="8" w:space="0" w:color="auto"/>
              <w:right w:val="single" w:sz="8" w:space="0" w:color="auto"/>
            </w:tcBorders>
            <w:noWrap/>
            <w:vAlign w:val="bottom"/>
            <w:hideMark/>
          </w:tcPr>
          <w:p w:rsidR="00BE2F57" w:rsidRPr="00BE2F57" w:rsidP="00342D07" w14:paraId="49DCF57E" w14:textId="2561B26B">
            <w:pPr>
              <w:jc w:val="right"/>
              <w:rPr>
                <w:color w:val="000000"/>
                <w:sz w:val="22"/>
                <w:szCs w:val="22"/>
              </w:rPr>
            </w:pPr>
            <w:r w:rsidRPr="00BE2F57">
              <w:rPr>
                <w:color w:val="000000"/>
                <w:sz w:val="22"/>
                <w:szCs w:val="22"/>
              </w:rPr>
              <w:t xml:space="preserve">            (1,08</w:t>
            </w:r>
            <w:r w:rsidR="006B6011">
              <w:rPr>
                <w:color w:val="000000"/>
                <w:sz w:val="22"/>
                <w:szCs w:val="22"/>
              </w:rPr>
              <w:t>4</w:t>
            </w:r>
            <w:r w:rsidRPr="00BE2F57">
              <w:rPr>
                <w:color w:val="000000"/>
                <w:sz w:val="22"/>
                <w:szCs w:val="22"/>
              </w:rPr>
              <w:t>)</w:t>
            </w:r>
          </w:p>
        </w:tc>
      </w:tr>
    </w:tbl>
    <w:p w:rsidR="00BE2F57" w:rsidRPr="00235360" w:rsidP="00926D4E" w14:paraId="216E2815" w14:textId="77777777">
      <w:pPr>
        <w:rPr>
          <w:szCs w:val="24"/>
        </w:rPr>
      </w:pPr>
    </w:p>
    <w:p w:rsidR="006F0B90" w:rsidRPr="00235360" w:rsidP="00AE3D13" w14:paraId="201F350A" w14:textId="77777777">
      <w:pPr>
        <w:rPr>
          <w:szCs w:val="24"/>
        </w:rPr>
      </w:pPr>
    </w:p>
    <w:p w:rsidR="000C1537" w:rsidRPr="00235360" w:rsidP="000378D2" w14:paraId="77F5BA8A" w14:textId="2C7CDB82">
      <w:pPr>
        <w:rPr>
          <w:szCs w:val="24"/>
        </w:rPr>
      </w:pPr>
      <w:r w:rsidRPr="000378D2">
        <w:rPr>
          <w:b/>
          <w:bCs/>
          <w:szCs w:val="24"/>
        </w:rPr>
        <w:t>16</w:t>
      </w:r>
      <w:r w:rsidRPr="000378D2">
        <w:rPr>
          <w:b/>
          <w:bCs/>
          <w:szCs w:val="24"/>
        </w:rPr>
        <w:t>.</w:t>
      </w:r>
      <w:r w:rsidRPr="00235360">
        <w:rPr>
          <w:szCs w:val="24"/>
        </w:rPr>
        <w:t xml:space="preserve"> </w:t>
      </w:r>
      <w:r w:rsidRPr="00235360" w:rsidR="00090C0E">
        <w:rPr>
          <w:szCs w:val="24"/>
        </w:rPr>
        <w:t xml:space="preserve"> </w:t>
      </w:r>
      <w:r w:rsidRPr="00235360" w:rsidR="00B051D2">
        <w:rPr>
          <w:szCs w:val="24"/>
        </w:rPr>
        <w:t>DEA</w:t>
      </w:r>
      <w:r w:rsidRPr="00235360" w:rsidR="00B051D2">
        <w:rPr>
          <w:szCs w:val="24"/>
        </w:rPr>
        <w:t xml:space="preserve"> will not publish the results of the information collected</w:t>
      </w:r>
      <w:r w:rsidRPr="00235360">
        <w:rPr>
          <w:szCs w:val="24"/>
        </w:rPr>
        <w:t>.</w:t>
      </w:r>
    </w:p>
    <w:p w:rsidR="00695627" w:rsidRPr="00235360" w:rsidP="006A2E93" w14:paraId="2902310D" w14:textId="77777777">
      <w:pPr>
        <w:jc w:val="both"/>
        <w:rPr>
          <w:szCs w:val="24"/>
        </w:rPr>
      </w:pPr>
    </w:p>
    <w:p w:rsidR="000C1537" w:rsidRPr="00235360" w:rsidP="006D160C" w14:paraId="41D42DCE" w14:textId="3B0732AA">
      <w:pPr>
        <w:jc w:val="both"/>
        <w:rPr>
          <w:szCs w:val="24"/>
        </w:rPr>
      </w:pPr>
      <w:r w:rsidRPr="000378D2">
        <w:rPr>
          <w:b/>
          <w:bCs/>
          <w:szCs w:val="24"/>
        </w:rPr>
        <w:t>17</w:t>
      </w:r>
      <w:r w:rsidRPr="000378D2">
        <w:rPr>
          <w:b/>
          <w:bCs/>
          <w:szCs w:val="24"/>
        </w:rPr>
        <w:t>.</w:t>
      </w:r>
      <w:r w:rsidRPr="00235360">
        <w:rPr>
          <w:szCs w:val="24"/>
        </w:rPr>
        <w:t xml:space="preserve"> </w:t>
      </w:r>
      <w:r w:rsidRPr="00235360" w:rsidR="00090C0E">
        <w:rPr>
          <w:szCs w:val="24"/>
        </w:rPr>
        <w:t xml:space="preserve"> </w:t>
      </w:r>
      <w:r w:rsidR="0075369B">
        <w:rPr>
          <w:szCs w:val="24"/>
        </w:rPr>
        <w:t>There</w:t>
      </w:r>
      <w:r w:rsidR="0075369B">
        <w:rPr>
          <w:szCs w:val="24"/>
        </w:rPr>
        <w:t xml:space="preserve"> is no form associated with this information collection</w:t>
      </w:r>
      <w:r w:rsidRPr="00235360" w:rsidR="006A2E93">
        <w:rPr>
          <w:szCs w:val="24"/>
        </w:rPr>
        <w:t>.</w:t>
      </w:r>
    </w:p>
    <w:p w:rsidR="00072531" w:rsidP="00AE3D13" w14:paraId="03EE1FD8" w14:textId="105C5287">
      <w:pPr>
        <w:rPr>
          <w:szCs w:val="24"/>
        </w:rPr>
      </w:pPr>
    </w:p>
    <w:p w:rsidR="00CE3759" w:rsidRPr="00235360" w:rsidP="006D160C" w14:paraId="40E87F9C" w14:textId="19BFDEE3">
      <w:pPr>
        <w:jc w:val="both"/>
        <w:rPr>
          <w:szCs w:val="24"/>
        </w:rPr>
      </w:pPr>
      <w:r w:rsidRPr="000378D2">
        <w:rPr>
          <w:b/>
          <w:bCs/>
          <w:szCs w:val="24"/>
        </w:rPr>
        <w:t>18.</w:t>
      </w:r>
      <w:r w:rsidRPr="00235360">
        <w:rPr>
          <w:szCs w:val="24"/>
        </w:rPr>
        <w:t xml:space="preserve"> </w:t>
      </w:r>
      <w:r w:rsidRPr="00235360" w:rsidR="00090C0E">
        <w:rPr>
          <w:szCs w:val="24"/>
        </w:rPr>
        <w:t xml:space="preserve"> </w:t>
      </w:r>
      <w:r w:rsidRPr="00235360" w:rsidR="00B051D2">
        <w:rPr>
          <w:szCs w:val="24"/>
        </w:rPr>
        <w:t>DEA is not seeking an exception to the certification statement “Certification for Paperwork Reduction Act Submissions” for t</w:t>
      </w:r>
      <w:r w:rsidRPr="00235360" w:rsidR="006A2E93">
        <w:rPr>
          <w:szCs w:val="24"/>
        </w:rPr>
        <w:t>his collection of information.</w:t>
      </w:r>
    </w:p>
    <w:p w:rsidR="006A2E93" w:rsidRPr="00235360" w:rsidP="00AE3D13" w14:paraId="511826FE" w14:textId="77777777">
      <w:pPr>
        <w:rPr>
          <w:szCs w:val="24"/>
        </w:rPr>
      </w:pPr>
    </w:p>
    <w:p w:rsidR="000C1537" w:rsidRPr="00F24B74" w:rsidP="004F7B39" w14:paraId="32744A55" w14:textId="082F58F6">
      <w:pPr>
        <w:jc w:val="both"/>
        <w:rPr>
          <w:b/>
          <w:szCs w:val="24"/>
        </w:rPr>
      </w:pPr>
      <w:r w:rsidRPr="00F24B74">
        <w:rPr>
          <w:b/>
          <w:szCs w:val="24"/>
        </w:rPr>
        <w:t xml:space="preserve">Part B. </w:t>
      </w:r>
      <w:r w:rsidRPr="00F24B74" w:rsidR="006A2E93">
        <w:rPr>
          <w:b/>
          <w:szCs w:val="24"/>
        </w:rPr>
        <w:t xml:space="preserve"> </w:t>
      </w:r>
      <w:r w:rsidRPr="00F24B74">
        <w:rPr>
          <w:b/>
          <w:szCs w:val="24"/>
        </w:rPr>
        <w:t>Statistical Methods</w:t>
      </w:r>
    </w:p>
    <w:p w:rsidR="001A64B0" w:rsidRPr="00235360" w:rsidP="00AE3D13" w14:paraId="32545D5F" w14:textId="77777777">
      <w:pPr>
        <w:rPr>
          <w:szCs w:val="24"/>
        </w:rPr>
      </w:pPr>
    </w:p>
    <w:p w:rsidR="000C1537" w:rsidRPr="00235360" w:rsidP="006D160C" w14:paraId="698ECBB8" w14:textId="6BCBF493">
      <w:pPr>
        <w:jc w:val="both"/>
        <w:rPr>
          <w:szCs w:val="24"/>
        </w:rPr>
      </w:pPr>
      <w:r w:rsidRPr="00235360">
        <w:rPr>
          <w:szCs w:val="24"/>
        </w:rPr>
        <w:t>DEA does not employ statistical methods in this information collection</w:t>
      </w:r>
      <w:r w:rsidRPr="00235360">
        <w:rPr>
          <w:szCs w:val="24"/>
        </w:rPr>
        <w:t>.</w:t>
      </w:r>
    </w:p>
    <w:sectPr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2312181"/>
      <w:docPartObj>
        <w:docPartGallery w:val="Page Numbers (Bottom of Page)"/>
        <w:docPartUnique/>
      </w:docPartObj>
    </w:sdtPr>
    <w:sdtContent>
      <w:p w:rsidR="00572EEB" w14:paraId="36656E58" w14:textId="698432C0">
        <w:pPr>
          <w:pStyle w:val="Footer"/>
          <w:jc w:val="center"/>
        </w:pPr>
        <w:r>
          <w:fldChar w:fldCharType="begin"/>
        </w:r>
        <w:r>
          <w:instrText xml:space="preserve"> PAGE   \* MERGEFORMAT </w:instrText>
        </w:r>
        <w:r>
          <w:fldChar w:fldCharType="separate"/>
        </w:r>
        <w:r w:rsidR="00B90671">
          <w:t>1</w:t>
        </w:r>
        <w:r>
          <w:fldChar w:fldCharType="end"/>
        </w:r>
      </w:p>
    </w:sdtContent>
  </w:sdt>
  <w:p w:rsidR="00572EEB" w14:paraId="6C46F7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0374" w14:paraId="57B20787" w14:textId="77777777">
      <w:r>
        <w:separator/>
      </w:r>
    </w:p>
  </w:footnote>
  <w:footnote w:type="continuationSeparator" w:id="1">
    <w:p w:rsidR="00C00374" w14:paraId="668CDFB0" w14:textId="77777777">
      <w:r>
        <w:continuationSeparator/>
      </w:r>
    </w:p>
  </w:footnote>
  <w:footnote w:id="2">
    <w:p w:rsidR="00704F75" w14:paraId="0EA07F04" w14:textId="20E2EE3F">
      <w:pPr>
        <w:pStyle w:val="FootnoteText"/>
      </w:pPr>
      <w:r>
        <w:rPr>
          <w:rStyle w:val="FootnoteReference"/>
        </w:rPr>
        <w:footnoteRef/>
      </w:r>
      <w:r>
        <w:t xml:space="preserve"> H</w:t>
      </w:r>
      <w:r w:rsidRPr="00CD41A2">
        <w:t>ourly median wage, 11-3061 Purchasing Manager</w:t>
      </w:r>
      <w:r>
        <w:t xml:space="preserve">s.  </w:t>
      </w:r>
      <w:r w:rsidRPr="00FF3A79">
        <w:t>Bureau of</w:t>
      </w:r>
      <w:r>
        <w:t xml:space="preserve"> Labor Statistics, </w:t>
      </w:r>
      <w:r w:rsidRPr="004C5548">
        <w:rPr>
          <w:i/>
        </w:rPr>
        <w:t xml:space="preserve">Occupational Employment and Wages, May </w:t>
      </w:r>
      <w:r>
        <w:rPr>
          <w:i/>
        </w:rPr>
        <w:t>2024,</w:t>
      </w:r>
      <w:r w:rsidRPr="00F13C23">
        <w:t xml:space="preserve"> https://www.bls.gov/oes/current/oes_nat.htm</w:t>
      </w:r>
      <w:r>
        <w:t>.</w:t>
      </w:r>
    </w:p>
  </w:footnote>
  <w:footnote w:id="3">
    <w:p w:rsidR="007A61DF" w14:paraId="545FE1F7" w14:textId="4877F082">
      <w:pPr>
        <w:pStyle w:val="FootnoteText"/>
      </w:pPr>
      <w:r>
        <w:rPr>
          <w:rStyle w:val="FootnoteReference"/>
        </w:rPr>
        <w:footnoteRef/>
      </w:r>
      <w:r w:rsidR="00B1515C">
        <w:t xml:space="preserve">Bureau of Labor Statistics, “Employer Costs for Employee Compensation – </w:t>
      </w:r>
      <w:r w:rsidR="00635C6F">
        <w:t>March 2025</w:t>
      </w:r>
      <w:r w:rsidR="00B1515C">
        <w:t>” (ECEC) reports that average benefits for private industry is 29.7% of total compensation.  The 29.7% of total compensation equates to 42</w:t>
      </w:r>
      <w:r w:rsidR="006B6011">
        <w:t>.2</w:t>
      </w:r>
      <w:r w:rsidR="00B1515C">
        <w:t>% (29.7% / 70.3%) load on wages and salaries.</w:t>
      </w:r>
    </w:p>
  </w:footnote>
  <w:footnote w:id="4">
    <w:p w:rsidR="00BE2F57" w14:paraId="7F8F2143" w14:textId="17BE3B97">
      <w:pPr>
        <w:pStyle w:val="FootnoteText"/>
      </w:pPr>
      <w:r>
        <w:rPr>
          <w:rStyle w:val="FootnoteReference"/>
        </w:rPr>
        <w:footnoteRef/>
      </w:r>
      <w:r>
        <w:t xml:space="preserve"> </w:t>
      </w:r>
      <w:bookmarkStart w:id="1" w:name="OLE_LINK10"/>
      <w:r>
        <w:t>Costs are based on the Office of Personnel Management’s 2025 general schedule locality pay tables for the Washington-Baltimore-Arlington area (</w:t>
      </w:r>
      <w:r w:rsidRPr="00D56CA0">
        <w:t>https://www.opm.gov/policy-data-oversight/pay-leave/salaries-wages/salary-tables/pdf/2025/DCB.pdf</w:t>
      </w:r>
      <w:r>
        <w:t>) for the grade listed, step 5.</w:t>
      </w:r>
      <w:bookmarkEnd w:id="1"/>
    </w:p>
  </w:footnote>
  <w:footnote w:id="5">
    <w:p w:rsidR="00BE2F57" w14:paraId="29987977" w14:textId="4E0E2540">
      <w:pPr>
        <w:pStyle w:val="FootnoteText"/>
      </w:pPr>
      <w:r>
        <w:rPr>
          <w:rStyle w:val="FootnoteReference"/>
        </w:rPr>
        <w:footnoteRef/>
      </w:r>
      <w:r>
        <w:t xml:space="preserve"> </w:t>
      </w:r>
      <w:bookmarkStart w:id="2" w:name="OLE_LINK12"/>
      <w:r>
        <w:t>Government salary figures include 62.3% (38.4% / 61.6%) load for benefits based on the ECEC data for State and local government.  The ECEC data does not include figures for the Federal government.</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409" w14:paraId="3F3934DB" w14:textId="77777777">
    <w:pPr>
      <w:rPr>
        <w:sz w:val="22"/>
      </w:rPr>
    </w:pPr>
    <w:r>
      <w:rPr>
        <w:sz w:val="22"/>
      </w:rPr>
      <w:t xml:space="preserve">Annual Reporting for Manufacturers of Listed Chemicals </w:t>
    </w:r>
  </w:p>
  <w:p w:rsidR="00AE0409" w14:paraId="3F68BAD8" w14:textId="77777777">
    <w:pPr>
      <w:rPr>
        <w:sz w:val="22"/>
      </w:rPr>
    </w:pPr>
    <w:r>
      <w:rPr>
        <w:sz w:val="22"/>
      </w:rPr>
      <w:t xml:space="preserve">OMB Control Number:  1117-0029 </w:t>
    </w:r>
  </w:p>
  <w:p w:rsidR="00AE0409" w14:paraId="0ADAA9E5" w14:textId="77777777">
    <w:pPr>
      <w:rPr>
        <w:sz w:val="22"/>
      </w:rPr>
    </w:pPr>
    <w:r>
      <w:rPr>
        <w:sz w:val="22"/>
      </w:rPr>
      <w:t>OMB Expiration Date:  9/30/2025</w:t>
    </w:r>
  </w:p>
  <w:p w:rsidR="00572EEB" w14:paraId="13A1820B" w14:textId="229D628E">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C1BD6"/>
    <w:multiLevelType w:val="hybridMultilevel"/>
    <w:tmpl w:val="1576D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AB3390"/>
    <w:multiLevelType w:val="hybridMultilevel"/>
    <w:tmpl w:val="BD96C290"/>
    <w:lvl w:ilvl="0">
      <w:start w:val="4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2">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0730315">
    <w:abstractNumId w:val="11"/>
  </w:num>
  <w:num w:numId="2" w16cid:durableId="113910294">
    <w:abstractNumId w:val="16"/>
  </w:num>
  <w:num w:numId="3" w16cid:durableId="1298874416">
    <w:abstractNumId w:val="21"/>
  </w:num>
  <w:num w:numId="4" w16cid:durableId="2090030430">
    <w:abstractNumId w:val="7"/>
  </w:num>
  <w:num w:numId="5" w16cid:durableId="1826126940">
    <w:abstractNumId w:val="19"/>
  </w:num>
  <w:num w:numId="6" w16cid:durableId="1795903418">
    <w:abstractNumId w:val="6"/>
  </w:num>
  <w:num w:numId="7" w16cid:durableId="846559159">
    <w:abstractNumId w:val="1"/>
  </w:num>
  <w:num w:numId="8" w16cid:durableId="172884590">
    <w:abstractNumId w:val="20"/>
  </w:num>
  <w:num w:numId="9" w16cid:durableId="1270624215">
    <w:abstractNumId w:val="22"/>
  </w:num>
  <w:num w:numId="10" w16cid:durableId="1346899656">
    <w:abstractNumId w:val="4"/>
  </w:num>
  <w:num w:numId="11" w16cid:durableId="553585109">
    <w:abstractNumId w:val="17"/>
  </w:num>
  <w:num w:numId="12" w16cid:durableId="1322082432">
    <w:abstractNumId w:val="8"/>
  </w:num>
  <w:num w:numId="13" w16cid:durableId="431361539">
    <w:abstractNumId w:val="18"/>
  </w:num>
  <w:num w:numId="14" w16cid:durableId="289096703">
    <w:abstractNumId w:val="13"/>
  </w:num>
  <w:num w:numId="15" w16cid:durableId="908734594">
    <w:abstractNumId w:val="5"/>
  </w:num>
  <w:num w:numId="16" w16cid:durableId="1173034364">
    <w:abstractNumId w:val="12"/>
  </w:num>
  <w:num w:numId="17" w16cid:durableId="506601468">
    <w:abstractNumId w:val="2"/>
  </w:num>
  <w:num w:numId="18" w16cid:durableId="813453215">
    <w:abstractNumId w:val="3"/>
  </w:num>
  <w:num w:numId="19" w16cid:durableId="1735735979">
    <w:abstractNumId w:val="10"/>
  </w:num>
  <w:num w:numId="20" w16cid:durableId="1290285462">
    <w:abstractNumId w:val="9"/>
  </w:num>
  <w:num w:numId="21" w16cid:durableId="1413356812">
    <w:abstractNumId w:val="0"/>
  </w:num>
  <w:num w:numId="22" w16cid:durableId="1689477964">
    <w:abstractNumId w:val="14"/>
  </w:num>
  <w:num w:numId="23" w16cid:durableId="1115177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AA"/>
    <w:rsid w:val="000003E4"/>
    <w:rsid w:val="000026DC"/>
    <w:rsid w:val="00003CA9"/>
    <w:rsid w:val="0001166E"/>
    <w:rsid w:val="00014C4D"/>
    <w:rsid w:val="00024E2B"/>
    <w:rsid w:val="00024E5E"/>
    <w:rsid w:val="000307CF"/>
    <w:rsid w:val="000378D2"/>
    <w:rsid w:val="00040C64"/>
    <w:rsid w:val="00041999"/>
    <w:rsid w:val="00047F50"/>
    <w:rsid w:val="000711AF"/>
    <w:rsid w:val="00072531"/>
    <w:rsid w:val="00072975"/>
    <w:rsid w:val="000729D4"/>
    <w:rsid w:val="00073D7B"/>
    <w:rsid w:val="00090C0E"/>
    <w:rsid w:val="00090EEB"/>
    <w:rsid w:val="000936D4"/>
    <w:rsid w:val="0009395B"/>
    <w:rsid w:val="000B05CC"/>
    <w:rsid w:val="000B0778"/>
    <w:rsid w:val="000B2518"/>
    <w:rsid w:val="000B30D6"/>
    <w:rsid w:val="000B44B0"/>
    <w:rsid w:val="000B7D7E"/>
    <w:rsid w:val="000C1537"/>
    <w:rsid w:val="000C233D"/>
    <w:rsid w:val="000C46D6"/>
    <w:rsid w:val="000C697C"/>
    <w:rsid w:val="000D165F"/>
    <w:rsid w:val="000E31D0"/>
    <w:rsid w:val="000E4A77"/>
    <w:rsid w:val="000E728F"/>
    <w:rsid w:val="000E7A26"/>
    <w:rsid w:val="0010264F"/>
    <w:rsid w:val="00103A27"/>
    <w:rsid w:val="00106AAC"/>
    <w:rsid w:val="00115747"/>
    <w:rsid w:val="001200DB"/>
    <w:rsid w:val="001275B6"/>
    <w:rsid w:val="00132072"/>
    <w:rsid w:val="00133A47"/>
    <w:rsid w:val="0013751E"/>
    <w:rsid w:val="00146805"/>
    <w:rsid w:val="001505F1"/>
    <w:rsid w:val="001576A9"/>
    <w:rsid w:val="00160BA0"/>
    <w:rsid w:val="001610B9"/>
    <w:rsid w:val="00172467"/>
    <w:rsid w:val="00175290"/>
    <w:rsid w:val="00187730"/>
    <w:rsid w:val="001945E3"/>
    <w:rsid w:val="001948C7"/>
    <w:rsid w:val="001A347F"/>
    <w:rsid w:val="001A64B0"/>
    <w:rsid w:val="001A6B52"/>
    <w:rsid w:val="001A7C2B"/>
    <w:rsid w:val="001B3C46"/>
    <w:rsid w:val="001B509D"/>
    <w:rsid w:val="001B6D6B"/>
    <w:rsid w:val="001C0567"/>
    <w:rsid w:val="001C1292"/>
    <w:rsid w:val="001D3071"/>
    <w:rsid w:val="001D4974"/>
    <w:rsid w:val="001D70F6"/>
    <w:rsid w:val="001E1407"/>
    <w:rsid w:val="001E3A04"/>
    <w:rsid w:val="001E6B15"/>
    <w:rsid w:val="001E72F7"/>
    <w:rsid w:val="001F24F2"/>
    <w:rsid w:val="001F2DAE"/>
    <w:rsid w:val="001F31A3"/>
    <w:rsid w:val="001F328F"/>
    <w:rsid w:val="001F34AD"/>
    <w:rsid w:val="0020105A"/>
    <w:rsid w:val="00202FD8"/>
    <w:rsid w:val="002039F4"/>
    <w:rsid w:val="00203C24"/>
    <w:rsid w:val="00204598"/>
    <w:rsid w:val="00204F60"/>
    <w:rsid w:val="002061BE"/>
    <w:rsid w:val="00213992"/>
    <w:rsid w:val="00221401"/>
    <w:rsid w:val="00222580"/>
    <w:rsid w:val="00235360"/>
    <w:rsid w:val="002364CB"/>
    <w:rsid w:val="0023781B"/>
    <w:rsid w:val="00253917"/>
    <w:rsid w:val="00254B07"/>
    <w:rsid w:val="00255319"/>
    <w:rsid w:val="00255340"/>
    <w:rsid w:val="00256291"/>
    <w:rsid w:val="00264BA6"/>
    <w:rsid w:val="00266EDA"/>
    <w:rsid w:val="00267D10"/>
    <w:rsid w:val="0027229C"/>
    <w:rsid w:val="002727CA"/>
    <w:rsid w:val="0028532F"/>
    <w:rsid w:val="00285604"/>
    <w:rsid w:val="0028737B"/>
    <w:rsid w:val="00287834"/>
    <w:rsid w:val="002939D5"/>
    <w:rsid w:val="00296FD9"/>
    <w:rsid w:val="002A7122"/>
    <w:rsid w:val="002A785B"/>
    <w:rsid w:val="002C5672"/>
    <w:rsid w:val="002D03DF"/>
    <w:rsid w:val="002D2CA4"/>
    <w:rsid w:val="002D7617"/>
    <w:rsid w:val="002E0492"/>
    <w:rsid w:val="002E364E"/>
    <w:rsid w:val="002E3BAD"/>
    <w:rsid w:val="002E4B64"/>
    <w:rsid w:val="002F0759"/>
    <w:rsid w:val="003045D7"/>
    <w:rsid w:val="00310BF5"/>
    <w:rsid w:val="00317FEB"/>
    <w:rsid w:val="003214D4"/>
    <w:rsid w:val="003238E0"/>
    <w:rsid w:val="00330B2A"/>
    <w:rsid w:val="00331303"/>
    <w:rsid w:val="003323BE"/>
    <w:rsid w:val="00335B7D"/>
    <w:rsid w:val="00340835"/>
    <w:rsid w:val="003415E1"/>
    <w:rsid w:val="00342D07"/>
    <w:rsid w:val="00347A3F"/>
    <w:rsid w:val="00353FF4"/>
    <w:rsid w:val="00355983"/>
    <w:rsid w:val="0035613D"/>
    <w:rsid w:val="00356C68"/>
    <w:rsid w:val="003632C4"/>
    <w:rsid w:val="003677E6"/>
    <w:rsid w:val="003744B7"/>
    <w:rsid w:val="00381749"/>
    <w:rsid w:val="003853E3"/>
    <w:rsid w:val="003865AE"/>
    <w:rsid w:val="00393556"/>
    <w:rsid w:val="00394EEA"/>
    <w:rsid w:val="0039505B"/>
    <w:rsid w:val="00397627"/>
    <w:rsid w:val="003A0729"/>
    <w:rsid w:val="003A2653"/>
    <w:rsid w:val="003A47A0"/>
    <w:rsid w:val="003A75B2"/>
    <w:rsid w:val="003B1894"/>
    <w:rsid w:val="003B462C"/>
    <w:rsid w:val="003B51FF"/>
    <w:rsid w:val="003B565A"/>
    <w:rsid w:val="003B5B37"/>
    <w:rsid w:val="003C4B7E"/>
    <w:rsid w:val="003C6B62"/>
    <w:rsid w:val="003C7787"/>
    <w:rsid w:val="003D1F4A"/>
    <w:rsid w:val="003D62DF"/>
    <w:rsid w:val="003E19B7"/>
    <w:rsid w:val="003E411E"/>
    <w:rsid w:val="003E759F"/>
    <w:rsid w:val="00403678"/>
    <w:rsid w:val="0040370C"/>
    <w:rsid w:val="00406E88"/>
    <w:rsid w:val="00417CC2"/>
    <w:rsid w:val="004202AA"/>
    <w:rsid w:val="00431A8E"/>
    <w:rsid w:val="00436B13"/>
    <w:rsid w:val="004374B0"/>
    <w:rsid w:val="00441C24"/>
    <w:rsid w:val="004457EC"/>
    <w:rsid w:val="00447D09"/>
    <w:rsid w:val="00451D6C"/>
    <w:rsid w:val="004523E4"/>
    <w:rsid w:val="004547B8"/>
    <w:rsid w:val="00457773"/>
    <w:rsid w:val="00460751"/>
    <w:rsid w:val="00467313"/>
    <w:rsid w:val="004679E7"/>
    <w:rsid w:val="00473372"/>
    <w:rsid w:val="00480BEE"/>
    <w:rsid w:val="00484015"/>
    <w:rsid w:val="00485B3F"/>
    <w:rsid w:val="00486C06"/>
    <w:rsid w:val="00486CC2"/>
    <w:rsid w:val="004878FE"/>
    <w:rsid w:val="004965E6"/>
    <w:rsid w:val="004A0B75"/>
    <w:rsid w:val="004A1D5E"/>
    <w:rsid w:val="004A6D84"/>
    <w:rsid w:val="004B2924"/>
    <w:rsid w:val="004B6259"/>
    <w:rsid w:val="004C2D8D"/>
    <w:rsid w:val="004C31A0"/>
    <w:rsid w:val="004C501D"/>
    <w:rsid w:val="004C5548"/>
    <w:rsid w:val="004C57AA"/>
    <w:rsid w:val="004D68DA"/>
    <w:rsid w:val="004E4DFB"/>
    <w:rsid w:val="004E5AD0"/>
    <w:rsid w:val="004E7783"/>
    <w:rsid w:val="004F2230"/>
    <w:rsid w:val="004F3C5B"/>
    <w:rsid w:val="004F5024"/>
    <w:rsid w:val="004F7B39"/>
    <w:rsid w:val="00503848"/>
    <w:rsid w:val="00503D3D"/>
    <w:rsid w:val="00516270"/>
    <w:rsid w:val="00520B1C"/>
    <w:rsid w:val="005322C9"/>
    <w:rsid w:val="0053425E"/>
    <w:rsid w:val="005465C2"/>
    <w:rsid w:val="00562D6D"/>
    <w:rsid w:val="00563B33"/>
    <w:rsid w:val="00564F07"/>
    <w:rsid w:val="00571B06"/>
    <w:rsid w:val="00572EEB"/>
    <w:rsid w:val="00577441"/>
    <w:rsid w:val="005825C6"/>
    <w:rsid w:val="00583984"/>
    <w:rsid w:val="00584F45"/>
    <w:rsid w:val="00586352"/>
    <w:rsid w:val="0059407C"/>
    <w:rsid w:val="005A0509"/>
    <w:rsid w:val="005A1D74"/>
    <w:rsid w:val="005A4781"/>
    <w:rsid w:val="005C6149"/>
    <w:rsid w:val="005D3968"/>
    <w:rsid w:val="005D5AAF"/>
    <w:rsid w:val="005D7A95"/>
    <w:rsid w:val="005E13C4"/>
    <w:rsid w:val="005E1C3C"/>
    <w:rsid w:val="005E70FF"/>
    <w:rsid w:val="005F45D8"/>
    <w:rsid w:val="00602577"/>
    <w:rsid w:val="00603426"/>
    <w:rsid w:val="00606C77"/>
    <w:rsid w:val="00630832"/>
    <w:rsid w:val="00630964"/>
    <w:rsid w:val="00635C6F"/>
    <w:rsid w:val="006365D8"/>
    <w:rsid w:val="00640CC3"/>
    <w:rsid w:val="00640EAE"/>
    <w:rsid w:val="00645EBD"/>
    <w:rsid w:val="0065322F"/>
    <w:rsid w:val="00653760"/>
    <w:rsid w:val="00653D0F"/>
    <w:rsid w:val="00655AD9"/>
    <w:rsid w:val="00660C66"/>
    <w:rsid w:val="00662A09"/>
    <w:rsid w:val="00665335"/>
    <w:rsid w:val="006721EF"/>
    <w:rsid w:val="00674684"/>
    <w:rsid w:val="00682AC6"/>
    <w:rsid w:val="0068679E"/>
    <w:rsid w:val="00695627"/>
    <w:rsid w:val="0069717E"/>
    <w:rsid w:val="00697A45"/>
    <w:rsid w:val="00697EC4"/>
    <w:rsid w:val="006A278B"/>
    <w:rsid w:val="006A2E93"/>
    <w:rsid w:val="006A3CFE"/>
    <w:rsid w:val="006A44AB"/>
    <w:rsid w:val="006A5FAE"/>
    <w:rsid w:val="006A7E04"/>
    <w:rsid w:val="006B1E12"/>
    <w:rsid w:val="006B1E52"/>
    <w:rsid w:val="006B4736"/>
    <w:rsid w:val="006B6011"/>
    <w:rsid w:val="006B63F1"/>
    <w:rsid w:val="006C1547"/>
    <w:rsid w:val="006C49B4"/>
    <w:rsid w:val="006C61DB"/>
    <w:rsid w:val="006C7768"/>
    <w:rsid w:val="006C7F13"/>
    <w:rsid w:val="006D160C"/>
    <w:rsid w:val="006D3114"/>
    <w:rsid w:val="006D6E52"/>
    <w:rsid w:val="006D7F5D"/>
    <w:rsid w:val="006E0755"/>
    <w:rsid w:val="006E0A9A"/>
    <w:rsid w:val="006F0B90"/>
    <w:rsid w:val="006F2524"/>
    <w:rsid w:val="006F4548"/>
    <w:rsid w:val="006F5F73"/>
    <w:rsid w:val="0070093C"/>
    <w:rsid w:val="007040C5"/>
    <w:rsid w:val="00704F75"/>
    <w:rsid w:val="00707072"/>
    <w:rsid w:val="00710A50"/>
    <w:rsid w:val="00711DA2"/>
    <w:rsid w:val="00713B1A"/>
    <w:rsid w:val="007164CA"/>
    <w:rsid w:val="0072448E"/>
    <w:rsid w:val="007257A3"/>
    <w:rsid w:val="00727DE4"/>
    <w:rsid w:val="00733CBE"/>
    <w:rsid w:val="007341E2"/>
    <w:rsid w:val="007403FB"/>
    <w:rsid w:val="00743F18"/>
    <w:rsid w:val="0074466F"/>
    <w:rsid w:val="0075369B"/>
    <w:rsid w:val="007537B1"/>
    <w:rsid w:val="00753F1E"/>
    <w:rsid w:val="00760231"/>
    <w:rsid w:val="00762166"/>
    <w:rsid w:val="007706D5"/>
    <w:rsid w:val="00776F7B"/>
    <w:rsid w:val="00784825"/>
    <w:rsid w:val="0078590F"/>
    <w:rsid w:val="0079012C"/>
    <w:rsid w:val="007A0905"/>
    <w:rsid w:val="007A31AF"/>
    <w:rsid w:val="007A61DF"/>
    <w:rsid w:val="007A6E5F"/>
    <w:rsid w:val="007A6F60"/>
    <w:rsid w:val="007A7221"/>
    <w:rsid w:val="007B06D5"/>
    <w:rsid w:val="007B0BA3"/>
    <w:rsid w:val="007B20CA"/>
    <w:rsid w:val="007C1A51"/>
    <w:rsid w:val="007C1FFE"/>
    <w:rsid w:val="007C586D"/>
    <w:rsid w:val="007C787E"/>
    <w:rsid w:val="007D2604"/>
    <w:rsid w:val="007D58E1"/>
    <w:rsid w:val="007D6549"/>
    <w:rsid w:val="007E493D"/>
    <w:rsid w:val="007E4956"/>
    <w:rsid w:val="007F1BC8"/>
    <w:rsid w:val="007F1D5F"/>
    <w:rsid w:val="007F6E3C"/>
    <w:rsid w:val="0080166A"/>
    <w:rsid w:val="00802AF9"/>
    <w:rsid w:val="00803E02"/>
    <w:rsid w:val="00805055"/>
    <w:rsid w:val="0080720C"/>
    <w:rsid w:val="008118F0"/>
    <w:rsid w:val="00813B24"/>
    <w:rsid w:val="00813BD7"/>
    <w:rsid w:val="00822772"/>
    <w:rsid w:val="00823529"/>
    <w:rsid w:val="008248A2"/>
    <w:rsid w:val="0082680D"/>
    <w:rsid w:val="00827400"/>
    <w:rsid w:val="00827435"/>
    <w:rsid w:val="008333E1"/>
    <w:rsid w:val="00833B1E"/>
    <w:rsid w:val="00837798"/>
    <w:rsid w:val="008434B3"/>
    <w:rsid w:val="0084494A"/>
    <w:rsid w:val="008458D9"/>
    <w:rsid w:val="008535D1"/>
    <w:rsid w:val="00857FC9"/>
    <w:rsid w:val="00860ED2"/>
    <w:rsid w:val="0086467C"/>
    <w:rsid w:val="00867199"/>
    <w:rsid w:val="0087344C"/>
    <w:rsid w:val="00875C53"/>
    <w:rsid w:val="00875FE9"/>
    <w:rsid w:val="00882D9D"/>
    <w:rsid w:val="00885594"/>
    <w:rsid w:val="008929A7"/>
    <w:rsid w:val="008964A5"/>
    <w:rsid w:val="008970AF"/>
    <w:rsid w:val="00897ECF"/>
    <w:rsid w:val="008A3424"/>
    <w:rsid w:val="008A439F"/>
    <w:rsid w:val="008B12B1"/>
    <w:rsid w:val="008B5B93"/>
    <w:rsid w:val="008B7B24"/>
    <w:rsid w:val="008C00BD"/>
    <w:rsid w:val="008C26E1"/>
    <w:rsid w:val="008C5125"/>
    <w:rsid w:val="008D2757"/>
    <w:rsid w:val="008D2D46"/>
    <w:rsid w:val="008D6008"/>
    <w:rsid w:val="008E0063"/>
    <w:rsid w:val="008E1FB0"/>
    <w:rsid w:val="008E5DB6"/>
    <w:rsid w:val="008E7B3E"/>
    <w:rsid w:val="008F01C1"/>
    <w:rsid w:val="008F7D40"/>
    <w:rsid w:val="00904E80"/>
    <w:rsid w:val="00905192"/>
    <w:rsid w:val="009105A3"/>
    <w:rsid w:val="00912BEB"/>
    <w:rsid w:val="009151B2"/>
    <w:rsid w:val="009173BD"/>
    <w:rsid w:val="00921795"/>
    <w:rsid w:val="009223F4"/>
    <w:rsid w:val="00922573"/>
    <w:rsid w:val="00922BEE"/>
    <w:rsid w:val="0092576C"/>
    <w:rsid w:val="00926D4E"/>
    <w:rsid w:val="00930527"/>
    <w:rsid w:val="009356AB"/>
    <w:rsid w:val="00936A27"/>
    <w:rsid w:val="009373CC"/>
    <w:rsid w:val="0094062E"/>
    <w:rsid w:val="00942B59"/>
    <w:rsid w:val="009523DE"/>
    <w:rsid w:val="00956DC2"/>
    <w:rsid w:val="00970E8B"/>
    <w:rsid w:val="009814C7"/>
    <w:rsid w:val="009822CD"/>
    <w:rsid w:val="00982C2B"/>
    <w:rsid w:val="00984D1A"/>
    <w:rsid w:val="00985D10"/>
    <w:rsid w:val="009910FC"/>
    <w:rsid w:val="0099333D"/>
    <w:rsid w:val="009957BF"/>
    <w:rsid w:val="009A14AC"/>
    <w:rsid w:val="009B3EBD"/>
    <w:rsid w:val="009B71F1"/>
    <w:rsid w:val="009C5ECB"/>
    <w:rsid w:val="009C7698"/>
    <w:rsid w:val="009D37E6"/>
    <w:rsid w:val="009D4078"/>
    <w:rsid w:val="009D6B26"/>
    <w:rsid w:val="009E10CB"/>
    <w:rsid w:val="009E27BB"/>
    <w:rsid w:val="009E4BFA"/>
    <w:rsid w:val="009E5DAC"/>
    <w:rsid w:val="009F38A1"/>
    <w:rsid w:val="009F40F1"/>
    <w:rsid w:val="009F49F8"/>
    <w:rsid w:val="00A00BBC"/>
    <w:rsid w:val="00A03B7A"/>
    <w:rsid w:val="00A07710"/>
    <w:rsid w:val="00A13A11"/>
    <w:rsid w:val="00A32B3D"/>
    <w:rsid w:val="00A338B6"/>
    <w:rsid w:val="00A41975"/>
    <w:rsid w:val="00A4256B"/>
    <w:rsid w:val="00A42A92"/>
    <w:rsid w:val="00A5110C"/>
    <w:rsid w:val="00A52C58"/>
    <w:rsid w:val="00A52E4C"/>
    <w:rsid w:val="00A61AE0"/>
    <w:rsid w:val="00A65D73"/>
    <w:rsid w:val="00A65E30"/>
    <w:rsid w:val="00A71AA6"/>
    <w:rsid w:val="00A808A3"/>
    <w:rsid w:val="00A80C70"/>
    <w:rsid w:val="00A83187"/>
    <w:rsid w:val="00A903BA"/>
    <w:rsid w:val="00AA6AD4"/>
    <w:rsid w:val="00AB4176"/>
    <w:rsid w:val="00AB4B8C"/>
    <w:rsid w:val="00AB7DAD"/>
    <w:rsid w:val="00AD005D"/>
    <w:rsid w:val="00AD0446"/>
    <w:rsid w:val="00AD26EB"/>
    <w:rsid w:val="00AD6472"/>
    <w:rsid w:val="00AE0409"/>
    <w:rsid w:val="00AE3D13"/>
    <w:rsid w:val="00AE52E1"/>
    <w:rsid w:val="00AF2AFA"/>
    <w:rsid w:val="00B02534"/>
    <w:rsid w:val="00B0441C"/>
    <w:rsid w:val="00B051D2"/>
    <w:rsid w:val="00B1515C"/>
    <w:rsid w:val="00B17FFB"/>
    <w:rsid w:val="00B200CE"/>
    <w:rsid w:val="00B2205F"/>
    <w:rsid w:val="00B251B2"/>
    <w:rsid w:val="00B346F1"/>
    <w:rsid w:val="00B35B59"/>
    <w:rsid w:val="00B37310"/>
    <w:rsid w:val="00B40956"/>
    <w:rsid w:val="00B50163"/>
    <w:rsid w:val="00B51820"/>
    <w:rsid w:val="00B52B8D"/>
    <w:rsid w:val="00B544E3"/>
    <w:rsid w:val="00B558D9"/>
    <w:rsid w:val="00B55AE0"/>
    <w:rsid w:val="00B561F4"/>
    <w:rsid w:val="00B577EF"/>
    <w:rsid w:val="00B6707D"/>
    <w:rsid w:val="00B71445"/>
    <w:rsid w:val="00B85F2B"/>
    <w:rsid w:val="00B90671"/>
    <w:rsid w:val="00B91C3E"/>
    <w:rsid w:val="00B96EE6"/>
    <w:rsid w:val="00BA2667"/>
    <w:rsid w:val="00BA5208"/>
    <w:rsid w:val="00BA6FC2"/>
    <w:rsid w:val="00BB1DBD"/>
    <w:rsid w:val="00BB3A79"/>
    <w:rsid w:val="00BC4C4F"/>
    <w:rsid w:val="00BC7AA4"/>
    <w:rsid w:val="00BD4078"/>
    <w:rsid w:val="00BD5FE2"/>
    <w:rsid w:val="00BE16A2"/>
    <w:rsid w:val="00BE2F57"/>
    <w:rsid w:val="00BF25A0"/>
    <w:rsid w:val="00BF2C0B"/>
    <w:rsid w:val="00C002A3"/>
    <w:rsid w:val="00C00374"/>
    <w:rsid w:val="00C052D7"/>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5291"/>
    <w:rsid w:val="00C55954"/>
    <w:rsid w:val="00C61884"/>
    <w:rsid w:val="00C62F73"/>
    <w:rsid w:val="00C74CAA"/>
    <w:rsid w:val="00C76348"/>
    <w:rsid w:val="00C774F4"/>
    <w:rsid w:val="00C777C7"/>
    <w:rsid w:val="00C84076"/>
    <w:rsid w:val="00C84F6F"/>
    <w:rsid w:val="00C87399"/>
    <w:rsid w:val="00C87850"/>
    <w:rsid w:val="00C87B94"/>
    <w:rsid w:val="00C90095"/>
    <w:rsid w:val="00C927C6"/>
    <w:rsid w:val="00C929EC"/>
    <w:rsid w:val="00C96846"/>
    <w:rsid w:val="00CA0464"/>
    <w:rsid w:val="00CA2B73"/>
    <w:rsid w:val="00CA3BC6"/>
    <w:rsid w:val="00CB0C55"/>
    <w:rsid w:val="00CB1429"/>
    <w:rsid w:val="00CB24B8"/>
    <w:rsid w:val="00CB38EE"/>
    <w:rsid w:val="00CB7F7B"/>
    <w:rsid w:val="00CC40DC"/>
    <w:rsid w:val="00CD41A2"/>
    <w:rsid w:val="00CD6F66"/>
    <w:rsid w:val="00CE1499"/>
    <w:rsid w:val="00CE207E"/>
    <w:rsid w:val="00CE36A7"/>
    <w:rsid w:val="00CE3759"/>
    <w:rsid w:val="00CE4844"/>
    <w:rsid w:val="00CE7CB0"/>
    <w:rsid w:val="00D02B63"/>
    <w:rsid w:val="00D03E0F"/>
    <w:rsid w:val="00D04EDD"/>
    <w:rsid w:val="00D075B5"/>
    <w:rsid w:val="00D11975"/>
    <w:rsid w:val="00D167D9"/>
    <w:rsid w:val="00D22ADC"/>
    <w:rsid w:val="00D274B8"/>
    <w:rsid w:val="00D3631A"/>
    <w:rsid w:val="00D401C9"/>
    <w:rsid w:val="00D41931"/>
    <w:rsid w:val="00D511DB"/>
    <w:rsid w:val="00D52432"/>
    <w:rsid w:val="00D56CA0"/>
    <w:rsid w:val="00D66333"/>
    <w:rsid w:val="00D673B5"/>
    <w:rsid w:val="00D81D93"/>
    <w:rsid w:val="00D84EDF"/>
    <w:rsid w:val="00D90F04"/>
    <w:rsid w:val="00DA0FF4"/>
    <w:rsid w:val="00DA2E06"/>
    <w:rsid w:val="00DB1AF0"/>
    <w:rsid w:val="00DB1B0A"/>
    <w:rsid w:val="00DB7313"/>
    <w:rsid w:val="00DB7C96"/>
    <w:rsid w:val="00DC2025"/>
    <w:rsid w:val="00DC5A96"/>
    <w:rsid w:val="00DD1915"/>
    <w:rsid w:val="00DD1F7C"/>
    <w:rsid w:val="00DD603C"/>
    <w:rsid w:val="00DD7DA6"/>
    <w:rsid w:val="00DE1F57"/>
    <w:rsid w:val="00DE564B"/>
    <w:rsid w:val="00DF1722"/>
    <w:rsid w:val="00DF3ECA"/>
    <w:rsid w:val="00DF4F33"/>
    <w:rsid w:val="00DF505F"/>
    <w:rsid w:val="00E018CC"/>
    <w:rsid w:val="00E038AA"/>
    <w:rsid w:val="00E16393"/>
    <w:rsid w:val="00E23899"/>
    <w:rsid w:val="00E27D78"/>
    <w:rsid w:val="00E32DD0"/>
    <w:rsid w:val="00E357DE"/>
    <w:rsid w:val="00E41DE5"/>
    <w:rsid w:val="00E42A97"/>
    <w:rsid w:val="00E4718E"/>
    <w:rsid w:val="00E50C5F"/>
    <w:rsid w:val="00E55C83"/>
    <w:rsid w:val="00E564E0"/>
    <w:rsid w:val="00E60F37"/>
    <w:rsid w:val="00E70EED"/>
    <w:rsid w:val="00E75B77"/>
    <w:rsid w:val="00E820A7"/>
    <w:rsid w:val="00E85EDF"/>
    <w:rsid w:val="00E8666E"/>
    <w:rsid w:val="00E9198D"/>
    <w:rsid w:val="00E92365"/>
    <w:rsid w:val="00E9376C"/>
    <w:rsid w:val="00E975C5"/>
    <w:rsid w:val="00EA03AA"/>
    <w:rsid w:val="00EA5A7C"/>
    <w:rsid w:val="00EA62D1"/>
    <w:rsid w:val="00EB48F5"/>
    <w:rsid w:val="00EB5F02"/>
    <w:rsid w:val="00EC7988"/>
    <w:rsid w:val="00ED0C58"/>
    <w:rsid w:val="00ED317F"/>
    <w:rsid w:val="00ED4815"/>
    <w:rsid w:val="00ED55A6"/>
    <w:rsid w:val="00ED7611"/>
    <w:rsid w:val="00EE1041"/>
    <w:rsid w:val="00EE2E76"/>
    <w:rsid w:val="00EE7FA9"/>
    <w:rsid w:val="00EF0E84"/>
    <w:rsid w:val="00EF4675"/>
    <w:rsid w:val="00EF6646"/>
    <w:rsid w:val="00EF6F97"/>
    <w:rsid w:val="00F03133"/>
    <w:rsid w:val="00F11648"/>
    <w:rsid w:val="00F13405"/>
    <w:rsid w:val="00F13C23"/>
    <w:rsid w:val="00F16738"/>
    <w:rsid w:val="00F174BE"/>
    <w:rsid w:val="00F178A6"/>
    <w:rsid w:val="00F208C8"/>
    <w:rsid w:val="00F23297"/>
    <w:rsid w:val="00F24B74"/>
    <w:rsid w:val="00F27151"/>
    <w:rsid w:val="00F304A0"/>
    <w:rsid w:val="00F316B4"/>
    <w:rsid w:val="00F359E9"/>
    <w:rsid w:val="00F36B34"/>
    <w:rsid w:val="00F374E1"/>
    <w:rsid w:val="00F37A40"/>
    <w:rsid w:val="00F41ED7"/>
    <w:rsid w:val="00F43BDC"/>
    <w:rsid w:val="00F62240"/>
    <w:rsid w:val="00F64EA5"/>
    <w:rsid w:val="00F750AE"/>
    <w:rsid w:val="00F7541C"/>
    <w:rsid w:val="00F804CC"/>
    <w:rsid w:val="00F80965"/>
    <w:rsid w:val="00F80B6A"/>
    <w:rsid w:val="00F83073"/>
    <w:rsid w:val="00F91DB5"/>
    <w:rsid w:val="00F946C7"/>
    <w:rsid w:val="00FB41E0"/>
    <w:rsid w:val="00FB4835"/>
    <w:rsid w:val="00FB6CC4"/>
    <w:rsid w:val="00FB7BDC"/>
    <w:rsid w:val="00FC0E66"/>
    <w:rsid w:val="00FC3989"/>
    <w:rsid w:val="00FD41F2"/>
    <w:rsid w:val="00FE5729"/>
    <w:rsid w:val="00FE5CBD"/>
    <w:rsid w:val="00FE5CED"/>
    <w:rsid w:val="00FF3A79"/>
    <w:rsid w:val="00FF3F72"/>
    <w:rsid w:val="00FF52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CD4161"/>
  <w15:docId w15:val="{DEC0EDEC-8F86-4B4D-8E40-D56FCA81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1A2"/>
    <w:rPr>
      <w:rFonts w:ascii="Times New Roman" w:hAnsi="Times New Roman"/>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sz w:val="22"/>
    </w:rPr>
  </w:style>
  <w:style w:type="paragraph" w:styleId="BodyTextIndent">
    <w:name w:val="Body Text Indent"/>
    <w:basedOn w:val="Normal"/>
    <w:rsid w:val="00213992"/>
    <w:pPr>
      <w:spacing w:line="480" w:lineRule="atLeast"/>
      <w:ind w:left="360" w:hanging="360"/>
    </w:pPr>
    <w:rPr>
      <w:rFonts w:ascii="Times" w:hAnsi="Times"/>
      <w:sz w:val="22"/>
    </w:rPr>
  </w:style>
  <w:style w:type="paragraph" w:styleId="BodyText2">
    <w:name w:val="Body Text 2"/>
    <w:basedOn w:val="Normal"/>
    <w:rsid w:val="00213992"/>
    <w:pPr>
      <w:spacing w:line="480" w:lineRule="auto"/>
      <w:ind w:right="-354"/>
    </w:pPr>
  </w:style>
  <w:style w:type="paragraph" w:styleId="BodyText3">
    <w:name w:val="Body Text 3"/>
    <w:basedOn w:val="Normal"/>
    <w:rsid w:val="00213992"/>
    <w:pPr>
      <w:tabs>
        <w:tab w:val="left" w:pos="0"/>
      </w:tabs>
      <w:spacing w:line="480" w:lineRule="auto"/>
      <w:ind w:right="-444"/>
    </w:pPr>
  </w:style>
  <w:style w:type="paragraph" w:styleId="BodyTextIndent2">
    <w:name w:val="Body Text Indent 2"/>
    <w:basedOn w:val="Normal"/>
    <w:rsid w:val="00213992"/>
    <w:pPr>
      <w:tabs>
        <w:tab w:val="left" w:pos="540"/>
      </w:tabs>
      <w:spacing w:line="480" w:lineRule="auto"/>
      <w:ind w:left="540" w:hanging="630"/>
    </w:pPr>
  </w:style>
  <w:style w:type="paragraph" w:styleId="BodyTextIndent3">
    <w:name w:val="Body Text Indent 3"/>
    <w:basedOn w:val="Normal"/>
    <w:rsid w:val="00213992"/>
    <w:pPr>
      <w:spacing w:line="480" w:lineRule="auto"/>
      <w:ind w:right="-354" w:firstLine="540"/>
    </w:p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nhideWhenUsed/>
    <w:rsid w:val="00202FD8"/>
    <w:rPr>
      <w:sz w:val="16"/>
      <w:szCs w:val="16"/>
    </w:rPr>
  </w:style>
  <w:style w:type="paragraph" w:styleId="CommentText">
    <w:name w:val="annotation text"/>
    <w:basedOn w:val="Normal"/>
    <w:link w:val="CommentTextChar"/>
    <w:unhideWhenUsed/>
    <w:rsid w:val="00202FD8"/>
  </w:style>
  <w:style w:type="character" w:customStyle="1" w:styleId="CommentTextChar">
    <w:name w:val="Comment Text Char"/>
    <w:basedOn w:val="DefaultParagraphFont"/>
    <w:link w:val="CommentText"/>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CD41A2"/>
    <w:rPr>
      <w:sz w:val="20"/>
    </w:rPr>
  </w:style>
  <w:style w:type="character" w:customStyle="1" w:styleId="FootnoteTextChar">
    <w:name w:val="Footnote Text Char"/>
    <w:basedOn w:val="DefaultParagraphFont"/>
    <w:link w:val="FootnoteText"/>
    <w:uiPriority w:val="99"/>
    <w:semiHidden/>
    <w:rsid w:val="00CD41A2"/>
    <w:rPr>
      <w:rFonts w:ascii="Times New Roman" w:hAnsi="Times New Roman"/>
    </w:rPr>
  </w:style>
  <w:style w:type="character" w:styleId="FootnoteReference">
    <w:name w:val="footnote reference"/>
    <w:basedOn w:val="DefaultParagraphFont"/>
    <w:unhideWhenUsed/>
    <w:rsid w:val="00CD41A2"/>
    <w:rPr>
      <w:rFonts w:ascii="Times New Roman" w:hAnsi="Times New Roman" w:cs="Times New Roman"/>
      <w:sz w:val="20"/>
      <w:vertAlign w:val="superscript"/>
    </w:rPr>
  </w:style>
  <w:style w:type="table" w:styleId="TableGrid">
    <w:name w:val="Table Grid"/>
    <w:basedOn w:val="TableNormal"/>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basedOn w:val="FootnoteReference"/>
    <w:rsid w:val="00C62F73"/>
    <w:rPr>
      <w:rFonts w:ascii="Times New Roman" w:hAnsi="Times New Roman" w:cs="Times New Roman"/>
      <w:sz w:val="20"/>
      <w:vertAlign w:val="superscript"/>
    </w:rPr>
  </w:style>
  <w:style w:type="paragraph" w:styleId="ListParagraph">
    <w:name w:val="List Paragraph"/>
    <w:basedOn w:val="Normal"/>
    <w:uiPriority w:val="34"/>
    <w:qFormat/>
    <w:rsid w:val="006F0B90"/>
    <w:pPr>
      <w:ind w:left="720"/>
      <w:contextualSpacing/>
    </w:pPr>
  </w:style>
  <w:style w:type="character" w:styleId="UnresolvedMention">
    <w:name w:val="Unresolved Mention"/>
    <w:basedOn w:val="DefaultParagraphFont"/>
    <w:uiPriority w:val="99"/>
    <w:semiHidden/>
    <w:unhideWhenUsed/>
    <w:rsid w:val="007A6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1381D-F4E3-407F-9318-1DD2C1E0A2BF}">
  <ds:schemaRefs>
    <ds:schemaRef ds:uri="http://schemas.openxmlformats.org/officeDocument/2006/bibliography"/>
  </ds:schemaRefs>
</ds:datastoreItem>
</file>

<file path=customXml/itemProps2.xml><?xml version="1.0" encoding="utf-8"?>
<ds:datastoreItem xmlns:ds="http://schemas.openxmlformats.org/officeDocument/2006/customXml" ds:itemID="{6B3D3A42-E3BF-4605-B184-16661A6B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054CA-5104-47FD-AA41-EFB39C04D49A}">
  <ds:schemaRef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c2287735-bcfa-44b1-b621-4f7c9c60dacc"/>
    <ds:schemaRef ds:uri="http://purl.org/dc/elements/1.1/"/>
  </ds:schemaRefs>
</ds:datastoreItem>
</file>

<file path=customXml/itemProps4.xml><?xml version="1.0" encoding="utf-8"?>
<ds:datastoreItem xmlns:ds="http://schemas.openxmlformats.org/officeDocument/2006/customXml" ds:itemID="{30B20E67-E02E-4DDC-AE64-7827099FC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Alana.J.Moore@dea.gov</dc:creator>
  <cp:lastModifiedBy>Moore, Alana J</cp:lastModifiedBy>
  <cp:revision>2</cp:revision>
  <cp:lastPrinted>2016-06-22T12:45:00Z</cp:lastPrinted>
  <dcterms:created xsi:type="dcterms:W3CDTF">2025-09-15T15:34:00Z</dcterms:created>
  <dcterms:modified xsi:type="dcterms:W3CDTF">2025-09-15T15:34:00Z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