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P="008F570D" w14:paraId="2D2824CA" w14:textId="7DAF5DE6">
      <w:pPr>
        <w:pStyle w:val="ReportCover-Title"/>
        <w:jc w:val="center"/>
        <w:rPr>
          <w:rFonts w:ascii="Arial" w:eastAsia="Arial Unicode MS" w:hAnsi="Arial" w:cs="Arial"/>
          <w:noProof/>
          <w:color w:val="auto"/>
        </w:rPr>
      </w:pPr>
      <w:r>
        <w:rPr>
          <w:rFonts w:ascii="Arial" w:eastAsia="Arial Unicode MS" w:hAnsi="Arial" w:cs="Arial"/>
          <w:noProof/>
          <w:color w:val="auto"/>
        </w:rPr>
        <w:t>Office of Refugee Resettlement (ORR)</w:t>
      </w:r>
    </w:p>
    <w:p w:rsidR="00FA43B1" w:rsidP="008F570D" w14:paraId="102EC704" w14:textId="66DB1A0B">
      <w:pPr>
        <w:pStyle w:val="ReportCover-Title"/>
        <w:jc w:val="center"/>
        <w:rPr>
          <w:rFonts w:ascii="Arial" w:eastAsia="Arial Unicode MS" w:hAnsi="Arial" w:cs="Arial"/>
          <w:noProof/>
          <w:color w:val="auto"/>
        </w:rPr>
      </w:pPr>
      <w:r>
        <w:rPr>
          <w:rFonts w:ascii="Arial" w:eastAsia="Arial Unicode MS" w:hAnsi="Arial" w:cs="Arial"/>
          <w:noProof/>
          <w:color w:val="auto"/>
        </w:rPr>
        <w:t>Unaccompanied Children Bureau</w:t>
      </w:r>
    </w:p>
    <w:p w:rsidR="00FA43B1" w:rsidP="008F570D" w14:paraId="684DEED5" w14:textId="5D2DFF6D">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Policy Evaluation </w:t>
      </w:r>
    </w:p>
    <w:p w:rsidR="00FA43B1" w:rsidRPr="002C4F75" w:rsidP="008F570D" w14:paraId="04A360F5" w14:textId="4825C15E">
      <w:pPr>
        <w:pStyle w:val="ReportCover-Title"/>
        <w:jc w:val="center"/>
        <w:rPr>
          <w:rFonts w:ascii="Arial" w:eastAsia="Arial Unicode MS" w:hAnsi="Arial" w:cs="Arial"/>
          <w:color w:val="auto"/>
        </w:rPr>
      </w:pPr>
      <w:r>
        <w:rPr>
          <w:rFonts w:ascii="Arial" w:eastAsia="Arial Unicode MS" w:hAnsi="Arial" w:cs="Arial"/>
          <w:noProof/>
          <w:color w:val="auto"/>
        </w:rPr>
        <w:t xml:space="preserve">Focus Groups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2DFAA6E4">
      <w:pPr>
        <w:pStyle w:val="ReportCover-Date"/>
        <w:jc w:val="center"/>
        <w:rPr>
          <w:rFonts w:ascii="Arial" w:hAnsi="Arial" w:cs="Arial"/>
          <w:color w:val="auto"/>
        </w:rPr>
      </w:pPr>
      <w:r>
        <w:rPr>
          <w:rFonts w:ascii="Arial" w:hAnsi="Arial" w:cs="Arial"/>
          <w:color w:val="auto"/>
        </w:rPr>
        <w:t>January</w:t>
      </w:r>
      <w:r w:rsidR="00FA43B1">
        <w:rPr>
          <w:rFonts w:ascii="Arial" w:hAnsi="Arial" w:cs="Arial"/>
          <w:color w:val="auto"/>
        </w:rPr>
        <w:t xml:space="preserve"> 202</w:t>
      </w:r>
      <w:r>
        <w:rPr>
          <w:rFonts w:ascii="Arial" w:hAnsi="Arial" w:cs="Arial"/>
          <w:color w:val="auto"/>
        </w:rPr>
        <w:t>5</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66E6ADA4">
      <w:pPr>
        <w:jc w:val="center"/>
        <w:rPr>
          <w:rFonts w:ascii="Arial" w:hAnsi="Arial" w:cs="Arial"/>
        </w:rPr>
      </w:pPr>
      <w:r>
        <w:rPr>
          <w:rFonts w:ascii="Arial" w:hAnsi="Arial" w:cs="Arial"/>
        </w:rPr>
        <w:t>Office of Refugee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1F681B96">
      <w:pPr>
        <w:jc w:val="center"/>
        <w:rPr>
          <w:rFonts w:ascii="Arial" w:hAnsi="Arial" w:cs="Arial"/>
        </w:rPr>
      </w:pPr>
      <w:r>
        <w:rPr>
          <w:rFonts w:ascii="Arial" w:hAnsi="Arial" w:cs="Arial"/>
        </w:rPr>
        <w:t>5th</w:t>
      </w:r>
      <w:r w:rsidRPr="002C4F75">
        <w:rPr>
          <w:rFonts w:ascii="Arial" w:hAnsi="Arial" w:cs="Arial"/>
        </w:rPr>
        <w:t xml:space="preserve"> Floor, </w:t>
      </w:r>
      <w:r w:rsidR="00436F5E">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14719D" w:rsidP="008F570D" w14:paraId="63932BF7" w14:textId="3B3CEA54">
      <w:pPr>
        <w:spacing w:after="120"/>
        <w:rPr>
          <w:b/>
        </w:rPr>
      </w:pPr>
      <w:r w:rsidRPr="0014719D">
        <w:rPr>
          <w:b/>
        </w:rPr>
        <w:t xml:space="preserve">A1. </w:t>
      </w:r>
      <w:r w:rsidRPr="0014719D">
        <w:rPr>
          <w:b/>
        </w:rPr>
        <w:t>Necessity for the Data Collection</w:t>
      </w:r>
    </w:p>
    <w:p w:rsidR="00984CA2" w:rsidRPr="0014719D" w:rsidP="008F570D" w14:paraId="516D2FC4" w14:textId="21E663BC">
      <w:r>
        <w:t xml:space="preserve">The Administration for Children and Families (ACF) at the U.S. Department of Health and Human Services (HHS) seeks approval </w:t>
      </w:r>
      <w:r w:rsidR="00FA43B1">
        <w:t>to gather qualitative information</w:t>
      </w:r>
      <w:r w:rsidR="00306596">
        <w:t xml:space="preserve"> through </w:t>
      </w:r>
      <w:r w:rsidR="00FA43B1">
        <w:t>a series of focus groups and surveys with Office of Refugee Resettlement (ORR) Unaccompanied Children (UC) Bureau care provider staff</w:t>
      </w:r>
      <w:r w:rsidR="00306596">
        <w:t xml:space="preserve"> to understand their experiences with the implementation of certain UC Bureau policies and procedures and to gather feedback about how certain policies and policies influence the care providers and those they serve. </w:t>
      </w:r>
    </w:p>
    <w:p w:rsidR="00984BBF" w:rsidRPr="0014719D" w:rsidP="008F570D" w14:paraId="32F118BE" w14:textId="77777777">
      <w:pPr>
        <w:rPr>
          <w:highlight w:val="yellow"/>
        </w:rPr>
      </w:pPr>
    </w:p>
    <w:p w:rsidR="008F570D" w:rsidRPr="0014719D" w:rsidP="380D1767" w14:paraId="0CBB58A8" w14:textId="4F691A38">
      <w:pPr>
        <w:pStyle w:val="Heading4"/>
        <w:tabs>
          <w:tab w:val="num" w:pos="180"/>
        </w:tabs>
        <w:spacing w:before="0" w:line="264" w:lineRule="auto"/>
        <w:rPr>
          <w:rFonts w:ascii="Times New Roman" w:hAnsi="Times New Roman"/>
          <w:i/>
          <w:sz w:val="24"/>
          <w:szCs w:val="24"/>
        </w:rPr>
      </w:pPr>
      <w:r w:rsidRPr="0014719D">
        <w:rPr>
          <w:rFonts w:ascii="Times New Roman" w:hAnsi="Times New Roman"/>
          <w:i/>
          <w:sz w:val="24"/>
          <w:szCs w:val="24"/>
        </w:rPr>
        <w:t xml:space="preserve">Background </w:t>
      </w:r>
    </w:p>
    <w:p w:rsidR="00FA43B1" w:rsidRPr="0014719D" w:rsidP="00FA43B1" w14:paraId="681CA628" w14:textId="0081727D">
      <w:r>
        <w:t xml:space="preserve">The </w:t>
      </w:r>
      <w:r>
        <w:t xml:space="preserve">ORR UC Bureau Division of UC Policy </w:t>
      </w:r>
      <w:r w:rsidR="002A2B20">
        <w:t>addresses</w:t>
      </w:r>
      <w:r>
        <w:t xml:space="preserve"> </w:t>
      </w:r>
      <w:r w:rsidR="00FD52E5">
        <w:t>both</w:t>
      </w:r>
      <w:r>
        <w:t xml:space="preserve"> legal mandates</w:t>
      </w:r>
      <w:r w:rsidR="001B6DE1">
        <w:t xml:space="preserve"> and</w:t>
      </w:r>
      <w:r w:rsidR="001A413D">
        <w:t xml:space="preserve"> </w:t>
      </w:r>
      <w:r w:rsidR="002A2B20">
        <w:t>child welfare best practices when updating the UC Policy Guide, UC M</w:t>
      </w:r>
      <w:r w:rsidR="79385934">
        <w:t>anual of Procedures (UC M</w:t>
      </w:r>
      <w:r w:rsidR="002A2B20">
        <w:t>AP</w:t>
      </w:r>
      <w:r w:rsidR="45A779AC">
        <w:t>),</w:t>
      </w:r>
      <w:r w:rsidR="002A2B20">
        <w:t xml:space="preserve"> Field Guidance</w:t>
      </w:r>
      <w:r w:rsidR="004E0D65">
        <w:t xml:space="preserve"> (FG)</w:t>
      </w:r>
      <w:r w:rsidR="002A2B20">
        <w:t xml:space="preserve"> and notices that care providers</w:t>
      </w:r>
      <w:r w:rsidR="001B6DE1">
        <w:t xml:space="preserve"> are required</w:t>
      </w:r>
      <w:r w:rsidR="002A2B20">
        <w:t xml:space="preserve"> to implement.  </w:t>
      </w:r>
      <w:r w:rsidR="00EE116F">
        <w:t>The ORR UC Bureau Policy Evaluation Workgroup evaluate</w:t>
      </w:r>
      <w:r w:rsidR="001B6DE1">
        <w:t>s</w:t>
      </w:r>
      <w:r w:rsidR="00EE116F">
        <w:t xml:space="preserve"> policies and procedures</w:t>
      </w:r>
      <w:r w:rsidR="001B6DE1">
        <w:t xml:space="preserve"> to determine their </w:t>
      </w:r>
      <w:r w:rsidR="7DEC1D7A">
        <w:t xml:space="preserve">proper implementation and </w:t>
      </w:r>
      <w:r w:rsidR="001B6DE1">
        <w:t>alignment with the needs</w:t>
      </w:r>
      <w:r w:rsidR="23EFE0B1">
        <w:t xml:space="preserve"> of the Bureau and appropriate application of child welfare </w:t>
      </w:r>
      <w:r w:rsidR="2DA6DD8D">
        <w:t xml:space="preserve">best </w:t>
      </w:r>
      <w:r w:rsidR="23EFE0B1">
        <w:t>practices</w:t>
      </w:r>
      <w:r w:rsidR="75CE5D94">
        <w:t>.</w:t>
      </w:r>
      <w:r w:rsidR="00EE116F">
        <w:t xml:space="preserve">  </w:t>
      </w:r>
      <w:r w:rsidR="002A2B20">
        <w:t xml:space="preserve">Policy evaluation is a method </w:t>
      </w:r>
      <w:r w:rsidR="00D53980">
        <w:t>used by the</w:t>
      </w:r>
      <w:r w:rsidR="002A2B20">
        <w:t xml:space="preserve"> ORR UC Bureau to </w:t>
      </w:r>
      <w:r w:rsidR="00304C83">
        <w:t>guide continuous quality improvements</w:t>
      </w:r>
      <w:r>
        <w:t xml:space="preserve">.  </w:t>
      </w:r>
    </w:p>
    <w:p w:rsidR="008F570D" w:rsidRPr="0014719D" w:rsidP="380D1767" w14:paraId="10A288D7" w14:textId="77777777">
      <w:pPr>
        <w:pStyle w:val="Heading4"/>
        <w:tabs>
          <w:tab w:val="num" w:pos="180"/>
        </w:tabs>
        <w:spacing w:before="0" w:after="0" w:line="264" w:lineRule="auto"/>
        <w:rPr>
          <w:rFonts w:ascii="Times New Roman" w:hAnsi="Times New Roman"/>
          <w:i/>
          <w:sz w:val="24"/>
          <w:szCs w:val="24"/>
        </w:rPr>
      </w:pPr>
    </w:p>
    <w:p w:rsidR="00984CA2" w:rsidRPr="0014719D" w:rsidP="380D1767" w14:paraId="742B4ABD" w14:textId="0A44E8C5">
      <w:pPr>
        <w:pStyle w:val="Heading4"/>
        <w:tabs>
          <w:tab w:val="num" w:pos="180"/>
        </w:tabs>
        <w:spacing w:before="0" w:line="264" w:lineRule="auto"/>
        <w:rPr>
          <w:rFonts w:ascii="Times New Roman" w:hAnsi="Times New Roman"/>
          <w:i/>
          <w:sz w:val="24"/>
          <w:szCs w:val="24"/>
        </w:rPr>
      </w:pPr>
      <w:r w:rsidRPr="0014719D">
        <w:rPr>
          <w:rFonts w:ascii="Times New Roman" w:hAnsi="Times New Roman"/>
          <w:i/>
          <w:sz w:val="24"/>
          <w:szCs w:val="24"/>
        </w:rPr>
        <w:t xml:space="preserve">Legal or Administrative Requirements that Necessitate the Collection </w:t>
      </w:r>
    </w:p>
    <w:p w:rsidR="00EA12DE" w:rsidRPr="0014719D" w:rsidP="008F570D" w14:paraId="3BDF35B0" w14:textId="78B74A94">
      <w:r>
        <w:t>There are no legal or administrative requirements that necessitate the collection. ACF is undertaking the collection at the discretion of the agency</w:t>
      </w:r>
      <w:r w:rsidR="002A2B20">
        <w:t xml:space="preserve"> following evaluation methods of qualitative data collection.</w:t>
      </w:r>
    </w:p>
    <w:p w:rsidR="00D90EF6" w:rsidRPr="0014719D" w:rsidP="008F570D" w14:paraId="210B83EF" w14:textId="77777777"/>
    <w:p w:rsidR="00945CD6" w:rsidRPr="0014719D" w:rsidP="008F570D" w14:paraId="617B0354" w14:textId="77777777">
      <w:pPr>
        <w:spacing w:after="120"/>
        <w:rPr>
          <w:b/>
        </w:rPr>
      </w:pPr>
      <w:r w:rsidRPr="0014719D">
        <w:rPr>
          <w:b/>
        </w:rPr>
        <w:t xml:space="preserve">A2. </w:t>
      </w:r>
      <w:r w:rsidRPr="0014719D">
        <w:rPr>
          <w:b/>
        </w:rPr>
        <w:t>Purpose of Survey and Data Collection Procedures</w:t>
      </w:r>
    </w:p>
    <w:p w:rsidR="008F570D" w:rsidRPr="0014719D" w:rsidP="008F570D" w14:paraId="24636DF8" w14:textId="77777777">
      <w:pPr>
        <w:spacing w:after="60"/>
        <w:rPr>
          <w:b/>
          <w:i/>
        </w:rPr>
      </w:pPr>
      <w:r w:rsidRPr="0014719D">
        <w:rPr>
          <w:b/>
          <w:i/>
        </w:rPr>
        <w:t xml:space="preserve">Overview of Purpose and </w:t>
      </w:r>
      <w:r w:rsidRPr="0014719D">
        <w:rPr>
          <w:b/>
          <w:i/>
        </w:rPr>
        <w:t>Use</w:t>
      </w:r>
    </w:p>
    <w:p w:rsidR="00A3724C" w:rsidRPr="0014719D" w:rsidP="00CA27D2" w14:paraId="41AFBBD4" w14:textId="4A691F9A">
      <w:pPr>
        <w:rPr>
          <w:b/>
        </w:rPr>
      </w:pPr>
      <w:r>
        <w:t xml:space="preserve">This proposed information collection is to gather qualitative data and feedback from ORR UC Bureau care providers as an evaluation method about certain policies and procedures published in the UC Policy Guide, UC MAP, and </w:t>
      </w:r>
      <w:r w:rsidR="004350B1">
        <w:t>FG</w:t>
      </w:r>
      <w:r>
        <w:t xml:space="preserve">.  Certain updated policies and procedures are based on child welfare best practices with the goal of improving services and outcome for the children in ORR care.  The Division of UC Policy </w:t>
      </w:r>
      <w:r w:rsidR="0014719D">
        <w:t>plans to</w:t>
      </w:r>
      <w:r>
        <w:t xml:space="preserve"> use </w:t>
      </w:r>
      <w:r w:rsidR="0014719D">
        <w:t>the care provider feedback</w:t>
      </w:r>
      <w:r>
        <w:t xml:space="preserve"> to gain an understanding of challenges and successes in implement</w:t>
      </w:r>
      <w:r w:rsidR="00A77C77">
        <w:t>ation</w:t>
      </w:r>
      <w:r w:rsidR="3C353CA8">
        <w:t>.</w:t>
      </w:r>
      <w:r>
        <w:t xml:space="preserve">  </w:t>
      </w:r>
      <w:r w:rsidR="0014719D">
        <w:t xml:space="preserve">The study team will produce </w:t>
      </w:r>
      <w:r w:rsidRPr="0014719D" w:rsidR="0014719D">
        <w:t xml:space="preserve">an internal white paper based </w:t>
      </w:r>
      <w:r w:rsidRPr="0014719D" w:rsidR="00AC53A6">
        <w:t>off</w:t>
      </w:r>
      <w:r w:rsidRPr="0014719D" w:rsidR="0014719D">
        <w:t xml:space="preserve"> the analysis of feedback for ORR leadership, Division of UC Policy, and other ORR teams with recommendations for training and technical assistance support to ORR care providers.</w:t>
      </w:r>
    </w:p>
    <w:p w:rsidR="00A3724C" w:rsidRPr="0014719D" w:rsidP="00CA27D2" w14:paraId="03B825A2" w14:textId="0E6951AE">
      <w:pPr>
        <w:spacing w:line="264" w:lineRule="auto"/>
      </w:pPr>
    </w:p>
    <w:p w:rsidR="00D964BC" w:rsidRPr="0014719D" w:rsidP="380D1767" w14:paraId="6F5CF4FF" w14:textId="340DBAB6">
      <w:pPr>
        <w:pStyle w:val="Heading4"/>
        <w:spacing w:before="0" w:line="264" w:lineRule="auto"/>
        <w:rPr>
          <w:rFonts w:ascii="Times New Roman" w:hAnsi="Times New Roman"/>
          <w:b w:val="0"/>
          <w:sz w:val="24"/>
          <w:szCs w:val="24"/>
        </w:rPr>
      </w:pPr>
      <w:r w:rsidRPr="380D1767">
        <w:rPr>
          <w:rFonts w:ascii="Times New Roman" w:hAnsi="Times New Roman"/>
          <w:b w:val="0"/>
          <w:sz w:val="24"/>
          <w:szCs w:val="24"/>
        </w:rPr>
        <w:t>This proposed information collection meets the following goals of ACF’s generic clearance for formative data collections for program support (0970-0531)</w:t>
      </w:r>
      <w:r w:rsidRPr="380D1767" w:rsidR="00A3724C">
        <w:rPr>
          <w:rFonts w:ascii="Times New Roman" w:hAnsi="Times New Roman"/>
          <w:b w:val="0"/>
          <w:sz w:val="24"/>
          <w:szCs w:val="24"/>
        </w:rPr>
        <w:t xml:space="preserve"> and is expected to be used in the following ways</w:t>
      </w:r>
      <w:r w:rsidRPr="380D1767">
        <w:rPr>
          <w:rFonts w:ascii="Times New Roman" w:hAnsi="Times New Roman"/>
          <w:b w:val="0"/>
          <w:sz w:val="24"/>
          <w:szCs w:val="24"/>
        </w:rPr>
        <w:t xml:space="preserve">: </w:t>
      </w:r>
    </w:p>
    <w:p w:rsidR="00A3724C" w:rsidRPr="0014719D" w14:paraId="0CD9C527" w14:textId="4CE07B90">
      <w:pPr>
        <w:pStyle w:val="ListParagraph"/>
        <w:numPr>
          <w:ilvl w:val="0"/>
          <w:numId w:val="18"/>
        </w:numPr>
        <w:ind w:left="720"/>
        <w:rPr>
          <w:sz w:val="24"/>
          <w:szCs w:val="24"/>
        </w:rPr>
      </w:pPr>
      <w:r w:rsidRPr="0014719D">
        <w:rPr>
          <w:sz w:val="24"/>
          <w:szCs w:val="24"/>
        </w:rPr>
        <w:t>Obtaining feedback about processes and/or practices to inform ORR UC Bureau</w:t>
      </w:r>
      <w:r w:rsidRPr="0014719D" w:rsidR="00791BE2">
        <w:rPr>
          <w:sz w:val="24"/>
          <w:szCs w:val="24"/>
        </w:rPr>
        <w:t xml:space="preserve"> Policy Evaluation Workgroup recommendations for policy and/or procedure development</w:t>
      </w:r>
      <w:r w:rsidRPr="380D1767" w:rsidR="58E44760">
        <w:rPr>
          <w:sz w:val="24"/>
          <w:szCs w:val="24"/>
        </w:rPr>
        <w:t>.</w:t>
      </w:r>
      <w:r w:rsidRPr="380D1767" w:rsidR="00791BE2">
        <w:rPr>
          <w:sz w:val="24"/>
          <w:szCs w:val="24"/>
        </w:rPr>
        <w:t xml:space="preserve"> </w:t>
      </w:r>
    </w:p>
    <w:p w:rsidR="00791BE2" w:rsidRPr="0014719D" w14:paraId="782EAF34" w14:textId="0B3CF13F">
      <w:pPr>
        <w:pStyle w:val="ListParagraph"/>
        <w:numPr>
          <w:ilvl w:val="0"/>
          <w:numId w:val="18"/>
        </w:numPr>
        <w:ind w:left="720"/>
        <w:rPr>
          <w:sz w:val="24"/>
          <w:szCs w:val="24"/>
        </w:rPr>
      </w:pPr>
      <w:r w:rsidRPr="0014719D">
        <w:rPr>
          <w:sz w:val="24"/>
          <w:szCs w:val="24"/>
        </w:rPr>
        <w:t>Obtaining feedback about processes and/or practices to inform ORR program development and implementation support</w:t>
      </w:r>
      <w:r w:rsidRPr="380D1767" w:rsidR="1264F796">
        <w:rPr>
          <w:sz w:val="24"/>
          <w:szCs w:val="24"/>
        </w:rPr>
        <w:t>.</w:t>
      </w:r>
    </w:p>
    <w:p w:rsidR="00791BE2" w:rsidRPr="0014719D" w14:paraId="060186FA" w14:textId="4D3F4A1E">
      <w:pPr>
        <w:pStyle w:val="ListParagraph"/>
        <w:numPr>
          <w:ilvl w:val="0"/>
          <w:numId w:val="18"/>
        </w:numPr>
        <w:ind w:left="720"/>
        <w:rPr>
          <w:sz w:val="24"/>
          <w:szCs w:val="24"/>
        </w:rPr>
      </w:pPr>
      <w:r w:rsidRPr="0014719D">
        <w:rPr>
          <w:sz w:val="24"/>
          <w:szCs w:val="24"/>
        </w:rPr>
        <w:t xml:space="preserve">Planning for the provision of programmatic </w:t>
      </w:r>
      <w:r w:rsidRPr="143C215E" w:rsidR="473C95DE">
        <w:rPr>
          <w:sz w:val="24"/>
          <w:szCs w:val="24"/>
        </w:rPr>
        <w:t>training and technical assistance (</w:t>
      </w:r>
      <w:r w:rsidRPr="380D1767">
        <w:rPr>
          <w:sz w:val="24"/>
          <w:szCs w:val="24"/>
        </w:rPr>
        <w:t>T/TA</w:t>
      </w:r>
      <w:r w:rsidRPr="143C215E" w:rsidR="62906886">
        <w:rPr>
          <w:sz w:val="24"/>
          <w:szCs w:val="24"/>
        </w:rPr>
        <w:t>)</w:t>
      </w:r>
      <w:r w:rsidRPr="143C215E" w:rsidR="03D0D2B4">
        <w:rPr>
          <w:sz w:val="24"/>
          <w:szCs w:val="24"/>
        </w:rPr>
        <w:t>.</w:t>
      </w:r>
      <w:r w:rsidRPr="0014719D">
        <w:rPr>
          <w:sz w:val="24"/>
          <w:szCs w:val="24"/>
        </w:rPr>
        <w:t xml:space="preserve">  ORR will use the information obtained to inform decisions about how it can provide related training and technical assistance to the ORR UC Bureau care provider network, as well as foster peer-to-peer learning and sharing of best practices/implementation.</w:t>
      </w:r>
    </w:p>
    <w:p w:rsidR="008F570D" w:rsidRPr="0014719D" w:rsidP="380D1767" w14:paraId="75C799A6" w14:textId="77777777">
      <w:pPr>
        <w:rPr>
          <w:b/>
          <w:i/>
        </w:rPr>
      </w:pPr>
    </w:p>
    <w:p w:rsidR="00984CA2" w:rsidRPr="0014719D" w:rsidP="008F570D" w14:paraId="473B9418" w14:textId="38A9E22B">
      <w:pPr>
        <w:spacing w:after="60"/>
        <w:rPr>
          <w:b/>
          <w:i/>
        </w:rPr>
      </w:pPr>
      <w:r w:rsidRPr="0014719D">
        <w:rPr>
          <w:b/>
          <w:i/>
        </w:rPr>
        <w:t>Process</w:t>
      </w:r>
      <w:r w:rsidRPr="0014719D" w:rsidR="003277CF">
        <w:rPr>
          <w:b/>
          <w:i/>
        </w:rPr>
        <w:t>es</w:t>
      </w:r>
      <w:r w:rsidRPr="0014719D">
        <w:rPr>
          <w:b/>
          <w:i/>
        </w:rPr>
        <w:t xml:space="preserve"> for Information Collection </w:t>
      </w:r>
    </w:p>
    <w:p w:rsidR="0014719D" w:rsidRPr="0014719D" w:rsidP="0014719D" w14:paraId="2555557F" w14:textId="3DEE34E8">
      <w:r>
        <w:t>ORR UC Bureau Policy Evaluation Workgroup</w:t>
      </w:r>
      <w:r w:rsidR="002764DD">
        <w:t xml:space="preserve"> </w:t>
      </w:r>
      <w:r w:rsidR="00EE116F">
        <w:t xml:space="preserve">will conduct a series of focus groups over the next </w:t>
      </w:r>
      <w:r w:rsidR="4C99B709">
        <w:t xml:space="preserve">calendar </w:t>
      </w:r>
      <w:r w:rsidR="00EE116F">
        <w:t>year</w:t>
      </w:r>
      <w:r>
        <w:t>, each focused on a separate policy/procedure</w:t>
      </w:r>
      <w:r w:rsidR="00EE116F">
        <w:t xml:space="preserve">. </w:t>
      </w:r>
      <w:r w:rsidR="002764DD">
        <w:t xml:space="preserve">The plan is to use a </w:t>
      </w:r>
      <w:r w:rsidR="00EE116F">
        <w:t xml:space="preserve">semi-structured focus group protocol with </w:t>
      </w:r>
      <w:r w:rsidR="002764DD">
        <w:t xml:space="preserve">questions that can be adjusted by filling in the policy and/or procedure being evaluated but using the same questions to conduct focus groups.  </w:t>
      </w:r>
      <w:r w:rsidR="00EF0FEB">
        <w:t xml:space="preserve">Each individual will participate in </w:t>
      </w:r>
      <w:r w:rsidR="5E197C58">
        <w:t xml:space="preserve">one focus group each for up to </w:t>
      </w:r>
      <w:r w:rsidR="00EF0FEB">
        <w:t xml:space="preserve">three </w:t>
      </w:r>
      <w:r w:rsidR="5E197C58">
        <w:t>different policy/procedure</w:t>
      </w:r>
      <w:r w:rsidR="00EF0FEB">
        <w:t>.</w:t>
      </w:r>
      <w:r w:rsidR="00644309">
        <w:t xml:space="preserve"> </w:t>
      </w:r>
      <w:r w:rsidR="455591FB">
        <w:t>ORR</w:t>
      </w:r>
      <w:r w:rsidR="3E68F24C">
        <w:t xml:space="preserve"> anticipate</w:t>
      </w:r>
      <w:r w:rsidR="02188EAB">
        <w:t>s</w:t>
      </w:r>
      <w:r w:rsidR="00644309">
        <w:t xml:space="preserve"> hosting eight one-hour focus groups for each of the three topic areas. Focus groups will be organized by respondent type (</w:t>
      </w:r>
      <w:r w:rsidRPr="00462925" w:rsidR="00644309">
        <w:t>two for administrators, two for clinicians, two for case managers, and two for direct care staff</w:t>
      </w:r>
      <w:r w:rsidR="00644309">
        <w:t>)</w:t>
      </w:r>
      <w:r w:rsidRPr="00462925" w:rsidR="00644309">
        <w:t>.</w:t>
      </w:r>
    </w:p>
    <w:p w:rsidR="00EE116F" w:rsidRPr="0014719D" w:rsidP="008F570D" w14:paraId="4DABA2CB" w14:textId="77777777"/>
    <w:p w:rsidR="00D90EF6" w:rsidRPr="0014719D" w:rsidP="380D1767" w14:paraId="352753BD" w14:textId="2C13C938">
      <w:pPr>
        <w:spacing w:after="60"/>
      </w:pPr>
      <w:r>
        <w:t xml:space="preserve">Each focus group process will include ten care provider programs selected to ensure a </w:t>
      </w:r>
      <w:r w:rsidR="00EF0FEB">
        <w:t xml:space="preserve">diverse representation </w:t>
      </w:r>
      <w:r>
        <w:t xml:space="preserve">of the various demographics, capacity sizes, locations, and program types among the care providers.  ORR will ask each of the care providers to make key personnel available </w:t>
      </w:r>
      <w:r w:rsidR="000D44BC">
        <w:t>for the focus groups, including the care provider’s:</w:t>
      </w:r>
    </w:p>
    <w:p w:rsidR="000D44BC" w:rsidRPr="0014719D" w:rsidP="000D44BC" w14:paraId="480259F4" w14:textId="5EE4F358">
      <w:pPr>
        <w:pStyle w:val="ListParagraph"/>
        <w:numPr>
          <w:ilvl w:val="0"/>
          <w:numId w:val="25"/>
        </w:numPr>
        <w:rPr>
          <w:sz w:val="24"/>
          <w:szCs w:val="24"/>
        </w:rPr>
      </w:pPr>
      <w:r w:rsidRPr="380D1767">
        <w:rPr>
          <w:sz w:val="24"/>
          <w:szCs w:val="24"/>
        </w:rPr>
        <w:t>Program Director or Assistant Program Director</w:t>
      </w:r>
    </w:p>
    <w:p w:rsidR="000D44BC" w:rsidRPr="0014719D" w:rsidP="000D44BC" w14:paraId="2AFADA84" w14:textId="5A59EE00">
      <w:pPr>
        <w:pStyle w:val="ListParagraph"/>
        <w:numPr>
          <w:ilvl w:val="0"/>
          <w:numId w:val="25"/>
        </w:numPr>
        <w:rPr>
          <w:sz w:val="24"/>
          <w:szCs w:val="24"/>
        </w:rPr>
      </w:pPr>
      <w:r w:rsidRPr="380D1767">
        <w:rPr>
          <w:sz w:val="24"/>
          <w:szCs w:val="24"/>
        </w:rPr>
        <w:t>Clinician</w:t>
      </w:r>
    </w:p>
    <w:p w:rsidR="000D44BC" w:rsidRPr="0014719D" w:rsidP="000D44BC" w14:paraId="3E401E33" w14:textId="070751DA">
      <w:pPr>
        <w:pStyle w:val="ListParagraph"/>
        <w:numPr>
          <w:ilvl w:val="0"/>
          <w:numId w:val="25"/>
        </w:numPr>
        <w:rPr>
          <w:sz w:val="24"/>
          <w:szCs w:val="24"/>
        </w:rPr>
      </w:pPr>
      <w:r w:rsidRPr="380D1767">
        <w:rPr>
          <w:sz w:val="24"/>
          <w:szCs w:val="24"/>
        </w:rPr>
        <w:t>Case Manager</w:t>
      </w:r>
    </w:p>
    <w:p w:rsidR="000D44BC" w:rsidRPr="0014719D" w:rsidP="000D44BC" w14:paraId="1174B369" w14:textId="3BDDE67F">
      <w:pPr>
        <w:pStyle w:val="ListParagraph"/>
        <w:numPr>
          <w:ilvl w:val="0"/>
          <w:numId w:val="25"/>
        </w:numPr>
        <w:rPr>
          <w:sz w:val="24"/>
          <w:szCs w:val="24"/>
        </w:rPr>
      </w:pPr>
      <w:r w:rsidRPr="18B46793">
        <w:rPr>
          <w:sz w:val="24"/>
          <w:szCs w:val="24"/>
        </w:rPr>
        <w:t xml:space="preserve">Direct Care </w:t>
      </w:r>
      <w:r w:rsidRPr="18B46793">
        <w:rPr>
          <w:sz w:val="24"/>
          <w:szCs w:val="24"/>
        </w:rPr>
        <w:t>Staff Managing the Policy Implementation – possibly Youth Care Worker or Case Aide if not the Clinician or Case Manager as this may vary by care provider.</w:t>
      </w:r>
    </w:p>
    <w:p w:rsidR="000D44BC" w:rsidRPr="0014719D" w:rsidP="000D44BC" w14:paraId="7C801F4D" w14:textId="77777777"/>
    <w:p w:rsidR="000D44BC" w:rsidRPr="0014719D" w:rsidP="000D44BC" w14:paraId="09A2A81F" w14:textId="401AD004">
      <w:r w:rsidRPr="0014719D">
        <w:t xml:space="preserve">The focus group questions will be shared ahead of time so participants may be better prepared to answer the questions asked during the focus group.  </w:t>
      </w:r>
      <w:r w:rsidRPr="0014719D" w:rsidR="00644309">
        <w:t>Focus groups will be facilitated remotely with a notetaker present, and not recorded so participants may feel more comfortable responding.</w:t>
      </w:r>
      <w:r w:rsidR="00644309">
        <w:t xml:space="preserve"> </w:t>
      </w:r>
      <w:r w:rsidRPr="0014719D">
        <w:t xml:space="preserve">Written responses will not be requested nor collected.  </w:t>
      </w:r>
    </w:p>
    <w:p w:rsidR="002338AC" w:rsidRPr="0014719D" w:rsidP="008F570D" w14:paraId="40C43AD9" w14:textId="77777777">
      <w:pPr>
        <w:ind w:left="180"/>
        <w:rPr>
          <w:b/>
          <w:i/>
        </w:rPr>
      </w:pPr>
    </w:p>
    <w:p w:rsidR="00945CD6" w:rsidRPr="0014719D" w:rsidP="008F570D" w14:paraId="49EEF137" w14:textId="77777777">
      <w:pPr>
        <w:spacing w:after="120"/>
        <w:rPr>
          <w:b/>
        </w:rPr>
      </w:pPr>
      <w:r w:rsidRPr="0014719D">
        <w:rPr>
          <w:b/>
        </w:rPr>
        <w:t xml:space="preserve">A3. </w:t>
      </w:r>
      <w:r w:rsidRPr="0014719D">
        <w:rPr>
          <w:b/>
        </w:rPr>
        <w:t>Improved Information Technology to Reduce Burden</w:t>
      </w:r>
    </w:p>
    <w:p w:rsidR="00D90EF6" w:rsidRPr="0014719D" w:rsidP="008F570D" w14:paraId="5934C206" w14:textId="07087078">
      <w:r w:rsidRPr="0014719D">
        <w:t>The focus groups will be conducted virtually using a videocall platform (e.g., Zoom or Microsoft Teams) and an email will be used for communication before and after the sessions.</w:t>
      </w:r>
    </w:p>
    <w:p w:rsidR="005046F0" w:rsidRPr="0014719D" w:rsidP="008F570D" w14:paraId="5804584A" w14:textId="77777777">
      <w:pPr>
        <w:ind w:left="360"/>
      </w:pPr>
    </w:p>
    <w:p w:rsidR="00945CD6" w:rsidRPr="0014719D" w:rsidP="008F570D" w14:paraId="39BBEF3E" w14:textId="77777777">
      <w:pPr>
        <w:spacing w:after="120"/>
        <w:rPr>
          <w:b/>
        </w:rPr>
      </w:pPr>
      <w:r w:rsidRPr="0014719D">
        <w:rPr>
          <w:b/>
        </w:rPr>
        <w:t xml:space="preserve">A4. </w:t>
      </w:r>
      <w:r w:rsidRPr="0014719D">
        <w:rPr>
          <w:b/>
        </w:rPr>
        <w:t>Efforts to Identify Duplication</w:t>
      </w:r>
    </w:p>
    <w:p w:rsidR="00D90EF6" w:rsidRPr="0014719D" w:rsidP="008F570D" w14:paraId="1E23D79E" w14:textId="7E66D52B">
      <w:r w:rsidRPr="0014719D">
        <w:t xml:space="preserve">The information being collected is not </w:t>
      </w:r>
      <w:r w:rsidRPr="0014719D" w:rsidR="009F2D37">
        <w:t>available from other sources.</w:t>
      </w:r>
    </w:p>
    <w:p w:rsidR="005046F0" w:rsidRPr="0014719D" w:rsidP="008F570D" w14:paraId="601390DA" w14:textId="77777777">
      <w:pPr>
        <w:ind w:left="360"/>
      </w:pPr>
    </w:p>
    <w:p w:rsidR="00945CD6" w:rsidRPr="0014719D" w:rsidP="008F570D" w14:paraId="10B90123" w14:textId="77777777">
      <w:pPr>
        <w:spacing w:after="120"/>
        <w:rPr>
          <w:b/>
        </w:rPr>
      </w:pPr>
      <w:r w:rsidRPr="0014719D">
        <w:rPr>
          <w:b/>
        </w:rPr>
        <w:t xml:space="preserve">A5. </w:t>
      </w:r>
      <w:r w:rsidRPr="0014719D">
        <w:rPr>
          <w:b/>
        </w:rPr>
        <w:t>Involvement of Small Organizations</w:t>
      </w:r>
    </w:p>
    <w:p w:rsidR="00D90EF6" w:rsidRPr="0014719D" w:rsidP="008F570D" w14:paraId="12FF1FE5" w14:textId="7BC6A373">
      <w:r w:rsidRPr="0014719D">
        <w:t>No small businesses will be involved with this information collection.</w:t>
      </w:r>
    </w:p>
    <w:p w:rsidR="008C78B4" w:rsidP="008F570D" w14:paraId="6077512E" w14:textId="77777777">
      <w:pPr>
        <w:rPr>
          <w:b/>
        </w:rPr>
      </w:pPr>
    </w:p>
    <w:p w:rsidR="00CA27D2" w:rsidP="008F570D" w14:paraId="49B23DAB" w14:textId="77777777">
      <w:pPr>
        <w:rPr>
          <w:b/>
        </w:rPr>
      </w:pPr>
    </w:p>
    <w:p w:rsidR="00CA27D2" w:rsidRPr="0014719D" w:rsidP="008F570D" w14:paraId="2558E653" w14:textId="77777777">
      <w:pPr>
        <w:rPr>
          <w:b/>
        </w:rPr>
      </w:pPr>
    </w:p>
    <w:p w:rsidR="00945CD6" w:rsidRPr="0014719D" w:rsidP="008F570D" w14:paraId="5C724C5E" w14:textId="77777777">
      <w:pPr>
        <w:spacing w:after="120"/>
        <w:rPr>
          <w:b/>
        </w:rPr>
      </w:pPr>
      <w:r w:rsidRPr="0014719D">
        <w:rPr>
          <w:b/>
        </w:rPr>
        <w:t xml:space="preserve">A6. </w:t>
      </w:r>
      <w:r w:rsidRPr="0014719D">
        <w:rPr>
          <w:b/>
        </w:rPr>
        <w:t>Consequences of Less Frequent Data Collection</w:t>
      </w:r>
    </w:p>
    <w:p w:rsidR="00D90EF6" w:rsidRPr="0014719D" w:rsidP="008F570D" w14:paraId="27E89940" w14:textId="79A5A2A2">
      <w:r w:rsidRPr="0014719D">
        <w:t xml:space="preserve">This is being requested to occur three times over the course of a year as an evaluation method of three different policies and procedures.  </w:t>
      </w:r>
    </w:p>
    <w:p w:rsidR="005046F0" w:rsidRPr="0014719D" w:rsidP="008F570D" w14:paraId="7C36762A" w14:textId="77777777">
      <w:pPr>
        <w:ind w:left="360"/>
      </w:pPr>
    </w:p>
    <w:p w:rsidR="00945CD6" w:rsidRPr="0014719D" w:rsidP="008F570D" w14:paraId="5060136E" w14:textId="77777777">
      <w:pPr>
        <w:spacing w:after="120"/>
        <w:rPr>
          <w:b/>
        </w:rPr>
      </w:pPr>
      <w:r w:rsidRPr="0014719D">
        <w:rPr>
          <w:b/>
        </w:rPr>
        <w:t xml:space="preserve">A7. </w:t>
      </w:r>
      <w:r w:rsidRPr="0014719D">
        <w:rPr>
          <w:b/>
        </w:rPr>
        <w:t>Special Circumstances</w:t>
      </w:r>
    </w:p>
    <w:p w:rsidR="0020382F" w:rsidRPr="00CD01B4" w:rsidP="008F570D" w14:paraId="10D64BA4" w14:textId="77777777">
      <w:r w:rsidRPr="00CD01B4">
        <w:t>There are no special circumstances for the proposed data collection efforts.</w:t>
      </w:r>
    </w:p>
    <w:p w:rsidR="00D90EF6" w:rsidRPr="0014719D" w:rsidP="008F570D" w14:paraId="6156892E" w14:textId="77777777">
      <w:pPr>
        <w:rPr>
          <w:b/>
        </w:rPr>
      </w:pPr>
    </w:p>
    <w:p w:rsidR="00D90EF6" w:rsidRPr="0014719D" w:rsidP="008F570D" w14:paraId="4FD99BC0" w14:textId="77777777">
      <w:pPr>
        <w:spacing w:after="120"/>
        <w:rPr>
          <w:b/>
        </w:rPr>
      </w:pPr>
      <w:r w:rsidRPr="0014719D">
        <w:rPr>
          <w:b/>
        </w:rPr>
        <w:t xml:space="preserve">A8. </w:t>
      </w:r>
      <w:r w:rsidRPr="0014719D" w:rsidR="00945CD6">
        <w:rPr>
          <w:b/>
        </w:rPr>
        <w:t>Federal Register Notice and Consultation</w:t>
      </w:r>
    </w:p>
    <w:p w:rsidR="00B91D97" w:rsidRPr="0014719D" w:rsidP="008F570D" w14:paraId="6A39001F" w14:textId="77777777">
      <w:pPr>
        <w:spacing w:after="60"/>
        <w:rPr>
          <w:b/>
          <w:i/>
        </w:rPr>
      </w:pPr>
      <w:r w:rsidRPr="0014719D">
        <w:rPr>
          <w:b/>
          <w:i/>
        </w:rPr>
        <w:t>Federal Register Notice and Comments</w:t>
      </w:r>
    </w:p>
    <w:p w:rsidR="00204A6A" w:rsidRPr="0014719D" w:rsidP="00204A6A" w14:paraId="357FFC06" w14:textId="77777777">
      <w:r w:rsidRPr="0014719D">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14719D" w:rsidP="008F570D" w14:paraId="21E62C00" w14:textId="72CBF5B8">
      <w:pPr>
        <w:pStyle w:val="Heading4"/>
        <w:rPr>
          <w:rFonts w:ascii="Times New Roman" w:hAnsi="Times New Roman"/>
          <w:i/>
          <w:sz w:val="24"/>
          <w:szCs w:val="24"/>
        </w:rPr>
      </w:pPr>
      <w:r w:rsidRPr="0014719D">
        <w:rPr>
          <w:rFonts w:ascii="Times New Roman" w:hAnsi="Times New Roman"/>
          <w:i/>
          <w:sz w:val="24"/>
          <w:szCs w:val="24"/>
        </w:rPr>
        <w:t xml:space="preserve">Consultation with </w:t>
      </w:r>
      <w:r w:rsidRPr="0014719D" w:rsidR="008F570D">
        <w:rPr>
          <w:rFonts w:ascii="Times New Roman" w:hAnsi="Times New Roman"/>
          <w:i/>
          <w:sz w:val="24"/>
          <w:szCs w:val="24"/>
        </w:rPr>
        <w:t xml:space="preserve">Outside </w:t>
      </w:r>
      <w:r w:rsidRPr="0014719D">
        <w:rPr>
          <w:rFonts w:ascii="Times New Roman" w:hAnsi="Times New Roman"/>
          <w:i/>
          <w:sz w:val="24"/>
          <w:szCs w:val="24"/>
        </w:rPr>
        <w:t>Experts</w:t>
      </w:r>
    </w:p>
    <w:p w:rsidR="00436F5E" w:rsidRPr="0014719D" w:rsidP="008F570D" w14:paraId="3262E2E8" w14:textId="5A21DAA1">
      <w:r w:rsidRPr="0014719D">
        <w:t xml:space="preserve">No consultations have taken place with experts outside of the </w:t>
      </w:r>
      <w:r w:rsidRPr="0014719D" w:rsidR="009927AF">
        <w:t>project team.</w:t>
      </w:r>
    </w:p>
    <w:p w:rsidR="00D90EF6" w:rsidRPr="0014719D" w:rsidP="008F570D" w14:paraId="16A7A923" w14:textId="77777777">
      <w:pPr>
        <w:rPr>
          <w:b/>
        </w:rPr>
      </w:pPr>
    </w:p>
    <w:p w:rsidR="00945CD6" w:rsidRPr="0014719D" w:rsidP="008F570D" w14:paraId="391068CD" w14:textId="6ECE22DD">
      <w:pPr>
        <w:spacing w:after="120"/>
        <w:rPr>
          <w:b/>
        </w:rPr>
      </w:pPr>
      <w:r w:rsidRPr="0014719D">
        <w:rPr>
          <w:b/>
        </w:rPr>
        <w:t xml:space="preserve">A9. </w:t>
      </w:r>
      <w:r w:rsidRPr="0014719D" w:rsidR="00542413">
        <w:rPr>
          <w:b/>
        </w:rPr>
        <w:t xml:space="preserve">Tokens of Appreciation </w:t>
      </w:r>
      <w:r w:rsidRPr="0014719D" w:rsidR="00B66874">
        <w:rPr>
          <w:b/>
        </w:rPr>
        <w:t>for</w:t>
      </w:r>
      <w:r w:rsidRPr="0014719D">
        <w:rPr>
          <w:b/>
        </w:rPr>
        <w:t xml:space="preserve"> Respondents</w:t>
      </w:r>
    </w:p>
    <w:p w:rsidR="00D90EF6" w:rsidRPr="0014719D" w:rsidP="008F570D" w14:paraId="45914615" w14:textId="4321F089">
      <w:pPr>
        <w:rPr>
          <w:b/>
        </w:rPr>
      </w:pPr>
      <w:r w:rsidRPr="0014719D">
        <w:t xml:space="preserve">No </w:t>
      </w:r>
      <w:r w:rsidRPr="0014719D" w:rsidR="00542413">
        <w:t>tokens of appreciation</w:t>
      </w:r>
      <w:r w:rsidRPr="0014719D">
        <w:t xml:space="preserve"> for</w:t>
      </w:r>
      <w:r w:rsidRPr="0014719D" w:rsidR="00BE7952">
        <w:t xml:space="preserve"> respondents are proposed for this information collection.</w:t>
      </w:r>
    </w:p>
    <w:p w:rsidR="00D90EF6" w:rsidRPr="0014719D" w:rsidP="008F570D" w14:paraId="713A63A6" w14:textId="77777777"/>
    <w:p w:rsidR="004222F8" w:rsidRPr="0014719D" w:rsidP="008F570D" w14:paraId="5BB4F440" w14:textId="77777777">
      <w:pPr>
        <w:spacing w:after="120"/>
        <w:rPr>
          <w:b/>
        </w:rPr>
      </w:pPr>
      <w:r w:rsidRPr="0014719D">
        <w:rPr>
          <w:b/>
        </w:rPr>
        <w:t>A10. Privacy of Respondents</w:t>
      </w:r>
    </w:p>
    <w:p w:rsidR="004222F8" w:rsidRPr="0014719D" w:rsidP="008F570D" w14:paraId="480B2A5E" w14:textId="12A44383">
      <w:pPr>
        <w:widowControl w:val="0"/>
        <w:autoSpaceDE w:val="0"/>
        <w:autoSpaceDN w:val="0"/>
        <w:adjustRightInd w:val="0"/>
      </w:pPr>
      <w:r w:rsidRPr="0014719D">
        <w:t>Information collected will be kept private</w:t>
      </w:r>
      <w:r w:rsidRPr="0014719D" w:rsidR="171CA292">
        <w:t xml:space="preserve"> to the extent permitted by law</w:t>
      </w:r>
      <w:r w:rsidRPr="0014719D">
        <w:t>. Respondents will be informed of all planned uses of data, that their participation is voluntary, and that their information will be kept private.</w:t>
      </w:r>
      <w:r w:rsidRPr="0014719D" w:rsidR="000776A2">
        <w:t xml:space="preserve">  Personally identifiable information will not be collected.</w:t>
      </w:r>
    </w:p>
    <w:p w:rsidR="004222F8" w:rsidRPr="0014719D" w:rsidP="008F570D" w14:paraId="6F65404C" w14:textId="77777777">
      <w:pPr>
        <w:widowControl w:val="0"/>
        <w:autoSpaceDE w:val="0"/>
        <w:autoSpaceDN w:val="0"/>
        <w:adjustRightInd w:val="0"/>
        <w:ind w:left="360"/>
      </w:pPr>
    </w:p>
    <w:p w:rsidR="00945CD6" w:rsidRPr="0014719D" w:rsidP="008F570D" w14:paraId="0B35E015" w14:textId="77777777">
      <w:pPr>
        <w:spacing w:after="120"/>
        <w:rPr>
          <w:b/>
        </w:rPr>
      </w:pPr>
      <w:r w:rsidRPr="0014719D">
        <w:rPr>
          <w:b/>
        </w:rPr>
        <w:t xml:space="preserve">A11. </w:t>
      </w:r>
      <w:r w:rsidRPr="0014719D">
        <w:rPr>
          <w:b/>
        </w:rPr>
        <w:t>Sensitive Questions</w:t>
      </w:r>
    </w:p>
    <w:p w:rsidR="00D90EF6" w:rsidRPr="0014719D" w:rsidP="008F570D" w14:paraId="2CE230F0" w14:textId="77777777">
      <w:r w:rsidRPr="0014719D">
        <w:t>There are no sensitive questions in this data collection.</w:t>
      </w:r>
    </w:p>
    <w:p w:rsidR="005046F0" w:rsidRPr="0014719D" w:rsidP="008F570D" w14:paraId="45C63BFE" w14:textId="77777777">
      <w:pPr>
        <w:ind w:left="360"/>
      </w:pPr>
    </w:p>
    <w:p w:rsidR="00542413" w:rsidRPr="0014719D" w:rsidP="00542413" w14:paraId="3ABF848D" w14:textId="604CE552">
      <w:pPr>
        <w:spacing w:after="120"/>
        <w:rPr>
          <w:b/>
        </w:rPr>
      </w:pPr>
      <w:r w:rsidRPr="0014719D">
        <w:rPr>
          <w:b/>
        </w:rPr>
        <w:t xml:space="preserve">A12. </w:t>
      </w:r>
      <w:r w:rsidRPr="0014719D" w:rsidR="00945CD6">
        <w:rPr>
          <w:b/>
        </w:rPr>
        <w:t>Estimation of Information Collection Burden</w:t>
      </w:r>
    </w:p>
    <w:p w:rsidR="00542413" w:rsidRPr="0014719D" w:rsidP="00542413" w14:paraId="3786490C" w14:textId="2AA637D8">
      <w:pPr>
        <w:spacing w:after="60"/>
        <w:rPr>
          <w:b/>
          <w:bCs/>
          <w:i/>
          <w:iCs/>
        </w:rPr>
      </w:pPr>
      <w:r w:rsidRPr="0014719D">
        <w:rPr>
          <w:b/>
          <w:bCs/>
          <w:i/>
          <w:iCs/>
        </w:rPr>
        <w:t>Burden Estimates</w:t>
      </w:r>
    </w:p>
    <w:p w:rsidR="00542413" w:rsidRPr="0014719D" w:rsidP="18B46793" w14:paraId="362F0457" w14:textId="53F4FFAD">
      <w:r>
        <w:t>The time per response</w:t>
      </w:r>
      <w:r w:rsidR="000776A2">
        <w:t xml:space="preserve"> was established by estimating the </w:t>
      </w:r>
      <w:r>
        <w:t>time</w:t>
      </w:r>
      <w:r w:rsidR="000776A2">
        <w:t xml:space="preserve"> needed to read the focus group invitation with instructions</w:t>
      </w:r>
      <w:r>
        <w:t xml:space="preserve"> (15 min)</w:t>
      </w:r>
      <w:r w:rsidR="000776A2">
        <w:t xml:space="preserve"> and attend the focus group session</w:t>
      </w:r>
      <w:r>
        <w:t xml:space="preserve"> (one hour)</w:t>
      </w:r>
      <w:r w:rsidR="00462925">
        <w:t>. E</w:t>
      </w:r>
      <w:r w:rsidRPr="004E05EE" w:rsidR="004E05EE">
        <w:t>ach year, three topics will be covered</w:t>
      </w:r>
      <w:r w:rsidR="28AEBC14">
        <w:t>.</w:t>
      </w:r>
      <w:r w:rsidR="004E05EE">
        <w:t xml:space="preserve"> </w:t>
      </w:r>
      <w:r w:rsidRPr="00462925" w:rsidR="00462925">
        <w:t xml:space="preserve">For each topic, eight focus groups will be conducted: two for administrators, two for clinicians, two for case managers, and two for direct care staff. Each focus group will have </w:t>
      </w:r>
      <w:r>
        <w:t xml:space="preserve">up to </w:t>
      </w:r>
      <w:r w:rsidRPr="00462925" w:rsidR="00462925">
        <w:t>ten participants</w:t>
      </w:r>
      <w:r w:rsidR="00837AE7">
        <w:t>, for a total of 80 participants over the series</w:t>
      </w:r>
      <w:r>
        <w:t>.</w:t>
      </w:r>
    </w:p>
    <w:p w:rsidR="00542413" w:rsidRPr="0014719D" w:rsidP="00542413" w14:paraId="6CBE253C" w14:textId="16147A58">
      <w:pPr>
        <w:spacing w:after="60"/>
        <w:rPr>
          <w:b/>
          <w:i/>
        </w:rPr>
      </w:pPr>
      <w:r w:rsidRPr="0014719D">
        <w:rPr>
          <w:b/>
          <w:i/>
        </w:rPr>
        <w:t>Cost Estimates</w:t>
      </w:r>
    </w:p>
    <w:p w:rsidR="0033072C" w:rsidRPr="00CD01B4" w:rsidP="00CA27D2" w14:paraId="255B87E2" w14:textId="3389FDAB">
      <w:r>
        <w:t>The cost to respondents was calculated using the Bureau of Labor Statistics (BLS) job code for</w:t>
      </w:r>
      <w:r w:rsidR="35209A5F">
        <w:t xml:space="preserve"> Other Residential Facilities, Managers (for Administrators), </w:t>
      </w:r>
      <w:r w:rsidR="43F3E0AE">
        <w:t xml:space="preserve">Community and Social </w:t>
      </w:r>
      <w:r w:rsidR="004912D0">
        <w:t>Service</w:t>
      </w:r>
      <w:r w:rsidR="43F3E0AE">
        <w:t xml:space="preserve"> Occupations 21-0000 </w:t>
      </w:r>
      <w:r w:rsidR="2D5F60AF">
        <w:t>for Counselors/</w:t>
      </w:r>
      <w:r w:rsidR="004912D0">
        <w:t>Clinicians</w:t>
      </w:r>
      <w:r w:rsidR="2D5F60AF">
        <w:t>, and Case Managers, then Social/Human Services Assistants (Youth Care Workers)</w:t>
      </w:r>
      <w:r>
        <w:t xml:space="preserve"> and wage data from May 20</w:t>
      </w:r>
      <w:r w:rsidR="003A6946">
        <w:t>23</w:t>
      </w:r>
      <w:r w:rsidR="6201584C">
        <w:t xml:space="preserve">.  </w:t>
      </w:r>
      <w:r>
        <w:t>To account for fringe benefits and overhead the rate was multiplied by two</w:t>
      </w:r>
      <w:r w:rsidR="0DD76A4E">
        <w:t xml:space="preserve"> for each category of staff.</w:t>
      </w:r>
      <w:r>
        <w:t xml:space="preserve"> </w:t>
      </w:r>
      <w:r w:rsidR="2E99289C">
        <w:t xml:space="preserve"> </w:t>
      </w:r>
      <w:hyperlink r:id="rId8" w:history="1">
        <w:r w:rsidRPr="0014719D">
          <w:rPr>
            <w:rStyle w:val="Hyperlink"/>
          </w:rPr>
          <w:t>https://www.bls.gov/oes/current/oes_stru.htm</w:t>
        </w:r>
      </w:hyperlink>
      <w:r w:rsidRPr="0014719D">
        <w:t xml:space="preserve"> </w:t>
      </w:r>
    </w:p>
    <w:p w:rsidR="00542413" w:rsidRPr="0014719D" w:rsidP="008F570D" w14:paraId="26232607" w14:textId="77777777">
      <w:pPr>
        <w:rPr>
          <w:i/>
          <w:iCs/>
        </w:rPr>
      </w:pPr>
    </w:p>
    <w:tbl>
      <w:tblPr>
        <w:tblW w:w="92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016"/>
        <w:gridCol w:w="1239"/>
        <w:gridCol w:w="1161"/>
        <w:gridCol w:w="983"/>
        <w:gridCol w:w="805"/>
        <w:gridCol w:w="894"/>
        <w:gridCol w:w="1116"/>
      </w:tblGrid>
      <w:tr w14:paraId="3DDE53E5" w14:textId="77777777" w:rsidTr="00CA27D2">
        <w:tblPrEx>
          <w:tblW w:w="92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016" w:type="dxa"/>
            <w:shd w:val="clear" w:color="auto" w:fill="BFBFBF" w:themeFill="background1" w:themeFillShade="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805" w:type="dxa"/>
            <w:shd w:val="clear" w:color="auto" w:fill="BFBFBF" w:themeFill="background1" w:themeFillShade="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16" w:type="dxa"/>
            <w:shd w:val="clear" w:color="auto" w:fill="BFBFBF" w:themeFill="background1" w:themeFillShade="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9EE0CD9" w14:textId="77777777" w:rsidTr="0003369D">
        <w:tblPrEx>
          <w:tblW w:w="9214" w:type="dxa"/>
          <w:jc w:val="center"/>
          <w:tblLook w:val="00A0"/>
        </w:tblPrEx>
        <w:trPr>
          <w:trHeight w:val="432"/>
          <w:jc w:val="center"/>
        </w:trPr>
        <w:tc>
          <w:tcPr>
            <w:tcW w:w="3016" w:type="dxa"/>
            <w:vAlign w:val="center"/>
          </w:tcPr>
          <w:p w:rsidR="1E7B07CC" w:rsidP="0003369D" w14:paraId="14031C78" w14:textId="76FDB8E8">
            <w:pPr>
              <w:rPr>
                <w:sz w:val="20"/>
                <w:szCs w:val="20"/>
              </w:rPr>
            </w:pPr>
            <w:r w:rsidRPr="18B46793">
              <w:rPr>
                <w:sz w:val="20"/>
                <w:szCs w:val="20"/>
              </w:rPr>
              <w:t xml:space="preserve">Administrators Only - </w:t>
            </w:r>
            <w:r w:rsidRPr="18B46793" w:rsidR="733C7CF5">
              <w:rPr>
                <w:sz w:val="20"/>
                <w:szCs w:val="20"/>
              </w:rPr>
              <w:t xml:space="preserve">Policy Evaluation Focus Groups Questionnaire Template </w:t>
            </w:r>
          </w:p>
        </w:tc>
        <w:tc>
          <w:tcPr>
            <w:tcW w:w="1239" w:type="dxa"/>
            <w:vAlign w:val="center"/>
          </w:tcPr>
          <w:p w:rsidR="66DC8288" w:rsidP="18B46793" w14:paraId="22C0CC24" w14:textId="4E07A2DD">
            <w:pPr>
              <w:spacing w:line="259" w:lineRule="auto"/>
              <w:jc w:val="center"/>
              <w:rPr>
                <w:sz w:val="20"/>
                <w:szCs w:val="20"/>
              </w:rPr>
            </w:pPr>
            <w:r w:rsidRPr="18B46793">
              <w:rPr>
                <w:sz w:val="20"/>
                <w:szCs w:val="20"/>
              </w:rPr>
              <w:t>20</w:t>
            </w:r>
          </w:p>
        </w:tc>
        <w:tc>
          <w:tcPr>
            <w:tcW w:w="1161" w:type="dxa"/>
            <w:vAlign w:val="center"/>
          </w:tcPr>
          <w:p w:rsidR="1AF4E05F" w:rsidP="00CD01B4" w14:paraId="1095A003" w14:textId="31945CE3">
            <w:pPr>
              <w:spacing w:line="259" w:lineRule="auto"/>
              <w:jc w:val="center"/>
              <w:rPr>
                <w:sz w:val="20"/>
                <w:szCs w:val="20"/>
              </w:rPr>
            </w:pPr>
            <w:r w:rsidRPr="18B46793">
              <w:rPr>
                <w:sz w:val="20"/>
                <w:szCs w:val="20"/>
              </w:rPr>
              <w:t>3</w:t>
            </w:r>
          </w:p>
        </w:tc>
        <w:tc>
          <w:tcPr>
            <w:tcW w:w="983" w:type="dxa"/>
            <w:vAlign w:val="center"/>
          </w:tcPr>
          <w:p w:rsidR="5C9CE403" w:rsidP="00CD01B4" w14:paraId="2C79AA25" w14:textId="3965D36F">
            <w:pPr>
              <w:spacing w:line="259" w:lineRule="auto"/>
              <w:jc w:val="center"/>
              <w:rPr>
                <w:sz w:val="20"/>
                <w:szCs w:val="20"/>
              </w:rPr>
            </w:pPr>
            <w:r w:rsidRPr="18B46793">
              <w:rPr>
                <w:sz w:val="20"/>
                <w:szCs w:val="20"/>
              </w:rPr>
              <w:t>1.25</w:t>
            </w:r>
          </w:p>
        </w:tc>
        <w:tc>
          <w:tcPr>
            <w:tcW w:w="805" w:type="dxa"/>
            <w:vAlign w:val="center"/>
          </w:tcPr>
          <w:p w:rsidR="39AED795" w:rsidP="18B46793" w14:paraId="457BE202" w14:textId="12E825BB">
            <w:pPr>
              <w:jc w:val="center"/>
              <w:rPr>
                <w:sz w:val="20"/>
                <w:szCs w:val="20"/>
              </w:rPr>
            </w:pPr>
            <w:r w:rsidRPr="18B46793">
              <w:rPr>
                <w:sz w:val="20"/>
                <w:szCs w:val="20"/>
              </w:rPr>
              <w:t>75</w:t>
            </w:r>
          </w:p>
        </w:tc>
        <w:tc>
          <w:tcPr>
            <w:tcW w:w="894" w:type="dxa"/>
            <w:vAlign w:val="center"/>
          </w:tcPr>
          <w:p w:rsidR="0BCA55B9" w:rsidP="18B46793" w14:paraId="468AE7B0" w14:textId="151E2ACA">
            <w:pPr>
              <w:jc w:val="center"/>
              <w:rPr>
                <w:sz w:val="20"/>
                <w:szCs w:val="20"/>
              </w:rPr>
            </w:pPr>
            <w:r w:rsidRPr="18B46793">
              <w:rPr>
                <w:sz w:val="20"/>
                <w:szCs w:val="20"/>
              </w:rPr>
              <w:t>$86.62</w:t>
            </w:r>
          </w:p>
        </w:tc>
        <w:tc>
          <w:tcPr>
            <w:tcW w:w="1116" w:type="dxa"/>
            <w:vAlign w:val="center"/>
          </w:tcPr>
          <w:p w:rsidR="45BD336D" w:rsidP="18B46793" w14:paraId="4017D0DF" w14:textId="63AE6C35">
            <w:pPr>
              <w:jc w:val="center"/>
              <w:rPr>
                <w:sz w:val="20"/>
                <w:szCs w:val="20"/>
              </w:rPr>
            </w:pPr>
            <w:r w:rsidRPr="18B46793">
              <w:rPr>
                <w:sz w:val="20"/>
                <w:szCs w:val="20"/>
              </w:rPr>
              <w:t>$6,496.50</w:t>
            </w:r>
          </w:p>
        </w:tc>
      </w:tr>
      <w:tr w14:paraId="32A731AA" w14:textId="77777777" w:rsidTr="0003369D">
        <w:tblPrEx>
          <w:tblW w:w="9214" w:type="dxa"/>
          <w:jc w:val="center"/>
          <w:tblLook w:val="00A0"/>
        </w:tblPrEx>
        <w:trPr>
          <w:trHeight w:val="432"/>
          <w:jc w:val="center"/>
        </w:trPr>
        <w:tc>
          <w:tcPr>
            <w:tcW w:w="3016" w:type="dxa"/>
            <w:vAlign w:val="center"/>
          </w:tcPr>
          <w:p w:rsidR="18B46793" w:rsidP="0003369D" w14:paraId="34F18FB2" w14:textId="6C647B26">
            <w:pPr>
              <w:tabs>
                <w:tab w:val="center" w:pos="4320"/>
                <w:tab w:val="right" w:pos="8640"/>
              </w:tabs>
              <w:rPr>
                <w:sz w:val="20"/>
                <w:szCs w:val="20"/>
              </w:rPr>
            </w:pPr>
            <w:r w:rsidRPr="18B46793">
              <w:rPr>
                <w:sz w:val="20"/>
                <w:szCs w:val="20"/>
              </w:rPr>
              <w:t>Clinicians and Case Managers Only - Policy Evaluation Focus Groups Questionnaire Template</w:t>
            </w:r>
          </w:p>
        </w:tc>
        <w:tc>
          <w:tcPr>
            <w:tcW w:w="1239" w:type="dxa"/>
            <w:vAlign w:val="center"/>
          </w:tcPr>
          <w:p w:rsidR="51598749" w:rsidP="18B46793" w14:paraId="5E4A86B1" w14:textId="344573D2">
            <w:pPr>
              <w:spacing w:line="259" w:lineRule="auto"/>
              <w:jc w:val="center"/>
              <w:rPr>
                <w:sz w:val="20"/>
                <w:szCs w:val="20"/>
              </w:rPr>
            </w:pPr>
            <w:r w:rsidRPr="18B46793">
              <w:rPr>
                <w:sz w:val="20"/>
                <w:szCs w:val="20"/>
              </w:rPr>
              <w:t>40</w:t>
            </w:r>
          </w:p>
        </w:tc>
        <w:tc>
          <w:tcPr>
            <w:tcW w:w="1161" w:type="dxa"/>
            <w:vAlign w:val="center"/>
          </w:tcPr>
          <w:p w:rsidR="79B70C98" w:rsidP="00CD01B4" w14:paraId="59851DF0" w14:textId="7FFC632A">
            <w:pPr>
              <w:spacing w:line="259" w:lineRule="auto"/>
              <w:jc w:val="center"/>
              <w:rPr>
                <w:sz w:val="20"/>
                <w:szCs w:val="20"/>
              </w:rPr>
            </w:pPr>
            <w:r w:rsidRPr="18B46793">
              <w:rPr>
                <w:sz w:val="20"/>
                <w:szCs w:val="20"/>
              </w:rPr>
              <w:t>3</w:t>
            </w:r>
          </w:p>
        </w:tc>
        <w:tc>
          <w:tcPr>
            <w:tcW w:w="983" w:type="dxa"/>
            <w:vAlign w:val="center"/>
          </w:tcPr>
          <w:p w:rsidR="07285367" w:rsidP="18B46793" w14:paraId="055A2396" w14:textId="17A70174">
            <w:pPr>
              <w:jc w:val="center"/>
              <w:rPr>
                <w:sz w:val="20"/>
                <w:szCs w:val="20"/>
              </w:rPr>
            </w:pPr>
            <w:r w:rsidRPr="18B46793">
              <w:rPr>
                <w:sz w:val="20"/>
                <w:szCs w:val="20"/>
              </w:rPr>
              <w:t>1.25</w:t>
            </w:r>
          </w:p>
        </w:tc>
        <w:tc>
          <w:tcPr>
            <w:tcW w:w="805" w:type="dxa"/>
            <w:vAlign w:val="center"/>
          </w:tcPr>
          <w:p w:rsidR="75FB6413" w:rsidP="18B46793" w14:paraId="5E8173A1" w14:textId="4317FEBC">
            <w:pPr>
              <w:jc w:val="center"/>
              <w:rPr>
                <w:sz w:val="20"/>
                <w:szCs w:val="20"/>
              </w:rPr>
            </w:pPr>
            <w:r w:rsidRPr="18B46793">
              <w:rPr>
                <w:sz w:val="20"/>
                <w:szCs w:val="20"/>
              </w:rPr>
              <w:t>150</w:t>
            </w:r>
          </w:p>
        </w:tc>
        <w:tc>
          <w:tcPr>
            <w:tcW w:w="894" w:type="dxa"/>
            <w:vAlign w:val="center"/>
          </w:tcPr>
          <w:p w:rsidR="4997EE21" w:rsidP="00CD01B4" w14:paraId="57F719CA" w14:textId="4FF9F39B">
            <w:pPr>
              <w:spacing w:line="259" w:lineRule="auto"/>
              <w:jc w:val="center"/>
              <w:rPr>
                <w:sz w:val="20"/>
                <w:szCs w:val="20"/>
              </w:rPr>
            </w:pPr>
            <w:r w:rsidRPr="18B46793">
              <w:rPr>
                <w:sz w:val="20"/>
                <w:szCs w:val="20"/>
              </w:rPr>
              <w:t>$42.72</w:t>
            </w:r>
          </w:p>
        </w:tc>
        <w:tc>
          <w:tcPr>
            <w:tcW w:w="1116" w:type="dxa"/>
            <w:vAlign w:val="center"/>
          </w:tcPr>
          <w:p w:rsidR="0D0413A4" w:rsidP="18B46793" w14:paraId="75B8DCB5" w14:textId="606A55D0">
            <w:pPr>
              <w:jc w:val="center"/>
              <w:rPr>
                <w:sz w:val="20"/>
                <w:szCs w:val="20"/>
              </w:rPr>
            </w:pPr>
            <w:r w:rsidRPr="18B46793">
              <w:rPr>
                <w:sz w:val="20"/>
                <w:szCs w:val="20"/>
              </w:rPr>
              <w:t>$6,408.00</w:t>
            </w:r>
          </w:p>
        </w:tc>
      </w:tr>
      <w:tr w14:paraId="1D7F04A5" w14:textId="77777777" w:rsidTr="0003369D">
        <w:tblPrEx>
          <w:tblW w:w="9214" w:type="dxa"/>
          <w:jc w:val="center"/>
          <w:tblLook w:val="00A0"/>
        </w:tblPrEx>
        <w:trPr>
          <w:trHeight w:val="432"/>
          <w:jc w:val="center"/>
        </w:trPr>
        <w:tc>
          <w:tcPr>
            <w:tcW w:w="3016" w:type="dxa"/>
            <w:vAlign w:val="center"/>
          </w:tcPr>
          <w:p w:rsidR="18B46793" w:rsidP="0003369D" w14:paraId="08C5EA0C" w14:textId="65D54B33">
            <w:pPr>
              <w:tabs>
                <w:tab w:val="center" w:pos="4320"/>
                <w:tab w:val="right" w:pos="8640"/>
              </w:tabs>
              <w:rPr>
                <w:sz w:val="20"/>
                <w:szCs w:val="20"/>
              </w:rPr>
            </w:pPr>
            <w:r w:rsidRPr="18B46793">
              <w:rPr>
                <w:sz w:val="20"/>
                <w:szCs w:val="20"/>
              </w:rPr>
              <w:t>Direct Care Staff - Policy Evaluation Focus Groups Questionnaire Template</w:t>
            </w:r>
          </w:p>
        </w:tc>
        <w:tc>
          <w:tcPr>
            <w:tcW w:w="1239" w:type="dxa"/>
            <w:vAlign w:val="center"/>
          </w:tcPr>
          <w:p w:rsidR="51598749" w:rsidP="18B46793" w14:paraId="7D920F56" w14:textId="3DCA0BF5">
            <w:pPr>
              <w:spacing w:line="259" w:lineRule="auto"/>
              <w:jc w:val="center"/>
              <w:rPr>
                <w:sz w:val="20"/>
                <w:szCs w:val="20"/>
              </w:rPr>
            </w:pPr>
            <w:r w:rsidRPr="18B46793">
              <w:rPr>
                <w:sz w:val="20"/>
                <w:szCs w:val="20"/>
              </w:rPr>
              <w:t>20</w:t>
            </w:r>
          </w:p>
        </w:tc>
        <w:tc>
          <w:tcPr>
            <w:tcW w:w="1161" w:type="dxa"/>
            <w:vAlign w:val="center"/>
          </w:tcPr>
          <w:p w:rsidR="6973D603" w:rsidP="00CD01B4" w14:paraId="0E2EC169" w14:textId="37ED6319">
            <w:pPr>
              <w:spacing w:line="259" w:lineRule="auto"/>
              <w:jc w:val="center"/>
              <w:rPr>
                <w:sz w:val="20"/>
                <w:szCs w:val="20"/>
              </w:rPr>
            </w:pPr>
            <w:r w:rsidRPr="18B46793">
              <w:rPr>
                <w:sz w:val="20"/>
                <w:szCs w:val="20"/>
              </w:rPr>
              <w:t>3</w:t>
            </w:r>
          </w:p>
        </w:tc>
        <w:tc>
          <w:tcPr>
            <w:tcW w:w="983" w:type="dxa"/>
            <w:vAlign w:val="center"/>
          </w:tcPr>
          <w:p w:rsidR="51598749" w:rsidP="18B46793" w14:paraId="0F54424A" w14:textId="47FDB1F6">
            <w:pPr>
              <w:jc w:val="center"/>
              <w:rPr>
                <w:sz w:val="20"/>
                <w:szCs w:val="20"/>
              </w:rPr>
            </w:pPr>
            <w:r w:rsidRPr="18B46793">
              <w:rPr>
                <w:sz w:val="20"/>
                <w:szCs w:val="20"/>
              </w:rPr>
              <w:t>1.</w:t>
            </w:r>
            <w:r w:rsidRPr="18B46793" w:rsidR="4892110C">
              <w:rPr>
                <w:sz w:val="20"/>
                <w:szCs w:val="20"/>
              </w:rPr>
              <w:t>25</w:t>
            </w:r>
          </w:p>
        </w:tc>
        <w:tc>
          <w:tcPr>
            <w:tcW w:w="805" w:type="dxa"/>
            <w:vAlign w:val="center"/>
          </w:tcPr>
          <w:p w:rsidR="3C23F326" w:rsidP="18B46793" w14:paraId="61943B39" w14:textId="48EDB524">
            <w:pPr>
              <w:jc w:val="center"/>
              <w:rPr>
                <w:sz w:val="20"/>
                <w:szCs w:val="20"/>
              </w:rPr>
            </w:pPr>
            <w:r w:rsidRPr="18B46793">
              <w:rPr>
                <w:sz w:val="20"/>
                <w:szCs w:val="20"/>
              </w:rPr>
              <w:t>75</w:t>
            </w:r>
          </w:p>
        </w:tc>
        <w:tc>
          <w:tcPr>
            <w:tcW w:w="894" w:type="dxa"/>
            <w:vAlign w:val="center"/>
          </w:tcPr>
          <w:p w:rsidR="2EE71206" w:rsidP="00CD01B4" w14:paraId="7EDB467B" w14:textId="03DBDA41">
            <w:pPr>
              <w:spacing w:line="259" w:lineRule="auto"/>
              <w:jc w:val="center"/>
              <w:rPr>
                <w:sz w:val="20"/>
                <w:szCs w:val="20"/>
              </w:rPr>
            </w:pPr>
            <w:r w:rsidRPr="18B46793">
              <w:rPr>
                <w:sz w:val="20"/>
                <w:szCs w:val="20"/>
              </w:rPr>
              <w:t>37.16</w:t>
            </w:r>
          </w:p>
        </w:tc>
        <w:tc>
          <w:tcPr>
            <w:tcW w:w="1116" w:type="dxa"/>
            <w:vAlign w:val="center"/>
          </w:tcPr>
          <w:p w:rsidR="2029C45F" w:rsidP="18B46793" w14:paraId="1E5A5ED3" w14:textId="7B2AA1C0">
            <w:pPr>
              <w:jc w:val="center"/>
              <w:rPr>
                <w:sz w:val="20"/>
                <w:szCs w:val="20"/>
              </w:rPr>
            </w:pPr>
            <w:r w:rsidRPr="18B46793">
              <w:rPr>
                <w:sz w:val="20"/>
                <w:szCs w:val="20"/>
              </w:rPr>
              <w:t>$2,787.00</w:t>
            </w:r>
          </w:p>
        </w:tc>
      </w:tr>
      <w:tr w14:paraId="6C008DD4" w14:textId="77777777" w:rsidTr="00765BE4">
        <w:tblPrEx>
          <w:tblW w:w="9214" w:type="dxa"/>
          <w:jc w:val="center"/>
          <w:tblLook w:val="00A0"/>
        </w:tblPrEx>
        <w:trPr>
          <w:trHeight w:val="432"/>
          <w:jc w:val="center"/>
        </w:trPr>
        <w:tc>
          <w:tcPr>
            <w:tcW w:w="3016" w:type="dxa"/>
            <w:vAlign w:val="center"/>
          </w:tcPr>
          <w:p w:rsidR="00CA27D2" w:rsidRPr="00765BE4" w:rsidP="00765BE4" w14:paraId="521AB5AE" w14:textId="221C3E40">
            <w:pPr>
              <w:tabs>
                <w:tab w:val="center" w:pos="4320"/>
                <w:tab w:val="right" w:pos="8640"/>
              </w:tabs>
              <w:jc w:val="right"/>
              <w:rPr>
                <w:b/>
                <w:bCs/>
                <w:sz w:val="20"/>
                <w:szCs w:val="20"/>
              </w:rPr>
            </w:pPr>
            <w:r w:rsidRPr="00765BE4">
              <w:rPr>
                <w:b/>
                <w:bCs/>
                <w:sz w:val="20"/>
                <w:szCs w:val="20"/>
              </w:rPr>
              <w:t xml:space="preserve">Totals: </w:t>
            </w:r>
          </w:p>
        </w:tc>
        <w:tc>
          <w:tcPr>
            <w:tcW w:w="1239" w:type="dxa"/>
            <w:vAlign w:val="center"/>
          </w:tcPr>
          <w:p w:rsidR="00CA27D2" w:rsidRPr="00765BE4" w:rsidP="18B46793" w14:paraId="65B8C367" w14:textId="0669642B">
            <w:pPr>
              <w:spacing w:line="259" w:lineRule="auto"/>
              <w:jc w:val="center"/>
              <w:rPr>
                <w:b/>
                <w:bCs/>
                <w:sz w:val="20"/>
                <w:szCs w:val="20"/>
              </w:rPr>
            </w:pPr>
            <w:r w:rsidRPr="00765BE4">
              <w:rPr>
                <w:b/>
                <w:bCs/>
                <w:sz w:val="20"/>
                <w:szCs w:val="20"/>
              </w:rPr>
              <w:t>80</w:t>
            </w:r>
          </w:p>
        </w:tc>
        <w:tc>
          <w:tcPr>
            <w:tcW w:w="1161" w:type="dxa"/>
            <w:vAlign w:val="center"/>
          </w:tcPr>
          <w:p w:rsidR="00CA27D2" w:rsidRPr="00765BE4" w:rsidP="00CD01B4" w14:paraId="7C2D3589" w14:textId="14346FCF">
            <w:pPr>
              <w:spacing w:line="259" w:lineRule="auto"/>
              <w:jc w:val="center"/>
              <w:rPr>
                <w:b/>
                <w:bCs/>
                <w:sz w:val="20"/>
                <w:szCs w:val="20"/>
              </w:rPr>
            </w:pPr>
            <w:r w:rsidRPr="00765BE4">
              <w:rPr>
                <w:b/>
                <w:bCs/>
                <w:sz w:val="20"/>
                <w:szCs w:val="20"/>
              </w:rPr>
              <w:t>3</w:t>
            </w:r>
          </w:p>
        </w:tc>
        <w:tc>
          <w:tcPr>
            <w:tcW w:w="983" w:type="dxa"/>
            <w:vAlign w:val="center"/>
          </w:tcPr>
          <w:p w:rsidR="00CA27D2" w:rsidRPr="00765BE4" w:rsidP="18B46793" w14:paraId="6D6BB0EB" w14:textId="0D9BE95B">
            <w:pPr>
              <w:jc w:val="center"/>
              <w:rPr>
                <w:b/>
                <w:bCs/>
                <w:sz w:val="20"/>
                <w:szCs w:val="20"/>
              </w:rPr>
            </w:pPr>
            <w:r w:rsidRPr="00765BE4">
              <w:rPr>
                <w:b/>
                <w:bCs/>
                <w:sz w:val="20"/>
                <w:szCs w:val="20"/>
              </w:rPr>
              <w:t>1.25</w:t>
            </w:r>
          </w:p>
        </w:tc>
        <w:tc>
          <w:tcPr>
            <w:tcW w:w="805" w:type="dxa"/>
            <w:vAlign w:val="center"/>
          </w:tcPr>
          <w:p w:rsidR="00CA27D2" w:rsidRPr="00765BE4" w:rsidP="18B46793" w14:paraId="576F13CB" w14:textId="658510FD">
            <w:pPr>
              <w:jc w:val="center"/>
              <w:rPr>
                <w:b/>
                <w:bCs/>
                <w:sz w:val="20"/>
                <w:szCs w:val="20"/>
              </w:rPr>
            </w:pPr>
            <w:r w:rsidRPr="00765BE4">
              <w:rPr>
                <w:b/>
                <w:bCs/>
                <w:sz w:val="20"/>
                <w:szCs w:val="20"/>
              </w:rPr>
              <w:t>300</w:t>
            </w:r>
          </w:p>
        </w:tc>
        <w:tc>
          <w:tcPr>
            <w:tcW w:w="894" w:type="dxa"/>
            <w:vAlign w:val="center"/>
          </w:tcPr>
          <w:p w:rsidR="00CA27D2" w:rsidRPr="00765BE4" w:rsidP="00CD01B4" w14:paraId="5B57264A" w14:textId="77777777">
            <w:pPr>
              <w:spacing w:line="259" w:lineRule="auto"/>
              <w:jc w:val="center"/>
              <w:rPr>
                <w:b/>
                <w:bCs/>
                <w:sz w:val="20"/>
                <w:szCs w:val="20"/>
              </w:rPr>
            </w:pPr>
          </w:p>
        </w:tc>
        <w:tc>
          <w:tcPr>
            <w:tcW w:w="1116" w:type="dxa"/>
            <w:vAlign w:val="center"/>
          </w:tcPr>
          <w:p w:rsidR="00CA27D2" w:rsidRPr="00765BE4" w:rsidP="18B46793" w14:paraId="3964D307" w14:textId="4BBA7833">
            <w:pPr>
              <w:jc w:val="center"/>
              <w:rPr>
                <w:b/>
                <w:bCs/>
                <w:sz w:val="20"/>
                <w:szCs w:val="20"/>
              </w:rPr>
            </w:pPr>
            <w:r w:rsidRPr="00765BE4">
              <w:rPr>
                <w:b/>
                <w:bCs/>
                <w:sz w:val="20"/>
                <w:szCs w:val="20"/>
              </w:rPr>
              <w:t>$15,691.50</w:t>
            </w:r>
          </w:p>
        </w:tc>
      </w:tr>
    </w:tbl>
    <w:p w:rsidR="00436F5E" w:rsidRPr="0014719D" w:rsidP="008F570D" w14:paraId="4FC5BEDE" w14:textId="77777777"/>
    <w:p w:rsidR="00945CD6" w:rsidRPr="0014719D" w:rsidP="00542413" w14:paraId="7BDBE261" w14:textId="77777777">
      <w:pPr>
        <w:spacing w:after="120"/>
        <w:rPr>
          <w:b/>
        </w:rPr>
      </w:pPr>
      <w:r w:rsidRPr="0014719D">
        <w:rPr>
          <w:b/>
        </w:rPr>
        <w:t xml:space="preserve">A13. </w:t>
      </w:r>
      <w:r w:rsidRPr="0014719D">
        <w:rPr>
          <w:b/>
        </w:rPr>
        <w:t>Cost Burden to Respondents or Record Keepers</w:t>
      </w:r>
    </w:p>
    <w:p w:rsidR="00D90EF6" w:rsidRPr="0014719D" w:rsidP="008F570D" w14:paraId="3D88B0B4" w14:textId="77777777">
      <w:r w:rsidRPr="00CD01B4">
        <w:t>There are no additional costs to respondents.</w:t>
      </w:r>
    </w:p>
    <w:p w:rsidR="00BE7952" w:rsidRPr="0014719D" w:rsidP="008F570D" w14:paraId="6BC5843E" w14:textId="77777777"/>
    <w:p w:rsidR="00945CD6" w:rsidRPr="0014719D" w:rsidP="115C60B5" w14:paraId="2A791D57" w14:textId="77777777">
      <w:pPr>
        <w:spacing w:after="60"/>
        <w:rPr>
          <w:b/>
          <w:bCs/>
        </w:rPr>
      </w:pPr>
      <w:r w:rsidRPr="2A8E05AF">
        <w:rPr>
          <w:b/>
          <w:bCs/>
        </w:rPr>
        <w:t xml:space="preserve">A14. </w:t>
      </w:r>
      <w:r w:rsidRPr="2A8E05AF">
        <w:rPr>
          <w:b/>
          <w:bCs/>
        </w:rPr>
        <w:t>Estimate of Cost to the Federal Government</w:t>
      </w:r>
    </w:p>
    <w:p w:rsidR="002338AC" w:rsidRPr="00F51ED1" w:rsidP="008F570D" w14:paraId="036762EF" w14:textId="790172AD">
      <w:r>
        <w:t>The total cost for the data collection activities under this current request will be $</w:t>
      </w:r>
      <w:r w:rsidRPr="00A0410B" w:rsidR="005E5101">
        <w:t>15,005</w:t>
      </w:r>
      <w:r w:rsidRPr="00A0410B" w:rsidR="00142277">
        <w:t>.64</w:t>
      </w:r>
      <w:r>
        <w:t xml:space="preserve">. </w:t>
      </w:r>
    </w:p>
    <w:p w:rsidR="00404602" w:rsidRPr="00F51ED1" w:rsidP="008F570D" w14:paraId="0F5683B8" w14:textId="77777777"/>
    <w:p w:rsidR="00864256" w:rsidRPr="00F51ED1" w:rsidP="115C60B5" w14:paraId="519190FF" w14:textId="47994717">
      <w:pPr>
        <w:pStyle w:val="paragraph"/>
        <w:spacing w:before="0" w:beforeAutospacing="0" w:after="0" w:afterAutospacing="0"/>
        <w:textAlignment w:val="baseline"/>
        <w:rPr>
          <w:rFonts w:ascii="Segoe UI" w:hAnsi="Segoe UI" w:cs="Segoe UI"/>
          <w:sz w:val="18"/>
          <w:szCs w:val="18"/>
        </w:rPr>
      </w:pPr>
      <w:r w:rsidRPr="115C60B5">
        <w:rPr>
          <w:rStyle w:val="normaltextrun"/>
          <w:color w:val="000000" w:themeColor="text1"/>
          <w:sz w:val="22"/>
          <w:szCs w:val="22"/>
        </w:rPr>
        <w:t xml:space="preserve">The total cost estimate considers the time of </w:t>
      </w:r>
      <w:r w:rsidRPr="00A0410B" w:rsidR="002B487B">
        <w:rPr>
          <w:rStyle w:val="normaltextrun"/>
          <w:color w:val="000000" w:themeColor="text1"/>
          <w:sz w:val="22"/>
          <w:szCs w:val="22"/>
        </w:rPr>
        <w:t>one</w:t>
      </w:r>
      <w:r w:rsidRPr="115C60B5">
        <w:rPr>
          <w:rStyle w:val="normaltextrun"/>
          <w:color w:val="000000" w:themeColor="text1"/>
          <w:sz w:val="22"/>
          <w:szCs w:val="22"/>
        </w:rPr>
        <w:t xml:space="preserve"> step 1 GS-12 </w:t>
      </w:r>
      <w:r w:rsidRPr="00A0410B" w:rsidR="002B487B">
        <w:rPr>
          <w:rStyle w:val="normaltextrun"/>
          <w:color w:val="000000" w:themeColor="text1"/>
          <w:sz w:val="22"/>
          <w:szCs w:val="22"/>
        </w:rPr>
        <w:t xml:space="preserve">and one </w:t>
      </w:r>
      <w:r w:rsidRPr="00A0410B" w:rsidR="008B2CE6">
        <w:rPr>
          <w:rStyle w:val="normaltextrun"/>
          <w:color w:val="000000" w:themeColor="text1"/>
          <w:sz w:val="22"/>
          <w:szCs w:val="22"/>
        </w:rPr>
        <w:t>step 1 GS</w:t>
      </w:r>
      <w:r w:rsidRPr="115C60B5" w:rsidR="403D5B83">
        <w:rPr>
          <w:rStyle w:val="normaltextrun"/>
          <w:color w:val="000000" w:themeColor="text1"/>
          <w:sz w:val="22"/>
          <w:szCs w:val="22"/>
        </w:rPr>
        <w:t>-</w:t>
      </w:r>
      <w:r w:rsidRPr="00A0410B" w:rsidR="008B2CE6">
        <w:rPr>
          <w:rStyle w:val="normaltextrun"/>
          <w:color w:val="000000" w:themeColor="text1"/>
          <w:sz w:val="22"/>
          <w:szCs w:val="22"/>
        </w:rPr>
        <w:t>1</w:t>
      </w:r>
      <w:r w:rsidRPr="00A0410B" w:rsidR="00E53D8B">
        <w:rPr>
          <w:rStyle w:val="normaltextrun"/>
          <w:color w:val="000000" w:themeColor="text1"/>
          <w:sz w:val="22"/>
          <w:szCs w:val="22"/>
        </w:rPr>
        <w:t>4</w:t>
      </w:r>
      <w:r w:rsidRPr="00A0410B" w:rsidR="008B2CE6">
        <w:rPr>
          <w:rStyle w:val="normaltextrun"/>
          <w:color w:val="000000" w:themeColor="text1"/>
          <w:sz w:val="22"/>
          <w:szCs w:val="22"/>
        </w:rPr>
        <w:t xml:space="preserve">, both </w:t>
      </w:r>
      <w:r w:rsidRPr="115C60B5">
        <w:rPr>
          <w:rStyle w:val="normaltextrun"/>
          <w:color w:val="000000" w:themeColor="text1"/>
          <w:sz w:val="22"/>
          <w:szCs w:val="22"/>
        </w:rPr>
        <w:t>in the Washington, DC locality</w:t>
      </w:r>
      <w:r w:rsidRPr="00A0410B" w:rsidR="008B2CE6">
        <w:rPr>
          <w:rStyle w:val="normaltextrun"/>
          <w:color w:val="000000" w:themeColor="text1"/>
          <w:sz w:val="22"/>
          <w:szCs w:val="22"/>
        </w:rPr>
        <w:t>,</w:t>
      </w:r>
      <w:r w:rsidRPr="115C60B5">
        <w:rPr>
          <w:rStyle w:val="normaltextrun"/>
          <w:color w:val="000000" w:themeColor="text1"/>
          <w:sz w:val="22"/>
          <w:szCs w:val="22"/>
        </w:rPr>
        <w:t xml:space="preserve"> to 1) arrange and conduct the focus group sessions, and 2) review information obtained during the focus group sessions and example tools/products emailed to ORR.</w:t>
      </w:r>
      <w:r w:rsidRPr="00A0410B" w:rsidR="00C451F4">
        <w:rPr>
          <w:rStyle w:val="normaltextrun"/>
          <w:color w:val="000000" w:themeColor="text1"/>
          <w:sz w:val="22"/>
          <w:szCs w:val="22"/>
        </w:rPr>
        <w:t xml:space="preserve"> </w:t>
      </w:r>
      <w:r w:rsidRPr="00A0410B" w:rsidR="00C451F4">
        <w:rPr>
          <w:color w:val="000000" w:themeColor="text1"/>
          <w:sz w:val="22"/>
          <w:szCs w:val="22"/>
        </w:rPr>
        <w:t>The estimated time allocated for conducting the focus groups is 24 hours, and the time for reviewing the information is 40 hours.</w:t>
      </w:r>
      <w:r w:rsidRPr="115C60B5">
        <w:rPr>
          <w:rStyle w:val="normaltextrun"/>
          <w:color w:val="000000" w:themeColor="text1"/>
          <w:sz w:val="22"/>
          <w:szCs w:val="22"/>
        </w:rPr>
        <w:t>  No additional costs will be incurred by the Federal government.  The hourly rate was multiplied by two to account for fringe benefits and overhead.</w:t>
      </w:r>
      <w:r w:rsidRPr="115C60B5">
        <w:rPr>
          <w:rStyle w:val="eop"/>
          <w:color w:val="000000" w:themeColor="text1"/>
          <w:sz w:val="22"/>
          <w:szCs w:val="22"/>
        </w:rPr>
        <w:t> </w:t>
      </w:r>
    </w:p>
    <w:p w:rsidR="00864256" w:rsidRPr="00F51ED1" w:rsidP="00864256" w14:paraId="58745FBA" w14:textId="77777777">
      <w:pPr>
        <w:pStyle w:val="paragraph"/>
        <w:spacing w:before="0" w:beforeAutospacing="0" w:after="0" w:afterAutospacing="0"/>
        <w:textAlignment w:val="baseline"/>
        <w:rPr>
          <w:rFonts w:ascii="Segoe UI" w:hAnsi="Segoe UI" w:cs="Segoe UI"/>
          <w:sz w:val="18"/>
          <w:szCs w:val="18"/>
        </w:rPr>
      </w:pPr>
      <w:r w:rsidRPr="00F51ED1">
        <w:rPr>
          <w:rStyle w:val="eop"/>
          <w:sz w:val="22"/>
          <w:szCs w:val="22"/>
        </w:rPr>
        <w:t> </w:t>
      </w:r>
    </w:p>
    <w:tbl>
      <w:tblPr>
        <w:tblW w:w="99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052"/>
        <w:gridCol w:w="2160"/>
        <w:gridCol w:w="2520"/>
        <w:gridCol w:w="2250"/>
      </w:tblGrid>
      <w:tr w14:paraId="1D6E470C" w14:textId="77777777" w:rsidTr="00A0410B">
        <w:tblPrEx>
          <w:tblW w:w="99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rsidR="002A1D25" w:rsidRPr="00F51ED1" w:rsidP="00864256" w14:paraId="03893B4A" w14:textId="77777777">
            <w:pPr>
              <w:pStyle w:val="paragraph"/>
              <w:spacing w:before="0" w:beforeAutospacing="0" w:after="0" w:afterAutospacing="0"/>
              <w:jc w:val="center"/>
              <w:textAlignment w:val="baseline"/>
            </w:pPr>
            <w:r w:rsidRPr="00F51ED1">
              <w:rPr>
                <w:rStyle w:val="normaltextrun"/>
                <w:sz w:val="20"/>
                <w:szCs w:val="20"/>
              </w:rPr>
              <w:t>Total Number of Federal Staff</w:t>
            </w:r>
            <w:r w:rsidRPr="00F51ED1">
              <w:rPr>
                <w:rStyle w:val="eop"/>
                <w:sz w:val="20"/>
                <w:szCs w:val="20"/>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rsidR="002A1D25" w:rsidRPr="00F51ED1" w:rsidP="00864256" w14:paraId="241FBE9D" w14:textId="77777777">
            <w:pPr>
              <w:pStyle w:val="paragraph"/>
              <w:spacing w:before="0" w:beforeAutospacing="0" w:after="0" w:afterAutospacing="0"/>
              <w:jc w:val="center"/>
              <w:textAlignment w:val="baseline"/>
            </w:pPr>
            <w:r w:rsidRPr="00F51ED1">
              <w:rPr>
                <w:rStyle w:val="normaltextrun"/>
                <w:sz w:val="20"/>
                <w:szCs w:val="20"/>
              </w:rPr>
              <w:t>Total</w:t>
            </w:r>
            <w:r w:rsidRPr="00F51ED1">
              <w:rPr>
                <w:rStyle w:val="eop"/>
                <w:sz w:val="20"/>
                <w:szCs w:val="20"/>
              </w:rPr>
              <w:t> </w:t>
            </w:r>
          </w:p>
          <w:p w:rsidR="002A1D25" w:rsidRPr="00F51ED1" w:rsidP="00864256" w14:paraId="70E040E2" w14:textId="77777777">
            <w:pPr>
              <w:pStyle w:val="paragraph"/>
              <w:spacing w:before="0" w:beforeAutospacing="0" w:after="0" w:afterAutospacing="0"/>
              <w:jc w:val="center"/>
              <w:textAlignment w:val="baseline"/>
            </w:pPr>
            <w:r w:rsidRPr="00F51ED1">
              <w:rPr>
                <w:rStyle w:val="normaltextrun"/>
                <w:sz w:val="20"/>
                <w:szCs w:val="20"/>
              </w:rPr>
              <w:t>Burden Hours</w:t>
            </w:r>
            <w:r w:rsidRPr="00F51ED1">
              <w:rPr>
                <w:rStyle w:val="eop"/>
                <w:sz w:val="20"/>
                <w:szCs w:val="20"/>
              </w:rPr>
              <w: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rsidR="002A1D25" w:rsidRPr="00F51ED1" w:rsidP="00864256" w14:paraId="6626129D" w14:textId="77777777">
            <w:pPr>
              <w:pStyle w:val="paragraph"/>
              <w:spacing w:before="0" w:beforeAutospacing="0" w:after="0" w:afterAutospacing="0"/>
              <w:jc w:val="center"/>
              <w:textAlignment w:val="baseline"/>
            </w:pPr>
            <w:r w:rsidRPr="00F51ED1">
              <w:rPr>
                <w:rStyle w:val="normaltextrun"/>
                <w:sz w:val="20"/>
                <w:szCs w:val="20"/>
              </w:rPr>
              <w:t>Average Hourly Wage</w:t>
            </w:r>
            <w:r w:rsidRPr="00F51ED1">
              <w:rPr>
                <w:rStyle w:val="eop"/>
                <w:sz w:val="20"/>
                <w:szCs w:val="20"/>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rsidR="002A1D25" w:rsidRPr="00F51ED1" w:rsidP="00864256" w14:paraId="5DA4FC42" w14:textId="77777777">
            <w:pPr>
              <w:pStyle w:val="paragraph"/>
              <w:spacing w:before="0" w:beforeAutospacing="0" w:after="0" w:afterAutospacing="0"/>
              <w:jc w:val="center"/>
              <w:textAlignment w:val="baseline"/>
            </w:pPr>
            <w:r w:rsidRPr="00F51ED1">
              <w:rPr>
                <w:rStyle w:val="normaltextrun"/>
                <w:sz w:val="20"/>
                <w:szCs w:val="20"/>
              </w:rPr>
              <w:t>Total Cost</w:t>
            </w:r>
            <w:r w:rsidRPr="00F51ED1">
              <w:rPr>
                <w:rStyle w:val="eop"/>
                <w:sz w:val="20"/>
                <w:szCs w:val="20"/>
              </w:rPr>
              <w:t> </w:t>
            </w:r>
          </w:p>
        </w:tc>
      </w:tr>
      <w:tr w14:paraId="54FFBC65" w14:textId="77777777" w:rsidTr="00A0410B">
        <w:tblPrEx>
          <w:tblW w:w="9982" w:type="dxa"/>
          <w:tblLayout w:type="fixed"/>
          <w:tblCellMar>
            <w:left w:w="0" w:type="dxa"/>
            <w:right w:w="0" w:type="dxa"/>
          </w:tblCellMar>
          <w:tblLook w:val="04A0"/>
        </w:tblPrEx>
        <w:trPr>
          <w:trHeight w:val="42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1D25" w:rsidRPr="00F51ED1" w:rsidP="115C60B5" w14:paraId="2AA84D62" w14:textId="35A1241D">
            <w:pPr>
              <w:pStyle w:val="paragraph"/>
              <w:spacing w:before="0" w:beforeAutospacing="0" w:after="0" w:afterAutospacing="0" w:line="259" w:lineRule="auto"/>
              <w:rPr>
                <w:sz w:val="20"/>
                <w:szCs w:val="20"/>
              </w:rPr>
            </w:pPr>
            <w:r w:rsidRPr="115C60B5">
              <w:rPr>
                <w:sz w:val="20"/>
                <w:szCs w:val="20"/>
              </w:rPr>
              <w:t>1 (GS-12 Staff)</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1D25" w:rsidRPr="00A0410B" w:rsidP="00A0410B" w14:paraId="4C7288AC" w14:textId="07261A09">
            <w:pPr>
              <w:pStyle w:val="paragraph"/>
              <w:spacing w:before="0" w:beforeAutospacing="0" w:after="0" w:afterAutospacing="0"/>
              <w:jc w:val="center"/>
              <w:textAlignment w:val="baseline"/>
              <w:rPr>
                <w:sz w:val="20"/>
                <w:szCs w:val="20"/>
              </w:rPr>
            </w:pPr>
            <w:r w:rsidRPr="00A0410B">
              <w:rPr>
                <w:sz w:val="20"/>
                <w:szCs w:val="20"/>
              </w:rPr>
              <w:t>64</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1D25" w:rsidRPr="00F51ED1" w:rsidP="00A0410B" w14:paraId="60F21BF4" w14:textId="0A411BB6">
            <w:pPr>
              <w:pStyle w:val="paragraph"/>
              <w:spacing w:before="0" w:beforeAutospacing="0" w:after="0" w:afterAutospacing="0"/>
              <w:jc w:val="center"/>
              <w:textAlignment w:val="baseline"/>
            </w:pPr>
            <w:r w:rsidRPr="00A0410B">
              <w:rPr>
                <w:rStyle w:val="normaltextrun"/>
                <w:sz w:val="20"/>
                <w:szCs w:val="20"/>
              </w:rPr>
              <w:t>$95.06</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1D25" w:rsidRPr="00F51ED1" w:rsidP="00A0410B" w14:paraId="432747F1" w14:textId="4C52DDF9">
            <w:pPr>
              <w:pStyle w:val="paragraph"/>
              <w:spacing w:before="0" w:beforeAutospacing="0" w:after="0" w:afterAutospacing="0"/>
              <w:jc w:val="center"/>
              <w:textAlignment w:val="baseline"/>
            </w:pPr>
            <w:r w:rsidRPr="00F51ED1">
              <w:rPr>
                <w:rStyle w:val="normaltextrun"/>
                <w:sz w:val="20"/>
                <w:szCs w:val="20"/>
              </w:rPr>
              <w:t>$</w:t>
            </w:r>
            <w:r w:rsidRPr="00A0410B" w:rsidR="00A3294D">
              <w:rPr>
                <w:rStyle w:val="normaltextrun"/>
                <w:sz w:val="20"/>
                <w:szCs w:val="20"/>
              </w:rPr>
              <w:t>6,083.84</w:t>
            </w:r>
          </w:p>
        </w:tc>
      </w:tr>
      <w:tr w14:paraId="3DCA2066" w14:textId="77777777" w:rsidTr="00A0410B">
        <w:tblPrEx>
          <w:tblW w:w="9982" w:type="dxa"/>
          <w:tblLayout w:type="fixed"/>
          <w:tblCellMar>
            <w:left w:w="0" w:type="dxa"/>
            <w:right w:w="0" w:type="dxa"/>
          </w:tblCellMar>
          <w:tblLook w:val="04A0"/>
        </w:tblPrEx>
        <w:trPr>
          <w:trHeight w:val="42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1D25" w:rsidRPr="00A0410B" w:rsidP="115C60B5" w14:paraId="5F6AE039" w14:textId="3CB79EF1">
            <w:pPr>
              <w:pStyle w:val="paragraph"/>
              <w:spacing w:before="0" w:beforeAutospacing="0" w:after="0" w:afterAutospacing="0" w:line="259" w:lineRule="auto"/>
              <w:rPr>
                <w:sz w:val="20"/>
                <w:szCs w:val="20"/>
              </w:rPr>
            </w:pPr>
            <w:r w:rsidRPr="115C60B5">
              <w:rPr>
                <w:sz w:val="20"/>
                <w:szCs w:val="20"/>
              </w:rPr>
              <w:t>1 (GS-14 Staff)</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1D25" w:rsidRPr="00A0410B" w:rsidP="00A0410B" w14:paraId="3AF99B60" w14:textId="1EE7F097">
            <w:pPr>
              <w:pStyle w:val="paragraph"/>
              <w:spacing w:before="0" w:beforeAutospacing="0" w:after="0" w:afterAutospacing="0"/>
              <w:jc w:val="center"/>
              <w:textAlignment w:val="baseline"/>
              <w:rPr>
                <w:rStyle w:val="normaltextrun"/>
                <w:sz w:val="20"/>
                <w:szCs w:val="20"/>
              </w:rPr>
            </w:pPr>
            <w:r w:rsidRPr="00A0410B">
              <w:rPr>
                <w:rStyle w:val="normaltextrun"/>
                <w:sz w:val="20"/>
                <w:szCs w:val="20"/>
              </w:rPr>
              <w:t>64</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1D25" w:rsidRPr="00A0410B" w:rsidP="00A0410B" w14:paraId="14CA84F9" w14:textId="5FC22717">
            <w:pPr>
              <w:pStyle w:val="paragraph"/>
              <w:spacing w:before="0" w:beforeAutospacing="0" w:after="0" w:afterAutospacing="0"/>
              <w:jc w:val="center"/>
              <w:textAlignment w:val="baseline"/>
              <w:rPr>
                <w:rStyle w:val="normaltextrun"/>
                <w:sz w:val="20"/>
                <w:szCs w:val="20"/>
              </w:rPr>
            </w:pPr>
            <w:r w:rsidRPr="00A0410B">
              <w:rPr>
                <w:rStyle w:val="normaltextrun"/>
                <w:sz w:val="20"/>
                <w:szCs w:val="20"/>
              </w:rPr>
              <w:t>$</w:t>
            </w:r>
            <w:r w:rsidRPr="00A0410B" w:rsidR="6D8DA15E">
              <w:rPr>
                <w:rStyle w:val="normaltextrun"/>
                <w:sz w:val="20"/>
                <w:szCs w:val="20"/>
              </w:rPr>
              <w:t>133.58</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1D25" w:rsidRPr="00A0410B" w:rsidP="00A0410B" w14:paraId="385C08CB" w14:textId="26A38E30">
            <w:pPr>
              <w:pStyle w:val="paragraph"/>
              <w:spacing w:before="0" w:beforeAutospacing="0" w:after="0" w:afterAutospacing="0"/>
              <w:jc w:val="center"/>
              <w:textAlignment w:val="baseline"/>
              <w:rPr>
                <w:rStyle w:val="normaltextrun"/>
                <w:sz w:val="20"/>
                <w:szCs w:val="20"/>
              </w:rPr>
            </w:pPr>
            <w:r w:rsidRPr="00A0410B">
              <w:rPr>
                <w:rStyle w:val="normaltextrun"/>
                <w:sz w:val="20"/>
                <w:szCs w:val="20"/>
              </w:rPr>
              <w:t>$</w:t>
            </w:r>
            <w:r w:rsidRPr="00A0410B" w:rsidR="00A3294D">
              <w:rPr>
                <w:rStyle w:val="normaltextrun"/>
                <w:sz w:val="20"/>
                <w:szCs w:val="20"/>
              </w:rPr>
              <w:t>8,921</w:t>
            </w:r>
            <w:r w:rsidRPr="00A0410B" w:rsidR="00CB2521">
              <w:rPr>
                <w:rStyle w:val="normaltextrun"/>
                <w:sz w:val="20"/>
                <w:szCs w:val="20"/>
              </w:rPr>
              <w:t>.80</w:t>
            </w:r>
          </w:p>
        </w:tc>
      </w:tr>
      <w:tr w14:paraId="13D59499" w14:textId="77777777" w:rsidTr="00A0410B">
        <w:tblPrEx>
          <w:tblW w:w="9982" w:type="dxa"/>
          <w:tblLayout w:type="fixed"/>
          <w:tblCellMar>
            <w:left w:w="0" w:type="dxa"/>
            <w:right w:w="0" w:type="dxa"/>
          </w:tblCellMar>
          <w:tblLook w:val="04A0"/>
        </w:tblPrEx>
        <w:trPr>
          <w:trHeight w:val="42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A1D25" w:rsidRPr="00A0410B" w:rsidP="00864256" w14:paraId="61386960" w14:textId="45E4FA25">
            <w:pPr>
              <w:pStyle w:val="paragraph"/>
              <w:spacing w:before="0" w:beforeAutospacing="0" w:after="0" w:afterAutospacing="0"/>
              <w:textAlignment w:val="baseline"/>
              <w:rPr>
                <w:rStyle w:val="normaltextrun"/>
                <w:b/>
                <w:bCs/>
                <w:sz w:val="20"/>
                <w:szCs w:val="20"/>
              </w:rPr>
            </w:pPr>
            <w:r w:rsidRPr="00A0410B">
              <w:rPr>
                <w:rStyle w:val="normaltextrun"/>
                <w:b/>
                <w:bCs/>
                <w:sz w:val="20"/>
                <w:szCs w:val="20"/>
              </w:rPr>
              <w:t>Total Burden and Cost Estimates:</w:t>
            </w:r>
            <w:r w:rsidRPr="00A0410B">
              <w:rPr>
                <w:rStyle w:val="eop"/>
                <w:b/>
                <w:bCs/>
                <w:sz w:val="20"/>
                <w:szCs w:val="20"/>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A1D25" w:rsidRPr="00A0410B" w:rsidP="00A0410B" w14:paraId="37D24DE1" w14:textId="0ECDBBB8">
            <w:pPr>
              <w:pStyle w:val="paragraph"/>
              <w:spacing w:before="0" w:beforeAutospacing="0" w:after="0" w:afterAutospacing="0"/>
              <w:jc w:val="center"/>
              <w:textAlignment w:val="baseline"/>
              <w:rPr>
                <w:rStyle w:val="normaltextrun"/>
                <w:sz w:val="20"/>
                <w:szCs w:val="20"/>
              </w:rPr>
            </w:pPr>
          </w:p>
        </w:tc>
        <w:tc>
          <w:tcPr>
            <w:tcW w:w="2520" w:type="dxa"/>
          </w:tcPr>
          <w:p w:rsidR="002A1D25" w:rsidRPr="00A0410B" w:rsidP="00A0410B" w14:paraId="1A028DA7" w14:textId="77777777">
            <w:pPr>
              <w:pStyle w:val="paragraph"/>
              <w:spacing w:before="0" w:beforeAutospacing="0" w:after="0" w:afterAutospacing="0"/>
              <w:jc w:val="center"/>
              <w:textAlignment w:val="baseline"/>
              <w:rPr>
                <w:rStyle w:val="normaltextrun"/>
                <w:sz w:val="20"/>
                <w:szCs w:val="20"/>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1D25" w:rsidRPr="00A0410B" w:rsidP="00A0410B" w14:paraId="6F00FC22" w14:textId="12C1F251">
            <w:pPr>
              <w:pStyle w:val="paragraph"/>
              <w:spacing w:before="0" w:beforeAutospacing="0" w:after="0" w:afterAutospacing="0"/>
              <w:jc w:val="center"/>
              <w:textAlignment w:val="baseline"/>
              <w:rPr>
                <w:rStyle w:val="normaltextrun"/>
                <w:b/>
                <w:bCs/>
                <w:sz w:val="20"/>
                <w:szCs w:val="20"/>
              </w:rPr>
            </w:pPr>
            <w:r w:rsidRPr="00A0410B">
              <w:rPr>
                <w:rStyle w:val="normaltextrun"/>
                <w:b/>
                <w:bCs/>
                <w:sz w:val="20"/>
                <w:szCs w:val="20"/>
              </w:rPr>
              <w:t>$</w:t>
            </w:r>
            <w:r w:rsidRPr="00A0410B" w:rsidR="00707FBD">
              <w:rPr>
                <w:rStyle w:val="normaltextrun"/>
                <w:b/>
                <w:bCs/>
                <w:sz w:val="20"/>
                <w:szCs w:val="20"/>
              </w:rPr>
              <w:t>15,005.64</w:t>
            </w:r>
          </w:p>
        </w:tc>
      </w:tr>
    </w:tbl>
    <w:p w:rsidR="00945CD6" w:rsidRPr="00F51ED1" w:rsidP="008F570D" w14:paraId="4B385444" w14:textId="77777777">
      <w:pPr>
        <w:spacing w:after="120"/>
        <w:rPr>
          <w:b/>
        </w:rPr>
      </w:pPr>
      <w:r w:rsidRPr="00F51ED1">
        <w:rPr>
          <w:b/>
        </w:rPr>
        <w:t xml:space="preserve">A15. </w:t>
      </w:r>
      <w:r w:rsidRPr="00F51ED1">
        <w:rPr>
          <w:b/>
        </w:rPr>
        <w:t>Change in Burden</w:t>
      </w:r>
    </w:p>
    <w:p w:rsidR="00CB2ED6" w:rsidRPr="00CD01B4" w:rsidP="008F570D" w14:paraId="4B05A013" w14:textId="02FAB3E5">
      <w:r w:rsidRPr="00F51ED1">
        <w:t>This is for an individual information collection under the</w:t>
      </w:r>
      <w:r w:rsidRPr="00CD01B4">
        <w:t xml:space="preserve"> umbrella </w:t>
      </w:r>
      <w:r w:rsidRPr="00CD01B4" w:rsidR="001140AB">
        <w:t>formative generic clearance for program support (0970-0531</w:t>
      </w:r>
      <w:r w:rsidRPr="00CD01B4" w:rsidR="00542413">
        <w:t>).</w:t>
      </w:r>
    </w:p>
    <w:p w:rsidR="0033072C" w:rsidRPr="0014719D" w:rsidP="008F570D" w14:paraId="580F3480" w14:textId="77777777">
      <w:pPr>
        <w:ind w:left="360"/>
      </w:pPr>
    </w:p>
    <w:p w:rsidR="00945CD6" w:rsidRPr="0014719D" w:rsidP="008F570D" w14:paraId="347FE16D" w14:textId="77777777">
      <w:pPr>
        <w:spacing w:after="60"/>
        <w:rPr>
          <w:b/>
        </w:rPr>
      </w:pPr>
      <w:r w:rsidRPr="0014719D">
        <w:rPr>
          <w:b/>
        </w:rPr>
        <w:t xml:space="preserve">A16. </w:t>
      </w:r>
      <w:r w:rsidRPr="0014719D">
        <w:rPr>
          <w:b/>
        </w:rPr>
        <w:t>Plan and Time Schedule for Information Collection, Tabulation and Publication</w:t>
      </w:r>
    </w:p>
    <w:p w:rsidR="002338AC" w:rsidRPr="0014719D" w:rsidP="00CA27D2" w14:paraId="412227CC" w14:textId="225609B0">
      <w:r w:rsidRPr="0014719D">
        <w:t>Focus groups will be held for three separate policy and procedure evaluations</w:t>
      </w:r>
      <w:r w:rsidR="001D1943">
        <w:t xml:space="preserve">. </w:t>
      </w:r>
      <w:r w:rsidR="00061229">
        <w:t>The purpose includes updates to agency guidance</w:t>
      </w:r>
      <w:r w:rsidR="009A1EE8">
        <w:t xml:space="preserve">, such as the UC Policy Guide, </w:t>
      </w:r>
      <w:r w:rsidR="004E0D65">
        <w:t xml:space="preserve">UC </w:t>
      </w:r>
      <w:r w:rsidR="009A1EE8">
        <w:t>MA</w:t>
      </w:r>
      <w:r w:rsidR="00D37256">
        <w:t>P</w:t>
      </w:r>
      <w:r w:rsidR="00D04A1F">
        <w:t>, and FG, in addition to developing recommendations for training and tech</w:t>
      </w:r>
      <w:r w:rsidR="002057FE">
        <w:t>nical assistance support for ORR care providers.</w:t>
      </w:r>
      <w:r w:rsidR="009A1EE8">
        <w:t xml:space="preserve"> </w:t>
      </w:r>
      <w:r w:rsidR="001D1943">
        <w:t xml:space="preserve">Focus groups will begin following OMB approval and are anticipated to take place over a period of about a year. </w:t>
      </w:r>
      <w:r w:rsidRPr="0014719D">
        <w:t xml:space="preserve">ORR </w:t>
      </w:r>
      <w:r w:rsidR="001D1943">
        <w:t>plans to</w:t>
      </w:r>
      <w:r w:rsidRPr="0014719D" w:rsidR="001D1943">
        <w:t xml:space="preserve"> </w:t>
      </w:r>
      <w:r w:rsidRPr="0014719D">
        <w:t>compile a</w:t>
      </w:r>
      <w:r w:rsidRPr="0014719D" w:rsidR="00993762">
        <w:t xml:space="preserve">n internal </w:t>
      </w:r>
      <w:r w:rsidRPr="0014719D">
        <w:t>white paper</w:t>
      </w:r>
      <w:r w:rsidRPr="0014719D" w:rsidR="00752038">
        <w:t xml:space="preserve"> </w:t>
      </w:r>
      <w:r w:rsidRPr="0014719D" w:rsidR="00993762">
        <w:t xml:space="preserve">based </w:t>
      </w:r>
      <w:r w:rsidRPr="0014719D" w:rsidR="004B2B7F">
        <w:t>off</w:t>
      </w:r>
      <w:r w:rsidRPr="0014719D" w:rsidR="00993762">
        <w:t xml:space="preserve"> the analysis for ORR leadership, Division of UC Policy, and other ORR teams</w:t>
      </w:r>
      <w:r w:rsidRPr="0014719D" w:rsidR="00F359BF">
        <w:t>.</w:t>
      </w:r>
    </w:p>
    <w:p w:rsidR="002338AC" w:rsidRPr="0014719D" w:rsidP="008F570D" w14:paraId="5D35D3D0" w14:textId="065985E4">
      <w:pPr>
        <w:rPr>
          <w:b/>
        </w:rPr>
      </w:pPr>
    </w:p>
    <w:p w:rsidR="00945CD6" w:rsidRPr="0014719D" w:rsidP="008F570D" w14:paraId="750BBE88" w14:textId="77777777">
      <w:pPr>
        <w:spacing w:after="120"/>
        <w:rPr>
          <w:b/>
        </w:rPr>
      </w:pPr>
      <w:r w:rsidRPr="0014719D">
        <w:rPr>
          <w:b/>
        </w:rPr>
        <w:t xml:space="preserve">A17. </w:t>
      </w:r>
      <w:r w:rsidRPr="0014719D">
        <w:rPr>
          <w:b/>
        </w:rPr>
        <w:t>Reasons Not to Display OMB Expiration Date</w:t>
      </w:r>
    </w:p>
    <w:p w:rsidR="00D90EF6" w:rsidRPr="0014719D" w:rsidP="008F570D" w14:paraId="5E995DCB" w14:textId="77777777">
      <w:r w:rsidRPr="0014719D">
        <w:t>All instruments will display the expiration date for OMB approval.</w:t>
      </w:r>
    </w:p>
    <w:p w:rsidR="002338AC" w:rsidRPr="0014719D" w:rsidP="00CD01B4" w14:paraId="4920E2AE" w14:textId="77777777"/>
    <w:p w:rsidR="00945CD6" w:rsidRPr="0014719D" w:rsidP="008F570D" w14:paraId="0DA51717" w14:textId="77777777">
      <w:pPr>
        <w:spacing w:after="120"/>
        <w:rPr>
          <w:b/>
        </w:rPr>
      </w:pPr>
      <w:r w:rsidRPr="0014719D">
        <w:rPr>
          <w:b/>
        </w:rPr>
        <w:t>A18.</w:t>
      </w:r>
      <w:r w:rsidRPr="0014719D" w:rsidR="000B5EA8">
        <w:rPr>
          <w:b/>
        </w:rPr>
        <w:t xml:space="preserve"> Exceptions to Certification for Paperwork Reduction Act Submissions</w:t>
      </w:r>
    </w:p>
    <w:p w:rsidR="00D90EF6" w:rsidRPr="0014719D" w:rsidP="008F570D" w14:paraId="117373B9" w14:textId="77777777">
      <w:r w:rsidRPr="0014719D">
        <w:t>No exceptions are necessary for this information collection.</w:t>
      </w:r>
      <w:r w:rsidRPr="0014719D" w:rsidR="000B5EA8">
        <w:tab/>
      </w:r>
    </w:p>
    <w:p w:rsidR="00AA29C0" w:rsidRPr="0014719D" w:rsidP="008F570D" w14:paraId="356A923F" w14:textId="77777777"/>
    <w:p w:rsidR="00D06D5F" w:rsidRPr="0014719D" w:rsidP="008F570D" w14:paraId="54795446" w14:textId="77777777">
      <w:pPr>
        <w:tabs>
          <w:tab w:val="left" w:pos="360"/>
        </w:tabs>
      </w:pPr>
    </w:p>
    <w:p w:rsidR="00201F72" w:rsidRPr="0014719D" w:rsidP="00201F72" w14:paraId="12DE8FF2" w14:textId="77777777">
      <w:pPr>
        <w:spacing w:after="120"/>
        <w:rPr>
          <w:b/>
        </w:rPr>
      </w:pPr>
      <w:r w:rsidRPr="0014719D">
        <w:rPr>
          <w:b/>
        </w:rPr>
        <w:t>Attachments</w:t>
      </w:r>
    </w:p>
    <w:p w:rsidR="0072204D" w:rsidRPr="0072204D" w:rsidP="008F570D" w14:paraId="4DA2F605" w14:textId="66A75111">
      <w:r w:rsidRPr="0014719D">
        <w:t>Policy Evaluation Focus Gr</w:t>
      </w:r>
      <w:r>
        <w:t>oups</w:t>
      </w:r>
      <w:r w:rsidR="006B288A">
        <w:t xml:space="preserve"> </w:t>
      </w:r>
      <w:r w:rsidR="001D1943">
        <w:t>Semi-Structured Protocol</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378C5A"/>
    <w:multiLevelType w:val="hybridMultilevel"/>
    <w:tmpl w:val="673C05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C0655B"/>
    <w:multiLevelType w:val="hybridMultilevel"/>
    <w:tmpl w:val="4D02C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3794577">
    <w:abstractNumId w:val="4"/>
  </w:num>
  <w:num w:numId="2" w16cid:durableId="106315277">
    <w:abstractNumId w:val="1"/>
  </w:num>
  <w:num w:numId="3" w16cid:durableId="896166326">
    <w:abstractNumId w:val="16"/>
  </w:num>
  <w:num w:numId="4" w16cid:durableId="1574201047">
    <w:abstractNumId w:val="8"/>
  </w:num>
  <w:num w:numId="5" w16cid:durableId="97793292">
    <w:abstractNumId w:val="9"/>
  </w:num>
  <w:num w:numId="6" w16cid:durableId="1232155885">
    <w:abstractNumId w:val="19"/>
  </w:num>
  <w:num w:numId="7" w16cid:durableId="1953126552">
    <w:abstractNumId w:val="17"/>
  </w:num>
  <w:num w:numId="8" w16cid:durableId="1417704223">
    <w:abstractNumId w:val="11"/>
  </w:num>
  <w:num w:numId="9" w16cid:durableId="1245188661">
    <w:abstractNumId w:val="14"/>
  </w:num>
  <w:num w:numId="10" w16cid:durableId="95179102">
    <w:abstractNumId w:val="2"/>
  </w:num>
  <w:num w:numId="11" w16cid:durableId="1300065447">
    <w:abstractNumId w:val="0"/>
  </w:num>
  <w:num w:numId="12" w16cid:durableId="1635524921">
    <w:abstractNumId w:val="3"/>
  </w:num>
  <w:num w:numId="13" w16cid:durableId="1941373049">
    <w:abstractNumId w:val="20"/>
  </w:num>
  <w:num w:numId="14" w16cid:durableId="1371614399">
    <w:abstractNumId w:val="6"/>
  </w:num>
  <w:num w:numId="15" w16cid:durableId="1107232973">
    <w:abstractNumId w:val="7"/>
  </w:num>
  <w:num w:numId="16" w16cid:durableId="556671780">
    <w:abstractNumId w:val="24"/>
  </w:num>
  <w:num w:numId="17" w16cid:durableId="784811253">
    <w:abstractNumId w:val="25"/>
  </w:num>
  <w:num w:numId="18" w16cid:durableId="957876465">
    <w:abstractNumId w:val="22"/>
  </w:num>
  <w:num w:numId="19" w16cid:durableId="1512258629">
    <w:abstractNumId w:val="21"/>
  </w:num>
  <w:num w:numId="20" w16cid:durableId="971518329">
    <w:abstractNumId w:val="15"/>
  </w:num>
  <w:num w:numId="21" w16cid:durableId="294070715">
    <w:abstractNumId w:val="23"/>
  </w:num>
  <w:num w:numId="22" w16cid:durableId="1991515241">
    <w:abstractNumId w:val="12"/>
  </w:num>
  <w:num w:numId="23" w16cid:durableId="1237669408">
    <w:abstractNumId w:val="10"/>
  </w:num>
  <w:num w:numId="24" w16cid:durableId="1347633597">
    <w:abstractNumId w:val="5"/>
  </w:num>
  <w:num w:numId="25" w16cid:durableId="1774127009">
    <w:abstractNumId w:val="18"/>
  </w:num>
  <w:num w:numId="26" w16cid:durableId="544218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25CF"/>
    <w:rsid w:val="0003110A"/>
    <w:rsid w:val="0003369D"/>
    <w:rsid w:val="00037400"/>
    <w:rsid w:val="000431B8"/>
    <w:rsid w:val="00050889"/>
    <w:rsid w:val="00061229"/>
    <w:rsid w:val="000776A2"/>
    <w:rsid w:val="0008643E"/>
    <w:rsid w:val="00091C59"/>
    <w:rsid w:val="000964A6"/>
    <w:rsid w:val="000A7288"/>
    <w:rsid w:val="000B0CBD"/>
    <w:rsid w:val="000B5EA8"/>
    <w:rsid w:val="000C2596"/>
    <w:rsid w:val="000D44BC"/>
    <w:rsid w:val="000D53DF"/>
    <w:rsid w:val="000E6267"/>
    <w:rsid w:val="0010509C"/>
    <w:rsid w:val="001052AE"/>
    <w:rsid w:val="001140AB"/>
    <w:rsid w:val="001176A6"/>
    <w:rsid w:val="00122B82"/>
    <w:rsid w:val="00124EBF"/>
    <w:rsid w:val="00130457"/>
    <w:rsid w:val="00142277"/>
    <w:rsid w:val="0014719D"/>
    <w:rsid w:val="00157CE6"/>
    <w:rsid w:val="0016012E"/>
    <w:rsid w:val="00183C0F"/>
    <w:rsid w:val="001A3187"/>
    <w:rsid w:val="001A413D"/>
    <w:rsid w:val="001A5AF9"/>
    <w:rsid w:val="001B6DE1"/>
    <w:rsid w:val="001C4D60"/>
    <w:rsid w:val="001D1943"/>
    <w:rsid w:val="001F1127"/>
    <w:rsid w:val="00201C41"/>
    <w:rsid w:val="00201F72"/>
    <w:rsid w:val="0020382F"/>
    <w:rsid w:val="00204A6A"/>
    <w:rsid w:val="002057FE"/>
    <w:rsid w:val="002231FA"/>
    <w:rsid w:val="002259DA"/>
    <w:rsid w:val="002338AC"/>
    <w:rsid w:val="00234E8D"/>
    <w:rsid w:val="00235A6D"/>
    <w:rsid w:val="002408DE"/>
    <w:rsid w:val="0025173C"/>
    <w:rsid w:val="00253148"/>
    <w:rsid w:val="0027084C"/>
    <w:rsid w:val="002764DD"/>
    <w:rsid w:val="00292B70"/>
    <w:rsid w:val="002947CC"/>
    <w:rsid w:val="002A1D25"/>
    <w:rsid w:val="002A1F68"/>
    <w:rsid w:val="002A2B20"/>
    <w:rsid w:val="002A319B"/>
    <w:rsid w:val="002B487B"/>
    <w:rsid w:val="002B4DBE"/>
    <w:rsid w:val="002C1C27"/>
    <w:rsid w:val="002C4F75"/>
    <w:rsid w:val="002D3221"/>
    <w:rsid w:val="002D4B0A"/>
    <w:rsid w:val="002E6243"/>
    <w:rsid w:val="002F1197"/>
    <w:rsid w:val="002F3942"/>
    <w:rsid w:val="00304C83"/>
    <w:rsid w:val="00304D73"/>
    <w:rsid w:val="00306596"/>
    <w:rsid w:val="00316F6B"/>
    <w:rsid w:val="003277CF"/>
    <w:rsid w:val="00327B2E"/>
    <w:rsid w:val="0033072C"/>
    <w:rsid w:val="0033771B"/>
    <w:rsid w:val="0034253D"/>
    <w:rsid w:val="00374DAB"/>
    <w:rsid w:val="0038291A"/>
    <w:rsid w:val="003A6946"/>
    <w:rsid w:val="003B3345"/>
    <w:rsid w:val="003B51B4"/>
    <w:rsid w:val="003C4449"/>
    <w:rsid w:val="003D5231"/>
    <w:rsid w:val="00400D90"/>
    <w:rsid w:val="00404602"/>
    <w:rsid w:val="004222F8"/>
    <w:rsid w:val="00422C1B"/>
    <w:rsid w:val="004350B1"/>
    <w:rsid w:val="00436F5E"/>
    <w:rsid w:val="004522FF"/>
    <w:rsid w:val="004554B1"/>
    <w:rsid w:val="00456E2F"/>
    <w:rsid w:val="00462925"/>
    <w:rsid w:val="00482DDE"/>
    <w:rsid w:val="004912D0"/>
    <w:rsid w:val="004A44DD"/>
    <w:rsid w:val="004B2B7F"/>
    <w:rsid w:val="004B587E"/>
    <w:rsid w:val="004C2ADD"/>
    <w:rsid w:val="004D0274"/>
    <w:rsid w:val="004D6CA9"/>
    <w:rsid w:val="004E05EE"/>
    <w:rsid w:val="004E0D65"/>
    <w:rsid w:val="004F4E1D"/>
    <w:rsid w:val="005046F0"/>
    <w:rsid w:val="00520737"/>
    <w:rsid w:val="00522926"/>
    <w:rsid w:val="00523E1C"/>
    <w:rsid w:val="00524A62"/>
    <w:rsid w:val="00531099"/>
    <w:rsid w:val="005353B7"/>
    <w:rsid w:val="00541024"/>
    <w:rsid w:val="00542413"/>
    <w:rsid w:val="0054269F"/>
    <w:rsid w:val="00592F34"/>
    <w:rsid w:val="005A64C5"/>
    <w:rsid w:val="005C5329"/>
    <w:rsid w:val="005E5101"/>
    <w:rsid w:val="005E557F"/>
    <w:rsid w:val="005F2061"/>
    <w:rsid w:val="006010CA"/>
    <w:rsid w:val="0060503B"/>
    <w:rsid w:val="00607351"/>
    <w:rsid w:val="006228E1"/>
    <w:rsid w:val="00644309"/>
    <w:rsid w:val="00651DBA"/>
    <w:rsid w:val="00652ADE"/>
    <w:rsid w:val="00657424"/>
    <w:rsid w:val="00680FFE"/>
    <w:rsid w:val="00687A03"/>
    <w:rsid w:val="006A7EFA"/>
    <w:rsid w:val="006B288A"/>
    <w:rsid w:val="006B6845"/>
    <w:rsid w:val="006C0DE9"/>
    <w:rsid w:val="006C19AF"/>
    <w:rsid w:val="006D2637"/>
    <w:rsid w:val="00701045"/>
    <w:rsid w:val="00707FBD"/>
    <w:rsid w:val="00711BC5"/>
    <w:rsid w:val="0072204D"/>
    <w:rsid w:val="007250A3"/>
    <w:rsid w:val="00731476"/>
    <w:rsid w:val="00736F1D"/>
    <w:rsid w:val="007436AA"/>
    <w:rsid w:val="00752038"/>
    <w:rsid w:val="00765BE4"/>
    <w:rsid w:val="00772457"/>
    <w:rsid w:val="0077465C"/>
    <w:rsid w:val="00784137"/>
    <w:rsid w:val="0078498A"/>
    <w:rsid w:val="00787C81"/>
    <w:rsid w:val="00791BE2"/>
    <w:rsid w:val="007959C5"/>
    <w:rsid w:val="007A075B"/>
    <w:rsid w:val="007D295D"/>
    <w:rsid w:val="00805E97"/>
    <w:rsid w:val="00806712"/>
    <w:rsid w:val="00807CDE"/>
    <w:rsid w:val="00811A3E"/>
    <w:rsid w:val="00837AE7"/>
    <w:rsid w:val="00840CB4"/>
    <w:rsid w:val="00864256"/>
    <w:rsid w:val="0087234E"/>
    <w:rsid w:val="0087601C"/>
    <w:rsid w:val="00877346"/>
    <w:rsid w:val="0088077A"/>
    <w:rsid w:val="008836AF"/>
    <w:rsid w:val="008B2CE6"/>
    <w:rsid w:val="008B7F2C"/>
    <w:rsid w:val="008C6A6B"/>
    <w:rsid w:val="008C78B4"/>
    <w:rsid w:val="008F10A2"/>
    <w:rsid w:val="008F293B"/>
    <w:rsid w:val="008F570D"/>
    <w:rsid w:val="00921B3A"/>
    <w:rsid w:val="00932D71"/>
    <w:rsid w:val="00945CD6"/>
    <w:rsid w:val="00957296"/>
    <w:rsid w:val="00957AE3"/>
    <w:rsid w:val="009648CE"/>
    <w:rsid w:val="00984BBF"/>
    <w:rsid w:val="00984CA2"/>
    <w:rsid w:val="009927AF"/>
    <w:rsid w:val="00993762"/>
    <w:rsid w:val="009A1EE8"/>
    <w:rsid w:val="009A4DDD"/>
    <w:rsid w:val="009B1638"/>
    <w:rsid w:val="009D47D2"/>
    <w:rsid w:val="009D740D"/>
    <w:rsid w:val="009E28C8"/>
    <w:rsid w:val="009F2D37"/>
    <w:rsid w:val="00A020E8"/>
    <w:rsid w:val="00A0410B"/>
    <w:rsid w:val="00A06D5B"/>
    <w:rsid w:val="00A3294D"/>
    <w:rsid w:val="00A35B0D"/>
    <w:rsid w:val="00A35E23"/>
    <w:rsid w:val="00A3724C"/>
    <w:rsid w:val="00A412C5"/>
    <w:rsid w:val="00A44209"/>
    <w:rsid w:val="00A44776"/>
    <w:rsid w:val="00A57434"/>
    <w:rsid w:val="00A63608"/>
    <w:rsid w:val="00A77C77"/>
    <w:rsid w:val="00A850DF"/>
    <w:rsid w:val="00AA29C0"/>
    <w:rsid w:val="00AB7A79"/>
    <w:rsid w:val="00AC53A6"/>
    <w:rsid w:val="00AC5DF5"/>
    <w:rsid w:val="00AD5643"/>
    <w:rsid w:val="00ADE456"/>
    <w:rsid w:val="00AF5398"/>
    <w:rsid w:val="00B03A7F"/>
    <w:rsid w:val="00B06E57"/>
    <w:rsid w:val="00B14396"/>
    <w:rsid w:val="00B27F63"/>
    <w:rsid w:val="00B66874"/>
    <w:rsid w:val="00B73ACF"/>
    <w:rsid w:val="00B80ECB"/>
    <w:rsid w:val="00B84547"/>
    <w:rsid w:val="00B91D97"/>
    <w:rsid w:val="00B961EB"/>
    <w:rsid w:val="00BA3A80"/>
    <w:rsid w:val="00BA4976"/>
    <w:rsid w:val="00BB13A6"/>
    <w:rsid w:val="00BB2FD2"/>
    <w:rsid w:val="00BC1C5B"/>
    <w:rsid w:val="00BD457F"/>
    <w:rsid w:val="00BD4CFB"/>
    <w:rsid w:val="00BD4D27"/>
    <w:rsid w:val="00BE7952"/>
    <w:rsid w:val="00C01930"/>
    <w:rsid w:val="00C06AB0"/>
    <w:rsid w:val="00C06C47"/>
    <w:rsid w:val="00C12B95"/>
    <w:rsid w:val="00C1599E"/>
    <w:rsid w:val="00C1674B"/>
    <w:rsid w:val="00C248D6"/>
    <w:rsid w:val="00C451F4"/>
    <w:rsid w:val="00C52B9C"/>
    <w:rsid w:val="00C56EA9"/>
    <w:rsid w:val="00C5790D"/>
    <w:rsid w:val="00C90487"/>
    <w:rsid w:val="00CA27D2"/>
    <w:rsid w:val="00CA7701"/>
    <w:rsid w:val="00CB2521"/>
    <w:rsid w:val="00CB2ED6"/>
    <w:rsid w:val="00CC2CD1"/>
    <w:rsid w:val="00CD01B4"/>
    <w:rsid w:val="00CD2718"/>
    <w:rsid w:val="00CE6EFF"/>
    <w:rsid w:val="00CF30A0"/>
    <w:rsid w:val="00D00A17"/>
    <w:rsid w:val="00D012A6"/>
    <w:rsid w:val="00D04A1F"/>
    <w:rsid w:val="00D06D5F"/>
    <w:rsid w:val="00D0778C"/>
    <w:rsid w:val="00D25455"/>
    <w:rsid w:val="00D277B1"/>
    <w:rsid w:val="00D37256"/>
    <w:rsid w:val="00D40C22"/>
    <w:rsid w:val="00D440F6"/>
    <w:rsid w:val="00D44EA5"/>
    <w:rsid w:val="00D519D9"/>
    <w:rsid w:val="00D53980"/>
    <w:rsid w:val="00D90EF6"/>
    <w:rsid w:val="00D92518"/>
    <w:rsid w:val="00D964BC"/>
    <w:rsid w:val="00DA3CF3"/>
    <w:rsid w:val="00DB16A0"/>
    <w:rsid w:val="00DC538C"/>
    <w:rsid w:val="00DD00B9"/>
    <w:rsid w:val="00DF264F"/>
    <w:rsid w:val="00E00860"/>
    <w:rsid w:val="00E05A0A"/>
    <w:rsid w:val="00E36764"/>
    <w:rsid w:val="00E41D46"/>
    <w:rsid w:val="00E45915"/>
    <w:rsid w:val="00E460BA"/>
    <w:rsid w:val="00E53D8B"/>
    <w:rsid w:val="00E72E9A"/>
    <w:rsid w:val="00E86DB9"/>
    <w:rsid w:val="00E9056F"/>
    <w:rsid w:val="00E9077C"/>
    <w:rsid w:val="00E91E3E"/>
    <w:rsid w:val="00EA12DE"/>
    <w:rsid w:val="00EB4E61"/>
    <w:rsid w:val="00EB5B54"/>
    <w:rsid w:val="00EC329F"/>
    <w:rsid w:val="00EE116F"/>
    <w:rsid w:val="00EE1B35"/>
    <w:rsid w:val="00EF0FEB"/>
    <w:rsid w:val="00EF4ACA"/>
    <w:rsid w:val="00F359BF"/>
    <w:rsid w:val="00F46F0E"/>
    <w:rsid w:val="00F514D1"/>
    <w:rsid w:val="00F51ED1"/>
    <w:rsid w:val="00F73374"/>
    <w:rsid w:val="00FA05FE"/>
    <w:rsid w:val="00FA43B1"/>
    <w:rsid w:val="00FC04C5"/>
    <w:rsid w:val="00FC196A"/>
    <w:rsid w:val="00FD024A"/>
    <w:rsid w:val="00FD1B70"/>
    <w:rsid w:val="00FD52E5"/>
    <w:rsid w:val="00FD7600"/>
    <w:rsid w:val="00FF3048"/>
    <w:rsid w:val="014A4C71"/>
    <w:rsid w:val="02188EAB"/>
    <w:rsid w:val="026C433C"/>
    <w:rsid w:val="035B4D4A"/>
    <w:rsid w:val="03D0D2B4"/>
    <w:rsid w:val="061C0484"/>
    <w:rsid w:val="06DA62EC"/>
    <w:rsid w:val="07285367"/>
    <w:rsid w:val="07615A22"/>
    <w:rsid w:val="0766339B"/>
    <w:rsid w:val="08A41571"/>
    <w:rsid w:val="08AC9721"/>
    <w:rsid w:val="0B1AFE33"/>
    <w:rsid w:val="0BCA55B9"/>
    <w:rsid w:val="0BCF34BB"/>
    <w:rsid w:val="0C26A698"/>
    <w:rsid w:val="0C6A69B0"/>
    <w:rsid w:val="0D0413A4"/>
    <w:rsid w:val="0DC4A658"/>
    <w:rsid w:val="0DD76A4E"/>
    <w:rsid w:val="10900BF0"/>
    <w:rsid w:val="115C60B5"/>
    <w:rsid w:val="1264F796"/>
    <w:rsid w:val="12A400F3"/>
    <w:rsid w:val="136AF0EF"/>
    <w:rsid w:val="13FB71C5"/>
    <w:rsid w:val="143C215E"/>
    <w:rsid w:val="1502D8DF"/>
    <w:rsid w:val="171CA292"/>
    <w:rsid w:val="177B355E"/>
    <w:rsid w:val="18B46793"/>
    <w:rsid w:val="19914272"/>
    <w:rsid w:val="1A7E035B"/>
    <w:rsid w:val="1A84AB86"/>
    <w:rsid w:val="1AF4E05F"/>
    <w:rsid w:val="1E7B07CC"/>
    <w:rsid w:val="1F01DD6C"/>
    <w:rsid w:val="2029C45F"/>
    <w:rsid w:val="20ABE7D5"/>
    <w:rsid w:val="21C9076D"/>
    <w:rsid w:val="2342EBDE"/>
    <w:rsid w:val="23EFE0B1"/>
    <w:rsid w:val="25F6A3D5"/>
    <w:rsid w:val="264A18E0"/>
    <w:rsid w:val="26661C9D"/>
    <w:rsid w:val="27FB2CEA"/>
    <w:rsid w:val="28536A2D"/>
    <w:rsid w:val="28AEBC14"/>
    <w:rsid w:val="28B96169"/>
    <w:rsid w:val="2A8E05AF"/>
    <w:rsid w:val="2C54E312"/>
    <w:rsid w:val="2C58471C"/>
    <w:rsid w:val="2D561831"/>
    <w:rsid w:val="2D5F60AF"/>
    <w:rsid w:val="2DA6DD8D"/>
    <w:rsid w:val="2DE76B0D"/>
    <w:rsid w:val="2DFAF7AB"/>
    <w:rsid w:val="2E99289C"/>
    <w:rsid w:val="2EE71206"/>
    <w:rsid w:val="2F2A5B07"/>
    <w:rsid w:val="309F86CB"/>
    <w:rsid w:val="30BA9948"/>
    <w:rsid w:val="31EF1409"/>
    <w:rsid w:val="326E5E87"/>
    <w:rsid w:val="342FF093"/>
    <w:rsid w:val="34ED8B24"/>
    <w:rsid w:val="35209A5F"/>
    <w:rsid w:val="374970B0"/>
    <w:rsid w:val="3789F789"/>
    <w:rsid w:val="37AA7675"/>
    <w:rsid w:val="380D1767"/>
    <w:rsid w:val="387EA75B"/>
    <w:rsid w:val="39AED795"/>
    <w:rsid w:val="3A024F9A"/>
    <w:rsid w:val="3BC4267B"/>
    <w:rsid w:val="3C23F326"/>
    <w:rsid w:val="3C353CA8"/>
    <w:rsid w:val="3C440A47"/>
    <w:rsid w:val="3C71AF72"/>
    <w:rsid w:val="3E68F24C"/>
    <w:rsid w:val="403D5B83"/>
    <w:rsid w:val="42DF3DC5"/>
    <w:rsid w:val="43F3E0AE"/>
    <w:rsid w:val="455591FB"/>
    <w:rsid w:val="45A779AC"/>
    <w:rsid w:val="45AA8120"/>
    <w:rsid w:val="45BD336D"/>
    <w:rsid w:val="473C95DE"/>
    <w:rsid w:val="485A11D6"/>
    <w:rsid w:val="4892110C"/>
    <w:rsid w:val="48CE973D"/>
    <w:rsid w:val="494E2D4D"/>
    <w:rsid w:val="4997EE21"/>
    <w:rsid w:val="4A907548"/>
    <w:rsid w:val="4AF0CE01"/>
    <w:rsid w:val="4BA6E564"/>
    <w:rsid w:val="4BA9619D"/>
    <w:rsid w:val="4C99B709"/>
    <w:rsid w:val="4CB875C8"/>
    <w:rsid w:val="4D9E6CB3"/>
    <w:rsid w:val="4FDB22AA"/>
    <w:rsid w:val="505B2DC9"/>
    <w:rsid w:val="51598749"/>
    <w:rsid w:val="517DDACD"/>
    <w:rsid w:val="5211C39C"/>
    <w:rsid w:val="5493CBAE"/>
    <w:rsid w:val="55A23A11"/>
    <w:rsid w:val="566974D3"/>
    <w:rsid w:val="56B9B2F2"/>
    <w:rsid w:val="56DB7897"/>
    <w:rsid w:val="57335C57"/>
    <w:rsid w:val="58E44760"/>
    <w:rsid w:val="59281207"/>
    <w:rsid w:val="594C3D04"/>
    <w:rsid w:val="5B71C435"/>
    <w:rsid w:val="5C8B9F2F"/>
    <w:rsid w:val="5C9CE403"/>
    <w:rsid w:val="5E197C58"/>
    <w:rsid w:val="5E62D59E"/>
    <w:rsid w:val="5F110713"/>
    <w:rsid w:val="5F15E0AB"/>
    <w:rsid w:val="6017F1C0"/>
    <w:rsid w:val="61340D03"/>
    <w:rsid w:val="6201584C"/>
    <w:rsid w:val="62906886"/>
    <w:rsid w:val="62E797B0"/>
    <w:rsid w:val="66904E87"/>
    <w:rsid w:val="66DC8288"/>
    <w:rsid w:val="682F075A"/>
    <w:rsid w:val="68C444ED"/>
    <w:rsid w:val="6973D603"/>
    <w:rsid w:val="69B5EBD3"/>
    <w:rsid w:val="6AD69CE0"/>
    <w:rsid w:val="6D8DA15E"/>
    <w:rsid w:val="6F4F206E"/>
    <w:rsid w:val="70A64C03"/>
    <w:rsid w:val="7121B924"/>
    <w:rsid w:val="7217BB4F"/>
    <w:rsid w:val="727147DA"/>
    <w:rsid w:val="73373D22"/>
    <w:rsid w:val="733C7CF5"/>
    <w:rsid w:val="73DD7524"/>
    <w:rsid w:val="75CE5D94"/>
    <w:rsid w:val="75FB6413"/>
    <w:rsid w:val="763FB3EE"/>
    <w:rsid w:val="7649E698"/>
    <w:rsid w:val="764C14E2"/>
    <w:rsid w:val="76582421"/>
    <w:rsid w:val="7821E9B8"/>
    <w:rsid w:val="78F4DDDB"/>
    <w:rsid w:val="79385934"/>
    <w:rsid w:val="7981B659"/>
    <w:rsid w:val="79B70C98"/>
    <w:rsid w:val="79C5D6C8"/>
    <w:rsid w:val="7B78D4FD"/>
    <w:rsid w:val="7CA6CE17"/>
    <w:rsid w:val="7D01FCFA"/>
    <w:rsid w:val="7D1D79E9"/>
    <w:rsid w:val="7DEC1D7A"/>
    <w:rsid w:val="7E2B1B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D1C0F4"/>
  <w15:docId w15:val="{995731A6-E5A4-4E61-8A84-12526446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9927AF"/>
    <w:rPr>
      <w:sz w:val="24"/>
      <w:szCs w:val="24"/>
    </w:rPr>
  </w:style>
  <w:style w:type="character" w:styleId="Mention">
    <w:name w:val="Mention"/>
    <w:basedOn w:val="DefaultParagraphFont"/>
    <w:uiPriority w:val="99"/>
    <w:unhideWhenUsed/>
    <w:rsid w:val="00687A03"/>
    <w:rPr>
      <w:color w:val="2B579A"/>
      <w:shd w:val="clear" w:color="auto" w:fill="E1DFDD"/>
    </w:rPr>
  </w:style>
  <w:style w:type="paragraph" w:customStyle="1" w:styleId="paragraph">
    <w:name w:val="paragraph"/>
    <w:basedOn w:val="Normal"/>
    <w:rsid w:val="00864256"/>
    <w:pPr>
      <w:spacing w:before="100" w:beforeAutospacing="1" w:after="100" w:afterAutospacing="1"/>
    </w:pPr>
  </w:style>
  <w:style w:type="character" w:customStyle="1" w:styleId="normaltextrun">
    <w:name w:val="normaltextrun"/>
    <w:basedOn w:val="DefaultParagraphFont"/>
    <w:rsid w:val="00864256"/>
  </w:style>
  <w:style w:type="character" w:customStyle="1" w:styleId="eop">
    <w:name w:val="eop"/>
    <w:basedOn w:val="DefaultParagraphFont"/>
    <w:rsid w:val="0086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Matthew, Resa (ACF)</DisplayName>
        <AccountId>49</AccountId>
        <AccountType/>
      </UserInfo>
      <UserInfo>
        <DisplayName>Sawyer, Chad (ACF)</DisplayName>
        <AccountId>148</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AE4D401B-4170-44D5-AFE1-9A7A760E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documentManagement/types"/>
    <ds:schemaRef ds:uri="http://purl.org/dc/elements/1.1/"/>
    <ds:schemaRef ds:uri="6f2f78f1-91a5-4d68-8b46-c99d45c19e6d"/>
    <ds:schemaRef ds:uri="23ef38b6-7648-470d-b5e3-09395448522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1663</Words>
  <Characters>9484</Characters>
  <Application>Microsoft Office Word</Application>
  <DocSecurity>0</DocSecurity>
  <Lines>79</Lines>
  <Paragraphs>22</Paragraphs>
  <ScaleCrop>false</ScaleCrop>
  <Company>DHHS</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2009-01-26T16:35:00Z</cp:lastPrinted>
  <dcterms:created xsi:type="dcterms:W3CDTF">2025-01-13T11:40:00Z</dcterms:created>
  <dcterms:modified xsi:type="dcterms:W3CDTF">2025-01-13T11:45:00Z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