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15FB" w:rsidRPr="00BB15FB" w:rsidP="00BB15FB" w14:paraId="0B1D18FB" w14:textId="064DFD8C">
      <w:pPr>
        <w:pStyle w:val="Heading1"/>
        <w:spacing w:before="0" w:after="0"/>
        <w:jc w:val="center"/>
        <w:rPr>
          <w:rFonts w:ascii="Times New Roman" w:hAnsi="Times New Roman"/>
          <w:sz w:val="24"/>
          <w:szCs w:val="24"/>
        </w:rPr>
      </w:pPr>
      <w:r>
        <w:rPr>
          <w:rFonts w:ascii="Times New Roman" w:hAnsi="Times New Roman"/>
          <w:sz w:val="24"/>
          <w:szCs w:val="24"/>
        </w:rPr>
        <w:t xml:space="preserve">Addendum to the </w:t>
      </w:r>
      <w:r w:rsidRPr="00BB15FB">
        <w:rPr>
          <w:rFonts w:ascii="Times New Roman" w:hAnsi="Times New Roman"/>
          <w:sz w:val="24"/>
          <w:szCs w:val="24"/>
        </w:rPr>
        <w:t xml:space="preserve">Supporting Statement for </w:t>
      </w:r>
    </w:p>
    <w:p w:rsidR="00BB15FB" w:rsidRPr="00BB15FB" w:rsidP="00BB15FB" w14:paraId="76540582" w14:textId="77777777">
      <w:pPr>
        <w:pStyle w:val="Heading1"/>
        <w:spacing w:before="0" w:after="0"/>
        <w:jc w:val="center"/>
        <w:rPr>
          <w:rFonts w:ascii="Times New Roman" w:hAnsi="Times New Roman"/>
          <w:sz w:val="24"/>
          <w:szCs w:val="24"/>
        </w:rPr>
      </w:pPr>
      <w:r w:rsidRPr="00BB15FB">
        <w:rPr>
          <w:rFonts w:ascii="Times New Roman" w:hAnsi="Times New Roman"/>
          <w:sz w:val="24"/>
          <w:szCs w:val="24"/>
        </w:rPr>
        <w:t>Electronic Consent Based Social Security Number Verification (</w:t>
      </w:r>
      <w:r w:rsidRPr="00BB15FB">
        <w:rPr>
          <w:rFonts w:ascii="Times New Roman" w:hAnsi="Times New Roman"/>
          <w:sz w:val="24"/>
          <w:szCs w:val="24"/>
        </w:rPr>
        <w:t>eCBSV</w:t>
      </w:r>
      <w:r w:rsidRPr="00BB15FB">
        <w:rPr>
          <w:rFonts w:ascii="Times New Roman" w:hAnsi="Times New Roman"/>
          <w:sz w:val="24"/>
          <w:szCs w:val="24"/>
        </w:rPr>
        <w:t>)</w:t>
      </w:r>
    </w:p>
    <w:p w:rsidR="00BB15FB" w:rsidRPr="00BB15FB" w:rsidP="00BB15FB" w14:paraId="10645280" w14:textId="77777777">
      <w:pPr>
        <w:pStyle w:val="Heading1"/>
        <w:spacing w:before="0" w:after="0"/>
        <w:jc w:val="center"/>
        <w:rPr>
          <w:rFonts w:ascii="Times New Roman" w:hAnsi="Times New Roman"/>
          <w:sz w:val="24"/>
          <w:szCs w:val="24"/>
        </w:rPr>
      </w:pPr>
      <w:r w:rsidRPr="00BB15FB">
        <w:rPr>
          <w:rFonts w:ascii="Times New Roman" w:hAnsi="Times New Roman"/>
          <w:sz w:val="24"/>
          <w:szCs w:val="24"/>
        </w:rPr>
        <w:t>20 CFR 401.100</w:t>
      </w:r>
    </w:p>
    <w:p w:rsidR="00F139C5" w:rsidRPr="00BB15FB" w:rsidP="00BB15FB" w14:paraId="109A90E2" w14:textId="73BDBF28">
      <w:pPr>
        <w:jc w:val="center"/>
        <w:rPr>
          <w:rFonts w:ascii="Times New Roman" w:hAnsi="Times New Roman"/>
          <w:b/>
          <w:bCs/>
        </w:rPr>
      </w:pPr>
      <w:r w:rsidRPr="00BB15FB">
        <w:rPr>
          <w:rFonts w:ascii="Times New Roman" w:hAnsi="Times New Roman"/>
          <w:b/>
          <w:bCs/>
        </w:rPr>
        <w:t>OMB No. 0960-0817</w:t>
      </w:r>
    </w:p>
    <w:p w:rsidR="00C03EDF" w:rsidP="00F139C5" w14:paraId="505A2DF7" w14:textId="14B4D5D1">
      <w:pPr>
        <w:jc w:val="center"/>
        <w:rPr>
          <w:rFonts w:ascii="Times New Roman" w:hAnsi="Times New Roman"/>
        </w:rPr>
      </w:pPr>
    </w:p>
    <w:p w:rsidR="00BB15FB" w:rsidP="002E4114" w14:paraId="39BFB500" w14:textId="52DA206C">
      <w:pPr>
        <w:widowControl/>
        <w:snapToGrid/>
        <w:rPr>
          <w:rFonts w:ascii="Times New Roman" w:eastAsia="Calibri" w:hAnsi="Times New Roman"/>
          <w:b/>
          <w:u w:val="single"/>
        </w:rPr>
      </w:pPr>
      <w:r>
        <w:rPr>
          <w:rFonts w:ascii="Times New Roman" w:eastAsia="Calibri" w:hAnsi="Times New Roman"/>
          <w:b/>
          <w:u w:val="single"/>
        </w:rPr>
        <w:t>Terms of Clearance</w:t>
      </w:r>
    </w:p>
    <w:p w:rsidR="00BB15FB" w:rsidP="00BB15FB" w14:paraId="6FB2D6BD" w14:textId="77777777">
      <w:pPr>
        <w:rPr>
          <w:rFonts w:ascii="Times New Roman" w:hAnsi="Times New Roman"/>
          <w:u w:val="single"/>
        </w:rPr>
      </w:pPr>
    </w:p>
    <w:p w:rsidR="00BB15FB" w:rsidP="00BB15FB" w14:paraId="3AE50ACB" w14:textId="4A5C233F">
      <w:pPr>
        <w:widowControl/>
        <w:snapToGrid/>
        <w:rPr>
          <w:rFonts w:ascii="Times New Roman" w:hAnsi="Times New Roman"/>
        </w:rPr>
      </w:pPr>
      <w:r>
        <w:rPr>
          <w:rFonts w:ascii="Times New Roman" w:hAnsi="Times New Roman"/>
        </w:rPr>
        <w:t xml:space="preserve">OMB placed the following Terms of Clearance on this Information Collection when they </w:t>
      </w:r>
      <w:r>
        <w:rPr>
          <w:rFonts w:ascii="Times New Roman" w:hAnsi="Times New Roman"/>
        </w:rPr>
        <w:t>approved the Change Request on May 29, 2025</w:t>
      </w:r>
      <w:r>
        <w:rPr>
          <w:rFonts w:ascii="Times New Roman" w:hAnsi="Times New Roman"/>
        </w:rPr>
        <w:t>:</w:t>
      </w:r>
    </w:p>
    <w:p w:rsidR="00BB15FB" w:rsidP="00BB15FB" w14:paraId="7FDBEA94" w14:textId="77777777">
      <w:pPr>
        <w:rPr>
          <w:rFonts w:ascii="Times New Roman" w:hAnsi="Times New Roman"/>
        </w:rPr>
      </w:pPr>
    </w:p>
    <w:p w:rsidR="00BB15FB" w:rsidP="00BB15FB" w14:paraId="04B13C4C" w14:textId="36BC1E11">
      <w:pPr>
        <w:ind w:left="720"/>
        <w:rPr>
          <w:rFonts w:ascii="Times New Roman" w:hAnsi="Times New Roman"/>
        </w:rPr>
      </w:pPr>
      <w:r w:rsidRPr="00521A2B">
        <w:rPr>
          <w:rFonts w:ascii="Times New Roman" w:hAnsi="Times New Roman"/>
          <w:b/>
          <w:bCs/>
        </w:rPr>
        <w:t>Term #1:</w:t>
      </w:r>
      <w:r>
        <w:rPr>
          <w:rFonts w:ascii="Times New Roman" w:hAnsi="Times New Roman"/>
        </w:rPr>
        <w:t xml:space="preserve">  </w:t>
      </w:r>
      <w:r w:rsidRPr="00BB15FB">
        <w:rPr>
          <w:rFonts w:ascii="Times New Roman" w:hAnsi="Times New Roman"/>
        </w:rPr>
        <w:t>Terms of the previous clearance remain in effect</w:t>
      </w:r>
      <w:r>
        <w:rPr>
          <w:rFonts w:ascii="Times New Roman" w:hAnsi="Times New Roman"/>
        </w:rPr>
        <w:t>:</w:t>
      </w:r>
    </w:p>
    <w:p w:rsidR="00BB15FB" w:rsidP="00BB15FB" w14:paraId="03E39E82" w14:textId="77777777">
      <w:pPr>
        <w:pStyle w:val="ListParagraph"/>
        <w:ind w:left="1080"/>
        <w:rPr>
          <w:rFonts w:ascii="Times New Roman" w:hAnsi="Times New Roman"/>
        </w:rPr>
      </w:pPr>
    </w:p>
    <w:p w:rsidR="00BB15FB" w:rsidP="00BB15FB" w14:paraId="50D6E187" w14:textId="390CA67D">
      <w:pPr>
        <w:pStyle w:val="ListParagraph"/>
        <w:numPr>
          <w:ilvl w:val="0"/>
          <w:numId w:val="7"/>
        </w:numPr>
        <w:rPr>
          <w:rFonts w:ascii="Times New Roman" w:hAnsi="Times New Roman"/>
        </w:rPr>
      </w:pPr>
      <w:r>
        <w:rPr>
          <w:rFonts w:ascii="Times New Roman" w:hAnsi="Times New Roman"/>
        </w:rPr>
        <w:t xml:space="preserve">OMB placed the following Terms of the previous clearance on this ICR on </w:t>
      </w:r>
      <w:r w:rsidRPr="00E702A0">
        <w:rPr>
          <w:rFonts w:ascii="Times New Roman" w:hAnsi="Times New Roman"/>
          <w:b/>
          <w:bCs/>
        </w:rPr>
        <w:t>June 24, 2021</w:t>
      </w:r>
      <w:r>
        <w:rPr>
          <w:rFonts w:ascii="Times New Roman" w:hAnsi="Times New Roman"/>
        </w:rPr>
        <w:t>:</w:t>
      </w:r>
    </w:p>
    <w:p w:rsidR="00BB15FB" w:rsidP="00BB15FB" w14:paraId="1EB45C3F" w14:textId="77777777">
      <w:pPr>
        <w:pStyle w:val="ListParagraph"/>
        <w:ind w:left="1080"/>
        <w:rPr>
          <w:rFonts w:ascii="Times New Roman" w:hAnsi="Times New Roman"/>
        </w:rPr>
      </w:pPr>
    </w:p>
    <w:p w:rsidR="00BB15FB" w:rsidP="00BB15FB" w14:paraId="79372F1A" w14:textId="7C4716C5">
      <w:pPr>
        <w:pStyle w:val="ListParagraph"/>
        <w:ind w:left="1080"/>
        <w:rPr>
          <w:rFonts w:ascii="Times New Roman" w:hAnsi="Times New Roman"/>
        </w:rPr>
      </w:pPr>
      <w:r w:rsidRPr="00BB15FB">
        <w:rPr>
          <w:rFonts w:ascii="Times New Roman" w:hAnsi="Times New Roman"/>
        </w:rPr>
        <w:t>The agency must provide updates to OMB on any guidance related to this information</w:t>
      </w:r>
      <w:r>
        <w:rPr>
          <w:rFonts w:ascii="Times New Roman" w:hAnsi="Times New Roman"/>
        </w:rPr>
        <w:t xml:space="preserve"> </w:t>
      </w:r>
      <w:r w:rsidRPr="00BB15FB">
        <w:rPr>
          <w:rFonts w:ascii="Times New Roman" w:hAnsi="Times New Roman"/>
        </w:rPr>
        <w:t>collection and, at the discretion of OMB, may be expected to incorporate it into this control</w:t>
      </w:r>
      <w:r>
        <w:rPr>
          <w:rFonts w:ascii="Times New Roman" w:hAnsi="Times New Roman"/>
        </w:rPr>
        <w:t xml:space="preserve"> </w:t>
      </w:r>
      <w:r w:rsidRPr="00BB15FB">
        <w:rPr>
          <w:rFonts w:ascii="Times New Roman" w:hAnsi="Times New Roman"/>
        </w:rPr>
        <w:t>number via a non-substantive change request or ICR revision as appropriate.</w:t>
      </w:r>
    </w:p>
    <w:p w:rsidR="00E702A0" w:rsidP="00BB15FB" w14:paraId="465B8569" w14:textId="77777777">
      <w:pPr>
        <w:pStyle w:val="ListParagraph"/>
        <w:ind w:left="1080"/>
        <w:rPr>
          <w:rFonts w:ascii="Times New Roman" w:hAnsi="Times New Roman"/>
        </w:rPr>
      </w:pPr>
    </w:p>
    <w:p w:rsidR="00E702A0" w:rsidP="00BB15FB" w14:paraId="739EB1B5" w14:textId="77777777">
      <w:pPr>
        <w:pStyle w:val="ListParagraph"/>
        <w:ind w:left="1080"/>
        <w:rPr>
          <w:rFonts w:ascii="Times New Roman" w:hAnsi="Times New Roman"/>
          <w:color w:val="0000FF"/>
        </w:rPr>
      </w:pPr>
      <w:r w:rsidRPr="00E702A0">
        <w:rPr>
          <w:rFonts w:ascii="Times New Roman" w:hAnsi="Times New Roman"/>
          <w:b/>
          <w:bCs/>
          <w:color w:val="0000FF"/>
        </w:rPr>
        <w:t>SSA Response:</w:t>
      </w:r>
      <w:r w:rsidRPr="00E702A0">
        <w:rPr>
          <w:rFonts w:ascii="Times New Roman" w:hAnsi="Times New Roman"/>
          <w:color w:val="0000FF"/>
        </w:rPr>
        <w:t xml:space="preserve">  </w:t>
      </w:r>
    </w:p>
    <w:p w:rsidR="00E702A0" w:rsidRPr="00E702A0" w:rsidP="00BB15FB" w14:paraId="3FA7A1B9" w14:textId="00951DA3">
      <w:pPr>
        <w:pStyle w:val="ListParagraph"/>
        <w:ind w:left="1080"/>
        <w:rPr>
          <w:rFonts w:ascii="Times New Roman" w:hAnsi="Times New Roman"/>
          <w:color w:val="0000FF"/>
        </w:rPr>
      </w:pPr>
      <w:r>
        <w:rPr>
          <w:rFonts w:ascii="Times New Roman" w:hAnsi="Times New Roman"/>
          <w:color w:val="0000FF"/>
        </w:rPr>
        <w:t xml:space="preserve">SSA continues to update OMB on guidance related to </w:t>
      </w:r>
      <w:r>
        <w:rPr>
          <w:rFonts w:ascii="Times New Roman" w:hAnsi="Times New Roman"/>
          <w:color w:val="0000FF"/>
        </w:rPr>
        <w:t>eCBSV</w:t>
      </w:r>
      <w:r>
        <w:rPr>
          <w:rFonts w:ascii="Times New Roman" w:hAnsi="Times New Roman"/>
          <w:color w:val="0000FF"/>
        </w:rPr>
        <w:t>, and we have incorporated information into this OMB Control Number via non-substantive change request or ICR revision as appropriate since June 24, 2021 (when we received the last substantive Term of Clearance from OMB).  Of note, we have included information OMB requested in the previous three OMB approvals (the Change Request approved on September 18, 2022; the full OMB approval which OMB approved on July 19, 2024, and the most recent Change Request which OMB approved on May 29, 2025 – where OMB included in the Terms that the previous Terms remain in effect).</w:t>
      </w:r>
    </w:p>
    <w:p w:rsidR="00BB15FB" w:rsidP="00BB15FB" w14:paraId="3EFF15A1" w14:textId="77777777">
      <w:pPr>
        <w:pStyle w:val="ListParagraph"/>
        <w:ind w:left="1080"/>
        <w:rPr>
          <w:rFonts w:ascii="Times New Roman" w:hAnsi="Times New Roman"/>
        </w:rPr>
      </w:pPr>
    </w:p>
    <w:p w:rsidR="00BB15FB" w:rsidP="00E702A0" w14:paraId="219DD779" w14:textId="55F2CB75">
      <w:pPr>
        <w:pStyle w:val="ListParagraph"/>
        <w:ind w:left="1080"/>
        <w:rPr>
          <w:rFonts w:ascii="Times New Roman" w:hAnsi="Times New Roman"/>
        </w:rPr>
      </w:pPr>
      <w:r w:rsidRPr="00BB15FB">
        <w:rPr>
          <w:rFonts w:ascii="Times New Roman" w:hAnsi="Times New Roman"/>
        </w:rPr>
        <w:t xml:space="preserve">On an annual basis, the agency will provide OMB with a briefing on the status of </w:t>
      </w:r>
      <w:r w:rsidRPr="00BB15FB">
        <w:rPr>
          <w:rFonts w:ascii="Times New Roman" w:hAnsi="Times New Roman"/>
        </w:rPr>
        <w:t>eCBSV</w:t>
      </w:r>
      <w:r w:rsidRPr="00BB15FB">
        <w:rPr>
          <w:rFonts w:ascii="Times New Roman" w:hAnsi="Times New Roman"/>
        </w:rPr>
        <w:t xml:space="preserve"> rollout</w:t>
      </w:r>
      <w:r>
        <w:rPr>
          <w:rFonts w:ascii="Times New Roman" w:hAnsi="Times New Roman"/>
        </w:rPr>
        <w:t xml:space="preserve"> </w:t>
      </w:r>
      <w:r w:rsidRPr="00BB15FB">
        <w:rPr>
          <w:rFonts w:ascii="Times New Roman" w:hAnsi="Times New Roman"/>
        </w:rPr>
        <w:t>and adoption, to include a discussion of pain points or enhancement requests from</w:t>
      </w:r>
      <w:r>
        <w:rPr>
          <w:rFonts w:ascii="Times New Roman" w:hAnsi="Times New Roman"/>
        </w:rPr>
        <w:t xml:space="preserve"> </w:t>
      </w:r>
      <w:r w:rsidRPr="00BB15FB">
        <w:rPr>
          <w:rFonts w:ascii="Times New Roman" w:hAnsi="Times New Roman"/>
        </w:rPr>
        <w:t>stakeholders. The first briefing should also discuss SSA's assessment of the resource and</w:t>
      </w:r>
      <w:r>
        <w:rPr>
          <w:rFonts w:ascii="Times New Roman" w:hAnsi="Times New Roman"/>
        </w:rPr>
        <w:t xml:space="preserve"> </w:t>
      </w:r>
      <w:r w:rsidRPr="00BB15FB">
        <w:rPr>
          <w:rFonts w:ascii="Times New Roman" w:hAnsi="Times New Roman"/>
        </w:rPr>
        <w:t xml:space="preserve">operational needs necessary to provide 24/7/365 technical support for the operation of </w:t>
      </w:r>
      <w:r w:rsidRPr="00BB15FB">
        <w:rPr>
          <w:rFonts w:ascii="Times New Roman" w:hAnsi="Times New Roman"/>
        </w:rPr>
        <w:t>eCBSV</w:t>
      </w:r>
      <w:r w:rsidR="00E702A0">
        <w:rPr>
          <w:rFonts w:ascii="Times New Roman" w:hAnsi="Times New Roman"/>
        </w:rPr>
        <w:t xml:space="preserve"> </w:t>
      </w:r>
      <w:r w:rsidRPr="00E702A0">
        <w:rPr>
          <w:rFonts w:ascii="Times New Roman" w:hAnsi="Times New Roman"/>
        </w:rPr>
        <w:t>as well as a discussion of operational downtime in the prior year.</w:t>
      </w:r>
    </w:p>
    <w:p w:rsidR="00E702A0" w:rsidP="00E702A0" w14:paraId="2D6D3922" w14:textId="77777777">
      <w:pPr>
        <w:pStyle w:val="ListParagraph"/>
        <w:ind w:left="1080"/>
        <w:rPr>
          <w:rFonts w:ascii="Times New Roman" w:hAnsi="Times New Roman"/>
        </w:rPr>
      </w:pPr>
    </w:p>
    <w:p w:rsidR="00E702A0" w:rsidP="00E702A0" w14:paraId="7BB04796" w14:textId="77777777">
      <w:pPr>
        <w:pStyle w:val="ListParagraph"/>
        <w:ind w:left="1080"/>
        <w:rPr>
          <w:rFonts w:ascii="Times New Roman" w:hAnsi="Times New Roman"/>
          <w:color w:val="0000FF"/>
        </w:rPr>
      </w:pPr>
      <w:r w:rsidRPr="00E702A0">
        <w:rPr>
          <w:rFonts w:ascii="Times New Roman" w:hAnsi="Times New Roman"/>
          <w:b/>
          <w:bCs/>
          <w:color w:val="0000FF"/>
        </w:rPr>
        <w:t>SSA Response:</w:t>
      </w:r>
      <w:r w:rsidRPr="00E702A0">
        <w:rPr>
          <w:rFonts w:ascii="Times New Roman" w:hAnsi="Times New Roman"/>
          <w:color w:val="0000FF"/>
        </w:rPr>
        <w:t xml:space="preserve">  </w:t>
      </w:r>
    </w:p>
    <w:p w:rsidR="00E702A0" w:rsidRPr="00E702A0" w:rsidP="00E702A0" w14:paraId="6E1FA2B2" w14:textId="65A4BB3F">
      <w:pPr>
        <w:pStyle w:val="ListParagraph"/>
        <w:ind w:left="1080"/>
        <w:rPr>
          <w:rFonts w:ascii="Times New Roman" w:hAnsi="Times New Roman"/>
          <w:color w:val="0000FF"/>
        </w:rPr>
      </w:pPr>
      <w:r w:rsidRPr="00E702A0">
        <w:rPr>
          <w:rFonts w:ascii="Times New Roman" w:hAnsi="Times New Roman"/>
          <w:color w:val="0000FF"/>
        </w:rPr>
        <w:t xml:space="preserve">SSA remains open to discussions with OMB on relevant </w:t>
      </w:r>
      <w:r>
        <w:rPr>
          <w:rFonts w:ascii="Times New Roman" w:hAnsi="Times New Roman"/>
          <w:color w:val="0000FF"/>
        </w:rPr>
        <w:t>rollout information and adoption</w:t>
      </w:r>
      <w:r w:rsidRPr="00E702A0">
        <w:rPr>
          <w:rFonts w:ascii="Times New Roman" w:hAnsi="Times New Roman"/>
          <w:color w:val="0000FF"/>
        </w:rPr>
        <w:t xml:space="preserve">.  </w:t>
      </w:r>
      <w:r>
        <w:rPr>
          <w:rFonts w:ascii="Times New Roman" w:hAnsi="Times New Roman"/>
          <w:color w:val="0000FF"/>
        </w:rPr>
        <w:t>We</w:t>
      </w:r>
      <w:r w:rsidRPr="00E702A0">
        <w:rPr>
          <w:rFonts w:ascii="Times New Roman" w:hAnsi="Times New Roman"/>
          <w:color w:val="0000FF"/>
        </w:rPr>
        <w:t xml:space="preserve"> note that as </w:t>
      </w:r>
      <w:r w:rsidRPr="00E702A0">
        <w:rPr>
          <w:rFonts w:ascii="Times New Roman" w:hAnsi="Times New Roman"/>
          <w:color w:val="0000FF"/>
        </w:rPr>
        <w:t>eCBSV</w:t>
      </w:r>
      <w:r w:rsidRPr="00E702A0">
        <w:rPr>
          <w:rFonts w:ascii="Times New Roman" w:hAnsi="Times New Roman"/>
          <w:color w:val="0000FF"/>
        </w:rPr>
        <w:t xml:space="preserve"> usage continues, we continue dialogue with its users and can use that information to determine </w:t>
      </w:r>
      <w:r>
        <w:rPr>
          <w:rFonts w:ascii="Times New Roman" w:hAnsi="Times New Roman"/>
          <w:color w:val="0000FF"/>
        </w:rPr>
        <w:t>the best ways to improve the service based on stakeholder requests</w:t>
      </w:r>
      <w:r w:rsidRPr="00E702A0">
        <w:rPr>
          <w:rFonts w:ascii="Times New Roman" w:hAnsi="Times New Roman"/>
          <w:color w:val="0000FF"/>
        </w:rPr>
        <w:t xml:space="preserve">.  </w:t>
      </w:r>
      <w:r>
        <w:rPr>
          <w:rFonts w:ascii="Times New Roman" w:hAnsi="Times New Roman"/>
          <w:color w:val="0000FF"/>
        </w:rPr>
        <w:t xml:space="preserve">We note that we already held that first briefing (noted in the above Term) back in 2022, and we remain open to future briefings as we determine any necessary changes to </w:t>
      </w:r>
      <w:r>
        <w:rPr>
          <w:rFonts w:ascii="Times New Roman" w:hAnsi="Times New Roman"/>
          <w:color w:val="0000FF"/>
        </w:rPr>
        <w:t>eCBSV</w:t>
      </w:r>
      <w:r>
        <w:rPr>
          <w:rFonts w:ascii="Times New Roman" w:hAnsi="Times New Roman"/>
          <w:color w:val="0000FF"/>
        </w:rPr>
        <w:t>.</w:t>
      </w:r>
    </w:p>
    <w:p w:rsidR="00E702A0" w:rsidP="00BB15FB" w14:paraId="28C577EB" w14:textId="77777777">
      <w:pPr>
        <w:pStyle w:val="ListParagraph"/>
        <w:ind w:left="1080"/>
        <w:rPr>
          <w:rFonts w:ascii="Times New Roman" w:hAnsi="Times New Roman"/>
        </w:rPr>
      </w:pPr>
    </w:p>
    <w:p w:rsidR="00BB15FB" w:rsidP="00E702A0" w14:paraId="25FA0F72" w14:textId="26057DBE">
      <w:pPr>
        <w:pStyle w:val="ListParagraph"/>
        <w:ind w:left="1080"/>
        <w:rPr>
          <w:rFonts w:ascii="Times New Roman" w:hAnsi="Times New Roman"/>
        </w:rPr>
      </w:pPr>
      <w:r w:rsidRPr="00BB15FB">
        <w:rPr>
          <w:rFonts w:ascii="Times New Roman" w:hAnsi="Times New Roman"/>
        </w:rPr>
        <w:t>On an annual basis, the agency also will conduct a listening session with stakeholders to</w:t>
      </w:r>
      <w:r w:rsidR="00E702A0">
        <w:rPr>
          <w:rFonts w:ascii="Times New Roman" w:hAnsi="Times New Roman"/>
        </w:rPr>
        <w:t xml:space="preserve"> </w:t>
      </w:r>
      <w:r w:rsidRPr="00E702A0">
        <w:rPr>
          <w:rFonts w:ascii="Times New Roman" w:hAnsi="Times New Roman"/>
        </w:rPr>
        <w:t>which OMB will be invited.</w:t>
      </w:r>
    </w:p>
    <w:p w:rsidR="00E702A0" w:rsidP="00E702A0" w14:paraId="23EE90A1" w14:textId="77777777">
      <w:pPr>
        <w:pStyle w:val="ListParagraph"/>
        <w:ind w:left="1080"/>
        <w:rPr>
          <w:rFonts w:ascii="Times New Roman" w:hAnsi="Times New Roman"/>
        </w:rPr>
      </w:pPr>
    </w:p>
    <w:p w:rsidR="00E702A0" w:rsidP="00E702A0" w14:paraId="3691C03F" w14:textId="22E060B2">
      <w:pPr>
        <w:pStyle w:val="ListParagraph"/>
        <w:ind w:left="1080"/>
        <w:rPr>
          <w:rFonts w:ascii="Times New Roman" w:hAnsi="Times New Roman"/>
          <w:color w:val="0000FF"/>
        </w:rPr>
      </w:pPr>
      <w:r w:rsidRPr="00E702A0">
        <w:rPr>
          <w:rFonts w:ascii="Times New Roman" w:hAnsi="Times New Roman"/>
          <w:b/>
          <w:bCs/>
          <w:color w:val="0000FF"/>
        </w:rPr>
        <w:t>SSA Response:</w:t>
      </w:r>
      <w:r w:rsidRPr="00E702A0">
        <w:rPr>
          <w:rFonts w:ascii="Times New Roman" w:hAnsi="Times New Roman"/>
          <w:color w:val="0000FF"/>
        </w:rPr>
        <w:t xml:space="preserve">  </w:t>
      </w:r>
    </w:p>
    <w:p w:rsidR="00E702A0" w:rsidRPr="00E702A0" w:rsidP="00E702A0" w14:paraId="7C351985" w14:textId="6E3C5FB0">
      <w:pPr>
        <w:pStyle w:val="ListParagraph"/>
        <w:ind w:left="1080"/>
        <w:rPr>
          <w:rFonts w:ascii="Times New Roman" w:hAnsi="Times New Roman"/>
          <w:color w:val="0000FF"/>
        </w:rPr>
      </w:pPr>
      <w:r>
        <w:rPr>
          <w:rFonts w:ascii="Times New Roman" w:hAnsi="Times New Roman"/>
          <w:color w:val="0000FF"/>
        </w:rPr>
        <w:t xml:space="preserve">SSA conducts periodic listening sessions with </w:t>
      </w:r>
      <w:r>
        <w:rPr>
          <w:rFonts w:ascii="Times New Roman" w:hAnsi="Times New Roman"/>
          <w:color w:val="0000FF"/>
        </w:rPr>
        <w:t>eCBSV</w:t>
      </w:r>
      <w:r>
        <w:rPr>
          <w:rFonts w:ascii="Times New Roman" w:hAnsi="Times New Roman"/>
          <w:color w:val="0000FF"/>
        </w:rPr>
        <w:t xml:space="preserve"> stakeholders.  We will continue to invite OMB to these sessions.</w:t>
      </w:r>
    </w:p>
    <w:p w:rsidR="00BB15FB" w:rsidP="00BB15FB" w14:paraId="0561AB6D" w14:textId="77777777">
      <w:pPr>
        <w:ind w:left="720"/>
        <w:rPr>
          <w:rFonts w:ascii="Times New Roman" w:hAnsi="Times New Roman"/>
        </w:rPr>
      </w:pPr>
    </w:p>
    <w:p w:rsidR="00BB15FB" w:rsidRPr="00521A2B" w:rsidP="00BB15FB" w14:paraId="0EFA3963" w14:textId="0028714A">
      <w:pPr>
        <w:ind w:left="720"/>
        <w:rPr>
          <w:rFonts w:ascii="Times New Roman" w:hAnsi="Times New Roman"/>
          <w:color w:val="0000FF"/>
        </w:rPr>
      </w:pPr>
      <w:r w:rsidRPr="003B11AE">
        <w:rPr>
          <w:rFonts w:ascii="Times New Roman" w:hAnsi="Times New Roman"/>
          <w:b/>
          <w:bCs/>
          <w:color w:val="0000FF"/>
          <w:highlight w:val="yellow"/>
        </w:rPr>
        <w:t>SSA Response #1:</w:t>
      </w:r>
      <w:r w:rsidRPr="00521A2B">
        <w:rPr>
          <w:rFonts w:ascii="Times New Roman" w:hAnsi="Times New Roman"/>
          <w:b/>
          <w:bCs/>
          <w:color w:val="0000FF"/>
        </w:rPr>
        <w:t xml:space="preserve"> </w:t>
      </w:r>
      <w:r w:rsidRPr="00521A2B">
        <w:rPr>
          <w:rFonts w:ascii="Times New Roman" w:hAnsi="Times New Roman"/>
          <w:color w:val="0000FF"/>
        </w:rPr>
        <w:t xml:space="preserve"> </w:t>
      </w:r>
      <w:r w:rsidR="00E702A0">
        <w:rPr>
          <w:rFonts w:ascii="Times New Roman" w:hAnsi="Times New Roman"/>
          <w:color w:val="0000FF"/>
        </w:rPr>
        <w:t>See our inline responses to each of the previous Terms above.</w:t>
      </w:r>
    </w:p>
    <w:p w:rsidR="00BB15FB" w:rsidP="00BB15FB" w14:paraId="307834B4" w14:textId="77777777">
      <w:pPr>
        <w:rPr>
          <w:rFonts w:ascii="Times New Roman" w:hAnsi="Times New Roman"/>
        </w:rPr>
      </w:pPr>
    </w:p>
    <w:p w:rsidR="00BB15FB" w:rsidP="00BB15FB" w14:paraId="0E8A978A" w14:textId="10EF52A5">
      <w:pPr>
        <w:ind w:left="720"/>
        <w:rPr>
          <w:rFonts w:ascii="Times New Roman" w:hAnsi="Times New Roman"/>
        </w:rPr>
      </w:pPr>
      <w:r w:rsidRPr="00521A2B">
        <w:rPr>
          <w:rFonts w:ascii="Times New Roman" w:hAnsi="Times New Roman"/>
          <w:b/>
          <w:bCs/>
        </w:rPr>
        <w:t>Term #</w:t>
      </w:r>
      <w:r>
        <w:rPr>
          <w:rFonts w:ascii="Times New Roman" w:hAnsi="Times New Roman"/>
          <w:b/>
          <w:bCs/>
        </w:rPr>
        <w:t>2</w:t>
      </w:r>
      <w:r w:rsidRPr="00521A2B">
        <w:rPr>
          <w:rFonts w:ascii="Times New Roman" w:hAnsi="Times New Roman"/>
          <w:b/>
          <w:bCs/>
        </w:rPr>
        <w:t>:</w:t>
      </w:r>
      <w:r>
        <w:rPr>
          <w:rFonts w:ascii="Times New Roman" w:hAnsi="Times New Roman"/>
        </w:rPr>
        <w:t xml:space="preserve">  </w:t>
      </w:r>
      <w:r w:rsidRPr="00BB15FB">
        <w:rPr>
          <w:rFonts w:ascii="Times New Roman" w:hAnsi="Times New Roman"/>
        </w:rPr>
        <w:t>The agency made minor revisions to the</w:t>
      </w:r>
      <w:r>
        <w:rPr>
          <w:rFonts w:ascii="Times New Roman" w:hAnsi="Times New Roman"/>
        </w:rPr>
        <w:t xml:space="preserve"> </w:t>
      </w:r>
      <w:r w:rsidRPr="00BB15FB">
        <w:rPr>
          <w:rFonts w:ascii="Times New Roman" w:hAnsi="Times New Roman"/>
        </w:rPr>
        <w:t>consent language provided in Exhibit C of the User agreement to ensure burden is</w:t>
      </w:r>
      <w:r>
        <w:rPr>
          <w:rFonts w:ascii="Times New Roman" w:hAnsi="Times New Roman"/>
        </w:rPr>
        <w:t xml:space="preserve"> </w:t>
      </w:r>
      <w:r w:rsidRPr="00BB15FB">
        <w:rPr>
          <w:rFonts w:ascii="Times New Roman" w:hAnsi="Times New Roman"/>
        </w:rPr>
        <w:t>appropriately minimized on respondents.</w:t>
      </w:r>
    </w:p>
    <w:p w:rsidR="00BB15FB" w:rsidP="00BB15FB" w14:paraId="75E43ACF" w14:textId="77777777">
      <w:pPr>
        <w:ind w:left="720"/>
        <w:rPr>
          <w:rFonts w:ascii="Times New Roman" w:hAnsi="Times New Roman"/>
        </w:rPr>
      </w:pPr>
    </w:p>
    <w:p w:rsidR="00BB15FB" w:rsidP="00BB15FB" w14:paraId="4FB10172" w14:textId="6A3F13C0">
      <w:pPr>
        <w:ind w:left="720"/>
        <w:rPr>
          <w:rFonts w:ascii="Times New Roman" w:hAnsi="Times New Roman"/>
          <w:color w:val="0000FF"/>
        </w:rPr>
      </w:pPr>
      <w:r w:rsidRPr="00521A2B">
        <w:rPr>
          <w:rFonts w:ascii="Times New Roman" w:hAnsi="Times New Roman"/>
          <w:b/>
          <w:bCs/>
          <w:color w:val="0000FF"/>
        </w:rPr>
        <w:t>SSA Response #</w:t>
      </w:r>
      <w:r>
        <w:rPr>
          <w:rFonts w:ascii="Times New Roman" w:hAnsi="Times New Roman"/>
          <w:b/>
          <w:bCs/>
          <w:color w:val="0000FF"/>
        </w:rPr>
        <w:t>2</w:t>
      </w:r>
      <w:r w:rsidRPr="00521A2B">
        <w:rPr>
          <w:rFonts w:ascii="Times New Roman" w:hAnsi="Times New Roman"/>
          <w:b/>
          <w:bCs/>
          <w:color w:val="0000FF"/>
        </w:rPr>
        <w:t xml:space="preserve">: </w:t>
      </w:r>
      <w:r w:rsidRPr="00521A2B">
        <w:rPr>
          <w:rFonts w:ascii="Times New Roman" w:hAnsi="Times New Roman"/>
          <w:color w:val="0000FF"/>
        </w:rPr>
        <w:t xml:space="preserve"> </w:t>
      </w:r>
    </w:p>
    <w:p w:rsidR="003B11AE" w:rsidRPr="00521A2B" w:rsidP="00BB15FB" w14:paraId="486028C5" w14:textId="54E64691">
      <w:pPr>
        <w:ind w:left="720"/>
        <w:rPr>
          <w:rFonts w:ascii="Times New Roman" w:hAnsi="Times New Roman"/>
          <w:color w:val="0000FF"/>
        </w:rPr>
      </w:pPr>
      <w:r>
        <w:rPr>
          <w:rFonts w:ascii="Times New Roman" w:hAnsi="Times New Roman"/>
          <w:color w:val="0000FF"/>
        </w:rPr>
        <w:t xml:space="preserve">SSA made </w:t>
      </w:r>
      <w:r>
        <w:rPr>
          <w:rFonts w:ascii="Times New Roman" w:hAnsi="Times New Roman"/>
          <w:color w:val="0000FF"/>
        </w:rPr>
        <w:t>the minor</w:t>
      </w:r>
      <w:r>
        <w:rPr>
          <w:rFonts w:ascii="Times New Roman" w:hAnsi="Times New Roman"/>
          <w:color w:val="0000FF"/>
        </w:rPr>
        <w:t xml:space="preserve"> revisions as per OMB’s request, which OMB approved under the Change Request (approved on May 29, 2025).</w:t>
      </w:r>
    </w:p>
    <w:p w:rsidR="00BB15FB" w:rsidP="00BB15FB" w14:paraId="54916222" w14:textId="77777777">
      <w:pPr>
        <w:rPr>
          <w:rFonts w:ascii="Times New Roman" w:hAnsi="Times New Roman"/>
        </w:rPr>
      </w:pPr>
    </w:p>
    <w:p w:rsidR="00BB15FB" w:rsidP="00BB15FB" w14:paraId="686E8585" w14:textId="1DEF34FD">
      <w:pPr>
        <w:ind w:left="720"/>
        <w:rPr>
          <w:rFonts w:ascii="Times New Roman" w:hAnsi="Times New Roman"/>
        </w:rPr>
      </w:pPr>
      <w:r w:rsidRPr="00521A2B">
        <w:rPr>
          <w:rFonts w:ascii="Times New Roman" w:hAnsi="Times New Roman"/>
          <w:b/>
          <w:bCs/>
        </w:rPr>
        <w:t>Term #</w:t>
      </w:r>
      <w:r>
        <w:rPr>
          <w:rFonts w:ascii="Times New Roman" w:hAnsi="Times New Roman"/>
          <w:b/>
          <w:bCs/>
        </w:rPr>
        <w:t>3</w:t>
      </w:r>
      <w:r w:rsidRPr="00521A2B">
        <w:rPr>
          <w:rFonts w:ascii="Times New Roman" w:hAnsi="Times New Roman"/>
          <w:b/>
          <w:bCs/>
        </w:rPr>
        <w:t>:</w:t>
      </w:r>
      <w:r>
        <w:rPr>
          <w:rFonts w:ascii="Times New Roman" w:hAnsi="Times New Roman"/>
        </w:rPr>
        <w:t xml:space="preserve">  </w:t>
      </w:r>
      <w:r w:rsidRPr="00BB15FB">
        <w:rPr>
          <w:rFonts w:ascii="Times New Roman" w:hAnsi="Times New Roman"/>
        </w:rPr>
        <w:t>The agency is required to finalize these revisions via the routine ICR revision process under 5</w:t>
      </w:r>
      <w:r>
        <w:rPr>
          <w:rFonts w:ascii="Times New Roman" w:hAnsi="Times New Roman"/>
        </w:rPr>
        <w:t xml:space="preserve"> </w:t>
      </w:r>
      <w:r w:rsidRPr="00BB15FB">
        <w:rPr>
          <w:rFonts w:ascii="Times New Roman" w:hAnsi="Times New Roman"/>
        </w:rPr>
        <w:t>CFR 1320 et seq. In the 60-day Federal Register notice the agency will specifically seek public</w:t>
      </w:r>
      <w:r>
        <w:rPr>
          <w:rFonts w:ascii="Times New Roman" w:hAnsi="Times New Roman"/>
        </w:rPr>
        <w:t xml:space="preserve"> </w:t>
      </w:r>
      <w:r w:rsidRPr="00BB15FB">
        <w:rPr>
          <w:rFonts w:ascii="Times New Roman" w:hAnsi="Times New Roman"/>
        </w:rPr>
        <w:t>comment on ways it can further lower the burden associated with implementing this</w:t>
      </w:r>
      <w:r>
        <w:rPr>
          <w:rFonts w:ascii="Times New Roman" w:hAnsi="Times New Roman"/>
        </w:rPr>
        <w:t xml:space="preserve"> </w:t>
      </w:r>
      <w:r w:rsidRPr="00BB15FB">
        <w:rPr>
          <w:rFonts w:ascii="Times New Roman" w:hAnsi="Times New Roman"/>
        </w:rPr>
        <w:t>information collection, including</w:t>
      </w:r>
      <w:r>
        <w:rPr>
          <w:rFonts w:ascii="Times New Roman" w:hAnsi="Times New Roman"/>
        </w:rPr>
        <w:t xml:space="preserve"> </w:t>
      </w:r>
      <w:r w:rsidRPr="00BB15FB">
        <w:rPr>
          <w:rFonts w:ascii="Times New Roman" w:hAnsi="Times New Roman"/>
        </w:rPr>
        <w:t>suggested revisions to the written consent requirements and</w:t>
      </w:r>
      <w:r>
        <w:rPr>
          <w:rFonts w:ascii="Times New Roman" w:hAnsi="Times New Roman"/>
        </w:rPr>
        <w:t xml:space="preserve"> </w:t>
      </w:r>
      <w:r w:rsidRPr="00BB15FB">
        <w:rPr>
          <w:rFonts w:ascii="Times New Roman" w:hAnsi="Times New Roman"/>
        </w:rPr>
        <w:t>eCBSV</w:t>
      </w:r>
      <w:r w:rsidRPr="00BB15FB">
        <w:rPr>
          <w:rFonts w:ascii="Times New Roman" w:hAnsi="Times New Roman"/>
        </w:rPr>
        <w:t xml:space="preserve"> consent language as presented in Exhibit C.</w:t>
      </w:r>
    </w:p>
    <w:p w:rsidR="00BB15FB" w:rsidP="00BB15FB" w14:paraId="730530FB" w14:textId="77777777">
      <w:pPr>
        <w:ind w:left="720"/>
        <w:rPr>
          <w:rFonts w:ascii="Times New Roman" w:hAnsi="Times New Roman"/>
        </w:rPr>
      </w:pPr>
    </w:p>
    <w:p w:rsidR="00BB15FB" w:rsidP="00BB15FB" w14:paraId="2934FC14" w14:textId="7CD09DB5">
      <w:pPr>
        <w:ind w:left="720"/>
        <w:rPr>
          <w:rFonts w:ascii="Times New Roman" w:hAnsi="Times New Roman"/>
          <w:color w:val="0000FF"/>
        </w:rPr>
      </w:pPr>
      <w:r w:rsidRPr="00340680">
        <w:rPr>
          <w:rFonts w:ascii="Times New Roman" w:hAnsi="Times New Roman"/>
          <w:b/>
          <w:bCs/>
          <w:color w:val="0000FF"/>
        </w:rPr>
        <w:t xml:space="preserve">SSA Response #3: </w:t>
      </w:r>
      <w:r w:rsidRPr="00340680">
        <w:rPr>
          <w:rFonts w:ascii="Times New Roman" w:hAnsi="Times New Roman"/>
          <w:color w:val="0000FF"/>
        </w:rPr>
        <w:t xml:space="preserve"> </w:t>
      </w:r>
    </w:p>
    <w:p w:rsidR="003B11AE" w:rsidRPr="00340680" w:rsidP="00BB15FB" w14:paraId="7DD86B79" w14:textId="6929F6EB">
      <w:pPr>
        <w:ind w:left="720"/>
        <w:rPr>
          <w:rFonts w:ascii="Times New Roman" w:hAnsi="Times New Roman"/>
          <w:color w:val="0000FF"/>
        </w:rPr>
      </w:pPr>
      <w:r>
        <w:rPr>
          <w:rFonts w:ascii="Times New Roman" w:hAnsi="Times New Roman"/>
          <w:color w:val="0000FF"/>
        </w:rPr>
        <w:t xml:space="preserve">Upon OMB’s approval of the Change Request on May 29, 2025, SSA began the routine ICR revisions process.  As per the attached Supporting Statement, we conducted the 60-day and 30-day comment periods and requested public comments on ways we can lower the associated burden, or suggestions on ways to improve written consent requirements.  </w:t>
      </w:r>
      <w:r w:rsidRPr="003B11AE">
        <w:rPr>
          <w:rFonts w:ascii="Times New Roman" w:hAnsi="Times New Roman"/>
          <w:b/>
          <w:bCs/>
          <w:color w:val="0000FF"/>
        </w:rPr>
        <w:t>Note:</w:t>
      </w:r>
      <w:r>
        <w:rPr>
          <w:rFonts w:ascii="Times New Roman" w:hAnsi="Times New Roman"/>
          <w:color w:val="0000FF"/>
        </w:rPr>
        <w:t xml:space="preserve">  We received no public comments on this ICR during either comment period.</w:t>
      </w:r>
    </w:p>
    <w:p w:rsidR="00BB15FB" w:rsidP="002E4114" w14:paraId="3C47DEE4" w14:textId="77777777">
      <w:pPr>
        <w:widowControl/>
        <w:snapToGrid/>
        <w:rPr>
          <w:rFonts w:ascii="Times New Roman" w:eastAsia="Calibri" w:hAnsi="Times New Roman"/>
          <w:b/>
          <w:u w:val="single"/>
        </w:rPr>
      </w:pPr>
    </w:p>
    <w:p w:rsidR="002E4114" w:rsidP="002E4114" w14:paraId="55D83636" w14:textId="437A2639">
      <w:pPr>
        <w:widowControl/>
        <w:snapToGrid/>
        <w:rPr>
          <w:rFonts w:ascii="Times New Roman" w:eastAsia="Calibri" w:hAnsi="Times New Roman"/>
          <w:b/>
          <w:u w:val="single"/>
        </w:rPr>
      </w:pPr>
      <w:r w:rsidRPr="002E4114">
        <w:rPr>
          <w:rFonts w:ascii="Times New Roman" w:eastAsia="Calibri" w:hAnsi="Times New Roman"/>
          <w:b/>
          <w:u w:val="single"/>
        </w:rPr>
        <w:t>Background</w:t>
      </w:r>
      <w:r w:rsidR="003B11AE">
        <w:rPr>
          <w:rFonts w:ascii="Times New Roman" w:eastAsia="Calibri" w:hAnsi="Times New Roman"/>
          <w:b/>
          <w:u w:val="single"/>
        </w:rPr>
        <w:t xml:space="preserve"> (from the Approved Change Request from May 2025)</w:t>
      </w:r>
    </w:p>
    <w:p w:rsidR="003B11AE" w:rsidRPr="002E4114" w:rsidP="002E4114" w14:paraId="244CF8A9" w14:textId="77777777">
      <w:pPr>
        <w:widowControl/>
        <w:snapToGrid/>
        <w:rPr>
          <w:rFonts w:ascii="Times New Roman" w:eastAsia="Calibri" w:hAnsi="Times New Roman"/>
        </w:rPr>
      </w:pPr>
    </w:p>
    <w:p w:rsidR="00744E3C" w:rsidP="00C03EDF" w14:paraId="708ED166" w14:textId="79049C81">
      <w:pPr>
        <w:rPr>
          <w:rFonts w:ascii="Times New Roman" w:hAnsi="Times New Roman"/>
          <w:snapToGrid w:val="0"/>
        </w:rPr>
      </w:pPr>
      <w:r w:rsidRPr="00744E3C">
        <w:rPr>
          <w:rFonts w:ascii="Times New Roman" w:hAnsi="Times New Roman"/>
          <w:snapToGrid w:val="0"/>
        </w:rPr>
        <w:t xml:space="preserve">On March 19, 2025, the Acting Commissioner of the Social Security Administration released a statement entitled “Social Security Announces Cost Reduction and Enhancements Plan.” </w:t>
      </w:r>
      <w:r w:rsidR="000E6939">
        <w:rPr>
          <w:rFonts w:ascii="Times New Roman" w:hAnsi="Times New Roman"/>
          <w:snapToGrid w:val="0"/>
        </w:rPr>
        <w:t xml:space="preserve"> </w:t>
      </w:r>
      <w:r w:rsidRPr="00744E3C">
        <w:rPr>
          <w:rFonts w:ascii="Times New Roman" w:hAnsi="Times New Roman"/>
          <w:snapToGrid w:val="0"/>
        </w:rPr>
        <w:t xml:space="preserve">This plan comprises three key components related to </w:t>
      </w:r>
      <w:r>
        <w:rPr>
          <w:rFonts w:ascii="Times New Roman" w:hAnsi="Times New Roman"/>
          <w:snapToGrid w:val="0"/>
        </w:rPr>
        <w:t xml:space="preserve">the </w:t>
      </w:r>
      <w:r w:rsidRPr="00744E3C">
        <w:rPr>
          <w:rFonts w:ascii="Times New Roman" w:hAnsi="Times New Roman"/>
          <w:snapToGrid w:val="0"/>
        </w:rPr>
        <w:t xml:space="preserve">Electronic Consent Based Social Security Number Verification </w:t>
      </w:r>
      <w:r w:rsidR="00330934">
        <w:rPr>
          <w:rFonts w:ascii="Times New Roman" w:hAnsi="Times New Roman"/>
          <w:snapToGrid w:val="0"/>
        </w:rPr>
        <w:t>(</w:t>
      </w:r>
      <w:r w:rsidRPr="00744E3C">
        <w:rPr>
          <w:rFonts w:ascii="Times New Roman" w:hAnsi="Times New Roman"/>
          <w:snapToGrid w:val="0"/>
        </w:rPr>
        <w:t>eCBSV</w:t>
      </w:r>
      <w:r w:rsidR="00330934">
        <w:rPr>
          <w:rFonts w:ascii="Times New Roman" w:hAnsi="Times New Roman"/>
          <w:snapToGrid w:val="0"/>
        </w:rPr>
        <w:t>) service</w:t>
      </w:r>
      <w:r w:rsidRPr="00744E3C">
        <w:rPr>
          <w:rFonts w:ascii="Times New Roman" w:hAnsi="Times New Roman"/>
          <w:snapToGrid w:val="0"/>
        </w:rPr>
        <w:t xml:space="preserve">. </w:t>
      </w:r>
      <w:r w:rsidR="000E6939">
        <w:rPr>
          <w:rFonts w:ascii="Times New Roman" w:hAnsi="Times New Roman"/>
          <w:snapToGrid w:val="0"/>
        </w:rPr>
        <w:t xml:space="preserve"> The first component does not require changes to the </w:t>
      </w:r>
      <w:r w:rsidR="000E6939">
        <w:rPr>
          <w:rFonts w:ascii="Times New Roman" w:hAnsi="Times New Roman"/>
          <w:snapToGrid w:val="0"/>
        </w:rPr>
        <w:t>eCBSV</w:t>
      </w:r>
      <w:r w:rsidR="000E6939">
        <w:rPr>
          <w:rFonts w:ascii="Times New Roman" w:hAnsi="Times New Roman"/>
          <w:snapToGrid w:val="0"/>
        </w:rPr>
        <w:t xml:space="preserve"> information collections.  However, t</w:t>
      </w:r>
      <w:r w:rsidRPr="00744E3C">
        <w:rPr>
          <w:rFonts w:ascii="Times New Roman" w:hAnsi="Times New Roman"/>
          <w:snapToGrid w:val="0"/>
        </w:rPr>
        <w:t xml:space="preserve">he second component focuses on the necessity for enhancements to the service, responding to the </w:t>
      </w:r>
      <w:bookmarkStart w:id="0" w:name="_Hlk197418896"/>
      <w:r w:rsidRPr="00744E3C">
        <w:rPr>
          <w:rFonts w:ascii="Times New Roman" w:hAnsi="Times New Roman"/>
          <w:snapToGrid w:val="0"/>
        </w:rPr>
        <w:t xml:space="preserve">findings of the 2024 GAO audit </w:t>
      </w:r>
      <w:bookmarkEnd w:id="0"/>
      <w:r w:rsidRPr="00744E3C">
        <w:rPr>
          <w:rFonts w:ascii="Times New Roman" w:hAnsi="Times New Roman"/>
          <w:snapToGrid w:val="0"/>
        </w:rPr>
        <w:t xml:space="preserve">and the financial industry's robust backing for expanding the no-match response, which is seen as an essential measure in addressing synthetic identity fraud and improving customer identity verification processes. </w:t>
      </w:r>
      <w:r w:rsidR="000E6939">
        <w:rPr>
          <w:rFonts w:ascii="Times New Roman" w:hAnsi="Times New Roman"/>
          <w:snapToGrid w:val="0"/>
        </w:rPr>
        <w:t xml:space="preserve"> These enhancements require us to update our </w:t>
      </w:r>
      <w:r w:rsidR="000E6939">
        <w:rPr>
          <w:rFonts w:ascii="Times New Roman" w:hAnsi="Times New Roman"/>
          <w:snapToGrid w:val="0"/>
        </w:rPr>
        <w:t>eCBSV</w:t>
      </w:r>
      <w:r w:rsidR="000E6939">
        <w:rPr>
          <w:rFonts w:ascii="Times New Roman" w:hAnsi="Times New Roman"/>
          <w:snapToGrid w:val="0"/>
        </w:rPr>
        <w:t xml:space="preserve"> User Agreement.</w:t>
      </w:r>
    </w:p>
    <w:p w:rsidR="00330934" w:rsidP="00C03EDF" w14:paraId="44E01C4E" w14:textId="77777777">
      <w:pPr>
        <w:rPr>
          <w:rFonts w:ascii="Times New Roman" w:hAnsi="Times New Roman"/>
          <w:snapToGrid w:val="0"/>
        </w:rPr>
      </w:pPr>
    </w:p>
    <w:p w:rsidR="00330934" w:rsidP="00C03EDF" w14:paraId="7DBD0BB4" w14:textId="3DBDA39A">
      <w:pPr>
        <w:rPr>
          <w:rFonts w:ascii="Times New Roman" w:hAnsi="Times New Roman"/>
          <w:snapToGrid w:val="0"/>
        </w:rPr>
      </w:pPr>
      <w:r>
        <w:rPr>
          <w:rFonts w:ascii="Times New Roman" w:hAnsi="Times New Roman"/>
          <w:snapToGrid w:val="0"/>
        </w:rPr>
        <w:t>Alon</w:t>
      </w:r>
      <w:r w:rsidR="00F252D7">
        <w:rPr>
          <w:rFonts w:ascii="Times New Roman" w:hAnsi="Times New Roman"/>
          <w:snapToGrid w:val="0"/>
        </w:rPr>
        <w:t>g</w:t>
      </w:r>
      <w:r>
        <w:rPr>
          <w:rFonts w:ascii="Times New Roman" w:hAnsi="Times New Roman"/>
          <w:snapToGrid w:val="0"/>
        </w:rPr>
        <w:t xml:space="preserve"> with the </w:t>
      </w:r>
      <w:r w:rsidR="009A4EED">
        <w:rPr>
          <w:rFonts w:ascii="Times New Roman" w:hAnsi="Times New Roman"/>
          <w:snapToGrid w:val="0"/>
        </w:rPr>
        <w:t xml:space="preserve">enhancements to the service, </w:t>
      </w:r>
      <w:r w:rsidR="00F252D7">
        <w:rPr>
          <w:rFonts w:ascii="Times New Roman" w:hAnsi="Times New Roman"/>
          <w:snapToGrid w:val="0"/>
        </w:rPr>
        <w:t xml:space="preserve">previous feedback from the </w:t>
      </w:r>
      <w:r w:rsidRPr="00F252D7" w:rsidR="00F252D7">
        <w:rPr>
          <w:rFonts w:ascii="Times New Roman" w:hAnsi="Times New Roman"/>
          <w:snapToGrid w:val="0"/>
        </w:rPr>
        <w:t xml:space="preserve">financial </w:t>
      </w:r>
      <w:r w:rsidRPr="00F252D7" w:rsidR="00F252D7">
        <w:rPr>
          <w:rFonts w:ascii="Times New Roman" w:hAnsi="Times New Roman"/>
          <w:snapToGrid w:val="0"/>
        </w:rPr>
        <w:t>industry</w:t>
      </w:r>
      <w:r w:rsidR="00042C42">
        <w:rPr>
          <w:rFonts w:ascii="Times New Roman" w:hAnsi="Times New Roman"/>
          <w:snapToGrid w:val="0"/>
        </w:rPr>
        <w:t xml:space="preserve"> hinted at additional changes to the </w:t>
      </w:r>
      <w:r w:rsidR="00042C42">
        <w:rPr>
          <w:rFonts w:ascii="Times New Roman" w:hAnsi="Times New Roman"/>
          <w:snapToGrid w:val="0"/>
        </w:rPr>
        <w:t>eCBSV</w:t>
      </w:r>
      <w:r w:rsidR="00042C42">
        <w:rPr>
          <w:rFonts w:ascii="Times New Roman" w:hAnsi="Times New Roman"/>
          <w:snapToGrid w:val="0"/>
        </w:rPr>
        <w:t xml:space="preserve"> User Agreement</w:t>
      </w:r>
      <w:r w:rsidR="00D708F1">
        <w:rPr>
          <w:rFonts w:ascii="Times New Roman" w:hAnsi="Times New Roman"/>
          <w:snapToGrid w:val="0"/>
        </w:rPr>
        <w:t xml:space="preserve"> including </w:t>
      </w:r>
      <w:r w:rsidRPr="001A1CE6" w:rsidR="001A1CE6">
        <w:rPr>
          <w:rFonts w:ascii="Times New Roman" w:hAnsi="Times New Roman"/>
          <w:snapToGrid w:val="0"/>
        </w:rPr>
        <w:t xml:space="preserve">the </w:t>
      </w:r>
      <w:r w:rsidR="007B4840">
        <w:rPr>
          <w:rFonts w:ascii="Times New Roman" w:hAnsi="Times New Roman"/>
          <w:snapToGrid w:val="0"/>
        </w:rPr>
        <w:t xml:space="preserve">removal of the </w:t>
      </w:r>
      <w:r w:rsidRPr="001A1CE6" w:rsidR="001A1CE6">
        <w:rPr>
          <w:rFonts w:ascii="Times New Roman" w:hAnsi="Times New Roman"/>
          <w:snapToGrid w:val="0"/>
        </w:rPr>
        <w:t>obligation for the Permitted Entity to select a higher tier upon renewal for the advanced tier</w:t>
      </w:r>
      <w:r w:rsidR="0092431F">
        <w:rPr>
          <w:rFonts w:ascii="Times New Roman" w:hAnsi="Times New Roman"/>
          <w:snapToGrid w:val="0"/>
        </w:rPr>
        <w:t>.</w:t>
      </w:r>
    </w:p>
    <w:p w:rsidR="000E6939" w:rsidP="00C03EDF" w14:paraId="41597065" w14:textId="77777777">
      <w:pPr>
        <w:rPr>
          <w:rFonts w:ascii="Times New Roman" w:hAnsi="Times New Roman"/>
          <w:snapToGrid w:val="0"/>
        </w:rPr>
      </w:pPr>
    </w:p>
    <w:p w:rsidR="000E6939" w:rsidP="00C03EDF" w14:paraId="025D71ED" w14:textId="5F38F4F3">
      <w:pPr>
        <w:rPr>
          <w:rFonts w:ascii="Times New Roman" w:hAnsi="Times New Roman"/>
          <w:snapToGrid w:val="0"/>
        </w:rPr>
      </w:pPr>
      <w:r>
        <w:rPr>
          <w:rFonts w:ascii="Times New Roman" w:hAnsi="Times New Roman"/>
          <w:snapToGrid w:val="0"/>
        </w:rPr>
        <w:t xml:space="preserve">To that end, we </w:t>
      </w:r>
      <w:r w:rsidR="003B11AE">
        <w:rPr>
          <w:rFonts w:ascii="Times New Roman" w:hAnsi="Times New Roman"/>
          <w:snapToGrid w:val="0"/>
        </w:rPr>
        <w:t>made revisions</w:t>
      </w:r>
      <w:r>
        <w:rPr>
          <w:rFonts w:ascii="Times New Roman" w:hAnsi="Times New Roman"/>
          <w:snapToGrid w:val="0"/>
        </w:rPr>
        <w:t xml:space="preserve"> to</w:t>
      </w:r>
      <w:r>
        <w:rPr>
          <w:rFonts w:ascii="Times New Roman" w:hAnsi="Times New Roman"/>
          <w:snapToGrid w:val="0"/>
        </w:rPr>
        <w:t xml:space="preserve"> the </w:t>
      </w:r>
      <w:r>
        <w:rPr>
          <w:rFonts w:ascii="Times New Roman" w:hAnsi="Times New Roman"/>
          <w:snapToGrid w:val="0"/>
        </w:rPr>
        <w:t>eCBSV</w:t>
      </w:r>
      <w:r>
        <w:rPr>
          <w:rFonts w:ascii="Times New Roman" w:hAnsi="Times New Roman"/>
          <w:snapToGrid w:val="0"/>
        </w:rPr>
        <w:t xml:space="preserve"> User Agreement and accompanying consent Form, SSA-89, and the Consent Template language we include along with the User Agreement.</w:t>
      </w:r>
    </w:p>
    <w:p w:rsidR="00516375" w:rsidP="00C03EDF" w14:paraId="3C93DA4A" w14:textId="77777777">
      <w:pPr>
        <w:rPr>
          <w:rFonts w:ascii="Times New Roman" w:hAnsi="Times New Roman"/>
          <w:snapToGrid w:val="0"/>
        </w:rPr>
      </w:pPr>
    </w:p>
    <w:p w:rsidR="00330934" w:rsidP="00C03EDF" w14:paraId="673A103E" w14:textId="3FF525F8">
      <w:pPr>
        <w:rPr>
          <w:rFonts w:ascii="Times New Roman" w:hAnsi="Times New Roman"/>
          <w:snapToGrid w:val="0"/>
        </w:rPr>
      </w:pPr>
      <w:r>
        <w:rPr>
          <w:rFonts w:ascii="Times New Roman" w:hAnsi="Times New Roman"/>
          <w:snapToGrid w:val="0"/>
        </w:rPr>
        <w:t>We implement</w:t>
      </w:r>
      <w:r w:rsidR="003B11AE">
        <w:rPr>
          <w:rFonts w:ascii="Times New Roman" w:hAnsi="Times New Roman"/>
          <w:snapToGrid w:val="0"/>
        </w:rPr>
        <w:t>ed</w:t>
      </w:r>
      <w:r>
        <w:rPr>
          <w:rFonts w:ascii="Times New Roman" w:hAnsi="Times New Roman"/>
          <w:snapToGrid w:val="0"/>
        </w:rPr>
        <w:t xml:space="preserve"> these revisions on </w:t>
      </w:r>
      <w:r w:rsidRPr="00516375">
        <w:rPr>
          <w:rFonts w:ascii="Times New Roman" w:eastAsia="Calibri" w:hAnsi="Times New Roman"/>
          <w:b/>
          <w:bCs/>
          <w:lang w:bidi="he-IL"/>
        </w:rPr>
        <w:t>May 31, 2025</w:t>
      </w:r>
      <w:r>
        <w:rPr>
          <w:rFonts w:ascii="Times New Roman" w:eastAsia="Calibri" w:hAnsi="Times New Roman"/>
          <w:lang w:bidi="he-IL"/>
        </w:rPr>
        <w:t xml:space="preserve">.  </w:t>
      </w:r>
      <w:r w:rsidR="003B11AE">
        <w:rPr>
          <w:rFonts w:ascii="Times New Roman" w:eastAsia="Calibri" w:hAnsi="Times New Roman"/>
          <w:lang w:bidi="he-IL"/>
        </w:rPr>
        <w:t>As per OMB’s Terms of Clearance, we then conducted the full renewal process to allow for public comments on these revisions.</w:t>
      </w:r>
      <w:r>
        <w:rPr>
          <w:rFonts w:ascii="Times New Roman" w:hAnsi="Times New Roman"/>
          <w:snapToGrid w:val="0"/>
        </w:rPr>
        <w:t xml:space="preserve"> </w:t>
      </w:r>
    </w:p>
    <w:p w:rsidR="003B11AE" w:rsidP="00C03EDF" w14:paraId="71E7C535" w14:textId="77777777">
      <w:pPr>
        <w:rPr>
          <w:rFonts w:ascii="Times New Roman" w:hAnsi="Times New Roman"/>
          <w:snapToGrid w:val="0"/>
        </w:rPr>
      </w:pPr>
    </w:p>
    <w:p w:rsidR="00083A0A" w:rsidRPr="00EF61FD" w:rsidP="00083A0A" w14:paraId="700D9EC9" w14:textId="214E62C6">
      <w:pPr>
        <w:widowControl/>
        <w:snapToGrid/>
        <w:rPr>
          <w:rFonts w:ascii="Times New Roman" w:eastAsia="Calibri" w:hAnsi="Times New Roman"/>
          <w:b/>
          <w:snapToGrid w:val="0"/>
          <w:u w:val="single"/>
        </w:rPr>
      </w:pPr>
      <w:r>
        <w:rPr>
          <w:rFonts w:ascii="Times New Roman" w:eastAsia="Calibri" w:hAnsi="Times New Roman"/>
          <w:b/>
          <w:snapToGrid w:val="0"/>
          <w:u w:val="single"/>
        </w:rPr>
        <w:t>Revisions</w:t>
      </w:r>
      <w:r w:rsidRPr="00EF61FD">
        <w:rPr>
          <w:rFonts w:ascii="Times New Roman" w:eastAsia="Calibri" w:hAnsi="Times New Roman"/>
          <w:b/>
          <w:snapToGrid w:val="0"/>
          <w:u w:val="single"/>
        </w:rPr>
        <w:t xml:space="preserve"> to the Collection</w:t>
      </w:r>
      <w:r>
        <w:rPr>
          <w:rFonts w:ascii="Times New Roman" w:eastAsia="Calibri" w:hAnsi="Times New Roman"/>
          <w:b/>
          <w:snapToGrid w:val="0"/>
          <w:u w:val="single"/>
        </w:rPr>
        <w:t xml:space="preserve"> (implemented upon approval of the Change Request)</w:t>
      </w:r>
    </w:p>
    <w:p w:rsidR="00083A0A" w:rsidP="00083A0A" w14:paraId="5591660D" w14:textId="77777777">
      <w:pPr>
        <w:rPr>
          <w:rFonts w:ascii="Times New Roman" w:hAnsi="Times New Roman"/>
          <w:snapToGrid w:val="0"/>
        </w:rPr>
      </w:pPr>
    </w:p>
    <w:p w:rsidR="00083A0A" w:rsidRPr="00EF61FD" w:rsidP="00083A0A" w14:paraId="4604E341" w14:textId="4B6BD58C">
      <w:pPr>
        <w:rPr>
          <w:rFonts w:ascii="Times New Roman" w:hAnsi="Times New Roman"/>
          <w:snapToGrid w:val="0"/>
        </w:rPr>
      </w:pPr>
      <w:r w:rsidRPr="00EF61FD">
        <w:rPr>
          <w:rFonts w:ascii="Times New Roman" w:hAnsi="Times New Roman"/>
          <w:snapToGrid w:val="0"/>
        </w:rPr>
        <w:t xml:space="preserve">We </w:t>
      </w:r>
      <w:r w:rsidR="003B11AE">
        <w:rPr>
          <w:rFonts w:ascii="Times New Roman" w:hAnsi="Times New Roman"/>
          <w:snapToGrid w:val="0"/>
        </w:rPr>
        <w:t>made</w:t>
      </w:r>
      <w:r w:rsidRPr="00EF61FD">
        <w:rPr>
          <w:rFonts w:ascii="Times New Roman" w:hAnsi="Times New Roman"/>
          <w:snapToGrid w:val="0"/>
        </w:rPr>
        <w:t xml:space="preserve"> the following revisions to </w:t>
      </w:r>
      <w:r w:rsidR="00654A66">
        <w:rPr>
          <w:rFonts w:ascii="Times New Roman" w:hAnsi="Times New Roman"/>
          <w:snapToGrid w:val="0"/>
        </w:rPr>
        <w:t>this collection</w:t>
      </w:r>
      <w:r w:rsidRPr="00EF61FD">
        <w:rPr>
          <w:rFonts w:ascii="Times New Roman" w:hAnsi="Times New Roman"/>
          <w:snapToGrid w:val="0"/>
        </w:rPr>
        <w:t>:</w:t>
      </w:r>
    </w:p>
    <w:p w:rsidR="001E0B40" w:rsidP="00C03EDF" w14:paraId="4113A161" w14:textId="77777777">
      <w:pPr>
        <w:rPr>
          <w:rFonts w:ascii="Times New Roman" w:hAnsi="Times New Roman"/>
          <w:snapToGrid w:val="0"/>
        </w:rPr>
      </w:pPr>
    </w:p>
    <w:p w:rsidR="00FC782A" w:rsidP="00FC782A" w14:paraId="2922D836" w14:textId="04346003">
      <w:pPr>
        <w:numPr>
          <w:ilvl w:val="0"/>
          <w:numId w:val="1"/>
        </w:numPr>
        <w:rPr>
          <w:rFonts w:ascii="Times New Roman" w:hAnsi="Times New Roman"/>
          <w:snapToGrid w:val="0"/>
        </w:rPr>
      </w:pPr>
      <w:r w:rsidRPr="00083A0A">
        <w:rPr>
          <w:rFonts w:ascii="Times New Roman" w:hAnsi="Times New Roman"/>
          <w:b/>
          <w:bCs/>
          <w:snapToGrid w:val="0"/>
          <w:u w:val="single"/>
        </w:rPr>
        <w:t>Change #1</w:t>
      </w:r>
      <w:r w:rsidRPr="00083A0A">
        <w:rPr>
          <w:rFonts w:ascii="Times New Roman" w:hAnsi="Times New Roman"/>
          <w:b/>
          <w:bCs/>
          <w:snapToGrid w:val="0"/>
        </w:rPr>
        <w:t>:</w:t>
      </w:r>
      <w:r>
        <w:rPr>
          <w:rFonts w:ascii="Times New Roman" w:hAnsi="Times New Roman"/>
          <w:snapToGrid w:val="0"/>
        </w:rPr>
        <w:t xml:space="preserve">  </w:t>
      </w:r>
      <w:r w:rsidRPr="0054420A" w:rsidR="0054420A">
        <w:rPr>
          <w:rFonts w:ascii="Times New Roman" w:hAnsi="Times New Roman"/>
          <w:snapToGrid w:val="0"/>
        </w:rPr>
        <w:t xml:space="preserve">SSA </w:t>
      </w:r>
      <w:r w:rsidR="003B11AE">
        <w:rPr>
          <w:rFonts w:ascii="Times New Roman" w:hAnsi="Times New Roman"/>
          <w:snapToGrid w:val="0"/>
        </w:rPr>
        <w:t>enhanced</w:t>
      </w:r>
      <w:r w:rsidRPr="0054420A" w:rsidR="0054420A">
        <w:rPr>
          <w:rFonts w:ascii="Times New Roman" w:hAnsi="Times New Roman"/>
          <w:snapToGrid w:val="0"/>
        </w:rPr>
        <w:t xml:space="preserve"> the no-match results provided by </w:t>
      </w:r>
      <w:r w:rsidRPr="0054420A" w:rsidR="0054420A">
        <w:rPr>
          <w:rFonts w:ascii="Times New Roman" w:hAnsi="Times New Roman"/>
          <w:snapToGrid w:val="0"/>
        </w:rPr>
        <w:t>eCBSV</w:t>
      </w:r>
      <w:r w:rsidR="0054420A">
        <w:rPr>
          <w:rFonts w:ascii="Times New Roman" w:hAnsi="Times New Roman"/>
          <w:snapToGrid w:val="0"/>
        </w:rPr>
        <w:t xml:space="preserve"> via the application programming interface (API)</w:t>
      </w:r>
      <w:r w:rsidRPr="0054420A" w:rsidR="0054420A">
        <w:rPr>
          <w:rFonts w:ascii="Times New Roman" w:hAnsi="Times New Roman"/>
          <w:snapToGrid w:val="0"/>
        </w:rPr>
        <w:t xml:space="preserve">.  </w:t>
      </w:r>
      <w:r w:rsidR="000E6939">
        <w:rPr>
          <w:rFonts w:ascii="Times New Roman" w:hAnsi="Times New Roman"/>
          <w:snapToGrid w:val="0"/>
        </w:rPr>
        <w:t xml:space="preserve">We </w:t>
      </w:r>
      <w:r w:rsidR="003B11AE">
        <w:rPr>
          <w:rFonts w:ascii="Times New Roman" w:hAnsi="Times New Roman"/>
          <w:snapToGrid w:val="0"/>
        </w:rPr>
        <w:t>completed</w:t>
      </w:r>
      <w:r w:rsidR="000E6939">
        <w:rPr>
          <w:rFonts w:ascii="Times New Roman" w:hAnsi="Times New Roman"/>
          <w:snapToGrid w:val="0"/>
        </w:rPr>
        <w:t xml:space="preserve"> t</w:t>
      </w:r>
      <w:r w:rsidRPr="0054420A" w:rsidR="0054420A">
        <w:rPr>
          <w:rFonts w:ascii="Times New Roman" w:hAnsi="Times New Roman"/>
          <w:snapToGrid w:val="0"/>
        </w:rPr>
        <w:t xml:space="preserve">his </w:t>
      </w:r>
      <w:r w:rsidR="000E6939">
        <w:rPr>
          <w:rFonts w:ascii="Times New Roman" w:hAnsi="Times New Roman"/>
          <w:snapToGrid w:val="0"/>
        </w:rPr>
        <w:t>through p</w:t>
      </w:r>
      <w:r w:rsidRPr="0054420A" w:rsidR="0054420A">
        <w:rPr>
          <w:rFonts w:ascii="Times New Roman" w:hAnsi="Times New Roman"/>
          <w:snapToGrid w:val="0"/>
        </w:rPr>
        <w:t>roviding details specifying which data element(s) do not align with its records in the response.</w:t>
      </w:r>
    </w:p>
    <w:p w:rsidR="00FC782A" w:rsidP="006405CA" w14:paraId="38CD5E84" w14:textId="77777777">
      <w:pPr>
        <w:rPr>
          <w:rFonts w:ascii="Times New Roman" w:hAnsi="Times New Roman"/>
          <w:snapToGrid w:val="0"/>
        </w:rPr>
      </w:pPr>
    </w:p>
    <w:p w:rsidR="00FC782A" w:rsidP="00F84497" w14:paraId="3EDAA658" w14:textId="606E792E">
      <w:pPr>
        <w:ind w:left="360"/>
        <w:rPr>
          <w:rFonts w:ascii="Times New Roman" w:hAnsi="Times New Roman"/>
          <w:snapToGrid w:val="0"/>
        </w:rPr>
      </w:pPr>
      <w:r w:rsidRPr="00083A0A">
        <w:rPr>
          <w:rFonts w:ascii="Times New Roman" w:hAnsi="Times New Roman"/>
          <w:b/>
          <w:bCs/>
          <w:snapToGrid w:val="0"/>
          <w:u w:val="single"/>
        </w:rPr>
        <w:t>Justification #1</w:t>
      </w:r>
      <w:r w:rsidRPr="00083A0A">
        <w:rPr>
          <w:rFonts w:ascii="Times New Roman" w:hAnsi="Times New Roman"/>
          <w:b/>
          <w:bCs/>
          <w:snapToGrid w:val="0"/>
        </w:rPr>
        <w:t>:</w:t>
      </w:r>
      <w:r>
        <w:rPr>
          <w:rFonts w:ascii="Times New Roman" w:hAnsi="Times New Roman"/>
          <w:snapToGrid w:val="0"/>
        </w:rPr>
        <w:t xml:space="preserve"> </w:t>
      </w:r>
      <w:r w:rsidR="00F84497">
        <w:rPr>
          <w:rFonts w:ascii="Times New Roman" w:hAnsi="Times New Roman"/>
          <w:snapToGrid w:val="0"/>
        </w:rPr>
        <w:t xml:space="preserve"> </w:t>
      </w:r>
      <w:r w:rsidRPr="008A648F" w:rsidR="008A648F">
        <w:rPr>
          <w:rFonts w:ascii="Times New Roman" w:hAnsi="Times New Roman"/>
          <w:snapToGrid w:val="0"/>
        </w:rPr>
        <w:t>This enhancement addresses stakeholder requests and the findings of the 2024 GAO audit, which called for more detailed information to assist in decision-making for combating synthetic identity fraud and enhancing customer identity verification processes.</w:t>
      </w:r>
    </w:p>
    <w:p w:rsidR="00C43C36" w:rsidP="00F84497" w14:paraId="5354676F" w14:textId="77777777">
      <w:pPr>
        <w:ind w:left="360"/>
        <w:rPr>
          <w:rFonts w:ascii="Times New Roman" w:hAnsi="Times New Roman"/>
          <w:snapToGrid w:val="0"/>
        </w:rPr>
      </w:pPr>
    </w:p>
    <w:p w:rsidR="000E6939" w:rsidP="000E6939" w14:paraId="54D269DA" w14:textId="1640650F">
      <w:pPr>
        <w:pStyle w:val="ListParagraph"/>
        <w:numPr>
          <w:ilvl w:val="0"/>
          <w:numId w:val="1"/>
        </w:numPr>
        <w:rPr>
          <w:rFonts w:ascii="Times New Roman" w:hAnsi="Times New Roman"/>
          <w:snapToGrid w:val="0"/>
        </w:rPr>
      </w:pPr>
      <w:r w:rsidRPr="00135A85">
        <w:rPr>
          <w:rFonts w:ascii="Times New Roman" w:hAnsi="Times New Roman"/>
          <w:b/>
          <w:bCs/>
          <w:snapToGrid w:val="0"/>
          <w:u w:val="single"/>
        </w:rPr>
        <w:t>Change #2</w:t>
      </w:r>
      <w:r w:rsidRPr="00135A85">
        <w:rPr>
          <w:rFonts w:ascii="Times New Roman" w:hAnsi="Times New Roman"/>
          <w:b/>
          <w:bCs/>
          <w:snapToGrid w:val="0"/>
        </w:rPr>
        <w:t>:</w:t>
      </w:r>
      <w:r w:rsidRPr="00135A85">
        <w:rPr>
          <w:rFonts w:ascii="Times New Roman" w:hAnsi="Times New Roman"/>
          <w:snapToGrid w:val="0"/>
        </w:rPr>
        <w:t xml:space="preserve">  </w:t>
      </w:r>
      <w:r>
        <w:rPr>
          <w:rFonts w:ascii="Times New Roman" w:hAnsi="Times New Roman"/>
          <w:snapToGrid w:val="0"/>
        </w:rPr>
        <w:t xml:space="preserve">We </w:t>
      </w:r>
      <w:r w:rsidR="003B11AE">
        <w:rPr>
          <w:rFonts w:ascii="Times New Roman" w:hAnsi="Times New Roman"/>
          <w:snapToGrid w:val="0"/>
        </w:rPr>
        <w:t>revised</w:t>
      </w:r>
      <w:r>
        <w:rPr>
          <w:rFonts w:ascii="Times New Roman" w:hAnsi="Times New Roman"/>
          <w:snapToGrid w:val="0"/>
        </w:rPr>
        <w:t xml:space="preserve"> </w:t>
      </w:r>
      <w:r w:rsidRPr="00FB066D" w:rsidR="00FB066D">
        <w:rPr>
          <w:rFonts w:ascii="Times New Roman" w:hAnsi="Times New Roman"/>
          <w:snapToGrid w:val="0"/>
        </w:rPr>
        <w:t xml:space="preserve">sections I, 'Purpose and Definitions,' and II, 'SSN Verification Does Not Provide Proof or Confirmation of Identity,' </w:t>
      </w:r>
      <w:r>
        <w:rPr>
          <w:rFonts w:ascii="Times New Roman" w:hAnsi="Times New Roman"/>
          <w:snapToGrid w:val="0"/>
        </w:rPr>
        <w:t xml:space="preserve">of </w:t>
      </w:r>
      <w:r w:rsidRPr="00FB066D">
        <w:rPr>
          <w:rFonts w:ascii="Times New Roman" w:hAnsi="Times New Roman"/>
          <w:snapToGrid w:val="0"/>
        </w:rPr>
        <w:t xml:space="preserve">the </w:t>
      </w:r>
      <w:r w:rsidRPr="00FB066D">
        <w:rPr>
          <w:rFonts w:ascii="Times New Roman" w:hAnsi="Times New Roman"/>
          <w:snapToGrid w:val="0"/>
        </w:rPr>
        <w:t>eCBSV</w:t>
      </w:r>
      <w:r w:rsidRPr="00FB066D">
        <w:rPr>
          <w:rFonts w:ascii="Times New Roman" w:hAnsi="Times New Roman"/>
          <w:snapToGrid w:val="0"/>
        </w:rPr>
        <w:t xml:space="preserve"> User Agreement </w:t>
      </w:r>
      <w:r w:rsidRPr="00FB066D" w:rsidR="00FB066D">
        <w:rPr>
          <w:rFonts w:ascii="Times New Roman" w:hAnsi="Times New Roman"/>
          <w:snapToGrid w:val="0"/>
        </w:rPr>
        <w:t>to include clarifying details about the data element(s) that do not align with the information in SSA’s records</w:t>
      </w:r>
      <w:r>
        <w:rPr>
          <w:rFonts w:ascii="Times New Roman" w:hAnsi="Times New Roman"/>
          <w:snapToGrid w:val="0"/>
        </w:rPr>
        <w:t>:</w:t>
      </w:r>
    </w:p>
    <w:p w:rsidR="000E6939" w:rsidP="000E6939" w14:paraId="41B41902" w14:textId="34DBC71C">
      <w:pPr>
        <w:pStyle w:val="ListParagraph"/>
        <w:numPr>
          <w:ilvl w:val="1"/>
          <w:numId w:val="1"/>
        </w:numPr>
        <w:rPr>
          <w:rFonts w:ascii="Times New Roman" w:hAnsi="Times New Roman"/>
          <w:snapToGrid w:val="0"/>
        </w:rPr>
      </w:pPr>
      <w:r>
        <w:rPr>
          <w:rFonts w:ascii="Times New Roman" w:hAnsi="Times New Roman"/>
          <w:snapToGrid w:val="0"/>
        </w:rPr>
        <w:t>Revision to section I, Purpose and Definitions:</w:t>
      </w:r>
    </w:p>
    <w:p w:rsidR="000E6939" w:rsidRPr="000E6939" w:rsidP="000E6939" w14:paraId="334DDA0A" w14:textId="2018CB50">
      <w:pPr>
        <w:pStyle w:val="ListParagraph"/>
        <w:numPr>
          <w:ilvl w:val="2"/>
          <w:numId w:val="1"/>
        </w:numPr>
        <w:rPr>
          <w:rFonts w:ascii="Times New Roman" w:hAnsi="Times New Roman"/>
          <w:b/>
          <w:bCs/>
          <w:snapToGrid w:val="0"/>
        </w:rPr>
      </w:pPr>
      <w:r w:rsidRPr="000E6939">
        <w:rPr>
          <w:rFonts w:ascii="Times New Roman" w:hAnsi="Times New Roman"/>
          <w:b/>
          <w:bCs/>
          <w:snapToGrid w:val="0"/>
        </w:rPr>
        <w:t>From:</w:t>
      </w:r>
    </w:p>
    <w:p w:rsidR="000E6939" w:rsidP="000E6939" w14:paraId="1A788A7D" w14:textId="784B3D50">
      <w:pPr>
        <w:pStyle w:val="ListParagraph"/>
        <w:ind w:left="1800"/>
        <w:rPr>
          <w:rFonts w:ascii="Times New Roman" w:hAnsi="Times New Roman"/>
        </w:rPr>
      </w:pPr>
      <w:r w:rsidRPr="000E6939">
        <w:rPr>
          <w:rFonts w:ascii="Times New Roman" w:hAnsi="Times New Roman"/>
          <w:b/>
        </w:rPr>
        <w:t xml:space="preserve">SSN Verification </w:t>
      </w:r>
      <w:r w:rsidRPr="000E6939">
        <w:rPr>
          <w:rFonts w:ascii="Times New Roman" w:hAnsi="Times New Roman"/>
        </w:rPr>
        <w:t>–The response SSA discloses to the Permitted Entity or Financial Institution after conducting a verification of the SSN holder’s Fraud Protection Data.</w:t>
      </w:r>
    </w:p>
    <w:p w:rsidR="000E6939" w:rsidRPr="000E6939" w:rsidP="000E6939" w14:paraId="3992303A" w14:textId="77777777">
      <w:pPr>
        <w:rPr>
          <w:rFonts w:ascii="Times New Roman" w:hAnsi="Times New Roman"/>
          <w:snapToGrid w:val="0"/>
        </w:rPr>
      </w:pPr>
    </w:p>
    <w:p w:rsidR="006E6271" w:rsidP="006E6271" w14:paraId="1D2583A3" w14:textId="77777777">
      <w:pPr>
        <w:pStyle w:val="ListParagraph"/>
        <w:numPr>
          <w:ilvl w:val="2"/>
          <w:numId w:val="1"/>
        </w:numPr>
        <w:rPr>
          <w:rFonts w:ascii="Times New Roman" w:hAnsi="Times New Roman"/>
          <w:b/>
          <w:bCs/>
          <w:snapToGrid w:val="0"/>
        </w:rPr>
      </w:pPr>
      <w:r w:rsidRPr="000E6939">
        <w:rPr>
          <w:rFonts w:ascii="Times New Roman" w:hAnsi="Times New Roman"/>
          <w:b/>
          <w:bCs/>
          <w:snapToGrid w:val="0"/>
        </w:rPr>
        <w:t>To:</w:t>
      </w:r>
    </w:p>
    <w:p w:rsidR="006E6271" w:rsidP="006E6271" w14:paraId="62703736" w14:textId="6216BB8A">
      <w:pPr>
        <w:pStyle w:val="ListParagraph"/>
        <w:ind w:left="1800"/>
        <w:rPr>
          <w:rFonts w:ascii="Times New Roman" w:hAnsi="Times New Roman"/>
          <w:bCs/>
        </w:rPr>
      </w:pPr>
      <w:r w:rsidRPr="006E6271">
        <w:rPr>
          <w:rFonts w:ascii="Times New Roman" w:hAnsi="Times New Roman"/>
          <w:b/>
        </w:rPr>
        <w:t xml:space="preserve">SSN Verification </w:t>
      </w:r>
      <w:r w:rsidRPr="006E6271">
        <w:rPr>
          <w:rFonts w:ascii="Times New Roman" w:hAnsi="Times New Roman"/>
        </w:rPr>
        <w:t xml:space="preserve">–The response SSA discloses to the Permitted Entity or Financial Institution after conducting a comparison of the SSN holder’s Fraud Protection Data with the information recorded in SSA’s records.  SSA will disclose a verification result as a </w:t>
      </w:r>
      <w:r w:rsidRPr="006E6271">
        <w:rPr>
          <w:rFonts w:ascii="Times New Roman" w:hAnsi="Times New Roman"/>
          <w:b/>
          <w:i/>
        </w:rPr>
        <w:t>“yes” or “no”</w:t>
      </w:r>
      <w:r w:rsidRPr="006E6271">
        <w:rPr>
          <w:rFonts w:ascii="Times New Roman" w:hAnsi="Times New Roman"/>
        </w:rPr>
        <w:t xml:space="preserve"> match response, including</w:t>
      </w:r>
      <w:r w:rsidRPr="006E6271">
        <w:rPr>
          <w:rFonts w:ascii="Times New Roman" w:hAnsi="Times New Roman"/>
          <w:bCs/>
        </w:rPr>
        <w:t xml:space="preserve"> explanatory information identifying the data element(s) that does not match the information in SSA’s records.  The SSN verification result will also include an indication of death, if such data is present in SSA records</w:t>
      </w:r>
    </w:p>
    <w:p w:rsidR="006E6271" w:rsidRPr="006E6271" w:rsidP="006E6271" w14:paraId="3E2A20B7" w14:textId="77777777">
      <w:pPr>
        <w:pStyle w:val="ListParagraph"/>
        <w:ind w:left="1800"/>
        <w:rPr>
          <w:rFonts w:ascii="Times New Roman" w:hAnsi="Times New Roman"/>
          <w:b/>
          <w:bCs/>
          <w:snapToGrid w:val="0"/>
        </w:rPr>
      </w:pPr>
    </w:p>
    <w:p w:rsidR="006E6271" w:rsidRPr="006E6271" w:rsidP="006E6271" w14:paraId="4E57B2E6" w14:textId="779CEC17">
      <w:pPr>
        <w:pStyle w:val="ListParagraph"/>
        <w:numPr>
          <w:ilvl w:val="1"/>
          <w:numId w:val="1"/>
        </w:numPr>
        <w:rPr>
          <w:rFonts w:ascii="Times New Roman" w:hAnsi="Times New Roman"/>
          <w:b/>
          <w:bCs/>
          <w:snapToGrid w:val="0"/>
        </w:rPr>
      </w:pPr>
      <w:r>
        <w:rPr>
          <w:rFonts w:ascii="Times New Roman" w:hAnsi="Times New Roman"/>
          <w:bCs/>
        </w:rPr>
        <w:t xml:space="preserve">Revision from section II, </w:t>
      </w:r>
      <w:r w:rsidRPr="00FB066D">
        <w:rPr>
          <w:rFonts w:ascii="Times New Roman" w:hAnsi="Times New Roman"/>
          <w:snapToGrid w:val="0"/>
        </w:rPr>
        <w:t xml:space="preserve">'SSN Verification Does Not Provide Proof or </w:t>
      </w:r>
      <w:r w:rsidRPr="00FB066D">
        <w:rPr>
          <w:rFonts w:ascii="Times New Roman" w:hAnsi="Times New Roman"/>
          <w:snapToGrid w:val="0"/>
        </w:rPr>
        <w:t>Confirmation of Identity</w:t>
      </w:r>
      <w:r>
        <w:rPr>
          <w:rFonts w:ascii="Times New Roman" w:hAnsi="Times New Roman"/>
          <w:snapToGrid w:val="0"/>
        </w:rPr>
        <w:t>:</w:t>
      </w:r>
    </w:p>
    <w:p w:rsidR="006E6271" w:rsidRPr="006E6271" w:rsidP="006E6271" w14:paraId="39B9A2C0" w14:textId="5806C923">
      <w:pPr>
        <w:pStyle w:val="ListParagraph"/>
        <w:numPr>
          <w:ilvl w:val="2"/>
          <w:numId w:val="1"/>
        </w:numPr>
        <w:rPr>
          <w:rFonts w:ascii="Times New Roman" w:hAnsi="Times New Roman"/>
          <w:b/>
          <w:bCs/>
          <w:snapToGrid w:val="0"/>
        </w:rPr>
      </w:pPr>
      <w:r w:rsidRPr="006E6271">
        <w:rPr>
          <w:rFonts w:ascii="Times New Roman" w:hAnsi="Times New Roman"/>
          <w:b/>
          <w:bCs/>
          <w:snapToGrid w:val="0"/>
        </w:rPr>
        <w:t>From:</w:t>
      </w:r>
    </w:p>
    <w:p w:rsidR="006E6271" w:rsidP="006E6271" w14:paraId="1CA1CB12" w14:textId="3F1108CB">
      <w:pPr>
        <w:pStyle w:val="ListParagraph"/>
        <w:ind w:left="1800"/>
        <w:rPr>
          <w:rFonts w:ascii="Times New Roman" w:hAnsi="Times New Roman"/>
          <w:b/>
          <w:i/>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6E6271" w:rsidRPr="006E6271" w:rsidP="006E6271" w14:paraId="497D814E" w14:textId="77777777">
      <w:pPr>
        <w:pStyle w:val="ListParagraph"/>
        <w:ind w:left="1800"/>
        <w:rPr>
          <w:rFonts w:ascii="Times New Roman" w:hAnsi="Times New Roman"/>
          <w:b/>
          <w:bCs/>
          <w:snapToGrid w:val="0"/>
        </w:rPr>
      </w:pPr>
    </w:p>
    <w:p w:rsidR="006E6271" w:rsidRPr="00D5344D" w:rsidP="006E6271" w14:paraId="3A33BD45" w14:textId="2A502D50">
      <w:pPr>
        <w:pStyle w:val="ListParagraph"/>
        <w:numPr>
          <w:ilvl w:val="2"/>
          <w:numId w:val="1"/>
        </w:numPr>
        <w:rPr>
          <w:rFonts w:ascii="Times New Roman" w:hAnsi="Times New Roman"/>
          <w:b/>
          <w:bCs/>
          <w:snapToGrid w:val="0"/>
        </w:rPr>
      </w:pPr>
      <w:r w:rsidRPr="00D5344D">
        <w:rPr>
          <w:rFonts w:ascii="Times New Roman" w:hAnsi="Times New Roman"/>
          <w:b/>
          <w:bCs/>
          <w:snapToGrid w:val="0"/>
        </w:rPr>
        <w:t>To:</w:t>
      </w:r>
    </w:p>
    <w:p w:rsidR="000E6939" w:rsidRPr="006E6271" w:rsidP="000E6939" w14:paraId="40B3B77A" w14:textId="6D423336">
      <w:pPr>
        <w:pStyle w:val="ListParagraph"/>
        <w:ind w:left="1800"/>
        <w:rPr>
          <w:rFonts w:ascii="Times New Roman" w:hAnsi="Times New Roman"/>
          <w:snapToGrid w:val="0"/>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 and explanatory information in the case of a “no” match response </w:t>
      </w:r>
      <w:r w:rsidRPr="006E6271">
        <w:rPr>
          <w:rFonts w:ascii="Times New Roman" w:hAnsi="Times New Roman"/>
          <w:b/>
          <w:i/>
          <w:iCs/>
        </w:rPr>
        <w:t>that identifies the data element(s) that does not match the information in SSA’s records</w:t>
      </w:r>
      <w:r w:rsidRPr="006E6271">
        <w:rPr>
          <w:rFonts w:ascii="Times New Roman" w:hAnsi="Times New Roman"/>
          <w:b/>
          <w:i/>
        </w:rPr>
        <w:t>.</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C43C36" w:rsidP="00C43C36" w14:paraId="2D861795" w14:textId="77777777">
      <w:pPr>
        <w:rPr>
          <w:rFonts w:ascii="Times New Roman" w:hAnsi="Times New Roman"/>
          <w:snapToGrid w:val="0"/>
        </w:rPr>
      </w:pPr>
    </w:p>
    <w:p w:rsidR="00C43C36" w:rsidP="00C43C36" w14:paraId="0C438BAB" w14:textId="195B1D77">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2</w:t>
      </w:r>
      <w:r w:rsidRPr="00083A0A">
        <w:rPr>
          <w:rFonts w:ascii="Times New Roman" w:hAnsi="Times New Roman"/>
          <w:b/>
          <w:bCs/>
          <w:snapToGrid w:val="0"/>
        </w:rPr>
        <w:t>:</w:t>
      </w:r>
      <w:r>
        <w:rPr>
          <w:rFonts w:ascii="Times New Roman" w:hAnsi="Times New Roman"/>
          <w:snapToGrid w:val="0"/>
        </w:rPr>
        <w:t xml:space="preserve">  </w:t>
      </w:r>
      <w:r w:rsidRPr="006A0665" w:rsidR="006A0665">
        <w:rPr>
          <w:rFonts w:ascii="Times New Roman" w:hAnsi="Times New Roman"/>
          <w:snapToGrid w:val="0"/>
        </w:rPr>
        <w:t>Th</w:t>
      </w:r>
      <w:r w:rsidR="006E6271">
        <w:rPr>
          <w:rFonts w:ascii="Times New Roman" w:hAnsi="Times New Roman"/>
          <w:snapToGrid w:val="0"/>
        </w:rPr>
        <w:t xml:space="preserve">ese revisions </w:t>
      </w:r>
      <w:r w:rsidR="003B11AE">
        <w:rPr>
          <w:rFonts w:ascii="Times New Roman" w:hAnsi="Times New Roman"/>
          <w:snapToGrid w:val="0"/>
        </w:rPr>
        <w:t>wer</w:t>
      </w:r>
      <w:r w:rsidR="006E6271">
        <w:rPr>
          <w:rFonts w:ascii="Times New Roman" w:hAnsi="Times New Roman"/>
          <w:snapToGrid w:val="0"/>
        </w:rPr>
        <w:t>e</w:t>
      </w:r>
      <w:r w:rsidRPr="006A0665" w:rsidR="006A0665">
        <w:rPr>
          <w:rFonts w:ascii="Times New Roman" w:hAnsi="Times New Roman"/>
          <w:snapToGrid w:val="0"/>
        </w:rPr>
        <w:t xml:space="preserve"> necessary to incorporate the additional disclosure regarding the verification result of a 'no' match response.</w:t>
      </w:r>
    </w:p>
    <w:p w:rsidR="003E4643" w:rsidP="00C43C36" w14:paraId="03C7195E" w14:textId="77777777">
      <w:pPr>
        <w:ind w:left="360"/>
        <w:rPr>
          <w:rFonts w:ascii="Times New Roman" w:hAnsi="Times New Roman"/>
          <w:snapToGrid w:val="0"/>
        </w:rPr>
      </w:pPr>
    </w:p>
    <w:p w:rsidR="006E6271" w:rsidP="00B84A73" w14:paraId="281562E0" w14:textId="020E0070">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#3</w:t>
      </w:r>
      <w:r w:rsidRPr="00B84A73">
        <w:rPr>
          <w:rFonts w:ascii="Times New Roman" w:hAnsi="Times New Roman"/>
          <w:b/>
          <w:bCs/>
          <w:snapToGrid w:val="0"/>
        </w:rPr>
        <w:t>:</w:t>
      </w:r>
      <w:r w:rsidRPr="00B84A73">
        <w:rPr>
          <w:rFonts w:ascii="Times New Roman" w:hAnsi="Times New Roman"/>
          <w:snapToGrid w:val="0"/>
        </w:rPr>
        <w:t xml:space="preserve">  </w:t>
      </w:r>
      <w:r>
        <w:rPr>
          <w:rFonts w:ascii="Times New Roman" w:hAnsi="Times New Roman"/>
          <w:snapToGrid w:val="0"/>
        </w:rPr>
        <w:t xml:space="preserve">We </w:t>
      </w:r>
      <w:r w:rsidR="003B11AE">
        <w:rPr>
          <w:rFonts w:ascii="Times New Roman" w:hAnsi="Times New Roman"/>
          <w:snapToGrid w:val="0"/>
        </w:rPr>
        <w:t>revised</w:t>
      </w:r>
      <w:r>
        <w:rPr>
          <w:rFonts w:ascii="Times New Roman" w:hAnsi="Times New Roman"/>
          <w:snapToGrid w:val="0"/>
        </w:rPr>
        <w:t xml:space="preserve"> section III, ‘Responsibilities’ of </w:t>
      </w:r>
      <w:r w:rsidRPr="00B84A73">
        <w:rPr>
          <w:rFonts w:ascii="Times New Roman" w:hAnsi="Times New Roman"/>
          <w:snapToGrid w:val="0"/>
        </w:rPr>
        <w:t xml:space="preserve">the </w:t>
      </w:r>
      <w:r w:rsidRPr="00B84A73">
        <w:rPr>
          <w:rFonts w:ascii="Times New Roman" w:hAnsi="Times New Roman"/>
          <w:snapToGrid w:val="0"/>
        </w:rPr>
        <w:t>eCBSV</w:t>
      </w:r>
      <w:r w:rsidRPr="00B84A73">
        <w:rPr>
          <w:rFonts w:ascii="Times New Roman" w:hAnsi="Times New Roman"/>
          <w:snapToGrid w:val="0"/>
        </w:rPr>
        <w:t xml:space="preserve"> User Agreement</w:t>
      </w:r>
      <w:r>
        <w:rPr>
          <w:rFonts w:ascii="Times New Roman" w:hAnsi="Times New Roman"/>
          <w:snapToGrid w:val="0"/>
        </w:rPr>
        <w:t xml:space="preserve"> </w:t>
      </w:r>
      <w:r w:rsidRPr="00B84A73">
        <w:rPr>
          <w:rFonts w:ascii="Times New Roman" w:hAnsi="Times New Roman"/>
          <w:snapToGrid w:val="0"/>
        </w:rPr>
        <w:t xml:space="preserve">to include clarifying details </w:t>
      </w:r>
      <w:r w:rsidRPr="00B84A73" w:rsidR="00BD36B4">
        <w:rPr>
          <w:rFonts w:ascii="Times New Roman" w:hAnsi="Times New Roman"/>
          <w:snapToGrid w:val="0"/>
        </w:rPr>
        <w:t xml:space="preserve">that the </w:t>
      </w:r>
      <w:r w:rsidRPr="00B84A73" w:rsidR="00B51B68">
        <w:rPr>
          <w:rFonts w:ascii="Times New Roman" w:hAnsi="Times New Roman"/>
          <w:snapToGrid w:val="0"/>
        </w:rPr>
        <w:t>Permitted Entity and any Financial Institution(s) may not publicly release any analysis or research concerning the provided SSN Verification, including reviews of SSA’s business process(es) associated with the SSN verification.</w:t>
      </w:r>
      <w:r w:rsidRPr="00B84A73" w:rsidR="00C05BF2">
        <w:rPr>
          <w:rFonts w:ascii="Times New Roman" w:hAnsi="Times New Roman"/>
          <w:snapToGrid w:val="0"/>
        </w:rPr>
        <w:t xml:space="preserve">  </w:t>
      </w:r>
      <w:r w:rsidRPr="00B84A73" w:rsidR="00D07DC6">
        <w:rPr>
          <w:rFonts w:ascii="Times New Roman" w:hAnsi="Times New Roman"/>
          <w:snapToGrid w:val="0"/>
        </w:rPr>
        <w:t>Also,</w:t>
      </w:r>
      <w:r w:rsidRPr="00B84A73" w:rsidR="00C05BF2">
        <w:rPr>
          <w:rFonts w:ascii="Times New Roman" w:hAnsi="Times New Roman"/>
          <w:snapToGrid w:val="0"/>
        </w:rPr>
        <w:t xml:space="preserve"> that the </w:t>
      </w:r>
      <w:r w:rsidR="00B84A73">
        <w:rPr>
          <w:rFonts w:ascii="Times New Roman" w:hAnsi="Times New Roman"/>
          <w:snapToGrid w:val="0"/>
        </w:rPr>
        <w:t>i</w:t>
      </w:r>
      <w:r w:rsidRPr="00B84A73" w:rsidR="00B84A73">
        <w:rPr>
          <w:rFonts w:ascii="Times New Roman" w:hAnsi="Times New Roman"/>
          <w:snapToGrid w:val="0"/>
        </w:rPr>
        <w:t xml:space="preserve">n the case of a “no” match SSN Verification result, the Permitted Entity must not share the explanatory information identifying the data element(s) that does not match the information in SSA’s records with the SSN holder. </w:t>
      </w:r>
    </w:p>
    <w:p w:rsidR="006E6271" w:rsidRPr="005D5C3C" w:rsidP="006E6271" w14:paraId="1B227930" w14:textId="77777777">
      <w:pPr>
        <w:pStyle w:val="ListParagraph"/>
        <w:numPr>
          <w:ilvl w:val="1"/>
          <w:numId w:val="1"/>
        </w:numPr>
        <w:rPr>
          <w:rFonts w:ascii="Times New Roman" w:hAnsi="Times New Roman"/>
          <w:snapToGrid w:val="0"/>
        </w:rPr>
      </w:pPr>
      <w:r w:rsidRPr="006E6271">
        <w:rPr>
          <w:rFonts w:ascii="Times New Roman" w:hAnsi="Times New Roman"/>
          <w:b/>
          <w:bCs/>
          <w:snapToGrid w:val="0"/>
        </w:rPr>
        <w:t>From:</w:t>
      </w:r>
    </w:p>
    <w:p w:rsidR="005D5C3C" w:rsidRPr="005D5C3C" w:rsidP="005D5C3C" w14:paraId="6A1ECE7B" w14:textId="6107BB0B">
      <w:pPr>
        <w:pStyle w:val="ListParagraph"/>
        <w:ind w:left="1080"/>
        <w:rPr>
          <w:rFonts w:ascii="Times New Roman" w:hAnsi="Times New Roman"/>
        </w:rPr>
      </w:pPr>
      <w:r w:rsidRPr="005D5C3C">
        <w:rPr>
          <w:rFonts w:ascii="Times New Roman" w:hAnsi="Times New Roman"/>
        </w:rPr>
        <w:t>21. 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p>
    <w:p w:rsidR="005D5C3C" w:rsidRPr="005D5C3C" w:rsidP="005D5C3C" w14:paraId="2AB9E1E1" w14:textId="77777777">
      <w:pPr>
        <w:pStyle w:val="ListParagraph"/>
        <w:ind w:left="1080"/>
        <w:rPr>
          <w:rFonts w:ascii="Times New Roman" w:hAnsi="Times New Roman"/>
        </w:rPr>
      </w:pPr>
    </w:p>
    <w:p w:rsidR="005D5C3C" w:rsidRPr="005D5C3C" w:rsidP="005D5C3C" w14:paraId="05CE4D0D" w14:textId="395F4081">
      <w:pPr>
        <w:pStyle w:val="ListParagraph"/>
        <w:ind w:left="1080"/>
        <w:rPr>
          <w:rFonts w:ascii="Times New Roman" w:hAnsi="Times New Roman"/>
        </w:rPr>
      </w:pPr>
      <w:r w:rsidRPr="005D5C3C">
        <w:rPr>
          <w:rFonts w:ascii="Times New Roman" w:hAnsi="Times New Roman"/>
        </w:rPr>
        <w:t xml:space="preserve">22.  Consistent with its Permitted Entity Certification and existing obligations under the GLBA, the Permitted Entity shall maintain policies and procedures that: 1) ensure the security and confidentiality of the SSN Verifications, and 2) ensure SSN Verifications that are maintained in a Managed Service Provider or Cloud Service Provider are encrypted at rest and in transit, and 3) </w:t>
      </w:r>
      <w:r w:rsidRPr="005D5C3C">
        <w:rPr>
          <w:rFonts w:ascii="Times New Roman" w:hAnsi="Times New Roman"/>
        </w:rPr>
        <w:t>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5D5C3C" w:rsidRPr="005D5C3C" w:rsidP="005D5C3C" w14:paraId="1A46ED0B" w14:textId="77777777">
      <w:pPr>
        <w:pStyle w:val="ListParagraph"/>
        <w:ind w:left="1080"/>
        <w:rPr>
          <w:rFonts w:ascii="Times New Roman" w:hAnsi="Times New Roman"/>
          <w:snapToGrid w:val="0"/>
        </w:rPr>
      </w:pPr>
    </w:p>
    <w:p w:rsidR="005D5C3C" w:rsidP="005D5C3C" w14:paraId="248A81AC" w14:textId="77777777">
      <w:pPr>
        <w:pStyle w:val="ListParagraph"/>
        <w:numPr>
          <w:ilvl w:val="1"/>
          <w:numId w:val="1"/>
        </w:numPr>
        <w:rPr>
          <w:rFonts w:ascii="Times New Roman" w:hAnsi="Times New Roman"/>
          <w:b/>
          <w:bCs/>
          <w:snapToGrid w:val="0"/>
        </w:rPr>
      </w:pPr>
      <w:r w:rsidRPr="006E6271">
        <w:rPr>
          <w:rFonts w:ascii="Times New Roman" w:hAnsi="Times New Roman"/>
          <w:b/>
          <w:bCs/>
          <w:snapToGrid w:val="0"/>
        </w:rPr>
        <w:t>To:</w:t>
      </w:r>
      <w:r w:rsidRPr="006E6271" w:rsidR="00B84A73">
        <w:rPr>
          <w:rFonts w:ascii="Times New Roman" w:hAnsi="Times New Roman"/>
          <w:b/>
          <w:bCs/>
          <w:snapToGrid w:val="0"/>
        </w:rPr>
        <w:t xml:space="preserve"> </w:t>
      </w:r>
    </w:p>
    <w:p w:rsidR="005D5C3C" w:rsidP="005D5C3C" w14:paraId="27A0429E" w14:textId="0F24C97E">
      <w:pPr>
        <w:pStyle w:val="ListParagraph"/>
        <w:ind w:left="1080"/>
        <w:rPr>
          <w:rFonts w:ascii="Times New Roman" w:hAnsi="Times New Roman"/>
        </w:rPr>
      </w:pPr>
      <w:r w:rsidRPr="005D5C3C">
        <w:rPr>
          <w:rFonts w:ascii="Times New Roman" w:hAnsi="Times New Roman"/>
          <w:snapToGrid w:val="0"/>
        </w:rPr>
        <w:t xml:space="preserve">21.  </w:t>
      </w:r>
      <w:r w:rsidRPr="005D5C3C">
        <w:rPr>
          <w:rFonts w:ascii="Times New Roman" w:hAnsi="Times New Roman"/>
        </w:rPr>
        <w:t>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for a purpose not authorized by the Written Consent.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r w:rsidRPr="005D5C3C">
        <w:rPr>
          <w:rFonts w:ascii="Times New Roman" w:hAnsi="Times New Roman"/>
        </w:rPr>
        <w:t xml:space="preserve">  The Permitted Entity and any Financial Institution(s) may not publicly release any analysis or research concerning the provided SSN Verification, including reviews of SSA’s business process(es) associated with the SSN verification.</w:t>
      </w:r>
    </w:p>
    <w:p w:rsidR="005D5C3C" w:rsidP="005D5C3C" w14:paraId="6401314B" w14:textId="77777777">
      <w:pPr>
        <w:pStyle w:val="ListParagraph"/>
        <w:ind w:left="1080"/>
        <w:rPr>
          <w:rFonts w:ascii="Times New Roman" w:hAnsi="Times New Roman"/>
        </w:rPr>
      </w:pPr>
    </w:p>
    <w:p w:rsidR="005D5C3C" w:rsidRPr="005D5C3C" w:rsidP="005D5C3C" w14:paraId="7E05F2C0" w14:textId="115A699E">
      <w:pPr>
        <w:pStyle w:val="ListParagraph"/>
        <w:ind w:left="1080"/>
        <w:rPr>
          <w:rFonts w:ascii="Times New Roman" w:hAnsi="Times New Roman"/>
        </w:rPr>
      </w:pPr>
      <w:r w:rsidRPr="005D5C3C">
        <w:rPr>
          <w:rFonts w:ascii="Times New Roman" w:hAnsi="Times New Roman"/>
        </w:rPr>
        <w:t xml:space="preserve">22.  In the case of a “no” match SSN Verification result, the Permitted Entity must not share the </w:t>
      </w:r>
      <w:r w:rsidRPr="005D5C3C">
        <w:rPr>
          <w:rFonts w:ascii="Times New Roman" w:hAnsi="Times New Roman"/>
          <w:bCs/>
        </w:rPr>
        <w:t>explanatory information identifying the data element(s) that does not match the information in SSA’s records</w:t>
      </w:r>
      <w:r w:rsidRPr="005D5C3C">
        <w:rPr>
          <w:rFonts w:ascii="Times New Roman" w:hAnsi="Times New Roman"/>
        </w:rPr>
        <w:t xml:space="preserve"> with the SSN holder.</w:t>
      </w:r>
    </w:p>
    <w:p w:rsidR="005D5C3C" w:rsidRPr="005D5C3C" w:rsidP="005D5C3C" w14:paraId="12EA8247" w14:textId="77777777">
      <w:pPr>
        <w:pStyle w:val="ListParagraph"/>
        <w:ind w:left="1080"/>
        <w:rPr>
          <w:rFonts w:ascii="Times New Roman" w:hAnsi="Times New Roman"/>
        </w:rPr>
      </w:pPr>
    </w:p>
    <w:p w:rsidR="005D5C3C" w:rsidRPr="005D5C3C" w:rsidP="005D5C3C" w14:paraId="627662AB" w14:textId="5EC55BD3">
      <w:pPr>
        <w:pStyle w:val="ListParagraph"/>
        <w:ind w:left="1080"/>
        <w:rPr>
          <w:rFonts w:ascii="Times New Roman" w:hAnsi="Times New Roman"/>
          <w:snapToGrid w:val="0"/>
        </w:rPr>
      </w:pPr>
      <w:r w:rsidRPr="005D5C3C">
        <w:rPr>
          <w:rFonts w:ascii="Times New Roman" w:hAnsi="Times New Roman"/>
        </w:rPr>
        <w:t>23.  Consistent with its Permitted Entity Certification and existing obligations under the GLBA, the Permitted Entity shall maintain policies and procedures that: 1) ensure the security and confidentiality of the SSN Verifications,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3E4643" w:rsidP="003E4643" w14:paraId="190EA906" w14:textId="77777777">
      <w:pPr>
        <w:rPr>
          <w:rFonts w:ascii="Times New Roman" w:hAnsi="Times New Roman"/>
          <w:snapToGrid w:val="0"/>
        </w:rPr>
      </w:pPr>
    </w:p>
    <w:p w:rsidR="003E4643" w:rsidP="003E4643" w14:paraId="6277065F" w14:textId="2410FAB1">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3</w:t>
      </w:r>
      <w:r w:rsidRPr="00083A0A">
        <w:rPr>
          <w:rFonts w:ascii="Times New Roman" w:hAnsi="Times New Roman"/>
          <w:b/>
          <w:bCs/>
          <w:snapToGrid w:val="0"/>
        </w:rPr>
        <w:t>:</w:t>
      </w:r>
      <w:r>
        <w:rPr>
          <w:rFonts w:ascii="Times New Roman" w:hAnsi="Times New Roman"/>
          <w:snapToGrid w:val="0"/>
        </w:rPr>
        <w:t xml:space="preserve">  </w:t>
      </w:r>
      <w:r w:rsidRPr="00805115" w:rsidR="00805115">
        <w:rPr>
          <w:rFonts w:ascii="Times New Roman" w:hAnsi="Times New Roman"/>
          <w:snapToGrid w:val="0"/>
        </w:rPr>
        <w:t xml:space="preserve">This change </w:t>
      </w:r>
      <w:r w:rsidR="003B11AE">
        <w:rPr>
          <w:rFonts w:ascii="Times New Roman" w:hAnsi="Times New Roman"/>
          <w:snapToGrid w:val="0"/>
        </w:rPr>
        <w:t>was</w:t>
      </w:r>
      <w:r w:rsidRPr="00805115" w:rsidR="00805115">
        <w:rPr>
          <w:rFonts w:ascii="Times New Roman" w:hAnsi="Times New Roman"/>
          <w:snapToGrid w:val="0"/>
        </w:rPr>
        <w:t xml:space="preserve"> essential to address the increased disclosure risk faced by the agency, as well as to implement mitigation strategies.</w:t>
      </w:r>
    </w:p>
    <w:p w:rsidR="005D5C3C" w:rsidP="003E4643" w14:paraId="6B087226" w14:textId="77777777">
      <w:pPr>
        <w:ind w:left="360"/>
        <w:rPr>
          <w:rFonts w:ascii="Times New Roman" w:hAnsi="Times New Roman"/>
          <w:snapToGrid w:val="0"/>
        </w:rPr>
      </w:pPr>
    </w:p>
    <w:p w:rsidR="005D5C3C" w:rsidP="003E4643" w14:paraId="08AB0619" w14:textId="46595595">
      <w:pPr>
        <w:ind w:left="360"/>
        <w:rPr>
          <w:rFonts w:ascii="Times New Roman" w:hAnsi="Times New Roman"/>
          <w:snapToGrid w:val="0"/>
        </w:rPr>
      </w:pPr>
      <w:r w:rsidRPr="005D5C3C">
        <w:rPr>
          <w:rFonts w:ascii="Times New Roman" w:hAnsi="Times New Roman"/>
          <w:b/>
          <w:bCs/>
          <w:snapToGrid w:val="0"/>
        </w:rPr>
        <w:t>Note:</w:t>
      </w:r>
      <w:r>
        <w:rPr>
          <w:rFonts w:ascii="Times New Roman" w:hAnsi="Times New Roman"/>
          <w:snapToGrid w:val="0"/>
        </w:rPr>
        <w:t xml:space="preserve">  </w:t>
      </w:r>
      <w:r w:rsidR="003B11AE">
        <w:rPr>
          <w:rFonts w:ascii="Times New Roman" w:hAnsi="Times New Roman"/>
          <w:snapToGrid w:val="0"/>
        </w:rPr>
        <w:t>We made no</w:t>
      </w:r>
      <w:r>
        <w:rPr>
          <w:rFonts w:ascii="Times New Roman" w:hAnsi="Times New Roman"/>
          <w:snapToGrid w:val="0"/>
        </w:rPr>
        <w:t xml:space="preserve"> change to the language in the last bullet; however, we renumbered it to #23 as we added a new #22 to the revised section.</w:t>
      </w:r>
    </w:p>
    <w:p w:rsidR="00805115" w:rsidP="003E4643" w14:paraId="36CBEB51" w14:textId="77777777">
      <w:pPr>
        <w:ind w:left="360"/>
        <w:rPr>
          <w:rFonts w:ascii="Times New Roman" w:hAnsi="Times New Roman"/>
          <w:snapToGrid w:val="0"/>
        </w:rPr>
      </w:pPr>
    </w:p>
    <w:p w:rsidR="00321262" w:rsidP="00321262" w14:paraId="172B0164" w14:textId="6C3518EE">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4</w:t>
      </w:r>
      <w:r w:rsidRPr="00B84A73">
        <w:rPr>
          <w:rFonts w:ascii="Times New Roman" w:hAnsi="Times New Roman"/>
          <w:b/>
          <w:bCs/>
          <w:snapToGrid w:val="0"/>
        </w:rPr>
        <w:t>:</w:t>
      </w:r>
      <w:r w:rsidRPr="00B84A73">
        <w:rPr>
          <w:rFonts w:ascii="Times New Roman" w:hAnsi="Times New Roman"/>
          <w:snapToGrid w:val="0"/>
        </w:rPr>
        <w:t xml:space="preserve">  </w:t>
      </w:r>
      <w:r w:rsidR="0035184E">
        <w:rPr>
          <w:rFonts w:ascii="Times New Roman" w:hAnsi="Times New Roman"/>
          <w:snapToGrid w:val="0"/>
        </w:rPr>
        <w:t xml:space="preserve">We revised </w:t>
      </w:r>
      <w:r w:rsidRPr="00B84A73">
        <w:rPr>
          <w:rFonts w:ascii="Times New Roman" w:hAnsi="Times New Roman"/>
          <w:snapToGrid w:val="0"/>
        </w:rPr>
        <w:t xml:space="preserve">section </w:t>
      </w:r>
      <w:r w:rsidR="007B4840">
        <w:rPr>
          <w:rFonts w:ascii="Times New Roman" w:hAnsi="Times New Roman"/>
          <w:snapToGrid w:val="0"/>
        </w:rPr>
        <w:t>V</w:t>
      </w:r>
      <w:r w:rsidR="0035184E">
        <w:rPr>
          <w:rFonts w:ascii="Times New Roman" w:hAnsi="Times New Roman"/>
          <w:snapToGrid w:val="0"/>
        </w:rPr>
        <w:t>I</w:t>
      </w:r>
      <w:r w:rsidRPr="00B84A73">
        <w:rPr>
          <w:rFonts w:ascii="Times New Roman" w:hAnsi="Times New Roman"/>
          <w:snapToGrid w:val="0"/>
        </w:rPr>
        <w:t>, ‘</w:t>
      </w:r>
      <w:r w:rsidR="007B4840">
        <w:rPr>
          <w:rFonts w:ascii="Times New Roman" w:hAnsi="Times New Roman"/>
          <w:snapToGrid w:val="0"/>
        </w:rPr>
        <w:t>Cost of Service</w:t>
      </w:r>
      <w:r w:rsidRPr="00B84A73">
        <w:rPr>
          <w:rFonts w:ascii="Times New Roman" w:hAnsi="Times New Roman"/>
          <w:snapToGrid w:val="0"/>
        </w:rPr>
        <w:t xml:space="preserve">,' </w:t>
      </w:r>
      <w:r w:rsidR="0035184E">
        <w:rPr>
          <w:rFonts w:ascii="Times New Roman" w:hAnsi="Times New Roman"/>
          <w:snapToGrid w:val="0"/>
        </w:rPr>
        <w:t>of the User Agreement</w:t>
      </w:r>
      <w:r w:rsidRPr="00B84A73">
        <w:rPr>
          <w:rFonts w:ascii="Times New Roman" w:hAnsi="Times New Roman"/>
          <w:snapToGrid w:val="0"/>
        </w:rPr>
        <w:t xml:space="preserve"> to </w:t>
      </w:r>
      <w:r w:rsidR="00433A06">
        <w:rPr>
          <w:rFonts w:ascii="Times New Roman" w:hAnsi="Times New Roman"/>
          <w:snapToGrid w:val="0"/>
        </w:rPr>
        <w:t xml:space="preserve">remove the </w:t>
      </w:r>
      <w:r w:rsidRPr="001A1CE6" w:rsidR="00433A06">
        <w:rPr>
          <w:rFonts w:ascii="Times New Roman" w:hAnsi="Times New Roman"/>
          <w:snapToGrid w:val="0"/>
        </w:rPr>
        <w:t>obligation for the Permitted Entity to select a higher tier upon renewal for the advanced tier</w:t>
      </w:r>
      <w:r w:rsidR="0035184E">
        <w:rPr>
          <w:rFonts w:ascii="Times New Roman" w:hAnsi="Times New Roman"/>
          <w:snapToGrid w:val="0"/>
        </w:rPr>
        <w:t xml:space="preserve"> and to revise the language discussing the tiers:</w:t>
      </w:r>
    </w:p>
    <w:p w:rsidR="0035184E" w:rsidRPr="0035184E" w:rsidP="0035184E" w14:paraId="07A382C0" w14:textId="77777777">
      <w:pPr>
        <w:pStyle w:val="ListParagraph"/>
        <w:numPr>
          <w:ilvl w:val="1"/>
          <w:numId w:val="1"/>
        </w:numPr>
        <w:rPr>
          <w:rFonts w:ascii="Times New Roman" w:hAnsi="Times New Roman"/>
          <w:snapToGrid w:val="0"/>
        </w:rPr>
      </w:pPr>
      <w:r>
        <w:rPr>
          <w:rFonts w:ascii="Times New Roman" w:hAnsi="Times New Roman"/>
          <w:b/>
          <w:bCs/>
          <w:snapToGrid w:val="0"/>
        </w:rPr>
        <w:t>Revision to 2</w:t>
      </w:r>
      <w:r w:rsidRPr="0035184E">
        <w:rPr>
          <w:rFonts w:ascii="Times New Roman" w:hAnsi="Times New Roman"/>
          <w:b/>
          <w:bCs/>
          <w:snapToGrid w:val="0"/>
          <w:vertAlign w:val="superscript"/>
        </w:rPr>
        <w:t>nd</w:t>
      </w:r>
      <w:r>
        <w:rPr>
          <w:rFonts w:ascii="Times New Roman" w:hAnsi="Times New Roman"/>
          <w:b/>
          <w:bCs/>
          <w:snapToGrid w:val="0"/>
        </w:rPr>
        <w:t xml:space="preserve"> Paragraph:</w:t>
      </w:r>
    </w:p>
    <w:p w:rsidR="0035184E" w:rsidRPr="0035184E" w:rsidP="0035184E" w14:paraId="5C62D7C6" w14:textId="1F7FDF3A">
      <w:pPr>
        <w:pStyle w:val="ListParagraph"/>
        <w:numPr>
          <w:ilvl w:val="2"/>
          <w:numId w:val="1"/>
        </w:numPr>
        <w:rPr>
          <w:rFonts w:ascii="Times New Roman" w:hAnsi="Times New Roman"/>
          <w:snapToGrid w:val="0"/>
        </w:rPr>
      </w:pPr>
      <w:r w:rsidRPr="0035184E">
        <w:rPr>
          <w:rFonts w:ascii="Times New Roman" w:hAnsi="Times New Roman"/>
          <w:b/>
          <w:bCs/>
          <w:snapToGrid w:val="0"/>
        </w:rPr>
        <w:t>From:</w:t>
      </w:r>
    </w:p>
    <w:p w:rsidR="0035184E" w:rsidP="0035184E" w14:paraId="53DF5C1B" w14:textId="3ADD5AF0">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 xml:space="preserve">Permitted </w:t>
      </w:r>
      <w:r w:rsidRPr="0035184E">
        <w:rPr>
          <w:rFonts w:ascii="Times New Roman" w:hAnsi="Times New Roman"/>
        </w:rPr>
        <w:t>Entity</w:t>
      </w:r>
      <w:r w:rsidRPr="0035184E">
        <w:rPr>
          <w:rFonts w:ascii="Times New Roman" w:hAnsi="Times New Roman"/>
          <w:lang w:eastAsia="zh-CN"/>
        </w:rPr>
        <w:t xml:space="preserve"> must select from one of five tiers, depending on annual estimated number of transactions.  </w:t>
      </w:r>
    </w:p>
    <w:p w:rsidR="0035184E" w:rsidRPr="0035184E" w:rsidP="0035184E" w14:paraId="3B7EF90C" w14:textId="77777777">
      <w:pPr>
        <w:pStyle w:val="ListParagraph"/>
        <w:ind w:left="1800"/>
        <w:rPr>
          <w:rFonts w:ascii="Times New Roman" w:hAnsi="Times New Roman"/>
          <w:snapToGrid w:val="0"/>
        </w:rPr>
      </w:pPr>
    </w:p>
    <w:p w:rsidR="0035184E" w:rsidP="0035184E" w14:paraId="539108CC" w14:textId="7EBDB99B">
      <w:pPr>
        <w:pStyle w:val="ListParagraph"/>
        <w:numPr>
          <w:ilvl w:val="2"/>
          <w:numId w:val="1"/>
        </w:numPr>
        <w:rPr>
          <w:rFonts w:ascii="Times New Roman" w:hAnsi="Times New Roman"/>
          <w:b/>
          <w:bCs/>
          <w:snapToGrid w:val="0"/>
        </w:rPr>
      </w:pPr>
      <w:r w:rsidRPr="0035184E">
        <w:rPr>
          <w:rFonts w:ascii="Times New Roman" w:hAnsi="Times New Roman"/>
          <w:b/>
          <w:bCs/>
          <w:snapToGrid w:val="0"/>
        </w:rPr>
        <w:t>To:</w:t>
      </w:r>
    </w:p>
    <w:p w:rsidR="0035184E" w:rsidP="0035184E" w14:paraId="7B06EC8D" w14:textId="53ADDABA">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Permitted Entity</w:t>
      </w:r>
      <w:r w:rsidRPr="0035184E">
        <w:rPr>
          <w:rFonts w:ascii="Times New Roman" w:hAnsi="Times New Roman"/>
          <w:lang w:eastAsia="zh-CN"/>
        </w:rPr>
        <w:t xml:space="preserve"> must select from one of the tiers offered by SSA, depending on annual estimated number of transactions.  </w:t>
      </w:r>
    </w:p>
    <w:p w:rsidR="0035184E" w:rsidRPr="0035184E" w:rsidP="0035184E" w14:paraId="2C837154" w14:textId="77777777">
      <w:pPr>
        <w:pStyle w:val="ListParagraph"/>
        <w:ind w:left="1800"/>
        <w:rPr>
          <w:rFonts w:ascii="Times New Roman" w:hAnsi="Times New Roman"/>
          <w:b/>
          <w:bCs/>
          <w:snapToGrid w:val="0"/>
        </w:rPr>
      </w:pPr>
    </w:p>
    <w:p w:rsidR="0035184E" w:rsidRPr="0035184E" w:rsidP="0035184E" w14:paraId="55F1A442" w14:textId="120EAEA2">
      <w:pPr>
        <w:pStyle w:val="ListParagraph"/>
        <w:numPr>
          <w:ilvl w:val="1"/>
          <w:numId w:val="1"/>
        </w:numPr>
        <w:rPr>
          <w:rFonts w:ascii="Times New Roman" w:hAnsi="Times New Roman"/>
          <w:b/>
          <w:bCs/>
          <w:snapToGrid w:val="0"/>
        </w:rPr>
      </w:pPr>
      <w:r w:rsidRPr="0035184E">
        <w:rPr>
          <w:rFonts w:ascii="Times New Roman" w:hAnsi="Times New Roman"/>
          <w:b/>
          <w:bCs/>
          <w:lang w:eastAsia="zh-CN"/>
        </w:rPr>
        <w:t>Revision to 4</w:t>
      </w:r>
      <w:r w:rsidRPr="0035184E">
        <w:rPr>
          <w:rFonts w:ascii="Times New Roman" w:hAnsi="Times New Roman"/>
          <w:b/>
          <w:bCs/>
          <w:vertAlign w:val="superscript"/>
          <w:lang w:eastAsia="zh-CN"/>
        </w:rPr>
        <w:t>th</w:t>
      </w:r>
      <w:r w:rsidRPr="0035184E">
        <w:rPr>
          <w:rFonts w:ascii="Times New Roman" w:hAnsi="Times New Roman"/>
          <w:b/>
          <w:bCs/>
          <w:lang w:eastAsia="zh-CN"/>
        </w:rPr>
        <w:t xml:space="preserve"> Paragraph:</w:t>
      </w:r>
    </w:p>
    <w:p w:rsidR="0035184E" w:rsidRPr="0035184E" w:rsidP="0035184E" w14:paraId="4DB7549F" w14:textId="15AE2AAB">
      <w:pPr>
        <w:pStyle w:val="ListParagraph"/>
        <w:numPr>
          <w:ilvl w:val="2"/>
          <w:numId w:val="1"/>
        </w:numPr>
        <w:rPr>
          <w:rFonts w:ascii="Times New Roman" w:hAnsi="Times New Roman"/>
          <w:b/>
          <w:bCs/>
          <w:snapToGrid w:val="0"/>
        </w:rPr>
      </w:pPr>
      <w:r w:rsidRPr="0035184E">
        <w:rPr>
          <w:rFonts w:ascii="Times New Roman" w:hAnsi="Times New Roman"/>
          <w:b/>
          <w:bCs/>
          <w:lang w:eastAsia="zh-CN"/>
        </w:rPr>
        <w:t>From:</w:t>
      </w:r>
    </w:p>
    <w:p w:rsidR="0035184E" w:rsidP="0035184E" w14:paraId="1D0F162C" w14:textId="66D2451D">
      <w:pPr>
        <w:pStyle w:val="ListParagraph"/>
        <w:ind w:left="1800"/>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must decide whether to enter into a new 365-day agreement period for a higher tier or stop transactions for the year once the threshold has been met.  The Permitted Entity can only select a higher tier when a new tier level is selected during the agreement year, which will begin a new 365-day agreement period.  Upon completion of an original 365-day agreement, the Permitted Entity can select any tier, including a lower tier, for the next 365-day agreement.  No interest shall accrue to the advance payment.</w:t>
      </w:r>
      <w:r>
        <w:t xml:space="preserve">  </w:t>
      </w:r>
    </w:p>
    <w:p w:rsidR="0035184E" w:rsidRPr="0035184E" w:rsidP="0035184E" w14:paraId="25D57B45" w14:textId="77777777">
      <w:pPr>
        <w:rPr>
          <w:rFonts w:ascii="Times New Roman" w:hAnsi="Times New Roman"/>
          <w:b/>
          <w:bCs/>
          <w:snapToGrid w:val="0"/>
        </w:rPr>
      </w:pPr>
    </w:p>
    <w:p w:rsidR="0035184E" w:rsidRPr="0035184E" w:rsidP="0035184E" w14:paraId="1B9B43CE" w14:textId="052F14CA">
      <w:pPr>
        <w:pStyle w:val="ListParagraph"/>
        <w:numPr>
          <w:ilvl w:val="2"/>
          <w:numId w:val="1"/>
        </w:numPr>
        <w:rPr>
          <w:rFonts w:ascii="Times New Roman" w:hAnsi="Times New Roman"/>
          <w:b/>
          <w:bCs/>
          <w:snapToGrid w:val="0"/>
        </w:rPr>
      </w:pPr>
      <w:r w:rsidRPr="0035184E">
        <w:rPr>
          <w:rFonts w:ascii="Times New Roman" w:hAnsi="Times New Roman"/>
          <w:b/>
          <w:bCs/>
          <w:lang w:eastAsia="zh-CN"/>
        </w:rPr>
        <w:t>To:</w:t>
      </w:r>
    </w:p>
    <w:p w:rsidR="0035184E" w:rsidRPr="0035184E" w:rsidP="0035184E" w14:paraId="1C4734E2" w14:textId="72C492B9">
      <w:pPr>
        <w:pStyle w:val="ListParagraph"/>
        <w:ind w:left="1800"/>
        <w:rPr>
          <w:rFonts w:ascii="Times New Roman" w:hAnsi="Times New Roman"/>
          <w:b/>
          <w:bCs/>
          <w:snapToGrid w:val="0"/>
        </w:rPr>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must decide whether to enter into a new 365-day agreement period at any tier level or stop transactions for the year once the threshold has been met.  If the Permitted Entity selects a new tier level during the agreement year, a new 365-day agreement period begins.  Upon completion of an original 365-day agreement, the Permitted Entity can select any tier for the next 365-day agreement.  No interest shall accrue to the advance payment.</w:t>
      </w:r>
    </w:p>
    <w:p w:rsidR="00321262" w:rsidP="00321262" w14:paraId="67E11FC2" w14:textId="77777777">
      <w:pPr>
        <w:rPr>
          <w:rFonts w:ascii="Times New Roman" w:hAnsi="Times New Roman"/>
          <w:snapToGrid w:val="0"/>
        </w:rPr>
      </w:pPr>
    </w:p>
    <w:p w:rsidR="00321262" w:rsidP="00321262" w14:paraId="428C4BCA" w14:textId="1574096F">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4</w:t>
      </w:r>
      <w:r w:rsidRPr="00083A0A">
        <w:rPr>
          <w:rFonts w:ascii="Times New Roman" w:hAnsi="Times New Roman"/>
          <w:b/>
          <w:bCs/>
          <w:snapToGrid w:val="0"/>
        </w:rPr>
        <w:t>:</w:t>
      </w:r>
      <w:r>
        <w:rPr>
          <w:rFonts w:ascii="Times New Roman" w:hAnsi="Times New Roman"/>
          <w:snapToGrid w:val="0"/>
        </w:rPr>
        <w:t xml:space="preserve">  </w:t>
      </w:r>
      <w:r w:rsidR="0035184E">
        <w:rPr>
          <w:rFonts w:ascii="Times New Roman" w:hAnsi="Times New Roman"/>
          <w:snapToGrid w:val="0"/>
        </w:rPr>
        <w:t xml:space="preserve">We </w:t>
      </w:r>
      <w:r w:rsidR="003B11AE">
        <w:rPr>
          <w:rFonts w:ascii="Times New Roman" w:hAnsi="Times New Roman"/>
          <w:snapToGrid w:val="0"/>
        </w:rPr>
        <w:t>made</w:t>
      </w:r>
      <w:r w:rsidR="0035184E">
        <w:rPr>
          <w:rFonts w:ascii="Times New Roman" w:hAnsi="Times New Roman"/>
          <w:snapToGrid w:val="0"/>
        </w:rPr>
        <w:t xml:space="preserve"> these</w:t>
      </w:r>
      <w:r w:rsidRPr="00994AB9" w:rsidR="00994AB9">
        <w:rPr>
          <w:rFonts w:ascii="Times New Roman" w:hAnsi="Times New Roman"/>
          <w:snapToGrid w:val="0"/>
        </w:rPr>
        <w:t xml:space="preserve"> change</w:t>
      </w:r>
      <w:r w:rsidR="0035184E">
        <w:rPr>
          <w:rFonts w:ascii="Times New Roman" w:hAnsi="Times New Roman"/>
          <w:snapToGrid w:val="0"/>
        </w:rPr>
        <w:t>s to</w:t>
      </w:r>
      <w:r w:rsidRPr="00994AB9" w:rsidR="00994AB9">
        <w:rPr>
          <w:rFonts w:ascii="Times New Roman" w:hAnsi="Times New Roman"/>
          <w:snapToGrid w:val="0"/>
        </w:rPr>
        <w:t xml:space="preserve"> respond to requests from the financial industry for increased flexibility in both costs and service utilization</w:t>
      </w:r>
      <w:r w:rsidR="00415D3A">
        <w:rPr>
          <w:rFonts w:ascii="Times New Roman" w:hAnsi="Times New Roman"/>
          <w:snapToGrid w:val="0"/>
        </w:rPr>
        <w:t>.</w:t>
      </w:r>
    </w:p>
    <w:p w:rsidR="007762CA" w:rsidP="00321262" w14:paraId="4D861E6C" w14:textId="77777777">
      <w:pPr>
        <w:ind w:left="360"/>
        <w:rPr>
          <w:rFonts w:ascii="Times New Roman" w:hAnsi="Times New Roman"/>
          <w:snapToGrid w:val="0"/>
        </w:rPr>
      </w:pPr>
    </w:p>
    <w:p w:rsidR="007762CA" w:rsidP="007904FB" w14:paraId="410373AC" w14:textId="14AA6C60">
      <w:pPr>
        <w:pStyle w:val="ListParagraph"/>
        <w:numPr>
          <w:ilvl w:val="0"/>
          <w:numId w:val="1"/>
        </w:numPr>
        <w:rPr>
          <w:rFonts w:ascii="Times New Roman" w:hAnsi="Times New Roman"/>
          <w:snapToGrid w:val="0"/>
        </w:rPr>
      </w:pPr>
      <w:r w:rsidRPr="003F6D7D">
        <w:rPr>
          <w:rFonts w:ascii="Times New Roman" w:hAnsi="Times New Roman"/>
          <w:b/>
          <w:bCs/>
          <w:snapToGrid w:val="0"/>
          <w:u w:val="single"/>
        </w:rPr>
        <w:t>Change #5</w:t>
      </w:r>
      <w:r w:rsidRPr="003F6D7D">
        <w:rPr>
          <w:rFonts w:ascii="Times New Roman" w:hAnsi="Times New Roman"/>
          <w:b/>
          <w:bCs/>
          <w:snapToGrid w:val="0"/>
        </w:rPr>
        <w:t>:</w:t>
      </w:r>
      <w:r w:rsidRPr="003F6D7D">
        <w:rPr>
          <w:rFonts w:ascii="Times New Roman" w:hAnsi="Times New Roman"/>
          <w:snapToGrid w:val="0"/>
        </w:rPr>
        <w:t xml:space="preserve">  </w:t>
      </w:r>
      <w:r w:rsidRPr="003F6D7D" w:rsidR="0035184E">
        <w:rPr>
          <w:rFonts w:ascii="Times New Roman" w:hAnsi="Times New Roman"/>
          <w:snapToGrid w:val="0"/>
        </w:rPr>
        <w:t xml:space="preserve">We </w:t>
      </w:r>
      <w:r w:rsidR="003B11AE">
        <w:rPr>
          <w:rFonts w:ascii="Times New Roman" w:hAnsi="Times New Roman"/>
          <w:snapToGrid w:val="0"/>
        </w:rPr>
        <w:t>revised</w:t>
      </w:r>
      <w:r w:rsidRPr="003F6D7D" w:rsidR="0035184E">
        <w:rPr>
          <w:rFonts w:ascii="Times New Roman" w:hAnsi="Times New Roman"/>
          <w:snapToGrid w:val="0"/>
        </w:rPr>
        <w:t xml:space="preserve"> </w:t>
      </w:r>
      <w:r w:rsidRPr="003F6D7D">
        <w:rPr>
          <w:rFonts w:ascii="Times New Roman" w:hAnsi="Times New Roman"/>
          <w:snapToGrid w:val="0"/>
        </w:rPr>
        <w:t>section VII, ‘</w:t>
      </w:r>
      <w:r w:rsidRPr="003F6D7D" w:rsidR="00686692">
        <w:rPr>
          <w:rFonts w:ascii="Times New Roman" w:hAnsi="Times New Roman"/>
          <w:snapToGrid w:val="0"/>
        </w:rPr>
        <w:t>Duration of User Agreement, Suspension of Services, and Waiver of Right to Judicial Review</w:t>
      </w:r>
      <w:r w:rsidRPr="003F6D7D">
        <w:rPr>
          <w:rFonts w:ascii="Times New Roman" w:hAnsi="Times New Roman"/>
          <w:snapToGrid w:val="0"/>
        </w:rPr>
        <w:t xml:space="preserve">' </w:t>
      </w:r>
      <w:r w:rsidRPr="003F6D7D" w:rsidR="0035184E">
        <w:rPr>
          <w:rFonts w:ascii="Times New Roman" w:hAnsi="Times New Roman"/>
          <w:snapToGrid w:val="0"/>
        </w:rPr>
        <w:t>of the User Agreement</w:t>
      </w:r>
      <w:r w:rsidRPr="003F6D7D">
        <w:rPr>
          <w:rFonts w:ascii="Times New Roman" w:hAnsi="Times New Roman"/>
          <w:snapToGrid w:val="0"/>
        </w:rPr>
        <w:t xml:space="preserve"> to </w:t>
      </w:r>
      <w:r w:rsidRPr="003F6D7D" w:rsidR="00686692">
        <w:rPr>
          <w:rFonts w:ascii="Times New Roman" w:hAnsi="Times New Roman"/>
          <w:snapToGrid w:val="0"/>
        </w:rPr>
        <w:t xml:space="preserve">clarify </w:t>
      </w:r>
      <w:r w:rsidRPr="003F6D7D" w:rsidR="00A2059B">
        <w:rPr>
          <w:rFonts w:ascii="Times New Roman" w:hAnsi="Times New Roman"/>
          <w:snapToGrid w:val="0"/>
        </w:rPr>
        <w:t xml:space="preserve">legal </w:t>
      </w:r>
      <w:r w:rsidRPr="003F6D7D" w:rsidR="00613D5A">
        <w:rPr>
          <w:rFonts w:ascii="Times New Roman" w:hAnsi="Times New Roman"/>
          <w:snapToGrid w:val="0"/>
        </w:rPr>
        <w:t xml:space="preserve">responsibilities </w:t>
      </w:r>
      <w:r w:rsidRPr="003F6D7D" w:rsidR="00A2059B">
        <w:rPr>
          <w:rFonts w:ascii="Times New Roman" w:hAnsi="Times New Roman"/>
          <w:snapToGrid w:val="0"/>
        </w:rPr>
        <w:t>if the Permitted Entity is dissolved as a corporate entity</w:t>
      </w:r>
      <w:r w:rsidR="003F6D7D">
        <w:rPr>
          <w:rFonts w:ascii="Times New Roman" w:hAnsi="Times New Roman"/>
          <w:snapToGrid w:val="0"/>
        </w:rPr>
        <w:t>, and to revise the language to allow for the possibility of a new corporate entity purporting to acquire the Permitted Entity’s User Agreement:</w:t>
      </w:r>
    </w:p>
    <w:p w:rsidR="003F6D7D" w:rsidRPr="003F6D7D" w:rsidP="003F6D7D" w14:paraId="73B951DB" w14:textId="2EC12410">
      <w:pPr>
        <w:pStyle w:val="ListParagraph"/>
        <w:numPr>
          <w:ilvl w:val="1"/>
          <w:numId w:val="1"/>
        </w:numPr>
        <w:rPr>
          <w:rFonts w:ascii="Times New Roman" w:hAnsi="Times New Roman"/>
          <w:snapToGrid w:val="0"/>
        </w:rPr>
      </w:pPr>
      <w:r w:rsidRPr="003F6D7D">
        <w:rPr>
          <w:rFonts w:ascii="Times New Roman" w:hAnsi="Times New Roman"/>
          <w:b/>
          <w:bCs/>
          <w:snapToGrid w:val="0"/>
        </w:rPr>
        <w:t>From:</w:t>
      </w:r>
    </w:p>
    <w:p w:rsidR="003F6D7D" w:rsidP="003F6D7D" w14:paraId="32B6D225" w14:textId="4B0475A0">
      <w:pPr>
        <w:pStyle w:val="ListParagraph"/>
        <w:ind w:left="1440" w:hanging="360"/>
        <w:rPr>
          <w:rFonts w:ascii="Times New Roman" w:hAnsi="Times New Roman"/>
        </w:rPr>
      </w:pPr>
      <w:r>
        <w:rPr>
          <w:rFonts w:ascii="Times New Roman" w:hAnsi="Times New Roman"/>
        </w:rPr>
        <w:t xml:space="preserve">5. </w:t>
      </w:r>
      <w:r>
        <w:rPr>
          <w:rFonts w:ascii="Times New Roman" w:hAnsi="Times New Roman"/>
        </w:rPr>
        <w:tab/>
      </w: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is dissolved as a corporate entity, at which point this user agreement and any related payments are no longer valid as of the date of dissolution.  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6B01B6AF" w14:textId="77777777">
      <w:pPr>
        <w:pStyle w:val="ListParagraph"/>
        <w:ind w:left="1440" w:hanging="360"/>
        <w:rPr>
          <w:rFonts w:ascii="Times New Roman" w:hAnsi="Times New Roman"/>
          <w:snapToGrid w:val="0"/>
        </w:rPr>
      </w:pPr>
    </w:p>
    <w:p w:rsidR="003F6D7D" w:rsidRPr="003F6D7D" w:rsidP="003F6D7D" w14:paraId="5A549595" w14:textId="6DF11791">
      <w:pPr>
        <w:pStyle w:val="ListParagraph"/>
        <w:numPr>
          <w:ilvl w:val="1"/>
          <w:numId w:val="1"/>
        </w:numPr>
        <w:rPr>
          <w:rFonts w:ascii="Times New Roman" w:hAnsi="Times New Roman"/>
          <w:b/>
          <w:bCs/>
          <w:snapToGrid w:val="0"/>
        </w:rPr>
      </w:pPr>
      <w:r w:rsidRPr="003F6D7D">
        <w:rPr>
          <w:rFonts w:ascii="Times New Roman" w:hAnsi="Times New Roman"/>
          <w:b/>
          <w:bCs/>
          <w:snapToGrid w:val="0"/>
        </w:rPr>
        <w:t>To:</w:t>
      </w:r>
    </w:p>
    <w:p w:rsidR="003F6D7D" w:rsidRPr="003F6D7D" w:rsidP="003F6D7D" w14:paraId="6C1793DA" w14:textId="471C3701">
      <w:pPr>
        <w:pStyle w:val="ListParagraph"/>
        <w:numPr>
          <w:ilvl w:val="0"/>
          <w:numId w:val="3"/>
        </w:numPr>
        <w:rPr>
          <w:rFonts w:ascii="Times New Roman" w:hAnsi="Times New Roman"/>
          <w:snapToGrid w:val="0"/>
        </w:rPr>
      </w:pP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 xml:space="preserve">is dissolved as a corporate entity (including acquisition by another corporate entity that results in the dissolution of the Permitted Entity) this user agreement and any related payments are no longer valid as of the date of dissolution.  </w:t>
      </w:r>
      <w:r w:rsidRPr="003F6D7D">
        <w:rPr>
          <w:rFonts w:ascii="Times New Roman" w:hAnsi="Times New Roman"/>
        </w:rPr>
        <w:t xml:space="preserve">Within 30 days of dissolution  or </w:t>
      </w:r>
      <w:r w:rsidRPr="003F6D7D">
        <w:rPr>
          <w:rFonts w:ascii="Times New Roman" w:hAnsi="Times New Roman"/>
        </w:rPr>
        <w:t xml:space="preserve">the </w:t>
      </w:r>
      <w:r w:rsidRPr="003F6D7D">
        <w:rPr>
          <w:rFonts w:ascii="Times New Roman" w:hAnsi="Times New Roman"/>
        </w:rPr>
        <w:t>termination</w:t>
      </w:r>
      <w:r w:rsidRPr="003F6D7D">
        <w:rPr>
          <w:rFonts w:ascii="Times New Roman" w:hAnsi="Times New Roman"/>
        </w:rPr>
        <w:t xml:space="preserve"> of this user agreement</w:t>
      </w:r>
      <w:r w:rsidRPr="003F6D7D">
        <w:rPr>
          <w:rFonts w:ascii="Times New Roman" w:hAnsi="Times New Roman"/>
        </w:rPr>
        <w:t xml:space="preserve"> (per the terms of this </w:t>
      </w:r>
      <w:r w:rsidRPr="003F6D7D">
        <w:rPr>
          <w:rFonts w:ascii="Times New Roman" w:hAnsi="Times New Roman"/>
        </w:rPr>
        <w:t xml:space="preserve">user </w:t>
      </w:r>
      <w:r w:rsidRPr="003F6D7D">
        <w:rPr>
          <w:rFonts w:ascii="Times New Roman" w:hAnsi="Times New Roman"/>
        </w:rPr>
        <w:t>agreement or the expiration of the effective period</w:t>
      </w:r>
      <w:r w:rsidRPr="003F6D7D">
        <w:rPr>
          <w:rFonts w:ascii="Times New Roman" w:hAnsi="Times New Roman"/>
        </w:rPr>
        <w:t xml:space="preserve"> of this user agreement</w:t>
      </w:r>
      <w:r w:rsidRPr="003F6D7D">
        <w:rPr>
          <w:rFonts w:ascii="Times New Roman" w:hAnsi="Times New Roman"/>
        </w:rPr>
        <w:t xml:space="preserve">), the Permitted Entity must provide </w:t>
      </w:r>
      <w:r w:rsidRPr="003F6D7D">
        <w:rPr>
          <w:rFonts w:ascii="Times New Roman" w:hAnsi="Times New Roman"/>
        </w:rPr>
        <w:t xml:space="preserve">SSA </w:t>
      </w:r>
      <w:r w:rsidRPr="003F6D7D">
        <w:rPr>
          <w:rFonts w:ascii="Times New Roman" w:hAnsi="Times New Roman"/>
        </w:rPr>
        <w:t xml:space="preserve">through a mutually agreeable process  copies of all Written Consents supporting the Permitted Entity’s (and Financial Institution(s)) requests for SSN Verifications for the 3- year period </w:t>
      </w:r>
      <w:r w:rsidRPr="003F6D7D">
        <w:rPr>
          <w:rFonts w:ascii="Times New Roman" w:hAnsi="Times New Roman"/>
        </w:rPr>
        <w:t xml:space="preserve">prior to </w:t>
      </w:r>
      <w:r w:rsidRPr="003F6D7D">
        <w:rPr>
          <w:rFonts w:ascii="Times New Roman" w:hAnsi="Times New Roman"/>
        </w:rPr>
        <w:t xml:space="preserve">the date of the dissolution or termination, unless otherwise excepted by SSA.  </w:t>
      </w:r>
      <w:r w:rsidRPr="003F6D7D">
        <w:rPr>
          <w:rFonts w:ascii="Times New Roman" w:hAnsi="Times New Roman"/>
        </w:rPr>
        <w:t>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199789D0" w14:textId="77777777">
      <w:pPr>
        <w:pStyle w:val="ListParagraph"/>
        <w:ind w:left="360"/>
        <w:rPr>
          <w:rFonts w:ascii="Times New Roman" w:hAnsi="Times New Roman"/>
          <w:snapToGrid w:val="0"/>
        </w:rPr>
      </w:pPr>
    </w:p>
    <w:p w:rsidR="007762CA" w:rsidP="007762CA" w14:paraId="3C796800" w14:textId="65993198">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5</w:t>
      </w:r>
      <w:r w:rsidRPr="00083A0A">
        <w:rPr>
          <w:rFonts w:ascii="Times New Roman" w:hAnsi="Times New Roman"/>
          <w:b/>
          <w:bCs/>
          <w:snapToGrid w:val="0"/>
        </w:rPr>
        <w:t>:</w:t>
      </w:r>
      <w:r>
        <w:rPr>
          <w:rFonts w:ascii="Times New Roman" w:hAnsi="Times New Roman"/>
          <w:snapToGrid w:val="0"/>
        </w:rPr>
        <w:t xml:space="preserve">  </w:t>
      </w:r>
      <w:r w:rsidR="003F6D7D">
        <w:rPr>
          <w:rFonts w:ascii="Times New Roman" w:hAnsi="Times New Roman"/>
          <w:snapToGrid w:val="0"/>
        </w:rPr>
        <w:t xml:space="preserve">We </w:t>
      </w:r>
      <w:r w:rsidR="003B11AE">
        <w:rPr>
          <w:rFonts w:ascii="Times New Roman" w:hAnsi="Times New Roman"/>
          <w:snapToGrid w:val="0"/>
        </w:rPr>
        <w:t>made</w:t>
      </w:r>
      <w:r w:rsidR="003F6D7D">
        <w:rPr>
          <w:rFonts w:ascii="Times New Roman" w:hAnsi="Times New Roman"/>
          <w:snapToGrid w:val="0"/>
        </w:rPr>
        <w:t xml:space="preserve"> this change </w:t>
      </w:r>
      <w:r w:rsidRPr="006D724F" w:rsidR="006D724F">
        <w:rPr>
          <w:rFonts w:ascii="Times New Roman" w:hAnsi="Times New Roman"/>
          <w:snapToGrid w:val="0"/>
        </w:rPr>
        <w:t xml:space="preserve">to </w:t>
      </w:r>
      <w:r w:rsidRPr="005B4E59" w:rsidR="00AE0DD4">
        <w:rPr>
          <w:rFonts w:ascii="Times New Roman" w:hAnsi="Times New Roman"/>
          <w:snapToGrid w:val="0"/>
        </w:rPr>
        <w:t xml:space="preserve">clarify this language to acknowledge that </w:t>
      </w:r>
      <w:r w:rsidR="00AE0DD4">
        <w:rPr>
          <w:rFonts w:ascii="Times New Roman" w:hAnsi="Times New Roman"/>
          <w:snapToGrid w:val="0"/>
        </w:rPr>
        <w:t xml:space="preserve">we require </w:t>
      </w:r>
      <w:r w:rsidRPr="005B4E59" w:rsidR="00AE0DD4">
        <w:rPr>
          <w:rFonts w:ascii="Times New Roman" w:hAnsi="Times New Roman"/>
          <w:snapToGrid w:val="0"/>
        </w:rPr>
        <w:t xml:space="preserve">companies to provide SSA with a copy of each consent collected in the last 3 years, before a company decides not the renew, terminates, or is dissolved, to ensure that SSA will have documentation to support each SSN verification disclosed, if needed.  This helps to ensure that the company collected consent, as required </w:t>
      </w:r>
      <w:r w:rsidR="00AE0DD4">
        <w:rPr>
          <w:rFonts w:ascii="Times New Roman" w:hAnsi="Times New Roman"/>
          <w:snapToGrid w:val="0"/>
        </w:rPr>
        <w:t xml:space="preserve">under </w:t>
      </w:r>
      <w:r w:rsidRPr="005B4E59" w:rsidR="00AE0DD4">
        <w:rPr>
          <w:rFonts w:ascii="Times New Roman" w:hAnsi="Times New Roman"/>
          <w:snapToGrid w:val="0"/>
        </w:rPr>
        <w:t xml:space="preserve">the user agreement, prior to requesting an SSN verification from SSA.  If </w:t>
      </w:r>
      <w:r w:rsidR="00AE0DD4">
        <w:rPr>
          <w:rFonts w:ascii="Times New Roman" w:hAnsi="Times New Roman"/>
          <w:snapToGrid w:val="0"/>
        </w:rPr>
        <w:t xml:space="preserve">someone contests </w:t>
      </w:r>
      <w:r w:rsidRPr="005B4E59" w:rsidR="00AE0DD4">
        <w:rPr>
          <w:rFonts w:ascii="Times New Roman" w:hAnsi="Times New Roman"/>
          <w:snapToGrid w:val="0"/>
        </w:rPr>
        <w:t>SSA’s verification under the Privacy Act, this will ensure that SSA has access to necessary information to support SSA’s defense.  Access to the records could also assist the agency in determining whether to engage in future data exchanges with this company should it seek to reestablish the relationship in the future.  Absent this mitigating action, a company could elude the audit process that would otherwise identify compliance concerns</w:t>
      </w:r>
      <w:r w:rsidR="003F6D7D">
        <w:rPr>
          <w:rFonts w:ascii="Times New Roman" w:hAnsi="Times New Roman"/>
          <w:snapToGrid w:val="0"/>
        </w:rPr>
        <w:t>.</w:t>
      </w:r>
    </w:p>
    <w:p w:rsidR="007762CA" w:rsidP="00321262" w14:paraId="0A6DC62B" w14:textId="77777777">
      <w:pPr>
        <w:ind w:left="360"/>
        <w:rPr>
          <w:rFonts w:ascii="Times New Roman" w:hAnsi="Times New Roman"/>
          <w:snapToGrid w:val="0"/>
        </w:rPr>
      </w:pPr>
    </w:p>
    <w:p w:rsidR="00983F8C" w:rsidP="00983F8C" w14:paraId="6890575B" w14:textId="18EA296A">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6</w:t>
      </w:r>
      <w:r w:rsidRPr="00B84A73">
        <w:rPr>
          <w:rFonts w:ascii="Times New Roman" w:hAnsi="Times New Roman"/>
          <w:b/>
          <w:bCs/>
          <w:snapToGrid w:val="0"/>
        </w:rPr>
        <w:t>:</w:t>
      </w:r>
      <w:r w:rsidRPr="00B84A73">
        <w:rPr>
          <w:rFonts w:ascii="Times New Roman" w:hAnsi="Times New Roman"/>
          <w:snapToGrid w:val="0"/>
        </w:rPr>
        <w:t xml:space="preserve">  </w:t>
      </w:r>
      <w:r w:rsidR="003F6D7D">
        <w:rPr>
          <w:rFonts w:ascii="Times New Roman" w:hAnsi="Times New Roman"/>
          <w:snapToGrid w:val="0"/>
        </w:rPr>
        <w:t xml:space="preserve">We </w:t>
      </w:r>
      <w:r w:rsidR="003B11AE">
        <w:rPr>
          <w:rFonts w:ascii="Times New Roman" w:hAnsi="Times New Roman"/>
          <w:snapToGrid w:val="0"/>
        </w:rPr>
        <w:t>revised</w:t>
      </w:r>
      <w:r w:rsidR="003F6D7D">
        <w:rPr>
          <w:rFonts w:ascii="Times New Roman" w:hAnsi="Times New Roman"/>
          <w:snapToGrid w:val="0"/>
        </w:rPr>
        <w:t xml:space="preserve"> </w:t>
      </w:r>
      <w:r w:rsidRPr="00B84A73">
        <w:rPr>
          <w:rFonts w:ascii="Times New Roman" w:hAnsi="Times New Roman"/>
          <w:snapToGrid w:val="0"/>
        </w:rPr>
        <w:t xml:space="preserve">section </w:t>
      </w:r>
      <w:r>
        <w:rPr>
          <w:rFonts w:ascii="Times New Roman" w:hAnsi="Times New Roman"/>
          <w:snapToGrid w:val="0"/>
        </w:rPr>
        <w:t>VII</w:t>
      </w:r>
      <w:r w:rsidR="00D33919">
        <w:rPr>
          <w:rFonts w:ascii="Times New Roman" w:hAnsi="Times New Roman"/>
          <w:snapToGrid w:val="0"/>
        </w:rPr>
        <w:t>I</w:t>
      </w:r>
      <w:r w:rsidRPr="00B84A73">
        <w:rPr>
          <w:rFonts w:ascii="Times New Roman" w:hAnsi="Times New Roman"/>
          <w:snapToGrid w:val="0"/>
        </w:rPr>
        <w:t>, ‘</w:t>
      </w:r>
      <w:r w:rsidR="00D33919">
        <w:rPr>
          <w:rFonts w:ascii="Times New Roman" w:hAnsi="Times New Roman"/>
          <w:snapToGrid w:val="0"/>
        </w:rPr>
        <w:t xml:space="preserve">Audit </w:t>
      </w:r>
      <w:r w:rsidR="00D33919">
        <w:rPr>
          <w:rFonts w:ascii="Times New Roman" w:hAnsi="Times New Roman"/>
          <w:snapToGrid w:val="0"/>
        </w:rPr>
        <w:t>Requirements</w:t>
      </w:r>
      <w:r w:rsidRPr="00B84A73">
        <w:rPr>
          <w:rFonts w:ascii="Times New Roman" w:hAnsi="Times New Roman"/>
          <w:snapToGrid w:val="0"/>
        </w:rPr>
        <w:t>,'</w:t>
      </w:r>
      <w:r w:rsidRPr="00B84A73">
        <w:rPr>
          <w:rFonts w:ascii="Times New Roman" w:hAnsi="Times New Roman"/>
          <w:snapToGrid w:val="0"/>
        </w:rPr>
        <w:t xml:space="preserve"> </w:t>
      </w:r>
      <w:r w:rsidR="003F6D7D">
        <w:rPr>
          <w:rFonts w:ascii="Times New Roman" w:hAnsi="Times New Roman"/>
          <w:snapToGrid w:val="0"/>
        </w:rPr>
        <w:t>of the User Agreement</w:t>
      </w:r>
      <w:r w:rsidRPr="00B84A73">
        <w:rPr>
          <w:rFonts w:ascii="Times New Roman" w:hAnsi="Times New Roman"/>
          <w:snapToGrid w:val="0"/>
        </w:rPr>
        <w:t xml:space="preserve"> to </w:t>
      </w:r>
      <w:r w:rsidR="001379C4">
        <w:rPr>
          <w:rFonts w:ascii="Times New Roman" w:hAnsi="Times New Roman"/>
          <w:snapToGrid w:val="0"/>
        </w:rPr>
        <w:t xml:space="preserve">state that every </w:t>
      </w:r>
      <w:r w:rsidRPr="003C369F" w:rsidR="003C369F">
        <w:rPr>
          <w:rFonts w:ascii="Times New Roman" w:hAnsi="Times New Roman"/>
          <w:snapToGrid w:val="0"/>
        </w:rPr>
        <w:t>Financial Institution serviced by the Permitted Entity, if any, will be subject to an initial audit once within the first five (5) years</w:t>
      </w:r>
      <w:r w:rsidR="0008768A">
        <w:rPr>
          <w:rFonts w:ascii="Times New Roman" w:hAnsi="Times New Roman"/>
          <w:snapToGrid w:val="0"/>
        </w:rPr>
        <w:t>:</w:t>
      </w:r>
    </w:p>
    <w:p w:rsidR="0008768A" w:rsidRPr="0008768A" w:rsidP="0008768A" w14:paraId="4D7C90C9" w14:textId="11F466A0">
      <w:pPr>
        <w:pStyle w:val="ListParagraph"/>
        <w:numPr>
          <w:ilvl w:val="1"/>
          <w:numId w:val="1"/>
        </w:numPr>
        <w:rPr>
          <w:rFonts w:ascii="Times New Roman" w:hAnsi="Times New Roman"/>
          <w:snapToGrid w:val="0"/>
        </w:rPr>
      </w:pPr>
      <w:r w:rsidRPr="0008768A">
        <w:rPr>
          <w:rFonts w:ascii="Times New Roman" w:hAnsi="Times New Roman"/>
          <w:b/>
          <w:bCs/>
          <w:snapToGrid w:val="0"/>
        </w:rPr>
        <w:t>From:</w:t>
      </w:r>
    </w:p>
    <w:p w:rsidR="0008768A" w:rsidP="0008768A" w14:paraId="3BE87FD8" w14:textId="7CE7D7E7">
      <w:pPr>
        <w:pStyle w:val="ListParagraph"/>
        <w:ind w:left="1080"/>
        <w:rPr>
          <w:rFonts w:ascii="Times New Roman" w:hAnsi="Times New Roman"/>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the first three (3) years after the Permitted Entity executes this user agreement.</w:t>
      </w:r>
    </w:p>
    <w:p w:rsidR="0008768A" w:rsidRPr="0008768A" w:rsidP="0008768A" w14:paraId="32862125" w14:textId="77777777">
      <w:pPr>
        <w:rPr>
          <w:rFonts w:ascii="Times New Roman" w:hAnsi="Times New Roman"/>
          <w:snapToGrid w:val="0"/>
        </w:rPr>
      </w:pPr>
    </w:p>
    <w:p w:rsidR="0008768A" w:rsidP="0008768A" w14:paraId="0BBE4FF7" w14:textId="5827B6B5">
      <w:pPr>
        <w:pStyle w:val="ListParagraph"/>
        <w:numPr>
          <w:ilvl w:val="1"/>
          <w:numId w:val="1"/>
        </w:numPr>
        <w:rPr>
          <w:rFonts w:ascii="Times New Roman" w:hAnsi="Times New Roman"/>
          <w:b/>
          <w:bCs/>
          <w:snapToGrid w:val="0"/>
        </w:rPr>
      </w:pPr>
      <w:r w:rsidRPr="0008768A">
        <w:rPr>
          <w:rFonts w:ascii="Times New Roman" w:hAnsi="Times New Roman"/>
          <w:b/>
          <w:bCs/>
          <w:snapToGrid w:val="0"/>
        </w:rPr>
        <w:t>To:</w:t>
      </w:r>
    </w:p>
    <w:p w:rsidR="0008768A" w:rsidRPr="0008768A" w:rsidP="0008768A" w14:paraId="16763C66" w14:textId="187CAE20">
      <w:pPr>
        <w:pStyle w:val="ListParagraph"/>
        <w:ind w:left="1080"/>
        <w:rPr>
          <w:rFonts w:ascii="Times New Roman" w:hAnsi="Times New Roman"/>
          <w:b/>
          <w:bCs/>
          <w:snapToGrid w:val="0"/>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five (5) years after the Permitted Entity executes this user agreement.</w:t>
      </w:r>
    </w:p>
    <w:p w:rsidR="00983F8C" w:rsidP="00983F8C" w14:paraId="04742038" w14:textId="77777777">
      <w:pPr>
        <w:rPr>
          <w:rFonts w:ascii="Times New Roman" w:hAnsi="Times New Roman"/>
          <w:snapToGrid w:val="0"/>
        </w:rPr>
      </w:pPr>
    </w:p>
    <w:p w:rsidR="00983F8C" w:rsidP="00983F8C" w14:paraId="7604B5DE" w14:textId="738A2747">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6</w:t>
      </w:r>
      <w:r w:rsidRPr="00083A0A">
        <w:rPr>
          <w:rFonts w:ascii="Times New Roman" w:hAnsi="Times New Roman"/>
          <w:b/>
          <w:bCs/>
          <w:snapToGrid w:val="0"/>
        </w:rPr>
        <w:t>:</w:t>
      </w:r>
      <w:r>
        <w:rPr>
          <w:rFonts w:ascii="Times New Roman" w:hAnsi="Times New Roman"/>
          <w:snapToGrid w:val="0"/>
        </w:rPr>
        <w:t xml:space="preserve">  </w:t>
      </w:r>
      <w:r w:rsidRPr="001452BB" w:rsidR="001452BB">
        <w:rPr>
          <w:rFonts w:ascii="Times New Roman" w:hAnsi="Times New Roman"/>
          <w:snapToGrid w:val="0"/>
        </w:rPr>
        <w:t xml:space="preserve">We </w:t>
      </w:r>
      <w:r w:rsidR="003B11AE">
        <w:rPr>
          <w:rFonts w:ascii="Times New Roman" w:hAnsi="Times New Roman"/>
          <w:snapToGrid w:val="0"/>
        </w:rPr>
        <w:t>updated</w:t>
      </w:r>
      <w:r w:rsidRPr="001452BB" w:rsidR="001452BB">
        <w:rPr>
          <w:rFonts w:ascii="Times New Roman" w:hAnsi="Times New Roman"/>
          <w:snapToGrid w:val="0"/>
        </w:rPr>
        <w:t xml:space="preserve"> the audit requirements for </w:t>
      </w:r>
      <w:r w:rsidR="001452BB">
        <w:rPr>
          <w:rFonts w:ascii="Times New Roman" w:hAnsi="Times New Roman"/>
          <w:snapToGrid w:val="0"/>
        </w:rPr>
        <w:t xml:space="preserve">all </w:t>
      </w:r>
      <w:r w:rsidRPr="001452BB" w:rsidR="001452BB">
        <w:rPr>
          <w:rFonts w:ascii="Times New Roman" w:hAnsi="Times New Roman"/>
          <w:snapToGrid w:val="0"/>
        </w:rPr>
        <w:t>eCBSV</w:t>
      </w:r>
      <w:r w:rsidRPr="001452BB" w:rsidR="001452BB">
        <w:rPr>
          <w:rFonts w:ascii="Times New Roman" w:hAnsi="Times New Roman"/>
          <w:snapToGrid w:val="0"/>
        </w:rPr>
        <w:t xml:space="preserve"> customers, including both those in good standing and those with previous violations. </w:t>
      </w:r>
      <w:r w:rsidR="0008768A">
        <w:rPr>
          <w:rFonts w:ascii="Times New Roman" w:hAnsi="Times New Roman"/>
          <w:snapToGrid w:val="0"/>
        </w:rPr>
        <w:t xml:space="preserve"> </w:t>
      </w:r>
      <w:r w:rsidRPr="001452BB" w:rsidR="001452BB">
        <w:rPr>
          <w:rFonts w:ascii="Times New Roman" w:hAnsi="Times New Roman"/>
          <w:snapToGrid w:val="0"/>
        </w:rPr>
        <w:t xml:space="preserve">We believe </w:t>
      </w:r>
      <w:r w:rsidRPr="001452BB" w:rsidR="001452BB">
        <w:rPr>
          <w:rFonts w:ascii="Times New Roman" w:hAnsi="Times New Roman"/>
          <w:snapToGrid w:val="0"/>
        </w:rPr>
        <w:t xml:space="preserve">that the </w:t>
      </w:r>
      <w:r w:rsidR="003B11AE">
        <w:rPr>
          <w:rFonts w:ascii="Times New Roman" w:hAnsi="Times New Roman"/>
          <w:snapToGrid w:val="0"/>
        </w:rPr>
        <w:t>previous (prior to implementation of this change)</w:t>
      </w:r>
      <w:r w:rsidRPr="001452BB" w:rsidR="001452BB">
        <w:rPr>
          <w:rFonts w:ascii="Times New Roman" w:hAnsi="Times New Roman"/>
          <w:snapToGrid w:val="0"/>
        </w:rPr>
        <w:t xml:space="preserve"> violation percentage </w:t>
      </w:r>
      <w:r w:rsidR="001452BB">
        <w:rPr>
          <w:rFonts w:ascii="Times New Roman" w:hAnsi="Times New Roman"/>
          <w:snapToGrid w:val="0"/>
        </w:rPr>
        <w:t xml:space="preserve">(8%) </w:t>
      </w:r>
      <w:r w:rsidRPr="001452BB" w:rsidR="001452BB">
        <w:rPr>
          <w:rFonts w:ascii="Times New Roman" w:hAnsi="Times New Roman"/>
          <w:snapToGrid w:val="0"/>
        </w:rPr>
        <w:t>f</w:t>
      </w:r>
      <w:r w:rsidR="003B11AE">
        <w:rPr>
          <w:rFonts w:ascii="Times New Roman" w:hAnsi="Times New Roman"/>
          <w:snapToGrid w:val="0"/>
        </w:rPr>
        <w:t>ell</w:t>
      </w:r>
      <w:r w:rsidRPr="001452BB" w:rsidR="001452BB">
        <w:rPr>
          <w:rFonts w:ascii="Times New Roman" w:hAnsi="Times New Roman"/>
          <w:snapToGrid w:val="0"/>
        </w:rPr>
        <w:t xml:space="preserve"> within the agency's acceptable risk threshold. </w:t>
      </w:r>
      <w:r w:rsidR="0008768A">
        <w:rPr>
          <w:rFonts w:ascii="Times New Roman" w:hAnsi="Times New Roman"/>
          <w:snapToGrid w:val="0"/>
        </w:rPr>
        <w:t xml:space="preserve"> </w:t>
      </w:r>
      <w:r w:rsidR="00A149D0">
        <w:rPr>
          <w:rFonts w:ascii="Times New Roman" w:hAnsi="Times New Roman"/>
          <w:snapToGrid w:val="0"/>
        </w:rPr>
        <w:t>Also, b</w:t>
      </w:r>
      <w:r w:rsidRPr="00A149D0" w:rsidR="00A149D0">
        <w:rPr>
          <w:rFonts w:ascii="Times New Roman" w:hAnsi="Times New Roman"/>
          <w:snapToGrid w:val="0"/>
        </w:rPr>
        <w:t>y modifying the timing</w:t>
      </w:r>
      <w:r w:rsidR="00A149D0">
        <w:rPr>
          <w:rFonts w:ascii="Times New Roman" w:hAnsi="Times New Roman"/>
          <w:snapToGrid w:val="0"/>
        </w:rPr>
        <w:t xml:space="preserve"> </w:t>
      </w:r>
      <w:r w:rsidRPr="00A149D0" w:rsidR="00A149D0">
        <w:rPr>
          <w:rFonts w:ascii="Times New Roman" w:hAnsi="Times New Roman"/>
          <w:snapToGrid w:val="0"/>
        </w:rPr>
        <w:t xml:space="preserve">we </w:t>
      </w:r>
      <w:r w:rsidR="003B11AE">
        <w:rPr>
          <w:rFonts w:ascii="Times New Roman" w:hAnsi="Times New Roman"/>
          <w:snapToGrid w:val="0"/>
        </w:rPr>
        <w:t>s</w:t>
      </w:r>
      <w:r w:rsidRPr="00A149D0" w:rsidR="00A149D0">
        <w:rPr>
          <w:rFonts w:ascii="Times New Roman" w:hAnsi="Times New Roman"/>
          <w:snapToGrid w:val="0"/>
        </w:rPr>
        <w:t>ignificantly reduce</w:t>
      </w:r>
      <w:r w:rsidR="003B11AE">
        <w:rPr>
          <w:rFonts w:ascii="Times New Roman" w:hAnsi="Times New Roman"/>
          <w:snapToGrid w:val="0"/>
        </w:rPr>
        <w:t>d</w:t>
      </w:r>
      <w:r w:rsidRPr="00A149D0" w:rsidR="00A149D0">
        <w:rPr>
          <w:rFonts w:ascii="Times New Roman" w:hAnsi="Times New Roman"/>
          <w:snapToGrid w:val="0"/>
        </w:rPr>
        <w:t xml:space="preserve"> the cost of the audit cycle while improving overall efficiency and audit readiness.</w:t>
      </w:r>
    </w:p>
    <w:p w:rsidR="00805115" w:rsidP="003E4643" w14:paraId="0C655BA4" w14:textId="77777777">
      <w:pPr>
        <w:ind w:left="360"/>
        <w:rPr>
          <w:rFonts w:ascii="Times New Roman" w:hAnsi="Times New Roman"/>
          <w:snapToGrid w:val="0"/>
        </w:rPr>
      </w:pPr>
    </w:p>
    <w:p w:rsidR="00B10211" w:rsidP="00B10211" w14:paraId="6440FDBB" w14:textId="092C757B">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7</w:t>
      </w:r>
      <w:r w:rsidRPr="00B84A73">
        <w:rPr>
          <w:rFonts w:ascii="Times New Roman" w:hAnsi="Times New Roman"/>
          <w:b/>
          <w:bCs/>
          <w:snapToGrid w:val="0"/>
        </w:rPr>
        <w:t>:</w:t>
      </w:r>
      <w:r>
        <w:rPr>
          <w:rFonts w:ascii="Times New Roman" w:hAnsi="Times New Roman"/>
          <w:snapToGrid w:val="0"/>
        </w:rPr>
        <w:t xml:space="preserve">  </w:t>
      </w:r>
      <w:r w:rsidR="006376E2">
        <w:rPr>
          <w:rFonts w:ascii="Times New Roman" w:hAnsi="Times New Roman"/>
          <w:snapToGrid w:val="0"/>
        </w:rPr>
        <w:t xml:space="preserve">We </w:t>
      </w:r>
      <w:r w:rsidR="003B11AE">
        <w:rPr>
          <w:rFonts w:ascii="Times New Roman" w:hAnsi="Times New Roman"/>
          <w:snapToGrid w:val="0"/>
        </w:rPr>
        <w:t>revised</w:t>
      </w:r>
      <w:r w:rsidR="006376E2">
        <w:rPr>
          <w:rFonts w:ascii="Times New Roman" w:hAnsi="Times New Roman"/>
          <w:snapToGrid w:val="0"/>
        </w:rPr>
        <w:t xml:space="preserve"> Section XV, ‘Contacts,’ of the User Agreement to update the SSA contacts listed in #3:</w:t>
      </w:r>
    </w:p>
    <w:p w:rsidR="006376E2" w:rsidRPr="006376E2" w:rsidP="006376E2" w14:paraId="6A883745" w14:textId="77777777">
      <w:pPr>
        <w:pStyle w:val="ListParagraph"/>
        <w:numPr>
          <w:ilvl w:val="1"/>
          <w:numId w:val="1"/>
        </w:numPr>
        <w:rPr>
          <w:rFonts w:ascii="Times New Roman" w:hAnsi="Times New Roman"/>
          <w:snapToGrid w:val="0"/>
        </w:rPr>
      </w:pPr>
      <w:r w:rsidRPr="006376E2">
        <w:rPr>
          <w:rFonts w:ascii="Times New Roman" w:hAnsi="Times New Roman"/>
          <w:b/>
          <w:bCs/>
          <w:snapToGrid w:val="0"/>
        </w:rPr>
        <w:t>From:</w:t>
      </w:r>
    </w:p>
    <w:p w:rsidR="006376E2" w:rsidRPr="006376E2" w:rsidP="006376E2" w14:paraId="4C3B8DC2" w14:textId="6FBCB7A1">
      <w:pPr>
        <w:pStyle w:val="ListParagraph"/>
        <w:numPr>
          <w:ilvl w:val="0"/>
          <w:numId w:val="5"/>
        </w:numPr>
        <w:rPr>
          <w:rFonts w:ascii="Times New Roman" w:hAnsi="Times New Roman"/>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23BA1C1A"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35D4D601" w14:textId="77777777">
      <w:pPr>
        <w:suppressAutoHyphens/>
        <w:ind w:left="720" w:firstLine="720"/>
        <w:rPr>
          <w:rFonts w:ascii="Times New Roman" w:hAnsi="Times New Roman"/>
        </w:rPr>
      </w:pPr>
      <w:r w:rsidRPr="006376E2">
        <w:rPr>
          <w:rFonts w:ascii="Times New Roman" w:hAnsi="Times New Roman"/>
        </w:rPr>
        <w:t>Project Manager:  Vivian Adebayo 410-965-1702</w:t>
      </w:r>
    </w:p>
    <w:p w:rsidR="006376E2" w:rsidRPr="006376E2" w:rsidP="006376E2" w14:paraId="4122C5EC" w14:textId="77777777">
      <w:pPr>
        <w:suppressAutoHyphens/>
        <w:ind w:left="720" w:firstLine="720"/>
        <w:rPr>
          <w:rFonts w:ascii="Times New Roman" w:hAnsi="Times New Roman"/>
        </w:rPr>
      </w:pPr>
      <w:r w:rsidRPr="006376E2">
        <w:rPr>
          <w:rFonts w:ascii="Times New Roman" w:hAnsi="Times New Roman"/>
        </w:rPr>
        <w:t>Alternate Contact:  Curtis Miller 410-966-2370</w:t>
      </w:r>
    </w:p>
    <w:p w:rsidR="006376E2" w:rsidRPr="006376E2" w:rsidP="006376E2" w14:paraId="011784A4" w14:textId="77777777">
      <w:pPr>
        <w:pStyle w:val="ListParagraph"/>
        <w:ind w:left="1080"/>
        <w:rPr>
          <w:rFonts w:ascii="Times New Roman" w:hAnsi="Times New Roman"/>
          <w:snapToGrid w:val="0"/>
        </w:rPr>
      </w:pPr>
    </w:p>
    <w:p w:rsidR="006376E2" w:rsidP="006376E2" w14:paraId="6DF2EC7B" w14:textId="77777777">
      <w:pPr>
        <w:pStyle w:val="ListParagraph"/>
        <w:numPr>
          <w:ilvl w:val="1"/>
          <w:numId w:val="1"/>
        </w:numPr>
        <w:rPr>
          <w:rFonts w:ascii="Times New Roman" w:hAnsi="Times New Roman"/>
          <w:b/>
          <w:bCs/>
          <w:snapToGrid w:val="0"/>
        </w:rPr>
      </w:pPr>
      <w:r w:rsidRPr="006376E2">
        <w:rPr>
          <w:rFonts w:ascii="Times New Roman" w:hAnsi="Times New Roman"/>
          <w:b/>
          <w:bCs/>
          <w:snapToGrid w:val="0"/>
        </w:rPr>
        <w:t>To:</w:t>
      </w:r>
    </w:p>
    <w:p w:rsidR="006376E2" w:rsidRPr="006376E2" w:rsidP="006376E2" w14:paraId="2072E811" w14:textId="534EE70C">
      <w:pPr>
        <w:pStyle w:val="ListParagraph"/>
        <w:numPr>
          <w:ilvl w:val="0"/>
          <w:numId w:val="6"/>
        </w:numPr>
        <w:rPr>
          <w:rFonts w:ascii="Times New Roman" w:hAnsi="Times New Roman"/>
          <w:b/>
          <w:bCs/>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733DA4B9"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1EE5312A" w14:textId="77777777">
      <w:pPr>
        <w:suppressAutoHyphens/>
        <w:ind w:left="1440"/>
        <w:rPr>
          <w:rFonts w:ascii="Times New Roman" w:hAnsi="Times New Roman"/>
        </w:rPr>
      </w:pPr>
      <w:r w:rsidRPr="006376E2">
        <w:rPr>
          <w:rFonts w:ascii="Times New Roman" w:hAnsi="Times New Roman"/>
        </w:rPr>
        <w:t>Project Manager:  Christopher David 410-966-4320</w:t>
      </w:r>
    </w:p>
    <w:p w:rsidR="006376E2" w:rsidRPr="006376E2" w:rsidP="006376E2" w14:paraId="599BD7B9" w14:textId="77777777">
      <w:pPr>
        <w:suppressAutoHyphens/>
        <w:ind w:left="720" w:firstLine="720"/>
        <w:rPr>
          <w:rFonts w:ascii="Times New Roman" w:hAnsi="Times New Roman"/>
        </w:rPr>
      </w:pPr>
      <w:r w:rsidRPr="006376E2">
        <w:rPr>
          <w:rFonts w:ascii="Times New Roman" w:hAnsi="Times New Roman"/>
        </w:rPr>
        <w:t>Alternate Contact:  Barbara Kocher 410-966-5763</w:t>
      </w:r>
    </w:p>
    <w:p w:rsidR="00B10211" w:rsidP="00B10211" w14:paraId="2C52E7B8" w14:textId="77777777">
      <w:pPr>
        <w:rPr>
          <w:rFonts w:ascii="Times New Roman" w:hAnsi="Times New Roman"/>
          <w:snapToGrid w:val="0"/>
        </w:rPr>
      </w:pPr>
    </w:p>
    <w:p w:rsidR="00B10211" w:rsidP="00B10211" w14:paraId="03905032" w14:textId="3E52F974">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7</w:t>
      </w:r>
      <w:r w:rsidRPr="00083A0A">
        <w:rPr>
          <w:rFonts w:ascii="Times New Roman" w:hAnsi="Times New Roman"/>
          <w:b/>
          <w:bCs/>
          <w:snapToGrid w:val="0"/>
        </w:rPr>
        <w:t>:</w:t>
      </w:r>
      <w:r>
        <w:rPr>
          <w:rFonts w:ascii="Times New Roman" w:hAnsi="Times New Roman"/>
          <w:b/>
          <w:bCs/>
          <w:snapToGrid w:val="0"/>
        </w:rPr>
        <w:t xml:space="preserve">  </w:t>
      </w:r>
      <w:r w:rsidR="006376E2">
        <w:rPr>
          <w:rFonts w:ascii="Times New Roman" w:hAnsi="Times New Roman"/>
          <w:snapToGrid w:val="0"/>
        </w:rPr>
        <w:t xml:space="preserve">We </w:t>
      </w:r>
      <w:r w:rsidR="003B11AE">
        <w:rPr>
          <w:rFonts w:ascii="Times New Roman" w:hAnsi="Times New Roman"/>
          <w:snapToGrid w:val="0"/>
        </w:rPr>
        <w:t>made</w:t>
      </w:r>
      <w:r w:rsidR="006376E2">
        <w:rPr>
          <w:rFonts w:ascii="Times New Roman" w:hAnsi="Times New Roman"/>
          <w:snapToGrid w:val="0"/>
        </w:rPr>
        <w:t xml:space="preserve"> this change to ensure we include the names and phones numbers for the new SSA </w:t>
      </w:r>
      <w:r w:rsidR="006376E2">
        <w:rPr>
          <w:rFonts w:ascii="Times New Roman" w:hAnsi="Times New Roman"/>
          <w:snapToGrid w:val="0"/>
        </w:rPr>
        <w:t>contacts appear</w:t>
      </w:r>
      <w:r w:rsidR="006376E2">
        <w:rPr>
          <w:rFonts w:ascii="Times New Roman" w:hAnsi="Times New Roman"/>
          <w:snapToGrid w:val="0"/>
        </w:rPr>
        <w:t xml:space="preserve"> in the User Agreement</w:t>
      </w:r>
      <w:r w:rsidRPr="008A648F">
        <w:rPr>
          <w:rFonts w:ascii="Times New Roman" w:hAnsi="Times New Roman"/>
          <w:snapToGrid w:val="0"/>
        </w:rPr>
        <w:t>.</w:t>
      </w:r>
    </w:p>
    <w:p w:rsidR="00B10211" w:rsidRPr="00B10211" w:rsidP="00B10211" w14:paraId="3CCB747F" w14:textId="77777777">
      <w:pPr>
        <w:pStyle w:val="ListParagraph"/>
        <w:ind w:left="360"/>
        <w:rPr>
          <w:rFonts w:ascii="Times New Roman" w:hAnsi="Times New Roman"/>
          <w:snapToGrid w:val="0"/>
        </w:rPr>
      </w:pPr>
    </w:p>
    <w:p w:rsidR="000D38C7" w:rsidP="000D38C7" w14:paraId="1CD18DB2" w14:textId="6380FB20">
      <w:pPr>
        <w:pStyle w:val="ListParagraph"/>
        <w:numPr>
          <w:ilvl w:val="0"/>
          <w:numId w:val="1"/>
        </w:numPr>
        <w:rPr>
          <w:rFonts w:ascii="Times New Roman" w:hAnsi="Times New Roman"/>
          <w:snapToGrid w:val="0"/>
        </w:rPr>
      </w:pPr>
      <w:r w:rsidRPr="00B10211">
        <w:rPr>
          <w:rFonts w:ascii="Times New Roman" w:hAnsi="Times New Roman"/>
          <w:b/>
          <w:bCs/>
          <w:snapToGrid w:val="0"/>
          <w:u w:val="single"/>
        </w:rPr>
        <w:t>Change #</w:t>
      </w:r>
      <w:r w:rsidR="00B10211">
        <w:rPr>
          <w:rFonts w:ascii="Times New Roman" w:hAnsi="Times New Roman"/>
          <w:b/>
          <w:bCs/>
          <w:snapToGrid w:val="0"/>
          <w:u w:val="single"/>
        </w:rPr>
        <w:t>8</w:t>
      </w:r>
      <w:r w:rsidRPr="00B10211">
        <w:rPr>
          <w:rFonts w:ascii="Times New Roman" w:hAnsi="Times New Roman"/>
          <w:b/>
          <w:bCs/>
          <w:snapToGrid w:val="0"/>
        </w:rPr>
        <w:t>:</w:t>
      </w:r>
      <w:r w:rsidR="00573782">
        <w:rPr>
          <w:rFonts w:ascii="Times New Roman" w:hAnsi="Times New Roman"/>
          <w:snapToGrid w:val="0"/>
        </w:rPr>
        <w:t xml:space="preserve">  </w:t>
      </w:r>
      <w:r w:rsidR="006376E2">
        <w:rPr>
          <w:rFonts w:ascii="Times New Roman" w:hAnsi="Times New Roman"/>
          <w:snapToGrid w:val="0"/>
        </w:rPr>
        <w:t xml:space="preserve">In </w:t>
      </w:r>
      <w:r w:rsidR="00516375">
        <w:rPr>
          <w:rFonts w:ascii="Times New Roman" w:hAnsi="Times New Roman"/>
          <w:snapToGrid w:val="0"/>
        </w:rPr>
        <w:t>‘</w:t>
      </w:r>
      <w:r w:rsidR="006376E2">
        <w:rPr>
          <w:rFonts w:ascii="Times New Roman" w:hAnsi="Times New Roman"/>
          <w:snapToGrid w:val="0"/>
        </w:rPr>
        <w:t>Exhibit B – Form SSA-89 and SSA-89-SP</w:t>
      </w:r>
      <w:r w:rsidR="00516375">
        <w:rPr>
          <w:rFonts w:ascii="Times New Roman" w:hAnsi="Times New Roman"/>
          <w:snapToGrid w:val="0"/>
        </w:rPr>
        <w:t>’</w:t>
      </w:r>
      <w:r w:rsidRPr="006376E2" w:rsidR="006376E2">
        <w:rPr>
          <w:rFonts w:ascii="Times New Roman" w:hAnsi="Times New Roman"/>
          <w:snapToGrid w:val="0"/>
        </w:rPr>
        <w:t xml:space="preserve"> </w:t>
      </w:r>
      <w:r w:rsidR="006376E2">
        <w:rPr>
          <w:rFonts w:ascii="Times New Roman" w:hAnsi="Times New Roman"/>
          <w:snapToGrid w:val="0"/>
        </w:rPr>
        <w:t xml:space="preserve">of the </w:t>
      </w:r>
      <w:r w:rsidRPr="00B84A73" w:rsidR="006376E2">
        <w:rPr>
          <w:rFonts w:ascii="Times New Roman" w:hAnsi="Times New Roman"/>
          <w:snapToGrid w:val="0"/>
        </w:rPr>
        <w:t>eCBSV</w:t>
      </w:r>
      <w:r w:rsidR="006376E2">
        <w:rPr>
          <w:rFonts w:ascii="Times New Roman" w:hAnsi="Times New Roman"/>
          <w:snapToGrid w:val="0"/>
        </w:rPr>
        <w:t xml:space="preserve"> </w:t>
      </w:r>
      <w:r w:rsidRPr="00B84A73" w:rsidR="006376E2">
        <w:rPr>
          <w:rFonts w:ascii="Times New Roman" w:hAnsi="Times New Roman"/>
          <w:snapToGrid w:val="0"/>
        </w:rPr>
        <w:t>User Agreement</w:t>
      </w:r>
      <w:r w:rsidR="006376E2">
        <w:rPr>
          <w:rFonts w:ascii="Times New Roman" w:hAnsi="Times New Roman"/>
          <w:snapToGrid w:val="0"/>
        </w:rPr>
        <w:t>, w</w:t>
      </w:r>
      <w:r w:rsidR="00166183">
        <w:rPr>
          <w:rFonts w:ascii="Times New Roman" w:hAnsi="Times New Roman"/>
          <w:snapToGrid w:val="0"/>
        </w:rPr>
        <w:t xml:space="preserve">e </w:t>
      </w:r>
      <w:r w:rsidR="003B11AE">
        <w:rPr>
          <w:rFonts w:ascii="Times New Roman" w:hAnsi="Times New Roman"/>
          <w:snapToGrid w:val="0"/>
        </w:rPr>
        <w:t>revised</w:t>
      </w:r>
      <w:r w:rsidR="00166183">
        <w:rPr>
          <w:rFonts w:ascii="Times New Roman" w:hAnsi="Times New Roman"/>
          <w:snapToGrid w:val="0"/>
        </w:rPr>
        <w:t xml:space="preserve"> the paragraph under the main consent section of Form</w:t>
      </w:r>
      <w:r w:rsidRPr="00FB066D" w:rsidR="00127A1D">
        <w:rPr>
          <w:rFonts w:ascii="Times New Roman" w:hAnsi="Times New Roman"/>
          <w:snapToGrid w:val="0"/>
        </w:rPr>
        <w:t xml:space="preserve"> </w:t>
      </w:r>
      <w:r w:rsidR="00127A1D">
        <w:rPr>
          <w:rFonts w:ascii="Times New Roman" w:hAnsi="Times New Roman"/>
          <w:snapToGrid w:val="0"/>
        </w:rPr>
        <w:t>SSA</w:t>
      </w:r>
      <w:r w:rsidR="003B11AE">
        <w:rPr>
          <w:rFonts w:ascii="Times New Roman" w:hAnsi="Times New Roman"/>
          <w:snapToGrid w:val="0"/>
        </w:rPr>
        <w:noBreakHyphen/>
      </w:r>
      <w:r w:rsidR="00127A1D">
        <w:rPr>
          <w:rFonts w:ascii="Times New Roman" w:hAnsi="Times New Roman"/>
          <w:snapToGrid w:val="0"/>
        </w:rPr>
        <w:t xml:space="preserve">89 </w:t>
      </w:r>
      <w:r w:rsidR="00803C27">
        <w:rPr>
          <w:rFonts w:ascii="Times New Roman" w:hAnsi="Times New Roman"/>
          <w:snapToGrid w:val="0"/>
        </w:rPr>
        <w:t>(</w:t>
      </w:r>
      <w:r w:rsidRPr="00F572A6" w:rsidR="00F572A6">
        <w:rPr>
          <w:rFonts w:ascii="Times New Roman" w:hAnsi="Times New Roman"/>
          <w:snapToGrid w:val="0"/>
        </w:rPr>
        <w:t>Authorization for the Social Security Administration (SSA) To Release Social Security Number (SSN) Verification</w:t>
      </w:r>
      <w:r w:rsidR="00F572A6">
        <w:rPr>
          <w:rFonts w:ascii="Times New Roman" w:hAnsi="Times New Roman"/>
          <w:snapToGrid w:val="0"/>
        </w:rPr>
        <w:t xml:space="preserve">) </w:t>
      </w:r>
      <w:r w:rsidRPr="00FB066D" w:rsidR="00127A1D">
        <w:rPr>
          <w:rFonts w:ascii="Times New Roman" w:hAnsi="Times New Roman"/>
          <w:snapToGrid w:val="0"/>
        </w:rPr>
        <w:t>to include clarifying details about the data element(s) that do not align with the information in SSA’s records</w:t>
      </w:r>
      <w:r w:rsidR="00166183">
        <w:rPr>
          <w:rFonts w:ascii="Times New Roman" w:hAnsi="Times New Roman"/>
          <w:snapToGrid w:val="0"/>
        </w:rPr>
        <w:t>:</w:t>
      </w:r>
    </w:p>
    <w:p w:rsidR="00166183" w:rsidRPr="00166183" w:rsidP="00166183" w14:paraId="2D3F71B4" w14:textId="58B8913B">
      <w:pPr>
        <w:pStyle w:val="ListParagraph"/>
        <w:numPr>
          <w:ilvl w:val="1"/>
          <w:numId w:val="1"/>
        </w:numPr>
        <w:rPr>
          <w:rFonts w:ascii="Times New Roman" w:hAnsi="Times New Roman"/>
          <w:snapToGrid w:val="0"/>
        </w:rPr>
      </w:pPr>
      <w:r w:rsidRPr="00166183">
        <w:rPr>
          <w:rFonts w:ascii="Times New Roman" w:hAnsi="Times New Roman"/>
          <w:b/>
          <w:bCs/>
          <w:snapToGrid w:val="0"/>
        </w:rPr>
        <w:t>From:</w:t>
      </w:r>
    </w:p>
    <w:p w:rsidR="00166183" w:rsidP="00166183" w14:paraId="1BD0690B" w14:textId="7701148C">
      <w:pPr>
        <w:pStyle w:val="ListParagraph"/>
        <w:ind w:left="1080"/>
        <w:rPr>
          <w:rFonts w:ascii="Times New Roman" w:hAnsi="Times New Roman"/>
          <w:snapToGrid w:val="0"/>
        </w:rPr>
      </w:pPr>
      <w:r>
        <w:rPr>
          <w:rFonts w:ascii="Times New Roman" w:hAnsi="Times New Roman"/>
          <w:snapToGrid w:val="0"/>
        </w:rPr>
        <w:t>I authorize the Social Security Administration to verify my name and SSN to the Company and/or the Company’s Agent, if applicable, for the purpose identified. I am the individual to whom the Social Security number was issued or the parent or legal guardian of a minor, or the legal guardian of a legally incompetent adult. I declare and affirm under the penalty of perjury that the information contained herein is true and correct. I acknowledge that if I make any representation that I know is false to obtain information from Social Security record</w:t>
      </w:r>
      <w:r w:rsidR="00B10211">
        <w:rPr>
          <w:rFonts w:ascii="Times New Roman" w:hAnsi="Times New Roman"/>
          <w:snapToGrid w:val="0"/>
        </w:rPr>
        <w:t>s,</w:t>
      </w:r>
      <w:r>
        <w:rPr>
          <w:rFonts w:ascii="Times New Roman" w:hAnsi="Times New Roman"/>
          <w:snapToGrid w:val="0"/>
        </w:rPr>
        <w:t xml:space="preserve"> I could be found guilty of a misdemeanor and fined up to $5.000.</w:t>
      </w:r>
    </w:p>
    <w:p w:rsidR="00166183" w:rsidRPr="00166183" w:rsidP="00166183" w14:paraId="234888F4" w14:textId="77777777">
      <w:pPr>
        <w:pStyle w:val="ListParagraph"/>
        <w:ind w:left="1080"/>
        <w:rPr>
          <w:rFonts w:ascii="Times New Roman" w:hAnsi="Times New Roman"/>
          <w:snapToGrid w:val="0"/>
        </w:rPr>
      </w:pPr>
    </w:p>
    <w:p w:rsidR="00DD60B8" w:rsidP="00DD60B8" w14:paraId="4E985C4E" w14:textId="77777777">
      <w:pPr>
        <w:pStyle w:val="ListParagraph"/>
        <w:numPr>
          <w:ilvl w:val="1"/>
          <w:numId w:val="1"/>
        </w:numPr>
        <w:rPr>
          <w:rFonts w:ascii="Times New Roman" w:hAnsi="Times New Roman"/>
          <w:b/>
          <w:bCs/>
          <w:snapToGrid w:val="0"/>
        </w:rPr>
      </w:pPr>
      <w:r w:rsidRPr="00166183">
        <w:rPr>
          <w:rFonts w:ascii="Times New Roman" w:hAnsi="Times New Roman"/>
          <w:b/>
          <w:bCs/>
          <w:snapToGrid w:val="0"/>
        </w:rPr>
        <w:t>To:</w:t>
      </w:r>
    </w:p>
    <w:p w:rsidR="00DD60B8" w:rsidRPr="00DD60B8" w:rsidP="00DD60B8" w14:paraId="77122368" w14:textId="712AEC0D">
      <w:pPr>
        <w:pStyle w:val="ListParagraph"/>
        <w:ind w:left="1080"/>
        <w:rPr>
          <w:rFonts w:ascii="Times New Roman" w:hAnsi="Times New Roman"/>
          <w:b/>
          <w:bCs/>
          <w:snapToGrid w:val="0"/>
          <w:color w:val="000000" w:themeColor="text1"/>
        </w:rPr>
      </w:pPr>
      <w:r w:rsidRPr="00DD60B8">
        <w:rPr>
          <w:rFonts w:ascii="Times New Roman" w:hAnsi="Times New Roman"/>
          <w:color w:val="000000" w:themeColor="text1"/>
        </w:rPr>
        <w:t xml:space="preserve">I authorize the Social Security Administration to verify my SSN (to match my name, SSN, and date of birth with information in SSA records and provide the results of the match) to the Company or Company’s Agent, if applicable, for </w:t>
      </w:r>
      <w:r w:rsidRPr="00DD60B8">
        <w:rPr>
          <w:rFonts w:ascii="Times New Roman" w:hAnsi="Times New Roman"/>
          <w:color w:val="000000" w:themeColor="text1"/>
        </w:rPr>
        <w:t>the purpose I identified. I also authorize SSA to disclose the basis for a no</w:t>
      </w:r>
      <w:r w:rsidRPr="00DD60B8">
        <w:rPr>
          <w:rFonts w:ascii="Times New Roman" w:hAnsi="Times New Roman"/>
          <w:color w:val="000000" w:themeColor="text1"/>
        </w:rPr>
        <w:noBreakHyphen/>
        <w:t>match response to the Company and/or Company Agent, when it is  a Permitted Entity as defined by section</w:t>
      </w:r>
      <w:r w:rsidRPr="00DD60B8">
        <w:rPr>
          <w:rFonts w:ascii="Times New Roman" w:hAnsi="Times New Roman"/>
          <w:strike/>
          <w:color w:val="000000" w:themeColor="text1"/>
        </w:rPr>
        <w:t xml:space="preserve"> </w:t>
      </w:r>
      <w:r w:rsidRPr="00DD60B8">
        <w:rPr>
          <w:rFonts w:ascii="Times New Roman" w:hAnsi="Times New Roman"/>
          <w:color w:val="000000" w:themeColor="text1"/>
        </w:rPr>
        <w:t>215 of the Economic Growth, Regulatory Relief, and Consumer Protection Act.  I am the individual to whom the SSN was issued or the parent or legal guardian of a minor or legally incompetent adult. I declare and affirm under the penalty of perjury that the information contained herein is true and correct. I acknowledge that if I make any representation that I know is false to obtain information from Social Security records, I could be found guilty of a misdemeanor and fined up to $5,000</w:t>
      </w:r>
      <w:r w:rsidRPr="00DD60B8">
        <w:rPr>
          <w:color w:val="000000" w:themeColor="text1"/>
          <w:sz w:val="22"/>
          <w:szCs w:val="22"/>
        </w:rPr>
        <w:t>.</w:t>
      </w:r>
    </w:p>
    <w:p w:rsidR="000D38C7" w:rsidP="000D38C7" w14:paraId="2E35A2F5" w14:textId="77777777">
      <w:pPr>
        <w:rPr>
          <w:rFonts w:ascii="Times New Roman" w:hAnsi="Times New Roman"/>
          <w:snapToGrid w:val="0"/>
        </w:rPr>
      </w:pPr>
    </w:p>
    <w:p w:rsidR="000D38C7" w:rsidP="000D38C7" w14:paraId="5AB95ACF" w14:textId="42AD13C3">
      <w:pPr>
        <w:ind w:left="360"/>
        <w:rPr>
          <w:rFonts w:ascii="Times New Roman" w:hAnsi="Times New Roman"/>
          <w:snapToGrid w:val="0"/>
        </w:rPr>
      </w:pPr>
      <w:r w:rsidRPr="00083A0A">
        <w:rPr>
          <w:rFonts w:ascii="Times New Roman" w:hAnsi="Times New Roman"/>
          <w:b/>
          <w:bCs/>
          <w:snapToGrid w:val="0"/>
          <w:u w:val="single"/>
        </w:rPr>
        <w:t>Justification #</w:t>
      </w:r>
      <w:r w:rsidR="00B10211">
        <w:rPr>
          <w:rFonts w:ascii="Times New Roman" w:hAnsi="Times New Roman"/>
          <w:b/>
          <w:bCs/>
          <w:snapToGrid w:val="0"/>
          <w:u w:val="single"/>
        </w:rPr>
        <w:t>8</w:t>
      </w:r>
      <w:r w:rsidRPr="00083A0A">
        <w:rPr>
          <w:rFonts w:ascii="Times New Roman" w:hAnsi="Times New Roman"/>
          <w:b/>
          <w:bCs/>
          <w:snapToGrid w:val="0"/>
        </w:rPr>
        <w:t>:</w:t>
      </w:r>
      <w:r w:rsidR="00573782">
        <w:rPr>
          <w:rFonts w:ascii="Times New Roman" w:hAnsi="Times New Roman"/>
          <w:b/>
          <w:bCs/>
          <w:snapToGrid w:val="0"/>
        </w:rPr>
        <w:t xml:space="preserve">  </w:t>
      </w:r>
      <w:r w:rsidR="00B10211">
        <w:rPr>
          <w:rFonts w:ascii="Times New Roman" w:hAnsi="Times New Roman"/>
          <w:snapToGrid w:val="0"/>
        </w:rPr>
        <w:t xml:space="preserve">We </w:t>
      </w:r>
      <w:r w:rsidR="003B11AE">
        <w:rPr>
          <w:rFonts w:ascii="Times New Roman" w:hAnsi="Times New Roman"/>
          <w:snapToGrid w:val="0"/>
        </w:rPr>
        <w:t>made</w:t>
      </w:r>
      <w:r w:rsidR="00B10211">
        <w:rPr>
          <w:rFonts w:ascii="Times New Roman" w:hAnsi="Times New Roman"/>
          <w:snapToGrid w:val="0"/>
        </w:rPr>
        <w:t xml:space="preserve"> t</w:t>
      </w:r>
      <w:r w:rsidRPr="006A0665" w:rsidR="006A0665">
        <w:rPr>
          <w:rFonts w:ascii="Times New Roman" w:hAnsi="Times New Roman"/>
          <w:snapToGrid w:val="0"/>
        </w:rPr>
        <w:t xml:space="preserve">his change </w:t>
      </w:r>
      <w:r w:rsidR="00B10211">
        <w:rPr>
          <w:rFonts w:ascii="Times New Roman" w:hAnsi="Times New Roman"/>
          <w:snapToGrid w:val="0"/>
        </w:rPr>
        <w:t>to</w:t>
      </w:r>
      <w:r w:rsidRPr="006A0665" w:rsidR="006A0665">
        <w:rPr>
          <w:rFonts w:ascii="Times New Roman" w:hAnsi="Times New Roman"/>
          <w:snapToGrid w:val="0"/>
        </w:rPr>
        <w:t xml:space="preserve"> incorporate the additional disclosure regarding the verification result of a 'no' match response</w:t>
      </w:r>
      <w:r w:rsidR="00F25F30">
        <w:rPr>
          <w:rFonts w:ascii="Times New Roman" w:hAnsi="Times New Roman"/>
          <w:snapToGrid w:val="0"/>
        </w:rPr>
        <w:t>, and to update the consent language based on our agreement with the Office of Management and Budget (OMB)</w:t>
      </w:r>
      <w:r w:rsidRPr="008A648F" w:rsidR="00F37F05">
        <w:rPr>
          <w:rFonts w:ascii="Times New Roman" w:hAnsi="Times New Roman"/>
          <w:snapToGrid w:val="0"/>
        </w:rPr>
        <w:t>.</w:t>
      </w:r>
    </w:p>
    <w:p w:rsidR="00197BE2" w:rsidP="00B10211" w14:paraId="5ADE112B" w14:textId="77777777">
      <w:pPr>
        <w:rPr>
          <w:rFonts w:ascii="Times New Roman" w:hAnsi="Times New Roman"/>
          <w:snapToGrid w:val="0"/>
        </w:rPr>
      </w:pPr>
    </w:p>
    <w:p w:rsidR="006376E2" w:rsidP="006376E2" w14:paraId="4054650F" w14:textId="5AE94C87">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9</w:t>
      </w:r>
      <w:r w:rsidRPr="00B84A73">
        <w:rPr>
          <w:rFonts w:ascii="Times New Roman" w:hAnsi="Times New Roman"/>
          <w:b/>
          <w:bCs/>
          <w:snapToGrid w:val="0"/>
        </w:rPr>
        <w:t>:</w:t>
      </w:r>
      <w:r>
        <w:rPr>
          <w:rFonts w:ascii="Times New Roman" w:hAnsi="Times New Roman"/>
          <w:snapToGrid w:val="0"/>
        </w:rPr>
        <w:t xml:space="preserve">  In </w:t>
      </w:r>
      <w:r w:rsidR="00516375">
        <w:rPr>
          <w:rFonts w:ascii="Times New Roman" w:hAnsi="Times New Roman"/>
          <w:snapToGrid w:val="0"/>
        </w:rPr>
        <w:t>‘</w:t>
      </w:r>
      <w:r>
        <w:rPr>
          <w:rFonts w:ascii="Times New Roman" w:hAnsi="Times New Roman"/>
          <w:snapToGrid w:val="0"/>
        </w:rPr>
        <w:t xml:space="preserve">Exhibit C - SSA Written Consent Template of the </w:t>
      </w:r>
      <w:r w:rsidRPr="00B84A73">
        <w:rPr>
          <w:rFonts w:ascii="Times New Roman" w:hAnsi="Times New Roman"/>
          <w:snapToGrid w:val="0"/>
        </w:rPr>
        <w:t>eCBSV</w:t>
      </w:r>
      <w:r>
        <w:rPr>
          <w:rFonts w:ascii="Times New Roman" w:hAnsi="Times New Roman"/>
          <w:snapToGrid w:val="0"/>
        </w:rPr>
        <w:t xml:space="preserve"> </w:t>
      </w:r>
      <w:r w:rsidRPr="00B84A73">
        <w:rPr>
          <w:rFonts w:ascii="Times New Roman" w:hAnsi="Times New Roman"/>
          <w:snapToGrid w:val="0"/>
        </w:rPr>
        <w:t>User Agreement,</w:t>
      </w:r>
      <w:r w:rsidR="00516375">
        <w:rPr>
          <w:rFonts w:ascii="Times New Roman" w:hAnsi="Times New Roman"/>
          <w:snapToGrid w:val="0"/>
        </w:rPr>
        <w:t>’</w:t>
      </w:r>
      <w:r w:rsidRPr="00B84A73">
        <w:rPr>
          <w:rFonts w:ascii="Times New Roman" w:hAnsi="Times New Roman"/>
          <w:snapToGrid w:val="0"/>
        </w:rPr>
        <w:t xml:space="preserve"> </w:t>
      </w:r>
      <w:r w:rsidR="00516375">
        <w:rPr>
          <w:rFonts w:ascii="Times New Roman" w:hAnsi="Times New Roman"/>
          <w:snapToGrid w:val="0"/>
        </w:rPr>
        <w:t xml:space="preserve">we </w:t>
      </w:r>
      <w:r w:rsidR="003B11AE">
        <w:rPr>
          <w:rFonts w:ascii="Times New Roman" w:hAnsi="Times New Roman"/>
          <w:snapToGrid w:val="0"/>
        </w:rPr>
        <w:t>revised</w:t>
      </w:r>
      <w:r>
        <w:rPr>
          <w:rFonts w:ascii="Times New Roman" w:hAnsi="Times New Roman"/>
          <w:snapToGrid w:val="0"/>
        </w:rPr>
        <w:t xml:space="preserve"> both options </w:t>
      </w:r>
      <w:r w:rsidRPr="00FB066D">
        <w:rPr>
          <w:rFonts w:ascii="Times New Roman" w:hAnsi="Times New Roman"/>
          <w:snapToGrid w:val="0"/>
        </w:rPr>
        <w:t>to include clarifying details about the data element(s) that do not align with the information in SSA’s records</w:t>
      </w:r>
      <w:r w:rsidR="00516375">
        <w:rPr>
          <w:rFonts w:ascii="Times New Roman" w:hAnsi="Times New Roman"/>
          <w:snapToGrid w:val="0"/>
        </w:rPr>
        <w:t>:</w:t>
      </w:r>
    </w:p>
    <w:p w:rsidR="00516375" w:rsidRPr="00516375" w:rsidP="00516375" w14:paraId="64126F68" w14:textId="77777777">
      <w:pPr>
        <w:pStyle w:val="ListParagraph"/>
        <w:numPr>
          <w:ilvl w:val="1"/>
          <w:numId w:val="1"/>
        </w:numPr>
        <w:rPr>
          <w:rFonts w:ascii="Times New Roman" w:hAnsi="Times New Roman"/>
          <w:snapToGrid w:val="0"/>
        </w:rPr>
      </w:pPr>
      <w:r w:rsidRPr="00516375">
        <w:rPr>
          <w:rFonts w:ascii="Times New Roman" w:hAnsi="Times New Roman"/>
          <w:b/>
          <w:bCs/>
          <w:snapToGrid w:val="0"/>
        </w:rPr>
        <w:t>From:</w:t>
      </w:r>
    </w:p>
    <w:p w:rsidR="00516375" w:rsidRPr="00516375" w:rsidP="00516375" w14:paraId="67B17B81"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79445577" w14:textId="77777777">
      <w:pPr>
        <w:pStyle w:val="ListParagraph"/>
        <w:ind w:left="1080"/>
        <w:rPr>
          <w:rFonts w:ascii="Times New Roman" w:hAnsi="Times New Roman"/>
          <w:b/>
          <w:u w:val="single"/>
        </w:rPr>
      </w:pPr>
    </w:p>
    <w:p w:rsidR="00516375" w:rsidRPr="00516375" w:rsidP="00516375" w14:paraId="78DFCDCD" w14:textId="1EDC01F8">
      <w:pPr>
        <w:pStyle w:val="ListParagraph"/>
        <w:ind w:left="1080"/>
        <w:rPr>
          <w:rFonts w:ascii="Times New Roman" w:hAnsi="Times New Roman"/>
          <w:snapToGrid w:val="0"/>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CE73187" w14:textId="77777777">
      <w:pPr>
        <w:pStyle w:val="ListParagraph"/>
        <w:ind w:left="360" w:right="360"/>
        <w:rPr>
          <w:rFonts w:ascii="Times New Roman" w:hAnsi="Times New Roman"/>
        </w:rPr>
      </w:pPr>
    </w:p>
    <w:p w:rsidR="00516375" w:rsidRPr="00516375" w:rsidP="00516375" w14:paraId="0211120E"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this transaction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4836D29A" w14:textId="77777777">
      <w:pPr>
        <w:pStyle w:val="ListParagraph"/>
        <w:ind w:left="1080" w:right="360"/>
        <w:rPr>
          <w:rFonts w:ascii="Times New Roman" w:hAnsi="Times New Roman"/>
          <w:lang w:val="x-none"/>
        </w:rPr>
      </w:pPr>
    </w:p>
    <w:p w:rsidR="00516375" w:rsidRPr="00516375" w:rsidP="00516375" w14:paraId="3A1FAF2A" w14:textId="77777777">
      <w:pPr>
        <w:pStyle w:val="ListParagraph"/>
        <w:ind w:left="1080" w:right="360"/>
        <w:rPr>
          <w:rFonts w:ascii="Times New Roman" w:hAnsi="Times New Roman"/>
          <w:b/>
          <w:u w:val="single"/>
        </w:rPr>
      </w:pPr>
      <w:r w:rsidRPr="00516375">
        <w:rPr>
          <w:rFonts w:ascii="Times New Roman" w:hAnsi="Times New Roman"/>
          <w:b/>
          <w:u w:val="single"/>
        </w:rPr>
        <w:t>Option 2: Dynamic Purpose:</w:t>
      </w:r>
    </w:p>
    <w:p w:rsidR="00516375" w:rsidRPr="00516375" w:rsidP="00516375" w14:paraId="6017EE71" w14:textId="77777777">
      <w:pPr>
        <w:pStyle w:val="ListParagraph"/>
        <w:ind w:left="1080" w:right="360"/>
        <w:rPr>
          <w:rFonts w:ascii="Times New Roman" w:hAnsi="Times New Roman"/>
          <w:b/>
          <w:u w:val="single"/>
        </w:rPr>
      </w:pPr>
    </w:p>
    <w:p w:rsidR="00516375" w:rsidRPr="00516375" w:rsidP="00516375" w14:paraId="5F3E72A5" w14:textId="77777777">
      <w:pPr>
        <w:pStyle w:val="ListParagraph"/>
        <w:ind w:left="1080" w:right="36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002D2149" w14:textId="77777777">
      <w:pPr>
        <w:pStyle w:val="ListParagraph"/>
        <w:ind w:left="1080" w:right="360"/>
        <w:rPr>
          <w:rFonts w:ascii="Times New Roman" w:hAnsi="Times New Roman"/>
          <w:b/>
          <w:color w:val="000000" w:themeColor="text1"/>
        </w:rPr>
      </w:pPr>
    </w:p>
    <w:p w:rsidR="00516375" w:rsidRPr="00516375" w:rsidP="00516375" w14:paraId="5C3E796F"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[insert specific purpose]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2C619E17" w14:textId="77777777">
      <w:pPr>
        <w:pStyle w:val="ListParagraph"/>
        <w:ind w:left="1080" w:right="360"/>
        <w:rPr>
          <w:rFonts w:ascii="Times New Roman" w:hAnsi="Times New Roman"/>
          <w:lang w:val="x-none"/>
        </w:rPr>
      </w:pPr>
    </w:p>
    <w:p w:rsidR="00516375" w:rsidRPr="00516375" w:rsidP="00516375" w14:paraId="32BADDE7" w14:textId="63C58A90">
      <w:pPr>
        <w:pStyle w:val="ListParagraph"/>
        <w:ind w:left="1080" w:right="360"/>
        <w:rPr>
          <w:rFonts w:ascii="Times New Roman" w:hAnsi="Times New Roman"/>
          <w:lang w:val="x-none"/>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 xml:space="preserve">the specific purpose in accordance with sections </w:t>
      </w:r>
      <w:r w:rsidRPr="00516375">
        <w:rPr>
          <w:rFonts w:ascii="Times New Roman" w:hAnsi="Times New Roman"/>
          <w:lang w:val="x-none"/>
        </w:rPr>
        <w:t>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RPr="00516375" w:rsidP="00516375" w14:paraId="084DFA6D" w14:textId="77777777">
      <w:pPr>
        <w:pStyle w:val="ListParagraph"/>
        <w:ind w:left="1080"/>
        <w:rPr>
          <w:rFonts w:ascii="Times New Roman" w:hAnsi="Times New Roman"/>
          <w:snapToGrid w:val="0"/>
        </w:rPr>
      </w:pPr>
    </w:p>
    <w:p w:rsidR="00516375" w:rsidP="00516375" w14:paraId="0AC8CFCE" w14:textId="77777777">
      <w:pPr>
        <w:pStyle w:val="ListParagraph"/>
        <w:numPr>
          <w:ilvl w:val="1"/>
          <w:numId w:val="1"/>
        </w:numPr>
        <w:rPr>
          <w:rFonts w:ascii="Times New Roman" w:hAnsi="Times New Roman"/>
          <w:b/>
          <w:bCs/>
          <w:snapToGrid w:val="0"/>
        </w:rPr>
      </w:pPr>
      <w:r w:rsidRPr="00516375">
        <w:rPr>
          <w:rFonts w:ascii="Times New Roman" w:hAnsi="Times New Roman"/>
          <w:b/>
          <w:bCs/>
          <w:snapToGrid w:val="0"/>
        </w:rPr>
        <w:t>To:</w:t>
      </w:r>
    </w:p>
    <w:p w:rsidR="00516375" w:rsidRPr="00516375" w:rsidP="00516375" w14:paraId="73BC81B7"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3DC9E230" w14:textId="77777777">
      <w:pPr>
        <w:pStyle w:val="ListParagraph"/>
        <w:ind w:left="1080"/>
        <w:rPr>
          <w:rFonts w:ascii="Times New Roman" w:hAnsi="Times New Roman"/>
          <w:b/>
          <w:u w:val="single"/>
        </w:rPr>
      </w:pPr>
    </w:p>
    <w:p w:rsidR="00516375" w:rsidRPr="00516375" w:rsidP="00516375" w14:paraId="36639AE9"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F25F30" w:rsidP="00516375" w14:paraId="36DBF4AF" w14:textId="77777777">
      <w:pPr>
        <w:pStyle w:val="ListParagraph"/>
        <w:ind w:left="1080"/>
        <w:rPr>
          <w:rFonts w:ascii="Times New Roman" w:hAnsi="Times New Roman"/>
          <w:b/>
          <w:color w:val="000000" w:themeColor="text1"/>
        </w:rPr>
      </w:pPr>
    </w:p>
    <w:p w:rsidR="00516375" w:rsidRPr="00F25F30" w:rsidP="00516375" w14:paraId="59177FB0" w14:textId="6D575AFE">
      <w:pPr>
        <w:pStyle w:val="ListParagraph"/>
        <w:ind w:left="1080"/>
        <w:rPr>
          <w:rFonts w:ascii="Times New Roman" w:hAnsi="Times New Roman"/>
          <w:lang w:val="x-none"/>
        </w:rPr>
      </w:pPr>
      <w:r w:rsidRPr="00F25F30">
        <w:rPr>
          <w:rFonts w:ascii="Times New Roman" w:hAnsi="Times New Roman"/>
          <w:lang w:val="x-none"/>
        </w:rPr>
        <w:t>I authorize the Social Security Administration (SSA) to</w:t>
      </w:r>
      <w:r w:rsidRPr="00F25F30">
        <w:rPr>
          <w:rFonts w:ascii="Times New Roman" w:hAnsi="Times New Roman"/>
        </w:rPr>
        <w:t xml:space="preserve"> verify and</w:t>
      </w:r>
      <w:r w:rsidRPr="00F25F30">
        <w:rPr>
          <w:rFonts w:ascii="Times New Roman" w:hAnsi="Times New Roman"/>
          <w:lang w:val="x-none"/>
        </w:rPr>
        <w:t xml:space="preserve"> </w:t>
      </w:r>
      <w:r w:rsidRPr="00F25F30">
        <w:rPr>
          <w:rFonts w:ascii="Times New Roman" w:hAnsi="Times New Roman"/>
        </w:rPr>
        <w:t>disclose</w:t>
      </w:r>
      <w:r w:rsidRPr="00F25F30">
        <w:rPr>
          <w:rFonts w:ascii="Times New Roman" w:hAnsi="Times New Roman"/>
          <w:lang w:val="x-none"/>
        </w:rPr>
        <w:t xml:space="preserve"> to [Name of </w:t>
      </w:r>
      <w:r w:rsidRPr="00F25F30">
        <w:rPr>
          <w:rFonts w:ascii="Times New Roman" w:hAnsi="Times New Roman"/>
        </w:rPr>
        <w:t xml:space="preserve">Financial Institution] through [Name of Service Provider, (if one), their service provider] for the purpose of this transaction </w:t>
      </w:r>
      <w:r w:rsidRPr="00F25F30">
        <w:rPr>
          <w:rFonts w:ascii="Times New Roman" w:hAnsi="Times New Roman"/>
          <w:lang w:val="x-none"/>
        </w:rPr>
        <w:t>whether the name, Social Security Number (SSN) and date of birth I have submitted matches information in SSA</w:t>
      </w:r>
      <w:r w:rsidRPr="00F25F30">
        <w:rPr>
          <w:rFonts w:ascii="Times New Roman" w:hAnsi="Times New Roman"/>
        </w:rPr>
        <w:t xml:space="preserve"> records, including the basis for a no-match response</w:t>
      </w:r>
      <w:r w:rsidRPr="00F25F30">
        <w:rPr>
          <w:rFonts w:ascii="Times New Roman" w:hAnsi="Times New Roman"/>
          <w:lang w:val="x-none"/>
        </w:rPr>
        <w:t>.  My consent is for a one-time validation within the next [number of days]</w:t>
      </w:r>
      <w:r w:rsidRPr="00F25F30">
        <w:rPr>
          <w:rFonts w:ascii="Times New Roman" w:hAnsi="Times New Roman"/>
          <w:lang w:val="x-none"/>
        </w:rPr>
        <w:t>.</w:t>
      </w:r>
    </w:p>
    <w:p w:rsidR="00516375" w:rsidRPr="00516375" w:rsidP="00516375" w14:paraId="450E5736" w14:textId="77777777">
      <w:pPr>
        <w:rPr>
          <w:rFonts w:ascii="Times New Roman" w:hAnsi="Times New Roman"/>
          <w:lang w:val="x-none"/>
        </w:rPr>
      </w:pPr>
    </w:p>
    <w:p w:rsidR="00516375" w:rsidRPr="00516375" w:rsidP="00516375" w14:paraId="0245E1FD" w14:textId="77777777">
      <w:pPr>
        <w:pStyle w:val="ListParagraph"/>
        <w:ind w:left="1080"/>
        <w:rPr>
          <w:rFonts w:ascii="Times New Roman" w:hAnsi="Times New Roman"/>
          <w:b/>
          <w:u w:val="single"/>
        </w:rPr>
      </w:pPr>
      <w:r w:rsidRPr="00516375">
        <w:rPr>
          <w:rFonts w:ascii="Times New Roman" w:hAnsi="Times New Roman"/>
          <w:b/>
          <w:u w:val="single"/>
        </w:rPr>
        <w:t>Option 2: Dynamic Purpose:</w:t>
      </w:r>
    </w:p>
    <w:p w:rsidR="00516375" w:rsidRPr="00516375" w:rsidP="00516375" w14:paraId="3C7FD3E5" w14:textId="77777777">
      <w:pPr>
        <w:pStyle w:val="ListParagraph"/>
        <w:ind w:left="1080"/>
        <w:rPr>
          <w:rFonts w:ascii="Times New Roman" w:hAnsi="Times New Roman"/>
          <w:b/>
          <w:u w:val="single"/>
        </w:rPr>
      </w:pPr>
    </w:p>
    <w:p w:rsidR="00516375" w:rsidRPr="00516375" w:rsidP="00516375" w14:paraId="2EAD230D"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5AC32D7" w14:textId="77777777">
      <w:pPr>
        <w:pStyle w:val="ListParagraph"/>
        <w:ind w:left="1080"/>
        <w:rPr>
          <w:rFonts w:ascii="Times New Roman" w:hAnsi="Times New Roman"/>
          <w:b/>
          <w:color w:val="000000" w:themeColor="text1"/>
        </w:rPr>
      </w:pPr>
    </w:p>
    <w:p w:rsidR="00516375" w:rsidRPr="00F25F30" w:rsidP="00516375" w14:paraId="6F1BA1FB" w14:textId="674B3EE8">
      <w:pPr>
        <w:pStyle w:val="ListParagraph"/>
        <w:ind w:left="1080"/>
        <w:rPr>
          <w:rFonts w:ascii="Times New Roman" w:hAnsi="Times New Roman"/>
          <w:b/>
          <w:bCs/>
          <w:snapToGrid w:val="0"/>
        </w:rPr>
      </w:pPr>
      <w:r w:rsidRPr="00F25F30">
        <w:rPr>
          <w:rFonts w:ascii="Times New Roman" w:hAnsi="Times New Roman"/>
          <w:lang w:val="x-none"/>
        </w:rPr>
        <w:t>I authorize the Social Security Administration (SSA) to</w:t>
      </w:r>
      <w:r w:rsidRPr="00F25F30">
        <w:rPr>
          <w:rFonts w:ascii="Times New Roman" w:hAnsi="Times New Roman"/>
        </w:rPr>
        <w:t xml:space="preserve"> verify and</w:t>
      </w:r>
      <w:r w:rsidRPr="00F25F30">
        <w:rPr>
          <w:rFonts w:ascii="Times New Roman" w:hAnsi="Times New Roman"/>
          <w:lang w:val="x-none"/>
        </w:rPr>
        <w:t xml:space="preserve"> </w:t>
      </w:r>
      <w:r w:rsidRPr="00F25F30">
        <w:rPr>
          <w:rFonts w:ascii="Times New Roman" w:hAnsi="Times New Roman"/>
        </w:rPr>
        <w:t>disclose</w:t>
      </w:r>
      <w:r w:rsidRPr="00F25F30">
        <w:rPr>
          <w:rFonts w:ascii="Times New Roman" w:hAnsi="Times New Roman"/>
          <w:lang w:val="x-none"/>
        </w:rPr>
        <w:t xml:space="preserve"> to [Name of </w:t>
      </w:r>
      <w:r w:rsidRPr="00F25F30">
        <w:rPr>
          <w:rFonts w:ascii="Times New Roman" w:hAnsi="Times New Roman"/>
        </w:rPr>
        <w:t xml:space="preserve">Financial Institution] through [Name of Service Provider, (if one), their service provider] for the purpose of [insert specific purpose] </w:t>
      </w:r>
      <w:r w:rsidRPr="00F25F30">
        <w:rPr>
          <w:rFonts w:ascii="Times New Roman" w:hAnsi="Times New Roman"/>
          <w:lang w:val="x-none"/>
        </w:rPr>
        <w:t>whether the name, Social Security Number (SSN) and date of birth I have submitted matches information in SSA</w:t>
      </w:r>
      <w:r w:rsidRPr="00F25F30">
        <w:rPr>
          <w:rFonts w:ascii="Times New Roman" w:hAnsi="Times New Roman"/>
        </w:rPr>
        <w:t xml:space="preserve"> records, including the basis for a no-match response</w:t>
      </w:r>
      <w:r w:rsidRPr="00F25F30">
        <w:rPr>
          <w:rFonts w:ascii="Times New Roman" w:hAnsi="Times New Roman"/>
          <w:lang w:val="x-none"/>
        </w:rPr>
        <w:t>.  My consent is for a one-time validation within the next [number of days]</w:t>
      </w:r>
      <w:r w:rsidRPr="00F25F30">
        <w:rPr>
          <w:rFonts w:ascii="Times New Roman" w:hAnsi="Times New Roman"/>
          <w:lang w:val="x-none"/>
        </w:rPr>
        <w:t>.</w:t>
      </w:r>
    </w:p>
    <w:p w:rsidR="00516375" w:rsidRPr="00516375" w:rsidP="00516375" w14:paraId="12221046" w14:textId="77777777">
      <w:pPr>
        <w:ind w:left="1080" w:right="360"/>
        <w:rPr>
          <w:rFonts w:ascii="Times New Roman" w:hAnsi="Times New Roman"/>
        </w:rPr>
      </w:pPr>
    </w:p>
    <w:p w:rsidR="00516375" w:rsidRPr="00516375" w:rsidP="00516375" w14:paraId="3FD70B19" w14:textId="77777777">
      <w:pPr>
        <w:ind w:left="1080" w:right="360"/>
        <w:rPr>
          <w:rFonts w:ascii="Times New Roman" w:hAnsi="Times New Roman"/>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the specific purpose in accordance with sections 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P="006376E2" w14:paraId="2D907C45" w14:textId="77777777">
      <w:pPr>
        <w:rPr>
          <w:rFonts w:ascii="Times New Roman" w:hAnsi="Times New Roman"/>
          <w:snapToGrid w:val="0"/>
        </w:rPr>
      </w:pPr>
    </w:p>
    <w:p w:rsidR="00516375" w:rsidP="006376E2" w14:paraId="431C6A73" w14:textId="77777777">
      <w:pPr>
        <w:rPr>
          <w:rFonts w:ascii="Times New Roman" w:hAnsi="Times New Roman"/>
          <w:snapToGrid w:val="0"/>
        </w:rPr>
      </w:pPr>
    </w:p>
    <w:p w:rsidR="006376E2" w:rsidP="006376E2" w14:paraId="5954E819" w14:textId="71DAF79A">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9</w:t>
      </w:r>
      <w:r w:rsidRPr="00083A0A">
        <w:rPr>
          <w:rFonts w:ascii="Times New Roman" w:hAnsi="Times New Roman"/>
          <w:b/>
          <w:bCs/>
          <w:snapToGrid w:val="0"/>
        </w:rPr>
        <w:t>:</w:t>
      </w:r>
      <w:r w:rsidR="00516375">
        <w:rPr>
          <w:rFonts w:ascii="Times New Roman" w:hAnsi="Times New Roman"/>
          <w:b/>
          <w:bCs/>
          <w:snapToGrid w:val="0"/>
        </w:rPr>
        <w:t xml:space="preserve">  </w:t>
      </w:r>
      <w:r w:rsidR="00516375">
        <w:rPr>
          <w:rFonts w:ascii="Times New Roman" w:hAnsi="Times New Roman"/>
          <w:snapToGrid w:val="0"/>
        </w:rPr>
        <w:t xml:space="preserve">We </w:t>
      </w:r>
      <w:r w:rsidR="003B11AE">
        <w:rPr>
          <w:rFonts w:ascii="Times New Roman" w:hAnsi="Times New Roman"/>
          <w:snapToGrid w:val="0"/>
        </w:rPr>
        <w:t>made</w:t>
      </w:r>
      <w:r w:rsidR="00516375">
        <w:rPr>
          <w:rFonts w:ascii="Times New Roman" w:hAnsi="Times New Roman"/>
          <w:snapToGrid w:val="0"/>
        </w:rPr>
        <w:t xml:space="preserve"> t</w:t>
      </w:r>
      <w:r w:rsidRPr="006A0665">
        <w:rPr>
          <w:rFonts w:ascii="Times New Roman" w:hAnsi="Times New Roman"/>
          <w:snapToGrid w:val="0"/>
        </w:rPr>
        <w:t>his change to incorporate the additional disclosure regarding the verification result of a 'no' match response</w:t>
      </w:r>
      <w:r w:rsidRPr="008A648F">
        <w:rPr>
          <w:rFonts w:ascii="Times New Roman" w:hAnsi="Times New Roman"/>
          <w:snapToGrid w:val="0"/>
        </w:rPr>
        <w:t>.</w:t>
      </w:r>
      <w:r w:rsidR="00F25F30">
        <w:rPr>
          <w:rFonts w:ascii="Times New Roman" w:hAnsi="Times New Roman"/>
          <w:snapToGrid w:val="0"/>
        </w:rPr>
        <w:t xml:space="preserve">  In addition, the updated language reflects the agreed-upon revisions to the consent language based on our discussions with OMB.</w:t>
      </w:r>
    </w:p>
    <w:p w:rsidR="006376E2" w:rsidP="00B10211" w14:paraId="09D80C16" w14:textId="77777777">
      <w:pPr>
        <w:rPr>
          <w:rFonts w:ascii="Times New Roman" w:hAnsi="Times New Roman"/>
          <w:snapToGrid w:val="0"/>
        </w:rPr>
      </w:pPr>
    </w:p>
    <w:p w:rsidR="00502A08" w:rsidP="00C03EDF" w14:paraId="0D7DA80B" w14:textId="77777777">
      <w:pPr>
        <w:rPr>
          <w:rFonts w:ascii="Times New Roman" w:hAnsi="Times New Roman"/>
          <w:snapToGrid w:val="0"/>
        </w:rPr>
      </w:pPr>
    </w:p>
    <w:p w:rsidR="002E4114" w:rsidRPr="003B11AE" w:rsidP="00C03EDF" w14:paraId="7E72E2E3" w14:textId="49455B52">
      <w:pPr>
        <w:rPr>
          <w:rFonts w:ascii="Times New Roman" w:hAnsi="Times New Roman"/>
          <w:snapToGrid w:val="0"/>
        </w:rPr>
      </w:pPr>
      <w:r w:rsidRPr="00321262">
        <w:rPr>
          <w:rFonts w:ascii="Times New Roman" w:eastAsia="Calibri" w:hAnsi="Times New Roman"/>
          <w:lang w:bidi="he-IL"/>
        </w:rPr>
        <w:t xml:space="preserve">SSA </w:t>
      </w:r>
      <w:r w:rsidR="003B11AE">
        <w:rPr>
          <w:rFonts w:ascii="Times New Roman" w:eastAsia="Calibri" w:hAnsi="Times New Roman"/>
          <w:lang w:bidi="he-IL"/>
        </w:rPr>
        <w:t xml:space="preserve">implemented these </w:t>
      </w:r>
      <w:r w:rsidRPr="00321262">
        <w:rPr>
          <w:rFonts w:ascii="Times New Roman" w:eastAsia="Calibri" w:hAnsi="Times New Roman"/>
          <w:lang w:bidi="he-IL"/>
        </w:rPr>
        <w:t>IT modifications, User Agreement</w:t>
      </w:r>
      <w:r w:rsidR="003B11AE">
        <w:rPr>
          <w:rFonts w:ascii="Times New Roman" w:eastAsia="Calibri" w:hAnsi="Times New Roman"/>
          <w:lang w:bidi="he-IL"/>
        </w:rPr>
        <w:t xml:space="preserve"> revisions</w:t>
      </w:r>
      <w:r w:rsidRPr="00321262">
        <w:rPr>
          <w:rFonts w:ascii="Times New Roman" w:eastAsia="Calibri" w:hAnsi="Times New Roman"/>
          <w:lang w:bidi="he-IL"/>
        </w:rPr>
        <w:t>, SSA-89</w:t>
      </w:r>
      <w:r w:rsidR="003B11AE">
        <w:rPr>
          <w:rFonts w:ascii="Times New Roman" w:eastAsia="Calibri" w:hAnsi="Times New Roman"/>
          <w:lang w:bidi="he-IL"/>
        </w:rPr>
        <w:t xml:space="preserve"> changes</w:t>
      </w:r>
      <w:r w:rsidRPr="00321262">
        <w:rPr>
          <w:rFonts w:ascii="Times New Roman" w:eastAsia="Calibri" w:hAnsi="Times New Roman"/>
          <w:lang w:bidi="he-IL"/>
        </w:rPr>
        <w:t xml:space="preserve">, and changes to the Consent Language </w:t>
      </w:r>
      <w:r w:rsidR="003B11AE">
        <w:rPr>
          <w:rFonts w:ascii="Times New Roman" w:eastAsia="Calibri" w:hAnsi="Times New Roman"/>
          <w:lang w:bidi="he-IL"/>
        </w:rPr>
        <w:t>upon OMB’s approval of the prior Change Request on May 29, 2025</w:t>
      </w:r>
      <w:r w:rsidRPr="00321262">
        <w:rPr>
          <w:rFonts w:ascii="Times New Roman" w:eastAsia="Calibri" w:hAnsi="Times New Roman"/>
          <w:lang w:bidi="he-IL"/>
        </w:rPr>
        <w:t>.</w:t>
      </w:r>
      <w:r w:rsidR="00516375">
        <w:rPr>
          <w:rFonts w:ascii="Times New Roman" w:eastAsia="Calibri" w:hAnsi="Times New Roman"/>
          <w:lang w:bidi="he-IL"/>
        </w:rPr>
        <w:t xml:space="preserve">  </w:t>
      </w:r>
      <w:r w:rsidRPr="00321262">
        <w:rPr>
          <w:rFonts w:ascii="Times New Roman" w:eastAsia="Calibri" w:hAnsi="Times New Roman"/>
          <w:lang w:bidi="he-IL"/>
        </w:rPr>
        <w:t xml:space="preserve">These changes </w:t>
      </w:r>
      <w:r w:rsidR="003B11AE">
        <w:rPr>
          <w:rFonts w:ascii="Times New Roman" w:eastAsia="Calibri" w:hAnsi="Times New Roman"/>
          <w:lang w:bidi="he-IL"/>
        </w:rPr>
        <w:t xml:space="preserve">did </w:t>
      </w:r>
      <w:r w:rsidRPr="00321262">
        <w:rPr>
          <w:rFonts w:ascii="Times New Roman" w:eastAsia="Calibri" w:hAnsi="Times New Roman"/>
          <w:lang w:bidi="he-IL"/>
        </w:rPr>
        <w:t xml:space="preserve">not impact the public reporting burden. </w:t>
      </w:r>
      <w:r w:rsidR="00516375">
        <w:rPr>
          <w:rFonts w:ascii="Times New Roman" w:eastAsia="Calibri" w:hAnsi="Times New Roman"/>
          <w:lang w:bidi="he-IL"/>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3A2DEE"/>
    <w:multiLevelType w:val="hybridMultilevel"/>
    <w:tmpl w:val="AF2836DA"/>
    <w:lvl w:ilvl="0">
      <w:start w:val="3"/>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6120274"/>
    <w:multiLevelType w:val="hybridMultilevel"/>
    <w:tmpl w:val="E51268B6"/>
    <w:lvl w:ilvl="0">
      <w:start w:val="5"/>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AAD467F"/>
    <w:multiLevelType w:val="hybridMultilevel"/>
    <w:tmpl w:val="7C8C64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8FD501A"/>
    <w:multiLevelType w:val="hybridMultilevel"/>
    <w:tmpl w:val="6A6AE09C"/>
    <w:lvl w:ilvl="0">
      <w:start w:val="3"/>
      <w:numFmt w:val="decimal"/>
      <w:lvlText w:val="%1)"/>
      <w:lvlJc w:val="left"/>
      <w:pPr>
        <w:ind w:left="144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083298"/>
    <w:multiLevelType w:val="hybridMultilevel"/>
    <w:tmpl w:val="6AFE27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62999745">
    <w:abstractNumId w:val="6"/>
  </w:num>
  <w:num w:numId="2" w16cid:durableId="2053259728">
    <w:abstractNumId w:val="0"/>
  </w:num>
  <w:num w:numId="3" w16cid:durableId="983005576">
    <w:abstractNumId w:val="2"/>
  </w:num>
  <w:num w:numId="4" w16cid:durableId="1938320098">
    <w:abstractNumId w:val="5"/>
  </w:num>
  <w:num w:numId="5" w16cid:durableId="591936569">
    <w:abstractNumId w:val="4"/>
  </w:num>
  <w:num w:numId="6" w16cid:durableId="1738167020">
    <w:abstractNumId w:val="1"/>
  </w:num>
  <w:num w:numId="7" w16cid:durableId="1835878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2C4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3A0A"/>
    <w:rsid w:val="00085001"/>
    <w:rsid w:val="0008768A"/>
    <w:rsid w:val="000910C1"/>
    <w:rsid w:val="00093C2F"/>
    <w:rsid w:val="0009530B"/>
    <w:rsid w:val="000976FC"/>
    <w:rsid w:val="000A0288"/>
    <w:rsid w:val="000A07E2"/>
    <w:rsid w:val="000A685D"/>
    <w:rsid w:val="000B09B5"/>
    <w:rsid w:val="000B186D"/>
    <w:rsid w:val="000B3D1D"/>
    <w:rsid w:val="000B75A5"/>
    <w:rsid w:val="000C0AED"/>
    <w:rsid w:val="000C49C3"/>
    <w:rsid w:val="000C5EFB"/>
    <w:rsid w:val="000C60A2"/>
    <w:rsid w:val="000C6528"/>
    <w:rsid w:val="000C6643"/>
    <w:rsid w:val="000C6BB8"/>
    <w:rsid w:val="000D1202"/>
    <w:rsid w:val="000D1796"/>
    <w:rsid w:val="000D18EE"/>
    <w:rsid w:val="000D38C7"/>
    <w:rsid w:val="000D3A20"/>
    <w:rsid w:val="000E3423"/>
    <w:rsid w:val="000E57A0"/>
    <w:rsid w:val="000E68FD"/>
    <w:rsid w:val="000E6939"/>
    <w:rsid w:val="000E6E08"/>
    <w:rsid w:val="000F172D"/>
    <w:rsid w:val="000F2C23"/>
    <w:rsid w:val="000F3802"/>
    <w:rsid w:val="001032C6"/>
    <w:rsid w:val="00103C29"/>
    <w:rsid w:val="001061A7"/>
    <w:rsid w:val="00107CAF"/>
    <w:rsid w:val="001116B3"/>
    <w:rsid w:val="00112148"/>
    <w:rsid w:val="00112A5B"/>
    <w:rsid w:val="00113A5A"/>
    <w:rsid w:val="00115D86"/>
    <w:rsid w:val="00117A12"/>
    <w:rsid w:val="00117A16"/>
    <w:rsid w:val="00120601"/>
    <w:rsid w:val="0012259C"/>
    <w:rsid w:val="001254B7"/>
    <w:rsid w:val="0012773E"/>
    <w:rsid w:val="00127A1D"/>
    <w:rsid w:val="001301C6"/>
    <w:rsid w:val="00132EDF"/>
    <w:rsid w:val="0013493F"/>
    <w:rsid w:val="00135A85"/>
    <w:rsid w:val="001379C4"/>
    <w:rsid w:val="00141C47"/>
    <w:rsid w:val="00141CFE"/>
    <w:rsid w:val="00142238"/>
    <w:rsid w:val="001452BB"/>
    <w:rsid w:val="001453B3"/>
    <w:rsid w:val="00145518"/>
    <w:rsid w:val="00145DD3"/>
    <w:rsid w:val="001460FF"/>
    <w:rsid w:val="001515C3"/>
    <w:rsid w:val="0015505C"/>
    <w:rsid w:val="00156B07"/>
    <w:rsid w:val="00160D7C"/>
    <w:rsid w:val="001630D7"/>
    <w:rsid w:val="00163D17"/>
    <w:rsid w:val="00163D2D"/>
    <w:rsid w:val="001654E7"/>
    <w:rsid w:val="00166183"/>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BE2"/>
    <w:rsid w:val="001A1CE6"/>
    <w:rsid w:val="001A32BE"/>
    <w:rsid w:val="001A52B9"/>
    <w:rsid w:val="001A6E61"/>
    <w:rsid w:val="001A7586"/>
    <w:rsid w:val="001B1B73"/>
    <w:rsid w:val="001B301C"/>
    <w:rsid w:val="001B37E1"/>
    <w:rsid w:val="001B38B4"/>
    <w:rsid w:val="001B41B0"/>
    <w:rsid w:val="001B56AB"/>
    <w:rsid w:val="001C1CA6"/>
    <w:rsid w:val="001C536A"/>
    <w:rsid w:val="001D24F0"/>
    <w:rsid w:val="001D38D3"/>
    <w:rsid w:val="001D4E4C"/>
    <w:rsid w:val="001D5165"/>
    <w:rsid w:val="001E0A5B"/>
    <w:rsid w:val="001E0B40"/>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2089"/>
    <w:rsid w:val="00273CAF"/>
    <w:rsid w:val="00277558"/>
    <w:rsid w:val="00281449"/>
    <w:rsid w:val="00281502"/>
    <w:rsid w:val="00284A5F"/>
    <w:rsid w:val="00284DB4"/>
    <w:rsid w:val="0028678A"/>
    <w:rsid w:val="00286D5B"/>
    <w:rsid w:val="00287EB7"/>
    <w:rsid w:val="00290F9C"/>
    <w:rsid w:val="002910DA"/>
    <w:rsid w:val="00292261"/>
    <w:rsid w:val="0029267C"/>
    <w:rsid w:val="00292FAA"/>
    <w:rsid w:val="0029415A"/>
    <w:rsid w:val="002A3FF5"/>
    <w:rsid w:val="002A44E6"/>
    <w:rsid w:val="002A5C3F"/>
    <w:rsid w:val="002A6556"/>
    <w:rsid w:val="002A7185"/>
    <w:rsid w:val="002B1345"/>
    <w:rsid w:val="002B1BF9"/>
    <w:rsid w:val="002B25AD"/>
    <w:rsid w:val="002B44F9"/>
    <w:rsid w:val="002C2C28"/>
    <w:rsid w:val="002C3BB6"/>
    <w:rsid w:val="002C476F"/>
    <w:rsid w:val="002C4F8E"/>
    <w:rsid w:val="002C546A"/>
    <w:rsid w:val="002D2D08"/>
    <w:rsid w:val="002D2FBD"/>
    <w:rsid w:val="002D5DE2"/>
    <w:rsid w:val="002D5F81"/>
    <w:rsid w:val="002D63F2"/>
    <w:rsid w:val="002D683C"/>
    <w:rsid w:val="002E4114"/>
    <w:rsid w:val="002E676D"/>
    <w:rsid w:val="002E6D36"/>
    <w:rsid w:val="002F5CE6"/>
    <w:rsid w:val="00300366"/>
    <w:rsid w:val="00300EA9"/>
    <w:rsid w:val="00303EA6"/>
    <w:rsid w:val="00304CD3"/>
    <w:rsid w:val="003115D5"/>
    <w:rsid w:val="003135EE"/>
    <w:rsid w:val="003163FD"/>
    <w:rsid w:val="00317EB7"/>
    <w:rsid w:val="00321262"/>
    <w:rsid w:val="0032243F"/>
    <w:rsid w:val="00324E4F"/>
    <w:rsid w:val="00324F66"/>
    <w:rsid w:val="00325DC6"/>
    <w:rsid w:val="00330934"/>
    <w:rsid w:val="00330A53"/>
    <w:rsid w:val="00331C4F"/>
    <w:rsid w:val="003322E1"/>
    <w:rsid w:val="00332828"/>
    <w:rsid w:val="00333DAD"/>
    <w:rsid w:val="003342FA"/>
    <w:rsid w:val="00334BDE"/>
    <w:rsid w:val="003360C6"/>
    <w:rsid w:val="00337885"/>
    <w:rsid w:val="00340680"/>
    <w:rsid w:val="003417BB"/>
    <w:rsid w:val="003419E6"/>
    <w:rsid w:val="00342505"/>
    <w:rsid w:val="00342838"/>
    <w:rsid w:val="00343CBE"/>
    <w:rsid w:val="003450E3"/>
    <w:rsid w:val="0035184E"/>
    <w:rsid w:val="0035212A"/>
    <w:rsid w:val="003528C2"/>
    <w:rsid w:val="0035296F"/>
    <w:rsid w:val="003529FB"/>
    <w:rsid w:val="00352C24"/>
    <w:rsid w:val="00356601"/>
    <w:rsid w:val="003571A6"/>
    <w:rsid w:val="00357225"/>
    <w:rsid w:val="003622A2"/>
    <w:rsid w:val="00364B34"/>
    <w:rsid w:val="00365395"/>
    <w:rsid w:val="00370F0C"/>
    <w:rsid w:val="0037379A"/>
    <w:rsid w:val="00377308"/>
    <w:rsid w:val="003815DA"/>
    <w:rsid w:val="00382189"/>
    <w:rsid w:val="00386B03"/>
    <w:rsid w:val="00390B36"/>
    <w:rsid w:val="00392418"/>
    <w:rsid w:val="0039296B"/>
    <w:rsid w:val="003958A1"/>
    <w:rsid w:val="003A704A"/>
    <w:rsid w:val="003A7123"/>
    <w:rsid w:val="003B11AE"/>
    <w:rsid w:val="003B23DE"/>
    <w:rsid w:val="003B4304"/>
    <w:rsid w:val="003C10B0"/>
    <w:rsid w:val="003C369F"/>
    <w:rsid w:val="003C3BFE"/>
    <w:rsid w:val="003C4D0B"/>
    <w:rsid w:val="003C5E4B"/>
    <w:rsid w:val="003C6050"/>
    <w:rsid w:val="003D2AD1"/>
    <w:rsid w:val="003D72B1"/>
    <w:rsid w:val="003E0BD3"/>
    <w:rsid w:val="003E2ABF"/>
    <w:rsid w:val="003E4643"/>
    <w:rsid w:val="003E466D"/>
    <w:rsid w:val="003E553B"/>
    <w:rsid w:val="003F0208"/>
    <w:rsid w:val="003F04CD"/>
    <w:rsid w:val="003F1CB9"/>
    <w:rsid w:val="003F4380"/>
    <w:rsid w:val="003F5082"/>
    <w:rsid w:val="003F5EC0"/>
    <w:rsid w:val="003F63AB"/>
    <w:rsid w:val="003F6D7D"/>
    <w:rsid w:val="003F6DE1"/>
    <w:rsid w:val="00400266"/>
    <w:rsid w:val="004009A9"/>
    <w:rsid w:val="00402E63"/>
    <w:rsid w:val="00405BB4"/>
    <w:rsid w:val="00412FD3"/>
    <w:rsid w:val="004133B9"/>
    <w:rsid w:val="00413F47"/>
    <w:rsid w:val="00415D3A"/>
    <w:rsid w:val="004203D2"/>
    <w:rsid w:val="0042044C"/>
    <w:rsid w:val="00421380"/>
    <w:rsid w:val="00422A98"/>
    <w:rsid w:val="004246A8"/>
    <w:rsid w:val="00424AE3"/>
    <w:rsid w:val="0042513C"/>
    <w:rsid w:val="00425A2B"/>
    <w:rsid w:val="00433A06"/>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25ED"/>
    <w:rsid w:val="004841A0"/>
    <w:rsid w:val="004848C3"/>
    <w:rsid w:val="00496783"/>
    <w:rsid w:val="0049723B"/>
    <w:rsid w:val="004A05B1"/>
    <w:rsid w:val="004A0DC7"/>
    <w:rsid w:val="004A2EC0"/>
    <w:rsid w:val="004A32A6"/>
    <w:rsid w:val="004A4544"/>
    <w:rsid w:val="004A5840"/>
    <w:rsid w:val="004A63DA"/>
    <w:rsid w:val="004A687F"/>
    <w:rsid w:val="004B2D93"/>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2A08"/>
    <w:rsid w:val="005064C7"/>
    <w:rsid w:val="00506C31"/>
    <w:rsid w:val="00511CD2"/>
    <w:rsid w:val="00512ACD"/>
    <w:rsid w:val="00512C54"/>
    <w:rsid w:val="00513764"/>
    <w:rsid w:val="005139A6"/>
    <w:rsid w:val="005156C3"/>
    <w:rsid w:val="00516375"/>
    <w:rsid w:val="00521A2B"/>
    <w:rsid w:val="00524F1A"/>
    <w:rsid w:val="005267D9"/>
    <w:rsid w:val="005349ED"/>
    <w:rsid w:val="00534FAA"/>
    <w:rsid w:val="005350FF"/>
    <w:rsid w:val="00535221"/>
    <w:rsid w:val="00535586"/>
    <w:rsid w:val="00535AE2"/>
    <w:rsid w:val="0054153A"/>
    <w:rsid w:val="00541870"/>
    <w:rsid w:val="005432AD"/>
    <w:rsid w:val="00544161"/>
    <w:rsid w:val="0054420A"/>
    <w:rsid w:val="00546082"/>
    <w:rsid w:val="0054795F"/>
    <w:rsid w:val="00547B6D"/>
    <w:rsid w:val="005525F0"/>
    <w:rsid w:val="00556242"/>
    <w:rsid w:val="0055651C"/>
    <w:rsid w:val="0056179C"/>
    <w:rsid w:val="00562585"/>
    <w:rsid w:val="005629C0"/>
    <w:rsid w:val="00563CE5"/>
    <w:rsid w:val="005645CD"/>
    <w:rsid w:val="00564E9A"/>
    <w:rsid w:val="005654A2"/>
    <w:rsid w:val="005665EC"/>
    <w:rsid w:val="005708AC"/>
    <w:rsid w:val="00573782"/>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4E59"/>
    <w:rsid w:val="005B771E"/>
    <w:rsid w:val="005B7CC5"/>
    <w:rsid w:val="005B7F98"/>
    <w:rsid w:val="005C19C1"/>
    <w:rsid w:val="005C1C67"/>
    <w:rsid w:val="005C22A3"/>
    <w:rsid w:val="005C22B3"/>
    <w:rsid w:val="005C4299"/>
    <w:rsid w:val="005C4386"/>
    <w:rsid w:val="005C4BF8"/>
    <w:rsid w:val="005D10A4"/>
    <w:rsid w:val="005D5C3C"/>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D5A"/>
    <w:rsid w:val="00614A2A"/>
    <w:rsid w:val="00615448"/>
    <w:rsid w:val="0062010A"/>
    <w:rsid w:val="006201E9"/>
    <w:rsid w:val="00621BF6"/>
    <w:rsid w:val="006244F9"/>
    <w:rsid w:val="00627F6F"/>
    <w:rsid w:val="00633A1E"/>
    <w:rsid w:val="006376E2"/>
    <w:rsid w:val="006378E8"/>
    <w:rsid w:val="006405CA"/>
    <w:rsid w:val="006405D2"/>
    <w:rsid w:val="006407FF"/>
    <w:rsid w:val="00640F27"/>
    <w:rsid w:val="006417D6"/>
    <w:rsid w:val="00641BB8"/>
    <w:rsid w:val="00641E92"/>
    <w:rsid w:val="006422C5"/>
    <w:rsid w:val="0064262E"/>
    <w:rsid w:val="0064525F"/>
    <w:rsid w:val="00650C53"/>
    <w:rsid w:val="006518E1"/>
    <w:rsid w:val="00651C97"/>
    <w:rsid w:val="00652987"/>
    <w:rsid w:val="00654030"/>
    <w:rsid w:val="00654A66"/>
    <w:rsid w:val="0066234A"/>
    <w:rsid w:val="00662DDB"/>
    <w:rsid w:val="00662DEB"/>
    <w:rsid w:val="00666A5E"/>
    <w:rsid w:val="0066750E"/>
    <w:rsid w:val="00667926"/>
    <w:rsid w:val="00670234"/>
    <w:rsid w:val="00670361"/>
    <w:rsid w:val="00671E15"/>
    <w:rsid w:val="00675260"/>
    <w:rsid w:val="00675FCB"/>
    <w:rsid w:val="006777C6"/>
    <w:rsid w:val="006810F6"/>
    <w:rsid w:val="00683AE0"/>
    <w:rsid w:val="006865DF"/>
    <w:rsid w:val="00686692"/>
    <w:rsid w:val="00686A71"/>
    <w:rsid w:val="00686AC5"/>
    <w:rsid w:val="00690691"/>
    <w:rsid w:val="00691D2C"/>
    <w:rsid w:val="00694431"/>
    <w:rsid w:val="00694563"/>
    <w:rsid w:val="00694FED"/>
    <w:rsid w:val="00696962"/>
    <w:rsid w:val="00696BBC"/>
    <w:rsid w:val="00696FAD"/>
    <w:rsid w:val="006A0665"/>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24F"/>
    <w:rsid w:val="006D7E6D"/>
    <w:rsid w:val="006E0897"/>
    <w:rsid w:val="006E1DD4"/>
    <w:rsid w:val="006E26DC"/>
    <w:rsid w:val="006E4CA5"/>
    <w:rsid w:val="006E4FD3"/>
    <w:rsid w:val="006E6271"/>
    <w:rsid w:val="006E7408"/>
    <w:rsid w:val="006F0494"/>
    <w:rsid w:val="006F164B"/>
    <w:rsid w:val="006F1F01"/>
    <w:rsid w:val="006F6A32"/>
    <w:rsid w:val="006F7D15"/>
    <w:rsid w:val="00701F88"/>
    <w:rsid w:val="00703754"/>
    <w:rsid w:val="007038DF"/>
    <w:rsid w:val="0070608B"/>
    <w:rsid w:val="0070635B"/>
    <w:rsid w:val="00710F56"/>
    <w:rsid w:val="007128DB"/>
    <w:rsid w:val="00712DA3"/>
    <w:rsid w:val="00713DE8"/>
    <w:rsid w:val="00714009"/>
    <w:rsid w:val="0071795E"/>
    <w:rsid w:val="007247DD"/>
    <w:rsid w:val="007277AD"/>
    <w:rsid w:val="0073254D"/>
    <w:rsid w:val="00732F0F"/>
    <w:rsid w:val="007335DA"/>
    <w:rsid w:val="00734713"/>
    <w:rsid w:val="00734750"/>
    <w:rsid w:val="00741CEC"/>
    <w:rsid w:val="0074435B"/>
    <w:rsid w:val="00744E3C"/>
    <w:rsid w:val="00746647"/>
    <w:rsid w:val="00751BEA"/>
    <w:rsid w:val="00753BA5"/>
    <w:rsid w:val="0075748A"/>
    <w:rsid w:val="00763277"/>
    <w:rsid w:val="007674A8"/>
    <w:rsid w:val="007676CE"/>
    <w:rsid w:val="00771360"/>
    <w:rsid w:val="00771E65"/>
    <w:rsid w:val="007731CB"/>
    <w:rsid w:val="00773CD3"/>
    <w:rsid w:val="00775793"/>
    <w:rsid w:val="007762CA"/>
    <w:rsid w:val="007839DB"/>
    <w:rsid w:val="00783A7F"/>
    <w:rsid w:val="00783C02"/>
    <w:rsid w:val="00786F1A"/>
    <w:rsid w:val="007871AA"/>
    <w:rsid w:val="00787638"/>
    <w:rsid w:val="007904FB"/>
    <w:rsid w:val="00792BC4"/>
    <w:rsid w:val="007940FE"/>
    <w:rsid w:val="00795849"/>
    <w:rsid w:val="007972F3"/>
    <w:rsid w:val="007A1B8C"/>
    <w:rsid w:val="007A4786"/>
    <w:rsid w:val="007A4F83"/>
    <w:rsid w:val="007A51C2"/>
    <w:rsid w:val="007A52CA"/>
    <w:rsid w:val="007B4219"/>
    <w:rsid w:val="007B4840"/>
    <w:rsid w:val="007B4F60"/>
    <w:rsid w:val="007B5B49"/>
    <w:rsid w:val="007B79F3"/>
    <w:rsid w:val="007C0958"/>
    <w:rsid w:val="007C20A4"/>
    <w:rsid w:val="007C2C0F"/>
    <w:rsid w:val="007C3113"/>
    <w:rsid w:val="007C3180"/>
    <w:rsid w:val="007C3259"/>
    <w:rsid w:val="007C393A"/>
    <w:rsid w:val="007C5207"/>
    <w:rsid w:val="007D181E"/>
    <w:rsid w:val="007D260A"/>
    <w:rsid w:val="007D28B1"/>
    <w:rsid w:val="007D3621"/>
    <w:rsid w:val="007D76C2"/>
    <w:rsid w:val="007E3AFC"/>
    <w:rsid w:val="007E3C3A"/>
    <w:rsid w:val="007E5D54"/>
    <w:rsid w:val="007E784C"/>
    <w:rsid w:val="007F0BCA"/>
    <w:rsid w:val="007F1614"/>
    <w:rsid w:val="007F2248"/>
    <w:rsid w:val="007F259A"/>
    <w:rsid w:val="007F3ACD"/>
    <w:rsid w:val="007F3D27"/>
    <w:rsid w:val="007F46B2"/>
    <w:rsid w:val="007F4DBC"/>
    <w:rsid w:val="00800722"/>
    <w:rsid w:val="00803C27"/>
    <w:rsid w:val="008047C2"/>
    <w:rsid w:val="00805115"/>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1EEB"/>
    <w:rsid w:val="008A2AD5"/>
    <w:rsid w:val="008A648F"/>
    <w:rsid w:val="008A7148"/>
    <w:rsid w:val="008B1A2D"/>
    <w:rsid w:val="008B1CEF"/>
    <w:rsid w:val="008B1FEA"/>
    <w:rsid w:val="008C1B0B"/>
    <w:rsid w:val="008C238A"/>
    <w:rsid w:val="008C3BD5"/>
    <w:rsid w:val="008C44ED"/>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5A3"/>
    <w:rsid w:val="00910DD0"/>
    <w:rsid w:val="009127BB"/>
    <w:rsid w:val="00913768"/>
    <w:rsid w:val="00913EFB"/>
    <w:rsid w:val="009154F2"/>
    <w:rsid w:val="00915730"/>
    <w:rsid w:val="00915A1B"/>
    <w:rsid w:val="00920398"/>
    <w:rsid w:val="0092081B"/>
    <w:rsid w:val="0092188E"/>
    <w:rsid w:val="0092431F"/>
    <w:rsid w:val="00930D4B"/>
    <w:rsid w:val="009333B9"/>
    <w:rsid w:val="009369C0"/>
    <w:rsid w:val="00937077"/>
    <w:rsid w:val="009410F2"/>
    <w:rsid w:val="00945621"/>
    <w:rsid w:val="00946F4D"/>
    <w:rsid w:val="00950C77"/>
    <w:rsid w:val="009545B6"/>
    <w:rsid w:val="00954B07"/>
    <w:rsid w:val="009574A5"/>
    <w:rsid w:val="009606C1"/>
    <w:rsid w:val="009606C2"/>
    <w:rsid w:val="00962099"/>
    <w:rsid w:val="009711C4"/>
    <w:rsid w:val="00973205"/>
    <w:rsid w:val="009749F5"/>
    <w:rsid w:val="00975F9E"/>
    <w:rsid w:val="0098037B"/>
    <w:rsid w:val="00983F8C"/>
    <w:rsid w:val="0098490C"/>
    <w:rsid w:val="00985243"/>
    <w:rsid w:val="00987B9B"/>
    <w:rsid w:val="00987DFF"/>
    <w:rsid w:val="009920A3"/>
    <w:rsid w:val="00993323"/>
    <w:rsid w:val="009942BC"/>
    <w:rsid w:val="00994AB9"/>
    <w:rsid w:val="009A4EBE"/>
    <w:rsid w:val="009A4EED"/>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EA3"/>
    <w:rsid w:val="009E7924"/>
    <w:rsid w:val="009F020E"/>
    <w:rsid w:val="009F0852"/>
    <w:rsid w:val="009F2050"/>
    <w:rsid w:val="009F48B7"/>
    <w:rsid w:val="009F60E4"/>
    <w:rsid w:val="009F678C"/>
    <w:rsid w:val="00A02E8F"/>
    <w:rsid w:val="00A0587D"/>
    <w:rsid w:val="00A10741"/>
    <w:rsid w:val="00A11DE2"/>
    <w:rsid w:val="00A122C9"/>
    <w:rsid w:val="00A149D0"/>
    <w:rsid w:val="00A14EE3"/>
    <w:rsid w:val="00A16DFB"/>
    <w:rsid w:val="00A2059B"/>
    <w:rsid w:val="00A31864"/>
    <w:rsid w:val="00A32ACE"/>
    <w:rsid w:val="00A35121"/>
    <w:rsid w:val="00A35432"/>
    <w:rsid w:val="00A35962"/>
    <w:rsid w:val="00A42E36"/>
    <w:rsid w:val="00A45035"/>
    <w:rsid w:val="00A46563"/>
    <w:rsid w:val="00A4773D"/>
    <w:rsid w:val="00A51B77"/>
    <w:rsid w:val="00A52C88"/>
    <w:rsid w:val="00A53506"/>
    <w:rsid w:val="00A555DF"/>
    <w:rsid w:val="00A57945"/>
    <w:rsid w:val="00A611C4"/>
    <w:rsid w:val="00A643DA"/>
    <w:rsid w:val="00A64479"/>
    <w:rsid w:val="00A66080"/>
    <w:rsid w:val="00A661F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0DD4"/>
    <w:rsid w:val="00AE4EDF"/>
    <w:rsid w:val="00AE5577"/>
    <w:rsid w:val="00AE55DE"/>
    <w:rsid w:val="00AE7BDE"/>
    <w:rsid w:val="00AF5264"/>
    <w:rsid w:val="00AF7989"/>
    <w:rsid w:val="00B002F7"/>
    <w:rsid w:val="00B015F5"/>
    <w:rsid w:val="00B0317A"/>
    <w:rsid w:val="00B03BDC"/>
    <w:rsid w:val="00B03D30"/>
    <w:rsid w:val="00B046F7"/>
    <w:rsid w:val="00B1002F"/>
    <w:rsid w:val="00B10211"/>
    <w:rsid w:val="00B1081A"/>
    <w:rsid w:val="00B136B7"/>
    <w:rsid w:val="00B136FB"/>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1B68"/>
    <w:rsid w:val="00B5465D"/>
    <w:rsid w:val="00B56E7B"/>
    <w:rsid w:val="00B6087F"/>
    <w:rsid w:val="00B6383B"/>
    <w:rsid w:val="00B67763"/>
    <w:rsid w:val="00B76768"/>
    <w:rsid w:val="00B77AA8"/>
    <w:rsid w:val="00B836E0"/>
    <w:rsid w:val="00B83A4E"/>
    <w:rsid w:val="00B846D2"/>
    <w:rsid w:val="00B84A73"/>
    <w:rsid w:val="00B877E3"/>
    <w:rsid w:val="00B906DD"/>
    <w:rsid w:val="00B91B55"/>
    <w:rsid w:val="00B94959"/>
    <w:rsid w:val="00B953EB"/>
    <w:rsid w:val="00B95D98"/>
    <w:rsid w:val="00BA3D1A"/>
    <w:rsid w:val="00BA3EBB"/>
    <w:rsid w:val="00BA66CC"/>
    <w:rsid w:val="00BB0A2A"/>
    <w:rsid w:val="00BB112A"/>
    <w:rsid w:val="00BB15FB"/>
    <w:rsid w:val="00BB2BF7"/>
    <w:rsid w:val="00BB4970"/>
    <w:rsid w:val="00BB7432"/>
    <w:rsid w:val="00BC0CC0"/>
    <w:rsid w:val="00BC17C0"/>
    <w:rsid w:val="00BC40F9"/>
    <w:rsid w:val="00BD36B4"/>
    <w:rsid w:val="00BD5339"/>
    <w:rsid w:val="00BD6256"/>
    <w:rsid w:val="00BE080A"/>
    <w:rsid w:val="00BE14A1"/>
    <w:rsid w:val="00BE49E3"/>
    <w:rsid w:val="00BE6963"/>
    <w:rsid w:val="00BE6DB9"/>
    <w:rsid w:val="00BE7BC2"/>
    <w:rsid w:val="00BF243E"/>
    <w:rsid w:val="00C0015C"/>
    <w:rsid w:val="00C004AE"/>
    <w:rsid w:val="00C03171"/>
    <w:rsid w:val="00C03EDF"/>
    <w:rsid w:val="00C043F3"/>
    <w:rsid w:val="00C05BF2"/>
    <w:rsid w:val="00C0701C"/>
    <w:rsid w:val="00C10536"/>
    <w:rsid w:val="00C108E1"/>
    <w:rsid w:val="00C10A16"/>
    <w:rsid w:val="00C10BB9"/>
    <w:rsid w:val="00C1184E"/>
    <w:rsid w:val="00C13CB4"/>
    <w:rsid w:val="00C13F1C"/>
    <w:rsid w:val="00C231B1"/>
    <w:rsid w:val="00C27AFE"/>
    <w:rsid w:val="00C3006C"/>
    <w:rsid w:val="00C30296"/>
    <w:rsid w:val="00C323D1"/>
    <w:rsid w:val="00C35526"/>
    <w:rsid w:val="00C402E0"/>
    <w:rsid w:val="00C43C36"/>
    <w:rsid w:val="00C44E2F"/>
    <w:rsid w:val="00C516B4"/>
    <w:rsid w:val="00C51C54"/>
    <w:rsid w:val="00C554C5"/>
    <w:rsid w:val="00C56675"/>
    <w:rsid w:val="00C567A6"/>
    <w:rsid w:val="00C56966"/>
    <w:rsid w:val="00C57656"/>
    <w:rsid w:val="00C60A67"/>
    <w:rsid w:val="00C63D2F"/>
    <w:rsid w:val="00C649FA"/>
    <w:rsid w:val="00C66E86"/>
    <w:rsid w:val="00C6776D"/>
    <w:rsid w:val="00C717A5"/>
    <w:rsid w:val="00C72556"/>
    <w:rsid w:val="00C72601"/>
    <w:rsid w:val="00C740FC"/>
    <w:rsid w:val="00C74493"/>
    <w:rsid w:val="00C75AF8"/>
    <w:rsid w:val="00C828B5"/>
    <w:rsid w:val="00C859B7"/>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BB6"/>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07B0D"/>
    <w:rsid w:val="00D07DC6"/>
    <w:rsid w:val="00D137EB"/>
    <w:rsid w:val="00D13DE9"/>
    <w:rsid w:val="00D1458D"/>
    <w:rsid w:val="00D16143"/>
    <w:rsid w:val="00D16BD9"/>
    <w:rsid w:val="00D2376B"/>
    <w:rsid w:val="00D23E46"/>
    <w:rsid w:val="00D25ADD"/>
    <w:rsid w:val="00D2738E"/>
    <w:rsid w:val="00D327B9"/>
    <w:rsid w:val="00D33919"/>
    <w:rsid w:val="00D34151"/>
    <w:rsid w:val="00D4006A"/>
    <w:rsid w:val="00D43314"/>
    <w:rsid w:val="00D51CAF"/>
    <w:rsid w:val="00D53113"/>
    <w:rsid w:val="00D5344D"/>
    <w:rsid w:val="00D539AC"/>
    <w:rsid w:val="00D54557"/>
    <w:rsid w:val="00D55F40"/>
    <w:rsid w:val="00D56574"/>
    <w:rsid w:val="00D64CF8"/>
    <w:rsid w:val="00D708F1"/>
    <w:rsid w:val="00D71D7E"/>
    <w:rsid w:val="00D72E1A"/>
    <w:rsid w:val="00D73F70"/>
    <w:rsid w:val="00D76AAC"/>
    <w:rsid w:val="00D82125"/>
    <w:rsid w:val="00D82FD0"/>
    <w:rsid w:val="00D835AD"/>
    <w:rsid w:val="00D90130"/>
    <w:rsid w:val="00D92F06"/>
    <w:rsid w:val="00D94C84"/>
    <w:rsid w:val="00D95814"/>
    <w:rsid w:val="00D96C76"/>
    <w:rsid w:val="00D97DCA"/>
    <w:rsid w:val="00D97E88"/>
    <w:rsid w:val="00DA0824"/>
    <w:rsid w:val="00DA1B56"/>
    <w:rsid w:val="00DA3B8B"/>
    <w:rsid w:val="00DA54AE"/>
    <w:rsid w:val="00DA6E46"/>
    <w:rsid w:val="00DB3C8E"/>
    <w:rsid w:val="00DB6926"/>
    <w:rsid w:val="00DC44E9"/>
    <w:rsid w:val="00DC44EB"/>
    <w:rsid w:val="00DC53FF"/>
    <w:rsid w:val="00DC5443"/>
    <w:rsid w:val="00DC5766"/>
    <w:rsid w:val="00DC5D45"/>
    <w:rsid w:val="00DD35DB"/>
    <w:rsid w:val="00DD3A3E"/>
    <w:rsid w:val="00DD55EE"/>
    <w:rsid w:val="00DD60B8"/>
    <w:rsid w:val="00DD7945"/>
    <w:rsid w:val="00DE2695"/>
    <w:rsid w:val="00DE5181"/>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03"/>
    <w:rsid w:val="00E531D5"/>
    <w:rsid w:val="00E538CC"/>
    <w:rsid w:val="00E574E7"/>
    <w:rsid w:val="00E60ACC"/>
    <w:rsid w:val="00E702A0"/>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447A"/>
    <w:rsid w:val="00EA6B29"/>
    <w:rsid w:val="00EB0A2E"/>
    <w:rsid w:val="00EB122D"/>
    <w:rsid w:val="00EB1C70"/>
    <w:rsid w:val="00EB321A"/>
    <w:rsid w:val="00EB34AA"/>
    <w:rsid w:val="00EB4950"/>
    <w:rsid w:val="00EC6A7D"/>
    <w:rsid w:val="00EC6CAF"/>
    <w:rsid w:val="00ED19A2"/>
    <w:rsid w:val="00ED1BF5"/>
    <w:rsid w:val="00ED3F8C"/>
    <w:rsid w:val="00EE4833"/>
    <w:rsid w:val="00EE7656"/>
    <w:rsid w:val="00EE7953"/>
    <w:rsid w:val="00EF2106"/>
    <w:rsid w:val="00EF61FD"/>
    <w:rsid w:val="00F005C8"/>
    <w:rsid w:val="00F01C7C"/>
    <w:rsid w:val="00F0281B"/>
    <w:rsid w:val="00F03E4F"/>
    <w:rsid w:val="00F06C16"/>
    <w:rsid w:val="00F07E55"/>
    <w:rsid w:val="00F106EB"/>
    <w:rsid w:val="00F139C5"/>
    <w:rsid w:val="00F145D5"/>
    <w:rsid w:val="00F149DB"/>
    <w:rsid w:val="00F15072"/>
    <w:rsid w:val="00F154D3"/>
    <w:rsid w:val="00F16376"/>
    <w:rsid w:val="00F16C48"/>
    <w:rsid w:val="00F200E3"/>
    <w:rsid w:val="00F2122B"/>
    <w:rsid w:val="00F2147A"/>
    <w:rsid w:val="00F22548"/>
    <w:rsid w:val="00F22EC6"/>
    <w:rsid w:val="00F23FEE"/>
    <w:rsid w:val="00F252D7"/>
    <w:rsid w:val="00F259E3"/>
    <w:rsid w:val="00F25F30"/>
    <w:rsid w:val="00F27A38"/>
    <w:rsid w:val="00F31595"/>
    <w:rsid w:val="00F348A1"/>
    <w:rsid w:val="00F36085"/>
    <w:rsid w:val="00F36104"/>
    <w:rsid w:val="00F36887"/>
    <w:rsid w:val="00F3768C"/>
    <w:rsid w:val="00F37794"/>
    <w:rsid w:val="00F37F05"/>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572A6"/>
    <w:rsid w:val="00F60BA4"/>
    <w:rsid w:val="00F63477"/>
    <w:rsid w:val="00F64CBA"/>
    <w:rsid w:val="00F67606"/>
    <w:rsid w:val="00F72452"/>
    <w:rsid w:val="00F7548E"/>
    <w:rsid w:val="00F768E7"/>
    <w:rsid w:val="00F82CC0"/>
    <w:rsid w:val="00F84497"/>
    <w:rsid w:val="00F84745"/>
    <w:rsid w:val="00F85933"/>
    <w:rsid w:val="00F91965"/>
    <w:rsid w:val="00F9385A"/>
    <w:rsid w:val="00F95DB7"/>
    <w:rsid w:val="00FA2545"/>
    <w:rsid w:val="00FA4FEA"/>
    <w:rsid w:val="00FA50CD"/>
    <w:rsid w:val="00FA571A"/>
    <w:rsid w:val="00FA6EF8"/>
    <w:rsid w:val="00FB066D"/>
    <w:rsid w:val="00FB39FE"/>
    <w:rsid w:val="00FC221A"/>
    <w:rsid w:val="00FC33C2"/>
    <w:rsid w:val="00FC423E"/>
    <w:rsid w:val="00FC4840"/>
    <w:rsid w:val="00FC5B22"/>
    <w:rsid w:val="00FC6306"/>
    <w:rsid w:val="00FC782A"/>
    <w:rsid w:val="00FC795C"/>
    <w:rsid w:val="00FD29C9"/>
    <w:rsid w:val="00FD311B"/>
    <w:rsid w:val="00FD41CB"/>
    <w:rsid w:val="00FE011A"/>
    <w:rsid w:val="00FE09AC"/>
    <w:rsid w:val="00FE22B7"/>
    <w:rsid w:val="00FE759F"/>
    <w:rsid w:val="00FF18E1"/>
    <w:rsid w:val="00FF4CC9"/>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05424B"/>
  <w15:chartTrackingRefBased/>
  <w15:docId w15:val="{946D4D5C-EA53-4CEE-9E2A-F4FD215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Header">
    <w:name w:val="header"/>
    <w:basedOn w:val="Normal"/>
    <w:link w:val="HeaderChar"/>
    <w:rsid w:val="002D5F81"/>
    <w:pPr>
      <w:tabs>
        <w:tab w:val="center" w:pos="4680"/>
        <w:tab w:val="right" w:pos="9360"/>
      </w:tabs>
    </w:pPr>
  </w:style>
  <w:style w:type="character" w:customStyle="1" w:styleId="HeaderChar">
    <w:name w:val="Header Char"/>
    <w:link w:val="Header"/>
    <w:rsid w:val="002D5F81"/>
    <w:rPr>
      <w:rFonts w:ascii="Courier" w:hAnsi="Courier"/>
      <w:sz w:val="24"/>
      <w:szCs w:val="24"/>
    </w:rPr>
  </w:style>
  <w:style w:type="paragraph" w:styleId="Footer">
    <w:name w:val="footer"/>
    <w:basedOn w:val="Normal"/>
    <w:link w:val="FooterChar"/>
    <w:uiPriority w:val="99"/>
    <w:rsid w:val="002D5F81"/>
    <w:pPr>
      <w:tabs>
        <w:tab w:val="center" w:pos="4680"/>
        <w:tab w:val="right" w:pos="9360"/>
      </w:tabs>
    </w:pPr>
  </w:style>
  <w:style w:type="character" w:customStyle="1" w:styleId="FooterChar">
    <w:name w:val="Footer Char"/>
    <w:link w:val="Footer"/>
    <w:uiPriority w:val="99"/>
    <w:rsid w:val="002D5F8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3760</Words>
  <Characters>20610</Characters>
  <Application>Microsoft Office Word</Application>
  <DocSecurity>0</DocSecurity>
  <Lines>557</Lines>
  <Paragraphs>297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2026-03-23T19:45:00Z</dcterms:created>
  <dcterms:modified xsi:type="dcterms:W3CDTF">2026-03-23T19:45:00Z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-613996254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eCBSV OMB Passbacks</vt:lpwstr>
  </property>
  <property fmtid="{D5CDD505-2E9C-101B-9397-08002B2CF9AE}" pid="6" name="_NewReviewCycle">
    <vt:lpwstr/>
  </property>
  <property fmtid="{D5CDD505-2E9C-101B-9397-08002B2CF9AE}" pid="7" name="_PreviousAdHocReviewCycleID">
    <vt:i4>437345299</vt:i4>
  </property>
</Properties>
</file>