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0D59" w:rsidRPr="009C7A4C" w:rsidP="00870D59" w14:paraId="096AA0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Pr="002A43B6" w:rsidP="00870D59" w14:paraId="5AA27099" w14:textId="77777777">
      <w:pPr>
        <w:tabs>
          <w:tab w:val="center" w:pos="4752"/>
          <w:tab w:val="left" w:pos="5040"/>
          <w:tab w:val="left" w:pos="5760"/>
          <w:tab w:val="left" w:pos="6480"/>
          <w:tab w:val="left" w:pos="7200"/>
          <w:tab w:val="left" w:pos="7920"/>
          <w:tab w:val="left" w:pos="8640"/>
          <w:tab w:val="left" w:pos="9360"/>
        </w:tabs>
        <w:jc w:val="center"/>
        <w:rPr>
          <w:b/>
          <w:sz w:val="24"/>
        </w:rPr>
      </w:pPr>
      <w:r w:rsidRPr="002A43B6">
        <w:rPr>
          <w:b/>
          <w:sz w:val="24"/>
        </w:rPr>
        <w:t>Notice of Research Exception under the Genetic Information Nondiscrimination Act</w:t>
      </w:r>
    </w:p>
    <w:p w:rsidR="00870D59" w:rsidRPr="002A43B6" w14:paraId="24C68B6E" w14:textId="77777777">
      <w:pPr>
        <w:tabs>
          <w:tab w:val="center" w:pos="4752"/>
          <w:tab w:val="left" w:pos="5040"/>
          <w:tab w:val="left" w:pos="5760"/>
          <w:tab w:val="left" w:pos="6480"/>
          <w:tab w:val="left" w:pos="7200"/>
          <w:tab w:val="left" w:pos="7920"/>
          <w:tab w:val="left" w:pos="8640"/>
          <w:tab w:val="left" w:pos="9360"/>
        </w:tabs>
        <w:rPr>
          <w:b/>
          <w:sz w:val="24"/>
        </w:rPr>
      </w:pPr>
      <w:r>
        <w:rPr>
          <w:sz w:val="32"/>
          <w:szCs w:val="32"/>
        </w:rPr>
        <w:tab/>
      </w:r>
      <w:r w:rsidRPr="002A43B6">
        <w:rPr>
          <w:b/>
          <w:sz w:val="24"/>
        </w:rPr>
        <w:t>(</w:t>
      </w:r>
      <w:r w:rsidR="00D11F14">
        <w:rPr>
          <w:b/>
          <w:sz w:val="24"/>
        </w:rPr>
        <w:t>CMS-10286/</w:t>
      </w:r>
      <w:r w:rsidRPr="002A43B6">
        <w:rPr>
          <w:b/>
          <w:sz w:val="24"/>
        </w:rPr>
        <w:t>OMB Control No. 0938-1077)</w:t>
      </w:r>
    </w:p>
    <w:p w:rsidR="008F1EB4" w:rsidP="002A43B6" w14:paraId="6FDFB960" w14:textId="77777777">
      <w:pPr>
        <w:tabs>
          <w:tab w:val="center" w:pos="4752"/>
          <w:tab w:val="left" w:pos="5040"/>
          <w:tab w:val="left" w:pos="5760"/>
          <w:tab w:val="left" w:pos="6480"/>
          <w:tab w:val="left" w:pos="7200"/>
          <w:tab w:val="left" w:pos="7920"/>
          <w:tab w:val="left" w:pos="8640"/>
          <w:tab w:val="left" w:pos="9360"/>
        </w:tabs>
        <w:rPr>
          <w:sz w:val="24"/>
        </w:rPr>
      </w:pPr>
    </w:p>
    <w:p w:rsidR="008F1EB4" w14:paraId="74D77D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14:paraId="09F596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A43B6" w:rsidP="002A43B6" w14:paraId="2DA8E1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Genetic Information Nondiscrimination Act of 2008 (GINA), Public Law 110-233, was enacted on May 21, 2008.  Title I of GINA amended the Employee Retirement Income Security Act of 1974 (ERISA), the Public Health Service Act (PHS Act), the Internal Revenue Code of 1986 (Code), and the Social Security Act (SSA) to prohibit discrimination in health coverage based on genetic information.  Sections 101 through 104 of Title I of GINA prevent employment-based group health plans, health insurance issuers in the group and individual markets, and issuers of Medicare supplemental (Medigap) policies from discriminating based on genetic information.  </w:t>
      </w:r>
    </w:p>
    <w:p w:rsidR="002A43B6" w:rsidRPr="002A43B6" w:rsidP="002A43B6" w14:paraId="42DE7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A43B6" w:rsidRPr="002A43B6" w:rsidP="002A43B6" w14:paraId="6C4344EC" w14:textId="112FB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Under GINA, group health plans and health insurance issuers in the group, individual</w:t>
      </w:r>
      <w:r w:rsidR="00C9719D">
        <w:rPr>
          <w:sz w:val="24"/>
        </w:rPr>
        <w:t>,</w:t>
      </w:r>
      <w:r w:rsidRPr="002A43B6">
        <w:rPr>
          <w:sz w:val="24"/>
        </w:rPr>
        <w:t xml:space="preserve"> and Medigap markets (i.e., insurance companies or health maintenance organizations (HMOs)) cannot collect (defined in the regulations to mean “request, require, or purchase”) genetic information for underwriting purposes prior to or in connection with an individual’s enrollment under the plan or coverage.  With a few limited exceptions, plans and issuers are also prohibited from requesting or requiring an individual or family member to undergo a genetic test.  </w:t>
      </w:r>
    </w:p>
    <w:p w:rsidR="002A43B6" w:rsidRPr="002A43B6" w:rsidP="002A43B6" w14:paraId="6BB7F7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A43B6" w:rsidRPr="002A43B6" w:rsidP="002A43B6" w14:paraId="0BAF82BD" w14:textId="0FA3C5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One of the exceptions to the prohibition from requesting or requiring an individual (or family member) to undergo a genetic test is the research exception.  A plan or issuer may request (but not require) a genetic test in connection with certain research activities so long as such activities comply with </w:t>
      </w:r>
      <w:r w:rsidR="006500B7">
        <w:rPr>
          <w:sz w:val="24"/>
        </w:rPr>
        <w:t>specific requirements, including:</w:t>
      </w:r>
      <w:r w:rsidRPr="002A43B6">
        <w:rPr>
          <w:sz w:val="24"/>
        </w:rPr>
        <w:t xml:space="preserve"> (</w:t>
      </w:r>
      <w:r w:rsidRPr="002A43B6">
        <w:rPr>
          <w:sz w:val="24"/>
        </w:rPr>
        <w:t>i</w:t>
      </w:r>
      <w:r w:rsidRPr="002A43B6">
        <w:rPr>
          <w:sz w:val="24"/>
        </w:rPr>
        <w:t xml:space="preserve">) the research complies with 45 CFR </w:t>
      </w:r>
      <w:r w:rsidR="00A92787">
        <w:rPr>
          <w:sz w:val="24"/>
        </w:rPr>
        <w:t>P</w:t>
      </w:r>
      <w:r w:rsidRPr="002A43B6">
        <w:rPr>
          <w:sz w:val="24"/>
        </w:rPr>
        <w:t xml:space="preserve">art 46 or equivalent </w:t>
      </w:r>
      <w:r w:rsidR="00C9719D">
        <w:rPr>
          <w:sz w:val="24"/>
        </w:rPr>
        <w:t>F</w:t>
      </w:r>
      <w:r w:rsidRPr="002A43B6">
        <w:rPr>
          <w:sz w:val="24"/>
        </w:rPr>
        <w:t>ederal regulations and applicable State or local law or regulations for the protection of human subjects in research</w:t>
      </w:r>
      <w:r w:rsidR="006500B7">
        <w:rPr>
          <w:sz w:val="24"/>
        </w:rPr>
        <w:t>;</w:t>
      </w:r>
      <w:r w:rsidRPr="002A43B6">
        <w:rPr>
          <w:sz w:val="24"/>
        </w:rPr>
        <w:t xml:space="preserve"> (ii) the request for the participant or beneficiary (or in the case of a minor child, the legal guardian of such beneficiary) is made in writing and clearly indicates that compliance with the request is voluntary and that non-compliance will have no effect on eligibility for benefits or premium or contribution amounts; and (iii) no genetic information collected or acquired will be used for underwriting purposes.  </w:t>
      </w:r>
    </w:p>
    <w:p w:rsidR="002A43B6" w:rsidRPr="002A43B6" w:rsidP="002A43B6" w14:paraId="67374A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A43B6" w:rsidRPr="002A43B6" w:rsidP="002A43B6" w14:paraId="4F2B3ECC" w14:textId="2C995A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Secretary of Labor or the Secretary of Health and Human Services is required to be notified if a group health plan or health insurance issuer intends to claim the research exception permitted under Title I of </w:t>
      </w:r>
      <w:r w:rsidR="003E2276">
        <w:rPr>
          <w:sz w:val="24"/>
        </w:rPr>
        <w:t>GINA</w:t>
      </w:r>
      <w:r w:rsidRPr="002A43B6">
        <w:rPr>
          <w:sz w:val="24"/>
        </w:rPr>
        <w:t xml:space="preserve">.  Group health plans of private employers, issuers in </w:t>
      </w:r>
      <w:r w:rsidR="00A92787">
        <w:rPr>
          <w:sz w:val="24"/>
        </w:rPr>
        <w:t xml:space="preserve">the </w:t>
      </w:r>
      <w:r w:rsidRPr="002A43B6">
        <w:rPr>
          <w:sz w:val="24"/>
        </w:rPr>
        <w:t xml:space="preserve">group health insurance market, and issuers in the group </w:t>
      </w:r>
      <w:r w:rsidR="00D10AFA">
        <w:rPr>
          <w:sz w:val="24"/>
        </w:rPr>
        <w:t>as well as</w:t>
      </w:r>
      <w:r w:rsidRPr="002A43B6">
        <w:rPr>
          <w:sz w:val="24"/>
        </w:rPr>
        <w:t xml:space="preserve"> individual </w:t>
      </w:r>
      <w:r w:rsidR="00D10AFA">
        <w:rPr>
          <w:sz w:val="24"/>
        </w:rPr>
        <w:t xml:space="preserve">and/or Medigap </w:t>
      </w:r>
      <w:r w:rsidRPr="002A43B6">
        <w:rPr>
          <w:sz w:val="24"/>
        </w:rPr>
        <w:t>market</w:t>
      </w:r>
      <w:r w:rsidR="00D10AFA">
        <w:rPr>
          <w:sz w:val="24"/>
        </w:rPr>
        <w:t>s</w:t>
      </w:r>
      <w:r w:rsidRPr="002A43B6">
        <w:rPr>
          <w:sz w:val="24"/>
        </w:rPr>
        <w:t xml:space="preserve"> will be required to notify the Department of Labor</w:t>
      </w:r>
      <w:r w:rsidR="00C9719D">
        <w:rPr>
          <w:sz w:val="24"/>
        </w:rPr>
        <w:t xml:space="preserve"> (DOL)</w:t>
      </w:r>
      <w:r w:rsidRPr="002A43B6">
        <w:rPr>
          <w:sz w:val="24"/>
        </w:rPr>
        <w:t>.  Non</w:t>
      </w:r>
      <w:r w:rsidR="00C9719D">
        <w:rPr>
          <w:sz w:val="24"/>
        </w:rPr>
        <w:t>-F</w:t>
      </w:r>
      <w:r w:rsidRPr="002A43B6">
        <w:rPr>
          <w:sz w:val="24"/>
        </w:rPr>
        <w:t>ederal governmental group health plans and issuers solely in the individual health insurance</w:t>
      </w:r>
      <w:r w:rsidR="00487B80">
        <w:rPr>
          <w:sz w:val="24"/>
        </w:rPr>
        <w:t xml:space="preserve"> or Medigap</w:t>
      </w:r>
      <w:r w:rsidRPr="002A43B6">
        <w:rPr>
          <w:sz w:val="24"/>
        </w:rPr>
        <w:t xml:space="preserve"> market will be required to file with the Centers for Medicare &amp; Medicaid Services (CMS).</w:t>
      </w:r>
    </w:p>
    <w:p w:rsidR="002A43B6" w:rsidRPr="002A43B6" w:rsidP="002A43B6" w14:paraId="491500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A43B6" w14:paraId="45C06FDC" w14:textId="326E39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43B6">
        <w:rPr>
          <w:sz w:val="24"/>
        </w:rPr>
        <w:t xml:space="preserve">The Notice of Research Exception under the Genetic Information Nondiscrimination Act (the Notice) is a model notice that can be completed by group health plans and health </w:t>
      </w:r>
      <w:r w:rsidRPr="002A43B6">
        <w:rPr>
          <w:sz w:val="24"/>
        </w:rPr>
        <w:t>insurance issuers and filed with either the D</w:t>
      </w:r>
      <w:r w:rsidR="00C9719D">
        <w:rPr>
          <w:sz w:val="24"/>
        </w:rPr>
        <w:t>O</w:t>
      </w:r>
      <w:r w:rsidRPr="002A43B6">
        <w:rPr>
          <w:sz w:val="24"/>
        </w:rPr>
        <w:t>L or CMS to comply with the notification requirement.</w:t>
      </w:r>
    </w:p>
    <w:p w:rsidR="00EC47CB" w:rsidP="002A43B6" w14:paraId="519998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C47CB" w:rsidP="002A43B6" w14:paraId="4AA5EF11" w14:textId="370723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C47CB">
        <w:rPr>
          <w:sz w:val="24"/>
        </w:rPr>
        <w:t xml:space="preserve">CMS is requesting an extension of </w:t>
      </w:r>
      <w:r w:rsidR="005D2FB3">
        <w:rPr>
          <w:sz w:val="24"/>
        </w:rPr>
        <w:t>the Office of Management and Budget (</w:t>
      </w:r>
      <w:r w:rsidRPr="00EC47CB">
        <w:rPr>
          <w:sz w:val="24"/>
        </w:rPr>
        <w:t>OMB</w:t>
      </w:r>
      <w:r w:rsidR="005D2FB3">
        <w:rPr>
          <w:sz w:val="24"/>
        </w:rPr>
        <w:t>)</w:t>
      </w:r>
      <w:r w:rsidRPr="00EC47CB">
        <w:rPr>
          <w:sz w:val="24"/>
        </w:rPr>
        <w:t xml:space="preserve"> approval for the </w:t>
      </w:r>
      <w:r w:rsidR="001C4FC3">
        <w:rPr>
          <w:sz w:val="24"/>
        </w:rPr>
        <w:t>information</w:t>
      </w:r>
      <w:r w:rsidRPr="00EC47CB" w:rsidR="001C4FC3">
        <w:rPr>
          <w:sz w:val="24"/>
        </w:rPr>
        <w:t xml:space="preserve"> </w:t>
      </w:r>
      <w:r w:rsidRPr="00EC47CB">
        <w:rPr>
          <w:sz w:val="24"/>
        </w:rPr>
        <w:t>collection included in this information collection request (ICR).</w:t>
      </w:r>
    </w:p>
    <w:p w:rsidR="002A43B6" w:rsidP="002A43B6" w14:paraId="02902A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6FB99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14:paraId="3D89D0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B1731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14:paraId="73DF2F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4863" w:rsidRPr="001C4863" w:rsidP="001C4863" w14:paraId="54240B01" w14:textId="31FF20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The Notice must be used by non</w:t>
      </w:r>
      <w:r w:rsidR="00BE1818">
        <w:rPr>
          <w:sz w:val="24"/>
        </w:rPr>
        <w:t>-F</w:t>
      </w:r>
      <w:r w:rsidRPr="001C4863">
        <w:rPr>
          <w:sz w:val="24"/>
        </w:rPr>
        <w:t>ederal governmental group health plans and by issuers solely in the individual health insurance market</w:t>
      </w:r>
      <w:r w:rsidR="00D10AFA">
        <w:rPr>
          <w:sz w:val="24"/>
        </w:rPr>
        <w:t xml:space="preserve"> and/or Medigap market</w:t>
      </w:r>
      <w:r w:rsidRPr="001C4863">
        <w:rPr>
          <w:sz w:val="24"/>
        </w:rPr>
        <w:t xml:space="preserve"> to file the required information with CMS as mandated by sections 270</w:t>
      </w:r>
      <w:r w:rsidR="00690FA7">
        <w:rPr>
          <w:sz w:val="24"/>
        </w:rPr>
        <w:t>5</w:t>
      </w:r>
      <w:r w:rsidRPr="001C4863">
        <w:rPr>
          <w:sz w:val="24"/>
        </w:rPr>
        <w:t xml:space="preserve">(c)(4)(D) and 2753(d)(4)(D) of the </w:t>
      </w:r>
      <w:r w:rsidR="00BE1818">
        <w:rPr>
          <w:sz w:val="24"/>
        </w:rPr>
        <w:t>PHS</w:t>
      </w:r>
      <w:r w:rsidRPr="001C4863">
        <w:rPr>
          <w:sz w:val="24"/>
        </w:rPr>
        <w:t xml:space="preserve"> Act.  This information collection will permit CMS to track those health insurance issuers that are conducting genetic research and must comply with the genetic research requirements of GINA.</w:t>
      </w:r>
    </w:p>
    <w:p w:rsidR="008F1EB4" w14:paraId="05C709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FB4A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14:paraId="1196E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1C4863" w14:paraId="65A63261" w14:textId="127946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The Notice must be submitted by mail to CMS by non</w:t>
      </w:r>
      <w:r w:rsidR="00BE1818">
        <w:rPr>
          <w:sz w:val="24"/>
        </w:rPr>
        <w:t>-F</w:t>
      </w:r>
      <w:r w:rsidRPr="001C4863">
        <w:rPr>
          <w:sz w:val="24"/>
        </w:rPr>
        <w:t>ederal group health plans and issuers solely in the individual health insurance market</w:t>
      </w:r>
      <w:r w:rsidR="00AD452B">
        <w:rPr>
          <w:sz w:val="24"/>
        </w:rPr>
        <w:t xml:space="preserve"> and/or Medigap market</w:t>
      </w:r>
      <w:r w:rsidRPr="001C4863">
        <w:rPr>
          <w:sz w:val="24"/>
        </w:rPr>
        <w:t xml:space="preserve"> who are conducting genetic research and are requesting individual beneficiaries to participate in genetic testing.</w:t>
      </w:r>
    </w:p>
    <w:p w:rsidR="001C4863" w:rsidP="001C4863" w14:paraId="33E7A0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5812E7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14:paraId="685348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1C4863" w14:paraId="5E195285" w14:textId="5028D8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4863">
        <w:rPr>
          <w:sz w:val="24"/>
        </w:rPr>
        <w:t xml:space="preserve">Information will not be collected electronically.  The hard copy forms </w:t>
      </w:r>
      <w:r w:rsidR="000C28B3">
        <w:rPr>
          <w:sz w:val="24"/>
        </w:rPr>
        <w:t xml:space="preserve">must be </w:t>
      </w:r>
      <w:r w:rsidR="007E6833">
        <w:rPr>
          <w:sz w:val="24"/>
        </w:rPr>
        <w:t xml:space="preserve">signed and </w:t>
      </w:r>
      <w:r w:rsidRPr="001C4863">
        <w:rPr>
          <w:sz w:val="24"/>
        </w:rPr>
        <w:t>submitted by mail.</w:t>
      </w:r>
    </w:p>
    <w:p w:rsidR="001C4863" w:rsidP="001C4863" w14:paraId="0C7FA1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17613F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14:paraId="08DA37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51162" w14:paraId="36A23FBF" w14:textId="194D4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51162">
        <w:rPr>
          <w:sz w:val="24"/>
        </w:rPr>
        <w:t xml:space="preserve">There is no duplication of effort regarding the Notice. </w:t>
      </w:r>
      <w:r w:rsidR="002131BF">
        <w:rPr>
          <w:sz w:val="24"/>
        </w:rPr>
        <w:t xml:space="preserve"> </w:t>
      </w:r>
      <w:r w:rsidRPr="00A51162">
        <w:rPr>
          <w:sz w:val="24"/>
        </w:rPr>
        <w:t xml:space="preserve">CMS has coordinated with the Departments of the Treasury and Labor in developing the Notice.  Group health plans of private employers, issuers in group health insurance market, and issuers in the group </w:t>
      </w:r>
      <w:r w:rsidR="00DB6006">
        <w:rPr>
          <w:sz w:val="24"/>
        </w:rPr>
        <w:t>market as well as the</w:t>
      </w:r>
      <w:r w:rsidRPr="00A51162">
        <w:rPr>
          <w:sz w:val="24"/>
        </w:rPr>
        <w:t xml:space="preserve"> individual </w:t>
      </w:r>
      <w:r w:rsidR="00DB6006">
        <w:rPr>
          <w:sz w:val="24"/>
        </w:rPr>
        <w:t xml:space="preserve">and/or Medigap </w:t>
      </w:r>
      <w:r w:rsidRPr="00A51162">
        <w:rPr>
          <w:sz w:val="24"/>
        </w:rPr>
        <w:t>market</w:t>
      </w:r>
      <w:r w:rsidR="00DB6006">
        <w:rPr>
          <w:sz w:val="24"/>
        </w:rPr>
        <w:t>s</w:t>
      </w:r>
      <w:r w:rsidRPr="00A51162">
        <w:rPr>
          <w:sz w:val="24"/>
        </w:rPr>
        <w:t xml:space="preserve"> will be required to file the Notice with the </w:t>
      </w:r>
      <w:r w:rsidR="00BE1818">
        <w:rPr>
          <w:sz w:val="24"/>
        </w:rPr>
        <w:t>DOL</w:t>
      </w:r>
      <w:r w:rsidRPr="00A51162">
        <w:rPr>
          <w:sz w:val="24"/>
        </w:rPr>
        <w:t>.  Non</w:t>
      </w:r>
      <w:r w:rsidR="00BE1818">
        <w:rPr>
          <w:sz w:val="24"/>
        </w:rPr>
        <w:t>-F</w:t>
      </w:r>
      <w:r w:rsidRPr="00A51162">
        <w:rPr>
          <w:sz w:val="24"/>
        </w:rPr>
        <w:t xml:space="preserve">ederal governmental group health plans and issuers solely in the individual health insurance market </w:t>
      </w:r>
      <w:r w:rsidR="00DB6006">
        <w:rPr>
          <w:sz w:val="24"/>
        </w:rPr>
        <w:t xml:space="preserve">and/or Medigap market </w:t>
      </w:r>
      <w:r w:rsidRPr="00A51162">
        <w:rPr>
          <w:sz w:val="24"/>
        </w:rPr>
        <w:t>will be required to file with CMS.</w:t>
      </w:r>
    </w:p>
    <w:p w:rsidR="00A51162" w:rsidP="00A51162" w14:paraId="097458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4F78F4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14:paraId="6E59ED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AFF4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3690C">
        <w:rPr>
          <w:sz w:val="24"/>
        </w:rPr>
        <w:t>The information collection does not impose any burden on small businesses or entities.</w:t>
      </w:r>
      <w:r>
        <w:rPr>
          <w:sz w:val="24"/>
        </w:rPr>
        <w:t xml:space="preserve">  </w:t>
      </w:r>
    </w:p>
    <w:p w:rsidR="00023CB8" w14:paraId="7F868E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680F63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14:paraId="315D2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E2339" w14:paraId="5D06F798" w14:textId="7E8106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E2339">
        <w:rPr>
          <w:sz w:val="24"/>
        </w:rPr>
        <w:t>This is a one-time collection.  If the information collection is not conducted, CMS will not be notified as to which non</w:t>
      </w:r>
      <w:r w:rsidR="00E705C8">
        <w:rPr>
          <w:sz w:val="24"/>
        </w:rPr>
        <w:t>-F</w:t>
      </w:r>
      <w:r w:rsidRPr="00AE2339">
        <w:rPr>
          <w:sz w:val="24"/>
        </w:rPr>
        <w:t xml:space="preserve">ederal governmental plans and issuers in the individual </w:t>
      </w:r>
      <w:r w:rsidR="00A5049B">
        <w:rPr>
          <w:sz w:val="24"/>
        </w:rPr>
        <w:t xml:space="preserve">or </w:t>
      </w:r>
      <w:r w:rsidR="00A5049B">
        <w:rPr>
          <w:sz w:val="24"/>
        </w:rPr>
        <w:t xml:space="preserve">Medigap </w:t>
      </w:r>
      <w:r w:rsidRPr="00AE2339">
        <w:rPr>
          <w:sz w:val="24"/>
        </w:rPr>
        <w:t xml:space="preserve">market are conducting genetic research in a manner that </w:t>
      </w:r>
      <w:r w:rsidRPr="00AE2339">
        <w:rPr>
          <w:sz w:val="24"/>
        </w:rPr>
        <w:t>is in compliance with</w:t>
      </w:r>
      <w:r w:rsidRPr="00AE2339">
        <w:rPr>
          <w:sz w:val="24"/>
        </w:rPr>
        <w:t xml:space="preserve"> GINA.</w:t>
      </w:r>
    </w:p>
    <w:p w:rsidR="00AE2339" w:rsidP="00AE2339" w14:paraId="6F557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3C121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14:paraId="1CF92B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DF61C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special circumstances.</w:t>
      </w:r>
    </w:p>
    <w:p w:rsidR="00AE2339" w14:paraId="05A933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73915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14:paraId="73E7E3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218A6B9" w14:textId="35C3F9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notice </w:t>
      </w:r>
      <w:r>
        <w:rPr>
          <w:sz w:val="24"/>
        </w:rPr>
        <w:t>w</w:t>
      </w:r>
      <w:r w:rsidR="003D7EDB">
        <w:rPr>
          <w:sz w:val="24"/>
        </w:rPr>
        <w:t>as</w:t>
      </w:r>
      <w:r>
        <w:rPr>
          <w:sz w:val="24"/>
        </w:rPr>
        <w:t xml:space="preserve"> be</w:t>
      </w:r>
      <w:r>
        <w:rPr>
          <w:sz w:val="24"/>
        </w:rPr>
        <w:t xml:space="preserve"> published in the Federal Register</w:t>
      </w:r>
      <w:r w:rsidR="003D7EDB">
        <w:rPr>
          <w:sz w:val="24"/>
        </w:rPr>
        <w:t xml:space="preserve"> on April 21, 2025 (</w:t>
      </w:r>
      <w:r w:rsidRPr="003D7EDB" w:rsidR="003D7EDB">
        <w:rPr>
          <w:sz w:val="24"/>
        </w:rPr>
        <w:t>90 FR 16685)</w:t>
      </w:r>
      <w:r>
        <w:rPr>
          <w:sz w:val="24"/>
        </w:rPr>
        <w:t>, providing the public with a 60-day period to submit written comments on the ICR.</w:t>
      </w:r>
      <w:r w:rsidR="003D7EDB">
        <w:rPr>
          <w:sz w:val="24"/>
        </w:rPr>
        <w:t xml:space="preserve"> </w:t>
      </w:r>
      <w:r w:rsidR="00074FC6">
        <w:rPr>
          <w:sz w:val="24"/>
        </w:rPr>
        <w:t xml:space="preserve">A 30-day notice published on July 11, 2025 (90 FR 30939. </w:t>
      </w:r>
      <w:r w:rsidR="003D7EDB">
        <w:rPr>
          <w:sz w:val="24"/>
        </w:rPr>
        <w:t xml:space="preserve">One </w:t>
      </w:r>
      <w:r w:rsidR="008C5D58">
        <w:rPr>
          <w:sz w:val="24"/>
        </w:rPr>
        <w:t>out</w:t>
      </w:r>
      <w:r w:rsidR="000E60A3">
        <w:rPr>
          <w:sz w:val="24"/>
        </w:rPr>
        <w:t>-</w:t>
      </w:r>
      <w:r w:rsidR="008C5D58">
        <w:rPr>
          <w:sz w:val="24"/>
        </w:rPr>
        <w:t>of</w:t>
      </w:r>
      <w:r w:rsidR="000E60A3">
        <w:rPr>
          <w:sz w:val="24"/>
        </w:rPr>
        <w:t>-</w:t>
      </w:r>
      <w:r w:rsidR="008C5D58">
        <w:rPr>
          <w:sz w:val="24"/>
        </w:rPr>
        <w:t xml:space="preserve">scope </w:t>
      </w:r>
      <w:r w:rsidR="000E60A3">
        <w:rPr>
          <w:sz w:val="24"/>
        </w:rPr>
        <w:t>comment</w:t>
      </w:r>
      <w:r w:rsidR="008C5D58">
        <w:rPr>
          <w:sz w:val="24"/>
        </w:rPr>
        <w:t xml:space="preserve"> </w:t>
      </w:r>
      <w:r w:rsidR="003D7EDB">
        <w:rPr>
          <w:sz w:val="24"/>
        </w:rPr>
        <w:t xml:space="preserve">was received. </w:t>
      </w:r>
    </w:p>
    <w:p w:rsidR="008F1EB4" w14:paraId="26C0D1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E3BF5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14:paraId="6D42B9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A31217" w14:paraId="33D71779" w14:textId="707189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1217">
        <w:rPr>
          <w:sz w:val="24"/>
        </w:rPr>
        <w:t>No payments or gift</w:t>
      </w:r>
      <w:r w:rsidR="00C1710F">
        <w:rPr>
          <w:sz w:val="24"/>
        </w:rPr>
        <w:t xml:space="preserve">s are associated with this </w:t>
      </w:r>
      <w:r w:rsidR="007B0695">
        <w:rPr>
          <w:sz w:val="24"/>
        </w:rPr>
        <w:t>information collection</w:t>
      </w:r>
      <w:r w:rsidRPr="00A31217">
        <w:rPr>
          <w:sz w:val="24"/>
        </w:rPr>
        <w:t>.</w:t>
      </w:r>
    </w:p>
    <w:p w:rsidR="00A31217" w:rsidP="00A31217" w14:paraId="5DAC3E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33DBCC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14:paraId="1235A2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9A418E" w14:paraId="2EB78B14" w14:textId="1AC60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858AB">
        <w:rPr>
          <w:sz w:val="24"/>
        </w:rPr>
        <w:t>No personal identifiable information is being collected.</w:t>
      </w:r>
      <w:r>
        <w:rPr>
          <w:sz w:val="24"/>
        </w:rPr>
        <w:t xml:space="preserve">  </w:t>
      </w:r>
      <w:r w:rsidRPr="009A418E" w:rsidR="009A418E">
        <w:rPr>
          <w:sz w:val="24"/>
        </w:rPr>
        <w:t>CMS will protect privacy of the information provided to the extent provided by law</w:t>
      </w:r>
      <w:r w:rsidR="00D90232">
        <w:rPr>
          <w:sz w:val="24"/>
        </w:rPr>
        <w:t xml:space="preserve"> (</w:t>
      </w:r>
      <w:r w:rsidRPr="00D90232" w:rsidR="00D90232">
        <w:rPr>
          <w:sz w:val="24"/>
        </w:rPr>
        <w:t>Privacy Act of 1974 (5 U.S.C. §552(a)) and FOIA Exemption (5 U.S.C. §552(b)))</w:t>
      </w:r>
      <w:r w:rsidRPr="009A418E" w:rsidR="009A418E">
        <w:rPr>
          <w:sz w:val="24"/>
        </w:rPr>
        <w:t>.</w:t>
      </w:r>
    </w:p>
    <w:p w:rsidR="009A418E" w:rsidP="009A418E" w14:paraId="525F4E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2D4866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4D930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DC6B15D" w14:textId="3160E5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w:t>
      </w:r>
      <w:r w:rsidR="00EF2072">
        <w:rPr>
          <w:sz w:val="24"/>
        </w:rPr>
        <w:t xml:space="preserve">information </w:t>
      </w:r>
      <w:r w:rsidR="00CD66C8">
        <w:rPr>
          <w:sz w:val="24"/>
        </w:rPr>
        <w:t>collection</w:t>
      </w:r>
      <w:r w:rsidRPr="008016AD" w:rsidR="00CD66C8">
        <w:rPr>
          <w:sz w:val="24"/>
        </w:rPr>
        <w:t xml:space="preserve"> </w:t>
      </w:r>
      <w:r w:rsidR="00EF2072">
        <w:rPr>
          <w:sz w:val="24"/>
        </w:rPr>
        <w:t xml:space="preserve">does not </w:t>
      </w:r>
      <w:r w:rsidRPr="008016AD" w:rsidR="008016AD">
        <w:rPr>
          <w:sz w:val="24"/>
        </w:rPr>
        <w:t xml:space="preserve">involve </w:t>
      </w:r>
      <w:r w:rsidR="00EF2072">
        <w:rPr>
          <w:sz w:val="24"/>
        </w:rPr>
        <w:t>any</w:t>
      </w:r>
      <w:r w:rsidRPr="008016AD" w:rsidR="008016AD">
        <w:rPr>
          <w:sz w:val="24"/>
        </w:rPr>
        <w:t xml:space="preserve"> sensitive questions.</w:t>
      </w:r>
    </w:p>
    <w:p w:rsidR="008F1EB4" w14:paraId="6A8F0D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CF3D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14:paraId="020C7E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57EA" w:rsidP="00E103D3" w14:paraId="345D92C6" w14:textId="455491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used data from the Bureau of Labor Statistics (BLS) to derive median labor costs (including a 100 percent increase of the median hourly wage to incorporate the cost of fringe benefits and other indirect costs) for estimating the burden associated with the information collection.</w:t>
      </w:r>
      <w:r>
        <w:rPr>
          <w:sz w:val="24"/>
          <w:vertAlign w:val="superscript"/>
        </w:rPr>
        <w:footnoteReference w:id="2"/>
      </w:r>
      <w:r w:rsidR="00CD3FB3">
        <w:rPr>
          <w:sz w:val="24"/>
        </w:rPr>
        <w:t xml:space="preserve">  </w:t>
      </w:r>
      <w:r w:rsidRPr="00960336" w:rsidR="001B6472">
        <w:rPr>
          <w:sz w:val="24"/>
        </w:rPr>
        <w:t>Table 1 presents the me</w:t>
      </w:r>
      <w:r w:rsidR="001B6472">
        <w:rPr>
          <w:sz w:val="24"/>
        </w:rPr>
        <w:t>dian</w:t>
      </w:r>
      <w:r w:rsidRPr="00960336" w:rsidR="001B6472">
        <w:rPr>
          <w:sz w:val="24"/>
        </w:rPr>
        <w:t xml:space="preserve"> hourly wage, the cost of fringe benefits and </w:t>
      </w:r>
      <w:r w:rsidR="001B6472">
        <w:rPr>
          <w:sz w:val="24"/>
        </w:rPr>
        <w:t>other indirect costs</w:t>
      </w:r>
      <w:r w:rsidRPr="00960336" w:rsidR="001B6472">
        <w:rPr>
          <w:sz w:val="24"/>
        </w:rPr>
        <w:t>, and the adjusted hourly wage.</w:t>
      </w:r>
      <w:r w:rsidRPr="00F357EA">
        <w:rPr>
          <w:sz w:val="24"/>
        </w:rPr>
        <w:t xml:space="preserve"> </w:t>
      </w:r>
    </w:p>
    <w:p w:rsidR="00F357EA" w:rsidP="00095060" w14:paraId="04D47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56B0" w:rsidP="00C474F1" w14:paraId="66100A1B" w14:textId="585917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46869">
        <w:rPr>
          <w:b/>
          <w:sz w:val="24"/>
        </w:rPr>
        <w:t xml:space="preserve">Table 1: </w:t>
      </w:r>
      <w:r w:rsidRPr="00D841A3" w:rsidR="00D841A3">
        <w:rPr>
          <w:b/>
          <w:sz w:val="24"/>
        </w:rPr>
        <w:t>Adjusted Hourly Wage Used in the Burden Estimate</w:t>
      </w:r>
    </w:p>
    <w:p w:rsidR="00FC4F26" w:rsidRPr="00CD66C8" w:rsidP="00C474F1" w14:paraId="1060A2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9"/>
        <w:gridCol w:w="1590"/>
        <w:gridCol w:w="1330"/>
        <w:gridCol w:w="1810"/>
        <w:gridCol w:w="1726"/>
      </w:tblGrid>
      <w:tr w14:paraId="18A51EAD" w14:textId="77777777" w:rsidTr="0034484C">
        <w:tblPrEx>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41" w:type="pct"/>
            <w:shd w:val="clear" w:color="auto" w:fill="auto"/>
            <w:vAlign w:val="center"/>
          </w:tcPr>
          <w:p w:rsidR="00CD66C8" w:rsidRPr="00EF2072" w:rsidP="0034484C" w14:paraId="6642EE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F2072">
              <w:rPr>
                <w:b/>
                <w:sz w:val="24"/>
              </w:rPr>
              <w:t>BLS Occupation Title</w:t>
            </w:r>
          </w:p>
        </w:tc>
        <w:tc>
          <w:tcPr>
            <w:tcW w:w="647" w:type="pct"/>
            <w:shd w:val="clear" w:color="auto" w:fill="auto"/>
            <w:vAlign w:val="center"/>
          </w:tcPr>
          <w:p w:rsidR="00CD66C8" w:rsidRPr="00EF2072" w:rsidP="0034484C" w14:paraId="30D047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F2072">
              <w:rPr>
                <w:b/>
                <w:sz w:val="24"/>
              </w:rPr>
              <w:t>Occupational Code</w:t>
            </w:r>
          </w:p>
        </w:tc>
        <w:tc>
          <w:tcPr>
            <w:tcW w:w="750" w:type="pct"/>
            <w:shd w:val="clear" w:color="auto" w:fill="auto"/>
            <w:vAlign w:val="center"/>
          </w:tcPr>
          <w:p w:rsidR="00CD66C8" w:rsidRPr="00EF2072" w:rsidP="0034484C" w14:paraId="41476A3B" w14:textId="3A3F1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F2072">
              <w:rPr>
                <w:b/>
                <w:sz w:val="24"/>
              </w:rPr>
              <w:t>Me</w:t>
            </w:r>
            <w:r w:rsidRPr="00EF2072" w:rsidR="00444A64">
              <w:rPr>
                <w:b/>
                <w:sz w:val="24"/>
              </w:rPr>
              <w:t>di</w:t>
            </w:r>
            <w:r w:rsidRPr="00EF2072">
              <w:rPr>
                <w:b/>
                <w:sz w:val="24"/>
              </w:rPr>
              <w:t>an Hourly Wage ($/</w:t>
            </w:r>
            <w:r w:rsidRPr="00EF2072" w:rsidR="009D21F4">
              <w:rPr>
                <w:b/>
                <w:sz w:val="24"/>
              </w:rPr>
              <w:t>hour</w:t>
            </w:r>
            <w:r w:rsidRPr="00EF2072">
              <w:rPr>
                <w:b/>
                <w:sz w:val="24"/>
              </w:rPr>
              <w:t>)</w:t>
            </w:r>
          </w:p>
        </w:tc>
        <w:tc>
          <w:tcPr>
            <w:tcW w:w="1003" w:type="pct"/>
            <w:shd w:val="clear" w:color="auto" w:fill="auto"/>
            <w:vAlign w:val="center"/>
          </w:tcPr>
          <w:p w:rsidR="00CD66C8" w:rsidRPr="00EF2072" w:rsidP="0034484C" w14:paraId="6BC32DF3" w14:textId="32987B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 xml:space="preserve">Cost of </w:t>
            </w:r>
            <w:r w:rsidRPr="00EF2072">
              <w:rPr>
                <w:b/>
                <w:sz w:val="24"/>
              </w:rPr>
              <w:t>Fringe Benefits and O</w:t>
            </w:r>
            <w:r w:rsidR="007A20EA">
              <w:rPr>
                <w:b/>
                <w:sz w:val="24"/>
              </w:rPr>
              <w:t xml:space="preserve">ther Indirect </w:t>
            </w:r>
            <w:r w:rsidR="007A20EA">
              <w:rPr>
                <w:b/>
                <w:sz w:val="24"/>
              </w:rPr>
              <w:t xml:space="preserve">Costs </w:t>
            </w:r>
            <w:r w:rsidRPr="00EF2072">
              <w:rPr>
                <w:b/>
                <w:sz w:val="24"/>
              </w:rPr>
              <w:t xml:space="preserve"> (</w:t>
            </w:r>
            <w:r w:rsidRPr="00EF2072">
              <w:rPr>
                <w:b/>
                <w:sz w:val="24"/>
              </w:rPr>
              <w:t>$/</w:t>
            </w:r>
            <w:r w:rsidRPr="00EF2072" w:rsidR="009D21F4">
              <w:rPr>
                <w:b/>
                <w:sz w:val="24"/>
              </w:rPr>
              <w:t>hour</w:t>
            </w:r>
            <w:r w:rsidRPr="00EF2072">
              <w:rPr>
                <w:b/>
                <w:sz w:val="24"/>
              </w:rPr>
              <w:t>)</w:t>
            </w:r>
          </w:p>
        </w:tc>
        <w:tc>
          <w:tcPr>
            <w:tcW w:w="959" w:type="pct"/>
            <w:shd w:val="clear" w:color="auto" w:fill="auto"/>
            <w:vAlign w:val="center"/>
          </w:tcPr>
          <w:p w:rsidR="00CD66C8" w:rsidRPr="00EF2072" w:rsidP="0034484C" w14:paraId="39C6BF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F2072">
              <w:rPr>
                <w:b/>
                <w:sz w:val="24"/>
              </w:rPr>
              <w:t>Adjusted Hourly Wage ($/</w:t>
            </w:r>
            <w:r w:rsidRPr="00EF2072" w:rsidR="009D21F4">
              <w:rPr>
                <w:b/>
                <w:sz w:val="24"/>
              </w:rPr>
              <w:t>hour</w:t>
            </w:r>
            <w:r w:rsidRPr="00EF2072">
              <w:rPr>
                <w:b/>
                <w:sz w:val="24"/>
              </w:rPr>
              <w:t>)</w:t>
            </w:r>
          </w:p>
        </w:tc>
      </w:tr>
      <w:tr w14:paraId="6DB817F4" w14:textId="77777777" w:rsidTr="0034484C">
        <w:tblPrEx>
          <w:tblW w:w="5067" w:type="pct"/>
          <w:jc w:val="center"/>
          <w:tblLook w:val="04A0"/>
        </w:tblPrEx>
        <w:trPr>
          <w:jc w:val="center"/>
        </w:trPr>
        <w:tc>
          <w:tcPr>
            <w:tcW w:w="1641" w:type="pct"/>
            <w:shd w:val="clear" w:color="auto" w:fill="auto"/>
            <w:vAlign w:val="center"/>
          </w:tcPr>
          <w:p w:rsidR="00CD66C8" w:rsidRPr="00392FA1" w:rsidP="0034484C" w14:paraId="11968D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92FA1">
              <w:rPr>
                <w:bCs/>
                <w:sz w:val="24"/>
              </w:rPr>
              <w:t xml:space="preserve">Secretaries and Administrative Assistants, </w:t>
            </w:r>
            <w:r w:rsidRPr="00392FA1">
              <w:rPr>
                <w:bCs/>
                <w:sz w:val="24"/>
              </w:rPr>
              <w:t>Except Legal, Medical, and Executive</w:t>
            </w:r>
          </w:p>
        </w:tc>
        <w:tc>
          <w:tcPr>
            <w:tcW w:w="647" w:type="pct"/>
            <w:shd w:val="clear" w:color="auto" w:fill="auto"/>
            <w:vAlign w:val="center"/>
          </w:tcPr>
          <w:p w:rsidR="00CD66C8" w:rsidRPr="00392FA1" w:rsidP="0034484C" w14:paraId="57BD03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43-601</w:t>
            </w:r>
            <w:r w:rsidRPr="00392FA1" w:rsidR="008F2156">
              <w:rPr>
                <w:bCs/>
                <w:sz w:val="24"/>
              </w:rPr>
              <w:t>4</w:t>
            </w:r>
          </w:p>
        </w:tc>
        <w:tc>
          <w:tcPr>
            <w:tcW w:w="750" w:type="pct"/>
            <w:shd w:val="clear" w:color="auto" w:fill="auto"/>
            <w:vAlign w:val="center"/>
          </w:tcPr>
          <w:p w:rsidR="00CD66C8" w:rsidRPr="00392FA1" w:rsidP="0034484C" w14:paraId="093D96A9" w14:textId="6CFA2D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E705C8">
              <w:rPr>
                <w:bCs/>
                <w:sz w:val="24"/>
              </w:rPr>
              <w:t>2</w:t>
            </w:r>
            <w:r w:rsidR="00A239B8">
              <w:rPr>
                <w:bCs/>
                <w:sz w:val="24"/>
              </w:rPr>
              <w:t>2.26</w:t>
            </w:r>
          </w:p>
        </w:tc>
        <w:tc>
          <w:tcPr>
            <w:tcW w:w="1003" w:type="pct"/>
            <w:shd w:val="clear" w:color="auto" w:fill="auto"/>
            <w:vAlign w:val="center"/>
          </w:tcPr>
          <w:p w:rsidR="00CD66C8" w:rsidRPr="00392FA1" w:rsidP="0034484C" w14:paraId="1AC9767D" w14:textId="54A26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E705C8">
              <w:rPr>
                <w:bCs/>
                <w:sz w:val="24"/>
              </w:rPr>
              <w:t>2</w:t>
            </w:r>
            <w:r w:rsidR="00A239B8">
              <w:rPr>
                <w:bCs/>
                <w:sz w:val="24"/>
              </w:rPr>
              <w:t>2.26</w:t>
            </w:r>
          </w:p>
        </w:tc>
        <w:tc>
          <w:tcPr>
            <w:tcW w:w="959" w:type="pct"/>
            <w:shd w:val="clear" w:color="auto" w:fill="auto"/>
            <w:vAlign w:val="center"/>
          </w:tcPr>
          <w:p w:rsidR="00CD66C8" w:rsidRPr="00392FA1" w:rsidP="0034484C" w14:paraId="3DD34984" w14:textId="74F9DC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92FA1">
              <w:rPr>
                <w:bCs/>
                <w:sz w:val="24"/>
              </w:rPr>
              <w:t>$</w:t>
            </w:r>
            <w:r w:rsidR="00E705C8">
              <w:rPr>
                <w:bCs/>
                <w:sz w:val="24"/>
              </w:rPr>
              <w:t>4</w:t>
            </w:r>
            <w:r w:rsidR="00A239B8">
              <w:rPr>
                <w:bCs/>
                <w:sz w:val="24"/>
              </w:rPr>
              <w:t>4.52</w:t>
            </w:r>
          </w:p>
        </w:tc>
      </w:tr>
    </w:tbl>
    <w:p w:rsidR="00CD66C8" w:rsidP="00095060" w14:paraId="4A7BE5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95060" w:rsidRPr="00095060" w:rsidP="00095060" w14:paraId="0E0DFA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CMS estimates that up to two such entities will take advantage of the research exception</w:t>
      </w:r>
      <w:r w:rsidR="00F357EA">
        <w:rPr>
          <w:sz w:val="24"/>
        </w:rPr>
        <w:t xml:space="preserve"> annually</w:t>
      </w:r>
      <w:r w:rsidRPr="00095060">
        <w:rPr>
          <w:sz w:val="24"/>
        </w:rPr>
        <w:t xml:space="preserve">, and that </w:t>
      </w:r>
      <w:r w:rsidRPr="00095060">
        <w:rPr>
          <w:sz w:val="24"/>
        </w:rPr>
        <w:t>all of</w:t>
      </w:r>
      <w:r w:rsidRPr="00095060">
        <w:rPr>
          <w:sz w:val="24"/>
        </w:rPr>
        <w:t xml:space="preserve"> the entities will comply with the requirements of 45 CFR Part 46, including providing the participant disclosure.  </w:t>
      </w:r>
    </w:p>
    <w:p w:rsidR="00095060" w:rsidRPr="00095060" w:rsidP="00095060" w14:paraId="495F8D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3FB3" w:rsidP="00095060" w14:paraId="71C1145D" w14:textId="3097BC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CMS also estimates that</w:t>
      </w:r>
      <w:r w:rsidR="00200C7F">
        <w:rPr>
          <w:sz w:val="24"/>
        </w:rPr>
        <w:t>,</w:t>
      </w:r>
      <w:r w:rsidRPr="00095060">
        <w:rPr>
          <w:sz w:val="24"/>
        </w:rPr>
        <w:t xml:space="preserve"> </w:t>
      </w:r>
      <w:r w:rsidR="00200C7F">
        <w:rPr>
          <w:sz w:val="24"/>
        </w:rPr>
        <w:t xml:space="preserve">for each respondent, </w:t>
      </w:r>
      <w:r w:rsidRPr="00095060">
        <w:rPr>
          <w:sz w:val="24"/>
        </w:rPr>
        <w:t xml:space="preserve">completing and mailing the </w:t>
      </w:r>
      <w:r w:rsidR="008264AE">
        <w:rPr>
          <w:sz w:val="24"/>
        </w:rPr>
        <w:t>N</w:t>
      </w:r>
      <w:r w:rsidRPr="00095060">
        <w:rPr>
          <w:sz w:val="24"/>
        </w:rPr>
        <w:t xml:space="preserve">otice will require 15 minutes of clerical time </w:t>
      </w:r>
      <w:r w:rsidR="00200C7F">
        <w:rPr>
          <w:sz w:val="24"/>
        </w:rPr>
        <w:t>(</w:t>
      </w:r>
      <w:r w:rsidRPr="00095060">
        <w:rPr>
          <w:sz w:val="24"/>
        </w:rPr>
        <w:t>at an hourly rate of $</w:t>
      </w:r>
      <w:r w:rsidR="00180FE6">
        <w:rPr>
          <w:sz w:val="24"/>
        </w:rPr>
        <w:t>4</w:t>
      </w:r>
      <w:r w:rsidR="003D7EDB">
        <w:rPr>
          <w:sz w:val="24"/>
        </w:rPr>
        <w:t>4.52</w:t>
      </w:r>
      <w:r w:rsidR="00200C7F">
        <w:rPr>
          <w:sz w:val="24"/>
        </w:rPr>
        <w:t>) with an equivalent cost of approximately $</w:t>
      </w:r>
      <w:r w:rsidR="007C405E">
        <w:rPr>
          <w:sz w:val="24"/>
        </w:rPr>
        <w:t>1</w:t>
      </w:r>
      <w:r w:rsidR="00180FE6">
        <w:rPr>
          <w:sz w:val="24"/>
        </w:rPr>
        <w:t>1</w:t>
      </w:r>
      <w:r w:rsidRPr="00095060">
        <w:rPr>
          <w:sz w:val="24"/>
        </w:rPr>
        <w:t xml:space="preserve">. </w:t>
      </w:r>
      <w:r w:rsidR="00437CBE">
        <w:rPr>
          <w:sz w:val="24"/>
        </w:rPr>
        <w:t xml:space="preserve"> </w:t>
      </w:r>
      <w:r w:rsidRPr="00095060">
        <w:rPr>
          <w:sz w:val="24"/>
        </w:rPr>
        <w:t xml:space="preserve">Therefore, the total hour burden associated with completing the </w:t>
      </w:r>
      <w:r w:rsidR="008264AE">
        <w:rPr>
          <w:sz w:val="24"/>
        </w:rPr>
        <w:t>N</w:t>
      </w:r>
      <w:r w:rsidRPr="00095060">
        <w:rPr>
          <w:sz w:val="24"/>
        </w:rPr>
        <w:t xml:space="preserve">otice is estimated to be </w:t>
      </w:r>
      <w:r w:rsidR="008264AE">
        <w:rPr>
          <w:sz w:val="24"/>
        </w:rPr>
        <w:t>0</w:t>
      </w:r>
      <w:r w:rsidRPr="00095060">
        <w:rPr>
          <w:sz w:val="24"/>
        </w:rPr>
        <w:t>.5 hours of clerical time</w:t>
      </w:r>
      <w:r w:rsidR="003A216E">
        <w:rPr>
          <w:sz w:val="24"/>
        </w:rPr>
        <w:t xml:space="preserve"> for two respondents, with an equivalent cost of </w:t>
      </w:r>
      <w:r w:rsidR="0048395C">
        <w:rPr>
          <w:sz w:val="24"/>
        </w:rPr>
        <w:t xml:space="preserve">approximately </w:t>
      </w:r>
      <w:r w:rsidR="003A216E">
        <w:rPr>
          <w:sz w:val="24"/>
        </w:rPr>
        <w:t>$</w:t>
      </w:r>
      <w:r w:rsidR="007C405E">
        <w:rPr>
          <w:sz w:val="24"/>
        </w:rPr>
        <w:t>2</w:t>
      </w:r>
      <w:r w:rsidR="00180FE6">
        <w:rPr>
          <w:sz w:val="24"/>
        </w:rPr>
        <w:t>2</w:t>
      </w:r>
      <w:r w:rsidRPr="00095060">
        <w:rPr>
          <w:sz w:val="24"/>
        </w:rPr>
        <w:t xml:space="preserve">.  </w:t>
      </w:r>
    </w:p>
    <w:p w:rsidR="00095060" w:rsidP="00095060" w14:paraId="173733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3BBE23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14:paraId="086442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94FB620" w14:textId="4FEB84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C405E">
        <w:rPr>
          <w:sz w:val="24"/>
        </w:rPr>
        <w:t>The cost of materials (paper and ink) for each two</w:t>
      </w:r>
      <w:r w:rsidR="00A92787">
        <w:rPr>
          <w:sz w:val="24"/>
        </w:rPr>
        <w:t>-</w:t>
      </w:r>
      <w:r w:rsidRPr="007C405E">
        <w:rPr>
          <w:sz w:val="24"/>
        </w:rPr>
        <w:t>page Notice is estimated to be $0.10 and mailing cost is $0.</w:t>
      </w:r>
      <w:r w:rsidR="00BD25CF">
        <w:rPr>
          <w:sz w:val="24"/>
        </w:rPr>
        <w:t>73</w:t>
      </w:r>
      <w:r w:rsidRPr="007C405E">
        <w:rPr>
          <w:sz w:val="24"/>
        </w:rPr>
        <w:t xml:space="preserve"> for each Notice</w:t>
      </w:r>
      <w:r w:rsidR="00A575DB">
        <w:rPr>
          <w:sz w:val="24"/>
        </w:rPr>
        <w:t>.</w:t>
      </w:r>
      <w:r>
        <w:rPr>
          <w:rStyle w:val="FootnoteReference"/>
          <w:sz w:val="24"/>
          <w:vertAlign w:val="superscript"/>
        </w:rPr>
        <w:footnoteReference w:id="3"/>
      </w:r>
      <w:r w:rsidR="00A575DB">
        <w:rPr>
          <w:sz w:val="24"/>
        </w:rPr>
        <w:t xml:space="preserve"> Therefore, the total materials and postage cost for each notice is $0.</w:t>
      </w:r>
      <w:r w:rsidR="00BD25CF">
        <w:rPr>
          <w:sz w:val="24"/>
        </w:rPr>
        <w:t>83</w:t>
      </w:r>
      <w:r w:rsidRPr="007C405E">
        <w:rPr>
          <w:sz w:val="24"/>
        </w:rPr>
        <w:t>, with the total materials and postage cost for two respondents being $1.</w:t>
      </w:r>
      <w:r w:rsidR="00BD25CF">
        <w:rPr>
          <w:sz w:val="24"/>
        </w:rPr>
        <w:t>6</w:t>
      </w:r>
      <w:r w:rsidRPr="007C405E">
        <w:rPr>
          <w:sz w:val="24"/>
        </w:rPr>
        <w:t xml:space="preserve">6.  </w:t>
      </w:r>
    </w:p>
    <w:p w:rsidR="008F1EB4" w14:paraId="520AA7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DCF0D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14:paraId="0B546A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95060" w14:paraId="4094C9D9" w14:textId="639A93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5060">
        <w:rPr>
          <w:sz w:val="24"/>
        </w:rPr>
        <w:t xml:space="preserve">There is no cost to the </w:t>
      </w:r>
      <w:r w:rsidR="00EA66E7">
        <w:rPr>
          <w:sz w:val="24"/>
        </w:rPr>
        <w:t>F</w:t>
      </w:r>
      <w:r w:rsidRPr="00095060">
        <w:rPr>
          <w:sz w:val="24"/>
        </w:rPr>
        <w:t>ederal government.</w:t>
      </w:r>
    </w:p>
    <w:p w:rsidR="00095060" w:rsidP="00095060" w14:paraId="271065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3B1A2B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14:paraId="7609F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72E03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changes </w:t>
      </w:r>
      <w:r w:rsidR="00450DA2">
        <w:rPr>
          <w:sz w:val="24"/>
        </w:rPr>
        <w:t xml:space="preserve">in </w:t>
      </w:r>
      <w:r>
        <w:rPr>
          <w:sz w:val="24"/>
        </w:rPr>
        <w:t>burden</w:t>
      </w:r>
      <w:r>
        <w:rPr>
          <w:sz w:val="24"/>
        </w:rPr>
        <w:t>.</w:t>
      </w:r>
    </w:p>
    <w:p w:rsidR="008F1EB4" w14:paraId="3B4699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E6E79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14:paraId="0F3E11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B446588" w14:textId="6F87C2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Pr="00A871C3" w:rsidR="00A871C3">
        <w:rPr>
          <w:bCs/>
          <w:sz w:val="24"/>
        </w:rPr>
        <w:t xml:space="preserve">There are no plans to publish the outcome of the </w:t>
      </w:r>
      <w:r w:rsidR="00A420D3">
        <w:rPr>
          <w:bCs/>
          <w:sz w:val="24"/>
        </w:rPr>
        <w:t>information</w:t>
      </w:r>
      <w:r w:rsidRPr="00A871C3" w:rsidR="00A420D3">
        <w:rPr>
          <w:bCs/>
          <w:sz w:val="24"/>
        </w:rPr>
        <w:t xml:space="preserve"> </w:t>
      </w:r>
      <w:r w:rsidRPr="00A871C3" w:rsidR="00A871C3">
        <w:rPr>
          <w:bCs/>
          <w:sz w:val="24"/>
        </w:rPr>
        <w:t>collection</w:t>
      </w:r>
      <w:r w:rsidRPr="00A871C3" w:rsidR="00A871C3">
        <w:rPr>
          <w:sz w:val="24"/>
        </w:rPr>
        <w:t>.</w:t>
      </w:r>
    </w:p>
    <w:p w:rsidR="0034484C" w14:paraId="69F7F7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68E6CA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14:paraId="78FDD6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34484C" w14:paraId="3D1EFFDB" w14:textId="773916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sidRPr="00A871C3">
        <w:rPr>
          <w:sz w:val="24"/>
        </w:rPr>
        <w:t>The expiration date will be displayed on each instrument (top, right-hand corner).</w:t>
      </w:r>
    </w:p>
    <w:sectPr w:rsidSect="008717B3">
      <w:footerReference w:type="default" r:id="rId9"/>
      <w:endnotePr>
        <w:numFmt w:val="decimal"/>
      </w:endnotePr>
      <w:type w:val="continuous"/>
      <w:pgSz w:w="12240" w:h="15840"/>
      <w:pgMar w:top="1440" w:right="1440" w:bottom="1440" w:left="1440" w:header="1440" w:footer="734"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1EB4" w14:paraId="2C8770A5" w14:textId="77777777">
    <w:pPr>
      <w:spacing w:line="240" w:lineRule="exact"/>
    </w:pPr>
  </w:p>
  <w:p w:rsidR="008F1EB4" w14:paraId="62F94162"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556B0">
      <w:rPr>
        <w:noProof/>
        <w:sz w:val="24"/>
      </w:rPr>
      <w:t>4</w:t>
    </w:r>
    <w:r>
      <w:rPr>
        <w:sz w:val="24"/>
      </w:rPr>
      <w:fldChar w:fldCharType="end"/>
    </w:r>
  </w:p>
  <w:p w:rsidR="008F1EB4" w14:paraId="0F4E2578"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1F28" w14:paraId="76EBC67F" w14:textId="77777777">
      <w:r>
        <w:separator/>
      </w:r>
    </w:p>
  </w:footnote>
  <w:footnote w:type="continuationSeparator" w:id="1">
    <w:p w:rsidR="002F1F28" w14:paraId="5D76449A" w14:textId="77777777">
      <w:r>
        <w:continuationSeparator/>
      </w:r>
    </w:p>
  </w:footnote>
  <w:footnote w:id="2">
    <w:p w:rsidR="00CD66C8" w:rsidRPr="00C94A18" w:rsidP="00CD66C8" w14:paraId="00FF312D" w14:textId="6BB780CC">
      <w:pPr>
        <w:pStyle w:val="FootnoteText"/>
      </w:pPr>
      <w:r w:rsidRPr="00C94A18">
        <w:rPr>
          <w:rStyle w:val="FootnoteReference"/>
          <w:vertAlign w:val="superscript"/>
        </w:rPr>
        <w:footnoteRef/>
      </w:r>
      <w:r w:rsidRPr="00C94A18">
        <w:t xml:space="preserve"> </w:t>
      </w:r>
      <w:r w:rsidRPr="00C94A18">
        <w:rPr>
          <w:szCs w:val="24"/>
        </w:rPr>
        <w:t>May 20</w:t>
      </w:r>
      <w:r w:rsidR="00AF5480">
        <w:rPr>
          <w:szCs w:val="24"/>
        </w:rPr>
        <w:t>2</w:t>
      </w:r>
      <w:r w:rsidR="00A239B8">
        <w:rPr>
          <w:szCs w:val="24"/>
        </w:rPr>
        <w:t>4</w:t>
      </w:r>
      <w:r w:rsidRPr="00C94A18">
        <w:rPr>
          <w:szCs w:val="24"/>
        </w:rPr>
        <w:t xml:space="preserve"> National Occupational Employment and Wage Estimates United States</w:t>
      </w:r>
      <w:r w:rsidR="00E103D3">
        <w:rPr>
          <w:szCs w:val="24"/>
        </w:rPr>
        <w:t>,</w:t>
      </w:r>
      <w:r w:rsidRPr="00C94A18">
        <w:rPr>
          <w:szCs w:val="24"/>
        </w:rPr>
        <w:t xml:space="preserve"> </w:t>
      </w:r>
      <w:r w:rsidR="00E103D3">
        <w:rPr>
          <w:szCs w:val="24"/>
        </w:rPr>
        <w:t>available</w:t>
      </w:r>
      <w:r w:rsidRPr="00C94A18" w:rsidR="00E103D3">
        <w:rPr>
          <w:szCs w:val="24"/>
        </w:rPr>
        <w:t xml:space="preserve"> </w:t>
      </w:r>
      <w:r w:rsidRPr="00C94A18">
        <w:rPr>
          <w:szCs w:val="24"/>
        </w:rPr>
        <w:t xml:space="preserve">at </w:t>
      </w:r>
      <w:hyperlink r:id="rId1" w:history="1">
        <w:r w:rsidRPr="00C94A18">
          <w:rPr>
            <w:color w:val="0000FF"/>
            <w:szCs w:val="24"/>
            <w:u w:val="single"/>
          </w:rPr>
          <w:t>https://www.bls.gov/oes/current/oes_nat.htm</w:t>
        </w:r>
      </w:hyperlink>
      <w:r w:rsidRPr="00C94A18">
        <w:rPr>
          <w:szCs w:val="24"/>
        </w:rPr>
        <w:t>.</w:t>
      </w:r>
      <w:r>
        <w:rPr>
          <w:szCs w:val="24"/>
        </w:rPr>
        <w:t xml:space="preserve"> </w:t>
      </w:r>
    </w:p>
    <w:p w:rsidR="00CD66C8" w:rsidRPr="00C94A18" w:rsidP="00CD66C8" w14:paraId="590E3827" w14:textId="77777777">
      <w:pPr>
        <w:pStyle w:val="FootnoteText"/>
      </w:pPr>
    </w:p>
  </w:footnote>
  <w:footnote w:id="3">
    <w:p w:rsidR="007F60FF" w14:paraId="1B8B8443" w14:textId="43317289">
      <w:pPr>
        <w:pStyle w:val="FootnoteText"/>
      </w:pPr>
      <w:r w:rsidRPr="00CA0F6E">
        <w:rPr>
          <w:rStyle w:val="FootnoteReference"/>
          <w:vertAlign w:val="superscript"/>
        </w:rPr>
        <w:footnoteRef/>
      </w:r>
      <w:r>
        <w:t xml:space="preserve"> U.S. Postal Service. (n.d.). Mailing and Shipping Prices. Retrieved November 25, 2024, from </w:t>
      </w:r>
      <w:r w:rsidRPr="007F60FF">
        <w:t>https://www.usps.com/business/prices.htm</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12345"/>
    <w:rsid w:val="00017C2F"/>
    <w:rsid w:val="00023CB8"/>
    <w:rsid w:val="00036D2E"/>
    <w:rsid w:val="00074FC6"/>
    <w:rsid w:val="00095060"/>
    <w:rsid w:val="000A2A62"/>
    <w:rsid w:val="000B5B2A"/>
    <w:rsid w:val="000B61F1"/>
    <w:rsid w:val="000C28B3"/>
    <w:rsid w:val="000D6D90"/>
    <w:rsid w:val="000E4487"/>
    <w:rsid w:val="000E60A3"/>
    <w:rsid w:val="000F3AF4"/>
    <w:rsid w:val="000F6E48"/>
    <w:rsid w:val="0011169A"/>
    <w:rsid w:val="00134307"/>
    <w:rsid w:val="00147ED2"/>
    <w:rsid w:val="001510FC"/>
    <w:rsid w:val="00177A2E"/>
    <w:rsid w:val="0018045D"/>
    <w:rsid w:val="00180FE6"/>
    <w:rsid w:val="00184898"/>
    <w:rsid w:val="001A12BE"/>
    <w:rsid w:val="001B6472"/>
    <w:rsid w:val="001C4863"/>
    <w:rsid w:val="001C4FC3"/>
    <w:rsid w:val="001D0E5D"/>
    <w:rsid w:val="001D7DD3"/>
    <w:rsid w:val="001E714C"/>
    <w:rsid w:val="00200C7F"/>
    <w:rsid w:val="002131BF"/>
    <w:rsid w:val="002227CF"/>
    <w:rsid w:val="0025471B"/>
    <w:rsid w:val="002A43B6"/>
    <w:rsid w:val="002A509F"/>
    <w:rsid w:val="002B15F6"/>
    <w:rsid w:val="002C690F"/>
    <w:rsid w:val="002C766A"/>
    <w:rsid w:val="002E09C5"/>
    <w:rsid w:val="002E5423"/>
    <w:rsid w:val="002F1F28"/>
    <w:rsid w:val="003210EC"/>
    <w:rsid w:val="00324B47"/>
    <w:rsid w:val="0034484C"/>
    <w:rsid w:val="003556B0"/>
    <w:rsid w:val="00381CA0"/>
    <w:rsid w:val="00392FA1"/>
    <w:rsid w:val="003A216E"/>
    <w:rsid w:val="003C27BB"/>
    <w:rsid w:val="003D7EDB"/>
    <w:rsid w:val="003E2276"/>
    <w:rsid w:val="00401620"/>
    <w:rsid w:val="00431DB9"/>
    <w:rsid w:val="00435A1B"/>
    <w:rsid w:val="0043702F"/>
    <w:rsid w:val="00437CBE"/>
    <w:rsid w:val="00444A64"/>
    <w:rsid w:val="00450DA2"/>
    <w:rsid w:val="004567AD"/>
    <w:rsid w:val="004607FA"/>
    <w:rsid w:val="0048395C"/>
    <w:rsid w:val="00483AFF"/>
    <w:rsid w:val="00487B80"/>
    <w:rsid w:val="004F25CC"/>
    <w:rsid w:val="00523076"/>
    <w:rsid w:val="00540B1B"/>
    <w:rsid w:val="005457A5"/>
    <w:rsid w:val="00587A29"/>
    <w:rsid w:val="0059339D"/>
    <w:rsid w:val="005B42E5"/>
    <w:rsid w:val="005D27B2"/>
    <w:rsid w:val="005D2FB3"/>
    <w:rsid w:val="005E27D7"/>
    <w:rsid w:val="005E5B3D"/>
    <w:rsid w:val="00603B87"/>
    <w:rsid w:val="006348AF"/>
    <w:rsid w:val="006477D1"/>
    <w:rsid w:val="006500B7"/>
    <w:rsid w:val="00652914"/>
    <w:rsid w:val="00675746"/>
    <w:rsid w:val="00690FA7"/>
    <w:rsid w:val="006B585C"/>
    <w:rsid w:val="006C3FF3"/>
    <w:rsid w:val="006D3656"/>
    <w:rsid w:val="006D6157"/>
    <w:rsid w:val="00701530"/>
    <w:rsid w:val="00725427"/>
    <w:rsid w:val="00736968"/>
    <w:rsid w:val="00746869"/>
    <w:rsid w:val="00755B54"/>
    <w:rsid w:val="00766629"/>
    <w:rsid w:val="00775595"/>
    <w:rsid w:val="007A20EA"/>
    <w:rsid w:val="007B0695"/>
    <w:rsid w:val="007C265D"/>
    <w:rsid w:val="007C405E"/>
    <w:rsid w:val="007E6833"/>
    <w:rsid w:val="007F60FF"/>
    <w:rsid w:val="0080151F"/>
    <w:rsid w:val="008016AD"/>
    <w:rsid w:val="00805D05"/>
    <w:rsid w:val="008264AE"/>
    <w:rsid w:val="0082772E"/>
    <w:rsid w:val="0083690C"/>
    <w:rsid w:val="0084179A"/>
    <w:rsid w:val="008477CF"/>
    <w:rsid w:val="00870D59"/>
    <w:rsid w:val="008717B3"/>
    <w:rsid w:val="008C5D58"/>
    <w:rsid w:val="008C73F9"/>
    <w:rsid w:val="008D184A"/>
    <w:rsid w:val="008F1EB4"/>
    <w:rsid w:val="008F2156"/>
    <w:rsid w:val="008F2B84"/>
    <w:rsid w:val="00914182"/>
    <w:rsid w:val="0092331F"/>
    <w:rsid w:val="009251DA"/>
    <w:rsid w:val="00936D9D"/>
    <w:rsid w:val="00943083"/>
    <w:rsid w:val="00960336"/>
    <w:rsid w:val="0097577B"/>
    <w:rsid w:val="00975E2E"/>
    <w:rsid w:val="00984456"/>
    <w:rsid w:val="00987F31"/>
    <w:rsid w:val="009A418E"/>
    <w:rsid w:val="009C00AB"/>
    <w:rsid w:val="009C66DD"/>
    <w:rsid w:val="009C7A4C"/>
    <w:rsid w:val="009D21F4"/>
    <w:rsid w:val="009D66F6"/>
    <w:rsid w:val="009E5015"/>
    <w:rsid w:val="00A11E7A"/>
    <w:rsid w:val="00A12986"/>
    <w:rsid w:val="00A239B8"/>
    <w:rsid w:val="00A31217"/>
    <w:rsid w:val="00A420D3"/>
    <w:rsid w:val="00A5049B"/>
    <w:rsid w:val="00A51162"/>
    <w:rsid w:val="00A54867"/>
    <w:rsid w:val="00A575DB"/>
    <w:rsid w:val="00A6787B"/>
    <w:rsid w:val="00A85DBE"/>
    <w:rsid w:val="00A871C3"/>
    <w:rsid w:val="00A92787"/>
    <w:rsid w:val="00AA2FDD"/>
    <w:rsid w:val="00AD452B"/>
    <w:rsid w:val="00AD49AE"/>
    <w:rsid w:val="00AE2339"/>
    <w:rsid w:val="00AE58CD"/>
    <w:rsid w:val="00AF5480"/>
    <w:rsid w:val="00B365F7"/>
    <w:rsid w:val="00B46944"/>
    <w:rsid w:val="00B7066F"/>
    <w:rsid w:val="00B94354"/>
    <w:rsid w:val="00BC6C7B"/>
    <w:rsid w:val="00BD25CF"/>
    <w:rsid w:val="00BD38A3"/>
    <w:rsid w:val="00BD75FB"/>
    <w:rsid w:val="00BE1818"/>
    <w:rsid w:val="00C1710F"/>
    <w:rsid w:val="00C27080"/>
    <w:rsid w:val="00C34E33"/>
    <w:rsid w:val="00C43150"/>
    <w:rsid w:val="00C474F1"/>
    <w:rsid w:val="00C858AB"/>
    <w:rsid w:val="00C92E3C"/>
    <w:rsid w:val="00C94A18"/>
    <w:rsid w:val="00C9719D"/>
    <w:rsid w:val="00CA0F6E"/>
    <w:rsid w:val="00CA1783"/>
    <w:rsid w:val="00CA6649"/>
    <w:rsid w:val="00CD3FB3"/>
    <w:rsid w:val="00CD66C8"/>
    <w:rsid w:val="00CE3F6A"/>
    <w:rsid w:val="00CE5E40"/>
    <w:rsid w:val="00D10AFA"/>
    <w:rsid w:val="00D11F14"/>
    <w:rsid w:val="00D12B73"/>
    <w:rsid w:val="00D841A3"/>
    <w:rsid w:val="00D90232"/>
    <w:rsid w:val="00D9547A"/>
    <w:rsid w:val="00DB6006"/>
    <w:rsid w:val="00DC3D5B"/>
    <w:rsid w:val="00DF2E87"/>
    <w:rsid w:val="00E103D3"/>
    <w:rsid w:val="00E118BF"/>
    <w:rsid w:val="00E13E76"/>
    <w:rsid w:val="00E52298"/>
    <w:rsid w:val="00E705C8"/>
    <w:rsid w:val="00EA66E7"/>
    <w:rsid w:val="00EB7E46"/>
    <w:rsid w:val="00EC0297"/>
    <w:rsid w:val="00EC47CB"/>
    <w:rsid w:val="00ED1B0B"/>
    <w:rsid w:val="00EE0981"/>
    <w:rsid w:val="00EF2072"/>
    <w:rsid w:val="00EF6A4B"/>
    <w:rsid w:val="00F26575"/>
    <w:rsid w:val="00F357EA"/>
    <w:rsid w:val="00F7192E"/>
    <w:rsid w:val="00F82C86"/>
    <w:rsid w:val="00F9432F"/>
    <w:rsid w:val="00FB1B4E"/>
    <w:rsid w:val="00FB74EC"/>
    <w:rsid w:val="00FC4F26"/>
    <w:rsid w:val="00FD1135"/>
    <w:rsid w:val="00FE3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A237E4"/>
  <w15:chartTrackingRefBased/>
  <w15:docId w15:val="{C444C0FC-B1BC-49C3-B471-FE161E6F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8264AE"/>
    <w:rPr>
      <w:sz w:val="16"/>
      <w:szCs w:val="16"/>
    </w:rPr>
  </w:style>
  <w:style w:type="paragraph" w:styleId="CommentText">
    <w:name w:val="annotation text"/>
    <w:basedOn w:val="Normal"/>
    <w:link w:val="CommentTextChar"/>
    <w:rsid w:val="008264AE"/>
    <w:rPr>
      <w:szCs w:val="20"/>
    </w:rPr>
  </w:style>
  <w:style w:type="character" w:customStyle="1" w:styleId="CommentTextChar">
    <w:name w:val="Comment Text Char"/>
    <w:basedOn w:val="DefaultParagraphFont"/>
    <w:link w:val="CommentText"/>
    <w:rsid w:val="008264AE"/>
  </w:style>
  <w:style w:type="paragraph" w:styleId="CommentSubject">
    <w:name w:val="annotation subject"/>
    <w:basedOn w:val="CommentText"/>
    <w:next w:val="CommentText"/>
    <w:link w:val="CommentSubjectChar"/>
    <w:rsid w:val="008264AE"/>
    <w:rPr>
      <w:b/>
      <w:bCs/>
    </w:rPr>
  </w:style>
  <w:style w:type="character" w:customStyle="1" w:styleId="CommentSubjectChar">
    <w:name w:val="Comment Subject Char"/>
    <w:link w:val="CommentSubject"/>
    <w:rsid w:val="008264AE"/>
    <w:rPr>
      <w:b/>
      <w:bCs/>
    </w:rPr>
  </w:style>
  <w:style w:type="paragraph" w:styleId="BalloonText">
    <w:name w:val="Balloon Text"/>
    <w:basedOn w:val="Normal"/>
    <w:link w:val="BalloonTextChar"/>
    <w:rsid w:val="008264AE"/>
    <w:rPr>
      <w:rFonts w:ascii="Tahoma" w:hAnsi="Tahoma" w:cs="Tahoma"/>
      <w:sz w:val="16"/>
      <w:szCs w:val="16"/>
    </w:rPr>
  </w:style>
  <w:style w:type="character" w:customStyle="1" w:styleId="BalloonTextChar">
    <w:name w:val="Balloon Text Char"/>
    <w:link w:val="BalloonText"/>
    <w:rsid w:val="008264AE"/>
    <w:rPr>
      <w:rFonts w:ascii="Tahoma" w:hAnsi="Tahoma" w:cs="Tahoma"/>
      <w:sz w:val="16"/>
      <w:szCs w:val="16"/>
    </w:rPr>
  </w:style>
  <w:style w:type="paragraph" w:styleId="FootnoteText">
    <w:name w:val="footnote text"/>
    <w:basedOn w:val="Normal"/>
    <w:link w:val="FootnoteTextChar"/>
    <w:rsid w:val="00CD66C8"/>
    <w:rPr>
      <w:szCs w:val="20"/>
    </w:rPr>
  </w:style>
  <w:style w:type="character" w:customStyle="1" w:styleId="FootnoteTextChar">
    <w:name w:val="Footnote Text Char"/>
    <w:basedOn w:val="DefaultParagraphFont"/>
    <w:link w:val="FootnoteText"/>
    <w:rsid w:val="00CD66C8"/>
  </w:style>
  <w:style w:type="table" w:styleId="TableGrid">
    <w:name w:val="Table Grid"/>
    <w:basedOn w:val="TableNormal"/>
    <w:rsid w:val="00CD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7DD3"/>
    <w:pPr>
      <w:tabs>
        <w:tab w:val="center" w:pos="4680"/>
        <w:tab w:val="right" w:pos="9360"/>
      </w:tabs>
    </w:pPr>
  </w:style>
  <w:style w:type="character" w:customStyle="1" w:styleId="HeaderChar">
    <w:name w:val="Header Char"/>
    <w:link w:val="Header"/>
    <w:rsid w:val="001D7DD3"/>
    <w:rPr>
      <w:szCs w:val="24"/>
    </w:rPr>
  </w:style>
  <w:style w:type="paragraph" w:styleId="Footer">
    <w:name w:val="footer"/>
    <w:basedOn w:val="Normal"/>
    <w:link w:val="FooterChar"/>
    <w:rsid w:val="001D7DD3"/>
    <w:pPr>
      <w:tabs>
        <w:tab w:val="center" w:pos="4680"/>
        <w:tab w:val="right" w:pos="9360"/>
      </w:tabs>
    </w:pPr>
  </w:style>
  <w:style w:type="character" w:customStyle="1" w:styleId="FooterChar">
    <w:name w:val="Footer Char"/>
    <w:link w:val="Footer"/>
    <w:rsid w:val="001D7DD3"/>
    <w:rPr>
      <w:szCs w:val="24"/>
    </w:rPr>
  </w:style>
  <w:style w:type="paragraph" w:styleId="Revision">
    <w:name w:val="Revision"/>
    <w:hidden/>
    <w:uiPriority w:val="99"/>
    <w:semiHidden/>
    <w:rsid w:val="004F25CC"/>
    <w:rPr>
      <w:szCs w:val="24"/>
    </w:rPr>
  </w:style>
  <w:style w:type="character" w:styleId="Hyperlink">
    <w:name w:val="Hyperlink"/>
    <w:basedOn w:val="DefaultParagraphFont"/>
    <w:rsid w:val="007F60FF"/>
    <w:rPr>
      <w:color w:val="467886" w:themeColor="hyperlink"/>
      <w:u w:val="single"/>
    </w:rPr>
  </w:style>
  <w:style w:type="character" w:styleId="UnresolvedMention">
    <w:name w:val="Unresolved Mention"/>
    <w:basedOn w:val="DefaultParagraphFont"/>
    <w:uiPriority w:val="99"/>
    <w:semiHidden/>
    <w:unhideWhenUsed/>
    <w:rsid w:val="007F6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D42AD4747E499312BD59D0F1409A" ma:contentTypeVersion="3" ma:contentTypeDescription="Create a new document." ma:contentTypeScope="" ma:versionID="bb0edf5da889bd0c4209c3f7c5d08bcc">
  <xsd:schema xmlns:xsd="http://www.w3.org/2001/XMLSchema" xmlns:xs="http://www.w3.org/2001/XMLSchema" xmlns:p="http://schemas.microsoft.com/office/2006/metadata/properties" xmlns:ns2="8fb5fc7d-4133-497f-a3de-bd71b2a4ea9e" targetNamespace="http://schemas.microsoft.com/office/2006/metadata/properties" ma:root="true" ma:fieldsID="489501e35da9ffd0517b36dc975cdc98" ns2:_="">
    <xsd:import namespace="8fb5fc7d-4133-497f-a3de-bd71b2a4ea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fc7d-4133-497f-a3de-bd71b2a4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AD2A4-5C19-4234-AA23-F1749A74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fc7d-4133-497f-a3de-bd71b2a4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DE240-1A6A-4254-9744-2224BA708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5F9E6-1339-48E6-A855-3291A0145131}">
  <ds:schemaRefs>
    <ds:schemaRef ds:uri="http://schemas.openxmlformats.org/officeDocument/2006/bibliography"/>
  </ds:schemaRefs>
</ds:datastoreItem>
</file>

<file path=customXml/itemProps4.xml><?xml version="1.0" encoding="utf-8"?>
<ds:datastoreItem xmlns:ds="http://schemas.openxmlformats.org/officeDocument/2006/customXml" ds:itemID="{6AF2E59D-6B7B-44A7-87DE-EA9C58D79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Hill, Jamaa (CMS/OSORA)</cp:lastModifiedBy>
  <cp:revision>2</cp:revision>
  <dcterms:created xsi:type="dcterms:W3CDTF">2025-07-15T19:32:00Z</dcterms:created>
  <dcterms:modified xsi:type="dcterms:W3CDTF">2025-07-15T19:32:00Z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0x0101005E15D42AD4747E499312BD59D0F1409A</vt:lpwstr>
  </property>
</Properties>
</file>