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5BF4" w:rsidRPr="00881E7B" w:rsidP="00B05BF4" w14:paraId="669CEC4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881E7B">
        <w:rPr>
          <w:rFonts w:ascii="Times New Roman" w:hAnsi="Times New Roman"/>
          <w:color w:val="000000"/>
          <w:sz w:val="28"/>
          <w:szCs w:val="28"/>
        </w:rPr>
        <w:t>Request for Approval of a Non-Substantive Change to the</w:t>
      </w:r>
    </w:p>
    <w:p w:rsidR="00B05BF4" w:rsidRPr="00881E7B" w:rsidP="00B05BF4" w14:paraId="2D22280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881E7B">
        <w:rPr>
          <w:rFonts w:ascii="Times New Roman" w:hAnsi="Times New Roman"/>
          <w:color w:val="000000"/>
          <w:sz w:val="28"/>
          <w:szCs w:val="28"/>
        </w:rPr>
        <w:t>National Survey of Family Growth</w:t>
      </w:r>
    </w:p>
    <w:p w:rsidR="00B05BF4" w:rsidRPr="00881E7B" w:rsidP="00B05BF4" w14:paraId="1267720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p>
    <w:p w:rsidR="00B05BF4" w:rsidRPr="00881E7B" w:rsidP="00B05BF4" w14:paraId="258D972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881E7B">
        <w:rPr>
          <w:rFonts w:ascii="Times New Roman" w:hAnsi="Times New Roman"/>
          <w:color w:val="000000"/>
          <w:sz w:val="28"/>
          <w:szCs w:val="28"/>
        </w:rPr>
        <w:t>OMB No. 0920-0314</w:t>
      </w:r>
    </w:p>
    <w:p w:rsidR="00B05BF4" w:rsidRPr="00881E7B" w:rsidP="00B05BF4" w14:paraId="43ECD0F8" w14:textId="6797553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881E7B">
        <w:rPr>
          <w:rFonts w:ascii="Times New Roman" w:hAnsi="Times New Roman"/>
          <w:color w:val="000000"/>
          <w:sz w:val="28"/>
          <w:szCs w:val="28"/>
        </w:rPr>
        <w:t>(Expiration: 9/30/2026)</w:t>
      </w:r>
    </w:p>
    <w:p w:rsidR="00B05BF4" w:rsidRPr="00881E7B" w:rsidP="00B05BF4" w14:paraId="6F19821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B05BF4" w:rsidRPr="00881E7B" w:rsidP="00B05BF4" w14:paraId="40A0E84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B05BF4" w:rsidRPr="00881E7B" w:rsidP="00B05BF4" w14:paraId="77FBB48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B05BF4" w:rsidRPr="00881E7B" w:rsidP="00B05BF4" w14:paraId="0E4A470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B05BF4" w:rsidRPr="00B8163A" w:rsidP="00B05BF4" w14:paraId="5293042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p>
    <w:p w:rsidR="00B05BF4" w:rsidRPr="00B8163A" w:rsidP="00B05BF4" w14:paraId="6D12F94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p>
    <w:p w:rsidR="00B05BF4" w:rsidRPr="00B8163A" w:rsidP="00B8163A" w14:paraId="0BF1D99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rPr>
      </w:pPr>
      <w:r w:rsidRPr="00B8163A">
        <w:rPr>
          <w:rFonts w:ascii="Times New Roman" w:hAnsi="Times New Roman"/>
          <w:color w:val="000000"/>
        </w:rPr>
        <w:t>Contact Information:</w:t>
      </w:r>
    </w:p>
    <w:p w:rsidR="00B05BF4" w:rsidRPr="00B8163A" w:rsidP="00B8163A" w14:paraId="5835EDC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B05BF4" w:rsidRPr="00B8163A" w:rsidP="00B8163A" w14:paraId="27F0607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8163A">
        <w:rPr>
          <w:rFonts w:ascii="Times New Roman" w:hAnsi="Times New Roman"/>
          <w:color w:val="000000"/>
        </w:rPr>
        <w:t>Anjani Chandra, Ph.D.</w:t>
      </w:r>
    </w:p>
    <w:p w:rsidR="00B05BF4" w:rsidRPr="00B8163A" w:rsidP="00B8163A" w14:paraId="4BB14EE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8163A">
        <w:rPr>
          <w:rFonts w:ascii="Times New Roman" w:hAnsi="Times New Roman"/>
          <w:color w:val="000000"/>
        </w:rPr>
        <w:t>Principal Investigator and Team Lead</w:t>
      </w:r>
    </w:p>
    <w:p w:rsidR="00B05BF4" w:rsidRPr="00B8163A" w:rsidP="00B8163A" w14:paraId="6C2DE5E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8163A">
        <w:rPr>
          <w:rFonts w:ascii="Times New Roman" w:hAnsi="Times New Roman"/>
          <w:color w:val="000000"/>
        </w:rPr>
        <w:t>National Survey of Family Growth Team</w:t>
      </w:r>
    </w:p>
    <w:p w:rsidR="00B05BF4" w:rsidRPr="00B8163A" w:rsidP="00B8163A" w14:paraId="37DA199A" w14:textId="4FB34E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8163A">
        <w:rPr>
          <w:rFonts w:ascii="Times New Roman" w:hAnsi="Times New Roman"/>
          <w:color w:val="000000"/>
        </w:rPr>
        <w:t xml:space="preserve">Division of </w:t>
      </w:r>
      <w:r w:rsidRPr="00B8163A" w:rsidR="00B8163A">
        <w:rPr>
          <w:rFonts w:ascii="Times New Roman" w:hAnsi="Times New Roman"/>
          <w:color w:val="000000"/>
        </w:rPr>
        <w:t>Health Interview Statistics/Survey Planning and Special Surveys Branch</w:t>
      </w:r>
    </w:p>
    <w:p w:rsidR="00B05BF4" w:rsidRPr="00B8163A" w:rsidP="00B8163A" w14:paraId="4514E97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8163A">
        <w:rPr>
          <w:rFonts w:ascii="Times New Roman" w:hAnsi="Times New Roman"/>
          <w:color w:val="000000"/>
        </w:rPr>
        <w:t>CDC/National Center for Health Statistics</w:t>
      </w:r>
    </w:p>
    <w:p w:rsidR="00B05BF4" w:rsidRPr="00B8163A" w:rsidP="00B8163A" w14:paraId="4E4D1667" w14:textId="429BD6A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8163A">
        <w:rPr>
          <w:rFonts w:ascii="Times New Roman" w:hAnsi="Times New Roman"/>
          <w:color w:val="000000"/>
        </w:rPr>
        <w:t xml:space="preserve">3311 Toledo Road, Room </w:t>
      </w:r>
      <w:r w:rsidR="00B8163A">
        <w:rPr>
          <w:rFonts w:ascii="Times New Roman" w:hAnsi="Times New Roman"/>
          <w:color w:val="000000"/>
        </w:rPr>
        <w:t>5136</w:t>
      </w:r>
    </w:p>
    <w:p w:rsidR="00B05BF4" w:rsidRPr="00B8163A" w:rsidP="00B8163A" w14:paraId="7E6152A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8163A">
        <w:rPr>
          <w:rFonts w:ascii="Times New Roman" w:hAnsi="Times New Roman"/>
          <w:color w:val="000000"/>
        </w:rPr>
        <w:t>Hyattsville, MD. 20782</w:t>
      </w:r>
    </w:p>
    <w:p w:rsidR="00B05BF4" w:rsidRPr="00B8163A" w:rsidP="00B8163A" w14:paraId="76AC6CF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8163A">
        <w:rPr>
          <w:rFonts w:ascii="Times New Roman" w:hAnsi="Times New Roman"/>
          <w:color w:val="000000"/>
        </w:rPr>
        <w:t>301-458-4138</w:t>
      </w:r>
    </w:p>
    <w:p w:rsidR="00B05BF4" w:rsidRPr="00B8163A" w:rsidP="00B8163A" w14:paraId="4FDE193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B8163A">
        <w:rPr>
          <w:rFonts w:ascii="Times New Roman" w:hAnsi="Times New Roman"/>
          <w:color w:val="000000"/>
        </w:rPr>
        <w:t>301-458-4034 (fax)</w:t>
      </w:r>
    </w:p>
    <w:p w:rsidR="00B05BF4" w:rsidRPr="00B8163A" w:rsidP="00B8163A" w14:paraId="167A8E8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hyperlink r:id="rId4" w:history="1">
        <w:r w:rsidRPr="00B8163A">
          <w:rPr>
            <w:rStyle w:val="Hyperlink"/>
            <w:rFonts w:ascii="Times New Roman" w:hAnsi="Times New Roman"/>
          </w:rPr>
          <w:t>achandra@cdc.gov</w:t>
        </w:r>
      </w:hyperlink>
      <w:r w:rsidRPr="00B8163A">
        <w:rPr>
          <w:rFonts w:ascii="Times New Roman" w:hAnsi="Times New Roman"/>
          <w:color w:val="000000"/>
        </w:rPr>
        <w:t xml:space="preserve"> </w:t>
      </w:r>
    </w:p>
    <w:p w:rsidR="00B05BF4" w:rsidRPr="00B8163A" w:rsidP="00B8163A" w14:paraId="76BA9D5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p>
    <w:p w:rsidR="00B05BF4" w:rsidRPr="00B8163A" w:rsidP="00B8163A" w14:paraId="7032292E" w14:textId="0D3748D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rPr>
      </w:pPr>
      <w:r w:rsidRPr="00B8163A">
        <w:rPr>
          <w:rFonts w:ascii="Times New Roman" w:hAnsi="Times New Roman"/>
          <w:color w:val="000000"/>
        </w:rPr>
        <w:t>J</w:t>
      </w:r>
      <w:r w:rsidR="00B870AB">
        <w:rPr>
          <w:rFonts w:ascii="Times New Roman" w:hAnsi="Times New Roman"/>
          <w:color w:val="000000"/>
        </w:rPr>
        <w:t>uly 11, 2025</w:t>
      </w:r>
    </w:p>
    <w:p w:rsidR="00B05BF4" w:rsidRPr="00881E7B" w:rsidP="00B05BF4" w14:paraId="4F62B42F" w14:textId="77777777">
      <w:pPr>
        <w:jc w:val="center"/>
        <w:rPr>
          <w:rFonts w:ascii="Times New Roman" w:hAnsi="Times New Roman" w:cs="Times New Roman"/>
          <w:b/>
        </w:rPr>
      </w:pPr>
    </w:p>
    <w:p w:rsidR="00B05BF4" w:rsidRPr="00881E7B" w14:paraId="4168A55E" w14:textId="77777777">
      <w:pPr>
        <w:rPr>
          <w:rFonts w:ascii="Times New Roman" w:hAnsi="Times New Roman" w:cs="Times New Roman"/>
          <w:b/>
          <w:bCs/>
        </w:rPr>
      </w:pPr>
      <w:r w:rsidRPr="00881E7B">
        <w:rPr>
          <w:rFonts w:ascii="Times New Roman" w:hAnsi="Times New Roman" w:cs="Times New Roman"/>
          <w:b/>
          <w:bCs/>
        </w:rPr>
        <w:br w:type="page"/>
      </w:r>
    </w:p>
    <w:p w:rsidR="00B05BF4" w:rsidRPr="00881E7B" w:rsidP="00A87E20" w14:paraId="5D88CB2A" w14:textId="77777777">
      <w:pPr>
        <w:pStyle w:val="ListParagraph"/>
        <w:widowControl w:val="0"/>
        <w:numPr>
          <w:ilvl w:val="0"/>
          <w:numId w:val="3"/>
        </w:numPr>
        <w:autoSpaceDE w:val="0"/>
        <w:autoSpaceDN w:val="0"/>
        <w:adjustRightInd w:val="0"/>
        <w:ind w:left="720" w:hanging="720"/>
        <w:rPr>
          <w:rFonts w:ascii="Times New Roman" w:hAnsi="Times New Roman" w:cs="Times New Roman"/>
          <w:b/>
          <w:bCs/>
        </w:rPr>
      </w:pPr>
      <w:r w:rsidRPr="00881E7B">
        <w:rPr>
          <w:rFonts w:ascii="Times New Roman" w:hAnsi="Times New Roman" w:cs="Times New Roman"/>
          <w:b/>
          <w:bCs/>
        </w:rPr>
        <w:t xml:space="preserve">Circumstances making the collection of information necessary </w:t>
      </w:r>
    </w:p>
    <w:p w:rsidR="00B05BF4" w:rsidRPr="00881E7B" w:rsidP="00B05BF4" w14:paraId="63E6F0E8" w14:textId="77777777">
      <w:pPr>
        <w:rPr>
          <w:rFonts w:ascii="Times New Roman" w:hAnsi="Times New Roman" w:cs="Times New Roman"/>
        </w:rPr>
      </w:pPr>
    </w:p>
    <w:p w:rsidR="00B05BF4" w:rsidRPr="00881E7B" w:rsidP="00A87E20" w14:paraId="1133D4CF" w14:textId="4D0738ED">
      <w:pPr>
        <w:ind w:left="720"/>
        <w:rPr>
          <w:rFonts w:ascii="Times New Roman" w:hAnsi="Times New Roman" w:cs="Times New Roman"/>
        </w:rPr>
      </w:pPr>
      <w:r w:rsidRPr="00881E7B">
        <w:rPr>
          <w:rFonts w:ascii="Times New Roman" w:hAnsi="Times New Roman" w:cs="Times New Roman"/>
        </w:rPr>
        <w:t xml:space="preserve">This request is for a non-substantive change to the National Survey of Family Growth (NSFG) (OMB No. 0920-0314, Exp. Date 9/30/2026), conducted by the National Center for Health Statistics (NCHS), Centers for Disease Control and Prevention (CDC). </w:t>
      </w:r>
    </w:p>
    <w:p w:rsidR="00B05BF4" w:rsidRPr="00881E7B" w:rsidP="00A87E20" w14:paraId="0C77CAC4" w14:textId="77777777">
      <w:pPr>
        <w:ind w:left="720"/>
        <w:rPr>
          <w:rFonts w:ascii="Times New Roman" w:hAnsi="Times New Roman" w:cs="Times New Roman"/>
        </w:rPr>
      </w:pPr>
    </w:p>
    <w:p w:rsidR="00B05BF4" w:rsidRPr="00881E7B" w:rsidP="00A87E20" w14:paraId="6AAA7234" w14:textId="3C3DE608">
      <w:pPr>
        <w:ind w:left="720"/>
        <w:rPr>
          <w:rFonts w:ascii="Times New Roman" w:hAnsi="Times New Roman" w:cs="Times New Roman"/>
        </w:rPr>
      </w:pPr>
      <w:r w:rsidRPr="00881E7B">
        <w:rPr>
          <w:rFonts w:ascii="Times New Roman" w:hAnsi="Times New Roman" w:cs="Times New Roman"/>
        </w:rPr>
        <w:t>NCHS, under its duties specified in 42 U.S.C. 242k, Section 306(a and b)(1)(h) of the Public Health Service Act, conducts the NSFG to collect and disseminate “statistics on family formation, growth, and dissolution” among a nationally representative sample of reproductive-age women and men in the U.S. household population. The NSFG supplements and complements data from birth and fetal death certificates by monitoring factors (such as sexual activity, contraception, marriage and cohabitation, and infertility) that affect birth and pregnancy rates.  In addition, the NSFG serves a variety of data needs in public health programs that sponsor and depend on it, including several divisions within CDC/</w:t>
      </w:r>
      <w:r w:rsidR="00182507">
        <w:rPr>
          <w:rFonts w:ascii="Times New Roman" w:hAnsi="Times New Roman" w:cs="Times New Roman"/>
        </w:rPr>
        <w:t xml:space="preserve">National Center for HIV, Viral Hepatitis, STD, and TB Prevention </w:t>
      </w:r>
      <w:r w:rsidRPr="00881E7B">
        <w:rPr>
          <w:rFonts w:ascii="Times New Roman" w:hAnsi="Times New Roman" w:cs="Times New Roman"/>
        </w:rPr>
        <w:t>and CDC/N</w:t>
      </w:r>
      <w:r w:rsidR="00182507">
        <w:rPr>
          <w:rFonts w:ascii="Times New Roman" w:hAnsi="Times New Roman" w:cs="Times New Roman"/>
        </w:rPr>
        <w:t>ational Center for Chronic Disease Prevention and Health Promotion</w:t>
      </w:r>
      <w:r w:rsidRPr="00881E7B">
        <w:rPr>
          <w:rFonts w:ascii="Times New Roman" w:hAnsi="Times New Roman" w:cs="Times New Roman"/>
        </w:rPr>
        <w:t>.</w:t>
      </w:r>
    </w:p>
    <w:p w:rsidR="00B05BF4" w:rsidRPr="00881E7B" w:rsidP="00A87E20" w14:paraId="27EC2D27" w14:textId="77777777">
      <w:pPr>
        <w:ind w:left="720"/>
        <w:rPr>
          <w:rFonts w:ascii="Times New Roman" w:hAnsi="Times New Roman" w:cs="Times New Roman"/>
        </w:rPr>
      </w:pPr>
    </w:p>
    <w:p w:rsidR="00B8163A" w:rsidP="00387DC5" w14:paraId="2F4A059D" w14:textId="61AE5F9A">
      <w:pPr>
        <w:ind w:left="720"/>
        <w:rPr>
          <w:rFonts w:ascii="Times New Roman" w:hAnsi="Times New Roman" w:cs="Times New Roman"/>
        </w:rPr>
      </w:pPr>
      <w:r w:rsidRPr="00881E7B">
        <w:rPr>
          <w:rFonts w:ascii="Times New Roman" w:hAnsi="Times New Roman" w:cs="Times New Roman"/>
        </w:rPr>
        <w:t xml:space="preserve">Our most recent OMB </w:t>
      </w:r>
      <w:r w:rsidRPr="00B8163A">
        <w:rPr>
          <w:rFonts w:ascii="Times New Roman" w:hAnsi="Times New Roman" w:cs="Times New Roman"/>
          <w:u w:val="single"/>
        </w:rPr>
        <w:t>revision package</w:t>
      </w:r>
      <w:r w:rsidR="00881E7B">
        <w:rPr>
          <w:rFonts w:ascii="Times New Roman" w:hAnsi="Times New Roman" w:cs="Times New Roman"/>
        </w:rPr>
        <w:t xml:space="preserve"> </w:t>
      </w:r>
      <w:r w:rsidR="00DF35D2">
        <w:rPr>
          <w:rFonts w:ascii="Times New Roman" w:hAnsi="Times New Roman" w:cs="Times New Roman"/>
        </w:rPr>
        <w:t xml:space="preserve">for NSFG </w:t>
      </w:r>
      <w:r w:rsidRPr="00881E7B">
        <w:rPr>
          <w:rFonts w:ascii="Times New Roman" w:hAnsi="Times New Roman" w:cs="Times New Roman"/>
        </w:rPr>
        <w:t>specified a multi-mode, multi-phase survey design that builds on the most successful features of the continuous fieldwork design used for NSFG from 2006-2019 and has been implemented since January 2022</w:t>
      </w:r>
      <w:r w:rsidR="00881E7B">
        <w:rPr>
          <w:rFonts w:ascii="Times New Roman" w:hAnsi="Times New Roman" w:cs="Times New Roman"/>
        </w:rPr>
        <w:t xml:space="preserve">.  Data collection from January 2022 through December </w:t>
      </w:r>
      <w:r w:rsidR="00387DC5">
        <w:rPr>
          <w:rFonts w:ascii="Times New Roman" w:hAnsi="Times New Roman" w:cs="Times New Roman"/>
        </w:rPr>
        <w:t xml:space="preserve">2025 </w:t>
      </w:r>
      <w:r w:rsidR="00881E7B">
        <w:rPr>
          <w:rFonts w:ascii="Times New Roman" w:hAnsi="Times New Roman" w:cs="Times New Roman"/>
        </w:rPr>
        <w:t xml:space="preserve">comprise the first </w:t>
      </w:r>
      <w:r w:rsidR="00B870AB">
        <w:rPr>
          <w:rFonts w:ascii="Times New Roman" w:hAnsi="Times New Roman" w:cs="Times New Roman"/>
        </w:rPr>
        <w:t>4</w:t>
      </w:r>
      <w:r w:rsidR="00387DC5">
        <w:rPr>
          <w:rFonts w:ascii="Times New Roman" w:hAnsi="Times New Roman" w:cs="Times New Roman"/>
        </w:rPr>
        <w:t xml:space="preserve"> </w:t>
      </w:r>
      <w:r w:rsidR="00881E7B">
        <w:rPr>
          <w:rFonts w:ascii="Times New Roman" w:hAnsi="Times New Roman" w:cs="Times New Roman"/>
        </w:rPr>
        <w:t>of 8 years of data collection planned under the NSFG’s current 10-year contract with RTI</w:t>
      </w:r>
      <w:r w:rsidRPr="00881E7B">
        <w:rPr>
          <w:rFonts w:ascii="Times New Roman" w:hAnsi="Times New Roman" w:cs="Times New Roman"/>
        </w:rPr>
        <w:t xml:space="preserve">.  </w:t>
      </w:r>
    </w:p>
    <w:p w:rsidR="00B8163A" w:rsidP="00A87E20" w14:paraId="73CDB7FB" w14:textId="77777777">
      <w:pPr>
        <w:ind w:left="720"/>
        <w:rPr>
          <w:rFonts w:ascii="Times New Roman" w:hAnsi="Times New Roman" w:cs="Times New Roman"/>
        </w:rPr>
      </w:pPr>
    </w:p>
    <w:p w:rsidR="00B8163A" w:rsidP="00A87E20" w14:paraId="78A4F7C8" w14:textId="7A9334AE">
      <w:pPr>
        <w:ind w:left="720"/>
        <w:rPr>
          <w:rFonts w:ascii="Times New Roman" w:hAnsi="Times New Roman" w:cs="Times New Roman"/>
        </w:rPr>
      </w:pPr>
      <w:r>
        <w:rPr>
          <w:rFonts w:ascii="Times New Roman" w:hAnsi="Times New Roman" w:cs="Times New Roman"/>
        </w:rPr>
        <w:t>NSFG p</w:t>
      </w:r>
      <w:r>
        <w:rPr>
          <w:rFonts w:ascii="Times New Roman" w:hAnsi="Times New Roman" w:cs="Times New Roman"/>
        </w:rPr>
        <w:t>ublic-use data files for 2022-2023 were released in December 2024</w:t>
      </w:r>
      <w:r w:rsidR="000B7AF7">
        <w:rPr>
          <w:rFonts w:ascii="Times New Roman" w:hAnsi="Times New Roman" w:cs="Times New Roman"/>
        </w:rPr>
        <w:t>.  D</w:t>
      </w:r>
      <w:r>
        <w:rPr>
          <w:rFonts w:ascii="Times New Roman" w:hAnsi="Times New Roman" w:cs="Times New Roman"/>
        </w:rPr>
        <w:t xml:space="preserve">ata collection </w:t>
      </w:r>
      <w:r w:rsidR="000B7AF7">
        <w:rPr>
          <w:rFonts w:ascii="Times New Roman" w:hAnsi="Times New Roman" w:cs="Times New Roman"/>
        </w:rPr>
        <w:t xml:space="preserve">for 2024-2025 </w:t>
      </w:r>
      <w:r>
        <w:rPr>
          <w:rFonts w:ascii="Times New Roman" w:hAnsi="Times New Roman" w:cs="Times New Roman"/>
        </w:rPr>
        <w:t>is ongoing with the survey instruments</w:t>
      </w:r>
      <w:r w:rsidR="000B7AF7">
        <w:rPr>
          <w:rFonts w:ascii="Times New Roman" w:hAnsi="Times New Roman" w:cs="Times New Roman"/>
        </w:rPr>
        <w:t xml:space="preserve"> as approved in the revision package in September 2023, as well as a small number of changes made in January 2025 </w:t>
      </w:r>
      <w:r w:rsidR="00DD2C84">
        <w:rPr>
          <w:rFonts w:ascii="Times New Roman" w:hAnsi="Times New Roman" w:cs="Times New Roman"/>
        </w:rPr>
        <w:t xml:space="preserve">in response to </w:t>
      </w:r>
      <w:hyperlink r:id="rId5" w:history="1">
        <w:r w:rsidRPr="00DD2C84" w:rsidR="00DD2C84">
          <w:rPr>
            <w:rStyle w:val="Hyperlink"/>
            <w:rFonts w:ascii="Times New Roman" w:hAnsi="Times New Roman" w:cs="Times New Roman"/>
          </w:rPr>
          <w:t>Executive Order 14168</w:t>
        </w:r>
      </w:hyperlink>
      <w:r w:rsidR="00DD2C84">
        <w:rPr>
          <w:rFonts w:ascii="Times New Roman" w:hAnsi="Times New Roman" w:cs="Times New Roman"/>
        </w:rPr>
        <w:t xml:space="preserve">.  </w:t>
      </w:r>
    </w:p>
    <w:p w:rsidR="00F05BB9" w:rsidP="00A87E20" w14:paraId="034BCD52" w14:textId="77777777">
      <w:pPr>
        <w:ind w:left="720"/>
        <w:rPr>
          <w:rFonts w:ascii="Times New Roman" w:hAnsi="Times New Roman" w:cs="Times New Roman"/>
        </w:rPr>
      </w:pPr>
    </w:p>
    <w:p w:rsidR="00F05BB9" w:rsidRPr="00F05BB9" w:rsidP="00A87E20" w14:paraId="278D6C47" w14:textId="35008039">
      <w:pPr>
        <w:ind w:left="720"/>
        <w:rPr>
          <w:rFonts w:ascii="Times New Roman" w:hAnsi="Times New Roman" w:cs="Times New Roman"/>
        </w:rPr>
      </w:pPr>
      <w:r>
        <w:rPr>
          <w:rFonts w:ascii="Times New Roman" w:hAnsi="Times New Roman" w:cs="Times New Roman"/>
        </w:rPr>
        <w:t xml:space="preserve">The </w:t>
      </w:r>
      <w:r w:rsidRPr="008A6645">
        <w:rPr>
          <w:rFonts w:ascii="Times New Roman" w:hAnsi="Times New Roman" w:cs="Times New Roman"/>
          <w:u w:val="single"/>
        </w:rPr>
        <w:t xml:space="preserve">current </w:t>
      </w:r>
      <w:r w:rsidR="008A6645">
        <w:rPr>
          <w:rFonts w:ascii="Times New Roman" w:hAnsi="Times New Roman" w:cs="Times New Roman"/>
          <w:u w:val="single"/>
        </w:rPr>
        <w:t xml:space="preserve">nonsubstantive change </w:t>
      </w:r>
      <w:r w:rsidRPr="008A6645">
        <w:rPr>
          <w:rFonts w:ascii="Times New Roman" w:hAnsi="Times New Roman" w:cs="Times New Roman"/>
          <w:u w:val="single"/>
        </w:rPr>
        <w:t>request</w:t>
      </w:r>
      <w:r>
        <w:rPr>
          <w:rFonts w:ascii="Times New Roman" w:hAnsi="Times New Roman" w:cs="Times New Roman"/>
        </w:rPr>
        <w:t xml:space="preserve"> is for a set of survey instrument changes for implementation starting in January 2026 (Year 5).  These survey changes</w:t>
      </w:r>
      <w:r w:rsidR="00387DC5">
        <w:rPr>
          <w:rFonts w:ascii="Times New Roman" w:hAnsi="Times New Roman" w:cs="Times New Roman"/>
        </w:rPr>
        <w:t xml:space="preserve"> consist primarily of question deletions and</w:t>
      </w:r>
      <w:r>
        <w:rPr>
          <w:rFonts w:ascii="Times New Roman" w:hAnsi="Times New Roman" w:cs="Times New Roman"/>
        </w:rPr>
        <w:t xml:space="preserve"> are proposed to reduce respondent burden </w:t>
      </w:r>
      <w:r w:rsidR="00387DC5">
        <w:rPr>
          <w:rFonts w:ascii="Times New Roman" w:hAnsi="Times New Roman" w:cs="Times New Roman"/>
        </w:rPr>
        <w:t>and</w:t>
      </w:r>
      <w:r>
        <w:rPr>
          <w:rFonts w:ascii="Times New Roman" w:hAnsi="Times New Roman" w:cs="Times New Roman"/>
        </w:rPr>
        <w:t xml:space="preserve"> lessen the overall sensitivity of the survey content.</w:t>
      </w:r>
      <w:r w:rsidR="00B870AB">
        <w:rPr>
          <w:rFonts w:ascii="Times New Roman" w:hAnsi="Times New Roman" w:cs="Times New Roman"/>
        </w:rPr>
        <w:t xml:space="preserve"> No new content areas are proposed.</w:t>
      </w:r>
      <w:r w:rsidR="00B941BB">
        <w:rPr>
          <w:rFonts w:ascii="Times New Roman" w:hAnsi="Times New Roman" w:cs="Times New Roman"/>
        </w:rPr>
        <w:t xml:space="preserve"> </w:t>
      </w:r>
      <w:r>
        <w:rPr>
          <w:rFonts w:ascii="Times New Roman" w:hAnsi="Times New Roman" w:cs="Times New Roman"/>
          <w:b/>
          <w:bCs/>
        </w:rPr>
        <w:t>Attachment 1</w:t>
      </w:r>
      <w:r>
        <w:rPr>
          <w:rFonts w:ascii="Times New Roman" w:hAnsi="Times New Roman" w:cs="Times New Roman"/>
        </w:rPr>
        <w:t xml:space="preserve"> provides a listing of the proposed changes to the female and male questionnaire</w:t>
      </w:r>
      <w:r w:rsidR="00B870AB">
        <w:rPr>
          <w:rFonts w:ascii="Times New Roman" w:hAnsi="Times New Roman" w:cs="Times New Roman"/>
        </w:rPr>
        <w:t>s</w:t>
      </w:r>
      <w:r>
        <w:rPr>
          <w:rFonts w:ascii="Times New Roman" w:hAnsi="Times New Roman" w:cs="Times New Roman"/>
        </w:rPr>
        <w:t xml:space="preserve">, and </w:t>
      </w:r>
      <w:r w:rsidRPr="00F05BB9">
        <w:rPr>
          <w:rFonts w:ascii="Times New Roman" w:hAnsi="Times New Roman" w:cs="Times New Roman"/>
          <w:b/>
          <w:bCs/>
        </w:rPr>
        <w:t>Attachments 2-3</w:t>
      </w:r>
      <w:r>
        <w:rPr>
          <w:rFonts w:ascii="Times New Roman" w:hAnsi="Times New Roman" w:cs="Times New Roman"/>
        </w:rPr>
        <w:t xml:space="preserve"> show these changes (yellow highlighting) within the context of the full female and male questionnaires.  </w:t>
      </w:r>
    </w:p>
    <w:p w:rsidR="00B8163A" w:rsidP="00B05BF4" w14:paraId="5D3B43CC" w14:textId="77777777">
      <w:pPr>
        <w:rPr>
          <w:rFonts w:ascii="Times New Roman" w:hAnsi="Times New Roman" w:cs="Times New Roman"/>
        </w:rPr>
      </w:pPr>
    </w:p>
    <w:p w:rsidR="00DF35D2" w:rsidRPr="00617422" w:rsidP="00F33C6B" w14:paraId="70543BAB" w14:textId="77777777">
      <w:pPr>
        <w:pStyle w:val="ListParagraph"/>
        <w:widowControl w:val="0"/>
        <w:numPr>
          <w:ilvl w:val="0"/>
          <w:numId w:val="3"/>
        </w:numPr>
        <w:autoSpaceDE w:val="0"/>
        <w:autoSpaceDN w:val="0"/>
        <w:adjustRightInd w:val="0"/>
        <w:ind w:left="720" w:hanging="720"/>
        <w:rPr>
          <w:rFonts w:ascii="Times New Roman" w:hAnsi="Times New Roman" w:cs="Times New Roman"/>
          <w:b/>
          <w:bCs/>
        </w:rPr>
      </w:pPr>
      <w:r w:rsidRPr="00617422">
        <w:rPr>
          <w:rFonts w:ascii="Times New Roman" w:hAnsi="Times New Roman" w:cs="Times New Roman"/>
          <w:b/>
          <w:bCs/>
        </w:rPr>
        <w:t xml:space="preserve">Purpose and </w:t>
      </w:r>
      <w:r>
        <w:rPr>
          <w:rFonts w:ascii="Times New Roman" w:hAnsi="Times New Roman" w:cs="Times New Roman"/>
          <w:b/>
          <w:bCs/>
        </w:rPr>
        <w:t>u</w:t>
      </w:r>
      <w:r w:rsidRPr="00617422">
        <w:rPr>
          <w:rFonts w:ascii="Times New Roman" w:hAnsi="Times New Roman" w:cs="Times New Roman"/>
          <w:b/>
          <w:bCs/>
        </w:rPr>
        <w:t xml:space="preserve">se of the </w:t>
      </w:r>
      <w:r>
        <w:rPr>
          <w:rFonts w:ascii="Times New Roman" w:hAnsi="Times New Roman" w:cs="Times New Roman"/>
          <w:b/>
          <w:bCs/>
        </w:rPr>
        <w:t>i</w:t>
      </w:r>
      <w:r w:rsidRPr="00617422">
        <w:rPr>
          <w:rFonts w:ascii="Times New Roman" w:hAnsi="Times New Roman" w:cs="Times New Roman"/>
          <w:b/>
          <w:bCs/>
        </w:rPr>
        <w:t xml:space="preserve">nformation </w:t>
      </w:r>
      <w:r>
        <w:rPr>
          <w:rFonts w:ascii="Times New Roman" w:hAnsi="Times New Roman" w:cs="Times New Roman"/>
          <w:b/>
          <w:bCs/>
        </w:rPr>
        <w:t>c</w:t>
      </w:r>
      <w:r w:rsidRPr="00617422">
        <w:rPr>
          <w:rFonts w:ascii="Times New Roman" w:hAnsi="Times New Roman" w:cs="Times New Roman"/>
          <w:b/>
          <w:bCs/>
        </w:rPr>
        <w:t xml:space="preserve">ollection </w:t>
      </w:r>
    </w:p>
    <w:p w:rsidR="00DF35D2" w:rsidP="00DF35D2" w14:paraId="3D629F17" w14:textId="77777777">
      <w:pPr>
        <w:rPr>
          <w:rFonts w:ascii="Times New Roman" w:hAnsi="Times New Roman" w:cs="Times New Roman"/>
        </w:rPr>
      </w:pPr>
    </w:p>
    <w:p w:rsidR="00DF35D2" w:rsidP="00F33C6B" w14:paraId="623001C7" w14:textId="657F992A">
      <w:pPr>
        <w:ind w:left="720"/>
        <w:rPr>
          <w:rFonts w:ascii="Times New Roman" w:hAnsi="Times New Roman" w:cs="Times New Roman"/>
        </w:rPr>
      </w:pPr>
      <w:r w:rsidRPr="00DF35D2">
        <w:rPr>
          <w:rFonts w:ascii="Times New Roman" w:hAnsi="Times New Roman" w:cs="Times New Roman"/>
        </w:rPr>
        <w:t xml:space="preserve">The NSFG responds to the congressional mandate for NCHS to collect and publish reliable national statistics on “family formation, growth, and dissolution” (Sec. 306(a and b), paragraph 1(H) of the Public Health Service Act) as well as vital statistics on births and deaths, and a number of aspects of health status and health care.  The NSFG collects and publishes the most reliable, and in most cases the only, national data to monitor such major topics as:  contraceptive use and effectiveness, infertility and use of infertility services, unintended births, self-reported pelvic infection and sexually transmitted disease, sterilization, expected future births, marriage and cohabitation, the sexually </w:t>
      </w:r>
      <w:r w:rsidRPr="00DF35D2">
        <w:rPr>
          <w:rFonts w:ascii="Times New Roman" w:hAnsi="Times New Roman" w:cs="Times New Roman"/>
        </w:rPr>
        <w:t>active population, and the use of and need for family planning services. Under the continuous data collection design planned for the survey</w:t>
      </w:r>
      <w:r w:rsidR="0000217B">
        <w:rPr>
          <w:rFonts w:ascii="Times New Roman" w:hAnsi="Times New Roman" w:cs="Times New Roman"/>
        </w:rPr>
        <w:t>, as described</w:t>
      </w:r>
      <w:r w:rsidRPr="00DF35D2">
        <w:rPr>
          <w:rFonts w:ascii="Times New Roman" w:hAnsi="Times New Roman" w:cs="Times New Roman"/>
        </w:rPr>
        <w:t xml:space="preserve"> in </w:t>
      </w:r>
      <w:r>
        <w:rPr>
          <w:rFonts w:ascii="Times New Roman" w:hAnsi="Times New Roman" w:cs="Times New Roman"/>
        </w:rPr>
        <w:t>the revision package approved in September 2023</w:t>
      </w:r>
      <w:r w:rsidRPr="00DF35D2">
        <w:rPr>
          <w:rFonts w:ascii="Times New Roman" w:hAnsi="Times New Roman" w:cs="Times New Roman"/>
        </w:rPr>
        <w:t>, the NSFG</w:t>
      </w:r>
      <w:r w:rsidR="00A87E20">
        <w:rPr>
          <w:rFonts w:ascii="Times New Roman" w:hAnsi="Times New Roman" w:cs="Times New Roman"/>
        </w:rPr>
        <w:t xml:space="preserve"> is expected to be able </w:t>
      </w:r>
      <w:r w:rsidRPr="00DF35D2">
        <w:rPr>
          <w:rFonts w:ascii="Times New Roman" w:hAnsi="Times New Roman" w:cs="Times New Roman"/>
        </w:rPr>
        <w:t>to maintain adequate sample sizes for reliable time series for nationally representative statistics on these major topics</w:t>
      </w:r>
      <w:r w:rsidR="0000217B">
        <w:rPr>
          <w:rFonts w:ascii="Times New Roman" w:hAnsi="Times New Roman" w:cs="Times New Roman"/>
        </w:rPr>
        <w:t>, with cost-effectiveness goals in place to remain within available funding</w:t>
      </w:r>
      <w:r w:rsidRPr="00DF35D2">
        <w:rPr>
          <w:rFonts w:ascii="Times New Roman" w:hAnsi="Times New Roman" w:cs="Times New Roman"/>
        </w:rPr>
        <w:t xml:space="preserve">.  </w:t>
      </w:r>
    </w:p>
    <w:p w:rsidR="00DF35D2" w:rsidP="00F33C6B" w14:paraId="7B062645" w14:textId="77777777">
      <w:pPr>
        <w:ind w:left="720"/>
        <w:rPr>
          <w:rFonts w:ascii="Times New Roman" w:hAnsi="Times New Roman" w:cs="Times New Roman"/>
        </w:rPr>
      </w:pPr>
    </w:p>
    <w:p w:rsidR="00204025" w:rsidP="00F33C6B" w14:paraId="59668B98" w14:textId="338F16C8">
      <w:pPr>
        <w:ind w:left="720"/>
        <w:rPr>
          <w:rFonts w:ascii="Times New Roman" w:hAnsi="Times New Roman" w:cs="Times New Roman"/>
        </w:rPr>
      </w:pPr>
      <w:r w:rsidRPr="0079553C">
        <w:rPr>
          <w:rFonts w:ascii="Times New Roman" w:hAnsi="Times New Roman" w:cs="Times New Roman"/>
        </w:rPr>
        <w:t>The proposed survey content changes in this nonsubstantive change request will not alter the NSFG’s ability to meet these central data needs.</w:t>
      </w:r>
      <w:r>
        <w:rPr>
          <w:rFonts w:ascii="Times New Roman" w:hAnsi="Times New Roman" w:cs="Times New Roman"/>
          <w:b/>
          <w:bCs/>
        </w:rPr>
        <w:t xml:space="preserve">  </w:t>
      </w:r>
      <w:r>
        <w:rPr>
          <w:rFonts w:ascii="Times New Roman" w:hAnsi="Times New Roman" w:cs="Times New Roman"/>
        </w:rPr>
        <w:t xml:space="preserve">By potentially reducing the overall survey length and respondent burden, it is hoped that </w:t>
      </w:r>
      <w:r w:rsidR="00F33C6B">
        <w:rPr>
          <w:rFonts w:ascii="Times New Roman" w:hAnsi="Times New Roman" w:cs="Times New Roman"/>
        </w:rPr>
        <w:t xml:space="preserve">survey </w:t>
      </w:r>
      <w:r>
        <w:rPr>
          <w:rFonts w:ascii="Times New Roman" w:hAnsi="Times New Roman" w:cs="Times New Roman"/>
        </w:rPr>
        <w:t xml:space="preserve">response rates may improve, </w:t>
      </w:r>
      <w:bookmarkStart w:id="0" w:name="_Hlk202167348"/>
      <w:r>
        <w:rPr>
          <w:rFonts w:ascii="Times New Roman" w:hAnsi="Times New Roman" w:cs="Times New Roman"/>
        </w:rPr>
        <w:t>thereby increasing the chances that estimates are more statistically reliable and more representative of the U.S. household population</w:t>
      </w:r>
      <w:r w:rsidR="0000217B">
        <w:rPr>
          <w:rFonts w:ascii="Times New Roman" w:hAnsi="Times New Roman" w:cs="Times New Roman"/>
        </w:rPr>
        <w:t>, potentially at lower cost</w:t>
      </w:r>
      <w:r>
        <w:rPr>
          <w:rFonts w:ascii="Times New Roman" w:hAnsi="Times New Roman" w:cs="Times New Roman"/>
        </w:rPr>
        <w:t>.</w:t>
      </w:r>
      <w:r w:rsidRPr="00204025" w:rsidR="00DF35D2">
        <w:rPr>
          <w:rFonts w:ascii="Times New Roman" w:hAnsi="Times New Roman" w:cs="Times New Roman"/>
          <w:b/>
          <w:bCs/>
        </w:rPr>
        <w:t xml:space="preserve"> </w:t>
      </w:r>
      <w:r w:rsidR="00DF35D2">
        <w:rPr>
          <w:rFonts w:ascii="Times New Roman" w:hAnsi="Times New Roman" w:cs="Times New Roman"/>
        </w:rPr>
        <w:t xml:space="preserve"> </w:t>
      </w:r>
      <w:bookmarkEnd w:id="0"/>
    </w:p>
    <w:p w:rsidR="00204025" w:rsidP="00747948" w14:paraId="5E6FD572" w14:textId="77777777">
      <w:pPr>
        <w:rPr>
          <w:rFonts w:ascii="Times New Roman" w:hAnsi="Times New Roman" w:cs="Times New Roman"/>
        </w:rPr>
      </w:pPr>
    </w:p>
    <w:p w:rsidR="005D307A" w:rsidP="00F7644B" w14:paraId="1C6649B1" w14:textId="77777777">
      <w:pPr>
        <w:rPr>
          <w:rFonts w:ascii="Times New Roman" w:hAnsi="Times New Roman" w:cs="Times New Roman"/>
          <w:sz w:val="20"/>
          <w:szCs w:val="20"/>
        </w:rPr>
      </w:pPr>
    </w:p>
    <w:p w:rsidR="005D307A" w:rsidRPr="00D91D2B" w:rsidP="005D307A" w14:paraId="19D9A17A" w14:textId="275F870C">
      <w:pPr>
        <w:ind w:left="540" w:hanging="540"/>
        <w:rPr>
          <w:rFonts w:ascii="Times New Roman" w:hAnsi="Times New Roman" w:cs="Times New Roman"/>
          <w:b/>
          <w:bCs/>
        </w:rPr>
      </w:pPr>
      <w:r w:rsidRPr="00D91D2B">
        <w:rPr>
          <w:rFonts w:ascii="Times New Roman" w:hAnsi="Times New Roman" w:cs="Times New Roman"/>
          <w:b/>
          <w:bCs/>
        </w:rPr>
        <w:t>12.</w:t>
      </w:r>
      <w:r w:rsidRPr="00D91D2B">
        <w:rPr>
          <w:rFonts w:ascii="Times New Roman" w:hAnsi="Times New Roman" w:cs="Times New Roman"/>
          <w:b/>
          <w:bCs/>
        </w:rPr>
        <w:tab/>
      </w:r>
      <w:r w:rsidR="00F33C6B">
        <w:rPr>
          <w:rFonts w:ascii="Times New Roman" w:hAnsi="Times New Roman" w:cs="Times New Roman"/>
          <w:b/>
          <w:bCs/>
        </w:rPr>
        <w:tab/>
      </w:r>
      <w:r w:rsidRPr="00D91D2B">
        <w:rPr>
          <w:rFonts w:ascii="Times New Roman" w:hAnsi="Times New Roman" w:cs="Times New Roman"/>
          <w:b/>
          <w:bCs/>
        </w:rPr>
        <w:t xml:space="preserve">Estimates of </w:t>
      </w:r>
      <w:r>
        <w:rPr>
          <w:rFonts w:ascii="Times New Roman" w:hAnsi="Times New Roman" w:cs="Times New Roman"/>
          <w:b/>
          <w:bCs/>
        </w:rPr>
        <w:t>a</w:t>
      </w:r>
      <w:r w:rsidRPr="00D91D2B">
        <w:rPr>
          <w:rFonts w:ascii="Times New Roman" w:hAnsi="Times New Roman" w:cs="Times New Roman"/>
          <w:b/>
          <w:bCs/>
        </w:rPr>
        <w:t xml:space="preserve">nnualized </w:t>
      </w:r>
      <w:r>
        <w:rPr>
          <w:rFonts w:ascii="Times New Roman" w:hAnsi="Times New Roman" w:cs="Times New Roman"/>
          <w:b/>
          <w:bCs/>
        </w:rPr>
        <w:t>b</w:t>
      </w:r>
      <w:r w:rsidRPr="00D91D2B">
        <w:rPr>
          <w:rFonts w:ascii="Times New Roman" w:hAnsi="Times New Roman" w:cs="Times New Roman"/>
          <w:b/>
          <w:bCs/>
        </w:rPr>
        <w:t xml:space="preserve">urden </w:t>
      </w:r>
      <w:r>
        <w:rPr>
          <w:rFonts w:ascii="Times New Roman" w:hAnsi="Times New Roman" w:cs="Times New Roman"/>
          <w:b/>
          <w:bCs/>
        </w:rPr>
        <w:t>h</w:t>
      </w:r>
      <w:r w:rsidRPr="00D91D2B">
        <w:rPr>
          <w:rFonts w:ascii="Times New Roman" w:hAnsi="Times New Roman" w:cs="Times New Roman"/>
          <w:b/>
          <w:bCs/>
        </w:rPr>
        <w:t xml:space="preserve">ours and </w:t>
      </w:r>
      <w:r>
        <w:rPr>
          <w:rFonts w:ascii="Times New Roman" w:hAnsi="Times New Roman" w:cs="Times New Roman"/>
          <w:b/>
          <w:bCs/>
        </w:rPr>
        <w:t>c</w:t>
      </w:r>
      <w:r w:rsidRPr="00D91D2B">
        <w:rPr>
          <w:rFonts w:ascii="Times New Roman" w:hAnsi="Times New Roman" w:cs="Times New Roman"/>
          <w:b/>
          <w:bCs/>
        </w:rPr>
        <w:t>ost</w:t>
      </w:r>
      <w:r>
        <w:rPr>
          <w:rFonts w:ascii="Times New Roman" w:hAnsi="Times New Roman" w:cs="Times New Roman"/>
          <w:b/>
          <w:bCs/>
        </w:rPr>
        <w:t>s</w:t>
      </w:r>
    </w:p>
    <w:p w:rsidR="005D307A" w:rsidP="005D307A" w14:paraId="7524662C" w14:textId="77777777">
      <w:pPr>
        <w:rPr>
          <w:rFonts w:ascii="Times New Roman" w:hAnsi="Times New Roman" w:cs="Times New Roman"/>
          <w:sz w:val="20"/>
          <w:szCs w:val="20"/>
        </w:rPr>
      </w:pPr>
    </w:p>
    <w:p w:rsidR="00387DC5" w:rsidP="00387DC5" w14:paraId="5248FC4D" w14:textId="10509D1C">
      <w:pPr>
        <w:ind w:left="720"/>
        <w:rPr>
          <w:rFonts w:ascii="Times New Roman" w:hAnsi="Times New Roman" w:cs="Times New Roman"/>
        </w:rPr>
      </w:pPr>
      <w:r>
        <w:rPr>
          <w:rFonts w:ascii="Times New Roman" w:hAnsi="Times New Roman" w:cs="Times New Roman"/>
        </w:rPr>
        <w:t>The 2022-2023 NSFG showed an average survey length of 74 minutes for female respondents and 47 minutes for male respondents, within the OMB-approved lengths of 75 minutes and 50 minutes, respectively.  While it is expected that average survey lengths will be reduced as a result of the proposed Year 5 changes to the survey instruments, no changes are proposed at this time in the burden notice. These burden estimates will be reevaluated with our renewal package to be submitted in 2026, or possibly later when there is sufficient timing information from data collection with the revised survey instruments.</w:t>
      </w:r>
    </w:p>
    <w:p w:rsidR="00F20A3D" w:rsidP="005D307A" w14:paraId="30931017" w14:textId="77777777">
      <w:pPr>
        <w:rPr>
          <w:rFonts w:ascii="Times New Roman" w:hAnsi="Times New Roman" w:cs="Times New Roman"/>
        </w:rPr>
      </w:pPr>
    </w:p>
    <w:p w:rsidR="00F20A3D" w:rsidRPr="00D91D2B" w:rsidP="00F20A3D" w14:paraId="1C619205" w14:textId="77777777">
      <w:pPr>
        <w:tabs>
          <w:tab w:val="left" w:pos="-1440"/>
        </w:tabs>
        <w:rPr>
          <w:rFonts w:ascii="Times New Roman" w:hAnsi="Times New Roman" w:cs="Times New Roman"/>
          <w:b/>
          <w:bCs/>
        </w:rPr>
      </w:pPr>
      <w:r w:rsidRPr="00D91D2B">
        <w:rPr>
          <w:rFonts w:ascii="Times New Roman" w:hAnsi="Times New Roman" w:cs="Times New Roman"/>
          <w:b/>
          <w:bCs/>
        </w:rPr>
        <w:t xml:space="preserve">15. </w:t>
      </w:r>
      <w:r w:rsidRPr="00D91D2B">
        <w:rPr>
          <w:rFonts w:ascii="Times New Roman" w:hAnsi="Times New Roman" w:cs="Times New Roman"/>
          <w:b/>
          <w:bCs/>
        </w:rPr>
        <w:tab/>
        <w:t xml:space="preserve">Explanation for </w:t>
      </w:r>
      <w:r>
        <w:rPr>
          <w:rFonts w:ascii="Times New Roman" w:hAnsi="Times New Roman" w:cs="Times New Roman"/>
          <w:b/>
          <w:bCs/>
        </w:rPr>
        <w:t>p</w:t>
      </w:r>
      <w:r w:rsidRPr="00D91D2B">
        <w:rPr>
          <w:rFonts w:ascii="Times New Roman" w:hAnsi="Times New Roman" w:cs="Times New Roman"/>
          <w:b/>
          <w:bCs/>
        </w:rPr>
        <w:t xml:space="preserve">rogram </w:t>
      </w:r>
      <w:r>
        <w:rPr>
          <w:rFonts w:ascii="Times New Roman" w:hAnsi="Times New Roman" w:cs="Times New Roman"/>
          <w:b/>
          <w:bCs/>
        </w:rPr>
        <w:t>c</w:t>
      </w:r>
      <w:r w:rsidRPr="00D91D2B">
        <w:rPr>
          <w:rFonts w:ascii="Times New Roman" w:hAnsi="Times New Roman" w:cs="Times New Roman"/>
          <w:b/>
          <w:bCs/>
        </w:rPr>
        <w:t xml:space="preserve">hanges and </w:t>
      </w:r>
      <w:r>
        <w:rPr>
          <w:rFonts w:ascii="Times New Roman" w:hAnsi="Times New Roman" w:cs="Times New Roman"/>
          <w:b/>
          <w:bCs/>
        </w:rPr>
        <w:t>a</w:t>
      </w:r>
      <w:r w:rsidRPr="00D91D2B">
        <w:rPr>
          <w:rFonts w:ascii="Times New Roman" w:hAnsi="Times New Roman" w:cs="Times New Roman"/>
          <w:b/>
          <w:bCs/>
        </w:rPr>
        <w:t xml:space="preserve">djustments  </w:t>
      </w:r>
    </w:p>
    <w:p w:rsidR="00F20A3D" w:rsidP="00F20A3D" w14:paraId="662B9E2F" w14:textId="77777777">
      <w:pPr>
        <w:tabs>
          <w:tab w:val="left" w:pos="-1440"/>
        </w:tabs>
        <w:rPr>
          <w:rFonts w:ascii="Times New Roman" w:hAnsi="Times New Roman" w:cs="Times New Roman"/>
        </w:rPr>
      </w:pPr>
    </w:p>
    <w:p w:rsidR="00F20A3D" w:rsidP="00F33C6B" w14:paraId="32605F25" w14:textId="112A3A9B">
      <w:pPr>
        <w:tabs>
          <w:tab w:val="left" w:pos="-1440"/>
        </w:tabs>
        <w:ind w:left="720"/>
        <w:rPr>
          <w:rFonts w:ascii="Times New Roman" w:hAnsi="Times New Roman" w:cs="Times New Roman"/>
        </w:rPr>
      </w:pPr>
      <w:r>
        <w:rPr>
          <w:rFonts w:ascii="Times New Roman" w:hAnsi="Times New Roman" w:cs="Times New Roman"/>
        </w:rPr>
        <w:t xml:space="preserve">NSFG is not changing its burden estimates at this time.  </w:t>
      </w:r>
      <w:r w:rsidRPr="0005599E">
        <w:rPr>
          <w:rFonts w:ascii="Times New Roman" w:hAnsi="Times New Roman" w:cs="Times New Roman"/>
        </w:rPr>
        <w:t xml:space="preserve">The </w:t>
      </w:r>
      <w:r>
        <w:rPr>
          <w:rFonts w:ascii="Times New Roman" w:hAnsi="Times New Roman" w:cs="Times New Roman"/>
        </w:rPr>
        <w:t xml:space="preserve">changes proposed in this non-substantive change request </w:t>
      </w:r>
      <w:r>
        <w:rPr>
          <w:rFonts w:ascii="Times New Roman" w:hAnsi="Times New Roman" w:cs="Times New Roman"/>
        </w:rPr>
        <w:t>may eventually lead to a reduction in</w:t>
      </w:r>
      <w:r w:rsidRPr="0005599E">
        <w:rPr>
          <w:rFonts w:ascii="Times New Roman" w:hAnsi="Times New Roman" w:cs="Times New Roman"/>
        </w:rPr>
        <w:t xml:space="preserve"> the</w:t>
      </w:r>
      <w:r>
        <w:rPr>
          <w:rFonts w:ascii="Times New Roman" w:hAnsi="Times New Roman" w:cs="Times New Roman"/>
        </w:rPr>
        <w:t xml:space="preserve"> estimated average</w:t>
      </w:r>
      <w:r w:rsidRPr="0005599E">
        <w:rPr>
          <w:rFonts w:ascii="Times New Roman" w:hAnsi="Times New Roman" w:cs="Times New Roman"/>
        </w:rPr>
        <w:t xml:space="preserve"> burden hours from the previously approved clearance</w:t>
      </w:r>
      <w:r w:rsidR="00394FF1">
        <w:rPr>
          <w:rFonts w:ascii="Times New Roman" w:hAnsi="Times New Roman" w:cs="Times New Roman"/>
        </w:rPr>
        <w:t>.</w:t>
      </w:r>
    </w:p>
    <w:p w:rsidR="00F20A3D" w:rsidRPr="00D97F0D" w:rsidP="005D307A" w14:paraId="2567DBA2" w14:textId="77777777">
      <w:pPr>
        <w:rPr>
          <w:rFonts w:ascii="Times New Roman" w:hAnsi="Times New Roman" w:cs="Times New Roman"/>
          <w:sz w:val="20"/>
          <w:szCs w:val="20"/>
        </w:rPr>
      </w:pPr>
    </w:p>
    <w:sectPr w:rsidSect="00C218CB">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3347180"/>
      <w:docPartObj>
        <w:docPartGallery w:val="Page Numbers (Bottom of Page)"/>
        <w:docPartUnique/>
      </w:docPartObj>
    </w:sdtPr>
    <w:sdtEndPr>
      <w:rPr>
        <w:noProof/>
      </w:rPr>
    </w:sdtEndPr>
    <w:sdtContent>
      <w:p w:rsidR="000B0CDF" w14:paraId="16C3373F" w14:textId="14620A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B0CDF" w14:paraId="11A9207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D5F6C"/>
    <w:multiLevelType w:val="hybridMultilevel"/>
    <w:tmpl w:val="9FE812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E715EDE"/>
    <w:multiLevelType w:val="multilevel"/>
    <w:tmpl w:val="2DD491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31B36F2E"/>
    <w:multiLevelType w:val="hybridMultilevel"/>
    <w:tmpl w:val="95929258"/>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4637DD0"/>
    <w:multiLevelType w:val="hybridMultilevel"/>
    <w:tmpl w:val="7236ECAC"/>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180E94"/>
    <w:multiLevelType w:val="hybridMultilevel"/>
    <w:tmpl w:val="70E8F8FA"/>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DD1A39"/>
    <w:multiLevelType w:val="hybridMultilevel"/>
    <w:tmpl w:val="81147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F974EA1"/>
    <w:multiLevelType w:val="multilevel"/>
    <w:tmpl w:val="6844737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50759693">
    <w:abstractNumId w:val="0"/>
  </w:num>
  <w:num w:numId="2" w16cid:durableId="199902856">
    <w:abstractNumId w:val="4"/>
  </w:num>
  <w:num w:numId="3" w16cid:durableId="629481957">
    <w:abstractNumId w:val="1"/>
  </w:num>
  <w:num w:numId="4" w16cid:durableId="1021081516">
    <w:abstractNumId w:val="5"/>
  </w:num>
  <w:num w:numId="5" w16cid:durableId="819425103">
    <w:abstractNumId w:val="3"/>
  </w:num>
  <w:num w:numId="6" w16cid:durableId="283929085">
    <w:abstractNumId w:val="2"/>
  </w:num>
  <w:num w:numId="7" w16cid:durableId="681129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E3"/>
    <w:rsid w:val="0000217B"/>
    <w:rsid w:val="0000717E"/>
    <w:rsid w:val="00012904"/>
    <w:rsid w:val="000301E6"/>
    <w:rsid w:val="00034785"/>
    <w:rsid w:val="00040A37"/>
    <w:rsid w:val="000447B5"/>
    <w:rsid w:val="00044B8B"/>
    <w:rsid w:val="00051F0E"/>
    <w:rsid w:val="000546BF"/>
    <w:rsid w:val="0005599E"/>
    <w:rsid w:val="00057077"/>
    <w:rsid w:val="0007344C"/>
    <w:rsid w:val="000777C8"/>
    <w:rsid w:val="00080825"/>
    <w:rsid w:val="000906A9"/>
    <w:rsid w:val="00096619"/>
    <w:rsid w:val="00096DAF"/>
    <w:rsid w:val="000A2DF6"/>
    <w:rsid w:val="000B0CDF"/>
    <w:rsid w:val="000B6F99"/>
    <w:rsid w:val="000B7AF7"/>
    <w:rsid w:val="000C77C4"/>
    <w:rsid w:val="000D1BC6"/>
    <w:rsid w:val="000F1CC8"/>
    <w:rsid w:val="000F4BD9"/>
    <w:rsid w:val="000F546A"/>
    <w:rsid w:val="00102514"/>
    <w:rsid w:val="0010786F"/>
    <w:rsid w:val="00115EA0"/>
    <w:rsid w:val="00124651"/>
    <w:rsid w:val="00130B06"/>
    <w:rsid w:val="00146236"/>
    <w:rsid w:val="00146DEE"/>
    <w:rsid w:val="00160F1C"/>
    <w:rsid w:val="00173834"/>
    <w:rsid w:val="00182507"/>
    <w:rsid w:val="001841F0"/>
    <w:rsid w:val="00192F6F"/>
    <w:rsid w:val="00196428"/>
    <w:rsid w:val="001A0954"/>
    <w:rsid w:val="001A1030"/>
    <w:rsid w:val="001A1E72"/>
    <w:rsid w:val="001C05C0"/>
    <w:rsid w:val="001C7BA3"/>
    <w:rsid w:val="001D104F"/>
    <w:rsid w:val="001D320A"/>
    <w:rsid w:val="001D7E86"/>
    <w:rsid w:val="001E61AA"/>
    <w:rsid w:val="001F1048"/>
    <w:rsid w:val="00204025"/>
    <w:rsid w:val="00205162"/>
    <w:rsid w:val="002119C3"/>
    <w:rsid w:val="00226805"/>
    <w:rsid w:val="0023520C"/>
    <w:rsid w:val="00236ADA"/>
    <w:rsid w:val="0024365F"/>
    <w:rsid w:val="002553B9"/>
    <w:rsid w:val="00256C85"/>
    <w:rsid w:val="0029583F"/>
    <w:rsid w:val="0029638A"/>
    <w:rsid w:val="002A360F"/>
    <w:rsid w:val="002B1BEB"/>
    <w:rsid w:val="002D0965"/>
    <w:rsid w:val="002D7D29"/>
    <w:rsid w:val="002E09BC"/>
    <w:rsid w:val="002E7DE7"/>
    <w:rsid w:val="003059AE"/>
    <w:rsid w:val="00311B91"/>
    <w:rsid w:val="00336B97"/>
    <w:rsid w:val="00376336"/>
    <w:rsid w:val="00383A86"/>
    <w:rsid w:val="00384207"/>
    <w:rsid w:val="00387DC5"/>
    <w:rsid w:val="00391A66"/>
    <w:rsid w:val="00394FF1"/>
    <w:rsid w:val="003A7D44"/>
    <w:rsid w:val="003C6CE6"/>
    <w:rsid w:val="0040068B"/>
    <w:rsid w:val="004210C7"/>
    <w:rsid w:val="0042754F"/>
    <w:rsid w:val="00435D8C"/>
    <w:rsid w:val="00436FA6"/>
    <w:rsid w:val="0044627E"/>
    <w:rsid w:val="0046508A"/>
    <w:rsid w:val="0047600C"/>
    <w:rsid w:val="004845C9"/>
    <w:rsid w:val="0048794C"/>
    <w:rsid w:val="00494073"/>
    <w:rsid w:val="004B1A65"/>
    <w:rsid w:val="004B406E"/>
    <w:rsid w:val="004E694F"/>
    <w:rsid w:val="004F2DF6"/>
    <w:rsid w:val="004F36CB"/>
    <w:rsid w:val="004F47B6"/>
    <w:rsid w:val="0051024C"/>
    <w:rsid w:val="00512E26"/>
    <w:rsid w:val="00526489"/>
    <w:rsid w:val="005346E4"/>
    <w:rsid w:val="0055125C"/>
    <w:rsid w:val="00591BDC"/>
    <w:rsid w:val="005953C1"/>
    <w:rsid w:val="005A1343"/>
    <w:rsid w:val="005B70CA"/>
    <w:rsid w:val="005C35A7"/>
    <w:rsid w:val="005C68E5"/>
    <w:rsid w:val="005D307A"/>
    <w:rsid w:val="005E15E8"/>
    <w:rsid w:val="005E19E8"/>
    <w:rsid w:val="005E2133"/>
    <w:rsid w:val="00605217"/>
    <w:rsid w:val="00607C13"/>
    <w:rsid w:val="00607DC1"/>
    <w:rsid w:val="006123C3"/>
    <w:rsid w:val="00613DFF"/>
    <w:rsid w:val="0061513E"/>
    <w:rsid w:val="00617422"/>
    <w:rsid w:val="0062729D"/>
    <w:rsid w:val="00656E2C"/>
    <w:rsid w:val="00664AAA"/>
    <w:rsid w:val="006727B8"/>
    <w:rsid w:val="006729C7"/>
    <w:rsid w:val="0067665D"/>
    <w:rsid w:val="00681134"/>
    <w:rsid w:val="00690142"/>
    <w:rsid w:val="006C2133"/>
    <w:rsid w:val="006D0B52"/>
    <w:rsid w:val="006E2E3C"/>
    <w:rsid w:val="007019D2"/>
    <w:rsid w:val="00705E40"/>
    <w:rsid w:val="00713436"/>
    <w:rsid w:val="007161A4"/>
    <w:rsid w:val="00721AE6"/>
    <w:rsid w:val="007252BC"/>
    <w:rsid w:val="0073470E"/>
    <w:rsid w:val="00734E37"/>
    <w:rsid w:val="007351D9"/>
    <w:rsid w:val="007368E2"/>
    <w:rsid w:val="00747948"/>
    <w:rsid w:val="0076317F"/>
    <w:rsid w:val="00764F5D"/>
    <w:rsid w:val="0079553C"/>
    <w:rsid w:val="007A2CAF"/>
    <w:rsid w:val="007B46A1"/>
    <w:rsid w:val="007C3111"/>
    <w:rsid w:val="007D6655"/>
    <w:rsid w:val="007E07EF"/>
    <w:rsid w:val="007E674A"/>
    <w:rsid w:val="007F3CC4"/>
    <w:rsid w:val="0080619B"/>
    <w:rsid w:val="00821F1B"/>
    <w:rsid w:val="00826F09"/>
    <w:rsid w:val="00837FEB"/>
    <w:rsid w:val="00844689"/>
    <w:rsid w:val="00851B46"/>
    <w:rsid w:val="008532C7"/>
    <w:rsid w:val="008618CC"/>
    <w:rsid w:val="0086232A"/>
    <w:rsid w:val="00871717"/>
    <w:rsid w:val="00881E7B"/>
    <w:rsid w:val="008853C1"/>
    <w:rsid w:val="008A6645"/>
    <w:rsid w:val="008B0C63"/>
    <w:rsid w:val="008C736C"/>
    <w:rsid w:val="008E02EF"/>
    <w:rsid w:val="008E0969"/>
    <w:rsid w:val="008F47D7"/>
    <w:rsid w:val="008F5CC1"/>
    <w:rsid w:val="00907BBD"/>
    <w:rsid w:val="00924085"/>
    <w:rsid w:val="009300CA"/>
    <w:rsid w:val="0093358E"/>
    <w:rsid w:val="009612D5"/>
    <w:rsid w:val="0096436C"/>
    <w:rsid w:val="00987510"/>
    <w:rsid w:val="0099558B"/>
    <w:rsid w:val="009A578E"/>
    <w:rsid w:val="009A737B"/>
    <w:rsid w:val="009B737D"/>
    <w:rsid w:val="009C057F"/>
    <w:rsid w:val="009D2A3C"/>
    <w:rsid w:val="009E0C4C"/>
    <w:rsid w:val="009E3B7E"/>
    <w:rsid w:val="009F1F14"/>
    <w:rsid w:val="009F46D1"/>
    <w:rsid w:val="00A14B0E"/>
    <w:rsid w:val="00A156B9"/>
    <w:rsid w:val="00A3169E"/>
    <w:rsid w:val="00A34975"/>
    <w:rsid w:val="00A540EA"/>
    <w:rsid w:val="00A70211"/>
    <w:rsid w:val="00A747D1"/>
    <w:rsid w:val="00A87E20"/>
    <w:rsid w:val="00AA07EE"/>
    <w:rsid w:val="00AA2C79"/>
    <w:rsid w:val="00AD29EA"/>
    <w:rsid w:val="00AD443B"/>
    <w:rsid w:val="00AD5117"/>
    <w:rsid w:val="00AE588F"/>
    <w:rsid w:val="00AE7892"/>
    <w:rsid w:val="00B01252"/>
    <w:rsid w:val="00B03EEC"/>
    <w:rsid w:val="00B05BF4"/>
    <w:rsid w:val="00B16D83"/>
    <w:rsid w:val="00B31E7D"/>
    <w:rsid w:val="00B36937"/>
    <w:rsid w:val="00B464AD"/>
    <w:rsid w:val="00B8163A"/>
    <w:rsid w:val="00B8255C"/>
    <w:rsid w:val="00B870AB"/>
    <w:rsid w:val="00B874B6"/>
    <w:rsid w:val="00B941BB"/>
    <w:rsid w:val="00BA35CC"/>
    <w:rsid w:val="00BA7C5C"/>
    <w:rsid w:val="00BC6BE3"/>
    <w:rsid w:val="00BD5CE7"/>
    <w:rsid w:val="00BE22C7"/>
    <w:rsid w:val="00C000A5"/>
    <w:rsid w:val="00C16D4A"/>
    <w:rsid w:val="00C218CB"/>
    <w:rsid w:val="00C23681"/>
    <w:rsid w:val="00C42BAE"/>
    <w:rsid w:val="00C446B6"/>
    <w:rsid w:val="00C470B2"/>
    <w:rsid w:val="00C5649E"/>
    <w:rsid w:val="00C56C20"/>
    <w:rsid w:val="00C634FE"/>
    <w:rsid w:val="00C64C92"/>
    <w:rsid w:val="00C70809"/>
    <w:rsid w:val="00C71710"/>
    <w:rsid w:val="00C7292F"/>
    <w:rsid w:val="00C7619F"/>
    <w:rsid w:val="00C77EDF"/>
    <w:rsid w:val="00C82E96"/>
    <w:rsid w:val="00C85C88"/>
    <w:rsid w:val="00CD1EAC"/>
    <w:rsid w:val="00CD4172"/>
    <w:rsid w:val="00CD7B4D"/>
    <w:rsid w:val="00D061A4"/>
    <w:rsid w:val="00D31D4E"/>
    <w:rsid w:val="00D35070"/>
    <w:rsid w:val="00D36CE4"/>
    <w:rsid w:val="00D4381B"/>
    <w:rsid w:val="00D43E2A"/>
    <w:rsid w:val="00D5101C"/>
    <w:rsid w:val="00D71E85"/>
    <w:rsid w:val="00D73DD8"/>
    <w:rsid w:val="00D844D2"/>
    <w:rsid w:val="00D91D2B"/>
    <w:rsid w:val="00D97F0D"/>
    <w:rsid w:val="00DA0437"/>
    <w:rsid w:val="00DA2F55"/>
    <w:rsid w:val="00DB2DD4"/>
    <w:rsid w:val="00DB6164"/>
    <w:rsid w:val="00DB7B6A"/>
    <w:rsid w:val="00DC1FD5"/>
    <w:rsid w:val="00DC3998"/>
    <w:rsid w:val="00DC4F27"/>
    <w:rsid w:val="00DD0B69"/>
    <w:rsid w:val="00DD2C84"/>
    <w:rsid w:val="00DD3442"/>
    <w:rsid w:val="00DD48F0"/>
    <w:rsid w:val="00DD7EF9"/>
    <w:rsid w:val="00DF159D"/>
    <w:rsid w:val="00DF35D2"/>
    <w:rsid w:val="00E00087"/>
    <w:rsid w:val="00E12352"/>
    <w:rsid w:val="00E144AE"/>
    <w:rsid w:val="00E26E13"/>
    <w:rsid w:val="00E33589"/>
    <w:rsid w:val="00E3483B"/>
    <w:rsid w:val="00E41785"/>
    <w:rsid w:val="00E5651F"/>
    <w:rsid w:val="00E56DBC"/>
    <w:rsid w:val="00E854CA"/>
    <w:rsid w:val="00EF209A"/>
    <w:rsid w:val="00EF6836"/>
    <w:rsid w:val="00F0198F"/>
    <w:rsid w:val="00F04DFB"/>
    <w:rsid w:val="00F05BB9"/>
    <w:rsid w:val="00F20A3D"/>
    <w:rsid w:val="00F23ECE"/>
    <w:rsid w:val="00F2448D"/>
    <w:rsid w:val="00F33628"/>
    <w:rsid w:val="00F33C6B"/>
    <w:rsid w:val="00F34CF7"/>
    <w:rsid w:val="00F400AF"/>
    <w:rsid w:val="00F54BD9"/>
    <w:rsid w:val="00F6234B"/>
    <w:rsid w:val="00F65AF9"/>
    <w:rsid w:val="00F70554"/>
    <w:rsid w:val="00F7644B"/>
    <w:rsid w:val="00F87369"/>
    <w:rsid w:val="00FA4DED"/>
    <w:rsid w:val="00FB2647"/>
    <w:rsid w:val="00FC2E3F"/>
    <w:rsid w:val="00FD3CF8"/>
    <w:rsid w:val="00FE00F8"/>
    <w:rsid w:val="00FE75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3CDE89"/>
  <w15:chartTrackingRefBased/>
  <w15:docId w15:val="{A208650D-4D0E-A140-91B5-6E6C1CE6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236ADA"/>
    <w:pPr>
      <w:keepNext/>
      <w:widowControl w:val="0"/>
      <w:autoSpaceDE w:val="0"/>
      <w:autoSpaceDN w:val="0"/>
      <w:adjustRightInd w:val="0"/>
      <w:spacing w:before="240" w:after="60"/>
      <w:outlineLvl w:val="1"/>
    </w:pPr>
    <w:rPr>
      <w:rFonts w:ascii="Arial" w:eastAsia="Times New Roman" w:hAnsi="Arial" w:cs="Arial"/>
      <w:b/>
      <w:bCs/>
      <w:i/>
      <w:i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BE3"/>
    <w:pPr>
      <w:ind w:left="720"/>
      <w:contextualSpacing/>
    </w:pPr>
  </w:style>
  <w:style w:type="table" w:styleId="TableGrid">
    <w:name w:val="Table Grid"/>
    <w:basedOn w:val="TableNormal"/>
    <w:uiPriority w:val="39"/>
    <w:rsid w:val="00CD7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0554"/>
  </w:style>
  <w:style w:type="character" w:styleId="CommentReference">
    <w:name w:val="annotation reference"/>
    <w:basedOn w:val="DefaultParagraphFont"/>
    <w:uiPriority w:val="99"/>
    <w:semiHidden/>
    <w:unhideWhenUsed/>
    <w:rsid w:val="00F0198F"/>
    <w:rPr>
      <w:sz w:val="16"/>
      <w:szCs w:val="16"/>
    </w:rPr>
  </w:style>
  <w:style w:type="paragraph" w:styleId="CommentText">
    <w:name w:val="annotation text"/>
    <w:basedOn w:val="Normal"/>
    <w:link w:val="CommentTextChar"/>
    <w:uiPriority w:val="99"/>
    <w:unhideWhenUsed/>
    <w:rsid w:val="00F0198F"/>
    <w:rPr>
      <w:sz w:val="20"/>
      <w:szCs w:val="20"/>
    </w:rPr>
  </w:style>
  <w:style w:type="character" w:customStyle="1" w:styleId="CommentTextChar">
    <w:name w:val="Comment Text Char"/>
    <w:basedOn w:val="DefaultParagraphFont"/>
    <w:link w:val="CommentText"/>
    <w:uiPriority w:val="99"/>
    <w:rsid w:val="00F0198F"/>
    <w:rPr>
      <w:sz w:val="20"/>
      <w:szCs w:val="20"/>
    </w:rPr>
  </w:style>
  <w:style w:type="paragraph" w:styleId="CommentSubject">
    <w:name w:val="annotation subject"/>
    <w:basedOn w:val="CommentText"/>
    <w:next w:val="CommentText"/>
    <w:link w:val="CommentSubjectChar"/>
    <w:uiPriority w:val="99"/>
    <w:semiHidden/>
    <w:unhideWhenUsed/>
    <w:rsid w:val="00F0198F"/>
    <w:rPr>
      <w:b/>
      <w:bCs/>
    </w:rPr>
  </w:style>
  <w:style w:type="character" w:customStyle="1" w:styleId="CommentSubjectChar">
    <w:name w:val="Comment Subject Char"/>
    <w:basedOn w:val="CommentTextChar"/>
    <w:link w:val="CommentSubject"/>
    <w:uiPriority w:val="99"/>
    <w:semiHidden/>
    <w:rsid w:val="00F0198F"/>
    <w:rPr>
      <w:b/>
      <w:bCs/>
      <w:sz w:val="20"/>
      <w:szCs w:val="20"/>
    </w:rPr>
  </w:style>
  <w:style w:type="character" w:customStyle="1" w:styleId="Heading2Char">
    <w:name w:val="Heading 2 Char"/>
    <w:basedOn w:val="DefaultParagraphFont"/>
    <w:link w:val="Heading2"/>
    <w:rsid w:val="00236ADA"/>
    <w:rPr>
      <w:rFonts w:ascii="Arial" w:eastAsia="Times New Roman" w:hAnsi="Arial" w:cs="Arial"/>
      <w:b/>
      <w:bCs/>
      <w:i/>
      <w:iCs/>
      <w:kern w:val="0"/>
      <w:sz w:val="28"/>
      <w:szCs w:val="28"/>
      <w14:ligatures w14:val="none"/>
    </w:rPr>
  </w:style>
  <w:style w:type="paragraph" w:styleId="Header">
    <w:name w:val="header"/>
    <w:basedOn w:val="Normal"/>
    <w:link w:val="HeaderChar"/>
    <w:uiPriority w:val="99"/>
    <w:unhideWhenUsed/>
    <w:rsid w:val="000B0CDF"/>
    <w:pPr>
      <w:tabs>
        <w:tab w:val="center" w:pos="4680"/>
        <w:tab w:val="right" w:pos="9360"/>
      </w:tabs>
    </w:pPr>
  </w:style>
  <w:style w:type="character" w:customStyle="1" w:styleId="HeaderChar">
    <w:name w:val="Header Char"/>
    <w:basedOn w:val="DefaultParagraphFont"/>
    <w:link w:val="Header"/>
    <w:uiPriority w:val="99"/>
    <w:rsid w:val="000B0CDF"/>
  </w:style>
  <w:style w:type="paragraph" w:styleId="Footer">
    <w:name w:val="footer"/>
    <w:basedOn w:val="Normal"/>
    <w:link w:val="FooterChar"/>
    <w:uiPriority w:val="99"/>
    <w:unhideWhenUsed/>
    <w:rsid w:val="000B0CDF"/>
    <w:pPr>
      <w:tabs>
        <w:tab w:val="center" w:pos="4680"/>
        <w:tab w:val="right" w:pos="9360"/>
      </w:tabs>
    </w:pPr>
  </w:style>
  <w:style w:type="character" w:customStyle="1" w:styleId="FooterChar">
    <w:name w:val="Footer Char"/>
    <w:basedOn w:val="DefaultParagraphFont"/>
    <w:link w:val="Footer"/>
    <w:uiPriority w:val="99"/>
    <w:rsid w:val="000B0CDF"/>
  </w:style>
  <w:style w:type="character" w:styleId="Hyperlink">
    <w:name w:val="Hyperlink"/>
    <w:rsid w:val="00B05BF4"/>
    <w:rPr>
      <w:color w:val="0000FF"/>
      <w:u w:val="single"/>
    </w:rPr>
  </w:style>
  <w:style w:type="paragraph" w:customStyle="1" w:styleId="Style0">
    <w:name w:val="Style0"/>
    <w:rsid w:val="00B05BF4"/>
    <w:pPr>
      <w:autoSpaceDE w:val="0"/>
      <w:autoSpaceDN w:val="0"/>
      <w:adjustRightInd w:val="0"/>
    </w:pPr>
    <w:rPr>
      <w:rFonts w:ascii="Arial" w:eastAsia="Times New Roman" w:hAnsi="Arial" w:cs="Times New Roman"/>
      <w:kern w:val="0"/>
      <w14:ligatures w14:val="none"/>
    </w:rPr>
  </w:style>
  <w:style w:type="character" w:styleId="UnresolvedMention">
    <w:name w:val="Unresolved Mention"/>
    <w:basedOn w:val="DefaultParagraphFont"/>
    <w:uiPriority w:val="99"/>
    <w:semiHidden/>
    <w:unhideWhenUsed/>
    <w:rsid w:val="00DD2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chandra@cdc.gov" TargetMode="External" /><Relationship Id="rId5" Type="http://schemas.openxmlformats.org/officeDocument/2006/relationships/hyperlink" Target="https://www.whitehouse.gov/presidential-actions/2025/01/defending-women-from-gender-ideology-extremism-and-restoring-biological-truth-to-the-federal-government/"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Jessica (CDC/OD/OPHDST/NCHS)</dc:creator>
  <cp:lastModifiedBy>Shaw, Kate M. (CDC/OD/OPHDST/NCHS)</cp:lastModifiedBy>
  <cp:revision>7</cp:revision>
  <dcterms:created xsi:type="dcterms:W3CDTF">2025-07-10T20:31:00Z</dcterms:created>
  <dcterms:modified xsi:type="dcterms:W3CDTF">2025-07-23T13:30:00Z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845fea46-7284-4240-81f9-90ad30789b4a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2024-02-13T15:17:06Z</vt:lpwstr>
  </property>
  <property fmtid="{D5CDD505-2E9C-101B-9397-08002B2CF9AE}" pid="8" name="MSIP_Label_7b94a7b8-f06c-4dfe-bdcc-9b548fd58c31_SiteId">
    <vt:lpwstr>9ce70869-60db-44fd-abe8-d2767077fc8f</vt:lpwstr>
  </property>
</Properties>
</file>