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275A" w:rsidP="00AA275A" w14:paraId="71CAE6FB" w14:textId="1A6133D8">
      <w:pPr>
        <w:jc w:val="center"/>
        <w:rPr>
          <w:b/>
          <w:bCs/>
        </w:rPr>
      </w:pPr>
      <w:r w:rsidRPr="00AA275A">
        <w:rPr>
          <w:b/>
          <w:bCs/>
        </w:rPr>
        <w:t>Incentive Experiment for NSFG</w:t>
      </w:r>
    </w:p>
    <w:p w:rsidR="00EE35DC" w:rsidP="00AA275A" w14:paraId="718A25F6" w14:textId="606A5A27">
      <w:pPr>
        <w:jc w:val="center"/>
        <w:rPr>
          <w:b/>
          <w:bCs/>
        </w:rPr>
      </w:pPr>
      <w:r>
        <w:rPr>
          <w:b/>
          <w:bCs/>
        </w:rPr>
        <w:t>Interim Results</w:t>
      </w:r>
      <w:r>
        <w:rPr>
          <w:b/>
          <w:bCs/>
        </w:rPr>
        <w:t xml:space="preserve"> from Quarter</w:t>
      </w:r>
      <w:r w:rsidR="00402C36">
        <w:rPr>
          <w:b/>
          <w:bCs/>
        </w:rPr>
        <w:t>s</w:t>
      </w:r>
      <w:r>
        <w:rPr>
          <w:b/>
          <w:bCs/>
        </w:rPr>
        <w:t xml:space="preserve"> 3</w:t>
      </w:r>
      <w:r w:rsidR="00AB4BA6">
        <w:rPr>
          <w:b/>
          <w:bCs/>
        </w:rPr>
        <w:t xml:space="preserve"> and </w:t>
      </w:r>
      <w:r>
        <w:rPr>
          <w:b/>
          <w:bCs/>
        </w:rPr>
        <w:t>4 of 2022</w:t>
      </w:r>
      <w:r w:rsidR="00402C36">
        <w:rPr>
          <w:b/>
          <w:bCs/>
        </w:rPr>
        <w:t xml:space="preserve"> and Quarters 1</w:t>
      </w:r>
      <w:r w:rsidR="00AB4BA6">
        <w:rPr>
          <w:b/>
          <w:bCs/>
        </w:rPr>
        <w:t xml:space="preserve"> and </w:t>
      </w:r>
      <w:r w:rsidR="00402C36">
        <w:rPr>
          <w:b/>
          <w:bCs/>
        </w:rPr>
        <w:t>2 of 2023</w:t>
      </w:r>
    </w:p>
    <w:p w:rsidR="008C00A4" w:rsidRPr="008C00A4" w:rsidP="00AA275A" w14:paraId="157E0E65" w14:textId="6301B878">
      <w:pPr>
        <w:jc w:val="center"/>
        <w:rPr>
          <w:b/>
          <w:bCs/>
          <w:color w:val="FF0000"/>
        </w:rPr>
      </w:pPr>
      <w:r w:rsidRPr="008C00A4">
        <w:rPr>
          <w:b/>
          <w:bCs/>
          <w:color w:val="FF0000"/>
        </w:rPr>
        <w:t>(</w:t>
      </w:r>
      <w:r w:rsidR="0060464D">
        <w:rPr>
          <w:b/>
          <w:bCs/>
          <w:color w:val="FF0000"/>
        </w:rPr>
        <w:t xml:space="preserve">updated for </w:t>
      </w:r>
      <w:r w:rsidR="00527DF4">
        <w:rPr>
          <w:b/>
          <w:bCs/>
          <w:color w:val="FF0000"/>
        </w:rPr>
        <w:t xml:space="preserve">30-Day </w:t>
      </w:r>
      <w:r w:rsidRPr="008C00A4">
        <w:rPr>
          <w:b/>
          <w:bCs/>
          <w:color w:val="FF0000"/>
        </w:rPr>
        <w:t>OMB Revision</w:t>
      </w:r>
      <w:r w:rsidR="0060464D">
        <w:rPr>
          <w:b/>
          <w:bCs/>
          <w:color w:val="FF0000"/>
        </w:rPr>
        <w:t xml:space="preserve"> </w:t>
      </w:r>
      <w:r w:rsidRPr="008C00A4">
        <w:rPr>
          <w:b/>
          <w:bCs/>
          <w:color w:val="FF0000"/>
        </w:rPr>
        <w:t>Package</w:t>
      </w:r>
      <w:r w:rsidR="00F2068F">
        <w:rPr>
          <w:b/>
          <w:bCs/>
          <w:color w:val="FF0000"/>
        </w:rPr>
        <w:t xml:space="preserve"> Submitted</w:t>
      </w:r>
      <w:r w:rsidR="00527DF4">
        <w:rPr>
          <w:b/>
          <w:bCs/>
          <w:color w:val="FF0000"/>
        </w:rPr>
        <w:t xml:space="preserve"> July 2023</w:t>
      </w:r>
      <w:r w:rsidR="0060464D">
        <w:rPr>
          <w:b/>
          <w:bCs/>
          <w:color w:val="FF0000"/>
        </w:rPr>
        <w:t>)</w:t>
      </w:r>
      <w:r w:rsidRPr="008C00A4">
        <w:rPr>
          <w:b/>
          <w:bCs/>
          <w:color w:val="FF0000"/>
        </w:rPr>
        <w:t xml:space="preserve"> </w:t>
      </w:r>
    </w:p>
    <w:p w:rsidR="00A7617E" w:rsidP="00AA275A" w14:paraId="48F20856" w14:textId="6B12B5F8">
      <w:pPr>
        <w:jc w:val="center"/>
        <w:rPr>
          <w:b/>
          <w:bCs/>
        </w:rPr>
      </w:pPr>
    </w:p>
    <w:p w:rsidR="00AA275A" w:rsidRPr="00AA275A" w:rsidP="00AA275A" w14:paraId="41F87768" w14:textId="77777777">
      <w:pPr>
        <w:jc w:val="center"/>
        <w:rPr>
          <w:b/>
          <w:bCs/>
        </w:rPr>
      </w:pPr>
    </w:p>
    <w:p w:rsidR="00F8745E" w:rsidRPr="00F8745E" w:rsidP="00AD063B" w14:paraId="4AD5F7F2" w14:textId="6F62DAFF">
      <w:r>
        <w:t>As approved by OMB, a</w:t>
      </w:r>
      <w:r w:rsidRPr="00F8745E" w:rsidR="00A7617E">
        <w:t xml:space="preserve"> </w:t>
      </w:r>
      <w:r w:rsidR="00EE35DC">
        <w:t xml:space="preserve">3-condition </w:t>
      </w:r>
      <w:r w:rsidRPr="00F8745E" w:rsidR="00A7617E">
        <w:t xml:space="preserve">incentive experiment </w:t>
      </w:r>
      <w:r w:rsidR="00EE35DC">
        <w:t>was</w:t>
      </w:r>
      <w:r w:rsidRPr="00F8745E" w:rsidR="00A7617E">
        <w:t xml:space="preserve"> implemented in Quarter</w:t>
      </w:r>
      <w:r w:rsidR="00BF31C1">
        <w:t>s</w:t>
      </w:r>
      <w:r w:rsidRPr="00F8745E" w:rsidR="00A7617E">
        <w:t xml:space="preserve"> 3</w:t>
      </w:r>
      <w:r w:rsidR="00BF31C1">
        <w:t>&amp;</w:t>
      </w:r>
      <w:r w:rsidR="00EE35DC">
        <w:t xml:space="preserve">4 </w:t>
      </w:r>
      <w:r w:rsidRPr="00F8745E" w:rsidR="00A7617E">
        <w:t xml:space="preserve">of 2022 and </w:t>
      </w:r>
      <w:r w:rsidR="00EE35DC">
        <w:t>is continued as a 2-condition experiment in 2023</w:t>
      </w:r>
      <w:r w:rsidRPr="00F8745E" w:rsidR="00A7617E">
        <w:t xml:space="preserve">. The results </w:t>
      </w:r>
      <w:r w:rsidR="00EE35DC">
        <w:t xml:space="preserve">presented here are from </w:t>
      </w:r>
      <w:r w:rsidR="00432DDD">
        <w:t xml:space="preserve">2022 </w:t>
      </w:r>
      <w:r w:rsidRPr="00F8745E">
        <w:t>Quarter</w:t>
      </w:r>
      <w:r w:rsidR="00BF31C1">
        <w:t>s</w:t>
      </w:r>
      <w:r w:rsidRPr="00F8745E">
        <w:t xml:space="preserve"> 3</w:t>
      </w:r>
      <w:r w:rsidR="00BF31C1">
        <w:t>&amp;</w:t>
      </w:r>
      <w:r w:rsidR="00EE35DC">
        <w:t>4</w:t>
      </w:r>
      <w:r w:rsidR="0060464D">
        <w:t xml:space="preserve">, </w:t>
      </w:r>
      <w:r w:rsidR="00432DDD">
        <w:t>2023 Quarter 1</w:t>
      </w:r>
      <w:r w:rsidR="0060464D">
        <w:t>,</w:t>
      </w:r>
      <w:r w:rsidR="00432DDD">
        <w:t xml:space="preserve"> and Phases 1&amp;2 of Quarter 2</w:t>
      </w:r>
      <w:r>
        <w:rPr>
          <w:rStyle w:val="FootnoteReference"/>
        </w:rPr>
        <w:footnoteReference w:id="2"/>
      </w:r>
      <w:r w:rsidRPr="00F8745E">
        <w:t>.</w:t>
      </w:r>
      <w:r>
        <w:t xml:space="preserve"> </w:t>
      </w:r>
      <w:r w:rsidR="0060464D">
        <w:t>Since</w:t>
      </w:r>
      <w:r>
        <w:t xml:space="preserve"> both </w:t>
      </w:r>
      <w:r w:rsidR="00331A65">
        <w:t xml:space="preserve">the 3-condition and 2-condition </w:t>
      </w:r>
      <w:r>
        <w:t xml:space="preserve">experiments </w:t>
      </w:r>
      <w:r w:rsidR="0093102F">
        <w:t>have interventions focused on Phases 1</w:t>
      </w:r>
      <w:r w:rsidR="00BF31C1">
        <w:t>&amp;</w:t>
      </w:r>
      <w:r w:rsidR="0093102F">
        <w:t>2, these interim results can be used to inform design changes</w:t>
      </w:r>
      <w:r w:rsidR="00331A65">
        <w:t xml:space="preserve"> for Year 3 (2024)</w:t>
      </w:r>
      <w:r w:rsidR="00411EFF">
        <w:t xml:space="preserve"> and beyond</w:t>
      </w:r>
      <w:r w:rsidR="0093102F">
        <w:t>.</w:t>
      </w:r>
      <w:r w:rsidRPr="00432DDD" w:rsidR="00432DDD">
        <w:t xml:space="preserve"> </w:t>
      </w:r>
      <w:r w:rsidRPr="00EE35DC" w:rsidR="00432DDD">
        <w:t xml:space="preserve">Counter to results from prior incentive experiments that have found increasing response rates with additional incentive amounts, albeit with diminishing benefit, the $80 incentive </w:t>
      </w:r>
      <w:r w:rsidR="00432DDD">
        <w:t xml:space="preserve">tested in 2022 Quarters 3&amp;4 </w:t>
      </w:r>
      <w:r w:rsidRPr="00EE35DC" w:rsidR="00432DDD">
        <w:t xml:space="preserve">has led to </w:t>
      </w:r>
      <w:r w:rsidR="00432DDD">
        <w:t>similar</w:t>
      </w:r>
      <w:r w:rsidRPr="00EE35DC" w:rsidR="00432DDD">
        <w:t xml:space="preserve"> increases in the response rates as the $60 incentive.</w:t>
      </w:r>
      <w:r w:rsidR="00432DDD">
        <w:t xml:space="preserve"> Therefore, the experiment included only</w:t>
      </w:r>
      <w:r w:rsidR="0060464D">
        <w:t xml:space="preserve"> the</w:t>
      </w:r>
      <w:r w:rsidR="00432DDD">
        <w:t xml:space="preserve"> $40 and $60 </w:t>
      </w:r>
      <w:r w:rsidR="0060464D">
        <w:t xml:space="preserve">conditions </w:t>
      </w:r>
      <w:r w:rsidR="00432DDD">
        <w:t>in 2023</w:t>
      </w:r>
      <w:r w:rsidR="0060464D">
        <w:t>,</w:t>
      </w:r>
      <w:r w:rsidR="00432DDD">
        <w:t xml:space="preserve"> and the sample </w:t>
      </w:r>
      <w:r w:rsidR="0060464D">
        <w:t xml:space="preserve">households </w:t>
      </w:r>
      <w:r w:rsidR="00432DDD">
        <w:t xml:space="preserve">assigned to </w:t>
      </w:r>
      <w:r w:rsidR="0060464D">
        <w:t xml:space="preserve">the </w:t>
      </w:r>
      <w:r w:rsidR="00432DDD">
        <w:t>$80</w:t>
      </w:r>
      <w:r w:rsidR="0060464D">
        <w:t xml:space="preserve"> condition</w:t>
      </w:r>
      <w:r w:rsidR="00432DDD">
        <w:t xml:space="preserve"> in 202</w:t>
      </w:r>
      <w:r w:rsidR="0060464D">
        <w:t>2</w:t>
      </w:r>
      <w:r w:rsidR="00432DDD">
        <w:t xml:space="preserve"> </w:t>
      </w:r>
      <w:r w:rsidR="0060464D">
        <w:t>are</w:t>
      </w:r>
      <w:r w:rsidR="00432DDD">
        <w:t xml:space="preserve"> grouped together </w:t>
      </w:r>
      <w:r w:rsidR="00F24782">
        <w:t xml:space="preserve">with </w:t>
      </w:r>
      <w:r w:rsidR="0060464D">
        <w:t xml:space="preserve">households assigned to the </w:t>
      </w:r>
      <w:r w:rsidR="003E2AAD">
        <w:t>$60 condition in analyses.</w:t>
      </w:r>
    </w:p>
    <w:p w:rsidR="00B0549D" w:rsidP="00AD063B" w14:paraId="3899D766" w14:textId="456663C5"/>
    <w:p w:rsidR="00FC6F2C" w:rsidRPr="006871BC" w:rsidP="0060464D" w14:paraId="07B09427" w14:textId="4609F82B">
      <w:r>
        <w:rPr>
          <w:b/>
          <w:bCs/>
        </w:rPr>
        <w:t xml:space="preserve">1. </w:t>
      </w:r>
      <w:r w:rsidRPr="006871BC" w:rsidR="005E670F">
        <w:rPr>
          <w:b/>
          <w:bCs/>
        </w:rPr>
        <w:t>Response rates</w:t>
      </w:r>
      <w:r w:rsidRPr="006871BC" w:rsidR="005E670F">
        <w:t xml:space="preserve">. </w:t>
      </w:r>
      <w:r w:rsidRPr="006871BC">
        <w:t>For these interim findings during implementation of the</w:t>
      </w:r>
      <w:r w:rsidRPr="006871BC" w:rsidR="001C6C57">
        <w:t xml:space="preserve"> incentive</w:t>
      </w:r>
      <w:r w:rsidRPr="006871BC">
        <w:t xml:space="preserve"> experiment, results are restricted to response rates; as </w:t>
      </w:r>
      <w:r w:rsidRPr="006871BC" w:rsidR="00BF31C1">
        <w:t>Quarters 1</w:t>
      </w:r>
      <w:r w:rsidR="001048E7">
        <w:t xml:space="preserve"> and</w:t>
      </w:r>
      <w:r w:rsidR="00F24782">
        <w:t xml:space="preserve"> </w:t>
      </w:r>
      <w:r w:rsidRPr="006871BC" w:rsidR="00BF31C1">
        <w:t>2 of 2023 are</w:t>
      </w:r>
      <w:r w:rsidRPr="006871BC" w:rsidR="00FC1F94">
        <w:t xml:space="preserve"> </w:t>
      </w:r>
      <w:r w:rsidRPr="006871BC" w:rsidR="00B13B11">
        <w:t>completed</w:t>
      </w:r>
      <w:r w:rsidRPr="006871BC">
        <w:t>, the data will allow for examination of the impact on demographic distributions.</w:t>
      </w:r>
    </w:p>
    <w:p w:rsidR="0019444E" w:rsidRPr="0019444E" w:rsidP="0019444E" w14:paraId="2C5EE791" w14:textId="77777777"/>
    <w:p w:rsidR="002F4FFC" w:rsidRPr="00EE35DC" w:rsidP="00EE35DC" w14:paraId="279F81B4" w14:textId="24C38658">
      <w:r w:rsidRPr="00EE35DC">
        <w:t>The interim AAPOR RR4</w:t>
      </w:r>
      <w:r>
        <w:rPr>
          <w:rStyle w:val="FootnoteReference"/>
        </w:rPr>
        <w:footnoteReference w:id="3"/>
      </w:r>
      <w:r w:rsidRPr="00EE35DC">
        <w:t xml:space="preserve"> unweighted response rates for the screener, conditional male and female, and overall male and female response rates for the three incentive conditions are shown in </w:t>
      </w:r>
      <w:r w:rsidRPr="00337DCC">
        <w:rPr>
          <w:b/>
          <w:bCs/>
        </w:rPr>
        <w:t>Table 1</w:t>
      </w:r>
      <w:r w:rsidRPr="00EE35DC">
        <w:t xml:space="preserve">. </w:t>
      </w:r>
      <w:r w:rsidR="003E2AAD">
        <w:t>The</w:t>
      </w:r>
      <w:r w:rsidRPr="00EE35DC" w:rsidR="003E2AAD">
        <w:t xml:space="preserve"> </w:t>
      </w:r>
      <w:r w:rsidRPr="00EE35DC" w:rsidR="005D02E5">
        <w:t xml:space="preserve">experimental Phase 1&amp;2 incentive conditions ($60 and $80) lead to substantially higher response rates compared to the current Phase 1&amp;2 incentive amount ($40). </w:t>
      </w:r>
      <w:r w:rsidR="008C5E66">
        <w:t>T</w:t>
      </w:r>
      <w:r w:rsidRPr="00EE35DC" w:rsidR="005D02E5">
        <w:t xml:space="preserve">he $60 condition has led to a </w:t>
      </w:r>
      <w:r w:rsidR="00432DDD">
        <w:t>11</w:t>
      </w:r>
      <w:r w:rsidRPr="00EE35DC" w:rsidR="00705AB0">
        <w:t xml:space="preserve">% increase in the male survey response rate </w:t>
      </w:r>
      <m:oMath>
        <m:r>
          <m:rPr>
            <m:sty m:val="p"/>
          </m:rP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28.7-26.0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26.0</m:t>
            </m:r>
          </m:den>
        </m:f>
        <m:r>
          <m:rPr>
            <m:sty m:val="p"/>
          </m:rPr>
          <w:rPr>
            <w:rFonts w:ascii="Cambria Math" w:hAnsi="Cambria Math"/>
          </w:rPr>
          <m:t>=11)</m:t>
        </m:r>
      </m:oMath>
      <w:r w:rsidRPr="00EE35DC" w:rsidR="003A389B">
        <w:t xml:space="preserve"> and a </w:t>
      </w:r>
      <w:r w:rsidR="00432DDD">
        <w:t>6</w:t>
      </w:r>
      <w:r w:rsidRPr="00EE35DC" w:rsidR="003A389B">
        <w:t xml:space="preserve">% increase in the female survey response rate </w:t>
      </w:r>
      <m:oMath>
        <m:r>
          <m:rPr>
            <m:sty m:val="p"/>
          </m:rP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27.6-26.0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26.0</m:t>
            </m:r>
          </m:den>
        </m:f>
        <m:r>
          <m:rPr>
            <m:sty m:val="p"/>
          </m:rPr>
          <w:rPr>
            <w:rFonts w:ascii="Cambria Math" w:hAnsi="Cambria Math"/>
          </w:rPr>
          <m:t>=6)</m:t>
        </m:r>
      </m:oMath>
      <w:r w:rsidRPr="00EE35DC" w:rsidR="003A389B">
        <w:t>.</w:t>
      </w:r>
      <w:r w:rsidRPr="00EE35DC" w:rsidR="00B74B89">
        <w:t xml:space="preserve"> </w:t>
      </w:r>
    </w:p>
    <w:p w:rsidR="002F4FFC" w:rsidP="002F4FFC" w14:paraId="2D3FAB83" w14:textId="77777777"/>
    <w:p w:rsidR="002F4FFC" w:rsidRPr="00C1055A" w:rsidP="002F4FFC" w14:paraId="7EA38140" w14:textId="5E093C48">
      <w:pPr>
        <w:keepNext/>
        <w:ind w:left="864" w:hanging="864"/>
        <w:rPr>
          <w:b/>
          <w:bCs/>
        </w:rPr>
      </w:pPr>
      <w:r w:rsidRPr="00C1055A">
        <w:rPr>
          <w:b/>
          <w:bCs/>
        </w:rPr>
        <w:t xml:space="preserve">Table </w:t>
      </w:r>
      <w:r w:rsidR="00FC6F2C">
        <w:rPr>
          <w:b/>
          <w:bCs/>
        </w:rPr>
        <w:t>1</w:t>
      </w:r>
      <w:r w:rsidRPr="00C1055A">
        <w:rPr>
          <w:b/>
          <w:bCs/>
        </w:rPr>
        <w:t xml:space="preserve">. </w:t>
      </w:r>
      <w:r w:rsidR="0093102F">
        <w:rPr>
          <w:b/>
          <w:bCs/>
        </w:rPr>
        <w:t xml:space="preserve">Unweighted </w:t>
      </w:r>
      <w:r>
        <w:rPr>
          <w:b/>
          <w:bCs/>
        </w:rPr>
        <w:t>Response Rates by Incentive Condition</w:t>
      </w:r>
      <w:r w:rsidRPr="00C1055A">
        <w:rPr>
          <w:b/>
          <w:bCs/>
        </w:rPr>
        <w:t xml:space="preserve">, </w:t>
      </w:r>
      <w:r w:rsidR="00BF05CD">
        <w:rPr>
          <w:b/>
          <w:bCs/>
        </w:rPr>
        <w:t xml:space="preserve">2022 </w:t>
      </w:r>
      <w:r w:rsidRPr="00C1055A">
        <w:rPr>
          <w:b/>
          <w:bCs/>
        </w:rPr>
        <w:t xml:space="preserve">Quarter </w:t>
      </w:r>
      <w:r>
        <w:rPr>
          <w:b/>
          <w:bCs/>
        </w:rPr>
        <w:t>3</w:t>
      </w:r>
      <w:r w:rsidR="00BF05CD">
        <w:rPr>
          <w:b/>
          <w:bCs/>
        </w:rPr>
        <w:t xml:space="preserve"> and </w:t>
      </w:r>
      <w:r w:rsidR="00BF31C1">
        <w:rPr>
          <w:b/>
          <w:bCs/>
        </w:rPr>
        <w:t>4</w:t>
      </w:r>
      <w:r w:rsidR="00BF05CD">
        <w:rPr>
          <w:b/>
          <w:bCs/>
        </w:rPr>
        <w:t>, 2023 Quarter 1</w:t>
      </w:r>
      <w:r w:rsidR="0095186B">
        <w:rPr>
          <w:b/>
          <w:bCs/>
        </w:rPr>
        <w:t>,</w:t>
      </w:r>
      <w:r w:rsidR="00BF05CD">
        <w:rPr>
          <w:b/>
          <w:bCs/>
        </w:rPr>
        <w:t xml:space="preserve"> and Phases 1&amp;2 of Quarter 2</w:t>
      </w:r>
      <w:r w:rsidRPr="00C1055A">
        <w:rPr>
          <w:b/>
          <w:bCs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960"/>
        <w:gridCol w:w="1800"/>
        <w:gridCol w:w="1800"/>
        <w:gridCol w:w="1710"/>
      </w:tblGrid>
      <w:tr w14:paraId="5C71F7D4" w14:textId="77777777" w:rsidTr="00214121">
        <w:tblPrEx>
          <w:tblW w:w="0" w:type="auto"/>
          <w:tblBorders>
            <w:left w:val="none" w:sz="0" w:space="0" w:color="auto"/>
            <w:right w:val="none" w:sz="0" w:space="0" w:color="auto"/>
          </w:tblBorders>
          <w:tblLook w:val="04A0"/>
        </w:tblPrEx>
        <w:tc>
          <w:tcPr>
            <w:tcW w:w="3960" w:type="dxa"/>
            <w:tcBorders>
              <w:bottom w:val="nil"/>
            </w:tcBorders>
          </w:tcPr>
          <w:p w:rsidR="00DC3F0B" w:rsidRPr="007C2593" w:rsidP="00B346C1" w14:paraId="2EF30821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tcBorders>
              <w:bottom w:val="nil"/>
            </w:tcBorders>
          </w:tcPr>
          <w:p w:rsidR="00DC3F0B" w:rsidRPr="007C2593" w:rsidP="00B346C1" w14:paraId="255F84AF" w14:textId="63778A9B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7C2593">
              <w:rPr>
                <w:b/>
                <w:bCs/>
                <w:sz w:val="24"/>
                <w:szCs w:val="24"/>
              </w:rPr>
              <w:t>Phase 1&amp;2 Incentive Condition</w:t>
            </w:r>
          </w:p>
        </w:tc>
      </w:tr>
      <w:tr w14:paraId="2A31C179" w14:textId="77777777" w:rsidTr="00214121">
        <w:tblPrEx>
          <w:tblW w:w="0" w:type="auto"/>
          <w:tblLook w:val="04A0"/>
        </w:tblPrEx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DC3F0B" w:rsidRPr="007C2593" w:rsidP="0053566A" w14:paraId="1BB597D8" w14:textId="77777777">
            <w:pPr>
              <w:keepNext/>
              <w:rPr>
                <w:b/>
                <w:bCs/>
                <w:sz w:val="24"/>
                <w:szCs w:val="24"/>
              </w:rPr>
            </w:pPr>
            <w:r w:rsidRPr="007C259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DC3F0B" w:rsidP="0053566A" w14:paraId="74D01ED6" w14:textId="7777777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7C2593">
              <w:rPr>
                <w:b/>
                <w:bCs/>
                <w:sz w:val="24"/>
                <w:szCs w:val="24"/>
              </w:rPr>
              <w:t>$40</w:t>
            </w:r>
          </w:p>
          <w:p w:rsidR="00EA78C1" w:rsidRPr="007C2593" w:rsidP="0053566A" w14:paraId="208F067F" w14:textId="56B82B7C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n=</w:t>
            </w:r>
            <w:r w:rsidR="00BF05CD">
              <w:rPr>
                <w:b/>
                <w:bCs/>
                <w:sz w:val="24"/>
                <w:szCs w:val="24"/>
              </w:rPr>
              <w:t>17,882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78C1" w:rsidP="00EA78C1" w14:paraId="271EDA91" w14:textId="2D63639C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7C2593">
              <w:rPr>
                <w:b/>
                <w:bCs/>
                <w:sz w:val="24"/>
                <w:szCs w:val="24"/>
              </w:rPr>
              <w:t>$60</w:t>
            </w:r>
            <w:r w:rsidR="00BF05CD">
              <w:rPr>
                <w:b/>
                <w:bCs/>
                <w:sz w:val="24"/>
                <w:szCs w:val="24"/>
              </w:rPr>
              <w:t xml:space="preserve"> &amp; $80</w:t>
            </w:r>
          </w:p>
          <w:p w:rsidR="00DC3F0B" w:rsidRPr="007C2593" w:rsidP="00EA78C1" w14:paraId="29F9057D" w14:textId="72692662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n=</w:t>
            </w:r>
            <w:r w:rsidR="00BF05CD">
              <w:rPr>
                <w:b/>
                <w:bCs/>
                <w:sz w:val="24"/>
                <w:szCs w:val="24"/>
              </w:rPr>
              <w:t>35,776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3F0B" w:rsidRPr="007C2593" w:rsidP="00EA78C1" w14:paraId="51544D99" w14:textId="28487D9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Difference</w:t>
            </w:r>
          </w:p>
        </w:tc>
      </w:tr>
      <w:tr w14:paraId="7A4514F4" w14:textId="77777777" w:rsidTr="00214121">
        <w:tblPrEx>
          <w:tblW w:w="0" w:type="auto"/>
          <w:tblLook w:val="04A0"/>
        </w:tblPrEx>
        <w:tc>
          <w:tcPr>
            <w:tcW w:w="3960" w:type="dxa"/>
            <w:tcBorders>
              <w:bottom w:val="nil"/>
            </w:tcBorders>
          </w:tcPr>
          <w:p w:rsidR="00D94AAA" w:rsidRPr="007C2593" w:rsidP="00D94AAA" w14:paraId="66622823" w14:textId="2E66BB37">
            <w:pPr>
              <w:keepNext/>
              <w:rPr>
                <w:sz w:val="24"/>
                <w:szCs w:val="24"/>
              </w:rPr>
            </w:pPr>
            <w:r w:rsidRPr="007C2593">
              <w:rPr>
                <w:sz w:val="24"/>
                <w:szCs w:val="24"/>
              </w:rPr>
              <w:t>Screener</w:t>
            </w: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D94AAA" w:rsidRPr="00D94AAA" w:rsidP="00D94AAA" w14:paraId="5EAAC08C" w14:textId="0C71FD2A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44.9%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bottom"/>
          </w:tcPr>
          <w:p w:rsidR="00D94AAA" w:rsidRPr="00D94AAA" w:rsidP="00D94AAA" w14:paraId="57A9A209" w14:textId="73C9AE16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44.7%</w:t>
            </w:r>
          </w:p>
        </w:tc>
        <w:tc>
          <w:tcPr>
            <w:tcW w:w="1710" w:type="dxa"/>
            <w:tcBorders>
              <w:left w:val="single" w:sz="4" w:space="0" w:color="auto"/>
              <w:bottom w:val="nil"/>
            </w:tcBorders>
            <w:vAlign w:val="bottom"/>
          </w:tcPr>
          <w:p w:rsidR="00D94AAA" w:rsidRPr="00D94AAA" w:rsidP="00D94AAA" w14:paraId="21BA11AE" w14:textId="7AAB3248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-0.2%</w:t>
            </w:r>
          </w:p>
        </w:tc>
      </w:tr>
      <w:tr w14:paraId="023CC7C1" w14:textId="77777777" w:rsidTr="00214121">
        <w:tblPrEx>
          <w:tblW w:w="0" w:type="auto"/>
          <w:tblLook w:val="04A0"/>
        </w:tblPrEx>
        <w:tc>
          <w:tcPr>
            <w:tcW w:w="3960" w:type="dxa"/>
            <w:tcBorders>
              <w:top w:val="nil"/>
              <w:bottom w:val="nil"/>
            </w:tcBorders>
          </w:tcPr>
          <w:p w:rsidR="00D94AAA" w:rsidRPr="007C2593" w:rsidP="00D94AAA" w14:paraId="405079AA" w14:textId="7984AF37">
            <w:pPr>
              <w:keepNext/>
              <w:rPr>
                <w:sz w:val="24"/>
                <w:szCs w:val="24"/>
              </w:rPr>
            </w:pPr>
            <w:r w:rsidRPr="007C2593">
              <w:rPr>
                <w:sz w:val="24"/>
                <w:szCs w:val="24"/>
              </w:rPr>
              <w:t>Male Survey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:rsidR="00D94AAA" w:rsidRPr="00D94AAA" w:rsidP="00D94AAA" w14:paraId="6A5857CE" w14:textId="7B90F071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58.0%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94AAA" w:rsidRPr="00D94AAA" w:rsidP="00D94AAA" w14:paraId="5A2D6D00" w14:textId="7A590A5B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64.3%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94AAA" w:rsidRPr="00D94AAA" w:rsidP="00D94AAA" w14:paraId="1BBB79CF" w14:textId="2B8B9538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6.4%</w:t>
            </w:r>
            <w:r>
              <w:rPr>
                <w:color w:val="000000"/>
                <w:sz w:val="24"/>
                <w:szCs w:val="24"/>
              </w:rPr>
              <w:t>**</w:t>
            </w:r>
          </w:p>
        </w:tc>
      </w:tr>
      <w:tr w14:paraId="0C76F225" w14:textId="77777777" w:rsidTr="00214121">
        <w:tblPrEx>
          <w:tblW w:w="0" w:type="auto"/>
          <w:tblLook w:val="04A0"/>
        </w:tblPrEx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D94AAA" w:rsidRPr="007C2593" w:rsidP="00D94AAA" w14:paraId="407C94A9" w14:textId="5003162A">
            <w:pPr>
              <w:keepNext/>
              <w:rPr>
                <w:sz w:val="24"/>
                <w:szCs w:val="24"/>
              </w:rPr>
            </w:pPr>
            <w:r w:rsidRPr="007C2593">
              <w:rPr>
                <w:sz w:val="24"/>
                <w:szCs w:val="24"/>
              </w:rPr>
              <w:t>Female Survey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:rsidR="00D94AAA" w:rsidRPr="00D94AAA" w:rsidP="00D94AAA" w14:paraId="065FE58C" w14:textId="7F2E5B8C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58.0%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AAA" w:rsidRPr="00D94AAA" w:rsidP="00D94AAA" w14:paraId="27F5F0A5" w14:textId="7BB97412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61.7%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94AAA" w:rsidRPr="00D94AAA" w:rsidP="00D94AAA" w14:paraId="211DBA0B" w14:textId="5DFF3A90">
            <w:pPr>
              <w:keepNext/>
              <w:jc w:val="center"/>
              <w:rPr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3.7%</w:t>
            </w:r>
            <w:r>
              <w:rPr>
                <w:color w:val="000000"/>
                <w:sz w:val="24"/>
                <w:szCs w:val="24"/>
              </w:rPr>
              <w:t>**</w:t>
            </w:r>
          </w:p>
        </w:tc>
      </w:tr>
      <w:tr w14:paraId="50FA3BB3" w14:textId="77777777" w:rsidTr="00214121">
        <w:tblPrEx>
          <w:tblW w:w="0" w:type="auto"/>
          <w:tblLook w:val="04A0"/>
        </w:tblPrEx>
        <w:tc>
          <w:tcPr>
            <w:tcW w:w="3960" w:type="dxa"/>
            <w:tcBorders>
              <w:bottom w:val="nil"/>
            </w:tcBorders>
          </w:tcPr>
          <w:p w:rsidR="00D94AAA" w:rsidRPr="007C2593" w:rsidP="00D94AAA" w14:paraId="139E36C7" w14:textId="33D11B75">
            <w:pPr>
              <w:keepNext/>
              <w:rPr>
                <w:b/>
                <w:bCs/>
                <w:sz w:val="24"/>
                <w:szCs w:val="24"/>
              </w:rPr>
            </w:pPr>
            <w:r w:rsidRPr="007C2593">
              <w:rPr>
                <w:b/>
                <w:bCs/>
                <w:sz w:val="24"/>
                <w:szCs w:val="24"/>
              </w:rPr>
              <w:t>Overall Male Response Rate</w:t>
            </w:r>
          </w:p>
        </w:tc>
        <w:tc>
          <w:tcPr>
            <w:tcW w:w="1800" w:type="dxa"/>
            <w:tcBorders>
              <w:bottom w:val="nil"/>
            </w:tcBorders>
            <w:vAlign w:val="bottom"/>
          </w:tcPr>
          <w:p w:rsidR="00D94AAA" w:rsidRPr="00D94AAA" w:rsidP="00D94AAA" w14:paraId="37A81FCC" w14:textId="1483C551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26.0%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bottom"/>
          </w:tcPr>
          <w:p w:rsidR="00D94AAA" w:rsidRPr="00D94AAA" w:rsidP="00D94AAA" w14:paraId="47D8B518" w14:textId="03302B76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28.7%</w:t>
            </w:r>
          </w:p>
        </w:tc>
        <w:tc>
          <w:tcPr>
            <w:tcW w:w="1710" w:type="dxa"/>
            <w:tcBorders>
              <w:left w:val="single" w:sz="4" w:space="0" w:color="auto"/>
              <w:bottom w:val="nil"/>
            </w:tcBorders>
            <w:vAlign w:val="bottom"/>
          </w:tcPr>
          <w:p w:rsidR="00D94AAA" w:rsidRPr="00D94AAA" w:rsidP="00D94AAA" w14:paraId="5FA82758" w14:textId="1FAA62D7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2.7%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14:paraId="3C93F802" w14:textId="77777777" w:rsidTr="00214121">
        <w:tblPrEx>
          <w:tblW w:w="0" w:type="auto"/>
          <w:tblLook w:val="04A0"/>
        </w:tblPrEx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D94AAA" w:rsidRPr="007C2593" w:rsidP="00D94AAA" w14:paraId="2C576D77" w14:textId="78173456">
            <w:pPr>
              <w:keepNext/>
              <w:rPr>
                <w:b/>
                <w:bCs/>
                <w:sz w:val="24"/>
                <w:szCs w:val="24"/>
              </w:rPr>
            </w:pPr>
            <w:r w:rsidRPr="007C2593">
              <w:rPr>
                <w:b/>
                <w:bCs/>
                <w:sz w:val="24"/>
                <w:szCs w:val="24"/>
              </w:rPr>
              <w:t>Overall Female Response Rate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:rsidR="00D94AAA" w:rsidRPr="00D94AAA" w:rsidP="00D94AAA" w14:paraId="310F4992" w14:textId="6D4BD635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26.0%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AAA" w:rsidRPr="00D94AAA" w:rsidP="00D94AAA" w14:paraId="328629A0" w14:textId="049032B0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27.6%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94AAA" w:rsidRPr="00D94AAA" w:rsidP="00D94AAA" w14:paraId="5FF7B2D1" w14:textId="1B6D524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402C36">
              <w:rPr>
                <w:color w:val="000000"/>
                <w:sz w:val="24"/>
                <w:szCs w:val="24"/>
              </w:rPr>
              <w:t>1.5%</w:t>
            </w:r>
          </w:p>
        </w:tc>
      </w:tr>
    </w:tbl>
    <w:p w:rsidR="0055143D" w:rsidRPr="0095186B" w:rsidP="002F4FFC" w14:paraId="0C7FB7C9" w14:textId="5119E77C">
      <w:pPr>
        <w:rPr>
          <w:sz w:val="20"/>
          <w:szCs w:val="20"/>
        </w:rPr>
      </w:pPr>
      <w:r w:rsidRPr="0095186B">
        <w:rPr>
          <w:sz w:val="20"/>
          <w:szCs w:val="20"/>
        </w:rPr>
        <w:t xml:space="preserve">* Statistically significant at </w:t>
      </w:r>
      <w:r w:rsidRPr="0095186B">
        <w:rPr>
          <w:rFonts w:ascii="Symbol" w:hAnsi="Symbol"/>
          <w:sz w:val="20"/>
          <w:szCs w:val="20"/>
        </w:rPr>
        <w:sym w:font="Symbol" w:char="F061"/>
      </w:r>
      <w:r w:rsidRPr="0095186B">
        <w:rPr>
          <w:sz w:val="20"/>
          <w:szCs w:val="20"/>
        </w:rPr>
        <w:t>=0.</w:t>
      </w:r>
      <w:r w:rsidR="00402C36">
        <w:rPr>
          <w:sz w:val="20"/>
          <w:szCs w:val="20"/>
        </w:rPr>
        <w:t>10</w:t>
      </w:r>
    </w:p>
    <w:p w:rsidR="00D94AAA" w:rsidRPr="0095186B" w:rsidP="00D94AAA" w14:paraId="04E6B6A2" w14:textId="5B91C199">
      <w:pPr>
        <w:rPr>
          <w:sz w:val="20"/>
          <w:szCs w:val="20"/>
        </w:rPr>
      </w:pPr>
      <w:r w:rsidRPr="0095186B">
        <w:rPr>
          <w:sz w:val="20"/>
          <w:szCs w:val="20"/>
        </w:rPr>
        <w:t xml:space="preserve">** Statistically significant at </w:t>
      </w:r>
      <w:r w:rsidRPr="0095186B">
        <w:rPr>
          <w:rFonts w:ascii="Symbol" w:hAnsi="Symbol"/>
          <w:sz w:val="20"/>
          <w:szCs w:val="20"/>
        </w:rPr>
        <w:sym w:font="Symbol" w:char="F061"/>
      </w:r>
      <w:r w:rsidRPr="0095186B">
        <w:rPr>
          <w:sz w:val="20"/>
          <w:szCs w:val="20"/>
        </w:rPr>
        <w:t>=0.</w:t>
      </w:r>
      <w:r w:rsidR="00402C36">
        <w:rPr>
          <w:sz w:val="20"/>
          <w:szCs w:val="20"/>
        </w:rPr>
        <w:t>05</w:t>
      </w:r>
    </w:p>
    <w:p w:rsidR="00D94AAA" w:rsidP="002F4FFC" w14:paraId="09E5DFA5" w14:textId="77777777"/>
    <w:p w:rsidR="0087105A" w:rsidRPr="0087105A" w:rsidP="00084F6E" w14:paraId="7F12C578" w14:textId="3C08D336">
      <w:r>
        <w:rPr>
          <w:b/>
          <w:bCs/>
        </w:rPr>
        <w:br w:type="page"/>
      </w:r>
      <w:r w:rsidR="006871BC">
        <w:rPr>
          <w:b/>
          <w:bCs/>
        </w:rPr>
        <w:t xml:space="preserve">2. </w:t>
      </w:r>
      <w:r w:rsidRPr="0087105A" w:rsidR="00874858">
        <w:rPr>
          <w:b/>
          <w:bCs/>
        </w:rPr>
        <w:t>Nonresponse bias</w:t>
      </w:r>
      <w:r w:rsidRPr="0087105A" w:rsidR="00874858">
        <w:t>.</w:t>
      </w:r>
      <w:r w:rsidRPr="0087105A" w:rsidR="003A64E7">
        <w:t xml:space="preserve"> </w:t>
      </w:r>
      <w:r w:rsidRPr="0087105A">
        <w:t xml:space="preserve">Respondent demographic characteristics and substantive estimates such as recent contraceptive use or ever had a child </w:t>
      </w:r>
      <w:r w:rsidR="004B688A">
        <w:t>were</w:t>
      </w:r>
      <w:r w:rsidRPr="0087105A">
        <w:t xml:space="preserve"> used to evaluate sample balance and potential nonresponse bias reduction under the hypothesis that higher response rates through increased incentives should reduce rather than increase nonresponse bias </w:t>
      </w:r>
      <w:r w:rsidRPr="0087105A">
        <w:fldChar w:fldCharType="begin"/>
      </w:r>
      <w:r w:rsidRPr="0087105A">
        <w:instrText xml:space="preserve"> ADDIN EN.CITE &lt;EndNote&gt;&lt;Cite&gt;&lt;Author&gt;Groves&lt;/Author&gt;&lt;Year&gt;2004&lt;/Year&gt;&lt;RecNum&gt;226&lt;/RecNum&gt;&lt;DisplayText&gt;(Groves, Presser and Dipko, 2004; Groves et al., 2006)&lt;/DisplayText&gt;&lt;record&gt;&lt;rec-number&gt;226&lt;/rec-number&gt;&lt;foreign-keys&gt;&lt;key app="EN" db-id="pxe0eptdr05fxpepweypvst6sz9xrps9r55a" timestamp="0"&gt;226&lt;/key&gt;&lt;/foreign-keys&gt;&lt;ref-type name="Journal Article"&gt;17&lt;/ref-type&gt;&lt;contributors&gt;&lt;authors&gt;&lt;author&gt;Groves, Robert M.&lt;/author&gt;&lt;author&gt;Presser, Stanley&lt;/author&gt;&lt;author&gt;Dipko, Sarah&lt;/author&gt;&lt;/authors&gt;&lt;/contributors&gt;&lt;titles&gt;&lt;title&gt;The role of topic interest in survey participation decisions&lt;/title&gt;&lt;secondary-title&gt;Public Opinion Quarterly&lt;/secondary-title&gt;&lt;/titles&gt;&lt;periodical&gt;&lt;full-title&gt;Public Opinion Quarterly&lt;/full-title&gt;&lt;/periodical&gt;&lt;pages&gt;2-31&lt;/pages&gt;&lt;volume&gt;68&lt;/volume&gt;&lt;number&gt;1&lt;/number&gt;&lt;dates&gt;&lt;year&gt;2004&lt;/year&gt;&lt;pub-dates&gt;&lt;date&gt;Spr&lt;/date&gt;&lt;/pub-dates&gt;&lt;/dates&gt;&lt;accession-num&gt;ISI:000221299300001&lt;/accession-num&gt;&lt;urls&gt;&lt;related-urls&gt;&lt;url&gt;&amp;lt;Go to ISI&amp;gt;://000221299300001&lt;/url&gt;&lt;/related-urls&gt;&lt;/urls&gt;&lt;/record&gt;&lt;/Cite&gt;&lt;Cite&gt;&lt;Author&gt;Groves&lt;/Author&gt;&lt;Year&gt;2006&lt;/Year&gt;&lt;RecNum&gt;532&lt;/RecNum&gt;&lt;record&gt;&lt;rec-number&gt;532&lt;/rec-number&gt;&lt;foreign-keys&gt;&lt;key app="EN" db-id="pxe0eptdr05fxpepweypvst6sz9xrps9r55a" timestamp="0"&gt;532&lt;/key&gt;&lt;/foreign-keys&gt;&lt;ref-type name="Journal Article"&gt;17&lt;/ref-type&gt;&lt;contributors&gt;&lt;authors&gt;&lt;author&gt;Robert M. Groves&lt;/author&gt;&lt;author&gt;Mick P. Couper&lt;/author&gt;&lt;author&gt;Stanley Presser&lt;/author&gt;&lt;author&gt;Eleanor Singer&lt;/author&gt;&lt;author&gt;Roger Tourangeau&lt;/author&gt;&lt;author&gt;Giorgina Piani Acosta&lt;/author&gt;&lt;author&gt;Lindsay Nelson&lt;/author&gt;&lt;/authors&gt;&lt;/contributors&gt;&lt;titles&gt;&lt;title&gt;Experiments in Producing Nonresponse Bias&lt;/title&gt;&lt;secondary-title&gt;Public Opinion Quarterly&lt;/secondary-title&gt;&lt;/titles&gt;&lt;periodical&gt;&lt;full-title&gt;Public Opinion Quarterly&lt;/full-title&gt;&lt;/periodical&gt;&lt;pages&gt;720-736&lt;/pages&gt;&lt;volume&gt;70&lt;/volume&gt;&lt;number&gt;5&lt;/number&gt;&lt;dates&gt;&lt;year&gt;2006&lt;/year&gt;&lt;/dates&gt;&lt;urls&gt;&lt;/urls&gt;&lt;/record&gt;&lt;/Cite&gt;&lt;/EndNote&gt;</w:instrText>
      </w:r>
      <w:r w:rsidRPr="0087105A">
        <w:fldChar w:fldCharType="separate"/>
      </w:r>
      <w:r w:rsidRPr="0087105A">
        <w:rPr>
          <w:noProof/>
        </w:rPr>
        <w:t>(Groves, Presser and Dipko, 2004; Groves et al., 2006)</w:t>
      </w:r>
      <w:r w:rsidRPr="0087105A">
        <w:fldChar w:fldCharType="end"/>
      </w:r>
      <w:r w:rsidRPr="0087105A">
        <w:t>.</w:t>
      </w:r>
      <w:r>
        <w:t xml:space="preserve"> Based on the similar response rate increases from the $60 and $80 conditions</w:t>
      </w:r>
      <w:r w:rsidR="0095186B">
        <w:t xml:space="preserve"> seen in Quarters 3 and 4 of 2022</w:t>
      </w:r>
      <w:r>
        <w:t>, the $60 and $80 conditions were combined in the nonresponse bias analyses</w:t>
      </w:r>
      <w:r w:rsidR="003B610E">
        <w:t>, and all experimental condition cases were assigned to $60 in 2023</w:t>
      </w:r>
      <w:r>
        <w:t>.</w:t>
      </w:r>
    </w:p>
    <w:p w:rsidR="0087105A" w:rsidP="0087105A" w14:paraId="0E2E82D5" w14:textId="77777777">
      <w:pPr>
        <w:pStyle w:val="ListParagraph"/>
        <w:rPr>
          <w:rFonts w:ascii="Times New Roman" w:hAnsi="Times New Roman" w:cs="Times New Roman"/>
        </w:rPr>
      </w:pPr>
    </w:p>
    <w:p w:rsidR="0087105A" w:rsidP="0087105A" w14:paraId="295DF122" w14:textId="476B7F05">
      <w:r w:rsidRPr="0087105A">
        <w:t>The nonresponse bias analysis has three subcomponents: (</w:t>
      </w:r>
      <w:r>
        <w:t>a</w:t>
      </w:r>
      <w:r w:rsidRPr="0087105A">
        <w:t>) sample balance for variables available from the screener, (</w:t>
      </w:r>
      <w:r>
        <w:t>b</w:t>
      </w:r>
      <w:r w:rsidRPr="0087105A">
        <w:t>) differences in other socio-demographic variables available in the main survey, and (</w:t>
      </w:r>
      <w:r>
        <w:t>c</w:t>
      </w:r>
      <w:r w:rsidRPr="0087105A">
        <w:t>) differences in selected key statistics from NSFG.</w:t>
      </w:r>
    </w:p>
    <w:p w:rsidR="00CE41AA" w:rsidP="0087105A" w14:paraId="0277AE49" w14:textId="77777777"/>
    <w:p w:rsidR="00CE41AA" w:rsidRPr="00527DF4" w:rsidP="0087105A" w14:paraId="0ADDCD62" w14:textId="621018E5">
      <w:r w:rsidRPr="00527DF4">
        <w:t>C</w:t>
      </w:r>
      <w:r w:rsidRPr="00527DF4" w:rsidR="0097314B">
        <w:t>ompletion rates by race/ethnicity, sex, and age group based on d</w:t>
      </w:r>
      <w:r w:rsidRPr="00527DF4">
        <w:t>ata from Quarters 1&amp;2 of 2022</w:t>
      </w:r>
      <w:r w:rsidRPr="00527DF4">
        <w:t xml:space="preserve"> are shown in </w:t>
      </w:r>
      <w:r w:rsidRPr="00527DF4">
        <w:rPr>
          <w:b/>
          <w:bCs/>
        </w:rPr>
        <w:t>Table 2</w:t>
      </w:r>
      <w:r w:rsidRPr="00527DF4" w:rsidR="0097314B">
        <w:t xml:space="preserve">. </w:t>
      </w:r>
      <w:r w:rsidRPr="00527DF4">
        <w:t>Most noteworthy are the lower participation rates for individuals of Hispanic origin (42%) and for teenagers (43%).</w:t>
      </w:r>
    </w:p>
    <w:p w:rsidR="0097314B" w:rsidRPr="00527DF4" w:rsidP="0087105A" w14:paraId="41D45C31" w14:textId="77777777"/>
    <w:p w:rsidR="0097314B" w:rsidRPr="00527DF4" w:rsidP="0087105A" w14:paraId="6A18F7B5" w14:textId="06DFEE69">
      <w:r w:rsidRPr="00527DF4">
        <w:rPr>
          <w:b/>
          <w:bCs/>
        </w:rPr>
        <w:t>Table 2. Main Interview Completion Rates by Demographic Subgroups Prior to the Incentive Experiment, Quarters 1&amp;2 of 2022</w:t>
      </w:r>
      <w:r w:rsidRPr="00527DF4" w:rsidR="003B610E">
        <w:rPr>
          <w:b/>
          <w:bCs/>
        </w:rPr>
        <w:t xml:space="preserve"> (prior to the incentive experiment)</w:t>
      </w:r>
      <w:r w:rsidRPr="00527DF4">
        <w:rPr>
          <w:b/>
          <w:bCs/>
        </w:rPr>
        <w:t>.</w:t>
      </w:r>
    </w:p>
    <w:tbl>
      <w:tblPr>
        <w:tblStyle w:val="TableGrid"/>
        <w:tblW w:w="0" w:type="auto"/>
        <w:tblLook w:val="04A0"/>
      </w:tblPr>
      <w:tblGrid>
        <w:gridCol w:w="2065"/>
        <w:gridCol w:w="2070"/>
        <w:gridCol w:w="2070"/>
      </w:tblGrid>
      <w:tr w14:paraId="10A96EB3" w14:textId="77777777" w:rsidTr="0097314B">
        <w:tblPrEx>
          <w:tblW w:w="0" w:type="auto"/>
          <w:tblLook w:val="04A0"/>
        </w:tblPrEx>
        <w:tc>
          <w:tcPr>
            <w:tcW w:w="2065" w:type="dxa"/>
            <w:tcBorders>
              <w:bottom w:val="single" w:sz="4" w:space="0" w:color="auto"/>
            </w:tcBorders>
            <w:vAlign w:val="bottom"/>
          </w:tcPr>
          <w:p w:rsidR="0097314B" w:rsidRPr="00527DF4" w:rsidP="0097314B" w14:paraId="6DDDD188" w14:textId="4C004AB7"/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97314B" w:rsidRPr="00527DF4" w:rsidP="0097314B" w14:paraId="71BC35C5" w14:textId="7E1DCB50">
            <w:r w:rsidRPr="00527DF4">
              <w:rPr>
                <w:b/>
                <w:bCs/>
              </w:rPr>
              <w:t>Number Eligible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97314B" w:rsidRPr="00527DF4" w:rsidP="0097314B" w14:paraId="5C67AECA" w14:textId="580DC39B">
            <w:r w:rsidRPr="00527DF4">
              <w:rPr>
                <w:b/>
                <w:bCs/>
              </w:rPr>
              <w:t>Percent Complete</w:t>
            </w:r>
          </w:p>
        </w:tc>
      </w:tr>
      <w:tr w14:paraId="451ADAB1" w14:textId="77777777" w:rsidTr="0097314B">
        <w:tblPrEx>
          <w:tblW w:w="0" w:type="auto"/>
          <w:tblLook w:val="04A0"/>
        </w:tblPrEx>
        <w:tc>
          <w:tcPr>
            <w:tcW w:w="2065" w:type="dxa"/>
            <w:tcBorders>
              <w:right w:val="nil"/>
            </w:tcBorders>
            <w:vAlign w:val="center"/>
          </w:tcPr>
          <w:p w:rsidR="0097314B" w:rsidRPr="00527DF4" w:rsidP="0097314B" w14:paraId="4F089168" w14:textId="7B3C24F8">
            <w:r w:rsidRPr="00527DF4">
              <w:rPr>
                <w:b/>
                <w:bCs/>
                <w:i/>
                <w:iCs/>
              </w:rPr>
              <w:t>Race/Ethnicity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97314B" w:rsidRPr="00527DF4" w:rsidP="0097314B" w14:paraId="16BF2E75" w14:textId="77777777"/>
        </w:tc>
        <w:tc>
          <w:tcPr>
            <w:tcW w:w="2070" w:type="dxa"/>
            <w:tcBorders>
              <w:left w:val="nil"/>
            </w:tcBorders>
          </w:tcPr>
          <w:p w:rsidR="0097314B" w:rsidRPr="00527DF4" w:rsidP="0097314B" w14:paraId="3F65F2A8" w14:textId="77777777"/>
        </w:tc>
      </w:tr>
      <w:tr w14:paraId="2BA3A889" w14:textId="77777777" w:rsidTr="0097314B">
        <w:tblPrEx>
          <w:tblW w:w="0" w:type="auto"/>
          <w:tblLook w:val="04A0"/>
        </w:tblPrEx>
        <w:tc>
          <w:tcPr>
            <w:tcW w:w="2065" w:type="dxa"/>
            <w:vAlign w:val="center"/>
          </w:tcPr>
          <w:p w:rsidR="0097314B" w:rsidRPr="00527DF4" w:rsidP="0097314B" w14:paraId="324492F7" w14:textId="4D632E90">
            <w:r w:rsidRPr="00527DF4">
              <w:t>Hispanic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0BC6DF55" w14:textId="5745F12A">
            <w:pPr>
              <w:jc w:val="right"/>
            </w:pPr>
            <w:r w:rsidRPr="00527DF4">
              <w:t>375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67726BEF" w14:textId="3141C0C9">
            <w:pPr>
              <w:jc w:val="right"/>
            </w:pPr>
            <w:r w:rsidRPr="00527DF4">
              <w:t>42.4%</w:t>
            </w:r>
          </w:p>
        </w:tc>
      </w:tr>
      <w:tr w14:paraId="3255B484" w14:textId="77777777" w:rsidTr="0097314B">
        <w:tblPrEx>
          <w:tblW w:w="0" w:type="auto"/>
          <w:tblLook w:val="04A0"/>
        </w:tblPrEx>
        <w:tc>
          <w:tcPr>
            <w:tcW w:w="2065" w:type="dxa"/>
            <w:vAlign w:val="center"/>
          </w:tcPr>
          <w:p w:rsidR="0097314B" w:rsidRPr="00527DF4" w:rsidP="0097314B" w14:paraId="40855B26" w14:textId="70FE1683">
            <w:r w:rsidRPr="00527DF4">
              <w:t>Black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5706904D" w14:textId="428DA168">
            <w:pPr>
              <w:jc w:val="right"/>
            </w:pPr>
            <w:r w:rsidRPr="00527DF4">
              <w:t>217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31DACF76" w14:textId="4E75EA12">
            <w:pPr>
              <w:jc w:val="right"/>
            </w:pPr>
            <w:r w:rsidRPr="00527DF4">
              <w:t>52.5%</w:t>
            </w:r>
          </w:p>
        </w:tc>
      </w:tr>
      <w:tr w14:paraId="03A79D0C" w14:textId="77777777" w:rsidTr="0097314B">
        <w:tblPrEx>
          <w:tblW w:w="0" w:type="auto"/>
          <w:tblLook w:val="04A0"/>
        </w:tblPrEx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97314B" w:rsidRPr="00527DF4" w:rsidP="0097314B" w14:paraId="1CFAECD8" w14:textId="5EB29560">
            <w:r w:rsidRPr="00527DF4">
              <w:t>White &amp; Other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97314B" w:rsidRPr="00527DF4" w:rsidP="00E25856" w14:paraId="615CD97B" w14:textId="1CA1A5D5">
            <w:pPr>
              <w:jc w:val="right"/>
            </w:pPr>
            <w:r w:rsidRPr="00527DF4">
              <w:t>1,288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97314B" w:rsidRPr="00527DF4" w:rsidP="00E25856" w14:paraId="42103AAB" w14:textId="0063A86F">
            <w:pPr>
              <w:jc w:val="right"/>
            </w:pPr>
            <w:r w:rsidRPr="00527DF4">
              <w:t>50.8%</w:t>
            </w:r>
          </w:p>
        </w:tc>
      </w:tr>
      <w:tr w14:paraId="766D5CA9" w14:textId="77777777" w:rsidTr="0097314B">
        <w:tblPrEx>
          <w:tblW w:w="0" w:type="auto"/>
          <w:tblLook w:val="04A0"/>
        </w:tblPrEx>
        <w:tc>
          <w:tcPr>
            <w:tcW w:w="2065" w:type="dxa"/>
            <w:tcBorders>
              <w:right w:val="nil"/>
            </w:tcBorders>
            <w:vAlign w:val="center"/>
          </w:tcPr>
          <w:p w:rsidR="0097314B" w:rsidRPr="00527DF4" w:rsidP="0097314B" w14:paraId="5040908D" w14:textId="04197266">
            <w:r w:rsidRPr="00527DF4">
              <w:rPr>
                <w:b/>
                <w:bCs/>
                <w:i/>
                <w:iCs/>
              </w:rPr>
              <w:t>Sex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97314B" w:rsidRPr="00527DF4" w:rsidP="00E25856" w14:paraId="57F65E18" w14:textId="77777777">
            <w:pPr>
              <w:jc w:val="right"/>
            </w:pPr>
          </w:p>
        </w:tc>
        <w:tc>
          <w:tcPr>
            <w:tcW w:w="2070" w:type="dxa"/>
            <w:tcBorders>
              <w:left w:val="nil"/>
            </w:tcBorders>
            <w:vAlign w:val="center"/>
          </w:tcPr>
          <w:p w:rsidR="0097314B" w:rsidRPr="00527DF4" w:rsidP="00E25856" w14:paraId="218495A3" w14:textId="77777777">
            <w:pPr>
              <w:jc w:val="right"/>
            </w:pPr>
          </w:p>
        </w:tc>
      </w:tr>
      <w:tr w14:paraId="1A50D7D3" w14:textId="77777777" w:rsidTr="0097314B">
        <w:tblPrEx>
          <w:tblW w:w="0" w:type="auto"/>
          <w:tblLook w:val="04A0"/>
        </w:tblPrEx>
        <w:tc>
          <w:tcPr>
            <w:tcW w:w="2065" w:type="dxa"/>
            <w:vAlign w:val="center"/>
          </w:tcPr>
          <w:p w:rsidR="0097314B" w:rsidRPr="00527DF4" w:rsidP="0097314B" w14:paraId="5C88C66A" w14:textId="5F466375">
            <w:r w:rsidRPr="00527DF4">
              <w:t>Female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0630B6A4" w14:textId="2111E2F3">
            <w:pPr>
              <w:jc w:val="right"/>
            </w:pPr>
            <w:r w:rsidRPr="00527DF4">
              <w:t>993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15DB54CC" w14:textId="463C4E28">
            <w:pPr>
              <w:jc w:val="right"/>
            </w:pPr>
            <w:r w:rsidRPr="00527DF4">
              <w:t>49.2%</w:t>
            </w:r>
          </w:p>
        </w:tc>
      </w:tr>
      <w:tr w14:paraId="16841445" w14:textId="77777777" w:rsidTr="0097314B">
        <w:tblPrEx>
          <w:tblW w:w="0" w:type="auto"/>
          <w:tblLook w:val="04A0"/>
        </w:tblPrEx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97314B" w:rsidRPr="00527DF4" w:rsidP="0097314B" w14:paraId="2A747898" w14:textId="2A626662">
            <w:r w:rsidRPr="00527DF4">
              <w:t>Male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97314B" w:rsidRPr="00527DF4" w:rsidP="00E25856" w14:paraId="514328DF" w14:textId="128F321F">
            <w:pPr>
              <w:jc w:val="right"/>
            </w:pPr>
            <w:r w:rsidRPr="00527DF4">
              <w:t>895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97314B" w:rsidRPr="00527DF4" w:rsidP="00E25856" w14:paraId="1883E20F" w14:textId="1A827DB8">
            <w:pPr>
              <w:jc w:val="right"/>
            </w:pPr>
            <w:r w:rsidRPr="00527DF4">
              <w:t>49.4%</w:t>
            </w:r>
          </w:p>
        </w:tc>
      </w:tr>
      <w:tr w14:paraId="7908A97F" w14:textId="77777777" w:rsidTr="0097314B">
        <w:tblPrEx>
          <w:tblW w:w="0" w:type="auto"/>
          <w:tblLook w:val="04A0"/>
        </w:tblPrEx>
        <w:tc>
          <w:tcPr>
            <w:tcW w:w="2065" w:type="dxa"/>
            <w:tcBorders>
              <w:right w:val="nil"/>
            </w:tcBorders>
            <w:vAlign w:val="center"/>
          </w:tcPr>
          <w:p w:rsidR="0097314B" w:rsidRPr="00527DF4" w:rsidP="0097314B" w14:paraId="640A6518" w14:textId="1BFE8024">
            <w:r w:rsidRPr="00527DF4">
              <w:rPr>
                <w:b/>
                <w:bCs/>
                <w:i/>
                <w:iCs/>
              </w:rPr>
              <w:t>Age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97314B" w:rsidRPr="00527DF4" w:rsidP="00E25856" w14:paraId="7DD5353D" w14:textId="77777777">
            <w:pPr>
              <w:jc w:val="right"/>
            </w:pPr>
          </w:p>
        </w:tc>
        <w:tc>
          <w:tcPr>
            <w:tcW w:w="2070" w:type="dxa"/>
            <w:tcBorders>
              <w:left w:val="nil"/>
            </w:tcBorders>
            <w:vAlign w:val="center"/>
          </w:tcPr>
          <w:p w:rsidR="0097314B" w:rsidRPr="00527DF4" w:rsidP="00E25856" w14:paraId="77685819" w14:textId="77777777">
            <w:pPr>
              <w:jc w:val="right"/>
            </w:pPr>
          </w:p>
        </w:tc>
      </w:tr>
      <w:tr w14:paraId="05C83E7F" w14:textId="77777777" w:rsidTr="0097314B">
        <w:tblPrEx>
          <w:tblW w:w="0" w:type="auto"/>
          <w:tblLook w:val="04A0"/>
        </w:tblPrEx>
        <w:tc>
          <w:tcPr>
            <w:tcW w:w="2065" w:type="dxa"/>
            <w:vAlign w:val="center"/>
          </w:tcPr>
          <w:p w:rsidR="0097314B" w:rsidRPr="00527DF4" w:rsidP="0097314B" w14:paraId="5C5B5510" w14:textId="0D86A3F2">
            <w:r w:rsidRPr="00527DF4">
              <w:t>15-19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36DB1E41" w14:textId="0C07C5DC">
            <w:pPr>
              <w:jc w:val="right"/>
            </w:pPr>
            <w:r w:rsidRPr="00527DF4">
              <w:t>305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0F247C7B" w14:textId="213E50B5">
            <w:pPr>
              <w:jc w:val="right"/>
            </w:pPr>
            <w:r w:rsidRPr="00527DF4">
              <w:t>43.0%</w:t>
            </w:r>
          </w:p>
        </w:tc>
      </w:tr>
      <w:tr w14:paraId="02A5570C" w14:textId="77777777" w:rsidTr="0097314B">
        <w:tblPrEx>
          <w:tblW w:w="0" w:type="auto"/>
          <w:tblLook w:val="04A0"/>
        </w:tblPrEx>
        <w:tc>
          <w:tcPr>
            <w:tcW w:w="2065" w:type="dxa"/>
            <w:vAlign w:val="center"/>
          </w:tcPr>
          <w:p w:rsidR="0097314B" w:rsidRPr="00527DF4" w:rsidP="0097314B" w14:paraId="17CE3076" w14:textId="61FDAA3B">
            <w:r w:rsidRPr="00527DF4">
              <w:t>20-29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5C25CC1F" w14:textId="296F008B">
            <w:pPr>
              <w:jc w:val="right"/>
            </w:pPr>
            <w:r w:rsidRPr="00527DF4">
              <w:t>515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3114B660" w14:textId="2274A4F9">
            <w:pPr>
              <w:jc w:val="right"/>
            </w:pPr>
            <w:r w:rsidRPr="00527DF4">
              <w:t>48.2%</w:t>
            </w:r>
          </w:p>
        </w:tc>
      </w:tr>
      <w:tr w14:paraId="69DC3E50" w14:textId="77777777" w:rsidTr="0097314B">
        <w:tblPrEx>
          <w:tblW w:w="0" w:type="auto"/>
          <w:tblLook w:val="04A0"/>
        </w:tblPrEx>
        <w:tc>
          <w:tcPr>
            <w:tcW w:w="2065" w:type="dxa"/>
            <w:vAlign w:val="center"/>
          </w:tcPr>
          <w:p w:rsidR="0097314B" w:rsidRPr="00527DF4" w:rsidP="0097314B" w14:paraId="1C09167E" w14:textId="5B788900">
            <w:r w:rsidRPr="00527DF4">
              <w:t>30-39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23B09CEB" w14:textId="6FE99B14">
            <w:pPr>
              <w:jc w:val="right"/>
            </w:pPr>
            <w:r w:rsidRPr="00527DF4">
              <w:t>597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4980B63E" w14:textId="6FEF3810">
            <w:pPr>
              <w:jc w:val="right"/>
            </w:pPr>
            <w:r w:rsidRPr="00527DF4">
              <w:t>53.6%</w:t>
            </w:r>
          </w:p>
        </w:tc>
      </w:tr>
      <w:tr w14:paraId="780C79B2" w14:textId="77777777" w:rsidTr="0097314B">
        <w:tblPrEx>
          <w:tblW w:w="0" w:type="auto"/>
          <w:tblLook w:val="04A0"/>
        </w:tblPrEx>
        <w:tc>
          <w:tcPr>
            <w:tcW w:w="2065" w:type="dxa"/>
            <w:vAlign w:val="center"/>
          </w:tcPr>
          <w:p w:rsidR="0097314B" w:rsidRPr="00527DF4" w:rsidP="0097314B" w14:paraId="414F8271" w14:textId="3A2CB099">
            <w:r w:rsidRPr="00527DF4">
              <w:t>40-49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224BFACD" w14:textId="4746A9EF">
            <w:pPr>
              <w:jc w:val="right"/>
            </w:pPr>
            <w:r w:rsidRPr="00527DF4">
              <w:t>471</w:t>
            </w:r>
          </w:p>
        </w:tc>
        <w:tc>
          <w:tcPr>
            <w:tcW w:w="2070" w:type="dxa"/>
            <w:vAlign w:val="center"/>
          </w:tcPr>
          <w:p w:rsidR="0097314B" w:rsidRPr="00527DF4" w:rsidP="00E25856" w14:paraId="57E14477" w14:textId="7CF213DB">
            <w:pPr>
              <w:jc w:val="right"/>
            </w:pPr>
            <w:r w:rsidRPr="00527DF4">
              <w:t>49.3%</w:t>
            </w:r>
          </w:p>
        </w:tc>
      </w:tr>
    </w:tbl>
    <w:p w:rsidR="0097314B" w:rsidRPr="00527DF4" w:rsidP="0087105A" w14:paraId="63B0764C" w14:textId="77777777"/>
    <w:p w:rsidR="00C41566" w:rsidRPr="00527DF4" w:rsidP="0087105A" w14:paraId="57742E7E" w14:textId="7CC5E7A6">
      <w:r w:rsidRPr="00527DF4">
        <w:t xml:space="preserve">These survey completion rates are among screened households. Some demographic groups are underrepresented at the screener stage. The samples are designed to oversample </w:t>
      </w:r>
      <w:r w:rsidRPr="00527DF4" w:rsidR="00E25856">
        <w:t>non</w:t>
      </w:r>
      <w:r w:rsidRPr="00527DF4">
        <w:t>-Hispanic Blacks to yield 20% of the completed surveys, yet only 12</w:t>
      </w:r>
      <w:r w:rsidRPr="00527DF4" w:rsidR="00433ED8">
        <w:t>.3</w:t>
      </w:r>
      <w:r w:rsidRPr="00527DF4">
        <w:t>% in Quarter</w:t>
      </w:r>
      <w:r w:rsidRPr="00527DF4" w:rsidR="00433ED8">
        <w:t>s</w:t>
      </w:r>
      <w:r w:rsidRPr="00527DF4">
        <w:t xml:space="preserve"> 1</w:t>
      </w:r>
      <w:r w:rsidRPr="00527DF4" w:rsidR="001048E7">
        <w:t xml:space="preserve"> and </w:t>
      </w:r>
      <w:r w:rsidRPr="00527DF4">
        <w:t>2 of 2022 were classified in this group.</w:t>
      </w:r>
      <w:r w:rsidRPr="00527DF4" w:rsidR="00E675C1">
        <w:t xml:space="preserve"> Similarly, those who are 15-19 years old are oversampled to yield 20% of the completed </w:t>
      </w:r>
      <w:r w:rsidRPr="00527DF4" w:rsidR="006871BC">
        <w:t>surveys but</w:t>
      </w:r>
      <w:r w:rsidRPr="00527DF4" w:rsidR="00E675C1">
        <w:t xml:space="preserve"> are only 16% of the respondents.</w:t>
      </w:r>
    </w:p>
    <w:p w:rsidR="00F55A87" w:rsidRPr="00527DF4" w:rsidP="0087105A" w14:paraId="22BCBBA7" w14:textId="77777777"/>
    <w:p w:rsidR="00F55A87" w:rsidRPr="00527DF4" w:rsidP="0087105A" w14:paraId="1874BA51" w14:textId="53E398B1">
      <w:r w:rsidRPr="00527DF4">
        <w:t>Sample imbalances are also observed for socio-demographic groups such as “ever married.” Among respondents in Quarters 1</w:t>
      </w:r>
      <w:r w:rsidRPr="00527DF4" w:rsidR="001048E7">
        <w:t xml:space="preserve"> and </w:t>
      </w:r>
      <w:r w:rsidRPr="00527DF4">
        <w:t>2 of 2022, 44% were ever married, yet the proportion in the population 15</w:t>
      </w:r>
      <w:r w:rsidRPr="00527DF4" w:rsidR="005E7567">
        <w:t xml:space="preserve"> to 54 years of age </w:t>
      </w:r>
      <w:r w:rsidRPr="00527DF4">
        <w:t>who have ever married based on the 2022 Current Population Survey is 5</w:t>
      </w:r>
      <w:r w:rsidRPr="00527DF4" w:rsidR="005E7567">
        <w:t>2</w:t>
      </w:r>
      <w:r w:rsidRPr="00527DF4">
        <w:t>%.</w:t>
      </w:r>
      <w:r w:rsidRPr="00527DF4" w:rsidR="00866F82">
        <w:t xml:space="preserve"> In Quarters 1</w:t>
      </w:r>
      <w:r w:rsidRPr="00527DF4" w:rsidR="001048E7">
        <w:t xml:space="preserve"> and </w:t>
      </w:r>
      <w:r w:rsidRPr="00527DF4" w:rsidR="00866F82">
        <w:t xml:space="preserve">2 approximately </w:t>
      </w:r>
      <w:r w:rsidRPr="00527DF4" w:rsidR="004972D4">
        <w:t>45</w:t>
      </w:r>
      <w:r w:rsidRPr="00527DF4" w:rsidR="00866F82">
        <w:t xml:space="preserve">% </w:t>
      </w:r>
      <w:r w:rsidRPr="00527DF4" w:rsidR="008258AF">
        <w:t>reported 4-year</w:t>
      </w:r>
      <w:r w:rsidRPr="00527DF4" w:rsidR="00866F82">
        <w:t xml:space="preserve"> college education</w:t>
      </w:r>
      <w:r w:rsidRPr="00527DF4" w:rsidR="004972D4">
        <w:t xml:space="preserve"> or higher</w:t>
      </w:r>
      <w:r w:rsidRPr="00527DF4" w:rsidR="00866F82">
        <w:t xml:space="preserve">, while the </w:t>
      </w:r>
      <w:r w:rsidRPr="00527DF4" w:rsidR="008258AF">
        <w:t xml:space="preserve">2022 </w:t>
      </w:r>
      <w:r w:rsidRPr="00527DF4" w:rsidR="00866F82">
        <w:t xml:space="preserve">CPS estimated </w:t>
      </w:r>
      <w:r w:rsidRPr="00527DF4" w:rsidR="008258AF">
        <w:t>the</w:t>
      </w:r>
      <w:r w:rsidRPr="00527DF4" w:rsidR="00866F82">
        <w:t xml:space="preserve"> proportion </w:t>
      </w:r>
      <w:r w:rsidRPr="00527DF4" w:rsidR="008258AF">
        <w:t xml:space="preserve">with a </w:t>
      </w:r>
      <w:r w:rsidRPr="00527DF4" w:rsidR="00F2068F">
        <w:t>bachelor’s</w:t>
      </w:r>
      <w:r w:rsidRPr="00527DF4" w:rsidR="008258AF">
        <w:t xml:space="preserve"> degree </w:t>
      </w:r>
      <w:r w:rsidRPr="00527DF4" w:rsidR="00A720CC">
        <w:t xml:space="preserve">or higher </w:t>
      </w:r>
      <w:r w:rsidRPr="00527DF4" w:rsidR="00866F82">
        <w:t xml:space="preserve">to be </w:t>
      </w:r>
      <w:r w:rsidRPr="00527DF4" w:rsidR="00A720CC">
        <w:t>36</w:t>
      </w:r>
      <w:r w:rsidRPr="00527DF4" w:rsidR="00866F82">
        <w:t>% for those 15 to 49 years of age.</w:t>
      </w:r>
    </w:p>
    <w:p w:rsidR="0087105A" w:rsidRPr="00527DF4" w:rsidP="0087105A" w14:paraId="13F87155" w14:textId="77777777">
      <w:pPr>
        <w:pStyle w:val="ListParagraph"/>
        <w:rPr>
          <w:rFonts w:ascii="Times New Roman" w:hAnsi="Times New Roman" w:cs="Times New Roman"/>
        </w:rPr>
      </w:pPr>
    </w:p>
    <w:p w:rsidR="008258AF" w:rsidRPr="00527DF4" w14:paraId="0577A671" w14:textId="77777777">
      <w:r w:rsidRPr="00527DF4">
        <w:br w:type="page"/>
      </w:r>
    </w:p>
    <w:p w:rsidR="004B688A" w:rsidRPr="006871BC" w:rsidP="001048E7" w14:paraId="43E8A781" w14:textId="0EB95D97">
      <w:r w:rsidRPr="00527DF4">
        <w:t xml:space="preserve">a) </w:t>
      </w:r>
      <w:r w:rsidRPr="00527DF4" w:rsidR="0087105A">
        <w:t xml:space="preserve">Sample balance for variables from </w:t>
      </w:r>
      <w:r w:rsidRPr="006871BC" w:rsidR="0087105A">
        <w:t>the screener.</w:t>
      </w:r>
    </w:p>
    <w:p w:rsidR="004B688A" w:rsidP="004B688A" w14:paraId="61C056FE" w14:textId="77777777"/>
    <w:p w:rsidR="00BF31C1" w:rsidRPr="004B688A" w:rsidP="00EA12DF" w14:paraId="4BB0B2DA" w14:textId="4B131F9C">
      <w:r>
        <w:t xml:space="preserve">The higher incentive amounts led to significantly different completion rates for all but </w:t>
      </w:r>
      <w:r w:rsidR="003B610E">
        <w:t xml:space="preserve">one </w:t>
      </w:r>
      <w:r>
        <w:t xml:space="preserve">of the </w:t>
      </w:r>
      <w:r w:rsidR="0087105A">
        <w:t xml:space="preserve">race/ethnicity, sex, and </w:t>
      </w:r>
      <w:r w:rsidR="004B688A">
        <w:t>age groups</w:t>
      </w:r>
      <w:r>
        <w:t>,</w:t>
      </w:r>
      <w:r w:rsidR="0087105A">
        <w:t xml:space="preserve"> shown in </w:t>
      </w:r>
      <w:r w:rsidRPr="64B70D10" w:rsidR="0087105A">
        <w:rPr>
          <w:b/>
          <w:bCs/>
        </w:rPr>
        <w:t xml:space="preserve">Table </w:t>
      </w:r>
      <w:r w:rsidR="0085040B">
        <w:rPr>
          <w:b/>
          <w:bCs/>
        </w:rPr>
        <w:t>3</w:t>
      </w:r>
      <w:r w:rsidR="0087105A">
        <w:t xml:space="preserve">. </w:t>
      </w:r>
      <w:r w:rsidR="003B610E">
        <w:t xml:space="preserve">It was not significantly different for the 30-39 age group, which already had the highest response rate. </w:t>
      </w:r>
      <w:r w:rsidR="0087105A">
        <w:t xml:space="preserve">Of particular </w:t>
      </w:r>
      <w:r w:rsidR="004B688A">
        <w:t xml:space="preserve">importance is that the higher incentive amounts </w:t>
      </w:r>
      <w:r>
        <w:t xml:space="preserve">not only increased completion among </w:t>
      </w:r>
      <w:r w:rsidR="001C6C57">
        <w:t xml:space="preserve">some </w:t>
      </w:r>
      <w:r>
        <w:t>groups</w:t>
      </w:r>
      <w:r w:rsidR="003B610E">
        <w:t>, but the increase was largest for groups that had the lowest completion rates, improving sample balance</w:t>
      </w:r>
      <w:r>
        <w:t xml:space="preserve">. The completion rate for </w:t>
      </w:r>
      <w:r w:rsidR="005713FB">
        <w:t xml:space="preserve">the </w:t>
      </w:r>
      <w:r>
        <w:t>White &amp; Other</w:t>
      </w:r>
      <w:r w:rsidR="005713FB">
        <w:t xml:space="preserve"> group</w:t>
      </w:r>
      <w:r w:rsidR="00FC1F94">
        <w:t xml:space="preserve"> </w:t>
      </w:r>
      <w:r>
        <w:t xml:space="preserve">increased by </w:t>
      </w:r>
      <w:r w:rsidR="003B610E">
        <w:t xml:space="preserve">5 </w:t>
      </w:r>
      <w:r>
        <w:t xml:space="preserve">percentage points, </w:t>
      </w:r>
      <w:r w:rsidR="005713FB">
        <w:t xml:space="preserve">while </w:t>
      </w:r>
      <w:r>
        <w:t xml:space="preserve">for </w:t>
      </w:r>
      <w:r w:rsidR="005713FB">
        <w:t xml:space="preserve">the </w:t>
      </w:r>
      <w:r>
        <w:t xml:space="preserve">Black </w:t>
      </w:r>
      <w:r w:rsidR="003B610E">
        <w:t xml:space="preserve">and Hispanic </w:t>
      </w:r>
      <w:r w:rsidR="005713FB">
        <w:t>group</w:t>
      </w:r>
      <w:r w:rsidR="003B610E">
        <w:t>s</w:t>
      </w:r>
      <w:r w:rsidR="005713FB">
        <w:t xml:space="preserve"> </w:t>
      </w:r>
      <w:r>
        <w:t xml:space="preserve">it increased by </w:t>
      </w:r>
      <w:r w:rsidR="003B610E">
        <w:t xml:space="preserve">7 </w:t>
      </w:r>
      <w:r>
        <w:t>percentage points.</w:t>
      </w:r>
      <w:r w:rsidR="005D23D1">
        <w:t xml:space="preserve"> The same was true for sex and age. Most noteworthy, the completion rate for those 15-19 years old was 17 percentage points lower than those 30-39 years old (45.8% vs. 62.8%). This difference in completion rates was decreased to 10 percentage points in the higher incentive condition</w:t>
      </w:r>
      <w:r w:rsidR="00975430">
        <w:t>s</w:t>
      </w:r>
      <w:r w:rsidR="005D23D1">
        <w:t xml:space="preserve"> (54.2% vs. 63.9%). The higher incentive amount increased completion in the 15-19 group by 8 percentage points, compared to the not statistically significant increase of 1 percentage point in the 30-39 group.</w:t>
      </w:r>
    </w:p>
    <w:p w:rsidR="00BF31C1" w:rsidP="00BF31C1" w14:paraId="46FE956E" w14:textId="2B45F2D7"/>
    <w:p w:rsidR="0087105A" w:rsidRPr="004B688A" w:rsidP="004B688A" w14:paraId="3581FD38" w14:textId="1B6E0A3F">
      <w:pPr>
        <w:rPr>
          <w:b/>
          <w:bCs/>
        </w:rPr>
      </w:pPr>
      <w:r w:rsidRPr="00C1055A">
        <w:rPr>
          <w:b/>
          <w:bCs/>
        </w:rPr>
        <w:t xml:space="preserve">Table </w:t>
      </w:r>
      <w:r w:rsidR="0085040B">
        <w:rPr>
          <w:b/>
          <w:bCs/>
        </w:rPr>
        <w:t>3</w:t>
      </w:r>
      <w:r w:rsidRPr="00C1055A">
        <w:rPr>
          <w:b/>
          <w:bCs/>
        </w:rPr>
        <w:t xml:space="preserve">. </w:t>
      </w:r>
      <w:r w:rsidRPr="002F662E">
        <w:rPr>
          <w:b/>
          <w:bCs/>
        </w:rPr>
        <w:t>Main Interview Completion Rates by Demographic Subgroups</w:t>
      </w:r>
      <w:r>
        <w:rPr>
          <w:b/>
          <w:bCs/>
        </w:rPr>
        <w:t xml:space="preserve"> and Incentive Condition</w:t>
      </w:r>
      <w:r w:rsidR="00EA12DF">
        <w:rPr>
          <w:b/>
          <w:bCs/>
        </w:rPr>
        <w:t xml:space="preserve">, </w:t>
      </w:r>
      <w:r w:rsidR="00F85C81">
        <w:rPr>
          <w:b/>
          <w:bCs/>
        </w:rPr>
        <w:t xml:space="preserve">2022 </w:t>
      </w:r>
      <w:r w:rsidRPr="00C1055A" w:rsidR="00F85C81">
        <w:rPr>
          <w:b/>
          <w:bCs/>
        </w:rPr>
        <w:t>Quarter</w:t>
      </w:r>
      <w:r w:rsidR="001048E7">
        <w:rPr>
          <w:b/>
          <w:bCs/>
        </w:rPr>
        <w:t>s</w:t>
      </w:r>
      <w:r w:rsidRPr="00C1055A" w:rsidR="00F85C81">
        <w:rPr>
          <w:b/>
          <w:bCs/>
        </w:rPr>
        <w:t xml:space="preserve"> </w:t>
      </w:r>
      <w:r w:rsidR="00F85C81">
        <w:rPr>
          <w:b/>
          <w:bCs/>
        </w:rPr>
        <w:t>3 and 4, 2023 Quarter 1</w:t>
      </w:r>
      <w:r w:rsidR="001048E7">
        <w:rPr>
          <w:b/>
          <w:bCs/>
        </w:rPr>
        <w:t>,</w:t>
      </w:r>
      <w:r w:rsidR="00F85C81">
        <w:rPr>
          <w:b/>
          <w:bCs/>
        </w:rPr>
        <w:t xml:space="preserve"> and Phases 1&amp;2 of </w:t>
      </w:r>
      <w:r w:rsidR="0068769A">
        <w:rPr>
          <w:b/>
          <w:bCs/>
        </w:rPr>
        <w:t xml:space="preserve">2023 </w:t>
      </w:r>
      <w:r w:rsidR="00F85C81">
        <w:rPr>
          <w:b/>
          <w:bCs/>
        </w:rPr>
        <w:t>Quarter 2</w:t>
      </w:r>
      <w:r w:rsidRPr="00C1055A">
        <w:rPr>
          <w:b/>
          <w:bCs/>
        </w:rPr>
        <w:t>.</w:t>
      </w:r>
    </w:p>
    <w:tbl>
      <w:tblPr>
        <w:tblW w:w="9660" w:type="dxa"/>
        <w:tblLook w:val="04A0"/>
      </w:tblPr>
      <w:tblGrid>
        <w:gridCol w:w="1959"/>
        <w:gridCol w:w="1273"/>
        <w:gridCol w:w="1279"/>
        <w:gridCol w:w="1277"/>
        <w:gridCol w:w="1279"/>
        <w:gridCol w:w="1277"/>
        <w:gridCol w:w="1316"/>
      </w:tblGrid>
      <w:tr w14:paraId="024B42A7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30FC1FA4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5356B25D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 xml:space="preserve">$40 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4005872E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$60 &amp; $80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2F1FD10B" w14:textId="3A8F38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786A9357">
              <w:rPr>
                <w:b/>
                <w:bCs/>
                <w:color w:val="000000" w:themeColor="text1"/>
                <w:sz w:val="20"/>
                <w:szCs w:val="20"/>
              </w:rPr>
              <w:t>Rate Diff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72A36AF6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14:paraId="41795A5B" w14:textId="77777777" w:rsidTr="00316CFC">
        <w:tblPrEx>
          <w:tblW w:w="9660" w:type="dxa"/>
          <w:tblLook w:val="04A0"/>
        </w:tblPrEx>
        <w:trPr>
          <w:trHeight w:val="58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1C48A7B5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2A569696" w14:textId="5C1069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b/>
                <w:bCs/>
                <w:color w:val="000000"/>
                <w:sz w:val="20"/>
                <w:szCs w:val="20"/>
              </w:rPr>
              <w:t>umber</w:t>
            </w:r>
            <w:r w:rsidRPr="004B688A">
              <w:rPr>
                <w:b/>
                <w:bCs/>
                <w:color w:val="000000"/>
                <w:sz w:val="20"/>
                <w:szCs w:val="20"/>
              </w:rPr>
              <w:t xml:space="preserve"> Eligible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56DBBC14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Percent Complete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46CB1EF6" w14:textId="566E3C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b/>
                <w:bCs/>
                <w:color w:val="000000"/>
                <w:sz w:val="20"/>
                <w:szCs w:val="20"/>
              </w:rPr>
              <w:t>umber</w:t>
            </w:r>
            <w:r w:rsidRPr="004B688A">
              <w:rPr>
                <w:b/>
                <w:bCs/>
                <w:color w:val="000000"/>
                <w:sz w:val="20"/>
                <w:szCs w:val="20"/>
              </w:rPr>
              <w:t xml:space="preserve"> Eligible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796F9915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Percent Complete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88A" w:rsidRPr="004B688A" w:rsidP="004B688A" w14:paraId="4950B30A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$60&amp;80-$40</w:t>
            </w:r>
          </w:p>
        </w:tc>
        <w:tc>
          <w:tcPr>
            <w:tcW w:w="131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B688A" w:rsidRPr="004B688A" w:rsidP="004B688A" w14:paraId="37F15C94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57D5B6C" w14:textId="77777777" w:rsidTr="786A9357">
        <w:tblPrEx>
          <w:tblW w:w="9660" w:type="dxa"/>
          <w:tblLook w:val="04A0"/>
        </w:tblPrEx>
        <w:trPr>
          <w:trHeight w:val="32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88A" w:rsidRPr="004B688A" w:rsidP="004B688A" w14:paraId="678C1E90" w14:textId="7777777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i/>
                <w:iCs/>
                <w:color w:val="000000"/>
                <w:sz w:val="20"/>
                <w:szCs w:val="20"/>
              </w:rPr>
              <w:t>Race/Ethnicity</w:t>
            </w:r>
          </w:p>
        </w:tc>
      </w:tr>
      <w:tr w14:paraId="4F3B9A83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529014C" w14:textId="77777777">
            <w:pPr>
              <w:rPr>
                <w:color w:val="000000"/>
                <w:sz w:val="20"/>
                <w:szCs w:val="20"/>
              </w:rPr>
            </w:pPr>
            <w:r w:rsidRPr="004B688A">
              <w:rPr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12389E5" w14:textId="56FDC1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4B6DBC08" w14:textId="5FEDAE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50.3%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4BD34E55" w14:textId="3C5531F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470E681" w14:textId="2B69EDF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57.6%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7A478B3F" w14:textId="19DB5A3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25B5EC6B" w14:textId="0F2124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0.0028</w:t>
            </w:r>
          </w:p>
        </w:tc>
      </w:tr>
      <w:tr w14:paraId="7366E034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CA38508" w14:textId="77777777">
            <w:pPr>
              <w:rPr>
                <w:color w:val="000000"/>
                <w:sz w:val="20"/>
                <w:szCs w:val="20"/>
              </w:rPr>
            </w:pPr>
            <w:r w:rsidRPr="004B688A">
              <w:rPr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68335DE5" w14:textId="058A12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5A5F9CE" w14:textId="1CE4CA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52.1%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B6CFE9F" w14:textId="102B42A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F70E8BD" w14:textId="66A90B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58.8%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699D5F5E" w14:textId="7E3409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6.7%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556088A4" w14:textId="2D6DD9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0.0245</w:t>
            </w:r>
          </w:p>
        </w:tc>
      </w:tr>
      <w:tr w14:paraId="17670811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4CB428EB" w14:textId="77777777">
            <w:pPr>
              <w:rPr>
                <w:color w:val="000000"/>
                <w:sz w:val="20"/>
                <w:szCs w:val="20"/>
              </w:rPr>
            </w:pPr>
            <w:r w:rsidRPr="004B688A">
              <w:rPr>
                <w:color w:val="000000"/>
                <w:sz w:val="20"/>
                <w:szCs w:val="20"/>
              </w:rPr>
              <w:t>White &amp; Other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692AD4B" w14:textId="6A2EE5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40EDBA1" w14:textId="24277A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58.3%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90C90F9" w14:textId="198040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2225FFF" w14:textId="683DC4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62.9%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6BC994AC" w14:textId="24B4B1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2F597EED" w14:textId="430227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0.0006</w:t>
            </w:r>
          </w:p>
        </w:tc>
      </w:tr>
      <w:tr w14:paraId="1D1614FD" w14:textId="77777777" w:rsidTr="786A9357">
        <w:tblPrEx>
          <w:tblW w:w="9660" w:type="dxa"/>
          <w:tblLook w:val="04A0"/>
        </w:tblPrEx>
        <w:trPr>
          <w:trHeight w:val="32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88A" w:rsidRPr="004B688A" w:rsidP="004B688A" w14:paraId="66AD2FF7" w14:textId="7777777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i/>
                <w:iCs/>
                <w:color w:val="000000"/>
                <w:sz w:val="20"/>
                <w:szCs w:val="20"/>
              </w:rPr>
              <w:t>Sex</w:t>
            </w:r>
          </w:p>
        </w:tc>
      </w:tr>
      <w:tr w14:paraId="1BEF654E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732FE3DB" w14:textId="77777777">
            <w:pPr>
              <w:rPr>
                <w:color w:val="000000"/>
                <w:sz w:val="20"/>
                <w:szCs w:val="20"/>
              </w:rPr>
            </w:pPr>
            <w:r w:rsidRPr="004B688A">
              <w:rPr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F45405F" w14:textId="44A57A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6EC34112" w14:textId="1B65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56.7%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53A43118" w14:textId="1031AB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5CFC52BD" w14:textId="5C80E7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60.9%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56FF0183" w14:textId="58444A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FE9EB2A" w14:textId="4EE870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0.0043</w:t>
            </w:r>
          </w:p>
        </w:tc>
      </w:tr>
      <w:tr w14:paraId="6DAE0150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4A0E19E8" w14:textId="77777777">
            <w:pPr>
              <w:rPr>
                <w:color w:val="000000"/>
                <w:sz w:val="20"/>
                <w:szCs w:val="20"/>
              </w:rPr>
            </w:pPr>
            <w:r w:rsidRPr="004B688A">
              <w:rPr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A04B871" w14:textId="463D02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422494C0" w14:textId="2D9E7CA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54.5%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06B7174" w14:textId="341FE4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4EC319B" w14:textId="469D8F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61.7%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7437BF34" w14:textId="25A50D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9AF1B10" w14:textId="480740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0.0000</w:t>
            </w:r>
          </w:p>
        </w:tc>
      </w:tr>
      <w:tr w14:paraId="78F2B874" w14:textId="77777777" w:rsidTr="786A9357">
        <w:tblPrEx>
          <w:tblW w:w="9660" w:type="dxa"/>
          <w:tblLook w:val="04A0"/>
        </w:tblPrEx>
        <w:trPr>
          <w:trHeight w:val="32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88A" w:rsidRPr="004B688A" w:rsidP="004B688A" w14:paraId="4775455C" w14:textId="7777777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i/>
                <w:iCs/>
                <w:color w:val="000000"/>
                <w:sz w:val="20"/>
                <w:szCs w:val="20"/>
              </w:rPr>
              <w:t>Age</w:t>
            </w:r>
          </w:p>
        </w:tc>
      </w:tr>
      <w:tr w14:paraId="59904F6B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29B38C6" w14:textId="594E0E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67DDB681" w14:textId="2296F08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FAF6401" w14:textId="139521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45.8%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469C5ED8" w14:textId="5B355A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77EF4E32" w14:textId="28E145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54.2%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297CA2D" w14:textId="65310F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433FD7D" w14:textId="26328E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0.0021</w:t>
            </w:r>
          </w:p>
        </w:tc>
      </w:tr>
      <w:tr w14:paraId="1FDAAA6F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3085368" w14:textId="79734C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417475F4" w14:textId="575D98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2BDDDBD2" w14:textId="3CAF18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52.2%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7946DA62" w14:textId="244C99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2E34CC4D" w14:textId="29B743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59.7%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A8E72A0" w14:textId="76B294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5D03700" w14:textId="3C0271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0.0007</w:t>
            </w:r>
          </w:p>
        </w:tc>
      </w:tr>
      <w:tr w14:paraId="449AF611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22C916FA" w14:textId="6A827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30-39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7834692" w14:textId="2B47EB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22370909" w14:textId="011009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62.8%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4626860" w14:textId="5F49D9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E4AF701" w14:textId="2F2DE2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63.9%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5CF2A9D1" w14:textId="0E4ADFF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6469A990" w14:textId="697EFE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0.5656</w:t>
            </w:r>
          </w:p>
        </w:tc>
      </w:tr>
      <w:tr w14:paraId="650B30E5" w14:textId="77777777" w:rsidTr="00316CFC">
        <w:tblPrEx>
          <w:tblW w:w="9660" w:type="dxa"/>
          <w:tblLook w:val="04A0"/>
        </w:tblPrEx>
        <w:trPr>
          <w:trHeight w:val="320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7DED494" w14:textId="758BA2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40-49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A8DE28C" w14:textId="08E31E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0038D1DB" w14:textId="0C0FDB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57.0%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1ED76C7E" w14:textId="5761CD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4969DE83" w14:textId="5E0427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64.0%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7D8A2D6A" w14:textId="605E6B7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4B688A" w:rsidP="00316CFC" w14:paraId="38FD35F1" w14:textId="214E8B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0.0013</w:t>
            </w:r>
          </w:p>
        </w:tc>
      </w:tr>
    </w:tbl>
    <w:p w:rsidR="0087105A" w:rsidP="00BF31C1" w14:paraId="56201006" w14:textId="27138AC7"/>
    <w:p w:rsidR="00287295" w14:paraId="2E8E01B9" w14:textId="33A240FF"/>
    <w:p w:rsidR="0087105A" w:rsidP="006871BC" w14:paraId="33BFAA8B" w14:textId="6D2DB845">
      <w:r>
        <w:t xml:space="preserve">b) </w:t>
      </w:r>
      <w:r w:rsidRPr="00EA12DF" w:rsidR="00EA12DF">
        <w:t>Differences in other socio-demographic variables.</w:t>
      </w:r>
    </w:p>
    <w:p w:rsidR="00EA12DF" w:rsidP="00EA12DF" w14:paraId="368A8767" w14:textId="149C862E"/>
    <w:p w:rsidR="00EA12DF" w:rsidP="00EA12DF" w14:paraId="53D43D6B" w14:textId="5D8E7BEA">
      <w:r>
        <w:t>Detecting differences by s</w:t>
      </w:r>
      <w:r>
        <w:t xml:space="preserve">ocio-demographic </w:t>
      </w:r>
      <w:r w:rsidR="005D7BA6">
        <w:t>characteristics among respondents</w:t>
      </w:r>
      <w:r>
        <w:t xml:space="preserve"> </w:t>
      </w:r>
      <w:r w:rsidR="005D7BA6">
        <w:t>require</w:t>
      </w:r>
      <w:r>
        <w:t>s</w:t>
      </w:r>
      <w:r w:rsidR="005D7BA6">
        <w:t xml:space="preserve"> </w:t>
      </w:r>
      <w:r>
        <w:t xml:space="preserve">larger sample sizes </w:t>
      </w:r>
      <w:r w:rsidR="002771E1">
        <w:t>than</w:t>
      </w:r>
      <w:r>
        <w:t xml:space="preserve"> detecting differences in </w:t>
      </w:r>
      <w:r w:rsidR="005D7BA6">
        <w:t>completion rates by demographic characteristics</w:t>
      </w:r>
      <w:r w:rsidR="00337DCC">
        <w:t xml:space="preserve">. Although none of the differences—for </w:t>
      </w:r>
      <w:r w:rsidR="002771E1">
        <w:t>having ever been married</w:t>
      </w:r>
      <w:r w:rsidR="00337DCC">
        <w:t xml:space="preserve">, </w:t>
      </w:r>
      <w:r w:rsidR="002771E1">
        <w:t xml:space="preserve">having a 4-year </w:t>
      </w:r>
      <w:r w:rsidR="00337DCC">
        <w:t xml:space="preserve">college degree, and </w:t>
      </w:r>
      <w:r w:rsidR="002771E1">
        <w:t xml:space="preserve">having a household </w:t>
      </w:r>
      <w:r w:rsidR="00337DCC">
        <w:t xml:space="preserve">income over $100,000—is statistically significant, the overrepresentation of those with a college degree </w:t>
      </w:r>
      <w:r w:rsidR="002771E1">
        <w:t xml:space="preserve">(relative to their </w:t>
      </w:r>
      <w:r w:rsidR="00F85C81">
        <w:t xml:space="preserve">percentage </w:t>
      </w:r>
      <w:r w:rsidR="002771E1">
        <w:t>in the household population</w:t>
      </w:r>
      <w:r w:rsidR="00F85C81">
        <w:t xml:space="preserve"> of 36%, discussed earlier</w:t>
      </w:r>
      <w:r w:rsidR="002771E1">
        <w:t xml:space="preserve">) </w:t>
      </w:r>
      <w:r w:rsidR="00337DCC">
        <w:t xml:space="preserve">was </w:t>
      </w:r>
      <w:r w:rsidR="00F85C81">
        <w:t>reduced from 42.2% in the lower incentive condition to 40.8%</w:t>
      </w:r>
      <w:r w:rsidR="00337DCC">
        <w:t xml:space="preserve"> in the higher incentive condition</w:t>
      </w:r>
      <w:r w:rsidR="00F85C81">
        <w:t>s</w:t>
      </w:r>
      <w:r w:rsidR="005D7BA6">
        <w:t xml:space="preserve">, shown in </w:t>
      </w:r>
      <w:r w:rsidRPr="64B70D10" w:rsidR="005D7BA6">
        <w:rPr>
          <w:b/>
          <w:bCs/>
        </w:rPr>
        <w:t xml:space="preserve">Table </w:t>
      </w:r>
      <w:r w:rsidR="0085040B">
        <w:rPr>
          <w:b/>
          <w:bCs/>
        </w:rPr>
        <w:t>4</w:t>
      </w:r>
      <w:r w:rsidR="00337DCC">
        <w:t>.</w:t>
      </w:r>
    </w:p>
    <w:p w:rsidR="00337DCC" w:rsidRPr="00EA12DF" w:rsidP="00EA12DF" w14:paraId="2A83B84B" w14:textId="77777777"/>
    <w:p w:rsidR="0087105A" w:rsidP="00BF31C1" w14:paraId="6B540580" w14:textId="0DAB367A">
      <w:r w:rsidRPr="00BE53F3">
        <w:rPr>
          <w:b/>
          <w:bCs/>
        </w:rPr>
        <w:t xml:space="preserve">Table </w:t>
      </w:r>
      <w:r w:rsidR="0085040B">
        <w:rPr>
          <w:b/>
          <w:bCs/>
        </w:rPr>
        <w:t>4</w:t>
      </w:r>
      <w:r w:rsidRPr="00BE53F3">
        <w:rPr>
          <w:b/>
          <w:bCs/>
        </w:rPr>
        <w:t xml:space="preserve">. </w:t>
      </w:r>
      <w:r>
        <w:rPr>
          <w:b/>
          <w:bCs/>
        </w:rPr>
        <w:t xml:space="preserve">Socio-demographic Characteristics of Main Survey Respondents </w:t>
      </w:r>
      <w:r w:rsidRPr="00BE53F3">
        <w:rPr>
          <w:b/>
          <w:bCs/>
        </w:rPr>
        <w:t xml:space="preserve">by </w:t>
      </w:r>
      <w:r>
        <w:rPr>
          <w:b/>
          <w:bCs/>
        </w:rPr>
        <w:t xml:space="preserve">Incentive Condition, </w:t>
      </w:r>
      <w:r w:rsidR="00F85C81">
        <w:rPr>
          <w:b/>
          <w:bCs/>
        </w:rPr>
        <w:t xml:space="preserve">2022 </w:t>
      </w:r>
      <w:r w:rsidRPr="00C1055A" w:rsidR="00F85C81">
        <w:rPr>
          <w:b/>
          <w:bCs/>
        </w:rPr>
        <w:t>Quarter</w:t>
      </w:r>
      <w:r w:rsidR="0068769A">
        <w:rPr>
          <w:b/>
          <w:bCs/>
        </w:rPr>
        <w:t>s</w:t>
      </w:r>
      <w:r w:rsidRPr="00C1055A" w:rsidR="00F85C81">
        <w:rPr>
          <w:b/>
          <w:bCs/>
        </w:rPr>
        <w:t xml:space="preserve"> </w:t>
      </w:r>
      <w:r w:rsidR="00F85C81">
        <w:rPr>
          <w:b/>
          <w:bCs/>
        </w:rPr>
        <w:t>3 and 4, 2023 Quarter 1</w:t>
      </w:r>
      <w:r w:rsidR="0068769A">
        <w:rPr>
          <w:b/>
          <w:bCs/>
        </w:rPr>
        <w:t>,</w:t>
      </w:r>
      <w:r w:rsidR="00F85C81">
        <w:rPr>
          <w:b/>
          <w:bCs/>
        </w:rPr>
        <w:t xml:space="preserve"> and Phases 1&amp;2 of </w:t>
      </w:r>
      <w:r w:rsidR="0068769A">
        <w:rPr>
          <w:b/>
          <w:bCs/>
        </w:rPr>
        <w:t xml:space="preserve">2023 </w:t>
      </w:r>
      <w:r w:rsidR="00F85C81">
        <w:rPr>
          <w:b/>
          <w:bCs/>
        </w:rPr>
        <w:t>Quarter 2</w:t>
      </w:r>
      <w:r w:rsidRPr="00BE53F3">
        <w:rPr>
          <w:b/>
          <w:bCs/>
        </w:rPr>
        <w:t>.</w:t>
      </w:r>
    </w:p>
    <w:tbl>
      <w:tblPr>
        <w:tblW w:w="0" w:type="auto"/>
        <w:tblLook w:val="04A0"/>
      </w:tblPr>
      <w:tblGrid>
        <w:gridCol w:w="2602"/>
        <w:gridCol w:w="982"/>
        <w:gridCol w:w="1172"/>
        <w:gridCol w:w="1078"/>
        <w:gridCol w:w="1172"/>
        <w:gridCol w:w="1192"/>
        <w:gridCol w:w="1152"/>
      </w:tblGrid>
      <w:tr w14:paraId="77E9FD56" w14:textId="77777777" w:rsidTr="00316CFC">
        <w:tblPrEx>
          <w:tblW w:w="0" w:type="auto"/>
          <w:tblLook w:val="04A0"/>
        </w:tblPrEx>
        <w:trPr>
          <w:trHeight w:val="320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2DF" w:rsidRPr="00EA12DF" w:rsidP="00EA12DF" w14:paraId="74A46C63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12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62DF1949" w14:textId="43525C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2DF">
              <w:rPr>
                <w:b/>
                <w:bCs/>
                <w:color w:val="000000"/>
                <w:sz w:val="20"/>
                <w:szCs w:val="20"/>
              </w:rPr>
              <w:t>$40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23D9E129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12DF">
              <w:rPr>
                <w:b/>
                <w:bCs/>
                <w:color w:val="000000"/>
                <w:sz w:val="20"/>
                <w:szCs w:val="20"/>
              </w:rPr>
              <w:t>$60 &amp; $80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789F9AFD" w14:textId="31D646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786A9357">
              <w:rPr>
                <w:b/>
                <w:bCs/>
                <w:color w:val="000000" w:themeColor="text1"/>
                <w:sz w:val="20"/>
                <w:szCs w:val="20"/>
              </w:rPr>
              <w:t>Rate Diff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1E09C57D" w14:textId="7EE0CF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DAB9FEA" w14:textId="77777777" w:rsidTr="00316CFC">
        <w:tblPrEx>
          <w:tblW w:w="0" w:type="auto"/>
          <w:tblLook w:val="04A0"/>
        </w:tblPrEx>
        <w:trPr>
          <w:trHeight w:val="32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2DF" w:rsidRPr="00EA12DF" w:rsidP="00EA12DF" w14:paraId="66A8BD88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12D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727BFCD2" w14:textId="320E34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199EEC24" w14:textId="4B3719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00D5F1A1" w14:textId="07EFFD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2AA36B15" w14:textId="7364AF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DF" w:rsidRPr="00EA12DF" w:rsidP="00EA12DF" w14:paraId="5A4FC3F1" w14:textId="5AB388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$60&amp;80-$40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2DF" w:rsidRPr="00EA12DF" w:rsidP="00CE41AA" w14:paraId="411CEC8C" w14:textId="041DDE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 xml:space="preserve"> p-value</w:t>
            </w:r>
          </w:p>
        </w:tc>
      </w:tr>
      <w:tr w14:paraId="15ED05F6" w14:textId="77777777" w:rsidTr="00316CFC">
        <w:tblPrEx>
          <w:tblW w:w="0" w:type="auto"/>
          <w:tblLook w:val="04A0"/>
        </w:tblPrEx>
        <w:trPr>
          <w:trHeight w:val="32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RPr="00EA12DF" w:rsidP="00316CFC" w14:paraId="0C227A73" w14:textId="77777777">
            <w:pPr>
              <w:rPr>
                <w:color w:val="000000"/>
                <w:sz w:val="20"/>
                <w:szCs w:val="20"/>
              </w:rPr>
            </w:pPr>
            <w:r w:rsidRPr="00EA12DF">
              <w:rPr>
                <w:color w:val="000000"/>
                <w:sz w:val="20"/>
                <w:szCs w:val="20"/>
              </w:rPr>
              <w:t>Ever married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21C04839" w14:textId="6CFF02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689F8041" w14:textId="0DFDC8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43.8%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4A083DBE" w14:textId="5C035C0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39356CBA" w14:textId="07EE691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42.5%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5198F914" w14:textId="604244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-1.3%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7498687A" w14:textId="693AEAB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0.3757</w:t>
            </w:r>
          </w:p>
        </w:tc>
      </w:tr>
      <w:tr w14:paraId="619E010C" w14:textId="77777777" w:rsidTr="00316CFC">
        <w:tblPrEx>
          <w:tblW w:w="0" w:type="auto"/>
          <w:tblLook w:val="04A0"/>
        </w:tblPrEx>
        <w:trPr>
          <w:trHeight w:val="32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RPr="00EA12DF" w:rsidP="00316CFC" w14:paraId="410A68BD" w14:textId="77777777">
            <w:pPr>
              <w:rPr>
                <w:color w:val="000000"/>
                <w:sz w:val="20"/>
                <w:szCs w:val="20"/>
              </w:rPr>
            </w:pPr>
            <w:r w:rsidRPr="00EA12DF">
              <w:rPr>
                <w:color w:val="000000"/>
                <w:sz w:val="20"/>
                <w:szCs w:val="20"/>
              </w:rPr>
              <w:t>4-year college degree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4760E13E" w14:textId="144A54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6AADE568" w14:textId="02A9E7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42.2%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2C46B77A" w14:textId="4B2362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1,574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2FF97DFE" w14:textId="278222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40.8%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1163355E" w14:textId="4676F0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2603248D" w14:textId="5BE7B9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0.3379</w:t>
            </w:r>
          </w:p>
        </w:tc>
      </w:tr>
      <w:tr w14:paraId="7E224B2E" w14:textId="77777777" w:rsidTr="00316CFC">
        <w:tblPrEx>
          <w:tblW w:w="0" w:type="auto"/>
          <w:tblLook w:val="04A0"/>
        </w:tblPrEx>
        <w:trPr>
          <w:trHeight w:val="32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RPr="00EA12DF" w:rsidP="00316CFC" w14:paraId="059B22AC" w14:textId="77777777">
            <w:pPr>
              <w:rPr>
                <w:color w:val="000000"/>
                <w:sz w:val="20"/>
                <w:szCs w:val="20"/>
              </w:rPr>
            </w:pPr>
            <w:r w:rsidRPr="00EA12DF">
              <w:rPr>
                <w:color w:val="000000"/>
                <w:sz w:val="20"/>
                <w:szCs w:val="20"/>
              </w:rPr>
              <w:t>Income of $100,000 or more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2B8DD6E2" w14:textId="63B4BF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7B7970FE" w14:textId="2810A22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38.8%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7CF0B8C1" w14:textId="212926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39ECC750" w14:textId="42C748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38.7%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4BA72400" w14:textId="7242F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RPr="00EA12DF" w:rsidP="00316CFC" w14:paraId="661CE8F7" w14:textId="0DE1E6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0.9529</w:t>
            </w:r>
          </w:p>
        </w:tc>
      </w:tr>
    </w:tbl>
    <w:p w:rsidR="0087105A" w:rsidP="00BF31C1" w14:paraId="44ABAA42" w14:textId="08AF7DCC"/>
    <w:p w:rsidR="006871BC" w:rsidP="00084F6E" w14:paraId="1AFD67D6" w14:textId="77777777"/>
    <w:p w:rsidR="0087105A" w:rsidRPr="00337DCC" w:rsidP="00084F6E" w14:paraId="4F79AA17" w14:textId="3F0E19B7">
      <w:r>
        <w:t xml:space="preserve">c) </w:t>
      </w:r>
      <w:r w:rsidRPr="00337DCC" w:rsidR="00337DCC">
        <w:t>Differences in selected key NSFG statistics</w:t>
      </w:r>
      <w:r w:rsidR="00337DCC">
        <w:t>.</w:t>
      </w:r>
    </w:p>
    <w:p w:rsidR="0087105A" w:rsidP="00BF31C1" w14:paraId="69AC8D35" w14:textId="55C3AC51"/>
    <w:p w:rsidR="0083621F" w:rsidP="00BF31C1" w14:paraId="4EB6713F" w14:textId="7CFF6180">
      <w:r>
        <w:t xml:space="preserve">Higher response rates reduce the risk of nonresponse bias. Estimates do not have to be different for the risk to be reduced, as the variance in nonresponse bias is reduced. </w:t>
      </w:r>
      <w:r w:rsidR="00092A79">
        <w:t xml:space="preserve">That is, higher response rates have been found to reduce the likelihood of nonresponse bias </w:t>
      </w:r>
      <w:r w:rsidR="00092A79">
        <w:fldChar w:fldCharType="begin"/>
      </w:r>
      <w:r w:rsidR="00092A79">
        <w:instrText xml:space="preserve"> ADDIN EN.CITE &lt;EndNote&gt;&lt;Cite&gt;&lt;Author&gt;Brick&lt;/Author&gt;&lt;Year&gt;2017&lt;/Year&gt;&lt;RecNum&gt;1320&lt;/RecNum&gt;&lt;DisplayText&gt;(Brick and Tourangeau, 2017)&lt;/DisplayText&gt;&lt;record&gt;&lt;rec-number&gt;1320&lt;/rec-number&gt;&lt;foreign-keys&gt;&lt;key app="EN" db-id="pxe0eptdr05fxpepweypvst6sz9xrps9r55a" timestamp="1527689726"&gt;1320&lt;/key&gt;&lt;/foreign-keys&gt;&lt;ref-type name="Journal Article"&gt;17&lt;/ref-type&gt;&lt;contributors&gt;&lt;authors&gt;&lt;author&gt;J. Michael Brick&lt;/author&gt;&lt;author&gt;Roger Tourangeau&lt;/author&gt;&lt;/authors&gt;&lt;/contributors&gt;&lt;titles&gt;&lt;title&gt;Responsive Survey Designs for Reducing Nonresponse Bias&lt;/title&gt;&lt;/titles&gt;&lt;pages&gt;735&lt;/pages&gt;&lt;volume&gt;33&lt;/volume&gt;&lt;number&gt;3&lt;/number&gt;&lt;dates&gt;&lt;year&gt;2017&lt;/year&gt;&lt;/dates&gt;&lt;urls&gt;&lt;related-urls&gt;&lt;url&gt;https://content.sciendo.com/view/journals/jos/33/3/article-p735.xml&lt;/url&gt;&lt;/related-urls&gt;&lt;/urls&gt;&lt;electronic-resource-num&gt;https://doi.org/10.1515/jos-2017-0034&lt;/electronic-resource-num&gt;&lt;language&gt;English&lt;/language&gt;&lt;/record&gt;&lt;/Cite&gt;&lt;/EndNote&gt;</w:instrText>
      </w:r>
      <w:r w:rsidR="00092A79">
        <w:fldChar w:fldCharType="separate"/>
      </w:r>
      <w:r w:rsidR="00092A79">
        <w:rPr>
          <w:noProof/>
        </w:rPr>
        <w:t>(Brick and Tourangeau, 2017)</w:t>
      </w:r>
      <w:r w:rsidR="00092A79">
        <w:fldChar w:fldCharType="end"/>
      </w:r>
      <w:r w:rsidR="00092A79">
        <w:t xml:space="preserve">. </w:t>
      </w:r>
      <w:r>
        <w:t>Nonetheless</w:t>
      </w:r>
      <w:r w:rsidR="005D7BA6">
        <w:t>, differences in unweighted NSFG key survey estimates were compared across the incentive conditions</w:t>
      </w:r>
      <w:r>
        <w:t xml:space="preserve">, presented in </w:t>
      </w:r>
      <w:r w:rsidRPr="00084F6E">
        <w:rPr>
          <w:b/>
          <w:bCs/>
        </w:rPr>
        <w:t xml:space="preserve">Table </w:t>
      </w:r>
      <w:r w:rsidRPr="00084F6E" w:rsidR="0085040B">
        <w:rPr>
          <w:b/>
          <w:bCs/>
        </w:rPr>
        <w:t>5</w:t>
      </w:r>
      <w:r>
        <w:t>, as they would demonstrate an instance of potential reduction in nonresponse bias</w:t>
      </w:r>
      <w:r w:rsidR="005D7BA6">
        <w:t xml:space="preserve">. </w:t>
      </w:r>
      <w:r w:rsidR="00BD63C3">
        <w:t>Of the 15 key survey estimates that were examined, 2 were significantly different in the higher incentive conditions</w:t>
      </w:r>
      <w:r>
        <w:t>.</w:t>
      </w:r>
      <w:r w:rsidR="00BD63C3">
        <w:t xml:space="preserve"> </w:t>
      </w:r>
      <w:r w:rsidR="0068769A">
        <w:t xml:space="preserve">The percentage </w:t>
      </w:r>
      <w:r w:rsidR="00AB4BA6">
        <w:t xml:space="preserve">of respondents </w:t>
      </w:r>
      <w:r w:rsidR="0068769A">
        <w:t>with a</w:t>
      </w:r>
      <w:r w:rsidR="00BD63C3">
        <w:t xml:space="preserve">ge at first sex between 15 and 17 years increased from 35.1% to 39.0%. </w:t>
      </w:r>
      <w:r w:rsidR="0068769A">
        <w:t xml:space="preserve">The percentage </w:t>
      </w:r>
      <w:r w:rsidR="00AB4BA6">
        <w:t xml:space="preserve">of respondents </w:t>
      </w:r>
      <w:r w:rsidR="0068769A">
        <w:t xml:space="preserve">intending </w:t>
      </w:r>
      <w:r w:rsidR="00BD63C3">
        <w:t>to have a birth or another birth increased from 48.3% to 51.6%.</w:t>
      </w:r>
    </w:p>
    <w:p w:rsidR="0087105A" w:rsidP="00BF31C1" w14:paraId="17F7B706" w14:textId="28BCDDD7"/>
    <w:p w:rsidR="006871BC" w14:paraId="5F393D73" w14:textId="77777777">
      <w:pPr>
        <w:rPr>
          <w:b/>
          <w:bCs/>
        </w:rPr>
      </w:pPr>
      <w:r>
        <w:rPr>
          <w:b/>
          <w:bCs/>
        </w:rPr>
        <w:br w:type="page"/>
      </w:r>
    </w:p>
    <w:p w:rsidR="00337DCC" w:rsidRPr="004C7915" w:rsidP="00337DCC" w14:paraId="745BA334" w14:textId="7F5A1906">
      <w:pPr>
        <w:rPr>
          <w:b/>
          <w:bCs/>
        </w:rPr>
      </w:pPr>
      <w:r w:rsidRPr="00BE53F3">
        <w:rPr>
          <w:b/>
          <w:bCs/>
        </w:rPr>
        <w:t xml:space="preserve">Table </w:t>
      </w:r>
      <w:r w:rsidR="0085040B">
        <w:rPr>
          <w:b/>
          <w:bCs/>
        </w:rPr>
        <w:t>5</w:t>
      </w:r>
      <w:r w:rsidRPr="00BE53F3">
        <w:rPr>
          <w:b/>
          <w:bCs/>
        </w:rPr>
        <w:t xml:space="preserve">. </w:t>
      </w:r>
      <w:r>
        <w:rPr>
          <w:b/>
          <w:bCs/>
        </w:rPr>
        <w:t xml:space="preserve"> Select NSFG Key Statistics </w:t>
      </w:r>
      <w:r w:rsidRPr="00BE53F3">
        <w:rPr>
          <w:b/>
          <w:bCs/>
        </w:rPr>
        <w:t xml:space="preserve">by </w:t>
      </w:r>
      <w:r>
        <w:rPr>
          <w:b/>
          <w:bCs/>
        </w:rPr>
        <w:t xml:space="preserve">Incentive Condition, </w:t>
      </w:r>
      <w:r w:rsidR="00F85C81">
        <w:rPr>
          <w:b/>
          <w:bCs/>
        </w:rPr>
        <w:t xml:space="preserve">2022 </w:t>
      </w:r>
      <w:r w:rsidRPr="00C1055A" w:rsidR="00F85C81">
        <w:rPr>
          <w:b/>
          <w:bCs/>
        </w:rPr>
        <w:t>Quarter</w:t>
      </w:r>
      <w:r w:rsidR="0068769A">
        <w:rPr>
          <w:b/>
          <w:bCs/>
        </w:rPr>
        <w:t>s</w:t>
      </w:r>
      <w:r w:rsidRPr="00C1055A" w:rsidR="00F85C81">
        <w:rPr>
          <w:b/>
          <w:bCs/>
        </w:rPr>
        <w:t xml:space="preserve"> </w:t>
      </w:r>
      <w:r w:rsidR="00F85C81">
        <w:rPr>
          <w:b/>
          <w:bCs/>
        </w:rPr>
        <w:t>3 and 4, 2023 Quarter 1</w:t>
      </w:r>
      <w:r w:rsidR="0068769A">
        <w:rPr>
          <w:b/>
          <w:bCs/>
        </w:rPr>
        <w:t>,</w:t>
      </w:r>
      <w:r w:rsidR="00F85C81">
        <w:rPr>
          <w:b/>
          <w:bCs/>
        </w:rPr>
        <w:t xml:space="preserve"> and Phases 1&amp;2 of </w:t>
      </w:r>
      <w:r w:rsidR="0068769A">
        <w:rPr>
          <w:b/>
          <w:bCs/>
        </w:rPr>
        <w:t xml:space="preserve">2023 </w:t>
      </w:r>
      <w:r w:rsidR="00F85C81">
        <w:rPr>
          <w:b/>
          <w:bCs/>
        </w:rPr>
        <w:t>Quarter 2</w:t>
      </w:r>
      <w:r w:rsidRPr="00BE53F3">
        <w:rPr>
          <w:b/>
          <w:bCs/>
        </w:rPr>
        <w:t>.</w:t>
      </w:r>
    </w:p>
    <w:tbl>
      <w:tblPr>
        <w:tblW w:w="0" w:type="auto"/>
        <w:tblLayout w:type="fixed"/>
        <w:tblLook w:val="04A0"/>
      </w:tblPr>
      <w:tblGrid>
        <w:gridCol w:w="1975"/>
        <w:gridCol w:w="810"/>
        <w:gridCol w:w="900"/>
        <w:gridCol w:w="810"/>
        <w:gridCol w:w="900"/>
        <w:gridCol w:w="1260"/>
        <w:gridCol w:w="990"/>
      </w:tblGrid>
      <w:tr w14:paraId="2BBA35EA" w14:textId="77777777" w:rsidTr="7C8BF4A2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CC" w:rsidP="0083621F" w14:paraId="5845FD8B" w14:textId="046D95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CC" w:rsidP="0083621F" w14:paraId="101CA965" w14:textId="7B0896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$40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CC" w:rsidP="0083621F" w14:paraId="369B50BF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$60 &amp; $80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CC" w:rsidP="0083621F" w14:paraId="7F758D0B" w14:textId="7A58ED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7C8BF4A2">
              <w:rPr>
                <w:b/>
                <w:bCs/>
                <w:color w:val="000000" w:themeColor="text1"/>
                <w:sz w:val="20"/>
                <w:szCs w:val="20"/>
              </w:rPr>
              <w:t>Rate Diff</w:t>
            </w:r>
            <w:r w:rsidRPr="7C8BF4A2" w:rsidR="3697E45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CC" w:rsidP="0083621F" w14:paraId="5BB0E125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14:paraId="1A63F17A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21F" w:rsidP="0083621F" w14:paraId="21B313F2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1F" w:rsidP="0083621F" w14:paraId="6E10FEC2" w14:textId="13132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1F" w:rsidP="0083621F" w14:paraId="1D0A3C22" w14:textId="6EC30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1F" w:rsidP="0083621F" w14:paraId="2CB1AE4F" w14:textId="2BBDB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1F" w:rsidP="0083621F" w14:paraId="3778CAE4" w14:textId="6344B1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88A">
              <w:rPr>
                <w:b/>
                <w:bCs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21F" w:rsidP="0083621F" w14:paraId="300C5D87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$60&amp;80-$40</w:t>
            </w: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hideMark/>
          </w:tcPr>
          <w:p w:rsidR="0083621F" w:rsidP="0083621F" w14:paraId="656CCF92" w14:textId="7777777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B3D4D39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07339C35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at first sex (&lt;15)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1FC4A49" w14:textId="754E93A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6BAB2BB" w14:textId="6282E1E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3676C19" w14:textId="5221475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11AAF5D1" w14:textId="61BAA8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6A51AA1" w14:textId="50CEC8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6FB8C2B" w14:textId="27DE85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0.1730</w:t>
            </w:r>
          </w:p>
        </w:tc>
      </w:tr>
      <w:tr w14:paraId="534949D5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59C86A5C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at first sex (15-17)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8A51F6A" w14:textId="1EBB12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1B31719" w14:textId="09C515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E8A0201" w14:textId="68D2F5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F7BDE2C" w14:textId="0020E4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1E06F090" w14:textId="08E140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B478F18" w14:textId="446C5D4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0.0254</w:t>
            </w:r>
          </w:p>
        </w:tc>
      </w:tr>
      <w:tr w14:paraId="17E9E442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3DA26079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Age at first sex (18+)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195BD19C" w14:textId="0C445C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285045E" w14:textId="35960B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4057AEA" w14:textId="5839A9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11494B16" w14:textId="372F4A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3D24A02" w14:textId="2C493B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56DFF59" w14:textId="107ACB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0.2076</w:t>
            </w:r>
          </w:p>
        </w:tc>
      </w:tr>
      <w:tr w14:paraId="74926026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02E67340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Ever cohabited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DE0055C" w14:textId="51CF59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63A9395" w14:textId="1AA48E0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03CA0F5" w14:textId="35EA117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0F7AB25" w14:textId="6FADC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86DA9F8" w14:textId="7974B2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21E6EED" w14:textId="0CE6AD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0.6893</w:t>
            </w:r>
          </w:p>
        </w:tc>
      </w:tr>
      <w:tr w14:paraId="74DB6FC3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2E7F7AC8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biological children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B961090" w14:textId="088B50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7065035" w14:textId="63AD7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83FF0AC" w14:textId="107A3B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800D438" w14:textId="3C40FB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54.3%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32DA4B1A" w14:textId="24101A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B7FE75A" w14:textId="18C2BD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0.3224</w:t>
            </w:r>
          </w:p>
        </w:tc>
      </w:tr>
      <w:tr w14:paraId="7DD62CFF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215B86A6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One biological child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F495D0E" w14:textId="01F2A4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C83B841" w14:textId="5497239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16.4%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4406B1B" w14:textId="453D92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659CE50" w14:textId="6635BA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1E4CB54C" w14:textId="364986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FD3DD1A" w14:textId="3DAF47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0.5751</w:t>
            </w:r>
          </w:p>
        </w:tc>
      </w:tr>
      <w:tr w14:paraId="7DC8435A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1C892AE6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Two or more biological children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53F818F" w14:textId="084EFB7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05A3A26" w14:textId="5912AB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0756633" w14:textId="3C5687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2DE7451" w14:textId="5E890A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3B211BB9" w14:textId="4A6EEEB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03148F3" w14:textId="1CCA04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0.4836</w:t>
            </w:r>
          </w:p>
        </w:tc>
      </w:tr>
      <w:tr w14:paraId="4372B2B6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06CCD2EE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Intend a/another birth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AC4A04A" w14:textId="0D2170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446410C" w14:textId="56EF80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63A6776" w14:textId="3D13D1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39A00E9B" w14:textId="3C618E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C5D2A26" w14:textId="05A7C4F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D26C57A" w14:textId="103B31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0.0316</w:t>
            </w:r>
          </w:p>
        </w:tc>
      </w:tr>
      <w:tr w14:paraId="5024B49A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223EBE58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Used contraception at first sex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C1901B8" w14:textId="49D6E3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663E22F" w14:textId="53D5E2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70.3%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0E905F6" w14:textId="4F4F03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6965C87" w14:textId="2557E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71.0%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1685653" w14:textId="38546D7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AC484BB" w14:textId="19F890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0.6689</w:t>
            </w:r>
          </w:p>
        </w:tc>
      </w:tr>
      <w:tr w14:paraId="6AC3980C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2B315A67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Had sex in the last 12 months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1F65EED2" w14:textId="6FD5EE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487BA1E" w14:textId="7D35A6F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81.2%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5FBE3D9" w14:textId="0E5298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B60B23B" w14:textId="11B94F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37A25654" w14:textId="0D22B2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9D6A6A3" w14:textId="072D81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0.2103</w:t>
            </w:r>
          </w:p>
        </w:tc>
      </w:tr>
      <w:tr w14:paraId="21E0C6D0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6CAD0695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Ever smoked at least 100 cigarettes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4E2767E" w14:textId="77DE03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3EE89D0F" w14:textId="1B4719E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CDE27C1" w14:textId="11B9FD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1A8191C" w14:textId="27487D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8D84D11" w14:textId="22F50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D1175CA" w14:textId="2E32FD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0.4893</w:t>
            </w:r>
          </w:p>
        </w:tc>
      </w:tr>
      <w:tr w14:paraId="790A1036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4737D9ED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Ever had an HIV test outside of blood donation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4B03410" w14:textId="7526EF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36CA10EC" w14:textId="71BFDB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0F7EFAD" w14:textId="6855504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2B26D54" w14:textId="2BF4F7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219132C" w14:textId="6FBB553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7015441" w14:textId="00C0C6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0.5517</w:t>
            </w:r>
          </w:p>
        </w:tc>
      </w:tr>
      <w:tr w14:paraId="72B6F170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121CD637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 care coverage in last 12 months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752B359" w14:textId="7E9078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3AB76674" w14:textId="0772B0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87.2%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8E23334" w14:textId="55F8B54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8D31B2D" w14:textId="414F43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88.8%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25C63330" w14:textId="18D1F6A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3FA687DD" w14:textId="49EF8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0.1059</w:t>
            </w:r>
          </w:p>
        </w:tc>
      </w:tr>
      <w:tr w14:paraId="3CD2A67A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6F5952D1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Received public assistance in the last 12 months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0CB02F4" w14:textId="065D21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173D1B31" w14:textId="3DCCF0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1E48E465" w14:textId="7A31DA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D6EB601" w14:textId="658F8F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B4930DC" w14:textId="4F8083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51E4425C" w14:textId="103459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0.7449</w:t>
            </w:r>
          </w:p>
        </w:tc>
      </w:tr>
      <w:tr w14:paraId="351E5E08" w14:textId="77777777" w:rsidTr="7C8BF4A2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7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DCC" w14:paraId="7849751A" w14:textId="7777777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Females only</w:t>
            </w:r>
          </w:p>
        </w:tc>
      </w:tr>
      <w:tr w14:paraId="430691F7" w14:textId="77777777" w:rsidTr="00316CFC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CFC" w:rsidP="00316CFC" w14:paraId="690A2ED9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Ever pregnant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6B421C9" w14:textId="4362A6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0780E587" w14:textId="3A9C97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76F226C9" w14:textId="245C15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2C6D672" w14:textId="7BBF529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611D9CC4" w14:textId="75D14BF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FC" w:rsidP="00316CFC" w14:paraId="481404BD" w14:textId="795D2B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0.4953</w:t>
            </w:r>
          </w:p>
        </w:tc>
      </w:tr>
    </w:tbl>
    <w:p w:rsidR="00337DCC" w:rsidP="00BF31C1" w14:paraId="70973866" w14:textId="77777777"/>
    <w:p w:rsidR="00984ED1" w:rsidP="00984ED1" w14:paraId="07D3DBE3" w14:textId="7BE937B4">
      <w:r>
        <w:t>In sum</w:t>
      </w:r>
      <w:r w:rsidR="005D7BA6">
        <w:t xml:space="preserve">, </w:t>
      </w:r>
      <w:r>
        <w:t xml:space="preserve">three conclusions can be made from the data so far. First, </w:t>
      </w:r>
      <w:r w:rsidR="005D7BA6">
        <w:t xml:space="preserve">response rates for the $60 and $80 incentive conditions </w:t>
      </w:r>
      <w:r>
        <w:t>are consistently higher than the $40 incentive condition</w:t>
      </w:r>
      <w:r w:rsidR="00C94111">
        <w:t xml:space="preserve"> (across incentive amounts and quarters)</w:t>
      </w:r>
      <w:r>
        <w:t xml:space="preserve">. Second, the higher incentive amounts are </w:t>
      </w:r>
      <w:r w:rsidR="00064D33">
        <w:t xml:space="preserve">showing </w:t>
      </w:r>
      <w:r>
        <w:t>improved participation</w:t>
      </w:r>
      <w:r w:rsidR="00064D33">
        <w:t xml:space="preserve"> rates</w:t>
      </w:r>
      <w:r>
        <w:t xml:space="preserve">, particularly among </w:t>
      </w:r>
      <w:r w:rsidR="002771E1">
        <w:t>previously</w:t>
      </w:r>
      <w:r w:rsidR="00AF1369">
        <w:t xml:space="preserve"> </w:t>
      </w:r>
      <w:r>
        <w:t xml:space="preserve">underrepresented groups. </w:t>
      </w:r>
      <w:r w:rsidR="00BD63C3">
        <w:t xml:space="preserve">Relatedly, completion rates across the groups were more similar in the higher incentive conditions. </w:t>
      </w:r>
      <w:r>
        <w:t xml:space="preserve">Third, </w:t>
      </w:r>
      <w:r w:rsidR="00BD63C3">
        <w:t>some key</w:t>
      </w:r>
      <w:r w:rsidR="00AB4BA6">
        <w:t xml:space="preserve"> NSFG</w:t>
      </w:r>
      <w:r w:rsidR="00BD63C3">
        <w:t xml:space="preserve"> estimates showed sensitivity to the increased </w:t>
      </w:r>
      <w:r w:rsidR="00AB4BA6">
        <w:t xml:space="preserve">main survey </w:t>
      </w:r>
      <w:r w:rsidR="00BD63C3">
        <w:t xml:space="preserve">participation under the higher incentive amount. </w:t>
      </w:r>
      <w:r>
        <w:t xml:space="preserve">There was a 3.9 percentage point increase in </w:t>
      </w:r>
      <w:r w:rsidR="00AB4BA6">
        <w:t xml:space="preserve">respondents with </w:t>
      </w:r>
      <w:r>
        <w:t xml:space="preserve">first sex between 15 and 17 years of age. There was also a 3.2 percentage point increase in </w:t>
      </w:r>
      <w:r w:rsidR="004A1616">
        <w:t xml:space="preserve">respondents intending to have </w:t>
      </w:r>
      <w:r>
        <w:t>a birth or another birth</w:t>
      </w:r>
      <w:r>
        <w:t>.</w:t>
      </w:r>
    </w:p>
    <w:p w:rsidR="00984ED1" w:rsidP="00984ED1" w14:paraId="7EF4651C" w14:textId="77777777"/>
    <w:p w:rsidR="00984ED1" w:rsidP="00984ED1" w14:paraId="18B46237" w14:textId="4DD8140F">
      <w:r>
        <w:t>In addition to the results on improved response rates, representation, and impact on key survey estimates, there is a pragmatic aspect to the incentive experiment. With post-COVID field interviewer recruitment and retention challenges, i</w:t>
      </w:r>
      <w:r>
        <w:t>t is of critical importance in the new multimode NSFG data collection design to increase participation through increase</w:t>
      </w:r>
      <w:r>
        <w:t>d</w:t>
      </w:r>
      <w:r>
        <w:t xml:space="preserve"> web completion. The higher incentive amount achieves increased participation almost exclusively through web completion</w:t>
      </w:r>
      <w:r>
        <w:t>.</w:t>
      </w:r>
    </w:p>
    <w:p w:rsidR="0087105A" w:rsidP="00BF31C1" w14:paraId="166E32F8" w14:textId="40F5D14B"/>
    <w:p w:rsidR="00287295" w14:paraId="24972135" w14:textId="355029DA"/>
    <w:p w:rsidR="0087105A" w:rsidRPr="00D12F09" w:rsidP="00BF31C1" w14:paraId="7FC1D734" w14:textId="4B12A029">
      <w:pPr>
        <w:rPr>
          <w:u w:val="single"/>
        </w:rPr>
      </w:pPr>
      <w:r w:rsidRPr="00D12F09">
        <w:rPr>
          <w:u w:val="single"/>
        </w:rPr>
        <w:t>References</w:t>
      </w:r>
    </w:p>
    <w:p w:rsidR="0087105A" w:rsidP="00BF31C1" w14:paraId="5C6AAFEE" w14:textId="77777777"/>
    <w:p w:rsidR="00092A79" w:rsidRPr="00092A79" w:rsidP="00092A79" w14:paraId="50EDB976" w14:textId="77777777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92A79">
        <w:rPr>
          <w:noProof/>
        </w:rPr>
        <w:t xml:space="preserve">Brick, J. M. and R. Tourangeau (2017). "Responsive Survey Designs for Reducing Nonresponse Bias."  </w:t>
      </w:r>
      <w:r w:rsidRPr="00092A79">
        <w:rPr>
          <w:b/>
          <w:noProof/>
        </w:rPr>
        <w:t>33</w:t>
      </w:r>
      <w:r w:rsidRPr="00092A79">
        <w:rPr>
          <w:noProof/>
        </w:rPr>
        <w:t>(3): 735.</w:t>
      </w:r>
    </w:p>
    <w:p w:rsidR="00092A79" w:rsidRPr="00092A79" w:rsidP="00092A79" w14:paraId="425D04FF" w14:textId="77777777">
      <w:pPr>
        <w:pStyle w:val="EndNoteBibliography"/>
        <w:ind w:left="720" w:hanging="720"/>
        <w:rPr>
          <w:noProof/>
        </w:rPr>
      </w:pPr>
      <w:r w:rsidRPr="00092A79">
        <w:rPr>
          <w:noProof/>
        </w:rPr>
        <w:t xml:space="preserve">Groves, R. M., M. P. Couper, S. Presser, E. Singer, R. Tourangeau, G. P. Acosta and L. Nelson (2006). "Experiments in Producing Nonresponse Bias." </w:t>
      </w:r>
      <w:r w:rsidRPr="00092A79">
        <w:rPr>
          <w:noProof/>
          <w:u w:val="single"/>
        </w:rPr>
        <w:t>Public Opinion Quarterly</w:t>
      </w:r>
      <w:r w:rsidRPr="00092A79">
        <w:rPr>
          <w:noProof/>
        </w:rPr>
        <w:t xml:space="preserve"> </w:t>
      </w:r>
      <w:r w:rsidRPr="00092A79">
        <w:rPr>
          <w:b/>
          <w:noProof/>
        </w:rPr>
        <w:t>70</w:t>
      </w:r>
      <w:r w:rsidRPr="00092A79">
        <w:rPr>
          <w:noProof/>
        </w:rPr>
        <w:t>(5): 720-736.</w:t>
      </w:r>
    </w:p>
    <w:p w:rsidR="00092A79" w:rsidRPr="00092A79" w:rsidP="00092A79" w14:paraId="552A60EE" w14:textId="77777777">
      <w:pPr>
        <w:pStyle w:val="EndNoteBibliography"/>
        <w:ind w:left="720" w:hanging="720"/>
        <w:rPr>
          <w:noProof/>
        </w:rPr>
      </w:pPr>
      <w:r w:rsidRPr="00092A79">
        <w:rPr>
          <w:noProof/>
        </w:rPr>
        <w:t xml:space="preserve">Groves, R. M., S. Presser and S. Dipko (2004). "The role of topic interest in survey participation decisions." </w:t>
      </w:r>
      <w:r w:rsidRPr="00092A79">
        <w:rPr>
          <w:noProof/>
          <w:u w:val="single"/>
        </w:rPr>
        <w:t>Public Opinion Quarterly</w:t>
      </w:r>
      <w:r w:rsidRPr="00092A79">
        <w:rPr>
          <w:noProof/>
        </w:rPr>
        <w:t xml:space="preserve"> </w:t>
      </w:r>
      <w:r w:rsidRPr="00092A79">
        <w:rPr>
          <w:b/>
          <w:noProof/>
        </w:rPr>
        <w:t>68</w:t>
      </w:r>
      <w:r w:rsidRPr="00092A79">
        <w:rPr>
          <w:noProof/>
        </w:rPr>
        <w:t>(1): 2-31.</w:t>
      </w:r>
    </w:p>
    <w:p w:rsidR="00BF31C1" w:rsidRPr="00BF31C1" w:rsidP="00BF31C1" w14:paraId="07B90DFD" w14:textId="07A0ADB7">
      <w:r>
        <w:fldChar w:fldCharType="end"/>
      </w:r>
    </w:p>
    <w:sectPr w:rsidSect="00C64C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86B" w14:paraId="2DCB8A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3ACA" w:rsidRPr="00912306" w14:paraId="7C8F152C" w14:textId="4C4A07A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12306">
      <w:rPr>
        <w:rFonts w:ascii="Times New Roman" w:hAnsi="Times New Roman" w:cs="Times New Roman"/>
        <w:sz w:val="20"/>
        <w:szCs w:val="20"/>
      </w:rPr>
      <w:t xml:space="preserve">Page </w:t>
    </w:r>
    <w:sdt>
      <w:sdtPr>
        <w:rPr>
          <w:rFonts w:ascii="Times New Roman" w:hAnsi="Times New Roman" w:cs="Times New Roman"/>
          <w:sz w:val="20"/>
          <w:szCs w:val="20"/>
        </w:rPr>
        <w:id w:val="-2334763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1230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230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230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230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230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912306">
          <w:rPr>
            <w:rFonts w:ascii="Times New Roman" w:hAnsi="Times New Roman" w:cs="Times New Roman"/>
            <w:noProof/>
            <w:sz w:val="20"/>
            <w:szCs w:val="20"/>
          </w:rPr>
          <w:t xml:space="preserve"> of </w:t>
        </w:r>
        <w:r w:rsidRPr="00912306">
          <w:rPr>
            <w:rFonts w:ascii="Times New Roman" w:hAnsi="Times New Roman" w:cs="Times New Roman"/>
            <w:noProof/>
            <w:sz w:val="20"/>
            <w:szCs w:val="20"/>
          </w:rPr>
          <w:fldChar w:fldCharType="begin"/>
        </w:r>
        <w:r w:rsidRPr="00912306">
          <w:rPr>
            <w:rFonts w:ascii="Times New Roman" w:hAnsi="Times New Roman" w:cs="Times New Roman"/>
            <w:noProof/>
            <w:sz w:val="20"/>
            <w:szCs w:val="20"/>
          </w:rPr>
          <w:instrText xml:space="preserve"> NUMPAGES   \* MERGEFORMAT </w:instrText>
        </w:r>
        <w:r w:rsidRPr="00912306">
          <w:rPr>
            <w:rFonts w:ascii="Times New Roman" w:hAnsi="Times New Roman" w:cs="Times New Roman"/>
            <w:noProof/>
            <w:sz w:val="20"/>
            <w:szCs w:val="20"/>
          </w:rPr>
          <w:fldChar w:fldCharType="separate"/>
        </w:r>
        <w:r w:rsidRPr="0091230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1230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:rsidR="00143ACA" w14:paraId="6B42E7B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86B" w14:paraId="1B7D08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C1DBC" w:rsidP="0062576C" w14:paraId="79C1C369" w14:textId="77777777">
      <w:r>
        <w:separator/>
      </w:r>
    </w:p>
  </w:footnote>
  <w:footnote w:type="continuationSeparator" w:id="1">
    <w:p w:rsidR="00CC1DBC" w:rsidP="0062576C" w14:paraId="5D407B6B" w14:textId="77777777">
      <w:r>
        <w:continuationSeparator/>
      </w:r>
    </w:p>
  </w:footnote>
  <w:footnote w:id="2">
    <w:p w:rsidR="000F3AE3" w:rsidRPr="000F3AE3" w14:paraId="517C2B3F" w14:textId="14979CDA">
      <w:pPr>
        <w:pStyle w:val="FootnoteText"/>
        <w:rPr>
          <w:rFonts w:ascii="Times New Roman" w:hAnsi="Times New Roman" w:cs="Times New Roman"/>
        </w:rPr>
      </w:pPr>
      <w:r w:rsidRPr="000F3AE3">
        <w:rPr>
          <w:rStyle w:val="FootnoteReference"/>
          <w:rFonts w:ascii="Times New Roman" w:hAnsi="Times New Roman" w:cs="Times New Roman"/>
        </w:rPr>
        <w:footnoteRef/>
      </w:r>
      <w:r w:rsidRPr="000F3AE3">
        <w:rPr>
          <w:rFonts w:ascii="Times New Roman" w:hAnsi="Times New Roman" w:cs="Times New Roman"/>
        </w:rPr>
        <w:t xml:space="preserve"> Interim results from Quarter 2 of 2023 </w:t>
      </w:r>
      <w:r w:rsidR="00331A65">
        <w:rPr>
          <w:rFonts w:ascii="Times New Roman" w:hAnsi="Times New Roman" w:cs="Times New Roman"/>
        </w:rPr>
        <w:t xml:space="preserve">may be </w:t>
      </w:r>
      <w:r w:rsidR="00FC1F94">
        <w:rPr>
          <w:rFonts w:ascii="Times New Roman" w:hAnsi="Times New Roman" w:cs="Times New Roman"/>
        </w:rPr>
        <w:t>used</w:t>
      </w:r>
      <w:r w:rsidR="00331A65">
        <w:rPr>
          <w:rFonts w:ascii="Times New Roman" w:hAnsi="Times New Roman" w:cs="Times New Roman"/>
        </w:rPr>
        <w:t xml:space="preserve"> </w:t>
      </w:r>
      <w:r w:rsidRPr="000F3AE3">
        <w:rPr>
          <w:rFonts w:ascii="Times New Roman" w:hAnsi="Times New Roman" w:cs="Times New Roman"/>
        </w:rPr>
        <w:t>based on the current schedule</w:t>
      </w:r>
      <w:r w:rsidR="00331A65">
        <w:rPr>
          <w:rFonts w:ascii="Times New Roman" w:hAnsi="Times New Roman" w:cs="Times New Roman"/>
        </w:rPr>
        <w:t xml:space="preserve"> for submission of the OMB 30-day package</w:t>
      </w:r>
      <w:r w:rsidRPr="000F3AE3">
        <w:rPr>
          <w:rFonts w:ascii="Times New Roman" w:hAnsi="Times New Roman" w:cs="Times New Roman"/>
        </w:rPr>
        <w:t>.</w:t>
      </w:r>
    </w:p>
  </w:footnote>
  <w:footnote w:id="3">
    <w:p w:rsidR="006E04E1" w:rsidRPr="000F3AE3" w:rsidP="006E04E1" w14:paraId="5F5A86FF" w14:textId="5546802A">
      <w:pPr>
        <w:rPr>
          <w:sz w:val="20"/>
          <w:szCs w:val="20"/>
        </w:rPr>
      </w:pPr>
      <w:r w:rsidRPr="000F3AE3">
        <w:rPr>
          <w:rStyle w:val="FootnoteReference"/>
        </w:rPr>
        <w:footnoteRef/>
      </w:r>
      <w:r w:rsidRPr="000F3AE3" w:rsidR="000F3AE3">
        <w:rPr>
          <w:sz w:val="20"/>
          <w:szCs w:val="20"/>
        </w:rPr>
        <w:t xml:space="preserve"> </w:t>
      </w:r>
      <w:r w:rsidRPr="000F3AE3">
        <w:rPr>
          <w:sz w:val="20"/>
          <w:szCs w:val="20"/>
        </w:rPr>
        <w:t xml:space="preserve">The American Association for Public Opinion Research. </w:t>
      </w:r>
      <w:r w:rsidRPr="000F3AE3" w:rsidR="00F95733">
        <w:rPr>
          <w:sz w:val="20"/>
          <w:szCs w:val="20"/>
        </w:rPr>
        <w:t>20</w:t>
      </w:r>
      <w:r w:rsidR="00F95733">
        <w:rPr>
          <w:sz w:val="20"/>
          <w:szCs w:val="20"/>
        </w:rPr>
        <w:t>23</w:t>
      </w:r>
      <w:r w:rsidRPr="000F3AE3">
        <w:rPr>
          <w:sz w:val="20"/>
          <w:szCs w:val="20"/>
        </w:rPr>
        <w:t xml:space="preserve">. Standard Definitions: Final Dispositions of Case Codes and Outcome Rates for Surveys. </w:t>
      </w:r>
      <w:r w:rsidR="00F95733">
        <w:rPr>
          <w:sz w:val="20"/>
          <w:szCs w:val="20"/>
        </w:rPr>
        <w:t>10</w:t>
      </w:r>
      <w:r w:rsidRPr="000F3AE3" w:rsidR="00F95733">
        <w:rPr>
          <w:sz w:val="20"/>
          <w:szCs w:val="20"/>
        </w:rPr>
        <w:t xml:space="preserve">th </w:t>
      </w:r>
      <w:r w:rsidRPr="000F3AE3">
        <w:rPr>
          <w:sz w:val="20"/>
          <w:szCs w:val="20"/>
        </w:rPr>
        <w:t>edition. AAPOR.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86B" w14:paraId="0533C5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464D" w:rsidRPr="0069414A" w:rsidP="0060464D" w14:paraId="05B533B0" w14:textId="77777777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>OMB Attachment D4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>
      <w:rPr>
        <w:rFonts w:ascii="Calibri" w:hAnsi="Calibri" w:cs="Calibri"/>
        <w:bCs/>
        <w:i/>
        <w:sz w:val="20"/>
        <w:szCs w:val="20"/>
      </w:rPr>
      <w:t>0920-0314</w:t>
    </w:r>
    <w:r>
      <w:rPr>
        <w:rFonts w:ascii="Calibri" w:hAnsi="Calibri" w:cs="Calibri"/>
        <w:b/>
        <w:bCs/>
        <w:sz w:val="20"/>
        <w:szCs w:val="20"/>
      </w:rPr>
      <w:t xml:space="preserve"> </w:t>
    </w:r>
  </w:p>
  <w:p w:rsidR="00064D33" w:rsidRPr="008C00A4" w14:paraId="5E84F86E" w14:textId="1576BDFE">
    <w:pPr>
      <w:pStyle w:val="Header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86B" w14:paraId="1F30FF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8362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24301A"/>
    <w:multiLevelType w:val="multilevel"/>
    <w:tmpl w:val="CC2A2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C27415"/>
    <w:multiLevelType w:val="hybridMultilevel"/>
    <w:tmpl w:val="987AFCC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522D9"/>
    <w:multiLevelType w:val="multilevel"/>
    <w:tmpl w:val="CC2A2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619747E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B8E26BC"/>
    <w:multiLevelType w:val="hybridMultilevel"/>
    <w:tmpl w:val="F41EBF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364D6"/>
    <w:multiLevelType w:val="multilevel"/>
    <w:tmpl w:val="A3CE80D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A6DFC"/>
    <w:multiLevelType w:val="hybridMultilevel"/>
    <w:tmpl w:val="7856F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9231">
    <w:abstractNumId w:val="2"/>
  </w:num>
  <w:num w:numId="2" w16cid:durableId="603460087">
    <w:abstractNumId w:val="1"/>
  </w:num>
  <w:num w:numId="3" w16cid:durableId="1774013634">
    <w:abstractNumId w:val="6"/>
  </w:num>
  <w:num w:numId="4" w16cid:durableId="1178351368">
    <w:abstractNumId w:val="0"/>
  </w:num>
  <w:num w:numId="5" w16cid:durableId="1249801542">
    <w:abstractNumId w:val="4"/>
  </w:num>
  <w:num w:numId="6" w16cid:durableId="133647761">
    <w:abstractNumId w:val="3"/>
  </w:num>
  <w:num w:numId="7" w16cid:durableId="1915973835">
    <w:abstractNumId w:val="5"/>
  </w:num>
  <w:num w:numId="8" w16cid:durableId="13973601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3B"/>
    <w:rsid w:val="00004366"/>
    <w:rsid w:val="00020718"/>
    <w:rsid w:val="00035612"/>
    <w:rsid w:val="00051F0E"/>
    <w:rsid w:val="000546BF"/>
    <w:rsid w:val="00055465"/>
    <w:rsid w:val="00061EDD"/>
    <w:rsid w:val="00064D33"/>
    <w:rsid w:val="000777C8"/>
    <w:rsid w:val="000845FD"/>
    <w:rsid w:val="00084F6E"/>
    <w:rsid w:val="000906A9"/>
    <w:rsid w:val="00092A79"/>
    <w:rsid w:val="00094D7C"/>
    <w:rsid w:val="000A2DF6"/>
    <w:rsid w:val="000A7057"/>
    <w:rsid w:val="000C77C4"/>
    <w:rsid w:val="000F3AE3"/>
    <w:rsid w:val="000F4BD9"/>
    <w:rsid w:val="000F6B46"/>
    <w:rsid w:val="001024D3"/>
    <w:rsid w:val="001048E7"/>
    <w:rsid w:val="00110077"/>
    <w:rsid w:val="0011108A"/>
    <w:rsid w:val="00132B44"/>
    <w:rsid w:val="00143ACA"/>
    <w:rsid w:val="00161323"/>
    <w:rsid w:val="001668A0"/>
    <w:rsid w:val="00166EEC"/>
    <w:rsid w:val="00170A07"/>
    <w:rsid w:val="00180BBE"/>
    <w:rsid w:val="0019444E"/>
    <w:rsid w:val="001A1787"/>
    <w:rsid w:val="001A1E72"/>
    <w:rsid w:val="001A5221"/>
    <w:rsid w:val="001B08C6"/>
    <w:rsid w:val="001C08B0"/>
    <w:rsid w:val="001C4027"/>
    <w:rsid w:val="001C514E"/>
    <w:rsid w:val="001C6C57"/>
    <w:rsid w:val="001C78FA"/>
    <w:rsid w:val="001D7E86"/>
    <w:rsid w:val="002119C3"/>
    <w:rsid w:val="00214121"/>
    <w:rsid w:val="002211B2"/>
    <w:rsid w:val="002260B5"/>
    <w:rsid w:val="00231197"/>
    <w:rsid w:val="00233C9D"/>
    <w:rsid w:val="00236EC8"/>
    <w:rsid w:val="002435EE"/>
    <w:rsid w:val="00256C85"/>
    <w:rsid w:val="00264735"/>
    <w:rsid w:val="002771E1"/>
    <w:rsid w:val="0027772C"/>
    <w:rsid w:val="002843F4"/>
    <w:rsid w:val="00287295"/>
    <w:rsid w:val="0029638A"/>
    <w:rsid w:val="00297D5A"/>
    <w:rsid w:val="002A3355"/>
    <w:rsid w:val="002B1635"/>
    <w:rsid w:val="002B484B"/>
    <w:rsid w:val="002D0965"/>
    <w:rsid w:val="002D7D29"/>
    <w:rsid w:val="002E4B68"/>
    <w:rsid w:val="002E7DE7"/>
    <w:rsid w:val="002F3EE5"/>
    <w:rsid w:val="002F4FFC"/>
    <w:rsid w:val="002F662E"/>
    <w:rsid w:val="003029E1"/>
    <w:rsid w:val="00316CFC"/>
    <w:rsid w:val="00317093"/>
    <w:rsid w:val="00317746"/>
    <w:rsid w:val="00321E6A"/>
    <w:rsid w:val="00331A65"/>
    <w:rsid w:val="00337DCC"/>
    <w:rsid w:val="00344386"/>
    <w:rsid w:val="00344F6A"/>
    <w:rsid w:val="00347EB9"/>
    <w:rsid w:val="00360422"/>
    <w:rsid w:val="003612AD"/>
    <w:rsid w:val="00372CF5"/>
    <w:rsid w:val="00375D27"/>
    <w:rsid w:val="0038005C"/>
    <w:rsid w:val="00383A86"/>
    <w:rsid w:val="00384207"/>
    <w:rsid w:val="003A2DDE"/>
    <w:rsid w:val="003A389B"/>
    <w:rsid w:val="003A64E7"/>
    <w:rsid w:val="003A7D44"/>
    <w:rsid w:val="003B5855"/>
    <w:rsid w:val="003B610E"/>
    <w:rsid w:val="003B6261"/>
    <w:rsid w:val="003C6A1E"/>
    <w:rsid w:val="003D6514"/>
    <w:rsid w:val="003E2AAD"/>
    <w:rsid w:val="003E74A1"/>
    <w:rsid w:val="003F758B"/>
    <w:rsid w:val="00402C36"/>
    <w:rsid w:val="00407873"/>
    <w:rsid w:val="00411DF2"/>
    <w:rsid w:val="00411EFF"/>
    <w:rsid w:val="00422B72"/>
    <w:rsid w:val="0042754F"/>
    <w:rsid w:val="00432DDD"/>
    <w:rsid w:val="004332BE"/>
    <w:rsid w:val="00433ED8"/>
    <w:rsid w:val="0044627E"/>
    <w:rsid w:val="00452EBB"/>
    <w:rsid w:val="0046508A"/>
    <w:rsid w:val="00466EF2"/>
    <w:rsid w:val="00470997"/>
    <w:rsid w:val="004972D4"/>
    <w:rsid w:val="004A0B01"/>
    <w:rsid w:val="004A1616"/>
    <w:rsid w:val="004A2C7C"/>
    <w:rsid w:val="004A4692"/>
    <w:rsid w:val="004A7036"/>
    <w:rsid w:val="004B688A"/>
    <w:rsid w:val="004B78BF"/>
    <w:rsid w:val="004C7915"/>
    <w:rsid w:val="004D2286"/>
    <w:rsid w:val="004E2A58"/>
    <w:rsid w:val="004E55D2"/>
    <w:rsid w:val="004E6B5D"/>
    <w:rsid w:val="004F36CB"/>
    <w:rsid w:val="004F523E"/>
    <w:rsid w:val="005064C3"/>
    <w:rsid w:val="00526393"/>
    <w:rsid w:val="00527DF4"/>
    <w:rsid w:val="0053566A"/>
    <w:rsid w:val="005413DA"/>
    <w:rsid w:val="00542855"/>
    <w:rsid w:val="0055143D"/>
    <w:rsid w:val="00560A83"/>
    <w:rsid w:val="005713FB"/>
    <w:rsid w:val="00581681"/>
    <w:rsid w:val="00585351"/>
    <w:rsid w:val="00595B16"/>
    <w:rsid w:val="00596587"/>
    <w:rsid w:val="005A1F2B"/>
    <w:rsid w:val="005A5BDA"/>
    <w:rsid w:val="005B0CC6"/>
    <w:rsid w:val="005B3EA2"/>
    <w:rsid w:val="005C693B"/>
    <w:rsid w:val="005C7644"/>
    <w:rsid w:val="005D02E5"/>
    <w:rsid w:val="005D1DC5"/>
    <w:rsid w:val="005D23D1"/>
    <w:rsid w:val="005D2DBF"/>
    <w:rsid w:val="005D6F79"/>
    <w:rsid w:val="005D7BA6"/>
    <w:rsid w:val="005E15E8"/>
    <w:rsid w:val="005E19E8"/>
    <w:rsid w:val="005E37DA"/>
    <w:rsid w:val="005E6315"/>
    <w:rsid w:val="005E670F"/>
    <w:rsid w:val="005E7567"/>
    <w:rsid w:val="0060464D"/>
    <w:rsid w:val="00605217"/>
    <w:rsid w:val="00607DC1"/>
    <w:rsid w:val="00610D9C"/>
    <w:rsid w:val="006123C3"/>
    <w:rsid w:val="00613C1C"/>
    <w:rsid w:val="00614BB6"/>
    <w:rsid w:val="00615733"/>
    <w:rsid w:val="0062532A"/>
    <w:rsid w:val="0062576C"/>
    <w:rsid w:val="00627153"/>
    <w:rsid w:val="0063588E"/>
    <w:rsid w:val="006423F8"/>
    <w:rsid w:val="006466E9"/>
    <w:rsid w:val="00647C1B"/>
    <w:rsid w:val="00656E2C"/>
    <w:rsid w:val="00664AAA"/>
    <w:rsid w:val="00667E4C"/>
    <w:rsid w:val="00672F00"/>
    <w:rsid w:val="00681134"/>
    <w:rsid w:val="0068440C"/>
    <w:rsid w:val="006871BC"/>
    <w:rsid w:val="0068769A"/>
    <w:rsid w:val="0069414A"/>
    <w:rsid w:val="0069471A"/>
    <w:rsid w:val="006C151E"/>
    <w:rsid w:val="006D39F7"/>
    <w:rsid w:val="006D6710"/>
    <w:rsid w:val="006D6F8F"/>
    <w:rsid w:val="006E04E1"/>
    <w:rsid w:val="006E2E3C"/>
    <w:rsid w:val="006F01BC"/>
    <w:rsid w:val="007019D2"/>
    <w:rsid w:val="00705AB0"/>
    <w:rsid w:val="0073470E"/>
    <w:rsid w:val="007351D9"/>
    <w:rsid w:val="00750F05"/>
    <w:rsid w:val="0075413E"/>
    <w:rsid w:val="00756780"/>
    <w:rsid w:val="00761729"/>
    <w:rsid w:val="0076317F"/>
    <w:rsid w:val="007636DC"/>
    <w:rsid w:val="00773DB3"/>
    <w:rsid w:val="00781451"/>
    <w:rsid w:val="00795D7B"/>
    <w:rsid w:val="00797376"/>
    <w:rsid w:val="007A0A81"/>
    <w:rsid w:val="007B2ABA"/>
    <w:rsid w:val="007B6167"/>
    <w:rsid w:val="007B682F"/>
    <w:rsid w:val="007C2593"/>
    <w:rsid w:val="007D24DD"/>
    <w:rsid w:val="007F5B19"/>
    <w:rsid w:val="007F6A43"/>
    <w:rsid w:val="008026AF"/>
    <w:rsid w:val="00821F1B"/>
    <w:rsid w:val="00825169"/>
    <w:rsid w:val="008258AF"/>
    <w:rsid w:val="0083621F"/>
    <w:rsid w:val="00844689"/>
    <w:rsid w:val="0085040B"/>
    <w:rsid w:val="00861F59"/>
    <w:rsid w:val="0086232A"/>
    <w:rsid w:val="00866F82"/>
    <w:rsid w:val="0087105A"/>
    <w:rsid w:val="00874858"/>
    <w:rsid w:val="00894E52"/>
    <w:rsid w:val="00897166"/>
    <w:rsid w:val="008A1EE7"/>
    <w:rsid w:val="008B6819"/>
    <w:rsid w:val="008C00A4"/>
    <w:rsid w:val="008C5E66"/>
    <w:rsid w:val="008D0D82"/>
    <w:rsid w:val="00901895"/>
    <w:rsid w:val="009063E7"/>
    <w:rsid w:val="00912306"/>
    <w:rsid w:val="00916B80"/>
    <w:rsid w:val="0093102F"/>
    <w:rsid w:val="0093358E"/>
    <w:rsid w:val="00933A22"/>
    <w:rsid w:val="00935019"/>
    <w:rsid w:val="0094488E"/>
    <w:rsid w:val="00945C81"/>
    <w:rsid w:val="0095186B"/>
    <w:rsid w:val="0097314B"/>
    <w:rsid w:val="00975430"/>
    <w:rsid w:val="009824C0"/>
    <w:rsid w:val="00984ED1"/>
    <w:rsid w:val="009907A9"/>
    <w:rsid w:val="009A737B"/>
    <w:rsid w:val="009B5C70"/>
    <w:rsid w:val="009D16C9"/>
    <w:rsid w:val="009D2A3C"/>
    <w:rsid w:val="009E2057"/>
    <w:rsid w:val="009E60C7"/>
    <w:rsid w:val="009F525F"/>
    <w:rsid w:val="009F6C73"/>
    <w:rsid w:val="009F6DD1"/>
    <w:rsid w:val="00A001F0"/>
    <w:rsid w:val="00A0084D"/>
    <w:rsid w:val="00A01160"/>
    <w:rsid w:val="00A14B0E"/>
    <w:rsid w:val="00A156B9"/>
    <w:rsid w:val="00A23AB4"/>
    <w:rsid w:val="00A26458"/>
    <w:rsid w:val="00A26F6C"/>
    <w:rsid w:val="00A304A2"/>
    <w:rsid w:val="00A30A41"/>
    <w:rsid w:val="00A3169E"/>
    <w:rsid w:val="00A3207E"/>
    <w:rsid w:val="00A35D13"/>
    <w:rsid w:val="00A43180"/>
    <w:rsid w:val="00A540EA"/>
    <w:rsid w:val="00A575C8"/>
    <w:rsid w:val="00A66A1C"/>
    <w:rsid w:val="00A720CC"/>
    <w:rsid w:val="00A75028"/>
    <w:rsid w:val="00A7617E"/>
    <w:rsid w:val="00A80114"/>
    <w:rsid w:val="00A8062D"/>
    <w:rsid w:val="00A84357"/>
    <w:rsid w:val="00AA07EE"/>
    <w:rsid w:val="00AA275A"/>
    <w:rsid w:val="00AB4BA6"/>
    <w:rsid w:val="00AC148C"/>
    <w:rsid w:val="00AC44AD"/>
    <w:rsid w:val="00AD063B"/>
    <w:rsid w:val="00AD5276"/>
    <w:rsid w:val="00AE75D7"/>
    <w:rsid w:val="00AF1369"/>
    <w:rsid w:val="00B0549D"/>
    <w:rsid w:val="00B136D4"/>
    <w:rsid w:val="00B13B11"/>
    <w:rsid w:val="00B13D9C"/>
    <w:rsid w:val="00B27412"/>
    <w:rsid w:val="00B346C1"/>
    <w:rsid w:val="00B359D8"/>
    <w:rsid w:val="00B36937"/>
    <w:rsid w:val="00B40E57"/>
    <w:rsid w:val="00B4161B"/>
    <w:rsid w:val="00B522EA"/>
    <w:rsid w:val="00B52881"/>
    <w:rsid w:val="00B63F80"/>
    <w:rsid w:val="00B74B89"/>
    <w:rsid w:val="00B828E3"/>
    <w:rsid w:val="00B8695E"/>
    <w:rsid w:val="00B874B6"/>
    <w:rsid w:val="00B9025A"/>
    <w:rsid w:val="00B947EE"/>
    <w:rsid w:val="00BA35CC"/>
    <w:rsid w:val="00BB64FF"/>
    <w:rsid w:val="00BD2C58"/>
    <w:rsid w:val="00BD503B"/>
    <w:rsid w:val="00BD63C3"/>
    <w:rsid w:val="00BE05C3"/>
    <w:rsid w:val="00BE53F3"/>
    <w:rsid w:val="00BE7092"/>
    <w:rsid w:val="00BE7AE8"/>
    <w:rsid w:val="00BE7C70"/>
    <w:rsid w:val="00BF05CD"/>
    <w:rsid w:val="00BF31C1"/>
    <w:rsid w:val="00C05B53"/>
    <w:rsid w:val="00C1055A"/>
    <w:rsid w:val="00C41566"/>
    <w:rsid w:val="00C54FE0"/>
    <w:rsid w:val="00C5649E"/>
    <w:rsid w:val="00C56C20"/>
    <w:rsid w:val="00C64C92"/>
    <w:rsid w:val="00C747D8"/>
    <w:rsid w:val="00C814C4"/>
    <w:rsid w:val="00C82E96"/>
    <w:rsid w:val="00C94111"/>
    <w:rsid w:val="00CA6833"/>
    <w:rsid w:val="00CA7B5D"/>
    <w:rsid w:val="00CA7BE0"/>
    <w:rsid w:val="00CB3B93"/>
    <w:rsid w:val="00CC0C02"/>
    <w:rsid w:val="00CC1DBC"/>
    <w:rsid w:val="00CC4816"/>
    <w:rsid w:val="00CD31F9"/>
    <w:rsid w:val="00CD4172"/>
    <w:rsid w:val="00CE37D4"/>
    <w:rsid w:val="00CE41AA"/>
    <w:rsid w:val="00CF44B8"/>
    <w:rsid w:val="00CF5984"/>
    <w:rsid w:val="00D04B3E"/>
    <w:rsid w:val="00D055F2"/>
    <w:rsid w:val="00D0590B"/>
    <w:rsid w:val="00D129C9"/>
    <w:rsid w:val="00D12F09"/>
    <w:rsid w:val="00D138F8"/>
    <w:rsid w:val="00D14486"/>
    <w:rsid w:val="00D16719"/>
    <w:rsid w:val="00D3273B"/>
    <w:rsid w:val="00D338D8"/>
    <w:rsid w:val="00D36CE4"/>
    <w:rsid w:val="00D43E2A"/>
    <w:rsid w:val="00D455AA"/>
    <w:rsid w:val="00D45D0A"/>
    <w:rsid w:val="00D51019"/>
    <w:rsid w:val="00D6344F"/>
    <w:rsid w:val="00D8091C"/>
    <w:rsid w:val="00D87068"/>
    <w:rsid w:val="00D9260A"/>
    <w:rsid w:val="00D94AAA"/>
    <w:rsid w:val="00DA3BC0"/>
    <w:rsid w:val="00DA7346"/>
    <w:rsid w:val="00DB47BF"/>
    <w:rsid w:val="00DB7B6A"/>
    <w:rsid w:val="00DC3F0B"/>
    <w:rsid w:val="00DC4F27"/>
    <w:rsid w:val="00DE0098"/>
    <w:rsid w:val="00DF14B2"/>
    <w:rsid w:val="00DF3FF1"/>
    <w:rsid w:val="00E0341B"/>
    <w:rsid w:val="00E03D34"/>
    <w:rsid w:val="00E06311"/>
    <w:rsid w:val="00E144AE"/>
    <w:rsid w:val="00E25856"/>
    <w:rsid w:val="00E32EC2"/>
    <w:rsid w:val="00E349AF"/>
    <w:rsid w:val="00E36FB0"/>
    <w:rsid w:val="00E522CF"/>
    <w:rsid w:val="00E5651F"/>
    <w:rsid w:val="00E56DBC"/>
    <w:rsid w:val="00E675C1"/>
    <w:rsid w:val="00E77B73"/>
    <w:rsid w:val="00E8234C"/>
    <w:rsid w:val="00E8690D"/>
    <w:rsid w:val="00EA12DF"/>
    <w:rsid w:val="00EA165F"/>
    <w:rsid w:val="00EA78C1"/>
    <w:rsid w:val="00EB2388"/>
    <w:rsid w:val="00EE35DC"/>
    <w:rsid w:val="00EE689E"/>
    <w:rsid w:val="00EF209A"/>
    <w:rsid w:val="00F01348"/>
    <w:rsid w:val="00F06CCE"/>
    <w:rsid w:val="00F2068F"/>
    <w:rsid w:val="00F23ECE"/>
    <w:rsid w:val="00F2448D"/>
    <w:rsid w:val="00F24782"/>
    <w:rsid w:val="00F24A20"/>
    <w:rsid w:val="00F26924"/>
    <w:rsid w:val="00F34D2D"/>
    <w:rsid w:val="00F43FF4"/>
    <w:rsid w:val="00F45DF2"/>
    <w:rsid w:val="00F54E42"/>
    <w:rsid w:val="00F55A87"/>
    <w:rsid w:val="00F6613E"/>
    <w:rsid w:val="00F676AF"/>
    <w:rsid w:val="00F67A9D"/>
    <w:rsid w:val="00F723A0"/>
    <w:rsid w:val="00F85C81"/>
    <w:rsid w:val="00F87369"/>
    <w:rsid w:val="00F8745E"/>
    <w:rsid w:val="00F93C8B"/>
    <w:rsid w:val="00F95733"/>
    <w:rsid w:val="00FA0FDB"/>
    <w:rsid w:val="00FA2E07"/>
    <w:rsid w:val="00FA43EA"/>
    <w:rsid w:val="00FC1F94"/>
    <w:rsid w:val="00FC6A4F"/>
    <w:rsid w:val="00FC6F2C"/>
    <w:rsid w:val="00FC7266"/>
    <w:rsid w:val="00FD1BFD"/>
    <w:rsid w:val="00FD78A8"/>
    <w:rsid w:val="0757BD5B"/>
    <w:rsid w:val="0FCA933C"/>
    <w:rsid w:val="12F9468C"/>
    <w:rsid w:val="1F7AA4B4"/>
    <w:rsid w:val="26EAC598"/>
    <w:rsid w:val="29BA4C79"/>
    <w:rsid w:val="2D2FF914"/>
    <w:rsid w:val="2E49CF98"/>
    <w:rsid w:val="31C3BAED"/>
    <w:rsid w:val="335F8B4E"/>
    <w:rsid w:val="33BEE542"/>
    <w:rsid w:val="34FB5BAF"/>
    <w:rsid w:val="35569AD3"/>
    <w:rsid w:val="3697E45E"/>
    <w:rsid w:val="36F26B34"/>
    <w:rsid w:val="3A12455A"/>
    <w:rsid w:val="48B2D829"/>
    <w:rsid w:val="4B670128"/>
    <w:rsid w:val="4BCC270B"/>
    <w:rsid w:val="5042F749"/>
    <w:rsid w:val="5855A642"/>
    <w:rsid w:val="5D062900"/>
    <w:rsid w:val="5EA1F961"/>
    <w:rsid w:val="61A81D2A"/>
    <w:rsid w:val="64B70D10"/>
    <w:rsid w:val="6577F244"/>
    <w:rsid w:val="667B8E4D"/>
    <w:rsid w:val="687116C4"/>
    <w:rsid w:val="6B1E1077"/>
    <w:rsid w:val="6CB9E0D8"/>
    <w:rsid w:val="6E55B139"/>
    <w:rsid w:val="70B1BB46"/>
    <w:rsid w:val="786A9357"/>
    <w:rsid w:val="7AF02441"/>
    <w:rsid w:val="7B688525"/>
    <w:rsid w:val="7C8BF4A2"/>
  </w:rsids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e0eptdr05fxpepweypvst6sz9xrps9r55a&quot;&gt;EndNote_library-Converted&lt;record-ids&gt;&lt;item&gt;226&lt;/item&gt;&lt;item&gt;532&lt;/item&gt;&lt;item&gt;1320&lt;/item&gt;&lt;/record-ids&gt;&lt;/item&gt;&lt;/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5488C"/>
  <w15:chartTrackingRefBased/>
  <w15:docId w15:val="{CAA121F0-8B9B-5F40-B284-046941D6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DC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063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5413DA"/>
    <w:pPr>
      <w:widowControl w:val="0"/>
      <w:autoSpaceDE w:val="0"/>
      <w:autoSpaceDN w:val="0"/>
      <w:adjustRightInd w:val="0"/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5413DA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5413DA"/>
    <w:pPr>
      <w:widowControl w:val="0"/>
      <w:autoSpaceDE w:val="0"/>
      <w:autoSpaceDN w:val="0"/>
      <w:adjustRightInd w:val="0"/>
    </w:pPr>
  </w:style>
  <w:style w:type="character" w:customStyle="1" w:styleId="EndNoteBibliographyChar">
    <w:name w:val="EndNote Bibliography Char"/>
    <w:basedOn w:val="DefaultParagraphFont"/>
    <w:link w:val="EndNoteBibliography"/>
    <w:rsid w:val="005413D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32B44"/>
    <w:pPr>
      <w:widowControl w:val="0"/>
      <w:autoSpaceDE w:val="0"/>
      <w:autoSpaceDN w:val="0"/>
      <w:adjustRightInd w:val="0"/>
      <w:ind w:left="720"/>
      <w:contextualSpacing/>
    </w:pPr>
    <w:rPr>
      <w:rFonts w:ascii="Courier" w:hAnsi="Courier" w:cs="Courier"/>
    </w:rPr>
  </w:style>
  <w:style w:type="character" w:styleId="CommentReference">
    <w:name w:val="annotation reference"/>
    <w:basedOn w:val="DefaultParagraphFont"/>
    <w:uiPriority w:val="99"/>
    <w:semiHidden/>
    <w:unhideWhenUsed/>
    <w:rsid w:val="0062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76C"/>
    <w:pPr>
      <w:widowControl w:val="0"/>
      <w:autoSpaceDE w:val="0"/>
      <w:autoSpaceDN w:val="0"/>
      <w:adjustRightInd w:val="0"/>
    </w:pPr>
    <w:rPr>
      <w:rFonts w:ascii="Courier" w:hAnsi="Courier" w:cs="Courie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76C"/>
    <w:rPr>
      <w:rFonts w:ascii="Courier" w:eastAsia="Times New Roman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76C"/>
    <w:rPr>
      <w:rFonts w:ascii="Courier" w:eastAsia="Times New Roman" w:hAnsi="Courier" w:cs="Courier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ACA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Courier" w:hAnsi="Courier" w:cs="Courier"/>
    </w:rPr>
  </w:style>
  <w:style w:type="character" w:customStyle="1" w:styleId="HeaderChar">
    <w:name w:val="Header Char"/>
    <w:basedOn w:val="DefaultParagraphFont"/>
    <w:link w:val="Header"/>
    <w:uiPriority w:val="99"/>
    <w:rsid w:val="00143ACA"/>
    <w:rPr>
      <w:rFonts w:ascii="Courier" w:eastAsia="Times New Roman" w:hAnsi="Courier" w:cs="Courier"/>
    </w:rPr>
  </w:style>
  <w:style w:type="paragraph" w:styleId="Footer">
    <w:name w:val="footer"/>
    <w:basedOn w:val="Normal"/>
    <w:link w:val="FooterChar"/>
    <w:uiPriority w:val="99"/>
    <w:unhideWhenUsed/>
    <w:rsid w:val="00143ACA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Courier" w:hAnsi="Courier" w:cs="Courier"/>
    </w:rPr>
  </w:style>
  <w:style w:type="character" w:customStyle="1" w:styleId="FooterChar">
    <w:name w:val="Footer Char"/>
    <w:basedOn w:val="DefaultParagraphFont"/>
    <w:link w:val="Footer"/>
    <w:uiPriority w:val="99"/>
    <w:rsid w:val="00143ACA"/>
    <w:rPr>
      <w:rFonts w:ascii="Courier" w:eastAsia="Times New Roman" w:hAnsi="Courier" w:cs="Courier"/>
    </w:rPr>
  </w:style>
  <w:style w:type="numbering" w:customStyle="1" w:styleId="CurrentList1">
    <w:name w:val="Current List1"/>
    <w:uiPriority w:val="99"/>
    <w:rsid w:val="00E36FB0"/>
    <w:pPr>
      <w:numPr>
        <w:numId w:val="3"/>
      </w:numPr>
    </w:pPr>
  </w:style>
  <w:style w:type="paragraph" w:styleId="Revision">
    <w:name w:val="Revision"/>
    <w:hidden/>
    <w:uiPriority w:val="99"/>
    <w:semiHidden/>
    <w:rsid w:val="00297D5A"/>
    <w:rPr>
      <w:rFonts w:ascii="Courier" w:eastAsia="Times New Roman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3F4"/>
    <w:pPr>
      <w:widowControl w:val="0"/>
      <w:autoSpaceDE w:val="0"/>
      <w:autoSpaceDN w:val="0"/>
      <w:adjustRightInd w:val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F4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A389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04E1"/>
    <w:pPr>
      <w:widowControl w:val="0"/>
      <w:autoSpaceDE w:val="0"/>
      <w:autoSpaceDN w:val="0"/>
      <w:adjustRightInd w:val="0"/>
    </w:pPr>
    <w:rPr>
      <w:rFonts w:ascii="Courier" w:hAnsi="Courier" w:cs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4E1"/>
    <w:rPr>
      <w:rFonts w:ascii="Courier" w:eastAsia="Times New Roman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04E1"/>
    <w:rPr>
      <w:vertAlign w:val="superscript"/>
    </w:rPr>
  </w:style>
  <w:style w:type="numbering" w:customStyle="1" w:styleId="CurrentList2">
    <w:name w:val="Current List2"/>
    <w:uiPriority w:val="99"/>
    <w:rsid w:val="00E77B7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MQ3NJPM7XP6Q-1280322958-745</_dlc_DocId>
    <_dlc_DocIdUrl xmlns="8d9aba49-0b2d-4cc1-a0cd-3a53f65dc42e">
      <Url>https://cdc.sharepoint.com/sites/NCHS-bizops/clearance/_layouts/15/DocIdRedir.aspx?ID=MQ3NJPM7XP6Q-1280322958-745</Url>
      <Description>MQ3NJPM7XP6Q-1280322958-745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4" ma:contentTypeDescription="Create a new document." ma:contentTypeScope="" ma:versionID="4c50f02457a872c9c80e5d90760f7625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d82d25d7838d020ded19de2d8d088673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889A2-B270-9F4B-A47D-FAB2FE18A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51299-FB77-458A-BD58-78788C5A6AF9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3.xml><?xml version="1.0" encoding="utf-8"?>
<ds:datastoreItem xmlns:ds="http://schemas.openxmlformats.org/officeDocument/2006/customXml" ds:itemID="{96B37AE2-F18E-4C9F-B121-E9BE6CDA1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7276F-261D-4A0E-A7F0-17A3AE4DB5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6DA228-9CEC-44F4-8045-E78F4B830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ayc3</dc:creator>
  <cp:lastModifiedBy>Chandra, Anjani (CDC/DDPHSS/NCHS/DVS)</cp:lastModifiedBy>
  <cp:revision>6</cp:revision>
  <cp:lastPrinted>2023-07-05T20:30:00Z</cp:lastPrinted>
  <dcterms:created xsi:type="dcterms:W3CDTF">2023-07-05T20:09:00Z</dcterms:created>
  <dcterms:modified xsi:type="dcterms:W3CDTF">2023-07-05T20:48:00Z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cb0d804c-8e33-4bb5-9355-7344bcd8a3e1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2022-05-16T17:15:10Z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922328e4-2b43-4c14-8c7a-1ad62d9e82ee</vt:lpwstr>
  </property>
</Properties>
</file>