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0222" w:rsidRPr="00B24094" w:rsidP="00860BDD" w14:paraId="1A754BFC" w14:textId="734F8B00">
      <w:pPr>
        <w:keepNext/>
        <w:keepLines/>
        <w:ind w:left="720"/>
        <w:jc w:val="center"/>
        <w:outlineLvl w:val="6"/>
        <w:rPr>
          <w:rFonts w:eastAsiaTheme="majorEastAsia"/>
          <w:b/>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sidRPr="00B24094">
        <w:rPr>
          <w:rFonts w:eastAsiaTheme="majorEastAsia"/>
          <w:b/>
          <w:i/>
          <w:iCs/>
          <w:color w:val="404040" w:themeColor="text1" w:themeTint="BF"/>
          <w:sz w:val="28"/>
          <w:szCs w:val="28"/>
        </w:rPr>
        <w:t>PART A</w:t>
      </w:r>
      <w:r w:rsidRPr="00B24094">
        <w:rPr>
          <w:rFonts w:eastAsiaTheme="majorEastAsia"/>
          <w:b/>
          <w:i/>
          <w:iCs/>
          <w:color w:val="404040" w:themeColor="text1" w:themeTint="BF"/>
          <w:sz w:val="28"/>
          <w:szCs w:val="28"/>
        </w:rPr>
        <w:t xml:space="preserve"> </w:t>
      </w:r>
    </w:p>
    <w:p w:rsidR="00450222" w:rsidRPr="00860BDD" w:rsidP="00860BDD" w14:paraId="6DD69568" w14:textId="4D947A08">
      <w:pPr>
        <w:keepNext/>
        <w:keepLines/>
        <w:ind w:left="720"/>
        <w:jc w:val="center"/>
        <w:outlineLvl w:val="6"/>
        <w:rPr>
          <w:rFonts w:eastAsiaTheme="majorEastAsia"/>
          <w:iCs/>
          <w:color w:val="404040" w:themeColor="text1" w:themeTint="BF"/>
        </w:rPr>
      </w:pPr>
    </w:p>
    <w:p w:rsidR="00860BDD" w:rsidRPr="005C388F" w:rsidP="00860BDD" w14:paraId="13CD2745" w14:textId="77777777">
      <w:pPr>
        <w:pStyle w:val="BalloonText"/>
        <w:ind w:left="720"/>
        <w:jc w:val="center"/>
        <w:rPr>
          <w:sz w:val="24"/>
          <w:szCs w:val="24"/>
        </w:rPr>
      </w:pPr>
    </w:p>
    <w:p w:rsidR="00860BDD" w:rsidRPr="005C388F" w:rsidP="00860BDD" w14:paraId="40684487" w14:textId="77777777">
      <w:pPr>
        <w:autoSpaceDE w:val="0"/>
        <w:autoSpaceDN w:val="0"/>
        <w:adjustRightInd w:val="0"/>
        <w:ind w:left="720"/>
        <w:jc w:val="center"/>
        <w:rPr>
          <w:b/>
          <w:bCs/>
        </w:rPr>
      </w:pPr>
    </w:p>
    <w:p w:rsidR="00860BDD" w:rsidP="00860BDD" w14:paraId="7B19CD4D" w14:textId="513B9F29">
      <w:pPr>
        <w:ind w:left="720"/>
        <w:jc w:val="center"/>
        <w:rPr>
          <w:b/>
        </w:rPr>
      </w:pPr>
      <w:r w:rsidRPr="005C388F">
        <w:rPr>
          <w:b/>
        </w:rPr>
        <w:t>OMB#</w:t>
      </w:r>
      <w:r w:rsidR="003F55E4">
        <w:rPr>
          <w:b/>
        </w:rPr>
        <w:t xml:space="preserve"> 0920-</w:t>
      </w:r>
      <w:r w:rsidR="0074064E">
        <w:rPr>
          <w:b/>
        </w:rPr>
        <w:t>1425</w:t>
      </w:r>
      <w:r w:rsidRPr="005C388F">
        <w:rPr>
          <w:b/>
        </w:rPr>
        <w:t xml:space="preserve"> </w:t>
      </w:r>
    </w:p>
    <w:p w:rsidR="00ED06F9" w:rsidP="00860BDD" w14:paraId="7965B0AE" w14:textId="77777777">
      <w:pPr>
        <w:ind w:left="720"/>
        <w:jc w:val="center"/>
        <w:rPr>
          <w:b/>
        </w:rPr>
      </w:pPr>
    </w:p>
    <w:p w:rsidR="005665EE" w:rsidRPr="005C388F" w:rsidP="00860BDD" w14:paraId="452EE190" w14:textId="312CD2B6">
      <w:pPr>
        <w:ind w:left="720"/>
        <w:jc w:val="center"/>
        <w:rPr>
          <w:b/>
        </w:rPr>
      </w:pPr>
      <w:r>
        <w:rPr>
          <w:b/>
        </w:rPr>
        <w:t xml:space="preserve">Date: </w:t>
      </w:r>
      <w:r w:rsidR="00ED06F9">
        <w:rPr>
          <w:b/>
        </w:rPr>
        <w:t>0</w:t>
      </w:r>
      <w:r w:rsidR="00E52922">
        <w:rPr>
          <w:b/>
        </w:rPr>
        <w:t>9</w:t>
      </w:r>
      <w:r w:rsidR="00ED06F9">
        <w:rPr>
          <w:b/>
        </w:rPr>
        <w:t>/</w:t>
      </w:r>
      <w:r w:rsidR="00E52922">
        <w:rPr>
          <w:b/>
        </w:rPr>
        <w:t>18</w:t>
      </w:r>
      <w:r w:rsidR="000853DE">
        <w:rPr>
          <w:b/>
        </w:rPr>
        <w:t>/</w:t>
      </w:r>
      <w:r w:rsidR="00996496">
        <w:rPr>
          <w:b/>
        </w:rPr>
        <w:t>2023</w:t>
      </w:r>
    </w:p>
    <w:p w:rsidR="00860BDD" w:rsidP="00860BDD" w14:paraId="3B3A87F2" w14:textId="77777777">
      <w:pPr>
        <w:ind w:left="720"/>
        <w:jc w:val="center"/>
        <w:rPr>
          <w:b/>
        </w:rPr>
      </w:pPr>
    </w:p>
    <w:p w:rsidR="00860BDD" w:rsidP="00860BDD" w14:paraId="4F7E13D9" w14:textId="77777777">
      <w:pPr>
        <w:ind w:left="720"/>
        <w:jc w:val="center"/>
        <w:rPr>
          <w:b/>
        </w:rPr>
      </w:pPr>
    </w:p>
    <w:p w:rsidR="00860BDD" w:rsidP="00860BDD" w14:paraId="32CC49DE" w14:textId="77777777">
      <w:pPr>
        <w:ind w:left="720"/>
        <w:jc w:val="center"/>
        <w:rPr>
          <w:b/>
        </w:rPr>
      </w:pPr>
    </w:p>
    <w:p w:rsidR="00860BDD" w:rsidP="00860BDD" w14:paraId="623AA1EA" w14:textId="77777777">
      <w:pPr>
        <w:ind w:left="720"/>
        <w:jc w:val="center"/>
        <w:rPr>
          <w:b/>
        </w:rPr>
      </w:pPr>
    </w:p>
    <w:p w:rsidR="00860BDD" w:rsidP="00860BDD" w14:paraId="7E6266CB" w14:textId="77777777">
      <w:pPr>
        <w:ind w:left="720"/>
        <w:jc w:val="center"/>
        <w:rPr>
          <w:b/>
        </w:rPr>
      </w:pPr>
    </w:p>
    <w:p w:rsidR="00860BDD" w:rsidRPr="00000E0D" w:rsidP="00A54680" w14:paraId="67D080C8" w14:textId="6548797F">
      <w:pPr>
        <w:ind w:left="720"/>
        <w:jc w:val="center"/>
        <w:rPr>
          <w:rStyle w:val="BookTitle"/>
          <w:sz w:val="36"/>
        </w:rPr>
      </w:pPr>
      <w:r>
        <w:rPr>
          <w:rStyle w:val="BookTitle"/>
          <w:sz w:val="36"/>
        </w:rPr>
        <w:t xml:space="preserve">Reporting of the </w:t>
      </w:r>
      <w:r w:rsidRPr="00C3508F" w:rsidR="00C3508F">
        <w:rPr>
          <w:rStyle w:val="BookTitle"/>
          <w:sz w:val="36"/>
        </w:rPr>
        <w:t>Essentials for Childhood (</w:t>
      </w:r>
      <w:r w:rsidRPr="00C3508F" w:rsidR="00C3508F">
        <w:rPr>
          <w:rStyle w:val="BookTitle"/>
          <w:sz w:val="36"/>
        </w:rPr>
        <w:t>E</w:t>
      </w:r>
      <w:r w:rsidR="00C3508F">
        <w:rPr>
          <w:rStyle w:val="BookTitle"/>
          <w:sz w:val="36"/>
        </w:rPr>
        <w:t>f</w:t>
      </w:r>
      <w:r w:rsidRPr="00C3508F" w:rsidR="00C3508F">
        <w:rPr>
          <w:rStyle w:val="BookTitle"/>
          <w:sz w:val="36"/>
        </w:rPr>
        <w:t>C</w:t>
      </w:r>
      <w:r w:rsidRPr="00C3508F" w:rsidR="00C3508F">
        <w:rPr>
          <w:rStyle w:val="BookTitle"/>
          <w:sz w:val="36"/>
        </w:rPr>
        <w:t>): Preventing Adverse Childhood Experiences through Data to Action</w:t>
      </w:r>
      <w:r w:rsidRPr="00C3508F" w:rsidR="00C3508F">
        <w:rPr>
          <w:rStyle w:val="BookTitle"/>
          <w:sz w:val="36"/>
        </w:rPr>
        <w:t xml:space="preserve"> </w:t>
      </w:r>
      <w:r>
        <w:rPr>
          <w:rStyle w:val="BookTitle"/>
          <w:sz w:val="36"/>
        </w:rPr>
        <w:t xml:space="preserve">Program </w:t>
      </w:r>
    </w:p>
    <w:p w:rsidR="00860BDD" w:rsidRPr="005C388F" w:rsidP="00860BDD" w14:paraId="44E96800" w14:textId="77777777">
      <w:pPr>
        <w:ind w:left="720"/>
        <w:jc w:val="center"/>
      </w:pPr>
    </w:p>
    <w:p w:rsidR="00860BDD" w:rsidRPr="005C388F" w:rsidP="00860BDD" w14:paraId="49479EB1" w14:textId="77777777">
      <w:pPr>
        <w:ind w:left="720"/>
        <w:jc w:val="center"/>
      </w:pPr>
    </w:p>
    <w:p w:rsidR="00860BDD" w:rsidRPr="005C388F" w:rsidP="00860BDD" w14:paraId="1C69FA47" w14:textId="77777777">
      <w:pPr>
        <w:ind w:left="720"/>
        <w:jc w:val="center"/>
        <w:rPr>
          <w:bCs/>
        </w:rPr>
      </w:pPr>
    </w:p>
    <w:p w:rsidR="00860BDD" w:rsidRPr="005C388F" w:rsidP="00860BDD" w14:paraId="28B33449" w14:textId="77777777">
      <w:pPr>
        <w:ind w:left="720"/>
        <w:jc w:val="center"/>
        <w:rPr>
          <w:bCs/>
        </w:rPr>
      </w:pPr>
    </w:p>
    <w:p w:rsidR="00860BDD" w:rsidRPr="005C388F" w:rsidP="00860BDD" w14:paraId="7DE99AB9" w14:textId="77777777">
      <w:pPr>
        <w:ind w:left="720"/>
        <w:jc w:val="center"/>
        <w:rPr>
          <w:bCs/>
        </w:rPr>
      </w:pPr>
    </w:p>
    <w:p w:rsidR="00860BDD" w:rsidRPr="005C388F" w:rsidP="00860BDD" w14:paraId="05E1B2FB" w14:textId="77777777">
      <w:pPr>
        <w:ind w:left="720"/>
        <w:jc w:val="center"/>
        <w:rPr>
          <w:bCs/>
        </w:rPr>
      </w:pPr>
    </w:p>
    <w:p w:rsidR="00860BDD" w:rsidRPr="005C388F" w:rsidP="00860BDD" w14:paraId="3E9BFFC1" w14:textId="77777777">
      <w:pPr>
        <w:ind w:left="720"/>
        <w:jc w:val="center"/>
        <w:rPr>
          <w:bCs/>
        </w:rPr>
      </w:pPr>
    </w:p>
    <w:p w:rsidR="00860BDD" w:rsidRPr="005C388F" w:rsidP="00860BDD" w14:paraId="6944014A" w14:textId="77777777">
      <w:pPr>
        <w:ind w:left="720"/>
        <w:jc w:val="center"/>
      </w:pPr>
    </w:p>
    <w:p w:rsidR="00860BDD" w:rsidRPr="005C388F" w:rsidP="00860BDD" w14:paraId="70F2513E" w14:textId="77777777">
      <w:pPr>
        <w:ind w:left="720"/>
        <w:jc w:val="center"/>
      </w:pPr>
    </w:p>
    <w:p w:rsidR="00860BDD" w:rsidRPr="005C388F" w:rsidP="00860BDD" w14:paraId="1B239DCE" w14:textId="77777777">
      <w:pPr>
        <w:ind w:left="720"/>
        <w:jc w:val="center"/>
      </w:pPr>
    </w:p>
    <w:p w:rsidR="00860BDD" w:rsidRPr="005C388F" w:rsidP="00860BDD" w14:paraId="2E21E19E" w14:textId="77777777">
      <w:pPr>
        <w:ind w:left="720"/>
        <w:jc w:val="center"/>
      </w:pPr>
    </w:p>
    <w:p w:rsidR="00860BDD" w:rsidRPr="005C388F" w:rsidP="00860BDD" w14:paraId="64D925F7" w14:textId="77777777">
      <w:pPr>
        <w:ind w:left="720"/>
        <w:jc w:val="right"/>
      </w:pPr>
    </w:p>
    <w:p w:rsidR="00860BDD" w:rsidRPr="005C388F" w:rsidP="00860BDD" w14:paraId="79925E14" w14:textId="77777777">
      <w:pPr>
        <w:ind w:left="720"/>
        <w:jc w:val="right"/>
      </w:pPr>
    </w:p>
    <w:p w:rsidR="00741D2E" w:rsidRPr="00691454" w:rsidP="00741D2E" w14:paraId="6816688E" w14:textId="77777777">
      <w:pPr>
        <w:jc w:val="center"/>
      </w:pPr>
      <w:bookmarkStart w:id="0" w:name="_Hlk86840599"/>
      <w:r w:rsidRPr="00691454">
        <w:t>Point of Contact:</w:t>
      </w:r>
    </w:p>
    <w:p w:rsidR="006E2F07" w:rsidP="00860BDD" w14:paraId="18707134" w14:textId="34E857D1">
      <w:pPr>
        <w:jc w:val="center"/>
      </w:pPr>
      <w:r>
        <w:t>Phyllis Ottley</w:t>
      </w:r>
      <w:r>
        <w:t>, P</w:t>
      </w:r>
      <w:r>
        <w:t>hD</w:t>
      </w:r>
    </w:p>
    <w:p w:rsidR="006E2F07" w:rsidP="00860BDD" w14:paraId="18D4A099" w14:textId="179B5881">
      <w:pPr>
        <w:jc w:val="center"/>
      </w:pPr>
      <w:r>
        <w:t xml:space="preserve"> Behavioral Scientist </w:t>
      </w:r>
    </w:p>
    <w:p w:rsidR="006E2F07" w:rsidRPr="00691454" w:rsidP="006E2F07" w14:paraId="12541EB3" w14:textId="643F991A">
      <w:pPr>
        <w:pStyle w:val="E-mailSignature"/>
        <w:jc w:val="center"/>
        <w:rPr>
          <w:noProof/>
        </w:rPr>
      </w:pPr>
      <w:r w:rsidRPr="00691454">
        <w:rPr>
          <w:noProof/>
        </w:rPr>
        <w:t>National Center for Injury Prevention and Control</w:t>
      </w:r>
      <w:r w:rsidR="0059581A">
        <w:rPr>
          <w:noProof/>
        </w:rPr>
        <w:t xml:space="preserve"> (NCIPC)</w:t>
      </w:r>
    </w:p>
    <w:p w:rsidR="006E2F07" w:rsidP="006E2F07" w14:paraId="463FB64C" w14:textId="358403D6">
      <w:pPr>
        <w:pStyle w:val="E-mailSignature"/>
        <w:jc w:val="center"/>
        <w:rPr>
          <w:noProof/>
        </w:rPr>
      </w:pPr>
      <w:r w:rsidRPr="00691454">
        <w:rPr>
          <w:noProof/>
        </w:rPr>
        <w:t>Centers for Disease Control and Prevention</w:t>
      </w:r>
      <w:r w:rsidR="0059581A">
        <w:rPr>
          <w:noProof/>
        </w:rPr>
        <w:t xml:space="preserve"> (CDC)</w:t>
      </w:r>
    </w:p>
    <w:p w:rsidR="00860BDD" w:rsidP="00860BDD" w14:paraId="515508D3" w14:textId="0A9042EB">
      <w:pPr>
        <w:pStyle w:val="E-mailSignature"/>
        <w:jc w:val="center"/>
        <w:rPr>
          <w:noProof/>
        </w:rPr>
      </w:pPr>
      <w:bookmarkStart w:id="1" w:name="_MailAutoSig"/>
      <w:r>
        <w:rPr>
          <w:rStyle w:val="Hyperlink"/>
          <w:noProof/>
        </w:rPr>
        <w:t xml:space="preserve"> </w:t>
      </w:r>
    </w:p>
    <w:bookmarkEnd w:id="0"/>
    <w:p w:rsidR="00860BDD" w:rsidP="00860BDD" w14:paraId="4640685C" w14:textId="77777777">
      <w:pPr>
        <w:pStyle w:val="E-mailSignature"/>
        <w:jc w:val="center"/>
        <w:rPr>
          <w:noProof/>
        </w:rPr>
      </w:pPr>
    </w:p>
    <w:p w:rsidR="00860BDD" w14:paraId="2FF065DE" w14:textId="3CA71652">
      <w:pPr>
        <w:spacing w:after="160" w:line="259" w:lineRule="auto"/>
        <w:rPr>
          <w:noProof/>
        </w:rPr>
      </w:pPr>
      <w:r>
        <w:rPr>
          <w:noProof/>
        </w:rPr>
        <w:br w:type="page"/>
      </w:r>
    </w:p>
    <w:sdt>
      <w:sdtPr>
        <w:rPr>
          <w:rFonts w:ascii="Times New Roman" w:eastAsia="Times New Roman" w:hAnsi="Times New Roman" w:cs="Times New Roman"/>
          <w:color w:val="auto"/>
          <w:sz w:val="24"/>
          <w:szCs w:val="24"/>
        </w:rPr>
        <w:id w:val="-1008200984"/>
        <w:docPartObj>
          <w:docPartGallery w:val="Table of Contents"/>
          <w:docPartUnique/>
        </w:docPartObj>
      </w:sdtPr>
      <w:sdtEndPr>
        <w:rPr>
          <w:b/>
          <w:bCs/>
          <w:noProof/>
        </w:rPr>
      </w:sdtEndPr>
      <w:sdtContent>
        <w:p w:rsidR="00860BDD" w:rsidP="004D7781" w14:paraId="3480C453" w14:textId="1097BE23">
          <w:pPr>
            <w:pStyle w:val="TOCHeading"/>
            <w:jc w:val="center"/>
            <w:rPr>
              <w:rFonts w:ascii="Times New Roman" w:hAnsi="Times New Roman" w:cs="Times New Roman"/>
              <w:b/>
              <w:color w:val="auto"/>
              <w:sz w:val="28"/>
            </w:rPr>
          </w:pPr>
          <w:r w:rsidRPr="00600DED">
            <w:rPr>
              <w:rFonts w:ascii="Times New Roman" w:hAnsi="Times New Roman" w:cs="Times New Roman"/>
              <w:b/>
              <w:color w:val="auto"/>
              <w:sz w:val="28"/>
            </w:rPr>
            <w:t>Table of Contents</w:t>
          </w:r>
        </w:p>
        <w:p w:rsidR="00600DED" w:rsidP="00600DED" w14:paraId="286600CF" w14:textId="0EEBD3E8"/>
        <w:p w:rsidR="00600DED" w:rsidRPr="00600DED" w:rsidP="00600DED" w14:paraId="082D1A91" w14:textId="26647C57">
          <w:pPr>
            <w:tabs>
              <w:tab w:val="right" w:pos="10080"/>
            </w:tabs>
            <w:rPr>
              <w:b/>
              <w:u w:val="single"/>
            </w:rPr>
          </w:pPr>
          <w:r>
            <w:rPr>
              <w:b/>
              <w:u w:val="single"/>
            </w:rPr>
            <w:t>Section</w:t>
          </w:r>
          <w:r w:rsidRPr="00600DED">
            <w:rPr>
              <w:b/>
            </w:rPr>
            <w:tab/>
          </w:r>
          <w:r>
            <w:rPr>
              <w:b/>
              <w:u w:val="single"/>
            </w:rPr>
            <w:t>Page</w:t>
          </w:r>
        </w:p>
        <w:p w:rsidR="00F4312A" w:rsidP="00FA1D41" w14:paraId="088ACC47" w14:textId="3B7E9105">
          <w:pPr>
            <w:pStyle w:val="TOC1"/>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89252432" w:history="1">
            <w:r w:rsidRPr="00EE3D09">
              <w:rPr>
                <w:rStyle w:val="Hyperlink"/>
                <w:noProof/>
              </w:rPr>
              <w:t>Summary Table</w:t>
            </w:r>
            <w:r>
              <w:rPr>
                <w:noProof/>
                <w:webHidden/>
              </w:rPr>
              <w:tab/>
            </w:r>
            <w:r w:rsidR="00FA1D41">
              <w:rPr>
                <w:noProof/>
                <w:webHidden/>
              </w:rPr>
              <w:t>3</w:t>
            </w:r>
          </w:hyperlink>
        </w:p>
        <w:p w:rsidR="00F4312A" w:rsidP="00FA1D41" w14:paraId="4FCB6BED" w14:textId="68F0E27B">
          <w:pPr>
            <w:pStyle w:val="TOC1"/>
            <w:rPr>
              <w:rFonts w:asciiTheme="minorHAnsi" w:eastAsiaTheme="minorEastAsia" w:hAnsiTheme="minorHAnsi" w:cstheme="minorBidi"/>
              <w:noProof/>
              <w:sz w:val="22"/>
              <w:szCs w:val="22"/>
            </w:rPr>
          </w:pPr>
          <w:hyperlink w:anchor="_Toc89252433" w:history="1">
            <w:r w:rsidRPr="00EE3D09">
              <w:rPr>
                <w:rStyle w:val="Hyperlink"/>
                <w:noProof/>
              </w:rPr>
              <w:t>A.</w:t>
            </w:r>
            <w:r>
              <w:rPr>
                <w:rFonts w:asciiTheme="minorHAnsi" w:eastAsiaTheme="minorEastAsia" w:hAnsiTheme="minorHAnsi" w:cstheme="minorBidi"/>
                <w:noProof/>
                <w:sz w:val="22"/>
                <w:szCs w:val="22"/>
              </w:rPr>
              <w:tab/>
            </w:r>
            <w:r w:rsidRPr="00EE3D09">
              <w:rPr>
                <w:rStyle w:val="Hyperlink"/>
                <w:noProof/>
              </w:rPr>
              <w:t>JUSTIFICATION</w:t>
            </w:r>
            <w:r>
              <w:rPr>
                <w:noProof/>
                <w:webHidden/>
              </w:rPr>
              <w:tab/>
            </w:r>
            <w:r w:rsidR="00FA1D41">
              <w:rPr>
                <w:noProof/>
                <w:webHidden/>
              </w:rPr>
              <w:t>3</w:t>
            </w:r>
          </w:hyperlink>
        </w:p>
        <w:p w:rsidR="00F4312A" w:rsidP="00ED06F9" w14:paraId="49F83C69" w14:textId="28EC15F4">
          <w:pPr>
            <w:pStyle w:val="TOC2"/>
            <w:rPr>
              <w:rFonts w:asciiTheme="minorHAnsi" w:eastAsiaTheme="minorEastAsia" w:hAnsiTheme="minorHAnsi" w:cstheme="minorBidi"/>
              <w:noProof/>
              <w:sz w:val="22"/>
              <w:szCs w:val="22"/>
            </w:rPr>
          </w:pPr>
          <w:hyperlink w:anchor="_Toc89252434" w:history="1">
            <w:r w:rsidRPr="00EE3D09">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_Toc89252434 \h </w:instrText>
            </w:r>
            <w:r>
              <w:rPr>
                <w:noProof/>
                <w:webHidden/>
              </w:rPr>
              <w:fldChar w:fldCharType="separate"/>
            </w:r>
            <w:r>
              <w:rPr>
                <w:noProof/>
                <w:webHidden/>
              </w:rPr>
              <w:t>4</w:t>
            </w:r>
            <w:r>
              <w:rPr>
                <w:noProof/>
                <w:webHidden/>
              </w:rPr>
              <w:fldChar w:fldCharType="end"/>
            </w:r>
          </w:hyperlink>
        </w:p>
        <w:p w:rsidR="00F4312A" w:rsidP="00ED06F9" w14:paraId="533275C4" w14:textId="64EF4F04">
          <w:pPr>
            <w:pStyle w:val="TOC2"/>
            <w:rPr>
              <w:rFonts w:asciiTheme="minorHAnsi" w:eastAsiaTheme="minorEastAsia" w:hAnsiTheme="minorHAnsi" w:cstheme="minorBidi"/>
              <w:noProof/>
              <w:sz w:val="22"/>
              <w:szCs w:val="22"/>
            </w:rPr>
          </w:pPr>
          <w:hyperlink w:anchor="_Toc89252435" w:history="1">
            <w:r w:rsidRPr="00EE3D09">
              <w:rPr>
                <w:rStyle w:val="Hyperlink"/>
                <w:noProof/>
              </w:rPr>
              <w:t>A.2. Purpose and Use of Information Collection</w:t>
            </w:r>
            <w:r>
              <w:rPr>
                <w:noProof/>
                <w:webHidden/>
              </w:rPr>
              <w:tab/>
            </w:r>
            <w:r>
              <w:rPr>
                <w:noProof/>
                <w:webHidden/>
              </w:rPr>
              <w:fldChar w:fldCharType="begin"/>
            </w:r>
            <w:r>
              <w:rPr>
                <w:noProof/>
                <w:webHidden/>
              </w:rPr>
              <w:instrText xml:space="preserve"> PAGEREF _Toc89252435 \h </w:instrText>
            </w:r>
            <w:r>
              <w:rPr>
                <w:noProof/>
                <w:webHidden/>
              </w:rPr>
              <w:fldChar w:fldCharType="separate"/>
            </w:r>
            <w:r>
              <w:rPr>
                <w:noProof/>
                <w:webHidden/>
              </w:rPr>
              <w:t>6</w:t>
            </w:r>
            <w:r>
              <w:rPr>
                <w:noProof/>
                <w:webHidden/>
              </w:rPr>
              <w:fldChar w:fldCharType="end"/>
            </w:r>
          </w:hyperlink>
        </w:p>
        <w:p w:rsidR="00F4312A" w:rsidP="00ED06F9" w14:paraId="51DCB013" w14:textId="114B8007">
          <w:pPr>
            <w:pStyle w:val="TOC2"/>
            <w:rPr>
              <w:rFonts w:asciiTheme="minorHAnsi" w:eastAsiaTheme="minorEastAsia" w:hAnsiTheme="minorHAnsi" w:cstheme="minorBidi"/>
              <w:noProof/>
              <w:sz w:val="22"/>
              <w:szCs w:val="22"/>
            </w:rPr>
          </w:pPr>
          <w:hyperlink w:anchor="_Toc89252436" w:history="1">
            <w:r w:rsidRPr="00EE3D09">
              <w:rPr>
                <w:rStyle w:val="Hyperlink"/>
                <w:noProof/>
              </w:rPr>
              <w:t>A.3. Use of Improved Information Technology and Burden Reduction</w:t>
            </w:r>
            <w:r>
              <w:rPr>
                <w:noProof/>
                <w:webHidden/>
              </w:rPr>
              <w:tab/>
            </w:r>
            <w:r w:rsidR="001A4F0C">
              <w:rPr>
                <w:noProof/>
                <w:webHidden/>
              </w:rPr>
              <w:t>7</w:t>
            </w:r>
          </w:hyperlink>
        </w:p>
        <w:p w:rsidR="00F4312A" w:rsidP="00ED06F9" w14:paraId="1A5BBADF" w14:textId="32AFA546">
          <w:pPr>
            <w:pStyle w:val="TOC2"/>
            <w:rPr>
              <w:rFonts w:asciiTheme="minorHAnsi" w:eastAsiaTheme="minorEastAsia" w:hAnsiTheme="minorHAnsi" w:cstheme="minorBidi"/>
              <w:noProof/>
              <w:sz w:val="22"/>
              <w:szCs w:val="22"/>
            </w:rPr>
          </w:pPr>
          <w:hyperlink w:anchor="_Toc89252437" w:history="1">
            <w:r w:rsidRPr="00EE3D09">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_Toc89252437 \h </w:instrText>
            </w:r>
            <w:r>
              <w:rPr>
                <w:noProof/>
                <w:webHidden/>
              </w:rPr>
              <w:fldChar w:fldCharType="separate"/>
            </w:r>
            <w:r>
              <w:rPr>
                <w:noProof/>
                <w:webHidden/>
              </w:rPr>
              <w:t>9</w:t>
            </w:r>
            <w:r>
              <w:rPr>
                <w:noProof/>
                <w:webHidden/>
              </w:rPr>
              <w:fldChar w:fldCharType="end"/>
            </w:r>
          </w:hyperlink>
        </w:p>
        <w:p w:rsidR="00F4312A" w:rsidP="00ED06F9" w14:paraId="4C1CBB0D" w14:textId="4DDA6B84">
          <w:pPr>
            <w:pStyle w:val="TOC2"/>
            <w:rPr>
              <w:rFonts w:asciiTheme="minorHAnsi" w:eastAsiaTheme="minorEastAsia" w:hAnsiTheme="minorHAnsi" w:cstheme="minorBidi"/>
              <w:noProof/>
              <w:sz w:val="22"/>
              <w:szCs w:val="22"/>
            </w:rPr>
          </w:pPr>
          <w:hyperlink w:anchor="_Toc89252438" w:history="1">
            <w:r w:rsidRPr="00EE3D09">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_Toc89252438 \h </w:instrText>
            </w:r>
            <w:r>
              <w:rPr>
                <w:noProof/>
                <w:webHidden/>
              </w:rPr>
              <w:fldChar w:fldCharType="separate"/>
            </w:r>
            <w:r>
              <w:rPr>
                <w:noProof/>
                <w:webHidden/>
              </w:rPr>
              <w:t>9</w:t>
            </w:r>
            <w:r>
              <w:rPr>
                <w:noProof/>
                <w:webHidden/>
              </w:rPr>
              <w:fldChar w:fldCharType="end"/>
            </w:r>
          </w:hyperlink>
        </w:p>
        <w:p w:rsidR="00F4312A" w:rsidP="00ED06F9" w14:paraId="0540CADA" w14:textId="0974F54E">
          <w:pPr>
            <w:pStyle w:val="TOC2"/>
            <w:rPr>
              <w:rFonts w:asciiTheme="minorHAnsi" w:eastAsiaTheme="minorEastAsia" w:hAnsiTheme="minorHAnsi" w:cstheme="minorBidi"/>
              <w:noProof/>
              <w:sz w:val="22"/>
              <w:szCs w:val="22"/>
            </w:rPr>
          </w:pPr>
          <w:hyperlink w:anchor="_Toc89252439" w:history="1">
            <w:r w:rsidRPr="00EE3D09">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_Toc89252439 \h </w:instrText>
            </w:r>
            <w:r>
              <w:rPr>
                <w:noProof/>
                <w:webHidden/>
              </w:rPr>
              <w:fldChar w:fldCharType="separate"/>
            </w:r>
            <w:r>
              <w:rPr>
                <w:noProof/>
                <w:webHidden/>
              </w:rPr>
              <w:t>9</w:t>
            </w:r>
            <w:r>
              <w:rPr>
                <w:noProof/>
                <w:webHidden/>
              </w:rPr>
              <w:fldChar w:fldCharType="end"/>
            </w:r>
          </w:hyperlink>
        </w:p>
        <w:p w:rsidR="00F4312A" w:rsidP="00ED06F9" w14:paraId="21B2BA9B" w14:textId="10393494">
          <w:pPr>
            <w:pStyle w:val="TOC2"/>
            <w:rPr>
              <w:rFonts w:asciiTheme="minorHAnsi" w:eastAsiaTheme="minorEastAsia" w:hAnsiTheme="minorHAnsi" w:cstheme="minorBidi"/>
              <w:noProof/>
              <w:sz w:val="22"/>
              <w:szCs w:val="22"/>
            </w:rPr>
          </w:pPr>
          <w:hyperlink w:anchor="_Toc89252440" w:history="1">
            <w:r w:rsidRPr="00EE3D09">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_Toc89252440 \h </w:instrText>
            </w:r>
            <w:r>
              <w:rPr>
                <w:noProof/>
                <w:webHidden/>
              </w:rPr>
              <w:fldChar w:fldCharType="separate"/>
            </w:r>
            <w:r>
              <w:rPr>
                <w:noProof/>
                <w:webHidden/>
              </w:rPr>
              <w:t>9</w:t>
            </w:r>
            <w:r>
              <w:rPr>
                <w:noProof/>
                <w:webHidden/>
              </w:rPr>
              <w:fldChar w:fldCharType="end"/>
            </w:r>
          </w:hyperlink>
        </w:p>
        <w:p w:rsidR="00F4312A" w:rsidP="00ED06F9" w14:paraId="60AD82A1" w14:textId="0F8D916A">
          <w:pPr>
            <w:pStyle w:val="TOC2"/>
            <w:rPr>
              <w:rFonts w:asciiTheme="minorHAnsi" w:eastAsiaTheme="minorEastAsia" w:hAnsiTheme="minorHAnsi" w:cstheme="minorBidi"/>
              <w:noProof/>
              <w:sz w:val="22"/>
              <w:szCs w:val="22"/>
            </w:rPr>
          </w:pPr>
          <w:hyperlink w:anchor="_Toc89252441" w:history="1">
            <w:r w:rsidRPr="00EE3D09">
              <w:rPr>
                <w:rStyle w:val="Hyperlink"/>
                <w:noProof/>
              </w:rPr>
              <w:t xml:space="preserve">A.8. Comments in Response to the </w:t>
            </w:r>
            <w:r w:rsidR="00ED06F9">
              <w:rPr>
                <w:rStyle w:val="Hyperlink"/>
                <w:noProof/>
              </w:rPr>
              <w:t>FRN</w:t>
            </w:r>
            <w:r w:rsidRPr="00EE3D09">
              <w:rPr>
                <w:rStyle w:val="Hyperlink"/>
                <w:noProof/>
              </w:rPr>
              <w:t xml:space="preserve"> and Efforts to Consult Outside the Agency</w:t>
            </w:r>
            <w:r>
              <w:rPr>
                <w:noProof/>
                <w:webHidden/>
              </w:rPr>
              <w:tab/>
            </w:r>
            <w:r w:rsidR="001A4F0C">
              <w:rPr>
                <w:noProof/>
                <w:webHidden/>
              </w:rPr>
              <w:t>9</w:t>
            </w:r>
          </w:hyperlink>
        </w:p>
        <w:p w:rsidR="00F4312A" w:rsidP="00ED06F9" w14:paraId="0164AA4F" w14:textId="0E508E4C">
          <w:pPr>
            <w:pStyle w:val="TOC2"/>
            <w:rPr>
              <w:rFonts w:asciiTheme="minorHAnsi" w:eastAsiaTheme="minorEastAsia" w:hAnsiTheme="minorHAnsi" w:cstheme="minorBidi"/>
              <w:noProof/>
              <w:sz w:val="22"/>
              <w:szCs w:val="22"/>
            </w:rPr>
          </w:pPr>
          <w:hyperlink w:anchor="_Toc89252444" w:history="1">
            <w:r w:rsidRPr="00EE3D09">
              <w:rPr>
                <w:rStyle w:val="Hyperlink"/>
                <w:noProof/>
              </w:rPr>
              <w:t>A.9. Explanation of Any Payment or Gift to Respondents</w:t>
            </w:r>
            <w:r>
              <w:rPr>
                <w:noProof/>
                <w:webHidden/>
              </w:rPr>
              <w:tab/>
            </w:r>
            <w:r>
              <w:rPr>
                <w:noProof/>
                <w:webHidden/>
              </w:rPr>
              <w:fldChar w:fldCharType="begin"/>
            </w:r>
            <w:r>
              <w:rPr>
                <w:noProof/>
                <w:webHidden/>
              </w:rPr>
              <w:instrText xml:space="preserve"> PAGEREF _Toc89252444 \h </w:instrText>
            </w:r>
            <w:r>
              <w:rPr>
                <w:noProof/>
                <w:webHidden/>
              </w:rPr>
              <w:fldChar w:fldCharType="separate"/>
            </w:r>
            <w:r>
              <w:rPr>
                <w:noProof/>
                <w:webHidden/>
              </w:rPr>
              <w:t>10</w:t>
            </w:r>
            <w:r>
              <w:rPr>
                <w:noProof/>
                <w:webHidden/>
              </w:rPr>
              <w:fldChar w:fldCharType="end"/>
            </w:r>
          </w:hyperlink>
        </w:p>
        <w:p w:rsidR="00F4312A" w:rsidP="00ED06F9" w14:paraId="0DE658C4" w14:textId="2B9CFD46">
          <w:pPr>
            <w:pStyle w:val="TOC2"/>
            <w:rPr>
              <w:rFonts w:asciiTheme="minorHAnsi" w:eastAsiaTheme="minorEastAsia" w:hAnsiTheme="minorHAnsi" w:cstheme="minorBidi"/>
              <w:noProof/>
              <w:sz w:val="22"/>
              <w:szCs w:val="22"/>
            </w:rPr>
          </w:pPr>
          <w:hyperlink w:anchor="_Toc89252445" w:history="1">
            <w:r w:rsidRPr="00EE3D09">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_Toc89252445 \h </w:instrText>
            </w:r>
            <w:r>
              <w:rPr>
                <w:noProof/>
                <w:webHidden/>
              </w:rPr>
              <w:fldChar w:fldCharType="separate"/>
            </w:r>
            <w:r>
              <w:rPr>
                <w:noProof/>
                <w:webHidden/>
              </w:rPr>
              <w:t>10</w:t>
            </w:r>
            <w:r>
              <w:rPr>
                <w:noProof/>
                <w:webHidden/>
              </w:rPr>
              <w:fldChar w:fldCharType="end"/>
            </w:r>
          </w:hyperlink>
        </w:p>
        <w:p w:rsidR="00F4312A" w:rsidP="00ED06F9" w14:paraId="58E8164B" w14:textId="4AC5D831">
          <w:pPr>
            <w:pStyle w:val="TOC2"/>
            <w:rPr>
              <w:rFonts w:asciiTheme="minorHAnsi" w:eastAsiaTheme="minorEastAsia" w:hAnsiTheme="minorHAnsi" w:cstheme="minorBidi"/>
              <w:noProof/>
              <w:sz w:val="22"/>
              <w:szCs w:val="22"/>
            </w:rPr>
          </w:pPr>
          <w:hyperlink w:anchor="_Toc89252446" w:history="1">
            <w:r w:rsidRPr="00EE3D09">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_Toc89252446 \h </w:instrText>
            </w:r>
            <w:r>
              <w:rPr>
                <w:noProof/>
                <w:webHidden/>
              </w:rPr>
              <w:fldChar w:fldCharType="separate"/>
            </w:r>
            <w:r>
              <w:rPr>
                <w:noProof/>
                <w:webHidden/>
              </w:rPr>
              <w:t>11</w:t>
            </w:r>
            <w:r>
              <w:rPr>
                <w:noProof/>
                <w:webHidden/>
              </w:rPr>
              <w:fldChar w:fldCharType="end"/>
            </w:r>
          </w:hyperlink>
        </w:p>
        <w:p w:rsidR="00F4312A" w:rsidP="00ED06F9" w14:paraId="6EE5DE94" w14:textId="3228220A">
          <w:pPr>
            <w:pStyle w:val="TOC2"/>
            <w:rPr>
              <w:rFonts w:asciiTheme="minorHAnsi" w:eastAsiaTheme="minorEastAsia" w:hAnsiTheme="minorHAnsi" w:cstheme="minorBidi"/>
              <w:noProof/>
              <w:sz w:val="22"/>
              <w:szCs w:val="22"/>
            </w:rPr>
          </w:pPr>
          <w:hyperlink w:anchor="_Toc89252449" w:history="1">
            <w:r w:rsidRPr="00EE3D09">
              <w:rPr>
                <w:rStyle w:val="Hyperlink"/>
                <w:noProof/>
              </w:rPr>
              <w:t>A.12. Estimates of Annualized Burden Hours and Costs</w:t>
            </w:r>
            <w:r>
              <w:rPr>
                <w:noProof/>
                <w:webHidden/>
              </w:rPr>
              <w:tab/>
            </w:r>
            <w:r>
              <w:rPr>
                <w:noProof/>
                <w:webHidden/>
              </w:rPr>
              <w:fldChar w:fldCharType="begin"/>
            </w:r>
            <w:r>
              <w:rPr>
                <w:noProof/>
                <w:webHidden/>
              </w:rPr>
              <w:instrText xml:space="preserve"> PAGEREF _Toc89252449 \h </w:instrText>
            </w:r>
            <w:r>
              <w:rPr>
                <w:noProof/>
                <w:webHidden/>
              </w:rPr>
              <w:fldChar w:fldCharType="separate"/>
            </w:r>
            <w:r>
              <w:rPr>
                <w:noProof/>
                <w:webHidden/>
              </w:rPr>
              <w:t>11</w:t>
            </w:r>
            <w:r>
              <w:rPr>
                <w:noProof/>
                <w:webHidden/>
              </w:rPr>
              <w:fldChar w:fldCharType="end"/>
            </w:r>
          </w:hyperlink>
        </w:p>
        <w:p w:rsidR="00F4312A" w:rsidP="00ED06F9" w14:paraId="09C714BF" w14:textId="599D0718">
          <w:pPr>
            <w:pStyle w:val="TOC2"/>
            <w:rPr>
              <w:rFonts w:asciiTheme="minorHAnsi" w:eastAsiaTheme="minorEastAsia" w:hAnsiTheme="minorHAnsi" w:cstheme="minorBidi"/>
              <w:noProof/>
              <w:sz w:val="22"/>
              <w:szCs w:val="22"/>
            </w:rPr>
          </w:pPr>
          <w:hyperlink w:anchor="_Toc89252452" w:history="1">
            <w:r w:rsidRPr="00EE3D09">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_Toc89252452 \h </w:instrText>
            </w:r>
            <w:r>
              <w:rPr>
                <w:noProof/>
                <w:webHidden/>
              </w:rPr>
              <w:fldChar w:fldCharType="separate"/>
            </w:r>
            <w:r>
              <w:rPr>
                <w:noProof/>
                <w:webHidden/>
              </w:rPr>
              <w:t>1</w:t>
            </w:r>
            <w:r w:rsidR="00AB4696">
              <w:rPr>
                <w:noProof/>
                <w:webHidden/>
              </w:rPr>
              <w:t>4</w:t>
            </w:r>
            <w:r>
              <w:rPr>
                <w:noProof/>
                <w:webHidden/>
              </w:rPr>
              <w:fldChar w:fldCharType="end"/>
            </w:r>
          </w:hyperlink>
        </w:p>
        <w:p w:rsidR="00F4312A" w:rsidP="00ED06F9" w14:paraId="35739FB4" w14:textId="26D567B8">
          <w:pPr>
            <w:pStyle w:val="TOC2"/>
            <w:rPr>
              <w:rFonts w:asciiTheme="minorHAnsi" w:eastAsiaTheme="minorEastAsia" w:hAnsiTheme="minorHAnsi" w:cstheme="minorBidi"/>
              <w:noProof/>
              <w:sz w:val="22"/>
              <w:szCs w:val="22"/>
            </w:rPr>
          </w:pPr>
          <w:hyperlink w:anchor="_Toc89252453" w:history="1">
            <w:r w:rsidRPr="00EE3D09">
              <w:rPr>
                <w:rStyle w:val="Hyperlink"/>
                <w:noProof/>
              </w:rPr>
              <w:t>A.14. Annualized Cost to the Government</w:t>
            </w:r>
            <w:r>
              <w:rPr>
                <w:noProof/>
                <w:webHidden/>
              </w:rPr>
              <w:tab/>
            </w:r>
            <w:r w:rsidR="00AB4696">
              <w:rPr>
                <w:noProof/>
                <w:webHidden/>
              </w:rPr>
              <w:t>14</w:t>
            </w:r>
          </w:hyperlink>
        </w:p>
        <w:p w:rsidR="00F4312A" w:rsidP="00ED06F9" w14:paraId="2FC29EB3" w14:textId="309F981D">
          <w:pPr>
            <w:pStyle w:val="TOC2"/>
            <w:rPr>
              <w:rFonts w:asciiTheme="minorHAnsi" w:eastAsiaTheme="minorEastAsia" w:hAnsiTheme="minorHAnsi" w:cstheme="minorBidi"/>
              <w:noProof/>
              <w:sz w:val="22"/>
              <w:szCs w:val="22"/>
            </w:rPr>
          </w:pPr>
          <w:hyperlink w:anchor="_Toc89252454" w:history="1">
            <w:r w:rsidRPr="00EE3D09">
              <w:rPr>
                <w:rStyle w:val="Hyperlink"/>
                <w:noProof/>
              </w:rPr>
              <w:t>A.15. Explanation for Program Changes or Adjustments</w:t>
            </w:r>
            <w:r>
              <w:rPr>
                <w:noProof/>
                <w:webHidden/>
              </w:rPr>
              <w:tab/>
            </w:r>
            <w:r>
              <w:rPr>
                <w:noProof/>
                <w:webHidden/>
              </w:rPr>
              <w:fldChar w:fldCharType="begin"/>
            </w:r>
            <w:r>
              <w:rPr>
                <w:noProof/>
                <w:webHidden/>
              </w:rPr>
              <w:instrText xml:space="preserve"> PAGEREF _Toc89252454 \h </w:instrText>
            </w:r>
            <w:r>
              <w:rPr>
                <w:noProof/>
                <w:webHidden/>
              </w:rPr>
              <w:fldChar w:fldCharType="separate"/>
            </w:r>
            <w:r>
              <w:rPr>
                <w:noProof/>
                <w:webHidden/>
              </w:rPr>
              <w:t>14</w:t>
            </w:r>
            <w:r>
              <w:rPr>
                <w:noProof/>
                <w:webHidden/>
              </w:rPr>
              <w:fldChar w:fldCharType="end"/>
            </w:r>
          </w:hyperlink>
        </w:p>
        <w:p w:rsidR="00F4312A" w:rsidP="00ED06F9" w14:paraId="584EF87E" w14:textId="660F9683">
          <w:pPr>
            <w:pStyle w:val="TOC2"/>
            <w:rPr>
              <w:rFonts w:asciiTheme="minorHAnsi" w:eastAsiaTheme="minorEastAsia" w:hAnsiTheme="minorHAnsi" w:cstheme="minorBidi"/>
              <w:noProof/>
              <w:sz w:val="22"/>
              <w:szCs w:val="22"/>
            </w:rPr>
          </w:pPr>
          <w:hyperlink w:anchor="_Toc89252455" w:history="1">
            <w:r w:rsidRPr="00EE3D09">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_Toc89252455 \h </w:instrText>
            </w:r>
            <w:r>
              <w:rPr>
                <w:noProof/>
                <w:webHidden/>
              </w:rPr>
              <w:fldChar w:fldCharType="separate"/>
            </w:r>
            <w:r>
              <w:rPr>
                <w:noProof/>
                <w:webHidden/>
              </w:rPr>
              <w:t>1</w:t>
            </w:r>
            <w:r w:rsidR="00AB4696">
              <w:rPr>
                <w:noProof/>
                <w:webHidden/>
              </w:rPr>
              <w:t>4</w:t>
            </w:r>
            <w:r>
              <w:rPr>
                <w:noProof/>
                <w:webHidden/>
              </w:rPr>
              <w:fldChar w:fldCharType="end"/>
            </w:r>
          </w:hyperlink>
        </w:p>
        <w:p w:rsidR="00F4312A" w:rsidP="00ED06F9" w14:paraId="689FCDD7" w14:textId="20195169">
          <w:pPr>
            <w:pStyle w:val="TOC2"/>
            <w:rPr>
              <w:rFonts w:asciiTheme="minorHAnsi" w:eastAsiaTheme="minorEastAsia" w:hAnsiTheme="minorHAnsi" w:cstheme="minorBidi"/>
              <w:noProof/>
              <w:sz w:val="22"/>
              <w:szCs w:val="22"/>
            </w:rPr>
          </w:pPr>
          <w:hyperlink w:anchor="_Toc89252456" w:history="1">
            <w:r w:rsidRPr="00EE3D09">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_Toc89252456 \h </w:instrText>
            </w:r>
            <w:r>
              <w:rPr>
                <w:noProof/>
                <w:webHidden/>
              </w:rPr>
              <w:fldChar w:fldCharType="separate"/>
            </w:r>
            <w:r>
              <w:rPr>
                <w:noProof/>
                <w:webHidden/>
              </w:rPr>
              <w:t>15</w:t>
            </w:r>
            <w:r>
              <w:rPr>
                <w:noProof/>
                <w:webHidden/>
              </w:rPr>
              <w:fldChar w:fldCharType="end"/>
            </w:r>
          </w:hyperlink>
        </w:p>
        <w:p w:rsidR="00F4312A" w:rsidP="00ED06F9" w14:paraId="55A8A9AA" w14:textId="5BA18385">
          <w:pPr>
            <w:pStyle w:val="TOC2"/>
            <w:rPr>
              <w:rFonts w:asciiTheme="minorHAnsi" w:eastAsiaTheme="minorEastAsia" w:hAnsiTheme="minorHAnsi" w:cstheme="minorBidi"/>
              <w:noProof/>
              <w:sz w:val="22"/>
              <w:szCs w:val="22"/>
            </w:rPr>
          </w:pPr>
          <w:hyperlink w:anchor="_Toc89252457" w:history="1">
            <w:r w:rsidRPr="00EE3D09">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_Toc89252457 \h </w:instrText>
            </w:r>
            <w:r>
              <w:rPr>
                <w:noProof/>
                <w:webHidden/>
              </w:rPr>
              <w:fldChar w:fldCharType="separate"/>
            </w:r>
            <w:r>
              <w:rPr>
                <w:noProof/>
                <w:webHidden/>
              </w:rPr>
              <w:t>1</w:t>
            </w:r>
            <w:r w:rsidR="00AB4696">
              <w:rPr>
                <w:noProof/>
                <w:webHidden/>
              </w:rPr>
              <w:t>5</w:t>
            </w:r>
            <w:r>
              <w:rPr>
                <w:noProof/>
                <w:webHidden/>
              </w:rPr>
              <w:fldChar w:fldCharType="end"/>
            </w:r>
          </w:hyperlink>
        </w:p>
        <w:p w:rsidR="00860BDD" w14:paraId="4AF8735A" w14:textId="4281C290">
          <w:r>
            <w:rPr>
              <w:b/>
              <w:bCs/>
              <w:noProof/>
            </w:rPr>
            <w:fldChar w:fldCharType="end"/>
          </w:r>
        </w:p>
      </w:sdtContent>
    </w:sdt>
    <w:p w:rsidR="00860BDD" w:rsidP="00EB16AC" w14:paraId="736742D4" w14:textId="2BEB9F92">
      <w:pPr>
        <w:pStyle w:val="E-mailSignature"/>
        <w:rPr>
          <w:b/>
          <w:noProof/>
        </w:rPr>
      </w:pPr>
      <w:r>
        <w:rPr>
          <w:b/>
          <w:noProof/>
        </w:rPr>
        <w:t xml:space="preserve">ATTACHMENTS    </w:t>
      </w:r>
    </w:p>
    <w:p w:rsidR="00D45538" w:rsidRPr="00736DA0" w:rsidP="00D45538" w14:paraId="1E387C15" w14:textId="1A025DBA">
      <w:pPr>
        <w:pStyle w:val="E-mailSignature"/>
        <w:rPr>
          <w:noProof/>
        </w:rPr>
      </w:pPr>
      <w:r>
        <w:rPr>
          <w:noProof/>
        </w:rPr>
        <w:t xml:space="preserve">Att </w:t>
      </w:r>
      <w:r w:rsidRPr="00736DA0">
        <w:rPr>
          <w:noProof/>
        </w:rPr>
        <w:t>1</w:t>
      </w:r>
      <w:r w:rsidRPr="00736DA0">
        <w:rPr>
          <w:noProof/>
        </w:rPr>
        <w:tab/>
        <w:t>Public Health Service Act (PHSA) 42 Section 301(a) USC 241a</w:t>
      </w:r>
      <w:r w:rsidR="00ED06F9">
        <w:rPr>
          <w:noProof/>
        </w:rPr>
        <w:t xml:space="preserve"> </w:t>
      </w:r>
      <w:r w:rsidR="002A4EF0">
        <w:rPr>
          <w:noProof/>
        </w:rPr>
        <w:t>a</w:t>
      </w:r>
      <w:r w:rsidR="00ED06F9">
        <w:rPr>
          <w:noProof/>
        </w:rPr>
        <w:t>nd Se</w:t>
      </w:r>
      <w:r w:rsidRPr="00736DA0">
        <w:rPr>
          <w:noProof/>
        </w:rPr>
        <w:t xml:space="preserve">ction </w:t>
      </w:r>
      <w:r w:rsidRPr="00736DA0">
        <w:rPr>
          <w:rFonts w:eastAsia="MS Mincho"/>
          <w:bCs/>
        </w:rPr>
        <w:t>393</w:t>
      </w:r>
      <w:r w:rsidRPr="00736DA0">
        <w:rPr>
          <w:noProof/>
        </w:rPr>
        <w:t>USC 280b-</w:t>
      </w:r>
      <w:r w:rsidRPr="00736DA0" w:rsidR="00C3508F">
        <w:rPr>
          <w:noProof/>
        </w:rPr>
        <w:t>1</w:t>
      </w:r>
      <w:r w:rsidRPr="00736DA0">
        <w:rPr>
          <w:noProof/>
        </w:rPr>
        <w:t xml:space="preserve">a </w:t>
      </w:r>
    </w:p>
    <w:p w:rsidR="006E2F07" w:rsidRPr="000F07EF" w:rsidP="00D45538" w14:paraId="552136DF" w14:textId="32159C0E">
      <w:pPr>
        <w:pStyle w:val="E-mailSignature"/>
        <w:rPr>
          <w:noProof/>
        </w:rPr>
      </w:pPr>
      <w:r w:rsidRPr="000F07EF">
        <w:rPr>
          <w:noProof/>
        </w:rPr>
        <w:t>Att 2</w:t>
      </w:r>
      <w:r w:rsidRPr="000F07EF">
        <w:rPr>
          <w:noProof/>
        </w:rPr>
        <w:tab/>
        <w:t>Published 60-Day Federal Register Notice (FRN)</w:t>
      </w:r>
    </w:p>
    <w:p w:rsidR="006E2F07" w:rsidP="00D45538" w14:paraId="557DDB21" w14:textId="15C9993D">
      <w:pPr>
        <w:pStyle w:val="E-mailSignature"/>
        <w:rPr>
          <w:noProof/>
        </w:rPr>
      </w:pPr>
      <w:r w:rsidRPr="000F07EF">
        <w:rPr>
          <w:noProof/>
        </w:rPr>
        <w:t>Att 2</w:t>
      </w:r>
      <w:r w:rsidR="00E378AD">
        <w:rPr>
          <w:noProof/>
        </w:rPr>
        <w:t>a</w:t>
      </w:r>
      <w:r w:rsidRPr="000F07EF">
        <w:rPr>
          <w:noProof/>
        </w:rPr>
        <w:tab/>
        <w:t>Public comment</w:t>
      </w:r>
      <w:r w:rsidR="00ED06F9">
        <w:rPr>
          <w:noProof/>
        </w:rPr>
        <w:t>s</w:t>
      </w:r>
      <w:r>
        <w:rPr>
          <w:noProof/>
        </w:rPr>
        <w:t xml:space="preserve"> </w:t>
      </w:r>
    </w:p>
    <w:p w:rsidR="00886265" w:rsidP="00886265" w14:paraId="1345470C" w14:textId="77777777">
      <w:pPr>
        <w:rPr>
          <w:noProof/>
        </w:rPr>
      </w:pPr>
      <w:r w:rsidRPr="00E6270C">
        <w:rPr>
          <w:noProof/>
        </w:rPr>
        <w:t>Att 3</w:t>
      </w:r>
      <w:r w:rsidRPr="00E6270C">
        <w:rPr>
          <w:noProof/>
        </w:rPr>
        <w:tab/>
      </w:r>
      <w:r w:rsidRPr="00434E8F">
        <w:rPr>
          <w:noProof/>
        </w:rPr>
        <w:t>Annual Performance Report (APR) Tool</w:t>
      </w:r>
      <w:r>
        <w:rPr>
          <w:noProof/>
        </w:rPr>
        <w:t xml:space="preserve"> </w:t>
      </w:r>
    </w:p>
    <w:p w:rsidR="00434E8F" w:rsidP="00886265" w14:paraId="60076102" w14:textId="351016E5">
      <w:pPr>
        <w:rPr>
          <w:noProof/>
        </w:rPr>
      </w:pPr>
      <w:r>
        <w:rPr>
          <w:noProof/>
        </w:rPr>
        <w:t xml:space="preserve">Att 3a </w:t>
      </w:r>
      <w:r w:rsidR="0004531C">
        <w:rPr>
          <w:noProof/>
        </w:rPr>
        <w:t xml:space="preserve"> </w:t>
      </w:r>
      <w:r>
        <w:rPr>
          <w:noProof/>
        </w:rPr>
        <w:t>Annual Performance Report (APR) Tool Screenshots</w:t>
      </w:r>
    </w:p>
    <w:p w:rsidR="009F2A6C" w:rsidRPr="00E6270C" w:rsidP="009F2A6C" w14:paraId="6C8D56F8" w14:textId="16EF4D43">
      <w:pPr>
        <w:pStyle w:val="E-mailSignature"/>
        <w:rPr>
          <w:noProof/>
        </w:rPr>
      </w:pPr>
      <w:r w:rsidRPr="00E6270C">
        <w:rPr>
          <w:noProof/>
        </w:rPr>
        <w:t>Att 4</w:t>
      </w:r>
      <w:r w:rsidRPr="00E6270C" w:rsidR="00E6270C">
        <w:rPr>
          <w:noProof/>
        </w:rPr>
        <w:t>a</w:t>
      </w:r>
      <w:r w:rsidRPr="00E6270C">
        <w:rPr>
          <w:noProof/>
        </w:rPr>
        <w:tab/>
      </w:r>
      <w:r w:rsidRPr="00E36A12" w:rsidR="00220512">
        <w:t>Key Informant Intervie</w:t>
      </w:r>
      <w:r w:rsidR="00220512">
        <w:t>w – Principal Investigators</w:t>
      </w:r>
      <w:r w:rsidRPr="005325CF" w:rsidR="005325CF">
        <w:rPr>
          <w:noProof/>
        </w:rPr>
        <w:t xml:space="preserve"> (KII)</w:t>
      </w:r>
    </w:p>
    <w:p w:rsidR="0001641C" w:rsidP="00220512" w14:paraId="0B6370EA" w14:textId="37C7349A">
      <w:pPr>
        <w:pStyle w:val="E-mailSignature"/>
        <w:rPr>
          <w:noProof/>
        </w:rPr>
      </w:pPr>
      <w:r w:rsidRPr="00E6270C">
        <w:rPr>
          <w:noProof/>
        </w:rPr>
        <w:t>Att 4</w:t>
      </w:r>
      <w:r w:rsidR="00E6270C">
        <w:rPr>
          <w:noProof/>
        </w:rPr>
        <w:t>b</w:t>
      </w:r>
      <w:r w:rsidRPr="00E6270C">
        <w:rPr>
          <w:noProof/>
        </w:rPr>
        <w:t xml:space="preserve">  </w:t>
      </w:r>
      <w:r w:rsidR="00220512">
        <w:rPr>
          <w:noProof/>
        </w:rPr>
        <w:t>Key Informant Interview – Principal Investigator/Implementor</w:t>
      </w:r>
      <w:r w:rsidRPr="005325CF" w:rsidR="005325CF">
        <w:rPr>
          <w:noProof/>
        </w:rPr>
        <w:t xml:space="preserve"> (KII)</w:t>
      </w:r>
    </w:p>
    <w:p w:rsidR="008D73B8" w:rsidP="008D73B8" w14:paraId="591F1753" w14:textId="437E0247">
      <w:pPr>
        <w:pStyle w:val="E-mailSignature"/>
        <w:rPr>
          <w:noProof/>
        </w:rPr>
      </w:pPr>
      <w:r>
        <w:rPr>
          <w:noProof/>
        </w:rPr>
        <w:t xml:space="preserve">Att </w:t>
      </w:r>
      <w:r w:rsidR="006E2F07">
        <w:rPr>
          <w:noProof/>
        </w:rPr>
        <w:t>5</w:t>
      </w:r>
      <w:r w:rsidR="00C36D06">
        <w:rPr>
          <w:noProof/>
        </w:rPr>
        <w:t>a</w:t>
      </w:r>
      <w:r>
        <w:rPr>
          <w:noProof/>
        </w:rPr>
        <w:tab/>
      </w:r>
      <w:r w:rsidRPr="005325CF" w:rsidR="005325CF">
        <w:rPr>
          <w:noProof/>
        </w:rPr>
        <w:t>Surveillance Capacity Assessment (SCA)</w:t>
      </w:r>
    </w:p>
    <w:p w:rsidR="00C36D06" w:rsidP="008D73B8" w14:paraId="0FE95C10" w14:textId="4D3AAEFD">
      <w:pPr>
        <w:pStyle w:val="E-mailSignature"/>
        <w:rPr>
          <w:noProof/>
        </w:rPr>
      </w:pPr>
      <w:r>
        <w:rPr>
          <w:noProof/>
        </w:rPr>
        <w:t>Att 5b  Implementation Capacity Assessment (ICA)</w:t>
      </w:r>
    </w:p>
    <w:p w:rsidR="00113421" w:rsidP="00113421" w14:paraId="08819643" w14:textId="52E6EED2">
      <w:pPr>
        <w:pStyle w:val="E-mailSignature"/>
        <w:rPr>
          <w:noProof/>
        </w:rPr>
      </w:pPr>
      <w:r>
        <w:rPr>
          <w:noProof/>
        </w:rPr>
        <w:t xml:space="preserve">Att </w:t>
      </w:r>
      <w:r w:rsidR="006E2F07">
        <w:rPr>
          <w:noProof/>
        </w:rPr>
        <w:t>6</w:t>
      </w:r>
      <w:r>
        <w:rPr>
          <w:noProof/>
        </w:rPr>
        <w:tab/>
      </w:r>
      <w:r w:rsidRPr="005325CF" w:rsidR="005325CF">
        <w:rPr>
          <w:noProof/>
        </w:rPr>
        <w:t>Evaluation and Surveillance Survey</w:t>
      </w:r>
    </w:p>
    <w:p w:rsidR="00B00CE4" w:rsidP="00113421" w14:paraId="19FDACB1" w14:textId="1FDE5622">
      <w:pPr>
        <w:pStyle w:val="E-mailSignature"/>
        <w:rPr>
          <w:noProof/>
        </w:rPr>
      </w:pPr>
      <w:r>
        <w:rPr>
          <w:noProof/>
        </w:rPr>
        <w:t>Att 6a  Evaluation and Surveillance Survey Screenshots</w:t>
      </w:r>
    </w:p>
    <w:p w:rsidR="00B61EB1" w:rsidP="00113421" w14:paraId="7CE1C101" w14:textId="70416015">
      <w:pPr>
        <w:pStyle w:val="E-mailSignature"/>
        <w:rPr>
          <w:noProof/>
        </w:rPr>
      </w:pPr>
      <w:r>
        <w:rPr>
          <w:noProof/>
        </w:rPr>
        <w:t>Att 7</w:t>
      </w:r>
      <w:r>
        <w:rPr>
          <w:noProof/>
        </w:rPr>
        <w:tab/>
        <w:t xml:space="preserve">Privacy </w:t>
      </w:r>
      <w:r w:rsidR="00714808">
        <w:rPr>
          <w:noProof/>
        </w:rPr>
        <w:t>Act Determination</w:t>
      </w:r>
    </w:p>
    <w:p w:rsidR="00DC3847" w:rsidP="00113421" w14:paraId="6871574D" w14:textId="0EBE1E71">
      <w:pPr>
        <w:pStyle w:val="E-mailSignature"/>
        <w:rPr>
          <w:noProof/>
        </w:rPr>
      </w:pPr>
      <w:r>
        <w:rPr>
          <w:noProof/>
        </w:rPr>
        <w:t xml:space="preserve">Att 8 </w:t>
      </w:r>
      <w:r>
        <w:rPr>
          <w:noProof/>
        </w:rPr>
        <w:tab/>
        <w:t xml:space="preserve">Research Determination </w:t>
      </w:r>
    </w:p>
    <w:p w:rsidR="00DC3847" w:rsidP="00113421" w14:paraId="122A5BF2" w14:textId="1D010328">
      <w:pPr>
        <w:pStyle w:val="E-mailSignature"/>
        <w:rPr>
          <w:noProof/>
        </w:rPr>
      </w:pPr>
    </w:p>
    <w:p w:rsidR="00DC3847" w:rsidP="00113421" w14:paraId="4AE2CA35" w14:textId="216AA27C">
      <w:pPr>
        <w:pStyle w:val="E-mailSignature"/>
        <w:rPr>
          <w:noProof/>
        </w:rPr>
      </w:pPr>
    </w:p>
    <w:p w:rsidR="00DC3847" w:rsidP="00113421" w14:paraId="12E82260" w14:textId="373D3162">
      <w:pPr>
        <w:pStyle w:val="E-mailSignature"/>
        <w:rPr>
          <w:noProof/>
        </w:rPr>
      </w:pPr>
    </w:p>
    <w:p w:rsidR="00DC3847" w:rsidP="00113421" w14:paraId="419C54DE" w14:textId="77777777">
      <w:pPr>
        <w:pStyle w:val="E-mailSignature"/>
        <w:rPr>
          <w:noProof/>
        </w:rPr>
      </w:pPr>
    </w:p>
    <w:p w:rsidR="00BB4492" w:rsidP="00EB16AC" w14:paraId="61159FE3" w14:textId="78A62DD6">
      <w:pPr>
        <w:pStyle w:val="E-mailSignature"/>
        <w:rPr>
          <w:rFonts w:eastAsia="MS Mincho"/>
          <w:bCs/>
        </w:rPr>
      </w:pPr>
    </w:p>
    <w:p w:rsidR="00D45538" w:rsidP="00EB16AC" w14:paraId="7C20E1EE" w14:textId="1326C57C">
      <w:pPr>
        <w:pStyle w:val="E-mailSignature"/>
        <w:rPr>
          <w:rFonts w:eastAsia="MS Mincho"/>
          <w:bCs/>
        </w:rPr>
      </w:pPr>
    </w:p>
    <w:p w:rsidR="00B24094" w:rsidRPr="006E2F07" w:rsidP="006E2F07" w14:paraId="20E320EC" w14:textId="5409D7C7">
      <w:pPr>
        <w:spacing w:after="160" w:line="259" w:lineRule="auto"/>
        <w:rPr>
          <w:b/>
          <w:bCs/>
          <w:noProof/>
        </w:rPr>
      </w:pPr>
      <w:bookmarkStart w:id="2" w:name="_Toc89252432"/>
      <w:r w:rsidRPr="006E2F07">
        <w:rPr>
          <w:b/>
          <w:bCs/>
          <w:noProof/>
        </w:rPr>
        <w:t>Summary</w:t>
      </w:r>
      <w:bookmarkEnd w:id="2"/>
      <w:r w:rsidR="00DC3847">
        <w:rPr>
          <w:b/>
          <w:bCs/>
          <w:noProof/>
        </w:rPr>
        <w:t xml:space="preserve"> Table</w:t>
      </w:r>
      <w:r w:rsidRPr="006E2F07">
        <w:rPr>
          <w:b/>
          <w:bCs/>
          <w:noProof/>
        </w:rPr>
        <w:t xml:space="preserve">                                                                                                               </w:t>
      </w:r>
    </w:p>
    <w:tbl>
      <w:tblPr>
        <w:tblStyle w:val="TableGrid"/>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10272892" w14:textId="77777777" w:rsidTr="00887A7A">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C3508F" w:rsidRPr="00C3508F" w:rsidP="00C3508F" w14:paraId="4A9AD64A" w14:textId="77777777">
            <w:pPr>
              <w:spacing w:line="259" w:lineRule="auto"/>
              <w:rPr>
                <w:rFonts w:eastAsiaTheme="majorEastAsia" w:cstheme="majorBidi"/>
                <w:b/>
                <w:noProof/>
                <w:szCs w:val="32"/>
              </w:rPr>
            </w:pPr>
            <w:bookmarkStart w:id="3" w:name="_Hlk125557037"/>
            <w:r w:rsidRPr="00C3508F">
              <w:rPr>
                <w:rFonts w:eastAsiaTheme="majorEastAsia" w:cstheme="majorBidi"/>
                <w:b/>
                <w:noProof/>
                <w:szCs w:val="32"/>
              </w:rPr>
              <w:t xml:space="preserve">Goal of the project: </w:t>
            </w:r>
          </w:p>
          <w:p w:rsidR="00C3508F" w:rsidRPr="00C3508F" w:rsidP="00C3508F" w14:paraId="311BBCCF" w14:textId="539DAA0D">
            <w:pPr>
              <w:spacing w:line="259" w:lineRule="auto"/>
              <w:rPr>
                <w:rFonts w:eastAsiaTheme="majorEastAsia" w:cstheme="majorBidi"/>
                <w:bCs/>
                <w:noProof/>
                <w:szCs w:val="32"/>
              </w:rPr>
            </w:pPr>
            <w:r w:rsidRPr="00C3508F">
              <w:rPr>
                <w:rFonts w:eastAsiaTheme="majorEastAsia" w:cstheme="majorBidi"/>
                <w:bCs/>
                <w:noProof/>
                <w:szCs w:val="32"/>
              </w:rPr>
              <w:t xml:space="preserve">The goal of this ICR is to collect </w:t>
            </w:r>
            <w:r w:rsidR="0060372F">
              <w:rPr>
                <w:rFonts w:eastAsiaTheme="majorEastAsia" w:cstheme="majorBidi"/>
                <w:bCs/>
                <w:noProof/>
                <w:szCs w:val="32"/>
              </w:rPr>
              <w:t xml:space="preserve">data to </w:t>
            </w:r>
            <w:r w:rsidRPr="00C3508F">
              <w:rPr>
                <w:rFonts w:eastAsiaTheme="majorEastAsia" w:cstheme="majorBidi"/>
                <w:bCs/>
                <w:noProof/>
                <w:szCs w:val="32"/>
              </w:rPr>
              <w:t>monito</w:t>
            </w:r>
            <w:r w:rsidR="0060372F">
              <w:rPr>
                <w:rFonts w:eastAsiaTheme="majorEastAsia" w:cstheme="majorBidi"/>
                <w:bCs/>
                <w:noProof/>
                <w:szCs w:val="32"/>
              </w:rPr>
              <w:t>r</w:t>
            </w:r>
            <w:r w:rsidRPr="00C3508F">
              <w:rPr>
                <w:rFonts w:eastAsiaTheme="majorEastAsia" w:cstheme="majorBidi"/>
                <w:bCs/>
                <w:noProof/>
                <w:szCs w:val="32"/>
              </w:rPr>
              <w:t xml:space="preserve"> project </w:t>
            </w:r>
            <w:r w:rsidRPr="00C3508F" w:rsidR="00F919D8">
              <w:rPr>
                <w:rFonts w:eastAsiaTheme="majorEastAsia" w:cstheme="majorBidi"/>
                <w:bCs/>
                <w:noProof/>
                <w:szCs w:val="32"/>
              </w:rPr>
              <w:t xml:space="preserve">performance </w:t>
            </w:r>
            <w:r w:rsidRPr="00FC5F2B" w:rsidR="00F919D8">
              <w:rPr>
                <w:color w:val="000000" w:themeColor="text1"/>
              </w:rPr>
              <w:t>from</w:t>
            </w:r>
            <w:r w:rsidRPr="00FC5F2B" w:rsidR="00142D3A">
              <w:rPr>
                <w:color w:val="000000" w:themeColor="text1"/>
              </w:rPr>
              <w:t xml:space="preserve"> grantees funded under </w:t>
            </w:r>
            <w:bookmarkStart w:id="4" w:name="_Hlk125556653"/>
            <w:r>
              <w:rPr>
                <w:rFonts w:ascii="Times" w:eastAsia="Times" w:hAnsi="Times" w:cs="Times"/>
              </w:rPr>
              <w:t>Essentials for Childhood (</w:t>
            </w:r>
            <w:r>
              <w:rPr>
                <w:rFonts w:ascii="Times" w:eastAsia="Times" w:hAnsi="Times" w:cs="Times"/>
              </w:rPr>
              <w:t>EfC</w:t>
            </w:r>
            <w:r>
              <w:rPr>
                <w:rFonts w:ascii="Times" w:eastAsia="Times" w:hAnsi="Times" w:cs="Times"/>
              </w:rPr>
              <w:t>): Preventing Adverse Childhood Experiences through Data to Action</w:t>
            </w:r>
            <w:bookmarkEnd w:id="4"/>
            <w:r w:rsidRPr="00C3508F">
              <w:rPr>
                <w:rFonts w:eastAsiaTheme="majorEastAsia" w:cstheme="majorBidi"/>
                <w:bCs/>
                <w:noProof/>
                <w:szCs w:val="32"/>
              </w:rPr>
              <w:t>.</w:t>
            </w:r>
          </w:p>
        </w:tc>
      </w:tr>
      <w:tr w14:paraId="44F88C1B" w14:textId="77777777" w:rsidTr="00C3508F">
        <w:tblPrEx>
          <w:tblW w:w="0" w:type="auto"/>
          <w:tblCellMar>
            <w:top w:w="72" w:type="dxa"/>
            <w:left w:w="115" w:type="dxa"/>
            <w:bottom w:w="72" w:type="dxa"/>
            <w:right w:w="115" w:type="dxa"/>
          </w:tblCellMar>
          <w:tblLook w:val="04A0"/>
        </w:tblPrEx>
        <w:trPr>
          <w:trHeight w:val="1706"/>
        </w:trPr>
        <w:tc>
          <w:tcPr>
            <w:tcW w:w="9175" w:type="dxa"/>
          </w:tcPr>
          <w:p w:rsidR="00C3508F" w:rsidRPr="00C3508F" w:rsidP="00C3508F" w14:paraId="494C1492" w14:textId="77777777">
            <w:pPr>
              <w:spacing w:line="259" w:lineRule="auto"/>
              <w:rPr>
                <w:rFonts w:eastAsiaTheme="majorEastAsia" w:cstheme="majorBidi"/>
                <w:b/>
                <w:noProof/>
                <w:szCs w:val="32"/>
              </w:rPr>
            </w:pPr>
            <w:r w:rsidRPr="00C3508F">
              <w:rPr>
                <w:rFonts w:eastAsiaTheme="majorEastAsia" w:cstheme="majorBidi"/>
                <w:b/>
                <w:noProof/>
                <w:szCs w:val="32"/>
              </w:rPr>
              <w:t xml:space="preserve">Intended use of the resulting data: </w:t>
            </w:r>
          </w:p>
          <w:p w:rsidR="00C3508F" w:rsidRPr="00C3508F" w:rsidP="00C3508F" w14:paraId="06BE1356" w14:textId="311449E0">
            <w:pPr>
              <w:spacing w:line="259" w:lineRule="auto"/>
              <w:rPr>
                <w:rFonts w:eastAsiaTheme="majorEastAsia" w:cstheme="majorBidi"/>
                <w:bCs/>
                <w:noProof/>
                <w:szCs w:val="32"/>
              </w:rPr>
            </w:pPr>
            <w:r w:rsidRPr="00C3508F">
              <w:rPr>
                <w:rFonts w:eastAsiaTheme="majorEastAsia" w:cstheme="majorBidi"/>
                <w:bCs/>
                <w:noProof/>
                <w:szCs w:val="32"/>
              </w:rPr>
              <w:t xml:space="preserve">Information collected from recipients will </w:t>
            </w:r>
            <w:r w:rsidR="007A2E2E">
              <w:rPr>
                <w:rFonts w:eastAsiaTheme="majorEastAsia" w:cstheme="majorBidi"/>
                <w:bCs/>
                <w:noProof/>
                <w:szCs w:val="32"/>
              </w:rPr>
              <w:t xml:space="preserve">be used to monitor </w:t>
            </w:r>
            <w:r w:rsidR="00A135F3">
              <w:rPr>
                <w:rFonts w:eastAsiaTheme="majorEastAsia" w:cstheme="majorBidi"/>
                <w:bCs/>
                <w:noProof/>
                <w:szCs w:val="32"/>
              </w:rPr>
              <w:t xml:space="preserve">and evaluate </w:t>
            </w:r>
            <w:r w:rsidR="007A2E2E">
              <w:rPr>
                <w:rFonts w:eastAsiaTheme="majorEastAsia" w:cstheme="majorBidi"/>
                <w:bCs/>
                <w:noProof/>
                <w:szCs w:val="32"/>
              </w:rPr>
              <w:t>progress of program goals and objectives, identify technical assistance needs, and</w:t>
            </w:r>
            <w:r w:rsidRPr="00C3508F">
              <w:rPr>
                <w:rFonts w:eastAsiaTheme="majorEastAsia" w:cstheme="majorBidi"/>
                <w:bCs/>
                <w:noProof/>
                <w:szCs w:val="32"/>
              </w:rPr>
              <w:t xml:space="preserve"> </w:t>
            </w:r>
            <w:r w:rsidR="007A2E2E">
              <w:rPr>
                <w:rFonts w:eastAsiaTheme="majorEastAsia" w:cstheme="majorBidi"/>
                <w:bCs/>
                <w:noProof/>
                <w:szCs w:val="32"/>
              </w:rPr>
              <w:t>be accountable for the funding by responding</w:t>
            </w:r>
            <w:r w:rsidRPr="00C3508F">
              <w:rPr>
                <w:rFonts w:eastAsiaTheme="majorEastAsia" w:cstheme="majorBidi"/>
                <w:bCs/>
                <w:noProof/>
                <w:szCs w:val="32"/>
              </w:rPr>
              <w:t xml:space="preserve"> to requests for information about the </w:t>
            </w:r>
            <w:r w:rsidR="00C36D06">
              <w:rPr>
                <w:rFonts w:eastAsiaTheme="majorEastAsia" w:cstheme="majorBidi"/>
                <w:bCs/>
                <w:noProof/>
                <w:szCs w:val="32"/>
              </w:rPr>
              <w:t xml:space="preserve">cooperative agreement </w:t>
            </w:r>
            <w:r w:rsidRPr="00C3508F">
              <w:rPr>
                <w:rFonts w:eastAsiaTheme="majorEastAsia" w:cstheme="majorBidi"/>
                <w:bCs/>
                <w:noProof/>
                <w:szCs w:val="32"/>
              </w:rPr>
              <w:t>from the Department of Health and Human Services (HHS), the White House, Congress, and other sources</w:t>
            </w:r>
            <w:r w:rsidR="00C36D06">
              <w:rPr>
                <w:rFonts w:eastAsiaTheme="majorEastAsia" w:cstheme="majorBidi"/>
                <w:bCs/>
                <w:noProof/>
                <w:szCs w:val="32"/>
              </w:rPr>
              <w:t xml:space="preserve"> in a timely manner</w:t>
            </w:r>
            <w:r w:rsidRPr="00C3508F">
              <w:rPr>
                <w:rFonts w:eastAsiaTheme="majorEastAsia" w:cstheme="majorBidi"/>
                <w:bCs/>
                <w:noProof/>
                <w:szCs w:val="32"/>
              </w:rPr>
              <w:t>.</w:t>
            </w:r>
          </w:p>
        </w:tc>
      </w:tr>
      <w:tr w14:paraId="09239721" w14:textId="77777777" w:rsidTr="00887A7A">
        <w:tblPrEx>
          <w:tblW w:w="0" w:type="auto"/>
          <w:tblCellMar>
            <w:top w:w="72" w:type="dxa"/>
            <w:left w:w="115" w:type="dxa"/>
            <w:bottom w:w="72" w:type="dxa"/>
            <w:right w:w="115" w:type="dxa"/>
          </w:tblCellMar>
          <w:tblLook w:val="04A0"/>
        </w:tblPrEx>
        <w:tc>
          <w:tcPr>
            <w:tcW w:w="9175" w:type="dxa"/>
          </w:tcPr>
          <w:p w:rsidR="00C3508F" w:rsidRPr="00C3508F" w:rsidP="00C3508F" w14:paraId="0E23B4B0" w14:textId="6734EC53">
            <w:pPr>
              <w:spacing w:line="259" w:lineRule="auto"/>
              <w:rPr>
                <w:rFonts w:eastAsiaTheme="majorEastAsia" w:cstheme="majorBidi"/>
                <w:b/>
                <w:noProof/>
                <w:szCs w:val="32"/>
              </w:rPr>
            </w:pPr>
            <w:r w:rsidRPr="00C3508F">
              <w:rPr>
                <w:rFonts w:eastAsiaTheme="majorEastAsia" w:cstheme="majorBidi"/>
                <w:b/>
                <w:noProof/>
                <w:szCs w:val="32"/>
              </w:rPr>
              <w:t xml:space="preserve">Methods to be used to collect:  </w:t>
            </w:r>
          </w:p>
          <w:p w:rsidR="00C3508F" w:rsidRPr="00C3508F" w:rsidP="00C3508F" w14:paraId="0AD7855A" w14:textId="7451A2CD">
            <w:pPr>
              <w:spacing w:after="160" w:line="259" w:lineRule="auto"/>
              <w:rPr>
                <w:rFonts w:eastAsiaTheme="majorEastAsia" w:cstheme="majorBidi"/>
                <w:bCs/>
                <w:noProof/>
                <w:szCs w:val="32"/>
              </w:rPr>
            </w:pPr>
            <w:r w:rsidRPr="00C3508F">
              <w:rPr>
                <w:rFonts w:eastAsiaTheme="majorEastAsia" w:cstheme="majorBidi"/>
                <w:bCs/>
                <w:noProof/>
                <w:szCs w:val="32"/>
              </w:rPr>
              <w:t xml:space="preserve">Recipients will report </w:t>
            </w:r>
            <w:r w:rsidR="00C36D06">
              <w:rPr>
                <w:rFonts w:eastAsiaTheme="majorEastAsia" w:cstheme="majorBidi"/>
                <w:bCs/>
                <w:noProof/>
                <w:szCs w:val="32"/>
              </w:rPr>
              <w:t>performance data</w:t>
            </w:r>
            <w:r w:rsidRPr="00C3508F">
              <w:rPr>
                <w:rFonts w:eastAsiaTheme="majorEastAsia" w:cstheme="majorBidi"/>
                <w:bCs/>
                <w:noProof/>
                <w:szCs w:val="32"/>
              </w:rPr>
              <w:t xml:space="preserve">to CDC </w:t>
            </w:r>
            <w:r w:rsidR="00C36D06">
              <w:rPr>
                <w:rFonts w:eastAsiaTheme="majorEastAsia" w:cstheme="majorBidi"/>
                <w:bCs/>
                <w:noProof/>
                <w:szCs w:val="32"/>
              </w:rPr>
              <w:t>annually</w:t>
            </w:r>
            <w:r w:rsidRPr="00C3508F">
              <w:rPr>
                <w:rFonts w:eastAsiaTheme="majorEastAsia" w:cstheme="majorBidi"/>
                <w:bCs/>
                <w:noProof/>
                <w:szCs w:val="32"/>
              </w:rPr>
              <w:t xml:space="preserve"> using a web-based</w:t>
            </w:r>
            <w:r w:rsidR="00C36D06">
              <w:rPr>
                <w:rFonts w:eastAsiaTheme="majorEastAsia" w:cstheme="majorBidi"/>
                <w:bCs/>
                <w:noProof/>
                <w:szCs w:val="32"/>
              </w:rPr>
              <w:t>system</w:t>
            </w:r>
            <w:r w:rsidR="00BD51D1">
              <w:rPr>
                <w:rFonts w:eastAsiaTheme="majorEastAsia" w:cstheme="majorBidi"/>
                <w:bCs/>
                <w:noProof/>
                <w:szCs w:val="32"/>
              </w:rPr>
              <w:t xml:space="preserve"> </w:t>
            </w:r>
            <w:r w:rsidR="007A2E2E">
              <w:rPr>
                <w:rFonts w:eastAsiaTheme="majorEastAsia" w:cstheme="majorBidi"/>
                <w:bCs/>
                <w:noProof/>
                <w:szCs w:val="32"/>
              </w:rPr>
              <w:t xml:space="preserve">(i.e., </w:t>
            </w:r>
            <w:r w:rsidRPr="00C3508F">
              <w:rPr>
                <w:rFonts w:eastAsiaTheme="majorEastAsia" w:cstheme="majorBidi"/>
                <w:bCs/>
                <w:noProof/>
                <w:szCs w:val="32"/>
              </w:rPr>
              <w:t>Partners’ Portal</w:t>
            </w:r>
            <w:r w:rsidR="007A2E2E">
              <w:rPr>
                <w:rFonts w:eastAsiaTheme="majorEastAsia" w:cstheme="majorBidi"/>
                <w:bCs/>
                <w:noProof/>
                <w:szCs w:val="32"/>
              </w:rPr>
              <w:t>)</w:t>
            </w:r>
            <w:r w:rsidRPr="00C3508F">
              <w:rPr>
                <w:rFonts w:eastAsiaTheme="majorEastAsia" w:cstheme="majorBidi"/>
                <w:bCs/>
                <w:noProof/>
                <w:szCs w:val="32"/>
              </w:rPr>
              <w:t>. No research design or human subjects involved. Information will be also collected via virtual interview sessions.</w:t>
            </w:r>
          </w:p>
        </w:tc>
      </w:tr>
      <w:tr w14:paraId="0E64ECE0" w14:textId="77777777" w:rsidTr="00887A7A">
        <w:tblPrEx>
          <w:tblW w:w="0" w:type="auto"/>
          <w:tblCellMar>
            <w:top w:w="72" w:type="dxa"/>
            <w:left w:w="115" w:type="dxa"/>
            <w:bottom w:w="72" w:type="dxa"/>
            <w:right w:w="115" w:type="dxa"/>
          </w:tblCellMar>
          <w:tblLook w:val="04A0"/>
        </w:tblPrEx>
        <w:tc>
          <w:tcPr>
            <w:tcW w:w="9175" w:type="dxa"/>
          </w:tcPr>
          <w:p w:rsidR="00C3508F" w:rsidRPr="00C3508F" w:rsidP="00C3508F" w14:paraId="356980C4" w14:textId="77777777">
            <w:pPr>
              <w:spacing w:line="259" w:lineRule="auto"/>
              <w:rPr>
                <w:rFonts w:eastAsiaTheme="majorEastAsia" w:cstheme="majorBidi"/>
                <w:b/>
                <w:noProof/>
                <w:szCs w:val="32"/>
              </w:rPr>
            </w:pPr>
            <w:r w:rsidRPr="00C3508F">
              <w:rPr>
                <w:rFonts w:eastAsiaTheme="majorEastAsia" w:cstheme="majorBidi"/>
                <w:b/>
                <w:noProof/>
                <w:szCs w:val="32"/>
              </w:rPr>
              <w:t xml:space="preserve">The subpopulation to be studied: </w:t>
            </w:r>
          </w:p>
          <w:p w:rsidR="00C3508F" w:rsidRPr="00C3508F" w:rsidP="00C3508F" w14:paraId="2B7DA663" w14:textId="7682F8DA">
            <w:pPr>
              <w:spacing w:line="259" w:lineRule="auto"/>
              <w:rPr>
                <w:rFonts w:eastAsiaTheme="majorEastAsia" w:cstheme="majorBidi"/>
                <w:bCs/>
                <w:noProof/>
                <w:szCs w:val="32"/>
              </w:rPr>
            </w:pPr>
            <w:r>
              <w:rPr>
                <w:rFonts w:eastAsiaTheme="majorEastAsia" w:cstheme="majorBidi"/>
                <w:bCs/>
                <w:noProof/>
                <w:szCs w:val="32"/>
              </w:rPr>
              <w:t>The p</w:t>
            </w:r>
            <w:r w:rsidRPr="00C3508F">
              <w:rPr>
                <w:rFonts w:eastAsiaTheme="majorEastAsia" w:cstheme="majorBidi"/>
                <w:bCs/>
                <w:noProof/>
                <w:szCs w:val="32"/>
              </w:rPr>
              <w:t xml:space="preserve">opulation studied will include 100% of </w:t>
            </w:r>
            <w:r>
              <w:rPr>
                <w:rFonts w:eastAsiaTheme="majorEastAsia" w:cstheme="majorBidi"/>
                <w:bCs/>
                <w:noProof/>
                <w:szCs w:val="32"/>
              </w:rPr>
              <w:t>EfC</w:t>
            </w:r>
            <w:r w:rsidRPr="00C3508F">
              <w:rPr>
                <w:rFonts w:eastAsiaTheme="majorEastAsia" w:cstheme="majorBidi"/>
                <w:bCs/>
                <w:noProof/>
                <w:szCs w:val="32"/>
              </w:rPr>
              <w:t>-funded recipients</w:t>
            </w:r>
            <w:r>
              <w:rPr>
                <w:rFonts w:eastAsiaTheme="majorEastAsia" w:cstheme="majorBidi"/>
                <w:bCs/>
                <w:noProof/>
                <w:szCs w:val="32"/>
              </w:rPr>
              <w:t>. Therefore, a</w:t>
            </w:r>
            <w:r w:rsidRPr="00C3508F">
              <w:rPr>
                <w:rFonts w:eastAsiaTheme="majorEastAsia" w:cstheme="majorBidi"/>
                <w:bCs/>
                <w:noProof/>
                <w:szCs w:val="32"/>
              </w:rPr>
              <w:t xml:space="preserve">sampling method </w:t>
            </w:r>
            <w:r>
              <w:rPr>
                <w:rFonts w:eastAsiaTheme="majorEastAsia" w:cstheme="majorBidi"/>
                <w:bCs/>
                <w:noProof/>
                <w:szCs w:val="32"/>
              </w:rPr>
              <w:t>is not</w:t>
            </w:r>
            <w:r w:rsidRPr="00C3508F">
              <w:rPr>
                <w:rFonts w:eastAsiaTheme="majorEastAsia" w:cstheme="majorBidi"/>
                <w:bCs/>
                <w:noProof/>
                <w:szCs w:val="32"/>
              </w:rPr>
              <w:t xml:space="preserve"> required.</w:t>
            </w:r>
          </w:p>
        </w:tc>
      </w:tr>
      <w:tr w14:paraId="73DA52CC" w14:textId="77777777" w:rsidTr="00887A7A">
        <w:tblPrEx>
          <w:tblW w:w="0" w:type="auto"/>
          <w:tblCellMar>
            <w:top w:w="72" w:type="dxa"/>
            <w:left w:w="115" w:type="dxa"/>
            <w:bottom w:w="72" w:type="dxa"/>
            <w:right w:w="115" w:type="dxa"/>
          </w:tblCellMar>
          <w:tblLook w:val="04A0"/>
        </w:tblPrEx>
        <w:tc>
          <w:tcPr>
            <w:tcW w:w="9175" w:type="dxa"/>
          </w:tcPr>
          <w:p w:rsidR="00C3508F" w:rsidRPr="00C3508F" w:rsidP="00C3508F" w14:paraId="50DFF6BC" w14:textId="77777777">
            <w:pPr>
              <w:spacing w:line="259" w:lineRule="auto"/>
              <w:rPr>
                <w:rFonts w:eastAsiaTheme="majorEastAsia" w:cstheme="majorBidi"/>
                <w:b/>
                <w:noProof/>
                <w:szCs w:val="32"/>
              </w:rPr>
            </w:pPr>
            <w:r w:rsidRPr="00C3508F">
              <w:rPr>
                <w:rFonts w:eastAsiaTheme="majorEastAsia" w:cstheme="majorBidi"/>
                <w:b/>
                <w:noProof/>
                <w:szCs w:val="32"/>
              </w:rPr>
              <w:t xml:space="preserve">How the data will be analyzed: </w:t>
            </w:r>
          </w:p>
          <w:p w:rsidR="00C3508F" w:rsidRPr="00C3508F" w:rsidP="00C3508F" w14:paraId="3B096E54" w14:textId="77777777">
            <w:pPr>
              <w:spacing w:line="259" w:lineRule="auto"/>
              <w:rPr>
                <w:rFonts w:eastAsiaTheme="majorEastAsia" w:cstheme="majorBidi"/>
                <w:bCs/>
                <w:noProof/>
                <w:szCs w:val="32"/>
              </w:rPr>
            </w:pPr>
            <w:r w:rsidRPr="00C3508F">
              <w:rPr>
                <w:rFonts w:eastAsiaTheme="majorEastAsia" w:cstheme="majorBidi"/>
                <w:bCs/>
                <w:noProof/>
                <w:szCs w:val="32"/>
              </w:rPr>
              <w:t>Quantitative data will be analyzed using descriptive and summary statistics. Qualitative data will be analyzed through thematic analysis to define priority area topics and emerging themes.</w:t>
            </w:r>
          </w:p>
        </w:tc>
      </w:tr>
    </w:tbl>
    <w:bookmarkEnd w:id="3"/>
    <w:p w:rsidR="00980E79" w14:paraId="697575E1" w14:textId="47FE88FA">
      <w:pPr>
        <w:spacing w:after="160" w:line="259" w:lineRule="auto"/>
        <w:rPr>
          <w:rFonts w:eastAsiaTheme="majorEastAsia" w:cstheme="majorBidi"/>
          <w:b/>
          <w:noProof/>
          <w:szCs w:val="32"/>
        </w:rPr>
      </w:pPr>
      <w:r>
        <w:rPr>
          <w:rFonts w:eastAsiaTheme="majorEastAsia" w:cstheme="majorBidi"/>
          <w:b/>
          <w:noProof/>
          <w:szCs w:val="32"/>
        </w:rPr>
        <w:t xml:space="preserve"> </w:t>
      </w:r>
    </w:p>
    <w:p w:rsidR="00860BDD" w:rsidP="00860BDD" w14:paraId="57A8889D" w14:textId="08AE237D">
      <w:pPr>
        <w:pStyle w:val="Heading1"/>
        <w:numPr>
          <w:ilvl w:val="0"/>
          <w:numId w:val="4"/>
        </w:numPr>
        <w:rPr>
          <w:noProof/>
        </w:rPr>
      </w:pPr>
      <w:bookmarkStart w:id="5" w:name="_Toc89252433"/>
      <w:r>
        <w:rPr>
          <w:noProof/>
        </w:rPr>
        <w:t>JUSTIFICATION</w:t>
      </w:r>
      <w:bookmarkEnd w:id="5"/>
    </w:p>
    <w:p w:rsidR="00886265" w:rsidRPr="009C4ECE" w:rsidP="009C4ECE" w14:paraId="1B941AB9" w14:textId="77777777"/>
    <w:p w:rsidR="00860BDD" w:rsidP="00860BDD" w14:paraId="778DC400" w14:textId="42A195AD">
      <w:pPr>
        <w:pStyle w:val="Heading2"/>
      </w:pPr>
      <w:bookmarkStart w:id="6" w:name="_Toc89252434"/>
      <w:r>
        <w:t>A.1. Circumstances Making the Collection of Information Necessary</w:t>
      </w:r>
      <w:bookmarkEnd w:id="6"/>
    </w:p>
    <w:p w:rsidR="006E2F07" w:rsidP="006E2F07" w14:paraId="7EDC284F" w14:textId="1D4F9012">
      <w:pPr>
        <w:pStyle w:val="Heading2"/>
        <w:rPr>
          <w:b w:val="0"/>
          <w:bCs/>
        </w:rPr>
      </w:pPr>
      <w:bookmarkStart w:id="7" w:name="_Toc89252435"/>
      <w:r w:rsidRPr="006E2F07">
        <w:rPr>
          <w:b w:val="0"/>
          <w:bCs/>
        </w:rPr>
        <w:t xml:space="preserve">The Centers for Disease Control and Prevention (CDC) seeks OMB approval for this new information collection request to collect </w:t>
      </w:r>
      <w:r w:rsidR="007A788F">
        <w:rPr>
          <w:b w:val="0"/>
          <w:bCs/>
        </w:rPr>
        <w:t xml:space="preserve">data </w:t>
      </w:r>
      <w:r w:rsidRPr="006E2F07">
        <w:rPr>
          <w:b w:val="0"/>
          <w:bCs/>
        </w:rPr>
        <w:t xml:space="preserve">from recipients funded through CDC’s </w:t>
      </w:r>
      <w:r w:rsidRPr="006E2F07">
        <w:rPr>
          <w:rFonts w:ascii="Times" w:eastAsia="Times" w:hAnsi="Times" w:cs="Times"/>
          <w:b w:val="0"/>
          <w:bCs/>
        </w:rPr>
        <w:t>Essentials for Childhood (</w:t>
      </w:r>
      <w:r w:rsidRPr="006E2F07">
        <w:rPr>
          <w:rFonts w:ascii="Times" w:eastAsia="Times" w:hAnsi="Times" w:cs="Times"/>
          <w:b w:val="0"/>
          <w:bCs/>
        </w:rPr>
        <w:t>EfC</w:t>
      </w:r>
      <w:r w:rsidRPr="006E2F07">
        <w:rPr>
          <w:rFonts w:ascii="Times" w:eastAsia="Times" w:hAnsi="Times" w:cs="Times"/>
          <w:b w:val="0"/>
          <w:bCs/>
        </w:rPr>
        <w:t>): Preventing Adverse Childhood Experiences through Data to Action</w:t>
      </w:r>
      <w:r w:rsidRPr="006E2F07">
        <w:rPr>
          <w:b w:val="0"/>
          <w:bCs/>
        </w:rPr>
        <w:t xml:space="preserve">. </w:t>
      </w:r>
      <w:r w:rsidR="00337CAE">
        <w:rPr>
          <w:b w:val="0"/>
          <w:bCs/>
        </w:rPr>
        <w:t xml:space="preserve">OMB approval is requested for 3 years. </w:t>
      </w:r>
      <w:r w:rsidRPr="006E2F07">
        <w:rPr>
          <w:b w:val="0"/>
          <w:bCs/>
        </w:rPr>
        <w:t xml:space="preserve">CDC will collect </w:t>
      </w:r>
      <w:r w:rsidR="007A788F">
        <w:rPr>
          <w:b w:val="0"/>
          <w:bCs/>
        </w:rPr>
        <w:t>data</w:t>
      </w:r>
      <w:r w:rsidRPr="006E2F07" w:rsidR="007A788F">
        <w:rPr>
          <w:b w:val="0"/>
          <w:bCs/>
        </w:rPr>
        <w:t xml:space="preserve"> </w:t>
      </w:r>
      <w:r w:rsidRPr="006E2F07">
        <w:rPr>
          <w:b w:val="0"/>
          <w:bCs/>
        </w:rPr>
        <w:t xml:space="preserve">from </w:t>
      </w:r>
      <w:r>
        <w:rPr>
          <w:b w:val="0"/>
          <w:bCs/>
        </w:rPr>
        <w:t>EfC</w:t>
      </w:r>
      <w:r>
        <w:rPr>
          <w:b w:val="0"/>
          <w:bCs/>
        </w:rPr>
        <w:t xml:space="preserve"> </w:t>
      </w:r>
      <w:r w:rsidRPr="006E2F07">
        <w:rPr>
          <w:b w:val="0"/>
          <w:bCs/>
        </w:rPr>
        <w:t>recipients to ass</w:t>
      </w:r>
      <w:r w:rsidRPr="007A788F">
        <w:rPr>
          <w:b w:val="0"/>
          <w:bCs/>
        </w:rPr>
        <w:t>ess</w:t>
      </w:r>
      <w:r w:rsidRPr="007A788F" w:rsidR="007A788F">
        <w:rPr>
          <w:b w:val="0"/>
          <w:bCs/>
        </w:rPr>
        <w:t xml:space="preserve"> </w:t>
      </w:r>
      <w:r w:rsidRPr="00D54A14" w:rsidR="007A788F">
        <w:rPr>
          <w:b w:val="0"/>
          <w:bCs/>
        </w:rPr>
        <w:t xml:space="preserve">how recipients are </w:t>
      </w:r>
      <w:r w:rsidR="00A23897">
        <w:rPr>
          <w:b w:val="0"/>
          <w:bCs/>
        </w:rPr>
        <w:t>improving</w:t>
      </w:r>
      <w:r w:rsidR="00BA57F5">
        <w:rPr>
          <w:b w:val="0"/>
          <w:bCs/>
        </w:rPr>
        <w:t xml:space="preserve"> a surveillance infrastructure, </w:t>
      </w:r>
      <w:r w:rsidRPr="00D54A14" w:rsidR="007A788F">
        <w:rPr>
          <w:b w:val="0"/>
          <w:bCs/>
        </w:rPr>
        <w:t>implementing</w:t>
      </w:r>
      <w:r w:rsidR="00337CAE">
        <w:rPr>
          <w:b w:val="0"/>
          <w:bCs/>
        </w:rPr>
        <w:t xml:space="preserve"> and evaluating</w:t>
      </w:r>
      <w:r w:rsidRPr="00D54A14" w:rsidR="007A788F">
        <w:rPr>
          <w:b w:val="0"/>
          <w:bCs/>
        </w:rPr>
        <w:t xml:space="preserve"> prevention strategies </w:t>
      </w:r>
      <w:r w:rsidR="00BA57F5">
        <w:rPr>
          <w:b w:val="0"/>
          <w:bCs/>
        </w:rPr>
        <w:t>to expand</w:t>
      </w:r>
      <w:r w:rsidRPr="00D54A14" w:rsidR="007A788F">
        <w:rPr>
          <w:b w:val="0"/>
          <w:bCs/>
        </w:rPr>
        <w:t xml:space="preserve"> efforts to prevent adverse childhood experiences</w:t>
      </w:r>
      <w:r w:rsidR="00BA57F5">
        <w:rPr>
          <w:b w:val="0"/>
          <w:bCs/>
        </w:rPr>
        <w:t xml:space="preserve">, and using data to inform prevention action. </w:t>
      </w:r>
    </w:p>
    <w:p w:rsidR="00B73BF1" w:rsidRPr="00B73BF1" w:rsidP="00B73BF1" w14:paraId="309394EC" w14:textId="77777777"/>
    <w:p w:rsidR="00BB79CE" w:rsidP="00317ABD" w14:paraId="39F39FD2" w14:textId="3B846EEF">
      <w:r>
        <w:t>Adverse childhood experiences (ACEs) are preventable, potentially traumatic events that occur in childhood and adolescence (0-17 years)</w:t>
      </w:r>
      <w:r w:rsidR="00AF0F8C">
        <w:t>.</w:t>
      </w:r>
      <w:r w:rsidRPr="00AF0F8C" w:rsidR="00AF0F8C">
        <w:rPr>
          <w:vertAlign w:val="superscript"/>
        </w:rPr>
        <w:t xml:space="preserve"> </w:t>
      </w:r>
      <w:r w:rsidR="00AF0F8C">
        <w:rPr>
          <w:vertAlign w:val="superscript"/>
        </w:rPr>
        <w:t>1,</w:t>
      </w:r>
      <w:r w:rsidR="00AF0F8C">
        <w:rPr>
          <w:vertAlign w:val="superscript"/>
        </w:rPr>
        <w:t>2</w:t>
      </w:r>
      <w:r w:rsidR="00AF0F8C">
        <w:t xml:space="preserve"> </w:t>
      </w:r>
      <w:r>
        <w:t xml:space="preserve"> As</w:t>
      </w:r>
      <w:r>
        <w:t xml:space="preserve"> the number of ACEs experienced increases, so does the risk for negative health and life outcomes,</w:t>
      </w:r>
      <w:r>
        <w:rPr>
          <w:vertAlign w:val="superscript"/>
        </w:rPr>
        <w:t>3</w:t>
      </w:r>
      <w:r>
        <w:t xml:space="preserve"> including health risk behaviors, chronic health conditions, mental health challenges, limited educational and economic opportunity, and early death. Systemic </w:t>
      </w:r>
      <w:r>
        <w:t>racism, discrimination, multigenerational poverty, and socioeconomic conditions, such as living in under-resourced, racially segregated neighborhoods or experiencing food insecurity can exacerbate the effects of ACEs, particularly in certain populations.</w:t>
      </w:r>
      <w:r>
        <w:rPr>
          <w:vertAlign w:val="superscript"/>
        </w:rPr>
        <w:t>4</w:t>
      </w:r>
      <w:r>
        <w:t xml:space="preserve"> However, ACEs can be prevented. Preventing ACEs has the potential to reduce leading causes of death, mental health challenges, health risk behaviors such as substance use, verified reports of child abuse and neglect, increase productivity and educational attainment, and saves billions of dollars each year.</w:t>
      </w:r>
      <w:r>
        <w:rPr>
          <w:vertAlign w:val="superscript"/>
        </w:rPr>
        <w:t>3,5-7</w:t>
      </w:r>
      <w:r>
        <w:t xml:space="preserve"> By addressing the conditions that give rise to ACEs and simultaneously addressing the needs of children and parents, communities can take a multigenerational approach to prevent ACEs. </w:t>
      </w:r>
    </w:p>
    <w:p w:rsidR="00BD51D1" w:rsidP="00317ABD" w14:paraId="62A09F50" w14:textId="77777777">
      <w:pPr>
        <w:rPr>
          <w:bCs/>
        </w:rPr>
      </w:pPr>
    </w:p>
    <w:p w:rsidR="006E2F07" w:rsidP="00317ABD" w14:paraId="4C0DA371" w14:textId="6D3AEB81">
      <w:r w:rsidRPr="006E2F07">
        <w:rPr>
          <w:bCs/>
        </w:rPr>
        <w:t>For this</w:t>
      </w:r>
      <w:r w:rsidR="008E328A">
        <w:rPr>
          <w:bCs/>
        </w:rPr>
        <w:t xml:space="preserve"> Notice of Funding Opportunity (NOFO)</w:t>
      </w:r>
      <w:r w:rsidRPr="006E2F07">
        <w:rPr>
          <w:bCs/>
        </w:rPr>
        <w:t>, funded recipients are expected to</w:t>
      </w:r>
      <w:r w:rsidR="00317ABD">
        <w:rPr>
          <w:b/>
          <w:bCs/>
        </w:rPr>
        <w:t xml:space="preserve"> </w:t>
      </w:r>
      <w:r w:rsidRPr="00317ABD" w:rsidR="00317ABD">
        <w:rPr>
          <w:bCs/>
        </w:rPr>
        <w:t>leverage multisector partnerships and resources to improve and sustain ACEs and positive childhood experiences (PCEs) surveillance infrastructure that collects, uses, and disseminates data on ACEs and PCEs, including data that identify health inequitie</w:t>
      </w:r>
      <w:r w:rsidR="00A135F3">
        <w:rPr>
          <w:bCs/>
        </w:rPr>
        <w:t xml:space="preserve">s </w:t>
      </w:r>
      <w:r w:rsidRPr="00317ABD" w:rsidR="00317ABD">
        <w:rPr>
          <w:bCs/>
        </w:rPr>
        <w:t xml:space="preserve">to inform implementation of ACEs prevention strategies across the state. </w:t>
      </w:r>
      <w:r w:rsidR="00FC4B4E">
        <w:t xml:space="preserve">Funded recipients will </w:t>
      </w:r>
      <w:r w:rsidRPr="009569CB" w:rsidR="00FC4B4E">
        <w:t>work to reduce health disparities and improve social determinants of health among populations at greatest risk</w:t>
      </w:r>
      <w:r w:rsidRPr="00413656" w:rsidR="00FC4B4E">
        <w:t>.</w:t>
      </w:r>
      <w:r w:rsidR="00FC4B4E">
        <w:t xml:space="preserve"> </w:t>
      </w:r>
      <w:r w:rsidRPr="006E2F07" w:rsidR="00FC4B4E">
        <w:rPr>
          <w:bCs/>
        </w:rPr>
        <w:t>In addition, the NOFO will require</w:t>
      </w:r>
      <w:r w:rsidR="00FC4B4E">
        <w:rPr>
          <w:bCs/>
        </w:rPr>
        <w:t xml:space="preserve"> recipients to </w:t>
      </w:r>
      <w:r w:rsidRPr="00B73BF1" w:rsidR="00FC4B4E">
        <w:t xml:space="preserve">1) Build or improve surveillance infrastructure and capacity; 2) Implement and sustain ACEs prevention strategies; and 3) Utilize ACEs/PCEs data for action. </w:t>
      </w:r>
    </w:p>
    <w:p w:rsidR="00BD51D1" w:rsidRPr="00317ABD" w:rsidP="00317ABD" w14:paraId="0869B62B" w14:textId="77777777"/>
    <w:p w:rsidR="00D54A14" w:rsidP="00D54A14" w14:paraId="2520E78C" w14:textId="1ECCD485">
      <w:pPr>
        <w:pStyle w:val="Heading2"/>
        <w:rPr>
          <w:b w:val="0"/>
          <w:bCs/>
        </w:rPr>
      </w:pPr>
      <w:r>
        <w:rPr>
          <w:b w:val="0"/>
          <w:bCs/>
        </w:rPr>
        <w:t xml:space="preserve">This NOFO includes base and enhanced funding. </w:t>
      </w:r>
      <w:r>
        <w:rPr>
          <w:b w:val="0"/>
          <w:bCs/>
        </w:rPr>
        <w:t>EfC</w:t>
      </w:r>
      <w:r>
        <w:rPr>
          <w:b w:val="0"/>
          <w:bCs/>
        </w:rPr>
        <w:t xml:space="preserve"> recipients </w:t>
      </w:r>
      <w:r w:rsidR="00A135F3">
        <w:rPr>
          <w:b w:val="0"/>
          <w:bCs/>
        </w:rPr>
        <w:t>who</w:t>
      </w:r>
      <w:r w:rsidR="00042736">
        <w:rPr>
          <w:b w:val="0"/>
          <w:bCs/>
        </w:rPr>
        <w:t xml:space="preserve"> apply for and</w:t>
      </w:r>
      <w:r w:rsidR="00A135F3">
        <w:rPr>
          <w:b w:val="0"/>
          <w:bCs/>
        </w:rPr>
        <w:t xml:space="preserve"> </w:t>
      </w:r>
      <w:r>
        <w:rPr>
          <w:b w:val="0"/>
          <w:bCs/>
        </w:rPr>
        <w:t xml:space="preserve">receive enhanced funding will </w:t>
      </w:r>
      <w:r w:rsidRPr="00B73BF1">
        <w:rPr>
          <w:b w:val="0"/>
          <w:bCs/>
        </w:rPr>
        <w:t xml:space="preserve">conduct </w:t>
      </w:r>
      <w:r w:rsidR="00A135F3">
        <w:rPr>
          <w:b w:val="0"/>
          <w:bCs/>
        </w:rPr>
        <w:t xml:space="preserve">base and </w:t>
      </w:r>
      <w:r w:rsidRPr="00B73BF1">
        <w:rPr>
          <w:b w:val="0"/>
          <w:bCs/>
        </w:rPr>
        <w:t>additional activities</w:t>
      </w:r>
      <w:r w:rsidR="00042736">
        <w:rPr>
          <w:b w:val="0"/>
          <w:bCs/>
        </w:rPr>
        <w:t xml:space="preserve"> for the enhanced funding, including</w:t>
      </w:r>
      <w:r w:rsidRPr="00B73BF1">
        <w:rPr>
          <w:b w:val="0"/>
          <w:bCs/>
        </w:rPr>
        <w:t>: (1) collect</w:t>
      </w:r>
      <w:r w:rsidR="00042736">
        <w:rPr>
          <w:b w:val="0"/>
          <w:bCs/>
        </w:rPr>
        <w:t>ing</w:t>
      </w:r>
      <w:r w:rsidRPr="00B73BF1">
        <w:rPr>
          <w:b w:val="0"/>
          <w:bCs/>
        </w:rPr>
        <w:t xml:space="preserve"> ACEs data using syndromic surveillance approaches, (2) implement</w:t>
      </w:r>
      <w:r w:rsidR="00042736">
        <w:rPr>
          <w:b w:val="0"/>
          <w:bCs/>
        </w:rPr>
        <w:t>ing</w:t>
      </w:r>
      <w:r w:rsidRPr="00B73BF1">
        <w:rPr>
          <w:b w:val="0"/>
          <w:bCs/>
        </w:rPr>
        <w:t xml:space="preserve"> ACEs primary prevention strategies at the local level; and/or (3) link</w:t>
      </w:r>
      <w:r w:rsidR="00042736">
        <w:rPr>
          <w:b w:val="0"/>
          <w:bCs/>
        </w:rPr>
        <w:t>ing</w:t>
      </w:r>
      <w:r w:rsidRPr="00B73BF1">
        <w:rPr>
          <w:b w:val="0"/>
          <w:bCs/>
        </w:rPr>
        <w:t xml:space="preserve"> state and local data on the social determinants of health to youth-based ACEs data. </w:t>
      </w:r>
    </w:p>
    <w:p w:rsidR="00BD51D1" w:rsidRPr="00BD51D1" w:rsidP="00BD51D1" w14:paraId="3301BDB2" w14:textId="77777777"/>
    <w:p w:rsidR="006E2F07" w:rsidRPr="006E2F07" w:rsidP="006E2F07" w14:paraId="48B563A4" w14:textId="5CD8E950">
      <w:pPr>
        <w:pStyle w:val="Heading2"/>
        <w:rPr>
          <w:b w:val="0"/>
          <w:bCs/>
        </w:rPr>
      </w:pPr>
      <w:r>
        <w:rPr>
          <w:b w:val="0"/>
          <w:bCs/>
        </w:rPr>
        <w:t>Recipients’</w:t>
      </w:r>
      <w:r w:rsidRPr="006E2F07">
        <w:rPr>
          <w:b w:val="0"/>
          <w:bCs/>
        </w:rPr>
        <w:t xml:space="preserve"> annually submitted progress, outcomes, performance indicators and related </w:t>
      </w:r>
      <w:r w:rsidRPr="006E2F07">
        <w:rPr>
          <w:b w:val="0"/>
          <w:bCs/>
        </w:rPr>
        <w:t>measures</w:t>
      </w:r>
      <w:r w:rsidR="00642063">
        <w:rPr>
          <w:b w:val="0"/>
          <w:bCs/>
        </w:rPr>
        <w:t xml:space="preserve">  will</w:t>
      </w:r>
      <w:r w:rsidRPr="006E2F07">
        <w:rPr>
          <w:b w:val="0"/>
          <w:bCs/>
        </w:rPr>
        <w:t xml:space="preserve"> inform the CDC evaluation of the </w:t>
      </w:r>
      <w:r w:rsidR="007A788F">
        <w:rPr>
          <w:b w:val="0"/>
          <w:bCs/>
        </w:rPr>
        <w:t xml:space="preserve">cooperative agreement </w:t>
      </w:r>
      <w:r w:rsidR="00042736">
        <w:rPr>
          <w:b w:val="0"/>
          <w:bCs/>
        </w:rPr>
        <w:t xml:space="preserve">by capturing </w:t>
      </w:r>
      <w:r w:rsidRPr="006E2F07">
        <w:rPr>
          <w:b w:val="0"/>
          <w:bCs/>
        </w:rPr>
        <w:t xml:space="preserve"> program impact as well as </w:t>
      </w:r>
      <w:r w:rsidR="00642063">
        <w:rPr>
          <w:b w:val="0"/>
          <w:bCs/>
        </w:rPr>
        <w:t xml:space="preserve">inform </w:t>
      </w:r>
      <w:r w:rsidRPr="006E2F07">
        <w:rPr>
          <w:b w:val="0"/>
          <w:bCs/>
        </w:rPr>
        <w:t xml:space="preserve">performance monitoring and continuous program improvement. </w:t>
      </w:r>
      <w:r w:rsidRPr="00642063" w:rsidR="00642063">
        <w:t xml:space="preserve"> </w:t>
      </w:r>
    </w:p>
    <w:p w:rsidR="006E2F07" w:rsidRPr="006E2F07" w:rsidP="006E2F07" w14:paraId="58A93A79" w14:textId="77777777"/>
    <w:p w:rsidR="00E54A80" w:rsidP="00860BDD" w14:paraId="78D142DB" w14:textId="6852B9F9">
      <w:pPr>
        <w:pStyle w:val="Heading2"/>
      </w:pPr>
      <w:r>
        <w:t>A.2. Purpose and Use of Information Collection</w:t>
      </w:r>
      <w:bookmarkEnd w:id="7"/>
    </w:p>
    <w:p w:rsidR="00736DA0" w:rsidP="00736DA0" w14:paraId="5A1960A4" w14:textId="1D5B9E3E">
      <w:r>
        <w:t xml:space="preserve">The purpose of the information collection effort is to collect </w:t>
      </w:r>
      <w:r>
        <w:t>EfC</w:t>
      </w:r>
      <w:r>
        <w:t xml:space="preserve"> program recipient data related to </w:t>
      </w:r>
      <w:r w:rsidR="00BF0699">
        <w:t xml:space="preserve">surveillance, </w:t>
      </w:r>
      <w:r>
        <w:t>implementation, program evaluation, and performance monitoring. This data collection is necessary to ensure that programs are progressing toward achievement of their stated goals and objectives, as well as consistently demonstrating efficient and appropriate use of federal funds. CDC will use the information collected to further understand the facilitators, barriers, and critical factors to implementing specific violence prevention strategies and conducting related program evaluation activities. Data collected will also be used to inform CDC’s training and technical assistance, program improvement,</w:t>
      </w:r>
      <w:r w:rsidR="00A23897">
        <w:t xml:space="preserve"> a</w:t>
      </w:r>
      <w:r>
        <w:t>nd the development of future funding opportunities.</w:t>
      </w:r>
    </w:p>
    <w:p w:rsidR="00736DA0" w:rsidP="00736DA0" w14:paraId="1A9D598F" w14:textId="77777777"/>
    <w:p w:rsidR="00736DA0" w:rsidP="00736DA0" w14:paraId="21817E98" w14:textId="77777777">
      <w:r>
        <w:t>Data collection is designed to address the following key program evaluation questions:</w:t>
      </w:r>
    </w:p>
    <w:p w:rsidR="00736DA0" w:rsidP="00AD5FF9" w14:paraId="4FAB9B94" w14:textId="65079B4F">
      <w:pPr>
        <w:pStyle w:val="ListParagraph"/>
        <w:numPr>
          <w:ilvl w:val="0"/>
          <w:numId w:val="30"/>
        </w:numPr>
      </w:pPr>
      <w:r>
        <w:t xml:space="preserve">To what extent have </w:t>
      </w:r>
      <w:r w:rsidR="001F280C">
        <w:t xml:space="preserve">recipients </w:t>
      </w:r>
      <w:r>
        <w:t>accomplished the short</w:t>
      </w:r>
      <w:r w:rsidR="00F743CD">
        <w:t>-</w:t>
      </w:r>
      <w:r>
        <w:t>term and intermediate</w:t>
      </w:r>
      <w:r w:rsidR="00F743CD">
        <w:t>-term</w:t>
      </w:r>
      <w:r>
        <w:t xml:space="preserve"> outcomes </w:t>
      </w:r>
      <w:r w:rsidR="00F743CD">
        <w:t xml:space="preserve">outlined </w:t>
      </w:r>
      <w:r>
        <w:t>in the Logic Model?</w:t>
      </w:r>
    </w:p>
    <w:p w:rsidR="00736DA0" w:rsidP="00AD5FF9" w14:paraId="2296BE6C" w14:textId="3C304553">
      <w:pPr>
        <w:pStyle w:val="ListParagraph"/>
        <w:numPr>
          <w:ilvl w:val="0"/>
          <w:numId w:val="30"/>
        </w:numPr>
      </w:pPr>
      <w:r>
        <w:t xml:space="preserve">To what extent do recipients effectively implement </w:t>
      </w:r>
      <w:r w:rsidR="001F280C">
        <w:t>ACEs prevention strategies</w:t>
      </w:r>
      <w:r>
        <w:t xml:space="preserve"> during the period</w:t>
      </w:r>
      <w:r w:rsidR="00F743CD">
        <w:t xml:space="preserve"> of performance</w:t>
      </w:r>
      <w:r>
        <w:t>?</w:t>
      </w:r>
    </w:p>
    <w:p w:rsidR="001F280C" w:rsidP="00AD5FF9" w14:paraId="770D4DA8" w14:textId="3D049019">
      <w:pPr>
        <w:pStyle w:val="ListParagraph"/>
        <w:numPr>
          <w:ilvl w:val="0"/>
          <w:numId w:val="30"/>
        </w:numPr>
      </w:pPr>
      <w:r>
        <w:t xml:space="preserve">To what extent have </w:t>
      </w:r>
      <w:r>
        <w:t>recipient</w:t>
      </w:r>
      <w:r>
        <w:t>s</w:t>
      </w:r>
      <w:r>
        <w:t xml:space="preserve"> leveraged multi-sector partnerships and resources among state agencies (additional funding at the local level) and other sectors to prevent ACEs, including forming sustainable systems and partnerships, and realigning/focusing/mobilizing resources to prevent ACEs</w:t>
      </w:r>
      <w:r>
        <w:t>?</w:t>
      </w:r>
    </w:p>
    <w:p w:rsidR="001F280C" w:rsidRPr="00907CBE" w:rsidP="00AD5FF9" w14:paraId="546915E6" w14:textId="7318F2A9">
      <w:pPr>
        <w:pStyle w:val="ListParagraph"/>
        <w:numPr>
          <w:ilvl w:val="0"/>
          <w:numId w:val="30"/>
        </w:numPr>
      </w:pPr>
      <w:r w:rsidRPr="00907CBE">
        <w:t>In what ways has the recipient built or enhanced their state-level surveillance system to monitor ACEs, PCEs, and social determinants of health?</w:t>
      </w:r>
    </w:p>
    <w:p w:rsidR="001F280C" w:rsidRPr="006C5256" w:rsidP="00AD5FF9" w14:paraId="5E79F9BC" w14:textId="6759F525">
      <w:pPr>
        <w:pStyle w:val="ListParagraph"/>
        <w:numPr>
          <w:ilvl w:val="0"/>
          <w:numId w:val="30"/>
        </w:numPr>
      </w:pPr>
      <w:r w:rsidRPr="006C5256">
        <w:t>How has the recipient integrated and addressed racial and health inequities and social determinants of health in preventing ACEs?</w:t>
      </w:r>
    </w:p>
    <w:p w:rsidR="001F280C" w:rsidRPr="006C5256" w:rsidP="00AD5FF9" w14:paraId="086E91B1" w14:textId="1F222699">
      <w:pPr>
        <w:pStyle w:val="ListParagraph"/>
        <w:numPr>
          <w:ilvl w:val="0"/>
          <w:numId w:val="30"/>
        </w:numPr>
      </w:pPr>
      <w:r w:rsidRPr="006C5256">
        <w:t>To what extent have recipients</w:t>
      </w:r>
      <w:r w:rsidRPr="006C5256">
        <w:t xml:space="preserve"> enhanced their statewide action plan to implement complementary ACEs prevention strategies (additional funding for implementation at the local level)?</w:t>
      </w:r>
    </w:p>
    <w:p w:rsidR="00C77310" w:rsidP="00AD5FF9" w14:paraId="3CF4F0FF" w14:textId="77777777">
      <w:pPr>
        <w:pStyle w:val="ListParagraph"/>
        <w:numPr>
          <w:ilvl w:val="0"/>
          <w:numId w:val="30"/>
        </w:numPr>
      </w:pPr>
      <w:r w:rsidRPr="006C5256">
        <w:t>To what extent have</w:t>
      </w:r>
      <w:r w:rsidRPr="006C5256" w:rsidR="001F280C">
        <w:t xml:space="preserve"> </w:t>
      </w:r>
      <w:r w:rsidRPr="006C5256">
        <w:t>funded</w:t>
      </w:r>
      <w:r w:rsidRPr="006C5256" w:rsidR="001F280C">
        <w:t xml:space="preserve"> recipient</w:t>
      </w:r>
      <w:r w:rsidRPr="006C5256">
        <w:t>s</w:t>
      </w:r>
      <w:r w:rsidRPr="006C5256" w:rsidR="001F280C">
        <w:t xml:space="preserve"> enhanced their ability to use ACEs and PCEs surveillance and evaluation data to inform prevention strategy allocation? </w:t>
      </w:r>
    </w:p>
    <w:p w:rsidR="001F280C" w:rsidRPr="006C5256" w:rsidP="00AD5FF9" w14:paraId="3C639372" w14:textId="7C2F6FF4">
      <w:pPr>
        <w:pStyle w:val="ListParagraph"/>
        <w:numPr>
          <w:ilvl w:val="0"/>
          <w:numId w:val="30"/>
        </w:numPr>
      </w:pPr>
      <w:r w:rsidRPr="006C5256">
        <w:t>To what extent have recipients</w:t>
      </w:r>
      <w:r w:rsidRPr="006C5256">
        <w:t xml:space="preserve"> enhanced their ability to disseminate and use data to inform partner, policy, or other action?</w:t>
      </w:r>
    </w:p>
    <w:p w:rsidR="006C5256" w:rsidRPr="006C5256" w:rsidP="00AD5FF9" w14:paraId="0A81A624" w14:textId="42E6E292">
      <w:pPr>
        <w:pStyle w:val="ListParagraph"/>
        <w:numPr>
          <w:ilvl w:val="0"/>
          <w:numId w:val="30"/>
        </w:numPr>
      </w:pPr>
      <w:r w:rsidRPr="006C5256">
        <w:t xml:space="preserve">To what extent </w:t>
      </w:r>
      <w:r>
        <w:t>have recipients</w:t>
      </w:r>
      <w:r w:rsidRPr="006C5256">
        <w:t xml:space="preserve"> seen a sustainable increase in capacity and activities related to routine monitoring of ACEs and PCEs data among youth? </w:t>
      </w:r>
    </w:p>
    <w:p w:rsidR="001F280C" w:rsidRPr="006C5256" w:rsidP="00AD5FF9" w14:paraId="75DB1E3A" w14:textId="2E8EC97E">
      <w:pPr>
        <w:pStyle w:val="ListParagraph"/>
        <w:numPr>
          <w:ilvl w:val="0"/>
          <w:numId w:val="30"/>
        </w:numPr>
      </w:pPr>
      <w:r w:rsidRPr="006C5256">
        <w:t xml:space="preserve">To what extent </w:t>
      </w:r>
      <w:r>
        <w:t>have recipients</w:t>
      </w:r>
      <w:r w:rsidRPr="006C5256">
        <w:t xml:space="preserve"> seen a sustainable increase in capacity and activities related to routine monitoring of near real-time surveillance to monitor indicators of ACEs?</w:t>
      </w:r>
    </w:p>
    <w:p w:rsidR="001F280C" w:rsidP="00AD5FF9" w14:paraId="722387AF" w14:textId="36D4A112">
      <w:pPr>
        <w:pStyle w:val="ListParagraph"/>
        <w:numPr>
          <w:ilvl w:val="0"/>
          <w:numId w:val="30"/>
        </w:numPr>
      </w:pPr>
      <w:r w:rsidRPr="006C5256">
        <w:t xml:space="preserve">To what extent </w:t>
      </w:r>
      <w:r>
        <w:t>have recipients</w:t>
      </w:r>
      <w:r>
        <w:t xml:space="preserve"> demonstrated ability to link ACEs and PCEs data to those on the social determinants of health, and utilize these data to inform prevention strategies? (if applicable)</w:t>
      </w:r>
    </w:p>
    <w:p w:rsidR="001F280C" w:rsidP="00AD5FF9" w14:paraId="58194513" w14:textId="45C0A3B2">
      <w:pPr>
        <w:pStyle w:val="ListParagraph"/>
        <w:numPr>
          <w:ilvl w:val="0"/>
          <w:numId w:val="30"/>
        </w:numPr>
      </w:pPr>
      <w:r>
        <w:t>What is the reach/exposure to the ACEs prevention program efforts?</w:t>
      </w:r>
    </w:p>
    <w:p w:rsidR="001F280C" w:rsidP="00AD5FF9" w14:paraId="5C7BD785" w14:textId="33CAEFD0">
      <w:pPr>
        <w:pStyle w:val="ListParagraph"/>
        <w:numPr>
          <w:ilvl w:val="0"/>
          <w:numId w:val="30"/>
        </w:numPr>
      </w:pPr>
      <w:r>
        <w:t>Are ACEs prevention strategies reaching populations at highest risk for ACEs?</w:t>
      </w:r>
    </w:p>
    <w:p w:rsidR="001F280C" w:rsidRPr="005854BE" w:rsidP="00AD5FF9" w14:paraId="1607FF8E" w14:textId="71E9A05F">
      <w:pPr>
        <w:pStyle w:val="ListParagraph"/>
        <w:numPr>
          <w:ilvl w:val="0"/>
          <w:numId w:val="30"/>
        </w:numPr>
      </w:pPr>
      <w:r w:rsidRPr="005854BE">
        <w:t>To what extent have recipients</w:t>
      </w:r>
      <w:r w:rsidRPr="005854BE">
        <w:t xml:space="preserve"> demonstrated use of surveillance and evaluation data to inform prevention strategy allocation and implementation to improve health </w:t>
      </w:r>
      <w:r w:rsidRPr="005854BE" w:rsidR="005854BE">
        <w:t>for all and especially for those at greatest risk</w:t>
      </w:r>
      <w:r w:rsidRPr="005854BE">
        <w:t>?</w:t>
      </w:r>
    </w:p>
    <w:p w:rsidR="001F280C" w:rsidP="00AD5FF9" w14:paraId="4BE3B630" w14:textId="025E0981">
      <w:pPr>
        <w:pStyle w:val="ListParagraph"/>
        <w:numPr>
          <w:ilvl w:val="0"/>
          <w:numId w:val="30"/>
        </w:numPr>
      </w:pPr>
      <w:r>
        <w:t>What has been the reach/exposure of ACEs and PCEs data dissemination efforts?</w:t>
      </w:r>
    </w:p>
    <w:p w:rsidR="001F280C" w:rsidP="001F280C" w14:paraId="218C7BE7" w14:textId="77777777"/>
    <w:p w:rsidR="00E81EB4" w:rsidP="00E81EB4" w14:paraId="64EC625E" w14:textId="69A29358">
      <w:r>
        <w:t xml:space="preserve">Information will be collected annually from recipients through the DVP Partners Portal, </w:t>
      </w:r>
      <w:r w:rsidR="00042736">
        <w:t>a web-based</w:t>
      </w:r>
      <w:r>
        <w:t xml:space="preserve"> data</w:t>
      </w:r>
      <w:r w:rsidR="00042736">
        <w:t xml:space="preserve"> collection</w:t>
      </w:r>
      <w:r>
        <w:t xml:space="preserve"> system</w:t>
      </w:r>
      <w:r w:rsidR="00042736">
        <w:t>.</w:t>
      </w:r>
      <w:r>
        <w:t xml:space="preserve"> </w:t>
      </w:r>
      <w:r w:rsidRPr="00504FD8">
        <w:t xml:space="preserve">The </w:t>
      </w:r>
      <w:r>
        <w:t xml:space="preserve">DVP </w:t>
      </w:r>
      <w:r w:rsidRPr="00504FD8">
        <w:t>Partners Portal allows recipients to fulfill their annual reporting obligations efficiently by employing user-friendly, easily accessible web-based instruments to collect necessary information for both progress reports and continuation applications.</w:t>
      </w:r>
      <w:r>
        <w:t xml:space="preserve"> Because information from previous reports will be carried over and pre-populated for the next annual reporting, recipients will only need to </w:t>
      </w:r>
      <w:r w:rsidRPr="00736803">
        <w:t>enter</w:t>
      </w:r>
      <w:r>
        <w:t xml:space="preserve"> changes, provide progress </w:t>
      </w:r>
      <w:r w:rsidR="00042736">
        <w:t>updates</w:t>
      </w:r>
      <w:r>
        <w:t xml:space="preserve">, and add </w:t>
      </w:r>
      <w:r w:rsidR="00042736">
        <w:t xml:space="preserve">any </w:t>
      </w:r>
      <w:r>
        <w:t xml:space="preserve">new information after </w:t>
      </w:r>
      <w:r w:rsidR="000461C7">
        <w:t>the first year of reporting</w:t>
      </w:r>
      <w:r>
        <w:t xml:space="preserve">, </w:t>
      </w:r>
      <w:r w:rsidR="000461C7">
        <w:t>which will help</w:t>
      </w:r>
      <w:r>
        <w:t xml:space="preserve"> to reduce </w:t>
      </w:r>
      <w:r w:rsidR="000461C7">
        <w:t xml:space="preserve">recipient </w:t>
      </w:r>
      <w:r>
        <w:t xml:space="preserve">burden.  </w:t>
      </w:r>
    </w:p>
    <w:p w:rsidR="00E81EB4" w:rsidRPr="00E81EB4" w:rsidP="00736DA0" w14:paraId="6CB23528" w14:textId="5B869AFF"/>
    <w:p w:rsidR="00D476D0" w:rsidRPr="00504FD8" w:rsidP="00736DA0" w14:paraId="19BDB21C" w14:textId="6DE0C6EE">
      <w:pPr>
        <w:rPr>
          <w:b/>
          <w:bCs/>
        </w:rPr>
      </w:pPr>
      <w:r w:rsidRPr="00504FD8">
        <w:rPr>
          <w:b/>
          <w:bCs/>
        </w:rPr>
        <w:t>Information will be collected through the following instruments:</w:t>
      </w:r>
    </w:p>
    <w:p w:rsidR="00B71065" w:rsidP="00860BDD" w14:paraId="7AAA0DFD" w14:textId="02904194"/>
    <w:p w:rsidR="00736DA0" w:rsidP="00736DA0" w14:paraId="65CDB231" w14:textId="0A7F6D5F">
      <w:r w:rsidRPr="00023BE3">
        <w:rPr>
          <w:b/>
          <w:bCs/>
          <w:i/>
          <w:iCs/>
        </w:rPr>
        <w:t>Att. 3</w:t>
      </w:r>
      <w:r w:rsidRPr="00023BE3">
        <w:rPr>
          <w:b/>
          <w:bCs/>
          <w:i/>
          <w:iCs/>
        </w:rPr>
        <w:tab/>
        <w:t>Annual Performance Report (APR) Tool</w:t>
      </w:r>
      <w:r>
        <w:t xml:space="preserve"> </w:t>
      </w:r>
    </w:p>
    <w:p w:rsidR="00736DA0" w:rsidP="00736DA0" w14:paraId="59841855" w14:textId="7D0ECA12">
      <w:r>
        <w:t xml:space="preserve">The data </w:t>
      </w:r>
      <w:r w:rsidR="00042736">
        <w:t xml:space="preserve">collected using the APR tool </w:t>
      </w:r>
      <w:r>
        <w:t xml:space="preserve">are used for program monitoring and evaluation purposes and submitted to the Grants Management Module of Grant Solutions to serve as the official record of </w:t>
      </w:r>
      <w:r w:rsidR="00285740">
        <w:t>the APR</w:t>
      </w:r>
      <w:r>
        <w:t xml:space="preserve"> and continuation application. </w:t>
      </w:r>
      <w:r w:rsidR="00285740">
        <w:t>Recipients</w:t>
      </w:r>
      <w:r w:rsidR="00023BE3">
        <w:t xml:space="preserve"> </w:t>
      </w:r>
      <w:r>
        <w:t xml:space="preserve">will complete the APR for each budget period of years 1 through </w:t>
      </w:r>
      <w:r w:rsidR="00B61EB1">
        <w:t>3</w:t>
      </w:r>
      <w:r>
        <w:t>.</w:t>
      </w:r>
    </w:p>
    <w:p w:rsidR="00023BE3" w:rsidP="00736DA0" w14:paraId="3EBBFD12" w14:textId="77777777"/>
    <w:p w:rsidR="00023BE3" w:rsidP="00736DA0" w14:paraId="1997D1DD" w14:textId="77777777">
      <w:r>
        <w:t>CDC will use the information to be collected to do the following:</w:t>
      </w:r>
    </w:p>
    <w:p w:rsidR="00023BE3" w:rsidP="00736DA0" w14:paraId="67545D63" w14:textId="77777777">
      <w:pPr>
        <w:pStyle w:val="ListParagraph"/>
        <w:numPr>
          <w:ilvl w:val="0"/>
          <w:numId w:val="25"/>
        </w:numPr>
      </w:pPr>
      <w:r>
        <w:t xml:space="preserve">Enhance accountability of the use of federal funds </w:t>
      </w:r>
    </w:p>
    <w:p w:rsidR="00023BE3" w:rsidP="00736DA0" w14:paraId="488F0A55" w14:textId="77777777">
      <w:pPr>
        <w:pStyle w:val="ListParagraph"/>
        <w:numPr>
          <w:ilvl w:val="0"/>
          <w:numId w:val="25"/>
        </w:numPr>
      </w:pPr>
      <w:r>
        <w:t xml:space="preserve">Provide timely program reports and responses to information request </w:t>
      </w:r>
    </w:p>
    <w:p w:rsidR="00023BE3" w:rsidP="00736DA0" w14:paraId="177B869F" w14:textId="77777777">
      <w:pPr>
        <w:pStyle w:val="ListParagraph"/>
        <w:numPr>
          <w:ilvl w:val="0"/>
          <w:numId w:val="25"/>
        </w:numPr>
      </w:pPr>
      <w:r>
        <w:t>Improve real-time communications between CDC and recipients</w:t>
      </w:r>
    </w:p>
    <w:p w:rsidR="00023BE3" w:rsidP="00736DA0" w14:paraId="5003F36F" w14:textId="3B2943D9">
      <w:pPr>
        <w:pStyle w:val="ListParagraph"/>
        <w:numPr>
          <w:ilvl w:val="0"/>
          <w:numId w:val="25"/>
        </w:numPr>
      </w:pPr>
      <w:r>
        <w:t>Strengthen CDC’s capacity to provide responsive and data-driven T</w:t>
      </w:r>
      <w:r w:rsidR="001F280C">
        <w:t xml:space="preserve">echnical </w:t>
      </w:r>
      <w:r>
        <w:t>A</w:t>
      </w:r>
      <w:r w:rsidR="001F280C">
        <w:t xml:space="preserve">ssistance </w:t>
      </w:r>
      <w:r>
        <w:t xml:space="preserve"> </w:t>
      </w:r>
    </w:p>
    <w:p w:rsidR="00023BE3" w:rsidP="00736DA0" w14:paraId="413EC232" w14:textId="77777777">
      <w:pPr>
        <w:pStyle w:val="ListParagraph"/>
        <w:numPr>
          <w:ilvl w:val="0"/>
          <w:numId w:val="25"/>
        </w:numPr>
      </w:pPr>
      <w:r>
        <w:t>Strengthen CDC’s capacity to monitor and evaluate recipients’ progress and performance towards activities required as part of the cooperative agreement</w:t>
      </w:r>
    </w:p>
    <w:p w:rsidR="00023BE3" w:rsidP="00736DA0" w14:paraId="4F795FD6" w14:textId="77777777">
      <w:pPr>
        <w:pStyle w:val="ListParagraph"/>
        <w:numPr>
          <w:ilvl w:val="0"/>
          <w:numId w:val="25"/>
        </w:numPr>
      </w:pPr>
      <w:r>
        <w:t>Allow both CDC and recipients to track their own state activities and outcomes, and ensure alignment between their state and local activities</w:t>
      </w:r>
    </w:p>
    <w:p w:rsidR="00A3390E" w:rsidP="00887A7A" w14:paraId="7150A0E4" w14:textId="4F2515E3">
      <w:pPr>
        <w:pStyle w:val="ListParagraph"/>
        <w:numPr>
          <w:ilvl w:val="0"/>
          <w:numId w:val="25"/>
        </w:numPr>
      </w:pPr>
      <w:r>
        <w:t xml:space="preserve">Generate a variety of routine and customizable reports specifically for each </w:t>
      </w:r>
      <w:r>
        <w:t>recipients</w:t>
      </w:r>
      <w:r>
        <w:t xml:space="preserve"> </w:t>
      </w:r>
    </w:p>
    <w:p w:rsidR="00023BE3" w:rsidP="00A3390E" w14:paraId="0B0C760B" w14:textId="77777777">
      <w:pPr>
        <w:pStyle w:val="ListParagraph"/>
      </w:pPr>
    </w:p>
    <w:p w:rsidR="00736DA0" w:rsidRPr="00272EF9" w:rsidP="00736DA0" w14:paraId="3AF569D6" w14:textId="56E93F60">
      <w:pPr>
        <w:rPr>
          <w:b/>
          <w:bCs/>
        </w:rPr>
      </w:pPr>
      <w:r w:rsidRPr="00023BE3">
        <w:rPr>
          <w:b/>
          <w:bCs/>
          <w:i/>
          <w:iCs/>
        </w:rPr>
        <w:t>Att. 4a</w:t>
      </w:r>
      <w:r w:rsidRPr="00023BE3">
        <w:rPr>
          <w:b/>
          <w:bCs/>
          <w:i/>
          <w:iCs/>
        </w:rPr>
        <w:tab/>
      </w:r>
      <w:r w:rsidR="008D7EE8">
        <w:rPr>
          <w:b/>
          <w:bCs/>
          <w:i/>
          <w:iCs/>
        </w:rPr>
        <w:t xml:space="preserve"> </w:t>
      </w:r>
      <w:r w:rsidRPr="00023BE3">
        <w:rPr>
          <w:b/>
          <w:bCs/>
          <w:i/>
          <w:iCs/>
        </w:rPr>
        <w:t>Instrument and Protocol: Key Informant Interview (KII)</w:t>
      </w:r>
      <w:r>
        <w:t xml:space="preserve"> – </w:t>
      </w:r>
      <w:r w:rsidRPr="00272EF9">
        <w:rPr>
          <w:b/>
          <w:bCs/>
        </w:rPr>
        <w:t>Pr</w:t>
      </w:r>
      <w:r w:rsidRPr="00272EF9" w:rsidR="00DC70F8">
        <w:rPr>
          <w:b/>
          <w:bCs/>
        </w:rPr>
        <w:t>incipal Investigator</w:t>
      </w:r>
      <w:r w:rsidR="008D7EE8">
        <w:rPr>
          <w:b/>
          <w:bCs/>
        </w:rPr>
        <w:t xml:space="preserve"> (PI)</w:t>
      </w:r>
    </w:p>
    <w:p w:rsidR="00736DA0" w:rsidP="00736DA0" w14:paraId="73EA07F6" w14:textId="4056F925">
      <w:r>
        <w:t>W</w:t>
      </w:r>
      <w:r>
        <w:t xml:space="preserve">eb-based interviews will be conducted with </w:t>
      </w:r>
      <w:r w:rsidR="008D7EE8">
        <w:t>the PI</w:t>
      </w:r>
      <w:r>
        <w:t xml:space="preserve"> from each</w:t>
      </w:r>
      <w:r w:rsidR="00DC70F8">
        <w:t xml:space="preserve"> recipient</w:t>
      </w:r>
      <w:r>
        <w:t xml:space="preserve">. The qualitative data collected will provide valuable insight into </w:t>
      </w:r>
      <w:r w:rsidR="00BD7439">
        <w:t>the overall statewide plan to expand efforts to prevent adverse childhood experiences</w:t>
      </w:r>
      <w:r w:rsidR="00BF0699">
        <w:t xml:space="preserve">. </w:t>
      </w:r>
      <w:r>
        <w:t xml:space="preserve">Interviews will be conducted </w:t>
      </w:r>
      <w:r w:rsidRPr="00B8125B">
        <w:t>with one p</w:t>
      </w:r>
      <w:r w:rsidRPr="00B8125B" w:rsidR="00FC2BBE">
        <w:t>rincipal</w:t>
      </w:r>
      <w:r w:rsidR="00FC2BBE">
        <w:t xml:space="preserve"> investigator </w:t>
      </w:r>
      <w:r>
        <w:t xml:space="preserve">from each </w:t>
      </w:r>
      <w:r w:rsidR="00DC70F8">
        <w:t>recipient</w:t>
      </w:r>
      <w:r>
        <w:t xml:space="preserve"> </w:t>
      </w:r>
      <w:r w:rsidRPr="004258C9">
        <w:t>twice over th</w:t>
      </w:r>
      <w:r>
        <w:t xml:space="preserve">e project period. Interview guide questions are tailored to focus on topics that are most relevant to the </w:t>
      </w:r>
      <w:r w:rsidR="008D7EE8">
        <w:t>PI</w:t>
      </w:r>
      <w:r w:rsidR="00FC2BBE">
        <w:t xml:space="preserve"> </w:t>
      </w:r>
      <w:r>
        <w:t>role.</w:t>
      </w:r>
    </w:p>
    <w:p w:rsidR="00736DA0" w:rsidP="00736DA0" w14:paraId="744064AC" w14:textId="77777777"/>
    <w:p w:rsidR="00736DA0" w:rsidRPr="000F07EF" w:rsidP="00736DA0" w14:paraId="65630182" w14:textId="371D9C51">
      <w:r w:rsidRPr="00023BE3">
        <w:rPr>
          <w:b/>
          <w:bCs/>
          <w:i/>
          <w:iCs/>
        </w:rPr>
        <w:t>Att. 4b</w:t>
      </w:r>
      <w:r w:rsidRPr="00023BE3">
        <w:rPr>
          <w:b/>
          <w:bCs/>
          <w:i/>
          <w:iCs/>
        </w:rPr>
        <w:tab/>
      </w:r>
      <w:r w:rsidR="008D7EE8">
        <w:rPr>
          <w:b/>
          <w:bCs/>
          <w:i/>
          <w:iCs/>
        </w:rPr>
        <w:t xml:space="preserve"> </w:t>
      </w:r>
      <w:r w:rsidRPr="00023BE3">
        <w:rPr>
          <w:b/>
          <w:bCs/>
          <w:i/>
          <w:iCs/>
        </w:rPr>
        <w:t>Instrument and Protocol: Key Informant Interview (KII)</w:t>
      </w:r>
      <w:r w:rsidR="00BD51D1">
        <w:rPr>
          <w:b/>
          <w:bCs/>
          <w:i/>
          <w:iCs/>
        </w:rPr>
        <w:t xml:space="preserve"> </w:t>
      </w:r>
      <w:r w:rsidR="00BD51D1">
        <w:t xml:space="preserve">– </w:t>
      </w:r>
      <w:r w:rsidRPr="00272EF9" w:rsidR="00FC2BBE">
        <w:rPr>
          <w:b/>
          <w:bCs/>
        </w:rPr>
        <w:t>Principal Investigator</w:t>
      </w:r>
      <w:r w:rsidR="008D7EE8">
        <w:rPr>
          <w:b/>
          <w:bCs/>
        </w:rPr>
        <w:t xml:space="preserve"> (PI)</w:t>
      </w:r>
      <w:r w:rsidRPr="00272EF9" w:rsidR="00FC2BBE">
        <w:rPr>
          <w:b/>
          <w:bCs/>
        </w:rPr>
        <w:t>/</w:t>
      </w:r>
      <w:r w:rsidR="008D7EE8">
        <w:rPr>
          <w:b/>
          <w:bCs/>
        </w:rPr>
        <w:t xml:space="preserve"> </w:t>
      </w:r>
      <w:r w:rsidRPr="00272EF9" w:rsidR="00FC2BBE">
        <w:rPr>
          <w:b/>
          <w:bCs/>
        </w:rPr>
        <w:t>Implement</w:t>
      </w:r>
      <w:r w:rsidR="008D7EE8">
        <w:rPr>
          <w:b/>
          <w:bCs/>
        </w:rPr>
        <w:t>e</w:t>
      </w:r>
      <w:r w:rsidRPr="00BD51D1" w:rsidR="00FC2BBE">
        <w:rPr>
          <w:b/>
          <w:bCs/>
        </w:rPr>
        <w:t>r</w:t>
      </w:r>
    </w:p>
    <w:p w:rsidR="00FC2BBE" w:rsidP="00FC2BBE" w14:paraId="714A1426" w14:textId="706ADD25">
      <w:r>
        <w:t>W</w:t>
      </w:r>
      <w:r>
        <w:t xml:space="preserve">eb-based interviews will be conducted with </w:t>
      </w:r>
      <w:r>
        <w:t>the PI and/or implementer</w:t>
      </w:r>
      <w:r>
        <w:t xml:space="preserve"> from each recipient</w:t>
      </w:r>
      <w:r>
        <w:t xml:space="preserve"> </w:t>
      </w:r>
      <w:bookmarkStart w:id="8" w:name="_Hlk128464162"/>
      <w:r>
        <w:t xml:space="preserve">where the PI also serves as an implementer or is most knowledgeable about </w:t>
      </w:r>
      <w:r w:rsidR="00B00D42">
        <w:t>program implementation</w:t>
      </w:r>
      <w:bookmarkEnd w:id="8"/>
      <w:r>
        <w:t xml:space="preserve">. The qualitative data collected </w:t>
      </w:r>
      <w:bookmarkStart w:id="9" w:name="_Hlk128464210"/>
      <w:r w:rsidRPr="001569CC" w:rsidR="001569CC">
        <w:t xml:space="preserve">will be heavily focused on both the PI and program implementer </w:t>
      </w:r>
      <w:r w:rsidRPr="001569CC" w:rsidR="00AA1CBC">
        <w:t>perspectives and</w:t>
      </w:r>
      <w:r w:rsidRPr="001569CC" w:rsidR="001569CC">
        <w:t xml:space="preserve"> will provide valuable insight into how recipients are implementing prevention strategies to prevent adverse childhood experiences. This interview will include a deeper understanding of the quality of feasibility state</w:t>
      </w:r>
      <w:r w:rsidRPr="00BD51D1" w:rsidR="001569CC">
        <w:t>wide implementation efforts and their relationship with internal and external partners to achieve desired outcomes</w:t>
      </w:r>
      <w:bookmarkEnd w:id="9"/>
      <w:r w:rsidRPr="00BD51D1" w:rsidR="001569CC">
        <w:t>.</w:t>
      </w:r>
      <w:r w:rsidRPr="00BD51D1" w:rsidR="00AA1CBC">
        <w:t xml:space="preserve"> </w:t>
      </w:r>
      <w:r w:rsidRPr="00BD51D1">
        <w:t xml:space="preserve">Interviews will be conducted with </w:t>
      </w:r>
      <w:r w:rsidRPr="00BD51D1" w:rsidR="003424A7">
        <w:t xml:space="preserve">the </w:t>
      </w:r>
      <w:r w:rsidRPr="00BD51D1" w:rsidR="00BD7439">
        <w:t>PI</w:t>
      </w:r>
      <w:r w:rsidRPr="00BD51D1" w:rsidR="003424A7">
        <w:t xml:space="preserve"> </w:t>
      </w:r>
      <w:r w:rsidRPr="00BD51D1" w:rsidR="000C5976">
        <w:t>and/</w:t>
      </w:r>
      <w:r w:rsidRPr="00BD51D1" w:rsidR="003424A7">
        <w:t xml:space="preserve">or </w:t>
      </w:r>
      <w:r w:rsidRPr="00BD51D1">
        <w:t xml:space="preserve">implementor from each </w:t>
      </w:r>
      <w:r w:rsidRPr="00BD51D1" w:rsidR="000C5976">
        <w:t xml:space="preserve">recipient </w:t>
      </w:r>
      <w:r w:rsidRPr="00BD51D1">
        <w:t>twice over the</w:t>
      </w:r>
      <w:r>
        <w:t xml:space="preserve"> project period</w:t>
      </w:r>
      <w:r w:rsidR="000C5976">
        <w:t xml:space="preserve">. </w:t>
      </w:r>
      <w:r>
        <w:t>Interview guide questions are tailored to focus on topics that are most relevant to the principal investigator and</w:t>
      </w:r>
      <w:r w:rsidR="00BF0699">
        <w:t>/</w:t>
      </w:r>
      <w:r>
        <w:t>or implementor role.</w:t>
      </w:r>
    </w:p>
    <w:p w:rsidR="00736DA0" w:rsidP="00736DA0" w14:paraId="384055AC" w14:textId="77777777"/>
    <w:p w:rsidR="00736DA0" w:rsidRPr="00023BE3" w:rsidP="00736DA0" w14:paraId="172366CD" w14:textId="410455EF">
      <w:pPr>
        <w:rPr>
          <w:b/>
          <w:bCs/>
          <w:i/>
          <w:iCs/>
        </w:rPr>
      </w:pPr>
      <w:bookmarkStart w:id="10" w:name="_Hlk128160895"/>
      <w:r w:rsidRPr="00023BE3">
        <w:rPr>
          <w:b/>
          <w:bCs/>
          <w:i/>
          <w:iCs/>
        </w:rPr>
        <w:t>Att. 5</w:t>
      </w:r>
      <w:r w:rsidR="00BF0699">
        <w:rPr>
          <w:b/>
          <w:bCs/>
          <w:i/>
          <w:iCs/>
        </w:rPr>
        <w:t>a</w:t>
      </w:r>
      <w:r w:rsidRPr="00023BE3">
        <w:rPr>
          <w:b/>
          <w:bCs/>
          <w:i/>
          <w:iCs/>
        </w:rPr>
        <w:tab/>
      </w:r>
      <w:r w:rsidR="00B00D42">
        <w:rPr>
          <w:b/>
          <w:bCs/>
          <w:i/>
          <w:iCs/>
        </w:rPr>
        <w:t xml:space="preserve"> </w:t>
      </w:r>
      <w:r w:rsidRPr="00023BE3">
        <w:rPr>
          <w:b/>
          <w:bCs/>
          <w:i/>
          <w:iCs/>
        </w:rPr>
        <w:t xml:space="preserve">Instrument and Protocol: </w:t>
      </w:r>
      <w:r w:rsidRPr="000F07EF" w:rsidR="00607DDC">
        <w:rPr>
          <w:b/>
          <w:bCs/>
          <w:i/>
          <w:iCs/>
        </w:rPr>
        <w:t>Surveillance Capacity Assessment (SCA)</w:t>
      </w:r>
      <w:r w:rsidR="00BD51D1">
        <w:rPr>
          <w:b/>
          <w:bCs/>
          <w:i/>
          <w:iCs/>
        </w:rPr>
        <w:t xml:space="preserve"> </w:t>
      </w:r>
      <w:r w:rsidR="00BD51D1">
        <w:t xml:space="preserve">– </w:t>
      </w:r>
      <w:r w:rsidR="00F743CD">
        <w:rPr>
          <w:b/>
          <w:bCs/>
          <w:i/>
          <w:iCs/>
        </w:rPr>
        <w:t xml:space="preserve"> </w:t>
      </w:r>
      <w:r w:rsidRPr="00272EF9" w:rsidR="00F743CD">
        <w:rPr>
          <w:b/>
          <w:bCs/>
        </w:rPr>
        <w:t>Surveillance</w:t>
      </w:r>
      <w:r w:rsidRPr="00272EF9" w:rsidR="00F743CD">
        <w:rPr>
          <w:b/>
          <w:bCs/>
        </w:rPr>
        <w:t xml:space="preserve"> Lead</w:t>
      </w:r>
    </w:p>
    <w:p w:rsidR="00736DA0" w:rsidP="00736DA0" w14:paraId="442B8C9B" w14:textId="0E4DD55E">
      <w:r>
        <w:t xml:space="preserve">The primary </w:t>
      </w:r>
      <w:r w:rsidR="00F743CD">
        <w:t xml:space="preserve">surveillance </w:t>
      </w:r>
      <w:r>
        <w:t xml:space="preserve">contact </w:t>
      </w:r>
      <w:r w:rsidR="003D2593">
        <w:t xml:space="preserve">for </w:t>
      </w:r>
      <w:r>
        <w:t xml:space="preserve">each </w:t>
      </w:r>
      <w:r w:rsidR="003D2593">
        <w:t>recipient</w:t>
      </w:r>
      <w:r>
        <w:t xml:space="preserve"> will report information about their </w:t>
      </w:r>
      <w:r w:rsidR="00F743CD">
        <w:t xml:space="preserve">ACEs surveillance </w:t>
      </w:r>
      <w:r>
        <w:t>infrastructure</w:t>
      </w:r>
      <w:r w:rsidR="00BD7439">
        <w:t>.</w:t>
      </w:r>
      <w:r>
        <w:t xml:space="preserve"> The </w:t>
      </w:r>
      <w:r w:rsidR="00D4290F">
        <w:t xml:space="preserve">web-based </w:t>
      </w:r>
      <w:r>
        <w:t>assessment will be conducted i</w:t>
      </w:r>
      <w:r w:rsidRPr="00D575E2">
        <w:t xml:space="preserve">n </w:t>
      </w:r>
      <w:r w:rsidRPr="00BD51D1">
        <w:t>year 1</w:t>
      </w:r>
      <w:r w:rsidRPr="00BD51D1" w:rsidR="00F743CD">
        <w:t xml:space="preserve"> </w:t>
      </w:r>
      <w:r w:rsidRPr="00BD51D1" w:rsidR="00F743CD">
        <w:t>to</w:t>
      </w:r>
      <w:r w:rsidRPr="00D575E2">
        <w:t xml:space="preserve"> </w:t>
      </w:r>
      <w:r>
        <w:t xml:space="preserve"> assess</w:t>
      </w:r>
      <w:r w:rsidR="00D4290F">
        <w:t xml:space="preserve"> each recipient’s capacity to collect, analyze, and use data to inform prevention strategy implementation</w:t>
      </w:r>
      <w:r>
        <w:t xml:space="preserve">. CDC will use the data from the </w:t>
      </w:r>
      <w:r w:rsidR="00F743CD">
        <w:t xml:space="preserve">assessment </w:t>
      </w:r>
      <w:r>
        <w:t xml:space="preserve">to tailor technical assistance and training for recipients and to track changes in infrastructure over the project period. The information collection will allow CDC to measure the aggregate increase in support for and resources devoted to </w:t>
      </w:r>
      <w:r w:rsidR="00F743CD">
        <w:t xml:space="preserve">an ACEs surveillance infrastructure </w:t>
      </w:r>
      <w:r>
        <w:t>across all recipients.</w:t>
      </w:r>
    </w:p>
    <w:p w:rsidR="002F0A3B" w:rsidP="00736DA0" w14:paraId="0B090039" w14:textId="7C4F05F3"/>
    <w:p w:rsidR="00F743CD" w:rsidRPr="00272EF9" w:rsidP="00F743CD" w14:paraId="0C741B2C" w14:textId="6E896661">
      <w:pPr>
        <w:rPr>
          <w:b/>
          <w:bCs/>
        </w:rPr>
      </w:pPr>
      <w:r w:rsidRPr="00023BE3">
        <w:rPr>
          <w:b/>
          <w:bCs/>
          <w:i/>
          <w:iCs/>
        </w:rPr>
        <w:t>Att. 5</w:t>
      </w:r>
      <w:r>
        <w:rPr>
          <w:b/>
          <w:bCs/>
          <w:i/>
          <w:iCs/>
        </w:rPr>
        <w:t>b</w:t>
      </w:r>
      <w:r w:rsidRPr="00023BE3">
        <w:rPr>
          <w:b/>
          <w:bCs/>
          <w:i/>
          <w:iCs/>
        </w:rPr>
        <w:tab/>
      </w:r>
      <w:r w:rsidR="009C6C91">
        <w:rPr>
          <w:b/>
          <w:bCs/>
          <w:i/>
          <w:iCs/>
        </w:rPr>
        <w:t xml:space="preserve"> </w:t>
      </w:r>
      <w:r w:rsidRPr="00023BE3">
        <w:rPr>
          <w:b/>
          <w:bCs/>
          <w:i/>
          <w:iCs/>
        </w:rPr>
        <w:t xml:space="preserve">Instrument and Protocol: </w:t>
      </w:r>
      <w:r>
        <w:rPr>
          <w:b/>
          <w:bCs/>
          <w:i/>
          <w:iCs/>
        </w:rPr>
        <w:t>Implementation</w:t>
      </w:r>
      <w:r w:rsidRPr="000F07EF">
        <w:rPr>
          <w:b/>
          <w:bCs/>
          <w:i/>
          <w:iCs/>
        </w:rPr>
        <w:t xml:space="preserve"> Capacity Assessment (</w:t>
      </w:r>
      <w:r>
        <w:rPr>
          <w:b/>
          <w:bCs/>
          <w:i/>
          <w:iCs/>
        </w:rPr>
        <w:t>I</w:t>
      </w:r>
      <w:r w:rsidRPr="000F07EF">
        <w:rPr>
          <w:b/>
          <w:bCs/>
          <w:i/>
          <w:iCs/>
        </w:rPr>
        <w:t>CA)</w:t>
      </w:r>
      <w:r w:rsidR="00BD51D1">
        <w:rPr>
          <w:b/>
          <w:bCs/>
          <w:i/>
          <w:iCs/>
        </w:rPr>
        <w:t xml:space="preserve"> </w:t>
      </w:r>
      <w:r w:rsidR="00BD51D1">
        <w:t xml:space="preserve">– </w:t>
      </w:r>
      <w:r w:rsidRPr="00272EF9">
        <w:rPr>
          <w:b/>
          <w:bCs/>
        </w:rPr>
        <w:t>Principal Investigator/Implement</w:t>
      </w:r>
      <w:r w:rsidRPr="00272EF9" w:rsidR="009C6C91">
        <w:rPr>
          <w:b/>
          <w:bCs/>
        </w:rPr>
        <w:t>e</w:t>
      </w:r>
      <w:r w:rsidRPr="00272EF9">
        <w:rPr>
          <w:b/>
          <w:bCs/>
        </w:rPr>
        <w:t>r</w:t>
      </w:r>
    </w:p>
    <w:p w:rsidR="00F743CD" w:rsidP="00736DA0" w14:paraId="7EA438B4" w14:textId="1C48EC92">
      <w:r>
        <w:t>The primary implementation contact for each recipient will report information about their infrastructure and capacity to implement primary prevention strategies and approaches</w:t>
      </w:r>
      <w:r w:rsidRPr="0010411D">
        <w:t xml:space="preserve">. The </w:t>
      </w:r>
      <w:r w:rsidR="006125F4">
        <w:t xml:space="preserve">web-based </w:t>
      </w:r>
      <w:r w:rsidRPr="0010411D">
        <w:t xml:space="preserve">assessment will be </w:t>
      </w:r>
      <w:r w:rsidRPr="0010411D">
        <w:t>conducted  in</w:t>
      </w:r>
      <w:r w:rsidRPr="0010411D">
        <w:t xml:space="preserve"> year 1 </w:t>
      </w:r>
      <w:r>
        <w:t>to</w:t>
      </w:r>
      <w:r w:rsidRPr="0010411D">
        <w:t xml:space="preserve"> assess change in </w:t>
      </w:r>
      <w:r>
        <w:t>leadership, collaboration</w:t>
      </w:r>
      <w:r w:rsidR="009C6C91">
        <w:t>,</w:t>
      </w:r>
      <w:r>
        <w:t xml:space="preserve"> and partnership, staffing and resources, skills and expertise, and evaluation </w:t>
      </w:r>
      <w:r w:rsidRPr="0010411D">
        <w:t xml:space="preserve">among the recipients. CDC will use the data from the </w:t>
      </w:r>
      <w:r>
        <w:t xml:space="preserve">assessment </w:t>
      </w:r>
      <w:r w:rsidRPr="0010411D">
        <w:t xml:space="preserve">to tailor technical assistance and training for recipients and to track changes in </w:t>
      </w:r>
      <w:r>
        <w:t>general institutional capacity</w:t>
      </w:r>
      <w:r w:rsidRPr="0010411D">
        <w:t xml:space="preserve"> over the project period. The information collect</w:t>
      </w:r>
      <w:r>
        <w:t xml:space="preserve">ed </w:t>
      </w:r>
      <w:r w:rsidRPr="0010411D">
        <w:t xml:space="preserve">will allow CDC to measure the aggregate increase in support for and resources devoted to </w:t>
      </w:r>
      <w:r>
        <w:t>prevention across all recipients.</w:t>
      </w:r>
    </w:p>
    <w:bookmarkEnd w:id="10"/>
    <w:p w:rsidR="002F0A3B" w:rsidP="00736DA0" w14:paraId="7962EDCF" w14:textId="4E6316CE"/>
    <w:p w:rsidR="002F0A3B" w:rsidRPr="00D575E2" w:rsidP="002F0A3B" w14:paraId="5C6FBED9" w14:textId="2AED9A56">
      <w:bookmarkStart w:id="11" w:name="_Hlk128161743"/>
      <w:r w:rsidRPr="00BD51D1">
        <w:rPr>
          <w:b/>
          <w:bCs/>
          <w:i/>
          <w:iCs/>
        </w:rPr>
        <w:t xml:space="preserve">Att. </w:t>
      </w:r>
      <w:r w:rsidRPr="00BD51D1">
        <w:rPr>
          <w:b/>
          <w:bCs/>
          <w:i/>
          <w:iCs/>
        </w:rPr>
        <w:t>6</w:t>
      </w:r>
      <w:r w:rsidRPr="00BD51D1" w:rsidR="009C6C91">
        <w:rPr>
          <w:b/>
          <w:bCs/>
          <w:i/>
          <w:iCs/>
        </w:rPr>
        <w:t xml:space="preserve">  </w:t>
      </w:r>
      <w:r w:rsidRPr="00D575E2">
        <w:rPr>
          <w:b/>
          <w:bCs/>
          <w:i/>
          <w:iCs/>
        </w:rPr>
        <w:t>Instrument</w:t>
      </w:r>
      <w:r w:rsidRPr="00D575E2">
        <w:rPr>
          <w:b/>
          <w:bCs/>
          <w:i/>
          <w:iCs/>
        </w:rPr>
        <w:t xml:space="preserve"> and Protocol: Evaluation and Surveillance Survey </w:t>
      </w:r>
      <w:r w:rsidRPr="00D575E2" w:rsidR="00744DF8">
        <w:t>–</w:t>
      </w:r>
      <w:r w:rsidRPr="00D575E2">
        <w:t xml:space="preserve"> </w:t>
      </w:r>
      <w:r w:rsidRPr="00D575E2" w:rsidR="00744DF8">
        <w:rPr>
          <w:b/>
          <w:bCs/>
        </w:rPr>
        <w:t>Surveillance Lead/ Evaluator</w:t>
      </w:r>
    </w:p>
    <w:p w:rsidR="002F0A3B" w:rsidP="00736DA0" w14:paraId="4A6EC4C3" w14:textId="0837A75D">
      <w:r w:rsidRPr="00D575E2">
        <w:t>The w</w:t>
      </w:r>
      <w:r w:rsidRPr="00D575E2" w:rsidR="0079619F">
        <w:t xml:space="preserve">eb-based </w:t>
      </w:r>
      <w:r w:rsidRPr="00D575E2" w:rsidR="004D19C7">
        <w:t xml:space="preserve">survey </w:t>
      </w:r>
      <w:r w:rsidRPr="00D575E2" w:rsidR="0079619F">
        <w:t>will be conducted with</w:t>
      </w:r>
      <w:r w:rsidR="0079619F">
        <w:t xml:space="preserve"> </w:t>
      </w:r>
      <w:r w:rsidR="000C5976">
        <w:t xml:space="preserve">the </w:t>
      </w:r>
      <w:r w:rsidR="00744DF8">
        <w:t>surveillance and evaluat</w:t>
      </w:r>
      <w:r w:rsidR="006125F4">
        <w:t>ion leads</w:t>
      </w:r>
      <w:r w:rsidR="0079619F">
        <w:t xml:space="preserve"> from each recipient. The</w:t>
      </w:r>
      <w:r w:rsidR="007369AB">
        <w:t xml:space="preserve"> </w:t>
      </w:r>
      <w:r w:rsidR="00744DF8">
        <w:t>evaluation approach</w:t>
      </w:r>
      <w:r w:rsidR="00137BEE">
        <w:t xml:space="preserve"> </w:t>
      </w:r>
      <w:r w:rsidR="0079619F">
        <w:t xml:space="preserve">collected will provide valuable insight into </w:t>
      </w:r>
      <w:r w:rsidR="00137BEE">
        <w:t xml:space="preserve">how recipients </w:t>
      </w:r>
      <w:r w:rsidR="006125F4">
        <w:t xml:space="preserve">are evaluating their surveillance and evaluation activities, including how they </w:t>
      </w:r>
      <w:r w:rsidR="00137BEE">
        <w:t xml:space="preserve">have leveraged existing and new resources </w:t>
      </w:r>
      <w:r w:rsidR="00137BEE">
        <w:t xml:space="preserve">and </w:t>
      </w:r>
      <w:r w:rsidR="006125F4">
        <w:t xml:space="preserve">multi-sectoral </w:t>
      </w:r>
      <w:r w:rsidR="00137BEE">
        <w:t xml:space="preserve">partnerships to </w:t>
      </w:r>
      <w:r w:rsidR="006125F4">
        <w:t>expand efforts to prevent adverse childhood experiences</w:t>
      </w:r>
      <w:r w:rsidR="0079619F">
        <w:t xml:space="preserve">. </w:t>
      </w:r>
      <w:r w:rsidR="004D19C7">
        <w:t>W</w:t>
      </w:r>
      <w:r w:rsidR="007369AB">
        <w:t>eb-based surveys</w:t>
      </w:r>
      <w:r w:rsidR="0079619F">
        <w:t xml:space="preserve"> will be conducted with one implement</w:t>
      </w:r>
      <w:r w:rsidR="006125F4">
        <w:t>e</w:t>
      </w:r>
      <w:r w:rsidR="0079619F">
        <w:t>r</w:t>
      </w:r>
      <w:r w:rsidR="00137BEE">
        <w:t xml:space="preserve"> and evaluator</w:t>
      </w:r>
      <w:r w:rsidR="0079619F">
        <w:t xml:space="preserve"> from each recipient </w:t>
      </w:r>
      <w:r w:rsidR="00137BEE">
        <w:t>on</w:t>
      </w:r>
      <w:r w:rsidR="0079619F">
        <w:t xml:space="preserve">ce over the project period. </w:t>
      </w:r>
      <w:r w:rsidR="004D19C7">
        <w:t>S</w:t>
      </w:r>
      <w:r w:rsidR="00137BEE">
        <w:t xml:space="preserve">urvey </w:t>
      </w:r>
      <w:r w:rsidR="0079619F">
        <w:t>questions are tailored to focus on topics that are most relevant to the principal investigator and or evaluator role.</w:t>
      </w:r>
    </w:p>
    <w:bookmarkEnd w:id="11"/>
    <w:p w:rsidR="00736DA0" w:rsidP="00736DA0" w14:paraId="4BDBB153" w14:textId="75F7DE50"/>
    <w:p w:rsidR="00736DA0" w:rsidP="00736DA0" w14:paraId="462EAD65" w14:textId="77777777">
      <w:r>
        <w:t>There are significant advantages to collecting information with these data collection methods:</w:t>
      </w:r>
    </w:p>
    <w:p w:rsidR="00736DA0" w:rsidP="00736DA0" w14:paraId="07BED948" w14:textId="77777777"/>
    <w:p w:rsidR="00023BE3" w:rsidP="00736DA0" w14:paraId="6D1AAC17" w14:textId="1AC78295">
      <w:pPr>
        <w:pStyle w:val="ListParagraph"/>
        <w:numPr>
          <w:ilvl w:val="0"/>
          <w:numId w:val="26"/>
        </w:numPr>
      </w:pPr>
      <w:r>
        <w:t xml:space="preserve">The information collected will provide unique insight into the collaboration and coordination between recipients and </w:t>
      </w:r>
      <w:r w:rsidR="00E831C4">
        <w:t>partner</w:t>
      </w:r>
      <w:r>
        <w:t>s.</w:t>
      </w:r>
    </w:p>
    <w:p w:rsidR="00023BE3" w:rsidP="00736DA0" w14:paraId="229EF9F6" w14:textId="77777777">
      <w:pPr>
        <w:pStyle w:val="ListParagraph"/>
        <w:numPr>
          <w:ilvl w:val="0"/>
          <w:numId w:val="26"/>
        </w:numPr>
      </w:pPr>
      <w:r>
        <w:t xml:space="preserve">The mixed methods approach takes advantage of the strengths of both quantitative and qualitative approaches.  </w:t>
      </w:r>
    </w:p>
    <w:p w:rsidR="00736DA0" w:rsidP="00736DA0" w14:paraId="17B95166" w14:textId="72E94F9D">
      <w:pPr>
        <w:pStyle w:val="ListParagraph"/>
        <w:numPr>
          <w:ilvl w:val="0"/>
          <w:numId w:val="26"/>
        </w:numPr>
      </w:pPr>
      <w:r>
        <w:t xml:space="preserve">Tailoring the data collection tools to the recipients will allow CDC to identify facilitators and barriers, best practices, and areas for improvement for implementing prevention efforts in different contexts. </w:t>
      </w:r>
    </w:p>
    <w:p w:rsidR="00736DA0" w:rsidP="00736DA0" w14:paraId="3B746B2E" w14:textId="77777777"/>
    <w:p w:rsidR="00736DA0" w:rsidP="00736DA0" w14:paraId="7C40953B" w14:textId="14E99B80">
      <w:r>
        <w:t>CDC will use the information collected across all years to understand each recipient’s experiences and progress toward outcomes as well as to identify facilitators</w:t>
      </w:r>
      <w:r w:rsidR="0059581A">
        <w:t>,</w:t>
      </w:r>
      <w:r>
        <w:t xml:space="preserve"> barriers</w:t>
      </w:r>
      <w:r w:rsidR="0059581A">
        <w:t>, and key factors</w:t>
      </w:r>
      <w:r>
        <w:t xml:space="preserve"> to </w:t>
      </w:r>
      <w:r w:rsidR="0059581A">
        <w:t xml:space="preserve">improving a surveillance infrastructure and </w:t>
      </w:r>
      <w:r>
        <w:t>implementation</w:t>
      </w:r>
      <w:r w:rsidR="0059581A">
        <w:t xml:space="preserve"> of prevention strategies</w:t>
      </w:r>
      <w:r>
        <w:t xml:space="preserve">. In addition, data collected in project years </w:t>
      </w:r>
      <w:r w:rsidR="0031336E">
        <w:t>1</w:t>
      </w:r>
      <w:r w:rsidR="00B62D8D">
        <w:t xml:space="preserve"> </w:t>
      </w:r>
      <w:r>
        <w:t xml:space="preserve">and </w:t>
      </w:r>
      <w:r w:rsidR="00B62D8D">
        <w:t xml:space="preserve">4 </w:t>
      </w:r>
      <w:r>
        <w:t xml:space="preserve">will inform adjustments in the type and </w:t>
      </w:r>
      <w:r w:rsidR="0059581A">
        <w:t xml:space="preserve">cadence </w:t>
      </w:r>
      <w:r>
        <w:t xml:space="preserve">of technical assistance provided to recipients to support </w:t>
      </w:r>
      <w:r w:rsidR="0059581A">
        <w:t xml:space="preserve">achievability </w:t>
      </w:r>
      <w:r>
        <w:t>of goals</w:t>
      </w:r>
      <w:r w:rsidR="008E328A">
        <w:t>.</w:t>
      </w:r>
      <w:r>
        <w:t xml:space="preserve"> The information collection will allow CDC to monitor </w:t>
      </w:r>
      <w:r w:rsidR="008E328A">
        <w:t xml:space="preserve">the impact of surveillance infrastructure activities </w:t>
      </w:r>
      <w:r w:rsidR="008E328A">
        <w:t xml:space="preserve">and </w:t>
      </w:r>
      <w:r>
        <w:t xml:space="preserve"> strategies</w:t>
      </w:r>
      <w:r>
        <w:t xml:space="preserve"> implemented by the recipients on outcomes related to </w:t>
      </w:r>
      <w:r w:rsidRPr="004B0EE9" w:rsidR="007E5DA1">
        <w:t>adverse childhood experiences (ACEs) and positive childhood experiences (PCEs)</w:t>
      </w:r>
      <w:r>
        <w:t>. It is also expected to reduce duplication of effort and maximize the use of federal funds.</w:t>
      </w:r>
    </w:p>
    <w:p w:rsidR="00736DA0" w:rsidP="00736DA0" w14:paraId="54A9EA40" w14:textId="77777777"/>
    <w:p w:rsidR="00736DA0" w:rsidP="00736DA0" w14:paraId="158C6FCC" w14:textId="2068EAA4">
      <w:r>
        <w:t xml:space="preserve">Program evaluation is an essential public health function and important for performance monitoring. </w:t>
      </w:r>
      <w:r w:rsidR="008E328A">
        <w:t xml:space="preserve">Evaluation activities allow CDC to identify and disseminate information about best practices for successful implementation of violence prevention programs by recipients. </w:t>
      </w:r>
      <w:r w:rsidR="00023BE3">
        <w:t>EfC</w:t>
      </w:r>
      <w:r>
        <w:t xml:space="preserve"> is </w:t>
      </w:r>
      <w:r>
        <w:t>a non-research</w:t>
      </w:r>
      <w:r>
        <w:t xml:space="preserve"> </w:t>
      </w:r>
      <w:r w:rsidR="008E328A">
        <w:t xml:space="preserve">(i.e., programmatic) </w:t>
      </w:r>
      <w:r>
        <w:t xml:space="preserve">NOFO. Per CDC’s NOFO requirements, data collected for non-research NOFOs are not population-based samples and are only generalizable to the </w:t>
      </w:r>
      <w:r w:rsidR="00023BE3">
        <w:t>EfC</w:t>
      </w:r>
      <w:r w:rsidR="00023BE3">
        <w:t xml:space="preserve"> </w:t>
      </w:r>
      <w:r>
        <w:t xml:space="preserve">recipients. The intention of this data collection is not to make causal inferences. The conclusions drawn from these data may not </w:t>
      </w:r>
      <w:r w:rsidR="00C56891">
        <w:t xml:space="preserve">be </w:t>
      </w:r>
      <w:r>
        <w:t>generalize</w:t>
      </w:r>
      <w:r w:rsidR="00C56891">
        <w:t>d</w:t>
      </w:r>
      <w:r>
        <w:t xml:space="preserve"> to the entire country due to differences in the demographics of targeted populations, policies, and implementing agencies. In addition, because this is not a research cooperative agreement, states are not required to implement rigorous research designs that have strong internal validity and produce generalizable knowledge. As such, the information CDC collects may make a strong inference of correlation, but causation cannot be inferred. </w:t>
      </w:r>
    </w:p>
    <w:p w:rsidR="00736DA0" w:rsidP="00736DA0" w14:paraId="47A990B8" w14:textId="77777777"/>
    <w:p w:rsidR="001A62ED" w:rsidRPr="008F0774" w:rsidP="001A62ED" w14:paraId="377AE4FE" w14:textId="6B32E18E">
      <w:r w:rsidRPr="008F0774">
        <w:t xml:space="preserve">The Annual Federal Financial Report (OMB# 0920-1132) is also required to be submitted to OFR separately by recipients. This report is not required, developed, or reviewed by CDC program staff as part of any ICRC evaluation and performance monitoring. It is handled by OFR as part of its </w:t>
      </w:r>
      <w:r w:rsidRPr="001A62ED">
        <w:t>grant’s</w:t>
      </w:r>
      <w:r w:rsidRPr="008F0774">
        <w:t xml:space="preserve"> financial management responsibilities. As such, it is not included as part of this request.</w:t>
      </w:r>
    </w:p>
    <w:p w:rsidR="00736DA0" w:rsidP="00736DA0" w14:paraId="5F47B42B" w14:textId="77777777"/>
    <w:p w:rsidR="00860BDD" w:rsidP="00860BDD" w14:paraId="01118099" w14:textId="70CEE90E">
      <w:pPr>
        <w:pStyle w:val="Heading2"/>
      </w:pPr>
      <w:bookmarkStart w:id="12" w:name="_Toc89252436"/>
      <w:r>
        <w:t>A.3. Use of Improved Information Technology and Burden Reduction</w:t>
      </w:r>
      <w:bookmarkEnd w:id="12"/>
    </w:p>
    <w:p w:rsidR="00DE3A1F" w:rsidRPr="00DE3A1F" w:rsidP="008F0774" w14:paraId="4CCFAC15" w14:textId="77777777"/>
    <w:p w:rsidR="00C768F0" w:rsidP="00C768F0" w14:paraId="15369063" w14:textId="0BED9A3B">
      <w:pPr>
        <w:rPr>
          <w:color w:val="000000" w:themeColor="text1"/>
        </w:rPr>
      </w:pPr>
      <w:r w:rsidRPr="00C768F0">
        <w:rPr>
          <w:color w:val="000000" w:themeColor="text1"/>
          <w:u w:val="single"/>
        </w:rPr>
        <w:t>Annual Performance Report (APR)</w:t>
      </w:r>
      <w:r w:rsidRPr="00C768F0">
        <w:rPr>
          <w:color w:val="000000" w:themeColor="text1"/>
        </w:rPr>
        <w:t>:</w:t>
      </w:r>
    </w:p>
    <w:p w:rsidR="00C768F0" w:rsidRPr="00C768F0" w:rsidP="00C768F0" w14:paraId="3542902B" w14:textId="77777777">
      <w:pPr>
        <w:rPr>
          <w:color w:val="000000" w:themeColor="text1"/>
        </w:rPr>
      </w:pPr>
    </w:p>
    <w:p w:rsidR="00C768F0" w:rsidP="00C768F0" w14:paraId="694DD278" w14:textId="7BD9C84B">
      <w:pPr>
        <w:rPr>
          <w:color w:val="000000" w:themeColor="text1"/>
        </w:rPr>
      </w:pPr>
      <w:r w:rsidRPr="00C768F0">
        <w:rPr>
          <w:color w:val="000000" w:themeColor="text1"/>
        </w:rPr>
        <w:t xml:space="preserve">Each recipient is required to complete an APR for each budget period during years 1 through </w:t>
      </w:r>
      <w:r w:rsidR="00B61EB1">
        <w:rPr>
          <w:color w:val="000000" w:themeColor="text1"/>
        </w:rPr>
        <w:t>3</w:t>
      </w:r>
      <w:r w:rsidRPr="00C768F0">
        <w:rPr>
          <w:color w:val="000000" w:themeColor="text1"/>
        </w:rPr>
        <w:t xml:space="preserve"> to report on progress toward performance outcomes as described in their logic model</w:t>
      </w:r>
      <w:r w:rsidR="00C56891">
        <w:rPr>
          <w:color w:val="000000" w:themeColor="text1"/>
        </w:rPr>
        <w:t xml:space="preserve">. The performance report includes updates to their work plan, implementation plan, and </w:t>
      </w:r>
      <w:r w:rsidRPr="00C768F0">
        <w:rPr>
          <w:color w:val="000000" w:themeColor="text1"/>
        </w:rPr>
        <w:t xml:space="preserve">evaluation </w:t>
      </w:r>
      <w:r w:rsidR="00C56891">
        <w:rPr>
          <w:color w:val="000000" w:themeColor="text1"/>
        </w:rPr>
        <w:t xml:space="preserve">plan. It also includes items to </w:t>
      </w:r>
      <w:r w:rsidR="00C56891">
        <w:rPr>
          <w:color w:val="000000" w:themeColor="text1"/>
        </w:rPr>
        <w:t xml:space="preserve">report </w:t>
      </w:r>
      <w:r w:rsidRPr="00C768F0">
        <w:rPr>
          <w:color w:val="000000" w:themeColor="text1"/>
        </w:rPr>
        <w:t xml:space="preserve">successes, challenges, </w:t>
      </w:r>
      <w:r w:rsidR="00C56891">
        <w:rPr>
          <w:color w:val="000000" w:themeColor="text1"/>
        </w:rPr>
        <w:t>and requests for technical assistance.</w:t>
      </w:r>
      <w:r w:rsidRPr="00C768F0">
        <w:rPr>
          <w:color w:val="000000" w:themeColor="text1"/>
        </w:rPr>
        <w:t xml:space="preserve"> While the APR is a federal oversight requirement and serves as a non-competing continuation application, the CDC will use some of the data provided for program evaluation. </w:t>
      </w:r>
    </w:p>
    <w:p w:rsidR="00C768F0" w:rsidRPr="00C768F0" w:rsidP="00C768F0" w14:paraId="4A3A6D54" w14:textId="77777777">
      <w:pPr>
        <w:rPr>
          <w:color w:val="000000" w:themeColor="text1"/>
        </w:rPr>
      </w:pPr>
    </w:p>
    <w:p w:rsidR="00C768F0" w:rsidRPr="00272EF9" w:rsidP="00C768F0" w14:paraId="699041BF" w14:textId="4F3EAFAB">
      <w:r>
        <w:t xml:space="preserve">Recipients will enter APR data into the DVP Partners Portal, a web-based system that collects performance data from funded recipients annually. </w:t>
      </w:r>
      <w:r w:rsidRPr="00C768F0">
        <w:rPr>
          <w:color w:val="000000" w:themeColor="text1"/>
        </w:rPr>
        <w:t xml:space="preserve">The use of the DVP Partners Portal facilitates several advantages: </w:t>
      </w:r>
    </w:p>
    <w:p w:rsidR="00C768F0" w:rsidRPr="00BD51D1" w:rsidP="0070147B" w14:paraId="6F2BC32C" w14:textId="7B37D692">
      <w:pPr>
        <w:pStyle w:val="ListParagraph"/>
        <w:numPr>
          <w:ilvl w:val="0"/>
          <w:numId w:val="27"/>
        </w:numPr>
        <w:rPr>
          <w:color w:val="000000" w:themeColor="text1"/>
        </w:rPr>
      </w:pPr>
      <w:r w:rsidRPr="00C768F0">
        <w:rPr>
          <w:color w:val="000000" w:themeColor="text1"/>
        </w:rPr>
        <w:t>Th</w:t>
      </w:r>
      <w:r w:rsidR="0070147B">
        <w:rPr>
          <w:color w:val="000000" w:themeColor="text1"/>
        </w:rPr>
        <w:t>e</w:t>
      </w:r>
      <w:r w:rsidRPr="00C768F0">
        <w:rPr>
          <w:color w:val="000000" w:themeColor="text1"/>
        </w:rPr>
        <w:t xml:space="preserve"> online interface requires </w:t>
      </w:r>
      <w:r w:rsidR="0070147B">
        <w:rPr>
          <w:color w:val="000000" w:themeColor="text1"/>
        </w:rPr>
        <w:t xml:space="preserve">minimal </w:t>
      </w:r>
      <w:r w:rsidRPr="00C768F0">
        <w:rPr>
          <w:color w:val="000000" w:themeColor="text1"/>
        </w:rPr>
        <w:t>training</w:t>
      </w:r>
      <w:r w:rsidR="0070147B">
        <w:rPr>
          <w:color w:val="000000" w:themeColor="text1"/>
        </w:rPr>
        <w:t xml:space="preserve">, is user friendly, and </w:t>
      </w:r>
      <w:r w:rsidRPr="00BD51D1">
        <w:rPr>
          <w:color w:val="000000" w:themeColor="text1"/>
        </w:rPr>
        <w:t xml:space="preserve">intuitive for recipients to enter data </w:t>
      </w:r>
    </w:p>
    <w:p w:rsidR="00C768F0" w:rsidP="00C768F0" w14:paraId="3D692377" w14:textId="59FD73E7">
      <w:pPr>
        <w:pStyle w:val="ListParagraph"/>
        <w:numPr>
          <w:ilvl w:val="0"/>
          <w:numId w:val="27"/>
        </w:numPr>
        <w:rPr>
          <w:color w:val="000000" w:themeColor="text1"/>
        </w:rPr>
      </w:pPr>
      <w:r>
        <w:rPr>
          <w:color w:val="000000" w:themeColor="text1"/>
        </w:rPr>
        <w:t>Creates s</w:t>
      </w:r>
      <w:r w:rsidRPr="00C768F0">
        <w:rPr>
          <w:color w:val="000000" w:themeColor="text1"/>
        </w:rPr>
        <w:t xml:space="preserve">tandard data elements, definitions, and specifications at all levels </w:t>
      </w:r>
      <w:r>
        <w:rPr>
          <w:color w:val="000000" w:themeColor="text1"/>
        </w:rPr>
        <w:t xml:space="preserve">to </w:t>
      </w:r>
      <w:r w:rsidRPr="00C768F0">
        <w:rPr>
          <w:color w:val="000000" w:themeColor="text1"/>
        </w:rPr>
        <w:t>improve quality and comparability of information that recipients submit</w:t>
      </w:r>
      <w:r>
        <w:rPr>
          <w:color w:val="000000" w:themeColor="text1"/>
        </w:rPr>
        <w:t xml:space="preserve">. This standardization </w:t>
      </w:r>
      <w:r w:rsidRPr="00C768F0">
        <w:rPr>
          <w:color w:val="000000" w:themeColor="text1"/>
        </w:rPr>
        <w:t>enhance</w:t>
      </w:r>
      <w:r>
        <w:rPr>
          <w:color w:val="000000" w:themeColor="text1"/>
        </w:rPr>
        <w:t>s</w:t>
      </w:r>
      <w:r w:rsidRPr="00C768F0">
        <w:rPr>
          <w:color w:val="000000" w:themeColor="text1"/>
        </w:rPr>
        <w:t xml:space="preserve"> the consistency of reports to examine information across recipients. </w:t>
      </w:r>
    </w:p>
    <w:p w:rsidR="00C768F0" w:rsidP="00C768F0" w14:paraId="297F7A92" w14:textId="1AE41F8C">
      <w:pPr>
        <w:pStyle w:val="ListParagraph"/>
        <w:numPr>
          <w:ilvl w:val="0"/>
          <w:numId w:val="27"/>
        </w:numPr>
        <w:rPr>
          <w:color w:val="000000" w:themeColor="text1"/>
        </w:rPr>
      </w:pPr>
      <w:r w:rsidRPr="00C768F0">
        <w:rPr>
          <w:color w:val="000000" w:themeColor="text1"/>
        </w:rPr>
        <w:t xml:space="preserve">The </w:t>
      </w:r>
      <w:r w:rsidR="0070147B">
        <w:rPr>
          <w:color w:val="000000" w:themeColor="text1"/>
        </w:rPr>
        <w:t>data collection structure</w:t>
      </w:r>
      <w:r w:rsidRPr="00C768F0">
        <w:rPr>
          <w:color w:val="000000" w:themeColor="text1"/>
        </w:rPr>
        <w:t xml:space="preserve"> is flexible such that </w:t>
      </w:r>
      <w:r w:rsidR="0070147B">
        <w:rPr>
          <w:color w:val="000000" w:themeColor="text1"/>
        </w:rPr>
        <w:t xml:space="preserve">each recipient </w:t>
      </w:r>
      <w:r w:rsidR="0070147B">
        <w:rPr>
          <w:color w:val="000000" w:themeColor="text1"/>
        </w:rPr>
        <w:t>is</w:t>
      </w:r>
      <w:r w:rsidRPr="00C768F0">
        <w:rPr>
          <w:color w:val="000000" w:themeColor="text1"/>
        </w:rPr>
        <w:t xml:space="preserve"> able to</w:t>
      </w:r>
      <w:r w:rsidRPr="00C768F0">
        <w:rPr>
          <w:color w:val="000000" w:themeColor="text1"/>
        </w:rPr>
        <w:t xml:space="preserve"> capture and report information relevant to their program context and structure. </w:t>
      </w:r>
    </w:p>
    <w:p w:rsidR="00C768F0" w:rsidP="00C768F0" w14:paraId="5A36A9E4" w14:textId="2031B605">
      <w:pPr>
        <w:pStyle w:val="ListParagraph"/>
        <w:numPr>
          <w:ilvl w:val="0"/>
          <w:numId w:val="27"/>
        </w:numPr>
        <w:rPr>
          <w:color w:val="000000" w:themeColor="text1"/>
        </w:rPr>
      </w:pPr>
      <w:r>
        <w:rPr>
          <w:color w:val="000000" w:themeColor="text1"/>
        </w:rPr>
        <w:t xml:space="preserve">Reports are easily generated </w:t>
      </w:r>
      <w:r w:rsidRPr="00C768F0">
        <w:rPr>
          <w:color w:val="000000" w:themeColor="text1"/>
        </w:rPr>
        <w:t xml:space="preserve">from the system, which allows recipients to fulfill their annual reporting obligations </w:t>
      </w:r>
      <w:r>
        <w:rPr>
          <w:color w:val="000000" w:themeColor="text1"/>
        </w:rPr>
        <w:t xml:space="preserve">and continuation application </w:t>
      </w:r>
      <w:r w:rsidRPr="00C768F0">
        <w:rPr>
          <w:color w:val="000000" w:themeColor="text1"/>
        </w:rPr>
        <w:t xml:space="preserve">efficiently </w:t>
      </w:r>
      <w:r>
        <w:rPr>
          <w:color w:val="000000" w:themeColor="text1"/>
        </w:rPr>
        <w:t xml:space="preserve">into one document. </w:t>
      </w:r>
    </w:p>
    <w:p w:rsidR="00C768F0" w:rsidP="00C768F0" w14:paraId="3813D3C0" w14:textId="397A55DB">
      <w:pPr>
        <w:pStyle w:val="ListParagraph"/>
        <w:numPr>
          <w:ilvl w:val="0"/>
          <w:numId w:val="27"/>
        </w:numPr>
        <w:rPr>
          <w:color w:val="000000" w:themeColor="text1"/>
        </w:rPr>
      </w:pPr>
      <w:r w:rsidRPr="00C768F0">
        <w:rPr>
          <w:color w:val="000000" w:themeColor="text1"/>
        </w:rPr>
        <w:t xml:space="preserve">Recipients </w:t>
      </w:r>
      <w:r w:rsidR="006239F0">
        <w:rPr>
          <w:color w:val="000000" w:themeColor="text1"/>
        </w:rPr>
        <w:t>can</w:t>
      </w:r>
      <w:r w:rsidRPr="00C768F0">
        <w:rPr>
          <w:color w:val="000000" w:themeColor="text1"/>
        </w:rPr>
        <w:t xml:space="preserve"> generate </w:t>
      </w:r>
      <w:r w:rsidR="006239F0">
        <w:rPr>
          <w:color w:val="000000" w:themeColor="text1"/>
        </w:rPr>
        <w:t>multiple formats of their report (i.e., .docx, pdf, etc.)</w:t>
      </w:r>
      <w:r w:rsidR="006239F0">
        <w:rPr>
          <w:color w:val="000000" w:themeColor="text1"/>
        </w:rPr>
        <w:t xml:space="preserve">. </w:t>
      </w:r>
      <w:r w:rsidRPr="00C768F0">
        <w:rPr>
          <w:color w:val="000000" w:themeColor="text1"/>
        </w:rPr>
        <w:t>.</w:t>
      </w:r>
    </w:p>
    <w:p w:rsidR="00C768F0" w:rsidRPr="00C768F0" w:rsidP="00C768F0" w14:paraId="103B1C55" w14:textId="0AC65B54">
      <w:pPr>
        <w:pStyle w:val="ListParagraph"/>
        <w:numPr>
          <w:ilvl w:val="0"/>
          <w:numId w:val="27"/>
        </w:numPr>
        <w:rPr>
          <w:color w:val="000000" w:themeColor="text1"/>
        </w:rPr>
      </w:pPr>
      <w:r>
        <w:rPr>
          <w:color w:val="000000" w:themeColor="text1"/>
        </w:rPr>
        <w:t xml:space="preserve">Recipients </w:t>
      </w:r>
      <w:r w:rsidR="00356F53">
        <w:rPr>
          <w:color w:val="000000" w:themeColor="text1"/>
        </w:rPr>
        <w:t>can</w:t>
      </w:r>
      <w:r w:rsidRPr="00C768F0">
        <w:rPr>
          <w:color w:val="000000" w:themeColor="text1"/>
        </w:rPr>
        <w:t xml:space="preserve"> </w:t>
      </w:r>
      <w:r>
        <w:rPr>
          <w:color w:val="000000" w:themeColor="text1"/>
        </w:rPr>
        <w:t>pre-</w:t>
      </w:r>
      <w:r w:rsidRPr="00C768F0">
        <w:rPr>
          <w:color w:val="000000" w:themeColor="text1"/>
        </w:rPr>
        <w:t>populate from one reporting period to the next</w:t>
      </w:r>
      <w:r>
        <w:rPr>
          <w:color w:val="000000" w:themeColor="text1"/>
        </w:rPr>
        <w:t>, thereby increasing</w:t>
      </w:r>
      <w:r w:rsidRPr="00C768F0">
        <w:rPr>
          <w:color w:val="000000" w:themeColor="text1"/>
        </w:rPr>
        <w:t xml:space="preserve"> the efficiency of data entry, reduce errors and redundancies, and increase the quality and reliability of information that recipients submit each year. </w:t>
      </w:r>
    </w:p>
    <w:p w:rsidR="00C768F0" w:rsidP="00C768F0" w14:paraId="141509FE" w14:textId="77777777">
      <w:pPr>
        <w:rPr>
          <w:color w:val="000000" w:themeColor="text1"/>
        </w:rPr>
      </w:pPr>
    </w:p>
    <w:p w:rsidR="00C768F0" w:rsidRPr="00C768F0" w:rsidP="00C768F0" w14:paraId="46BA9D72" w14:textId="5964462C">
      <w:pPr>
        <w:rPr>
          <w:color w:val="000000" w:themeColor="text1"/>
        </w:rPr>
      </w:pPr>
      <w:r w:rsidRPr="00C768F0">
        <w:rPr>
          <w:color w:val="000000" w:themeColor="text1"/>
          <w:u w:val="single"/>
        </w:rPr>
        <w:t>Key Informant Interviews</w:t>
      </w:r>
      <w:r w:rsidRPr="00C768F0">
        <w:rPr>
          <w:color w:val="000000" w:themeColor="text1"/>
        </w:rPr>
        <w:t>:</w:t>
      </w:r>
    </w:p>
    <w:p w:rsidR="00C768F0" w:rsidP="00C768F0" w14:paraId="3E98D3B2" w14:textId="77777777">
      <w:pPr>
        <w:rPr>
          <w:color w:val="000000" w:themeColor="text1"/>
        </w:rPr>
      </w:pPr>
    </w:p>
    <w:p w:rsidR="00C768F0" w:rsidP="00C768F0" w14:paraId="0036E5DD" w14:textId="5436E51A">
      <w:pPr>
        <w:rPr>
          <w:color w:val="000000" w:themeColor="text1"/>
        </w:rPr>
      </w:pPr>
      <w:r w:rsidRPr="00C768F0">
        <w:rPr>
          <w:color w:val="000000" w:themeColor="text1"/>
        </w:rPr>
        <w:t xml:space="preserve">Data will be collected via web-based </w:t>
      </w:r>
      <w:r w:rsidR="006239F0">
        <w:rPr>
          <w:color w:val="000000" w:themeColor="text1"/>
        </w:rPr>
        <w:t xml:space="preserve">qualitative </w:t>
      </w:r>
      <w:r w:rsidRPr="00C768F0">
        <w:rPr>
          <w:color w:val="000000" w:themeColor="text1"/>
        </w:rPr>
        <w:t>interviews. CDC evaluators will employ qualitative methodological strategies such as “member checking” after each interview has been completed and synthesized, allowing for the interviewee to review their responses and confirm they reflect the actual content from the interview.</w:t>
      </w:r>
    </w:p>
    <w:p w:rsidR="00C768F0" w:rsidRPr="00C768F0" w:rsidP="00C768F0" w14:paraId="50A6F354" w14:textId="77777777">
      <w:pPr>
        <w:rPr>
          <w:color w:val="000000" w:themeColor="text1"/>
        </w:rPr>
      </w:pPr>
    </w:p>
    <w:p w:rsidR="00C768F0" w:rsidRPr="00C768F0" w:rsidP="00C768F0" w14:paraId="551CF6FF" w14:textId="34D92814">
      <w:pPr>
        <w:rPr>
          <w:color w:val="000000" w:themeColor="text1"/>
        </w:rPr>
      </w:pPr>
      <w:r w:rsidRPr="00C768F0">
        <w:rPr>
          <w:color w:val="000000" w:themeColor="text1"/>
        </w:rPr>
        <w:t xml:space="preserve">The interview protocol and guides are designed to collect the minimum information necessary for </w:t>
      </w:r>
      <w:r w:rsidR="006239F0">
        <w:rPr>
          <w:color w:val="000000" w:themeColor="text1"/>
        </w:rPr>
        <w:t>evaluation</w:t>
      </w:r>
      <w:r w:rsidRPr="00C768F0">
        <w:rPr>
          <w:color w:val="000000" w:themeColor="text1"/>
        </w:rPr>
        <w:t xml:space="preserve">. Additional probes and prompts are included to aid the interviewers with clarifying </w:t>
      </w:r>
      <w:r w:rsidR="006239F0">
        <w:rPr>
          <w:color w:val="000000" w:themeColor="text1"/>
        </w:rPr>
        <w:t>contexts for</w:t>
      </w:r>
      <w:r w:rsidRPr="00C768F0">
        <w:rPr>
          <w:color w:val="000000" w:themeColor="text1"/>
        </w:rPr>
        <w:t xml:space="preserve"> questions.</w:t>
      </w:r>
    </w:p>
    <w:p w:rsidR="00C768F0" w:rsidP="00C768F0" w14:paraId="7E8F7B98" w14:textId="44760D9D">
      <w:pPr>
        <w:rPr>
          <w:color w:val="000000" w:themeColor="text1"/>
        </w:rPr>
      </w:pPr>
    </w:p>
    <w:p w:rsidR="00B87B2F" w:rsidP="00B3666C" w14:paraId="0616B514" w14:textId="3277D332">
      <w:pPr>
        <w:pStyle w:val="m-4824437483153403386msocommenttext"/>
        <w:shd w:val="clear" w:color="auto" w:fill="FFFFFF"/>
        <w:spacing w:before="0" w:beforeAutospacing="0" w:after="120" w:afterAutospacing="0"/>
      </w:pPr>
      <w:r w:rsidRPr="00B87B2F">
        <w:rPr>
          <w:u w:val="single"/>
        </w:rPr>
        <w:t>Surveillance</w:t>
      </w:r>
      <w:r>
        <w:rPr>
          <w:u w:val="single"/>
        </w:rPr>
        <w:t xml:space="preserve"> </w:t>
      </w:r>
      <w:r w:rsidRPr="00835FA5">
        <w:rPr>
          <w:u w:val="single"/>
        </w:rPr>
        <w:t xml:space="preserve">and </w:t>
      </w:r>
      <w:r w:rsidRPr="0036319B">
        <w:rPr>
          <w:u w:val="single"/>
        </w:rPr>
        <w:t>Implementation Capacity Assessments</w:t>
      </w:r>
      <w:r>
        <w:t>:</w:t>
      </w:r>
      <w:r w:rsidRPr="00C768F0">
        <w:t xml:space="preserve"> </w:t>
      </w:r>
      <w:r>
        <w:t xml:space="preserve"> </w:t>
      </w:r>
    </w:p>
    <w:p w:rsidR="00B87B2F" w:rsidRPr="00B87B2F" w:rsidP="00B87B2F" w14:paraId="7419DB5B" w14:textId="563E4C3D">
      <w:pPr>
        <w:rPr>
          <w:color w:val="000000" w:themeColor="text1"/>
        </w:rPr>
      </w:pPr>
      <w:r>
        <w:t>Data will be collected via a web-based</w:t>
      </w:r>
      <w:r w:rsidR="00232A60">
        <w:t xml:space="preserve"> survey</w:t>
      </w:r>
      <w:r>
        <w:t xml:space="preserve">. </w:t>
      </w:r>
      <w:r w:rsidRPr="000B5054" w:rsidR="005E233F">
        <w:rPr>
          <w:iCs/>
        </w:rPr>
        <w:t xml:space="preserve">The automated nature of the information collection greatly increases the efficiency of data collection over standard paper-and-pencil data collection methods given the </w:t>
      </w:r>
      <w:r w:rsidRPr="00A47D66" w:rsidR="005E233F">
        <w:rPr>
          <w:iCs/>
        </w:rPr>
        <w:t>geographic diversity</w:t>
      </w:r>
      <w:r w:rsidRPr="000B5054" w:rsidR="005E233F">
        <w:rPr>
          <w:iCs/>
        </w:rPr>
        <w:t xml:space="preserve"> of the participants. The web-based survey will contribute to data quality as built-in prompts and skip patterns will ensure only relevant questions are presented to respondents. </w:t>
      </w:r>
    </w:p>
    <w:p w:rsidR="002A57E9" w:rsidP="00B3666C" w14:paraId="1855A074" w14:textId="77777777">
      <w:pPr>
        <w:rPr>
          <w:u w:val="single"/>
        </w:rPr>
      </w:pPr>
    </w:p>
    <w:p w:rsidR="00B3666C" w:rsidP="00B3666C" w14:paraId="7FF52BDA" w14:textId="205FDAB2">
      <w:r w:rsidRPr="00FA1D41">
        <w:rPr>
          <w:u w:val="single"/>
        </w:rPr>
        <w:t>Evaluation and Surveillance Survey</w:t>
      </w:r>
      <w:r w:rsidR="00B87B2F">
        <w:t>:</w:t>
      </w:r>
    </w:p>
    <w:p w:rsidR="00B3666C" w:rsidP="00B3666C" w14:paraId="06EA9741" w14:textId="30552C00">
      <w:pPr>
        <w:rPr>
          <w:color w:val="000000" w:themeColor="text1"/>
        </w:rPr>
      </w:pPr>
    </w:p>
    <w:p w:rsidR="00232A60" w:rsidRPr="000B5054" w:rsidP="00B3666C" w14:paraId="4E85CA4D" w14:textId="64A07ACE">
      <w:pPr>
        <w:rPr>
          <w:iCs/>
        </w:rPr>
      </w:pPr>
      <w:r w:rsidRPr="002A57E9">
        <w:t xml:space="preserve">Data will be collected via a web-based survey. </w:t>
      </w:r>
      <w:r w:rsidRPr="002A57E9" w:rsidR="005E233F">
        <w:rPr>
          <w:color w:val="000000" w:themeColor="text1"/>
        </w:rPr>
        <w:t>CDC evaluators will employ</w:t>
      </w:r>
      <w:r w:rsidR="00CD56D3">
        <w:rPr>
          <w:iCs/>
        </w:rPr>
        <w:t xml:space="preserve"> </w:t>
      </w:r>
      <w:r w:rsidR="0058727E">
        <w:rPr>
          <w:iCs/>
        </w:rPr>
        <w:t>qualitative</w:t>
      </w:r>
      <w:r w:rsidRPr="000B5054" w:rsidR="002A57E9">
        <w:rPr>
          <w:iCs/>
        </w:rPr>
        <w:t xml:space="preserve"> collection methods w</w:t>
      </w:r>
      <w:r w:rsidR="0058727E">
        <w:rPr>
          <w:iCs/>
        </w:rPr>
        <w:t>hich w</w:t>
      </w:r>
      <w:r w:rsidRPr="000B5054" w:rsidR="002A57E9">
        <w:rPr>
          <w:iCs/>
        </w:rPr>
        <w:t xml:space="preserve">ill help solicit rich data on how recipients implemented </w:t>
      </w:r>
      <w:r w:rsidR="0086704E">
        <w:rPr>
          <w:iCs/>
        </w:rPr>
        <w:t xml:space="preserve">surveillance and evaluation </w:t>
      </w:r>
      <w:r w:rsidRPr="000B5054" w:rsidR="002A57E9">
        <w:rPr>
          <w:iCs/>
        </w:rPr>
        <w:t>activities. CDC program evaluators will employ qualitative methodological strategies such as “member checking” after each survey has been completed and synthesized, allowing for the recipients to review their responses and confirm they reflect the actual content from the</w:t>
      </w:r>
      <w:r w:rsidR="002A57E9">
        <w:rPr>
          <w:iCs/>
        </w:rPr>
        <w:t xml:space="preserve"> survey</w:t>
      </w:r>
      <w:r w:rsidRPr="000B5054" w:rsidR="002A57E9">
        <w:rPr>
          <w:iCs/>
        </w:rPr>
        <w:t>.</w:t>
      </w:r>
    </w:p>
    <w:p w:rsidR="002A57E9" w:rsidRPr="002A57E9" w:rsidP="00B3666C" w14:paraId="2B24D65C" w14:textId="77777777"/>
    <w:p w:rsidR="00B87B2F" w:rsidRPr="002A57E9" w:rsidP="00B87B2F" w14:paraId="6A2CE5D5" w14:textId="2E409E12">
      <w:pPr>
        <w:rPr>
          <w:color w:val="000000" w:themeColor="text1"/>
        </w:rPr>
      </w:pPr>
      <w:r w:rsidRPr="002A57E9">
        <w:rPr>
          <w:color w:val="000000" w:themeColor="text1"/>
        </w:rPr>
        <w:t xml:space="preserve">The </w:t>
      </w:r>
      <w:r w:rsidRPr="002A57E9" w:rsidR="002A57E9">
        <w:rPr>
          <w:color w:val="000000" w:themeColor="text1"/>
        </w:rPr>
        <w:t>survey</w:t>
      </w:r>
      <w:r w:rsidRPr="002A57E9">
        <w:rPr>
          <w:color w:val="000000" w:themeColor="text1"/>
        </w:rPr>
        <w:t xml:space="preserve"> protocol and guides are designed to collect the minimum information necessary for evaluation. Additional probes and prompts are included to aid the interviewers with clarifying contexts for questions.</w:t>
      </w:r>
    </w:p>
    <w:p w:rsidR="00B87B2F" w:rsidP="00B3666C" w14:paraId="622639DF" w14:textId="77777777">
      <w:pPr>
        <w:rPr>
          <w:color w:val="000000" w:themeColor="text1"/>
        </w:rPr>
      </w:pPr>
    </w:p>
    <w:p w:rsidR="00C65166" w:rsidP="00C65166" w14:paraId="7AB1330C" w14:textId="77777777">
      <w:pPr>
        <w:pStyle w:val="Heading2"/>
      </w:pPr>
      <w:bookmarkStart w:id="13" w:name="_Toc89252437"/>
      <w:r>
        <w:t>A.4. Efforts to Identify Duplication and Use of Similar Information</w:t>
      </w:r>
      <w:bookmarkEnd w:id="13"/>
    </w:p>
    <w:p w:rsidR="0018104E" w:rsidRPr="008F71CE" w:rsidP="0018104E" w14:paraId="37F87453" w14:textId="7FF1E7DA">
      <w:pPr>
        <w:autoSpaceDE w:val="0"/>
        <w:autoSpaceDN w:val="0"/>
        <w:adjustRightInd w:val="0"/>
      </w:pPr>
      <w:r>
        <w:t>EfC</w:t>
      </w:r>
      <w:r w:rsidRPr="00C768F0">
        <w:t xml:space="preserve"> occupies a unique niche within the larger scope of Health and Human Services’ (HHS) </w:t>
      </w:r>
      <w:r w:rsidR="0070147B">
        <w:t>ACEs</w:t>
      </w:r>
      <w:r w:rsidRPr="00C768F0" w:rsidR="0070147B">
        <w:t xml:space="preserve"> </w:t>
      </w:r>
      <w:r w:rsidRPr="00C768F0">
        <w:t>prevention initiatives</w:t>
      </w:r>
      <w:r>
        <w:t xml:space="preserve"> and will not duplicate other efforts</w:t>
      </w:r>
      <w:r w:rsidRPr="00C768F0">
        <w:t>.</w:t>
      </w:r>
      <w:r>
        <w:t xml:space="preserve"> </w:t>
      </w:r>
      <w:r w:rsidRPr="008F71CE">
        <w:t xml:space="preserve">The collection of this information is part of a federal reporting requirement for funds received by </w:t>
      </w:r>
      <w:r>
        <w:t>recipients</w:t>
      </w:r>
      <w:r w:rsidRPr="008F71CE">
        <w:t xml:space="preserve">. </w:t>
      </w:r>
    </w:p>
    <w:p w:rsidR="00C768F0" w:rsidP="00C65166" w14:paraId="620E0112" w14:textId="33DE72B5">
      <w:r w:rsidRPr="00C768F0">
        <w:t xml:space="preserve"> </w:t>
      </w:r>
    </w:p>
    <w:p w:rsidR="00C65166" w:rsidP="00C65166" w14:paraId="7DCF5329" w14:textId="77777777">
      <w:pPr>
        <w:pStyle w:val="Heading2"/>
      </w:pPr>
      <w:bookmarkStart w:id="14" w:name="_Toc89252438"/>
      <w:r>
        <w:t>A.5. Impact on Small Businesses or Other Small Entities</w:t>
      </w:r>
      <w:bookmarkEnd w:id="14"/>
    </w:p>
    <w:p w:rsidR="00C65166" w:rsidP="00C65166" w14:paraId="0CC8F5E3" w14:textId="77777777">
      <w:r w:rsidRPr="00C65166">
        <w:t>No small businesses will be involved in this data collection.</w:t>
      </w:r>
    </w:p>
    <w:p w:rsidR="00C65166" w:rsidP="00C65166" w14:paraId="148DAD08" w14:textId="77777777"/>
    <w:p w:rsidR="001A62ED" w:rsidP="001A62ED" w14:paraId="6248A0C1" w14:textId="517E3D47">
      <w:pPr>
        <w:pStyle w:val="Heading2"/>
        <w:spacing w:before="0"/>
      </w:pPr>
      <w:bookmarkStart w:id="15" w:name="_Toc89252439"/>
      <w:r>
        <w:t>A.6. Consequences of Collecting the Information Less Frequently</w:t>
      </w:r>
      <w:bookmarkEnd w:id="15"/>
    </w:p>
    <w:p w:rsidR="00B3666C" w:rsidRPr="00C768F0" w:rsidP="008F0774" w14:paraId="2DE4D9FA" w14:textId="272DBF0B">
      <w:pPr>
        <w:pStyle w:val="m-4824437483153403386msocommenttext"/>
        <w:shd w:val="clear" w:color="auto" w:fill="FFFFFF"/>
        <w:spacing w:before="0" w:beforeAutospacing="0" w:after="120" w:afterAutospacing="0"/>
      </w:pPr>
      <w:r w:rsidRPr="00E378AD">
        <w:t xml:space="preserve">The cooperative agreement requires the </w:t>
      </w:r>
      <w:r w:rsidRPr="00E378AD" w:rsidR="006239F0">
        <w:t>APR</w:t>
      </w:r>
      <w:r w:rsidRPr="00E378AD">
        <w:t xml:space="preserve"> as well as data collection activities necessary for the monitoring and evaluation of the programs’ implementation and outcomes. This request is for </w:t>
      </w:r>
      <w:r w:rsidRPr="00E378AD" w:rsidR="006239F0">
        <w:t xml:space="preserve">performance </w:t>
      </w:r>
      <w:r w:rsidRPr="00E378AD">
        <w:t>monitoring information to be collected annually</w:t>
      </w:r>
      <w:r w:rsidR="00E378AD">
        <w:t xml:space="preserve">. </w:t>
      </w:r>
      <w:r w:rsidRPr="00C768F0">
        <w:t>Key Informant Interviews will be conducted twice over the project period for both project leads and lead evaluators to monitor changes across years.</w:t>
      </w:r>
      <w:r w:rsidR="00E378AD">
        <w:t xml:space="preserve"> </w:t>
      </w:r>
      <w:r w:rsidR="002238BD">
        <w:t>Surveillance</w:t>
      </w:r>
      <w:r w:rsidR="00660DD9">
        <w:t xml:space="preserve"> and Implementation</w:t>
      </w:r>
      <w:r w:rsidR="002238BD">
        <w:t xml:space="preserve"> Capacity</w:t>
      </w:r>
      <w:r w:rsidRPr="00C768F0">
        <w:t xml:space="preserve"> Assessment</w:t>
      </w:r>
      <w:r w:rsidR="00660DD9">
        <w:t>s</w:t>
      </w:r>
      <w:r w:rsidRPr="00C768F0">
        <w:t xml:space="preserve"> will be collected during years 1.  </w:t>
      </w:r>
      <w:r w:rsidRPr="008F0774">
        <w:t>Evaluation and Surveillance Survey</w:t>
      </w:r>
      <w:r w:rsidRPr="003B50C5">
        <w:t xml:space="preserve"> will </w:t>
      </w:r>
      <w:r>
        <w:t xml:space="preserve">be collected in </w:t>
      </w:r>
      <w:r w:rsidRPr="003B50C5">
        <w:t xml:space="preserve">year </w:t>
      </w:r>
      <w:r>
        <w:t>3</w:t>
      </w:r>
      <w:r w:rsidRPr="003B50C5">
        <w:t xml:space="preserve">.  </w:t>
      </w:r>
    </w:p>
    <w:p w:rsidR="00C768F0" w:rsidRPr="00C768F0" w:rsidP="00F039F3" w14:paraId="3C916497" w14:textId="77777777">
      <w:pPr>
        <w:pStyle w:val="m-4824437483153403386msocommenttext"/>
        <w:shd w:val="clear" w:color="auto" w:fill="FFFFFF"/>
      </w:pPr>
      <w:r w:rsidRPr="00C768F0">
        <w:t>Less frequent reporting would undermine accountability efforts at all levels and negatively affect monitoring and evaluation of recipient progress. If less frequent or no data are collected, CDC will be unable to:</w:t>
      </w:r>
    </w:p>
    <w:p w:rsidR="00C768F0" w:rsidRPr="00C768F0" w:rsidP="00F039F3" w14:paraId="30CCD43E" w14:textId="275ACDBF">
      <w:pPr>
        <w:pStyle w:val="m-4824437483153403386msocommenttext"/>
        <w:numPr>
          <w:ilvl w:val="0"/>
          <w:numId w:val="28"/>
        </w:numPr>
        <w:shd w:val="clear" w:color="auto" w:fill="FFFFFF"/>
        <w:spacing w:before="0" w:beforeAutospacing="0" w:after="120" w:afterAutospacing="0"/>
      </w:pPr>
      <w:r w:rsidRPr="00C768F0">
        <w:t xml:space="preserve">Evaluate impact and changes of the </w:t>
      </w:r>
      <w:r w:rsidR="00F039F3">
        <w:t>EfC</w:t>
      </w:r>
      <w:r w:rsidRPr="00C768F0">
        <w:t xml:space="preserve"> program over the project period</w:t>
      </w:r>
      <w:r w:rsidR="00660DD9">
        <w:t>,</w:t>
      </w:r>
    </w:p>
    <w:p w:rsidR="00C768F0" w:rsidRPr="00C768F0" w:rsidP="00F039F3" w14:paraId="3CF70AC4" w14:textId="7E7CBB75">
      <w:pPr>
        <w:pStyle w:val="m-4824437483153403386msocommenttext"/>
        <w:numPr>
          <w:ilvl w:val="0"/>
          <w:numId w:val="28"/>
        </w:numPr>
        <w:shd w:val="clear" w:color="auto" w:fill="FFFFFF"/>
        <w:spacing w:before="0" w:beforeAutospacing="0" w:after="120" w:afterAutospacing="0"/>
      </w:pPr>
      <w:r w:rsidRPr="00C768F0">
        <w:t xml:space="preserve">Assess the barriers, facilitators, and critical factors to evaluate and implement primary prevention efforts identified by </w:t>
      </w:r>
      <w:r w:rsidR="00F039F3">
        <w:t>EfC</w:t>
      </w:r>
      <w:r w:rsidRPr="00C768F0">
        <w:t xml:space="preserve"> recipient and subrecipients</w:t>
      </w:r>
      <w:r w:rsidR="00660DD9">
        <w:t xml:space="preserve">, </w:t>
      </w:r>
    </w:p>
    <w:p w:rsidR="00C768F0" w:rsidRPr="00C768F0" w:rsidP="00F039F3" w14:paraId="6C64DC8A" w14:textId="47FDF7DC">
      <w:pPr>
        <w:pStyle w:val="m-4824437483153403386msocommenttext"/>
        <w:numPr>
          <w:ilvl w:val="0"/>
          <w:numId w:val="28"/>
        </w:numPr>
        <w:shd w:val="clear" w:color="auto" w:fill="FFFFFF"/>
        <w:spacing w:before="0" w:beforeAutospacing="0" w:after="120" w:afterAutospacing="0"/>
      </w:pPr>
      <w:r w:rsidRPr="00C768F0">
        <w:t xml:space="preserve">Identify areas for improvement and additional technical assistance by CDC to help recipients achieve the goals outlined in the NOFO for </w:t>
      </w:r>
      <w:r w:rsidR="00F039F3">
        <w:t>EfC</w:t>
      </w:r>
      <w:r w:rsidRPr="00C768F0">
        <w:t xml:space="preserve"> in the remaining funding period</w:t>
      </w:r>
      <w:r w:rsidR="00660DD9">
        <w:t>,</w:t>
      </w:r>
    </w:p>
    <w:p w:rsidR="00C768F0" w:rsidRPr="00C768F0" w:rsidP="00F039F3" w14:paraId="746D8414" w14:textId="7F24324D">
      <w:pPr>
        <w:pStyle w:val="m-4824437483153403386msocommenttext"/>
        <w:numPr>
          <w:ilvl w:val="0"/>
          <w:numId w:val="28"/>
        </w:numPr>
        <w:shd w:val="clear" w:color="auto" w:fill="FFFFFF"/>
        <w:spacing w:before="0" w:beforeAutospacing="0" w:after="120" w:afterAutospacing="0"/>
      </w:pPr>
      <w:r w:rsidRPr="00C768F0">
        <w:t xml:space="preserve">Develop an in-depth understanding of how national, state, and local approaches can be coordinated and implemented to prevent </w:t>
      </w:r>
      <w:r w:rsidR="00F039F3">
        <w:t>ACEs</w:t>
      </w:r>
      <w:r w:rsidR="00660DD9">
        <w:t>,</w:t>
      </w:r>
    </w:p>
    <w:p w:rsidR="00C768F0" w:rsidRPr="00C768F0" w:rsidP="00F039F3" w14:paraId="2870ED7A" w14:textId="77777777">
      <w:pPr>
        <w:pStyle w:val="ListParagraph"/>
        <w:numPr>
          <w:ilvl w:val="0"/>
          <w:numId w:val="28"/>
        </w:numPr>
      </w:pPr>
      <w:r w:rsidRPr="00C768F0">
        <w:t xml:space="preserve">Respond in a timely manner to inquiries, such as Congressional requests mandated by the authorizing legislation. </w:t>
      </w:r>
    </w:p>
    <w:p w:rsidR="00C65166" w:rsidP="00F039F3" w14:paraId="7E2B7EC7" w14:textId="77777777"/>
    <w:p w:rsidR="00C65166" w:rsidP="00C65166" w14:paraId="65AB99FE" w14:textId="77777777">
      <w:pPr>
        <w:pStyle w:val="Heading2"/>
      </w:pPr>
      <w:bookmarkStart w:id="16" w:name="_Toc89252440"/>
      <w:r>
        <w:t>A.7. Special Circumstances Relating to the Guidelines of 5 CFR 1320.5</w:t>
      </w:r>
      <w:bookmarkEnd w:id="16"/>
    </w:p>
    <w:p w:rsidR="00860BDD" w:rsidP="00860BDD" w14:paraId="38693146" w14:textId="2A8D3435">
      <w:r w:rsidRPr="00C65166">
        <w:t>Th</w:t>
      </w:r>
      <w:r w:rsidR="00013E18">
        <w:t>is</w:t>
      </w:r>
      <w:r w:rsidRPr="00C65166">
        <w:t xml:space="preserve"> request fully complies with the regulation 5 CFR 1320.5.</w:t>
      </w:r>
    </w:p>
    <w:p w:rsidR="00C65166" w:rsidP="00860BDD" w14:paraId="36941C08" w14:textId="4DAB28AA"/>
    <w:p w:rsidR="00C65166" w:rsidP="00C65166" w14:paraId="6B0421F7" w14:textId="77777777">
      <w:pPr>
        <w:pStyle w:val="Heading2"/>
      </w:pPr>
      <w:bookmarkStart w:id="17" w:name="_Toc89252441"/>
      <w:r>
        <w:t>A.8. Comments in Response to the Federal Register Notice and Efforts to Consult Outside the Agency</w:t>
      </w:r>
      <w:bookmarkEnd w:id="17"/>
    </w:p>
    <w:p w:rsidR="00C65166" w:rsidP="00C65166" w14:paraId="1897F060" w14:textId="77777777"/>
    <w:p w:rsidR="00CE280B" w:rsidP="00CE280B" w14:paraId="30FF9B46" w14:textId="59EB5619">
      <w:pPr>
        <w:pStyle w:val="Heading3"/>
        <w:rPr>
          <w:noProof/>
        </w:rPr>
      </w:pPr>
      <w:bookmarkStart w:id="18" w:name="_Toc89252442"/>
      <w:r w:rsidRPr="00CE280B">
        <w:t>A.8.a)</w:t>
      </w:r>
      <w:r w:rsidR="002C7E04">
        <w:t xml:space="preserve"> </w:t>
      </w:r>
      <w:r w:rsidRPr="00CE280B">
        <w:rPr>
          <w:noProof/>
        </w:rPr>
        <w:t>Federal Register Notice</w:t>
      </w:r>
      <w:bookmarkEnd w:id="18"/>
    </w:p>
    <w:p w:rsidR="00C26BFF" w:rsidP="00CE280B" w14:paraId="7FDB7103" w14:textId="1EF1281A">
      <w:pPr>
        <w:widowControl w:val="0"/>
        <w:autoSpaceDE w:val="0"/>
        <w:autoSpaceDN w:val="0"/>
        <w:adjustRightInd w:val="0"/>
      </w:pPr>
      <w:r>
        <w:t xml:space="preserve">A 60-day Federal Register Notice was published in the Federal Register on </w:t>
      </w:r>
      <w:r w:rsidR="00B61EB1">
        <w:t xml:space="preserve">March 31, </w:t>
      </w:r>
      <w:r w:rsidR="00B61EB1">
        <w:t>2023</w:t>
      </w:r>
      <w:r w:rsidR="00B61EB1">
        <w:t xml:space="preserve"> </w:t>
      </w:r>
      <w:r>
        <w:t xml:space="preserve">Volume </w:t>
      </w:r>
      <w:r w:rsidR="00B61EB1">
        <w:t>88</w:t>
      </w:r>
      <w:r>
        <w:t xml:space="preserve">, Number </w:t>
      </w:r>
      <w:r w:rsidR="00B61EB1">
        <w:t>62</w:t>
      </w:r>
      <w:r>
        <w:t xml:space="preserve">, pp </w:t>
      </w:r>
      <w:r w:rsidR="00B61EB1">
        <w:t>19308</w:t>
      </w:r>
      <w:r w:rsidR="00A93E37">
        <w:t xml:space="preserve"> </w:t>
      </w:r>
      <w:r>
        <w:t>(</w:t>
      </w:r>
      <w:r w:rsidRPr="00013E18">
        <w:t xml:space="preserve">Attachment </w:t>
      </w:r>
      <w:r w:rsidR="0001641C">
        <w:t>2</w:t>
      </w:r>
      <w:r>
        <w:t xml:space="preserve">). </w:t>
      </w:r>
      <w:r w:rsidR="00013E18">
        <w:t xml:space="preserve">For this notice CDC </w:t>
      </w:r>
      <w:r>
        <w:t xml:space="preserve">received </w:t>
      </w:r>
      <w:r w:rsidR="00B61EB1">
        <w:t xml:space="preserve">1 non-substantive </w:t>
      </w:r>
      <w:r w:rsidR="00E93BEF">
        <w:t>comment</w:t>
      </w:r>
      <w:r w:rsidR="00B61EB1">
        <w:t xml:space="preserve"> </w:t>
      </w:r>
      <w:r w:rsidR="00013E18">
        <w:t xml:space="preserve">(Attachment </w:t>
      </w:r>
      <w:r w:rsidR="0001641C">
        <w:t>2</w:t>
      </w:r>
      <w:r w:rsidR="00B61EB1">
        <w:t>a</w:t>
      </w:r>
      <w:r w:rsidR="00013E18">
        <w:t>)</w:t>
      </w:r>
      <w:r w:rsidR="00E93BEF">
        <w:t xml:space="preserve">. </w:t>
      </w:r>
    </w:p>
    <w:p w:rsidR="00891BF2" w:rsidP="00CE280B" w14:paraId="1D455797" w14:textId="77777777">
      <w:pPr>
        <w:widowControl w:val="0"/>
        <w:autoSpaceDE w:val="0"/>
        <w:autoSpaceDN w:val="0"/>
        <w:adjustRightInd w:val="0"/>
      </w:pPr>
    </w:p>
    <w:p w:rsidR="00CE280B" w:rsidP="00CE280B" w14:paraId="13361F57" w14:textId="77777777">
      <w:pPr>
        <w:pStyle w:val="Heading3"/>
      </w:pPr>
      <w:bookmarkStart w:id="19" w:name="_Toc89252443"/>
      <w:r w:rsidRPr="004B75FC">
        <w:t>A.8.b)</w:t>
      </w:r>
      <w:r w:rsidRPr="00691454">
        <w:t xml:space="preserve"> Efforts to Consult Outside the Agency</w:t>
      </w:r>
      <w:bookmarkEnd w:id="19"/>
    </w:p>
    <w:p w:rsidR="00013E18" w:rsidRPr="00013E18" w:rsidP="00013E18" w14:paraId="0C64F8DA" w14:textId="2DBE8CF4">
      <w:pPr>
        <w:spacing w:after="120"/>
        <w:rPr>
          <w:bCs/>
          <w:iCs/>
        </w:rPr>
      </w:pPr>
      <w:r w:rsidRPr="00013E18">
        <w:rPr>
          <w:bCs/>
          <w:iCs/>
        </w:rPr>
        <w:t xml:space="preserve">No outside consultations will occur during the </w:t>
      </w:r>
      <w:r>
        <w:rPr>
          <w:bCs/>
          <w:iCs/>
        </w:rPr>
        <w:t>EfC</w:t>
      </w:r>
      <w:r w:rsidRPr="00013E18">
        <w:rPr>
          <w:bCs/>
          <w:iCs/>
        </w:rPr>
        <w:t xml:space="preserve"> cooperative agreement funding period. The evaluation questions for assessing the overall program were identified by NCIPC and further refined by feedback and lessons learned from</w:t>
      </w:r>
      <w:r w:rsidRPr="00367806" w:rsidR="00367806">
        <w:t xml:space="preserve"> </w:t>
      </w:r>
      <w:r w:rsidRPr="005C4D1E" w:rsidR="00367806">
        <w:t>Essentials for Childhood and Preventing ACEs: Data to Action</w:t>
      </w:r>
      <w:r w:rsidR="00660DD9">
        <w:t xml:space="preserve"> cooperative agreements</w:t>
      </w:r>
      <w:r w:rsidRPr="00013E18">
        <w:rPr>
          <w:bCs/>
          <w:iCs/>
        </w:rPr>
        <w:t xml:space="preserve">. </w:t>
      </w:r>
    </w:p>
    <w:p w:rsidR="00013E18" w:rsidP="00013E18" w14:paraId="18AB7ED7" w14:textId="0232321A">
      <w:pPr>
        <w:rPr>
          <w:bCs/>
          <w:iCs/>
        </w:rPr>
      </w:pPr>
      <w:r w:rsidRPr="00013E18">
        <w:rPr>
          <w:bCs/>
          <w:iCs/>
        </w:rPr>
        <w:t xml:space="preserve">CDC staff and contractors designed the information collection instruments and DVP Partners Portal. Data elements were informed by </w:t>
      </w:r>
      <w:r w:rsidR="00660DD9">
        <w:rPr>
          <w:bCs/>
          <w:iCs/>
        </w:rPr>
        <w:t>APRs</w:t>
      </w:r>
      <w:r w:rsidR="00B56E84">
        <w:rPr>
          <w:bCs/>
          <w:iCs/>
        </w:rPr>
        <w:t xml:space="preserve"> </w:t>
      </w:r>
      <w:r w:rsidRPr="00013E18">
        <w:rPr>
          <w:bCs/>
          <w:iCs/>
        </w:rPr>
        <w:t xml:space="preserve">of previous and other existing DVP programs. Consultations resulted in streamlining of questions for improved reporting. </w:t>
      </w:r>
    </w:p>
    <w:p w:rsidR="00013E18" w:rsidP="00013E18" w14:paraId="63F7A417" w14:textId="0EA656D8">
      <w:pPr>
        <w:rPr>
          <w:bCs/>
          <w:iCs/>
        </w:rPr>
      </w:pPr>
    </w:p>
    <w:p w:rsidR="00013E18" w:rsidRPr="00013E18" w:rsidP="00013E18" w14:paraId="419D395D" w14:textId="06F902D0">
      <w:pPr>
        <w:spacing w:after="240"/>
        <w:rPr>
          <w:bCs/>
          <w:iCs/>
        </w:rPr>
      </w:pPr>
      <w:r w:rsidRPr="00013E18">
        <w:rPr>
          <w:bCs/>
          <w:iCs/>
        </w:rPr>
        <w:t>The following individuals were consulted in the development of the data elements in 202</w:t>
      </w:r>
      <w:r>
        <w:rPr>
          <w:bCs/>
          <w:iCs/>
        </w:rPr>
        <w:t>3</w:t>
      </w:r>
      <w:r w:rsidRPr="00013E18">
        <w:rPr>
          <w:bCs/>
          <w:iCs/>
        </w:rPr>
        <w:t xml:space="preserve">. </w:t>
      </w:r>
    </w:p>
    <w:p w:rsidR="00CA44BE" w:rsidP="00CA44BE" w14:paraId="6EA686D7" w14:textId="3F30B216">
      <w:pPr>
        <w:rPr>
          <w:bCs/>
          <w:iCs/>
        </w:rPr>
      </w:pPr>
      <w:bookmarkStart w:id="20" w:name="_Hlk126044265"/>
      <w:r>
        <w:rPr>
          <w:bCs/>
          <w:iCs/>
        </w:rPr>
        <w:t xml:space="preserve">Angie Guinn, MPH, Behavioral Scientist </w:t>
      </w:r>
    </w:p>
    <w:p w:rsidR="00CA44BE" w:rsidP="00CA44BE" w14:paraId="76282428" w14:textId="5DA971AF">
      <w:pPr>
        <w:rPr>
          <w:bCs/>
          <w:iCs/>
        </w:rPr>
      </w:pPr>
      <w:r w:rsidRPr="00CA44BE">
        <w:rPr>
          <w:bCs/>
          <w:iCs/>
        </w:rPr>
        <w:t>404</w:t>
      </w:r>
      <w:r>
        <w:rPr>
          <w:bCs/>
          <w:iCs/>
        </w:rPr>
        <w:t>-</w:t>
      </w:r>
      <w:r w:rsidRPr="00CA44BE">
        <w:rPr>
          <w:bCs/>
          <w:iCs/>
        </w:rPr>
        <w:t>498</w:t>
      </w:r>
      <w:r>
        <w:rPr>
          <w:bCs/>
          <w:iCs/>
        </w:rPr>
        <w:t>-</w:t>
      </w:r>
      <w:r w:rsidRPr="00CA44BE">
        <w:rPr>
          <w:bCs/>
          <w:iCs/>
        </w:rPr>
        <w:t>1508</w:t>
      </w:r>
    </w:p>
    <w:p w:rsidR="00CA44BE" w:rsidP="00CA44BE" w14:paraId="50B6ACB7" w14:textId="7B2EA8FB">
      <w:pPr>
        <w:rPr>
          <w:bCs/>
          <w:iCs/>
        </w:rPr>
      </w:pPr>
      <w:hyperlink r:id="rId5" w:history="1">
        <w:r w:rsidRPr="00844A4E">
          <w:rPr>
            <w:rStyle w:val="Hyperlink"/>
            <w:bCs/>
            <w:iCs/>
          </w:rPr>
          <w:t>lsj8@cdc.gov</w:t>
        </w:r>
      </w:hyperlink>
      <w:r>
        <w:rPr>
          <w:bCs/>
          <w:iCs/>
        </w:rPr>
        <w:t xml:space="preserve"> </w:t>
      </w:r>
    </w:p>
    <w:p w:rsidR="00CA44BE" w:rsidP="00CA44BE" w14:paraId="4815AD67" w14:textId="77777777">
      <w:pPr>
        <w:rPr>
          <w:bCs/>
          <w:iCs/>
        </w:rPr>
      </w:pPr>
    </w:p>
    <w:p w:rsidR="00CA44BE" w:rsidP="00CA44BE" w14:paraId="071C8C36" w14:textId="564E5187">
      <w:pPr>
        <w:rPr>
          <w:bCs/>
          <w:iCs/>
        </w:rPr>
      </w:pPr>
      <w:r>
        <w:rPr>
          <w:bCs/>
          <w:iCs/>
        </w:rPr>
        <w:t xml:space="preserve">Phinda </w:t>
      </w:r>
      <w:r>
        <w:rPr>
          <w:bCs/>
          <w:iCs/>
        </w:rPr>
        <w:t>Hillmon</w:t>
      </w:r>
      <w:r>
        <w:rPr>
          <w:bCs/>
          <w:iCs/>
        </w:rPr>
        <w:t>,</w:t>
      </w:r>
      <w:r w:rsidRPr="00E6270C" w:rsidR="00E6270C">
        <w:t xml:space="preserve"> </w:t>
      </w:r>
      <w:r w:rsidR="002238BD">
        <w:rPr>
          <w:bCs/>
          <w:iCs/>
        </w:rPr>
        <w:t>EdD</w:t>
      </w:r>
      <w:r>
        <w:rPr>
          <w:bCs/>
          <w:iCs/>
        </w:rPr>
        <w:t xml:space="preserve">, Public Health Advisor </w:t>
      </w:r>
    </w:p>
    <w:p w:rsidR="00E6270C" w:rsidP="00CA44BE" w14:paraId="30E51F92" w14:textId="3D036676">
      <w:pPr>
        <w:rPr>
          <w:bCs/>
          <w:iCs/>
        </w:rPr>
      </w:pPr>
      <w:r w:rsidRPr="00E6270C">
        <w:rPr>
          <w:bCs/>
          <w:iCs/>
        </w:rPr>
        <w:t>770</w:t>
      </w:r>
      <w:r>
        <w:rPr>
          <w:bCs/>
          <w:iCs/>
        </w:rPr>
        <w:t>-</w:t>
      </w:r>
      <w:r w:rsidRPr="00E6270C">
        <w:rPr>
          <w:bCs/>
          <w:iCs/>
        </w:rPr>
        <w:t>488</w:t>
      </w:r>
      <w:r>
        <w:rPr>
          <w:bCs/>
          <w:iCs/>
        </w:rPr>
        <w:t>-</w:t>
      </w:r>
      <w:r w:rsidRPr="00E6270C">
        <w:rPr>
          <w:bCs/>
          <w:iCs/>
        </w:rPr>
        <w:t>1577</w:t>
      </w:r>
    </w:p>
    <w:p w:rsidR="00CA44BE" w:rsidP="00CA44BE" w14:paraId="53369C60" w14:textId="2E6F6248">
      <w:pPr>
        <w:rPr>
          <w:bCs/>
          <w:iCs/>
        </w:rPr>
      </w:pPr>
      <w:hyperlink r:id="rId6" w:history="1">
        <w:r w:rsidRPr="00844A4E" w:rsidR="00E6270C">
          <w:rPr>
            <w:rStyle w:val="Hyperlink"/>
            <w:bCs/>
            <w:iCs/>
          </w:rPr>
          <w:t>lwg4@cdc.gov</w:t>
        </w:r>
      </w:hyperlink>
    </w:p>
    <w:p w:rsidR="00E6270C" w:rsidP="00CA44BE" w14:paraId="43CB9277" w14:textId="77777777">
      <w:pPr>
        <w:rPr>
          <w:bCs/>
          <w:iCs/>
        </w:rPr>
      </w:pPr>
    </w:p>
    <w:p w:rsidR="00244CE3" w:rsidP="00CA44BE" w14:paraId="19CA2D18" w14:textId="659D6657">
      <w:pPr>
        <w:rPr>
          <w:bCs/>
          <w:iCs/>
        </w:rPr>
      </w:pPr>
      <w:r w:rsidRPr="00244CE3">
        <w:rPr>
          <w:bCs/>
          <w:iCs/>
        </w:rPr>
        <w:t>Adebukola</w:t>
      </w:r>
      <w:r w:rsidRPr="00244CE3">
        <w:rPr>
          <w:bCs/>
          <w:iCs/>
        </w:rPr>
        <w:t xml:space="preserve"> Helen Adegbite</w:t>
      </w:r>
      <w:r w:rsidR="001B252D">
        <w:rPr>
          <w:bCs/>
          <w:iCs/>
        </w:rPr>
        <w:t>-Johnson</w:t>
      </w:r>
      <w:r>
        <w:rPr>
          <w:bCs/>
          <w:iCs/>
        </w:rPr>
        <w:t xml:space="preserve">, </w:t>
      </w:r>
      <w:r w:rsidRPr="00244CE3">
        <w:rPr>
          <w:bCs/>
          <w:iCs/>
        </w:rPr>
        <w:t>MPH</w:t>
      </w:r>
      <w:r>
        <w:rPr>
          <w:bCs/>
          <w:iCs/>
        </w:rPr>
        <w:t xml:space="preserve">, Health Scientist </w:t>
      </w:r>
    </w:p>
    <w:p w:rsidR="00244CE3" w:rsidP="00CA44BE" w14:paraId="3B560153" w14:textId="7DD25836">
      <w:pPr>
        <w:rPr>
          <w:bCs/>
          <w:iCs/>
        </w:rPr>
      </w:pPr>
      <w:r w:rsidRPr="00244CE3">
        <w:rPr>
          <w:bCs/>
          <w:iCs/>
        </w:rPr>
        <w:t>404</w:t>
      </w:r>
      <w:r>
        <w:rPr>
          <w:bCs/>
          <w:iCs/>
        </w:rPr>
        <w:t>-</w:t>
      </w:r>
      <w:r w:rsidRPr="00244CE3">
        <w:rPr>
          <w:bCs/>
          <w:iCs/>
        </w:rPr>
        <w:t>639</w:t>
      </w:r>
      <w:r>
        <w:rPr>
          <w:bCs/>
          <w:iCs/>
        </w:rPr>
        <w:t>-</w:t>
      </w:r>
      <w:r w:rsidRPr="00244CE3">
        <w:rPr>
          <w:bCs/>
          <w:iCs/>
        </w:rPr>
        <w:t>6433</w:t>
      </w:r>
    </w:p>
    <w:p w:rsidR="00CA44BE" w:rsidP="00CA44BE" w14:paraId="7AE2BFA7" w14:textId="5A94E60B">
      <w:pPr>
        <w:rPr>
          <w:bCs/>
          <w:iCs/>
        </w:rPr>
      </w:pPr>
      <w:hyperlink r:id="rId7" w:history="1">
        <w:r w:rsidRPr="00844A4E" w:rsidR="00244CE3">
          <w:rPr>
            <w:rStyle w:val="Hyperlink"/>
            <w:bCs/>
            <w:iCs/>
          </w:rPr>
          <w:t>vrt2@cdc.gov</w:t>
        </w:r>
      </w:hyperlink>
      <w:r w:rsidR="00244CE3">
        <w:rPr>
          <w:bCs/>
          <w:iCs/>
        </w:rPr>
        <w:t xml:space="preserve"> </w:t>
      </w:r>
    </w:p>
    <w:bookmarkEnd w:id="20"/>
    <w:p w:rsidR="00244CE3" w:rsidP="00E6270C" w14:paraId="410EFF5A" w14:textId="77777777">
      <w:pPr>
        <w:rPr>
          <w:bCs/>
          <w:iCs/>
        </w:rPr>
      </w:pPr>
    </w:p>
    <w:p w:rsidR="00E6270C" w:rsidRPr="00013E18" w:rsidP="00E6270C" w14:paraId="01A127F4" w14:textId="5AB8D188">
      <w:pPr>
        <w:rPr>
          <w:bCs/>
          <w:iCs/>
        </w:rPr>
      </w:pPr>
      <w:r w:rsidRPr="00013E18">
        <w:rPr>
          <w:bCs/>
          <w:iCs/>
        </w:rPr>
        <w:t xml:space="preserve">Phyllis Ottley, PhD, </w:t>
      </w:r>
      <w:r w:rsidR="0018104E">
        <w:rPr>
          <w:bCs/>
          <w:iCs/>
        </w:rPr>
        <w:t>Associate Director for Program</w:t>
      </w:r>
      <w:r w:rsidRPr="00013E18">
        <w:rPr>
          <w:bCs/>
          <w:iCs/>
        </w:rPr>
        <w:t xml:space="preserve"> </w:t>
      </w:r>
    </w:p>
    <w:p w:rsidR="00E6270C" w:rsidRPr="00013E18" w:rsidP="00E6270C" w14:paraId="1E865CB0" w14:textId="77777777">
      <w:pPr>
        <w:rPr>
          <w:bCs/>
          <w:iCs/>
        </w:rPr>
      </w:pPr>
      <w:r w:rsidRPr="00013E18">
        <w:rPr>
          <w:bCs/>
          <w:iCs/>
        </w:rPr>
        <w:t>404-498-1613</w:t>
      </w:r>
    </w:p>
    <w:p w:rsidR="00E6270C" w:rsidP="00E6270C" w14:paraId="239E8363" w14:textId="77777777">
      <w:pPr>
        <w:spacing w:after="240"/>
        <w:rPr>
          <w:rStyle w:val="Hyperlink"/>
          <w:bCs/>
          <w:iCs/>
        </w:rPr>
      </w:pPr>
      <w:hyperlink r:id="rId8" w:history="1">
        <w:r w:rsidRPr="00013E18">
          <w:rPr>
            <w:rStyle w:val="Hyperlink"/>
            <w:bCs/>
            <w:iCs/>
          </w:rPr>
          <w:t>vci8@cdc.gov</w:t>
        </w:r>
      </w:hyperlink>
    </w:p>
    <w:p w:rsidR="00E6270C" w:rsidRPr="00CA44BE" w:rsidP="00E6270C" w14:paraId="13233BD4" w14:textId="77777777">
      <w:pPr>
        <w:rPr>
          <w:rStyle w:val="Hyperlink"/>
          <w:bCs/>
          <w:iCs/>
          <w:color w:val="auto"/>
          <w:u w:val="none"/>
        </w:rPr>
      </w:pPr>
      <w:r w:rsidRPr="00CA44BE">
        <w:rPr>
          <w:rStyle w:val="Hyperlink"/>
          <w:bCs/>
          <w:iCs/>
          <w:color w:val="auto"/>
          <w:u w:val="none"/>
        </w:rPr>
        <w:t xml:space="preserve">Khiya Mullins, DrPH, Lead Behavioral Scientist </w:t>
      </w:r>
    </w:p>
    <w:p w:rsidR="00E6270C" w:rsidRPr="00CA44BE" w:rsidP="00E6270C" w14:paraId="49BB0174" w14:textId="77777777">
      <w:pPr>
        <w:rPr>
          <w:rStyle w:val="Hyperlink"/>
          <w:bCs/>
          <w:iCs/>
          <w:color w:val="auto"/>
          <w:u w:val="none"/>
        </w:rPr>
      </w:pPr>
      <w:r w:rsidRPr="00CA44BE">
        <w:rPr>
          <w:rStyle w:val="Hyperlink"/>
          <w:bCs/>
          <w:iCs/>
          <w:color w:val="auto"/>
          <w:u w:val="none"/>
        </w:rPr>
        <w:t>770-488-3911</w:t>
      </w:r>
    </w:p>
    <w:p w:rsidR="00E6270C" w:rsidP="00E6270C" w14:paraId="2633A1A3" w14:textId="77777777">
      <w:pPr>
        <w:rPr>
          <w:rStyle w:val="Hyperlink"/>
          <w:bCs/>
          <w:iCs/>
        </w:rPr>
      </w:pPr>
      <w:hyperlink r:id="rId9" w:history="1">
        <w:r w:rsidRPr="00844A4E">
          <w:rPr>
            <w:rStyle w:val="Hyperlink"/>
            <w:bCs/>
            <w:iCs/>
          </w:rPr>
          <w:t>fys7@cdc.gov</w:t>
        </w:r>
      </w:hyperlink>
      <w:r>
        <w:rPr>
          <w:rStyle w:val="Hyperlink"/>
          <w:bCs/>
          <w:iCs/>
        </w:rPr>
        <w:t xml:space="preserve"> </w:t>
      </w:r>
    </w:p>
    <w:p w:rsidR="00E6270C" w:rsidRPr="00CA44BE" w:rsidP="00CA44BE" w14:paraId="1C86FCE9" w14:textId="77777777">
      <w:pPr>
        <w:rPr>
          <w:bCs/>
          <w:iCs/>
        </w:rPr>
      </w:pPr>
    </w:p>
    <w:p w:rsidR="00013E18" w:rsidRPr="00CA44BE" w:rsidP="00013E18" w14:paraId="50688561" w14:textId="77777777">
      <w:pPr>
        <w:rPr>
          <w:bCs/>
          <w:iCs/>
        </w:rPr>
      </w:pPr>
      <w:r w:rsidRPr="00CA44BE">
        <w:rPr>
          <w:bCs/>
          <w:iCs/>
        </w:rPr>
        <w:t>Applications Support Unit</w:t>
      </w:r>
    </w:p>
    <w:p w:rsidR="00013E18" w:rsidRPr="00CA44BE" w:rsidP="00013E18" w14:paraId="54D1BCD8" w14:textId="77777777">
      <w:pPr>
        <w:rPr>
          <w:bCs/>
          <w:iCs/>
        </w:rPr>
      </w:pPr>
      <w:r w:rsidRPr="00CA44BE">
        <w:rPr>
          <w:bCs/>
          <w:iCs/>
        </w:rPr>
        <w:t>Lisa Martin, Public Health Advisor</w:t>
      </w:r>
    </w:p>
    <w:p w:rsidR="00013E18" w:rsidRPr="00CA44BE" w:rsidP="00013E18" w14:paraId="0D4685CF" w14:textId="77777777">
      <w:pPr>
        <w:rPr>
          <w:bCs/>
          <w:iCs/>
        </w:rPr>
      </w:pPr>
      <w:r w:rsidRPr="00CA44BE">
        <w:rPr>
          <w:bCs/>
          <w:iCs/>
        </w:rPr>
        <w:t>404-498-3906</w:t>
      </w:r>
    </w:p>
    <w:p w:rsidR="00013E18" w:rsidRPr="00383FA2" w:rsidP="00013E18" w14:paraId="658819C8" w14:textId="77777777">
      <w:pPr>
        <w:rPr>
          <w:rFonts w:ascii="Arial Nova" w:hAnsi="Arial Nova"/>
          <w:bCs/>
          <w:iCs/>
          <w:u w:val="single"/>
        </w:rPr>
      </w:pPr>
      <w:hyperlink r:id="rId10" w:history="1">
        <w:r w:rsidRPr="00013E18">
          <w:rPr>
            <w:rStyle w:val="Hyperlink"/>
            <w:bCs/>
            <w:iCs/>
          </w:rPr>
          <w:t>uvx2@cdc.gov</w:t>
        </w:r>
      </w:hyperlink>
    </w:p>
    <w:p w:rsidR="007542F8" w:rsidP="007542F8" w14:paraId="35F38313" w14:textId="77777777">
      <w:pPr>
        <w:widowControl w:val="0"/>
        <w:autoSpaceDE w:val="0"/>
        <w:autoSpaceDN w:val="0"/>
        <w:adjustRightInd w:val="0"/>
      </w:pPr>
    </w:p>
    <w:p w:rsidR="00C65166" w:rsidP="00C65166" w14:paraId="0E888F3E" w14:textId="77777777">
      <w:pPr>
        <w:pStyle w:val="Heading2"/>
      </w:pPr>
      <w:bookmarkStart w:id="21" w:name="_Toc89252444"/>
      <w:r>
        <w:t>A.9. Explanation of Any Payment or Gift to Respondents</w:t>
      </w:r>
      <w:bookmarkEnd w:id="21"/>
    </w:p>
    <w:p w:rsidR="00C65166" w:rsidP="00C65166" w14:paraId="213042AF" w14:textId="77777777">
      <w:r w:rsidRPr="00C65166">
        <w:t>Respondents will not receive payments or gi</w:t>
      </w:r>
      <w:r>
        <w:t>fts for providing information.</w:t>
      </w:r>
    </w:p>
    <w:p w:rsidR="008B0B4A" w:rsidP="00C65166" w14:paraId="66064DE8" w14:textId="37F5CFF5"/>
    <w:p w:rsidR="00013E18" w:rsidRPr="00013E18" w:rsidP="00013E18" w14:paraId="1DF41E42" w14:textId="48E3FD83">
      <w:pPr>
        <w:pStyle w:val="Heading2"/>
      </w:pPr>
      <w:bookmarkStart w:id="22" w:name="_Toc89252445"/>
      <w:r>
        <w:t xml:space="preserve">A.10. </w:t>
      </w:r>
      <w:bookmarkEnd w:id="22"/>
      <w:r w:rsidRPr="00013E18">
        <w:t>Protection of the Privacy and Confidentiality of Information Provided by Respondent</w:t>
      </w:r>
    </w:p>
    <w:p w:rsidR="0000213F" w:rsidRPr="00BA5132" w:rsidP="0000213F" w14:paraId="61DEB86C" w14:textId="755C3082">
      <w:pPr>
        <w:pStyle w:val="BodyTextIndent2"/>
        <w:spacing w:line="240" w:lineRule="auto"/>
        <w:ind w:left="0"/>
        <w:rPr>
          <w:sz w:val="24"/>
        </w:rPr>
      </w:pPr>
      <w:r w:rsidRPr="00611D14">
        <w:rPr>
          <w:sz w:val="24"/>
        </w:rPr>
        <w:t>The CDC Office of the Chief Information Officer has determined that the Privacy Act does not apply to this information collection request.</w:t>
      </w:r>
      <w:r>
        <w:rPr>
          <w:sz w:val="24"/>
        </w:rPr>
        <w:t xml:space="preserve"> The </w:t>
      </w:r>
      <w:r w:rsidR="00013E18">
        <w:rPr>
          <w:sz w:val="24"/>
        </w:rPr>
        <w:t>EfC</w:t>
      </w:r>
      <w:r>
        <w:rPr>
          <w:sz w:val="24"/>
        </w:rPr>
        <w:t xml:space="preserve"> program </w:t>
      </w:r>
      <w:r w:rsidR="00660DD9">
        <w:rPr>
          <w:sz w:val="24"/>
        </w:rPr>
        <w:t>APR</w:t>
      </w:r>
      <w:r w:rsidR="003B50C5">
        <w:rPr>
          <w:sz w:val="24"/>
        </w:rPr>
        <w:t xml:space="preserve"> forms are</w:t>
      </w:r>
      <w:r>
        <w:rPr>
          <w:sz w:val="24"/>
        </w:rPr>
        <w:t xml:space="preserve"> housed within the Partner’s Portal web-based system. The Partner’s Portal</w:t>
      </w:r>
      <w:r w:rsidRPr="00BA5132">
        <w:rPr>
          <w:sz w:val="24"/>
        </w:rPr>
        <w:t xml:space="preserve"> system has a current Authorization to Operate</w:t>
      </w:r>
      <w:r w:rsidR="00B61EB1">
        <w:rPr>
          <w:sz w:val="24"/>
        </w:rPr>
        <w:t xml:space="preserve"> (Attachment 7)</w:t>
      </w:r>
      <w:r w:rsidRPr="00BA5132">
        <w:rPr>
          <w:sz w:val="24"/>
        </w:rPr>
        <w:t xml:space="preserve">. </w:t>
      </w:r>
    </w:p>
    <w:p w:rsidR="003B50C5" w:rsidRPr="003B50C5" w:rsidP="003B50C5" w14:paraId="49CBED72" w14:textId="3D9EEA55">
      <w:pPr>
        <w:rPr>
          <w:bCs/>
        </w:rPr>
      </w:pPr>
      <w:r w:rsidRPr="003B50C5">
        <w:rPr>
          <w:bCs/>
        </w:rPr>
        <w:t xml:space="preserve">Submission and access to data will be controlled by password-protected login to the secure site. To access the Partners Portal, staff must have been authenticated and have a Secure Access Management Services (SAMS) login and password. Access is limited to staff members of the organization who are authorized to enter data on behalf of their organization. Since the access to the Partners Portal is external </w:t>
      </w:r>
      <w:r w:rsidRPr="003B50C5">
        <w:rPr>
          <w:bCs/>
        </w:rPr>
        <w:t>and through SAMS, Active Directory is not used for authentication; therefore, no User IDs or passwords are maintained or used by the Partners Portal.</w:t>
      </w:r>
    </w:p>
    <w:p w:rsidR="003B50C5" w:rsidRPr="003B50C5" w:rsidP="003B50C5" w14:paraId="2F60FB5E" w14:textId="77777777">
      <w:pPr>
        <w:rPr>
          <w:bCs/>
        </w:rPr>
      </w:pPr>
    </w:p>
    <w:p w:rsidR="003B50C5" w:rsidRPr="003B50C5" w:rsidP="003B50C5" w14:paraId="36980D88" w14:textId="71AB5B63">
      <w:pPr>
        <w:rPr>
          <w:bCs/>
        </w:rPr>
      </w:pPr>
      <w:r w:rsidRPr="003B50C5">
        <w:rPr>
          <w:bCs/>
        </w:rPr>
        <w:t xml:space="preserve">Respondents for data collection are </w:t>
      </w:r>
      <w:r>
        <w:rPr>
          <w:bCs/>
        </w:rPr>
        <w:t>EfC</w:t>
      </w:r>
      <w:r w:rsidRPr="003B50C5">
        <w:rPr>
          <w:bCs/>
        </w:rPr>
        <w:t xml:space="preserve"> cooperative agreement recipients or their designated personnel.  No sensitive information or personal contact information will be collected. Each measure includes a section at the beginning to explain to respondents the purpose of the data collection, how data is stored and protected, and how data will be reported in aggregate form without identifying specific coalitions.</w:t>
      </w:r>
    </w:p>
    <w:p w:rsidR="003B50C5" w:rsidRPr="003B50C5" w:rsidP="003B50C5" w14:paraId="33D249FF" w14:textId="77777777">
      <w:pPr>
        <w:rPr>
          <w:bCs/>
        </w:rPr>
      </w:pPr>
    </w:p>
    <w:p w:rsidR="003B50C5" w:rsidRPr="003B50C5" w:rsidP="00233D39" w14:paraId="74B97846" w14:textId="55F7F8A1">
      <w:pPr>
        <w:spacing w:after="240"/>
        <w:rPr>
          <w:bCs/>
        </w:rPr>
      </w:pPr>
      <w:r w:rsidRPr="004C518F">
        <w:rPr>
          <w:bCs/>
        </w:rPr>
        <w:t>Apart from APRs, s</w:t>
      </w:r>
      <w:r w:rsidRPr="00287BD4">
        <w:rPr>
          <w:bCs/>
        </w:rPr>
        <w:t>urvey data will be collected via web-based video platform. Interview recordings will be kept until data analysis has been completed</w:t>
      </w:r>
      <w:r w:rsidRPr="004C518F">
        <w:rPr>
          <w:bCs/>
        </w:rPr>
        <w:t>.</w:t>
      </w:r>
      <w:r w:rsidRPr="00287BD4">
        <w:rPr>
          <w:bCs/>
        </w:rPr>
        <w:t xml:space="preserve"> </w:t>
      </w:r>
      <w:r w:rsidRPr="004C518F">
        <w:rPr>
          <w:bCs/>
        </w:rPr>
        <w:t>I</w:t>
      </w:r>
      <w:r w:rsidRPr="00287BD4">
        <w:rPr>
          <w:bCs/>
        </w:rPr>
        <w:t xml:space="preserve">nterview summary notes will be kept </w:t>
      </w:r>
      <w:r w:rsidRPr="004C518F">
        <w:rPr>
          <w:bCs/>
        </w:rPr>
        <w:t>two years after post-period of performance</w:t>
      </w:r>
      <w:r w:rsidRPr="00287BD4">
        <w:rPr>
          <w:bCs/>
        </w:rPr>
        <w:t xml:space="preserve"> (</w:t>
      </w:r>
      <w:r w:rsidRPr="004C518F">
        <w:rPr>
          <w:bCs/>
        </w:rPr>
        <w:t xml:space="preserve">i.e., September </w:t>
      </w:r>
      <w:r w:rsidRPr="00287BD4">
        <w:rPr>
          <w:bCs/>
        </w:rPr>
        <w:t>20</w:t>
      </w:r>
      <w:r w:rsidRPr="004C518F">
        <w:rPr>
          <w:bCs/>
        </w:rPr>
        <w:t>30</w:t>
      </w:r>
      <w:r w:rsidRPr="00287BD4">
        <w:rPr>
          <w:bCs/>
        </w:rPr>
        <w:t xml:space="preserve">) for analysis purposes. All data will be discarded in </w:t>
      </w:r>
      <w:r w:rsidRPr="004C518F">
        <w:rPr>
          <w:bCs/>
        </w:rPr>
        <w:t xml:space="preserve">September </w:t>
      </w:r>
      <w:r w:rsidRPr="00287BD4">
        <w:rPr>
          <w:bCs/>
        </w:rPr>
        <w:t xml:space="preserve">2030. Data will be maintained in a secure, password-protected system and accessed only by relevant CDC personnel working on </w:t>
      </w:r>
      <w:r w:rsidR="004C518F">
        <w:rPr>
          <w:bCs/>
        </w:rPr>
        <w:t>the project</w:t>
      </w:r>
      <w:r w:rsidRPr="00287BD4">
        <w:rPr>
          <w:bCs/>
        </w:rPr>
        <w:t xml:space="preserve">. All data will be reported in aggregate form, with no identifying information included. Recipients will provide programmatic information only and will not include any personally identifying information. All procedures have been developed, in accordance with federal, state, and local guidelines, to ensure that the rights and privacy of key recipients’ program staff (e.g., </w:t>
      </w:r>
      <w:r w:rsidRPr="004C518F">
        <w:rPr>
          <w:bCs/>
        </w:rPr>
        <w:t>principal investigator</w:t>
      </w:r>
      <w:r w:rsidRPr="00287BD4">
        <w:rPr>
          <w:bCs/>
        </w:rPr>
        <w:t xml:space="preserve">) will be protected and maintained. While consent is not required to report aggregate data, recipients will be notified of intent to use aggregate data and approval will be obtained if data specific to any </w:t>
      </w:r>
      <w:r w:rsidRPr="00287BD4">
        <w:rPr>
          <w:bCs/>
        </w:rPr>
        <w:t>particular coalition</w:t>
      </w:r>
      <w:r w:rsidRPr="00287BD4">
        <w:rPr>
          <w:bCs/>
        </w:rPr>
        <w:t xml:space="preserve"> are used for publications, reports, or other publicly disseminated information.</w:t>
      </w:r>
      <w:r w:rsidRPr="003B50C5">
        <w:rPr>
          <w:bCs/>
        </w:rPr>
        <w:t xml:space="preserve"> </w:t>
      </w:r>
      <w:r w:rsidRPr="003B50C5">
        <w:t>CDC will maintain IIF in the information technology systems (i.e., Partners Portal and CDC Microsoft OneDrive Excel datasets) utilized to monitor progress and outcomes. The information and passwords to these IT systems kept by CDC are private and secure to the extent permitted by law. Administrators cannot view user password credentials.</w:t>
      </w:r>
    </w:p>
    <w:p w:rsidR="009065F5" w:rsidP="00BD08B6" w14:paraId="4DCD4A39" w14:textId="4F6F83C2"/>
    <w:p w:rsidR="00C65166" w:rsidP="00C65166" w14:paraId="58C6E1A9" w14:textId="77777777">
      <w:pPr>
        <w:pStyle w:val="Heading2"/>
      </w:pPr>
      <w:bookmarkStart w:id="23" w:name="_Toc89252446"/>
      <w:r>
        <w:t>A.11. Institutional Review Board (IRB) and Justification for Sensitive Questions</w:t>
      </w:r>
      <w:bookmarkEnd w:id="23"/>
    </w:p>
    <w:p w:rsidR="00C65166" w:rsidP="00C65166" w14:paraId="60CBEB95" w14:textId="77777777"/>
    <w:p w:rsidR="00C65166" w:rsidP="00C65166" w14:paraId="0A198F25" w14:textId="4C3FE4B2">
      <w:pPr>
        <w:pStyle w:val="Heading3"/>
      </w:pPr>
      <w:bookmarkStart w:id="24" w:name="_Toc534716641"/>
      <w:bookmarkStart w:id="25" w:name="_Toc7592393"/>
      <w:bookmarkStart w:id="26" w:name="_Toc89252447"/>
      <w:r>
        <w:t>IRB Approval</w:t>
      </w:r>
      <w:bookmarkEnd w:id="24"/>
      <w:bookmarkEnd w:id="25"/>
      <w:bookmarkEnd w:id="26"/>
    </w:p>
    <w:p w:rsidR="00C65166" w:rsidP="00C65166" w14:paraId="23F9526D" w14:textId="074000F5">
      <w:r w:rsidRPr="00C65166">
        <w:t xml:space="preserve">The CDC </w:t>
      </w:r>
      <w:r w:rsidR="00660DD9">
        <w:t>NCIPC’s</w:t>
      </w:r>
      <w:r w:rsidRPr="00C65166">
        <w:t xml:space="preserve"> OMB and human subject</w:t>
      </w:r>
      <w:r w:rsidR="003B50C5">
        <w:t xml:space="preserve">’s liaison </w:t>
      </w:r>
      <w:r w:rsidRPr="00C65166">
        <w:t xml:space="preserve">has determined that </w:t>
      </w:r>
      <w:r w:rsidR="00D86D38">
        <w:t xml:space="preserve">this </w:t>
      </w:r>
      <w:r w:rsidR="00EE58AD">
        <w:t xml:space="preserve">collection </w:t>
      </w:r>
      <w:r w:rsidR="00D86D38">
        <w:t xml:space="preserve">is non-research and </w:t>
      </w:r>
      <w:r w:rsidRPr="00C65166">
        <w:t>IRB approval is not needed.</w:t>
      </w:r>
      <w:r w:rsidR="00855D47">
        <w:t xml:space="preserve"> </w:t>
      </w:r>
      <w:r w:rsidR="00394DF7">
        <w:t>The information does not involve the collection of personal information or participation of Human Subjects</w:t>
      </w:r>
      <w:r w:rsidR="00AD6A4D">
        <w:t xml:space="preserve"> (Attachment 8)</w:t>
      </w:r>
      <w:r w:rsidR="00394DF7">
        <w:t>.</w:t>
      </w:r>
      <w:r w:rsidRPr="003B50C5" w:rsidR="003B50C5">
        <w:t xml:space="preserve"> </w:t>
      </w:r>
    </w:p>
    <w:p w:rsidR="00C65166" w:rsidP="00C65166" w14:paraId="2EDBD253" w14:textId="77777777"/>
    <w:p w:rsidR="00C65166" w:rsidP="00C65166" w14:paraId="422092DE" w14:textId="38BFA2F1">
      <w:pPr>
        <w:pStyle w:val="Heading3"/>
      </w:pPr>
      <w:bookmarkStart w:id="27" w:name="_Toc534716642"/>
      <w:bookmarkStart w:id="28" w:name="_Toc7592394"/>
      <w:bookmarkStart w:id="29" w:name="_Toc89252448"/>
      <w:r>
        <w:t>Sensitive Questions</w:t>
      </w:r>
      <w:bookmarkEnd w:id="27"/>
      <w:bookmarkEnd w:id="28"/>
      <w:bookmarkEnd w:id="29"/>
    </w:p>
    <w:p w:rsidR="00C65166" w:rsidP="00C65166" w14:paraId="390D10F2" w14:textId="1C496357">
      <w:pPr>
        <w:rPr>
          <w:bCs/>
        </w:rPr>
      </w:pPr>
      <w:r w:rsidRPr="0085100A">
        <w:rPr>
          <w:bCs/>
        </w:rPr>
        <w:t xml:space="preserve">The proposed </w:t>
      </w:r>
      <w:r w:rsidR="007E568E">
        <w:rPr>
          <w:bCs/>
        </w:rPr>
        <w:t>information collection does</w:t>
      </w:r>
      <w:r w:rsidRPr="0085100A">
        <w:rPr>
          <w:bCs/>
        </w:rPr>
        <w:t xml:space="preserve"> not collect sensitive information. </w:t>
      </w:r>
    </w:p>
    <w:p w:rsidR="00EE58AD" w:rsidP="00C65166" w14:paraId="4674CE28" w14:textId="77777777">
      <w:pPr>
        <w:rPr>
          <w:bCs/>
        </w:rPr>
      </w:pPr>
    </w:p>
    <w:p w:rsidR="00C65166" w:rsidP="00C65166" w14:paraId="23D17446" w14:textId="76FF1062">
      <w:pPr>
        <w:pStyle w:val="Heading2"/>
      </w:pPr>
      <w:bookmarkStart w:id="30" w:name="_Toc89252449"/>
      <w:r>
        <w:t>A.12. Estimates of Annualized Burden Hours and Costs</w:t>
      </w:r>
      <w:bookmarkEnd w:id="30"/>
    </w:p>
    <w:p w:rsidR="006B2190" w:rsidRPr="006B2190" w:rsidP="006B2190" w14:paraId="32248101" w14:textId="77777777"/>
    <w:p w:rsidR="006B2190" w:rsidRPr="0085100A" w:rsidP="006B2190" w14:paraId="512DE569" w14:textId="5E1C324C">
      <w:pPr>
        <w:pStyle w:val="Heading3"/>
      </w:pPr>
      <w:bookmarkStart w:id="31" w:name="_Toc7592396"/>
      <w:bookmarkStart w:id="32" w:name="_Toc89252450"/>
      <w:r>
        <w:t>A.12.a</w:t>
      </w:r>
      <w:r>
        <w:t>) Annual Burden Hours</w:t>
      </w:r>
      <w:bookmarkEnd w:id="31"/>
      <w:bookmarkEnd w:id="32"/>
      <w:r w:rsidRPr="0085100A">
        <w:t xml:space="preserve"> </w:t>
      </w:r>
    </w:p>
    <w:p w:rsidR="003B50C5" w:rsidRPr="003B50C5" w:rsidP="003B50C5" w14:paraId="3035D9A4" w14:textId="77777777">
      <w:r w:rsidRPr="003B50C5">
        <w:t xml:space="preserve">The estimate for annual burden hours is based on actual hour burden for projects using similar types of interviews and surveys. </w:t>
      </w:r>
    </w:p>
    <w:p w:rsidR="003B50C5" w:rsidRPr="003B50C5" w:rsidP="003B50C5" w14:paraId="1CEB2665" w14:textId="77777777"/>
    <w:p w:rsidR="003B50C5" w:rsidRPr="003B50C5" w:rsidP="003B50C5" w14:paraId="042CC4EA" w14:textId="508DBF7F">
      <w:r w:rsidRPr="003B50C5">
        <w:rPr>
          <w:u w:val="single"/>
        </w:rPr>
        <w:t xml:space="preserve">Annual Performance Report </w:t>
      </w:r>
      <w:r w:rsidRPr="003B50C5">
        <w:t xml:space="preserve">– Project leads for </w:t>
      </w:r>
      <w:r w:rsidR="00FA1D41">
        <w:t>EfC</w:t>
      </w:r>
      <w:r w:rsidR="00FA1D41">
        <w:t xml:space="preserve"> </w:t>
      </w:r>
      <w:r w:rsidRPr="003B50C5">
        <w:t>will complete the APR</w:t>
      </w:r>
      <w:r w:rsidR="00660DD9">
        <w:t xml:space="preserve"> </w:t>
      </w:r>
      <w:r w:rsidRPr="003B50C5">
        <w:t xml:space="preserve">annually. The APR is expected to take an average of </w:t>
      </w:r>
      <w:r w:rsidRPr="00FA1D41">
        <w:t>10</w:t>
      </w:r>
      <w:r w:rsidRPr="003B50C5">
        <w:t xml:space="preserve"> hours per report </w:t>
      </w:r>
      <w:r w:rsidR="004E50BD">
        <w:t>to account for</w:t>
      </w:r>
      <w:r w:rsidRPr="003B50C5">
        <w:t xml:space="preserve"> time for reviewing instructions, searching existing data sources, </w:t>
      </w:r>
      <w:r w:rsidRPr="003B50C5" w:rsidR="00AD6A4D">
        <w:t>gathering,</w:t>
      </w:r>
      <w:r w:rsidRPr="003B50C5">
        <w:t xml:space="preserve"> and maintaining data needed for reporting, and completing and reviewing the collection of information. </w:t>
      </w:r>
    </w:p>
    <w:p w:rsidR="003B50C5" w:rsidRPr="003B50C5" w:rsidP="003B50C5" w14:paraId="448AFEC7" w14:textId="77777777"/>
    <w:p w:rsidR="003B50C5" w:rsidRPr="003B50C5" w:rsidP="003B50C5" w14:paraId="235CF3DB" w14:textId="64CB09D7">
      <w:r w:rsidRPr="003B50C5">
        <w:rPr>
          <w:u w:val="single"/>
        </w:rPr>
        <w:t>Key Informant Interviews</w:t>
      </w:r>
      <w:r w:rsidRPr="003B50C5">
        <w:t xml:space="preserve"> –</w:t>
      </w:r>
      <w:r w:rsidR="00AD6A4D">
        <w:t xml:space="preserve"> </w:t>
      </w:r>
      <w:r w:rsidRPr="003B50C5">
        <w:t xml:space="preserve">Key Informant Interviews will be conducted twice during the project period – once </w:t>
      </w:r>
      <w:r w:rsidR="004E50BD">
        <w:t>at</w:t>
      </w:r>
      <w:r w:rsidR="00287BD4">
        <w:t xml:space="preserve"> </w:t>
      </w:r>
      <w:r w:rsidRPr="003B50C5">
        <w:t xml:space="preserve">the start of the </w:t>
      </w:r>
      <w:r w:rsidR="004E50BD">
        <w:t>period of performance and</w:t>
      </w:r>
      <w:r w:rsidRPr="003B50C5">
        <w:t xml:space="preserve"> again near the end. The </w:t>
      </w:r>
      <w:r w:rsidR="004E50BD">
        <w:t xml:space="preserve">interview </w:t>
      </w:r>
      <w:r w:rsidRPr="003B50C5">
        <w:t xml:space="preserve">is designed to take </w:t>
      </w:r>
      <w:r w:rsidR="00B62D8D">
        <w:t>6</w:t>
      </w:r>
      <w:r w:rsidRPr="00FA1D41">
        <w:t>0</w:t>
      </w:r>
      <w:r w:rsidRPr="003B50C5">
        <w:t xml:space="preserve"> minutes for each </w:t>
      </w:r>
      <w:r w:rsidR="004E50BD">
        <w:t>respondent</w:t>
      </w:r>
      <w:r w:rsidRPr="003B50C5" w:rsidR="004E50BD">
        <w:t xml:space="preserve"> </w:t>
      </w:r>
      <w:r w:rsidRPr="003B50C5">
        <w:t xml:space="preserve">conducted with a </w:t>
      </w:r>
      <w:r w:rsidR="00AD6A4D">
        <w:t>principal</w:t>
      </w:r>
      <w:r w:rsidR="00FA1D41">
        <w:t xml:space="preserve"> investigator and implementor.</w:t>
      </w:r>
    </w:p>
    <w:p w:rsidR="003B50C5" w:rsidRPr="003B50C5" w:rsidP="003B50C5" w14:paraId="4003F10D" w14:textId="77777777"/>
    <w:p w:rsidR="003B50C5" w:rsidRPr="003B50C5" w:rsidP="003B50C5" w14:paraId="7243470D" w14:textId="6C9F2BBF">
      <w:r w:rsidRPr="00FA1D41">
        <w:rPr>
          <w:u w:val="single"/>
        </w:rPr>
        <w:t>Capacity Assessment</w:t>
      </w:r>
      <w:r w:rsidR="004E50BD">
        <w:rPr>
          <w:u w:val="single"/>
        </w:rPr>
        <w:t>s</w:t>
      </w:r>
      <w:r w:rsidRPr="003B50C5">
        <w:t xml:space="preserve"> –</w:t>
      </w:r>
      <w:r w:rsidR="003424A7">
        <w:t xml:space="preserve"> </w:t>
      </w:r>
      <w:r w:rsidR="004E50BD">
        <w:t>Principal investigators, s</w:t>
      </w:r>
      <w:r w:rsidR="003424A7">
        <w:t xml:space="preserve">urveillance </w:t>
      </w:r>
      <w:r w:rsidR="004258C9">
        <w:t>l</w:t>
      </w:r>
      <w:r w:rsidRPr="003B50C5">
        <w:t>eads</w:t>
      </w:r>
      <w:r w:rsidR="004E50BD">
        <w:t>,</w:t>
      </w:r>
      <w:r w:rsidRPr="003B50C5">
        <w:t xml:space="preserve"> or </w:t>
      </w:r>
      <w:r w:rsidR="004E50BD">
        <w:t>e</w:t>
      </w:r>
      <w:r w:rsidRPr="003B50C5">
        <w:t xml:space="preserve">valuators will complete the </w:t>
      </w:r>
      <w:r w:rsidR="003424A7">
        <w:t>capacity assessment</w:t>
      </w:r>
      <w:r w:rsidR="004E50BD">
        <w:t>s</w:t>
      </w:r>
      <w:r w:rsidRPr="003B50C5">
        <w:t xml:space="preserve"> in years 1. </w:t>
      </w:r>
      <w:r w:rsidR="004E50BD">
        <w:t>Most</w:t>
      </w:r>
      <w:r w:rsidRPr="003B50C5">
        <w:t xml:space="preserve"> questions will be </w:t>
      </w:r>
      <w:r w:rsidRPr="003B50C5">
        <w:t>close-ended</w:t>
      </w:r>
      <w:r w:rsidRPr="003B50C5">
        <w:t xml:space="preserve"> using a multiple-choice format, with some open-ended questions. Each survey takes </w:t>
      </w:r>
      <w:r w:rsidR="00E36A12">
        <w:t>3</w:t>
      </w:r>
      <w:r w:rsidRPr="003424A7">
        <w:t>0</w:t>
      </w:r>
      <w:r w:rsidRPr="003B50C5">
        <w:t xml:space="preserve"> minutes to complete.</w:t>
      </w:r>
    </w:p>
    <w:p w:rsidR="00067ED7" w:rsidP="006B2190" w14:paraId="49DFB6A9" w14:textId="2B9E9979"/>
    <w:p w:rsidR="003424A7" w:rsidRPr="003B50C5" w:rsidP="003424A7" w14:paraId="42E85743" w14:textId="5D84A794">
      <w:r w:rsidRPr="00FA1D41">
        <w:rPr>
          <w:u w:val="single"/>
        </w:rPr>
        <w:t>Evaluation and Surveillance Survey</w:t>
      </w:r>
      <w:r w:rsidRPr="003B50C5">
        <w:t xml:space="preserve"> – </w:t>
      </w:r>
      <w:r>
        <w:t xml:space="preserve">Surveillance </w:t>
      </w:r>
      <w:r w:rsidRPr="003B50C5">
        <w:t xml:space="preserve">Leads or Evaluators will complete the </w:t>
      </w:r>
      <w:r>
        <w:t>evaluation and surveillance survey</w:t>
      </w:r>
      <w:r w:rsidRPr="003B50C5">
        <w:t xml:space="preserve"> in year </w:t>
      </w:r>
      <w:r w:rsidR="00B62D8D">
        <w:t>3</w:t>
      </w:r>
      <w:r w:rsidRPr="003B50C5">
        <w:t xml:space="preserve">. </w:t>
      </w:r>
      <w:r w:rsidRPr="003B50C5" w:rsidR="00AD6A4D">
        <w:t>Most</w:t>
      </w:r>
      <w:r w:rsidRPr="003B50C5">
        <w:t xml:space="preserve"> questions will be </w:t>
      </w:r>
      <w:r w:rsidRPr="003B50C5" w:rsidR="00BD51D1">
        <w:t>close ended</w:t>
      </w:r>
      <w:r w:rsidRPr="003B50C5">
        <w:t xml:space="preserve"> using a multiple-choice format, with some open-ended questions</w:t>
      </w:r>
      <w:r w:rsidR="004E50BD">
        <w:t xml:space="preserve"> taking</w:t>
      </w:r>
      <w:r w:rsidR="00B62D8D">
        <w:t xml:space="preserve"> </w:t>
      </w:r>
      <w:r w:rsidR="000C5174">
        <w:t>6</w:t>
      </w:r>
      <w:r w:rsidRPr="003424A7">
        <w:t>0</w:t>
      </w:r>
      <w:r w:rsidRPr="003B50C5">
        <w:t xml:space="preserve"> minutes to complete.</w:t>
      </w:r>
    </w:p>
    <w:p w:rsidR="003B50C5" w:rsidP="006B2190" w14:paraId="4B0A122A" w14:textId="666870CA"/>
    <w:p w:rsidR="0000390E" w:rsidP="006B2190" w14:paraId="5AB685A5" w14:textId="5E8941B2">
      <w:pPr>
        <w:rPr>
          <w:b/>
          <w:bCs/>
        </w:rPr>
      </w:pPr>
      <w:r w:rsidRPr="003E66AC">
        <w:rPr>
          <w:b/>
          <w:bCs/>
        </w:rPr>
        <w:t>Table A.12-A. Estimated Annualized Burden Hours</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2701"/>
        <w:gridCol w:w="1435"/>
        <w:gridCol w:w="1348"/>
        <w:gridCol w:w="1265"/>
        <w:gridCol w:w="1172"/>
      </w:tblGrid>
      <w:tr w14:paraId="65D51BF0" w14:textId="77777777" w:rsidTr="003941DE">
        <w:tblPrEx>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rPr>
        <w:tc>
          <w:tcPr>
            <w:tcW w:w="1269" w:type="pct"/>
            <w:vAlign w:val="center"/>
          </w:tcPr>
          <w:p w:rsidR="005E01CE" w:rsidRPr="005E01CE" w:rsidP="00887A7A" w14:paraId="15CE8D12" w14:textId="77777777">
            <w:pPr>
              <w:jc w:val="center"/>
            </w:pPr>
            <w:bookmarkStart w:id="33" w:name="_Hlk128158146"/>
            <w:r w:rsidRPr="005E01CE">
              <w:t>Type of respondents</w:t>
            </w:r>
          </w:p>
        </w:tc>
        <w:tc>
          <w:tcPr>
            <w:tcW w:w="1272" w:type="pct"/>
            <w:shd w:val="clear" w:color="auto" w:fill="auto"/>
            <w:vAlign w:val="center"/>
          </w:tcPr>
          <w:p w:rsidR="005E01CE" w:rsidRPr="005E01CE" w:rsidP="00887A7A" w14:paraId="3006986C" w14:textId="77777777">
            <w:pPr>
              <w:jc w:val="center"/>
            </w:pPr>
            <w:r w:rsidRPr="005E01CE">
              <w:t>Form Name</w:t>
            </w:r>
          </w:p>
        </w:tc>
        <w:tc>
          <w:tcPr>
            <w:tcW w:w="676" w:type="pct"/>
            <w:shd w:val="clear" w:color="auto" w:fill="auto"/>
            <w:vAlign w:val="center"/>
          </w:tcPr>
          <w:p w:rsidR="005E01CE" w:rsidRPr="005E01CE" w:rsidP="00887A7A" w14:paraId="08123982" w14:textId="77777777">
            <w:pPr>
              <w:jc w:val="center"/>
            </w:pPr>
            <w:r w:rsidRPr="005E01CE">
              <w:t>No. of respondents</w:t>
            </w:r>
          </w:p>
        </w:tc>
        <w:tc>
          <w:tcPr>
            <w:tcW w:w="635" w:type="pct"/>
            <w:shd w:val="clear" w:color="auto" w:fill="auto"/>
            <w:vAlign w:val="center"/>
          </w:tcPr>
          <w:p w:rsidR="005E01CE" w:rsidRPr="005E01CE" w:rsidP="00887A7A" w14:paraId="3E34F4A3" w14:textId="77777777">
            <w:pPr>
              <w:jc w:val="center"/>
            </w:pPr>
            <w:r w:rsidRPr="005E01CE">
              <w:t>Number of responses per respondent</w:t>
            </w:r>
          </w:p>
        </w:tc>
        <w:tc>
          <w:tcPr>
            <w:tcW w:w="596" w:type="pct"/>
            <w:shd w:val="clear" w:color="auto" w:fill="auto"/>
            <w:vAlign w:val="center"/>
          </w:tcPr>
          <w:p w:rsidR="005E01CE" w:rsidRPr="005E01CE" w:rsidP="00887A7A" w14:paraId="1099E4D7" w14:textId="77777777">
            <w:pPr>
              <w:jc w:val="center"/>
            </w:pPr>
            <w:r w:rsidRPr="005E01CE">
              <w:t>Average burden per response (in hours)</w:t>
            </w:r>
          </w:p>
        </w:tc>
        <w:tc>
          <w:tcPr>
            <w:tcW w:w="552" w:type="pct"/>
            <w:shd w:val="clear" w:color="auto" w:fill="auto"/>
            <w:vAlign w:val="center"/>
          </w:tcPr>
          <w:p w:rsidR="005E01CE" w:rsidRPr="005E01CE" w:rsidP="00887A7A" w14:paraId="7AECB47D" w14:textId="77777777">
            <w:pPr>
              <w:jc w:val="center"/>
            </w:pPr>
            <w:r w:rsidRPr="005E01CE">
              <w:t>Total burden (in hours)</w:t>
            </w:r>
          </w:p>
        </w:tc>
      </w:tr>
      <w:tr w14:paraId="4C1AA4A3" w14:textId="77777777" w:rsidTr="003941DE">
        <w:tblPrEx>
          <w:tblW w:w="5271" w:type="pct"/>
          <w:tblLayout w:type="fixed"/>
          <w:tblLook w:val="04A0"/>
        </w:tblPrEx>
        <w:trPr>
          <w:trHeight w:val="1151"/>
        </w:trPr>
        <w:tc>
          <w:tcPr>
            <w:tcW w:w="1269" w:type="pct"/>
            <w:vMerge w:val="restart"/>
            <w:vAlign w:val="center"/>
          </w:tcPr>
          <w:p w:rsidR="001A7A26" w:rsidRPr="001A7A26" w:rsidP="001A7A26" w14:paraId="5FEA64B4" w14:textId="77777777">
            <w:pPr>
              <w:jc w:val="center"/>
            </w:pPr>
            <w:r w:rsidRPr="008F0774">
              <w:rPr>
                <w:smallCaps/>
              </w:rPr>
              <w:t>Essentials for Childhood grantees</w:t>
            </w:r>
          </w:p>
          <w:p w:rsidR="001A7A26" w:rsidRPr="001A7A26" w:rsidP="00071059" w14:paraId="2E2FC33E" w14:textId="4F9799F7">
            <w:pPr>
              <w:jc w:val="right"/>
            </w:pPr>
          </w:p>
        </w:tc>
        <w:tc>
          <w:tcPr>
            <w:tcW w:w="1272" w:type="pct"/>
            <w:shd w:val="clear" w:color="auto" w:fill="auto"/>
            <w:vAlign w:val="center"/>
          </w:tcPr>
          <w:p w:rsidR="001A7A26" w:rsidRPr="005E01CE" w:rsidP="005E01CE" w14:paraId="3EFAB033" w14:textId="0C0FD6C4">
            <w:pPr>
              <w:jc w:val="center"/>
            </w:pPr>
            <w:r w:rsidRPr="005E01CE">
              <w:t xml:space="preserve">Annual </w:t>
            </w:r>
            <w:r w:rsidR="00AF637F">
              <w:t xml:space="preserve">Performance </w:t>
            </w:r>
            <w:r w:rsidRPr="005E01CE">
              <w:t>Report</w:t>
            </w:r>
            <w:r w:rsidR="00AF637F">
              <w:t xml:space="preserve"> (APR)</w:t>
            </w:r>
            <w:r>
              <w:t xml:space="preserve"> – Project </w:t>
            </w:r>
            <w:r>
              <w:t xml:space="preserve">Leads </w:t>
            </w:r>
            <w:r w:rsidRPr="005E01CE">
              <w:t xml:space="preserve"> (</w:t>
            </w:r>
            <w:r w:rsidRPr="005E01CE">
              <w:t>Att. 3)</w:t>
            </w:r>
          </w:p>
        </w:tc>
        <w:tc>
          <w:tcPr>
            <w:tcW w:w="676" w:type="pct"/>
            <w:shd w:val="clear" w:color="auto" w:fill="auto"/>
            <w:vAlign w:val="center"/>
          </w:tcPr>
          <w:p w:rsidR="001A7A26" w:rsidRPr="005E01CE" w:rsidP="005E01CE" w14:paraId="324665AD" w14:textId="37CABF3A">
            <w:pPr>
              <w:jc w:val="center"/>
            </w:pPr>
            <w:r>
              <w:rPr>
                <w:color w:val="000000"/>
              </w:rPr>
              <w:t>12</w:t>
            </w:r>
          </w:p>
        </w:tc>
        <w:tc>
          <w:tcPr>
            <w:tcW w:w="635" w:type="pct"/>
            <w:shd w:val="clear" w:color="auto" w:fill="auto"/>
            <w:vAlign w:val="center"/>
          </w:tcPr>
          <w:p w:rsidR="001A7A26" w:rsidRPr="005E01CE" w:rsidP="005E01CE" w14:paraId="51B76CD2" w14:textId="729375A2">
            <w:pPr>
              <w:jc w:val="center"/>
            </w:pPr>
            <w:r>
              <w:rPr>
                <w:color w:val="000000"/>
              </w:rPr>
              <w:t>1</w:t>
            </w:r>
          </w:p>
        </w:tc>
        <w:tc>
          <w:tcPr>
            <w:tcW w:w="596" w:type="pct"/>
            <w:shd w:val="clear" w:color="auto" w:fill="auto"/>
            <w:vAlign w:val="center"/>
          </w:tcPr>
          <w:p w:rsidR="001A7A26" w:rsidRPr="005E01CE" w:rsidP="005E01CE" w14:paraId="04D69F5E" w14:textId="4CC1B07F">
            <w:pPr>
              <w:jc w:val="center"/>
            </w:pPr>
            <w:r w:rsidRPr="005E01CE">
              <w:rPr>
                <w:color w:val="000000"/>
              </w:rPr>
              <w:t>10</w:t>
            </w:r>
          </w:p>
        </w:tc>
        <w:tc>
          <w:tcPr>
            <w:tcW w:w="552" w:type="pct"/>
            <w:shd w:val="clear" w:color="auto" w:fill="auto"/>
            <w:vAlign w:val="center"/>
          </w:tcPr>
          <w:p w:rsidR="001A7A26" w:rsidRPr="00E86273" w:rsidP="005E01CE" w14:paraId="38AC7BEA" w14:textId="239E592A">
            <w:pPr>
              <w:jc w:val="center"/>
            </w:pPr>
            <w:r w:rsidRPr="00E86273">
              <w:t>120</w:t>
            </w:r>
          </w:p>
        </w:tc>
      </w:tr>
      <w:tr w14:paraId="21186F03" w14:textId="77777777" w:rsidTr="003941DE">
        <w:tblPrEx>
          <w:tblW w:w="5271" w:type="pct"/>
          <w:tblLayout w:type="fixed"/>
          <w:tblLook w:val="04A0"/>
        </w:tblPrEx>
        <w:trPr>
          <w:trHeight w:val="1205"/>
        </w:trPr>
        <w:tc>
          <w:tcPr>
            <w:tcW w:w="1269" w:type="pct"/>
            <w:vMerge/>
            <w:vAlign w:val="center"/>
          </w:tcPr>
          <w:p w:rsidR="001A7A26" w:rsidRPr="005E01CE" w:rsidP="00071059" w14:paraId="637459DB" w14:textId="2BC5D789">
            <w:pPr>
              <w:jc w:val="right"/>
            </w:pPr>
          </w:p>
        </w:tc>
        <w:tc>
          <w:tcPr>
            <w:tcW w:w="1272" w:type="pct"/>
            <w:shd w:val="clear" w:color="auto" w:fill="auto"/>
            <w:vAlign w:val="center"/>
          </w:tcPr>
          <w:p w:rsidR="001A7A26" w:rsidRPr="00E36A12" w:rsidP="003E361F" w14:paraId="42BE6CD9" w14:textId="5E1A00F8">
            <w:pPr>
              <w:jc w:val="center"/>
            </w:pPr>
            <w:r w:rsidRPr="00E36A12">
              <w:t>Key Informant Intervie</w:t>
            </w:r>
            <w:r>
              <w:t>w – Principal Investigators</w:t>
            </w:r>
            <w:r w:rsidRPr="00E36A12">
              <w:t xml:space="preserve"> </w:t>
            </w:r>
          </w:p>
          <w:p w:rsidR="001A7A26" w:rsidRPr="00E36A12" w:rsidP="003E361F" w14:paraId="1E629667" w14:textId="46B6C567">
            <w:pPr>
              <w:jc w:val="center"/>
            </w:pPr>
            <w:r w:rsidRPr="00E36A12">
              <w:t>(Att. 4a)</w:t>
            </w:r>
          </w:p>
          <w:p w:rsidR="001A7A26" w:rsidRPr="00E36A12" w:rsidP="00887A7A" w14:paraId="01A807F8" w14:textId="77777777">
            <w:pPr>
              <w:jc w:val="center"/>
            </w:pPr>
          </w:p>
        </w:tc>
        <w:tc>
          <w:tcPr>
            <w:tcW w:w="676" w:type="pct"/>
            <w:shd w:val="clear" w:color="auto" w:fill="auto"/>
            <w:vAlign w:val="center"/>
          </w:tcPr>
          <w:p w:rsidR="001A7A26" w:rsidRPr="00E36A12" w:rsidP="00887A7A" w14:paraId="26466DAB" w14:textId="2314FD24">
            <w:pPr>
              <w:jc w:val="center"/>
            </w:pPr>
            <w:r w:rsidRPr="00E36A12">
              <w:t>1</w:t>
            </w:r>
            <w:r>
              <w:t>2</w:t>
            </w:r>
          </w:p>
        </w:tc>
        <w:tc>
          <w:tcPr>
            <w:tcW w:w="635" w:type="pct"/>
            <w:shd w:val="clear" w:color="auto" w:fill="auto"/>
            <w:vAlign w:val="center"/>
          </w:tcPr>
          <w:p w:rsidR="001A7A26" w:rsidRPr="00E36A12" w:rsidP="00887A7A" w14:paraId="76E9F1EA" w14:textId="59A302BD">
            <w:pPr>
              <w:jc w:val="center"/>
            </w:pPr>
            <w:r>
              <w:t>1</w:t>
            </w:r>
          </w:p>
        </w:tc>
        <w:tc>
          <w:tcPr>
            <w:tcW w:w="596" w:type="pct"/>
            <w:shd w:val="clear" w:color="auto" w:fill="auto"/>
            <w:vAlign w:val="center"/>
          </w:tcPr>
          <w:p w:rsidR="001A7A26" w:rsidRPr="005E01CE" w:rsidP="00887A7A" w14:paraId="07F29D94" w14:textId="3D7B0690">
            <w:pPr>
              <w:jc w:val="center"/>
              <w:rPr>
                <w:color w:val="FF0000"/>
              </w:rPr>
            </w:pPr>
            <w:r>
              <w:t>1</w:t>
            </w:r>
          </w:p>
        </w:tc>
        <w:tc>
          <w:tcPr>
            <w:tcW w:w="552" w:type="pct"/>
            <w:shd w:val="clear" w:color="auto" w:fill="auto"/>
            <w:vAlign w:val="center"/>
          </w:tcPr>
          <w:p w:rsidR="001A7A26" w:rsidRPr="00E86273" w:rsidP="00887A7A" w14:paraId="0193E081" w14:textId="21376063">
            <w:pPr>
              <w:jc w:val="center"/>
            </w:pPr>
            <w:r>
              <w:t>12</w:t>
            </w:r>
          </w:p>
        </w:tc>
      </w:tr>
      <w:tr w14:paraId="27BD1955" w14:textId="77777777" w:rsidTr="003941DE">
        <w:tblPrEx>
          <w:tblW w:w="5271" w:type="pct"/>
          <w:tblLayout w:type="fixed"/>
          <w:tblLook w:val="04A0"/>
        </w:tblPrEx>
        <w:trPr>
          <w:trHeight w:val="1205"/>
        </w:trPr>
        <w:tc>
          <w:tcPr>
            <w:tcW w:w="1269" w:type="pct"/>
            <w:vMerge/>
            <w:vAlign w:val="center"/>
          </w:tcPr>
          <w:p w:rsidR="001A7A26" w:rsidRPr="005E01CE" w:rsidP="00071059" w14:paraId="24CB2777" w14:textId="02E263EC">
            <w:pPr>
              <w:jc w:val="right"/>
            </w:pPr>
          </w:p>
        </w:tc>
        <w:tc>
          <w:tcPr>
            <w:tcW w:w="1272" w:type="pct"/>
            <w:shd w:val="clear" w:color="auto" w:fill="auto"/>
            <w:vAlign w:val="center"/>
          </w:tcPr>
          <w:p w:rsidR="001A7A26" w:rsidP="00E36A12" w14:paraId="6D4729C3" w14:textId="77777777">
            <w:pPr>
              <w:jc w:val="center"/>
            </w:pPr>
            <w:r w:rsidRPr="00E36A12">
              <w:t>Key Informant Intervie</w:t>
            </w:r>
            <w:r>
              <w:t>w – Principal Investigator/</w:t>
            </w:r>
          </w:p>
          <w:p w:rsidR="001A7A26" w:rsidP="00E36A12" w14:paraId="7A660618" w14:textId="4C65825E">
            <w:pPr>
              <w:jc w:val="center"/>
            </w:pPr>
            <w:r>
              <w:t>Implementor</w:t>
            </w:r>
          </w:p>
          <w:p w:rsidR="001A7A26" w:rsidRPr="00E36A12" w:rsidP="00E36A12" w14:paraId="75B9188D" w14:textId="5661A0E3">
            <w:pPr>
              <w:jc w:val="center"/>
            </w:pPr>
            <w:r w:rsidRPr="00E36A12">
              <w:t xml:space="preserve"> (Att. 4b)</w:t>
            </w:r>
          </w:p>
          <w:p w:rsidR="001A7A26" w:rsidRPr="005E01CE" w:rsidP="00E36A12" w14:paraId="58EFDD18" w14:textId="77777777">
            <w:pPr>
              <w:jc w:val="center"/>
              <w:rPr>
                <w:color w:val="FF0000"/>
              </w:rPr>
            </w:pPr>
          </w:p>
        </w:tc>
        <w:tc>
          <w:tcPr>
            <w:tcW w:w="676" w:type="pct"/>
            <w:shd w:val="clear" w:color="auto" w:fill="auto"/>
            <w:vAlign w:val="center"/>
          </w:tcPr>
          <w:p w:rsidR="001A7A26" w:rsidRPr="005E01CE" w:rsidP="00E36A12" w14:paraId="0501D5F0" w14:textId="36459ED9">
            <w:pPr>
              <w:jc w:val="center"/>
              <w:rPr>
                <w:color w:val="FF0000"/>
              </w:rPr>
            </w:pPr>
            <w:r w:rsidRPr="00E36A12">
              <w:t>1</w:t>
            </w:r>
            <w:r>
              <w:t>2</w:t>
            </w:r>
          </w:p>
        </w:tc>
        <w:tc>
          <w:tcPr>
            <w:tcW w:w="635" w:type="pct"/>
            <w:shd w:val="clear" w:color="auto" w:fill="auto"/>
            <w:vAlign w:val="center"/>
          </w:tcPr>
          <w:p w:rsidR="001A7A26" w:rsidRPr="005E01CE" w:rsidP="00E36A12" w14:paraId="32790119" w14:textId="0BEA4B04">
            <w:pPr>
              <w:jc w:val="center"/>
              <w:rPr>
                <w:color w:val="FF0000"/>
              </w:rPr>
            </w:pPr>
            <w:r w:rsidRPr="00E36A12">
              <w:t>2</w:t>
            </w:r>
          </w:p>
        </w:tc>
        <w:tc>
          <w:tcPr>
            <w:tcW w:w="596" w:type="pct"/>
            <w:shd w:val="clear" w:color="auto" w:fill="auto"/>
            <w:vAlign w:val="center"/>
          </w:tcPr>
          <w:p w:rsidR="001A7A26" w:rsidRPr="005E01CE" w:rsidP="00E36A12" w14:paraId="672BFCAA" w14:textId="27C5C0A2">
            <w:pPr>
              <w:jc w:val="center"/>
              <w:rPr>
                <w:color w:val="FF0000"/>
              </w:rPr>
            </w:pPr>
            <w:r>
              <w:t>1</w:t>
            </w:r>
          </w:p>
        </w:tc>
        <w:tc>
          <w:tcPr>
            <w:tcW w:w="552" w:type="pct"/>
            <w:shd w:val="clear" w:color="auto" w:fill="auto"/>
            <w:vAlign w:val="center"/>
          </w:tcPr>
          <w:p w:rsidR="001A7A26" w:rsidRPr="00E86273" w:rsidP="00E36A12" w14:paraId="1D88E4C5" w14:textId="6C14C4B7">
            <w:pPr>
              <w:jc w:val="center"/>
            </w:pPr>
            <w:r>
              <w:t>24</w:t>
            </w:r>
          </w:p>
        </w:tc>
      </w:tr>
      <w:tr w14:paraId="6847772F" w14:textId="77777777" w:rsidTr="003941DE">
        <w:tblPrEx>
          <w:tblW w:w="5271" w:type="pct"/>
          <w:tblLayout w:type="fixed"/>
          <w:tblLook w:val="04A0"/>
        </w:tblPrEx>
        <w:trPr>
          <w:trHeight w:val="1205"/>
        </w:trPr>
        <w:tc>
          <w:tcPr>
            <w:tcW w:w="1269" w:type="pct"/>
            <w:vMerge/>
            <w:vAlign w:val="center"/>
          </w:tcPr>
          <w:p w:rsidR="001A7A26" w:rsidRPr="00E36A12" w:rsidP="00071059" w14:paraId="1C819B76" w14:textId="33D8D6DB">
            <w:pPr>
              <w:jc w:val="right"/>
            </w:pPr>
          </w:p>
        </w:tc>
        <w:tc>
          <w:tcPr>
            <w:tcW w:w="1272" w:type="pct"/>
            <w:shd w:val="clear" w:color="auto" w:fill="auto"/>
            <w:vAlign w:val="center"/>
          </w:tcPr>
          <w:p w:rsidR="001A7A26" w:rsidRPr="00E36A12" w:rsidP="00E36A12" w14:paraId="3C0CBE79" w14:textId="5EC92EF0">
            <w:pPr>
              <w:jc w:val="center"/>
            </w:pPr>
            <w:r w:rsidRPr="00E36A12">
              <w:t xml:space="preserve">Surveillance Capacity Assessment – </w:t>
            </w:r>
            <w:r>
              <w:t>Surveillance Lead</w:t>
            </w:r>
            <w:r w:rsidRPr="00E36A12">
              <w:t xml:space="preserve"> </w:t>
            </w:r>
          </w:p>
          <w:p w:rsidR="001A7A26" w:rsidRPr="00E36A12" w:rsidP="00E36A12" w14:paraId="3335BF95" w14:textId="4408C030">
            <w:pPr>
              <w:jc w:val="center"/>
            </w:pPr>
            <w:r w:rsidRPr="00E36A12">
              <w:t>(Att. 5</w:t>
            </w:r>
            <w:r>
              <w:t>a</w:t>
            </w:r>
            <w:r w:rsidRPr="00E36A12">
              <w:t>)</w:t>
            </w:r>
          </w:p>
          <w:p w:rsidR="001A7A26" w:rsidRPr="00E36A12" w:rsidP="00E36A12" w14:paraId="30037612" w14:textId="77777777">
            <w:pPr>
              <w:jc w:val="center"/>
              <w:rPr>
                <w:color w:val="FF0000"/>
              </w:rPr>
            </w:pPr>
          </w:p>
        </w:tc>
        <w:tc>
          <w:tcPr>
            <w:tcW w:w="676" w:type="pct"/>
            <w:shd w:val="clear" w:color="auto" w:fill="auto"/>
            <w:vAlign w:val="center"/>
          </w:tcPr>
          <w:p w:rsidR="001A7A26" w:rsidRPr="005E01CE" w:rsidP="00E36A12" w14:paraId="0FD55A32" w14:textId="3A0CB91F">
            <w:pPr>
              <w:jc w:val="center"/>
              <w:rPr>
                <w:color w:val="FF0000"/>
              </w:rPr>
            </w:pPr>
            <w:r w:rsidRPr="00E36A12">
              <w:t>1</w:t>
            </w:r>
            <w:r>
              <w:t>2</w:t>
            </w:r>
          </w:p>
        </w:tc>
        <w:tc>
          <w:tcPr>
            <w:tcW w:w="635" w:type="pct"/>
            <w:shd w:val="clear" w:color="auto" w:fill="auto"/>
            <w:vAlign w:val="center"/>
          </w:tcPr>
          <w:p w:rsidR="001A7A26" w:rsidRPr="005E01CE" w:rsidP="00E36A12" w14:paraId="06F1F8D9" w14:textId="41CAEB40">
            <w:pPr>
              <w:jc w:val="center"/>
              <w:rPr>
                <w:color w:val="FF0000"/>
              </w:rPr>
            </w:pPr>
            <w:r>
              <w:t>1</w:t>
            </w:r>
          </w:p>
        </w:tc>
        <w:tc>
          <w:tcPr>
            <w:tcW w:w="596" w:type="pct"/>
            <w:shd w:val="clear" w:color="auto" w:fill="auto"/>
            <w:vAlign w:val="center"/>
          </w:tcPr>
          <w:p w:rsidR="001A7A26" w:rsidRPr="005E01CE" w:rsidP="00E36A12" w14:paraId="0BE457A7" w14:textId="2A59BC28">
            <w:pPr>
              <w:jc w:val="center"/>
              <w:rPr>
                <w:color w:val="FF0000"/>
              </w:rPr>
            </w:pPr>
            <w:r>
              <w:t>30/60</w:t>
            </w:r>
          </w:p>
        </w:tc>
        <w:tc>
          <w:tcPr>
            <w:tcW w:w="552" w:type="pct"/>
            <w:shd w:val="clear" w:color="auto" w:fill="auto"/>
            <w:vAlign w:val="center"/>
          </w:tcPr>
          <w:p w:rsidR="001A7A26" w:rsidRPr="00E86273" w:rsidP="00E36A12" w14:paraId="52036BB2" w14:textId="1ECE5CF8">
            <w:pPr>
              <w:jc w:val="center"/>
            </w:pPr>
            <w:r>
              <w:t>6</w:t>
            </w:r>
          </w:p>
        </w:tc>
      </w:tr>
      <w:tr w14:paraId="604B04C8" w14:textId="77777777" w:rsidTr="003941DE">
        <w:tblPrEx>
          <w:tblW w:w="5271" w:type="pct"/>
          <w:tblLayout w:type="fixed"/>
          <w:tblLook w:val="04A0"/>
        </w:tblPrEx>
        <w:trPr>
          <w:trHeight w:val="1205"/>
        </w:trPr>
        <w:tc>
          <w:tcPr>
            <w:tcW w:w="1269" w:type="pct"/>
            <w:vMerge/>
            <w:vAlign w:val="center"/>
          </w:tcPr>
          <w:p w:rsidR="001A7A26" w:rsidRPr="00E36A12" w:rsidP="00071059" w14:paraId="37744730" w14:textId="53DFB6C9">
            <w:pPr>
              <w:jc w:val="right"/>
            </w:pPr>
          </w:p>
        </w:tc>
        <w:tc>
          <w:tcPr>
            <w:tcW w:w="1272" w:type="pct"/>
            <w:shd w:val="clear" w:color="auto" w:fill="auto"/>
            <w:vAlign w:val="center"/>
          </w:tcPr>
          <w:p w:rsidR="001A7A26" w:rsidRPr="00E36A12" w:rsidP="00071059" w14:paraId="02DBD648" w14:textId="063A7335">
            <w:pPr>
              <w:jc w:val="center"/>
            </w:pPr>
            <w:r>
              <w:t>Implementation Capacity Assessment (Att. 5b)</w:t>
            </w:r>
          </w:p>
        </w:tc>
        <w:tc>
          <w:tcPr>
            <w:tcW w:w="676" w:type="pct"/>
            <w:shd w:val="clear" w:color="auto" w:fill="auto"/>
            <w:vAlign w:val="center"/>
          </w:tcPr>
          <w:p w:rsidR="001A7A26" w:rsidRPr="00E36A12" w:rsidP="00071059" w14:paraId="46B83377" w14:textId="0B626A76">
            <w:pPr>
              <w:jc w:val="center"/>
            </w:pPr>
            <w:r>
              <w:t>12</w:t>
            </w:r>
          </w:p>
        </w:tc>
        <w:tc>
          <w:tcPr>
            <w:tcW w:w="635" w:type="pct"/>
            <w:shd w:val="clear" w:color="auto" w:fill="auto"/>
            <w:vAlign w:val="center"/>
          </w:tcPr>
          <w:p w:rsidR="001A7A26" w:rsidP="00071059" w14:paraId="239B35A0" w14:textId="599AD8CE">
            <w:pPr>
              <w:jc w:val="center"/>
            </w:pPr>
            <w:r>
              <w:t>1</w:t>
            </w:r>
          </w:p>
        </w:tc>
        <w:tc>
          <w:tcPr>
            <w:tcW w:w="596" w:type="pct"/>
            <w:shd w:val="clear" w:color="auto" w:fill="auto"/>
            <w:vAlign w:val="center"/>
          </w:tcPr>
          <w:p w:rsidR="001A7A26" w:rsidP="00071059" w14:paraId="1464F9FE" w14:textId="671AB8C2">
            <w:pPr>
              <w:jc w:val="center"/>
            </w:pPr>
            <w:r>
              <w:t>30/60</w:t>
            </w:r>
          </w:p>
        </w:tc>
        <w:tc>
          <w:tcPr>
            <w:tcW w:w="552" w:type="pct"/>
            <w:shd w:val="clear" w:color="auto" w:fill="auto"/>
            <w:vAlign w:val="center"/>
          </w:tcPr>
          <w:p w:rsidR="001A7A26" w:rsidRPr="00E86273" w:rsidP="00071059" w14:paraId="00D747F7" w14:textId="4A663526">
            <w:pPr>
              <w:jc w:val="center"/>
            </w:pPr>
            <w:r>
              <w:t>6</w:t>
            </w:r>
          </w:p>
        </w:tc>
      </w:tr>
      <w:tr w14:paraId="1F134AD8" w14:textId="77777777" w:rsidTr="003941DE">
        <w:tblPrEx>
          <w:tblW w:w="5271" w:type="pct"/>
          <w:tblLayout w:type="fixed"/>
          <w:tblLook w:val="04A0"/>
        </w:tblPrEx>
        <w:trPr>
          <w:trHeight w:val="1205"/>
        </w:trPr>
        <w:tc>
          <w:tcPr>
            <w:tcW w:w="1269" w:type="pct"/>
            <w:vMerge/>
            <w:vAlign w:val="center"/>
          </w:tcPr>
          <w:p w:rsidR="001A7A26" w:rsidRPr="005E01CE" w:rsidP="00071059" w14:paraId="18B43904" w14:textId="300866E6">
            <w:pPr>
              <w:jc w:val="right"/>
            </w:pPr>
          </w:p>
        </w:tc>
        <w:tc>
          <w:tcPr>
            <w:tcW w:w="1272" w:type="pct"/>
            <w:shd w:val="clear" w:color="auto" w:fill="auto"/>
            <w:vAlign w:val="center"/>
          </w:tcPr>
          <w:p w:rsidR="001A7A26" w:rsidP="00071059" w14:paraId="2B7A9ACA" w14:textId="77777777">
            <w:pPr>
              <w:jc w:val="center"/>
              <w:rPr>
                <w:color w:val="FF0000"/>
              </w:rPr>
            </w:pPr>
            <w:r>
              <w:t xml:space="preserve">Evaluation and Surveillance Survey </w:t>
            </w:r>
            <w:r w:rsidRPr="00E36A12">
              <w:t>–</w:t>
            </w:r>
            <w:r w:rsidRPr="005E01CE">
              <w:rPr>
                <w:color w:val="FF0000"/>
              </w:rPr>
              <w:t xml:space="preserve"> </w:t>
            </w:r>
            <w:r>
              <w:t xml:space="preserve">Surveillance </w:t>
            </w:r>
            <w:r w:rsidRPr="003B50C5">
              <w:t>Lead or Evaluator</w:t>
            </w:r>
            <w:r w:rsidRPr="005E01CE">
              <w:rPr>
                <w:color w:val="FF0000"/>
              </w:rPr>
              <w:t xml:space="preserve"> </w:t>
            </w:r>
          </w:p>
          <w:p w:rsidR="001A7A26" w:rsidRPr="00E36A12" w:rsidP="00071059" w14:paraId="54FC1A5B" w14:textId="45035257">
            <w:pPr>
              <w:jc w:val="center"/>
            </w:pPr>
            <w:r w:rsidRPr="00E36A12">
              <w:t xml:space="preserve">(Att. 6) </w:t>
            </w:r>
          </w:p>
          <w:p w:rsidR="001A7A26" w:rsidRPr="005E01CE" w:rsidP="00071059" w14:paraId="668BEEF8" w14:textId="77777777">
            <w:pPr>
              <w:jc w:val="center"/>
              <w:rPr>
                <w:color w:val="FF0000"/>
              </w:rPr>
            </w:pPr>
          </w:p>
        </w:tc>
        <w:tc>
          <w:tcPr>
            <w:tcW w:w="676" w:type="pct"/>
            <w:shd w:val="clear" w:color="auto" w:fill="auto"/>
            <w:vAlign w:val="center"/>
          </w:tcPr>
          <w:p w:rsidR="001A7A26" w:rsidRPr="005E01CE" w:rsidP="00071059" w14:paraId="215B9F19" w14:textId="05BEBED1">
            <w:pPr>
              <w:jc w:val="center"/>
              <w:rPr>
                <w:color w:val="FF0000"/>
              </w:rPr>
            </w:pPr>
            <w:r w:rsidRPr="00E36A12">
              <w:t>1</w:t>
            </w:r>
            <w:r>
              <w:t>2</w:t>
            </w:r>
          </w:p>
        </w:tc>
        <w:tc>
          <w:tcPr>
            <w:tcW w:w="635" w:type="pct"/>
            <w:shd w:val="clear" w:color="auto" w:fill="auto"/>
            <w:vAlign w:val="center"/>
          </w:tcPr>
          <w:p w:rsidR="001A7A26" w:rsidRPr="00BB3E20" w:rsidP="00071059" w14:paraId="52F35759" w14:textId="7D6DCFCF">
            <w:pPr>
              <w:jc w:val="center"/>
            </w:pPr>
            <w:r w:rsidRPr="00BB3E20">
              <w:t>1</w:t>
            </w:r>
          </w:p>
        </w:tc>
        <w:tc>
          <w:tcPr>
            <w:tcW w:w="596" w:type="pct"/>
            <w:shd w:val="clear" w:color="auto" w:fill="auto"/>
            <w:vAlign w:val="center"/>
          </w:tcPr>
          <w:p w:rsidR="001A7A26" w:rsidRPr="00BB3E20" w:rsidP="00071059" w14:paraId="5C6AE64B" w14:textId="4ACD2551">
            <w:pPr>
              <w:jc w:val="center"/>
            </w:pPr>
            <w:r>
              <w:t>1</w:t>
            </w:r>
          </w:p>
        </w:tc>
        <w:tc>
          <w:tcPr>
            <w:tcW w:w="552" w:type="pct"/>
            <w:shd w:val="clear" w:color="auto" w:fill="auto"/>
            <w:vAlign w:val="center"/>
          </w:tcPr>
          <w:p w:rsidR="001A7A26" w:rsidRPr="00E86273" w:rsidP="00071059" w14:paraId="0C11B9D8" w14:textId="41D2BAF9">
            <w:pPr>
              <w:jc w:val="center"/>
            </w:pPr>
            <w:r>
              <w:t>12</w:t>
            </w:r>
          </w:p>
        </w:tc>
      </w:tr>
      <w:tr w14:paraId="7DF0F8DE" w14:textId="77777777" w:rsidTr="003941DE">
        <w:tblPrEx>
          <w:tblW w:w="5271" w:type="pct"/>
          <w:tblLayout w:type="fixed"/>
          <w:tblLook w:val="04A0"/>
        </w:tblPrEx>
        <w:trPr>
          <w:trHeight w:val="215"/>
        </w:trPr>
        <w:tc>
          <w:tcPr>
            <w:tcW w:w="4448" w:type="pct"/>
            <w:gridSpan w:val="5"/>
            <w:vAlign w:val="center"/>
          </w:tcPr>
          <w:p w:rsidR="00071059" w:rsidRPr="005E01CE" w:rsidP="00071059" w14:paraId="422AFCDC" w14:textId="77777777">
            <w:pPr>
              <w:jc w:val="center"/>
            </w:pPr>
            <w:r w:rsidRPr="005E01CE">
              <w:t xml:space="preserve">Total </w:t>
            </w:r>
          </w:p>
        </w:tc>
        <w:tc>
          <w:tcPr>
            <w:tcW w:w="552" w:type="pct"/>
            <w:shd w:val="clear" w:color="auto" w:fill="auto"/>
            <w:vAlign w:val="center"/>
          </w:tcPr>
          <w:p w:rsidR="00071059" w:rsidRPr="005E01CE" w:rsidP="00071059" w14:paraId="06336D33" w14:textId="722D4409">
            <w:pPr>
              <w:jc w:val="center"/>
            </w:pPr>
            <w:r>
              <w:t>180</w:t>
            </w:r>
          </w:p>
        </w:tc>
      </w:tr>
      <w:bookmarkEnd w:id="33"/>
    </w:tbl>
    <w:p w:rsidR="005E01CE" w:rsidRPr="003E66AC" w:rsidP="006B2190" w14:paraId="69845C1C" w14:textId="77777777">
      <w:pPr>
        <w:rPr>
          <w:b/>
          <w:bCs/>
        </w:rPr>
      </w:pPr>
    </w:p>
    <w:p w:rsidR="00846805" w:rsidP="006B2190" w14:paraId="262CFEB3" w14:textId="77777777"/>
    <w:p w:rsidR="006B2190" w:rsidRPr="0085100A" w:rsidP="006B2190" w14:paraId="5B1E60A0" w14:textId="6D7B42BD">
      <w:pPr>
        <w:pStyle w:val="Heading3"/>
      </w:pPr>
      <w:bookmarkStart w:id="34" w:name="_Toc447176436"/>
      <w:bookmarkStart w:id="35" w:name="_Toc7592397"/>
      <w:bookmarkStart w:id="36" w:name="_Toc89252451"/>
      <w:r w:rsidRPr="0085100A">
        <w:t xml:space="preserve">A.12.b) Annual </w:t>
      </w:r>
      <w:bookmarkEnd w:id="34"/>
      <w:r>
        <w:t>Burden Costs</w:t>
      </w:r>
      <w:bookmarkEnd w:id="35"/>
      <w:bookmarkEnd w:id="36"/>
      <w:r w:rsidRPr="0085100A">
        <w:t xml:space="preserve"> </w:t>
      </w:r>
    </w:p>
    <w:p w:rsidR="003B50C5" w:rsidRPr="003B50C5" w:rsidP="003B50C5" w14:paraId="1212BCB1" w14:textId="5B2E1E15">
      <w:bookmarkStart w:id="37" w:name="_Hlk115181832"/>
      <w:r w:rsidRPr="003B50C5">
        <w:t xml:space="preserve">For each recipient, the project lead will complete the </w:t>
      </w:r>
      <w:r w:rsidR="003E7469">
        <w:t>APR</w:t>
      </w:r>
      <w:r w:rsidRPr="003B50C5">
        <w:t xml:space="preserve">, </w:t>
      </w:r>
      <w:r w:rsidRPr="00BB3E20">
        <w:t xml:space="preserve">the </w:t>
      </w:r>
      <w:r w:rsidR="003E7469">
        <w:t>principal</w:t>
      </w:r>
      <w:r w:rsidRPr="00BB3E20" w:rsidR="003E7469">
        <w:t xml:space="preserve"> </w:t>
      </w:r>
      <w:r w:rsidRPr="00BB3E20" w:rsidR="00BB3E20">
        <w:t xml:space="preserve">investigator and/or implementor </w:t>
      </w:r>
      <w:r w:rsidRPr="00BB3E20">
        <w:t xml:space="preserve">will each complete the Key Informant Interviews, </w:t>
      </w:r>
      <w:r w:rsidRPr="00BB3E20" w:rsidR="00BB3E20">
        <w:t xml:space="preserve">the </w:t>
      </w:r>
      <w:r w:rsidR="003E7469">
        <w:t xml:space="preserve">surveillance lead </w:t>
      </w:r>
      <w:r w:rsidRPr="00BB3E20" w:rsidR="00BB3E20">
        <w:t xml:space="preserve">will complete the Surveillance Capacity Assessment, </w:t>
      </w:r>
      <w:r w:rsidR="003E7469">
        <w:t xml:space="preserve">the principal investigator will complete the implementation capacity assessment, </w:t>
      </w:r>
      <w:r w:rsidRPr="00BB3E20">
        <w:t xml:space="preserve">and </w:t>
      </w:r>
      <w:r w:rsidRPr="00BB3E20" w:rsidR="00BB3E20">
        <w:t xml:space="preserve">the surveillance lead or </w:t>
      </w:r>
      <w:r w:rsidRPr="00BB3E20">
        <w:t xml:space="preserve">evaluator will complete the </w:t>
      </w:r>
      <w:r w:rsidRPr="00BB3E20" w:rsidR="00BB3E20">
        <w:t xml:space="preserve">Evaluation and Surveillance </w:t>
      </w:r>
      <w:r w:rsidRPr="00BB3E20">
        <w:t>survey. The</w:t>
      </w:r>
      <w:r w:rsidRPr="003B50C5">
        <w:t xml:space="preserve"> </w:t>
      </w:r>
      <w:hyperlink r:id="rId11" w:history="1">
        <w:r w:rsidRPr="003B50C5">
          <w:t>average annual wage</w:t>
        </w:r>
      </w:hyperlink>
      <w:r w:rsidRPr="003B50C5">
        <w:t xml:space="preserve"> for program leads, program evaluators, and similar non-profit or public sector positions is estimated to be $</w:t>
      </w:r>
      <w:r w:rsidR="00071059">
        <w:t>3,314.21</w:t>
      </w:r>
      <w:r w:rsidRPr="003B50C5">
        <w:t xml:space="preserve"> per year. The average hourly wage for these positions is $30.02 as estimated by the Bureau of Labor Statistics (</w:t>
      </w:r>
      <w:hyperlink r:id="rId12" w:anchor="00-0000" w:history="1">
        <w:r w:rsidRPr="003B50C5">
          <w:t>https://www.bls.gov/oes/current/999001.htm#00-0000</w:t>
        </w:r>
      </w:hyperlink>
      <w:r w:rsidRPr="003B50C5">
        <w:t>)</w:t>
      </w:r>
      <w:r w:rsidR="00AD5FF9">
        <w:t>.</w:t>
      </w:r>
    </w:p>
    <w:p w:rsidR="003B50C5" w:rsidRPr="003B50C5" w:rsidP="003B50C5" w14:paraId="73DDA04C" w14:textId="77777777"/>
    <w:p w:rsidR="003B50C5" w:rsidRPr="003B50C5" w:rsidP="003B50C5" w14:paraId="185B8730" w14:textId="1344ECF7">
      <w:pPr>
        <w:rPr>
          <w:color w:val="70AD47" w:themeColor="accent6"/>
        </w:rPr>
      </w:pPr>
      <w:r w:rsidRPr="003B50C5">
        <w:t>The total estimated burden cost to respondents over the 5-year cooperative agreement is $</w:t>
      </w:r>
      <w:r w:rsidRPr="00071059" w:rsidR="00071059">
        <w:t>16,571.04</w:t>
      </w:r>
      <w:r w:rsidRPr="003B50C5">
        <w:t>, as summarized in Table A12.-B.</w:t>
      </w:r>
    </w:p>
    <w:bookmarkEnd w:id="37"/>
    <w:p w:rsidR="00E934F1" w:rsidRPr="0085100A" w:rsidP="006B2190" w14:paraId="7C03E454" w14:textId="77777777">
      <w:pPr>
        <w:rPr>
          <w:bCs/>
        </w:rPr>
      </w:pPr>
    </w:p>
    <w:p w:rsidR="007A213E" w:rsidP="006B2190" w14:paraId="229707FC" w14:textId="75281E91">
      <w:pPr>
        <w:rPr>
          <w:b/>
        </w:rPr>
      </w:pPr>
      <w:r w:rsidRPr="003E66AC">
        <w:rPr>
          <w:b/>
        </w:rPr>
        <w:t xml:space="preserve">Table A.12-B. Estimated Annualized Burden Costs </w:t>
      </w:r>
    </w:p>
    <w:tbl>
      <w:tblPr>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8"/>
        <w:gridCol w:w="2702"/>
        <w:gridCol w:w="1169"/>
        <w:gridCol w:w="1351"/>
        <w:gridCol w:w="1526"/>
      </w:tblGrid>
      <w:tr w14:paraId="5012609E" w14:textId="77777777" w:rsidTr="00F66523">
        <w:tblPrEx>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rPr>
        <w:tc>
          <w:tcPr>
            <w:tcW w:w="1428" w:type="pct"/>
            <w:vAlign w:val="center"/>
          </w:tcPr>
          <w:p w:rsidR="00F66523" w:rsidRPr="005E01CE" w:rsidP="00BB3E20" w14:paraId="0608F62B" w14:textId="77777777">
            <w:pPr>
              <w:jc w:val="center"/>
            </w:pPr>
            <w:bookmarkStart w:id="38" w:name="_Hlk128159778"/>
            <w:r w:rsidRPr="005E01CE">
              <w:t>Type of respondents</w:t>
            </w:r>
          </w:p>
        </w:tc>
        <w:tc>
          <w:tcPr>
            <w:tcW w:w="1430" w:type="pct"/>
            <w:shd w:val="clear" w:color="auto" w:fill="auto"/>
            <w:vAlign w:val="center"/>
          </w:tcPr>
          <w:p w:rsidR="00F66523" w:rsidRPr="005E01CE" w:rsidP="00BB3E20" w14:paraId="20D882B9" w14:textId="77777777">
            <w:pPr>
              <w:jc w:val="center"/>
            </w:pPr>
            <w:r w:rsidRPr="005E01CE">
              <w:t>Form Name</w:t>
            </w:r>
          </w:p>
        </w:tc>
        <w:tc>
          <w:tcPr>
            <w:tcW w:w="619" w:type="pct"/>
            <w:shd w:val="clear" w:color="auto" w:fill="auto"/>
            <w:vAlign w:val="center"/>
          </w:tcPr>
          <w:p w:rsidR="00F66523" w:rsidRPr="005E01CE" w:rsidP="00BB3E20" w14:paraId="2D1BC867" w14:textId="2800AFE8">
            <w:pPr>
              <w:jc w:val="center"/>
            </w:pPr>
            <w:r w:rsidRPr="005E01CE">
              <w:t>Total burden (in hours)</w:t>
            </w:r>
          </w:p>
        </w:tc>
        <w:tc>
          <w:tcPr>
            <w:tcW w:w="715" w:type="pct"/>
            <w:shd w:val="clear" w:color="auto" w:fill="auto"/>
            <w:vAlign w:val="center"/>
          </w:tcPr>
          <w:p w:rsidR="00F66523" w:rsidRPr="005E01CE" w:rsidP="00BB3E20" w14:paraId="1DE3DF0D" w14:textId="1760DEDF">
            <w:pPr>
              <w:jc w:val="center"/>
            </w:pPr>
            <w:r w:rsidRPr="00BB3E20">
              <w:t>Hourly wage rate</w:t>
            </w:r>
          </w:p>
        </w:tc>
        <w:tc>
          <w:tcPr>
            <w:tcW w:w="808" w:type="pct"/>
            <w:shd w:val="clear" w:color="auto" w:fill="auto"/>
            <w:vAlign w:val="center"/>
          </w:tcPr>
          <w:p w:rsidR="00F66523" w:rsidRPr="005E01CE" w:rsidP="00BB3E20" w14:paraId="49F0C213" w14:textId="0D9652F7">
            <w:pPr>
              <w:jc w:val="center"/>
            </w:pPr>
            <w:r w:rsidRPr="00BB3E20">
              <w:t>Total respondent cost</w:t>
            </w:r>
          </w:p>
        </w:tc>
      </w:tr>
      <w:tr w14:paraId="31DAA212" w14:textId="77777777" w:rsidTr="00700658">
        <w:tblPrEx>
          <w:tblW w:w="4690" w:type="pct"/>
          <w:tblLayout w:type="fixed"/>
          <w:tblLook w:val="04A0"/>
        </w:tblPrEx>
        <w:trPr>
          <w:trHeight w:val="1151"/>
        </w:trPr>
        <w:tc>
          <w:tcPr>
            <w:tcW w:w="1428" w:type="pct"/>
            <w:vMerge w:val="restart"/>
            <w:vAlign w:val="center"/>
          </w:tcPr>
          <w:p w:rsidR="00700658" w:rsidRPr="001A7A26" w:rsidP="00700658" w14:paraId="2F27922B" w14:textId="77777777">
            <w:pPr>
              <w:jc w:val="center"/>
            </w:pPr>
            <w:r w:rsidRPr="008F0774">
              <w:rPr>
                <w:smallCaps/>
              </w:rPr>
              <w:t>Essentials for Childhood grantees</w:t>
            </w:r>
          </w:p>
          <w:p w:rsidR="00700658" w:rsidRPr="005E01CE" w:rsidP="00700658" w14:paraId="725944D7" w14:textId="627EA25C">
            <w:pPr>
              <w:jc w:val="right"/>
            </w:pPr>
          </w:p>
        </w:tc>
        <w:tc>
          <w:tcPr>
            <w:tcW w:w="1430" w:type="pct"/>
            <w:shd w:val="clear" w:color="auto" w:fill="auto"/>
            <w:vAlign w:val="center"/>
          </w:tcPr>
          <w:p w:rsidR="00700658" w:rsidRPr="005E01CE" w:rsidP="00700658" w14:paraId="65B2D23B" w14:textId="77777777">
            <w:pPr>
              <w:jc w:val="center"/>
            </w:pPr>
            <w:r w:rsidRPr="005E01CE">
              <w:t>Annual Reporting</w:t>
            </w:r>
            <w:r>
              <w:t xml:space="preserve"> – Project </w:t>
            </w:r>
            <w:r>
              <w:t xml:space="preserve">Leads </w:t>
            </w:r>
            <w:r w:rsidRPr="005E01CE">
              <w:t xml:space="preserve"> (</w:t>
            </w:r>
            <w:r w:rsidRPr="005E01CE">
              <w:t>Att. 3)</w:t>
            </w:r>
          </w:p>
        </w:tc>
        <w:tc>
          <w:tcPr>
            <w:tcW w:w="619" w:type="pct"/>
            <w:shd w:val="clear" w:color="auto" w:fill="auto"/>
            <w:vAlign w:val="center"/>
          </w:tcPr>
          <w:p w:rsidR="00700658" w:rsidRPr="005E01CE" w:rsidP="00700658" w14:paraId="18381174" w14:textId="30BE58E5">
            <w:pPr>
              <w:jc w:val="center"/>
            </w:pPr>
            <w:r>
              <w:rPr>
                <w:color w:val="000000"/>
              </w:rPr>
              <w:t>120</w:t>
            </w:r>
          </w:p>
        </w:tc>
        <w:tc>
          <w:tcPr>
            <w:tcW w:w="715" w:type="pct"/>
            <w:shd w:val="clear" w:color="auto" w:fill="auto"/>
            <w:vAlign w:val="center"/>
          </w:tcPr>
          <w:p w:rsidR="00700658" w:rsidRPr="005E01CE" w:rsidP="00700658" w14:paraId="3A0257D2" w14:textId="22C5D05C">
            <w:pPr>
              <w:jc w:val="center"/>
            </w:pPr>
            <w:r w:rsidRPr="003B50C5">
              <w:t>$30.02</w:t>
            </w:r>
          </w:p>
        </w:tc>
        <w:tc>
          <w:tcPr>
            <w:tcW w:w="808" w:type="pct"/>
            <w:shd w:val="clear" w:color="auto" w:fill="auto"/>
            <w:vAlign w:val="center"/>
          </w:tcPr>
          <w:p w:rsidR="00700658" w:rsidRPr="005E01CE" w:rsidP="00700658" w14:paraId="06EFF47A" w14:textId="1D27B4D7">
            <w:pPr>
              <w:jc w:val="center"/>
            </w:pPr>
            <w:r w:rsidRPr="00C5091B">
              <w:t>3602.4</w:t>
            </w:r>
            <w:r w:rsidR="003B0A5F">
              <w:t>0</w:t>
            </w:r>
          </w:p>
        </w:tc>
      </w:tr>
      <w:tr w14:paraId="63B31D36" w14:textId="77777777" w:rsidTr="00700658">
        <w:tblPrEx>
          <w:tblW w:w="4690" w:type="pct"/>
          <w:tblLayout w:type="fixed"/>
          <w:tblLook w:val="04A0"/>
        </w:tblPrEx>
        <w:trPr>
          <w:trHeight w:val="1205"/>
        </w:trPr>
        <w:tc>
          <w:tcPr>
            <w:tcW w:w="1428" w:type="pct"/>
            <w:vMerge/>
            <w:vAlign w:val="center"/>
          </w:tcPr>
          <w:p w:rsidR="00700658" w:rsidRPr="005E01CE" w:rsidP="00700658" w14:paraId="2B88591E" w14:textId="406B4EA6">
            <w:pPr>
              <w:jc w:val="right"/>
            </w:pPr>
          </w:p>
        </w:tc>
        <w:tc>
          <w:tcPr>
            <w:tcW w:w="1430" w:type="pct"/>
            <w:shd w:val="clear" w:color="auto" w:fill="auto"/>
            <w:vAlign w:val="center"/>
          </w:tcPr>
          <w:p w:rsidR="00700658" w:rsidRPr="00E36A12" w:rsidP="00700658" w14:paraId="28CF9FCD" w14:textId="77777777">
            <w:pPr>
              <w:jc w:val="center"/>
            </w:pPr>
            <w:r w:rsidRPr="00E36A12">
              <w:t>Key Informant Intervie</w:t>
            </w:r>
            <w:r>
              <w:t>w – Principal Investigators</w:t>
            </w:r>
            <w:r w:rsidRPr="00E36A12">
              <w:t xml:space="preserve"> </w:t>
            </w:r>
          </w:p>
          <w:p w:rsidR="00700658" w:rsidRPr="00E36A12" w:rsidP="00700658" w14:paraId="40325563" w14:textId="77777777">
            <w:pPr>
              <w:jc w:val="center"/>
            </w:pPr>
            <w:r w:rsidRPr="00E36A12">
              <w:t>(Att. 4a)</w:t>
            </w:r>
          </w:p>
          <w:p w:rsidR="00700658" w:rsidRPr="00E36A12" w:rsidP="00700658" w14:paraId="66028F9A" w14:textId="77777777">
            <w:pPr>
              <w:jc w:val="center"/>
            </w:pPr>
          </w:p>
        </w:tc>
        <w:tc>
          <w:tcPr>
            <w:tcW w:w="619" w:type="pct"/>
            <w:shd w:val="clear" w:color="auto" w:fill="auto"/>
            <w:vAlign w:val="center"/>
          </w:tcPr>
          <w:p w:rsidR="00700658" w:rsidRPr="00E36A12" w:rsidP="00700658" w14:paraId="0B4C0295" w14:textId="4876E36A">
            <w:pPr>
              <w:jc w:val="center"/>
            </w:pPr>
            <w:r>
              <w:t>12</w:t>
            </w:r>
          </w:p>
        </w:tc>
        <w:tc>
          <w:tcPr>
            <w:tcW w:w="715" w:type="pct"/>
            <w:shd w:val="clear" w:color="auto" w:fill="auto"/>
            <w:vAlign w:val="center"/>
          </w:tcPr>
          <w:p w:rsidR="00700658" w:rsidRPr="00E36A12" w:rsidP="00700658" w14:paraId="7E0BB65D" w14:textId="290E6FCF">
            <w:pPr>
              <w:jc w:val="center"/>
            </w:pPr>
            <w:r w:rsidRPr="003B50C5">
              <w:t>$30.02</w:t>
            </w:r>
          </w:p>
        </w:tc>
        <w:tc>
          <w:tcPr>
            <w:tcW w:w="808" w:type="pct"/>
            <w:shd w:val="clear" w:color="auto" w:fill="auto"/>
            <w:vAlign w:val="center"/>
          </w:tcPr>
          <w:p w:rsidR="00700658" w:rsidRPr="00F66523" w:rsidP="00700658" w14:paraId="225FFC62" w14:textId="13254BE0">
            <w:pPr>
              <w:jc w:val="center"/>
            </w:pPr>
            <w:r>
              <w:t>360.24</w:t>
            </w:r>
          </w:p>
        </w:tc>
      </w:tr>
      <w:tr w14:paraId="614654C6" w14:textId="77777777" w:rsidTr="00700658">
        <w:tblPrEx>
          <w:tblW w:w="4690" w:type="pct"/>
          <w:tblLayout w:type="fixed"/>
          <w:tblLook w:val="04A0"/>
        </w:tblPrEx>
        <w:trPr>
          <w:trHeight w:val="1205"/>
        </w:trPr>
        <w:tc>
          <w:tcPr>
            <w:tcW w:w="1428" w:type="pct"/>
            <w:vMerge/>
            <w:vAlign w:val="center"/>
          </w:tcPr>
          <w:p w:rsidR="00700658" w:rsidRPr="005E01CE" w:rsidP="00700658" w14:paraId="697489E4" w14:textId="24276753">
            <w:pPr>
              <w:jc w:val="right"/>
            </w:pPr>
          </w:p>
        </w:tc>
        <w:tc>
          <w:tcPr>
            <w:tcW w:w="1430" w:type="pct"/>
            <w:shd w:val="clear" w:color="auto" w:fill="auto"/>
            <w:vAlign w:val="center"/>
          </w:tcPr>
          <w:p w:rsidR="00700658" w:rsidP="00700658" w14:paraId="36DAD189" w14:textId="77777777">
            <w:pPr>
              <w:jc w:val="center"/>
            </w:pPr>
            <w:r w:rsidRPr="00E36A12">
              <w:t>Key Informant Intervie</w:t>
            </w:r>
            <w:r>
              <w:t>w – Principal Investigator/</w:t>
            </w:r>
          </w:p>
          <w:p w:rsidR="00700658" w:rsidP="00700658" w14:paraId="03A54938" w14:textId="77777777">
            <w:pPr>
              <w:jc w:val="center"/>
            </w:pPr>
            <w:r>
              <w:t>Implementor</w:t>
            </w:r>
          </w:p>
          <w:p w:rsidR="00700658" w:rsidRPr="00E36A12" w:rsidP="00700658" w14:paraId="76F691A7" w14:textId="77777777">
            <w:pPr>
              <w:jc w:val="center"/>
            </w:pPr>
            <w:r w:rsidRPr="00E36A12">
              <w:t xml:space="preserve"> (Att. 4b)</w:t>
            </w:r>
          </w:p>
          <w:p w:rsidR="00700658" w:rsidRPr="005E01CE" w:rsidP="00700658" w14:paraId="6C3EA93A" w14:textId="77777777">
            <w:pPr>
              <w:jc w:val="center"/>
              <w:rPr>
                <w:color w:val="FF0000"/>
              </w:rPr>
            </w:pPr>
          </w:p>
        </w:tc>
        <w:tc>
          <w:tcPr>
            <w:tcW w:w="619" w:type="pct"/>
            <w:shd w:val="clear" w:color="auto" w:fill="auto"/>
            <w:vAlign w:val="center"/>
          </w:tcPr>
          <w:p w:rsidR="00700658" w:rsidRPr="005E01CE" w:rsidP="00700658" w14:paraId="3AEF1620" w14:textId="4B8E8A14">
            <w:pPr>
              <w:jc w:val="center"/>
              <w:rPr>
                <w:color w:val="FF0000"/>
              </w:rPr>
            </w:pPr>
            <w:r>
              <w:t>24</w:t>
            </w:r>
          </w:p>
        </w:tc>
        <w:tc>
          <w:tcPr>
            <w:tcW w:w="715" w:type="pct"/>
            <w:shd w:val="clear" w:color="auto" w:fill="auto"/>
            <w:vAlign w:val="center"/>
          </w:tcPr>
          <w:p w:rsidR="00700658" w:rsidRPr="005E01CE" w:rsidP="00700658" w14:paraId="01308D70" w14:textId="29E41A5D">
            <w:pPr>
              <w:jc w:val="center"/>
              <w:rPr>
                <w:color w:val="FF0000"/>
              </w:rPr>
            </w:pPr>
            <w:r w:rsidRPr="003B50C5">
              <w:t>$30.02</w:t>
            </w:r>
          </w:p>
        </w:tc>
        <w:tc>
          <w:tcPr>
            <w:tcW w:w="808" w:type="pct"/>
            <w:shd w:val="clear" w:color="auto" w:fill="auto"/>
            <w:vAlign w:val="center"/>
          </w:tcPr>
          <w:p w:rsidR="00700658" w:rsidRPr="00F66523" w:rsidP="00700658" w14:paraId="3EAEC3ED" w14:textId="0357D35B">
            <w:pPr>
              <w:jc w:val="center"/>
            </w:pPr>
            <w:r>
              <w:t>720.48</w:t>
            </w:r>
          </w:p>
        </w:tc>
      </w:tr>
      <w:tr w14:paraId="2BCD882C" w14:textId="77777777" w:rsidTr="00700658">
        <w:tblPrEx>
          <w:tblW w:w="4690" w:type="pct"/>
          <w:tblLayout w:type="fixed"/>
          <w:tblLook w:val="04A0"/>
        </w:tblPrEx>
        <w:trPr>
          <w:trHeight w:val="1205"/>
        </w:trPr>
        <w:tc>
          <w:tcPr>
            <w:tcW w:w="1428" w:type="pct"/>
            <w:vMerge/>
            <w:vAlign w:val="center"/>
          </w:tcPr>
          <w:p w:rsidR="00700658" w:rsidRPr="00E36A12" w:rsidP="00700658" w14:paraId="43F520F3" w14:textId="50027BDF">
            <w:pPr>
              <w:jc w:val="right"/>
            </w:pPr>
          </w:p>
        </w:tc>
        <w:tc>
          <w:tcPr>
            <w:tcW w:w="1430" w:type="pct"/>
            <w:shd w:val="clear" w:color="auto" w:fill="auto"/>
            <w:vAlign w:val="center"/>
          </w:tcPr>
          <w:p w:rsidR="00700658" w:rsidRPr="00E36A12" w:rsidP="00700658" w14:paraId="2DFDF07B" w14:textId="704C9039">
            <w:pPr>
              <w:jc w:val="center"/>
            </w:pPr>
            <w:r w:rsidRPr="00E36A12">
              <w:t xml:space="preserve">Surveillance Capacity Assessment – </w:t>
            </w:r>
            <w:r>
              <w:t>Surveillance Lead</w:t>
            </w:r>
          </w:p>
          <w:p w:rsidR="00700658" w:rsidRPr="00E36A12" w:rsidP="00700658" w14:paraId="01FF6F3C" w14:textId="62F28028">
            <w:pPr>
              <w:jc w:val="center"/>
            </w:pPr>
            <w:r w:rsidRPr="00E36A12">
              <w:t>(Att. 5</w:t>
            </w:r>
            <w:r>
              <w:t>a</w:t>
            </w:r>
            <w:r w:rsidRPr="00E36A12">
              <w:t>)</w:t>
            </w:r>
          </w:p>
          <w:p w:rsidR="00700658" w:rsidRPr="00E36A12" w:rsidP="00700658" w14:paraId="3F5B0E63" w14:textId="77777777">
            <w:pPr>
              <w:jc w:val="center"/>
              <w:rPr>
                <w:color w:val="FF0000"/>
              </w:rPr>
            </w:pPr>
          </w:p>
        </w:tc>
        <w:tc>
          <w:tcPr>
            <w:tcW w:w="619" w:type="pct"/>
            <w:shd w:val="clear" w:color="auto" w:fill="auto"/>
            <w:vAlign w:val="center"/>
          </w:tcPr>
          <w:p w:rsidR="00700658" w:rsidRPr="005E01CE" w:rsidP="00700658" w14:paraId="2343D1A6" w14:textId="1BCB1F92">
            <w:pPr>
              <w:jc w:val="center"/>
              <w:rPr>
                <w:color w:val="FF0000"/>
              </w:rPr>
            </w:pPr>
            <w:r>
              <w:t>6</w:t>
            </w:r>
          </w:p>
        </w:tc>
        <w:tc>
          <w:tcPr>
            <w:tcW w:w="715" w:type="pct"/>
            <w:shd w:val="clear" w:color="auto" w:fill="auto"/>
            <w:vAlign w:val="center"/>
          </w:tcPr>
          <w:p w:rsidR="00700658" w:rsidRPr="005E01CE" w:rsidP="00700658" w14:paraId="7BCE8413" w14:textId="22657BFC">
            <w:pPr>
              <w:jc w:val="center"/>
              <w:rPr>
                <w:color w:val="FF0000"/>
              </w:rPr>
            </w:pPr>
            <w:r w:rsidRPr="003B50C5">
              <w:t>$30.02</w:t>
            </w:r>
          </w:p>
        </w:tc>
        <w:tc>
          <w:tcPr>
            <w:tcW w:w="808" w:type="pct"/>
            <w:shd w:val="clear" w:color="auto" w:fill="auto"/>
            <w:vAlign w:val="center"/>
          </w:tcPr>
          <w:p w:rsidR="00700658" w:rsidRPr="00F66523" w:rsidP="00700658" w14:paraId="3CADC4A3" w14:textId="42551E51">
            <w:pPr>
              <w:jc w:val="center"/>
            </w:pPr>
            <w:r>
              <w:t>180.12</w:t>
            </w:r>
          </w:p>
        </w:tc>
      </w:tr>
      <w:tr w14:paraId="513A64E7" w14:textId="77777777" w:rsidTr="00700658">
        <w:tblPrEx>
          <w:tblW w:w="4690" w:type="pct"/>
          <w:tblLayout w:type="fixed"/>
          <w:tblLook w:val="04A0"/>
        </w:tblPrEx>
        <w:trPr>
          <w:trHeight w:val="1205"/>
        </w:trPr>
        <w:tc>
          <w:tcPr>
            <w:tcW w:w="1428" w:type="pct"/>
            <w:vMerge/>
            <w:vAlign w:val="center"/>
          </w:tcPr>
          <w:p w:rsidR="00700658" w:rsidRPr="00E36A12" w:rsidP="00700658" w14:paraId="3C1B8F57" w14:textId="42FFEA8D">
            <w:pPr>
              <w:jc w:val="right"/>
            </w:pPr>
          </w:p>
        </w:tc>
        <w:tc>
          <w:tcPr>
            <w:tcW w:w="1430" w:type="pct"/>
            <w:shd w:val="clear" w:color="auto" w:fill="auto"/>
            <w:vAlign w:val="center"/>
          </w:tcPr>
          <w:p w:rsidR="00700658" w:rsidRPr="00E36A12" w:rsidP="00700658" w14:paraId="0856E13D" w14:textId="697B31B6">
            <w:pPr>
              <w:jc w:val="center"/>
            </w:pPr>
            <w:r>
              <w:t>Implementation Capacity Assessment (Att. 5b)</w:t>
            </w:r>
          </w:p>
        </w:tc>
        <w:tc>
          <w:tcPr>
            <w:tcW w:w="619" w:type="pct"/>
            <w:shd w:val="clear" w:color="auto" w:fill="auto"/>
            <w:vAlign w:val="center"/>
          </w:tcPr>
          <w:p w:rsidR="00700658" w:rsidRPr="00E36A12" w:rsidP="00700658" w14:paraId="080B9277" w14:textId="069CDB11">
            <w:pPr>
              <w:jc w:val="center"/>
            </w:pPr>
            <w:r>
              <w:t>6</w:t>
            </w:r>
          </w:p>
        </w:tc>
        <w:tc>
          <w:tcPr>
            <w:tcW w:w="715" w:type="pct"/>
            <w:shd w:val="clear" w:color="auto" w:fill="auto"/>
            <w:vAlign w:val="center"/>
          </w:tcPr>
          <w:p w:rsidR="00700658" w:rsidRPr="003B50C5" w:rsidP="00700658" w14:paraId="3EFEA6A3" w14:textId="309B35E7">
            <w:pPr>
              <w:jc w:val="center"/>
            </w:pPr>
            <w:r w:rsidRPr="003B50C5">
              <w:t>$30.02</w:t>
            </w:r>
          </w:p>
        </w:tc>
        <w:tc>
          <w:tcPr>
            <w:tcW w:w="808" w:type="pct"/>
            <w:shd w:val="clear" w:color="auto" w:fill="auto"/>
            <w:vAlign w:val="center"/>
          </w:tcPr>
          <w:p w:rsidR="00700658" w:rsidRPr="00F66523" w:rsidP="00700658" w14:paraId="4A4B9906" w14:textId="0823E4B4">
            <w:pPr>
              <w:jc w:val="center"/>
            </w:pPr>
            <w:r>
              <w:t>180.12</w:t>
            </w:r>
          </w:p>
        </w:tc>
      </w:tr>
      <w:tr w14:paraId="2E1A2203" w14:textId="77777777" w:rsidTr="00700658">
        <w:tblPrEx>
          <w:tblW w:w="4690" w:type="pct"/>
          <w:tblLayout w:type="fixed"/>
          <w:tblLook w:val="04A0"/>
        </w:tblPrEx>
        <w:trPr>
          <w:trHeight w:val="1205"/>
        </w:trPr>
        <w:tc>
          <w:tcPr>
            <w:tcW w:w="1428" w:type="pct"/>
            <w:vMerge/>
            <w:vAlign w:val="center"/>
          </w:tcPr>
          <w:p w:rsidR="00700658" w:rsidRPr="005E01CE" w:rsidP="00700658" w14:paraId="06EDC226" w14:textId="3D79245F">
            <w:pPr>
              <w:jc w:val="right"/>
            </w:pPr>
          </w:p>
        </w:tc>
        <w:tc>
          <w:tcPr>
            <w:tcW w:w="1430" w:type="pct"/>
            <w:shd w:val="clear" w:color="auto" w:fill="auto"/>
            <w:vAlign w:val="center"/>
          </w:tcPr>
          <w:p w:rsidR="00700658" w:rsidP="00700658" w14:paraId="6A3DEE30" w14:textId="77777777">
            <w:pPr>
              <w:jc w:val="center"/>
              <w:rPr>
                <w:color w:val="FF0000"/>
              </w:rPr>
            </w:pPr>
            <w:r>
              <w:t xml:space="preserve">Evaluation and Surveillance Survey </w:t>
            </w:r>
            <w:r w:rsidRPr="00E36A12">
              <w:t>–</w:t>
            </w:r>
            <w:r w:rsidRPr="005E01CE">
              <w:rPr>
                <w:color w:val="FF0000"/>
              </w:rPr>
              <w:t xml:space="preserve"> </w:t>
            </w:r>
            <w:r>
              <w:t xml:space="preserve">Surveillance </w:t>
            </w:r>
            <w:r w:rsidRPr="003B50C5">
              <w:t>Lead or Evaluator</w:t>
            </w:r>
            <w:r w:rsidRPr="005E01CE">
              <w:rPr>
                <w:color w:val="FF0000"/>
              </w:rPr>
              <w:t xml:space="preserve"> </w:t>
            </w:r>
          </w:p>
          <w:p w:rsidR="00700658" w:rsidRPr="00E36A12" w:rsidP="00700658" w14:paraId="64E7A517" w14:textId="77777777">
            <w:pPr>
              <w:jc w:val="center"/>
            </w:pPr>
            <w:r w:rsidRPr="00E36A12">
              <w:t xml:space="preserve">(Att. 6) </w:t>
            </w:r>
          </w:p>
          <w:p w:rsidR="00700658" w:rsidRPr="005E01CE" w:rsidP="00700658" w14:paraId="25B554A6" w14:textId="77777777">
            <w:pPr>
              <w:jc w:val="center"/>
              <w:rPr>
                <w:color w:val="FF0000"/>
              </w:rPr>
            </w:pPr>
          </w:p>
        </w:tc>
        <w:tc>
          <w:tcPr>
            <w:tcW w:w="619" w:type="pct"/>
            <w:shd w:val="clear" w:color="auto" w:fill="auto"/>
            <w:vAlign w:val="center"/>
          </w:tcPr>
          <w:p w:rsidR="00700658" w:rsidRPr="005E01CE" w:rsidP="00700658" w14:paraId="387D305C" w14:textId="0E364D6D">
            <w:pPr>
              <w:jc w:val="center"/>
              <w:rPr>
                <w:color w:val="FF0000"/>
              </w:rPr>
            </w:pPr>
            <w:r>
              <w:t>12</w:t>
            </w:r>
          </w:p>
        </w:tc>
        <w:tc>
          <w:tcPr>
            <w:tcW w:w="715" w:type="pct"/>
            <w:shd w:val="clear" w:color="auto" w:fill="auto"/>
            <w:vAlign w:val="center"/>
          </w:tcPr>
          <w:p w:rsidR="00700658" w:rsidRPr="00BB3E20" w:rsidP="00700658" w14:paraId="35B4FAE9" w14:textId="1B7C8347">
            <w:pPr>
              <w:jc w:val="center"/>
            </w:pPr>
            <w:r w:rsidRPr="003B50C5">
              <w:t>$30.02</w:t>
            </w:r>
          </w:p>
        </w:tc>
        <w:tc>
          <w:tcPr>
            <w:tcW w:w="808" w:type="pct"/>
            <w:shd w:val="clear" w:color="auto" w:fill="auto"/>
            <w:vAlign w:val="center"/>
          </w:tcPr>
          <w:p w:rsidR="00700658" w:rsidRPr="00BB3E20" w:rsidP="00700658" w14:paraId="7B0A8D0A" w14:textId="228D8653">
            <w:pPr>
              <w:jc w:val="center"/>
            </w:pPr>
            <w:r>
              <w:t>360.24</w:t>
            </w:r>
          </w:p>
        </w:tc>
      </w:tr>
      <w:tr w14:paraId="2E9F6797" w14:textId="77777777" w:rsidTr="00F66523">
        <w:tblPrEx>
          <w:tblW w:w="4690" w:type="pct"/>
          <w:tblLayout w:type="fixed"/>
          <w:tblLook w:val="04A0"/>
        </w:tblPrEx>
        <w:trPr>
          <w:trHeight w:val="215"/>
        </w:trPr>
        <w:tc>
          <w:tcPr>
            <w:tcW w:w="4192" w:type="pct"/>
            <w:gridSpan w:val="4"/>
            <w:vAlign w:val="center"/>
          </w:tcPr>
          <w:p w:rsidR="00CA0A2A" w:rsidRPr="005E01CE" w:rsidP="00CA0A2A" w14:paraId="4598B377" w14:textId="77777777">
            <w:pPr>
              <w:jc w:val="center"/>
            </w:pPr>
            <w:r w:rsidRPr="005E01CE">
              <w:t xml:space="preserve">Total </w:t>
            </w:r>
          </w:p>
        </w:tc>
        <w:tc>
          <w:tcPr>
            <w:tcW w:w="808" w:type="pct"/>
            <w:vAlign w:val="center"/>
          </w:tcPr>
          <w:p w:rsidR="00CA0A2A" w:rsidRPr="005E01CE" w:rsidP="00CA0A2A" w14:paraId="3B979279" w14:textId="4DF19C19">
            <w:pPr>
              <w:jc w:val="center"/>
            </w:pPr>
            <w:r>
              <w:t>$</w:t>
            </w:r>
            <w:r w:rsidR="003B0A5F">
              <w:t>5403.60</w:t>
            </w:r>
          </w:p>
        </w:tc>
      </w:tr>
      <w:bookmarkEnd w:id="38"/>
    </w:tbl>
    <w:p w:rsidR="00BB3E20" w:rsidP="006B2190" w14:paraId="1F29A154" w14:textId="1B1EE8B6">
      <w:pPr>
        <w:rPr>
          <w:b/>
        </w:rPr>
      </w:pPr>
    </w:p>
    <w:p w:rsidR="006B2190" w:rsidP="00C65166" w14:paraId="0D664933" w14:textId="77777777"/>
    <w:p w:rsidR="00C65166" w:rsidP="00C65166" w14:paraId="5A0F3603" w14:textId="77777777">
      <w:pPr>
        <w:pStyle w:val="Heading2"/>
      </w:pPr>
      <w:bookmarkStart w:id="39" w:name="_Toc89252452"/>
      <w:r>
        <w:t>A.13. Estimates of Other Total Annual Cost Burden to Respondents or Record Keepers</w:t>
      </w:r>
      <w:bookmarkEnd w:id="39"/>
    </w:p>
    <w:p w:rsidR="00C65166" w:rsidP="00C65166" w14:paraId="4A4678E6" w14:textId="66F6CD75">
      <w:r w:rsidRPr="008B759A">
        <w:t>This data collection will not result in costs for respondents or record keepers. No capital</w:t>
      </w:r>
      <w:r>
        <w:t xml:space="preserve">, maintenance, </w:t>
      </w:r>
      <w:r w:rsidRPr="008B759A">
        <w:t>start-up, hardware</w:t>
      </w:r>
      <w:r>
        <w:t>,</w:t>
      </w:r>
      <w:r w:rsidRPr="008B759A">
        <w:t xml:space="preserve"> or software costs</w:t>
      </w:r>
      <w:r>
        <w:t xml:space="preserve"> are expected for respondents or record keepers</w:t>
      </w:r>
      <w:r w:rsidRPr="008B759A">
        <w:t>.</w:t>
      </w:r>
    </w:p>
    <w:p w:rsidR="008B759A" w:rsidP="00C65166" w14:paraId="746AD944" w14:textId="77777777"/>
    <w:p w:rsidR="00C65166" w:rsidP="00C65166" w14:paraId="0C98E786" w14:textId="77777777">
      <w:pPr>
        <w:pStyle w:val="Heading2"/>
      </w:pPr>
      <w:bookmarkStart w:id="40" w:name="_Toc89252453"/>
      <w:r>
        <w:t>A.14. Annualized Cost to the Government</w:t>
      </w:r>
      <w:bookmarkEnd w:id="40"/>
    </w:p>
    <w:p w:rsidR="006B2190" w:rsidP="006B2190" w14:paraId="174922D2" w14:textId="0565DF87">
      <w:r w:rsidRPr="00623E18">
        <w:t xml:space="preserve">The average annualized cost to the federal government is </w:t>
      </w:r>
      <w:r w:rsidRPr="006C5256" w:rsidR="006C5256">
        <w:t>$</w:t>
      </w:r>
      <w:r w:rsidRPr="00220512" w:rsidR="00220512">
        <w:t>53,895</w:t>
      </w:r>
      <w:r w:rsidRPr="00623E18">
        <w:t>, and a five-year project total of $</w:t>
      </w:r>
      <w:r w:rsidR="00220512">
        <w:t>269,475</w:t>
      </w:r>
      <w:r w:rsidRPr="00623E18">
        <w:t xml:space="preserve"> as summarized in Table A.14-A. There are no costs associated with contractors, website maintenance, licensing, or travel.</w:t>
      </w:r>
    </w:p>
    <w:p w:rsidR="00623E18" w:rsidP="006B2190" w14:paraId="64601424" w14:textId="77777777"/>
    <w:p w:rsidR="006B2190" w:rsidRPr="003E66AC" w:rsidP="00797ED8" w14:paraId="2DF2384E" w14:textId="2BD8B1DC">
      <w:pPr>
        <w:spacing w:line="259" w:lineRule="auto"/>
        <w:rPr>
          <w:b/>
          <w:bCs/>
        </w:rPr>
      </w:pPr>
      <w:r w:rsidRPr="003E66AC">
        <w:rPr>
          <w:b/>
          <w:bCs/>
        </w:rPr>
        <w:t xml:space="preserve">Table A.14. Estimated Annualized </w:t>
      </w:r>
      <w:r w:rsidRPr="003E66AC" w:rsidR="003E66AC">
        <w:rPr>
          <w:b/>
          <w:bCs/>
        </w:rPr>
        <w:t>Federal</w:t>
      </w:r>
      <w:r w:rsidRPr="003E66AC">
        <w:rPr>
          <w:b/>
          <w:bCs/>
        </w:rPr>
        <w:t xml:space="preserve"> Government</w:t>
      </w:r>
      <w:r w:rsidRPr="003E66AC" w:rsidR="003E66AC">
        <w:rPr>
          <w:b/>
          <w:bCs/>
        </w:rPr>
        <w:t xml:space="preserve"> Cost Distribution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5"/>
        <w:gridCol w:w="6390"/>
        <w:gridCol w:w="1885"/>
      </w:tblGrid>
      <w:tr w14:paraId="41F01289" w14:textId="77777777" w:rsidTr="007A213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rPr>
        <w:tc>
          <w:tcPr>
            <w:tcW w:w="891" w:type="pct"/>
          </w:tcPr>
          <w:p w:rsidR="006B2190" w:rsidRPr="00F17BB3" w:rsidP="00D37BA7" w14:paraId="4066E3AC" w14:textId="77777777">
            <w:pPr>
              <w:rPr>
                <w:b/>
              </w:rPr>
            </w:pPr>
            <w:r w:rsidRPr="00F17BB3">
              <w:rPr>
                <w:b/>
              </w:rPr>
              <w:t>Type of Cost</w:t>
            </w:r>
          </w:p>
        </w:tc>
        <w:tc>
          <w:tcPr>
            <w:tcW w:w="3173" w:type="pct"/>
          </w:tcPr>
          <w:p w:rsidR="006B2190" w:rsidRPr="00F17BB3" w:rsidP="00D37BA7" w14:paraId="4639276F" w14:textId="77777777">
            <w:pPr>
              <w:rPr>
                <w:b/>
              </w:rPr>
            </w:pPr>
            <w:r w:rsidRPr="00F17BB3">
              <w:rPr>
                <w:b/>
              </w:rPr>
              <w:t>Description of Services</w:t>
            </w:r>
          </w:p>
        </w:tc>
        <w:tc>
          <w:tcPr>
            <w:tcW w:w="936" w:type="pct"/>
          </w:tcPr>
          <w:p w:rsidR="006B2190" w:rsidRPr="00F17BB3" w:rsidP="00CC37A0" w14:paraId="19AAA106" w14:textId="77777777">
            <w:pPr>
              <w:jc w:val="right"/>
              <w:rPr>
                <w:b/>
              </w:rPr>
            </w:pPr>
            <w:r w:rsidRPr="00F17BB3">
              <w:rPr>
                <w:b/>
              </w:rPr>
              <w:t>Annual Cost</w:t>
            </w:r>
          </w:p>
        </w:tc>
      </w:tr>
      <w:tr w14:paraId="397BEEAF" w14:textId="77777777" w:rsidTr="00CC37A0">
        <w:tblPrEx>
          <w:tblW w:w="5000" w:type="pct"/>
          <w:tblLook w:val="01E0"/>
        </w:tblPrEx>
        <w:tc>
          <w:tcPr>
            <w:tcW w:w="891" w:type="pct"/>
            <w:vMerge w:val="restart"/>
          </w:tcPr>
          <w:p w:rsidR="002B72FA" w:rsidRPr="00835B83" w:rsidP="00D37BA7" w14:paraId="3203E3D1" w14:textId="77777777">
            <w:r w:rsidRPr="00835B83">
              <w:t>CDC Personnel</w:t>
            </w:r>
          </w:p>
          <w:p w:rsidR="002B72FA" w:rsidRPr="00835B83" w:rsidP="00D37BA7" w14:paraId="5A479ECB" w14:textId="77777777">
            <w:pPr>
              <w:rPr>
                <w:vertAlign w:val="superscript"/>
              </w:rPr>
            </w:pPr>
          </w:p>
        </w:tc>
        <w:tc>
          <w:tcPr>
            <w:tcW w:w="3173" w:type="pct"/>
          </w:tcPr>
          <w:p w:rsidR="002B72FA" w:rsidRPr="00835B83" w:rsidP="008B759A" w14:paraId="08A3B1BC" w14:textId="2FC1EDB1">
            <w:pPr>
              <w:contextualSpacing/>
            </w:pPr>
            <w:r>
              <w:t>20</w:t>
            </w:r>
            <w:r w:rsidRPr="00835B83">
              <w:t xml:space="preserve">% </w:t>
            </w:r>
            <w:r w:rsidR="008B759A">
              <w:t xml:space="preserve">of </w:t>
            </w:r>
            <w:r w:rsidRPr="00835B83">
              <w:t xml:space="preserve">GS-13 </w:t>
            </w:r>
            <w:r>
              <w:t xml:space="preserve">Behavioral/Health Scientist </w:t>
            </w:r>
            <w:r w:rsidRPr="00835B83">
              <w:t xml:space="preserve">at </w:t>
            </w:r>
            <w:r w:rsidRPr="00D36BCE" w:rsidR="00D36BCE">
              <w:t>$104,008</w:t>
            </w:r>
            <w:r w:rsidRPr="00835B83">
              <w:t xml:space="preserve">/year </w:t>
            </w:r>
            <w:r>
              <w:t>for data collection design, collection, analysis, and reporting</w:t>
            </w:r>
          </w:p>
        </w:tc>
        <w:tc>
          <w:tcPr>
            <w:tcW w:w="936" w:type="pct"/>
            <w:vAlign w:val="center"/>
          </w:tcPr>
          <w:p w:rsidR="002B72FA" w:rsidRPr="00D40C5B" w:rsidP="00CC37A0" w14:paraId="0AE62090" w14:textId="3DC878D7">
            <w:pPr>
              <w:jc w:val="right"/>
            </w:pPr>
            <w:r>
              <w:t>$</w:t>
            </w:r>
            <w:r w:rsidR="00D36BCE">
              <w:t>20,802</w:t>
            </w:r>
          </w:p>
        </w:tc>
      </w:tr>
      <w:tr w14:paraId="210EE21A" w14:textId="77777777" w:rsidTr="00CC37A0">
        <w:tblPrEx>
          <w:tblW w:w="5000" w:type="pct"/>
          <w:tblLook w:val="01E0"/>
        </w:tblPrEx>
        <w:tc>
          <w:tcPr>
            <w:tcW w:w="891" w:type="pct"/>
            <w:vMerge/>
          </w:tcPr>
          <w:p w:rsidR="002B72FA" w:rsidP="00D37BA7" w14:paraId="21088BE9" w14:textId="77777777">
            <w:pPr>
              <w:rPr>
                <w:color w:val="000000"/>
              </w:rPr>
            </w:pPr>
          </w:p>
        </w:tc>
        <w:tc>
          <w:tcPr>
            <w:tcW w:w="3173" w:type="pct"/>
          </w:tcPr>
          <w:p w:rsidR="002B72FA" w:rsidP="008B759A" w14:paraId="5FEC2FB3" w14:textId="47883DAE">
            <w:pPr>
              <w:contextualSpacing/>
              <w:rPr>
                <w:color w:val="000000"/>
              </w:rPr>
            </w:pPr>
            <w:r>
              <w:rPr>
                <w:color w:val="000000"/>
              </w:rPr>
              <w:t>2</w:t>
            </w:r>
            <w:r>
              <w:rPr>
                <w:color w:val="000000"/>
              </w:rPr>
              <w:t>0%</w:t>
            </w:r>
            <w:r>
              <w:rPr>
                <w:color w:val="000000"/>
              </w:rPr>
              <w:t xml:space="preserve"> of </w:t>
            </w:r>
            <w:r>
              <w:rPr>
                <w:color w:val="000000"/>
              </w:rPr>
              <w:t>GS-13 Health Informatician at</w:t>
            </w:r>
            <w:r w:rsidR="00D2066F">
              <w:rPr>
                <w:color w:val="000000"/>
              </w:rPr>
              <w:t xml:space="preserve"> </w:t>
            </w:r>
            <w:r w:rsidRPr="00D36BCE" w:rsidR="00D36BCE">
              <w:rPr>
                <w:color w:val="000000"/>
              </w:rPr>
              <w:t>$104,008</w:t>
            </w:r>
            <w:r w:rsidR="00B2233A">
              <w:rPr>
                <w:color w:val="000000"/>
              </w:rPr>
              <w:t>/year</w:t>
            </w:r>
            <w:r>
              <w:rPr>
                <w:color w:val="000000"/>
              </w:rPr>
              <w:t xml:space="preserve"> for data system design, development, and </w:t>
            </w:r>
            <w:r>
              <w:rPr>
                <w:color w:val="000000"/>
              </w:rPr>
              <w:t>maintenance</w:t>
            </w:r>
          </w:p>
        </w:tc>
        <w:tc>
          <w:tcPr>
            <w:tcW w:w="936" w:type="pct"/>
            <w:vAlign w:val="center"/>
          </w:tcPr>
          <w:p w:rsidR="002B72FA" w:rsidRPr="00EA4EC9" w:rsidP="00CC37A0" w14:paraId="02EEDFDD" w14:textId="2536787F">
            <w:pPr>
              <w:jc w:val="right"/>
            </w:pPr>
            <w:r>
              <w:t>$</w:t>
            </w:r>
            <w:r w:rsidR="00D36BCE">
              <w:t>20,802</w:t>
            </w:r>
          </w:p>
        </w:tc>
      </w:tr>
      <w:tr w14:paraId="13E15E86" w14:textId="77777777" w:rsidTr="00CC37A0">
        <w:tblPrEx>
          <w:tblW w:w="5000" w:type="pct"/>
          <w:tblLook w:val="01E0"/>
        </w:tblPrEx>
        <w:tc>
          <w:tcPr>
            <w:tcW w:w="891" w:type="pct"/>
          </w:tcPr>
          <w:p w:rsidR="004C518F" w:rsidP="00D37BA7" w14:paraId="69811D67" w14:textId="77777777">
            <w:pPr>
              <w:rPr>
                <w:color w:val="000000"/>
              </w:rPr>
            </w:pPr>
          </w:p>
        </w:tc>
        <w:tc>
          <w:tcPr>
            <w:tcW w:w="3173" w:type="pct"/>
          </w:tcPr>
          <w:p w:rsidR="004C518F" w:rsidP="008B759A" w14:paraId="1951ED75" w14:textId="4AD1BE78">
            <w:pPr>
              <w:contextualSpacing/>
              <w:rPr>
                <w:color w:val="000000"/>
              </w:rPr>
            </w:pPr>
            <w:r>
              <w:rPr>
                <w:color w:val="000000"/>
              </w:rPr>
              <w:t>10% of GS-1</w:t>
            </w:r>
            <w:r w:rsidR="00835FA5">
              <w:rPr>
                <w:color w:val="000000"/>
              </w:rPr>
              <w:t>4</w:t>
            </w:r>
            <w:r>
              <w:rPr>
                <w:color w:val="000000"/>
              </w:rPr>
              <w:t xml:space="preserve"> Behavioral Scientist at </w:t>
            </w:r>
            <w:r w:rsidRPr="00D36BCE" w:rsidR="00D36BCE">
              <w:rPr>
                <w:color w:val="000000"/>
              </w:rPr>
              <w:t>$122,907</w:t>
            </w:r>
            <w:r>
              <w:rPr>
                <w:color w:val="000000"/>
              </w:rPr>
              <w:t xml:space="preserve">/year for </w:t>
            </w:r>
            <w:r>
              <w:t>data collection design, collection, analysis, and reporting</w:t>
            </w:r>
          </w:p>
        </w:tc>
        <w:tc>
          <w:tcPr>
            <w:tcW w:w="936" w:type="pct"/>
            <w:vAlign w:val="center"/>
          </w:tcPr>
          <w:p w:rsidR="004C518F" w:rsidP="00CC37A0" w14:paraId="770F70B3" w14:textId="730A5951">
            <w:pPr>
              <w:jc w:val="right"/>
            </w:pPr>
            <w:r>
              <w:t>$</w:t>
            </w:r>
            <w:r w:rsidR="00B363F4">
              <w:t>12,291</w:t>
            </w:r>
          </w:p>
        </w:tc>
      </w:tr>
      <w:tr w14:paraId="748A15F0" w14:textId="77777777" w:rsidTr="00A54680">
        <w:tblPrEx>
          <w:tblW w:w="5000" w:type="pct"/>
          <w:tblLook w:val="01E0"/>
        </w:tblPrEx>
        <w:trPr>
          <w:trHeight w:val="288"/>
        </w:trPr>
        <w:tc>
          <w:tcPr>
            <w:tcW w:w="4064" w:type="pct"/>
            <w:gridSpan w:val="2"/>
          </w:tcPr>
          <w:p w:rsidR="006B2190" w:rsidRPr="00835B83" w:rsidP="00D37BA7" w14:paraId="6D55EE7A" w14:textId="77777777">
            <w:pPr>
              <w:jc w:val="right"/>
              <w:rPr>
                <w:bCs/>
              </w:rPr>
            </w:pPr>
            <w:r w:rsidRPr="00835B83">
              <w:rPr>
                <w:bCs/>
              </w:rPr>
              <w:t xml:space="preserve">Total </w:t>
            </w:r>
          </w:p>
        </w:tc>
        <w:tc>
          <w:tcPr>
            <w:tcW w:w="936" w:type="pct"/>
          </w:tcPr>
          <w:p w:rsidR="006B2190" w:rsidRPr="00C65CE4" w:rsidP="00C92746" w14:paraId="14AAB90E" w14:textId="35B9539D">
            <w:pPr>
              <w:jc w:val="right"/>
              <w:rPr>
                <w:b/>
                <w:bCs/>
              </w:rPr>
            </w:pPr>
            <w:r w:rsidRPr="006C5256">
              <w:rPr>
                <w:b/>
                <w:bCs/>
              </w:rPr>
              <w:t>$</w:t>
            </w:r>
            <w:r w:rsidR="00220512">
              <w:rPr>
                <w:b/>
                <w:bCs/>
              </w:rPr>
              <w:t>53,895</w:t>
            </w:r>
          </w:p>
        </w:tc>
      </w:tr>
    </w:tbl>
    <w:p w:rsidR="00C65166" w:rsidP="00C65166" w14:paraId="534BDD81" w14:textId="0DA44147"/>
    <w:p w:rsidR="00C65166" w:rsidP="00C65166" w14:paraId="207D7502" w14:textId="77777777">
      <w:pPr>
        <w:pStyle w:val="Heading2"/>
      </w:pPr>
      <w:bookmarkStart w:id="41" w:name="_Toc89252454"/>
      <w:r>
        <w:t>A.15. Explanation for Program Changes or Adjustments</w:t>
      </w:r>
      <w:bookmarkEnd w:id="41"/>
    </w:p>
    <w:p w:rsidR="00C92746" w:rsidP="00C65166" w14:paraId="5B9793E8" w14:textId="60CB5C8A">
      <w:r>
        <w:t xml:space="preserve">This is a new collection of data. </w:t>
      </w:r>
    </w:p>
    <w:p w:rsidR="00C71BA3" w:rsidP="00C65166" w14:paraId="74A9F4DE" w14:textId="77777777"/>
    <w:p w:rsidR="00C65166" w:rsidP="00C65166" w14:paraId="63CE2B5E" w14:textId="77777777">
      <w:pPr>
        <w:pStyle w:val="Heading2"/>
      </w:pPr>
      <w:bookmarkStart w:id="42" w:name="_Toc89252455"/>
      <w:r>
        <w:t>A.16. Plans for Tabulation and Publication, and Project Time Schedule</w:t>
      </w:r>
      <w:bookmarkEnd w:id="42"/>
    </w:p>
    <w:p w:rsidR="00C71BA3" w:rsidRPr="00C71BA3" w:rsidP="00C71BA3" w14:paraId="38095079" w14:textId="1E90461A">
      <w:pPr>
        <w:rPr>
          <w:rFonts w:eastAsia="MS Mincho"/>
        </w:rPr>
      </w:pPr>
    </w:p>
    <w:p w:rsidR="005978FF" w:rsidRPr="005978FF" w:rsidP="004C518F" w14:paraId="5878F495" w14:textId="1FDE0AD2">
      <w:pPr>
        <w:pStyle w:val="ListParagraph"/>
        <w:numPr>
          <w:ilvl w:val="0"/>
          <w:numId w:val="31"/>
        </w:numPr>
        <w:autoSpaceDE w:val="0"/>
        <w:autoSpaceDN w:val="0"/>
        <w:adjustRightInd w:val="0"/>
        <w:rPr>
          <w:bCs/>
        </w:rPr>
      </w:pPr>
      <w:r w:rsidRPr="004C518F">
        <w:rPr>
          <w:bCs/>
          <w:u w:val="single"/>
        </w:rPr>
        <w:t>Time schedule for the entire project</w:t>
      </w:r>
    </w:p>
    <w:p w:rsidR="005978FF" w:rsidRPr="00C71BA3" w:rsidP="005978FF" w14:paraId="334BE3A7" w14:textId="6B36E1B9">
      <w:pPr>
        <w:autoSpaceDE w:val="0"/>
        <w:autoSpaceDN w:val="0"/>
        <w:adjustRightInd w:val="0"/>
        <w:rPr>
          <w:bCs/>
        </w:rPr>
      </w:pPr>
      <w:r w:rsidRPr="00C71BA3">
        <w:rPr>
          <w:bCs/>
        </w:rPr>
        <w:t xml:space="preserve">The cooperative agreement cycle is five years. OMB approval is being requested for three years. Per the NOFO, data collection must begin </w:t>
      </w:r>
      <w:r>
        <w:rPr>
          <w:bCs/>
        </w:rPr>
        <w:t>6</w:t>
      </w:r>
      <w:r w:rsidRPr="00C71BA3">
        <w:rPr>
          <w:bCs/>
        </w:rPr>
        <w:t xml:space="preserve"> months post award with the </w:t>
      </w:r>
      <w:r>
        <w:rPr>
          <w:bCs/>
        </w:rPr>
        <w:t>APR Tool</w:t>
      </w:r>
      <w:r w:rsidRPr="00C71BA3">
        <w:rPr>
          <w:bCs/>
        </w:rPr>
        <w:t xml:space="preserve">. Other </w:t>
      </w:r>
      <w:r>
        <w:rPr>
          <w:bCs/>
        </w:rPr>
        <w:t xml:space="preserve">data </w:t>
      </w:r>
      <w:r w:rsidRPr="00C71BA3">
        <w:rPr>
          <w:bCs/>
        </w:rPr>
        <w:t xml:space="preserve">collections will occur per the NOFO requirements once a year </w:t>
      </w:r>
      <w:r w:rsidR="00326EB1">
        <w:rPr>
          <w:bCs/>
        </w:rPr>
        <w:t xml:space="preserve">is </w:t>
      </w:r>
      <w:r w:rsidRPr="00C71BA3">
        <w:rPr>
          <w:bCs/>
        </w:rPr>
        <w:t xml:space="preserve">due 120 days before the end of the budget period. Data collection </w:t>
      </w:r>
      <w:r>
        <w:rPr>
          <w:bCs/>
        </w:rPr>
        <w:t>will begin</w:t>
      </w:r>
      <w:r w:rsidRPr="00C71BA3">
        <w:rPr>
          <w:bCs/>
        </w:rPr>
        <w:t xml:space="preserve"> with the awarding of the grants and will continue throughout the funding cycle. </w:t>
      </w:r>
    </w:p>
    <w:p w:rsidR="005978FF" w:rsidP="00C71BA3" w14:paraId="631E9899" w14:textId="77777777">
      <w:pPr>
        <w:autoSpaceDE w:val="0"/>
        <w:autoSpaceDN w:val="0"/>
        <w:adjustRightInd w:val="0"/>
        <w:rPr>
          <w:bCs/>
          <w:u w:val="single"/>
        </w:rPr>
      </w:pPr>
    </w:p>
    <w:p w:rsidR="00C71BA3" w:rsidRPr="005978FF" w:rsidP="004C518F" w14:paraId="5860F910" w14:textId="7ED6129F">
      <w:pPr>
        <w:pStyle w:val="ListParagraph"/>
        <w:numPr>
          <w:ilvl w:val="0"/>
          <w:numId w:val="31"/>
        </w:numPr>
        <w:autoSpaceDE w:val="0"/>
        <w:autoSpaceDN w:val="0"/>
        <w:adjustRightInd w:val="0"/>
        <w:rPr>
          <w:bCs/>
        </w:rPr>
      </w:pPr>
      <w:r w:rsidRPr="004C518F">
        <w:rPr>
          <w:bCs/>
          <w:u w:val="single"/>
        </w:rPr>
        <w:t>Publication plan</w:t>
      </w:r>
    </w:p>
    <w:p w:rsidR="00C71BA3" w:rsidRPr="00C71BA3" w:rsidP="00C71BA3" w14:paraId="1B3FC31E" w14:textId="5AF008C1">
      <w:pPr>
        <w:autoSpaceDE w:val="0"/>
        <w:autoSpaceDN w:val="0"/>
        <w:adjustRightInd w:val="0"/>
        <w:rPr>
          <w:bCs/>
        </w:rPr>
      </w:pPr>
      <w:r w:rsidRPr="00C71BA3">
        <w:rPr>
          <w:bCs/>
        </w:rPr>
        <w:t xml:space="preserve">Information collected </w:t>
      </w:r>
      <w:r w:rsidR="003E7469">
        <w:rPr>
          <w:bCs/>
        </w:rPr>
        <w:t>from</w:t>
      </w:r>
      <w:r w:rsidRPr="00C71BA3" w:rsidR="003E7469">
        <w:rPr>
          <w:bCs/>
        </w:rPr>
        <w:t xml:space="preserve"> </w:t>
      </w:r>
      <w:r w:rsidRPr="00C71BA3">
        <w:rPr>
          <w:bCs/>
        </w:rPr>
        <w:t xml:space="preserve">the </w:t>
      </w:r>
      <w:r w:rsidR="003E7469">
        <w:rPr>
          <w:bCs/>
        </w:rPr>
        <w:t>recipients</w:t>
      </w:r>
      <w:r w:rsidRPr="00C71BA3" w:rsidR="003E7469">
        <w:rPr>
          <w:bCs/>
        </w:rPr>
        <w:t xml:space="preserve"> </w:t>
      </w:r>
      <w:r w:rsidRPr="00C71BA3">
        <w:rPr>
          <w:bCs/>
        </w:rPr>
        <w:t xml:space="preserve">will be reported in internal CDC documents and shared with </w:t>
      </w:r>
      <w:r w:rsidR="003E7469">
        <w:rPr>
          <w:bCs/>
        </w:rPr>
        <w:t>recipients</w:t>
      </w:r>
      <w:r w:rsidRPr="00C71BA3">
        <w:rPr>
          <w:bCs/>
        </w:rPr>
        <w:t>. Raw data will not be made public as it is used for internal program evaluation to assess recipient progress and outcomes. Any reported data will be provided in aggregate form. Publication in a peer-reviewed scientific journal will be determined post-data collection.</w:t>
      </w:r>
    </w:p>
    <w:p w:rsidR="00C71BA3" w:rsidRPr="00C71BA3" w:rsidP="00C71BA3" w14:paraId="782D0360" w14:textId="77777777">
      <w:pPr>
        <w:autoSpaceDE w:val="0"/>
        <w:autoSpaceDN w:val="0"/>
        <w:adjustRightInd w:val="0"/>
        <w:rPr>
          <w:bCs/>
        </w:rPr>
      </w:pPr>
    </w:p>
    <w:p w:rsidR="005978FF" w:rsidRPr="00C71BA3" w:rsidP="005978FF" w14:paraId="4600C0C6" w14:textId="77777777">
      <w:pPr>
        <w:autoSpaceDE w:val="0"/>
        <w:autoSpaceDN w:val="0"/>
        <w:adjustRightInd w:val="0"/>
        <w:rPr>
          <w:bCs/>
        </w:rPr>
      </w:pPr>
      <w:r w:rsidRPr="00C71BA3">
        <w:rPr>
          <w:bCs/>
        </w:rPr>
        <w:t xml:space="preserve">C. </w:t>
      </w:r>
      <w:r w:rsidRPr="00C71BA3">
        <w:rPr>
          <w:bCs/>
          <w:u w:val="single"/>
        </w:rPr>
        <w:t>Analysis plan</w:t>
      </w:r>
    </w:p>
    <w:p w:rsidR="00A15451" w:rsidRPr="0085100A" w:rsidP="00A15451" w14:paraId="747BA0C6" w14:textId="307B2590">
      <w:pPr>
        <w:autoSpaceDE w:val="0"/>
        <w:autoSpaceDN w:val="0"/>
        <w:adjustRightInd w:val="0"/>
        <w:rPr>
          <w:bCs/>
        </w:rPr>
      </w:pPr>
      <w:r w:rsidRPr="00C71BA3">
        <w:rPr>
          <w:bCs/>
        </w:rPr>
        <w:t xml:space="preserve">CDC will use statistical methods for analyzing information. For example, the difference between baseline rates and achieved rates on indicators will be documented and analyzed. </w:t>
      </w:r>
      <w:r>
        <w:t>Information will be synthesized for specific reporting purposes and responses to inquiries. These reports may include aggregate reports or filtered by certain characteristics or information.</w:t>
      </w:r>
    </w:p>
    <w:p w:rsidR="005978FF" w:rsidP="005978FF" w14:paraId="25F04C24" w14:textId="17537CE9">
      <w:pPr>
        <w:autoSpaceDE w:val="0"/>
        <w:autoSpaceDN w:val="0"/>
        <w:adjustRightInd w:val="0"/>
        <w:rPr>
          <w:bCs/>
        </w:rPr>
      </w:pPr>
      <w:r w:rsidRPr="00C71BA3">
        <w:rPr>
          <w:bCs/>
        </w:rPr>
        <w:t xml:space="preserve"> </w:t>
      </w:r>
    </w:p>
    <w:p w:rsidR="00A14943" w:rsidP="005978FF" w14:paraId="0A7E42E1" w14:textId="77777777">
      <w:pPr>
        <w:autoSpaceDE w:val="0"/>
        <w:autoSpaceDN w:val="0"/>
        <w:adjustRightInd w:val="0"/>
        <w:rPr>
          <w:bCs/>
        </w:rPr>
      </w:pPr>
    </w:p>
    <w:p w:rsidR="00A14943" w:rsidRPr="00C71BA3" w:rsidP="005978FF" w14:paraId="4C040E37" w14:textId="77777777">
      <w:pPr>
        <w:autoSpaceDE w:val="0"/>
        <w:autoSpaceDN w:val="0"/>
        <w:adjustRightInd w:val="0"/>
        <w:rPr>
          <w:bCs/>
        </w:rPr>
      </w:pPr>
    </w:p>
    <w:p w:rsidR="00067ED7" w:rsidP="00A53BC8" w14:paraId="1300A3A2" w14:textId="77777777">
      <w:pPr>
        <w:autoSpaceDE w:val="0"/>
        <w:autoSpaceDN w:val="0"/>
        <w:adjustRightInd w:val="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5305"/>
      </w:tblGrid>
      <w:tr w14:paraId="14B3BA8D" w14:textId="77777777" w:rsidTr="005E01C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66" w:type="pct"/>
            <w:shd w:val="clear" w:color="auto" w:fill="auto"/>
          </w:tcPr>
          <w:p w:rsidR="00A53BC8" w:rsidRPr="0085100A" w:rsidP="00D37BA7" w14:paraId="023A72ED" w14:textId="77777777">
            <w:pPr>
              <w:autoSpaceDE w:val="0"/>
              <w:autoSpaceDN w:val="0"/>
              <w:adjustRightInd w:val="0"/>
              <w:rPr>
                <w:b/>
                <w:bCs/>
              </w:rPr>
            </w:pPr>
            <w:r>
              <w:rPr>
                <w:b/>
                <w:bCs/>
              </w:rPr>
              <w:t>Activities</w:t>
            </w:r>
          </w:p>
        </w:tc>
        <w:tc>
          <w:tcPr>
            <w:tcW w:w="2634" w:type="pct"/>
            <w:shd w:val="clear" w:color="auto" w:fill="auto"/>
          </w:tcPr>
          <w:p w:rsidR="00A53BC8" w:rsidRPr="0085100A" w:rsidP="00D37BA7" w14:paraId="17578C72" w14:textId="77777777">
            <w:pPr>
              <w:rPr>
                <w:b/>
              </w:rPr>
            </w:pPr>
            <w:r>
              <w:rPr>
                <w:b/>
              </w:rPr>
              <w:t>Timeline</w:t>
            </w:r>
          </w:p>
        </w:tc>
      </w:tr>
      <w:tr w14:paraId="46DA8B6D" w14:textId="77777777" w:rsidTr="005E01CE">
        <w:tblPrEx>
          <w:tblW w:w="5000" w:type="pct"/>
          <w:tblLook w:val="04A0"/>
        </w:tblPrEx>
        <w:tc>
          <w:tcPr>
            <w:tcW w:w="2366" w:type="pct"/>
            <w:shd w:val="clear" w:color="auto" w:fill="auto"/>
          </w:tcPr>
          <w:p w:rsidR="00A53BC8" w:rsidRPr="0085100A" w:rsidP="00D37BA7" w14:paraId="2CECF8BB" w14:textId="1785A819">
            <w:r w:rsidRPr="005E01CE">
              <w:t>Annual data collection as described in Section A.2 and A.12</w:t>
            </w:r>
          </w:p>
        </w:tc>
        <w:tc>
          <w:tcPr>
            <w:tcW w:w="2634" w:type="pct"/>
            <w:shd w:val="clear" w:color="auto" w:fill="auto"/>
          </w:tcPr>
          <w:p w:rsidR="00A53BC8" w:rsidRPr="0085100A" w:rsidP="00646D6A" w14:paraId="1A0EDA54" w14:textId="297A333A">
            <w:r w:rsidRPr="005E01CE">
              <w:t>Ongoing once annually 1-60 months after OMB approval.</w:t>
            </w:r>
          </w:p>
        </w:tc>
      </w:tr>
      <w:tr w14:paraId="2B12A155" w14:textId="77777777" w:rsidTr="005E01CE">
        <w:tblPrEx>
          <w:tblW w:w="5000" w:type="pct"/>
          <w:tblLook w:val="04A0"/>
        </w:tblPrEx>
        <w:tc>
          <w:tcPr>
            <w:tcW w:w="2366" w:type="pct"/>
            <w:shd w:val="clear" w:color="auto" w:fill="auto"/>
          </w:tcPr>
          <w:p w:rsidR="00A53BC8" w:rsidRPr="0085100A" w:rsidP="00CF6CD4" w14:paraId="4923B64E" w14:textId="0AD00EF1">
            <w:r w:rsidRPr="005E01CE">
              <w:t>Data cleaning and analysis</w:t>
            </w:r>
          </w:p>
        </w:tc>
        <w:tc>
          <w:tcPr>
            <w:tcW w:w="2634" w:type="pct"/>
            <w:shd w:val="clear" w:color="auto" w:fill="auto"/>
          </w:tcPr>
          <w:p w:rsidR="00A53BC8" w:rsidRPr="0085100A" w:rsidP="00646D6A" w14:paraId="7A15A2C7" w14:textId="35BFCC23">
            <w:r w:rsidRPr="005E01CE">
              <w:t>Ongoing annually 4-60 months after OMB approval.</w:t>
            </w:r>
            <w:r w:rsidR="00CF6CD4">
              <w:t xml:space="preserve"> </w:t>
            </w:r>
          </w:p>
        </w:tc>
      </w:tr>
      <w:tr w14:paraId="6949BD8B" w14:textId="77777777" w:rsidTr="005E01CE">
        <w:tblPrEx>
          <w:tblW w:w="5000" w:type="pct"/>
          <w:tblLook w:val="04A0"/>
        </w:tblPrEx>
        <w:trPr>
          <w:trHeight w:val="395"/>
        </w:trPr>
        <w:tc>
          <w:tcPr>
            <w:tcW w:w="2366" w:type="pct"/>
            <w:shd w:val="clear" w:color="auto" w:fill="auto"/>
          </w:tcPr>
          <w:p w:rsidR="00646D6A" w:rsidRPr="0085100A" w:rsidP="009457AB" w14:paraId="67C86E2E" w14:textId="0CAC6D4D">
            <w:r w:rsidRPr="005E01CE">
              <w:t>Reporting of evaluation data and findings to recipients and stakeholders</w:t>
            </w:r>
          </w:p>
        </w:tc>
        <w:tc>
          <w:tcPr>
            <w:tcW w:w="2634" w:type="pct"/>
            <w:shd w:val="clear" w:color="auto" w:fill="auto"/>
          </w:tcPr>
          <w:p w:rsidR="00646D6A" w:rsidRPr="0085100A" w:rsidP="009457AB" w14:paraId="0F37C33D" w14:textId="7A7E7F21">
            <w:r w:rsidRPr="005E01CE">
              <w:t>Ongoing annually 8-60 months after OMB approval.</w:t>
            </w:r>
          </w:p>
        </w:tc>
      </w:tr>
    </w:tbl>
    <w:p w:rsidR="00846805" w:rsidRPr="00C71BA3" w:rsidP="00C71BA3" w14:paraId="0FA879BA" w14:textId="77777777"/>
    <w:p w:rsidR="00C65166" w:rsidP="00C65166" w14:paraId="36797BC7" w14:textId="77777777">
      <w:pPr>
        <w:pStyle w:val="Heading2"/>
      </w:pPr>
      <w:bookmarkStart w:id="43" w:name="_Toc89252456"/>
      <w:r>
        <w:t>A.17. Reason(s) Display of OMB Expiration Date is Inappropriate</w:t>
      </w:r>
      <w:bookmarkEnd w:id="43"/>
    </w:p>
    <w:p w:rsidR="00C65166" w:rsidP="00C65166" w14:paraId="14A4A477" w14:textId="28837AD7">
      <w:r>
        <w:t>The display of the OMB expiration date is appropriate.</w:t>
      </w:r>
    </w:p>
    <w:p w:rsidR="00646D6A" w:rsidP="00C65166" w14:paraId="0C57B754" w14:textId="77777777"/>
    <w:p w:rsidR="00C65166" w:rsidP="00C65166" w14:paraId="0B4635D0" w14:textId="77777777">
      <w:pPr>
        <w:pStyle w:val="Heading2"/>
      </w:pPr>
      <w:bookmarkStart w:id="44" w:name="_Toc89252457"/>
      <w:r>
        <w:t>A.18. Exceptions to Certification for Paperwork Reduction Act Submissions</w:t>
      </w:r>
      <w:bookmarkEnd w:id="44"/>
    </w:p>
    <w:p w:rsidR="00C65166" w:rsidRPr="00C65166" w:rsidP="00C65166" w14:paraId="4B052710" w14:textId="4CAA5A8C">
      <w:r>
        <w:t>There are n</w:t>
      </w:r>
      <w:r w:rsidRPr="00D45D2A" w:rsidR="00D45D2A">
        <w:t xml:space="preserve">o </w:t>
      </w:r>
      <w:r>
        <w:t>exceptions</w:t>
      </w:r>
      <w:r w:rsidRPr="00D45D2A" w:rsidR="00D45D2A">
        <w:t xml:space="preserve"> to certification.</w:t>
      </w:r>
    </w:p>
    <w:p w:rsidR="00C65166" w:rsidRPr="00C65166" w:rsidP="00C65166" w14:paraId="1FB86615" w14:textId="77777777"/>
    <w:bookmarkEnd w:id="1"/>
    <w:p w:rsidR="00FC70C6" w14:paraId="74D94EFD" w14:textId="21DBCBBB">
      <w:pPr>
        <w:rPr>
          <w:b/>
        </w:rPr>
      </w:pPr>
      <w:r w:rsidRPr="009A4A81">
        <w:rPr>
          <w:b/>
        </w:rPr>
        <w:t>References</w:t>
      </w:r>
    </w:p>
    <w:p w:rsidR="00D45D2A" w14:paraId="08238AEC" w14:textId="77777777">
      <w:pPr>
        <w:rPr>
          <w:b/>
        </w:rPr>
      </w:pPr>
    </w:p>
    <w:p w:rsidR="00317ABD" w:rsidP="00317ABD" w14:paraId="6C3B5258" w14:textId="1FA74966">
      <w:pPr>
        <w:pStyle w:val="ListParagraph"/>
        <w:numPr>
          <w:ilvl w:val="0"/>
          <w:numId w:val="10"/>
        </w:numPr>
      </w:pPr>
      <w:r>
        <w:t xml:space="preserve">Centers for Disease Control and Prevention. Preventing adverse childhood experiences: leveraging the best available evidence. Atlanta, GA: National Center for Injury Prevention and Control, Centers for Disease Control and Prevention; 2019. </w:t>
      </w:r>
      <w:hyperlink r:id="rId13" w:history="1">
        <w:r>
          <w:rPr>
            <w:rStyle w:val="a"/>
            <w:u w:val="single" w:color="0000FF"/>
          </w:rPr>
          <w:t>https://www.cdc.gov/violenceprevention/pdf/preventingACES.pdf</w:t>
        </w:r>
      </w:hyperlink>
      <w:r>
        <w:t>.</w:t>
      </w:r>
    </w:p>
    <w:p w:rsidR="00317ABD" w:rsidP="00317ABD" w14:paraId="6FB7A113" w14:textId="77777777">
      <w:pPr>
        <w:pStyle w:val="ListParagraph"/>
      </w:pPr>
    </w:p>
    <w:p w:rsidR="00317ABD" w:rsidRPr="00317ABD" w:rsidP="00317ABD" w14:paraId="7E3950FD" w14:textId="77777777">
      <w:pPr>
        <w:pStyle w:val="ListParagraph"/>
        <w:numPr>
          <w:ilvl w:val="0"/>
          <w:numId w:val="10"/>
        </w:numPr>
        <w:rPr>
          <w:rStyle w:val="a"/>
          <w:color w:val="auto"/>
        </w:rPr>
      </w:pPr>
      <w:r>
        <w:t>Felitti</w:t>
      </w:r>
      <w:r>
        <w:t xml:space="preserve"> VJ, Anda RF, Nordenberg D, Williamson DF, Spitz AM, Edwards V, Koss MP, Marks JS. Relationship of childhood abuse and household dysfunction to many of the leading causes of death in adults: The Adverse Childhood Experiences (ACE) Study. American Journal of Preventive Medicine, 1998; 14(4), 245–258. </w:t>
      </w:r>
      <w:hyperlink r:id="rId14" w:history="1">
        <w:r>
          <w:rPr>
            <w:rStyle w:val="a"/>
            <w:u w:val="single" w:color="0000FF"/>
          </w:rPr>
          <w:t>https://doi.org/10.1016/S0749-3797(98)00017-8</w:t>
        </w:r>
      </w:hyperlink>
      <w:r>
        <w:rPr>
          <w:rStyle w:val="a"/>
          <w:u w:val="single" w:color="0000FF"/>
        </w:rPr>
        <w:br/>
      </w:r>
    </w:p>
    <w:p w:rsidR="00317ABD" w:rsidRPr="00317ABD" w:rsidP="00317ABD" w14:paraId="5B8121DF" w14:textId="07354E64">
      <w:pPr>
        <w:pStyle w:val="ListParagraph"/>
        <w:numPr>
          <w:ilvl w:val="0"/>
          <w:numId w:val="10"/>
        </w:numPr>
        <w:rPr>
          <w:rStyle w:val="a"/>
          <w:color w:val="auto"/>
        </w:rPr>
      </w:pPr>
      <w:r>
        <w:t xml:space="preserve">Merrick MT, Ford DC, Ports KA, et al. Vital Signs: Estimated Proportion of Adult Health Problems Attributable to Adverse Childhood Experiences and Implications for Prevention — 25 States, 2015–2017. MMWR </w:t>
      </w:r>
      <w:r>
        <w:t>Morb</w:t>
      </w:r>
      <w:r>
        <w:t xml:space="preserve"> Mortal </w:t>
      </w:r>
      <w:r>
        <w:t>Wkly</w:t>
      </w:r>
      <w:r>
        <w:t xml:space="preserve"> Rep. </w:t>
      </w:r>
      <w:r>
        <w:t>2019;68:999</w:t>
      </w:r>
      <w:r>
        <w:t xml:space="preserve">-1005. DOI: </w:t>
      </w:r>
      <w:hyperlink r:id="rId15" w:history="1">
        <w:r>
          <w:rPr>
            <w:rStyle w:val="a"/>
            <w:u w:val="single" w:color="0000FF"/>
          </w:rPr>
          <w:t>http://dx.doi.org/10.15585/mmwr.mm6844e1</w:t>
        </w:r>
      </w:hyperlink>
    </w:p>
    <w:p w:rsidR="00317ABD" w:rsidRPr="00317ABD" w:rsidP="00317ABD" w14:paraId="230D0701" w14:textId="77777777">
      <w:pPr>
        <w:pStyle w:val="ListParagraph"/>
        <w:rPr>
          <w:rStyle w:val="a"/>
          <w:color w:val="auto"/>
        </w:rPr>
      </w:pPr>
    </w:p>
    <w:p w:rsidR="00317ABD" w:rsidRPr="00317ABD" w:rsidP="00317ABD" w14:paraId="12E78E8E" w14:textId="29A8606E">
      <w:pPr>
        <w:pStyle w:val="ListParagraph"/>
        <w:numPr>
          <w:ilvl w:val="0"/>
          <w:numId w:val="10"/>
        </w:numPr>
        <w:rPr>
          <w:rStyle w:val="a"/>
          <w:color w:val="auto"/>
        </w:rPr>
      </w:pPr>
      <w:r>
        <w:t>Nurius</w:t>
      </w:r>
      <w:r>
        <w:t xml:space="preserve">, PS, Logan-Greene P, Green S. Adverse Childhood Experiences (ACE) Within a Social Disadvantage Framework: Distinguishing Unique, Cumulative, and Moderated Contributions to Adult Mental Health. Journal of Prevention &amp; Intervention in the Community. 2012; 40(4), 278-290. DOI: </w:t>
      </w:r>
      <w:hyperlink r:id="rId16" w:tgtFrame="_blank" w:history="1">
        <w:r>
          <w:rPr>
            <w:rStyle w:val="a"/>
            <w:u w:val="single" w:color="0000FF"/>
          </w:rPr>
          <w:t xml:space="preserve">10.1080/10852352.2012.707443 </w:t>
        </w:r>
      </w:hyperlink>
    </w:p>
    <w:p w:rsidR="00317ABD" w:rsidRPr="00317ABD" w:rsidP="00317ABD" w14:paraId="3B8834D4" w14:textId="77777777">
      <w:pPr>
        <w:rPr>
          <w:rStyle w:val="a"/>
          <w:color w:val="auto"/>
        </w:rPr>
      </w:pPr>
    </w:p>
    <w:p w:rsidR="00317ABD" w:rsidRPr="00317ABD" w:rsidP="00317ABD" w14:paraId="15DA5E43" w14:textId="113C51BE">
      <w:pPr>
        <w:pStyle w:val="ListParagraph"/>
        <w:numPr>
          <w:ilvl w:val="0"/>
          <w:numId w:val="10"/>
        </w:numPr>
        <w:rPr>
          <w:rStyle w:val="a"/>
          <w:color w:val="auto"/>
        </w:rPr>
      </w:pPr>
      <w:r>
        <w:t xml:space="preserve">Peterson C, Florence C, </w:t>
      </w:r>
      <w:r>
        <w:t>Klevens</w:t>
      </w:r>
      <w:r>
        <w:t xml:space="preserve"> J. The Economic Burden of Child Maltreatment in the United States, 2015. Child Abuse &amp; Neglect. 2018; 86,178-183. </w:t>
      </w:r>
      <w:hyperlink r:id="rId17" w:history="1">
        <w:r>
          <w:rPr>
            <w:rStyle w:val="a"/>
            <w:u w:val="single" w:color="0000FF"/>
          </w:rPr>
          <w:t>https://doi.org/10.1016/j.chiabu.2018.09.018</w:t>
        </w:r>
      </w:hyperlink>
    </w:p>
    <w:p w:rsidR="00317ABD" w:rsidRPr="00317ABD" w:rsidP="00317ABD" w14:paraId="5218B346" w14:textId="77777777">
      <w:pPr>
        <w:rPr>
          <w:rStyle w:val="a"/>
          <w:color w:val="auto"/>
        </w:rPr>
      </w:pPr>
    </w:p>
    <w:p w:rsidR="00317ABD" w:rsidRPr="00317ABD" w:rsidP="00317ABD" w14:paraId="73E4535F" w14:textId="770042C8">
      <w:pPr>
        <w:pStyle w:val="ListParagraph"/>
        <w:numPr>
          <w:ilvl w:val="0"/>
          <w:numId w:val="10"/>
        </w:numPr>
        <w:rPr>
          <w:rStyle w:val="a"/>
          <w:color w:val="auto"/>
        </w:rPr>
      </w:pPr>
      <w:r>
        <w:t>Jones CM, Merrick MT, Houry DE.</w:t>
      </w:r>
      <w:r>
        <w:rPr>
          <w:i/>
          <w:iCs/>
        </w:rPr>
        <w:t xml:space="preserve"> </w:t>
      </w:r>
      <w:r>
        <w:t>Identifying and Preventing Adverse Childhood Experiences, Implications for Clinical Practice</w:t>
      </w:r>
      <w:r>
        <w:rPr>
          <w:b/>
          <w:bCs/>
        </w:rPr>
        <w:t xml:space="preserve">. </w:t>
      </w:r>
      <w:r>
        <w:t>JAMA</w:t>
      </w:r>
      <w:r>
        <w:rPr>
          <w:i/>
          <w:iCs/>
        </w:rPr>
        <w:t>. </w:t>
      </w:r>
      <w:r>
        <w:t>2020;323(1):25-26. DOI:</w:t>
      </w:r>
      <w:r>
        <w:rPr>
          <w:b/>
          <w:bCs/>
        </w:rPr>
        <w:t xml:space="preserve"> </w:t>
      </w:r>
      <w:hyperlink r:id="rId18" w:history="1">
        <w:r>
          <w:rPr>
            <w:rStyle w:val="a"/>
            <w:u w:val="single" w:color="0000FF"/>
          </w:rPr>
          <w:t>10.1001/jama.2019.18499</w:t>
        </w:r>
      </w:hyperlink>
    </w:p>
    <w:p w:rsidR="00317ABD" w:rsidRPr="00317ABD" w:rsidP="00317ABD" w14:paraId="600EEC43" w14:textId="77777777">
      <w:pPr>
        <w:rPr>
          <w:rStyle w:val="a"/>
          <w:color w:val="auto"/>
        </w:rPr>
      </w:pPr>
    </w:p>
    <w:p w:rsidR="002D47C3" w:rsidRPr="00594BC5" w:rsidP="00317ABD" w14:paraId="662F94F8" w14:textId="1F0A9434">
      <w:pPr>
        <w:pStyle w:val="ListParagraph"/>
        <w:numPr>
          <w:ilvl w:val="0"/>
          <w:numId w:val="10"/>
        </w:numPr>
      </w:pPr>
      <w:r>
        <w:t xml:space="preserve">Olds DL, </w:t>
      </w:r>
      <w:r>
        <w:t>Eckenrode</w:t>
      </w:r>
      <w:r>
        <w:t xml:space="preserve"> J, Henderson CR Jr, </w:t>
      </w:r>
      <w:r>
        <w:t>Kitzman</w:t>
      </w:r>
      <w:r>
        <w:t xml:space="preserve"> H, Powers J, Cole R, </w:t>
      </w:r>
      <w:r>
        <w:t>Sidora</w:t>
      </w:r>
      <w:r>
        <w:t xml:space="preserve"> K, Morris P, Pettitt LM, </w:t>
      </w:r>
      <w:r>
        <w:t>Luckey</w:t>
      </w:r>
      <w:r>
        <w:t xml:space="preserve"> D. Long-term effects of home visitation on maternal life course and child abuse and neglect: fifteen-year follow-up of a randomized trial. JAMA. 1997;278(8):637-643. DOI: </w:t>
      </w:r>
      <w:hyperlink r:id="rId19" w:history="1">
        <w:r>
          <w:rPr>
            <w:rStyle w:val="a"/>
            <w:u w:val="single" w:color="0000FF"/>
          </w:rPr>
          <w:t>10.1001/jama.1997.03550080047038</w:t>
        </w:r>
      </w:hyperlink>
    </w:p>
    <w:sectPr w:rsidSect="00D26908">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63396D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921294"/>
      <w:docPartObj>
        <w:docPartGallery w:val="Page Numbers (Bottom of Page)"/>
        <w:docPartUnique/>
      </w:docPartObj>
    </w:sdtPr>
    <w:sdtEndPr>
      <w:rPr>
        <w:noProof/>
      </w:rPr>
    </w:sdtEndPr>
    <w:sdtContent>
      <w:p w:rsidR="00F4476B" w14:paraId="6837DF3D" w14:textId="37CE51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F4476B" w14:paraId="427C02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583C76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46781B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1073F0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76B" w14:paraId="6D8BF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81228"/>
    <w:multiLevelType w:val="hybridMultilevel"/>
    <w:tmpl w:val="52A05E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962EC"/>
    <w:multiLevelType w:val="hybridMultilevel"/>
    <w:tmpl w:val="89920E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90614D"/>
    <w:multiLevelType w:val="hybridMultilevel"/>
    <w:tmpl w:val="1B6A00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505D7B"/>
    <w:multiLevelType w:val="hybridMultilevel"/>
    <w:tmpl w:val="9EBC1B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C22082"/>
    <w:multiLevelType w:val="hybridMultilevel"/>
    <w:tmpl w:val="B51C5F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CF7647"/>
    <w:multiLevelType w:val="hybridMultilevel"/>
    <w:tmpl w:val="EA14A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C078B7"/>
    <w:multiLevelType w:val="hybridMultilevel"/>
    <w:tmpl w:val="C7300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AF3879"/>
    <w:multiLevelType w:val="hybridMultilevel"/>
    <w:tmpl w:val="1A581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BD5F57"/>
    <w:multiLevelType w:val="hybridMultilevel"/>
    <w:tmpl w:val="412A70B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E70C28"/>
    <w:multiLevelType w:val="hybridMultilevel"/>
    <w:tmpl w:val="11D696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8A6B24"/>
    <w:multiLevelType w:val="hybridMultilevel"/>
    <w:tmpl w:val="3C607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505072"/>
    <w:multiLevelType w:val="hybridMultilevel"/>
    <w:tmpl w:val="C0B4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10762B"/>
    <w:multiLevelType w:val="hybridMultilevel"/>
    <w:tmpl w:val="25DA8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D32F72"/>
    <w:multiLevelType w:val="hybridMultilevel"/>
    <w:tmpl w:val="A5FE83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D9E3A19"/>
    <w:multiLevelType w:val="hybridMultilevel"/>
    <w:tmpl w:val="43B027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9E4705"/>
    <w:multiLevelType w:val="hybridMultilevel"/>
    <w:tmpl w:val="329AA2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9D6CD9"/>
    <w:multiLevelType w:val="hybridMultilevel"/>
    <w:tmpl w:val="3278726C"/>
    <w:lvl w:ilvl="0">
      <w:start w:val="1"/>
      <w:numFmt w:val="decimal"/>
      <w:lvlText w:val="%1."/>
      <w:lvlJc w:val="left"/>
      <w:pPr>
        <w:ind w:left="540" w:hanging="360"/>
      </w:pPr>
      <w:rPr>
        <w:rFonts w:hint="default"/>
        <w:color w:val="auto"/>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62AD57C9"/>
    <w:multiLevelType w:val="hybridMultilevel"/>
    <w:tmpl w:val="1BC49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555B8"/>
    <w:multiLevelType w:val="hybridMultilevel"/>
    <w:tmpl w:val="90AC8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7A4D55"/>
    <w:multiLevelType w:val="hybridMultilevel"/>
    <w:tmpl w:val="1BAE3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413D10"/>
    <w:multiLevelType w:val="hybridMultilevel"/>
    <w:tmpl w:val="023E563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8D44CD"/>
    <w:multiLevelType w:val="hybridMultilevel"/>
    <w:tmpl w:val="6D14F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2B3007"/>
    <w:multiLevelType w:val="hybridMultilevel"/>
    <w:tmpl w:val="50FEBB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A670A9"/>
    <w:multiLevelType w:val="hybridMultilevel"/>
    <w:tmpl w:val="BB46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5B011D"/>
    <w:multiLevelType w:val="hybridMultilevel"/>
    <w:tmpl w:val="BAE0B30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98F911E"/>
    <w:multiLevelType w:val="hybridMultilevel"/>
    <w:tmpl w:val="AFF3791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FA23438"/>
    <w:multiLevelType w:val="hybridMultilevel"/>
    <w:tmpl w:val="953A7A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8406211">
    <w:abstractNumId w:val="28"/>
  </w:num>
  <w:num w:numId="2" w16cid:durableId="640690152">
    <w:abstractNumId w:val="14"/>
  </w:num>
  <w:num w:numId="3" w16cid:durableId="243759053">
    <w:abstractNumId w:val="3"/>
  </w:num>
  <w:num w:numId="4" w16cid:durableId="1336422876">
    <w:abstractNumId w:val="9"/>
  </w:num>
  <w:num w:numId="5" w16cid:durableId="1271234339">
    <w:abstractNumId w:val="15"/>
  </w:num>
  <w:num w:numId="6" w16cid:durableId="1758362132">
    <w:abstractNumId w:val="7"/>
  </w:num>
  <w:num w:numId="7" w16cid:durableId="1942833911">
    <w:abstractNumId w:val="27"/>
  </w:num>
  <w:num w:numId="8" w16cid:durableId="1522473889">
    <w:abstractNumId w:val="19"/>
  </w:num>
  <w:num w:numId="9" w16cid:durableId="1740594110">
    <w:abstractNumId w:val="23"/>
  </w:num>
  <w:num w:numId="10" w16cid:durableId="771166208">
    <w:abstractNumId w:val="16"/>
  </w:num>
  <w:num w:numId="11" w16cid:durableId="1785266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2351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8088409">
    <w:abstractNumId w:val="13"/>
  </w:num>
  <w:num w:numId="14" w16cid:durableId="1879969227">
    <w:abstractNumId w:val="11"/>
  </w:num>
  <w:num w:numId="15" w16cid:durableId="348416317">
    <w:abstractNumId w:val="1"/>
  </w:num>
  <w:num w:numId="16" w16cid:durableId="860359853">
    <w:abstractNumId w:val="26"/>
  </w:num>
  <w:num w:numId="17" w16cid:durableId="2074964335">
    <w:abstractNumId w:val="10"/>
  </w:num>
  <w:num w:numId="18" w16cid:durableId="345713802">
    <w:abstractNumId w:val="18"/>
  </w:num>
  <w:num w:numId="19" w16cid:durableId="1039549398">
    <w:abstractNumId w:val="8"/>
  </w:num>
  <w:num w:numId="20" w16cid:durableId="258149375">
    <w:abstractNumId w:val="25"/>
  </w:num>
  <w:num w:numId="21" w16cid:durableId="397090386">
    <w:abstractNumId w:val="17"/>
  </w:num>
  <w:num w:numId="22" w16cid:durableId="1089809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216010">
    <w:abstractNumId w:val="5"/>
  </w:num>
  <w:num w:numId="24" w16cid:durableId="41290899">
    <w:abstractNumId w:val="2"/>
  </w:num>
  <w:num w:numId="25" w16cid:durableId="2143378390">
    <w:abstractNumId w:val="21"/>
  </w:num>
  <w:num w:numId="26" w16cid:durableId="1756050405">
    <w:abstractNumId w:val="6"/>
  </w:num>
  <w:num w:numId="27" w16cid:durableId="669796108">
    <w:abstractNumId w:val="12"/>
  </w:num>
  <w:num w:numId="28" w16cid:durableId="561410722">
    <w:abstractNumId w:val="4"/>
  </w:num>
  <w:num w:numId="29" w16cid:durableId="610288113">
    <w:abstractNumId w:val="0"/>
  </w:num>
  <w:num w:numId="30" w16cid:durableId="1186794749">
    <w:abstractNumId w:val="20"/>
  </w:num>
  <w:num w:numId="31" w16cid:durableId="13860293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DD"/>
    <w:rsid w:val="00000E0D"/>
    <w:rsid w:val="0000213F"/>
    <w:rsid w:val="0000390E"/>
    <w:rsid w:val="00007BAC"/>
    <w:rsid w:val="00011C0C"/>
    <w:rsid w:val="00013E18"/>
    <w:rsid w:val="00015648"/>
    <w:rsid w:val="0001641C"/>
    <w:rsid w:val="000176F2"/>
    <w:rsid w:val="00023BE3"/>
    <w:rsid w:val="00025548"/>
    <w:rsid w:val="00030086"/>
    <w:rsid w:val="00031460"/>
    <w:rsid w:val="00042736"/>
    <w:rsid w:val="0004531C"/>
    <w:rsid w:val="000461C7"/>
    <w:rsid w:val="000468DF"/>
    <w:rsid w:val="000516D0"/>
    <w:rsid w:val="00053F0B"/>
    <w:rsid w:val="00060AD7"/>
    <w:rsid w:val="00064D64"/>
    <w:rsid w:val="000662C9"/>
    <w:rsid w:val="00067ED7"/>
    <w:rsid w:val="00067FBF"/>
    <w:rsid w:val="00071059"/>
    <w:rsid w:val="0007245A"/>
    <w:rsid w:val="00075895"/>
    <w:rsid w:val="0007720B"/>
    <w:rsid w:val="00083EDE"/>
    <w:rsid w:val="000853DE"/>
    <w:rsid w:val="0009241F"/>
    <w:rsid w:val="00096720"/>
    <w:rsid w:val="000B5054"/>
    <w:rsid w:val="000B5725"/>
    <w:rsid w:val="000C24C6"/>
    <w:rsid w:val="000C278F"/>
    <w:rsid w:val="000C44AC"/>
    <w:rsid w:val="000C44E0"/>
    <w:rsid w:val="000C5174"/>
    <w:rsid w:val="000C5976"/>
    <w:rsid w:val="000C75C6"/>
    <w:rsid w:val="000D2A38"/>
    <w:rsid w:val="000D3F34"/>
    <w:rsid w:val="000E47E6"/>
    <w:rsid w:val="000F07EF"/>
    <w:rsid w:val="000F08EE"/>
    <w:rsid w:val="000F26FA"/>
    <w:rsid w:val="000F4FDB"/>
    <w:rsid w:val="000F51A2"/>
    <w:rsid w:val="000F661A"/>
    <w:rsid w:val="0010411D"/>
    <w:rsid w:val="00113421"/>
    <w:rsid w:val="00114CEB"/>
    <w:rsid w:val="001206D2"/>
    <w:rsid w:val="001229B3"/>
    <w:rsid w:val="001314B4"/>
    <w:rsid w:val="00137BEE"/>
    <w:rsid w:val="00140AD3"/>
    <w:rsid w:val="00142D3A"/>
    <w:rsid w:val="00154759"/>
    <w:rsid w:val="001569CC"/>
    <w:rsid w:val="00161882"/>
    <w:rsid w:val="001631DD"/>
    <w:rsid w:val="00170EC1"/>
    <w:rsid w:val="00172BBC"/>
    <w:rsid w:val="0018104E"/>
    <w:rsid w:val="00190D7E"/>
    <w:rsid w:val="0019629C"/>
    <w:rsid w:val="001A311D"/>
    <w:rsid w:val="001A4F0C"/>
    <w:rsid w:val="001A62ED"/>
    <w:rsid w:val="001A7A26"/>
    <w:rsid w:val="001B252D"/>
    <w:rsid w:val="001C33D2"/>
    <w:rsid w:val="001C6C77"/>
    <w:rsid w:val="001D3804"/>
    <w:rsid w:val="001E04DA"/>
    <w:rsid w:val="001E753C"/>
    <w:rsid w:val="001F00D6"/>
    <w:rsid w:val="001F1DBF"/>
    <w:rsid w:val="001F27DD"/>
    <w:rsid w:val="001F280C"/>
    <w:rsid w:val="00201672"/>
    <w:rsid w:val="0020786C"/>
    <w:rsid w:val="002166F2"/>
    <w:rsid w:val="00220512"/>
    <w:rsid w:val="00221927"/>
    <w:rsid w:val="002238BD"/>
    <w:rsid w:val="00232A60"/>
    <w:rsid w:val="00233D39"/>
    <w:rsid w:val="0024021F"/>
    <w:rsid w:val="00240739"/>
    <w:rsid w:val="0024314F"/>
    <w:rsid w:val="002444AE"/>
    <w:rsid w:val="00244CE3"/>
    <w:rsid w:val="00246C42"/>
    <w:rsid w:val="00254714"/>
    <w:rsid w:val="0026157F"/>
    <w:rsid w:val="002615DD"/>
    <w:rsid w:val="00264CDB"/>
    <w:rsid w:val="00272B75"/>
    <w:rsid w:val="00272EF9"/>
    <w:rsid w:val="002751A4"/>
    <w:rsid w:val="00276E0E"/>
    <w:rsid w:val="00277EB8"/>
    <w:rsid w:val="00280156"/>
    <w:rsid w:val="00281388"/>
    <w:rsid w:val="00285740"/>
    <w:rsid w:val="002862F3"/>
    <w:rsid w:val="00287BD4"/>
    <w:rsid w:val="0029033A"/>
    <w:rsid w:val="002A1A90"/>
    <w:rsid w:val="002A4EF0"/>
    <w:rsid w:val="002A561D"/>
    <w:rsid w:val="002A57E9"/>
    <w:rsid w:val="002A5824"/>
    <w:rsid w:val="002A5ACE"/>
    <w:rsid w:val="002A66B6"/>
    <w:rsid w:val="002A6981"/>
    <w:rsid w:val="002B1374"/>
    <w:rsid w:val="002B4BCE"/>
    <w:rsid w:val="002B653A"/>
    <w:rsid w:val="002B66AC"/>
    <w:rsid w:val="002B719F"/>
    <w:rsid w:val="002B72FA"/>
    <w:rsid w:val="002B752E"/>
    <w:rsid w:val="002C1BB3"/>
    <w:rsid w:val="002C30FE"/>
    <w:rsid w:val="002C7E04"/>
    <w:rsid w:val="002D1093"/>
    <w:rsid w:val="002D24B2"/>
    <w:rsid w:val="002D46F5"/>
    <w:rsid w:val="002D47C3"/>
    <w:rsid w:val="002E4DD7"/>
    <w:rsid w:val="002E6A2F"/>
    <w:rsid w:val="002F0712"/>
    <w:rsid w:val="002F0A3B"/>
    <w:rsid w:val="002F3396"/>
    <w:rsid w:val="002F619C"/>
    <w:rsid w:val="00301B91"/>
    <w:rsid w:val="0031336E"/>
    <w:rsid w:val="00316CE6"/>
    <w:rsid w:val="00317ABD"/>
    <w:rsid w:val="00321CA2"/>
    <w:rsid w:val="00322938"/>
    <w:rsid w:val="00326EB1"/>
    <w:rsid w:val="00327972"/>
    <w:rsid w:val="00330C83"/>
    <w:rsid w:val="00334C31"/>
    <w:rsid w:val="00336AB6"/>
    <w:rsid w:val="00337CAE"/>
    <w:rsid w:val="003424A7"/>
    <w:rsid w:val="00343E87"/>
    <w:rsid w:val="0034749C"/>
    <w:rsid w:val="003504F9"/>
    <w:rsid w:val="0035096B"/>
    <w:rsid w:val="003512A8"/>
    <w:rsid w:val="00356A68"/>
    <w:rsid w:val="00356F53"/>
    <w:rsid w:val="00357E83"/>
    <w:rsid w:val="003625E0"/>
    <w:rsid w:val="00362DAF"/>
    <w:rsid w:val="0036319B"/>
    <w:rsid w:val="003664E7"/>
    <w:rsid w:val="00366829"/>
    <w:rsid w:val="00366BB1"/>
    <w:rsid w:val="00367806"/>
    <w:rsid w:val="00377A21"/>
    <w:rsid w:val="0038294D"/>
    <w:rsid w:val="00382EC9"/>
    <w:rsid w:val="00383FA2"/>
    <w:rsid w:val="00390AC1"/>
    <w:rsid w:val="00393EB7"/>
    <w:rsid w:val="003941DE"/>
    <w:rsid w:val="00394DF7"/>
    <w:rsid w:val="00396878"/>
    <w:rsid w:val="003A24D9"/>
    <w:rsid w:val="003B0A5F"/>
    <w:rsid w:val="003B1A9C"/>
    <w:rsid w:val="003B4F38"/>
    <w:rsid w:val="003B50C5"/>
    <w:rsid w:val="003B6A6D"/>
    <w:rsid w:val="003D2593"/>
    <w:rsid w:val="003D569D"/>
    <w:rsid w:val="003E3591"/>
    <w:rsid w:val="003E361F"/>
    <w:rsid w:val="003E62CE"/>
    <w:rsid w:val="003E66AC"/>
    <w:rsid w:val="003E7469"/>
    <w:rsid w:val="003F43B7"/>
    <w:rsid w:val="003F55E4"/>
    <w:rsid w:val="003F6DEB"/>
    <w:rsid w:val="00402200"/>
    <w:rsid w:val="00405DDD"/>
    <w:rsid w:val="004102BB"/>
    <w:rsid w:val="0041232E"/>
    <w:rsid w:val="00413656"/>
    <w:rsid w:val="00417E8A"/>
    <w:rsid w:val="00417F08"/>
    <w:rsid w:val="004258C9"/>
    <w:rsid w:val="004276A1"/>
    <w:rsid w:val="0043131B"/>
    <w:rsid w:val="00434E8F"/>
    <w:rsid w:val="0044331D"/>
    <w:rsid w:val="00443F05"/>
    <w:rsid w:val="00446CF3"/>
    <w:rsid w:val="00450222"/>
    <w:rsid w:val="00460D49"/>
    <w:rsid w:val="004673DE"/>
    <w:rsid w:val="00474486"/>
    <w:rsid w:val="004901AF"/>
    <w:rsid w:val="00490F21"/>
    <w:rsid w:val="00493622"/>
    <w:rsid w:val="004A2A7E"/>
    <w:rsid w:val="004A2F21"/>
    <w:rsid w:val="004A44FD"/>
    <w:rsid w:val="004A669E"/>
    <w:rsid w:val="004B065D"/>
    <w:rsid w:val="004B0EE9"/>
    <w:rsid w:val="004B1734"/>
    <w:rsid w:val="004B75FC"/>
    <w:rsid w:val="004C518F"/>
    <w:rsid w:val="004C59A5"/>
    <w:rsid w:val="004C71BC"/>
    <w:rsid w:val="004D19C7"/>
    <w:rsid w:val="004D7781"/>
    <w:rsid w:val="004E50BD"/>
    <w:rsid w:val="004E717C"/>
    <w:rsid w:val="004F14DE"/>
    <w:rsid w:val="004F1B9B"/>
    <w:rsid w:val="00503C24"/>
    <w:rsid w:val="00504FD8"/>
    <w:rsid w:val="00505177"/>
    <w:rsid w:val="00506C40"/>
    <w:rsid w:val="00510DE2"/>
    <w:rsid w:val="005149AC"/>
    <w:rsid w:val="005224A6"/>
    <w:rsid w:val="00523648"/>
    <w:rsid w:val="005325CF"/>
    <w:rsid w:val="005340FE"/>
    <w:rsid w:val="005464B6"/>
    <w:rsid w:val="00547459"/>
    <w:rsid w:val="00547EDB"/>
    <w:rsid w:val="00551C4E"/>
    <w:rsid w:val="00553FC6"/>
    <w:rsid w:val="0055405D"/>
    <w:rsid w:val="00557AF5"/>
    <w:rsid w:val="005665EE"/>
    <w:rsid w:val="0057054F"/>
    <w:rsid w:val="005722FA"/>
    <w:rsid w:val="00573858"/>
    <w:rsid w:val="00580E04"/>
    <w:rsid w:val="005854BE"/>
    <w:rsid w:val="0058727E"/>
    <w:rsid w:val="005935CA"/>
    <w:rsid w:val="00594BC5"/>
    <w:rsid w:val="0059581A"/>
    <w:rsid w:val="005978FF"/>
    <w:rsid w:val="005B1FCD"/>
    <w:rsid w:val="005B27F3"/>
    <w:rsid w:val="005B3FF1"/>
    <w:rsid w:val="005B47C3"/>
    <w:rsid w:val="005C388F"/>
    <w:rsid w:val="005C4D1E"/>
    <w:rsid w:val="005C5884"/>
    <w:rsid w:val="005C7B13"/>
    <w:rsid w:val="005D674B"/>
    <w:rsid w:val="005D774A"/>
    <w:rsid w:val="005E01CE"/>
    <w:rsid w:val="005E0DE2"/>
    <w:rsid w:val="005E22E1"/>
    <w:rsid w:val="005E233F"/>
    <w:rsid w:val="005F696A"/>
    <w:rsid w:val="005F7C55"/>
    <w:rsid w:val="00600DED"/>
    <w:rsid w:val="0060372F"/>
    <w:rsid w:val="00607DDC"/>
    <w:rsid w:val="00611D14"/>
    <w:rsid w:val="006125F4"/>
    <w:rsid w:val="006156C8"/>
    <w:rsid w:val="00617071"/>
    <w:rsid w:val="006174D1"/>
    <w:rsid w:val="006228A5"/>
    <w:rsid w:val="00623264"/>
    <w:rsid w:val="006239F0"/>
    <w:rsid w:val="00623E18"/>
    <w:rsid w:val="00624A10"/>
    <w:rsid w:val="0062627B"/>
    <w:rsid w:val="00626431"/>
    <w:rsid w:val="00632901"/>
    <w:rsid w:val="00640D04"/>
    <w:rsid w:val="00642063"/>
    <w:rsid w:val="00642C07"/>
    <w:rsid w:val="00646757"/>
    <w:rsid w:val="00646D6A"/>
    <w:rsid w:val="00660DD9"/>
    <w:rsid w:val="006639E1"/>
    <w:rsid w:val="00665BD8"/>
    <w:rsid w:val="00672BF6"/>
    <w:rsid w:val="006831B5"/>
    <w:rsid w:val="00684BE4"/>
    <w:rsid w:val="00690775"/>
    <w:rsid w:val="00691454"/>
    <w:rsid w:val="00692221"/>
    <w:rsid w:val="00692BD6"/>
    <w:rsid w:val="0069373D"/>
    <w:rsid w:val="006A433F"/>
    <w:rsid w:val="006A73D5"/>
    <w:rsid w:val="006B1D5B"/>
    <w:rsid w:val="006B2190"/>
    <w:rsid w:val="006B2495"/>
    <w:rsid w:val="006B34BF"/>
    <w:rsid w:val="006B48F0"/>
    <w:rsid w:val="006B696E"/>
    <w:rsid w:val="006C30A4"/>
    <w:rsid w:val="006C4FF3"/>
    <w:rsid w:val="006C5256"/>
    <w:rsid w:val="006C63D3"/>
    <w:rsid w:val="006D184C"/>
    <w:rsid w:val="006D3381"/>
    <w:rsid w:val="006D7C25"/>
    <w:rsid w:val="006E0A0D"/>
    <w:rsid w:val="006E2F07"/>
    <w:rsid w:val="006E4FA3"/>
    <w:rsid w:val="006E6D87"/>
    <w:rsid w:val="006F00D6"/>
    <w:rsid w:val="006F0A90"/>
    <w:rsid w:val="006F21C4"/>
    <w:rsid w:val="006F35A5"/>
    <w:rsid w:val="00700280"/>
    <w:rsid w:val="00700658"/>
    <w:rsid w:val="00700F89"/>
    <w:rsid w:val="0070147B"/>
    <w:rsid w:val="0070680A"/>
    <w:rsid w:val="007112D8"/>
    <w:rsid w:val="00714808"/>
    <w:rsid w:val="0071636A"/>
    <w:rsid w:val="00732B6A"/>
    <w:rsid w:val="00732EB8"/>
    <w:rsid w:val="00736803"/>
    <w:rsid w:val="007369AB"/>
    <w:rsid w:val="00736DA0"/>
    <w:rsid w:val="0074064E"/>
    <w:rsid w:val="007419B3"/>
    <w:rsid w:val="00741D2E"/>
    <w:rsid w:val="007449FF"/>
    <w:rsid w:val="00744DF8"/>
    <w:rsid w:val="00747EF7"/>
    <w:rsid w:val="00750255"/>
    <w:rsid w:val="0075193B"/>
    <w:rsid w:val="007522DE"/>
    <w:rsid w:val="00753602"/>
    <w:rsid w:val="007542F8"/>
    <w:rsid w:val="00765549"/>
    <w:rsid w:val="007677D8"/>
    <w:rsid w:val="007866F2"/>
    <w:rsid w:val="00792294"/>
    <w:rsid w:val="0079619F"/>
    <w:rsid w:val="00797ED8"/>
    <w:rsid w:val="007A213E"/>
    <w:rsid w:val="007A2E2E"/>
    <w:rsid w:val="007A72B0"/>
    <w:rsid w:val="007A788F"/>
    <w:rsid w:val="007B7EFA"/>
    <w:rsid w:val="007C246A"/>
    <w:rsid w:val="007D1050"/>
    <w:rsid w:val="007D51A4"/>
    <w:rsid w:val="007E1B8E"/>
    <w:rsid w:val="007E1FAC"/>
    <w:rsid w:val="007E42A5"/>
    <w:rsid w:val="007E568E"/>
    <w:rsid w:val="007E5DA1"/>
    <w:rsid w:val="007E6628"/>
    <w:rsid w:val="007E7097"/>
    <w:rsid w:val="007F7B9A"/>
    <w:rsid w:val="0081449D"/>
    <w:rsid w:val="00825BB9"/>
    <w:rsid w:val="00827A77"/>
    <w:rsid w:val="00834FC3"/>
    <w:rsid w:val="00835B83"/>
    <w:rsid w:val="00835FA5"/>
    <w:rsid w:val="00844A4E"/>
    <w:rsid w:val="00846805"/>
    <w:rsid w:val="0085100A"/>
    <w:rsid w:val="008513F0"/>
    <w:rsid w:val="00854F0A"/>
    <w:rsid w:val="00855D47"/>
    <w:rsid w:val="008570D9"/>
    <w:rsid w:val="00860BDD"/>
    <w:rsid w:val="00860F3A"/>
    <w:rsid w:val="00865D8F"/>
    <w:rsid w:val="0086704E"/>
    <w:rsid w:val="00867EB4"/>
    <w:rsid w:val="00872944"/>
    <w:rsid w:val="00886265"/>
    <w:rsid w:val="00887A7A"/>
    <w:rsid w:val="00891BF2"/>
    <w:rsid w:val="00893EB7"/>
    <w:rsid w:val="008A5507"/>
    <w:rsid w:val="008A7F43"/>
    <w:rsid w:val="008B0B4A"/>
    <w:rsid w:val="008B2649"/>
    <w:rsid w:val="008B6EF9"/>
    <w:rsid w:val="008B759A"/>
    <w:rsid w:val="008C513B"/>
    <w:rsid w:val="008D06B8"/>
    <w:rsid w:val="008D11AD"/>
    <w:rsid w:val="008D73B8"/>
    <w:rsid w:val="008D7DCD"/>
    <w:rsid w:val="008D7EE8"/>
    <w:rsid w:val="008E0503"/>
    <w:rsid w:val="008E328A"/>
    <w:rsid w:val="008E36B2"/>
    <w:rsid w:val="008E5A99"/>
    <w:rsid w:val="008E633A"/>
    <w:rsid w:val="008F0774"/>
    <w:rsid w:val="008F185A"/>
    <w:rsid w:val="008F262B"/>
    <w:rsid w:val="008F4A16"/>
    <w:rsid w:val="008F5730"/>
    <w:rsid w:val="008F6A86"/>
    <w:rsid w:val="008F71CE"/>
    <w:rsid w:val="00901B6D"/>
    <w:rsid w:val="009040C1"/>
    <w:rsid w:val="009065F5"/>
    <w:rsid w:val="009073A3"/>
    <w:rsid w:val="00907CBE"/>
    <w:rsid w:val="00913D61"/>
    <w:rsid w:val="009160BE"/>
    <w:rsid w:val="00917603"/>
    <w:rsid w:val="00920395"/>
    <w:rsid w:val="00921E5C"/>
    <w:rsid w:val="00925AAA"/>
    <w:rsid w:val="00932B4C"/>
    <w:rsid w:val="009437B8"/>
    <w:rsid w:val="009457AB"/>
    <w:rsid w:val="00946874"/>
    <w:rsid w:val="00952A81"/>
    <w:rsid w:val="00952D6D"/>
    <w:rsid w:val="00955A99"/>
    <w:rsid w:val="009569CB"/>
    <w:rsid w:val="00965EB0"/>
    <w:rsid w:val="0096649E"/>
    <w:rsid w:val="0096754C"/>
    <w:rsid w:val="00967DBE"/>
    <w:rsid w:val="00980E79"/>
    <w:rsid w:val="009835D9"/>
    <w:rsid w:val="009847F4"/>
    <w:rsid w:val="00996496"/>
    <w:rsid w:val="00996B2E"/>
    <w:rsid w:val="00996D7D"/>
    <w:rsid w:val="009A19BC"/>
    <w:rsid w:val="009A202A"/>
    <w:rsid w:val="009A4A81"/>
    <w:rsid w:val="009B1245"/>
    <w:rsid w:val="009B1999"/>
    <w:rsid w:val="009B71AA"/>
    <w:rsid w:val="009C4ECE"/>
    <w:rsid w:val="009C543D"/>
    <w:rsid w:val="009C6C91"/>
    <w:rsid w:val="009D0314"/>
    <w:rsid w:val="009F2A6C"/>
    <w:rsid w:val="009F3383"/>
    <w:rsid w:val="00A00B62"/>
    <w:rsid w:val="00A04B91"/>
    <w:rsid w:val="00A135F3"/>
    <w:rsid w:val="00A14943"/>
    <w:rsid w:val="00A15451"/>
    <w:rsid w:val="00A217BF"/>
    <w:rsid w:val="00A23897"/>
    <w:rsid w:val="00A3390E"/>
    <w:rsid w:val="00A35C13"/>
    <w:rsid w:val="00A36A29"/>
    <w:rsid w:val="00A41386"/>
    <w:rsid w:val="00A436EB"/>
    <w:rsid w:val="00A4408B"/>
    <w:rsid w:val="00A47D66"/>
    <w:rsid w:val="00A52815"/>
    <w:rsid w:val="00A53BC8"/>
    <w:rsid w:val="00A54680"/>
    <w:rsid w:val="00A60968"/>
    <w:rsid w:val="00A64E0D"/>
    <w:rsid w:val="00A66825"/>
    <w:rsid w:val="00A73A8F"/>
    <w:rsid w:val="00A74ECA"/>
    <w:rsid w:val="00A76341"/>
    <w:rsid w:val="00A76FF9"/>
    <w:rsid w:val="00A9068E"/>
    <w:rsid w:val="00A92EA2"/>
    <w:rsid w:val="00A93D5C"/>
    <w:rsid w:val="00A93E37"/>
    <w:rsid w:val="00AA1CBC"/>
    <w:rsid w:val="00AB0E73"/>
    <w:rsid w:val="00AB4696"/>
    <w:rsid w:val="00AB68D4"/>
    <w:rsid w:val="00AC0237"/>
    <w:rsid w:val="00AD062E"/>
    <w:rsid w:val="00AD0F3F"/>
    <w:rsid w:val="00AD36A3"/>
    <w:rsid w:val="00AD5FF9"/>
    <w:rsid w:val="00AD6A4D"/>
    <w:rsid w:val="00AD6DA0"/>
    <w:rsid w:val="00AE1BEB"/>
    <w:rsid w:val="00AE4C13"/>
    <w:rsid w:val="00AF0F8C"/>
    <w:rsid w:val="00AF49F3"/>
    <w:rsid w:val="00AF6310"/>
    <w:rsid w:val="00AF637F"/>
    <w:rsid w:val="00B00CE4"/>
    <w:rsid w:val="00B00D42"/>
    <w:rsid w:val="00B102F6"/>
    <w:rsid w:val="00B11E80"/>
    <w:rsid w:val="00B13F46"/>
    <w:rsid w:val="00B14E04"/>
    <w:rsid w:val="00B2233A"/>
    <w:rsid w:val="00B22B2A"/>
    <w:rsid w:val="00B24094"/>
    <w:rsid w:val="00B27A59"/>
    <w:rsid w:val="00B30DEE"/>
    <w:rsid w:val="00B363F4"/>
    <w:rsid w:val="00B3666C"/>
    <w:rsid w:val="00B374E7"/>
    <w:rsid w:val="00B468E7"/>
    <w:rsid w:val="00B523A4"/>
    <w:rsid w:val="00B56E84"/>
    <w:rsid w:val="00B5740A"/>
    <w:rsid w:val="00B574CD"/>
    <w:rsid w:val="00B61EB1"/>
    <w:rsid w:val="00B62D8D"/>
    <w:rsid w:val="00B6585E"/>
    <w:rsid w:val="00B679CB"/>
    <w:rsid w:val="00B71065"/>
    <w:rsid w:val="00B73BF1"/>
    <w:rsid w:val="00B74139"/>
    <w:rsid w:val="00B75083"/>
    <w:rsid w:val="00B8125B"/>
    <w:rsid w:val="00B8708F"/>
    <w:rsid w:val="00B87B2F"/>
    <w:rsid w:val="00B91CD5"/>
    <w:rsid w:val="00B954C5"/>
    <w:rsid w:val="00BA11DD"/>
    <w:rsid w:val="00BA44F1"/>
    <w:rsid w:val="00BA5132"/>
    <w:rsid w:val="00BA57F5"/>
    <w:rsid w:val="00BB3E20"/>
    <w:rsid w:val="00BB4492"/>
    <w:rsid w:val="00BB79CE"/>
    <w:rsid w:val="00BC1289"/>
    <w:rsid w:val="00BC1EB9"/>
    <w:rsid w:val="00BD08B6"/>
    <w:rsid w:val="00BD4AEE"/>
    <w:rsid w:val="00BD51D1"/>
    <w:rsid w:val="00BD7439"/>
    <w:rsid w:val="00BE5051"/>
    <w:rsid w:val="00BE57B0"/>
    <w:rsid w:val="00BF0699"/>
    <w:rsid w:val="00BF1283"/>
    <w:rsid w:val="00BF6823"/>
    <w:rsid w:val="00C01061"/>
    <w:rsid w:val="00C16BCB"/>
    <w:rsid w:val="00C20560"/>
    <w:rsid w:val="00C21C2C"/>
    <w:rsid w:val="00C23F36"/>
    <w:rsid w:val="00C26A8E"/>
    <w:rsid w:val="00C26BFF"/>
    <w:rsid w:val="00C27E0F"/>
    <w:rsid w:val="00C33E88"/>
    <w:rsid w:val="00C34B5C"/>
    <w:rsid w:val="00C3508F"/>
    <w:rsid w:val="00C36D06"/>
    <w:rsid w:val="00C37709"/>
    <w:rsid w:val="00C37A7D"/>
    <w:rsid w:val="00C41D22"/>
    <w:rsid w:val="00C468D5"/>
    <w:rsid w:val="00C5091B"/>
    <w:rsid w:val="00C50ED6"/>
    <w:rsid w:val="00C56725"/>
    <w:rsid w:val="00C56891"/>
    <w:rsid w:val="00C65166"/>
    <w:rsid w:val="00C65CE4"/>
    <w:rsid w:val="00C71BA3"/>
    <w:rsid w:val="00C768F0"/>
    <w:rsid w:val="00C76DAC"/>
    <w:rsid w:val="00C77310"/>
    <w:rsid w:val="00C80A00"/>
    <w:rsid w:val="00C87901"/>
    <w:rsid w:val="00C8797B"/>
    <w:rsid w:val="00C90D4E"/>
    <w:rsid w:val="00C92116"/>
    <w:rsid w:val="00C92746"/>
    <w:rsid w:val="00C934E6"/>
    <w:rsid w:val="00CA0A2A"/>
    <w:rsid w:val="00CA0DA8"/>
    <w:rsid w:val="00CA38DB"/>
    <w:rsid w:val="00CA44BE"/>
    <w:rsid w:val="00CA7D66"/>
    <w:rsid w:val="00CA7FC7"/>
    <w:rsid w:val="00CB59F5"/>
    <w:rsid w:val="00CB65AB"/>
    <w:rsid w:val="00CB6F26"/>
    <w:rsid w:val="00CC37A0"/>
    <w:rsid w:val="00CC4EAF"/>
    <w:rsid w:val="00CD3193"/>
    <w:rsid w:val="00CD56D3"/>
    <w:rsid w:val="00CD5E9E"/>
    <w:rsid w:val="00CE280B"/>
    <w:rsid w:val="00CE7F21"/>
    <w:rsid w:val="00CF5FCE"/>
    <w:rsid w:val="00CF6CD4"/>
    <w:rsid w:val="00D032E6"/>
    <w:rsid w:val="00D07B8A"/>
    <w:rsid w:val="00D10A87"/>
    <w:rsid w:val="00D12F26"/>
    <w:rsid w:val="00D17B1B"/>
    <w:rsid w:val="00D2066F"/>
    <w:rsid w:val="00D20F3B"/>
    <w:rsid w:val="00D22AEF"/>
    <w:rsid w:val="00D255A1"/>
    <w:rsid w:val="00D26908"/>
    <w:rsid w:val="00D36BCE"/>
    <w:rsid w:val="00D37BA7"/>
    <w:rsid w:val="00D40C5B"/>
    <w:rsid w:val="00D41B41"/>
    <w:rsid w:val="00D41EDA"/>
    <w:rsid w:val="00D4290F"/>
    <w:rsid w:val="00D45538"/>
    <w:rsid w:val="00D45D2A"/>
    <w:rsid w:val="00D476D0"/>
    <w:rsid w:val="00D54642"/>
    <w:rsid w:val="00D54A14"/>
    <w:rsid w:val="00D559DB"/>
    <w:rsid w:val="00D568DB"/>
    <w:rsid w:val="00D56B7B"/>
    <w:rsid w:val="00D575E2"/>
    <w:rsid w:val="00D623CE"/>
    <w:rsid w:val="00D6307D"/>
    <w:rsid w:val="00D646F6"/>
    <w:rsid w:val="00D65884"/>
    <w:rsid w:val="00D812D1"/>
    <w:rsid w:val="00D81D06"/>
    <w:rsid w:val="00D84473"/>
    <w:rsid w:val="00D849E0"/>
    <w:rsid w:val="00D86D38"/>
    <w:rsid w:val="00DB104F"/>
    <w:rsid w:val="00DB46B4"/>
    <w:rsid w:val="00DC3847"/>
    <w:rsid w:val="00DC70F8"/>
    <w:rsid w:val="00DD013B"/>
    <w:rsid w:val="00DD1139"/>
    <w:rsid w:val="00DD4513"/>
    <w:rsid w:val="00DD6C5E"/>
    <w:rsid w:val="00DE0132"/>
    <w:rsid w:val="00DE1F55"/>
    <w:rsid w:val="00DE274A"/>
    <w:rsid w:val="00DE3A1F"/>
    <w:rsid w:val="00DF73EF"/>
    <w:rsid w:val="00E073CA"/>
    <w:rsid w:val="00E12BD4"/>
    <w:rsid w:val="00E20D99"/>
    <w:rsid w:val="00E23C21"/>
    <w:rsid w:val="00E3192A"/>
    <w:rsid w:val="00E36A12"/>
    <w:rsid w:val="00E374EE"/>
    <w:rsid w:val="00E378AD"/>
    <w:rsid w:val="00E43300"/>
    <w:rsid w:val="00E435B2"/>
    <w:rsid w:val="00E4428D"/>
    <w:rsid w:val="00E450A0"/>
    <w:rsid w:val="00E461B7"/>
    <w:rsid w:val="00E52922"/>
    <w:rsid w:val="00E54A80"/>
    <w:rsid w:val="00E56211"/>
    <w:rsid w:val="00E6270C"/>
    <w:rsid w:val="00E670ED"/>
    <w:rsid w:val="00E755EA"/>
    <w:rsid w:val="00E76B52"/>
    <w:rsid w:val="00E81EB4"/>
    <w:rsid w:val="00E831C4"/>
    <w:rsid w:val="00E8603F"/>
    <w:rsid w:val="00E86273"/>
    <w:rsid w:val="00E91A44"/>
    <w:rsid w:val="00E934F1"/>
    <w:rsid w:val="00E93BEF"/>
    <w:rsid w:val="00EA1C2A"/>
    <w:rsid w:val="00EA366E"/>
    <w:rsid w:val="00EA4EC9"/>
    <w:rsid w:val="00EA74D0"/>
    <w:rsid w:val="00EB16AC"/>
    <w:rsid w:val="00EB2260"/>
    <w:rsid w:val="00EB2C93"/>
    <w:rsid w:val="00EB6AB9"/>
    <w:rsid w:val="00EC0DD9"/>
    <w:rsid w:val="00EC6D17"/>
    <w:rsid w:val="00ED06F9"/>
    <w:rsid w:val="00ED1B86"/>
    <w:rsid w:val="00ED2679"/>
    <w:rsid w:val="00ED48A4"/>
    <w:rsid w:val="00ED52EC"/>
    <w:rsid w:val="00EE19EB"/>
    <w:rsid w:val="00EE3D09"/>
    <w:rsid w:val="00EE58AD"/>
    <w:rsid w:val="00EE7E4C"/>
    <w:rsid w:val="00EF1669"/>
    <w:rsid w:val="00EF5D4F"/>
    <w:rsid w:val="00F01653"/>
    <w:rsid w:val="00F039F3"/>
    <w:rsid w:val="00F05220"/>
    <w:rsid w:val="00F0787B"/>
    <w:rsid w:val="00F10254"/>
    <w:rsid w:val="00F17BB3"/>
    <w:rsid w:val="00F20352"/>
    <w:rsid w:val="00F23B62"/>
    <w:rsid w:val="00F2490A"/>
    <w:rsid w:val="00F36549"/>
    <w:rsid w:val="00F375D1"/>
    <w:rsid w:val="00F376B8"/>
    <w:rsid w:val="00F42412"/>
    <w:rsid w:val="00F4312A"/>
    <w:rsid w:val="00F4476B"/>
    <w:rsid w:val="00F53BC8"/>
    <w:rsid w:val="00F63D0D"/>
    <w:rsid w:val="00F66523"/>
    <w:rsid w:val="00F66865"/>
    <w:rsid w:val="00F743CD"/>
    <w:rsid w:val="00F86803"/>
    <w:rsid w:val="00F912F4"/>
    <w:rsid w:val="00F919D8"/>
    <w:rsid w:val="00F96291"/>
    <w:rsid w:val="00FA0D26"/>
    <w:rsid w:val="00FA1D41"/>
    <w:rsid w:val="00FA4A84"/>
    <w:rsid w:val="00FB2E46"/>
    <w:rsid w:val="00FB3B7B"/>
    <w:rsid w:val="00FB428F"/>
    <w:rsid w:val="00FC1170"/>
    <w:rsid w:val="00FC1E51"/>
    <w:rsid w:val="00FC2BBE"/>
    <w:rsid w:val="00FC320E"/>
    <w:rsid w:val="00FC4B4E"/>
    <w:rsid w:val="00FC5F2B"/>
    <w:rsid w:val="00FC5FA8"/>
    <w:rsid w:val="00FC70C6"/>
    <w:rsid w:val="00FE0F70"/>
    <w:rsid w:val="00FE0FC7"/>
    <w:rsid w:val="00FE2DCB"/>
    <w:rsid w:val="00FE3C2B"/>
    <w:rsid w:val="00FF31D4"/>
    <w:rsid w:val="00FF38BD"/>
    <w:rsid w:val="00FF55AF"/>
    <w:rsid w:val="00FF7C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87A4A6"/>
  <w15:docId w15:val="{5302F1A7-60A9-42FD-A79D-40CFE9D1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E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60BD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nhideWhenUsed/>
    <w:rsid w:val="00860BDD"/>
    <w:rPr>
      <w:sz w:val="16"/>
      <w:szCs w:val="16"/>
    </w:rPr>
  </w:style>
  <w:style w:type="paragraph" w:styleId="CommentText">
    <w:name w:val="annotation text"/>
    <w:basedOn w:val="Normal"/>
    <w:link w:val="CommentTextChar"/>
    <w:unhideWhenUsed/>
    <w:rsid w:val="00860BDD"/>
    <w:rPr>
      <w:sz w:val="20"/>
      <w:szCs w:val="20"/>
    </w:rPr>
  </w:style>
  <w:style w:type="character" w:customStyle="1" w:styleId="CommentTextChar">
    <w:name w:val="Comment Text Char"/>
    <w:basedOn w:val="DefaultParagraphFont"/>
    <w:link w:val="CommentText"/>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hAnsi="Times New Roman" w:eastAsiaTheme="majorEastAsia"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860BDD"/>
    <w:rPr>
      <w:rFonts w:ascii="Times New Roman" w:hAnsi="Times New Roman" w:eastAsiaTheme="majorEastAsia" w:cstheme="majorBidi"/>
      <w:b/>
      <w:sz w:val="24"/>
      <w:szCs w:val="26"/>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hAnsi="Times New Roman" w:eastAsiaTheme="majorEastAsia"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A1D41"/>
    <w:pPr>
      <w:tabs>
        <w:tab w:val="left" w:pos="480"/>
        <w:tab w:val="right" w:leader="dot" w:pos="10070"/>
      </w:tabs>
      <w:spacing w:after="100"/>
    </w:pPr>
  </w:style>
  <w:style w:type="paragraph" w:styleId="TOC2">
    <w:name w:val="toc 2"/>
    <w:basedOn w:val="Normal"/>
    <w:next w:val="Normal"/>
    <w:autoRedefine/>
    <w:uiPriority w:val="39"/>
    <w:unhideWhenUsed/>
    <w:rsid w:val="00ED06F9"/>
    <w:pPr>
      <w:tabs>
        <w:tab w:val="right" w:leader="dot" w:pos="10070"/>
      </w:tabs>
      <w:spacing w:after="100"/>
      <w:ind w:left="240"/>
    </w:pPr>
  </w:style>
  <w:style w:type="paragraph" w:styleId="TOC3">
    <w:name w:val="toc 3"/>
    <w:basedOn w:val="Normal"/>
    <w:next w:val="Normal"/>
    <w:autoRedefine/>
    <w:uiPriority w:val="39"/>
    <w:unhideWhenUsed/>
    <w:rsid w:val="00264CDB"/>
    <w:pPr>
      <w:spacing w:after="100"/>
      <w:ind w:left="480"/>
    </w:pPr>
  </w:style>
  <w:style w:type="table" w:styleId="TableGrid">
    <w:name w:val="Table Grid"/>
    <w:basedOn w:val="TableNormal"/>
    <w:uiPriority w:val="39"/>
    <w:rsid w:val="00EB16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6B2190"/>
    <w:pPr>
      <w:spacing w:after="0" w:line="240"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0213F"/>
    <w:pPr>
      <w:widowControl w:val="0"/>
      <w:autoSpaceDE w:val="0"/>
      <w:autoSpaceDN w:val="0"/>
      <w:adjustRightInd w:val="0"/>
      <w:spacing w:after="120" w:line="480" w:lineRule="auto"/>
      <w:ind w:left="360"/>
    </w:pPr>
    <w:rPr>
      <w:sz w:val="20"/>
    </w:rPr>
  </w:style>
  <w:style w:type="character" w:customStyle="1" w:styleId="BodyTextIndent2Char">
    <w:name w:val="Body Text Indent 2 Char"/>
    <w:basedOn w:val="DefaultParagraphFont"/>
    <w:link w:val="BodyTextIndent2"/>
    <w:rsid w:val="0000213F"/>
    <w:rPr>
      <w:rFonts w:ascii="Times New Roman" w:eastAsia="Times New Roman" w:hAnsi="Times New Roman" w:cs="Times New Roman"/>
      <w:sz w:val="20"/>
      <w:szCs w:val="24"/>
    </w:rPr>
  </w:style>
  <w:style w:type="paragraph" w:customStyle="1" w:styleId="Default">
    <w:name w:val="Default"/>
    <w:rsid w:val="00064D64"/>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064D64"/>
    <w:pPr>
      <w:spacing w:line="221" w:lineRule="atLeast"/>
    </w:pPr>
    <w:rPr>
      <w:rFonts w:cstheme="minorBidi"/>
      <w:color w:val="auto"/>
    </w:rPr>
  </w:style>
  <w:style w:type="character" w:styleId="UnresolvedMention">
    <w:name w:val="Unresolved Mention"/>
    <w:basedOn w:val="DefaultParagraphFont"/>
    <w:uiPriority w:val="99"/>
    <w:semiHidden/>
    <w:unhideWhenUsed/>
    <w:rsid w:val="00505177"/>
    <w:rPr>
      <w:color w:val="605E5C"/>
      <w:shd w:val="clear" w:color="auto" w:fill="E1DFDD"/>
    </w:rPr>
  </w:style>
  <w:style w:type="paragraph" w:styleId="Revision">
    <w:name w:val="Revision"/>
    <w:hidden/>
    <w:uiPriority w:val="99"/>
    <w:semiHidden/>
    <w:rsid w:val="00C3508F"/>
    <w:pPr>
      <w:spacing w:after="0"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C768F0"/>
    <w:pPr>
      <w:spacing w:before="100" w:beforeAutospacing="1" w:after="100" w:afterAutospacing="1"/>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C768F0"/>
    <w:rPr>
      <w:rFonts w:ascii="Times New Roman" w:eastAsia="Times New Roman" w:hAnsi="Times New Roman" w:cs="Times New Roman"/>
      <w:sz w:val="24"/>
      <w:szCs w:val="24"/>
    </w:rPr>
  </w:style>
  <w:style w:type="character" w:customStyle="1" w:styleId="a">
    <w:name w:val="a"/>
    <w:basedOn w:val="DefaultParagraphFont"/>
    <w:rsid w:val="00317ABD"/>
    <w:rPr>
      <w:color w:val="0000FF"/>
    </w:rPr>
  </w:style>
  <w:style w:type="character" w:styleId="Mention">
    <w:name w:val="Mention"/>
    <w:basedOn w:val="DefaultParagraphFont"/>
    <w:uiPriority w:val="99"/>
    <w:unhideWhenUsed/>
    <w:rsid w:val="00A149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vx2@cdc.gov" TargetMode="External" /><Relationship Id="rId11" Type="http://schemas.openxmlformats.org/officeDocument/2006/relationships/hyperlink" Target="https://www.glassdoor.com/Salaries/non-profit-program-director-salary-SRCH_KO0,27.htm" TargetMode="External" /><Relationship Id="rId12" Type="http://schemas.openxmlformats.org/officeDocument/2006/relationships/hyperlink" Target="https://www.bls.gov/oes/current/999001.htm" TargetMode="External" /><Relationship Id="rId13" Type="http://schemas.openxmlformats.org/officeDocument/2006/relationships/hyperlink" Target="https://www.cdc.gov/violenceprevention/pdf/preventingACES.pdf" TargetMode="External" /><Relationship Id="rId14" Type="http://schemas.openxmlformats.org/officeDocument/2006/relationships/hyperlink" Target="https://doi.org/10.1016/S0749-3797(98)00017-8" TargetMode="External" /><Relationship Id="rId15" Type="http://schemas.openxmlformats.org/officeDocument/2006/relationships/hyperlink" Target="http://dx.doi.org/10.15585/mmwr.mm6844e1" TargetMode="External" /><Relationship Id="rId16" Type="http://schemas.openxmlformats.org/officeDocument/2006/relationships/hyperlink" Target="https://doi.org/10.1080/10852352.2012.707443" TargetMode="External" /><Relationship Id="rId17" Type="http://schemas.openxmlformats.org/officeDocument/2006/relationships/hyperlink" Target="https://doi.org/10.1016/j.chiabu.2018.09.018" TargetMode="External" /><Relationship Id="rId18" Type="http://schemas.openxmlformats.org/officeDocument/2006/relationships/hyperlink" Target="https://doi.org/10.1001/jama.2019.18499" TargetMode="External" /><Relationship Id="rId19" Type="http://schemas.openxmlformats.org/officeDocument/2006/relationships/hyperlink" Target="https://doi.org/10.1001/jama.1997.03550080047038"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sj8@cdc.gov" TargetMode="External" /><Relationship Id="rId6" Type="http://schemas.openxmlformats.org/officeDocument/2006/relationships/hyperlink" Target="mailto:lwg4@cdc.gov" TargetMode="External" /><Relationship Id="rId7" Type="http://schemas.openxmlformats.org/officeDocument/2006/relationships/hyperlink" Target="mailto:vrt2@cdc.gov" TargetMode="External" /><Relationship Id="rId8" Type="http://schemas.openxmlformats.org/officeDocument/2006/relationships/hyperlink" Target="mailto:vci8@cdc.gov" TargetMode="External" /><Relationship Id="rId9" Type="http://schemas.openxmlformats.org/officeDocument/2006/relationships/hyperlink" Target="mailto:fys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BE75-A766-4C97-BC57-0B8E4E4D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Biello, Shannon (CDC/ONDIEH/NCIPC);Halmos, Miklos (CDC/DDNID/NCIPC/DVP)</dc:creator>
  <cp:lastModifiedBy>Halstead, Mary (CDC/NCIPC/OD)</cp:lastModifiedBy>
  <cp:revision>2</cp:revision>
  <dcterms:created xsi:type="dcterms:W3CDTF">2025-07-07T14:56:00Z</dcterms:created>
  <dcterms:modified xsi:type="dcterms:W3CDTF">2025-07-07T14:56:00Z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efd21fe3-1b9e-4cb7-b47f-abf41741c57c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2021-10-28T20:25:05Z</vt:lpwstr>
  </property>
  <property fmtid="{D5CDD505-2E9C-101B-9397-08002B2CF9AE}" pid="8" name="MSIP_Label_7b94a7b8-f06c-4dfe-bdcc-9b548fd58c31_SiteId">
    <vt:lpwstr>9ce70869-60db-44fd-abe8-d2767077fc8f</vt:lpwstr>
  </property>
</Properties>
</file>