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3458" w14:paraId="4B36CA60" w14:textId="77777777">
      <w:pPr>
        <w:jc w:val="center"/>
        <w:rPr>
          <w:b/>
          <w:sz w:val="32"/>
          <w:szCs w:val="32"/>
        </w:rPr>
      </w:pPr>
      <w:r>
        <w:rPr>
          <w:b/>
          <w:sz w:val="32"/>
          <w:szCs w:val="32"/>
        </w:rPr>
        <w:t>GenIC Clearance for CDC/ATSDR</w:t>
      </w:r>
    </w:p>
    <w:p w:rsidR="00C33458" w14:paraId="4B36CA61" w14:textId="77777777">
      <w:pPr>
        <w:jc w:val="center"/>
        <w:rPr>
          <w:b/>
          <w:sz w:val="32"/>
          <w:szCs w:val="32"/>
        </w:rPr>
      </w:pPr>
      <w:r>
        <w:rPr>
          <w:b/>
          <w:sz w:val="32"/>
          <w:szCs w:val="32"/>
        </w:rPr>
        <w:t>Formative Research and Tool Development</w:t>
      </w:r>
    </w:p>
    <w:p w:rsidR="00C33458" w14:paraId="4B36CA62" w14:textId="77777777"/>
    <w:p w:rsidR="00C33458" w14:paraId="4B36CA63" w14:textId="630EFFD2">
      <w:pPr>
        <w:spacing w:after="0" w:line="240" w:lineRule="auto"/>
        <w:jc w:val="center"/>
        <w:rPr>
          <w:b/>
          <w:sz w:val="48"/>
          <w:szCs w:val="48"/>
        </w:rPr>
      </w:pPr>
      <w:r>
        <w:rPr>
          <w:b/>
          <w:sz w:val="48"/>
          <w:szCs w:val="48"/>
        </w:rPr>
        <w:t>Healthcare Provider Communication Evaluation: Assessing Foodborne Illness and Waterborne Illness Prevention Messages, Knowledge, and Attitudes</w:t>
      </w:r>
    </w:p>
    <w:p w:rsidR="00E00B78" w:rsidRPr="00B47116" w14:paraId="51790F5A" w14:textId="55091108">
      <w:pPr>
        <w:spacing w:after="0" w:line="240" w:lineRule="auto"/>
        <w:jc w:val="center"/>
        <w:rPr>
          <w:b/>
        </w:rPr>
      </w:pPr>
      <w:r>
        <w:rPr>
          <w:b/>
        </w:rPr>
        <w:t>OMB Control No. 0920-1154</w:t>
      </w:r>
      <w:r w:rsidR="00172947">
        <w:rPr>
          <w:b/>
        </w:rPr>
        <w:t xml:space="preserve"> [genIC(24CU)]</w:t>
      </w:r>
    </w:p>
    <w:p w:rsidR="00C33458" w14:paraId="4B36CA64" w14:textId="77777777">
      <w:pPr>
        <w:jc w:val="center"/>
        <w:rPr>
          <w:b/>
        </w:rPr>
      </w:pPr>
    </w:p>
    <w:p w:rsidR="00C33458" w14:paraId="4B36CA65" w14:textId="77777777">
      <w:pPr>
        <w:jc w:val="center"/>
        <w:rPr>
          <w:b/>
        </w:rPr>
      </w:pPr>
    </w:p>
    <w:p w:rsidR="00C33458" w14:paraId="4B36CA66" w14:textId="77777777"/>
    <w:p w:rsidR="00C33458" w14:paraId="4B36CA67" w14:textId="77777777"/>
    <w:p w:rsidR="00C33458" w14:paraId="4B36CA68" w14:textId="77777777"/>
    <w:p w:rsidR="00C33458" w14:paraId="4B36CA69" w14:textId="77777777">
      <w:pPr>
        <w:jc w:val="center"/>
        <w:rPr>
          <w:b/>
        </w:rPr>
      </w:pPr>
    </w:p>
    <w:p w:rsidR="00C33458" w14:paraId="4B36CA6A" w14:textId="77777777">
      <w:pPr>
        <w:pStyle w:val="Heading4"/>
        <w:rPr>
          <w:b w:val="0"/>
          <w:i/>
        </w:rPr>
      </w:pPr>
      <w:bookmarkStart w:id="0" w:name="_heading=h.l14owpsge8bf" w:colFirst="0" w:colLast="0"/>
      <w:bookmarkEnd w:id="0"/>
      <w:r>
        <w:t>Supporting Statement B</w:t>
      </w:r>
    </w:p>
    <w:p w:rsidR="00C33458" w14:paraId="4B36CA6B" w14:textId="77777777">
      <w:pPr>
        <w:rPr>
          <w:b/>
        </w:rPr>
      </w:pPr>
    </w:p>
    <w:p w:rsidR="00C33458" w14:paraId="4B36CA6C" w14:textId="77777777">
      <w:pPr>
        <w:rPr>
          <w:b/>
        </w:rPr>
      </w:pPr>
    </w:p>
    <w:p w:rsidR="00C33458" w14:paraId="4B36CA6D" w14:textId="77777777">
      <w:pPr>
        <w:rPr>
          <w:b/>
        </w:rPr>
      </w:pPr>
    </w:p>
    <w:p w:rsidR="00C33458" w14:paraId="4B36CA6E" w14:textId="77777777">
      <w:pPr>
        <w:rPr>
          <w:b/>
        </w:rPr>
      </w:pPr>
    </w:p>
    <w:p w:rsidR="00C33458" w14:paraId="4B36CA6F" w14:textId="77777777">
      <w:pPr>
        <w:spacing w:after="0" w:line="240" w:lineRule="auto"/>
        <w:rPr>
          <w:b/>
        </w:rPr>
      </w:pPr>
    </w:p>
    <w:p w:rsidR="00C33458" w14:paraId="4B36CA70" w14:textId="77777777">
      <w:pPr>
        <w:spacing w:after="0" w:line="240" w:lineRule="auto"/>
        <w:rPr>
          <w:b/>
        </w:rPr>
      </w:pPr>
    </w:p>
    <w:p w:rsidR="00C33458" w14:paraId="4B36CA71" w14:textId="77777777">
      <w:pPr>
        <w:spacing w:after="0" w:line="240" w:lineRule="auto"/>
        <w:rPr>
          <w:b/>
        </w:rPr>
      </w:pPr>
    </w:p>
    <w:p w:rsidR="00C33458" w14:paraId="4B36CA72" w14:textId="77777777">
      <w:pPr>
        <w:pBdr>
          <w:top w:val="nil"/>
          <w:left w:val="nil"/>
          <w:bottom w:val="nil"/>
          <w:right w:val="nil"/>
          <w:between w:val="nil"/>
        </w:pBdr>
        <w:spacing w:after="0" w:line="240" w:lineRule="auto"/>
        <w:rPr>
          <w:b/>
        </w:rPr>
      </w:pPr>
    </w:p>
    <w:p w:rsidR="00C33458" w14:paraId="4B36CA73" w14:textId="77777777">
      <w:pPr>
        <w:pBdr>
          <w:top w:val="nil"/>
          <w:left w:val="nil"/>
          <w:bottom w:val="nil"/>
          <w:right w:val="nil"/>
          <w:between w:val="nil"/>
        </w:pBdr>
        <w:spacing w:after="0" w:line="240" w:lineRule="auto"/>
        <w:rPr>
          <w:b/>
        </w:rPr>
      </w:pPr>
    </w:p>
    <w:p w:rsidR="00C33458" w14:paraId="4B36CA74" w14:textId="77777777">
      <w:pPr>
        <w:pBdr>
          <w:top w:val="nil"/>
          <w:left w:val="nil"/>
          <w:bottom w:val="nil"/>
          <w:right w:val="nil"/>
          <w:between w:val="nil"/>
        </w:pBdr>
        <w:spacing w:after="0" w:line="240" w:lineRule="auto"/>
        <w:rPr>
          <w:b/>
        </w:rPr>
      </w:pPr>
    </w:p>
    <w:p w:rsidR="00C33458" w14:paraId="4B36CA75" w14:textId="77777777">
      <w:pPr>
        <w:pBdr>
          <w:top w:val="nil"/>
          <w:left w:val="nil"/>
          <w:bottom w:val="nil"/>
          <w:right w:val="nil"/>
          <w:between w:val="nil"/>
        </w:pBdr>
        <w:spacing w:after="0" w:line="240" w:lineRule="auto"/>
        <w:rPr>
          <w:color w:val="000000"/>
        </w:rPr>
      </w:pPr>
      <w:r>
        <w:rPr>
          <w:b/>
          <w:color w:val="000000"/>
        </w:rPr>
        <w:t xml:space="preserve">Contact: </w:t>
      </w:r>
      <w:r>
        <w:rPr>
          <w:color w:val="000000"/>
        </w:rPr>
        <w:t xml:space="preserve">Sara </w:t>
      </w:r>
      <w:r>
        <w:rPr>
          <w:color w:val="000000"/>
        </w:rPr>
        <w:t>Bresee</w:t>
      </w:r>
      <w:r>
        <w:rPr>
          <w:color w:val="000000"/>
        </w:rPr>
        <w:t>, MPH</w:t>
      </w:r>
    </w:p>
    <w:p w:rsidR="00C33458" w14:paraId="4B36CA76" w14:textId="77777777">
      <w:pPr>
        <w:pBdr>
          <w:top w:val="nil"/>
          <w:left w:val="nil"/>
          <w:bottom w:val="nil"/>
          <w:right w:val="nil"/>
          <w:between w:val="nil"/>
        </w:pBdr>
        <w:spacing w:after="0" w:line="240" w:lineRule="auto"/>
        <w:rPr>
          <w:color w:val="000000"/>
        </w:rPr>
      </w:pPr>
      <w:r>
        <w:rPr>
          <w:color w:val="000000"/>
        </w:rPr>
        <w:t>Office of the Director</w:t>
      </w:r>
    </w:p>
    <w:p w:rsidR="00C33458" w14:paraId="4B36CA77" w14:textId="77777777">
      <w:pPr>
        <w:pBdr>
          <w:top w:val="nil"/>
          <w:left w:val="nil"/>
          <w:bottom w:val="nil"/>
          <w:right w:val="nil"/>
          <w:between w:val="nil"/>
        </w:pBdr>
        <w:spacing w:after="0" w:line="240" w:lineRule="auto"/>
        <w:rPr>
          <w:color w:val="000000"/>
        </w:rPr>
      </w:pPr>
      <w:r>
        <w:rPr>
          <w:color w:val="000000"/>
        </w:rPr>
        <w:t>Division of Foodborne, Waterborne, and Environmental Diseases</w:t>
      </w:r>
    </w:p>
    <w:p w:rsidR="00C33458" w14:paraId="4B36CA78" w14:textId="77777777">
      <w:pPr>
        <w:pBdr>
          <w:top w:val="nil"/>
          <w:left w:val="nil"/>
          <w:bottom w:val="nil"/>
          <w:right w:val="nil"/>
          <w:between w:val="nil"/>
        </w:pBdr>
        <w:spacing w:after="0" w:line="240" w:lineRule="auto"/>
        <w:rPr>
          <w:color w:val="000000"/>
        </w:rPr>
      </w:pPr>
      <w:r>
        <w:rPr>
          <w:color w:val="000000"/>
        </w:rPr>
        <w:t xml:space="preserve">Centers for Disease Control and Prevention </w:t>
      </w:r>
    </w:p>
    <w:p w:rsidR="00C33458" w14:paraId="4B36CA79" w14:textId="77777777">
      <w:pPr>
        <w:pBdr>
          <w:top w:val="nil"/>
          <w:left w:val="nil"/>
          <w:bottom w:val="nil"/>
          <w:right w:val="nil"/>
          <w:between w:val="nil"/>
        </w:pBdr>
        <w:spacing w:after="0" w:line="240" w:lineRule="auto"/>
        <w:rPr>
          <w:color w:val="000000"/>
        </w:rPr>
      </w:pPr>
      <w:r>
        <w:rPr>
          <w:color w:val="000000"/>
        </w:rPr>
        <w:t xml:space="preserve">1600 Clifton Road, NE </w:t>
      </w:r>
    </w:p>
    <w:p w:rsidR="00C33458" w14:paraId="4B36CA7A" w14:textId="77777777">
      <w:pPr>
        <w:pBdr>
          <w:top w:val="nil"/>
          <w:left w:val="nil"/>
          <w:bottom w:val="nil"/>
          <w:right w:val="nil"/>
          <w:between w:val="nil"/>
        </w:pBdr>
        <w:spacing w:after="0" w:line="240" w:lineRule="auto"/>
        <w:rPr>
          <w:color w:val="000000"/>
        </w:rPr>
      </w:pPr>
      <w:r>
        <w:rPr>
          <w:color w:val="000000"/>
        </w:rPr>
        <w:t xml:space="preserve">Atlanta, Georgia 30333 </w:t>
      </w:r>
    </w:p>
    <w:p w:rsidR="00C33458" w14:paraId="4B36CA7B" w14:textId="77777777">
      <w:pPr>
        <w:pBdr>
          <w:top w:val="nil"/>
          <w:left w:val="nil"/>
          <w:bottom w:val="nil"/>
          <w:right w:val="nil"/>
          <w:between w:val="nil"/>
        </w:pBdr>
        <w:spacing w:after="0" w:line="240" w:lineRule="auto"/>
        <w:rPr>
          <w:color w:val="000000"/>
        </w:rPr>
      </w:pPr>
      <w:r>
        <w:rPr>
          <w:color w:val="000000"/>
        </w:rPr>
        <w:t>Phone: (404) 639.3371</w:t>
      </w:r>
    </w:p>
    <w:p w:rsidR="00C33458" w14:paraId="4B36CA7C" w14:textId="77777777">
      <w:pPr>
        <w:pBdr>
          <w:top w:val="nil"/>
          <w:left w:val="nil"/>
          <w:bottom w:val="nil"/>
          <w:right w:val="nil"/>
          <w:between w:val="nil"/>
        </w:pBdr>
        <w:spacing w:after="0" w:line="240" w:lineRule="auto"/>
        <w:rPr>
          <w:color w:val="000000"/>
        </w:rPr>
      </w:pPr>
      <w:r>
        <w:rPr>
          <w:color w:val="000000"/>
        </w:rPr>
        <w:t>Email: yla4@cdc.gov</w:t>
      </w:r>
      <w:r>
        <w:br w:type="page"/>
      </w:r>
    </w:p>
    <w:p w:rsidR="00C33458" w14:paraId="4B36CA7D" w14:textId="77777777">
      <w:pPr>
        <w:pStyle w:val="Heading4"/>
        <w:rPr>
          <w:sz w:val="22"/>
          <w:szCs w:val="22"/>
        </w:rPr>
      </w:pPr>
      <w:r>
        <w:rPr>
          <w:sz w:val="22"/>
          <w:szCs w:val="22"/>
        </w:rPr>
        <w:t>Table of Contents</w:t>
      </w:r>
    </w:p>
    <w:sdt>
      <w:sdtPr>
        <w:id w:val="1575633605"/>
        <w:docPartObj>
          <w:docPartGallery w:val="Table of Contents"/>
          <w:docPartUnique/>
        </w:docPartObj>
      </w:sdtPr>
      <w:sdtContent>
        <w:p w:rsidR="00C33458" w14:paraId="4B36CA7E" w14:textId="77777777">
          <w:pPr>
            <w:pBdr>
              <w:top w:val="nil"/>
              <w:left w:val="nil"/>
              <w:bottom w:val="nil"/>
              <w:right w:val="nil"/>
              <w:between w:val="nil"/>
            </w:pBdr>
            <w:tabs>
              <w:tab w:val="right" w:pos="10070"/>
            </w:tabs>
            <w:spacing w:after="100"/>
            <w:ind w:left="240"/>
            <w:rPr>
              <w:sz w:val="22"/>
              <w:szCs w:val="22"/>
            </w:rPr>
          </w:pPr>
          <w:r>
            <w:fldChar w:fldCharType="begin"/>
          </w:r>
          <w:r>
            <w:instrText xml:space="preserve"> TOC \h \u \z \t "Heading 1,1,Heading 2,2,Heading 3,3,Heading 4,4,Heading 5,5,Heading 6,6,"</w:instrText>
          </w:r>
          <w:r>
            <w:fldChar w:fldCharType="separate"/>
          </w:r>
        </w:p>
        <w:p w:rsidR="00C33458" w14:paraId="4B36CA7F"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bookmark=id.crtbecaxrtt5 \h </w:instrText>
          </w:r>
          <w:r>
            <w:fldChar w:fldCharType="separate"/>
          </w:r>
          <w:r>
            <w:rPr>
              <w:sz w:val="22"/>
              <w:szCs w:val="22"/>
              <w:u w:val="single"/>
            </w:rPr>
            <w:t>Respondent Universe and Sampling Methods</w:t>
          </w:r>
          <w:r>
            <w:fldChar w:fldCharType="end"/>
          </w:r>
          <w:r>
            <w:rPr>
              <w:sz w:val="22"/>
              <w:szCs w:val="22"/>
            </w:rPr>
            <w:tab/>
            <w:t>3</w:t>
          </w:r>
        </w:p>
        <w:p w:rsidR="00C33458" w14:paraId="4B36CA80"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bookmark=id.566atxgnj4wn \h </w:instrText>
          </w:r>
          <w:r>
            <w:fldChar w:fldCharType="separate"/>
          </w:r>
          <w:r>
            <w:rPr>
              <w:sz w:val="22"/>
              <w:szCs w:val="22"/>
              <w:u w:val="single"/>
            </w:rPr>
            <w:t>Procedures for the Collection of Information</w:t>
          </w:r>
          <w:r>
            <w:fldChar w:fldCharType="end"/>
          </w:r>
          <w:r>
            <w:rPr>
              <w:sz w:val="22"/>
              <w:szCs w:val="22"/>
            </w:rPr>
            <w:tab/>
            <w:t>4</w:t>
          </w:r>
        </w:p>
        <w:p w:rsidR="00C33458" w14:paraId="4B36CA81"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bookmark=id.mllwovj3glm9 \h </w:instrText>
          </w:r>
          <w:r>
            <w:fldChar w:fldCharType="separate"/>
          </w:r>
          <w:r>
            <w:rPr>
              <w:sz w:val="22"/>
              <w:szCs w:val="22"/>
              <w:u w:val="single"/>
            </w:rPr>
            <w:t>Methods to Maximize Response Rates and Deal with No Response</w:t>
          </w:r>
          <w:r>
            <w:fldChar w:fldCharType="end"/>
          </w:r>
          <w:r>
            <w:rPr>
              <w:sz w:val="22"/>
              <w:szCs w:val="22"/>
            </w:rPr>
            <w:tab/>
            <w:t>5</w:t>
          </w:r>
        </w:p>
        <w:p w:rsidR="00C33458" w14:paraId="4B36CA82"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bookmark=id.b669ohpuavww \h </w:instrText>
          </w:r>
          <w:r>
            <w:fldChar w:fldCharType="separate"/>
          </w:r>
          <w:r>
            <w:rPr>
              <w:sz w:val="22"/>
              <w:szCs w:val="22"/>
              <w:u w:val="single"/>
            </w:rPr>
            <w:t>Tests of Procedures or Methods to be Undertaken</w:t>
          </w:r>
          <w:r>
            <w:fldChar w:fldCharType="end"/>
          </w:r>
          <w:r>
            <w:rPr>
              <w:sz w:val="22"/>
              <w:szCs w:val="22"/>
            </w:rPr>
            <w:tab/>
            <w:t>5</w:t>
          </w:r>
        </w:p>
        <w:p w:rsidR="00C33458" w14:paraId="4B36CA83"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bookmark=id.4saba2t3l2sv \h </w:instrText>
          </w:r>
          <w:r>
            <w:fldChar w:fldCharType="separate"/>
          </w:r>
          <w:r>
            <w:rPr>
              <w:sz w:val="22"/>
              <w:szCs w:val="22"/>
              <w:u w:val="single"/>
            </w:rPr>
            <w:t>Individuals Consulted on Statistical Aspects and Individuals Collecting and/or Analyzing Data</w:t>
          </w:r>
          <w:r>
            <w:fldChar w:fldCharType="end"/>
          </w:r>
          <w:r>
            <w:rPr>
              <w:sz w:val="22"/>
              <w:szCs w:val="22"/>
            </w:rPr>
            <w:tab/>
            <w:t>6</w:t>
          </w:r>
        </w:p>
        <w:p w:rsidR="00C33458" w14:paraId="4B36CA84" w14:textId="77777777">
          <w:pPr>
            <w:rPr>
              <w:sz w:val="22"/>
              <w:szCs w:val="22"/>
            </w:rPr>
          </w:pPr>
          <w:r>
            <w:fldChar w:fldCharType="end"/>
          </w:r>
        </w:p>
      </w:sdtContent>
    </w:sdt>
    <w:p w:rsidR="00C33458" w14:paraId="4B36CA85" w14:textId="77777777">
      <w:bookmarkStart w:id="1" w:name="_heading=h.30j0zll" w:colFirst="0" w:colLast="0"/>
      <w:bookmarkEnd w:id="1"/>
    </w:p>
    <w:p w:rsidR="00C33458" w14:paraId="4B36CA86" w14:textId="77777777">
      <w:pPr>
        <w:pBdr>
          <w:top w:val="nil"/>
          <w:left w:val="nil"/>
          <w:bottom w:val="nil"/>
          <w:right w:val="nil"/>
          <w:between w:val="nil"/>
        </w:pBdr>
        <w:tabs>
          <w:tab w:val="right" w:pos="9360"/>
        </w:tabs>
        <w:spacing w:before="240" w:after="80" w:line="360" w:lineRule="auto"/>
        <w:ind w:right="720"/>
        <w:rPr>
          <w:color w:val="000000"/>
        </w:rPr>
      </w:pPr>
      <w:bookmarkStart w:id="2" w:name="_heading=h.lap1jrqt6als" w:colFirst="0" w:colLast="0"/>
      <w:bookmarkEnd w:id="2"/>
      <w:r>
        <w:rPr>
          <w:b/>
          <w:color w:val="000000"/>
        </w:rPr>
        <w:t>LIST OF ATTACHMENTS</w:t>
      </w:r>
    </w:p>
    <w:p w:rsidR="00C33458" w14:paraId="4B36CA87" w14:textId="77777777">
      <w:pPr>
        <w:numPr>
          <w:ilvl w:val="0"/>
          <w:numId w:val="2"/>
        </w:numPr>
        <w:pBdr>
          <w:top w:val="nil"/>
          <w:left w:val="nil"/>
          <w:bottom w:val="nil"/>
          <w:right w:val="nil"/>
          <w:between w:val="nil"/>
        </w:pBdr>
        <w:tabs>
          <w:tab w:val="left" w:pos="2160"/>
        </w:tabs>
        <w:spacing w:after="0"/>
      </w:pPr>
      <w:r>
        <w:rPr>
          <w:color w:val="000000"/>
        </w:rPr>
        <w:t>Eligibility Screener</w:t>
      </w:r>
    </w:p>
    <w:p w:rsidR="00C33458" w14:paraId="4B36CA88" w14:textId="77777777">
      <w:pPr>
        <w:numPr>
          <w:ilvl w:val="0"/>
          <w:numId w:val="2"/>
        </w:numPr>
        <w:pBdr>
          <w:top w:val="nil"/>
          <w:left w:val="nil"/>
          <w:bottom w:val="nil"/>
          <w:right w:val="nil"/>
          <w:between w:val="nil"/>
        </w:pBdr>
        <w:tabs>
          <w:tab w:val="left" w:pos="2160"/>
        </w:tabs>
        <w:spacing w:after="0"/>
      </w:pPr>
      <w:r>
        <w:rPr>
          <w:color w:val="000000"/>
        </w:rPr>
        <w:t>Recruitment Materials</w:t>
      </w:r>
    </w:p>
    <w:p w:rsidR="00C33458" w14:paraId="4B36CA89" w14:textId="77777777">
      <w:pPr>
        <w:numPr>
          <w:ilvl w:val="0"/>
          <w:numId w:val="2"/>
        </w:numPr>
        <w:pBdr>
          <w:top w:val="nil"/>
          <w:left w:val="nil"/>
          <w:bottom w:val="nil"/>
          <w:right w:val="nil"/>
          <w:between w:val="nil"/>
        </w:pBdr>
        <w:tabs>
          <w:tab w:val="left" w:pos="2160"/>
        </w:tabs>
        <w:spacing w:after="0"/>
      </w:pPr>
      <w:r>
        <w:rPr>
          <w:color w:val="000000"/>
        </w:rPr>
        <w:t>Eligible Participant Screener</w:t>
      </w:r>
    </w:p>
    <w:p w:rsidR="00C33458" w14:paraId="4B36CA8A" w14:textId="77777777">
      <w:pPr>
        <w:numPr>
          <w:ilvl w:val="0"/>
          <w:numId w:val="2"/>
        </w:numPr>
        <w:pBdr>
          <w:top w:val="nil"/>
          <w:left w:val="nil"/>
          <w:bottom w:val="nil"/>
          <w:right w:val="nil"/>
          <w:between w:val="nil"/>
        </w:pBdr>
        <w:tabs>
          <w:tab w:val="left" w:pos="2160"/>
        </w:tabs>
        <w:spacing w:after="0"/>
      </w:pPr>
      <w:r>
        <w:rPr>
          <w:color w:val="000000"/>
        </w:rPr>
        <w:t>Privacy Agreement</w:t>
      </w:r>
    </w:p>
    <w:p w:rsidR="00C33458" w14:paraId="4B36CA8B" w14:textId="77777777">
      <w:pPr>
        <w:numPr>
          <w:ilvl w:val="0"/>
          <w:numId w:val="2"/>
        </w:numPr>
        <w:pBdr>
          <w:top w:val="nil"/>
          <w:left w:val="nil"/>
          <w:bottom w:val="nil"/>
          <w:right w:val="nil"/>
          <w:between w:val="nil"/>
        </w:pBdr>
        <w:tabs>
          <w:tab w:val="left" w:pos="2160"/>
        </w:tabs>
        <w:spacing w:after="0"/>
      </w:pPr>
      <w:r>
        <w:rPr>
          <w:color w:val="000000"/>
        </w:rPr>
        <w:t xml:space="preserve">Respondent Consent Form </w:t>
      </w:r>
    </w:p>
    <w:p w:rsidR="00C33458" w14:paraId="4B36CA8C" w14:textId="77777777">
      <w:pPr>
        <w:numPr>
          <w:ilvl w:val="0"/>
          <w:numId w:val="2"/>
        </w:numPr>
        <w:pBdr>
          <w:top w:val="nil"/>
          <w:left w:val="nil"/>
          <w:bottom w:val="nil"/>
          <w:right w:val="nil"/>
          <w:between w:val="nil"/>
        </w:pBdr>
        <w:tabs>
          <w:tab w:val="left" w:pos="2160"/>
        </w:tabs>
        <w:spacing w:after="0"/>
      </w:pPr>
      <w:r>
        <w:rPr>
          <w:color w:val="000000"/>
        </w:rPr>
        <w:t>Standard Invitation</w:t>
      </w:r>
    </w:p>
    <w:p w:rsidR="00C33458" w14:paraId="4B36CA8D" w14:textId="77777777">
      <w:pPr>
        <w:numPr>
          <w:ilvl w:val="0"/>
          <w:numId w:val="2"/>
        </w:numPr>
        <w:pBdr>
          <w:top w:val="nil"/>
          <w:left w:val="nil"/>
          <w:bottom w:val="nil"/>
          <w:right w:val="nil"/>
          <w:between w:val="nil"/>
        </w:pBdr>
        <w:tabs>
          <w:tab w:val="left" w:pos="2160"/>
        </w:tabs>
        <w:spacing w:after="0"/>
      </w:pPr>
      <w:r>
        <w:rPr>
          <w:color w:val="000000"/>
        </w:rPr>
        <w:t>Participant Confirmation Email</w:t>
      </w:r>
    </w:p>
    <w:p w:rsidR="00C33458" w14:paraId="4B36CA8E" w14:textId="77777777">
      <w:pPr>
        <w:numPr>
          <w:ilvl w:val="0"/>
          <w:numId w:val="2"/>
        </w:numPr>
        <w:pBdr>
          <w:top w:val="nil"/>
          <w:left w:val="nil"/>
          <w:bottom w:val="nil"/>
          <w:right w:val="nil"/>
          <w:between w:val="nil"/>
        </w:pBdr>
        <w:tabs>
          <w:tab w:val="left" w:pos="2160"/>
        </w:tabs>
        <w:spacing w:after="0"/>
      </w:pPr>
      <w:r>
        <w:t>Interview/</w:t>
      </w:r>
      <w:r>
        <w:rPr>
          <w:color w:val="000000"/>
        </w:rPr>
        <w:t>Focus Group Moderator Guide</w:t>
      </w:r>
    </w:p>
    <w:p w:rsidR="00C33458" w:rsidRPr="00B47116" w14:paraId="4B36CA8F" w14:textId="6D77EE8A">
      <w:pPr>
        <w:numPr>
          <w:ilvl w:val="0"/>
          <w:numId w:val="2"/>
        </w:numPr>
        <w:pBdr>
          <w:top w:val="nil"/>
          <w:left w:val="nil"/>
          <w:bottom w:val="nil"/>
          <w:right w:val="nil"/>
          <w:between w:val="nil"/>
        </w:pBdr>
        <w:tabs>
          <w:tab w:val="left" w:pos="2160"/>
        </w:tabs>
        <w:spacing w:after="0"/>
      </w:pPr>
      <w:r>
        <w:rPr>
          <w:color w:val="000000"/>
        </w:rPr>
        <w:t>Messages</w:t>
      </w:r>
      <w:r>
        <w:t>/Materials</w:t>
      </w:r>
      <w:r>
        <w:rPr>
          <w:color w:val="000000"/>
        </w:rPr>
        <w:t xml:space="preserve"> to be </w:t>
      </w:r>
      <w:r>
        <w:rPr>
          <w:color w:val="000000"/>
        </w:rPr>
        <w:t>Tested</w:t>
      </w:r>
    </w:p>
    <w:p w:rsidR="00E00B78" w14:paraId="2D0716D9" w14:textId="78496754">
      <w:pPr>
        <w:numPr>
          <w:ilvl w:val="0"/>
          <w:numId w:val="2"/>
        </w:numPr>
        <w:pBdr>
          <w:top w:val="nil"/>
          <w:left w:val="nil"/>
          <w:bottom w:val="nil"/>
          <w:right w:val="nil"/>
          <w:between w:val="nil"/>
        </w:pBdr>
        <w:tabs>
          <w:tab w:val="left" w:pos="2160"/>
        </w:tabs>
        <w:spacing w:after="0"/>
      </w:pPr>
      <w:r>
        <w:rPr>
          <w:color w:val="000000"/>
        </w:rPr>
        <w:t xml:space="preserve">Human Subjects Determination </w:t>
      </w:r>
    </w:p>
    <w:p w:rsidR="00C33458" w14:paraId="4B36CA90" w14:textId="77777777"/>
    <w:p w:rsidR="00C33458" w14:paraId="4B36CA91" w14:textId="77777777">
      <w:bookmarkStart w:id="3" w:name="_heading=h.jpgfq7y5umng" w:colFirst="0" w:colLast="0"/>
      <w:bookmarkEnd w:id="3"/>
    </w:p>
    <w:p w:rsidR="00C33458" w14:paraId="4B36CA92" w14:textId="77777777">
      <w:bookmarkStart w:id="4" w:name="_heading=h.r56d4g8zidj1" w:colFirst="0" w:colLast="0"/>
      <w:bookmarkEnd w:id="4"/>
    </w:p>
    <w:p w:rsidR="00C33458" w14:paraId="4B36CA93" w14:textId="77777777">
      <w:bookmarkStart w:id="5" w:name="_heading=h.8b5af7eqwpqa" w:colFirst="0" w:colLast="0"/>
      <w:bookmarkEnd w:id="5"/>
    </w:p>
    <w:p w:rsidR="00C33458" w14:paraId="4B36CA94" w14:textId="77777777">
      <w:bookmarkStart w:id="6" w:name="_heading=h.ek60c9v9wldi" w:colFirst="0" w:colLast="0"/>
      <w:bookmarkEnd w:id="6"/>
    </w:p>
    <w:p w:rsidR="00C33458" w14:paraId="4B36CA95" w14:textId="77777777">
      <w:bookmarkStart w:id="7" w:name="_heading=h.s5eu1eu0ngio" w:colFirst="0" w:colLast="0"/>
      <w:bookmarkEnd w:id="7"/>
    </w:p>
    <w:p w:rsidR="00C33458" w14:paraId="4B36CA96" w14:textId="77777777">
      <w:bookmarkStart w:id="8" w:name="_heading=h.bknr0wkcalcr" w:colFirst="0" w:colLast="0"/>
      <w:bookmarkEnd w:id="8"/>
    </w:p>
    <w:p w:rsidR="00C33458" w14:paraId="4B36CA97" w14:textId="77777777">
      <w:bookmarkStart w:id="9" w:name="_heading=h.nnu4xqee762d" w:colFirst="0" w:colLast="0"/>
      <w:bookmarkEnd w:id="9"/>
    </w:p>
    <w:p w:rsidR="00C33458" w14:paraId="4B36CA98" w14:textId="77777777">
      <w:bookmarkStart w:id="10" w:name="_heading=h.wm38pzrhvusx" w:colFirst="0" w:colLast="0"/>
      <w:bookmarkEnd w:id="10"/>
    </w:p>
    <w:p w:rsidR="00C33458" w14:paraId="4B36CA99" w14:textId="77777777">
      <w:bookmarkStart w:id="11" w:name="_heading=h.s20enp5xmulv" w:colFirst="0" w:colLast="0"/>
      <w:bookmarkEnd w:id="11"/>
    </w:p>
    <w:p w:rsidR="00C33458" w14:paraId="4B36CA9A" w14:textId="77777777">
      <w:bookmarkStart w:id="12" w:name="_heading=h.789g5zj2xa9x" w:colFirst="0" w:colLast="0"/>
      <w:bookmarkEnd w:id="12"/>
    </w:p>
    <w:p w:rsidR="00C33458" w14:paraId="4B36CA9B" w14:textId="77777777">
      <w:pPr>
        <w:rPr>
          <w:b/>
          <w:sz w:val="22"/>
          <w:szCs w:val="22"/>
        </w:rPr>
      </w:pPr>
      <w:bookmarkStart w:id="13" w:name="_heading=h.a2n6z089llmm" w:colFirst="0" w:colLast="0"/>
      <w:bookmarkEnd w:id="13"/>
      <w:r>
        <w:rPr>
          <w:b/>
          <w:sz w:val="22"/>
          <w:szCs w:val="22"/>
        </w:rPr>
        <w:t>Supporting Statement B</w:t>
      </w:r>
    </w:p>
    <w:p w:rsidR="00C33458" w14:paraId="4B36CA9C" w14:textId="77777777">
      <w:pPr>
        <w:rPr>
          <w:sz w:val="22"/>
          <w:szCs w:val="22"/>
        </w:rPr>
      </w:pPr>
      <w:r>
        <w:rPr>
          <w:sz w:val="22"/>
          <w:szCs w:val="22"/>
        </w:rPr>
        <w:t>The collection of data for this project does not involve statistical methods, and the purpose of the collection is not to make statistical generalizations beyond the respondents included in the study. The objectives of the project are to:</w:t>
      </w:r>
    </w:p>
    <w:p w:rsidR="00C33458" w14:paraId="4B36CA9D" w14:textId="77777777">
      <w:pPr>
        <w:numPr>
          <w:ilvl w:val="0"/>
          <w:numId w:val="5"/>
        </w:numPr>
        <w:pBdr>
          <w:top w:val="nil"/>
          <w:left w:val="nil"/>
          <w:bottom w:val="nil"/>
          <w:right w:val="nil"/>
          <w:between w:val="nil"/>
        </w:pBdr>
        <w:rPr>
          <w:sz w:val="22"/>
          <w:szCs w:val="22"/>
        </w:rPr>
      </w:pPr>
      <w:r>
        <w:rPr>
          <w:sz w:val="22"/>
          <w:szCs w:val="22"/>
        </w:rPr>
        <w:t>Identify appropriate and effective messages/materials for healthcare providers to increase awareness on preventing foodborne and waterborne illnesses among their patients.</w:t>
      </w:r>
    </w:p>
    <w:p w:rsidR="00C33458" w14:paraId="4B36CA9E" w14:textId="77777777">
      <w:pPr>
        <w:numPr>
          <w:ilvl w:val="0"/>
          <w:numId w:val="5"/>
        </w:numPr>
        <w:pBdr>
          <w:top w:val="nil"/>
          <w:left w:val="nil"/>
          <w:bottom w:val="nil"/>
          <w:right w:val="nil"/>
          <w:between w:val="nil"/>
        </w:pBdr>
        <w:rPr>
          <w:sz w:val="22"/>
          <w:szCs w:val="22"/>
        </w:rPr>
      </w:pPr>
      <w:r>
        <w:rPr>
          <w:sz w:val="22"/>
          <w:szCs w:val="22"/>
        </w:rPr>
        <w:t>Gather data on the preferred tone, format, and placement of those messages/materials on CDC’s communication channels.</w:t>
      </w:r>
    </w:p>
    <w:p w:rsidR="00C33458" w14:paraId="4B36CA9F" w14:textId="77777777">
      <w:pPr>
        <w:pStyle w:val="Heading1"/>
        <w:numPr>
          <w:ilvl w:val="0"/>
          <w:numId w:val="1"/>
        </w:numPr>
        <w:rPr>
          <w:sz w:val="22"/>
          <w:szCs w:val="22"/>
        </w:rPr>
      </w:pPr>
      <w:bookmarkStart w:id="14" w:name="bookmark=id.crtbecaxrtt5" w:colFirst="0" w:colLast="0"/>
      <w:bookmarkEnd w:id="14"/>
      <w:r>
        <w:rPr>
          <w:sz w:val="22"/>
          <w:szCs w:val="22"/>
        </w:rPr>
        <w:t>Respondent Universe and Sampling Methods</w:t>
      </w:r>
    </w:p>
    <w:p w:rsidR="00C33458" w14:paraId="4B36CAA0" w14:textId="77777777">
      <w:pPr>
        <w:rPr>
          <w:sz w:val="22"/>
          <w:szCs w:val="22"/>
        </w:rPr>
      </w:pPr>
      <w:r>
        <w:rPr>
          <w:sz w:val="22"/>
          <w:szCs w:val="22"/>
        </w:rPr>
        <w:t>The project team will enlist a national recruitment agency to recruit and manage participant screening. They will recruit from a national proprietary database of individuals. The primary audience for the interviews/focus groups is healthcare providers. Key audiences will consist of family/internal medicine physicians or primary care physicians, obstetricians/gynecologists (OB/GYNs), pediatricians, oncologists, nurse practitioners (NP) or physician assistants (PAs), and healthcare providers of any type who work at federally qualified health centers (FQHCs) or community health centers. These healthcare provider types were selected because their primary patient populations are at increased risk of foodborne or waterborne illnesses; obstetricians/gynecologists care for pregnant individuals; pediatricians often care for children; oncologists care for individuals diagnosed with cancer; healthcare providers working at federally qualified health centers or community health centers often care for low-income individuals. Primary care physicians or family/internal medicine physicians often care for a variety of populations, including those at increased risk for foodborne and waterborne illnesses (e.g., older adults). Nurse practitioners and physician assistants were included as they may serve as the primary healthcare provider in some settings instead of physicians. We will conduct a series of virtual interviews/focus groups lasting 60 minutes each. Each interview/focus group will consist of 1-2 participants, for a maximum of 33 participants.</w:t>
      </w:r>
    </w:p>
    <w:p w:rsidR="00C33458" w14:paraId="4B36CAA1" w14:textId="77777777">
      <w:pPr>
        <w:spacing w:line="240" w:lineRule="auto"/>
        <w:rPr>
          <w:sz w:val="22"/>
          <w:szCs w:val="22"/>
        </w:rPr>
      </w:pPr>
      <w:r>
        <w:rPr>
          <w:sz w:val="22"/>
          <w:szCs w:val="22"/>
        </w:rPr>
        <w:t xml:space="preserve">     Table 1. Interview/Focus group demographic makeup by key audience, type, and number.</w:t>
      </w:r>
    </w:p>
    <w:tbl>
      <w:tblPr>
        <w:tblStyle w:val="a"/>
        <w:tblW w:w="80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
      <w:tblGrid>
        <w:gridCol w:w="6605"/>
        <w:gridCol w:w="1470"/>
      </w:tblGrid>
      <w:tr w14:paraId="4B36CAA4" w14:textId="77777777">
        <w:tblPrEx>
          <w:tblW w:w="80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Ex>
        <w:trPr>
          <w:tblHeader/>
          <w:jc w:val="center"/>
        </w:trPr>
        <w:tc>
          <w:tcPr>
            <w:tcW w:w="6605" w:type="dxa"/>
            <w:tcBorders>
              <w:bottom w:val="single" w:sz="4" w:space="0" w:color="3C4043"/>
            </w:tcBorders>
            <w:shd w:val="clear" w:color="auto" w:fill="auto"/>
            <w:vAlign w:val="center"/>
          </w:tcPr>
          <w:p w:rsidR="00C33458" w14:paraId="4B36CAA2" w14:textId="77777777">
            <w:pPr>
              <w:spacing w:after="18"/>
              <w:rPr>
                <w:b/>
                <w:color w:val="000000"/>
                <w:sz w:val="21"/>
                <w:szCs w:val="21"/>
              </w:rPr>
            </w:pPr>
            <w:r>
              <w:rPr>
                <w:b/>
                <w:color w:val="000000"/>
                <w:sz w:val="21"/>
                <w:szCs w:val="21"/>
              </w:rPr>
              <w:t>Population</w:t>
            </w:r>
          </w:p>
        </w:tc>
        <w:tc>
          <w:tcPr>
            <w:tcW w:w="1470" w:type="dxa"/>
            <w:tcBorders>
              <w:bottom w:val="single" w:sz="4" w:space="0" w:color="3C4043"/>
            </w:tcBorders>
          </w:tcPr>
          <w:p w:rsidR="00C33458" w14:paraId="4B36CAA3" w14:textId="77777777">
            <w:pPr>
              <w:spacing w:after="18"/>
              <w:rPr>
                <w:b/>
                <w:color w:val="000000"/>
                <w:sz w:val="21"/>
                <w:szCs w:val="21"/>
              </w:rPr>
            </w:pPr>
            <w:r>
              <w:rPr>
                <w:b/>
                <w:color w:val="000000"/>
                <w:sz w:val="21"/>
                <w:szCs w:val="21"/>
              </w:rPr>
              <w:t>Number of Participants</w:t>
            </w:r>
          </w:p>
        </w:tc>
      </w:tr>
      <w:tr w14:paraId="4B36CAA7" w14:textId="77777777">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33458" w14:paraId="4B36CAA5" w14:textId="77777777">
            <w:pPr>
              <w:spacing w:after="0" w:line="240" w:lineRule="auto"/>
              <w:rPr>
                <w:sz w:val="20"/>
                <w:szCs w:val="20"/>
              </w:rPr>
            </w:pPr>
            <w:r>
              <w:rPr>
                <w:sz w:val="20"/>
                <w:szCs w:val="20"/>
              </w:rPr>
              <w:t>Primary Care Physicians or Family/Internal Medicine Physicians</w:t>
            </w:r>
          </w:p>
        </w:tc>
        <w:tc>
          <w:tcPr>
            <w:tcW w:w="1470" w:type="dxa"/>
          </w:tcPr>
          <w:p w:rsidR="00C33458" w14:paraId="4B36CAA6" w14:textId="77777777">
            <w:pPr>
              <w:tabs>
                <w:tab w:val="left" w:pos="456"/>
              </w:tabs>
              <w:jc w:val="center"/>
              <w:rPr>
                <w:sz w:val="18"/>
                <w:szCs w:val="18"/>
              </w:rPr>
            </w:pPr>
            <w:r>
              <w:rPr>
                <w:sz w:val="18"/>
                <w:szCs w:val="18"/>
              </w:rPr>
              <w:t>5</w:t>
            </w:r>
          </w:p>
        </w:tc>
      </w:tr>
      <w:tr w14:paraId="4B36CAAA" w14:textId="77777777">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33458" w14:paraId="4B36CAA8" w14:textId="77777777">
            <w:pPr>
              <w:spacing w:after="0" w:line="240" w:lineRule="auto"/>
              <w:rPr>
                <w:sz w:val="20"/>
                <w:szCs w:val="20"/>
              </w:rPr>
            </w:pPr>
            <w:r>
              <w:rPr>
                <w:sz w:val="20"/>
                <w:szCs w:val="20"/>
              </w:rPr>
              <w:t>Obstetricians/Gynecologists (OB/GYNs)</w:t>
            </w:r>
          </w:p>
        </w:tc>
        <w:tc>
          <w:tcPr>
            <w:tcW w:w="1470" w:type="dxa"/>
          </w:tcPr>
          <w:p w:rsidR="00C33458" w14:paraId="4B36CAA9" w14:textId="77777777">
            <w:pPr>
              <w:tabs>
                <w:tab w:val="left" w:pos="456"/>
              </w:tabs>
              <w:jc w:val="center"/>
              <w:rPr>
                <w:sz w:val="18"/>
                <w:szCs w:val="18"/>
              </w:rPr>
            </w:pPr>
            <w:r>
              <w:rPr>
                <w:sz w:val="18"/>
                <w:szCs w:val="18"/>
              </w:rPr>
              <w:t>5</w:t>
            </w:r>
          </w:p>
        </w:tc>
      </w:tr>
      <w:tr w14:paraId="4B36CAAD" w14:textId="77777777">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33458" w14:paraId="4B36CAAB" w14:textId="77777777">
            <w:pPr>
              <w:spacing w:after="0" w:line="240" w:lineRule="auto"/>
              <w:rPr>
                <w:sz w:val="20"/>
                <w:szCs w:val="20"/>
              </w:rPr>
            </w:pPr>
            <w:r>
              <w:rPr>
                <w:sz w:val="20"/>
                <w:szCs w:val="20"/>
              </w:rPr>
              <w:t>Pediatricians</w:t>
            </w:r>
          </w:p>
        </w:tc>
        <w:tc>
          <w:tcPr>
            <w:tcW w:w="1470" w:type="dxa"/>
          </w:tcPr>
          <w:p w:rsidR="00C33458" w14:paraId="4B36CAAC" w14:textId="77777777">
            <w:pPr>
              <w:tabs>
                <w:tab w:val="left" w:pos="456"/>
              </w:tabs>
              <w:jc w:val="center"/>
              <w:rPr>
                <w:sz w:val="18"/>
                <w:szCs w:val="18"/>
              </w:rPr>
            </w:pPr>
            <w:r>
              <w:rPr>
                <w:sz w:val="18"/>
                <w:szCs w:val="18"/>
              </w:rPr>
              <w:t>5</w:t>
            </w:r>
          </w:p>
        </w:tc>
      </w:tr>
      <w:tr w14:paraId="4B36CAB0" w14:textId="77777777">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33458" w14:paraId="4B36CAAE" w14:textId="77777777">
            <w:pPr>
              <w:spacing w:after="0" w:line="240" w:lineRule="auto"/>
              <w:rPr>
                <w:sz w:val="20"/>
                <w:szCs w:val="20"/>
              </w:rPr>
            </w:pPr>
            <w:r>
              <w:rPr>
                <w:sz w:val="20"/>
                <w:szCs w:val="20"/>
              </w:rPr>
              <w:t>Oncologists</w:t>
            </w:r>
          </w:p>
        </w:tc>
        <w:tc>
          <w:tcPr>
            <w:tcW w:w="1470" w:type="dxa"/>
          </w:tcPr>
          <w:p w:rsidR="00C33458" w14:paraId="4B36CAAF" w14:textId="77777777">
            <w:pPr>
              <w:tabs>
                <w:tab w:val="left" w:pos="456"/>
              </w:tabs>
              <w:jc w:val="center"/>
              <w:rPr>
                <w:sz w:val="18"/>
                <w:szCs w:val="18"/>
              </w:rPr>
            </w:pPr>
            <w:r>
              <w:rPr>
                <w:sz w:val="18"/>
                <w:szCs w:val="18"/>
              </w:rPr>
              <w:t>5</w:t>
            </w:r>
          </w:p>
        </w:tc>
      </w:tr>
      <w:tr w14:paraId="4B36CAB3" w14:textId="77777777">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33458" w14:paraId="4B36CAB1" w14:textId="77777777">
            <w:pPr>
              <w:spacing w:after="0" w:line="240" w:lineRule="auto"/>
              <w:rPr>
                <w:sz w:val="20"/>
                <w:szCs w:val="20"/>
              </w:rPr>
            </w:pPr>
            <w:r>
              <w:rPr>
                <w:sz w:val="20"/>
                <w:szCs w:val="20"/>
              </w:rPr>
              <w:t>Nurse practitioners (NP) or physician assistants (PAs)</w:t>
            </w:r>
          </w:p>
        </w:tc>
        <w:tc>
          <w:tcPr>
            <w:tcW w:w="1470" w:type="dxa"/>
          </w:tcPr>
          <w:p w:rsidR="00C33458" w14:paraId="4B36CAB2" w14:textId="77777777">
            <w:pPr>
              <w:tabs>
                <w:tab w:val="left" w:pos="456"/>
              </w:tabs>
              <w:jc w:val="center"/>
              <w:rPr>
                <w:sz w:val="18"/>
                <w:szCs w:val="18"/>
              </w:rPr>
            </w:pPr>
            <w:r>
              <w:rPr>
                <w:sz w:val="18"/>
                <w:szCs w:val="18"/>
              </w:rPr>
              <w:t>5</w:t>
            </w:r>
          </w:p>
        </w:tc>
      </w:tr>
      <w:tr w14:paraId="4B36CAB6" w14:textId="77777777">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33458" w14:paraId="4B36CAB4" w14:textId="77777777">
            <w:pPr>
              <w:spacing w:after="0" w:line="240" w:lineRule="auto"/>
              <w:rPr>
                <w:sz w:val="20"/>
                <w:szCs w:val="20"/>
              </w:rPr>
            </w:pPr>
            <w:r>
              <w:rPr>
                <w:sz w:val="20"/>
                <w:szCs w:val="20"/>
              </w:rPr>
              <w:t>Healthcare providers (of any type) who work at federally qualified health centers (FQHCs) or community health centers</w:t>
            </w:r>
          </w:p>
        </w:tc>
        <w:tc>
          <w:tcPr>
            <w:tcW w:w="1470" w:type="dxa"/>
          </w:tcPr>
          <w:p w:rsidR="00C33458" w14:paraId="4B36CAB5" w14:textId="77777777">
            <w:pPr>
              <w:tabs>
                <w:tab w:val="left" w:pos="456"/>
              </w:tabs>
              <w:jc w:val="center"/>
              <w:rPr>
                <w:sz w:val="18"/>
                <w:szCs w:val="18"/>
              </w:rPr>
            </w:pPr>
            <w:r>
              <w:rPr>
                <w:sz w:val="18"/>
                <w:szCs w:val="18"/>
              </w:rPr>
              <w:t>8</w:t>
            </w:r>
          </w:p>
        </w:tc>
      </w:tr>
      <w:tr w14:paraId="4B36CAB9" w14:textId="77777777">
        <w:tblPrEx>
          <w:tblW w:w="8075" w:type="dxa"/>
          <w:jc w:val="center"/>
          <w:tblLayout w:type="fixed"/>
          <w:tblLook w:val="0400"/>
        </w:tblPrEx>
        <w:trPr>
          <w:trHeight w:val="324"/>
          <w:jc w:val="center"/>
        </w:trPr>
        <w:tc>
          <w:tcPr>
            <w:tcW w:w="6605" w:type="dxa"/>
            <w:shd w:val="clear" w:color="auto" w:fill="auto"/>
            <w:tcMar>
              <w:top w:w="72" w:type="dxa"/>
              <w:left w:w="72" w:type="dxa"/>
              <w:bottom w:w="72" w:type="dxa"/>
              <w:right w:w="72" w:type="dxa"/>
            </w:tcMar>
          </w:tcPr>
          <w:p w:rsidR="00C33458" w14:paraId="4B36CAB7" w14:textId="77777777">
            <w:pPr>
              <w:tabs>
                <w:tab w:val="left" w:pos="456"/>
              </w:tabs>
              <w:rPr>
                <w:b/>
                <w:sz w:val="18"/>
                <w:szCs w:val="18"/>
              </w:rPr>
            </w:pPr>
            <w:r>
              <w:rPr>
                <w:b/>
                <w:sz w:val="18"/>
                <w:szCs w:val="18"/>
              </w:rPr>
              <w:t>Total</w:t>
            </w:r>
          </w:p>
        </w:tc>
        <w:tc>
          <w:tcPr>
            <w:tcW w:w="1470" w:type="dxa"/>
          </w:tcPr>
          <w:p w:rsidR="00C33458" w14:paraId="4B36CAB8" w14:textId="77777777">
            <w:pPr>
              <w:tabs>
                <w:tab w:val="left" w:pos="456"/>
              </w:tabs>
              <w:jc w:val="center"/>
              <w:rPr>
                <w:b/>
                <w:sz w:val="18"/>
                <w:szCs w:val="18"/>
              </w:rPr>
            </w:pPr>
            <w:r>
              <w:rPr>
                <w:b/>
                <w:sz w:val="18"/>
                <w:szCs w:val="18"/>
              </w:rPr>
              <w:t>33</w:t>
            </w:r>
          </w:p>
        </w:tc>
      </w:tr>
    </w:tbl>
    <w:p w:rsidR="00C33458" w14:paraId="4B36CABA" w14:textId="77777777">
      <w:pPr>
        <w:spacing w:after="0" w:line="240" w:lineRule="auto"/>
        <w:rPr>
          <w:sz w:val="22"/>
          <w:szCs w:val="22"/>
          <w:highlight w:val="yellow"/>
        </w:rPr>
      </w:pPr>
    </w:p>
    <w:p w:rsidR="00C33458" w14:paraId="4B36CABB" w14:textId="77777777">
      <w:pPr>
        <w:spacing w:line="240" w:lineRule="auto"/>
        <w:rPr>
          <w:sz w:val="22"/>
          <w:szCs w:val="22"/>
        </w:rPr>
      </w:pPr>
      <w:r>
        <w:rPr>
          <w:sz w:val="22"/>
          <w:szCs w:val="22"/>
        </w:rPr>
        <w:t>Table 2. Demographic characteristics to be captured.</w:t>
      </w:r>
    </w:p>
    <w:tbl>
      <w:tblPr>
        <w:tblStyle w:val="a0"/>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
      <w:tblGrid>
        <w:gridCol w:w="6915"/>
      </w:tblGrid>
      <w:tr w14:paraId="4B36CAC1" w14:textId="77777777">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Ex>
        <w:trPr>
          <w:trHeight w:val="1265"/>
        </w:trPr>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3458" w14:paraId="4B36CABC" w14:textId="77777777">
            <w:pPr>
              <w:numPr>
                <w:ilvl w:val="0"/>
                <w:numId w:val="3"/>
              </w:numPr>
              <w:rPr>
                <w:sz w:val="22"/>
                <w:szCs w:val="22"/>
              </w:rPr>
            </w:pPr>
            <w:r>
              <w:rPr>
                <w:sz w:val="22"/>
                <w:szCs w:val="22"/>
              </w:rPr>
              <w:t>Geographic location of healthcare practice</w:t>
            </w:r>
          </w:p>
          <w:p w:rsidR="00C33458" w14:paraId="4B36CABD" w14:textId="77777777">
            <w:pPr>
              <w:numPr>
                <w:ilvl w:val="0"/>
                <w:numId w:val="3"/>
              </w:numPr>
              <w:rPr>
                <w:sz w:val="22"/>
                <w:szCs w:val="22"/>
              </w:rPr>
            </w:pPr>
            <w:r>
              <w:rPr>
                <w:sz w:val="22"/>
                <w:szCs w:val="22"/>
              </w:rPr>
              <w:t xml:space="preserve">Race </w:t>
            </w:r>
          </w:p>
          <w:p w:rsidR="00C33458" w14:paraId="4B36CABE" w14:textId="77777777">
            <w:pPr>
              <w:numPr>
                <w:ilvl w:val="0"/>
                <w:numId w:val="3"/>
              </w:numPr>
              <w:rPr>
                <w:sz w:val="22"/>
                <w:szCs w:val="22"/>
              </w:rPr>
            </w:pPr>
            <w:r>
              <w:rPr>
                <w:sz w:val="22"/>
                <w:szCs w:val="22"/>
              </w:rPr>
              <w:t>Ethnicity</w:t>
            </w:r>
          </w:p>
          <w:p w:rsidR="00C33458" w14:paraId="4B36CABF" w14:textId="77777777">
            <w:pPr>
              <w:numPr>
                <w:ilvl w:val="0"/>
                <w:numId w:val="3"/>
              </w:numPr>
              <w:rPr>
                <w:sz w:val="22"/>
                <w:szCs w:val="22"/>
              </w:rPr>
            </w:pPr>
            <w:r>
              <w:rPr>
                <w:sz w:val="22"/>
                <w:szCs w:val="22"/>
              </w:rPr>
              <w:t>Gender</w:t>
            </w:r>
          </w:p>
          <w:p w:rsidR="00C33458" w14:paraId="4B36CAC0" w14:textId="77777777">
            <w:pPr>
              <w:numPr>
                <w:ilvl w:val="0"/>
                <w:numId w:val="3"/>
              </w:numPr>
              <w:rPr>
                <w:sz w:val="22"/>
                <w:szCs w:val="22"/>
              </w:rPr>
            </w:pPr>
            <w:r>
              <w:rPr>
                <w:sz w:val="22"/>
                <w:szCs w:val="22"/>
              </w:rPr>
              <w:t>Age</w:t>
            </w:r>
          </w:p>
        </w:tc>
      </w:tr>
    </w:tbl>
    <w:p w:rsidR="00C33458" w14:paraId="4B36CAC2" w14:textId="77777777">
      <w:pPr>
        <w:rPr>
          <w:sz w:val="22"/>
          <w:szCs w:val="22"/>
          <w:highlight w:val="yellow"/>
        </w:rPr>
      </w:pPr>
    </w:p>
    <w:p w:rsidR="00C33458" w14:paraId="4B36CAC3" w14:textId="77777777">
      <w:pPr>
        <w:pStyle w:val="Heading1"/>
        <w:numPr>
          <w:ilvl w:val="0"/>
          <w:numId w:val="1"/>
        </w:numPr>
        <w:rPr>
          <w:sz w:val="22"/>
          <w:szCs w:val="22"/>
        </w:rPr>
      </w:pPr>
      <w:bookmarkStart w:id="15" w:name="bookmark=id.566atxgnj4wn" w:colFirst="0" w:colLast="0"/>
      <w:bookmarkStart w:id="16" w:name="_heading=h.1fob9te" w:colFirst="0" w:colLast="0"/>
      <w:bookmarkEnd w:id="15"/>
      <w:bookmarkEnd w:id="16"/>
      <w:r>
        <w:rPr>
          <w:sz w:val="22"/>
          <w:szCs w:val="22"/>
        </w:rPr>
        <w:t>Procedures for the Collection of Information</w:t>
      </w:r>
    </w:p>
    <w:p w:rsidR="00C33458" w14:paraId="4B36CAC4" w14:textId="77777777">
      <w:pPr>
        <w:rPr>
          <w:i/>
          <w:sz w:val="22"/>
          <w:szCs w:val="22"/>
          <w:u w:val="single"/>
        </w:rPr>
      </w:pPr>
      <w:r>
        <w:rPr>
          <w:i/>
          <w:sz w:val="22"/>
          <w:szCs w:val="22"/>
          <w:u w:val="single"/>
        </w:rPr>
        <w:t>Recruitment</w:t>
      </w:r>
    </w:p>
    <w:p w:rsidR="00C33458" w14:paraId="4B36CAC5" w14:textId="57DF4C67">
      <w:pPr>
        <w:rPr>
          <w:sz w:val="22"/>
          <w:szCs w:val="22"/>
        </w:rPr>
      </w:pPr>
      <w:r>
        <w:rPr>
          <w:sz w:val="22"/>
          <w:szCs w:val="22"/>
        </w:rPr>
        <w:t xml:space="preserve">The team will use screeners </w:t>
      </w:r>
      <w:r>
        <w:rPr>
          <w:b/>
          <w:sz w:val="22"/>
          <w:szCs w:val="22"/>
        </w:rPr>
        <w:t>(Attachments 1</w:t>
      </w:r>
      <w:r w:rsidR="00E501A3">
        <w:rPr>
          <w:b/>
          <w:sz w:val="22"/>
          <w:szCs w:val="22"/>
        </w:rPr>
        <w:t xml:space="preserve"> &amp;</w:t>
      </w:r>
      <w:r>
        <w:rPr>
          <w:b/>
          <w:sz w:val="22"/>
          <w:szCs w:val="22"/>
        </w:rPr>
        <w:t>3)</w:t>
      </w:r>
      <w:r>
        <w:rPr>
          <w:sz w:val="22"/>
          <w:szCs w:val="22"/>
        </w:rPr>
        <w:t xml:space="preserve"> to meet the necessary inclusion criteria and help achieve the project team’s recruitment goals across identified demographic characteristics for interview/focus group participants.</w:t>
      </w:r>
    </w:p>
    <w:p w:rsidR="00C33458" w14:paraId="4B36CAC6" w14:textId="77777777">
      <w:pPr>
        <w:rPr>
          <w:sz w:val="22"/>
          <w:szCs w:val="22"/>
        </w:rPr>
      </w:pPr>
      <w:r>
        <w:rPr>
          <w:sz w:val="22"/>
          <w:szCs w:val="22"/>
        </w:rPr>
        <w:t xml:space="preserve">To identify and recruit participants for the interviews/focus group discussions, we will employ a </w:t>
      </w:r>
      <w:r>
        <w:rPr>
          <w:sz w:val="22"/>
          <w:szCs w:val="22"/>
        </w:rPr>
        <w:t>two part</w:t>
      </w:r>
      <w:r>
        <w:rPr>
          <w:sz w:val="22"/>
          <w:szCs w:val="22"/>
        </w:rPr>
        <w:t xml:space="preserve"> screening process to assess eligibility for participation. The first screener (</w:t>
      </w:r>
      <w:r>
        <w:rPr>
          <w:b/>
          <w:sz w:val="22"/>
          <w:szCs w:val="22"/>
        </w:rPr>
        <w:t>Attachment 1)</w:t>
      </w:r>
      <w:r>
        <w:rPr>
          <w:sz w:val="22"/>
          <w:szCs w:val="22"/>
        </w:rPr>
        <w:t xml:space="preserve"> will ensure if they are eligible to participate in the interview/focus groups. The second screener: Eligible Participant Screener (</w:t>
      </w:r>
      <w:r>
        <w:rPr>
          <w:b/>
          <w:sz w:val="22"/>
          <w:szCs w:val="22"/>
        </w:rPr>
        <w:t>Attachment 3</w:t>
      </w:r>
      <w:r>
        <w:rPr>
          <w:sz w:val="22"/>
          <w:szCs w:val="22"/>
        </w:rPr>
        <w:t>) will allow the recruiters to ensure recruitment goals are achieved and (for focus groups) group the participants into specific focus groups (</w:t>
      </w:r>
      <w:r>
        <w:rPr>
          <w:sz w:val="22"/>
          <w:szCs w:val="22"/>
        </w:rPr>
        <w:t>e.g.</w:t>
      </w:r>
      <w:r>
        <w:rPr>
          <w:sz w:val="22"/>
          <w:szCs w:val="22"/>
        </w:rPr>
        <w:t xml:space="preserve"> pediatricians). </w:t>
      </w:r>
    </w:p>
    <w:p w:rsidR="00C33458" w14:paraId="4B36CAC7" w14:textId="77777777">
      <w:pPr>
        <w:spacing w:after="0"/>
        <w:rPr>
          <w:sz w:val="22"/>
          <w:szCs w:val="22"/>
        </w:rPr>
      </w:pPr>
      <w:r>
        <w:rPr>
          <w:sz w:val="22"/>
          <w:szCs w:val="22"/>
        </w:rPr>
        <w:t xml:space="preserve">Exclusion criteria for participation includes people: </w:t>
      </w:r>
    </w:p>
    <w:p w:rsidR="00C33458" w14:paraId="4B36CAC8" w14:textId="77777777">
      <w:pPr>
        <w:numPr>
          <w:ilvl w:val="0"/>
          <w:numId w:val="4"/>
        </w:numPr>
        <w:spacing w:after="0"/>
        <w:rPr>
          <w:sz w:val="22"/>
          <w:szCs w:val="22"/>
        </w:rPr>
      </w:pPr>
      <w:r>
        <w:rPr>
          <w:sz w:val="22"/>
          <w:szCs w:val="22"/>
        </w:rPr>
        <w:t xml:space="preserve">under 18 years of </w:t>
      </w:r>
      <w:r>
        <w:rPr>
          <w:sz w:val="22"/>
          <w:szCs w:val="22"/>
        </w:rPr>
        <w:t>age;</w:t>
      </w:r>
    </w:p>
    <w:p w:rsidR="00C33458" w14:paraId="4B36CAC9" w14:textId="77777777">
      <w:pPr>
        <w:numPr>
          <w:ilvl w:val="0"/>
          <w:numId w:val="4"/>
        </w:numPr>
        <w:spacing w:after="0"/>
        <w:rPr>
          <w:sz w:val="22"/>
          <w:szCs w:val="22"/>
        </w:rPr>
      </w:pPr>
      <w:r>
        <w:rPr>
          <w:sz w:val="22"/>
          <w:szCs w:val="22"/>
        </w:rPr>
        <w:t xml:space="preserve">who </w:t>
      </w:r>
      <w:r>
        <w:rPr>
          <w:sz w:val="22"/>
          <w:szCs w:val="22"/>
        </w:rPr>
        <w:t>are</w:t>
      </w:r>
      <w:r>
        <w:rPr>
          <w:sz w:val="22"/>
          <w:szCs w:val="22"/>
        </w:rPr>
        <w:t xml:space="preserve"> not comfortable speaking or reading in English; </w:t>
      </w:r>
    </w:p>
    <w:p w:rsidR="00C33458" w14:paraId="4B36CACA" w14:textId="77777777">
      <w:pPr>
        <w:numPr>
          <w:ilvl w:val="0"/>
          <w:numId w:val="4"/>
        </w:numPr>
        <w:spacing w:after="0"/>
        <w:rPr>
          <w:sz w:val="22"/>
          <w:szCs w:val="22"/>
        </w:rPr>
      </w:pPr>
      <w:r>
        <w:rPr>
          <w:sz w:val="22"/>
          <w:szCs w:val="22"/>
        </w:rPr>
        <w:t xml:space="preserve">who are not one of the specified types of healthcare </w:t>
      </w:r>
      <w:r>
        <w:rPr>
          <w:sz w:val="22"/>
          <w:szCs w:val="22"/>
        </w:rPr>
        <w:t>providers;</w:t>
      </w:r>
    </w:p>
    <w:p w:rsidR="00C33458" w14:paraId="4B36CACB" w14:textId="77777777">
      <w:pPr>
        <w:numPr>
          <w:ilvl w:val="0"/>
          <w:numId w:val="4"/>
        </w:numPr>
        <w:spacing w:after="0"/>
        <w:rPr>
          <w:sz w:val="22"/>
          <w:szCs w:val="22"/>
        </w:rPr>
      </w:pPr>
      <w:r>
        <w:rPr>
          <w:sz w:val="22"/>
          <w:szCs w:val="22"/>
        </w:rPr>
        <w:t>who do not have access to the internet with a computer or mobile device.</w:t>
      </w:r>
    </w:p>
    <w:p w:rsidR="00C33458" w14:paraId="4B36CACC" w14:textId="77777777">
      <w:pPr>
        <w:spacing w:after="0"/>
        <w:ind w:left="720"/>
        <w:rPr>
          <w:sz w:val="22"/>
          <w:szCs w:val="22"/>
        </w:rPr>
      </w:pPr>
    </w:p>
    <w:p w:rsidR="00C33458" w14:paraId="4B36CACD" w14:textId="297752DE">
      <w:pPr>
        <w:rPr>
          <w:color w:val="000000"/>
          <w:sz w:val="22"/>
          <w:szCs w:val="22"/>
        </w:rPr>
      </w:pPr>
      <w:r>
        <w:rPr>
          <w:sz w:val="22"/>
          <w:szCs w:val="22"/>
        </w:rPr>
        <w:t xml:space="preserve">These comprehensive screeners were developed in collaboration between CDC and the contractor. During the recruitment phase, the recruitment firm will provide a respondent report, confirmed attendees, and respondents for review. Staff will review these documents to ensure the recruitment mix is being reached. The recruitment firm will complete confirmation calls and provide a recruitment report after each interview/focus group session is completed. </w:t>
      </w:r>
      <w:r w:rsidR="005C6CAE">
        <w:rPr>
          <w:sz w:val="22"/>
          <w:szCs w:val="22"/>
        </w:rPr>
        <w:t xml:space="preserve">Once participants are </w:t>
      </w:r>
      <w:r w:rsidR="005C6CAE">
        <w:rPr>
          <w:sz w:val="22"/>
          <w:szCs w:val="22"/>
        </w:rPr>
        <w:t>chosen</w:t>
      </w:r>
      <w:r w:rsidR="005C6CAE">
        <w:rPr>
          <w:sz w:val="22"/>
          <w:szCs w:val="22"/>
        </w:rPr>
        <w:t xml:space="preserve"> they will receive a standard invitation </w:t>
      </w:r>
      <w:r w:rsidRPr="005C6CAE" w:rsidR="005C6CAE">
        <w:rPr>
          <w:b/>
          <w:bCs/>
          <w:sz w:val="22"/>
          <w:szCs w:val="22"/>
        </w:rPr>
        <w:t>(Attachment 6)</w:t>
      </w:r>
      <w:r w:rsidR="005C6CAE">
        <w:rPr>
          <w:sz w:val="22"/>
          <w:szCs w:val="22"/>
        </w:rPr>
        <w:t xml:space="preserve"> and once they accept the </w:t>
      </w:r>
      <w:r w:rsidR="005C6CAE">
        <w:rPr>
          <w:sz w:val="22"/>
          <w:szCs w:val="22"/>
        </w:rPr>
        <w:t>invitatation</w:t>
      </w:r>
      <w:r w:rsidR="005C6CAE">
        <w:rPr>
          <w:sz w:val="22"/>
          <w:szCs w:val="22"/>
        </w:rPr>
        <w:t xml:space="preserve"> they will receive the participant confirmation email </w:t>
      </w:r>
      <w:r w:rsidRPr="005C6CAE" w:rsidR="005C6CAE">
        <w:rPr>
          <w:b/>
          <w:bCs/>
          <w:sz w:val="22"/>
          <w:szCs w:val="22"/>
        </w:rPr>
        <w:t>(Attachment 7)</w:t>
      </w:r>
      <w:r w:rsidR="005C6CAE">
        <w:rPr>
          <w:sz w:val="22"/>
          <w:szCs w:val="22"/>
        </w:rPr>
        <w:t>.</w:t>
      </w:r>
    </w:p>
    <w:p w:rsidR="00C33458" w14:paraId="4B36CACE" w14:textId="77777777">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w:t>
      </w:r>
      <w:r>
        <w:rPr>
          <w:sz w:val="22"/>
          <w:szCs w:val="22"/>
        </w:rPr>
        <w:t xml:space="preserve">. These, and similar items, will be used for recruitment. </w:t>
      </w:r>
    </w:p>
    <w:p w:rsidR="00C33458" w14:paraId="4B36CACF" w14:textId="77777777">
      <w:pPr>
        <w:pBdr>
          <w:top w:val="nil"/>
          <w:left w:val="nil"/>
          <w:bottom w:val="nil"/>
          <w:right w:val="nil"/>
          <w:between w:val="nil"/>
        </w:pBdr>
        <w:spacing w:after="0"/>
        <w:rPr>
          <w:sz w:val="22"/>
          <w:szCs w:val="22"/>
        </w:rPr>
      </w:pPr>
    </w:p>
    <w:p w:rsidR="00C33458" w14:paraId="4B36CAD0" w14:textId="77777777">
      <w:pPr>
        <w:pBdr>
          <w:top w:val="nil"/>
          <w:left w:val="nil"/>
          <w:bottom w:val="nil"/>
          <w:right w:val="nil"/>
          <w:between w:val="nil"/>
        </w:pBdr>
        <w:spacing w:after="0"/>
        <w:rPr>
          <w:color w:val="000000"/>
          <w:sz w:val="22"/>
          <w:szCs w:val="22"/>
        </w:rPr>
      </w:pPr>
      <w:r>
        <w:rPr>
          <w:i/>
          <w:color w:val="000000"/>
          <w:sz w:val="22"/>
          <w:szCs w:val="22"/>
          <w:u w:val="single"/>
        </w:rPr>
        <w:t>Implementation</w:t>
      </w:r>
    </w:p>
    <w:p w:rsidR="00C33458" w14:paraId="4B36CAD1" w14:textId="059C6697">
      <w:pPr>
        <w:pBdr>
          <w:top w:val="nil"/>
          <w:left w:val="nil"/>
          <w:bottom w:val="nil"/>
          <w:right w:val="nil"/>
          <w:between w:val="nil"/>
        </w:pBdr>
        <w:spacing w:after="0"/>
        <w:rPr>
          <w:sz w:val="22"/>
          <w:szCs w:val="22"/>
        </w:rPr>
      </w:pPr>
      <w:r>
        <w:rPr>
          <w:sz w:val="22"/>
          <w:szCs w:val="22"/>
        </w:rPr>
        <w:t>The project team will conduct 33 virtual interviews/focus groups lasting about 60 minutes each. The team has developed an approach designed to gather information about and assess healthcare providers’ knowledge, attitudes, beliefs, and behaviors about foodborne and waterborne illness prevention for their patients. The interviews/focus groups will also provide responses to specific questions about the effectiveness, preferred tone, format, and placement of new and existing materials and messages designed to help healthcare providers facilitate conversations with patients or to hand out to patients. Experienced moderators will facilitate the interviews/focus groups following approved semi-structured moderator guides</w:t>
      </w:r>
      <w:r>
        <w:rPr>
          <w:b/>
          <w:sz w:val="22"/>
          <w:szCs w:val="22"/>
        </w:rPr>
        <w:t xml:space="preserve"> (Attachment 8</w:t>
      </w:r>
      <w:r>
        <w:rPr>
          <w:sz w:val="22"/>
          <w:szCs w:val="22"/>
        </w:rPr>
        <w:t>). The guides will contain multiple items and probes, which start more generally and get more specific, for individuals to respond to throughout the session. The contractor will conduct the virtual interview/focus groups using a web conferencing platform.</w:t>
      </w:r>
      <w:r w:rsidR="005C6CAE">
        <w:rPr>
          <w:sz w:val="22"/>
          <w:szCs w:val="22"/>
        </w:rPr>
        <w:t xml:space="preserve"> The messages will be tested in rotation that are listed in </w:t>
      </w:r>
      <w:r w:rsidR="00933379">
        <w:rPr>
          <w:b/>
          <w:bCs/>
          <w:sz w:val="22"/>
          <w:szCs w:val="22"/>
        </w:rPr>
        <w:t>F</w:t>
      </w:r>
      <w:r w:rsidR="005C6CAE">
        <w:rPr>
          <w:sz w:val="22"/>
          <w:szCs w:val="22"/>
        </w:rPr>
        <w:t xml:space="preserve">. </w:t>
      </w:r>
    </w:p>
    <w:p w:rsidR="00C33458" w14:paraId="4B36CAD2" w14:textId="77777777">
      <w:pPr>
        <w:pBdr>
          <w:top w:val="nil"/>
          <w:left w:val="nil"/>
          <w:bottom w:val="nil"/>
          <w:right w:val="nil"/>
          <w:between w:val="nil"/>
        </w:pBdr>
        <w:spacing w:after="0"/>
        <w:rPr>
          <w:sz w:val="22"/>
          <w:szCs w:val="22"/>
        </w:rPr>
      </w:pPr>
    </w:p>
    <w:p w:rsidR="00C33458" w14:paraId="4B36CAD3" w14:textId="77777777">
      <w:pPr>
        <w:spacing w:after="0"/>
        <w:rPr>
          <w:sz w:val="22"/>
          <w:szCs w:val="22"/>
        </w:rPr>
      </w:pPr>
      <w:r>
        <w:rPr>
          <w:sz w:val="22"/>
          <w:szCs w:val="22"/>
        </w:rPr>
        <w:t>CDC project staff who have signed privacy forms will have access to observe live focus groups. The focus groups will be audio and video recorded and the de-identified transcripts will be provided to CDC upon completion of all focus groups.</w:t>
      </w:r>
    </w:p>
    <w:p w:rsidR="00C33458" w14:paraId="4B36CAD4" w14:textId="77777777">
      <w:pPr>
        <w:spacing w:after="0"/>
        <w:rPr>
          <w:sz w:val="22"/>
          <w:szCs w:val="22"/>
        </w:rPr>
      </w:pPr>
    </w:p>
    <w:p w:rsidR="00C33458" w14:paraId="4B36CAD5" w14:textId="77777777">
      <w:pPr>
        <w:spacing w:after="0"/>
        <w:rPr>
          <w:color w:val="000000"/>
          <w:sz w:val="22"/>
          <w:szCs w:val="22"/>
        </w:rPr>
      </w:pPr>
      <w:r>
        <w:rPr>
          <w:sz w:val="22"/>
          <w:szCs w:val="22"/>
        </w:rPr>
        <w:t>To protect the privacy of participants, personally identifiable information (e.g., names, places of employment mentioned) will be redacted from all transcripts and not included in the field notes, final report, or any presentation about the project. Further, to ensure security, the contractor will provide CDC with password-protected files of the transcripts, notes, and analysis files.</w:t>
      </w:r>
    </w:p>
    <w:p w:rsidR="00C33458" w14:paraId="4B36CAD6" w14:textId="77777777">
      <w:pPr>
        <w:pBdr>
          <w:top w:val="nil"/>
          <w:left w:val="nil"/>
          <w:bottom w:val="nil"/>
          <w:right w:val="nil"/>
          <w:between w:val="nil"/>
        </w:pBdr>
        <w:spacing w:after="0"/>
        <w:rPr>
          <w:color w:val="000000"/>
          <w:sz w:val="22"/>
          <w:szCs w:val="22"/>
        </w:rPr>
      </w:pPr>
    </w:p>
    <w:p w:rsidR="00C33458" w14:paraId="4B36CAD7"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C33458" w14:paraId="4B36CAD8"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iterative thematic analysis to identify key themes and subthemes captured in the data collected during interviews/focus groups. Using </w:t>
      </w:r>
      <w:r>
        <w:rPr>
          <w:color w:val="000000"/>
          <w:sz w:val="22"/>
          <w:szCs w:val="22"/>
        </w:rPr>
        <w:t>ATLAS.ti</w:t>
      </w:r>
      <w:r>
        <w:rPr>
          <w:color w:val="000000"/>
          <w:sz w:val="22"/>
          <w:szCs w:val="22"/>
        </w:rPr>
        <w:t xml:space="preserve">, the contractor will use both inductive and deductive coding to identify themes and organize the data captured from participants. The contractor will provide CDC </w:t>
      </w:r>
      <w:r>
        <w:rPr>
          <w:sz w:val="22"/>
          <w:szCs w:val="22"/>
        </w:rPr>
        <w:t>with</w:t>
      </w:r>
      <w:r>
        <w:rPr>
          <w:color w:val="000000"/>
          <w:sz w:val="22"/>
          <w:szCs w:val="22"/>
        </w:rPr>
        <w:t xml:space="preserve"> a final report summarizing the results of the focus groups. The report will also include quotes from participants to illustrate themes and topics of interest. </w:t>
      </w:r>
    </w:p>
    <w:p w:rsidR="00C33458" w14:paraId="4B36CAD9" w14:textId="77777777">
      <w:pPr>
        <w:pBdr>
          <w:top w:val="nil"/>
          <w:left w:val="nil"/>
          <w:bottom w:val="nil"/>
          <w:right w:val="nil"/>
          <w:between w:val="nil"/>
        </w:pBdr>
        <w:spacing w:after="0"/>
        <w:rPr>
          <w:color w:val="000000"/>
          <w:sz w:val="22"/>
          <w:szCs w:val="22"/>
        </w:rPr>
      </w:pPr>
    </w:p>
    <w:p w:rsidR="00C33458" w14:paraId="4B36CADA" w14:textId="77777777">
      <w:pPr>
        <w:pStyle w:val="Heading1"/>
        <w:numPr>
          <w:ilvl w:val="0"/>
          <w:numId w:val="1"/>
        </w:numPr>
        <w:rPr>
          <w:sz w:val="22"/>
          <w:szCs w:val="22"/>
        </w:rPr>
      </w:pPr>
      <w:bookmarkStart w:id="17" w:name="bookmark=id.mllwovj3glm9" w:colFirst="0" w:colLast="0"/>
      <w:bookmarkStart w:id="18" w:name="_heading=h.3znysh7" w:colFirst="0" w:colLast="0"/>
      <w:bookmarkEnd w:id="17"/>
      <w:bookmarkEnd w:id="18"/>
      <w:r>
        <w:rPr>
          <w:sz w:val="22"/>
          <w:szCs w:val="22"/>
        </w:rPr>
        <w:t>Methods to Maximize Response Rates and Deal with No Response</w:t>
      </w:r>
    </w:p>
    <w:p w:rsidR="00C33458" w14:paraId="4B36CADB" w14:textId="5B74F48D">
      <w:pPr>
        <w:rPr>
          <w:sz w:val="22"/>
          <w:szCs w:val="22"/>
        </w:rPr>
      </w:pPr>
      <w:r>
        <w:rPr>
          <w:sz w:val="22"/>
          <w:szCs w:val="22"/>
        </w:rPr>
        <w:t>Tokens of appreciation will be used in the focus groups to increase the likelihood of participation and offer a token of appreciation to participants for their time and input to the study. Based on industry standards and national vendor’s expertise, and a previously cleared project, the team recommends a participant token of appreciation of $</w:t>
      </w:r>
      <w:r w:rsidR="00B47116">
        <w:rPr>
          <w:sz w:val="22"/>
          <w:szCs w:val="22"/>
        </w:rPr>
        <w:t>200-</w:t>
      </w:r>
      <w:r>
        <w:rPr>
          <w:sz w:val="22"/>
          <w:szCs w:val="22"/>
        </w:rPr>
        <w:t>250 per interview/focus group participant</w:t>
      </w:r>
      <w:r>
        <w:rPr>
          <w:color w:val="000000"/>
          <w:sz w:val="22"/>
          <w:szCs w:val="22"/>
        </w:rPr>
        <w:t xml:space="preserve">. </w:t>
      </w:r>
      <w:r>
        <w:rPr>
          <w:sz w:val="22"/>
          <w:szCs w:val="22"/>
        </w:rPr>
        <w:t xml:space="preserve">In order to optimize and increase the chance of having at least a minimum of eight participants in each focus group, the contractor will over-recruit by 20 percent. This will account for any last-minute cancellations or no-shows and aim to get eight people per focus group. </w:t>
      </w:r>
    </w:p>
    <w:p w:rsidR="00C33458" w14:paraId="4B36CADC" w14:textId="6FB01EEF">
      <w:pPr>
        <w:rPr>
          <w:sz w:val="22"/>
          <w:szCs w:val="22"/>
        </w:rPr>
      </w:pPr>
      <w:sdt>
        <w:sdtPr>
          <w:tag w:val="goog_rdk_0"/>
          <w:id w:val="842596612"/>
          <w:richText/>
        </w:sdtPr>
        <w:sdtContent/>
      </w:sdt>
      <w:r w:rsidR="008C11F3">
        <w:rPr>
          <w:sz w:val="22"/>
          <w:szCs w:val="22"/>
        </w:rPr>
        <w:t xml:space="preserve">A project involving interviews of physicians conducted in 2011 proposed and was approved for $100 to $250 per person for </w:t>
      </w:r>
      <w:r w:rsidR="008C11F3">
        <w:rPr>
          <w:sz w:val="22"/>
          <w:szCs w:val="22"/>
        </w:rPr>
        <w:t>60 minute</w:t>
      </w:r>
      <w:r w:rsidR="008C11F3">
        <w:rPr>
          <w:sz w:val="22"/>
          <w:szCs w:val="22"/>
        </w:rPr>
        <w:t xml:space="preserve"> interviews (OMB: 0920-1154, CDC ID: 0920-22CW). </w:t>
      </w:r>
      <w:sdt>
        <w:sdtPr>
          <w:tag w:val="goog_rdk_1"/>
          <w:id w:val="-245577330"/>
          <w:richText/>
        </w:sdtPr>
        <w:sdtContent/>
      </w:sdt>
      <w:r w:rsidRPr="00D229F8" w:rsidR="008C11F3">
        <w:rPr>
          <w:sz w:val="22"/>
          <w:szCs w:val="22"/>
        </w:rPr>
        <w:t xml:space="preserve">A more recent and more similar communication evaluation project that was conducted in </w:t>
      </w:r>
      <w:r w:rsidRPr="00D229F8" w:rsidR="00B47116">
        <w:rPr>
          <w:sz w:val="22"/>
          <w:szCs w:val="22"/>
        </w:rPr>
        <w:t>the Spring of 2023</w:t>
      </w:r>
      <w:r w:rsidRPr="00D229F8" w:rsidR="008C11F3">
        <w:rPr>
          <w:sz w:val="22"/>
          <w:szCs w:val="22"/>
        </w:rPr>
        <w:t xml:space="preserve"> proposed and was approved for </w:t>
      </w:r>
      <w:r w:rsidRPr="00D229F8" w:rsidR="00B47116">
        <w:t>$250 and physicians and then NPs/Pas for $200</w:t>
      </w:r>
      <w:r w:rsidRPr="00D229F8" w:rsidR="00B47116">
        <w:rPr>
          <w:sz w:val="22"/>
          <w:szCs w:val="22"/>
        </w:rPr>
        <w:t xml:space="preserve"> </w:t>
      </w:r>
      <w:r w:rsidRPr="00D229F8" w:rsidR="008C11F3">
        <w:rPr>
          <w:sz w:val="22"/>
          <w:szCs w:val="22"/>
        </w:rPr>
        <w:t xml:space="preserve">for </w:t>
      </w:r>
      <w:r w:rsidRPr="00D229F8" w:rsidR="008C11F3">
        <w:rPr>
          <w:sz w:val="22"/>
          <w:szCs w:val="22"/>
        </w:rPr>
        <w:t>60 minute</w:t>
      </w:r>
      <w:r w:rsidRPr="00D229F8" w:rsidR="008C11F3">
        <w:rPr>
          <w:sz w:val="22"/>
          <w:szCs w:val="22"/>
        </w:rPr>
        <w:t xml:space="preserve"> interviews (OMB: </w:t>
      </w:r>
      <w:r w:rsidRPr="00D229F8" w:rsidR="00B47116">
        <w:t>0920-1182</w:t>
      </w:r>
      <w:r w:rsidRPr="00D229F8" w:rsidR="008C11F3">
        <w:rPr>
          <w:sz w:val="22"/>
          <w:szCs w:val="22"/>
        </w:rPr>
        <w:t>).</w:t>
      </w:r>
      <w:r w:rsidR="008C11F3">
        <w:rPr>
          <w:sz w:val="22"/>
          <w:szCs w:val="22"/>
        </w:rPr>
        <w:t xml:space="preserve"> </w:t>
      </w:r>
    </w:p>
    <w:p w:rsidR="00C33458" w14:paraId="4B36CADD" w14:textId="141BC766">
      <w:pPr>
        <w:rPr>
          <w:sz w:val="22"/>
          <w:szCs w:val="22"/>
        </w:rPr>
      </w:pPr>
      <w:r>
        <w:rPr>
          <w:sz w:val="22"/>
          <w:szCs w:val="22"/>
        </w:rPr>
        <w:t xml:space="preserve">This year, the team plans to conduct </w:t>
      </w:r>
      <w:r>
        <w:rPr>
          <w:sz w:val="22"/>
          <w:szCs w:val="22"/>
        </w:rPr>
        <w:t>60 minute</w:t>
      </w:r>
      <w:r>
        <w:rPr>
          <w:sz w:val="22"/>
          <w:szCs w:val="22"/>
        </w:rPr>
        <w:t xml:space="preserve"> interviews/focus groups with the same populations, therefore $2</w:t>
      </w:r>
      <w:r w:rsidR="00B47116">
        <w:rPr>
          <w:sz w:val="22"/>
          <w:szCs w:val="22"/>
        </w:rPr>
        <w:t>0</w:t>
      </w:r>
      <w:r>
        <w:rPr>
          <w:sz w:val="22"/>
          <w:szCs w:val="22"/>
        </w:rPr>
        <w:t>0 to $</w:t>
      </w:r>
      <w:r w:rsidR="00B47116">
        <w:rPr>
          <w:sz w:val="22"/>
          <w:szCs w:val="22"/>
        </w:rPr>
        <w:t>2</w:t>
      </w:r>
      <w:r>
        <w:rPr>
          <w:sz w:val="22"/>
          <w:szCs w:val="22"/>
        </w:rPr>
        <w:t xml:space="preserve">50 per person, depending on healthcare provider type, is appropriate. This amount was chosen because these participants (healthcare providers) are highly paid and may need to forgo work to participate; their time is in high </w:t>
      </w:r>
      <w:r>
        <w:rPr>
          <w:sz w:val="22"/>
          <w:szCs w:val="22"/>
        </w:rPr>
        <w:t xml:space="preserve">demand, for a variety of reasons; there is past evidence of difficulty attracting this audience to participate in qualitative studies (see SSA for additional information). In addition, there is a health equity component of this work, where the team is selecting types of healthcare providers because they typically serve patient populations that are at increased risk for foodborne and waterborne illnesses. </w:t>
      </w:r>
      <w:r>
        <w:rPr>
          <w:sz w:val="22"/>
          <w:szCs w:val="22"/>
        </w:rPr>
        <w:t>Therefore</w:t>
      </w:r>
      <w:r>
        <w:rPr>
          <w:sz w:val="22"/>
          <w:szCs w:val="22"/>
        </w:rPr>
        <w:t xml:space="preserve"> it is important from a health equity perspective to ensure that these various types of healthcare providers are included in this study.  </w:t>
      </w:r>
    </w:p>
    <w:p w:rsidR="00C33458" w14:paraId="4B36CADE" w14:textId="77777777">
      <w:pPr>
        <w:rPr>
          <w:color w:val="000000"/>
          <w:sz w:val="22"/>
          <w:szCs w:val="22"/>
        </w:rPr>
      </w:pPr>
      <w:r>
        <w:rPr>
          <w:color w:val="000000"/>
          <w:sz w:val="22"/>
          <w:szCs w:val="22"/>
        </w:rPr>
        <w:t>In addition, reviewed literature revealed the payment of incentives can provide significant advantages to the government in terms of direct cost savings and improved data quality. (See References.</w:t>
      </w:r>
      <w:r>
        <w:rPr>
          <w:sz w:val="22"/>
          <w:szCs w:val="22"/>
        </w:rPr>
        <w:t xml:space="preserve">) </w:t>
      </w:r>
    </w:p>
    <w:p w:rsidR="00C33458" w14:paraId="4B36CADF" w14:textId="77777777">
      <w:pPr>
        <w:pStyle w:val="Heading1"/>
        <w:numPr>
          <w:ilvl w:val="0"/>
          <w:numId w:val="1"/>
        </w:numPr>
        <w:rPr>
          <w:sz w:val="22"/>
          <w:szCs w:val="22"/>
        </w:rPr>
      </w:pPr>
      <w:bookmarkStart w:id="19" w:name="bookmark=id.b669ohpuavww" w:colFirst="0" w:colLast="0"/>
      <w:bookmarkStart w:id="20" w:name="_heading=h.2et92p0" w:colFirst="0" w:colLast="0"/>
      <w:bookmarkEnd w:id="19"/>
      <w:bookmarkEnd w:id="20"/>
      <w:r>
        <w:rPr>
          <w:sz w:val="22"/>
          <w:szCs w:val="22"/>
        </w:rPr>
        <w:t>Tests of Procedures or Methods to be Undertaken</w:t>
      </w:r>
    </w:p>
    <w:p w:rsidR="00C33458" w14:paraId="4B36CAE0" w14:textId="77777777">
      <w:pPr>
        <w:rPr>
          <w:sz w:val="22"/>
          <w:szCs w:val="22"/>
        </w:rPr>
      </w:pPr>
      <w:r>
        <w:rPr>
          <w:sz w:val="22"/>
          <w:szCs w:val="22"/>
        </w:rPr>
        <w:t xml:space="preserve">One technical run-through will be conducted with contractor staff prior to the start of the study. </w:t>
      </w:r>
    </w:p>
    <w:p w:rsidR="00C33458" w14:paraId="4B36CAE1" w14:textId="77777777">
      <w:pPr>
        <w:pStyle w:val="Heading1"/>
        <w:numPr>
          <w:ilvl w:val="0"/>
          <w:numId w:val="1"/>
        </w:numPr>
        <w:rPr>
          <w:sz w:val="22"/>
          <w:szCs w:val="22"/>
        </w:rPr>
      </w:pPr>
      <w:bookmarkStart w:id="21" w:name="bookmark=id.4saba2t3l2sv" w:colFirst="0" w:colLast="0"/>
      <w:bookmarkStart w:id="22" w:name="_heading=h.tyjcwt" w:colFirst="0" w:colLast="0"/>
      <w:bookmarkEnd w:id="21"/>
      <w:bookmarkEnd w:id="22"/>
      <w:r>
        <w:rPr>
          <w:sz w:val="22"/>
          <w:szCs w:val="22"/>
        </w:rPr>
        <w:t>Individuals Consulted on Statistical Aspects and Individuals Collecting and/or Analyzing Data</w:t>
      </w:r>
    </w:p>
    <w:p w:rsidR="00C33458" w14:paraId="4B36CAE2" w14:textId="77777777">
      <w:pPr>
        <w:rPr>
          <w:sz w:val="22"/>
          <w:szCs w:val="22"/>
        </w:rPr>
      </w:pPr>
      <w:r>
        <w:rPr>
          <w:sz w:val="22"/>
          <w:szCs w:val="22"/>
        </w:rPr>
        <w:t xml:space="preserve">No individuals outside of the project team were consulted for statistical aspects of the design. Target numbers for the focus participants and groups were informed by the project scope of work, foodborne illness surveillance data and research, waterborne illness surveillance data and research, and DFWED priorities. The data being collected are qualitative and descriptive and there will be no statistical aspects of analysis. The individuals collecting and/or analyzing data include: </w:t>
      </w:r>
    </w:p>
    <w:p w:rsidR="00C33458" w14:paraId="4B36CAE3" w14:textId="05E9913E">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Sara </w:t>
      </w:r>
      <w:r>
        <w:rPr>
          <w:color w:val="000000"/>
          <w:sz w:val="22"/>
          <w:szCs w:val="22"/>
        </w:rPr>
        <w:t>Bresee</w:t>
      </w:r>
      <w:r>
        <w:rPr>
          <w:color w:val="000000"/>
          <w:sz w:val="22"/>
          <w:szCs w:val="22"/>
        </w:rPr>
        <w:t>, MPH, Centers for Disease Control and Prevention (CDC), National Center for Emerging and Zoonotic Infectious Diseases (NCEZID), Division of Foodborne, Waterborne, and Environmental Diseases (DFWED), Office of the Director (OD)</w:t>
      </w:r>
    </w:p>
    <w:p w:rsidR="00C33458" w14:paraId="4B36CAE4" w14:textId="77777777">
      <w:pPr>
        <w:pBdr>
          <w:top w:val="nil"/>
          <w:left w:val="nil"/>
          <w:bottom w:val="nil"/>
          <w:right w:val="nil"/>
          <w:between w:val="nil"/>
        </w:pBdr>
        <w:spacing w:after="0" w:line="240" w:lineRule="auto"/>
        <w:rPr>
          <w:b/>
          <w:color w:val="000000"/>
          <w:sz w:val="22"/>
          <w:szCs w:val="22"/>
        </w:rPr>
      </w:pPr>
    </w:p>
    <w:p w:rsidR="00C33458" w14:paraId="4B36CAE5" w14:textId="77777777">
      <w:pPr>
        <w:pBdr>
          <w:top w:val="nil"/>
          <w:left w:val="nil"/>
          <w:bottom w:val="nil"/>
          <w:right w:val="nil"/>
          <w:between w:val="nil"/>
        </w:pBdr>
        <w:spacing w:after="0" w:line="240" w:lineRule="auto"/>
        <w:rPr>
          <w:color w:val="000000"/>
          <w:sz w:val="22"/>
          <w:szCs w:val="22"/>
        </w:rPr>
      </w:pPr>
    </w:p>
    <w:p w:rsidR="00C33458" w14:paraId="4B36CAE6"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Style w:val="a1"/>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4B36CAE9"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C33458" w14:paraId="4B36CAE7" w14:textId="77777777">
            <w:pPr>
              <w:pBdr>
                <w:top w:val="nil"/>
                <w:left w:val="nil"/>
                <w:bottom w:val="nil"/>
                <w:right w:val="nil"/>
                <w:between w:val="nil"/>
              </w:pBdr>
              <w:tabs>
                <w:tab w:val="left" w:pos="360"/>
              </w:tabs>
              <w:rPr>
                <w:b/>
                <w:color w:val="000000"/>
                <w:sz w:val="22"/>
                <w:szCs w:val="22"/>
              </w:rPr>
            </w:pPr>
            <w:r>
              <w:rPr>
                <w:b/>
                <w:color w:val="000000"/>
                <w:sz w:val="22"/>
                <w:szCs w:val="22"/>
              </w:rPr>
              <w:t>Name</w:t>
            </w:r>
          </w:p>
        </w:tc>
        <w:tc>
          <w:tcPr>
            <w:tcW w:w="3289" w:type="dxa"/>
          </w:tcPr>
          <w:p w:rsidR="00C33458" w14:paraId="4B36CAE8" w14:textId="77777777">
            <w:pPr>
              <w:pBdr>
                <w:top w:val="nil"/>
                <w:left w:val="nil"/>
                <w:bottom w:val="nil"/>
                <w:right w:val="nil"/>
                <w:between w:val="nil"/>
              </w:pBdr>
              <w:tabs>
                <w:tab w:val="left" w:pos="360"/>
              </w:tabs>
              <w:rPr>
                <w:b/>
                <w:color w:val="000000"/>
                <w:sz w:val="22"/>
                <w:szCs w:val="22"/>
              </w:rPr>
            </w:pPr>
            <w:r>
              <w:rPr>
                <w:b/>
                <w:color w:val="000000"/>
                <w:sz w:val="22"/>
                <w:szCs w:val="22"/>
              </w:rPr>
              <w:t>Organizational Unit</w:t>
            </w:r>
          </w:p>
        </w:tc>
      </w:tr>
      <w:tr w14:paraId="4B36CAEC" w14:textId="77777777">
        <w:tblPrEx>
          <w:tblW w:w="10075" w:type="dxa"/>
          <w:tblInd w:w="-120" w:type="dxa"/>
          <w:tblLayout w:type="fixed"/>
          <w:tblLook w:val="0400"/>
        </w:tblPrEx>
        <w:trPr>
          <w:trHeight w:val="705"/>
        </w:trPr>
        <w:tc>
          <w:tcPr>
            <w:tcW w:w="6786" w:type="dxa"/>
          </w:tcPr>
          <w:p w:rsidR="00C33458" w14:paraId="4B36CAEA" w14:textId="77777777">
            <w:pPr>
              <w:pBdr>
                <w:top w:val="nil"/>
                <w:left w:val="nil"/>
                <w:bottom w:val="nil"/>
                <w:right w:val="nil"/>
                <w:between w:val="nil"/>
              </w:pBdr>
              <w:tabs>
                <w:tab w:val="left" w:pos="360"/>
              </w:tabs>
              <w:spacing w:line="276" w:lineRule="auto"/>
              <w:rPr>
                <w:sz w:val="22"/>
                <w:szCs w:val="22"/>
              </w:rPr>
            </w:pPr>
            <w:r>
              <w:rPr>
                <w:color w:val="000000"/>
                <w:sz w:val="22"/>
                <w:szCs w:val="22"/>
              </w:rPr>
              <w:t>Nora Kuiper, Project Director</w:t>
            </w:r>
          </w:p>
        </w:tc>
        <w:tc>
          <w:tcPr>
            <w:tcW w:w="3289" w:type="dxa"/>
          </w:tcPr>
          <w:p w:rsidR="00C33458" w14:paraId="4B36CAEB" w14:textId="77777777">
            <w:pPr>
              <w:pBdr>
                <w:top w:val="nil"/>
                <w:left w:val="nil"/>
                <w:bottom w:val="nil"/>
                <w:right w:val="nil"/>
                <w:between w:val="nil"/>
              </w:pBdr>
              <w:tabs>
                <w:tab w:val="left" w:pos="360"/>
              </w:tabs>
              <w:rPr>
                <w:color w:val="000000"/>
                <w:sz w:val="22"/>
                <w:szCs w:val="22"/>
              </w:rPr>
            </w:pPr>
            <w:r>
              <w:rPr>
                <w:color w:val="000000"/>
                <w:sz w:val="22"/>
                <w:szCs w:val="22"/>
              </w:rPr>
              <w:t xml:space="preserve">Banyan </w:t>
            </w:r>
            <w:r>
              <w:rPr>
                <w:color w:val="000000"/>
                <w:sz w:val="22"/>
                <w:szCs w:val="22"/>
              </w:rPr>
              <w:t>Communications  (</w:t>
            </w:r>
            <w:r>
              <w:rPr>
                <w:color w:val="000000"/>
                <w:sz w:val="22"/>
                <w:szCs w:val="22"/>
              </w:rPr>
              <w:t>contractor)</w:t>
            </w:r>
          </w:p>
        </w:tc>
      </w:tr>
      <w:tr w14:paraId="4B36CAEF" w14:textId="77777777">
        <w:tblPrEx>
          <w:tblW w:w="10075" w:type="dxa"/>
          <w:tblInd w:w="-120" w:type="dxa"/>
          <w:tblLayout w:type="fixed"/>
          <w:tblLook w:val="0400"/>
        </w:tblPrEx>
        <w:tc>
          <w:tcPr>
            <w:tcW w:w="6786" w:type="dxa"/>
          </w:tcPr>
          <w:p w:rsidR="00C33458" w14:paraId="4B36CAED" w14:textId="77777777">
            <w:pPr>
              <w:tabs>
                <w:tab w:val="left" w:pos="360"/>
              </w:tabs>
              <w:spacing w:line="276" w:lineRule="auto"/>
              <w:rPr>
                <w:sz w:val="22"/>
                <w:szCs w:val="22"/>
              </w:rPr>
            </w:pPr>
            <w:r>
              <w:rPr>
                <w:sz w:val="22"/>
                <w:szCs w:val="22"/>
              </w:rPr>
              <w:t>Tola Aina, Project Director</w:t>
            </w:r>
          </w:p>
        </w:tc>
        <w:tc>
          <w:tcPr>
            <w:tcW w:w="3289" w:type="dxa"/>
          </w:tcPr>
          <w:p w:rsidR="00C33458" w14:paraId="4B36CAEE" w14:textId="77777777">
            <w:pPr>
              <w:tabs>
                <w:tab w:val="left" w:pos="360"/>
              </w:tabs>
              <w:rPr>
                <w:sz w:val="22"/>
                <w:szCs w:val="22"/>
              </w:rPr>
            </w:pPr>
            <w:r>
              <w:rPr>
                <w:sz w:val="22"/>
                <w:szCs w:val="22"/>
              </w:rPr>
              <w:t xml:space="preserve">Banyan </w:t>
            </w:r>
            <w:r>
              <w:rPr>
                <w:sz w:val="22"/>
                <w:szCs w:val="22"/>
              </w:rPr>
              <w:t>Communications  (</w:t>
            </w:r>
            <w:r>
              <w:rPr>
                <w:sz w:val="22"/>
                <w:szCs w:val="22"/>
              </w:rPr>
              <w:t>contractor)</w:t>
            </w:r>
          </w:p>
        </w:tc>
      </w:tr>
      <w:tr w14:paraId="4B36CAF2" w14:textId="77777777">
        <w:tblPrEx>
          <w:tblW w:w="10075" w:type="dxa"/>
          <w:tblInd w:w="-120" w:type="dxa"/>
          <w:tblLayout w:type="fixed"/>
          <w:tblLook w:val="0400"/>
        </w:tblPrEx>
        <w:tc>
          <w:tcPr>
            <w:tcW w:w="6786" w:type="dxa"/>
          </w:tcPr>
          <w:p w:rsidR="00C33458" w14:paraId="4B36CAF0" w14:textId="77777777">
            <w:pPr>
              <w:spacing w:line="276" w:lineRule="auto"/>
              <w:rPr>
                <w:sz w:val="22"/>
                <w:szCs w:val="22"/>
              </w:rPr>
            </w:pPr>
            <w:r>
              <w:rPr>
                <w:sz w:val="22"/>
                <w:szCs w:val="22"/>
              </w:rPr>
              <w:t>Sharanya</w:t>
            </w:r>
            <w:r>
              <w:rPr>
                <w:sz w:val="22"/>
                <w:szCs w:val="22"/>
              </w:rPr>
              <w:t xml:space="preserve"> Thummalapally, Lead Research and Evaluation Specialist</w:t>
            </w:r>
          </w:p>
        </w:tc>
        <w:tc>
          <w:tcPr>
            <w:tcW w:w="3289" w:type="dxa"/>
          </w:tcPr>
          <w:p w:rsidR="00C33458" w14:paraId="4B36CAF1" w14:textId="77777777">
            <w:pPr>
              <w:tabs>
                <w:tab w:val="left" w:pos="360"/>
              </w:tabs>
              <w:rPr>
                <w:sz w:val="22"/>
                <w:szCs w:val="22"/>
              </w:rPr>
            </w:pPr>
            <w:r>
              <w:rPr>
                <w:sz w:val="22"/>
                <w:szCs w:val="22"/>
              </w:rPr>
              <w:t>Banyan Communications (contractor)</w:t>
            </w:r>
          </w:p>
        </w:tc>
      </w:tr>
      <w:tr w14:paraId="4B36CAF5" w14:textId="77777777">
        <w:tblPrEx>
          <w:tblW w:w="10075" w:type="dxa"/>
          <w:tblInd w:w="-120" w:type="dxa"/>
          <w:tblLayout w:type="fixed"/>
          <w:tblLook w:val="0400"/>
        </w:tblPrEx>
        <w:tc>
          <w:tcPr>
            <w:tcW w:w="6786" w:type="dxa"/>
          </w:tcPr>
          <w:p w:rsidR="00C33458" w14:paraId="4B36CAF3" w14:textId="77777777">
            <w:pPr>
              <w:spacing w:line="276" w:lineRule="auto"/>
              <w:rPr>
                <w:sz w:val="22"/>
                <w:szCs w:val="22"/>
              </w:rPr>
            </w:pPr>
            <w:r>
              <w:rPr>
                <w:sz w:val="22"/>
                <w:szCs w:val="22"/>
              </w:rPr>
              <w:t>Amanda White, Senior Communications Strategist</w:t>
            </w:r>
          </w:p>
        </w:tc>
        <w:tc>
          <w:tcPr>
            <w:tcW w:w="3289" w:type="dxa"/>
          </w:tcPr>
          <w:p w:rsidR="00C33458" w14:paraId="4B36CAF4" w14:textId="77777777">
            <w:pPr>
              <w:tabs>
                <w:tab w:val="left" w:pos="360"/>
              </w:tabs>
              <w:rPr>
                <w:sz w:val="22"/>
                <w:szCs w:val="22"/>
              </w:rPr>
            </w:pPr>
            <w:r>
              <w:rPr>
                <w:sz w:val="22"/>
                <w:szCs w:val="22"/>
              </w:rPr>
              <w:t xml:space="preserve">Banyan </w:t>
            </w:r>
            <w:r>
              <w:rPr>
                <w:sz w:val="22"/>
                <w:szCs w:val="22"/>
              </w:rPr>
              <w:t>Communications  (</w:t>
            </w:r>
            <w:r>
              <w:rPr>
                <w:sz w:val="22"/>
                <w:szCs w:val="22"/>
              </w:rPr>
              <w:t>contractor)</w:t>
            </w:r>
          </w:p>
        </w:tc>
      </w:tr>
      <w:tr w14:paraId="4B36CAF8" w14:textId="77777777">
        <w:tblPrEx>
          <w:tblW w:w="10075" w:type="dxa"/>
          <w:tblInd w:w="-120" w:type="dxa"/>
          <w:tblLayout w:type="fixed"/>
          <w:tblLook w:val="0400"/>
        </w:tblPrEx>
        <w:tc>
          <w:tcPr>
            <w:tcW w:w="6786" w:type="dxa"/>
          </w:tcPr>
          <w:p w:rsidR="00C33458" w14:paraId="4B36CAF6" w14:textId="77777777">
            <w:pPr>
              <w:spacing w:line="276" w:lineRule="auto"/>
              <w:rPr>
                <w:sz w:val="22"/>
                <w:szCs w:val="22"/>
              </w:rPr>
            </w:pPr>
            <w:r>
              <w:rPr>
                <w:sz w:val="22"/>
                <w:szCs w:val="22"/>
              </w:rPr>
              <w:t>Bria Berry, Research and Evaluation Specialist</w:t>
            </w:r>
          </w:p>
        </w:tc>
        <w:tc>
          <w:tcPr>
            <w:tcW w:w="3289" w:type="dxa"/>
          </w:tcPr>
          <w:p w:rsidR="00C33458" w14:paraId="4B36CAF7" w14:textId="77777777">
            <w:pPr>
              <w:tabs>
                <w:tab w:val="left" w:pos="360"/>
              </w:tabs>
              <w:rPr>
                <w:sz w:val="22"/>
                <w:szCs w:val="22"/>
              </w:rPr>
            </w:pPr>
            <w:r>
              <w:rPr>
                <w:sz w:val="22"/>
                <w:szCs w:val="22"/>
              </w:rPr>
              <w:t xml:space="preserve">Banyan </w:t>
            </w:r>
            <w:r>
              <w:rPr>
                <w:sz w:val="22"/>
                <w:szCs w:val="22"/>
              </w:rPr>
              <w:t>Communications  (</w:t>
            </w:r>
            <w:r>
              <w:rPr>
                <w:sz w:val="22"/>
                <w:szCs w:val="22"/>
              </w:rPr>
              <w:t>contractor)</w:t>
            </w:r>
          </w:p>
        </w:tc>
      </w:tr>
    </w:tbl>
    <w:p w:rsidR="00C33458" w14:paraId="4B36CAF9" w14:textId="77777777">
      <w:pPr>
        <w:pStyle w:val="Heading2"/>
        <w:spacing w:before="0" w:after="0"/>
      </w:pPr>
    </w:p>
    <w:p w:rsidR="00C33458" w14:paraId="4B36CAFA" w14:textId="77777777">
      <w:pPr>
        <w:pStyle w:val="Heading2"/>
        <w:spacing w:before="0" w:after="0"/>
        <w:rPr>
          <w:sz w:val="22"/>
          <w:szCs w:val="22"/>
        </w:rPr>
      </w:pPr>
    </w:p>
    <w:p w:rsidR="00C33458" w14:paraId="4B36CAFB" w14:textId="77777777">
      <w:pPr>
        <w:pStyle w:val="Heading2"/>
        <w:spacing w:before="0" w:after="0"/>
        <w:rPr>
          <w:sz w:val="22"/>
          <w:szCs w:val="22"/>
        </w:rPr>
      </w:pPr>
      <w:r>
        <w:rPr>
          <w:sz w:val="22"/>
          <w:szCs w:val="22"/>
        </w:rPr>
        <w:t>References</w:t>
      </w:r>
    </w:p>
    <w:p w:rsidR="00C33458" w14:paraId="4B36CAFC" w14:textId="77777777">
      <w:pPr>
        <w:keepLines/>
        <w:pBdr>
          <w:top w:val="nil"/>
          <w:left w:val="nil"/>
          <w:bottom w:val="nil"/>
          <w:right w:val="nil"/>
          <w:between w:val="nil"/>
        </w:pBdr>
        <w:ind w:left="720" w:hanging="720"/>
        <w:rPr>
          <w:color w:val="000000"/>
          <w:sz w:val="22"/>
          <w:szCs w:val="22"/>
        </w:rPr>
      </w:pPr>
      <w:r>
        <w:rPr>
          <w:color w:val="000000"/>
          <w:sz w:val="22"/>
          <w:szCs w:val="22"/>
        </w:rPr>
        <w:t xml:space="preserve">Abreu, D.A., &amp; Winters, F. (1999). Using monetary incentives to reduce attrition in the survey of income and program participation. </w:t>
      </w:r>
      <w:r>
        <w:rPr>
          <w:i/>
          <w:color w:val="000000"/>
          <w:sz w:val="22"/>
          <w:szCs w:val="22"/>
        </w:rPr>
        <w:t>Proceedings of the Survey Research Methods Section of the American Statistical Association</w:t>
      </w:r>
      <w:r>
        <w:rPr>
          <w:color w:val="000000"/>
          <w:sz w:val="22"/>
          <w:szCs w:val="22"/>
        </w:rPr>
        <w:t>.</w:t>
      </w:r>
    </w:p>
    <w:p w:rsidR="00C33458" w14:paraId="4B36CAFD" w14:textId="77777777">
      <w:pPr>
        <w:rPr>
          <w:color w:val="222222"/>
          <w:sz w:val="22"/>
          <w:szCs w:val="22"/>
          <w:highlight w:val="white"/>
        </w:rPr>
      </w:pPr>
      <w:r>
        <w:rPr>
          <w:color w:val="222222"/>
          <w:sz w:val="22"/>
          <w:szCs w:val="22"/>
          <w:highlight w:val="white"/>
        </w:rPr>
        <w:t>Bonevski</w:t>
      </w:r>
      <w:r>
        <w:rPr>
          <w:color w:val="222222"/>
          <w:sz w:val="22"/>
          <w:szCs w:val="22"/>
          <w:highlight w:val="white"/>
        </w:rPr>
        <w:t xml:space="preserve">, B., Randell, M., Paul, C., Chapman, K., Twyman, L., Bryant, J., ... &amp; Hughes, C. (2014). </w:t>
      </w:r>
    </w:p>
    <w:p w:rsidR="00C33458" w14:paraId="4B36CAFE" w14:textId="77777777">
      <w:pPr>
        <w:ind w:firstLine="720"/>
        <w:rPr>
          <w:color w:val="222222"/>
          <w:sz w:val="22"/>
          <w:szCs w:val="22"/>
          <w:highlight w:val="white"/>
        </w:rPr>
      </w:pPr>
      <w:r>
        <w:rPr>
          <w:color w:val="222222"/>
          <w:sz w:val="22"/>
          <w:szCs w:val="22"/>
          <w:highlight w:val="white"/>
        </w:rPr>
        <w:t xml:space="preserve">Reaching the hard-to-reach: a systematic review of strategies for improving health and medical </w:t>
      </w:r>
    </w:p>
    <w:p w:rsidR="00C33458" w14:paraId="4B36CAFF" w14:textId="77777777">
      <w:pPr>
        <w:ind w:firstLine="720"/>
        <w:rPr>
          <w:color w:val="222222"/>
          <w:sz w:val="22"/>
          <w:szCs w:val="22"/>
          <w:highlight w:val="white"/>
        </w:rPr>
      </w:pPr>
      <w:r>
        <w:rPr>
          <w:color w:val="222222"/>
          <w:sz w:val="22"/>
          <w:szCs w:val="22"/>
          <w:highlight w:val="white"/>
        </w:rPr>
        <w:t xml:space="preserve">research with socially disadvantaged groups. </w:t>
      </w:r>
      <w:r>
        <w:rPr>
          <w:i/>
          <w:color w:val="222222"/>
          <w:sz w:val="22"/>
          <w:szCs w:val="22"/>
          <w:highlight w:val="white"/>
        </w:rPr>
        <w:t>BMC medical research methodology</w:t>
      </w:r>
      <w:r>
        <w:rPr>
          <w:color w:val="222222"/>
          <w:sz w:val="22"/>
          <w:szCs w:val="22"/>
          <w:highlight w:val="white"/>
        </w:rPr>
        <w:t xml:space="preserve">, </w:t>
      </w:r>
      <w:r>
        <w:rPr>
          <w:i/>
          <w:color w:val="222222"/>
          <w:sz w:val="22"/>
          <w:szCs w:val="22"/>
          <w:highlight w:val="white"/>
        </w:rPr>
        <w:t>14</w:t>
      </w:r>
      <w:r>
        <w:rPr>
          <w:color w:val="222222"/>
          <w:sz w:val="22"/>
          <w:szCs w:val="22"/>
          <w:highlight w:val="white"/>
        </w:rPr>
        <w:t>(1), 1-29.</w:t>
      </w:r>
    </w:p>
    <w:p w:rsidR="00C33458" w14:paraId="4B36CB00" w14:textId="77777777">
      <w:pPr>
        <w:rPr>
          <w:color w:val="222222"/>
          <w:sz w:val="22"/>
          <w:szCs w:val="22"/>
          <w:highlight w:val="white"/>
        </w:rPr>
      </w:pPr>
      <w:r>
        <w:rPr>
          <w:color w:val="222222"/>
          <w:sz w:val="22"/>
          <w:szCs w:val="22"/>
          <w:highlight w:val="white"/>
        </w:rPr>
        <w:t xml:space="preserve">Krueger, R. and Casey, M. (2009) </w:t>
      </w:r>
      <w:r>
        <w:rPr>
          <w:i/>
          <w:color w:val="222222"/>
          <w:sz w:val="22"/>
          <w:szCs w:val="22"/>
          <w:highlight w:val="white"/>
        </w:rPr>
        <w:t>Focus Groups: A Practical Guide for Applied Research</w:t>
      </w:r>
      <w:r>
        <w:rPr>
          <w:color w:val="222222"/>
          <w:sz w:val="22"/>
          <w:szCs w:val="22"/>
          <w:highlight w:val="white"/>
        </w:rPr>
        <w:t xml:space="preserve">. Sage </w:t>
      </w:r>
    </w:p>
    <w:p w:rsidR="00C33458" w14:paraId="4B36CB01" w14:textId="77777777">
      <w:pPr>
        <w:ind w:firstLine="720"/>
        <w:rPr>
          <w:color w:val="222222"/>
          <w:sz w:val="22"/>
          <w:szCs w:val="22"/>
          <w:highlight w:val="white"/>
        </w:rPr>
      </w:pPr>
      <w:r>
        <w:rPr>
          <w:color w:val="222222"/>
          <w:sz w:val="22"/>
          <w:szCs w:val="22"/>
          <w:highlight w:val="white"/>
        </w:rPr>
        <w:t>Publications: Thousand Oaks, CA.</w:t>
      </w:r>
    </w:p>
    <w:p w:rsidR="00C33458" w14:paraId="4B36CB02" w14:textId="77777777">
      <w:pPr>
        <w:rPr>
          <w:color w:val="222222"/>
          <w:sz w:val="22"/>
          <w:szCs w:val="22"/>
          <w:highlight w:val="white"/>
        </w:rPr>
      </w:pPr>
      <w:r>
        <w:rPr>
          <w:color w:val="222222"/>
          <w:sz w:val="22"/>
          <w:szCs w:val="22"/>
          <w:highlight w:val="white"/>
        </w:rPr>
        <w:t xml:space="preserve">Robinson, K.A., Dennison, C.R., Wayman, D.M., Pronovost, P.J., and Needham, D.M. (2007). Systematic </w:t>
      </w:r>
    </w:p>
    <w:p w:rsidR="00C33458" w14:paraId="4B36CB03" w14:textId="77777777">
      <w:pPr>
        <w:ind w:firstLine="720"/>
        <w:rPr>
          <w:i/>
          <w:color w:val="222222"/>
          <w:sz w:val="22"/>
          <w:szCs w:val="22"/>
          <w:highlight w:val="white"/>
        </w:rPr>
      </w:pPr>
      <w:r>
        <w:rPr>
          <w:color w:val="222222"/>
          <w:sz w:val="22"/>
          <w:szCs w:val="22"/>
          <w:highlight w:val="white"/>
        </w:rPr>
        <w:t xml:space="preserve">review identifies number of strategies important for retaining study participants. </w:t>
      </w:r>
      <w:r>
        <w:rPr>
          <w:i/>
          <w:color w:val="222222"/>
          <w:sz w:val="22"/>
          <w:szCs w:val="22"/>
          <w:highlight w:val="white"/>
        </w:rPr>
        <w:t xml:space="preserve">J Clin </w:t>
      </w:r>
    </w:p>
    <w:p w:rsidR="00C33458" w14:paraId="4B36CB04" w14:textId="77777777">
      <w:pPr>
        <w:ind w:firstLine="720"/>
        <w:rPr>
          <w:color w:val="222222"/>
          <w:sz w:val="22"/>
          <w:szCs w:val="22"/>
          <w:highlight w:val="white"/>
        </w:rPr>
      </w:pPr>
      <w:r>
        <w:rPr>
          <w:i/>
          <w:color w:val="222222"/>
          <w:sz w:val="22"/>
          <w:szCs w:val="22"/>
          <w:highlight w:val="white"/>
        </w:rPr>
        <w:t>Epidemiol; 60</w:t>
      </w:r>
      <w:r>
        <w:rPr>
          <w:color w:val="222222"/>
          <w:sz w:val="22"/>
          <w:szCs w:val="22"/>
          <w:highlight w:val="white"/>
        </w:rPr>
        <w:t>(8): 757-765.</w:t>
      </w:r>
    </w:p>
    <w:p w:rsidR="00C33458" w14:paraId="4B36CB05" w14:textId="77777777">
      <w:pPr>
        <w:ind w:left="720"/>
        <w:rPr>
          <w:color w:val="222222"/>
          <w:sz w:val="22"/>
          <w:szCs w:val="22"/>
          <w:highlight w:val="white"/>
        </w:rPr>
      </w:pPr>
      <w:r>
        <w:rPr>
          <w:sz w:val="22"/>
          <w:szCs w:val="22"/>
        </w:rPr>
        <w:t>Shettle</w:t>
      </w:r>
      <w:r>
        <w:rPr>
          <w:sz w:val="22"/>
          <w:szCs w:val="22"/>
        </w:rPr>
        <w:t xml:space="preserve">, C., &amp; Mooney, G. (1999). Monetary incentives in U.S. government surveys. </w:t>
      </w:r>
      <w:r>
        <w:rPr>
          <w:i/>
          <w:sz w:val="22"/>
          <w:szCs w:val="22"/>
        </w:rPr>
        <w:t>Journal of Official Statistics, 15</w:t>
      </w:r>
      <w:r>
        <w:rPr>
          <w:sz w:val="22"/>
          <w:szCs w:val="22"/>
        </w:rPr>
        <w:t>, 231–250.</w:t>
      </w:r>
    </w:p>
    <w:p w:rsidR="00C33458" w14:paraId="4B36CB06" w14:textId="77777777">
      <w:pPr>
        <w:rPr>
          <w:i/>
          <w:color w:val="222222"/>
          <w:sz w:val="22"/>
          <w:szCs w:val="22"/>
          <w:highlight w:val="white"/>
        </w:rPr>
      </w:pPr>
      <w:r>
        <w:rPr>
          <w:color w:val="222222"/>
          <w:sz w:val="22"/>
          <w:szCs w:val="22"/>
          <w:highlight w:val="white"/>
        </w:rPr>
        <w:t xml:space="preserve">Singer, E., N. </w:t>
      </w:r>
      <w:r>
        <w:rPr>
          <w:color w:val="222222"/>
          <w:sz w:val="22"/>
          <w:szCs w:val="22"/>
          <w:highlight w:val="white"/>
        </w:rPr>
        <w:t>Gelber</w:t>
      </w:r>
      <w:r>
        <w:rPr>
          <w:color w:val="222222"/>
          <w:sz w:val="22"/>
          <w:szCs w:val="22"/>
          <w:highlight w:val="white"/>
        </w:rPr>
        <w:t xml:space="preserve">, J. Van </w:t>
      </w:r>
      <w:r>
        <w:rPr>
          <w:color w:val="222222"/>
          <w:sz w:val="22"/>
          <w:szCs w:val="22"/>
          <w:highlight w:val="white"/>
        </w:rPr>
        <w:t>Hoewyk</w:t>
      </w:r>
      <w:r>
        <w:rPr>
          <w:color w:val="222222"/>
          <w:sz w:val="22"/>
          <w:szCs w:val="22"/>
          <w:highlight w:val="white"/>
        </w:rPr>
        <w:t xml:space="preserve">, and J. Brown (1997). </w:t>
      </w:r>
      <w:r>
        <w:rPr>
          <w:i/>
          <w:color w:val="222222"/>
          <w:sz w:val="22"/>
          <w:szCs w:val="22"/>
          <w:highlight w:val="white"/>
        </w:rPr>
        <w:t xml:space="preserve">Does $10 Equal $10? The Effect of Framing </w:t>
      </w:r>
    </w:p>
    <w:p w:rsidR="00C33458" w14:paraId="4B36CB07" w14:textId="77777777">
      <w:pPr>
        <w:ind w:firstLine="720"/>
        <w:rPr>
          <w:color w:val="222222"/>
          <w:sz w:val="22"/>
          <w:szCs w:val="22"/>
          <w:highlight w:val="white"/>
        </w:rPr>
      </w:pPr>
      <w:r>
        <w:rPr>
          <w:i/>
          <w:color w:val="222222"/>
          <w:sz w:val="22"/>
          <w:szCs w:val="22"/>
          <w:highlight w:val="white"/>
        </w:rPr>
        <w:t>on the Impact of Incentives</w:t>
      </w:r>
      <w:r>
        <w:rPr>
          <w:color w:val="222222"/>
          <w:sz w:val="22"/>
          <w:szCs w:val="22"/>
          <w:highlight w:val="white"/>
        </w:rPr>
        <w:t xml:space="preserve">. Paper presented at the American Association for Public </w:t>
      </w:r>
      <w:r>
        <w:rPr>
          <w:color w:val="222222"/>
          <w:sz w:val="22"/>
          <w:szCs w:val="22"/>
          <w:highlight w:val="white"/>
        </w:rPr>
        <w:t>Opinion;</w:t>
      </w:r>
      <w:r>
        <w:rPr>
          <w:color w:val="222222"/>
          <w:sz w:val="22"/>
          <w:szCs w:val="22"/>
          <w:highlight w:val="white"/>
        </w:rPr>
        <w:t xml:space="preserve"> </w:t>
      </w:r>
    </w:p>
    <w:p w:rsidR="00C33458" w14:paraId="4B36CB08" w14:textId="77777777">
      <w:pPr>
        <w:ind w:firstLine="720"/>
        <w:rPr>
          <w:color w:val="222222"/>
          <w:sz w:val="22"/>
          <w:szCs w:val="22"/>
          <w:highlight w:val="white"/>
        </w:rPr>
      </w:pPr>
      <w:r>
        <w:rPr>
          <w:color w:val="222222"/>
          <w:sz w:val="22"/>
          <w:szCs w:val="22"/>
          <w:highlight w:val="white"/>
        </w:rPr>
        <w:t>Norfolk, VA.</w:t>
      </w:r>
    </w:p>
    <w:p w:rsidR="00C33458" w14:paraId="4B36CB09" w14:textId="77777777">
      <w:pPr>
        <w:rPr>
          <w:color w:val="222222"/>
          <w:sz w:val="22"/>
          <w:szCs w:val="22"/>
          <w:highlight w:val="white"/>
        </w:rPr>
      </w:pPr>
      <w:r>
        <w:rPr>
          <w:color w:val="222222"/>
          <w:sz w:val="22"/>
          <w:szCs w:val="22"/>
          <w:highlight w:val="white"/>
        </w:rPr>
        <w:t xml:space="preserve">Singer, E., Van </w:t>
      </w:r>
      <w:r>
        <w:rPr>
          <w:color w:val="222222"/>
          <w:sz w:val="22"/>
          <w:szCs w:val="22"/>
          <w:highlight w:val="white"/>
        </w:rPr>
        <w:t>Hoewyk</w:t>
      </w:r>
      <w:r>
        <w:rPr>
          <w:color w:val="222222"/>
          <w:sz w:val="22"/>
          <w:szCs w:val="22"/>
          <w:highlight w:val="white"/>
        </w:rPr>
        <w:t xml:space="preserve">, J., and Maher, M.P. (2000). Experiments with Incentives in Telephone Surveys. </w:t>
      </w:r>
    </w:p>
    <w:p w:rsidR="00C33458" w14:paraId="4B36CB0A" w14:textId="77777777">
      <w:pPr>
        <w:ind w:firstLine="720"/>
        <w:rPr>
          <w:sz w:val="22"/>
          <w:szCs w:val="22"/>
        </w:rPr>
      </w:pPr>
      <w:r>
        <w:rPr>
          <w:i/>
          <w:color w:val="222222"/>
          <w:sz w:val="22"/>
          <w:szCs w:val="22"/>
          <w:highlight w:val="white"/>
        </w:rPr>
        <w:t>Public Opinion Quarterly 64</w:t>
      </w:r>
      <w:r>
        <w:rPr>
          <w:color w:val="222222"/>
          <w:sz w:val="22"/>
          <w:szCs w:val="22"/>
          <w:highlight w:val="white"/>
        </w:rPr>
        <w:t>(3):171-188.</w:t>
      </w:r>
    </w:p>
    <w:p w:rsidR="00C33458" w14:paraId="4B36CB0B" w14:textId="77777777">
      <w:pPr>
        <w:rPr>
          <w:sz w:val="22"/>
          <w:szCs w:val="22"/>
        </w:rPr>
      </w:pPr>
    </w:p>
    <w:sectPr>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458" w14:paraId="4B36CB1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458" w14:paraId="4B36CB13" w14:textId="77777777">
    <w:pPr>
      <w:pBdr>
        <w:top w:val="nil"/>
        <w:left w:val="nil"/>
        <w:bottom w:val="nil"/>
        <w:right w:val="nil"/>
        <w:between w:val="nil"/>
      </w:pBdr>
      <w:tabs>
        <w:tab w:val="center" w:pos="4680"/>
        <w:tab w:val="right" w:pos="9360"/>
      </w:tabs>
      <w:spacing w:after="0" w:line="240" w:lineRule="auto"/>
      <w:jc w:val="center"/>
      <w:rPr>
        <w:color w:val="000000"/>
      </w:rPr>
    </w:pPr>
  </w:p>
  <w:p w:rsidR="00C33458" w14:paraId="4B36CB14" w14:textId="77777777">
    <w:pPr>
      <w:pBdr>
        <w:top w:val="nil"/>
        <w:left w:val="nil"/>
        <w:bottom w:val="nil"/>
        <w:right w:val="nil"/>
        <w:between w:val="nil"/>
      </w:pBdr>
      <w:tabs>
        <w:tab w:val="center" w:pos="4680"/>
        <w:tab w:val="right" w:pos="9360"/>
      </w:tabs>
      <w:spacing w:after="0" w:line="240" w:lineRule="auto"/>
    </w:pPr>
  </w:p>
  <w:p w:rsidR="00C33458" w14:paraId="4B36CB15" w14:textId="77777777">
    <w:pPr>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p w:rsidR="00C33458" w14:paraId="4B36CB16"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458" w14:paraId="4B36CB18"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458" w14:paraId="4B36CB10"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458" w14:paraId="4B36CB11"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458" w14:paraId="4B36CB17" w14:textId="77777777">
    <w:pPr>
      <w:pBdr>
        <w:top w:val="nil"/>
        <w:left w:val="nil"/>
        <w:bottom w:val="nil"/>
        <w:right w:val="nil"/>
        <w:between w:val="nil"/>
      </w:pBdr>
      <w:tabs>
        <w:tab w:val="center" w:pos="4680"/>
        <w:tab w:val="right" w:pos="9360"/>
      </w:tabs>
      <w:spacing w:after="0" w:line="240" w:lineRule="auto"/>
      <w:rPr>
        <w:color w:val="000000"/>
      </w:rPr>
    </w:pPr>
    <w:r>
      <w:t>December 14</w:t>
    </w:r>
    <w:r>
      <w:rPr>
        <w:color w:val="00000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EA307D"/>
    <w:multiLevelType w:val="multilevel"/>
    <w:tmpl w:val="AB0C8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DB35EE"/>
    <w:multiLevelType w:val="multilevel"/>
    <w:tmpl w:val="79182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E5639D"/>
    <w:multiLevelType w:val="multilevel"/>
    <w:tmpl w:val="86CA7C6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nsid w:val="6BB849BA"/>
    <w:multiLevelType w:val="multilevel"/>
    <w:tmpl w:val="61B8509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nsid w:val="7CF23441"/>
    <w:multiLevelType w:val="multilevel"/>
    <w:tmpl w:val="E2D80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506872">
    <w:abstractNumId w:val="0"/>
  </w:num>
  <w:num w:numId="2" w16cid:durableId="1240367027">
    <w:abstractNumId w:val="1"/>
  </w:num>
  <w:num w:numId="3" w16cid:durableId="1661619573">
    <w:abstractNumId w:val="3"/>
  </w:num>
  <w:num w:numId="4" w16cid:durableId="193811791">
    <w:abstractNumId w:val="4"/>
  </w:num>
  <w:num w:numId="5" w16cid:durableId="1896770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58"/>
    <w:rsid w:val="00172947"/>
    <w:rsid w:val="004748A8"/>
    <w:rsid w:val="005C6CAE"/>
    <w:rsid w:val="00812410"/>
    <w:rsid w:val="008849BA"/>
    <w:rsid w:val="008C11F3"/>
    <w:rsid w:val="00933379"/>
    <w:rsid w:val="00B47116"/>
    <w:rsid w:val="00C33458"/>
    <w:rsid w:val="00D229F8"/>
    <w:rsid w:val="00E00B78"/>
    <w:rsid w:val="00E12291"/>
    <w:rsid w:val="00E501A3"/>
    <w:rsid w:val="00EC47B1"/>
    <w:rsid w:val="00F935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6CA60"/>
  <w15:docId w15:val="{6773AAC6-71D7-46A5-AE72-342A67E6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after="0" w:line="240" w:lineRule="auto"/>
      <w:jc w:val="center"/>
      <w:outlineLvl w:val="2"/>
    </w:pPr>
    <w:rPr>
      <w:sz w:val="32"/>
      <w:szCs w:val="32"/>
    </w:rPr>
  </w:style>
  <w:style w:type="paragraph" w:styleId="Heading4">
    <w:name w:val="heading 4"/>
    <w:basedOn w:val="Normal"/>
    <w:next w:val="Normal"/>
    <w:uiPriority w:val="9"/>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name w:val="a1"/>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0B78"/>
    <w:pPr>
      <w:spacing w:after="0" w:line="240" w:lineRule="auto"/>
    </w:pPr>
  </w:style>
  <w:style w:type="paragraph" w:styleId="CommentSubject">
    <w:name w:val="annotation subject"/>
    <w:basedOn w:val="CommentText"/>
    <w:next w:val="CommentText"/>
    <w:link w:val="CommentSubjectChar"/>
    <w:uiPriority w:val="99"/>
    <w:semiHidden/>
    <w:unhideWhenUsed/>
    <w:rsid w:val="00EC47B1"/>
    <w:rPr>
      <w:b/>
      <w:bCs/>
    </w:rPr>
  </w:style>
  <w:style w:type="character" w:customStyle="1" w:styleId="CommentSubjectChar">
    <w:name w:val="Comment Subject Char"/>
    <w:basedOn w:val="CommentTextChar"/>
    <w:link w:val="CommentSubject"/>
    <w:uiPriority w:val="99"/>
    <w:semiHidden/>
    <w:rsid w:val="00EC47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q/d7HNtEObUNL1CLh84zBjlOQ==">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2017</Words>
  <Characters>11497</Characters>
  <Application>Microsoft Office Word</Application>
  <DocSecurity>0</DocSecurity>
  <Lines>95</Lines>
  <Paragraphs>26</Paragraphs>
  <ScaleCrop>false</ScaleCrop>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(CDC/NCEZID/DFWED/OD)</dc:creator>
  <cp:lastModifiedBy>Sims, Thelma (CDC/IOD/OS)</cp:lastModifiedBy>
  <cp:revision>4</cp:revision>
  <dcterms:created xsi:type="dcterms:W3CDTF">2024-01-31T21:44:00Z</dcterms:created>
  <dcterms:modified xsi:type="dcterms:W3CDTF">2024-02-06T16:28:00Z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7243dd7b-ed05-4873-a4e9-7fc0b1de1bdc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2023-12-19T19:26:25Z</vt:lpwstr>
  </property>
  <property fmtid="{D5CDD505-2E9C-101B-9397-08002B2CF9AE}" pid="8" name="MSIP_Label_8af03ff0-41c5-4c41-b55e-fabb8fae94be_SiteId">
    <vt:lpwstr>9ce70869-60db-44fd-abe8-d2767077fc8f</vt:lpwstr>
  </property>
</Properties>
</file>