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9A79E1" w14:paraId="55FE1770" w14:textId="77777777">
      <w:bookmarkStart w:id="0" w:name="_Toc473880015"/>
    </w:p>
    <w:p w:rsidR="005F75B7" w:rsidP="005F75B7" w14:paraId="6AB0D0FD" w14:textId="77777777">
      <w:pPr>
        <w:jc w:val="center"/>
        <w:rPr>
          <w:b/>
        </w:rPr>
      </w:pPr>
    </w:p>
    <w:p w:rsidR="005F75B7" w:rsidRPr="00C46E03" w:rsidP="005F75B7" w14:paraId="1C4E6775" w14:textId="77777777">
      <w:pPr>
        <w:spacing w:after="0"/>
        <w:jc w:val="center"/>
        <w:rPr>
          <w:b/>
          <w:sz w:val="32"/>
          <w:szCs w:val="32"/>
        </w:rPr>
      </w:pPr>
      <w:r w:rsidRPr="00C46E03">
        <w:rPr>
          <w:b/>
          <w:sz w:val="32"/>
          <w:szCs w:val="32"/>
        </w:rPr>
        <w:t>GenIC</w:t>
      </w:r>
      <w:r w:rsidRPr="00C46E03">
        <w:rPr>
          <w:b/>
          <w:sz w:val="32"/>
          <w:szCs w:val="32"/>
        </w:rPr>
        <w:t xml:space="preserve"> Clearance for CDC/ATSDR</w:t>
      </w:r>
    </w:p>
    <w:p w:rsidR="005F75B7" w:rsidRPr="00C46E03" w:rsidP="005F75B7" w14:paraId="06E3BC6A" w14:textId="77777777">
      <w:pPr>
        <w:jc w:val="center"/>
        <w:rPr>
          <w:b/>
          <w:sz w:val="32"/>
          <w:szCs w:val="32"/>
        </w:rPr>
      </w:pPr>
      <w:r w:rsidRPr="00C46E03">
        <w:rPr>
          <w:b/>
          <w:sz w:val="32"/>
          <w:szCs w:val="32"/>
        </w:rPr>
        <w:t>Formative Research and Tool Development</w:t>
      </w:r>
    </w:p>
    <w:p w:rsidR="00304BBB" w:rsidRPr="00C46E03" w:rsidP="009A79E1" w14:paraId="55FE1771" w14:textId="77777777"/>
    <w:bookmarkEnd w:id="0"/>
    <w:p w:rsidR="00DA7070" w:rsidRPr="00C46E03" w:rsidP="00DA7070" w14:paraId="2106F953" w14:textId="2C0A875D">
      <w:pPr>
        <w:ind w:left="720"/>
        <w:jc w:val="center"/>
        <w:rPr>
          <w:rFonts w:ascii="Arial" w:hAnsi="Arial"/>
          <w:b/>
          <w:bCs/>
        </w:rPr>
      </w:pPr>
      <w:r w:rsidRPr="00C46E03">
        <w:rPr>
          <w:b/>
          <w:bCs/>
          <w:sz w:val="48"/>
          <w:szCs w:val="48"/>
        </w:rPr>
        <w:t>Public Health Communications Messages and Materials Testing Focused on Antimicrobial Resistance Among the U.S. General Population Pilot Data Collection Project</w:t>
      </w:r>
    </w:p>
    <w:p w:rsidR="004A13E8" w:rsidRPr="00C46E03" w:rsidP="004A13E8" w14:paraId="55FE1772" w14:textId="2397A6F1">
      <w:pPr>
        <w:pStyle w:val="Heading2"/>
        <w:rPr>
          <w:sz w:val="48"/>
          <w:szCs w:val="48"/>
        </w:rPr>
      </w:pPr>
    </w:p>
    <w:p w:rsidR="004A13E8" w:rsidRPr="00C46E03" w:rsidP="004A13E8" w14:paraId="55FE1773" w14:textId="77777777">
      <w:pPr>
        <w:spacing w:after="0" w:line="240" w:lineRule="auto"/>
        <w:jc w:val="center"/>
        <w:rPr>
          <w:b/>
        </w:rPr>
      </w:pPr>
    </w:p>
    <w:p w:rsidR="004A13E8" w:rsidRPr="00C46E03" w:rsidP="004A13E8" w14:paraId="55FE1774" w14:textId="7F2CFF7A">
      <w:pPr>
        <w:pStyle w:val="Heading3"/>
      </w:pPr>
      <w:bookmarkStart w:id="1" w:name="_Toc141435828"/>
      <w:r w:rsidRPr="00C46E03">
        <w:t>OMB Control No. 0920-1154</w:t>
      </w:r>
      <w:bookmarkEnd w:id="1"/>
    </w:p>
    <w:p w:rsidR="004A13E8" w:rsidRPr="00C46E03" w:rsidP="004A13E8" w14:paraId="55FE1775" w14:textId="77777777">
      <w:pPr>
        <w:spacing w:after="0" w:line="240" w:lineRule="auto"/>
        <w:jc w:val="center"/>
        <w:rPr>
          <w:b/>
        </w:rPr>
      </w:pPr>
    </w:p>
    <w:p w:rsidR="004A13E8" w:rsidRPr="00C46E03" w:rsidP="004A13E8" w14:paraId="55FE1776" w14:textId="2C4A568C">
      <w:pPr>
        <w:pStyle w:val="Heading4"/>
      </w:pPr>
      <w:r w:rsidRPr="00C46E03">
        <w:t>August 3</w:t>
      </w:r>
      <w:r w:rsidRPr="00C46E03" w:rsidR="00AC20E3">
        <w:t>, 2023</w:t>
      </w:r>
    </w:p>
    <w:p w:rsidR="004A13E8" w:rsidRPr="00C46E03" w:rsidP="004A13E8" w14:paraId="55FE1777" w14:textId="77777777">
      <w:pPr>
        <w:spacing w:after="0" w:line="240" w:lineRule="auto"/>
        <w:jc w:val="center"/>
        <w:rPr>
          <w:b/>
        </w:rPr>
      </w:pPr>
    </w:p>
    <w:p w:rsidR="004A13E8" w:rsidRPr="00C46E03" w:rsidP="009A79E1" w14:paraId="55FE1778" w14:textId="77777777"/>
    <w:p w:rsidR="004A13E8" w:rsidRPr="00C46E03" w:rsidP="009A79E1" w14:paraId="55FE1779" w14:textId="77777777"/>
    <w:p w:rsidR="004A13E8" w:rsidRPr="00C46E03" w:rsidP="009A79E1" w14:paraId="55FE177A" w14:textId="77777777"/>
    <w:p w:rsidR="004A13E8" w:rsidRPr="00C46E03" w:rsidP="004A13E8" w14:paraId="55FE177E" w14:textId="77777777">
      <w:pPr>
        <w:spacing w:after="0" w:line="240" w:lineRule="auto"/>
        <w:jc w:val="center"/>
        <w:rPr>
          <w:b/>
        </w:rPr>
      </w:pPr>
    </w:p>
    <w:p w:rsidR="004A13E8" w:rsidRPr="00C46E03" w:rsidP="004A13E8" w14:paraId="55FE177F" w14:textId="4E1F6706">
      <w:pPr>
        <w:pStyle w:val="Heading4"/>
      </w:pPr>
      <w:r w:rsidRPr="00C46E03">
        <w:t xml:space="preserve">Supporting </w:t>
      </w:r>
      <w:r w:rsidRPr="00C46E03" w:rsidR="00413ED4">
        <w:t>Statement</w:t>
      </w:r>
      <w:r w:rsidRPr="00C46E03">
        <w:t xml:space="preserve"> A</w:t>
      </w:r>
    </w:p>
    <w:p w:rsidR="004A13E8" w:rsidRPr="00C46E03" w:rsidP="004A13E8" w14:paraId="55FE1780" w14:textId="77777777">
      <w:pPr>
        <w:spacing w:after="0" w:line="240" w:lineRule="auto"/>
        <w:rPr>
          <w:b/>
        </w:rPr>
      </w:pPr>
    </w:p>
    <w:p w:rsidR="004A13E8" w:rsidRPr="00C46E03" w:rsidP="004A13E8" w14:paraId="55FE1781" w14:textId="77777777">
      <w:pPr>
        <w:spacing w:after="0" w:line="240" w:lineRule="auto"/>
        <w:rPr>
          <w:b/>
        </w:rPr>
      </w:pPr>
    </w:p>
    <w:p w:rsidR="004A13E8" w:rsidRPr="00C46E03" w:rsidP="004A13E8" w14:paraId="55FE1782" w14:textId="77777777">
      <w:pPr>
        <w:spacing w:after="0" w:line="240" w:lineRule="auto"/>
        <w:rPr>
          <w:b/>
        </w:rPr>
      </w:pPr>
    </w:p>
    <w:p w:rsidR="004A13E8" w:rsidRPr="00C46E03" w:rsidP="004A13E8" w14:paraId="55FE1784" w14:textId="77777777">
      <w:pPr>
        <w:spacing w:after="0" w:line="240" w:lineRule="auto"/>
        <w:rPr>
          <w:b/>
        </w:rPr>
      </w:pPr>
    </w:p>
    <w:p w:rsidR="004A13E8" w:rsidRPr="00C46E03" w:rsidP="009A79E1" w14:paraId="55FE1793" w14:textId="77777777">
      <w:pPr>
        <w:pStyle w:val="NoSpacing"/>
        <w:rPr>
          <w:b/>
        </w:rPr>
      </w:pPr>
      <w:r w:rsidRPr="00C46E03">
        <w:rPr>
          <w:b/>
        </w:rPr>
        <w:t xml:space="preserve">Contact: </w:t>
      </w:r>
    </w:p>
    <w:p w:rsidR="004C75DC" w:rsidRPr="00C46E03" w:rsidP="004C75DC" w14:paraId="53246901" w14:textId="334FE45E">
      <w:pPr>
        <w:spacing w:after="0" w:line="240" w:lineRule="auto"/>
      </w:pPr>
      <w:r w:rsidRPr="00C46E03">
        <w:t>Rudith Vice</w:t>
      </w:r>
    </w:p>
    <w:p w:rsidR="004C75DC" w:rsidRPr="00C46E03" w:rsidP="004C75DC" w14:paraId="36DD35EA" w14:textId="77777777">
      <w:pPr>
        <w:spacing w:after="0" w:line="240" w:lineRule="auto"/>
      </w:pPr>
      <w:r w:rsidRPr="00C46E03">
        <w:t xml:space="preserve">National Center for Emerging and Zoonotic Infectious Diseases </w:t>
      </w:r>
    </w:p>
    <w:p w:rsidR="004C75DC" w:rsidRPr="00C46E03" w:rsidP="004C75DC" w14:paraId="5F6A10B9" w14:textId="77777777">
      <w:pPr>
        <w:spacing w:after="0" w:line="240" w:lineRule="auto"/>
      </w:pPr>
      <w:r w:rsidRPr="00C46E03">
        <w:t xml:space="preserve">Centers for Disease Control and Prevention </w:t>
      </w:r>
    </w:p>
    <w:p w:rsidR="004C75DC" w:rsidRPr="00C46E03" w:rsidP="004C75DC" w14:paraId="03106453" w14:textId="77777777">
      <w:pPr>
        <w:spacing w:after="0" w:line="240" w:lineRule="auto"/>
      </w:pPr>
      <w:r w:rsidRPr="00C46E03">
        <w:t xml:space="preserve">1600 Clifton Road, NE </w:t>
      </w:r>
    </w:p>
    <w:p w:rsidR="004C75DC" w:rsidRPr="00C46E03" w:rsidP="004C75DC" w14:paraId="26E572D6" w14:textId="77777777">
      <w:pPr>
        <w:spacing w:after="0" w:line="240" w:lineRule="auto"/>
      </w:pPr>
      <w:r w:rsidRPr="00C46E03">
        <w:t xml:space="preserve">Atlanta, Georgia 30333 </w:t>
      </w:r>
    </w:p>
    <w:p w:rsidR="004C75DC" w:rsidRPr="00C46E03" w:rsidP="004C75DC" w14:paraId="4B733570" w14:textId="54A33129">
      <w:pPr>
        <w:pStyle w:val="NoSpacing"/>
        <w:rPr>
          <w:rFonts w:eastAsiaTheme="minorEastAsia"/>
          <w:color w:val="0000FF"/>
          <w:u w:val="single"/>
        </w:rPr>
      </w:pPr>
      <w:hyperlink r:id="rId8" w:history="1">
        <w:r w:rsidRPr="00C46E03" w:rsidR="007F4E8A">
          <w:rPr>
            <w:rStyle w:val="Hyperlink"/>
            <w:rFonts w:eastAsiaTheme="minorEastAsia"/>
          </w:rPr>
          <w:t>Email</w:t>
        </w:r>
      </w:hyperlink>
      <w:r w:rsidRPr="00C46E03" w:rsidR="007F4E8A">
        <w:rPr>
          <w:rFonts w:eastAsiaTheme="minorEastAsia"/>
        </w:rPr>
        <w:t>: nhr9@cdc.gov</w:t>
      </w:r>
    </w:p>
    <w:p w:rsidR="004C75DC" w:rsidRPr="00C46E03" w:rsidP="009A79E1" w14:paraId="4FC013CA" w14:textId="77777777">
      <w:pPr>
        <w:pStyle w:val="NoSpacing"/>
        <w:rPr>
          <w:b/>
        </w:rPr>
      </w:pPr>
    </w:p>
    <w:p w:rsidR="004A13E8" w:rsidRPr="00C46E03" w:rsidP="009A79E1" w14:paraId="55FE179A" w14:textId="2F73CA0D">
      <w:pPr>
        <w:pStyle w:val="NoSpacing"/>
      </w:pPr>
    </w:p>
    <w:sdt>
      <w:sdtPr>
        <w:rPr>
          <w:b w:val="0"/>
          <w:sz w:val="28"/>
          <w:szCs w:val="28"/>
        </w:rPr>
        <w:id w:val="1564836290"/>
        <w:docPartObj>
          <w:docPartGallery w:val="Table of Contents"/>
          <w:docPartUnique/>
        </w:docPartObj>
      </w:sdtPr>
      <w:sdtEndPr>
        <w:rPr>
          <w:bCs/>
          <w:noProof/>
          <w:sz w:val="24"/>
          <w:szCs w:val="22"/>
        </w:rPr>
      </w:sdtEndPr>
      <w:sdtContent>
        <w:p w:rsidR="004A13E8" w:rsidRPr="00C46E03" w:rsidP="004A13E8" w14:paraId="55FE179B" w14:textId="77777777">
          <w:pPr>
            <w:pStyle w:val="Heading4"/>
            <w:rPr>
              <w:sz w:val="28"/>
              <w:szCs w:val="28"/>
            </w:rPr>
          </w:pPr>
          <w:r w:rsidRPr="00C46E03">
            <w:rPr>
              <w:sz w:val="28"/>
              <w:szCs w:val="28"/>
            </w:rPr>
            <w:t xml:space="preserve">Table of </w:t>
          </w:r>
          <w:r w:rsidRPr="00C46E03">
            <w:rPr>
              <w:sz w:val="28"/>
              <w:szCs w:val="28"/>
            </w:rPr>
            <w:t>Contents</w:t>
          </w:r>
        </w:p>
        <w:p w:rsidR="00A4516F" w:rsidRPr="00C46E03" w14:paraId="35406CA6" w14:textId="5693F886">
          <w:pPr>
            <w:pStyle w:val="TOC3"/>
            <w:tabs>
              <w:tab w:val="right" w:leader="dot" w:pos="10070"/>
            </w:tabs>
            <w:rPr>
              <w:rFonts w:asciiTheme="minorHAnsi" w:eastAsiaTheme="minorEastAsia" w:hAnsiTheme="minorHAnsi"/>
              <w:noProof/>
              <w:kern w:val="2"/>
              <w:sz w:val="22"/>
              <w14:ligatures w14:val="standardContextual"/>
            </w:rPr>
          </w:pPr>
          <w:r w:rsidRPr="00C46E03">
            <w:fldChar w:fldCharType="begin"/>
          </w:r>
          <w:r w:rsidRPr="00C46E03">
            <w:instrText xml:space="preserve"> TOC \o "1-3" \h \z \u </w:instrText>
          </w:r>
          <w:r w:rsidRPr="00C46E03">
            <w:fldChar w:fldCharType="separate"/>
          </w:r>
          <w:hyperlink w:anchor="_Toc141435828" w:history="1">
            <w:r w:rsidRPr="00C46E03">
              <w:rPr>
                <w:rStyle w:val="Hyperlink"/>
                <w:noProof/>
              </w:rPr>
              <w:t>OMB Control No. 0920-1154</w:t>
            </w:r>
            <w:r w:rsidRPr="00C46E03">
              <w:rPr>
                <w:noProof/>
                <w:webHidden/>
              </w:rPr>
              <w:tab/>
            </w:r>
            <w:r w:rsidRPr="00C46E03">
              <w:rPr>
                <w:noProof/>
                <w:webHidden/>
              </w:rPr>
              <w:fldChar w:fldCharType="begin"/>
            </w:r>
            <w:r w:rsidRPr="00C46E03">
              <w:rPr>
                <w:noProof/>
                <w:webHidden/>
              </w:rPr>
              <w:instrText xml:space="preserve"> PAGEREF _Toc141435828 \h </w:instrText>
            </w:r>
            <w:r w:rsidRPr="00C46E03">
              <w:rPr>
                <w:noProof/>
                <w:webHidden/>
              </w:rPr>
              <w:fldChar w:fldCharType="separate"/>
            </w:r>
            <w:r w:rsidRPr="00C46E03">
              <w:rPr>
                <w:noProof/>
                <w:webHidden/>
              </w:rPr>
              <w:t>1</w:t>
            </w:r>
            <w:r w:rsidRPr="00C46E03">
              <w:rPr>
                <w:noProof/>
                <w:webHidden/>
              </w:rPr>
              <w:fldChar w:fldCharType="end"/>
            </w:r>
          </w:hyperlink>
        </w:p>
        <w:p w:rsidR="00A4516F" w:rsidRPr="00C46E03" w:rsidP="00C46E03" w14:paraId="0394EEBB" w14:textId="354F8627">
          <w:pPr>
            <w:pStyle w:val="TOC1"/>
            <w:rPr>
              <w:rFonts w:asciiTheme="minorHAnsi" w:eastAsiaTheme="minorEastAsia" w:hAnsiTheme="minorHAnsi"/>
              <w:noProof/>
              <w:kern w:val="2"/>
              <w:sz w:val="22"/>
              <w14:ligatures w14:val="standardContextual"/>
            </w:rPr>
          </w:pPr>
          <w:hyperlink w:anchor="_Toc141435829" w:history="1">
            <w:r w:rsidRPr="00C46E03">
              <w:rPr>
                <w:rStyle w:val="Hyperlink"/>
                <w:noProof/>
              </w:rPr>
              <w:t>1.</w:t>
            </w:r>
            <w:r w:rsidRPr="00C46E03">
              <w:rPr>
                <w:rFonts w:asciiTheme="minorHAnsi" w:eastAsiaTheme="minorEastAsia" w:hAnsiTheme="minorHAnsi"/>
                <w:noProof/>
                <w:kern w:val="2"/>
                <w:sz w:val="22"/>
                <w14:ligatures w14:val="standardContextual"/>
              </w:rPr>
              <w:tab/>
            </w:r>
            <w:r w:rsidRPr="00C46E03">
              <w:rPr>
                <w:rStyle w:val="Hyperlink"/>
                <w:noProof/>
              </w:rPr>
              <w:t>Circumstances Making the Collection of Information Necessary</w:t>
            </w:r>
            <w:r w:rsidRPr="00C46E03">
              <w:rPr>
                <w:noProof/>
                <w:webHidden/>
              </w:rPr>
              <w:tab/>
            </w:r>
            <w:r w:rsidRPr="00C46E03">
              <w:rPr>
                <w:noProof/>
                <w:webHidden/>
              </w:rPr>
              <w:fldChar w:fldCharType="begin"/>
            </w:r>
            <w:r w:rsidRPr="00C46E03">
              <w:rPr>
                <w:noProof/>
                <w:webHidden/>
              </w:rPr>
              <w:instrText xml:space="preserve"> PAGEREF _Toc141435829 \h </w:instrText>
            </w:r>
            <w:r w:rsidRPr="00C46E03">
              <w:rPr>
                <w:noProof/>
                <w:webHidden/>
              </w:rPr>
              <w:fldChar w:fldCharType="separate"/>
            </w:r>
            <w:r w:rsidRPr="00C46E03">
              <w:rPr>
                <w:noProof/>
                <w:webHidden/>
              </w:rPr>
              <w:t>3</w:t>
            </w:r>
            <w:r w:rsidRPr="00C46E03">
              <w:rPr>
                <w:noProof/>
                <w:webHidden/>
              </w:rPr>
              <w:fldChar w:fldCharType="end"/>
            </w:r>
          </w:hyperlink>
        </w:p>
        <w:p w:rsidR="00A4516F" w:rsidRPr="00C46E03" w:rsidP="00C46E03" w14:paraId="039727EC" w14:textId="05AB0C9B">
          <w:pPr>
            <w:pStyle w:val="TOC1"/>
            <w:rPr>
              <w:rFonts w:asciiTheme="minorHAnsi" w:eastAsiaTheme="minorEastAsia" w:hAnsiTheme="minorHAnsi"/>
              <w:noProof/>
              <w:kern w:val="2"/>
              <w:sz w:val="22"/>
              <w14:ligatures w14:val="standardContextual"/>
            </w:rPr>
          </w:pPr>
          <w:hyperlink w:anchor="_Toc141435830" w:history="1">
            <w:r w:rsidRPr="00C46E03">
              <w:rPr>
                <w:rStyle w:val="Hyperlink"/>
                <w:noProof/>
              </w:rPr>
              <w:t>2.</w:t>
            </w:r>
            <w:r w:rsidRPr="00C46E03">
              <w:rPr>
                <w:rFonts w:asciiTheme="minorHAnsi" w:eastAsiaTheme="minorEastAsia" w:hAnsiTheme="minorHAnsi"/>
                <w:noProof/>
                <w:kern w:val="2"/>
                <w:sz w:val="22"/>
                <w14:ligatures w14:val="standardContextual"/>
              </w:rPr>
              <w:tab/>
            </w:r>
            <w:r w:rsidRPr="00C46E03">
              <w:rPr>
                <w:rStyle w:val="Hyperlink"/>
                <w:noProof/>
              </w:rPr>
              <w:t>Purpose and Use of Information Collection</w:t>
            </w:r>
            <w:r w:rsidRPr="00C46E03">
              <w:rPr>
                <w:noProof/>
                <w:webHidden/>
              </w:rPr>
              <w:tab/>
            </w:r>
            <w:r w:rsidRPr="00C46E03">
              <w:rPr>
                <w:noProof/>
                <w:webHidden/>
              </w:rPr>
              <w:fldChar w:fldCharType="begin"/>
            </w:r>
            <w:r w:rsidRPr="00C46E03">
              <w:rPr>
                <w:noProof/>
                <w:webHidden/>
              </w:rPr>
              <w:instrText xml:space="preserve"> PAGEREF _Toc141435830 \h </w:instrText>
            </w:r>
            <w:r w:rsidRPr="00C46E03">
              <w:rPr>
                <w:noProof/>
                <w:webHidden/>
              </w:rPr>
              <w:fldChar w:fldCharType="separate"/>
            </w:r>
            <w:r w:rsidRPr="00C46E03">
              <w:rPr>
                <w:noProof/>
                <w:webHidden/>
              </w:rPr>
              <w:t>4</w:t>
            </w:r>
            <w:r w:rsidRPr="00C46E03">
              <w:rPr>
                <w:noProof/>
                <w:webHidden/>
              </w:rPr>
              <w:fldChar w:fldCharType="end"/>
            </w:r>
          </w:hyperlink>
        </w:p>
        <w:p w:rsidR="00A4516F" w:rsidRPr="00C46E03" w:rsidP="00C46E03" w14:paraId="58E32DBF" w14:textId="63FB1882">
          <w:pPr>
            <w:pStyle w:val="TOC1"/>
            <w:rPr>
              <w:rFonts w:asciiTheme="minorHAnsi" w:eastAsiaTheme="minorEastAsia" w:hAnsiTheme="minorHAnsi"/>
              <w:noProof/>
              <w:kern w:val="2"/>
              <w:sz w:val="22"/>
              <w14:ligatures w14:val="standardContextual"/>
            </w:rPr>
          </w:pPr>
          <w:hyperlink w:anchor="_Toc141435831" w:history="1">
            <w:r w:rsidRPr="00C46E03">
              <w:rPr>
                <w:rStyle w:val="Hyperlink"/>
                <w:noProof/>
              </w:rPr>
              <w:t>3.</w:t>
            </w:r>
            <w:r w:rsidRPr="00C46E03">
              <w:rPr>
                <w:rFonts w:asciiTheme="minorHAnsi" w:eastAsiaTheme="minorEastAsia" w:hAnsiTheme="minorHAnsi"/>
                <w:noProof/>
                <w:kern w:val="2"/>
                <w:sz w:val="22"/>
                <w14:ligatures w14:val="standardContextual"/>
              </w:rPr>
              <w:tab/>
            </w:r>
            <w:r w:rsidRPr="00C46E03">
              <w:rPr>
                <w:rStyle w:val="Hyperlink"/>
                <w:noProof/>
              </w:rPr>
              <w:t>Use of Improved Information Technology and Burden Reduction</w:t>
            </w:r>
            <w:r w:rsidRPr="00C46E03">
              <w:rPr>
                <w:noProof/>
                <w:webHidden/>
              </w:rPr>
              <w:tab/>
            </w:r>
            <w:r w:rsidRPr="00C46E03">
              <w:rPr>
                <w:noProof/>
                <w:webHidden/>
              </w:rPr>
              <w:fldChar w:fldCharType="begin"/>
            </w:r>
            <w:r w:rsidRPr="00C46E03">
              <w:rPr>
                <w:noProof/>
                <w:webHidden/>
              </w:rPr>
              <w:instrText xml:space="preserve"> PAGEREF _Toc141435831 \h </w:instrText>
            </w:r>
            <w:r w:rsidRPr="00C46E03">
              <w:rPr>
                <w:noProof/>
                <w:webHidden/>
              </w:rPr>
              <w:fldChar w:fldCharType="separate"/>
            </w:r>
            <w:r w:rsidRPr="00C46E03">
              <w:rPr>
                <w:noProof/>
                <w:webHidden/>
              </w:rPr>
              <w:t>5</w:t>
            </w:r>
            <w:r w:rsidRPr="00C46E03">
              <w:rPr>
                <w:noProof/>
                <w:webHidden/>
              </w:rPr>
              <w:fldChar w:fldCharType="end"/>
            </w:r>
          </w:hyperlink>
        </w:p>
        <w:p w:rsidR="00A4516F" w:rsidRPr="00C46E03" w:rsidP="00C46E03" w14:paraId="1E5EEE40" w14:textId="14B5F822">
          <w:pPr>
            <w:pStyle w:val="TOC1"/>
            <w:rPr>
              <w:rFonts w:asciiTheme="minorHAnsi" w:eastAsiaTheme="minorEastAsia" w:hAnsiTheme="minorHAnsi"/>
              <w:noProof/>
              <w:kern w:val="2"/>
              <w:sz w:val="22"/>
              <w14:ligatures w14:val="standardContextual"/>
            </w:rPr>
          </w:pPr>
          <w:hyperlink w:anchor="_Toc141435832" w:history="1">
            <w:r w:rsidRPr="00C46E03">
              <w:rPr>
                <w:rStyle w:val="Hyperlink"/>
                <w:noProof/>
              </w:rPr>
              <w:t>4.</w:t>
            </w:r>
            <w:r w:rsidRPr="00C46E03">
              <w:rPr>
                <w:rFonts w:asciiTheme="minorHAnsi" w:eastAsiaTheme="minorEastAsia" w:hAnsiTheme="minorHAnsi"/>
                <w:noProof/>
                <w:kern w:val="2"/>
                <w:sz w:val="22"/>
                <w14:ligatures w14:val="standardContextual"/>
              </w:rPr>
              <w:tab/>
            </w:r>
            <w:r w:rsidRPr="00C46E03">
              <w:rPr>
                <w:rStyle w:val="Hyperlink"/>
                <w:noProof/>
              </w:rPr>
              <w:t>Efforts to Identify Duplication and Use of Similar Information</w:t>
            </w:r>
            <w:r w:rsidRPr="00C46E03">
              <w:rPr>
                <w:noProof/>
                <w:webHidden/>
              </w:rPr>
              <w:tab/>
            </w:r>
            <w:r w:rsidRPr="00C46E03">
              <w:rPr>
                <w:noProof/>
                <w:webHidden/>
              </w:rPr>
              <w:fldChar w:fldCharType="begin"/>
            </w:r>
            <w:r w:rsidRPr="00C46E03">
              <w:rPr>
                <w:noProof/>
                <w:webHidden/>
              </w:rPr>
              <w:instrText xml:space="preserve"> PAGEREF _Toc141435832 \h </w:instrText>
            </w:r>
            <w:r w:rsidRPr="00C46E03">
              <w:rPr>
                <w:noProof/>
                <w:webHidden/>
              </w:rPr>
              <w:fldChar w:fldCharType="separate"/>
            </w:r>
            <w:r w:rsidRPr="00C46E03">
              <w:rPr>
                <w:noProof/>
                <w:webHidden/>
              </w:rPr>
              <w:t>5</w:t>
            </w:r>
            <w:r w:rsidRPr="00C46E03">
              <w:rPr>
                <w:noProof/>
                <w:webHidden/>
              </w:rPr>
              <w:fldChar w:fldCharType="end"/>
            </w:r>
          </w:hyperlink>
        </w:p>
        <w:p w:rsidR="00A4516F" w:rsidRPr="00C46E03" w:rsidP="00C46E03" w14:paraId="3AE6DC60" w14:textId="07E5E0D3">
          <w:pPr>
            <w:pStyle w:val="TOC1"/>
            <w:rPr>
              <w:rFonts w:asciiTheme="minorHAnsi" w:eastAsiaTheme="minorEastAsia" w:hAnsiTheme="minorHAnsi"/>
              <w:noProof/>
              <w:kern w:val="2"/>
              <w:sz w:val="22"/>
              <w14:ligatures w14:val="standardContextual"/>
            </w:rPr>
          </w:pPr>
          <w:hyperlink w:anchor="_Toc141435833" w:history="1">
            <w:r w:rsidRPr="00C46E03">
              <w:rPr>
                <w:rStyle w:val="Hyperlink"/>
                <w:noProof/>
              </w:rPr>
              <w:t>5.</w:t>
            </w:r>
            <w:r w:rsidRPr="00C46E03">
              <w:rPr>
                <w:rFonts w:asciiTheme="minorHAnsi" w:eastAsiaTheme="minorEastAsia" w:hAnsiTheme="minorHAnsi"/>
                <w:noProof/>
                <w:kern w:val="2"/>
                <w:sz w:val="22"/>
                <w14:ligatures w14:val="standardContextual"/>
              </w:rPr>
              <w:tab/>
            </w:r>
            <w:r w:rsidRPr="00C46E03">
              <w:rPr>
                <w:rStyle w:val="Hyperlink"/>
                <w:noProof/>
              </w:rPr>
              <w:t>Impact on Small Businesses or Other Small Entities</w:t>
            </w:r>
            <w:r w:rsidRPr="00C46E03">
              <w:rPr>
                <w:noProof/>
                <w:webHidden/>
              </w:rPr>
              <w:tab/>
            </w:r>
            <w:r w:rsidRPr="00C46E03">
              <w:rPr>
                <w:noProof/>
                <w:webHidden/>
              </w:rPr>
              <w:fldChar w:fldCharType="begin"/>
            </w:r>
            <w:r w:rsidRPr="00C46E03">
              <w:rPr>
                <w:noProof/>
                <w:webHidden/>
              </w:rPr>
              <w:instrText xml:space="preserve"> PAGEREF _Toc141435833 \h </w:instrText>
            </w:r>
            <w:r w:rsidRPr="00C46E03">
              <w:rPr>
                <w:noProof/>
                <w:webHidden/>
              </w:rPr>
              <w:fldChar w:fldCharType="separate"/>
            </w:r>
            <w:r w:rsidRPr="00C46E03">
              <w:rPr>
                <w:noProof/>
                <w:webHidden/>
              </w:rPr>
              <w:t>5</w:t>
            </w:r>
            <w:r w:rsidRPr="00C46E03">
              <w:rPr>
                <w:noProof/>
                <w:webHidden/>
              </w:rPr>
              <w:fldChar w:fldCharType="end"/>
            </w:r>
          </w:hyperlink>
        </w:p>
        <w:p w:rsidR="00A4516F" w:rsidRPr="00C46E03" w:rsidP="00C46E03" w14:paraId="45A12185" w14:textId="61C4C127">
          <w:pPr>
            <w:pStyle w:val="TOC1"/>
            <w:rPr>
              <w:rFonts w:asciiTheme="minorHAnsi" w:eastAsiaTheme="minorEastAsia" w:hAnsiTheme="minorHAnsi"/>
              <w:noProof/>
              <w:kern w:val="2"/>
              <w:sz w:val="22"/>
              <w14:ligatures w14:val="standardContextual"/>
            </w:rPr>
          </w:pPr>
          <w:hyperlink w:anchor="_Toc141435834" w:history="1">
            <w:r w:rsidRPr="00C46E03">
              <w:rPr>
                <w:rStyle w:val="Hyperlink"/>
                <w:noProof/>
              </w:rPr>
              <w:t>6.</w:t>
            </w:r>
            <w:r w:rsidRPr="00C46E03">
              <w:rPr>
                <w:rFonts w:asciiTheme="minorHAnsi" w:eastAsiaTheme="minorEastAsia" w:hAnsiTheme="minorHAnsi"/>
                <w:noProof/>
                <w:kern w:val="2"/>
                <w:sz w:val="22"/>
                <w14:ligatures w14:val="standardContextual"/>
              </w:rPr>
              <w:tab/>
            </w:r>
            <w:r w:rsidRPr="00C46E03">
              <w:rPr>
                <w:rStyle w:val="Hyperlink"/>
                <w:noProof/>
              </w:rPr>
              <w:t>Consequences of Collecting the Information Less Frequently</w:t>
            </w:r>
            <w:r w:rsidRPr="00C46E03">
              <w:rPr>
                <w:noProof/>
                <w:webHidden/>
              </w:rPr>
              <w:tab/>
            </w:r>
            <w:r w:rsidRPr="00C46E03">
              <w:rPr>
                <w:noProof/>
                <w:webHidden/>
              </w:rPr>
              <w:fldChar w:fldCharType="begin"/>
            </w:r>
            <w:r w:rsidRPr="00C46E03">
              <w:rPr>
                <w:noProof/>
                <w:webHidden/>
              </w:rPr>
              <w:instrText xml:space="preserve"> PAGEREF _Toc141435834 \h </w:instrText>
            </w:r>
            <w:r w:rsidRPr="00C46E03">
              <w:rPr>
                <w:noProof/>
                <w:webHidden/>
              </w:rPr>
              <w:fldChar w:fldCharType="separate"/>
            </w:r>
            <w:r w:rsidRPr="00C46E03">
              <w:rPr>
                <w:noProof/>
                <w:webHidden/>
              </w:rPr>
              <w:t>5</w:t>
            </w:r>
            <w:r w:rsidRPr="00C46E03">
              <w:rPr>
                <w:noProof/>
                <w:webHidden/>
              </w:rPr>
              <w:fldChar w:fldCharType="end"/>
            </w:r>
          </w:hyperlink>
        </w:p>
        <w:p w:rsidR="00A4516F" w:rsidRPr="00C46E03" w:rsidP="00C46E03" w14:paraId="518FD291" w14:textId="4709EB49">
          <w:pPr>
            <w:pStyle w:val="TOC1"/>
            <w:rPr>
              <w:rFonts w:asciiTheme="minorHAnsi" w:eastAsiaTheme="minorEastAsia" w:hAnsiTheme="minorHAnsi"/>
              <w:noProof/>
              <w:kern w:val="2"/>
              <w:sz w:val="22"/>
              <w14:ligatures w14:val="standardContextual"/>
            </w:rPr>
          </w:pPr>
          <w:hyperlink w:anchor="_Toc141435835" w:history="1">
            <w:r w:rsidRPr="00C46E03">
              <w:rPr>
                <w:rStyle w:val="Hyperlink"/>
                <w:noProof/>
              </w:rPr>
              <w:t>7.</w:t>
            </w:r>
            <w:r w:rsidRPr="00C46E03">
              <w:rPr>
                <w:rFonts w:asciiTheme="minorHAnsi" w:eastAsiaTheme="minorEastAsia" w:hAnsiTheme="minorHAnsi"/>
                <w:noProof/>
                <w:kern w:val="2"/>
                <w:sz w:val="22"/>
                <w14:ligatures w14:val="standardContextual"/>
              </w:rPr>
              <w:tab/>
            </w:r>
            <w:r w:rsidRPr="00C46E03">
              <w:rPr>
                <w:rStyle w:val="Hyperlink"/>
                <w:noProof/>
              </w:rPr>
              <w:t>Special Circumstances Relating to the Guidelines of 5 CFR 1320.5</w:t>
            </w:r>
            <w:r w:rsidRPr="00C46E03">
              <w:rPr>
                <w:noProof/>
                <w:webHidden/>
              </w:rPr>
              <w:tab/>
            </w:r>
            <w:r w:rsidRPr="00C46E03">
              <w:rPr>
                <w:noProof/>
                <w:webHidden/>
              </w:rPr>
              <w:fldChar w:fldCharType="begin"/>
            </w:r>
            <w:r w:rsidRPr="00C46E03">
              <w:rPr>
                <w:noProof/>
                <w:webHidden/>
              </w:rPr>
              <w:instrText xml:space="preserve"> PAGEREF _Toc141435835 \h </w:instrText>
            </w:r>
            <w:r w:rsidRPr="00C46E03">
              <w:rPr>
                <w:noProof/>
                <w:webHidden/>
              </w:rPr>
              <w:fldChar w:fldCharType="separate"/>
            </w:r>
            <w:r w:rsidRPr="00C46E03">
              <w:rPr>
                <w:noProof/>
                <w:webHidden/>
              </w:rPr>
              <w:t>5</w:t>
            </w:r>
            <w:r w:rsidRPr="00C46E03">
              <w:rPr>
                <w:noProof/>
                <w:webHidden/>
              </w:rPr>
              <w:fldChar w:fldCharType="end"/>
            </w:r>
          </w:hyperlink>
        </w:p>
        <w:p w:rsidR="00A4516F" w:rsidRPr="00C46E03" w:rsidP="00C46E03" w14:paraId="158DEA0F" w14:textId="09304835">
          <w:pPr>
            <w:pStyle w:val="TOC1"/>
            <w:rPr>
              <w:rFonts w:asciiTheme="minorHAnsi" w:eastAsiaTheme="minorEastAsia" w:hAnsiTheme="minorHAnsi"/>
              <w:noProof/>
              <w:kern w:val="2"/>
              <w:sz w:val="22"/>
              <w14:ligatures w14:val="standardContextual"/>
            </w:rPr>
          </w:pPr>
          <w:hyperlink w:anchor="_Toc141435836" w:history="1">
            <w:r w:rsidRPr="00C46E03">
              <w:rPr>
                <w:rStyle w:val="Hyperlink"/>
                <w:noProof/>
              </w:rPr>
              <w:t>8.</w:t>
            </w:r>
            <w:r w:rsidRPr="00C46E03">
              <w:rPr>
                <w:rFonts w:asciiTheme="minorHAnsi" w:eastAsiaTheme="minorEastAsia" w:hAnsiTheme="minorHAnsi"/>
                <w:noProof/>
                <w:kern w:val="2"/>
                <w:sz w:val="22"/>
                <w14:ligatures w14:val="standardContextual"/>
              </w:rPr>
              <w:tab/>
            </w:r>
            <w:r w:rsidRPr="00C46E03">
              <w:rPr>
                <w:rStyle w:val="Hyperlink"/>
                <w:noProof/>
              </w:rPr>
              <w:t>Comments in Response to the Federal Register Notice and Efforts to Consult Outside the Agency</w:t>
            </w:r>
            <w:r w:rsidRPr="00C46E03">
              <w:rPr>
                <w:noProof/>
                <w:webHidden/>
              </w:rPr>
              <w:tab/>
            </w:r>
            <w:r w:rsidRPr="00C46E03">
              <w:rPr>
                <w:noProof/>
                <w:webHidden/>
              </w:rPr>
              <w:fldChar w:fldCharType="begin"/>
            </w:r>
            <w:r w:rsidRPr="00C46E03">
              <w:rPr>
                <w:noProof/>
                <w:webHidden/>
              </w:rPr>
              <w:instrText xml:space="preserve"> PAGEREF _Toc141435836 \h </w:instrText>
            </w:r>
            <w:r w:rsidRPr="00C46E03">
              <w:rPr>
                <w:noProof/>
                <w:webHidden/>
              </w:rPr>
              <w:fldChar w:fldCharType="separate"/>
            </w:r>
            <w:r w:rsidRPr="00C46E03">
              <w:rPr>
                <w:noProof/>
                <w:webHidden/>
              </w:rPr>
              <w:t>5</w:t>
            </w:r>
            <w:r w:rsidRPr="00C46E03">
              <w:rPr>
                <w:noProof/>
                <w:webHidden/>
              </w:rPr>
              <w:fldChar w:fldCharType="end"/>
            </w:r>
          </w:hyperlink>
        </w:p>
        <w:p w:rsidR="00A4516F" w:rsidRPr="00C46E03" w:rsidP="00C46E03" w14:paraId="0058EBB7" w14:textId="2CFFEC20">
          <w:pPr>
            <w:pStyle w:val="TOC1"/>
            <w:rPr>
              <w:rFonts w:asciiTheme="minorHAnsi" w:eastAsiaTheme="minorEastAsia" w:hAnsiTheme="minorHAnsi"/>
              <w:noProof/>
              <w:kern w:val="2"/>
              <w:sz w:val="22"/>
              <w14:ligatures w14:val="standardContextual"/>
            </w:rPr>
          </w:pPr>
          <w:hyperlink w:anchor="_Toc141435837" w:history="1">
            <w:r w:rsidRPr="00C46E03">
              <w:rPr>
                <w:rStyle w:val="Hyperlink"/>
                <w:noProof/>
              </w:rPr>
              <w:t>9.</w:t>
            </w:r>
            <w:r w:rsidRPr="00C46E03">
              <w:rPr>
                <w:rFonts w:asciiTheme="minorHAnsi" w:eastAsiaTheme="minorEastAsia" w:hAnsiTheme="minorHAnsi"/>
                <w:noProof/>
                <w:kern w:val="2"/>
                <w:sz w:val="22"/>
                <w14:ligatures w14:val="standardContextual"/>
              </w:rPr>
              <w:tab/>
            </w:r>
            <w:r w:rsidRPr="00C46E03">
              <w:rPr>
                <w:rStyle w:val="Hyperlink"/>
                <w:noProof/>
              </w:rPr>
              <w:t>Explanation of Any Payment or Gift to Respondents</w:t>
            </w:r>
            <w:r w:rsidRPr="00C46E03">
              <w:rPr>
                <w:noProof/>
                <w:webHidden/>
              </w:rPr>
              <w:tab/>
            </w:r>
            <w:r w:rsidRPr="00C46E03">
              <w:rPr>
                <w:noProof/>
                <w:webHidden/>
              </w:rPr>
              <w:fldChar w:fldCharType="begin"/>
            </w:r>
            <w:r w:rsidRPr="00C46E03">
              <w:rPr>
                <w:noProof/>
                <w:webHidden/>
              </w:rPr>
              <w:instrText xml:space="preserve"> PAGEREF _Toc141435837 \h </w:instrText>
            </w:r>
            <w:r w:rsidRPr="00C46E03">
              <w:rPr>
                <w:noProof/>
                <w:webHidden/>
              </w:rPr>
              <w:fldChar w:fldCharType="separate"/>
            </w:r>
            <w:r w:rsidRPr="00C46E03">
              <w:rPr>
                <w:noProof/>
                <w:webHidden/>
              </w:rPr>
              <w:t>6</w:t>
            </w:r>
            <w:r w:rsidRPr="00C46E03">
              <w:rPr>
                <w:noProof/>
                <w:webHidden/>
              </w:rPr>
              <w:fldChar w:fldCharType="end"/>
            </w:r>
          </w:hyperlink>
        </w:p>
        <w:p w:rsidR="00A4516F" w:rsidRPr="00C46E03" w:rsidP="00DB4D7B" w14:paraId="6E5769AD" w14:textId="18B2E085">
          <w:pPr>
            <w:pStyle w:val="TOC1"/>
            <w:rPr>
              <w:rFonts w:asciiTheme="minorHAnsi" w:eastAsiaTheme="minorEastAsia" w:hAnsiTheme="minorHAnsi"/>
              <w:noProof/>
              <w:kern w:val="2"/>
              <w:sz w:val="22"/>
              <w14:ligatures w14:val="standardContextual"/>
            </w:rPr>
          </w:pPr>
          <w:hyperlink w:anchor="_Toc141435838" w:history="1">
            <w:r w:rsidRPr="00C46E03">
              <w:rPr>
                <w:rStyle w:val="Hyperlink"/>
                <w:noProof/>
              </w:rPr>
              <w:t>10.</w:t>
            </w:r>
            <w:r w:rsidRPr="00C46E03">
              <w:rPr>
                <w:rFonts w:asciiTheme="minorHAnsi" w:eastAsiaTheme="minorEastAsia" w:hAnsiTheme="minorHAnsi"/>
                <w:noProof/>
                <w:kern w:val="2"/>
                <w:sz w:val="22"/>
                <w14:ligatures w14:val="standardContextual"/>
              </w:rPr>
              <w:tab/>
            </w:r>
            <w:r w:rsidRPr="00C46E03">
              <w:rPr>
                <w:rStyle w:val="Hyperlink"/>
                <w:noProof/>
              </w:rPr>
              <w:t>Protection of the Privacy and Confidentiality of Information Provided by Respondents</w:t>
            </w:r>
            <w:r w:rsidRPr="00C46E03">
              <w:rPr>
                <w:noProof/>
                <w:webHidden/>
              </w:rPr>
              <w:tab/>
            </w:r>
            <w:r w:rsidRPr="00C46E03">
              <w:rPr>
                <w:noProof/>
                <w:webHidden/>
              </w:rPr>
              <w:fldChar w:fldCharType="begin"/>
            </w:r>
            <w:r w:rsidRPr="00C46E03">
              <w:rPr>
                <w:noProof/>
                <w:webHidden/>
              </w:rPr>
              <w:instrText xml:space="preserve"> PAGEREF _Toc141435838 \h </w:instrText>
            </w:r>
            <w:r w:rsidRPr="00C46E03">
              <w:rPr>
                <w:noProof/>
                <w:webHidden/>
              </w:rPr>
              <w:fldChar w:fldCharType="separate"/>
            </w:r>
            <w:r w:rsidRPr="00C46E03">
              <w:rPr>
                <w:noProof/>
                <w:webHidden/>
              </w:rPr>
              <w:t>6</w:t>
            </w:r>
            <w:r w:rsidRPr="00C46E03">
              <w:rPr>
                <w:noProof/>
                <w:webHidden/>
              </w:rPr>
              <w:fldChar w:fldCharType="end"/>
            </w:r>
          </w:hyperlink>
        </w:p>
        <w:p w:rsidR="00A4516F" w:rsidRPr="00C46E03" w:rsidP="00DB4D7B" w14:paraId="2A7DF368" w14:textId="02AE2931">
          <w:pPr>
            <w:pStyle w:val="TOC1"/>
            <w:rPr>
              <w:rFonts w:asciiTheme="minorHAnsi" w:eastAsiaTheme="minorEastAsia" w:hAnsiTheme="minorHAnsi"/>
              <w:noProof/>
              <w:kern w:val="2"/>
              <w:sz w:val="22"/>
              <w14:ligatures w14:val="standardContextual"/>
            </w:rPr>
          </w:pPr>
          <w:hyperlink w:anchor="_Toc141435839" w:history="1">
            <w:r w:rsidRPr="00C46E03">
              <w:rPr>
                <w:rStyle w:val="Hyperlink"/>
                <w:noProof/>
              </w:rPr>
              <w:t>11.</w:t>
            </w:r>
            <w:r w:rsidRPr="00C46E03">
              <w:rPr>
                <w:rFonts w:asciiTheme="minorHAnsi" w:eastAsiaTheme="minorEastAsia" w:hAnsiTheme="minorHAnsi"/>
                <w:noProof/>
                <w:kern w:val="2"/>
                <w:sz w:val="22"/>
                <w14:ligatures w14:val="standardContextual"/>
              </w:rPr>
              <w:tab/>
            </w:r>
            <w:r w:rsidRPr="00C46E03">
              <w:rPr>
                <w:rStyle w:val="Hyperlink"/>
                <w:noProof/>
              </w:rPr>
              <w:t>Institutional Review Board (IRB) and Justification for Sensitive Questions</w:t>
            </w:r>
            <w:r w:rsidRPr="00C46E03">
              <w:rPr>
                <w:noProof/>
                <w:webHidden/>
              </w:rPr>
              <w:tab/>
            </w:r>
            <w:r w:rsidRPr="00C46E03">
              <w:rPr>
                <w:noProof/>
                <w:webHidden/>
              </w:rPr>
              <w:fldChar w:fldCharType="begin"/>
            </w:r>
            <w:r w:rsidRPr="00C46E03">
              <w:rPr>
                <w:noProof/>
                <w:webHidden/>
              </w:rPr>
              <w:instrText xml:space="preserve"> PAGEREF _Toc141435839 \h </w:instrText>
            </w:r>
            <w:r w:rsidRPr="00C46E03">
              <w:rPr>
                <w:noProof/>
                <w:webHidden/>
              </w:rPr>
              <w:fldChar w:fldCharType="separate"/>
            </w:r>
            <w:r w:rsidRPr="00C46E03">
              <w:rPr>
                <w:noProof/>
                <w:webHidden/>
              </w:rPr>
              <w:t>7</w:t>
            </w:r>
            <w:r w:rsidRPr="00C46E03">
              <w:rPr>
                <w:noProof/>
                <w:webHidden/>
              </w:rPr>
              <w:fldChar w:fldCharType="end"/>
            </w:r>
          </w:hyperlink>
        </w:p>
        <w:p w:rsidR="00A4516F" w:rsidRPr="00C46E03" w:rsidP="00DB4D7B" w14:paraId="3CEFB1AD" w14:textId="0CFC7A41">
          <w:pPr>
            <w:pStyle w:val="TOC1"/>
            <w:rPr>
              <w:rFonts w:asciiTheme="minorHAnsi" w:eastAsiaTheme="minorEastAsia" w:hAnsiTheme="minorHAnsi"/>
              <w:noProof/>
              <w:kern w:val="2"/>
              <w:sz w:val="22"/>
              <w14:ligatures w14:val="standardContextual"/>
            </w:rPr>
          </w:pPr>
          <w:hyperlink w:anchor="_Toc141435840" w:history="1">
            <w:r w:rsidRPr="00C46E03">
              <w:rPr>
                <w:rStyle w:val="Hyperlink"/>
                <w:noProof/>
              </w:rPr>
              <w:t>12.</w:t>
            </w:r>
            <w:r w:rsidRPr="00C46E03">
              <w:rPr>
                <w:rFonts w:asciiTheme="minorHAnsi" w:eastAsiaTheme="minorEastAsia" w:hAnsiTheme="minorHAnsi"/>
                <w:noProof/>
                <w:kern w:val="2"/>
                <w:sz w:val="22"/>
                <w14:ligatures w14:val="standardContextual"/>
              </w:rPr>
              <w:tab/>
            </w:r>
            <w:r w:rsidRPr="00C46E03">
              <w:rPr>
                <w:rStyle w:val="Hyperlink"/>
                <w:noProof/>
              </w:rPr>
              <w:t>Estimates of Annualized Burden Hours and Costs</w:t>
            </w:r>
            <w:r w:rsidRPr="00C46E03">
              <w:rPr>
                <w:noProof/>
                <w:webHidden/>
              </w:rPr>
              <w:tab/>
            </w:r>
            <w:r w:rsidRPr="00C46E03">
              <w:rPr>
                <w:noProof/>
                <w:webHidden/>
              </w:rPr>
              <w:fldChar w:fldCharType="begin"/>
            </w:r>
            <w:r w:rsidRPr="00C46E03">
              <w:rPr>
                <w:noProof/>
                <w:webHidden/>
              </w:rPr>
              <w:instrText xml:space="preserve"> PAGEREF _Toc141435840 \h </w:instrText>
            </w:r>
            <w:r w:rsidRPr="00C46E03">
              <w:rPr>
                <w:noProof/>
                <w:webHidden/>
              </w:rPr>
              <w:fldChar w:fldCharType="separate"/>
            </w:r>
            <w:r w:rsidRPr="00C46E03">
              <w:rPr>
                <w:noProof/>
                <w:webHidden/>
              </w:rPr>
              <w:t>7</w:t>
            </w:r>
            <w:r w:rsidRPr="00C46E03">
              <w:rPr>
                <w:noProof/>
                <w:webHidden/>
              </w:rPr>
              <w:fldChar w:fldCharType="end"/>
            </w:r>
          </w:hyperlink>
        </w:p>
        <w:p w:rsidR="00A4516F" w:rsidRPr="00C46E03" w:rsidP="00DB4D7B" w14:paraId="52800BF8" w14:textId="1CED2CC4">
          <w:pPr>
            <w:pStyle w:val="TOC1"/>
            <w:rPr>
              <w:rFonts w:asciiTheme="minorHAnsi" w:eastAsiaTheme="minorEastAsia" w:hAnsiTheme="minorHAnsi"/>
              <w:noProof/>
              <w:kern w:val="2"/>
              <w:sz w:val="22"/>
              <w14:ligatures w14:val="standardContextual"/>
            </w:rPr>
          </w:pPr>
          <w:hyperlink w:anchor="_Toc141435841" w:history="1">
            <w:r w:rsidRPr="00C46E03">
              <w:rPr>
                <w:rStyle w:val="Hyperlink"/>
                <w:noProof/>
              </w:rPr>
              <w:t>13.</w:t>
            </w:r>
            <w:r w:rsidRPr="00C46E03">
              <w:rPr>
                <w:rFonts w:asciiTheme="minorHAnsi" w:eastAsiaTheme="minorEastAsia" w:hAnsiTheme="minorHAnsi"/>
                <w:noProof/>
                <w:kern w:val="2"/>
                <w:sz w:val="22"/>
                <w14:ligatures w14:val="standardContextual"/>
              </w:rPr>
              <w:tab/>
            </w:r>
            <w:r w:rsidRPr="00C46E03">
              <w:rPr>
                <w:rStyle w:val="Hyperlink"/>
                <w:noProof/>
              </w:rPr>
              <w:t>Estimates of Other Total Annual Cost Burden to Respondents or Record Keepers</w:t>
            </w:r>
            <w:r w:rsidRPr="00C46E03">
              <w:rPr>
                <w:noProof/>
                <w:webHidden/>
              </w:rPr>
              <w:tab/>
            </w:r>
            <w:r w:rsidRPr="00C46E03">
              <w:rPr>
                <w:noProof/>
                <w:webHidden/>
              </w:rPr>
              <w:fldChar w:fldCharType="begin"/>
            </w:r>
            <w:r w:rsidRPr="00C46E03">
              <w:rPr>
                <w:noProof/>
                <w:webHidden/>
              </w:rPr>
              <w:instrText xml:space="preserve"> PAGEREF _Toc141435841 \h </w:instrText>
            </w:r>
            <w:r w:rsidRPr="00C46E03">
              <w:rPr>
                <w:noProof/>
                <w:webHidden/>
              </w:rPr>
              <w:fldChar w:fldCharType="separate"/>
            </w:r>
            <w:r w:rsidRPr="00C46E03">
              <w:rPr>
                <w:noProof/>
                <w:webHidden/>
              </w:rPr>
              <w:t>8</w:t>
            </w:r>
            <w:r w:rsidRPr="00C46E03">
              <w:rPr>
                <w:noProof/>
                <w:webHidden/>
              </w:rPr>
              <w:fldChar w:fldCharType="end"/>
            </w:r>
          </w:hyperlink>
        </w:p>
        <w:p w:rsidR="00A4516F" w:rsidRPr="00C46E03" w:rsidP="00DB4D7B" w14:paraId="155805EF" w14:textId="37BFC399">
          <w:pPr>
            <w:pStyle w:val="TOC1"/>
            <w:rPr>
              <w:rFonts w:asciiTheme="minorHAnsi" w:eastAsiaTheme="minorEastAsia" w:hAnsiTheme="minorHAnsi"/>
              <w:noProof/>
              <w:kern w:val="2"/>
              <w:sz w:val="22"/>
              <w14:ligatures w14:val="standardContextual"/>
            </w:rPr>
          </w:pPr>
          <w:hyperlink w:anchor="_Toc141435842" w:history="1">
            <w:r w:rsidRPr="00C46E03">
              <w:rPr>
                <w:rStyle w:val="Hyperlink"/>
                <w:noProof/>
              </w:rPr>
              <w:t>14.</w:t>
            </w:r>
            <w:r w:rsidRPr="00C46E03">
              <w:rPr>
                <w:rFonts w:asciiTheme="minorHAnsi" w:eastAsiaTheme="minorEastAsia" w:hAnsiTheme="minorHAnsi"/>
                <w:noProof/>
                <w:kern w:val="2"/>
                <w:sz w:val="22"/>
                <w14:ligatures w14:val="standardContextual"/>
              </w:rPr>
              <w:tab/>
            </w:r>
            <w:r w:rsidRPr="00C46E03">
              <w:rPr>
                <w:rStyle w:val="Hyperlink"/>
                <w:noProof/>
              </w:rPr>
              <w:t>Annualized Cost to the Government</w:t>
            </w:r>
            <w:r w:rsidRPr="00C46E03">
              <w:rPr>
                <w:noProof/>
                <w:webHidden/>
              </w:rPr>
              <w:tab/>
            </w:r>
            <w:r w:rsidRPr="00C46E03">
              <w:rPr>
                <w:noProof/>
                <w:webHidden/>
              </w:rPr>
              <w:fldChar w:fldCharType="begin"/>
            </w:r>
            <w:r w:rsidRPr="00C46E03">
              <w:rPr>
                <w:noProof/>
                <w:webHidden/>
              </w:rPr>
              <w:instrText xml:space="preserve"> PAGEREF _Toc141435842 \h </w:instrText>
            </w:r>
            <w:r w:rsidRPr="00C46E03">
              <w:rPr>
                <w:noProof/>
                <w:webHidden/>
              </w:rPr>
              <w:fldChar w:fldCharType="separate"/>
            </w:r>
            <w:r w:rsidRPr="00C46E03">
              <w:rPr>
                <w:noProof/>
                <w:webHidden/>
              </w:rPr>
              <w:t>8</w:t>
            </w:r>
            <w:r w:rsidRPr="00C46E03">
              <w:rPr>
                <w:noProof/>
                <w:webHidden/>
              </w:rPr>
              <w:fldChar w:fldCharType="end"/>
            </w:r>
          </w:hyperlink>
        </w:p>
        <w:p w:rsidR="00A4516F" w:rsidRPr="00C46E03" w:rsidP="00DB4D7B" w14:paraId="6CE85752" w14:textId="58095916">
          <w:pPr>
            <w:pStyle w:val="TOC1"/>
            <w:rPr>
              <w:rFonts w:asciiTheme="minorHAnsi" w:eastAsiaTheme="minorEastAsia" w:hAnsiTheme="minorHAnsi"/>
              <w:noProof/>
              <w:kern w:val="2"/>
              <w:sz w:val="22"/>
              <w14:ligatures w14:val="standardContextual"/>
            </w:rPr>
          </w:pPr>
          <w:hyperlink w:anchor="_Toc141435843" w:history="1">
            <w:r w:rsidRPr="00C46E03">
              <w:rPr>
                <w:rStyle w:val="Hyperlink"/>
                <w:noProof/>
              </w:rPr>
              <w:t>15.</w:t>
            </w:r>
            <w:r w:rsidRPr="00C46E03">
              <w:rPr>
                <w:rFonts w:asciiTheme="minorHAnsi" w:eastAsiaTheme="minorEastAsia" w:hAnsiTheme="minorHAnsi"/>
                <w:noProof/>
                <w:kern w:val="2"/>
                <w:sz w:val="22"/>
                <w14:ligatures w14:val="standardContextual"/>
              </w:rPr>
              <w:tab/>
            </w:r>
            <w:r w:rsidRPr="00C46E03">
              <w:rPr>
                <w:rStyle w:val="Hyperlink"/>
                <w:noProof/>
              </w:rPr>
              <w:t>Explanation for Program Changes or Adjustments</w:t>
            </w:r>
            <w:r w:rsidRPr="00C46E03">
              <w:rPr>
                <w:noProof/>
                <w:webHidden/>
              </w:rPr>
              <w:tab/>
            </w:r>
            <w:r w:rsidRPr="00C46E03">
              <w:rPr>
                <w:noProof/>
                <w:webHidden/>
              </w:rPr>
              <w:fldChar w:fldCharType="begin"/>
            </w:r>
            <w:r w:rsidRPr="00C46E03">
              <w:rPr>
                <w:noProof/>
                <w:webHidden/>
              </w:rPr>
              <w:instrText xml:space="preserve"> PAGEREF _Toc141435843 \h </w:instrText>
            </w:r>
            <w:r w:rsidRPr="00C46E03">
              <w:rPr>
                <w:noProof/>
                <w:webHidden/>
              </w:rPr>
              <w:fldChar w:fldCharType="separate"/>
            </w:r>
            <w:r w:rsidRPr="00C46E03">
              <w:rPr>
                <w:noProof/>
                <w:webHidden/>
              </w:rPr>
              <w:t>8</w:t>
            </w:r>
            <w:r w:rsidRPr="00C46E03">
              <w:rPr>
                <w:noProof/>
                <w:webHidden/>
              </w:rPr>
              <w:fldChar w:fldCharType="end"/>
            </w:r>
          </w:hyperlink>
        </w:p>
        <w:p w:rsidR="00A4516F" w:rsidRPr="00C46E03" w:rsidP="00710886" w14:paraId="286AD928" w14:textId="6A2E1554">
          <w:pPr>
            <w:pStyle w:val="TOC1"/>
            <w:rPr>
              <w:rFonts w:asciiTheme="minorHAnsi" w:eastAsiaTheme="minorEastAsia" w:hAnsiTheme="minorHAnsi"/>
              <w:noProof/>
              <w:kern w:val="2"/>
              <w:sz w:val="22"/>
              <w14:ligatures w14:val="standardContextual"/>
            </w:rPr>
          </w:pPr>
          <w:hyperlink w:anchor="_Toc141435844" w:history="1">
            <w:r w:rsidRPr="00C46E03">
              <w:rPr>
                <w:rStyle w:val="Hyperlink"/>
                <w:noProof/>
              </w:rPr>
              <w:t>No change in burden is requested as this is a new information collection.</w:t>
            </w:r>
            <w:r w:rsidRPr="00C46E03">
              <w:rPr>
                <w:noProof/>
                <w:webHidden/>
              </w:rPr>
              <w:tab/>
            </w:r>
            <w:r w:rsidRPr="00C46E03">
              <w:rPr>
                <w:noProof/>
                <w:webHidden/>
              </w:rPr>
              <w:fldChar w:fldCharType="begin"/>
            </w:r>
            <w:r w:rsidRPr="00C46E03">
              <w:rPr>
                <w:noProof/>
                <w:webHidden/>
              </w:rPr>
              <w:instrText xml:space="preserve"> PAGEREF _Toc141435844 \h </w:instrText>
            </w:r>
            <w:r w:rsidRPr="00C46E03">
              <w:rPr>
                <w:noProof/>
                <w:webHidden/>
              </w:rPr>
              <w:fldChar w:fldCharType="separate"/>
            </w:r>
            <w:r w:rsidRPr="00C46E03">
              <w:rPr>
                <w:noProof/>
                <w:webHidden/>
              </w:rPr>
              <w:t>8</w:t>
            </w:r>
            <w:r w:rsidRPr="00C46E03">
              <w:rPr>
                <w:noProof/>
                <w:webHidden/>
              </w:rPr>
              <w:fldChar w:fldCharType="end"/>
            </w:r>
          </w:hyperlink>
        </w:p>
        <w:p w:rsidR="00A4516F" w:rsidRPr="00C46E03" w:rsidP="00710886" w14:paraId="26198A75" w14:textId="69329541">
          <w:pPr>
            <w:pStyle w:val="TOC1"/>
            <w:rPr>
              <w:rFonts w:asciiTheme="minorHAnsi" w:eastAsiaTheme="minorEastAsia" w:hAnsiTheme="minorHAnsi"/>
              <w:noProof/>
              <w:kern w:val="2"/>
              <w:sz w:val="22"/>
              <w14:ligatures w14:val="standardContextual"/>
            </w:rPr>
          </w:pPr>
          <w:hyperlink w:anchor="_Toc141435845" w:history="1">
            <w:r w:rsidRPr="00C46E03">
              <w:rPr>
                <w:rStyle w:val="Hyperlink"/>
                <w:noProof/>
              </w:rPr>
              <w:t>16.</w:t>
            </w:r>
            <w:r w:rsidRPr="00C46E03">
              <w:rPr>
                <w:rFonts w:asciiTheme="minorHAnsi" w:eastAsiaTheme="minorEastAsia" w:hAnsiTheme="minorHAnsi"/>
                <w:noProof/>
                <w:kern w:val="2"/>
                <w:sz w:val="22"/>
                <w14:ligatures w14:val="standardContextual"/>
              </w:rPr>
              <w:tab/>
            </w:r>
            <w:r w:rsidRPr="00C46E03">
              <w:rPr>
                <w:rStyle w:val="Hyperlink"/>
                <w:noProof/>
              </w:rPr>
              <w:t>Plans for Tabulation and Publication and Project Time Schedule</w:t>
            </w:r>
            <w:r w:rsidRPr="00C46E03">
              <w:rPr>
                <w:noProof/>
                <w:webHidden/>
              </w:rPr>
              <w:tab/>
            </w:r>
            <w:r w:rsidRPr="00C46E03">
              <w:rPr>
                <w:noProof/>
                <w:webHidden/>
              </w:rPr>
              <w:fldChar w:fldCharType="begin"/>
            </w:r>
            <w:r w:rsidRPr="00C46E03">
              <w:rPr>
                <w:noProof/>
                <w:webHidden/>
              </w:rPr>
              <w:instrText xml:space="preserve"> PAGEREF _Toc141435845 \h </w:instrText>
            </w:r>
            <w:r w:rsidRPr="00C46E03">
              <w:rPr>
                <w:noProof/>
                <w:webHidden/>
              </w:rPr>
              <w:fldChar w:fldCharType="separate"/>
            </w:r>
            <w:r w:rsidRPr="00C46E03">
              <w:rPr>
                <w:noProof/>
                <w:webHidden/>
              </w:rPr>
              <w:t>8</w:t>
            </w:r>
            <w:r w:rsidRPr="00C46E03">
              <w:rPr>
                <w:noProof/>
                <w:webHidden/>
              </w:rPr>
              <w:fldChar w:fldCharType="end"/>
            </w:r>
          </w:hyperlink>
        </w:p>
        <w:p w:rsidR="00A4516F" w:rsidRPr="00C46E03" w:rsidP="00710886" w14:paraId="3CE16373" w14:textId="33407389">
          <w:pPr>
            <w:pStyle w:val="TOC1"/>
            <w:rPr>
              <w:rFonts w:asciiTheme="minorHAnsi" w:eastAsiaTheme="minorEastAsia" w:hAnsiTheme="minorHAnsi"/>
              <w:noProof/>
              <w:kern w:val="2"/>
              <w:sz w:val="22"/>
              <w14:ligatures w14:val="standardContextual"/>
            </w:rPr>
          </w:pPr>
          <w:hyperlink w:anchor="_Toc141435846" w:history="1">
            <w:r w:rsidRPr="00C46E03">
              <w:rPr>
                <w:rStyle w:val="Hyperlink"/>
                <w:noProof/>
              </w:rPr>
              <w:t>17.</w:t>
            </w:r>
            <w:r w:rsidRPr="00C46E03">
              <w:rPr>
                <w:rFonts w:asciiTheme="minorHAnsi" w:eastAsiaTheme="minorEastAsia" w:hAnsiTheme="minorHAnsi"/>
                <w:noProof/>
                <w:kern w:val="2"/>
                <w:sz w:val="22"/>
                <w14:ligatures w14:val="standardContextual"/>
              </w:rPr>
              <w:tab/>
            </w:r>
            <w:r w:rsidRPr="00C46E03">
              <w:rPr>
                <w:rStyle w:val="Hyperlink"/>
                <w:noProof/>
              </w:rPr>
              <w:t>Reason(s) Display of OMB Expiration Date is Inappropriate</w:t>
            </w:r>
            <w:r w:rsidRPr="00C46E03">
              <w:rPr>
                <w:noProof/>
                <w:webHidden/>
              </w:rPr>
              <w:tab/>
            </w:r>
            <w:r w:rsidRPr="00C46E03">
              <w:rPr>
                <w:noProof/>
                <w:webHidden/>
              </w:rPr>
              <w:fldChar w:fldCharType="begin"/>
            </w:r>
            <w:r w:rsidRPr="00C46E03">
              <w:rPr>
                <w:noProof/>
                <w:webHidden/>
              </w:rPr>
              <w:instrText xml:space="preserve"> PAGEREF _Toc141435846 \h </w:instrText>
            </w:r>
            <w:r w:rsidRPr="00C46E03">
              <w:rPr>
                <w:noProof/>
                <w:webHidden/>
              </w:rPr>
              <w:fldChar w:fldCharType="separate"/>
            </w:r>
            <w:r w:rsidRPr="00C46E03">
              <w:rPr>
                <w:noProof/>
                <w:webHidden/>
              </w:rPr>
              <w:t>9</w:t>
            </w:r>
            <w:r w:rsidRPr="00C46E03">
              <w:rPr>
                <w:noProof/>
                <w:webHidden/>
              </w:rPr>
              <w:fldChar w:fldCharType="end"/>
            </w:r>
          </w:hyperlink>
        </w:p>
        <w:p w:rsidR="00A4516F" w:rsidRPr="00C46E03" w:rsidP="00710886" w14:paraId="2DB10E6B" w14:textId="11BD2E03">
          <w:pPr>
            <w:pStyle w:val="TOC1"/>
            <w:rPr>
              <w:rFonts w:asciiTheme="minorHAnsi" w:eastAsiaTheme="minorEastAsia" w:hAnsiTheme="minorHAnsi"/>
              <w:noProof/>
              <w:kern w:val="2"/>
              <w:sz w:val="22"/>
              <w14:ligatures w14:val="standardContextual"/>
            </w:rPr>
          </w:pPr>
          <w:hyperlink w:anchor="_Toc141435847" w:history="1">
            <w:r w:rsidRPr="00C46E03">
              <w:rPr>
                <w:rStyle w:val="Hyperlink"/>
                <w:noProof/>
              </w:rPr>
              <w:t>18.</w:t>
            </w:r>
            <w:r w:rsidRPr="00C46E03">
              <w:rPr>
                <w:rFonts w:asciiTheme="minorHAnsi" w:eastAsiaTheme="minorEastAsia" w:hAnsiTheme="minorHAnsi"/>
                <w:noProof/>
                <w:kern w:val="2"/>
                <w:sz w:val="22"/>
                <w14:ligatures w14:val="standardContextual"/>
              </w:rPr>
              <w:tab/>
            </w:r>
            <w:r w:rsidRPr="00C46E03">
              <w:rPr>
                <w:rStyle w:val="Hyperlink"/>
                <w:noProof/>
              </w:rPr>
              <w:t>Exceptions to Certification for Paperwork Reduction Act Submissions</w:t>
            </w:r>
            <w:r w:rsidRPr="00C46E03">
              <w:rPr>
                <w:noProof/>
                <w:webHidden/>
              </w:rPr>
              <w:tab/>
            </w:r>
            <w:r w:rsidRPr="00C46E03">
              <w:rPr>
                <w:noProof/>
                <w:webHidden/>
              </w:rPr>
              <w:fldChar w:fldCharType="begin"/>
            </w:r>
            <w:r w:rsidRPr="00C46E03">
              <w:rPr>
                <w:noProof/>
                <w:webHidden/>
              </w:rPr>
              <w:instrText xml:space="preserve"> PAGEREF _Toc141435847 \h </w:instrText>
            </w:r>
            <w:r w:rsidRPr="00C46E03">
              <w:rPr>
                <w:noProof/>
                <w:webHidden/>
              </w:rPr>
              <w:fldChar w:fldCharType="separate"/>
            </w:r>
            <w:r w:rsidRPr="00C46E03">
              <w:rPr>
                <w:noProof/>
                <w:webHidden/>
              </w:rPr>
              <w:t>9</w:t>
            </w:r>
            <w:r w:rsidRPr="00C46E03">
              <w:rPr>
                <w:noProof/>
                <w:webHidden/>
              </w:rPr>
              <w:fldChar w:fldCharType="end"/>
            </w:r>
          </w:hyperlink>
        </w:p>
        <w:p w:rsidR="00A4516F" w:rsidRPr="00C46E03" w:rsidP="00710886" w14:paraId="7C82D7F7" w14:textId="2B2E17F7">
          <w:pPr>
            <w:pStyle w:val="TOC1"/>
            <w:rPr>
              <w:rFonts w:asciiTheme="minorHAnsi" w:eastAsiaTheme="minorEastAsia" w:hAnsiTheme="minorHAnsi"/>
              <w:noProof/>
              <w:kern w:val="2"/>
              <w:sz w:val="22"/>
              <w14:ligatures w14:val="standardContextual"/>
            </w:rPr>
          </w:pPr>
          <w:hyperlink w:anchor="_Toc141435848" w:history="1">
            <w:r w:rsidRPr="00C46E03">
              <w:rPr>
                <w:rStyle w:val="Hyperlink"/>
                <w:noProof/>
              </w:rPr>
              <w:t>Attachments</w:t>
            </w:r>
            <w:r w:rsidRPr="00C46E03">
              <w:rPr>
                <w:noProof/>
                <w:webHidden/>
              </w:rPr>
              <w:tab/>
            </w:r>
            <w:r w:rsidRPr="00C46E03">
              <w:rPr>
                <w:noProof/>
                <w:webHidden/>
              </w:rPr>
              <w:fldChar w:fldCharType="begin"/>
            </w:r>
            <w:r w:rsidRPr="00C46E03">
              <w:rPr>
                <w:noProof/>
                <w:webHidden/>
              </w:rPr>
              <w:instrText xml:space="preserve"> PAGEREF _Toc141435848 \h </w:instrText>
            </w:r>
            <w:r w:rsidRPr="00C46E03">
              <w:rPr>
                <w:noProof/>
                <w:webHidden/>
              </w:rPr>
              <w:fldChar w:fldCharType="separate"/>
            </w:r>
            <w:r w:rsidRPr="00C46E03">
              <w:rPr>
                <w:noProof/>
                <w:webHidden/>
              </w:rPr>
              <w:t>9</w:t>
            </w:r>
            <w:r w:rsidRPr="00C46E03">
              <w:rPr>
                <w:noProof/>
                <w:webHidden/>
              </w:rPr>
              <w:fldChar w:fldCharType="end"/>
            </w:r>
          </w:hyperlink>
        </w:p>
        <w:p w:rsidR="00A4516F" w:rsidRPr="00C46E03" w:rsidP="00710886" w14:paraId="42A4084E" w14:textId="36C0A5A0">
          <w:pPr>
            <w:pStyle w:val="TOC1"/>
            <w:rPr>
              <w:rFonts w:asciiTheme="minorHAnsi" w:eastAsiaTheme="minorEastAsia" w:hAnsiTheme="minorHAnsi"/>
              <w:noProof/>
              <w:kern w:val="2"/>
              <w:sz w:val="22"/>
              <w14:ligatures w14:val="standardContextual"/>
            </w:rPr>
          </w:pPr>
          <w:hyperlink w:anchor="_Toc141435849" w:history="1">
            <w:r w:rsidRPr="00C46E03">
              <w:rPr>
                <w:rStyle w:val="Hyperlink"/>
                <w:noProof/>
              </w:rPr>
              <w:t>References:</w:t>
            </w:r>
            <w:r w:rsidRPr="00C46E03">
              <w:rPr>
                <w:noProof/>
                <w:webHidden/>
              </w:rPr>
              <w:tab/>
            </w:r>
            <w:r w:rsidRPr="00C46E03">
              <w:rPr>
                <w:noProof/>
                <w:webHidden/>
              </w:rPr>
              <w:fldChar w:fldCharType="begin"/>
            </w:r>
            <w:r w:rsidRPr="00C46E03">
              <w:rPr>
                <w:noProof/>
                <w:webHidden/>
              </w:rPr>
              <w:instrText xml:space="preserve"> PAGEREF _Toc141435849 \h </w:instrText>
            </w:r>
            <w:r w:rsidRPr="00C46E03">
              <w:rPr>
                <w:noProof/>
                <w:webHidden/>
              </w:rPr>
              <w:fldChar w:fldCharType="separate"/>
            </w:r>
            <w:r w:rsidRPr="00C46E03">
              <w:rPr>
                <w:noProof/>
                <w:webHidden/>
              </w:rPr>
              <w:t>10</w:t>
            </w:r>
            <w:r w:rsidRPr="00C46E03">
              <w:rPr>
                <w:noProof/>
                <w:webHidden/>
              </w:rPr>
              <w:fldChar w:fldCharType="end"/>
            </w:r>
          </w:hyperlink>
        </w:p>
        <w:p w:rsidR="004A13E8" w:rsidRPr="00C46E03" w14:paraId="55FE17B0" w14:textId="29DF6FA1">
          <w:r w:rsidRPr="00C46E03">
            <w:rPr>
              <w:b/>
              <w:bCs/>
              <w:noProof/>
            </w:rPr>
            <w:fldChar w:fldCharType="end"/>
          </w:r>
        </w:p>
      </w:sdtContent>
    </w:sdt>
    <w:p w:rsidR="004A13E8" w:rsidRPr="00C46E03" w14:paraId="55FE17B1" w14:textId="77777777">
      <w:r w:rsidRPr="00C46E03">
        <w:br w:type="page"/>
      </w:r>
    </w:p>
    <w:p w:rsidR="004A13E8" w:rsidRPr="00C46E03" w:rsidP="004A13E8" w14:paraId="55FE17B2" w14:textId="50F69BDF">
      <w:pPr>
        <w:pStyle w:val="Subtitle"/>
      </w:pPr>
      <w:r w:rsidRPr="00C46E03">
        <w:rPr>
          <w:b/>
          <w:noProof/>
        </w:rPr>
        <mc:AlternateContent>
          <mc:Choice Requires="wps">
            <w:drawing>
              <wp:anchor distT="0" distB="0" distL="114300" distR="114300" simplePos="0" relativeHeight="251658240" behindDoc="1" locked="0" layoutInCell="1" allowOverlap="1">
                <wp:simplePos x="0" y="0"/>
                <wp:positionH relativeFrom="column">
                  <wp:posOffset>5080</wp:posOffset>
                </wp:positionH>
                <wp:positionV relativeFrom="page">
                  <wp:posOffset>690880</wp:posOffset>
                </wp:positionV>
                <wp:extent cx="6477000" cy="2976880"/>
                <wp:effectExtent l="0" t="0" r="19050" b="13970"/>
                <wp:wrapTight wrapText="bothSides">
                  <wp:wrapPolygon>
                    <wp:start x="0" y="0"/>
                    <wp:lineTo x="0" y="21563"/>
                    <wp:lineTo x="21600" y="21563"/>
                    <wp:lineTo x="21600"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2976880"/>
                        </a:xfrm>
                        <a:prstGeom prst="rect">
                          <a:avLst/>
                        </a:prstGeom>
                        <a:solidFill>
                          <a:srgbClr val="FFFFFF"/>
                        </a:solidFill>
                        <a:ln w="9525">
                          <a:solidFill>
                            <a:srgbClr val="000000"/>
                          </a:solidFill>
                          <a:miter lim="800000"/>
                          <a:headEnd/>
                          <a:tailEnd/>
                        </a:ln>
                      </wps:spPr>
                      <wps:txbx>
                        <w:txbxContent>
                          <w:p w:rsidR="004A13E8" w:rsidRPr="00F60999" w:rsidP="004A13E8" w14:textId="1987F641">
                            <w:pPr>
                              <w:pStyle w:val="Bullets"/>
                              <w:rPr>
                                <w:rFonts w:cs="Times New Roman"/>
                                <w:b/>
                              </w:rPr>
                            </w:pPr>
                            <w:r w:rsidRPr="00F60999">
                              <w:rPr>
                                <w:rFonts w:cs="Times New Roman"/>
                                <w:b/>
                              </w:rPr>
                              <w:t>Goal of the study:</w:t>
                            </w:r>
                            <w:r w:rsidRPr="00F60999" w:rsidR="001A58BE">
                              <w:rPr>
                                <w:rFonts w:cs="Times New Roman"/>
                                <w:b/>
                              </w:rPr>
                              <w:t xml:space="preserve"> </w:t>
                            </w:r>
                            <w:r w:rsidRPr="00F60999" w:rsidR="00DF000E">
                              <w:rPr>
                                <w:rFonts w:cs="Times New Roman"/>
                              </w:rPr>
                              <w:t xml:space="preserve"> </w:t>
                            </w:r>
                            <w:r w:rsidRPr="00F60999" w:rsidR="0047371C">
                              <w:rPr>
                                <w:rFonts w:cs="Times New Roman"/>
                              </w:rPr>
                              <w:t>T</w:t>
                            </w:r>
                            <w:r w:rsidRPr="0076674A" w:rsidR="00DF000E">
                              <w:rPr>
                                <w:rFonts w:eastAsiaTheme="minorEastAsia" w:cs="Times New Roman"/>
                              </w:rPr>
                              <w:t xml:space="preserve">o inform the development of educational public health messages that motivate </w:t>
                            </w:r>
                            <w:r w:rsidR="00040664">
                              <w:rPr>
                                <w:rFonts w:eastAsiaTheme="minorEastAsia" w:cs="Times New Roman"/>
                              </w:rPr>
                              <w:t xml:space="preserve">adult </w:t>
                            </w:r>
                            <w:r w:rsidRPr="0076674A" w:rsidR="00DF000E">
                              <w:rPr>
                                <w:rFonts w:eastAsiaTheme="minorEastAsia" w:cs="Times New Roman"/>
                              </w:rPr>
                              <w:t xml:space="preserve">members of the </w:t>
                            </w:r>
                            <w:r w:rsidRPr="0076674A" w:rsidR="0047371C">
                              <w:rPr>
                                <w:rFonts w:eastAsiaTheme="minorEastAsia" w:cs="Times New Roman"/>
                              </w:rPr>
                              <w:t xml:space="preserve">U.S. </w:t>
                            </w:r>
                            <w:r w:rsidRPr="002224C9" w:rsidR="00916876">
                              <w:rPr>
                                <w:rFonts w:eastAsiaTheme="minorEastAsia" w:cs="Times New Roman"/>
                              </w:rPr>
                              <w:t>general</w:t>
                            </w:r>
                            <w:r w:rsidRPr="00916876" w:rsidR="00916876">
                              <w:rPr>
                                <w:rFonts w:eastAsiaTheme="minorEastAsia" w:cs="Times New Roman"/>
                              </w:rPr>
                              <w:t xml:space="preserve"> </w:t>
                            </w:r>
                            <w:r w:rsidRPr="0076674A" w:rsidR="00DF000E">
                              <w:rPr>
                                <w:rFonts w:eastAsiaTheme="minorEastAsia" w:cs="Times New Roman"/>
                              </w:rPr>
                              <w:t>population to engage in actions that have the potential to slow the spread and development of antimicrobial resistance</w:t>
                            </w:r>
                            <w:r w:rsidRPr="0076674A" w:rsidR="0047371C">
                              <w:rPr>
                                <w:rFonts w:eastAsiaTheme="minorEastAsia" w:cs="Times New Roman"/>
                              </w:rPr>
                              <w:t>.</w:t>
                            </w:r>
                          </w:p>
                          <w:p w:rsidR="004A13E8" w:rsidRPr="00F60999" w:rsidP="004A13E8" w14:textId="3E866994">
                            <w:pPr>
                              <w:pStyle w:val="Bullets"/>
                              <w:rPr>
                                <w:rFonts w:cs="Times New Roman"/>
                                <w:b/>
                              </w:rPr>
                            </w:pPr>
                            <w:r w:rsidRPr="00F60999">
                              <w:rPr>
                                <w:rFonts w:cs="Times New Roman"/>
                                <w:b/>
                              </w:rPr>
                              <w:t>Intended use of the resulting data:</w:t>
                            </w:r>
                            <w:r w:rsidR="000555B8">
                              <w:t xml:space="preserve"> </w:t>
                            </w:r>
                            <w:r w:rsidRPr="00F60999" w:rsidR="000C331D">
                              <w:rPr>
                                <w:rFonts w:cs="Times New Roman"/>
                              </w:rPr>
                              <w:t xml:space="preserve">The data will </w:t>
                            </w:r>
                            <w:r w:rsidR="008C1A42">
                              <w:rPr>
                                <w:rFonts w:cs="Times New Roman"/>
                              </w:rPr>
                              <w:t xml:space="preserve">determine </w:t>
                            </w:r>
                            <w:r w:rsidRPr="00F60999" w:rsidR="006D1700">
                              <w:rPr>
                                <w:rFonts w:cs="Times New Roman"/>
                              </w:rPr>
                              <w:t>which</w:t>
                            </w:r>
                            <w:r w:rsidRPr="00F60999" w:rsidR="00DD20B6">
                              <w:rPr>
                                <w:rFonts w:cs="Times New Roman"/>
                              </w:rPr>
                              <w:t xml:space="preserve"> concepts</w:t>
                            </w:r>
                            <w:r w:rsidRPr="00F60999" w:rsidR="00E46C70">
                              <w:rPr>
                                <w:rFonts w:cs="Times New Roman"/>
                              </w:rPr>
                              <w:t xml:space="preserve"> and</w:t>
                            </w:r>
                            <w:r w:rsidR="009A0BBA">
                              <w:rPr>
                                <w:rFonts w:cs="Times New Roman"/>
                              </w:rPr>
                              <w:t>/or</w:t>
                            </w:r>
                            <w:r w:rsidRPr="00F60999" w:rsidR="00E46C70">
                              <w:rPr>
                                <w:rFonts w:cs="Times New Roman"/>
                              </w:rPr>
                              <w:t xml:space="preserve"> messages </w:t>
                            </w:r>
                            <w:r w:rsidRPr="00F60999" w:rsidR="00F8709A">
                              <w:rPr>
                                <w:rFonts w:cs="Times New Roman"/>
                              </w:rPr>
                              <w:t>are</w:t>
                            </w:r>
                            <w:r w:rsidRPr="00F60999" w:rsidR="006D1700">
                              <w:rPr>
                                <w:rFonts w:cs="Times New Roman"/>
                              </w:rPr>
                              <w:t xml:space="preserve"> </w:t>
                            </w:r>
                            <w:r w:rsidRPr="00F60999" w:rsidR="00F60999">
                              <w:rPr>
                                <w:rFonts w:cs="Times New Roman"/>
                              </w:rPr>
                              <w:t xml:space="preserve">the </w:t>
                            </w:r>
                            <w:r w:rsidRPr="00F60999" w:rsidR="006D1700">
                              <w:rPr>
                                <w:rFonts w:cs="Times New Roman"/>
                              </w:rPr>
                              <w:t xml:space="preserve">most effective </w:t>
                            </w:r>
                            <w:r w:rsidRPr="00F60999" w:rsidR="003F14DF">
                              <w:rPr>
                                <w:rFonts w:cs="Times New Roman"/>
                              </w:rPr>
                              <w:t xml:space="preserve">in </w:t>
                            </w:r>
                            <w:r w:rsidR="00D00E8B">
                              <w:t>combating antimicrobial resistance among</w:t>
                            </w:r>
                            <w:r w:rsidRPr="00F60999" w:rsidR="00F8709A">
                              <w:rPr>
                                <w:rFonts w:cs="Times New Roman"/>
                              </w:rPr>
                              <w:t xml:space="preserve"> </w:t>
                            </w:r>
                            <w:r w:rsidR="008464EA">
                              <w:rPr>
                                <w:rFonts w:cs="Times New Roman"/>
                              </w:rPr>
                              <w:t xml:space="preserve">adults in </w:t>
                            </w:r>
                            <w:r w:rsidRPr="0076674A" w:rsidR="00F60999">
                              <w:rPr>
                                <w:rFonts w:eastAsiaTheme="minorEastAsia" w:cs="Times New Roman"/>
                              </w:rPr>
                              <w:t xml:space="preserve">the U.S. </w:t>
                            </w:r>
                            <w:r w:rsidRPr="002224C9" w:rsidR="00916876">
                              <w:rPr>
                                <w:rFonts w:eastAsiaTheme="minorEastAsia" w:cs="Times New Roman"/>
                              </w:rPr>
                              <w:t>general</w:t>
                            </w:r>
                            <w:r w:rsidRPr="00916876" w:rsidR="00916876">
                              <w:rPr>
                                <w:rFonts w:eastAsiaTheme="minorEastAsia" w:cs="Times New Roman"/>
                              </w:rPr>
                              <w:t xml:space="preserve"> </w:t>
                            </w:r>
                            <w:r w:rsidRPr="0076674A" w:rsidR="00F60999">
                              <w:rPr>
                                <w:rFonts w:eastAsiaTheme="minorEastAsia" w:cs="Times New Roman"/>
                              </w:rPr>
                              <w:t xml:space="preserve">population. </w:t>
                            </w:r>
                          </w:p>
                          <w:p w:rsidR="009D785A" w:rsidRPr="00F60999" w:rsidP="004A13E8" w14:textId="6B437534">
                            <w:pPr>
                              <w:pStyle w:val="Bullets"/>
                              <w:rPr>
                                <w:rFonts w:cs="Times New Roman"/>
                                <w:b/>
                              </w:rPr>
                            </w:pPr>
                            <w:r w:rsidRPr="00F60999">
                              <w:rPr>
                                <w:rFonts w:cs="Times New Roman"/>
                                <w:b/>
                              </w:rPr>
                              <w:t>Methods to be used to collect:</w:t>
                            </w:r>
                            <w:r w:rsidRPr="00F60999" w:rsidR="001A58BE">
                              <w:rPr>
                                <w:rFonts w:cs="Times New Roman"/>
                                <w:b/>
                              </w:rPr>
                              <w:t xml:space="preserve"> </w:t>
                            </w:r>
                            <w:r w:rsidR="00E84C79">
                              <w:rPr>
                                <w:rFonts w:cs="Times New Roman"/>
                              </w:rPr>
                              <w:t xml:space="preserve">We plan to conduct </w:t>
                            </w:r>
                            <w:r w:rsidR="00383C56">
                              <w:rPr>
                                <w:rFonts w:cs="Times New Roman"/>
                              </w:rPr>
                              <w:t xml:space="preserve">virtual </w:t>
                            </w:r>
                            <w:r w:rsidR="00E84C79">
                              <w:rPr>
                                <w:rFonts w:cs="Times New Roman"/>
                              </w:rPr>
                              <w:t>s</w:t>
                            </w:r>
                            <w:r w:rsidR="002F0EBC">
                              <w:rPr>
                                <w:rFonts w:cs="Times New Roman"/>
                              </w:rPr>
                              <w:t>taggered focus groups and</w:t>
                            </w:r>
                            <w:r w:rsidR="00443356">
                              <w:rPr>
                                <w:rFonts w:cs="Times New Roman"/>
                              </w:rPr>
                              <w:t>/o</w:t>
                            </w:r>
                            <w:r w:rsidR="005A46CB">
                              <w:rPr>
                                <w:rFonts w:cs="Times New Roman"/>
                              </w:rPr>
                              <w:t>r</w:t>
                            </w:r>
                            <w:r w:rsidR="002F0EBC">
                              <w:rPr>
                                <w:rFonts w:cs="Times New Roman"/>
                              </w:rPr>
                              <w:t xml:space="preserve"> </w:t>
                            </w:r>
                            <w:r w:rsidR="00383C56">
                              <w:rPr>
                                <w:rFonts w:cs="Times New Roman"/>
                              </w:rPr>
                              <w:t xml:space="preserve">virtual </w:t>
                            </w:r>
                            <w:r w:rsidR="002F0EBC">
                              <w:rPr>
                                <w:rFonts w:cs="Times New Roman"/>
                              </w:rPr>
                              <w:t>in-depth-interviews</w:t>
                            </w:r>
                            <w:r w:rsidR="002910CD">
                              <w:rPr>
                                <w:rFonts w:cs="Times New Roman"/>
                              </w:rPr>
                              <w:t xml:space="preserve">. </w:t>
                            </w:r>
                          </w:p>
                          <w:p w:rsidR="00F55C57" w:rsidRPr="0076674A" w:rsidP="0076674A" w14:textId="4E40D185">
                            <w:pPr>
                              <w:pStyle w:val="Bullets"/>
                              <w:rPr>
                                <w:rFonts w:eastAsiaTheme="minorEastAsia" w:cs="Times New Roman"/>
                              </w:rPr>
                            </w:pPr>
                            <w:r w:rsidRPr="009D785A">
                              <w:rPr>
                                <w:rFonts w:cs="Times New Roman"/>
                                <w:b/>
                              </w:rPr>
                              <w:t>The subpopulation to be studied:</w:t>
                            </w:r>
                            <w:r w:rsidRPr="009D785A" w:rsidR="001A58BE">
                              <w:rPr>
                                <w:rFonts w:cs="Times New Roman"/>
                                <w:b/>
                              </w:rPr>
                              <w:t xml:space="preserve"> </w:t>
                            </w:r>
                            <w:r w:rsidRPr="0076674A">
                              <w:rPr>
                                <w:rFonts w:eastAsiaTheme="minorEastAsia" w:cs="Times New Roman"/>
                                <w:color w:val="000000" w:themeColor="text1"/>
                              </w:rPr>
                              <w:t>The five target audiences are</w:t>
                            </w:r>
                            <w:r w:rsidRPr="0076674A" w:rsidR="00023782">
                              <w:rPr>
                                <w:rFonts w:eastAsiaTheme="minorEastAsia" w:cs="Times New Roman"/>
                                <w:color w:val="000000" w:themeColor="text1"/>
                              </w:rPr>
                              <w:t xml:space="preserve"> </w:t>
                            </w:r>
                            <w:r w:rsidRPr="0076674A" w:rsidR="009D785A">
                              <w:rPr>
                                <w:rFonts w:eastAsiaTheme="minorEastAsia" w:cs="Times New Roman"/>
                                <w:color w:val="000000" w:themeColor="text1"/>
                              </w:rPr>
                              <w:t xml:space="preserve">adult </w:t>
                            </w:r>
                            <w:r w:rsidRPr="0076674A" w:rsidR="00023782">
                              <w:rPr>
                                <w:rFonts w:eastAsiaTheme="minorEastAsia" w:cs="Times New Roman"/>
                                <w:color w:val="000000" w:themeColor="text1"/>
                              </w:rPr>
                              <w:t>members of the U.S. population</w:t>
                            </w:r>
                            <w:r w:rsidRPr="0076674A">
                              <w:rPr>
                                <w:rFonts w:eastAsiaTheme="minorEastAsia" w:cs="Times New Roman"/>
                                <w:color w:val="000000" w:themeColor="text1"/>
                              </w:rPr>
                              <w:t xml:space="preserve">, by age: </w:t>
                            </w:r>
                            <w:r w:rsidRPr="0076674A">
                              <w:rPr>
                                <w:rFonts w:eastAsiaTheme="minorEastAsia" w:cs="Times New Roman"/>
                              </w:rPr>
                              <w:t>1) Ages 21-30, 2) Ages 31-40, 3), Ages 41-50</w:t>
                            </w:r>
                            <w:r w:rsidRPr="0076674A" w:rsidR="001106C5">
                              <w:rPr>
                                <w:rFonts w:eastAsiaTheme="minorEastAsia" w:cs="Times New Roman"/>
                              </w:rPr>
                              <w:t>,</w:t>
                            </w:r>
                            <w:r w:rsidRPr="0076674A">
                              <w:rPr>
                                <w:rFonts w:eastAsiaTheme="minorEastAsia" w:cs="Times New Roman"/>
                              </w:rPr>
                              <w:t xml:space="preserve"> 4) Ages 51-60, and 5), Ages 61-70. </w:t>
                            </w:r>
                            <w:r w:rsidRPr="0076674A" w:rsidR="00270C89">
                              <w:rPr>
                                <w:rFonts w:eastAsiaTheme="minorEastAsia" w:cs="Times New Roman"/>
                              </w:rPr>
                              <w:t>All participants must be conversant in English.</w:t>
                            </w:r>
                          </w:p>
                          <w:p w:rsidR="00300C1D" w:rsidRPr="00F60999" w:rsidP="003360A5" w14:textId="4013E2F2">
                            <w:pPr>
                              <w:pStyle w:val="Bullets"/>
                              <w:rPr>
                                <w:rFonts w:cs="Times New Roman"/>
                                <w:b/>
                              </w:rPr>
                            </w:pPr>
                            <w:r w:rsidRPr="003360A5">
                              <w:rPr>
                                <w:rFonts w:cs="Times New Roman"/>
                                <w:b/>
                              </w:rPr>
                              <w:t>H</w:t>
                            </w:r>
                            <w:r w:rsidRPr="000C26E1">
                              <w:rPr>
                                <w:rFonts w:cs="Times New Roman"/>
                                <w:b/>
                              </w:rPr>
                              <w:t>ow data will be analyzed:</w:t>
                            </w:r>
                            <w:r w:rsidRPr="000C26E1" w:rsidR="001A58BE">
                              <w:rPr>
                                <w:rFonts w:cs="Times New Roman"/>
                                <w:b/>
                              </w:rPr>
                              <w:t xml:space="preserve"> </w:t>
                            </w:r>
                            <w:r w:rsidR="009B2184">
                              <w:rPr>
                                <w:rFonts w:cs="Times New Roman"/>
                              </w:rPr>
                              <w:t xml:space="preserve"> F</w:t>
                            </w:r>
                            <w:r w:rsidR="00F44C6F">
                              <w:rPr>
                                <w:rFonts w:cs="Times New Roman"/>
                              </w:rPr>
                              <w:t>ocus group</w:t>
                            </w:r>
                            <w:r w:rsidR="009B2184">
                              <w:rPr>
                                <w:rFonts w:cs="Times New Roman"/>
                              </w:rPr>
                              <w:t xml:space="preserve"> discussions</w:t>
                            </w:r>
                            <w:r w:rsidR="00F44C6F">
                              <w:rPr>
                                <w:rFonts w:cs="Times New Roman"/>
                              </w:rPr>
                              <w:t xml:space="preserve"> and in-depth-interviews will be </w:t>
                            </w:r>
                            <w:r w:rsidR="00651BFB">
                              <w:rPr>
                                <w:rFonts w:cs="Times New Roman"/>
                              </w:rPr>
                              <w:t>examined using</w:t>
                            </w:r>
                            <w:r w:rsidR="009B2184">
                              <w:rPr>
                                <w:rFonts w:cs="Times New Roman"/>
                              </w:rPr>
                              <w:t xml:space="preserve"> qualitative content coding. </w:t>
                            </w:r>
                          </w:p>
                          <w:p w:rsidR="004A13E8" w:rsidP="00551FBB" w14:textId="77777777"/>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0pt;height:234.4pt;margin-top:54.4pt;margin-left:0.4pt;mso-height-percent:0;mso-height-relative:page;mso-position-vertical-relative:page;mso-width-percent:0;mso-width-relative:page;mso-wrap-distance-bottom:0;mso-wrap-distance-left:9pt;mso-wrap-distance-right:9pt;mso-wrap-distance-top:0;mso-wrap-style:square;position:absolute;visibility:visible;v-text-anchor:top;z-index:-251657216">
                <v:textbox>
                  <w:txbxContent>
                    <w:p w:rsidR="004A13E8" w:rsidRPr="00F60999" w:rsidP="004A13E8" w14:paraId="55FE1837" w14:textId="1987F641">
                      <w:pPr>
                        <w:pStyle w:val="Bullets"/>
                        <w:rPr>
                          <w:rFonts w:cs="Times New Roman"/>
                          <w:b/>
                        </w:rPr>
                      </w:pPr>
                      <w:r w:rsidRPr="00F60999">
                        <w:rPr>
                          <w:rFonts w:cs="Times New Roman"/>
                          <w:b/>
                        </w:rPr>
                        <w:t>Goal of the study:</w:t>
                      </w:r>
                      <w:r w:rsidRPr="00F60999" w:rsidR="001A58BE">
                        <w:rPr>
                          <w:rFonts w:cs="Times New Roman"/>
                          <w:b/>
                        </w:rPr>
                        <w:t xml:space="preserve"> </w:t>
                      </w:r>
                      <w:r w:rsidRPr="00F60999" w:rsidR="00DF000E">
                        <w:rPr>
                          <w:rFonts w:cs="Times New Roman"/>
                        </w:rPr>
                        <w:t xml:space="preserve"> </w:t>
                      </w:r>
                      <w:r w:rsidRPr="00F60999" w:rsidR="0047371C">
                        <w:rPr>
                          <w:rFonts w:cs="Times New Roman"/>
                        </w:rPr>
                        <w:t>T</w:t>
                      </w:r>
                      <w:r w:rsidRPr="0076674A" w:rsidR="00DF000E">
                        <w:rPr>
                          <w:rFonts w:eastAsiaTheme="minorEastAsia" w:cs="Times New Roman"/>
                        </w:rPr>
                        <w:t xml:space="preserve">o inform the development of educational public health messages that motivate </w:t>
                      </w:r>
                      <w:r w:rsidR="00040664">
                        <w:rPr>
                          <w:rFonts w:eastAsiaTheme="minorEastAsia" w:cs="Times New Roman"/>
                        </w:rPr>
                        <w:t xml:space="preserve">adult </w:t>
                      </w:r>
                      <w:r w:rsidRPr="0076674A" w:rsidR="00DF000E">
                        <w:rPr>
                          <w:rFonts w:eastAsiaTheme="minorEastAsia" w:cs="Times New Roman"/>
                        </w:rPr>
                        <w:t xml:space="preserve">members of the </w:t>
                      </w:r>
                      <w:r w:rsidRPr="0076674A" w:rsidR="0047371C">
                        <w:rPr>
                          <w:rFonts w:eastAsiaTheme="minorEastAsia" w:cs="Times New Roman"/>
                        </w:rPr>
                        <w:t xml:space="preserve">U.S. </w:t>
                      </w:r>
                      <w:r w:rsidRPr="002224C9" w:rsidR="00916876">
                        <w:rPr>
                          <w:rFonts w:eastAsiaTheme="minorEastAsia" w:cs="Times New Roman"/>
                        </w:rPr>
                        <w:t>general</w:t>
                      </w:r>
                      <w:r w:rsidRPr="00916876" w:rsidR="00916876">
                        <w:rPr>
                          <w:rFonts w:eastAsiaTheme="minorEastAsia" w:cs="Times New Roman"/>
                        </w:rPr>
                        <w:t xml:space="preserve"> </w:t>
                      </w:r>
                      <w:r w:rsidRPr="0076674A" w:rsidR="00DF000E">
                        <w:rPr>
                          <w:rFonts w:eastAsiaTheme="minorEastAsia" w:cs="Times New Roman"/>
                        </w:rPr>
                        <w:t>population to engage in actions that have the potential to slow the spread and development of antimicrobial resistance</w:t>
                      </w:r>
                      <w:r w:rsidRPr="0076674A" w:rsidR="0047371C">
                        <w:rPr>
                          <w:rFonts w:eastAsiaTheme="minorEastAsia" w:cs="Times New Roman"/>
                        </w:rPr>
                        <w:t>.</w:t>
                      </w:r>
                    </w:p>
                    <w:p w:rsidR="004A13E8" w:rsidRPr="00F60999" w:rsidP="004A13E8" w14:paraId="55FE1838" w14:textId="3E866994">
                      <w:pPr>
                        <w:pStyle w:val="Bullets"/>
                        <w:rPr>
                          <w:rFonts w:cs="Times New Roman"/>
                          <w:b/>
                        </w:rPr>
                      </w:pPr>
                      <w:r w:rsidRPr="00F60999">
                        <w:rPr>
                          <w:rFonts w:cs="Times New Roman"/>
                          <w:b/>
                        </w:rPr>
                        <w:t>Intended use of the resulting data:</w:t>
                      </w:r>
                      <w:r w:rsidR="000555B8">
                        <w:t xml:space="preserve"> </w:t>
                      </w:r>
                      <w:r w:rsidRPr="00F60999" w:rsidR="000C331D">
                        <w:rPr>
                          <w:rFonts w:cs="Times New Roman"/>
                        </w:rPr>
                        <w:t xml:space="preserve">The data will </w:t>
                      </w:r>
                      <w:r w:rsidR="008C1A42">
                        <w:rPr>
                          <w:rFonts w:cs="Times New Roman"/>
                        </w:rPr>
                        <w:t xml:space="preserve">determine </w:t>
                      </w:r>
                      <w:r w:rsidRPr="00F60999" w:rsidR="006D1700">
                        <w:rPr>
                          <w:rFonts w:cs="Times New Roman"/>
                        </w:rPr>
                        <w:t>which</w:t>
                      </w:r>
                      <w:r w:rsidRPr="00F60999" w:rsidR="00DD20B6">
                        <w:rPr>
                          <w:rFonts w:cs="Times New Roman"/>
                        </w:rPr>
                        <w:t xml:space="preserve"> concepts</w:t>
                      </w:r>
                      <w:r w:rsidRPr="00F60999" w:rsidR="00E46C70">
                        <w:rPr>
                          <w:rFonts w:cs="Times New Roman"/>
                        </w:rPr>
                        <w:t xml:space="preserve"> and</w:t>
                      </w:r>
                      <w:r w:rsidR="009A0BBA">
                        <w:rPr>
                          <w:rFonts w:cs="Times New Roman"/>
                        </w:rPr>
                        <w:t>/or</w:t>
                      </w:r>
                      <w:r w:rsidRPr="00F60999" w:rsidR="00E46C70">
                        <w:rPr>
                          <w:rFonts w:cs="Times New Roman"/>
                        </w:rPr>
                        <w:t xml:space="preserve"> messages </w:t>
                      </w:r>
                      <w:r w:rsidRPr="00F60999" w:rsidR="00F8709A">
                        <w:rPr>
                          <w:rFonts w:cs="Times New Roman"/>
                        </w:rPr>
                        <w:t>are</w:t>
                      </w:r>
                      <w:r w:rsidRPr="00F60999" w:rsidR="006D1700">
                        <w:rPr>
                          <w:rFonts w:cs="Times New Roman"/>
                        </w:rPr>
                        <w:t xml:space="preserve"> </w:t>
                      </w:r>
                      <w:r w:rsidRPr="00F60999" w:rsidR="00F60999">
                        <w:rPr>
                          <w:rFonts w:cs="Times New Roman"/>
                        </w:rPr>
                        <w:t xml:space="preserve">the </w:t>
                      </w:r>
                      <w:r w:rsidRPr="00F60999" w:rsidR="006D1700">
                        <w:rPr>
                          <w:rFonts w:cs="Times New Roman"/>
                        </w:rPr>
                        <w:t xml:space="preserve">most effective </w:t>
                      </w:r>
                      <w:r w:rsidRPr="00F60999" w:rsidR="003F14DF">
                        <w:rPr>
                          <w:rFonts w:cs="Times New Roman"/>
                        </w:rPr>
                        <w:t xml:space="preserve">in </w:t>
                      </w:r>
                      <w:r w:rsidR="00D00E8B">
                        <w:t>combating antimicrobial resistance among</w:t>
                      </w:r>
                      <w:r w:rsidRPr="00F60999" w:rsidR="00F8709A">
                        <w:rPr>
                          <w:rFonts w:cs="Times New Roman"/>
                        </w:rPr>
                        <w:t xml:space="preserve"> </w:t>
                      </w:r>
                      <w:r w:rsidR="008464EA">
                        <w:rPr>
                          <w:rFonts w:cs="Times New Roman"/>
                        </w:rPr>
                        <w:t xml:space="preserve">adults in </w:t>
                      </w:r>
                      <w:r w:rsidRPr="0076674A" w:rsidR="00F60999">
                        <w:rPr>
                          <w:rFonts w:eastAsiaTheme="minorEastAsia" w:cs="Times New Roman"/>
                        </w:rPr>
                        <w:t xml:space="preserve">the U.S. </w:t>
                      </w:r>
                      <w:r w:rsidRPr="002224C9" w:rsidR="00916876">
                        <w:rPr>
                          <w:rFonts w:eastAsiaTheme="minorEastAsia" w:cs="Times New Roman"/>
                        </w:rPr>
                        <w:t>general</w:t>
                      </w:r>
                      <w:r w:rsidRPr="00916876" w:rsidR="00916876">
                        <w:rPr>
                          <w:rFonts w:eastAsiaTheme="minorEastAsia" w:cs="Times New Roman"/>
                        </w:rPr>
                        <w:t xml:space="preserve"> </w:t>
                      </w:r>
                      <w:r w:rsidRPr="0076674A" w:rsidR="00F60999">
                        <w:rPr>
                          <w:rFonts w:eastAsiaTheme="minorEastAsia" w:cs="Times New Roman"/>
                        </w:rPr>
                        <w:t xml:space="preserve">population. </w:t>
                      </w:r>
                    </w:p>
                    <w:p w:rsidR="009D785A" w:rsidRPr="00F60999" w:rsidP="004A13E8" w14:paraId="7100ADC2" w14:textId="6B437534">
                      <w:pPr>
                        <w:pStyle w:val="Bullets"/>
                        <w:rPr>
                          <w:rFonts w:cs="Times New Roman"/>
                          <w:b/>
                        </w:rPr>
                      </w:pPr>
                      <w:r w:rsidRPr="00F60999">
                        <w:rPr>
                          <w:rFonts w:cs="Times New Roman"/>
                          <w:b/>
                        </w:rPr>
                        <w:t>Methods to be used to collect:</w:t>
                      </w:r>
                      <w:r w:rsidRPr="00F60999" w:rsidR="001A58BE">
                        <w:rPr>
                          <w:rFonts w:cs="Times New Roman"/>
                          <w:b/>
                        </w:rPr>
                        <w:t xml:space="preserve"> </w:t>
                      </w:r>
                      <w:r w:rsidR="00E84C79">
                        <w:rPr>
                          <w:rFonts w:cs="Times New Roman"/>
                        </w:rPr>
                        <w:t xml:space="preserve">We plan to conduct </w:t>
                      </w:r>
                      <w:r w:rsidR="00383C56">
                        <w:rPr>
                          <w:rFonts w:cs="Times New Roman"/>
                        </w:rPr>
                        <w:t xml:space="preserve">virtual </w:t>
                      </w:r>
                      <w:r w:rsidR="00E84C79">
                        <w:rPr>
                          <w:rFonts w:cs="Times New Roman"/>
                        </w:rPr>
                        <w:t>s</w:t>
                      </w:r>
                      <w:r w:rsidR="002F0EBC">
                        <w:rPr>
                          <w:rFonts w:cs="Times New Roman"/>
                        </w:rPr>
                        <w:t>taggered focus groups and</w:t>
                      </w:r>
                      <w:r w:rsidR="00443356">
                        <w:rPr>
                          <w:rFonts w:cs="Times New Roman"/>
                        </w:rPr>
                        <w:t>/o</w:t>
                      </w:r>
                      <w:r w:rsidR="005A46CB">
                        <w:rPr>
                          <w:rFonts w:cs="Times New Roman"/>
                        </w:rPr>
                        <w:t>r</w:t>
                      </w:r>
                      <w:r w:rsidR="002F0EBC">
                        <w:rPr>
                          <w:rFonts w:cs="Times New Roman"/>
                        </w:rPr>
                        <w:t xml:space="preserve"> </w:t>
                      </w:r>
                      <w:r w:rsidR="00383C56">
                        <w:rPr>
                          <w:rFonts w:cs="Times New Roman"/>
                        </w:rPr>
                        <w:t xml:space="preserve">virtual </w:t>
                      </w:r>
                      <w:r w:rsidR="002F0EBC">
                        <w:rPr>
                          <w:rFonts w:cs="Times New Roman"/>
                        </w:rPr>
                        <w:t>in-depth-interviews</w:t>
                      </w:r>
                      <w:r w:rsidR="002910CD">
                        <w:rPr>
                          <w:rFonts w:cs="Times New Roman"/>
                        </w:rPr>
                        <w:t xml:space="preserve">. </w:t>
                      </w:r>
                    </w:p>
                    <w:p w:rsidR="00F55C57" w:rsidRPr="0076674A" w:rsidP="0076674A" w14:paraId="62DC37C7" w14:textId="4E40D185">
                      <w:pPr>
                        <w:pStyle w:val="Bullets"/>
                        <w:rPr>
                          <w:rFonts w:eastAsiaTheme="minorEastAsia" w:cs="Times New Roman"/>
                        </w:rPr>
                      </w:pPr>
                      <w:r w:rsidRPr="009D785A">
                        <w:rPr>
                          <w:rFonts w:cs="Times New Roman"/>
                          <w:b/>
                        </w:rPr>
                        <w:t>The subpopulation to be studied:</w:t>
                      </w:r>
                      <w:r w:rsidRPr="009D785A" w:rsidR="001A58BE">
                        <w:rPr>
                          <w:rFonts w:cs="Times New Roman"/>
                          <w:b/>
                        </w:rPr>
                        <w:t xml:space="preserve"> </w:t>
                      </w:r>
                      <w:r w:rsidRPr="0076674A">
                        <w:rPr>
                          <w:rFonts w:eastAsiaTheme="minorEastAsia" w:cs="Times New Roman"/>
                          <w:color w:val="000000" w:themeColor="text1"/>
                        </w:rPr>
                        <w:t>The five target audiences are</w:t>
                      </w:r>
                      <w:r w:rsidRPr="0076674A" w:rsidR="00023782">
                        <w:rPr>
                          <w:rFonts w:eastAsiaTheme="minorEastAsia" w:cs="Times New Roman"/>
                          <w:color w:val="000000" w:themeColor="text1"/>
                        </w:rPr>
                        <w:t xml:space="preserve"> </w:t>
                      </w:r>
                      <w:r w:rsidRPr="0076674A" w:rsidR="009D785A">
                        <w:rPr>
                          <w:rFonts w:eastAsiaTheme="minorEastAsia" w:cs="Times New Roman"/>
                          <w:color w:val="000000" w:themeColor="text1"/>
                        </w:rPr>
                        <w:t xml:space="preserve">adult </w:t>
                      </w:r>
                      <w:r w:rsidRPr="0076674A" w:rsidR="00023782">
                        <w:rPr>
                          <w:rFonts w:eastAsiaTheme="minorEastAsia" w:cs="Times New Roman"/>
                          <w:color w:val="000000" w:themeColor="text1"/>
                        </w:rPr>
                        <w:t>members of the U.S. population</w:t>
                      </w:r>
                      <w:r w:rsidRPr="0076674A">
                        <w:rPr>
                          <w:rFonts w:eastAsiaTheme="minorEastAsia" w:cs="Times New Roman"/>
                          <w:color w:val="000000" w:themeColor="text1"/>
                        </w:rPr>
                        <w:t xml:space="preserve">, by age: </w:t>
                      </w:r>
                      <w:r w:rsidRPr="0076674A">
                        <w:rPr>
                          <w:rFonts w:eastAsiaTheme="minorEastAsia" w:cs="Times New Roman"/>
                        </w:rPr>
                        <w:t>1) Ages 21-30, 2) Ages 31-40, 3), Ages 41-50</w:t>
                      </w:r>
                      <w:r w:rsidRPr="0076674A" w:rsidR="001106C5">
                        <w:rPr>
                          <w:rFonts w:eastAsiaTheme="minorEastAsia" w:cs="Times New Roman"/>
                        </w:rPr>
                        <w:t>,</w:t>
                      </w:r>
                      <w:r w:rsidRPr="0076674A">
                        <w:rPr>
                          <w:rFonts w:eastAsiaTheme="minorEastAsia" w:cs="Times New Roman"/>
                        </w:rPr>
                        <w:t xml:space="preserve"> 4) Ages 51-60, and 5), Ages 61-70. </w:t>
                      </w:r>
                      <w:r w:rsidRPr="0076674A" w:rsidR="00270C89">
                        <w:rPr>
                          <w:rFonts w:eastAsiaTheme="minorEastAsia" w:cs="Times New Roman"/>
                        </w:rPr>
                        <w:t>All participants must be conversant in English.</w:t>
                      </w:r>
                    </w:p>
                    <w:p w:rsidR="00300C1D" w:rsidRPr="00F60999" w:rsidP="003360A5" w14:paraId="633C89DE" w14:textId="4013E2F2">
                      <w:pPr>
                        <w:pStyle w:val="Bullets"/>
                        <w:rPr>
                          <w:rFonts w:cs="Times New Roman"/>
                          <w:b/>
                        </w:rPr>
                      </w:pPr>
                      <w:r w:rsidRPr="003360A5">
                        <w:rPr>
                          <w:rFonts w:cs="Times New Roman"/>
                          <w:b/>
                        </w:rPr>
                        <w:t>H</w:t>
                      </w:r>
                      <w:r w:rsidRPr="000C26E1">
                        <w:rPr>
                          <w:rFonts w:cs="Times New Roman"/>
                          <w:b/>
                        </w:rPr>
                        <w:t>ow data will be analyzed:</w:t>
                      </w:r>
                      <w:r w:rsidRPr="000C26E1" w:rsidR="001A58BE">
                        <w:rPr>
                          <w:rFonts w:cs="Times New Roman"/>
                          <w:b/>
                        </w:rPr>
                        <w:t xml:space="preserve"> </w:t>
                      </w:r>
                      <w:r w:rsidR="009B2184">
                        <w:rPr>
                          <w:rFonts w:cs="Times New Roman"/>
                        </w:rPr>
                        <w:t xml:space="preserve"> F</w:t>
                      </w:r>
                      <w:r w:rsidR="00F44C6F">
                        <w:rPr>
                          <w:rFonts w:cs="Times New Roman"/>
                        </w:rPr>
                        <w:t>ocus group</w:t>
                      </w:r>
                      <w:r w:rsidR="009B2184">
                        <w:rPr>
                          <w:rFonts w:cs="Times New Roman"/>
                        </w:rPr>
                        <w:t xml:space="preserve"> discussions</w:t>
                      </w:r>
                      <w:r w:rsidR="00F44C6F">
                        <w:rPr>
                          <w:rFonts w:cs="Times New Roman"/>
                        </w:rPr>
                        <w:t xml:space="preserve"> and in-depth-interviews will be </w:t>
                      </w:r>
                      <w:r w:rsidR="00651BFB">
                        <w:rPr>
                          <w:rFonts w:cs="Times New Roman"/>
                        </w:rPr>
                        <w:t>examined using</w:t>
                      </w:r>
                      <w:r w:rsidR="009B2184">
                        <w:rPr>
                          <w:rFonts w:cs="Times New Roman"/>
                        </w:rPr>
                        <w:t xml:space="preserve"> qualitative content coding. </w:t>
                      </w:r>
                    </w:p>
                    <w:p w:rsidR="004A13E8" w:rsidP="00551FBB" w14:paraId="55FE183D" w14:textId="77777777"/>
                  </w:txbxContent>
                </v:textbox>
                <w10:wrap type="tight"/>
              </v:shape>
            </w:pict>
          </mc:Fallback>
        </mc:AlternateContent>
      </w:r>
    </w:p>
    <w:p w:rsidR="004A13E8" w:rsidRPr="00C46E03" w:rsidP="004A13E8" w14:paraId="55FE17B3" w14:textId="77777777">
      <w:pPr>
        <w:pStyle w:val="Heading1"/>
      </w:pPr>
      <w:bookmarkStart w:id="2" w:name="_Toc141435829"/>
      <w:r w:rsidRPr="00C46E03">
        <w:t>Circumstances Making the Collection of Information Necessary</w:t>
      </w:r>
      <w:bookmarkEnd w:id="2"/>
    </w:p>
    <w:p w:rsidR="00E21144" w:rsidRPr="00C46E03" w:rsidP="00E21144" w14:paraId="72E55DB5" w14:textId="6F6E873D">
      <w:r w:rsidRPr="00C46E03">
        <w:t>CDC</w:t>
      </w:r>
      <w:r w:rsidRPr="00C46E03" w:rsidR="00881312">
        <w:t>’s</w:t>
      </w:r>
      <w:r w:rsidRPr="00C46E03">
        <w:t xml:space="preserve"> </w:t>
      </w:r>
      <w:r w:rsidRPr="00C46E03" w:rsidR="00DE25C4">
        <w:rPr>
          <w:bCs/>
        </w:rPr>
        <w:t xml:space="preserve">Antimicrobial Resistance Coordination and Strategy Unit (ARX) </w:t>
      </w:r>
      <w:r w:rsidRPr="00C46E03">
        <w:t xml:space="preserve">requests approval for a new </w:t>
      </w:r>
      <w:r w:rsidRPr="00C46E03" w:rsidR="003D3C28">
        <w:t xml:space="preserve">information collection </w:t>
      </w:r>
      <w:r w:rsidRPr="00C46E03" w:rsidR="00A7633F">
        <w:t xml:space="preserve">titled, </w:t>
      </w:r>
      <w:r w:rsidRPr="00C46E03" w:rsidR="00DE6927">
        <w:rPr>
          <w:rFonts w:cs="Times New Roman"/>
          <w:szCs w:val="24"/>
        </w:rPr>
        <w:t>Public Health Communications Messages and Materials Testing Focused on Antimicrobial Resistance Among the U.S. General Population</w:t>
      </w:r>
      <w:r w:rsidRPr="00C46E03" w:rsidR="000213F9">
        <w:rPr>
          <w:rFonts w:cs="Times New Roman"/>
          <w:szCs w:val="24"/>
        </w:rPr>
        <w:t xml:space="preserve">” </w:t>
      </w:r>
      <w:r w:rsidRPr="00C46E03">
        <w:t xml:space="preserve">under </w:t>
      </w:r>
      <w:r w:rsidRPr="00C46E03" w:rsidR="00C529E1">
        <w:t>GenIC</w:t>
      </w:r>
      <w:r w:rsidRPr="00C46E03" w:rsidR="00C529E1">
        <w:t xml:space="preserve"> </w:t>
      </w:r>
      <w:r w:rsidRPr="00C46E03">
        <w:t>OMB Control No. 0920-1154</w:t>
      </w:r>
      <w:r w:rsidRPr="00C46E03" w:rsidR="00B20A29">
        <w:t xml:space="preserve"> (</w:t>
      </w:r>
      <w:r w:rsidRPr="00C46E03" w:rsidR="000213F9">
        <w:t>Exp</w:t>
      </w:r>
      <w:r w:rsidRPr="00C46E03" w:rsidR="008E2C17">
        <w:t>iration Date: 03/31/2026</w:t>
      </w:r>
      <w:r w:rsidRPr="00C46E03" w:rsidR="00B20A29">
        <w:t>)</w:t>
      </w:r>
      <w:r w:rsidRPr="00C46E03" w:rsidR="00145573">
        <w:t xml:space="preserve">.  </w:t>
      </w:r>
      <w:r w:rsidRPr="00C46E03">
        <w:t xml:space="preserve">Information collection activities are limited to formative work that will result in the development of </w:t>
      </w:r>
      <w:r w:rsidRPr="00C46E03" w:rsidR="00CD50BD">
        <w:t xml:space="preserve">public </w:t>
      </w:r>
      <w:r w:rsidRPr="00C46E03" w:rsidR="00B30A82">
        <w:t xml:space="preserve">health communication messages and materials that encourage and motivate </w:t>
      </w:r>
      <w:r w:rsidRPr="00C46E03" w:rsidR="00A5383B">
        <w:t xml:space="preserve">adults from </w:t>
      </w:r>
      <w:r w:rsidRPr="00C46E03" w:rsidR="00B30A82">
        <w:t xml:space="preserve">the </w:t>
      </w:r>
      <w:r w:rsidRPr="00C46E03" w:rsidR="00E563ED">
        <w:t xml:space="preserve">U.S. </w:t>
      </w:r>
      <w:r w:rsidRPr="00C46E03" w:rsidR="00B30A82">
        <w:t>general population to change their behavior to help reduce antimicrobial</w:t>
      </w:r>
      <w:r w:rsidRPr="00C46E03" w:rsidR="008D2782">
        <w:t xml:space="preserve"> </w:t>
      </w:r>
      <w:r w:rsidRPr="00C46E03" w:rsidR="00B30A82">
        <w:t>resistant infection</w:t>
      </w:r>
      <w:r w:rsidRPr="00C46E03" w:rsidR="00E563ED">
        <w:t>s</w:t>
      </w:r>
      <w:r w:rsidRPr="00C46E03">
        <w:t xml:space="preserve">. </w:t>
      </w:r>
    </w:p>
    <w:p w:rsidR="001466C0" w:rsidRPr="00C46E03" w:rsidP="001466C0" w14:paraId="277B4649" w14:textId="2AA460F7">
      <w:r w:rsidRPr="00C46E03">
        <w:t>Antimicrobial resistance, the ability of germs to resist the drugs designed to kill them, is one of the greatest global public health challenges of our time (Aslam et al., 2018; Centers for Disease Control and Prevention [</w:t>
      </w:r>
      <w:bookmarkStart w:id="3" w:name="_Int_9YYeaZZr"/>
      <w:r w:rsidRPr="00C46E03">
        <w:t>CDC</w:t>
      </w:r>
      <w:bookmarkEnd w:id="3"/>
      <w:r w:rsidRPr="00C46E03">
        <w:t xml:space="preserve">], 2019a; </w:t>
      </w:r>
      <w:r w:rsidRPr="00C46E03">
        <w:t>Ventola</w:t>
      </w:r>
      <w:r w:rsidRPr="00C46E03">
        <w:t xml:space="preserve">, 2015). We now live in an era when people around the world are dying from untreatable infections because of antimicrobial resistance (CDC, 2019a). </w:t>
      </w:r>
    </w:p>
    <w:p w:rsidR="00735072" w:rsidRPr="00C46E03" w:rsidP="00735072" w14:paraId="7DD01219" w14:textId="7E473009">
      <w:pPr>
        <w:pStyle w:val="CommentText"/>
        <w:numPr>
          <w:ilvl w:val="0"/>
          <w:numId w:val="9"/>
        </w:numPr>
        <w:spacing w:after="0"/>
        <w:rPr>
          <w:sz w:val="24"/>
          <w:szCs w:val="22"/>
        </w:rPr>
      </w:pPr>
      <w:r w:rsidRPr="00C46E03">
        <w:rPr>
          <w:sz w:val="24"/>
          <w:szCs w:val="22"/>
        </w:rPr>
        <w:t>Survey data show that people do not fully understand antimicrobial resistance</w:t>
      </w:r>
      <w:r w:rsidRPr="00C46E03" w:rsidR="00F153BA">
        <w:rPr>
          <w:sz w:val="24"/>
          <w:szCs w:val="22"/>
        </w:rPr>
        <w:t>.</w:t>
      </w:r>
    </w:p>
    <w:p w:rsidR="001466C0" w:rsidRPr="00C46E03" w:rsidP="001466C0" w14:paraId="1970A526" w14:textId="77777777">
      <w:pPr>
        <w:pStyle w:val="CommentText"/>
        <w:spacing w:after="0"/>
        <w:ind w:left="720"/>
        <w:rPr>
          <w:sz w:val="24"/>
          <w:szCs w:val="22"/>
        </w:rPr>
      </w:pPr>
    </w:p>
    <w:p w:rsidR="001466C0" w:rsidRPr="00C46E03" w:rsidP="001466C0" w14:paraId="6D993226" w14:textId="0C0AB34C">
      <w:pPr>
        <w:pStyle w:val="CommentText"/>
        <w:numPr>
          <w:ilvl w:val="0"/>
          <w:numId w:val="9"/>
        </w:numPr>
        <w:spacing w:after="0"/>
        <w:rPr>
          <w:sz w:val="24"/>
          <w:szCs w:val="22"/>
        </w:rPr>
      </w:pPr>
      <w:r w:rsidRPr="00C46E03">
        <w:rPr>
          <w:sz w:val="24"/>
          <w:szCs w:val="22"/>
        </w:rPr>
        <w:t>Because everyone has a role to play in public health, we need everyone to take action to help slow and/or reduce the spread of antimicrobial resistance</w:t>
      </w:r>
      <w:r w:rsidRPr="00C46E03" w:rsidR="00F153BA">
        <w:rPr>
          <w:sz w:val="24"/>
          <w:szCs w:val="22"/>
        </w:rPr>
        <w:t>.</w:t>
      </w:r>
      <w:r w:rsidRPr="00C46E03">
        <w:rPr>
          <w:sz w:val="24"/>
          <w:szCs w:val="22"/>
        </w:rPr>
        <w:t xml:space="preserve"> </w:t>
      </w:r>
    </w:p>
    <w:p w:rsidR="001466C0" w:rsidRPr="00C46E03" w:rsidP="001466C0" w14:paraId="2A7F1B7D" w14:textId="77777777">
      <w:pPr>
        <w:pStyle w:val="CommentText"/>
        <w:spacing w:after="0"/>
        <w:rPr>
          <w:sz w:val="24"/>
          <w:szCs w:val="22"/>
        </w:rPr>
      </w:pPr>
    </w:p>
    <w:p w:rsidR="00331580" w:rsidRPr="00C46E03" w:rsidP="0076674A" w14:paraId="29C75315" w14:textId="29EB8744">
      <w:pPr>
        <w:pStyle w:val="CommentText"/>
        <w:numPr>
          <w:ilvl w:val="0"/>
          <w:numId w:val="9"/>
        </w:numPr>
        <w:spacing w:after="0"/>
      </w:pPr>
      <w:r w:rsidRPr="00C46E03">
        <w:rPr>
          <w:sz w:val="24"/>
          <w:szCs w:val="22"/>
        </w:rPr>
        <w:t>Existing CDC public health campaigns have focused on increasing awareness of antibiotic</w:t>
      </w:r>
      <w:r w:rsidRPr="00C46E03" w:rsidR="00D428DE">
        <w:rPr>
          <w:sz w:val="24"/>
          <w:szCs w:val="22"/>
        </w:rPr>
        <w:t>/</w:t>
      </w:r>
      <w:r w:rsidRPr="00C46E03" w:rsidR="001E4A80">
        <w:rPr>
          <w:sz w:val="24"/>
          <w:szCs w:val="22"/>
        </w:rPr>
        <w:t>antifungal drug</w:t>
      </w:r>
      <w:r w:rsidRPr="00C46E03">
        <w:rPr>
          <w:sz w:val="24"/>
          <w:szCs w:val="22"/>
        </w:rPr>
        <w:t xml:space="preserve"> use</w:t>
      </w:r>
      <w:r w:rsidRPr="00C46E03" w:rsidR="0043156C">
        <w:rPr>
          <w:sz w:val="24"/>
          <w:szCs w:val="22"/>
        </w:rPr>
        <w:t xml:space="preserve"> and its role in antimicrobial </w:t>
      </w:r>
      <w:r w:rsidRPr="00C46E03" w:rsidR="0099336C">
        <w:rPr>
          <w:sz w:val="24"/>
          <w:szCs w:val="22"/>
        </w:rPr>
        <w:t>resistance.</w:t>
      </w:r>
      <w:r w:rsidRPr="00C46E03">
        <w:rPr>
          <w:sz w:val="24"/>
          <w:szCs w:val="22"/>
        </w:rPr>
        <w:t xml:space="preserve"> </w:t>
      </w:r>
    </w:p>
    <w:p w:rsidR="00F45D39" w:rsidRPr="00C46E03" w:rsidP="00C82E6E" w14:paraId="2954002F" w14:textId="77777777">
      <w:pPr>
        <w:pStyle w:val="CommentText"/>
        <w:spacing w:after="0" w:line="276" w:lineRule="auto"/>
        <w:rPr>
          <w:sz w:val="24"/>
          <w:szCs w:val="22"/>
        </w:rPr>
      </w:pPr>
    </w:p>
    <w:p w:rsidR="00DF08D6" w:rsidRPr="00C46E03" w:rsidP="00A40C64" w14:paraId="630804C6" w14:textId="63FCC920">
      <w:r w:rsidRPr="00C46E03">
        <w:t>E</w:t>
      </w:r>
      <w:r w:rsidRPr="00C46E03" w:rsidR="00B30A82">
        <w:t xml:space="preserve">ffective public health campaigns are needed to increase awareness of </w:t>
      </w:r>
      <w:r w:rsidRPr="00C46E03" w:rsidR="00E90F29">
        <w:t>antimicrobial resistance among adults in the U.S. general population</w:t>
      </w:r>
      <w:r w:rsidRPr="00C46E03" w:rsidR="00E90F29">
        <w:t xml:space="preserve"> </w:t>
      </w:r>
      <w:r w:rsidRPr="00C46E03" w:rsidR="00CF4C38">
        <w:t>and motivate them to engage in actions that have the potential to slow the spread and development of antimicrobial resistance</w:t>
      </w:r>
      <w:r w:rsidRPr="00C46E03" w:rsidR="00457BEA">
        <w:t xml:space="preserve"> (e.g., hand washing, improved use of antibiotics/antifungals, getting vaccinated, etc.)</w:t>
      </w:r>
      <w:r w:rsidRPr="00C46E03" w:rsidR="00CF4C38">
        <w:t xml:space="preserve">. </w:t>
      </w:r>
      <w:r w:rsidRPr="00C46E03" w:rsidR="0019792F">
        <w:t xml:space="preserve">This project will test </w:t>
      </w:r>
      <w:r w:rsidRPr="00C46E03" w:rsidR="00477035">
        <w:t xml:space="preserve">antimicrobial </w:t>
      </w:r>
      <w:r w:rsidRPr="00C46E03" w:rsidR="0019792F">
        <w:t xml:space="preserve">concepts </w:t>
      </w:r>
      <w:r w:rsidRPr="00C46E03" w:rsidR="00C6507A">
        <w:t xml:space="preserve">and materials </w:t>
      </w:r>
      <w:r w:rsidRPr="00C46E03" w:rsidR="0019792F">
        <w:t xml:space="preserve">to inform the development </w:t>
      </w:r>
      <w:r w:rsidRPr="00C46E03" w:rsidR="00901B62">
        <w:t xml:space="preserve">of </w:t>
      </w:r>
      <w:r w:rsidRPr="00C46E03" w:rsidR="0019792F">
        <w:t>educational public health messages</w:t>
      </w:r>
      <w:r w:rsidRPr="00C46E03" w:rsidR="00FF34B6">
        <w:t>.</w:t>
      </w:r>
      <w:r w:rsidRPr="00C46E03">
        <w:t xml:space="preserve"> Without</w:t>
      </w:r>
      <w:r w:rsidRPr="00C46E03">
        <w:t xml:space="preserve"> this data collection </w:t>
      </w:r>
      <w:r w:rsidRPr="00C46E03">
        <w:t xml:space="preserve">CDC ARX will not know if antimicrobial resistance campaign messages are effectively reaching and educating the general population nor how to refine or refresh the messaging to improve clarity, receptivity, relevance, and effectiveness. </w:t>
      </w:r>
    </w:p>
    <w:p w:rsidR="001466C0" w:rsidRPr="00C46E03" w:rsidP="001466C0" w14:paraId="16D0CB4B" w14:textId="77777777">
      <w:pPr>
        <w:pStyle w:val="CommentText"/>
        <w:spacing w:after="0"/>
        <w:rPr>
          <w:sz w:val="24"/>
          <w:szCs w:val="22"/>
        </w:rPr>
      </w:pPr>
    </w:p>
    <w:p w:rsidR="004A13E8" w:rsidRPr="00C46E03" w:rsidP="004A13E8" w14:paraId="55FE17B7" w14:textId="77777777">
      <w:pPr>
        <w:pStyle w:val="Heading1"/>
      </w:pPr>
      <w:bookmarkStart w:id="4" w:name="_Toc141435830"/>
      <w:r w:rsidRPr="00C46E03">
        <w:t>Purpose and Use of Information Collection</w:t>
      </w:r>
      <w:bookmarkEnd w:id="4"/>
    </w:p>
    <w:p w:rsidR="00773CDB" w:rsidRPr="00C46E03" w:rsidP="00A40C64" w14:paraId="24658B64" w14:textId="7F9F02C9">
      <w:pPr>
        <w:rPr>
          <w:szCs w:val="24"/>
        </w:rPr>
      </w:pPr>
      <w:r w:rsidRPr="00C46E03">
        <w:rPr>
          <w:szCs w:val="24"/>
        </w:rPr>
        <w:t>The</w:t>
      </w:r>
      <w:r w:rsidRPr="00C46E03">
        <w:rPr>
          <w:szCs w:val="24"/>
        </w:rPr>
        <w:t xml:space="preserve"> goals and objectives of th</w:t>
      </w:r>
      <w:r w:rsidRPr="00C46E03" w:rsidR="00C86F43">
        <w:rPr>
          <w:szCs w:val="24"/>
        </w:rPr>
        <w:t>is</w:t>
      </w:r>
      <w:r w:rsidRPr="00C46E03" w:rsidR="00CC253E">
        <w:rPr>
          <w:szCs w:val="24"/>
        </w:rPr>
        <w:t xml:space="preserve"> project </w:t>
      </w:r>
      <w:r w:rsidRPr="00C46E03" w:rsidR="007F3B8E">
        <w:rPr>
          <w:szCs w:val="24"/>
        </w:rPr>
        <w:t xml:space="preserve">are: </w:t>
      </w:r>
    </w:p>
    <w:p w:rsidR="00773CDB" w:rsidRPr="00C46E03" w:rsidP="00A40C64" w14:paraId="66A14C2C" w14:textId="352FE343">
      <w:pPr>
        <w:pStyle w:val="CommentText"/>
        <w:numPr>
          <w:ilvl w:val="0"/>
          <w:numId w:val="9"/>
        </w:numPr>
        <w:spacing w:line="276" w:lineRule="auto"/>
        <w:rPr>
          <w:sz w:val="24"/>
          <w:szCs w:val="22"/>
        </w:rPr>
      </w:pPr>
      <w:r w:rsidRPr="00C46E03">
        <w:rPr>
          <w:sz w:val="24"/>
          <w:szCs w:val="22"/>
        </w:rPr>
        <w:t>Identify existing knowledge, attitudes, beliefs, and overall understanding of antimicrobial resistance</w:t>
      </w:r>
      <w:r w:rsidRPr="00C46E03" w:rsidR="00FC71D3">
        <w:rPr>
          <w:sz w:val="24"/>
          <w:szCs w:val="22"/>
        </w:rPr>
        <w:t xml:space="preserve"> among adults</w:t>
      </w:r>
      <w:r w:rsidRPr="00C46E03" w:rsidR="00A65C73">
        <w:rPr>
          <w:sz w:val="24"/>
          <w:szCs w:val="22"/>
        </w:rPr>
        <w:t xml:space="preserve"> in the U.S. general population</w:t>
      </w:r>
      <w:r w:rsidRPr="00C46E03" w:rsidR="004C49C0">
        <w:rPr>
          <w:sz w:val="24"/>
          <w:szCs w:val="22"/>
        </w:rPr>
        <w:t>.</w:t>
      </w:r>
    </w:p>
    <w:p w:rsidR="00773CDB" w:rsidRPr="00C46E03" w:rsidP="00A40C64" w14:paraId="377487C2" w14:textId="2AA80DB1">
      <w:pPr>
        <w:pStyle w:val="CommentText"/>
        <w:numPr>
          <w:ilvl w:val="0"/>
          <w:numId w:val="9"/>
        </w:numPr>
        <w:spacing w:line="276" w:lineRule="auto"/>
        <w:rPr>
          <w:sz w:val="24"/>
          <w:szCs w:val="22"/>
        </w:rPr>
      </w:pPr>
      <w:r w:rsidRPr="00C46E03">
        <w:rPr>
          <w:sz w:val="24"/>
          <w:szCs w:val="22"/>
        </w:rPr>
        <w:t xml:space="preserve">Capture feedback on the content/messages, tone, style, and format of potential future public health communication materials to understand what resonates with the </w:t>
      </w:r>
      <w:r w:rsidRPr="00C46E03" w:rsidR="00865999">
        <w:rPr>
          <w:sz w:val="24"/>
          <w:szCs w:val="22"/>
        </w:rPr>
        <w:t xml:space="preserve">adult </w:t>
      </w:r>
      <w:r w:rsidRPr="00C46E03">
        <w:rPr>
          <w:sz w:val="24"/>
          <w:szCs w:val="22"/>
        </w:rPr>
        <w:t>general population</w:t>
      </w:r>
      <w:r w:rsidRPr="00C46E03" w:rsidR="004C49C0">
        <w:rPr>
          <w:sz w:val="24"/>
          <w:szCs w:val="22"/>
        </w:rPr>
        <w:t>.</w:t>
      </w:r>
    </w:p>
    <w:p w:rsidR="00773CDB" w:rsidRPr="00C46E03" w:rsidP="00A40C64" w14:paraId="7ACA2F85" w14:textId="22A51FA7">
      <w:pPr>
        <w:pStyle w:val="CommentText"/>
        <w:numPr>
          <w:ilvl w:val="0"/>
          <w:numId w:val="9"/>
        </w:numPr>
        <w:spacing w:line="276" w:lineRule="auto"/>
        <w:rPr>
          <w:sz w:val="24"/>
          <w:szCs w:val="22"/>
        </w:rPr>
      </w:pPr>
      <w:r w:rsidRPr="00C46E03">
        <w:rPr>
          <w:sz w:val="24"/>
          <w:szCs w:val="22"/>
        </w:rPr>
        <w:t>Capture feedback to assess different public health communication materials and messages to understand which would motivate people to change their behavior to help reduce the spread of antimicrobial-resistant infections</w:t>
      </w:r>
      <w:r w:rsidRPr="00C46E03" w:rsidR="004C49C0">
        <w:rPr>
          <w:sz w:val="24"/>
          <w:szCs w:val="22"/>
        </w:rPr>
        <w:t>.</w:t>
      </w:r>
    </w:p>
    <w:p w:rsidR="00BC09E8" w:rsidRPr="00C46E03" w:rsidP="004819FE" w14:paraId="171C7141" w14:textId="1A180B14">
      <w:pPr>
        <w:rPr>
          <w:bCs/>
        </w:rPr>
      </w:pPr>
      <w:r w:rsidRPr="00C46E03">
        <w:rPr>
          <w:bCs/>
        </w:rPr>
        <w:t xml:space="preserve">CDC contracted with CATMEDIA, </w:t>
      </w:r>
      <w:r w:rsidRPr="00C46E03">
        <w:t xml:space="preserve">a Program Management and Creative Services firm in Tucker, Georgia, </w:t>
      </w:r>
      <w:r w:rsidRPr="00C46E03">
        <w:rPr>
          <w:bCs/>
        </w:rPr>
        <w:t xml:space="preserve">to develop and execute this </w:t>
      </w:r>
      <w:r w:rsidRPr="00C46E03" w:rsidR="00AB29D2">
        <w:rPr>
          <w:bCs/>
        </w:rPr>
        <w:t xml:space="preserve">data collection </w:t>
      </w:r>
      <w:r w:rsidRPr="00C46E03">
        <w:rPr>
          <w:bCs/>
        </w:rPr>
        <w:t xml:space="preserve">on behalf of the CDC. CATMEDIA has </w:t>
      </w:r>
      <w:r w:rsidRPr="00C46E03" w:rsidR="000E131A">
        <w:rPr>
          <w:bCs/>
        </w:rPr>
        <w:t xml:space="preserve">partnered </w:t>
      </w:r>
      <w:r w:rsidRPr="00C46E03">
        <w:rPr>
          <w:bCs/>
        </w:rPr>
        <w:t xml:space="preserve">with C.E.K. &amp; Partners, </w:t>
      </w:r>
      <w:r w:rsidRPr="00C46E03">
        <w:t>a marketing and research firm located in Atlanta, Georgia</w:t>
      </w:r>
      <w:r w:rsidRPr="00C46E03">
        <w:rPr>
          <w:bCs/>
        </w:rPr>
        <w:t xml:space="preserve"> to lead the </w:t>
      </w:r>
      <w:r w:rsidRPr="00C46E03" w:rsidR="007D7C5C">
        <w:rPr>
          <w:bCs/>
        </w:rPr>
        <w:t>projects</w:t>
      </w:r>
      <w:r w:rsidRPr="00C46E03" w:rsidR="0073436E">
        <w:rPr>
          <w:bCs/>
        </w:rPr>
        <w:t xml:space="preserve"> </w:t>
      </w:r>
      <w:r w:rsidRPr="00C46E03">
        <w:rPr>
          <w:bCs/>
        </w:rPr>
        <w:t>recruitment and data collection activities</w:t>
      </w:r>
      <w:r w:rsidRPr="00C46E03" w:rsidR="007D7C5C">
        <w:rPr>
          <w:bCs/>
        </w:rPr>
        <w:t xml:space="preserve"> </w:t>
      </w:r>
      <w:r w:rsidRPr="00C46E03" w:rsidR="009569A5">
        <w:rPr>
          <w:bCs/>
        </w:rPr>
        <w:t>(</w:t>
      </w:r>
      <w:r w:rsidRPr="00C46E03" w:rsidR="00772CFB">
        <w:rPr>
          <w:bCs/>
        </w:rPr>
        <w:t>note</w:t>
      </w:r>
      <w:r w:rsidRPr="00C46E03" w:rsidR="005D2432">
        <w:rPr>
          <w:bCs/>
        </w:rPr>
        <w:t xml:space="preserve"> that</w:t>
      </w:r>
      <w:r w:rsidRPr="00C46E03" w:rsidR="00772CFB">
        <w:rPr>
          <w:bCs/>
        </w:rPr>
        <w:t xml:space="preserve"> </w:t>
      </w:r>
      <w:r w:rsidRPr="00C46E03" w:rsidR="009569A5">
        <w:rPr>
          <w:bCs/>
        </w:rPr>
        <w:t xml:space="preserve">hereafter CATMEDIA and C.E.K are collectively referred to as </w:t>
      </w:r>
      <w:r w:rsidRPr="00C46E03" w:rsidR="006C5BBD">
        <w:rPr>
          <w:bCs/>
        </w:rPr>
        <w:t xml:space="preserve">the </w:t>
      </w:r>
      <w:r w:rsidRPr="00C46E03" w:rsidR="009569A5">
        <w:rPr>
          <w:bCs/>
        </w:rPr>
        <w:t>‘contractor</w:t>
      </w:r>
      <w:r w:rsidRPr="00C46E03" w:rsidR="006C5BBD">
        <w:rPr>
          <w:bCs/>
        </w:rPr>
        <w:t xml:space="preserve">”). </w:t>
      </w:r>
      <w:r w:rsidRPr="00C46E03">
        <w:rPr>
          <w:bCs/>
        </w:rPr>
        <w:t xml:space="preserve"> </w:t>
      </w:r>
    </w:p>
    <w:p w:rsidR="004819FE" w:rsidRPr="00C46E03" w:rsidP="004819FE" w14:paraId="57624A04" w14:textId="198CDE16">
      <w:r w:rsidRPr="00C46E03">
        <w:rPr>
          <w:bCs/>
        </w:rPr>
        <w:t>The intended audiences for this data collection are adults from the U.S. general population, segmented by age</w:t>
      </w:r>
      <w:r w:rsidRPr="00C46E03">
        <w:rPr>
          <w:szCs w:val="24"/>
        </w:rPr>
        <w:t xml:space="preserve">: 1) Ages 21-30, 2) Ages 31-40, 3), Ages 41-50 4), Ages 51-60, and 5), Ages 61-70. </w:t>
      </w:r>
      <w:r w:rsidRPr="00C46E03">
        <w:t xml:space="preserve">Data will be collected by the contractor through staggered virtual focus groups. </w:t>
      </w:r>
      <w:r w:rsidRPr="00C46E03" w:rsidR="0095605A">
        <w:t>R</w:t>
      </w:r>
      <w:r w:rsidRPr="00C46E03" w:rsidR="003A606B">
        <w:t xml:space="preserve">espondents for this project will be a maximum of </w:t>
      </w:r>
      <w:r w:rsidRPr="00C46E03" w:rsidR="00BB5996">
        <w:t>45</w:t>
      </w:r>
      <w:r w:rsidRPr="00C46E03" w:rsidR="003A606B">
        <w:t xml:space="preserve"> individuals</w:t>
      </w:r>
      <w:r w:rsidRPr="00C46E03" w:rsidR="00935F75">
        <w:t xml:space="preserve"> (n=</w:t>
      </w:r>
      <w:r w:rsidRPr="00C46E03" w:rsidR="008567E6">
        <w:t>9 per audience segment)</w:t>
      </w:r>
      <w:r w:rsidRPr="00C46E03" w:rsidR="002704CD">
        <w:t>.</w:t>
      </w:r>
      <w:r w:rsidRPr="00C46E03" w:rsidR="003A606B">
        <w:t xml:space="preserve"> </w:t>
      </w:r>
      <w:r w:rsidRPr="00C46E03" w:rsidR="008A5664">
        <w:rPr>
          <w:rFonts w:eastAsiaTheme="minorEastAsia" w:cs="Times New Roman"/>
          <w:color w:val="000000" w:themeColor="text1"/>
        </w:rPr>
        <w:t>To compensate for potential focus group dropouts or no shows and ensure a</w:t>
      </w:r>
      <w:r w:rsidRPr="00C46E03" w:rsidR="008E7140">
        <w:rPr>
          <w:rFonts w:eastAsiaTheme="minorEastAsia" w:cs="Times New Roman"/>
          <w:color w:val="000000" w:themeColor="text1"/>
        </w:rPr>
        <w:t>n</w:t>
      </w:r>
      <w:r w:rsidRPr="00C46E03" w:rsidR="008A5664">
        <w:rPr>
          <w:rFonts w:eastAsiaTheme="minorEastAsia" w:cs="Times New Roman"/>
          <w:color w:val="000000" w:themeColor="text1"/>
        </w:rPr>
        <w:t xml:space="preserve"> n=9 per audience segment, </w:t>
      </w:r>
      <w:r w:rsidRPr="00C46E03" w:rsidR="0071105C">
        <w:rPr>
          <w:rFonts w:eastAsiaTheme="minorEastAsia" w:cs="Times New Roman"/>
          <w:color w:val="000000" w:themeColor="text1"/>
        </w:rPr>
        <w:t xml:space="preserve">the contractor will conduct virtual </w:t>
      </w:r>
      <w:r w:rsidRPr="00C46E03" w:rsidR="00C80F6B">
        <w:rPr>
          <w:rFonts w:eastAsiaTheme="minorEastAsia" w:cs="Times New Roman"/>
          <w:color w:val="000000" w:themeColor="text1"/>
        </w:rPr>
        <w:t>individual in-depth</w:t>
      </w:r>
      <w:r w:rsidRPr="00C46E03" w:rsidR="0071105C">
        <w:rPr>
          <w:rFonts w:eastAsiaTheme="minorEastAsia" w:cs="Times New Roman"/>
          <w:color w:val="000000" w:themeColor="text1"/>
        </w:rPr>
        <w:t xml:space="preserve"> interviews </w:t>
      </w:r>
      <w:r w:rsidRPr="00C46E03" w:rsidR="00C80F6B">
        <w:rPr>
          <w:rFonts w:eastAsiaTheme="minorEastAsia" w:cs="Times New Roman"/>
          <w:color w:val="000000" w:themeColor="text1"/>
        </w:rPr>
        <w:t>(IDIs)</w:t>
      </w:r>
      <w:r w:rsidRPr="00C46E03" w:rsidR="008E7140">
        <w:rPr>
          <w:rFonts w:eastAsiaTheme="minorEastAsia" w:cs="Times New Roman"/>
          <w:color w:val="000000" w:themeColor="text1"/>
        </w:rPr>
        <w:t xml:space="preserve"> </w:t>
      </w:r>
      <w:r w:rsidRPr="00C46E03" w:rsidR="00EF5692">
        <w:rPr>
          <w:rFonts w:eastAsiaTheme="minorEastAsia" w:cs="Times New Roman"/>
          <w:color w:val="000000" w:themeColor="text1"/>
        </w:rPr>
        <w:t xml:space="preserve">if needed </w:t>
      </w:r>
      <w:r w:rsidRPr="00C46E03" w:rsidR="008E7140">
        <w:rPr>
          <w:rFonts w:eastAsiaTheme="minorEastAsia" w:cs="Times New Roman"/>
          <w:color w:val="000000" w:themeColor="text1"/>
        </w:rPr>
        <w:t>to</w:t>
      </w:r>
      <w:r w:rsidRPr="00C46E03" w:rsidR="008A5664">
        <w:rPr>
          <w:rFonts w:eastAsiaTheme="minorEastAsia" w:cs="Times New Roman"/>
          <w:color w:val="000000" w:themeColor="text1"/>
        </w:rPr>
        <w:t xml:space="preserve"> ensure reaching n=9</w:t>
      </w:r>
      <w:r w:rsidRPr="00C46E03" w:rsidR="008A5664">
        <w:rPr>
          <w:rFonts w:eastAsiaTheme="minorEastAsia" w:cs="Times New Roman"/>
        </w:rPr>
        <w:t>.</w:t>
      </w:r>
      <w:r w:rsidRPr="00C46E03">
        <w:rPr>
          <w:szCs w:val="24"/>
        </w:rPr>
        <w:t xml:space="preserve"> </w:t>
      </w:r>
    </w:p>
    <w:p w:rsidR="0029027F" w:rsidRPr="00C46E03" w:rsidP="00065FFF" w14:paraId="6153671D" w14:textId="4116540A">
      <w:pPr>
        <w:rPr>
          <w:color w:val="000000"/>
        </w:rPr>
      </w:pPr>
      <w:r w:rsidRPr="00C46E03">
        <w:rPr>
          <w:rFonts w:cs="Times New Roman"/>
          <w:szCs w:val="24"/>
        </w:rPr>
        <w:t>The contractor</w:t>
      </w:r>
      <w:r w:rsidRPr="00C46E03" w:rsidR="00294227">
        <w:rPr>
          <w:rFonts w:cs="Times New Roman"/>
          <w:szCs w:val="24"/>
        </w:rPr>
        <w:t xml:space="preserve"> will </w:t>
      </w:r>
      <w:r w:rsidRPr="00C46E03" w:rsidR="00430954">
        <w:rPr>
          <w:rFonts w:cs="Times New Roman"/>
          <w:szCs w:val="24"/>
        </w:rPr>
        <w:t xml:space="preserve">enlist a </w:t>
      </w:r>
      <w:r w:rsidRPr="00C46E03" w:rsidR="00F97A19">
        <w:rPr>
          <w:rFonts w:cs="Times New Roman"/>
          <w:szCs w:val="24"/>
        </w:rPr>
        <w:t xml:space="preserve">market </w:t>
      </w:r>
      <w:r w:rsidRPr="00C46E03" w:rsidR="003F6DFD">
        <w:rPr>
          <w:rFonts w:cs="Times New Roman"/>
          <w:szCs w:val="24"/>
        </w:rPr>
        <w:t xml:space="preserve">research vendor to </w:t>
      </w:r>
      <w:r w:rsidRPr="00C46E03" w:rsidR="00294227">
        <w:rPr>
          <w:rFonts w:cs="Times New Roman"/>
          <w:szCs w:val="24"/>
        </w:rPr>
        <w:t xml:space="preserve">recruit </w:t>
      </w:r>
      <w:r w:rsidRPr="00C46E03" w:rsidR="00464374">
        <w:rPr>
          <w:rFonts w:cs="Times New Roman"/>
          <w:szCs w:val="24"/>
        </w:rPr>
        <w:t>and manage participant screening</w:t>
      </w:r>
      <w:r w:rsidRPr="00C46E03" w:rsidR="0008524D">
        <w:rPr>
          <w:rFonts w:cs="Times New Roman"/>
          <w:szCs w:val="24"/>
        </w:rPr>
        <w:t>.</w:t>
      </w:r>
      <w:r w:rsidRPr="00C46E03" w:rsidR="007C5F26">
        <w:rPr>
          <w:rFonts w:cs="Times New Roman"/>
          <w:szCs w:val="24"/>
        </w:rPr>
        <w:t xml:space="preserve"> </w:t>
      </w:r>
      <w:r w:rsidRPr="00C46E03" w:rsidR="00211712">
        <w:rPr>
          <w:szCs w:val="24"/>
        </w:rPr>
        <w:t>The</w:t>
      </w:r>
      <w:r w:rsidRPr="00C46E03" w:rsidR="003D25E5">
        <w:rPr>
          <w:szCs w:val="24"/>
        </w:rPr>
        <w:t xml:space="preserve"> vendor </w:t>
      </w:r>
      <w:r w:rsidRPr="00C46E03" w:rsidR="00211712">
        <w:rPr>
          <w:szCs w:val="24"/>
        </w:rPr>
        <w:t xml:space="preserve">will recruit from </w:t>
      </w:r>
      <w:r w:rsidRPr="00C46E03" w:rsidR="003D25E5">
        <w:rPr>
          <w:szCs w:val="24"/>
        </w:rPr>
        <w:t>their</w:t>
      </w:r>
      <w:r w:rsidRPr="00C46E03" w:rsidR="00211712">
        <w:rPr>
          <w:szCs w:val="24"/>
        </w:rPr>
        <w:t xml:space="preserve"> national proprietary database of individuals</w:t>
      </w:r>
      <w:r w:rsidRPr="00C46E03" w:rsidR="00F97A19">
        <w:rPr>
          <w:szCs w:val="24"/>
        </w:rPr>
        <w:t xml:space="preserve">. </w:t>
      </w:r>
      <w:r w:rsidRPr="00C46E03" w:rsidR="00F31580">
        <w:rPr>
          <w:rFonts w:cs="Times New Roman"/>
        </w:rPr>
        <w:t xml:space="preserve">Participants must meet a set of criteria to ensure all focus groups/IDIs will include a maximally diverse group of participants considering age, educational level, gender, and ethnicity and </w:t>
      </w:r>
      <w:r w:rsidRPr="00C46E03" w:rsidR="002F596E">
        <w:rPr>
          <w:rFonts w:cs="Times New Roman"/>
        </w:rPr>
        <w:t xml:space="preserve">will </w:t>
      </w:r>
      <w:r w:rsidRPr="00C46E03" w:rsidR="00F31580">
        <w:rPr>
          <w:rFonts w:cs="Times New Roman"/>
        </w:rPr>
        <w:t>include a mix of geographical areas (A</w:t>
      </w:r>
      <w:r w:rsidRPr="00C46E03" w:rsidR="00333E79">
        <w:rPr>
          <w:rFonts w:cs="Times New Roman"/>
        </w:rPr>
        <w:t>ttachment</w:t>
      </w:r>
      <w:r w:rsidRPr="00C46E03" w:rsidR="00F31580">
        <w:rPr>
          <w:rFonts w:cs="Times New Roman"/>
        </w:rPr>
        <w:t xml:space="preserve"> A. Recruitment Screener).</w:t>
      </w:r>
      <w:r w:rsidRPr="00C46E03" w:rsidR="00112121">
        <w:rPr>
          <w:rFonts w:cs="Times New Roman"/>
        </w:rPr>
        <w:t xml:space="preserve"> Individuals who </w:t>
      </w:r>
      <w:r w:rsidRPr="00C46E03" w:rsidR="00510677">
        <w:rPr>
          <w:rFonts w:cs="Times New Roman"/>
        </w:rPr>
        <w:t xml:space="preserve">are deemed eligible </w:t>
      </w:r>
      <w:r w:rsidRPr="00C46E03" w:rsidR="004109C9">
        <w:rPr>
          <w:rFonts w:cs="Times New Roman"/>
        </w:rPr>
        <w:t>will be asked to consent electronically</w:t>
      </w:r>
      <w:r w:rsidRPr="00C46E03" w:rsidR="00915BCD">
        <w:rPr>
          <w:rFonts w:cs="Times New Roman"/>
        </w:rPr>
        <w:t xml:space="preserve"> prior to participating in a focus group/IDI</w:t>
      </w:r>
      <w:r w:rsidRPr="00C46E03" w:rsidR="00112121">
        <w:rPr>
          <w:rFonts w:cs="Times New Roman"/>
        </w:rPr>
        <w:t xml:space="preserve"> </w:t>
      </w:r>
      <w:r w:rsidRPr="00C46E03" w:rsidR="00363218">
        <w:rPr>
          <w:rFonts w:cs="Times New Roman"/>
        </w:rPr>
        <w:t>(A</w:t>
      </w:r>
      <w:r w:rsidRPr="00C46E03" w:rsidR="00333E79">
        <w:rPr>
          <w:rFonts w:cs="Times New Roman"/>
        </w:rPr>
        <w:t>ttachment</w:t>
      </w:r>
      <w:r w:rsidRPr="00C46E03" w:rsidR="006E23D6">
        <w:rPr>
          <w:rFonts w:cs="Times New Roman"/>
        </w:rPr>
        <w:t>s</w:t>
      </w:r>
      <w:r w:rsidRPr="00C46E03" w:rsidR="00363218">
        <w:rPr>
          <w:rFonts w:cs="Times New Roman"/>
        </w:rPr>
        <w:t xml:space="preserve"> B</w:t>
      </w:r>
      <w:r w:rsidRPr="00C46E03" w:rsidR="009F7193">
        <w:rPr>
          <w:rFonts w:cs="Times New Roman"/>
        </w:rPr>
        <w:t xml:space="preserve"> &amp; F</w:t>
      </w:r>
      <w:r w:rsidRPr="00C46E03" w:rsidR="00363218">
        <w:rPr>
          <w:rFonts w:cs="Times New Roman"/>
        </w:rPr>
        <w:t xml:space="preserve">. </w:t>
      </w:r>
      <w:r w:rsidRPr="00C46E03" w:rsidR="00C56CAF">
        <w:rPr>
          <w:rFonts w:cs="Times New Roman"/>
        </w:rPr>
        <w:t>Participant Sheet</w:t>
      </w:r>
      <w:r w:rsidRPr="00C46E03" w:rsidR="00251210">
        <w:rPr>
          <w:rFonts w:cs="Times New Roman"/>
        </w:rPr>
        <w:t xml:space="preserve"> &amp; Informed Consent</w:t>
      </w:r>
      <w:r w:rsidRPr="00C46E03" w:rsidR="009F7193">
        <w:rPr>
          <w:rFonts w:cs="Times New Roman"/>
        </w:rPr>
        <w:t>)</w:t>
      </w:r>
      <w:r w:rsidRPr="00C46E03" w:rsidR="00444C2B">
        <w:rPr>
          <w:rFonts w:cs="Times New Roman"/>
        </w:rPr>
        <w:t xml:space="preserve">. </w:t>
      </w:r>
      <w:r w:rsidRPr="00C46E03">
        <w:rPr>
          <w:color w:val="000000"/>
        </w:rPr>
        <w:t xml:space="preserve">Participants will receive a </w:t>
      </w:r>
      <w:r w:rsidRPr="00C46E03" w:rsidR="00371B9A">
        <w:rPr>
          <w:color w:val="000000"/>
        </w:rPr>
        <w:t xml:space="preserve">PDF </w:t>
      </w:r>
      <w:r w:rsidRPr="00C46E03">
        <w:rPr>
          <w:color w:val="000000"/>
        </w:rPr>
        <w:t>copy of the consent form.</w:t>
      </w:r>
      <w:r w:rsidRPr="00C46E03" w:rsidR="00907EB4">
        <w:rPr>
          <w:color w:val="000000"/>
        </w:rPr>
        <w:t xml:space="preserve"> </w:t>
      </w:r>
      <w:r w:rsidRPr="00C46E03" w:rsidR="00907EB4">
        <w:rPr>
          <w:szCs w:val="24"/>
        </w:rPr>
        <w:t xml:space="preserve">If a participant is visually impaired or has limited reading </w:t>
      </w:r>
      <w:r w:rsidRPr="00C46E03" w:rsidR="003846F7">
        <w:rPr>
          <w:szCs w:val="24"/>
        </w:rPr>
        <w:t>skills,</w:t>
      </w:r>
      <w:r w:rsidRPr="00C46E03" w:rsidR="00907EB4">
        <w:rPr>
          <w:szCs w:val="24"/>
        </w:rPr>
        <w:t xml:space="preserve"> th</w:t>
      </w:r>
      <w:r w:rsidRPr="00C46E03" w:rsidR="001814E5">
        <w:rPr>
          <w:szCs w:val="24"/>
        </w:rPr>
        <w:t>ey</w:t>
      </w:r>
      <w:r w:rsidRPr="00C46E03" w:rsidR="003846F7">
        <w:rPr>
          <w:szCs w:val="24"/>
        </w:rPr>
        <w:t xml:space="preserve"> </w:t>
      </w:r>
      <w:r w:rsidRPr="00C46E03" w:rsidR="001814E5">
        <w:rPr>
          <w:szCs w:val="24"/>
        </w:rPr>
        <w:t xml:space="preserve">will be </w:t>
      </w:r>
      <w:r w:rsidRPr="00C46E03" w:rsidR="003846F7">
        <w:rPr>
          <w:szCs w:val="24"/>
        </w:rPr>
        <w:t>permitted</w:t>
      </w:r>
      <w:r w:rsidRPr="00C46E03" w:rsidR="001814E5">
        <w:rPr>
          <w:szCs w:val="24"/>
        </w:rPr>
        <w:t xml:space="preserve"> to have an assistant join them</w:t>
      </w:r>
      <w:r w:rsidRPr="00C46E03" w:rsidR="00795EC4">
        <w:rPr>
          <w:szCs w:val="24"/>
        </w:rPr>
        <w:t xml:space="preserve"> during the focus group/IDI to help read the content of the materials presented. The assistant will not be</w:t>
      </w:r>
      <w:r w:rsidRPr="00C46E03" w:rsidR="00EC6EDA">
        <w:rPr>
          <w:szCs w:val="24"/>
        </w:rPr>
        <w:t xml:space="preserve"> considered a project participant</w:t>
      </w:r>
      <w:r w:rsidRPr="00C46E03" w:rsidR="00EF250A">
        <w:rPr>
          <w:szCs w:val="24"/>
        </w:rPr>
        <w:t xml:space="preserve">. </w:t>
      </w:r>
      <w:r w:rsidRPr="00C46E03" w:rsidR="00EC6EDA">
        <w:rPr>
          <w:szCs w:val="24"/>
        </w:rPr>
        <w:t xml:space="preserve"> </w:t>
      </w:r>
    </w:p>
    <w:p w:rsidR="00133C62" w:rsidRPr="00C46E03" w:rsidP="00133C62" w14:paraId="1002F43D" w14:textId="40779D02">
      <w:pPr>
        <w:widowControl w:val="0"/>
        <w:rPr>
          <w:rFonts w:eastAsiaTheme="minorEastAsia" w:cs="Times New Roman"/>
          <w:color w:val="000000" w:themeColor="text1"/>
        </w:rPr>
      </w:pPr>
      <w:r w:rsidRPr="00C46E03">
        <w:t>Due to geographic dispersion of participants</w:t>
      </w:r>
      <w:r w:rsidRPr="00C46E03" w:rsidR="002A7C72">
        <w:rPr>
          <w:szCs w:val="24"/>
        </w:rPr>
        <w:t>, a</w:t>
      </w:r>
      <w:r w:rsidRPr="00C46E03" w:rsidR="009C79ED">
        <w:rPr>
          <w:szCs w:val="24"/>
        </w:rPr>
        <w:t>ll</w:t>
      </w:r>
      <w:r w:rsidRPr="00C46E03" w:rsidR="005A696E">
        <w:rPr>
          <w:szCs w:val="24"/>
        </w:rPr>
        <w:t xml:space="preserve"> focus groups</w:t>
      </w:r>
      <w:r w:rsidRPr="00C46E03" w:rsidR="00701DF7">
        <w:rPr>
          <w:szCs w:val="24"/>
        </w:rPr>
        <w:t>/IDIs</w:t>
      </w:r>
      <w:r w:rsidRPr="00C46E03" w:rsidR="005A696E">
        <w:rPr>
          <w:szCs w:val="24"/>
        </w:rPr>
        <w:t xml:space="preserve"> will be conducted virtually via Zoom Video Communications, Inc.</w:t>
      </w:r>
      <w:r w:rsidRPr="00C46E03" w:rsidR="003D0129">
        <w:rPr>
          <w:szCs w:val="24"/>
        </w:rPr>
        <w:t xml:space="preserve"> and will be audio and video recorded for the </w:t>
      </w:r>
      <w:r w:rsidRPr="00C46E03" w:rsidR="00A8097B">
        <w:rPr>
          <w:szCs w:val="24"/>
        </w:rPr>
        <w:t xml:space="preserve">purpose of completing the </w:t>
      </w:r>
      <w:r w:rsidRPr="00C46E03" w:rsidR="00A8097B">
        <w:rPr>
          <w:szCs w:val="24"/>
        </w:rPr>
        <w:t xml:space="preserve">analysis and reporting. </w:t>
      </w:r>
      <w:r w:rsidRPr="00C46E03" w:rsidR="005A696E">
        <w:rPr>
          <w:szCs w:val="24"/>
        </w:rPr>
        <w:t xml:space="preserve">Participants will be required to use a personal computer, tablet, or mobile device to join the focus group via Zoom. </w:t>
      </w:r>
      <w:r w:rsidRPr="00C46E03" w:rsidR="005A696E">
        <w:rPr>
          <w:rFonts w:cs="Times New Roman"/>
        </w:rPr>
        <w:t>The focus group/IDI will be conducted in English only.</w:t>
      </w:r>
      <w:r w:rsidRPr="00C46E03" w:rsidR="00575533">
        <w:rPr>
          <w:szCs w:val="24"/>
        </w:rPr>
        <w:t xml:space="preserve"> </w:t>
      </w:r>
      <w:r w:rsidRPr="00C46E03">
        <w:rPr>
          <w:rFonts w:eastAsiaTheme="minorEastAsia" w:cs="Times New Roman"/>
          <w:color w:val="000000" w:themeColor="text1"/>
        </w:rPr>
        <w:t xml:space="preserve">A participant will only be allowed to participate in one focus group/IDI. </w:t>
      </w:r>
    </w:p>
    <w:p w:rsidR="00B548E4" w:rsidRPr="00C46E03" w:rsidP="00932776" w14:paraId="04BE2135" w14:textId="37BF0F74">
      <w:r w:rsidRPr="00C46E03">
        <w:rPr>
          <w:rFonts w:cs="Times New Roman"/>
        </w:rPr>
        <w:t xml:space="preserve">An experienced </w:t>
      </w:r>
      <w:r w:rsidRPr="00C46E03" w:rsidR="001A0FA5">
        <w:rPr>
          <w:rFonts w:cs="Times New Roman"/>
        </w:rPr>
        <w:t xml:space="preserve">moderator </w:t>
      </w:r>
      <w:r w:rsidRPr="00C46E03" w:rsidR="00AA2C1E">
        <w:rPr>
          <w:rFonts w:cs="Times New Roman"/>
        </w:rPr>
        <w:t xml:space="preserve">will </w:t>
      </w:r>
      <w:r w:rsidRPr="00C46E03" w:rsidR="0012471C">
        <w:rPr>
          <w:rFonts w:cs="Times New Roman"/>
        </w:rPr>
        <w:t>lead</w:t>
      </w:r>
      <w:r w:rsidRPr="00C46E03" w:rsidR="00AA2C1E">
        <w:rPr>
          <w:rFonts w:cs="Times New Roman"/>
        </w:rPr>
        <w:t xml:space="preserve"> the focus group</w:t>
      </w:r>
      <w:r w:rsidRPr="00C46E03" w:rsidR="00947028">
        <w:rPr>
          <w:rFonts w:cs="Times New Roman"/>
        </w:rPr>
        <w:t>s</w:t>
      </w:r>
      <w:r w:rsidRPr="00C46E03" w:rsidR="00AA2C1E">
        <w:rPr>
          <w:rFonts w:cs="Times New Roman"/>
        </w:rPr>
        <w:t>/IDI</w:t>
      </w:r>
      <w:r w:rsidRPr="00C46E03" w:rsidR="00947028">
        <w:rPr>
          <w:rFonts w:cs="Times New Roman"/>
        </w:rPr>
        <w:t>s</w:t>
      </w:r>
      <w:r w:rsidRPr="00C46E03" w:rsidR="00AA2C1E">
        <w:rPr>
          <w:rFonts w:cs="Times New Roman"/>
        </w:rPr>
        <w:t xml:space="preserve"> using </w:t>
      </w:r>
      <w:r w:rsidRPr="00C46E03" w:rsidR="009D2568">
        <w:rPr>
          <w:rFonts w:cs="Times New Roman"/>
        </w:rPr>
        <w:t xml:space="preserve">a </w:t>
      </w:r>
      <w:r w:rsidRPr="00C46E03" w:rsidR="00CA65AA">
        <w:rPr>
          <w:rFonts w:cs="Times New Roman"/>
        </w:rPr>
        <w:t xml:space="preserve">semi-structured discussion </w:t>
      </w:r>
      <w:r w:rsidRPr="00C46E03" w:rsidR="00C91D82">
        <w:rPr>
          <w:rFonts w:cs="Times New Roman"/>
        </w:rPr>
        <w:t>guide. The</w:t>
      </w:r>
      <w:r w:rsidRPr="00C46E03" w:rsidR="003125B7">
        <w:rPr>
          <w:rFonts w:cs="Times New Roman"/>
        </w:rPr>
        <w:t xml:space="preserve"> </w:t>
      </w:r>
      <w:r w:rsidRPr="00C46E03" w:rsidR="0073333A">
        <w:rPr>
          <w:rFonts w:cs="Times New Roman"/>
        </w:rPr>
        <w:t xml:space="preserve">discussion </w:t>
      </w:r>
      <w:r w:rsidRPr="00C46E03" w:rsidR="002C0138">
        <w:rPr>
          <w:rFonts w:cs="Times New Roman"/>
        </w:rPr>
        <w:t xml:space="preserve">questions will </w:t>
      </w:r>
      <w:r w:rsidRPr="00C46E03" w:rsidR="00B5518A">
        <w:rPr>
          <w:rFonts w:cs="Times New Roman"/>
        </w:rPr>
        <w:t xml:space="preserve">touch on </w:t>
      </w:r>
      <w:r w:rsidRPr="00C46E03" w:rsidR="006E56D2">
        <w:rPr>
          <w:rFonts w:cs="Times New Roman"/>
        </w:rPr>
        <w:t xml:space="preserve">knowledge and awareness of </w:t>
      </w:r>
      <w:r w:rsidRPr="00C46E03" w:rsidR="003125B7">
        <w:rPr>
          <w:rFonts w:cs="Times New Roman"/>
        </w:rPr>
        <w:t xml:space="preserve">antimicrobial </w:t>
      </w:r>
      <w:r w:rsidRPr="00C46E03" w:rsidR="006E56D2">
        <w:rPr>
          <w:rFonts w:cs="Times New Roman"/>
        </w:rPr>
        <w:t>resistance</w:t>
      </w:r>
      <w:r w:rsidRPr="00C46E03" w:rsidR="008362F5">
        <w:rPr>
          <w:rFonts w:cs="Times New Roman"/>
        </w:rPr>
        <w:t xml:space="preserve"> and getting feedback on pre-developed</w:t>
      </w:r>
      <w:r w:rsidRPr="00C46E03" w:rsidR="00DF6241">
        <w:rPr>
          <w:rFonts w:cs="Times New Roman"/>
        </w:rPr>
        <w:t xml:space="preserve"> messages, concepts, and materials developed by CDC</w:t>
      </w:r>
      <w:r w:rsidRPr="00C46E03" w:rsidR="00E33D61">
        <w:rPr>
          <w:rFonts w:cs="Times New Roman"/>
        </w:rPr>
        <w:t xml:space="preserve"> (A</w:t>
      </w:r>
      <w:r w:rsidRPr="00C46E03" w:rsidR="00F62BBA">
        <w:rPr>
          <w:rFonts w:cs="Times New Roman"/>
        </w:rPr>
        <w:t>ttachment</w:t>
      </w:r>
      <w:r w:rsidRPr="00C46E03" w:rsidR="00E33D61">
        <w:rPr>
          <w:rFonts w:cs="Times New Roman"/>
        </w:rPr>
        <w:t xml:space="preserve"> </w:t>
      </w:r>
      <w:r w:rsidRPr="00C46E03" w:rsidR="00241ADC">
        <w:rPr>
          <w:rFonts w:cs="Times New Roman"/>
        </w:rPr>
        <w:t>C</w:t>
      </w:r>
      <w:r w:rsidRPr="00C46E03" w:rsidR="00E33D61">
        <w:rPr>
          <w:rFonts w:cs="Times New Roman"/>
        </w:rPr>
        <w:t>. Discussion Guide)</w:t>
      </w:r>
      <w:r w:rsidRPr="00C46E03" w:rsidR="006B7D26">
        <w:rPr>
          <w:rFonts w:cs="Times New Roman"/>
        </w:rPr>
        <w:t xml:space="preserve">. </w:t>
      </w:r>
      <w:r w:rsidRPr="00C46E03" w:rsidR="00210945">
        <w:rPr>
          <w:szCs w:val="24"/>
        </w:rPr>
        <w:t xml:space="preserve">Each </w:t>
      </w:r>
      <w:r w:rsidRPr="00C46E03" w:rsidR="00F21B8C">
        <w:rPr>
          <w:szCs w:val="24"/>
        </w:rPr>
        <w:t xml:space="preserve">focus group </w:t>
      </w:r>
      <w:r w:rsidRPr="00C46E03" w:rsidR="00DC0EE6">
        <w:rPr>
          <w:szCs w:val="24"/>
        </w:rPr>
        <w:t xml:space="preserve">discussion </w:t>
      </w:r>
      <w:r w:rsidRPr="00C46E03" w:rsidR="00210945">
        <w:rPr>
          <w:szCs w:val="24"/>
        </w:rPr>
        <w:t xml:space="preserve">will last a total of </w:t>
      </w:r>
      <w:r w:rsidRPr="00C46E03" w:rsidR="00DC0EE6">
        <w:rPr>
          <w:szCs w:val="24"/>
        </w:rPr>
        <w:t>60</w:t>
      </w:r>
      <w:r w:rsidRPr="00C46E03" w:rsidR="00210945">
        <w:rPr>
          <w:szCs w:val="24"/>
        </w:rPr>
        <w:t xml:space="preserve"> minutes </w:t>
      </w:r>
      <w:r w:rsidRPr="00C46E03" w:rsidR="00BD289E">
        <w:rPr>
          <w:szCs w:val="24"/>
        </w:rPr>
        <w:t>and each IDI will last a total of 30 minutes</w:t>
      </w:r>
      <w:r w:rsidRPr="00C46E03" w:rsidR="000E4B2F">
        <w:rPr>
          <w:szCs w:val="24"/>
        </w:rPr>
        <w:t xml:space="preserve">. </w:t>
      </w:r>
      <w:r w:rsidRPr="00C46E03" w:rsidR="004C5B2D">
        <w:rPr>
          <w:szCs w:val="24"/>
        </w:rPr>
        <w:t>The contractor will conduct a 15-minute technical pre-check with participants</w:t>
      </w:r>
      <w:r w:rsidRPr="00C46E03" w:rsidR="006E3181">
        <w:rPr>
          <w:szCs w:val="24"/>
        </w:rPr>
        <w:t xml:space="preserve"> </w:t>
      </w:r>
      <w:r w:rsidRPr="00C46E03" w:rsidR="004B06CF">
        <w:rPr>
          <w:szCs w:val="24"/>
        </w:rPr>
        <w:t xml:space="preserve">at least </w:t>
      </w:r>
      <w:r w:rsidRPr="00C46E03" w:rsidR="006E3181">
        <w:rPr>
          <w:szCs w:val="24"/>
        </w:rPr>
        <w:t>one day prior to the focus group/IDI</w:t>
      </w:r>
      <w:r w:rsidRPr="00C46E03" w:rsidR="008602DB">
        <w:rPr>
          <w:szCs w:val="24"/>
        </w:rPr>
        <w:t xml:space="preserve"> (Attachment D. Technology Check). </w:t>
      </w:r>
      <w:r w:rsidRPr="00C46E03" w:rsidR="00CA7A66">
        <w:rPr>
          <w:szCs w:val="24"/>
        </w:rPr>
        <w:t xml:space="preserve"> </w:t>
      </w:r>
      <w:r w:rsidRPr="00C46E03" w:rsidR="00CA7A66">
        <w:t xml:space="preserve">During the </w:t>
      </w:r>
      <w:r w:rsidRPr="00C46E03" w:rsidR="00F6506F">
        <w:t>pre-</w:t>
      </w:r>
      <w:r w:rsidRPr="00C46E03" w:rsidR="00CA7A66">
        <w:t xml:space="preserve">check, participants will be provided with instructions on when and how to access the virtual Zoom focus group/IDI. Participants will be </w:t>
      </w:r>
      <w:r w:rsidRPr="00C46E03" w:rsidR="00454625">
        <w:t xml:space="preserve">asked to use </w:t>
      </w:r>
      <w:r w:rsidRPr="00C46E03" w:rsidR="00CA7A66">
        <w:t>a pseudonym and provided instructions on how to change their screen name</w:t>
      </w:r>
      <w:r w:rsidRPr="00C46E03" w:rsidR="00F6506F">
        <w:t xml:space="preserve"> in the Zoom platform.</w:t>
      </w:r>
      <w:r w:rsidRPr="00C46E03" w:rsidR="00302CFF">
        <w:rPr>
          <w:szCs w:val="24"/>
        </w:rPr>
        <w:t xml:space="preserve"> </w:t>
      </w:r>
    </w:p>
    <w:p w:rsidR="004A13E8" w:rsidRPr="00C46E03" w:rsidP="004A13E8" w14:paraId="55FE17B9" w14:textId="282AAD4F">
      <w:pPr>
        <w:pStyle w:val="Heading1"/>
      </w:pPr>
      <w:bookmarkStart w:id="5" w:name="_Toc141435831"/>
      <w:r w:rsidRPr="00C46E03">
        <w:t>Use of Improved Information Technology and Burden Reduction</w:t>
      </w:r>
      <w:bookmarkEnd w:id="5"/>
    </w:p>
    <w:p w:rsidR="004C7CC8" w:rsidRPr="00C46E03" w:rsidP="0076674A" w14:paraId="79EFABBE" w14:textId="5FC63BE1">
      <w:pPr>
        <w:rPr>
          <w:color w:val="000000"/>
        </w:rPr>
      </w:pPr>
      <w:r w:rsidRPr="00C46E03">
        <w:t>All project</w:t>
      </w:r>
      <w:r w:rsidRPr="00C46E03" w:rsidR="00920978">
        <w:t xml:space="preserve"> </w:t>
      </w:r>
      <w:r w:rsidRPr="00C46E03" w:rsidR="005079BA">
        <w:t>activities</w:t>
      </w:r>
      <w:r w:rsidRPr="00C46E03" w:rsidR="00462133">
        <w:t xml:space="preserve"> </w:t>
      </w:r>
      <w:r w:rsidRPr="00C46E03" w:rsidR="005079BA">
        <w:t xml:space="preserve">will use virtual methods to engage with potential respondents </w:t>
      </w:r>
      <w:r w:rsidRPr="00C46E03" w:rsidR="008B5CA5">
        <w:t>including</w:t>
      </w:r>
      <w:r w:rsidRPr="00C46E03" w:rsidR="005079BA">
        <w:t xml:space="preserve"> phone, email, and Zoom Video Communications, Inc. (Zoom)</w:t>
      </w:r>
      <w:r w:rsidRPr="00C46E03" w:rsidR="00144520">
        <w:t xml:space="preserve">, therefore </w:t>
      </w:r>
      <w:r w:rsidRPr="00C46E03" w:rsidR="008D4B5C">
        <w:t>eliminating</w:t>
      </w:r>
      <w:r w:rsidRPr="00C46E03" w:rsidR="007A50C7">
        <w:t xml:space="preserve"> </w:t>
      </w:r>
      <w:r w:rsidRPr="00C46E03" w:rsidR="00613731">
        <w:t xml:space="preserve">participants </w:t>
      </w:r>
      <w:r w:rsidRPr="00C46E03" w:rsidR="009879FC">
        <w:t xml:space="preserve">burden of responding using paper forms and/or traveling to a focus group site. </w:t>
      </w:r>
      <w:r w:rsidRPr="00C46E03" w:rsidR="00241951">
        <w:t>Focus group/IDI q</w:t>
      </w:r>
      <w:r w:rsidRPr="00C46E03">
        <w:rPr>
          <w:color w:val="000000"/>
        </w:rPr>
        <w:t xml:space="preserve">uestions will be kept to a minimum required for the intended use of the data. </w:t>
      </w:r>
    </w:p>
    <w:p w:rsidR="004A13E8" w:rsidRPr="00C46E03" w:rsidP="004A13E8" w14:paraId="55FE17BC" w14:textId="77777777">
      <w:pPr>
        <w:pStyle w:val="Heading1"/>
      </w:pPr>
      <w:bookmarkStart w:id="6" w:name="_Toc141435832"/>
      <w:r w:rsidRPr="00C46E03">
        <w:t>Efforts to Identify Duplication and Use of Similar Information</w:t>
      </w:r>
      <w:bookmarkEnd w:id="6"/>
    </w:p>
    <w:p w:rsidR="00B102D3" w:rsidRPr="00C46E03" w:rsidP="00B04BC9" w14:paraId="382FD044" w14:textId="66ABCF5C">
      <w:pPr>
        <w:pStyle w:val="ListParagraph"/>
        <w:ind w:left="0"/>
      </w:pPr>
      <w:r w:rsidRPr="00C46E03">
        <w:t xml:space="preserve">The information that the CDC collects is not available from any other source. </w:t>
      </w:r>
      <w:r w:rsidRPr="00C46E03">
        <w:t>No other governmental or institutional agencies are attempting to collect this data as this work is specific to</w:t>
      </w:r>
      <w:r w:rsidRPr="00C46E03" w:rsidR="009B643B">
        <w:t xml:space="preserve"> </w:t>
      </w:r>
      <w:r w:rsidRPr="00C46E03">
        <w:t xml:space="preserve">evaluating </w:t>
      </w:r>
      <w:r w:rsidRPr="00C46E03" w:rsidR="00384816">
        <w:t>messages and materials developed by CDC ARX</w:t>
      </w:r>
      <w:r w:rsidRPr="00C46E03">
        <w:t>.</w:t>
      </w:r>
    </w:p>
    <w:p w:rsidR="00DC57CC" w:rsidRPr="00C46E03" w:rsidP="004A13E8" w14:paraId="55FE17BF" w14:textId="77777777">
      <w:pPr>
        <w:pStyle w:val="Heading1"/>
      </w:pPr>
      <w:bookmarkStart w:id="7" w:name="_Toc141435833"/>
      <w:r w:rsidRPr="00C46E03">
        <w:t>Impact on Small Businesses or Other Small Entities</w:t>
      </w:r>
      <w:bookmarkEnd w:id="7"/>
    </w:p>
    <w:p w:rsidR="004A13E8" w:rsidRPr="00C46E03" w:rsidP="004A13E8" w14:paraId="55FE17C0" w14:textId="77777777">
      <w:r w:rsidRPr="00C46E03">
        <w:t>This data collection wi</w:t>
      </w:r>
      <w:r w:rsidRPr="00C46E03" w:rsidR="001523DF">
        <w:t>ll not involve small businesses.</w:t>
      </w:r>
    </w:p>
    <w:p w:rsidR="004A13E8" w:rsidRPr="00C46E03" w:rsidP="004A13E8" w14:paraId="55FE17C3" w14:textId="29AED552">
      <w:pPr>
        <w:pStyle w:val="Heading1"/>
      </w:pPr>
      <w:bookmarkStart w:id="8" w:name="_Toc141435834"/>
      <w:r w:rsidRPr="00C46E03">
        <w:t>Consequences of Collecting the Information Less Frequently</w:t>
      </w:r>
      <w:bookmarkEnd w:id="8"/>
    </w:p>
    <w:p w:rsidR="008B5CA5" w:rsidRPr="00C46E03" w:rsidP="008B5CA5" w14:paraId="333A8561" w14:textId="3DDACA0D">
      <w:r w:rsidRPr="00C46E03">
        <w:t>This is a one-time information collection</w:t>
      </w:r>
      <w:r w:rsidRPr="00C46E03" w:rsidR="00EA3C37">
        <w:t xml:space="preserve">. </w:t>
      </w:r>
      <w:r w:rsidRPr="00C46E03" w:rsidR="00AA4B16">
        <w:rPr>
          <w:rFonts w:cs="Times New Roman"/>
          <w:color w:val="000000" w:themeColor="text1"/>
        </w:rPr>
        <w:t>Without insights and feedback from th</w:t>
      </w:r>
      <w:r w:rsidRPr="00C46E03" w:rsidR="009B643B">
        <w:rPr>
          <w:rFonts w:cs="Times New Roman"/>
          <w:color w:val="000000" w:themeColor="text1"/>
        </w:rPr>
        <w:t>is</w:t>
      </w:r>
      <w:r w:rsidRPr="00C46E03" w:rsidR="00AA4B16">
        <w:rPr>
          <w:rFonts w:cs="Times New Roman"/>
          <w:color w:val="000000" w:themeColor="text1"/>
        </w:rPr>
        <w:t xml:space="preserve"> data collection, </w:t>
      </w:r>
      <w:r w:rsidRPr="00C46E03" w:rsidR="005A1588">
        <w:rPr>
          <w:rFonts w:cs="Times New Roman"/>
          <w:color w:val="000000" w:themeColor="text1"/>
        </w:rPr>
        <w:t xml:space="preserve">health education </w:t>
      </w:r>
      <w:r w:rsidRPr="00C46E03" w:rsidR="00AA4B16">
        <w:rPr>
          <w:rFonts w:cs="Times New Roman"/>
          <w:color w:val="000000" w:themeColor="text1"/>
        </w:rPr>
        <w:t>materials cannot be developed effectively.</w:t>
      </w:r>
      <w:r w:rsidRPr="00C46E03" w:rsidR="00AA4B16">
        <w:rPr>
          <w:rFonts w:ascii="Arial" w:hAnsi="Arial" w:cs="Arial"/>
          <w:color w:val="000000" w:themeColor="text1"/>
        </w:rPr>
        <w:t xml:space="preserve"> </w:t>
      </w:r>
      <w:r w:rsidRPr="00C46E03" w:rsidR="00EA3C37">
        <w:t xml:space="preserve">Careful consideration has been given to the project design to effectively balance the information collection objectives with participant burden.   </w:t>
      </w:r>
    </w:p>
    <w:p w:rsidR="004A13E8" w:rsidRPr="00C46E03" w:rsidP="004A13E8" w14:paraId="55FE17C6" w14:textId="77777777">
      <w:pPr>
        <w:pStyle w:val="Heading1"/>
      </w:pPr>
      <w:bookmarkStart w:id="9" w:name="_Toc141435835"/>
      <w:r w:rsidRPr="00C46E03">
        <w:t>Special Circumstances Relating to the Guidelines of 5 CFR 1320.5</w:t>
      </w:r>
      <w:bookmarkEnd w:id="9"/>
    </w:p>
    <w:p w:rsidR="004A13E8" w:rsidRPr="00C46E03" w:rsidP="004A13E8" w14:paraId="55FE17C7" w14:textId="5FAC96AD">
      <w:r w:rsidRPr="00C46E03">
        <w:t xml:space="preserve">This request fully complies with </w:t>
      </w:r>
      <w:r w:rsidRPr="00C46E03" w:rsidR="00FC5EDD">
        <w:t>regulation</w:t>
      </w:r>
      <w:r w:rsidRPr="00C46E03">
        <w:t xml:space="preserve"> 5 CFR 1320.5.</w:t>
      </w:r>
    </w:p>
    <w:p w:rsidR="004A13E8" w:rsidRPr="00C46E03" w:rsidP="004A13E8" w14:paraId="55FE17C8" w14:textId="77777777">
      <w:pPr>
        <w:pStyle w:val="Heading1"/>
      </w:pPr>
      <w:bookmarkStart w:id="10" w:name="_Toc141435836"/>
      <w:r w:rsidRPr="00C46E03">
        <w:t>Comments in Response to the Federal Register Notice and Efforts to Consult Outside the Agency</w:t>
      </w:r>
      <w:bookmarkEnd w:id="10"/>
    </w:p>
    <w:p w:rsidR="00DA219B" w:rsidRPr="00C46E03" w:rsidP="00DA219B" w14:paraId="5EDCA0E5" w14:textId="01371553">
      <w:pPr>
        <w:rPr>
          <w:rFonts w:ascii="Arial" w:hAnsi="Arial" w:cs="Arial"/>
          <w:color w:val="000000" w:themeColor="text1"/>
        </w:rPr>
      </w:pPr>
      <w:r w:rsidRPr="00C46E03">
        <w:rPr>
          <w:rFonts w:cs="Times New Roman"/>
          <w:color w:val="000000" w:themeColor="text1"/>
        </w:rPr>
        <w:t>A</w:t>
      </w:r>
      <w:r w:rsidRPr="00C46E03" w:rsidR="004620FB">
        <w:rPr>
          <w:rFonts w:cs="Times New Roman"/>
          <w:color w:val="000000" w:themeColor="text1"/>
        </w:rPr>
        <w:t>. A</w:t>
      </w:r>
      <w:r w:rsidRPr="00C46E03">
        <w:rPr>
          <w:rFonts w:cs="Times New Roman"/>
          <w:color w:val="000000" w:themeColor="text1"/>
        </w:rPr>
        <w:t xml:space="preserve"> </w:t>
      </w:r>
      <w:r w:rsidRPr="00C46E03">
        <w:rPr>
          <w:rFonts w:cs="Times New Roman"/>
          <w:i/>
          <w:color w:val="000000" w:themeColor="text1"/>
        </w:rPr>
        <w:t>Federal Register</w:t>
      </w:r>
      <w:r w:rsidRPr="00C46E03">
        <w:rPr>
          <w:rFonts w:cs="Times New Roman"/>
          <w:color w:val="000000" w:themeColor="text1"/>
        </w:rPr>
        <w:t xml:space="preserve"> notice was published for this generic information collection request on July 22, 2022, Vol. 87, No. 140, pp. 43860-3861.  No public comments were received.  No additional comment periods are required for project-specific requests submitted under this generic</w:t>
      </w:r>
      <w:r w:rsidRPr="00C46E03">
        <w:rPr>
          <w:rFonts w:ascii="Arial" w:hAnsi="Arial" w:cs="Arial"/>
          <w:color w:val="000000" w:themeColor="text1"/>
        </w:rPr>
        <w:t xml:space="preserve">. </w:t>
      </w:r>
    </w:p>
    <w:p w:rsidR="004A13E8" w:rsidRPr="00C46E03" w:rsidP="004A13E8" w14:paraId="55FE17CA" w14:textId="4668CC46">
      <w:r w:rsidRPr="00C46E03">
        <w:t>B.  No consultations outside of CDC occurred</w:t>
      </w:r>
      <w:r w:rsidRPr="00C46E03" w:rsidR="002B0C5A">
        <w:t xml:space="preserve"> </w:t>
      </w:r>
      <w:r w:rsidRPr="00C46E03" w:rsidR="00CE707D">
        <w:rPr>
          <w:rFonts w:cstheme="minorHAnsi"/>
          <w:color w:val="333333"/>
          <w:shd w:val="clear" w:color="auto" w:fill="FFFFFF"/>
        </w:rPr>
        <w:t xml:space="preserve">other than with </w:t>
      </w:r>
      <w:r w:rsidRPr="00C46E03" w:rsidR="00B96113">
        <w:rPr>
          <w:rFonts w:cstheme="minorHAnsi"/>
          <w:color w:val="333333"/>
          <w:shd w:val="clear" w:color="auto" w:fill="FFFFFF"/>
        </w:rPr>
        <w:t>the</w:t>
      </w:r>
      <w:r w:rsidRPr="00C46E03" w:rsidR="00CE707D">
        <w:rPr>
          <w:rFonts w:cstheme="minorHAnsi"/>
          <w:color w:val="333333"/>
          <w:shd w:val="clear" w:color="auto" w:fill="FFFFFF"/>
        </w:rPr>
        <w:t xml:space="preserve"> </w:t>
      </w:r>
      <w:r w:rsidRPr="00C46E03" w:rsidR="002B0C5A">
        <w:rPr>
          <w:rFonts w:cstheme="minorHAnsi"/>
          <w:color w:val="333333"/>
          <w:shd w:val="clear" w:color="auto" w:fill="FFFFFF"/>
        </w:rPr>
        <w:t xml:space="preserve">previously mentioned </w:t>
      </w:r>
      <w:r w:rsidRPr="00C46E03" w:rsidR="00CE707D">
        <w:rPr>
          <w:rFonts w:cstheme="minorHAnsi"/>
          <w:color w:val="333333"/>
          <w:shd w:val="clear" w:color="auto" w:fill="FFFFFF"/>
        </w:rPr>
        <w:t>contractor</w:t>
      </w:r>
      <w:r w:rsidRPr="00C46E03" w:rsidR="00B96113">
        <w:rPr>
          <w:rFonts w:cstheme="minorHAnsi"/>
          <w:color w:val="333333"/>
          <w:shd w:val="clear" w:color="auto" w:fill="FFFFFF"/>
        </w:rPr>
        <w:t>s</w:t>
      </w:r>
      <w:r w:rsidRPr="00C46E03" w:rsidR="00773334">
        <w:rPr>
          <w:rFonts w:cstheme="minorHAnsi"/>
          <w:color w:val="333333"/>
          <w:shd w:val="clear" w:color="auto" w:fill="FFFFFF"/>
        </w:rPr>
        <w:t xml:space="preserve"> on this project</w:t>
      </w:r>
      <w:r w:rsidRPr="00C46E03" w:rsidR="00CE707D">
        <w:rPr>
          <w:color w:val="000000" w:themeColor="text1"/>
        </w:rPr>
        <w:t>.</w:t>
      </w:r>
    </w:p>
    <w:p w:rsidR="004A13E8" w:rsidRPr="00C46E03" w:rsidP="004A13E8" w14:paraId="55FE17CB" w14:textId="4AF0E184">
      <w:pPr>
        <w:pStyle w:val="Heading1"/>
      </w:pPr>
      <w:bookmarkStart w:id="11" w:name="_Toc141435837"/>
      <w:r w:rsidRPr="00C46E03">
        <w:t>Explanation of Any Payment or Gift to Respondents</w:t>
      </w:r>
      <w:bookmarkEnd w:id="11"/>
    </w:p>
    <w:p w:rsidR="00DD5282" w:rsidRPr="00C46E03" w:rsidP="00DD5282" w14:paraId="544F1FF4" w14:textId="1A3966D7">
      <w:r w:rsidRPr="00C46E03">
        <w:rPr>
          <w:rFonts w:cs="Times New Roman"/>
        </w:rPr>
        <w:t xml:space="preserve">Participants who complete either a focus group interview or a one-on-one interview will receive a token of appreciation for their </w:t>
      </w:r>
      <w:r w:rsidRPr="00C46E03" w:rsidR="00F749E8">
        <w:rPr>
          <w:rFonts w:cs="Times New Roman"/>
        </w:rPr>
        <w:t>time</w:t>
      </w:r>
      <w:r w:rsidRPr="00C46E03" w:rsidR="009D4B4C">
        <w:rPr>
          <w:rFonts w:cs="Times New Roman"/>
        </w:rPr>
        <w:t>/</w:t>
      </w:r>
      <w:r w:rsidRPr="00C46E03">
        <w:rPr>
          <w:rFonts w:cs="Times New Roman"/>
        </w:rPr>
        <w:t>participation based on OMB’s guidance (OMB,2016) on factors that may justify provision of a token of appreciation. Focus group participants will receive $</w:t>
      </w:r>
      <w:r w:rsidRPr="00C46E03" w:rsidR="00FF5A0E">
        <w:rPr>
          <w:rFonts w:cs="Times New Roman"/>
        </w:rPr>
        <w:t>125.00</w:t>
      </w:r>
      <w:r w:rsidRPr="00C46E03">
        <w:rPr>
          <w:rFonts w:cs="Times New Roman"/>
        </w:rPr>
        <w:t xml:space="preserve"> and one-on-one interview participants will receive $</w:t>
      </w:r>
      <w:r w:rsidRPr="00C46E03" w:rsidR="00FF5A0E">
        <w:rPr>
          <w:rFonts w:cs="Times New Roman"/>
        </w:rPr>
        <w:t>75.00</w:t>
      </w:r>
      <w:r w:rsidRPr="00C46E03">
        <w:rPr>
          <w:rFonts w:cs="Times New Roman"/>
        </w:rPr>
        <w:t>, an amount commensurate with other market surveys (Halpern et al., 2004). Assistants who join a session to support a participant who is “visually impaired” or has “limited reading skills” will not receive a</w:t>
      </w:r>
      <w:r w:rsidRPr="00C46E03" w:rsidR="00426354">
        <w:rPr>
          <w:rFonts w:cs="Times New Roman"/>
        </w:rPr>
        <w:t xml:space="preserve"> token of appreciation</w:t>
      </w:r>
      <w:r w:rsidRPr="00C46E03">
        <w:rPr>
          <w:rFonts w:cs="Times New Roman"/>
        </w:rPr>
        <w:t xml:space="preserve">. However, participants who decline to be recorded upon joining the virtual meeting will be politely thanked for their time and provided exit instructions. By exiting the study, the participant will forfeit their </w:t>
      </w:r>
      <w:r w:rsidRPr="00C46E03" w:rsidR="00692257">
        <w:rPr>
          <w:rFonts w:cs="Times New Roman"/>
        </w:rPr>
        <w:t xml:space="preserve">token of </w:t>
      </w:r>
      <w:r w:rsidRPr="00C46E03">
        <w:rPr>
          <w:rFonts w:cs="Times New Roman"/>
        </w:rPr>
        <w:t>appreciation</w:t>
      </w:r>
      <w:r w:rsidRPr="00C46E03">
        <w:rPr>
          <w:rFonts w:cs="Times New Roman"/>
        </w:rPr>
        <w:t xml:space="preserve">. Participants will receive their </w:t>
      </w:r>
      <w:r w:rsidRPr="00C46E03">
        <w:rPr>
          <w:rFonts w:cs="Times New Roman"/>
        </w:rPr>
        <w:t xml:space="preserve">token of appreciation </w:t>
      </w:r>
      <w:r w:rsidRPr="00C46E03">
        <w:rPr>
          <w:rFonts w:cs="Times New Roman"/>
        </w:rPr>
        <w:t>following completion of their focus group/IDI in the form of prepaid gift cards. Virtual focus groups have been found to have a higher dropout rate, thus presenting the need for a higher incentive (Rupert et al., 2017). The average incentive range for a non-expert accessible member of the public falls between USD $75-$150 (</w:t>
      </w:r>
      <w:r w:rsidRPr="00C46E03">
        <w:rPr>
          <w:rFonts w:cs="Times New Roman"/>
        </w:rPr>
        <w:t>Gell</w:t>
      </w:r>
      <w:r w:rsidRPr="00C46E03">
        <w:rPr>
          <w:rFonts w:cs="Times New Roman"/>
        </w:rPr>
        <w:t>, 2021).</w:t>
      </w:r>
      <w:r w:rsidRPr="00C46E03">
        <w:rPr>
          <w:color w:val="000000"/>
        </w:rPr>
        <w:t xml:space="preserve"> It also should be noted that message testing is a marketing technique, and it is standard practice among commercial market researchers to offer incentives as part of respondent recruitment.</w:t>
      </w:r>
    </w:p>
    <w:p w:rsidR="004A13E8" w:rsidRPr="00C46E03" w:rsidP="004A13E8" w14:paraId="55FE17CD" w14:textId="77777777">
      <w:pPr>
        <w:pStyle w:val="Heading1"/>
      </w:pPr>
      <w:bookmarkStart w:id="12" w:name="_Toc141435838"/>
      <w:r w:rsidRPr="00C46E03">
        <w:t>Protection of the Privacy and Confidentiality of Information Provided by Respondents</w:t>
      </w:r>
      <w:bookmarkEnd w:id="12"/>
    </w:p>
    <w:p w:rsidR="00195BDC" w:rsidRPr="00C46E03" w:rsidP="00D0327E" w14:paraId="11A2EF30" w14:textId="77777777">
      <w:r w:rsidRPr="00C46E03">
        <w:t xml:space="preserve">The privacy act does not apply. </w:t>
      </w:r>
    </w:p>
    <w:p w:rsidR="00A023D2" w:rsidRPr="00C46E03" w:rsidP="004B05C2" w14:paraId="6CB9242F" w14:textId="2E91DBFF">
      <w:pPr>
        <w:rPr>
          <w:rFonts w:cs="Times New Roman"/>
        </w:rPr>
      </w:pPr>
      <w:r w:rsidRPr="00C46E03">
        <w:rPr>
          <w:rFonts w:cs="Times New Roman"/>
        </w:rPr>
        <w:t xml:space="preserve">Personally identifiable information (PII), including individual names, will be collected from the </w:t>
      </w:r>
      <w:r w:rsidRPr="00C46E03" w:rsidR="00A975BD">
        <w:rPr>
          <w:rFonts w:cs="Times New Roman"/>
        </w:rPr>
        <w:t xml:space="preserve">market research vendor </w:t>
      </w:r>
      <w:r w:rsidRPr="00C46E03">
        <w:rPr>
          <w:rFonts w:cs="Times New Roman"/>
        </w:rPr>
        <w:t xml:space="preserve">for recruitment purposes and to provide </w:t>
      </w:r>
      <w:r w:rsidRPr="00C46E03" w:rsidR="00D14CAF">
        <w:rPr>
          <w:rFonts w:cs="Times New Roman"/>
        </w:rPr>
        <w:t>incentives</w:t>
      </w:r>
      <w:r w:rsidRPr="00C46E03">
        <w:rPr>
          <w:rFonts w:cs="Times New Roman"/>
        </w:rPr>
        <w:t xml:space="preserve"> only. </w:t>
      </w:r>
      <w:r w:rsidRPr="00C46E03" w:rsidR="00FB2108">
        <w:t>The vendor’s database is maintained according to privacy regulations</w:t>
      </w:r>
      <w:r w:rsidRPr="00C46E03" w:rsidR="00FB2108">
        <w:rPr>
          <w:color w:val="000000" w:themeColor="text1"/>
        </w:rPr>
        <w:t xml:space="preserve">. </w:t>
      </w:r>
      <w:r w:rsidRPr="00C46E03" w:rsidR="001E3692">
        <w:rPr>
          <w:color w:val="000000" w:themeColor="text1"/>
          <w:shd w:val="clear" w:color="auto" w:fill="FFFFFF"/>
        </w:rPr>
        <w:t xml:space="preserve">Demographic information (e.g., age, gender, race/ethnicity, etc.) will be collected as part of the screening to determine participant eligibility, however no direct personal identifiers (e.g., date of birth, social security number, etc.) will be collected or maintained. </w:t>
      </w:r>
      <w:r w:rsidRPr="00C46E03" w:rsidR="00E91371">
        <w:t>Participants will be advised not to s</w:t>
      </w:r>
      <w:r w:rsidRPr="00C46E03" w:rsidR="003066F6">
        <w:t>hare PII during the focus groups/IDI</w:t>
      </w:r>
      <w:r w:rsidRPr="00C46E03" w:rsidR="00B50967">
        <w:t>s</w:t>
      </w:r>
      <w:r w:rsidRPr="00C46E03" w:rsidR="008E2226">
        <w:t xml:space="preserve"> and will </w:t>
      </w:r>
      <w:r w:rsidRPr="00C46E03" w:rsidR="006D2833">
        <w:t>be issued a pseudonym and provided instructions on how to change their screen name</w:t>
      </w:r>
      <w:r w:rsidRPr="00C46E03" w:rsidR="008E2226">
        <w:t xml:space="preserve"> in the Zoom </w:t>
      </w:r>
      <w:r w:rsidRPr="00C46E03" w:rsidR="004D7B24">
        <w:t>web-hosti</w:t>
      </w:r>
      <w:r w:rsidRPr="00C46E03" w:rsidR="00083785">
        <w:t xml:space="preserve">ng </w:t>
      </w:r>
      <w:r w:rsidRPr="00C46E03" w:rsidR="008E2226">
        <w:t>platform</w:t>
      </w:r>
      <w:r w:rsidRPr="00C46E03" w:rsidR="006D2833">
        <w:t xml:space="preserve">. </w:t>
      </w:r>
      <w:r w:rsidRPr="00C46E03" w:rsidR="00596E4A">
        <w:t>No PII, such as names, addresses, or phone numbers, will be collected during the data collection</w:t>
      </w:r>
      <w:r w:rsidRPr="00C46E03" w:rsidR="006F3B87">
        <w:t xml:space="preserve">. </w:t>
      </w:r>
      <w:r w:rsidRPr="00C46E03" w:rsidR="00C23E12">
        <w:t>All PII will be kept separate from participants responses to the focus group/IDI questions.</w:t>
      </w:r>
      <w:r w:rsidRPr="00C46E03" w:rsidR="003060C4">
        <w:t xml:space="preserve"> </w:t>
      </w:r>
      <w:r w:rsidRPr="00C46E03">
        <w:rPr>
          <w:rFonts w:cs="Times New Roman"/>
        </w:rPr>
        <w:t xml:space="preserve">None of the files or documents received by the CDC project team will include PII. </w:t>
      </w:r>
    </w:p>
    <w:p w:rsidR="006231FC" w:rsidRPr="00C46E03" w:rsidP="006231FC" w14:paraId="45DC9BB9" w14:textId="7D6B3111">
      <w:pPr>
        <w:rPr>
          <w:rFonts w:eastAsiaTheme="minorEastAsia" w:cs="Times New Roman"/>
        </w:rPr>
      </w:pPr>
      <w:r w:rsidRPr="00C46E03">
        <w:rPr>
          <w:rFonts w:cs="Times New Roman"/>
        </w:rPr>
        <w:t xml:space="preserve">Participants will be informed about the security measures for privacy </w:t>
      </w:r>
      <w:r w:rsidRPr="00C46E03" w:rsidR="001C095E">
        <w:rPr>
          <w:rFonts w:cs="Times New Roman"/>
        </w:rPr>
        <w:t>protection</w:t>
      </w:r>
      <w:r w:rsidRPr="00C46E03">
        <w:rPr>
          <w:rFonts w:cs="Times New Roman"/>
        </w:rPr>
        <w:t xml:space="preserve"> during the consent process (Attachments B)</w:t>
      </w:r>
      <w:r w:rsidRPr="00C46E03" w:rsidR="00532EA4">
        <w:rPr>
          <w:rFonts w:cs="Times New Roman"/>
        </w:rPr>
        <w:t xml:space="preserve">. </w:t>
      </w:r>
      <w:r w:rsidRPr="00C46E03">
        <w:rPr>
          <w:rFonts w:eastAsiaTheme="minorEastAsia" w:cs="Times New Roman"/>
        </w:rPr>
        <w:t>The recordings</w:t>
      </w:r>
      <w:r w:rsidRPr="00C46E03" w:rsidR="003B7704">
        <w:rPr>
          <w:rFonts w:eastAsiaTheme="minorEastAsia" w:cs="Times New Roman"/>
        </w:rPr>
        <w:t>/videos</w:t>
      </w:r>
      <w:r w:rsidRPr="00C46E03">
        <w:rPr>
          <w:rFonts w:eastAsiaTheme="minorEastAsia" w:cs="Times New Roman"/>
        </w:rPr>
        <w:t xml:space="preserve"> will be edited shortly after completion of the interviews to fully de-identify them. Fully de-identified recordings and transcripts will be maintained on </w:t>
      </w:r>
      <w:r w:rsidRPr="00C46E03" w:rsidR="00CD72D9">
        <w:rPr>
          <w:rFonts w:eastAsiaTheme="minorEastAsia" w:cs="Times New Roman"/>
        </w:rPr>
        <w:t xml:space="preserve">the </w:t>
      </w:r>
      <w:r w:rsidRPr="00C46E03" w:rsidR="00DB5B06">
        <w:rPr>
          <w:rFonts w:eastAsiaTheme="minorEastAsia" w:cs="Times New Roman"/>
        </w:rPr>
        <w:t>contractor’s</w:t>
      </w:r>
      <w:r w:rsidRPr="00C46E03" w:rsidR="00CD72D9">
        <w:rPr>
          <w:rFonts w:eastAsiaTheme="minorEastAsia" w:cs="Times New Roman"/>
        </w:rPr>
        <w:t xml:space="preserve"> </w:t>
      </w:r>
      <w:r w:rsidRPr="00C46E03">
        <w:rPr>
          <w:rFonts w:eastAsiaTheme="minorEastAsia" w:cs="Times New Roman"/>
        </w:rPr>
        <w:t xml:space="preserve">password-protected/encrypted servers. Any transcripts or recordings with PII will be deleted after being fully de-identified. All analyses will be conducted on aggregated data, and participants’ </w:t>
      </w:r>
      <w:r w:rsidRPr="00C46E03">
        <w:rPr>
          <w:rFonts w:eastAsiaTheme="minorEastAsia" w:cs="Times New Roman"/>
        </w:rPr>
        <w:t>information will not be appended to the data file used. Aggregated, de-identified data from this project may be used in future analysis and/or shared with other social marketing and communication specialists. Quotes that may be used in the final report to illustrate a key point will not be attributable to a specific participant.</w:t>
      </w:r>
    </w:p>
    <w:p w:rsidR="004A13E8" w:rsidRPr="00C46E03" w:rsidP="004A13E8" w14:paraId="55FE17D0" w14:textId="77777777">
      <w:pPr>
        <w:pStyle w:val="Heading1"/>
      </w:pPr>
      <w:bookmarkStart w:id="13" w:name="_Toc141435839"/>
      <w:r w:rsidRPr="00C46E03">
        <w:t>Institutional Review Board (IRB) and Justification for Sensitive Questions</w:t>
      </w:r>
      <w:bookmarkEnd w:id="13"/>
    </w:p>
    <w:p w:rsidR="004A72F0" w:rsidRPr="00C46E03" w:rsidP="004A13E8" w14:paraId="77E8CE14" w14:textId="7EB258F5">
      <w:r w:rsidRPr="00C46E03">
        <w:t>CDC’s</w:t>
      </w:r>
      <w:r w:rsidRPr="00C46E03" w:rsidR="006F2493">
        <w:t xml:space="preserve"> </w:t>
      </w:r>
      <w:r w:rsidRPr="00C46E03" w:rsidR="005C26F9">
        <w:t xml:space="preserve">contractor submitted the </w:t>
      </w:r>
      <w:r w:rsidRPr="00C46E03" w:rsidR="006F2493">
        <w:t xml:space="preserve">project </w:t>
      </w:r>
      <w:r w:rsidRPr="00C46E03" w:rsidR="005C26F9">
        <w:t>to Advarra (</w:t>
      </w:r>
      <w:hyperlink r:id="rId9" w:history="1">
        <w:r w:rsidRPr="00C46E03" w:rsidR="00132ED7">
          <w:rPr>
            <w:rStyle w:val="Hyperlink"/>
          </w:rPr>
          <w:t>https://www.advarra.com/</w:t>
        </w:r>
      </w:hyperlink>
      <w:r w:rsidRPr="00C46E03" w:rsidR="005C26F9">
        <w:t>)</w:t>
      </w:r>
      <w:r w:rsidRPr="00C46E03" w:rsidR="00132ED7">
        <w:t>, a commercial IRB, for h</w:t>
      </w:r>
      <w:r w:rsidRPr="00C46E03" w:rsidR="009A0BF5">
        <w:t xml:space="preserve">uman </w:t>
      </w:r>
      <w:r w:rsidRPr="00C46E03" w:rsidR="00BB5D73">
        <w:t>subjects’</w:t>
      </w:r>
      <w:r w:rsidRPr="00C46E03" w:rsidR="009A0BF5">
        <w:t xml:space="preserve"> research</w:t>
      </w:r>
      <w:r w:rsidRPr="00C46E03" w:rsidR="00132ED7">
        <w:t xml:space="preserve"> d</w:t>
      </w:r>
      <w:r w:rsidRPr="00C46E03" w:rsidR="006F2493">
        <w:t>etermination</w:t>
      </w:r>
      <w:r w:rsidRPr="00C46E03" w:rsidR="00132ED7">
        <w:t>.</w:t>
      </w:r>
      <w:r w:rsidRPr="00C46E03" w:rsidR="00280635">
        <w:t xml:space="preserve"> </w:t>
      </w:r>
      <w:r w:rsidRPr="00C46E03">
        <w:t xml:space="preserve">Using the Department of Health and Human Services regulations found at 45 CFR 46.104(d)(2), the IRB determined that this research project is </w:t>
      </w:r>
      <w:r w:rsidRPr="00C46E03">
        <w:rPr>
          <w:b/>
          <w:bCs/>
        </w:rPr>
        <w:t>exempt</w:t>
      </w:r>
      <w:r w:rsidRPr="00C46E03">
        <w:t xml:space="preserve"> from IRB oversight. The IRB also completed the necessary additional limited review considerations as set forth under the Revised Common Rule, 45 CFR 46.104(d). The IRB granted this exemption on February 24, 2023</w:t>
      </w:r>
      <w:r w:rsidRPr="00C46E03" w:rsidR="001E4B74">
        <w:t xml:space="preserve"> (see Attachment </w:t>
      </w:r>
      <w:r w:rsidRPr="00C46E03" w:rsidR="004E3D0B">
        <w:t>E</w:t>
      </w:r>
      <w:r w:rsidRPr="00C46E03" w:rsidR="001E4B74">
        <w:t xml:space="preserve">: IRB Exempt Determination). </w:t>
      </w:r>
    </w:p>
    <w:p w:rsidR="004A13E8" w:rsidRPr="00C46E03" w:rsidP="004A13E8" w14:paraId="55FE17D4" w14:textId="6E12739E">
      <w:pPr>
        <w:rPr>
          <w:u w:val="single"/>
        </w:rPr>
      </w:pPr>
      <w:r w:rsidRPr="00C46E03">
        <w:rPr>
          <w:u w:val="single"/>
        </w:rPr>
        <w:t>Justification for Sensitive Questions</w:t>
      </w:r>
    </w:p>
    <w:p w:rsidR="00684E16" w:rsidRPr="00C46E03" w:rsidP="004A13E8" w14:paraId="433FC06E" w14:textId="77777777">
      <w:r w:rsidRPr="00C46E03">
        <w:t xml:space="preserve">It is important to understand the experiences and perceptions of people who might be, whether intentionally or not, engaging in behaviors that may contribute to antimicrobial-resistant infection. While these questions are similar in sensitivity to other topics discussed in everyday life, it is possible that a participant may be sensitive to these questions. All questions are voluntary, and participants may skip any question they are not comfortable answering. </w:t>
      </w:r>
    </w:p>
    <w:p w:rsidR="004A13E8" w:rsidRPr="00C46E03" w:rsidP="004A13E8" w14:paraId="55FE17D7" w14:textId="77777777">
      <w:pPr>
        <w:pStyle w:val="Heading1"/>
      </w:pPr>
      <w:bookmarkStart w:id="14" w:name="_Toc141435840"/>
      <w:r w:rsidRPr="00C46E03">
        <w:t>Estimates of Annualized Burden Hours and Costs</w:t>
      </w:r>
      <w:bookmarkEnd w:id="14"/>
    </w:p>
    <w:p w:rsidR="00C553B7" w:rsidRPr="00C46E03" w:rsidP="009B0947" w14:paraId="093B700D" w14:textId="77777777">
      <w:r w:rsidRPr="00C46E03">
        <w:t xml:space="preserve">A. </w:t>
      </w:r>
      <w:r w:rsidRPr="00C46E03">
        <w:t>Estimated Annualized Burden Hours</w:t>
      </w:r>
    </w:p>
    <w:p w:rsidR="001D14D2" w:rsidRPr="00C46E03" w:rsidP="00C508DC" w14:paraId="79568A6E" w14:textId="4B77CE75">
      <w:pPr>
        <w:rPr>
          <w:szCs w:val="24"/>
        </w:rPr>
      </w:pPr>
      <w:r w:rsidRPr="00C46E03">
        <w:t xml:space="preserve">The total estimated annualized response burden hours are </w:t>
      </w:r>
      <w:r w:rsidRPr="00C46E03" w:rsidR="00F717C0">
        <w:t>306</w:t>
      </w:r>
      <w:r w:rsidRPr="00C46E03" w:rsidR="008B6F49">
        <w:t xml:space="preserve">. </w:t>
      </w:r>
      <w:r w:rsidRPr="00C46E03">
        <w:t xml:space="preserve">Time estimates are based on </w:t>
      </w:r>
      <w:r w:rsidRPr="00C46E03" w:rsidR="001959E5">
        <w:t xml:space="preserve">the </w:t>
      </w:r>
      <w:r w:rsidRPr="00C46E03" w:rsidR="00533527">
        <w:t>contractor’s</w:t>
      </w:r>
      <w:r w:rsidRPr="00C46E03" w:rsidR="001959E5">
        <w:t xml:space="preserve"> </w:t>
      </w:r>
      <w:r w:rsidRPr="00C46E03">
        <w:t>previous experience conducting</w:t>
      </w:r>
      <w:r w:rsidRPr="00C46E03" w:rsidR="008C3A1C">
        <w:t xml:space="preserve"> qualitative data collections</w:t>
      </w:r>
      <w:r w:rsidRPr="00C46E03" w:rsidR="009759E8">
        <w:t xml:space="preserve"> with adults. </w:t>
      </w:r>
      <w:r w:rsidRPr="00C46E03" w:rsidR="005E5428">
        <w:t xml:space="preserve">We </w:t>
      </w:r>
      <w:r w:rsidRPr="00C46E03" w:rsidR="0071330E">
        <w:t>anticipate screening</w:t>
      </w:r>
      <w:r w:rsidRPr="00C46E03" w:rsidR="00DF6797">
        <w:t xml:space="preserve"> 1,500 individuals to obtain the 45 respondents</w:t>
      </w:r>
      <w:r w:rsidRPr="00C46E03" w:rsidR="005E5428">
        <w:t xml:space="preserve"> annually</w:t>
      </w:r>
      <w:r w:rsidRPr="00C46E03" w:rsidR="002450FF">
        <w:t xml:space="preserve"> </w:t>
      </w:r>
      <w:r w:rsidRPr="00C46E03" w:rsidR="000D3B33">
        <w:t>(Attachment A</w:t>
      </w:r>
      <w:r w:rsidRPr="00C46E03" w:rsidR="00AC4DF1">
        <w:t>. Recruitment Screener</w:t>
      </w:r>
      <w:r w:rsidRPr="00C46E03" w:rsidR="000D3B33">
        <w:t>)</w:t>
      </w:r>
      <w:r w:rsidRPr="00C46E03" w:rsidR="00C661EF">
        <w:t>; screening</w:t>
      </w:r>
      <w:r w:rsidRPr="00C46E03" w:rsidR="000D3B33">
        <w:t xml:space="preserve"> </w:t>
      </w:r>
      <w:r w:rsidRPr="00C46E03" w:rsidR="00D54027">
        <w:t xml:space="preserve">will take approximately </w:t>
      </w:r>
      <w:r w:rsidRPr="00C46E03" w:rsidR="009558A2">
        <w:t>10</w:t>
      </w:r>
      <w:r w:rsidRPr="00C46E03" w:rsidR="00775622">
        <w:t xml:space="preserve"> minutes </w:t>
      </w:r>
      <w:r w:rsidRPr="00C46E03" w:rsidR="00CF5C26">
        <w:t xml:space="preserve">per individual </w:t>
      </w:r>
      <w:r w:rsidRPr="00C46E03" w:rsidR="00775622">
        <w:t>to</w:t>
      </w:r>
      <w:r w:rsidRPr="00C46E03" w:rsidR="00112195">
        <w:t xml:space="preserve"> complete</w:t>
      </w:r>
      <w:r w:rsidRPr="00C46E03" w:rsidR="00CF5C26">
        <w:t xml:space="preserve"> (</w:t>
      </w:r>
      <w:r w:rsidRPr="00C46E03" w:rsidR="00D25A5C">
        <w:t>2</w:t>
      </w:r>
      <w:r w:rsidRPr="00C46E03" w:rsidR="009558A2">
        <w:t>5</w:t>
      </w:r>
      <w:r w:rsidRPr="00C46E03" w:rsidR="00D25A5C">
        <w:t>0</w:t>
      </w:r>
      <w:r w:rsidRPr="00C46E03" w:rsidR="00CF5C26">
        <w:t xml:space="preserve"> </w:t>
      </w:r>
      <w:r w:rsidRPr="00C46E03" w:rsidR="000D3B33">
        <w:t xml:space="preserve">annual burden hours). </w:t>
      </w:r>
      <w:r w:rsidRPr="00C46E03" w:rsidR="002234A9">
        <w:t xml:space="preserve">Those who screen in and </w:t>
      </w:r>
      <w:r w:rsidRPr="00C46E03" w:rsidR="004E6C63">
        <w:t>consent to</w:t>
      </w:r>
      <w:r w:rsidRPr="00C46E03" w:rsidR="00A821B4">
        <w:t xml:space="preserve"> participate in the project will </w:t>
      </w:r>
      <w:r w:rsidRPr="00C46E03" w:rsidR="00686C75">
        <w:t xml:space="preserve">be asked to </w:t>
      </w:r>
      <w:r w:rsidRPr="00C46E03" w:rsidR="00A821B4">
        <w:t xml:space="preserve">participate in a </w:t>
      </w:r>
      <w:r w:rsidRPr="00C46E03" w:rsidR="00AE0BC7">
        <w:t xml:space="preserve">15-minute </w:t>
      </w:r>
      <w:r w:rsidRPr="00C46E03" w:rsidR="00A94350">
        <w:t xml:space="preserve">Technology </w:t>
      </w:r>
      <w:r w:rsidRPr="00C46E03" w:rsidR="00FA1046">
        <w:t xml:space="preserve">Pre-check </w:t>
      </w:r>
      <w:r w:rsidRPr="00C46E03" w:rsidR="00403A8D">
        <w:t xml:space="preserve">(11 </w:t>
      </w:r>
      <w:r w:rsidRPr="00C46E03" w:rsidR="000B5DBC">
        <w:t>annual burden hours)</w:t>
      </w:r>
      <w:r w:rsidRPr="00C46E03" w:rsidR="00ED4AB7">
        <w:t xml:space="preserve">. Following the </w:t>
      </w:r>
      <w:r w:rsidRPr="00C46E03" w:rsidR="00AA66B7">
        <w:t xml:space="preserve">technology </w:t>
      </w:r>
      <w:r w:rsidRPr="00C46E03" w:rsidR="00ED4AB7">
        <w:t xml:space="preserve">pre-check </w:t>
      </w:r>
      <w:r w:rsidRPr="00C46E03" w:rsidR="00CF09AE">
        <w:t xml:space="preserve">(Attachment </w:t>
      </w:r>
      <w:r w:rsidRPr="00C46E03" w:rsidR="00C574C2">
        <w:t xml:space="preserve">D. Technology Pre-Check), </w:t>
      </w:r>
      <w:r w:rsidRPr="00C46E03" w:rsidR="00ED4AB7">
        <w:t xml:space="preserve">participants will </w:t>
      </w:r>
      <w:r w:rsidRPr="00C46E03" w:rsidR="00D03CDF">
        <w:t>partic</w:t>
      </w:r>
      <w:r w:rsidRPr="00C46E03" w:rsidR="00C574C2">
        <w:t>ipate</w:t>
      </w:r>
      <w:r w:rsidRPr="00C46E03" w:rsidR="00D03CDF">
        <w:t xml:space="preserve"> in a </w:t>
      </w:r>
      <w:r w:rsidRPr="00C46E03" w:rsidR="00A821B4">
        <w:t>60-minute</w:t>
      </w:r>
      <w:r w:rsidRPr="00C46E03" w:rsidR="002C6811">
        <w:t xml:space="preserve"> </w:t>
      </w:r>
      <w:r w:rsidRPr="00C46E03" w:rsidR="00DA2F42">
        <w:t xml:space="preserve">virtual </w:t>
      </w:r>
      <w:r w:rsidRPr="00C46E03" w:rsidR="001F08BD">
        <w:t xml:space="preserve">focus group </w:t>
      </w:r>
      <w:r w:rsidRPr="00C46E03" w:rsidR="00AD396E">
        <w:t>(45 annual burden hours)</w:t>
      </w:r>
      <w:r w:rsidRPr="00C46E03" w:rsidR="0020705F">
        <w:t xml:space="preserve"> </w:t>
      </w:r>
      <w:r w:rsidRPr="00C46E03" w:rsidR="00A13A04">
        <w:t xml:space="preserve">or </w:t>
      </w:r>
      <w:r w:rsidRPr="00C46E03" w:rsidR="004D6DF0">
        <w:t xml:space="preserve">a </w:t>
      </w:r>
      <w:r w:rsidRPr="00C46E03" w:rsidR="001F08BD">
        <w:t xml:space="preserve">30-minute </w:t>
      </w:r>
      <w:r w:rsidRPr="00C46E03" w:rsidR="00DA2F42">
        <w:t xml:space="preserve">virtual </w:t>
      </w:r>
      <w:r w:rsidRPr="00C46E03" w:rsidR="001F08BD">
        <w:t>IDI</w:t>
      </w:r>
      <w:r w:rsidRPr="00C46E03" w:rsidR="00E55130">
        <w:rPr>
          <w:rFonts w:cs="Times New Roman"/>
          <w:szCs w:val="24"/>
        </w:rPr>
        <w:t xml:space="preserve"> if needed to compensate for potential focus group dropouts or no shows</w:t>
      </w:r>
      <w:r w:rsidRPr="00C46E03" w:rsidR="003E47B3">
        <w:t xml:space="preserve">. Because </w:t>
      </w:r>
      <w:r w:rsidRPr="00C46E03" w:rsidR="0035581B">
        <w:t>focus group</w:t>
      </w:r>
      <w:r w:rsidRPr="00C46E03" w:rsidR="005B5574">
        <w:t xml:space="preserve"> participation </w:t>
      </w:r>
      <w:r w:rsidRPr="00C46E03" w:rsidR="00E66603">
        <w:t>lasts</w:t>
      </w:r>
      <w:r w:rsidRPr="00C46E03" w:rsidR="00F84480">
        <w:t xml:space="preserve"> </w:t>
      </w:r>
      <w:r w:rsidRPr="00C46E03" w:rsidR="005B5574">
        <w:t xml:space="preserve">longer </w:t>
      </w:r>
      <w:r w:rsidRPr="00C46E03" w:rsidR="00F84480">
        <w:t xml:space="preserve">than an </w:t>
      </w:r>
      <w:r w:rsidRPr="00C46E03" w:rsidR="00AC4876">
        <w:t xml:space="preserve">IDI, </w:t>
      </w:r>
      <w:r w:rsidRPr="00C46E03" w:rsidR="000F15AA">
        <w:t xml:space="preserve">we calculated the </w:t>
      </w:r>
      <w:r w:rsidRPr="00C46E03" w:rsidR="000904D4">
        <w:rPr>
          <w:rFonts w:cs="Times New Roman"/>
          <w:szCs w:val="24"/>
        </w:rPr>
        <w:t xml:space="preserve">estimated </w:t>
      </w:r>
      <w:r w:rsidRPr="00C46E03" w:rsidR="00F84480">
        <w:rPr>
          <w:rFonts w:cs="Times New Roman"/>
          <w:szCs w:val="24"/>
        </w:rPr>
        <w:t>annualized</w:t>
      </w:r>
      <w:r w:rsidRPr="00C46E03" w:rsidR="000904D4">
        <w:rPr>
          <w:rFonts w:cs="Times New Roman"/>
          <w:szCs w:val="24"/>
        </w:rPr>
        <w:t xml:space="preserve"> </w:t>
      </w:r>
      <w:r w:rsidRPr="00C46E03" w:rsidR="001325FB">
        <w:rPr>
          <w:rFonts w:cs="Times New Roman"/>
          <w:szCs w:val="24"/>
        </w:rPr>
        <w:t xml:space="preserve">burden based on the </w:t>
      </w:r>
      <w:r w:rsidRPr="00C46E03" w:rsidR="00F84480">
        <w:rPr>
          <w:rFonts w:cs="Times New Roman"/>
          <w:szCs w:val="24"/>
        </w:rPr>
        <w:t xml:space="preserve">longer activity (e.g., </w:t>
      </w:r>
      <w:r w:rsidRPr="00C46E03" w:rsidR="001325FB">
        <w:rPr>
          <w:rFonts w:cs="Times New Roman"/>
          <w:szCs w:val="24"/>
        </w:rPr>
        <w:t>60-minute focus group</w:t>
      </w:r>
      <w:r w:rsidRPr="00C46E03" w:rsidR="00F84480">
        <w:rPr>
          <w:rFonts w:cs="Times New Roman"/>
          <w:szCs w:val="24"/>
        </w:rPr>
        <w:t>)</w:t>
      </w:r>
      <w:r w:rsidRPr="00C46E03" w:rsidR="000E2D8F">
        <w:rPr>
          <w:rFonts w:cs="Times New Roman"/>
          <w:szCs w:val="24"/>
        </w:rPr>
        <w:t xml:space="preserve">. </w:t>
      </w:r>
    </w:p>
    <w:tbl>
      <w:tblPr>
        <w:tblStyle w:val="TableGrid"/>
        <w:tblW w:w="10255" w:type="dxa"/>
        <w:tblLayout w:type="fixed"/>
        <w:tblLook w:val="04A0"/>
      </w:tblPr>
      <w:tblGrid>
        <w:gridCol w:w="1885"/>
        <w:gridCol w:w="1890"/>
        <w:gridCol w:w="1530"/>
        <w:gridCol w:w="1530"/>
        <w:gridCol w:w="1800"/>
        <w:gridCol w:w="1620"/>
      </w:tblGrid>
      <w:tr w14:paraId="42AC8A00" w14:textId="77777777" w:rsidTr="0057500C">
        <w:tblPrEx>
          <w:tblW w:w="10255" w:type="dxa"/>
          <w:tblLayout w:type="fixed"/>
          <w:tblLook w:val="04A0"/>
        </w:tblPrEx>
        <w:tc>
          <w:tcPr>
            <w:tcW w:w="10255" w:type="dxa"/>
            <w:gridSpan w:val="6"/>
          </w:tcPr>
          <w:p w:rsidR="00767BA5" w:rsidRPr="00C46E03" w:rsidP="00612C0A" w14:paraId="69E9A003" w14:textId="6EC7182B">
            <w:pPr>
              <w:rPr>
                <w:rFonts w:cs="Times New Roman"/>
                <w:b/>
                <w:bCs/>
                <w:sz w:val="22"/>
              </w:rPr>
            </w:pPr>
            <w:r w:rsidRPr="00C46E03">
              <w:rPr>
                <w:rFonts w:cs="Times New Roman"/>
                <w:b/>
                <w:bCs/>
                <w:sz w:val="22"/>
              </w:rPr>
              <w:t xml:space="preserve">Estimated </w:t>
            </w:r>
            <w:r w:rsidRPr="00C46E03" w:rsidR="00940B23">
              <w:rPr>
                <w:rFonts w:cs="Times New Roman"/>
                <w:b/>
                <w:bCs/>
                <w:sz w:val="22"/>
              </w:rPr>
              <w:t xml:space="preserve">Annualized </w:t>
            </w:r>
            <w:r w:rsidRPr="00C46E03">
              <w:rPr>
                <w:rFonts w:cs="Times New Roman"/>
                <w:b/>
                <w:bCs/>
                <w:sz w:val="22"/>
              </w:rPr>
              <w:t xml:space="preserve">Burden Hours </w:t>
            </w:r>
          </w:p>
        </w:tc>
      </w:tr>
      <w:tr w14:paraId="55FE17E0" w14:textId="77777777" w:rsidTr="0057500C">
        <w:tblPrEx>
          <w:tblW w:w="10255" w:type="dxa"/>
          <w:tblLayout w:type="fixed"/>
          <w:tblLook w:val="04A0"/>
        </w:tblPrEx>
        <w:tc>
          <w:tcPr>
            <w:tcW w:w="1885" w:type="dxa"/>
          </w:tcPr>
          <w:p w:rsidR="004A13E8" w:rsidRPr="00C46E03" w:rsidP="00612C0A" w14:paraId="55FE17DA" w14:textId="77777777">
            <w:pPr>
              <w:rPr>
                <w:rFonts w:cs="Times New Roman"/>
                <w:sz w:val="22"/>
              </w:rPr>
            </w:pPr>
            <w:r w:rsidRPr="00C46E03">
              <w:rPr>
                <w:rFonts w:cs="Times New Roman"/>
                <w:sz w:val="22"/>
              </w:rPr>
              <w:t>Type of Respondent</w:t>
            </w:r>
          </w:p>
        </w:tc>
        <w:tc>
          <w:tcPr>
            <w:tcW w:w="1890" w:type="dxa"/>
          </w:tcPr>
          <w:p w:rsidR="004A13E8" w:rsidRPr="00C46E03" w:rsidP="00612C0A" w14:paraId="55FE17DB" w14:textId="77777777">
            <w:pPr>
              <w:rPr>
                <w:rFonts w:cs="Times New Roman"/>
                <w:sz w:val="22"/>
              </w:rPr>
            </w:pPr>
            <w:r w:rsidRPr="00C46E03">
              <w:rPr>
                <w:rFonts w:cs="Times New Roman"/>
                <w:sz w:val="22"/>
              </w:rPr>
              <w:t>Form Name</w:t>
            </w:r>
          </w:p>
        </w:tc>
        <w:tc>
          <w:tcPr>
            <w:tcW w:w="1530" w:type="dxa"/>
          </w:tcPr>
          <w:p w:rsidR="004A13E8" w:rsidRPr="00C46E03" w:rsidP="00612C0A" w14:paraId="55FE17DC" w14:textId="77777777">
            <w:pPr>
              <w:rPr>
                <w:rFonts w:cs="Times New Roman"/>
                <w:sz w:val="22"/>
              </w:rPr>
            </w:pPr>
            <w:r w:rsidRPr="00C46E03">
              <w:rPr>
                <w:rFonts w:cs="Times New Roman"/>
                <w:sz w:val="22"/>
              </w:rPr>
              <w:t>No. of Respondents</w:t>
            </w:r>
          </w:p>
        </w:tc>
        <w:tc>
          <w:tcPr>
            <w:tcW w:w="1530" w:type="dxa"/>
          </w:tcPr>
          <w:p w:rsidR="004A13E8" w:rsidRPr="00C46E03" w:rsidP="00612C0A" w14:paraId="55FE17DD" w14:textId="77777777">
            <w:pPr>
              <w:rPr>
                <w:rFonts w:cs="Times New Roman"/>
                <w:sz w:val="22"/>
              </w:rPr>
            </w:pPr>
            <w:r w:rsidRPr="00C46E03">
              <w:rPr>
                <w:rFonts w:cs="Times New Roman"/>
                <w:sz w:val="22"/>
              </w:rPr>
              <w:t>No. Responses per Respondent</w:t>
            </w:r>
          </w:p>
        </w:tc>
        <w:tc>
          <w:tcPr>
            <w:tcW w:w="1800" w:type="dxa"/>
          </w:tcPr>
          <w:p w:rsidR="004A13E8" w:rsidRPr="00C46E03" w:rsidP="00612C0A" w14:paraId="55FE17DE" w14:textId="198A935C">
            <w:pPr>
              <w:rPr>
                <w:rFonts w:cs="Times New Roman"/>
                <w:sz w:val="22"/>
              </w:rPr>
            </w:pPr>
            <w:r w:rsidRPr="00C46E03">
              <w:rPr>
                <w:rFonts w:cs="Times New Roman"/>
                <w:sz w:val="22"/>
              </w:rPr>
              <w:t>Avg. Burden per response (in hrs.)</w:t>
            </w:r>
            <w:r w:rsidRPr="00C46E03" w:rsidR="00631BE0">
              <w:rPr>
                <w:rFonts w:cs="Times New Roman"/>
                <w:sz w:val="22"/>
              </w:rPr>
              <w:t>*</w:t>
            </w:r>
          </w:p>
        </w:tc>
        <w:tc>
          <w:tcPr>
            <w:tcW w:w="1620" w:type="dxa"/>
          </w:tcPr>
          <w:p w:rsidR="004A13E8" w:rsidRPr="00C46E03" w:rsidP="00612C0A" w14:paraId="55FE17DF" w14:textId="77777777">
            <w:pPr>
              <w:rPr>
                <w:rFonts w:cs="Times New Roman"/>
                <w:sz w:val="22"/>
              </w:rPr>
            </w:pPr>
            <w:r w:rsidRPr="00C46E03">
              <w:rPr>
                <w:rFonts w:cs="Times New Roman"/>
                <w:sz w:val="22"/>
              </w:rPr>
              <w:t>Total Burden (in hrs.)</w:t>
            </w:r>
          </w:p>
        </w:tc>
      </w:tr>
      <w:tr w14:paraId="79FF98FF" w14:textId="77777777" w:rsidTr="0057500C">
        <w:tblPrEx>
          <w:tblW w:w="10255" w:type="dxa"/>
          <w:tblLayout w:type="fixed"/>
          <w:tblLook w:val="04A0"/>
        </w:tblPrEx>
        <w:tc>
          <w:tcPr>
            <w:tcW w:w="1885" w:type="dxa"/>
          </w:tcPr>
          <w:p w:rsidR="00D41030" w:rsidRPr="00C46E03" w:rsidP="00612C0A" w14:paraId="05B90C44" w14:textId="17F9CCDA">
            <w:pPr>
              <w:rPr>
                <w:rFonts w:cs="Times New Roman"/>
                <w:sz w:val="22"/>
              </w:rPr>
            </w:pPr>
            <w:r w:rsidRPr="00C46E03">
              <w:rPr>
                <w:rFonts w:cs="Times New Roman"/>
                <w:sz w:val="22"/>
              </w:rPr>
              <w:t>Individual</w:t>
            </w:r>
          </w:p>
        </w:tc>
        <w:tc>
          <w:tcPr>
            <w:tcW w:w="1890" w:type="dxa"/>
          </w:tcPr>
          <w:p w:rsidR="00D41030" w:rsidRPr="00C46E03" w:rsidP="00612C0A" w14:paraId="27184174" w14:textId="45CE6E1B">
            <w:pPr>
              <w:rPr>
                <w:rFonts w:cs="Times New Roman"/>
                <w:sz w:val="22"/>
              </w:rPr>
            </w:pPr>
            <w:r w:rsidRPr="00C46E03">
              <w:rPr>
                <w:rFonts w:cs="Times New Roman"/>
                <w:sz w:val="22"/>
              </w:rPr>
              <w:t xml:space="preserve">Recruitment </w:t>
            </w:r>
            <w:r w:rsidRPr="00C46E03" w:rsidR="004012AF">
              <w:rPr>
                <w:rFonts w:cs="Times New Roman"/>
                <w:sz w:val="22"/>
              </w:rPr>
              <w:t xml:space="preserve">Screener </w:t>
            </w:r>
          </w:p>
        </w:tc>
        <w:tc>
          <w:tcPr>
            <w:tcW w:w="1530" w:type="dxa"/>
          </w:tcPr>
          <w:p w:rsidR="00D41030" w:rsidRPr="00C46E03" w:rsidP="00612C0A" w14:paraId="6893D42F" w14:textId="606E796F">
            <w:pPr>
              <w:rPr>
                <w:rFonts w:cs="Times New Roman"/>
                <w:sz w:val="22"/>
              </w:rPr>
            </w:pPr>
            <w:r w:rsidRPr="00C46E03">
              <w:rPr>
                <w:rFonts w:cs="Times New Roman"/>
                <w:sz w:val="22"/>
              </w:rPr>
              <w:t>1500</w:t>
            </w:r>
          </w:p>
        </w:tc>
        <w:tc>
          <w:tcPr>
            <w:tcW w:w="1530" w:type="dxa"/>
          </w:tcPr>
          <w:p w:rsidR="00D41030" w:rsidRPr="00C46E03" w:rsidP="00612C0A" w14:paraId="0A3FEF23" w14:textId="05177CA9">
            <w:pPr>
              <w:rPr>
                <w:rFonts w:cs="Times New Roman"/>
                <w:sz w:val="22"/>
              </w:rPr>
            </w:pPr>
            <w:r w:rsidRPr="00C46E03">
              <w:rPr>
                <w:rFonts w:cs="Times New Roman"/>
                <w:sz w:val="22"/>
              </w:rPr>
              <w:t>1</w:t>
            </w:r>
          </w:p>
        </w:tc>
        <w:tc>
          <w:tcPr>
            <w:tcW w:w="1800" w:type="dxa"/>
          </w:tcPr>
          <w:p w:rsidR="00D41030" w:rsidRPr="00C46E03" w:rsidP="00612C0A" w14:paraId="51C5BFF2" w14:textId="7EC5C2AB">
            <w:pPr>
              <w:rPr>
                <w:rFonts w:cs="Times New Roman"/>
                <w:sz w:val="22"/>
              </w:rPr>
            </w:pPr>
            <w:r w:rsidRPr="00C46E03">
              <w:rPr>
                <w:rFonts w:cs="Times New Roman"/>
                <w:sz w:val="22"/>
              </w:rPr>
              <w:t>10</w:t>
            </w:r>
            <w:r w:rsidRPr="00C46E03" w:rsidR="00D924F4">
              <w:rPr>
                <w:rFonts w:cs="Times New Roman"/>
                <w:sz w:val="22"/>
              </w:rPr>
              <w:t>/60</w:t>
            </w:r>
          </w:p>
        </w:tc>
        <w:tc>
          <w:tcPr>
            <w:tcW w:w="1620" w:type="dxa"/>
          </w:tcPr>
          <w:p w:rsidR="00D41030" w:rsidRPr="00C46E03" w:rsidP="00612C0A" w14:paraId="754E5C6C" w14:textId="318BAD2E">
            <w:pPr>
              <w:rPr>
                <w:rFonts w:cs="Times New Roman"/>
                <w:sz w:val="22"/>
              </w:rPr>
            </w:pPr>
            <w:r w:rsidRPr="00C46E03">
              <w:rPr>
                <w:rFonts w:cs="Times New Roman"/>
                <w:sz w:val="22"/>
              </w:rPr>
              <w:t>2</w:t>
            </w:r>
            <w:r w:rsidRPr="00C46E03" w:rsidR="00FE4748">
              <w:rPr>
                <w:rFonts w:cs="Times New Roman"/>
                <w:sz w:val="22"/>
              </w:rPr>
              <w:t>50</w:t>
            </w:r>
          </w:p>
          <w:p w:rsidR="00801091" w:rsidRPr="00C46E03" w:rsidP="00612C0A" w14:paraId="2A618387" w14:textId="3E6A1915">
            <w:pPr>
              <w:rPr>
                <w:rFonts w:cs="Times New Roman"/>
                <w:sz w:val="22"/>
              </w:rPr>
            </w:pPr>
          </w:p>
        </w:tc>
      </w:tr>
      <w:tr w14:paraId="7D218F3F" w14:textId="77777777" w:rsidTr="0057500C">
        <w:tblPrEx>
          <w:tblW w:w="10255" w:type="dxa"/>
          <w:tblLayout w:type="fixed"/>
          <w:tblLook w:val="04A0"/>
        </w:tblPrEx>
        <w:tc>
          <w:tcPr>
            <w:tcW w:w="1885" w:type="dxa"/>
          </w:tcPr>
          <w:p w:rsidR="00FE4748" w:rsidRPr="00C46E03" w:rsidP="00612C0A" w14:paraId="5B5B70F6" w14:textId="6171F4E0">
            <w:pPr>
              <w:rPr>
                <w:rFonts w:cs="Times New Roman"/>
                <w:sz w:val="22"/>
              </w:rPr>
            </w:pPr>
            <w:r w:rsidRPr="00C46E03">
              <w:rPr>
                <w:rFonts w:cs="Times New Roman"/>
                <w:sz w:val="22"/>
              </w:rPr>
              <w:t>Individual</w:t>
            </w:r>
          </w:p>
        </w:tc>
        <w:tc>
          <w:tcPr>
            <w:tcW w:w="1890" w:type="dxa"/>
          </w:tcPr>
          <w:p w:rsidR="00FE4748" w:rsidRPr="00C46E03" w:rsidP="00612C0A" w14:paraId="5E097BE3" w14:textId="71DDFAC5">
            <w:pPr>
              <w:rPr>
                <w:rFonts w:cs="Times New Roman"/>
                <w:sz w:val="22"/>
              </w:rPr>
            </w:pPr>
            <w:r w:rsidRPr="00C46E03">
              <w:rPr>
                <w:rFonts w:cs="Times New Roman"/>
                <w:sz w:val="22"/>
              </w:rPr>
              <w:t>Technology Pre-Check</w:t>
            </w:r>
          </w:p>
        </w:tc>
        <w:tc>
          <w:tcPr>
            <w:tcW w:w="1530" w:type="dxa"/>
          </w:tcPr>
          <w:p w:rsidR="00FE4748" w:rsidRPr="00C46E03" w:rsidP="00612C0A" w14:paraId="2CE28A3C" w14:textId="6499B39B">
            <w:pPr>
              <w:rPr>
                <w:rFonts w:cs="Times New Roman"/>
                <w:sz w:val="22"/>
              </w:rPr>
            </w:pPr>
            <w:r w:rsidRPr="00C46E03">
              <w:rPr>
                <w:rFonts w:cs="Times New Roman"/>
                <w:sz w:val="22"/>
              </w:rPr>
              <w:t>45</w:t>
            </w:r>
          </w:p>
        </w:tc>
        <w:tc>
          <w:tcPr>
            <w:tcW w:w="1530" w:type="dxa"/>
          </w:tcPr>
          <w:p w:rsidR="00FE4748" w:rsidRPr="00C46E03" w:rsidP="00612C0A" w14:paraId="09DDE050" w14:textId="778C35AB">
            <w:pPr>
              <w:rPr>
                <w:rFonts w:cs="Times New Roman"/>
                <w:sz w:val="22"/>
              </w:rPr>
            </w:pPr>
            <w:r w:rsidRPr="00C46E03">
              <w:rPr>
                <w:rFonts w:cs="Times New Roman"/>
                <w:sz w:val="22"/>
              </w:rPr>
              <w:t>1</w:t>
            </w:r>
          </w:p>
        </w:tc>
        <w:tc>
          <w:tcPr>
            <w:tcW w:w="1800" w:type="dxa"/>
          </w:tcPr>
          <w:p w:rsidR="00FE4748" w:rsidRPr="00C46E03" w:rsidP="00612C0A" w14:paraId="1FF31F9A" w14:textId="253D8411">
            <w:pPr>
              <w:rPr>
                <w:rFonts w:cs="Times New Roman"/>
                <w:sz w:val="22"/>
              </w:rPr>
            </w:pPr>
            <w:r w:rsidRPr="00C46E03">
              <w:rPr>
                <w:rFonts w:cs="Times New Roman"/>
                <w:sz w:val="22"/>
              </w:rPr>
              <w:t>15/60</w:t>
            </w:r>
          </w:p>
        </w:tc>
        <w:tc>
          <w:tcPr>
            <w:tcW w:w="1620" w:type="dxa"/>
          </w:tcPr>
          <w:p w:rsidR="00FE4748" w:rsidRPr="00C46E03" w:rsidP="00612C0A" w14:paraId="4D1015CF" w14:textId="50396AC8">
            <w:pPr>
              <w:rPr>
                <w:rFonts w:cs="Times New Roman"/>
                <w:sz w:val="22"/>
              </w:rPr>
            </w:pPr>
            <w:r w:rsidRPr="00C46E03">
              <w:rPr>
                <w:rFonts w:cs="Times New Roman"/>
                <w:sz w:val="22"/>
              </w:rPr>
              <w:t>11</w:t>
            </w:r>
          </w:p>
        </w:tc>
      </w:tr>
      <w:tr w14:paraId="266323D1" w14:textId="77777777" w:rsidTr="0057500C">
        <w:tblPrEx>
          <w:tblW w:w="10255" w:type="dxa"/>
          <w:tblLayout w:type="fixed"/>
          <w:tblLook w:val="04A0"/>
        </w:tblPrEx>
        <w:tc>
          <w:tcPr>
            <w:tcW w:w="1885" w:type="dxa"/>
          </w:tcPr>
          <w:p w:rsidR="003E4A95" w:rsidRPr="00C46E03" w:rsidP="00612C0A" w14:paraId="4B333745" w14:textId="62E697EE">
            <w:pPr>
              <w:rPr>
                <w:rFonts w:cs="Times New Roman"/>
                <w:sz w:val="22"/>
              </w:rPr>
            </w:pPr>
            <w:r w:rsidRPr="00C46E03">
              <w:rPr>
                <w:rFonts w:cs="Times New Roman"/>
                <w:sz w:val="22"/>
              </w:rPr>
              <w:t>Individuals Ages 21-</w:t>
            </w:r>
            <w:r w:rsidRPr="00C46E03" w:rsidR="002704D1">
              <w:rPr>
                <w:rFonts w:cs="Times New Roman"/>
                <w:sz w:val="22"/>
              </w:rPr>
              <w:t>70</w:t>
            </w:r>
          </w:p>
        </w:tc>
        <w:tc>
          <w:tcPr>
            <w:tcW w:w="1890" w:type="dxa"/>
          </w:tcPr>
          <w:p w:rsidR="003E4A95" w:rsidRPr="00C46E03" w:rsidP="008377F4" w14:paraId="06DC22C5" w14:textId="435F6764">
            <w:pPr>
              <w:rPr>
                <w:rFonts w:cs="Times New Roman"/>
                <w:sz w:val="22"/>
              </w:rPr>
            </w:pPr>
            <w:r w:rsidRPr="00C46E03">
              <w:rPr>
                <w:rFonts w:cs="Times New Roman"/>
                <w:sz w:val="22"/>
              </w:rPr>
              <w:t xml:space="preserve">Antimicrobial-Resistant Infection Formative Evaluation Interview Guide </w:t>
            </w:r>
          </w:p>
        </w:tc>
        <w:tc>
          <w:tcPr>
            <w:tcW w:w="1530" w:type="dxa"/>
          </w:tcPr>
          <w:p w:rsidR="003E4A95" w:rsidRPr="00C46E03" w:rsidP="00612C0A" w14:paraId="462E84BB" w14:textId="36271601">
            <w:pPr>
              <w:rPr>
                <w:rFonts w:cs="Times New Roman"/>
                <w:sz w:val="22"/>
              </w:rPr>
            </w:pPr>
            <w:r w:rsidRPr="00C46E03">
              <w:rPr>
                <w:rFonts w:cs="Times New Roman"/>
                <w:sz w:val="22"/>
              </w:rPr>
              <w:t>45</w:t>
            </w:r>
          </w:p>
        </w:tc>
        <w:tc>
          <w:tcPr>
            <w:tcW w:w="1530" w:type="dxa"/>
          </w:tcPr>
          <w:p w:rsidR="003E4A95" w:rsidRPr="00C46E03" w:rsidP="00612C0A" w14:paraId="01A6D760" w14:textId="7B390324">
            <w:pPr>
              <w:rPr>
                <w:rFonts w:cs="Times New Roman"/>
                <w:sz w:val="22"/>
              </w:rPr>
            </w:pPr>
            <w:r w:rsidRPr="00C46E03">
              <w:rPr>
                <w:rFonts w:cs="Times New Roman"/>
                <w:sz w:val="22"/>
              </w:rPr>
              <w:t>1</w:t>
            </w:r>
          </w:p>
        </w:tc>
        <w:tc>
          <w:tcPr>
            <w:tcW w:w="1800" w:type="dxa"/>
          </w:tcPr>
          <w:p w:rsidR="003E4A95" w:rsidRPr="00C46E03" w:rsidP="00612C0A" w14:paraId="78A11E64" w14:textId="35B3BB32">
            <w:pPr>
              <w:rPr>
                <w:rFonts w:cs="Times New Roman"/>
                <w:sz w:val="22"/>
              </w:rPr>
            </w:pPr>
            <w:r w:rsidRPr="00C46E03">
              <w:rPr>
                <w:rFonts w:cs="Times New Roman"/>
                <w:sz w:val="22"/>
              </w:rPr>
              <w:t>1</w:t>
            </w:r>
          </w:p>
        </w:tc>
        <w:tc>
          <w:tcPr>
            <w:tcW w:w="1620" w:type="dxa"/>
          </w:tcPr>
          <w:p w:rsidR="003E4A95" w:rsidRPr="00C46E03" w:rsidP="00612C0A" w14:paraId="5817DC16" w14:textId="7473595A">
            <w:pPr>
              <w:rPr>
                <w:rFonts w:cs="Times New Roman"/>
                <w:sz w:val="22"/>
              </w:rPr>
            </w:pPr>
            <w:r w:rsidRPr="00C46E03">
              <w:rPr>
                <w:rFonts w:cs="Times New Roman"/>
                <w:sz w:val="22"/>
              </w:rPr>
              <w:t>45</w:t>
            </w:r>
          </w:p>
        </w:tc>
      </w:tr>
      <w:tr w14:paraId="111A4695" w14:textId="77777777" w:rsidTr="0057500C">
        <w:tblPrEx>
          <w:tblW w:w="10255" w:type="dxa"/>
          <w:tblLayout w:type="fixed"/>
          <w:tblLook w:val="04A0"/>
        </w:tblPrEx>
        <w:tc>
          <w:tcPr>
            <w:tcW w:w="1885" w:type="dxa"/>
          </w:tcPr>
          <w:p w:rsidR="004147E8" w:rsidRPr="00C46E03" w:rsidP="004147E8" w14:paraId="31AEF0F9" w14:textId="0BBD0CDE">
            <w:pPr>
              <w:rPr>
                <w:rFonts w:cs="Times New Roman"/>
                <w:b/>
                <w:bCs/>
                <w:sz w:val="22"/>
              </w:rPr>
            </w:pPr>
            <w:r w:rsidRPr="00C46E03">
              <w:rPr>
                <w:rFonts w:cs="Times New Roman"/>
                <w:b/>
                <w:bCs/>
                <w:sz w:val="22"/>
              </w:rPr>
              <w:t xml:space="preserve">Total </w:t>
            </w:r>
          </w:p>
        </w:tc>
        <w:tc>
          <w:tcPr>
            <w:tcW w:w="1890" w:type="dxa"/>
          </w:tcPr>
          <w:p w:rsidR="004147E8" w:rsidRPr="00C46E03" w:rsidP="004147E8" w14:paraId="1F5F4C83" w14:textId="77777777">
            <w:pPr>
              <w:rPr>
                <w:rFonts w:cs="Times New Roman"/>
                <w:b/>
                <w:bCs/>
                <w:sz w:val="22"/>
              </w:rPr>
            </w:pPr>
          </w:p>
        </w:tc>
        <w:tc>
          <w:tcPr>
            <w:tcW w:w="1530" w:type="dxa"/>
          </w:tcPr>
          <w:p w:rsidR="004147E8" w:rsidRPr="00C46E03" w:rsidP="004147E8" w14:paraId="2606FF14" w14:textId="0970E6D3">
            <w:pPr>
              <w:rPr>
                <w:rFonts w:cs="Times New Roman"/>
                <w:b/>
                <w:bCs/>
                <w:sz w:val="22"/>
              </w:rPr>
            </w:pPr>
          </w:p>
        </w:tc>
        <w:tc>
          <w:tcPr>
            <w:tcW w:w="1530" w:type="dxa"/>
          </w:tcPr>
          <w:p w:rsidR="004147E8" w:rsidRPr="00C46E03" w:rsidP="004147E8" w14:paraId="757472A9" w14:textId="77777777">
            <w:pPr>
              <w:rPr>
                <w:rFonts w:cs="Times New Roman"/>
                <w:sz w:val="22"/>
              </w:rPr>
            </w:pPr>
          </w:p>
        </w:tc>
        <w:tc>
          <w:tcPr>
            <w:tcW w:w="1800" w:type="dxa"/>
          </w:tcPr>
          <w:p w:rsidR="004147E8" w:rsidRPr="00C46E03" w:rsidP="004147E8" w14:paraId="0F5FB9C7" w14:textId="77777777">
            <w:pPr>
              <w:rPr>
                <w:rFonts w:cs="Times New Roman"/>
                <w:sz w:val="22"/>
              </w:rPr>
            </w:pPr>
          </w:p>
        </w:tc>
        <w:tc>
          <w:tcPr>
            <w:tcW w:w="1620" w:type="dxa"/>
          </w:tcPr>
          <w:p w:rsidR="004147E8" w:rsidRPr="00C46E03" w:rsidP="004147E8" w14:paraId="6666CED9" w14:textId="372E584E">
            <w:pPr>
              <w:rPr>
                <w:rFonts w:cs="Times New Roman"/>
                <w:b/>
                <w:bCs/>
                <w:sz w:val="22"/>
              </w:rPr>
            </w:pPr>
            <w:r w:rsidRPr="00C46E03">
              <w:rPr>
                <w:rFonts w:cs="Times New Roman"/>
                <w:b/>
                <w:bCs/>
                <w:sz w:val="22"/>
              </w:rPr>
              <w:t>306</w:t>
            </w:r>
          </w:p>
        </w:tc>
      </w:tr>
    </w:tbl>
    <w:p w:rsidR="00C553B7" w:rsidRPr="00C46E03" w:rsidP="004A13E8" w14:paraId="505C920E" w14:textId="20E63586">
      <w:pPr>
        <w:spacing w:before="240"/>
      </w:pPr>
      <w:r w:rsidRPr="00C46E03">
        <w:t>B.</w:t>
      </w:r>
      <w:r w:rsidRPr="00C46E03">
        <w:t xml:space="preserve"> Estimated Annualized Burden Costs</w:t>
      </w:r>
      <w:r w:rsidRPr="00C46E03" w:rsidR="009B0947">
        <w:t xml:space="preserve"> </w:t>
      </w:r>
    </w:p>
    <w:p w:rsidR="00DA30F1" w:rsidRPr="00C46E03" w:rsidP="004A13E8" w14:paraId="58787F4E" w14:textId="26DE579B">
      <w:pPr>
        <w:spacing w:before="240"/>
      </w:pPr>
      <w:r w:rsidRPr="00C46E03">
        <w:t xml:space="preserve">The annualized costs for respondents are based </w:t>
      </w:r>
      <w:r w:rsidRPr="00C46E03" w:rsidR="00796CB1">
        <w:t xml:space="preserve">on data from the U.S. Department of Labor (DOL), Bureau of Labor Statistics (2022). </w:t>
      </w:r>
      <w:r w:rsidRPr="00C46E03" w:rsidR="00D06F45">
        <w:rPr>
          <w:rFonts w:eastAsiaTheme="minorEastAsia"/>
          <w:szCs w:val="24"/>
        </w:rPr>
        <w:t xml:space="preserve">To </w:t>
      </w:r>
      <w:r w:rsidRPr="00C46E03" w:rsidR="0040253F">
        <w:rPr>
          <w:rFonts w:eastAsiaTheme="minorEastAsia"/>
          <w:szCs w:val="24"/>
        </w:rPr>
        <w:t xml:space="preserve">calculate annualized costs to consumers, we used the mean hourly wage rate of $29.76 which represents the DOL estimated mean for state, local, and private industry earnings and assumes an average hourly wage rate for respondents who work an estimated 40-hour work week. </w:t>
      </w:r>
      <w:r w:rsidRPr="00C46E03" w:rsidR="001B06DB">
        <w:rPr>
          <w:rFonts w:eastAsiaTheme="minorEastAsia"/>
          <w:szCs w:val="24"/>
        </w:rPr>
        <w:t xml:space="preserve">The total annualized burden cost is estimated </w:t>
      </w:r>
      <w:r w:rsidRPr="00C46E03" w:rsidR="005C380D">
        <w:rPr>
          <w:rFonts w:eastAsiaTheme="minorEastAsia"/>
          <w:szCs w:val="24"/>
        </w:rPr>
        <w:t>at $</w:t>
      </w:r>
      <w:r w:rsidRPr="00C46E03" w:rsidR="00897E4E">
        <w:rPr>
          <w:rFonts w:eastAsiaTheme="minorEastAsia"/>
          <w:szCs w:val="24"/>
        </w:rPr>
        <w:t>9114</w:t>
      </w:r>
      <w:r w:rsidRPr="00C46E03" w:rsidR="005C380D">
        <w:rPr>
          <w:rFonts w:eastAsiaTheme="minorEastAsia"/>
          <w:szCs w:val="24"/>
        </w:rPr>
        <w:t>.</w:t>
      </w:r>
      <w:r w:rsidRPr="00C46E03" w:rsidR="007916AE">
        <w:rPr>
          <w:rFonts w:eastAsiaTheme="minorEastAsia"/>
          <w:szCs w:val="24"/>
        </w:rPr>
        <w:t>00.</w:t>
      </w:r>
    </w:p>
    <w:tbl>
      <w:tblPr>
        <w:tblStyle w:val="TableGrid"/>
        <w:tblW w:w="10075" w:type="dxa"/>
        <w:tblLook w:val="04A0"/>
      </w:tblPr>
      <w:tblGrid>
        <w:gridCol w:w="2015"/>
        <w:gridCol w:w="2015"/>
        <w:gridCol w:w="2015"/>
        <w:gridCol w:w="2015"/>
        <w:gridCol w:w="2015"/>
      </w:tblGrid>
      <w:tr w14:paraId="55FE17F2" w14:textId="77777777" w:rsidTr="00612C0A">
        <w:tblPrEx>
          <w:tblW w:w="10075" w:type="dxa"/>
          <w:tblLook w:val="04A0"/>
        </w:tblPrEx>
        <w:tc>
          <w:tcPr>
            <w:tcW w:w="2015" w:type="dxa"/>
          </w:tcPr>
          <w:p w:rsidR="004A13E8" w:rsidRPr="00C46E03" w:rsidP="00612C0A" w14:paraId="55FE17ED" w14:textId="77777777">
            <w:r w:rsidRPr="00C46E03">
              <w:t>Type of Respondent</w:t>
            </w:r>
          </w:p>
        </w:tc>
        <w:tc>
          <w:tcPr>
            <w:tcW w:w="2015" w:type="dxa"/>
          </w:tcPr>
          <w:p w:rsidR="004A13E8" w:rsidRPr="00C46E03" w:rsidP="00612C0A" w14:paraId="55FE17EE" w14:textId="77777777">
            <w:r w:rsidRPr="00C46E03">
              <w:t>Form Name</w:t>
            </w:r>
          </w:p>
        </w:tc>
        <w:tc>
          <w:tcPr>
            <w:tcW w:w="2015" w:type="dxa"/>
          </w:tcPr>
          <w:p w:rsidR="004A13E8" w:rsidRPr="00C46E03" w:rsidP="00612C0A" w14:paraId="55FE17EF" w14:textId="77777777">
            <w:r w:rsidRPr="00C46E03">
              <w:t>Total Burden Hours</w:t>
            </w:r>
          </w:p>
        </w:tc>
        <w:tc>
          <w:tcPr>
            <w:tcW w:w="2015" w:type="dxa"/>
          </w:tcPr>
          <w:p w:rsidR="004A13E8" w:rsidRPr="00C46E03" w:rsidP="00612C0A" w14:paraId="55FE17F0" w14:textId="77777777">
            <w:r w:rsidRPr="00C46E03">
              <w:t>Hourly Wage Rate</w:t>
            </w:r>
          </w:p>
        </w:tc>
        <w:tc>
          <w:tcPr>
            <w:tcW w:w="2015" w:type="dxa"/>
          </w:tcPr>
          <w:p w:rsidR="004A13E8" w:rsidRPr="00C46E03" w:rsidP="00612C0A" w14:paraId="55FE17F1" w14:textId="77777777">
            <w:r w:rsidRPr="00C46E03">
              <w:t>Total Respondent Costs</w:t>
            </w:r>
          </w:p>
        </w:tc>
      </w:tr>
      <w:tr w14:paraId="32D1243A" w14:textId="77777777" w:rsidTr="00612C0A">
        <w:tblPrEx>
          <w:tblW w:w="10075" w:type="dxa"/>
          <w:tblLook w:val="04A0"/>
        </w:tblPrEx>
        <w:tc>
          <w:tcPr>
            <w:tcW w:w="2015" w:type="dxa"/>
          </w:tcPr>
          <w:p w:rsidR="0068082D" w:rsidRPr="00C46E03" w:rsidP="00612C0A" w14:paraId="6345CA5B" w14:textId="47AADA37">
            <w:r w:rsidRPr="00C46E03">
              <w:t>Individuals</w:t>
            </w:r>
          </w:p>
        </w:tc>
        <w:tc>
          <w:tcPr>
            <w:tcW w:w="2015" w:type="dxa"/>
          </w:tcPr>
          <w:p w:rsidR="0068082D" w:rsidRPr="00C46E03" w:rsidP="00612C0A" w14:paraId="0770E831" w14:textId="7921629D">
            <w:r w:rsidRPr="00C46E03">
              <w:t>Screener</w:t>
            </w:r>
          </w:p>
        </w:tc>
        <w:tc>
          <w:tcPr>
            <w:tcW w:w="2015" w:type="dxa"/>
          </w:tcPr>
          <w:p w:rsidR="0068082D" w:rsidRPr="00C46E03" w:rsidP="00612C0A" w14:paraId="11885F31" w14:textId="7F9E974C">
            <w:r w:rsidRPr="00C46E03">
              <w:t>2</w:t>
            </w:r>
            <w:r w:rsidRPr="00C46E03" w:rsidR="004645B1">
              <w:t>5</w:t>
            </w:r>
            <w:r w:rsidRPr="00C46E03">
              <w:t>0</w:t>
            </w:r>
          </w:p>
        </w:tc>
        <w:tc>
          <w:tcPr>
            <w:tcW w:w="2015" w:type="dxa"/>
          </w:tcPr>
          <w:p w:rsidR="0068082D" w:rsidRPr="00C46E03" w:rsidP="00612C0A" w14:paraId="37B8A7E7" w14:textId="3B75397B">
            <w:r w:rsidRPr="00C46E03">
              <w:t>$29.76</w:t>
            </w:r>
          </w:p>
        </w:tc>
        <w:tc>
          <w:tcPr>
            <w:tcW w:w="2015" w:type="dxa"/>
          </w:tcPr>
          <w:p w:rsidR="0068082D" w:rsidRPr="00C46E03" w:rsidP="00612C0A" w14:paraId="75DA84F8" w14:textId="22ED16C8">
            <w:r w:rsidRPr="00C46E03">
              <w:t>$</w:t>
            </w:r>
            <w:r w:rsidRPr="00C46E03" w:rsidR="00BA34E5">
              <w:t>7</w:t>
            </w:r>
            <w:r w:rsidRPr="00C46E03" w:rsidR="00845A47">
              <w:t>,</w:t>
            </w:r>
            <w:r w:rsidRPr="00C46E03" w:rsidR="00BA34E5">
              <w:t>440</w:t>
            </w:r>
            <w:r w:rsidRPr="00C46E03" w:rsidR="00845A47">
              <w:t>.</w:t>
            </w:r>
          </w:p>
          <w:p w:rsidR="00474074" w:rsidRPr="00C46E03" w:rsidP="00612C0A" w14:paraId="420E1F3C" w14:textId="182E72E0"/>
        </w:tc>
      </w:tr>
      <w:tr w14:paraId="34F9507B" w14:textId="77777777" w:rsidTr="00612C0A">
        <w:tblPrEx>
          <w:tblW w:w="10075" w:type="dxa"/>
          <w:tblLook w:val="04A0"/>
        </w:tblPrEx>
        <w:tc>
          <w:tcPr>
            <w:tcW w:w="2015" w:type="dxa"/>
          </w:tcPr>
          <w:p w:rsidR="00E801C0" w:rsidRPr="00C46E03" w:rsidP="00612C0A" w14:paraId="7CAD7EAE" w14:textId="46C4073F">
            <w:r w:rsidRPr="00C46E03">
              <w:t>Individuals</w:t>
            </w:r>
          </w:p>
        </w:tc>
        <w:tc>
          <w:tcPr>
            <w:tcW w:w="2015" w:type="dxa"/>
          </w:tcPr>
          <w:p w:rsidR="00E801C0" w:rsidRPr="00C46E03" w:rsidP="00612C0A" w14:paraId="26E1C410" w14:textId="46C997A0">
            <w:r w:rsidRPr="00C46E03">
              <w:t>Technology Pre</w:t>
            </w:r>
            <w:r w:rsidRPr="00C46E03" w:rsidR="004645B1">
              <w:t>-check</w:t>
            </w:r>
          </w:p>
        </w:tc>
        <w:tc>
          <w:tcPr>
            <w:tcW w:w="2015" w:type="dxa"/>
          </w:tcPr>
          <w:p w:rsidR="00E801C0" w:rsidRPr="00C46E03" w:rsidP="00612C0A" w14:paraId="3E2B4E30" w14:textId="01635AAC">
            <w:r w:rsidRPr="00C46E03">
              <w:t>11.25</w:t>
            </w:r>
          </w:p>
        </w:tc>
        <w:tc>
          <w:tcPr>
            <w:tcW w:w="2015" w:type="dxa"/>
          </w:tcPr>
          <w:p w:rsidR="00E801C0" w:rsidRPr="00C46E03" w:rsidP="00612C0A" w14:paraId="1E636001" w14:textId="53310D1F">
            <w:r w:rsidRPr="00C46E03">
              <w:t>$29.76</w:t>
            </w:r>
          </w:p>
        </w:tc>
        <w:tc>
          <w:tcPr>
            <w:tcW w:w="2015" w:type="dxa"/>
          </w:tcPr>
          <w:p w:rsidR="00E801C0" w:rsidRPr="00C46E03" w:rsidP="00612C0A" w14:paraId="6566D4A9" w14:textId="4AE5C01F">
            <w:r w:rsidRPr="00C46E03">
              <w:t>$3</w:t>
            </w:r>
            <w:r w:rsidR="00684EE5">
              <w:t>27.36</w:t>
            </w:r>
          </w:p>
        </w:tc>
      </w:tr>
      <w:tr w14:paraId="55FE17F8" w14:textId="77777777" w:rsidTr="00612C0A">
        <w:tblPrEx>
          <w:tblW w:w="10075" w:type="dxa"/>
          <w:tblLook w:val="04A0"/>
        </w:tblPrEx>
        <w:tc>
          <w:tcPr>
            <w:tcW w:w="2015" w:type="dxa"/>
          </w:tcPr>
          <w:p w:rsidR="001A6E3D" w:rsidRPr="00C46E03" w:rsidP="001A6E3D" w14:paraId="55FE17F3" w14:textId="685D8146">
            <w:r w:rsidRPr="00C46E03">
              <w:t xml:space="preserve">Individuals </w:t>
            </w:r>
            <w:r w:rsidRPr="00C46E03">
              <w:t>Ages 21-</w:t>
            </w:r>
            <w:r w:rsidRPr="00C46E03" w:rsidR="004645B1">
              <w:t>70</w:t>
            </w:r>
            <w:r w:rsidRPr="00C46E03">
              <w:t xml:space="preserve"> </w:t>
            </w:r>
          </w:p>
        </w:tc>
        <w:tc>
          <w:tcPr>
            <w:tcW w:w="2015" w:type="dxa"/>
          </w:tcPr>
          <w:p w:rsidR="001A6E3D" w:rsidRPr="00C46E03" w:rsidP="00D623AC" w14:paraId="55FE17F4" w14:textId="66354E0B">
            <w:r w:rsidRPr="00C46E03">
              <w:t xml:space="preserve">Antimicrobial-Resistant Infection Formative Evaluation Interview Guide </w:t>
            </w:r>
          </w:p>
        </w:tc>
        <w:tc>
          <w:tcPr>
            <w:tcW w:w="2015" w:type="dxa"/>
          </w:tcPr>
          <w:p w:rsidR="001A6E3D" w:rsidRPr="00C46E03" w:rsidP="001A6E3D" w14:paraId="55FE17F5" w14:textId="13081E87">
            <w:r w:rsidRPr="00C46E03">
              <w:t>45</w:t>
            </w:r>
          </w:p>
        </w:tc>
        <w:tc>
          <w:tcPr>
            <w:tcW w:w="2015" w:type="dxa"/>
          </w:tcPr>
          <w:p w:rsidR="001A6E3D" w:rsidRPr="00C46E03" w:rsidP="001A6E3D" w14:paraId="55FE17F6" w14:textId="78231284">
            <w:r w:rsidRPr="00C46E03">
              <w:t>$29.76</w:t>
            </w:r>
          </w:p>
        </w:tc>
        <w:tc>
          <w:tcPr>
            <w:tcW w:w="2015" w:type="dxa"/>
          </w:tcPr>
          <w:p w:rsidR="001A6E3D" w:rsidRPr="00C46E03" w:rsidP="001A6E3D" w14:paraId="55FE17F7" w14:textId="3D3D71C4">
            <w:r w:rsidRPr="00C46E03">
              <w:t>$</w:t>
            </w:r>
            <w:r w:rsidRPr="00C46E03" w:rsidR="00CC7145">
              <w:t>1339.20</w:t>
            </w:r>
          </w:p>
        </w:tc>
      </w:tr>
      <w:tr w14:paraId="55FE17FC" w14:textId="77777777" w:rsidTr="00612C0A">
        <w:tblPrEx>
          <w:tblW w:w="10075" w:type="dxa"/>
          <w:tblLook w:val="04A0"/>
        </w:tblPrEx>
        <w:tc>
          <w:tcPr>
            <w:tcW w:w="2015" w:type="dxa"/>
          </w:tcPr>
          <w:p w:rsidR="001A6E3D" w:rsidRPr="00C46E03" w:rsidP="001A6E3D" w14:paraId="55FE17F9" w14:textId="77777777">
            <w:pPr>
              <w:rPr>
                <w:b/>
              </w:rPr>
            </w:pPr>
            <w:r w:rsidRPr="00C46E03">
              <w:rPr>
                <w:b/>
              </w:rPr>
              <w:t>Total</w:t>
            </w:r>
          </w:p>
        </w:tc>
        <w:tc>
          <w:tcPr>
            <w:tcW w:w="6045" w:type="dxa"/>
            <w:gridSpan w:val="3"/>
          </w:tcPr>
          <w:p w:rsidR="001A6E3D" w:rsidRPr="00C46E03" w:rsidP="001A6E3D" w14:paraId="55FE17FA" w14:textId="77777777"/>
        </w:tc>
        <w:tc>
          <w:tcPr>
            <w:tcW w:w="2015" w:type="dxa"/>
          </w:tcPr>
          <w:p w:rsidR="001A6E3D" w:rsidRPr="00C46E03" w:rsidP="001A6E3D" w14:paraId="55FE17FB" w14:textId="60AA0085">
            <w:r w:rsidRPr="00C46E03">
              <w:t>$</w:t>
            </w:r>
            <w:r w:rsidRPr="00C46E03" w:rsidR="00E76DAE">
              <w:t>91</w:t>
            </w:r>
            <w:r w:rsidR="00684EE5">
              <w:t>06.56</w:t>
            </w:r>
          </w:p>
        </w:tc>
      </w:tr>
    </w:tbl>
    <w:p w:rsidR="004A13E8" w:rsidRPr="00C46E03" w:rsidP="0025156B" w14:paraId="55FE17FE" w14:textId="77777777">
      <w:pPr>
        <w:pStyle w:val="Heading1"/>
        <w:spacing w:before="240"/>
      </w:pPr>
      <w:bookmarkStart w:id="15" w:name="_Toc141435841"/>
      <w:r w:rsidRPr="00C46E03">
        <w:t>Estimates of Other Total Annual Cost Burden to Respondents or Record Keepers</w:t>
      </w:r>
      <w:bookmarkEnd w:id="15"/>
    </w:p>
    <w:p w:rsidR="004A13E8" w:rsidRPr="00C46E03" w:rsidP="004A13E8" w14:paraId="55FE1800" w14:textId="00A2EF09">
      <w:r w:rsidRPr="00C46E03">
        <w:t>There are no costs to respondents other than their time to participate.</w:t>
      </w:r>
    </w:p>
    <w:p w:rsidR="004A13E8" w:rsidRPr="00C46E03" w:rsidP="004A13E8" w14:paraId="55FE1801" w14:textId="77777777">
      <w:pPr>
        <w:pStyle w:val="Heading1"/>
      </w:pPr>
      <w:bookmarkStart w:id="16" w:name="_Toc141435842"/>
      <w:r w:rsidRPr="00C46E03">
        <w:t>Annualized Cost to the Government</w:t>
      </w:r>
      <w:bookmarkEnd w:id="16"/>
    </w:p>
    <w:p w:rsidR="00026ED8" w:rsidRPr="00C46E03" w:rsidP="790D7F3B" w14:paraId="6518E289" w14:textId="785ACFE4">
      <w:pPr>
        <w:rPr>
          <w:color w:val="000000"/>
        </w:rPr>
      </w:pPr>
      <w:r w:rsidRPr="00C46E03">
        <w:t xml:space="preserve">Total estimated annualized cost to the government is [$5,450,316.50] based on expenses incurred in the following categories: salary of CDC staff who are </w:t>
      </w:r>
      <w:r w:rsidRPr="00C46E03">
        <w:rPr>
          <w:color w:val="000000" w:themeColor="text1"/>
        </w:rPr>
        <w:t xml:space="preserve">responsible for the overall project design and project oversight, and contractor costs associated with data collection and analysis activities.  </w:t>
      </w:r>
    </w:p>
    <w:p w:rsidR="00FE0398" w:rsidRPr="00C46E03" w:rsidP="00FE0398" w14:paraId="55FE1803" w14:textId="57914D01"/>
    <w:tbl>
      <w:tblPr>
        <w:tblStyle w:val="TableGrid"/>
        <w:tblW w:w="0" w:type="auto"/>
        <w:tblLook w:val="04A0"/>
      </w:tblPr>
      <w:tblGrid>
        <w:gridCol w:w="5035"/>
        <w:gridCol w:w="5035"/>
      </w:tblGrid>
      <w:tr w14:paraId="55FE1805" w14:textId="77777777" w:rsidTr="00FE0398">
        <w:tblPrEx>
          <w:tblW w:w="0" w:type="auto"/>
          <w:tblLook w:val="04A0"/>
        </w:tblPrEx>
        <w:tc>
          <w:tcPr>
            <w:tcW w:w="10070" w:type="dxa"/>
            <w:gridSpan w:val="2"/>
            <w:vAlign w:val="center"/>
          </w:tcPr>
          <w:p w:rsidR="00FE0398" w:rsidRPr="00C46E03" w:rsidP="00FE0398" w14:paraId="55FE1804" w14:textId="20AE58B3">
            <w:pPr>
              <w:jc w:val="center"/>
            </w:pPr>
            <w:r w:rsidRPr="00C46E03">
              <w:t>Estimated Annualized Cost to the Government per Activity</w:t>
            </w:r>
          </w:p>
        </w:tc>
      </w:tr>
      <w:tr w14:paraId="55FE1808" w14:textId="77777777" w:rsidTr="00FE0398">
        <w:tblPrEx>
          <w:tblW w:w="0" w:type="auto"/>
          <w:tblLook w:val="04A0"/>
        </w:tblPrEx>
        <w:tc>
          <w:tcPr>
            <w:tcW w:w="5035" w:type="dxa"/>
          </w:tcPr>
          <w:p w:rsidR="00FE0398" w:rsidRPr="00C46E03" w:rsidP="00FE0398" w14:paraId="55FE1806" w14:textId="632BB3A1">
            <w:r w:rsidRPr="00C46E03">
              <w:t>Cost Category</w:t>
            </w:r>
          </w:p>
        </w:tc>
        <w:tc>
          <w:tcPr>
            <w:tcW w:w="5035" w:type="dxa"/>
          </w:tcPr>
          <w:p w:rsidR="00FE0398" w:rsidRPr="00C46E03" w:rsidP="00FE0398" w14:paraId="55FE1807" w14:textId="5B8D9F78">
            <w:r w:rsidRPr="00C46E03">
              <w:t>Estimated Annualized Cost</w:t>
            </w:r>
          </w:p>
        </w:tc>
      </w:tr>
      <w:tr w14:paraId="55FE180B" w14:textId="77777777" w:rsidTr="00FE0398">
        <w:tblPrEx>
          <w:tblW w:w="0" w:type="auto"/>
          <w:tblLook w:val="04A0"/>
        </w:tblPrEx>
        <w:tc>
          <w:tcPr>
            <w:tcW w:w="5035" w:type="dxa"/>
          </w:tcPr>
          <w:p w:rsidR="00FE0398" w:rsidRPr="00C46E03" w:rsidP="00FE0398" w14:paraId="55FE1809" w14:textId="77777777"/>
        </w:tc>
        <w:tc>
          <w:tcPr>
            <w:tcW w:w="5035" w:type="dxa"/>
          </w:tcPr>
          <w:p w:rsidR="00FE0398" w:rsidRPr="00C46E03" w:rsidP="00FE0398" w14:paraId="55FE180A" w14:textId="77777777"/>
        </w:tc>
      </w:tr>
      <w:tr w14:paraId="55FE180E" w14:textId="77777777" w:rsidTr="00FE0398">
        <w:tblPrEx>
          <w:tblW w:w="0" w:type="auto"/>
          <w:tblLook w:val="04A0"/>
        </w:tblPrEx>
        <w:tc>
          <w:tcPr>
            <w:tcW w:w="5035" w:type="dxa"/>
          </w:tcPr>
          <w:p w:rsidR="00FE0398" w:rsidRPr="00C46E03" w:rsidP="00FE0398" w14:paraId="55FE180C" w14:textId="77777777"/>
        </w:tc>
        <w:tc>
          <w:tcPr>
            <w:tcW w:w="5035" w:type="dxa"/>
          </w:tcPr>
          <w:p w:rsidR="00FE0398" w:rsidRPr="00C46E03" w:rsidP="00FE0398" w14:paraId="55FE180D" w14:textId="77777777"/>
        </w:tc>
      </w:tr>
    </w:tbl>
    <w:p w:rsidR="004A13E8" w:rsidRPr="00C46E03" w:rsidP="0025156B" w14:paraId="55FE1810" w14:textId="77777777">
      <w:pPr>
        <w:pStyle w:val="Heading1"/>
        <w:spacing w:before="240"/>
      </w:pPr>
      <w:bookmarkStart w:id="17" w:name="_Toc141435843"/>
      <w:r w:rsidRPr="00C46E03">
        <w:t>Explanation for Program Changes or Adjustments</w:t>
      </w:r>
      <w:bookmarkEnd w:id="17"/>
    </w:p>
    <w:p w:rsidR="00F2121E" w:rsidRPr="00C46E03" w:rsidP="00F2121E" w14:paraId="5E28B83B" w14:textId="0A12EEC0">
      <w:pPr>
        <w:pStyle w:val="Heading1"/>
        <w:numPr>
          <w:ilvl w:val="0"/>
          <w:numId w:val="0"/>
        </w:numPr>
      </w:pPr>
      <w:bookmarkStart w:id="18" w:name="_Toc141435844"/>
      <w:r w:rsidRPr="00C46E03">
        <w:rPr>
          <w:b w:val="0"/>
        </w:rPr>
        <w:t>No change in burden is requested as this is a new information collection.</w:t>
      </w:r>
      <w:bookmarkEnd w:id="18"/>
    </w:p>
    <w:p w:rsidR="008F1415" w:rsidRPr="00C46E03" w:rsidP="00EC6771" w14:paraId="55FE1813" w14:textId="17F42FEC">
      <w:pPr>
        <w:pStyle w:val="Heading1"/>
      </w:pPr>
      <w:bookmarkStart w:id="19" w:name="_Toc141435845"/>
      <w:r w:rsidRPr="00C46E03">
        <w:t>Plans for Tabulation and Publication and Project Time Schedule</w:t>
      </w:r>
      <w:bookmarkEnd w:id="19"/>
    </w:p>
    <w:tbl>
      <w:tblPr>
        <w:tblStyle w:val="TableGrid"/>
        <w:tblW w:w="0" w:type="auto"/>
        <w:tblLook w:val="04A0"/>
      </w:tblPr>
      <w:tblGrid>
        <w:gridCol w:w="5035"/>
        <w:gridCol w:w="5035"/>
      </w:tblGrid>
      <w:tr w14:paraId="55FE1815" w14:textId="77777777" w:rsidTr="004A13E8">
        <w:tblPrEx>
          <w:tblW w:w="0" w:type="auto"/>
          <w:tblLook w:val="04A0"/>
        </w:tblPrEx>
        <w:tc>
          <w:tcPr>
            <w:tcW w:w="10070" w:type="dxa"/>
            <w:gridSpan w:val="2"/>
            <w:vAlign w:val="center"/>
          </w:tcPr>
          <w:p w:rsidR="004A13E8" w:rsidRPr="00C46E03" w:rsidP="004A13E8" w14:paraId="55FE1814" w14:textId="77777777">
            <w:pPr>
              <w:jc w:val="center"/>
            </w:pPr>
            <w:r w:rsidRPr="00C46E03">
              <w:t>Project Time Schedule</w:t>
            </w:r>
          </w:p>
        </w:tc>
      </w:tr>
      <w:tr w14:paraId="55FE1818" w14:textId="77777777" w:rsidTr="004A13E8">
        <w:tblPrEx>
          <w:tblW w:w="0" w:type="auto"/>
          <w:tblLook w:val="04A0"/>
        </w:tblPrEx>
        <w:tc>
          <w:tcPr>
            <w:tcW w:w="5035" w:type="dxa"/>
            <w:vAlign w:val="center"/>
          </w:tcPr>
          <w:p w:rsidR="004A13E8" w:rsidRPr="00C46E03" w:rsidP="004A13E8" w14:paraId="55FE1816" w14:textId="77777777">
            <w:pPr>
              <w:jc w:val="center"/>
            </w:pPr>
            <w:r w:rsidRPr="00C46E03">
              <w:t>Activity</w:t>
            </w:r>
          </w:p>
        </w:tc>
        <w:tc>
          <w:tcPr>
            <w:tcW w:w="5035" w:type="dxa"/>
            <w:vAlign w:val="center"/>
          </w:tcPr>
          <w:p w:rsidR="004A13E8" w:rsidRPr="00C46E03" w:rsidP="004A13E8" w14:paraId="55FE1817" w14:textId="77777777">
            <w:pPr>
              <w:jc w:val="center"/>
            </w:pPr>
            <w:r w:rsidRPr="00C46E03">
              <w:t>Time Schedule</w:t>
            </w:r>
          </w:p>
        </w:tc>
      </w:tr>
      <w:tr w14:paraId="55FE181B" w14:textId="77777777" w:rsidTr="004A13E8">
        <w:tblPrEx>
          <w:tblW w:w="0" w:type="auto"/>
          <w:tblLook w:val="04A0"/>
        </w:tblPrEx>
        <w:tc>
          <w:tcPr>
            <w:tcW w:w="5035" w:type="dxa"/>
          </w:tcPr>
          <w:p w:rsidR="004A13E8" w:rsidRPr="00C46E03" w:rsidP="004A13E8" w14:paraId="55FE1819" w14:textId="301CE7DF">
            <w:r w:rsidRPr="00C46E03">
              <w:t xml:space="preserve">Recruitment for virtual focus groups </w:t>
            </w:r>
          </w:p>
        </w:tc>
        <w:tc>
          <w:tcPr>
            <w:tcW w:w="5035" w:type="dxa"/>
          </w:tcPr>
          <w:p w:rsidR="004A13E8" w:rsidRPr="00C46E03" w:rsidP="004A13E8" w14:paraId="55FE181A" w14:textId="173F5BE3">
            <w:r w:rsidRPr="00C46E03">
              <w:t xml:space="preserve">Within </w:t>
            </w:r>
            <w:r w:rsidRPr="00C46E03" w:rsidR="00700ACA">
              <w:t xml:space="preserve">3 weeks </w:t>
            </w:r>
            <w:r w:rsidRPr="00C46E03">
              <w:t>following OMB approval</w:t>
            </w:r>
          </w:p>
        </w:tc>
      </w:tr>
      <w:tr w14:paraId="55FE181E" w14:textId="77777777" w:rsidTr="004A13E8">
        <w:tblPrEx>
          <w:tblW w:w="0" w:type="auto"/>
          <w:tblLook w:val="04A0"/>
        </w:tblPrEx>
        <w:tc>
          <w:tcPr>
            <w:tcW w:w="5035" w:type="dxa"/>
          </w:tcPr>
          <w:p w:rsidR="004A13E8" w:rsidRPr="00C46E03" w:rsidP="004A13E8" w14:paraId="55FE181C" w14:textId="5CC394B0">
            <w:r w:rsidRPr="00C46E03">
              <w:t>Rolling recruitment for virtual IDIs</w:t>
            </w:r>
          </w:p>
        </w:tc>
        <w:tc>
          <w:tcPr>
            <w:tcW w:w="5035" w:type="dxa"/>
          </w:tcPr>
          <w:p w:rsidR="004A13E8" w:rsidRPr="00C46E03" w:rsidP="004A13E8" w14:paraId="55FE181D" w14:textId="3675EBED">
            <w:r w:rsidRPr="00C46E03">
              <w:t xml:space="preserve">Within </w:t>
            </w:r>
            <w:r w:rsidRPr="00C46E03" w:rsidR="00700ACA">
              <w:t>3 weeks</w:t>
            </w:r>
            <w:r w:rsidRPr="00C46E03">
              <w:t xml:space="preserve"> following OMB approval</w:t>
            </w:r>
          </w:p>
        </w:tc>
      </w:tr>
      <w:tr w14:paraId="011E3616" w14:textId="77777777" w:rsidTr="004A13E8">
        <w:tblPrEx>
          <w:tblW w:w="0" w:type="auto"/>
          <w:tblLook w:val="04A0"/>
        </w:tblPrEx>
        <w:tc>
          <w:tcPr>
            <w:tcW w:w="5035" w:type="dxa"/>
          </w:tcPr>
          <w:p w:rsidR="00700ACA" w:rsidRPr="00C46E03" w:rsidP="004A13E8" w14:paraId="2D854FE2" w14:textId="0B4CF891">
            <w:r w:rsidRPr="00C46E03">
              <w:t>Conducting virtual focus groups &amp; IDIs</w:t>
            </w:r>
          </w:p>
        </w:tc>
        <w:tc>
          <w:tcPr>
            <w:tcW w:w="5035" w:type="dxa"/>
          </w:tcPr>
          <w:p w:rsidR="00700ACA" w:rsidRPr="00C46E03" w:rsidP="004A13E8" w14:paraId="6E565595" w14:textId="51913DEB">
            <w:r w:rsidRPr="00C46E03">
              <w:t xml:space="preserve">Within </w:t>
            </w:r>
            <w:r w:rsidRPr="00C46E03">
              <w:t>5</w:t>
            </w:r>
            <w:r w:rsidRPr="00C46E03" w:rsidR="00325064">
              <w:t>-6</w:t>
            </w:r>
            <w:r w:rsidRPr="00C46E03">
              <w:t xml:space="preserve"> weeks</w:t>
            </w:r>
            <w:r w:rsidRPr="00C46E03" w:rsidR="006D3CFB">
              <w:t xml:space="preserve"> following OMB approval</w:t>
            </w:r>
          </w:p>
        </w:tc>
      </w:tr>
      <w:tr w14:paraId="5DC1A374" w14:textId="77777777" w:rsidTr="004A13E8">
        <w:tblPrEx>
          <w:tblW w:w="0" w:type="auto"/>
          <w:tblLook w:val="04A0"/>
        </w:tblPrEx>
        <w:tc>
          <w:tcPr>
            <w:tcW w:w="5035" w:type="dxa"/>
          </w:tcPr>
          <w:p w:rsidR="00700ACA" w:rsidRPr="00C46E03" w:rsidP="004A13E8" w14:paraId="2303BA5A" w14:textId="1C1E1E45">
            <w:r w:rsidRPr="00C46E03">
              <w:t xml:space="preserve">Data collection conclusion document </w:t>
            </w:r>
          </w:p>
        </w:tc>
        <w:tc>
          <w:tcPr>
            <w:tcW w:w="5035" w:type="dxa"/>
          </w:tcPr>
          <w:p w:rsidR="00700ACA" w:rsidRPr="00C46E03" w:rsidP="004A13E8" w14:paraId="6110D4D4" w14:textId="529F01B7">
            <w:r w:rsidRPr="00C46E03">
              <w:t>1 week</w:t>
            </w:r>
          </w:p>
        </w:tc>
      </w:tr>
      <w:tr w14:paraId="1762BF18" w14:textId="77777777" w:rsidTr="004A13E8">
        <w:tblPrEx>
          <w:tblW w:w="0" w:type="auto"/>
          <w:tblLook w:val="04A0"/>
        </w:tblPrEx>
        <w:tc>
          <w:tcPr>
            <w:tcW w:w="5035" w:type="dxa"/>
          </w:tcPr>
          <w:p w:rsidR="00700ACA" w:rsidRPr="00C46E03" w:rsidP="004A13E8" w14:paraId="44079CC1" w14:textId="46BE166B">
            <w:r w:rsidRPr="00C46E03">
              <w:t>Transcripts produced</w:t>
            </w:r>
          </w:p>
        </w:tc>
        <w:tc>
          <w:tcPr>
            <w:tcW w:w="5035" w:type="dxa"/>
          </w:tcPr>
          <w:p w:rsidR="00700ACA" w:rsidRPr="00C46E03" w:rsidP="004A13E8" w14:paraId="731568CF" w14:textId="0CECD29E">
            <w:r w:rsidRPr="00C46E03">
              <w:t>2</w:t>
            </w:r>
            <w:r w:rsidRPr="00C46E03" w:rsidR="00167898">
              <w:t>-3 weeks</w:t>
            </w:r>
          </w:p>
        </w:tc>
      </w:tr>
      <w:tr w14:paraId="32F7235A" w14:textId="77777777" w:rsidTr="004A13E8">
        <w:tblPrEx>
          <w:tblW w:w="0" w:type="auto"/>
          <w:tblLook w:val="04A0"/>
        </w:tblPrEx>
        <w:tc>
          <w:tcPr>
            <w:tcW w:w="5035" w:type="dxa"/>
          </w:tcPr>
          <w:p w:rsidR="00700ACA" w:rsidRPr="00C46E03" w:rsidP="004A13E8" w14:paraId="263C3769" w14:textId="68ECD90B">
            <w:r w:rsidRPr="00C46E03">
              <w:t xml:space="preserve">Recordings sanitized </w:t>
            </w:r>
          </w:p>
        </w:tc>
        <w:tc>
          <w:tcPr>
            <w:tcW w:w="5035" w:type="dxa"/>
          </w:tcPr>
          <w:p w:rsidR="00700ACA" w:rsidRPr="00C46E03" w:rsidP="004A13E8" w14:paraId="6F267F86" w14:textId="796FD20D">
            <w:r w:rsidRPr="00C46E03">
              <w:t>2-3 weeks</w:t>
            </w:r>
          </w:p>
        </w:tc>
      </w:tr>
      <w:tr w14:paraId="6C44A500" w14:textId="77777777" w:rsidTr="004A13E8">
        <w:tblPrEx>
          <w:tblW w:w="0" w:type="auto"/>
          <w:tblLook w:val="04A0"/>
        </w:tblPrEx>
        <w:tc>
          <w:tcPr>
            <w:tcW w:w="5035" w:type="dxa"/>
          </w:tcPr>
          <w:p w:rsidR="00700ACA" w:rsidRPr="00C46E03" w:rsidP="004A13E8" w14:paraId="0B140381" w14:textId="385B5642">
            <w:r w:rsidRPr="00C46E03">
              <w:t>Data compilation</w:t>
            </w:r>
            <w:r w:rsidRPr="00C46E03" w:rsidR="00522DBC">
              <w:t>/</w:t>
            </w:r>
            <w:r w:rsidRPr="00C46E03">
              <w:t xml:space="preserve">analysis </w:t>
            </w:r>
            <w:r w:rsidRPr="00C46E03" w:rsidR="00522DBC">
              <w:t>writing findings presentation (PPT &amp; Word)</w:t>
            </w:r>
          </w:p>
        </w:tc>
        <w:tc>
          <w:tcPr>
            <w:tcW w:w="5035" w:type="dxa"/>
          </w:tcPr>
          <w:p w:rsidR="00700ACA" w:rsidRPr="00C46E03" w:rsidP="004A13E8" w14:paraId="19D71B72" w14:textId="2727DB56">
            <w:r w:rsidRPr="00C46E03">
              <w:t>5-6 weeks</w:t>
            </w:r>
          </w:p>
        </w:tc>
      </w:tr>
      <w:tr w14:paraId="76A67C90" w14:textId="77777777" w:rsidTr="004A13E8">
        <w:tblPrEx>
          <w:tblW w:w="0" w:type="auto"/>
          <w:tblLook w:val="04A0"/>
        </w:tblPrEx>
        <w:tc>
          <w:tcPr>
            <w:tcW w:w="5035" w:type="dxa"/>
          </w:tcPr>
          <w:p w:rsidR="00700ACA" w:rsidRPr="00C46E03" w:rsidP="004A13E8" w14:paraId="672C1AE5" w14:textId="7D7DEF84">
            <w:r w:rsidRPr="00C46E03">
              <w:t>Reviews and revisions to finalize presentations</w:t>
            </w:r>
          </w:p>
        </w:tc>
        <w:tc>
          <w:tcPr>
            <w:tcW w:w="5035" w:type="dxa"/>
          </w:tcPr>
          <w:p w:rsidR="00700ACA" w:rsidRPr="00C46E03" w:rsidP="004A13E8" w14:paraId="2210B96E" w14:textId="0E702963">
            <w:r w:rsidRPr="00C46E03">
              <w:t>7 weeks</w:t>
            </w:r>
          </w:p>
        </w:tc>
      </w:tr>
    </w:tbl>
    <w:p w:rsidR="004A13E8" w:rsidRPr="00C46E03" w:rsidP="0025156B" w14:paraId="55FE1826" w14:textId="77777777">
      <w:pPr>
        <w:pStyle w:val="Heading1"/>
        <w:spacing w:before="240"/>
      </w:pPr>
      <w:bookmarkStart w:id="20" w:name="_Toc141435846"/>
      <w:r w:rsidRPr="00C46E03">
        <w:t>Reason(s) Display of OMB Expiration Date is Inappropriate</w:t>
      </w:r>
      <w:bookmarkEnd w:id="20"/>
    </w:p>
    <w:p w:rsidR="004A13E8" w:rsidRPr="00C46E03" w:rsidP="004A13E8" w14:paraId="55FE1827" w14:textId="77777777">
      <w:r w:rsidRPr="00C46E03">
        <w:t>The display of the OMB Expiration date is not inappropriate.</w:t>
      </w:r>
    </w:p>
    <w:p w:rsidR="004A13E8" w:rsidRPr="00C46E03" w:rsidP="004A13E8" w14:paraId="55FE1828" w14:textId="77777777">
      <w:pPr>
        <w:pStyle w:val="Heading1"/>
      </w:pPr>
      <w:bookmarkStart w:id="21" w:name="_Toc141435847"/>
      <w:r w:rsidRPr="00C46E03">
        <w:t>Exceptions to Certification for Paperwork Reduction Act Submissions</w:t>
      </w:r>
      <w:bookmarkEnd w:id="21"/>
    </w:p>
    <w:p w:rsidR="004147E8" w:rsidRPr="00C46E03" w:rsidP="00C1264D" w14:paraId="71908FED" w14:textId="6C6F595E">
      <w:r w:rsidRPr="00C46E03">
        <w:t>There are no exceptions to the certification.</w:t>
      </w:r>
    </w:p>
    <w:p w:rsidR="004A13E8" w:rsidRPr="00C46E03" w:rsidP="004A13E8" w14:paraId="55FE182A" w14:textId="77256B41">
      <w:pPr>
        <w:pStyle w:val="Heading1"/>
        <w:numPr>
          <w:ilvl w:val="0"/>
          <w:numId w:val="0"/>
        </w:numPr>
      </w:pPr>
      <w:bookmarkStart w:id="22" w:name="_Toc141435848"/>
      <w:r w:rsidRPr="00C46E03">
        <w:t>Attachments</w:t>
      </w:r>
      <w:bookmarkEnd w:id="22"/>
    </w:p>
    <w:p w:rsidR="00684E16" w:rsidRPr="00C46E03" w:rsidP="00684E16" w14:paraId="758191A7" w14:textId="4594A2E4">
      <w:r w:rsidRPr="00C46E03">
        <w:t xml:space="preserve">Attachment </w:t>
      </w:r>
      <w:r w:rsidRPr="00C46E03" w:rsidR="00F75CCF">
        <w:t>A</w:t>
      </w:r>
      <w:r w:rsidRPr="00C46E03">
        <w:t>: Recruitment Screener</w:t>
      </w:r>
    </w:p>
    <w:p w:rsidR="00F91AC5" w:rsidRPr="00C46E03" w:rsidP="00684E16" w14:paraId="2AD4833C" w14:textId="5B1FE687">
      <w:r w:rsidRPr="00C46E03">
        <w:t>Attachment</w:t>
      </w:r>
      <w:r w:rsidRPr="00C46E03" w:rsidR="001649FB">
        <w:t xml:space="preserve"> </w:t>
      </w:r>
      <w:r w:rsidRPr="00C46E03" w:rsidR="00F75CCF">
        <w:t>B</w:t>
      </w:r>
      <w:r w:rsidRPr="00C46E03">
        <w:t xml:space="preserve">: </w:t>
      </w:r>
      <w:bookmarkStart w:id="23" w:name="_Hlk141441911"/>
      <w:r w:rsidRPr="00C46E03" w:rsidR="008031C7">
        <w:t xml:space="preserve">Focus Group </w:t>
      </w:r>
      <w:r w:rsidRPr="00C46E03">
        <w:t xml:space="preserve">Participant Information Sheet </w:t>
      </w:r>
      <w:r w:rsidRPr="00C46E03" w:rsidR="00CC619C">
        <w:t>and Informed Consent Form</w:t>
      </w:r>
      <w:r w:rsidRPr="00C46E03" w:rsidR="000572B2">
        <w:t xml:space="preserve"> </w:t>
      </w:r>
      <w:bookmarkEnd w:id="23"/>
    </w:p>
    <w:p w:rsidR="00684E16" w:rsidRPr="00C46E03" w:rsidP="00684E16" w14:paraId="57AF4D1D" w14:textId="2EAFD6E9">
      <w:r w:rsidRPr="00C46E03">
        <w:t xml:space="preserve">Attachment </w:t>
      </w:r>
      <w:r w:rsidRPr="00C46E03" w:rsidR="00F75CCF">
        <w:t>C</w:t>
      </w:r>
      <w:r w:rsidRPr="00C46E03">
        <w:t>: Discussion Guide</w:t>
      </w:r>
    </w:p>
    <w:p w:rsidR="00684E16" w:rsidRPr="00C46E03" w:rsidP="00684E16" w14:paraId="3456BA66" w14:textId="1863F049">
      <w:r w:rsidRPr="00C46E03">
        <w:t xml:space="preserve">Attachment </w:t>
      </w:r>
      <w:r w:rsidRPr="00C46E03" w:rsidR="008655BE">
        <w:t>D</w:t>
      </w:r>
      <w:r w:rsidRPr="00C46E03">
        <w:t xml:space="preserve">: Technology </w:t>
      </w:r>
      <w:r w:rsidRPr="00C46E03" w:rsidR="008655BE">
        <w:t>Pre-</w:t>
      </w:r>
      <w:r w:rsidRPr="00C46E03">
        <w:t xml:space="preserve">Check </w:t>
      </w:r>
    </w:p>
    <w:p w:rsidR="00684E16" w:rsidRPr="00C46E03" w:rsidP="00684E16" w14:paraId="7BE00280" w14:textId="4D05DF89">
      <w:r w:rsidRPr="00C46E03">
        <w:t xml:space="preserve">Attachment </w:t>
      </w:r>
      <w:r w:rsidRPr="00C46E03" w:rsidR="00560BF3">
        <w:t>E</w:t>
      </w:r>
      <w:r w:rsidRPr="00C46E03">
        <w:t xml:space="preserve">: IRB </w:t>
      </w:r>
      <w:r w:rsidRPr="00C46E03" w:rsidR="001E4B74">
        <w:t xml:space="preserve">Exempt </w:t>
      </w:r>
      <w:r w:rsidRPr="00C46E03">
        <w:t xml:space="preserve">Determination </w:t>
      </w:r>
    </w:p>
    <w:p w:rsidR="007F6F61" w:rsidRPr="00C46E03" w:rsidP="00684E16" w14:paraId="35099C8E" w14:textId="56CA30BF">
      <w:r w:rsidRPr="00C46E03">
        <w:t>Attachment F:</w:t>
      </w:r>
      <w:r w:rsidRPr="00C46E03" w:rsidR="000572B2">
        <w:t xml:space="preserve"> </w:t>
      </w:r>
      <w:r w:rsidRPr="00C46E03" w:rsidR="008031C7">
        <w:t xml:space="preserve">IDI </w:t>
      </w:r>
      <w:r w:rsidRPr="00C46E03" w:rsidR="000572B2">
        <w:t>Participant Information Sheet and Informed Consent Form</w:t>
      </w:r>
      <w:r w:rsidRPr="00C46E03" w:rsidR="008031C7">
        <w:t xml:space="preserve"> </w:t>
      </w:r>
      <w:r w:rsidRPr="00C46E03" w:rsidR="008031C7">
        <w:rPr>
          <w:rFonts w:ascii="Times" w:eastAsia="Times New Roman" w:hAnsi="Times" w:cs="Times New Roman"/>
        </w:rPr>
        <w:t>(Contingency for Focus Group Dropouts)</w:t>
      </w:r>
    </w:p>
    <w:p w:rsidR="00F91AC5" w:rsidRPr="00C46E03" w14:paraId="7048AF23" w14:textId="77777777">
      <w:pPr>
        <w:rPr>
          <w:b/>
        </w:rPr>
      </w:pPr>
      <w:r w:rsidRPr="00C46E03">
        <w:br w:type="page"/>
      </w:r>
    </w:p>
    <w:p w:rsidR="00331580" w:rsidRPr="00C46E03" w:rsidP="00331580" w14:paraId="53E7364B" w14:textId="35BB5F6D">
      <w:pPr>
        <w:pStyle w:val="Heading1"/>
        <w:numPr>
          <w:ilvl w:val="0"/>
          <w:numId w:val="0"/>
        </w:numPr>
      </w:pPr>
      <w:bookmarkStart w:id="24" w:name="_Toc141435849"/>
      <w:r w:rsidRPr="00C46E03">
        <w:t>References:</w:t>
      </w:r>
      <w:bookmarkEnd w:id="24"/>
      <w:r w:rsidRPr="00C46E03">
        <w:t xml:space="preserve"> </w:t>
      </w:r>
    </w:p>
    <w:p w:rsidR="00AC20E3" w:rsidRPr="00C46E03" w:rsidP="00AC20E3" w14:paraId="780D6E48" w14:textId="1A4E19AE">
      <w:pPr>
        <w:ind w:left="720" w:hanging="720"/>
      </w:pPr>
      <w:r w:rsidRPr="00C46E03">
        <w:t>Aslam, B., Wang, W., Arshad, M. I., Khurshid, M., Muzammil, S., Rasool, M. H., Nisar, M. A., Alvin, R. F., Aslam, M. A., Qamar, M. U., Salamat, M., &amp; Baloch, Z. (2018). Antibiotic resistance: a rundown of a global crisis. </w:t>
      </w:r>
      <w:r w:rsidRPr="00C46E03">
        <w:rPr>
          <w:i/>
          <w:iCs/>
        </w:rPr>
        <w:t>Infection and drug resistance, 11, 1645–1658</w:t>
      </w:r>
      <w:r w:rsidRPr="00C46E03">
        <w:t xml:space="preserve">. </w:t>
      </w:r>
      <w:hyperlink r:id="rId10" w:history="1">
        <w:r w:rsidRPr="00C46E03">
          <w:t>https://doi.org/10.2147/IDR.S173867</w:t>
        </w:r>
      </w:hyperlink>
    </w:p>
    <w:p w:rsidR="00331580" w:rsidRPr="00C46E03" w:rsidP="00331580" w14:paraId="659BE82A" w14:textId="15D1EAC2">
      <w:pPr>
        <w:ind w:left="720" w:hanging="720"/>
      </w:pPr>
      <w:r w:rsidRPr="00C46E03">
        <w:t xml:space="preserve">Centers for Disease Control and Prevention. (2019a). </w:t>
      </w:r>
      <w:r w:rsidRPr="00C46E03">
        <w:rPr>
          <w:i/>
          <w:iCs/>
        </w:rPr>
        <w:t>Antibiotic Resistance Threats in the United States, 2019</w:t>
      </w:r>
      <w:r w:rsidRPr="00C46E03">
        <w:t xml:space="preserve">. Atlanta, GA: U.S. Department of Health and Human Services. </w:t>
      </w:r>
      <w:hyperlink r:id="rId11">
        <w:r w:rsidRPr="00C46E03">
          <w:t>https://www.cdc.gov/drugresistance/pdf/threats-report/2019-ar-threats-report-508.pdf</w:t>
        </w:r>
      </w:hyperlink>
    </w:p>
    <w:p w:rsidR="00920978" w:rsidRPr="00C46E03" w:rsidP="00920978" w14:paraId="0FC724E4" w14:textId="07E6593B">
      <w:pPr>
        <w:spacing w:line="259" w:lineRule="auto"/>
        <w:ind w:left="720" w:hanging="720"/>
      </w:pPr>
      <w:r w:rsidRPr="00C46E03">
        <w:t>Gell</w:t>
      </w:r>
      <w:r w:rsidRPr="00C46E03">
        <w:t xml:space="preserve">, T. (2021, June 28). How Much Does a Focus Group Cost? Drive Research. </w:t>
      </w:r>
      <w:hyperlink r:id="rId12" w:history="1">
        <w:r w:rsidRPr="00C46E03">
          <w:rPr>
            <w:rStyle w:val="Hyperlink"/>
          </w:rPr>
          <w:t>https://www.driveresearch.com/market-research-company-blog/how-much-does-a-focus-group-cost-focus-groups-syracuse-ny/</w:t>
        </w:r>
      </w:hyperlink>
    </w:p>
    <w:p w:rsidR="00920978" w:rsidRPr="00C46E03" w:rsidP="00920978" w14:paraId="36D9D6CD" w14:textId="77777777">
      <w:pPr>
        <w:spacing w:line="259" w:lineRule="auto"/>
        <w:ind w:left="720" w:hanging="720"/>
      </w:pPr>
      <w:r w:rsidRPr="00C46E03">
        <w:t xml:space="preserve">Halpern, S. D., </w:t>
      </w:r>
      <w:r w:rsidRPr="00C46E03">
        <w:t>Karlawish</w:t>
      </w:r>
      <w:r w:rsidRPr="00C46E03">
        <w:t xml:space="preserve">, J. H., </w:t>
      </w:r>
      <w:r w:rsidRPr="00C46E03">
        <w:t>Casarett</w:t>
      </w:r>
      <w:r w:rsidRPr="00C46E03">
        <w:t xml:space="preserve">, D., Berlin, J. A., &amp; Asch, D. A. (2004). Empirical assessment of whether moderate payments are undue or unjust inducements for participation in clinical trials. </w:t>
      </w:r>
      <w:r w:rsidRPr="00C46E03">
        <w:rPr>
          <w:i/>
          <w:iCs/>
        </w:rPr>
        <w:t>Archives of Internal Medicine</w:t>
      </w:r>
      <w:r w:rsidRPr="00C46E03">
        <w:t>, 164(7), 801-803.</w:t>
      </w:r>
    </w:p>
    <w:p w:rsidR="00275959" w:rsidRPr="00C46E03" w:rsidP="00275959" w14:paraId="43D2CA04" w14:textId="0FA317DF">
      <w:pPr>
        <w:pStyle w:val="BodyText2"/>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szCs w:val="24"/>
        </w:rPr>
      </w:pPr>
      <w:r w:rsidRPr="00C46E03">
        <w:t xml:space="preserve">Office of Management and Budget. (2016). </w:t>
      </w:r>
      <w:r w:rsidRPr="00C46E03">
        <w:rPr>
          <w:i/>
          <w:iCs/>
        </w:rPr>
        <w:t>Question and answers when designing surveys for information collections.</w:t>
      </w:r>
      <w:r w:rsidRPr="00C46E03">
        <w:t xml:space="preserve"> </w:t>
      </w:r>
      <w:hyperlink r:id="rId13" w:history="1">
        <w:r w:rsidRPr="00C46E03" w:rsidR="00B5085E">
          <w:rPr>
            <w:rStyle w:val="Hyperlink"/>
            <w:szCs w:val="24"/>
          </w:rPr>
          <w:t>https://obamawhitehouse.archives.gov/sites/default/files/omb/inforeg/pmc_survey_guidance_2006.pdf</w:t>
        </w:r>
      </w:hyperlink>
    </w:p>
    <w:p w:rsidR="00275959" w:rsidRPr="00C46E03" w:rsidP="00920978" w14:paraId="348094A2" w14:textId="77777777">
      <w:pPr>
        <w:spacing w:line="259" w:lineRule="auto"/>
        <w:ind w:left="720" w:hanging="720"/>
      </w:pPr>
    </w:p>
    <w:p w:rsidR="00920978" w:rsidRPr="00C46E03" w:rsidP="008248AE" w14:paraId="7C024860" w14:textId="77777777">
      <w:pPr>
        <w:spacing w:line="259" w:lineRule="auto"/>
        <w:ind w:left="720" w:hanging="720"/>
      </w:pPr>
      <w:r w:rsidRPr="00C46E03">
        <w:t xml:space="preserve">Rupert, D. J., </w:t>
      </w:r>
      <w:r w:rsidRPr="00C46E03">
        <w:t>Poehlman</w:t>
      </w:r>
      <w:r w:rsidRPr="00C46E03">
        <w:t xml:space="preserve">, J. A., Hayes, J. J., Ray, S. E., &amp; Moultrie, R. R. (2017). Virtual Versus In-Person Focus Groups: Comparison of Costs, Recruitment, and Participant Logistics. Journal of Medical Internet research, 19(3), e80. </w:t>
      </w:r>
      <w:hyperlink r:id="rId14">
        <w:r w:rsidRPr="00C46E03">
          <w:t>https://doi.org/10.2196/jmir.6980</w:t>
        </w:r>
      </w:hyperlink>
    </w:p>
    <w:p w:rsidR="00331580" w:rsidRPr="00331580" w:rsidP="008248AE" w14:paraId="13DA18F0" w14:textId="77777777">
      <w:pPr>
        <w:ind w:left="720" w:hanging="720"/>
      </w:pPr>
      <w:r w:rsidRPr="00C46E03">
        <w:t>Ventola</w:t>
      </w:r>
      <w:r w:rsidRPr="00C46E03">
        <w:t>, C. L. (2015). The antibiotic resistance crisis: Part 1: Causes and Threats. </w:t>
      </w:r>
      <w:r w:rsidRPr="00C46E03">
        <w:rPr>
          <w:i/>
          <w:iCs/>
        </w:rPr>
        <w:t>P &amp; T: a peer-reviewed journal for formulary management,</w:t>
      </w:r>
      <w:r w:rsidRPr="00C46E03">
        <w:t> 40(4), 277–283.</w:t>
      </w:r>
    </w:p>
    <w:sectPr w:rsidSect="006C6578">
      <w:headerReference w:type="default" r:id="rId15"/>
      <w:footerReference w:type="default" r:id="rId16"/>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55FE1835" w14:textId="20D00E9D">
        <w:pPr>
          <w:pStyle w:val="Footer"/>
          <w:jc w:val="center"/>
        </w:pPr>
        <w:r>
          <w:fldChar w:fldCharType="begin"/>
        </w:r>
        <w:r>
          <w:instrText xml:space="preserve"> PAGE   \* MERGEFORMAT </w:instrText>
        </w:r>
        <w:r>
          <w:fldChar w:fldCharType="separate"/>
        </w:r>
        <w:r w:rsidR="00C45924">
          <w:rPr>
            <w:noProof/>
          </w:rPr>
          <w:t>3</w:t>
        </w:r>
        <w:r>
          <w:rPr>
            <w:noProof/>
          </w:rPr>
          <w:fldChar w:fldCharType="end"/>
        </w:r>
      </w:p>
    </w:sdtContent>
  </w:sdt>
  <w:p w:rsidR="008B5D54" w14:paraId="55FE183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60"/>
      <w:gridCol w:w="3360"/>
      <w:gridCol w:w="3360"/>
    </w:tblGrid>
    <w:tr w14:paraId="28B0FFCD" w14:textId="77777777" w:rsidTr="790D7F3B">
      <w:tblPrEx>
        <w:tblW w:w="0" w:type="auto"/>
        <w:tblLayout w:type="fixed"/>
        <w:tblLook w:val="06A0"/>
      </w:tblPrEx>
      <w:trPr>
        <w:trHeight w:val="300"/>
      </w:trPr>
      <w:tc>
        <w:tcPr>
          <w:tcW w:w="3360" w:type="dxa"/>
        </w:tcPr>
        <w:p w:rsidR="790D7F3B" w:rsidP="790D7F3B" w14:paraId="7F5E0101" w14:textId="255863E6">
          <w:pPr>
            <w:pStyle w:val="Header"/>
            <w:ind w:left="-115"/>
          </w:pPr>
        </w:p>
      </w:tc>
      <w:tc>
        <w:tcPr>
          <w:tcW w:w="3360" w:type="dxa"/>
        </w:tcPr>
        <w:p w:rsidR="790D7F3B" w:rsidP="790D7F3B" w14:paraId="0EDFD9A4" w14:textId="6E130635">
          <w:pPr>
            <w:pStyle w:val="Header"/>
            <w:jc w:val="center"/>
          </w:pPr>
        </w:p>
      </w:tc>
      <w:tc>
        <w:tcPr>
          <w:tcW w:w="3360" w:type="dxa"/>
        </w:tcPr>
        <w:p w:rsidR="790D7F3B" w:rsidP="790D7F3B" w14:paraId="132A1CC2" w14:textId="0CB76505">
          <w:pPr>
            <w:pStyle w:val="Header"/>
            <w:ind w:right="-115"/>
            <w:jc w:val="right"/>
          </w:pPr>
        </w:p>
      </w:tc>
    </w:tr>
  </w:tbl>
  <w:p w:rsidR="790D7F3B" w:rsidP="790D7F3B" w14:paraId="11A2C635" w14:textId="556330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81781"/>
    <w:multiLevelType w:val="hybridMultilevel"/>
    <w:tmpl w:val="054CB4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ECE20E1"/>
    <w:multiLevelType w:val="hybridMultilevel"/>
    <w:tmpl w:val="2F9E25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901AA2"/>
    <w:multiLevelType w:val="hybridMultilevel"/>
    <w:tmpl w:val="B9CC5F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5F20CE"/>
    <w:multiLevelType w:val="hybridMultilevel"/>
    <w:tmpl w:val="4AF638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CCB5490"/>
    <w:multiLevelType w:val="hybridMultilevel"/>
    <w:tmpl w:val="A1C44E3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327458DB"/>
    <w:multiLevelType w:val="multilevel"/>
    <w:tmpl w:val="490848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7B32C66"/>
    <w:multiLevelType w:val="hybridMultilevel"/>
    <w:tmpl w:val="009E2D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83B4732"/>
    <w:multiLevelType w:val="hybridMultilevel"/>
    <w:tmpl w:val="B5F05C2A"/>
    <w:lvl w:ilvl="0">
      <w:start w:val="1"/>
      <w:numFmt w:val="decimal"/>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9B618C5"/>
    <w:multiLevelType w:val="hybridMultilevel"/>
    <w:tmpl w:val="04D4BCC8"/>
    <w:lvl w:ilvl="0">
      <w:start w:val="1"/>
      <w:numFmt w:val="decimal"/>
      <w:lvlText w:val="%1."/>
      <w:lvlJc w:val="left"/>
      <w:pPr>
        <w:ind w:left="1440" w:hanging="360"/>
      </w:pPr>
      <w:rPr>
        <w:rFonts w:hint="default"/>
        <w:color w:val="000000" w:themeColor="text1"/>
        <w:sz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AFD1B89"/>
    <w:multiLevelType w:val="hybridMultilevel"/>
    <w:tmpl w:val="356A8D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37918258">
    <w:abstractNumId w:val="11"/>
  </w:num>
  <w:num w:numId="2" w16cid:durableId="1378315215">
    <w:abstractNumId w:val="6"/>
  </w:num>
  <w:num w:numId="3" w16cid:durableId="942684957">
    <w:abstractNumId w:val="8"/>
  </w:num>
  <w:num w:numId="4" w16cid:durableId="470679777">
    <w:abstractNumId w:val="2"/>
  </w:num>
  <w:num w:numId="5" w16cid:durableId="831139143">
    <w:abstractNumId w:val="4"/>
  </w:num>
  <w:num w:numId="6" w16cid:durableId="884946429">
    <w:abstractNumId w:val="10"/>
  </w:num>
  <w:num w:numId="7" w16cid:durableId="552541557">
    <w:abstractNumId w:val="1"/>
  </w:num>
  <w:num w:numId="8" w16cid:durableId="1308782450">
    <w:abstractNumId w:val="7"/>
  </w:num>
  <w:num w:numId="9" w16cid:durableId="1697388173">
    <w:abstractNumId w:val="3"/>
  </w:num>
  <w:num w:numId="10" w16cid:durableId="1035694881">
    <w:abstractNumId w:val="6"/>
  </w:num>
  <w:num w:numId="11" w16cid:durableId="530991902">
    <w:abstractNumId w:val="5"/>
  </w:num>
  <w:num w:numId="12" w16cid:durableId="1121454663">
    <w:abstractNumId w:val="12"/>
  </w:num>
  <w:num w:numId="13" w16cid:durableId="1401320497">
    <w:abstractNumId w:val="9"/>
  </w:num>
  <w:num w:numId="14" w16cid:durableId="657225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2388"/>
    <w:rsid w:val="00003E6F"/>
    <w:rsid w:val="000042EA"/>
    <w:rsid w:val="0001076C"/>
    <w:rsid w:val="00013AD0"/>
    <w:rsid w:val="00015734"/>
    <w:rsid w:val="00015C1E"/>
    <w:rsid w:val="00015EA1"/>
    <w:rsid w:val="00015F3D"/>
    <w:rsid w:val="00016E65"/>
    <w:rsid w:val="000172B9"/>
    <w:rsid w:val="00017766"/>
    <w:rsid w:val="00020609"/>
    <w:rsid w:val="000213F9"/>
    <w:rsid w:val="00022BC4"/>
    <w:rsid w:val="00023782"/>
    <w:rsid w:val="00026ED8"/>
    <w:rsid w:val="00027B4F"/>
    <w:rsid w:val="00040664"/>
    <w:rsid w:val="00051CD2"/>
    <w:rsid w:val="00053BE7"/>
    <w:rsid w:val="000555B8"/>
    <w:rsid w:val="0005699B"/>
    <w:rsid w:val="000572B2"/>
    <w:rsid w:val="00057E8D"/>
    <w:rsid w:val="00061B1B"/>
    <w:rsid w:val="00065FFF"/>
    <w:rsid w:val="00074267"/>
    <w:rsid w:val="00077A77"/>
    <w:rsid w:val="00083785"/>
    <w:rsid w:val="0008524D"/>
    <w:rsid w:val="00086462"/>
    <w:rsid w:val="0008772B"/>
    <w:rsid w:val="000904D4"/>
    <w:rsid w:val="000977D9"/>
    <w:rsid w:val="000A26F1"/>
    <w:rsid w:val="000A3435"/>
    <w:rsid w:val="000B18B4"/>
    <w:rsid w:val="000B5DBC"/>
    <w:rsid w:val="000C1760"/>
    <w:rsid w:val="000C1D27"/>
    <w:rsid w:val="000C26E1"/>
    <w:rsid w:val="000C331D"/>
    <w:rsid w:val="000C5EBD"/>
    <w:rsid w:val="000C78BE"/>
    <w:rsid w:val="000C7FB4"/>
    <w:rsid w:val="000D3B33"/>
    <w:rsid w:val="000E0941"/>
    <w:rsid w:val="000E131A"/>
    <w:rsid w:val="000E1620"/>
    <w:rsid w:val="000E1BCA"/>
    <w:rsid w:val="000E2D8F"/>
    <w:rsid w:val="000E497B"/>
    <w:rsid w:val="000E4B2F"/>
    <w:rsid w:val="000F15AA"/>
    <w:rsid w:val="000F2FD4"/>
    <w:rsid w:val="000F7CBD"/>
    <w:rsid w:val="00103855"/>
    <w:rsid w:val="001059ED"/>
    <w:rsid w:val="00107411"/>
    <w:rsid w:val="001106C5"/>
    <w:rsid w:val="00112121"/>
    <w:rsid w:val="00112195"/>
    <w:rsid w:val="0011376D"/>
    <w:rsid w:val="00113A29"/>
    <w:rsid w:val="00114844"/>
    <w:rsid w:val="00124128"/>
    <w:rsid w:val="0012471C"/>
    <w:rsid w:val="00126BC2"/>
    <w:rsid w:val="00127C05"/>
    <w:rsid w:val="00127F5B"/>
    <w:rsid w:val="001325FB"/>
    <w:rsid w:val="0013271F"/>
    <w:rsid w:val="0013277F"/>
    <w:rsid w:val="00132ED7"/>
    <w:rsid w:val="00133C62"/>
    <w:rsid w:val="0013444C"/>
    <w:rsid w:val="001406C0"/>
    <w:rsid w:val="00144520"/>
    <w:rsid w:val="00144D13"/>
    <w:rsid w:val="00145573"/>
    <w:rsid w:val="001466C0"/>
    <w:rsid w:val="001523DF"/>
    <w:rsid w:val="00152D2F"/>
    <w:rsid w:val="0015466C"/>
    <w:rsid w:val="00156ACE"/>
    <w:rsid w:val="0016285E"/>
    <w:rsid w:val="001639A1"/>
    <w:rsid w:val="001649FB"/>
    <w:rsid w:val="00164E00"/>
    <w:rsid w:val="00167898"/>
    <w:rsid w:val="001741E2"/>
    <w:rsid w:val="001748C1"/>
    <w:rsid w:val="001764EC"/>
    <w:rsid w:val="001814E5"/>
    <w:rsid w:val="00181DB5"/>
    <w:rsid w:val="00183946"/>
    <w:rsid w:val="00191328"/>
    <w:rsid w:val="00193203"/>
    <w:rsid w:val="00195824"/>
    <w:rsid w:val="001959E5"/>
    <w:rsid w:val="00195BDC"/>
    <w:rsid w:val="00196F07"/>
    <w:rsid w:val="0019792F"/>
    <w:rsid w:val="001A0597"/>
    <w:rsid w:val="001A0FA5"/>
    <w:rsid w:val="001A58BE"/>
    <w:rsid w:val="001A6E3D"/>
    <w:rsid w:val="001B06DB"/>
    <w:rsid w:val="001B6DD4"/>
    <w:rsid w:val="001B73D6"/>
    <w:rsid w:val="001C095E"/>
    <w:rsid w:val="001C2F44"/>
    <w:rsid w:val="001C32FF"/>
    <w:rsid w:val="001C61F3"/>
    <w:rsid w:val="001D13A2"/>
    <w:rsid w:val="001D14D2"/>
    <w:rsid w:val="001D49CC"/>
    <w:rsid w:val="001E08A8"/>
    <w:rsid w:val="001E35F7"/>
    <w:rsid w:val="001E3692"/>
    <w:rsid w:val="001E4092"/>
    <w:rsid w:val="001E4A80"/>
    <w:rsid w:val="001E4B74"/>
    <w:rsid w:val="001E725A"/>
    <w:rsid w:val="001F08BD"/>
    <w:rsid w:val="001F2339"/>
    <w:rsid w:val="0020705F"/>
    <w:rsid w:val="00210945"/>
    <w:rsid w:val="00210CDA"/>
    <w:rsid w:val="00211712"/>
    <w:rsid w:val="00212A4C"/>
    <w:rsid w:val="0021442F"/>
    <w:rsid w:val="00215D38"/>
    <w:rsid w:val="002224C9"/>
    <w:rsid w:val="002234A9"/>
    <w:rsid w:val="00223F51"/>
    <w:rsid w:val="00225DF1"/>
    <w:rsid w:val="002261FF"/>
    <w:rsid w:val="00231D59"/>
    <w:rsid w:val="00237ACB"/>
    <w:rsid w:val="00237BB7"/>
    <w:rsid w:val="00241951"/>
    <w:rsid w:val="00241ADC"/>
    <w:rsid w:val="002441B9"/>
    <w:rsid w:val="002450FF"/>
    <w:rsid w:val="002456E8"/>
    <w:rsid w:val="00250861"/>
    <w:rsid w:val="00250ADF"/>
    <w:rsid w:val="00251210"/>
    <w:rsid w:val="0025156B"/>
    <w:rsid w:val="00252E6F"/>
    <w:rsid w:val="00257AA8"/>
    <w:rsid w:val="002704CD"/>
    <w:rsid w:val="002704D1"/>
    <w:rsid w:val="00270C89"/>
    <w:rsid w:val="00272A1C"/>
    <w:rsid w:val="00275959"/>
    <w:rsid w:val="00277EF0"/>
    <w:rsid w:val="00280635"/>
    <w:rsid w:val="00284095"/>
    <w:rsid w:val="0029027F"/>
    <w:rsid w:val="0029072D"/>
    <w:rsid w:val="002910CD"/>
    <w:rsid w:val="00291E1B"/>
    <w:rsid w:val="00292E63"/>
    <w:rsid w:val="00294227"/>
    <w:rsid w:val="002A15BE"/>
    <w:rsid w:val="002A6D8D"/>
    <w:rsid w:val="002A7552"/>
    <w:rsid w:val="002A7C72"/>
    <w:rsid w:val="002B0C5A"/>
    <w:rsid w:val="002B7F3B"/>
    <w:rsid w:val="002C0138"/>
    <w:rsid w:val="002C1611"/>
    <w:rsid w:val="002C62C4"/>
    <w:rsid w:val="002C6811"/>
    <w:rsid w:val="002C7265"/>
    <w:rsid w:val="002D215A"/>
    <w:rsid w:val="002D3785"/>
    <w:rsid w:val="002D44A8"/>
    <w:rsid w:val="002D506F"/>
    <w:rsid w:val="002D5AB2"/>
    <w:rsid w:val="002E03A0"/>
    <w:rsid w:val="002E0738"/>
    <w:rsid w:val="002E61DA"/>
    <w:rsid w:val="002F0EBC"/>
    <w:rsid w:val="002F1B39"/>
    <w:rsid w:val="002F45FC"/>
    <w:rsid w:val="002F596E"/>
    <w:rsid w:val="002F76F0"/>
    <w:rsid w:val="00300C1D"/>
    <w:rsid w:val="00302C2F"/>
    <w:rsid w:val="00302CFF"/>
    <w:rsid w:val="003047F5"/>
    <w:rsid w:val="00304BBB"/>
    <w:rsid w:val="003060C4"/>
    <w:rsid w:val="003066F6"/>
    <w:rsid w:val="0031176F"/>
    <w:rsid w:val="003125B7"/>
    <w:rsid w:val="00317507"/>
    <w:rsid w:val="003229CD"/>
    <w:rsid w:val="00325064"/>
    <w:rsid w:val="003270AA"/>
    <w:rsid w:val="00327E65"/>
    <w:rsid w:val="00331580"/>
    <w:rsid w:val="003327AC"/>
    <w:rsid w:val="00333618"/>
    <w:rsid w:val="00333E79"/>
    <w:rsid w:val="003360A5"/>
    <w:rsid w:val="0033776C"/>
    <w:rsid w:val="003419B3"/>
    <w:rsid w:val="00341B96"/>
    <w:rsid w:val="00342224"/>
    <w:rsid w:val="0035581B"/>
    <w:rsid w:val="00356731"/>
    <w:rsid w:val="003569D3"/>
    <w:rsid w:val="00356AB4"/>
    <w:rsid w:val="00357AD1"/>
    <w:rsid w:val="00363218"/>
    <w:rsid w:val="0036349B"/>
    <w:rsid w:val="0036393B"/>
    <w:rsid w:val="00364B05"/>
    <w:rsid w:val="00370A73"/>
    <w:rsid w:val="00371B9A"/>
    <w:rsid w:val="00373152"/>
    <w:rsid w:val="00383C56"/>
    <w:rsid w:val="003846F7"/>
    <w:rsid w:val="00384816"/>
    <w:rsid w:val="00384897"/>
    <w:rsid w:val="00384E0B"/>
    <w:rsid w:val="003872A0"/>
    <w:rsid w:val="00387F94"/>
    <w:rsid w:val="00391999"/>
    <w:rsid w:val="003934A6"/>
    <w:rsid w:val="003A38EC"/>
    <w:rsid w:val="003A5B2E"/>
    <w:rsid w:val="003A606B"/>
    <w:rsid w:val="003B02AF"/>
    <w:rsid w:val="003B1A36"/>
    <w:rsid w:val="003B1EB3"/>
    <w:rsid w:val="003B2FB4"/>
    <w:rsid w:val="003B7704"/>
    <w:rsid w:val="003C0334"/>
    <w:rsid w:val="003D0129"/>
    <w:rsid w:val="003D1110"/>
    <w:rsid w:val="003D17CB"/>
    <w:rsid w:val="003D25E5"/>
    <w:rsid w:val="003D3C28"/>
    <w:rsid w:val="003D5187"/>
    <w:rsid w:val="003D78F6"/>
    <w:rsid w:val="003E092F"/>
    <w:rsid w:val="003E140A"/>
    <w:rsid w:val="003E18C6"/>
    <w:rsid w:val="003E1E7A"/>
    <w:rsid w:val="003E399D"/>
    <w:rsid w:val="003E47B3"/>
    <w:rsid w:val="003E4A95"/>
    <w:rsid w:val="003E55A7"/>
    <w:rsid w:val="003F14DF"/>
    <w:rsid w:val="003F60CF"/>
    <w:rsid w:val="003F6DFD"/>
    <w:rsid w:val="003F6F6F"/>
    <w:rsid w:val="004012AF"/>
    <w:rsid w:val="0040253F"/>
    <w:rsid w:val="0040318B"/>
    <w:rsid w:val="00403A8D"/>
    <w:rsid w:val="00404A5C"/>
    <w:rsid w:val="004071D9"/>
    <w:rsid w:val="00407766"/>
    <w:rsid w:val="004109C9"/>
    <w:rsid w:val="0041185F"/>
    <w:rsid w:val="00413ED4"/>
    <w:rsid w:val="004147E8"/>
    <w:rsid w:val="00426354"/>
    <w:rsid w:val="004277EF"/>
    <w:rsid w:val="00430954"/>
    <w:rsid w:val="0043156C"/>
    <w:rsid w:val="004329F7"/>
    <w:rsid w:val="0043440D"/>
    <w:rsid w:val="00437652"/>
    <w:rsid w:val="00440DF3"/>
    <w:rsid w:val="00443356"/>
    <w:rsid w:val="00444C2B"/>
    <w:rsid w:val="00446A11"/>
    <w:rsid w:val="00446A7C"/>
    <w:rsid w:val="0045113B"/>
    <w:rsid w:val="00451D7C"/>
    <w:rsid w:val="004520E7"/>
    <w:rsid w:val="00452550"/>
    <w:rsid w:val="00454625"/>
    <w:rsid w:val="00454C42"/>
    <w:rsid w:val="00454C49"/>
    <w:rsid w:val="00457BEA"/>
    <w:rsid w:val="00461AEE"/>
    <w:rsid w:val="004620FB"/>
    <w:rsid w:val="00462133"/>
    <w:rsid w:val="00464374"/>
    <w:rsid w:val="004645B1"/>
    <w:rsid w:val="00467E0E"/>
    <w:rsid w:val="00471E07"/>
    <w:rsid w:val="0047371C"/>
    <w:rsid w:val="00474074"/>
    <w:rsid w:val="00474B4E"/>
    <w:rsid w:val="00477035"/>
    <w:rsid w:val="004819FE"/>
    <w:rsid w:val="004841D1"/>
    <w:rsid w:val="00486ED4"/>
    <w:rsid w:val="00491B27"/>
    <w:rsid w:val="004944AA"/>
    <w:rsid w:val="00495052"/>
    <w:rsid w:val="00495CC6"/>
    <w:rsid w:val="004A0034"/>
    <w:rsid w:val="004A13E8"/>
    <w:rsid w:val="004A1954"/>
    <w:rsid w:val="004A3C86"/>
    <w:rsid w:val="004A72F0"/>
    <w:rsid w:val="004B05C2"/>
    <w:rsid w:val="004B06CF"/>
    <w:rsid w:val="004B091B"/>
    <w:rsid w:val="004B4FF9"/>
    <w:rsid w:val="004B5B73"/>
    <w:rsid w:val="004C2153"/>
    <w:rsid w:val="004C24FD"/>
    <w:rsid w:val="004C49C0"/>
    <w:rsid w:val="004C5B2D"/>
    <w:rsid w:val="004C68C4"/>
    <w:rsid w:val="004C75DC"/>
    <w:rsid w:val="004C7CC8"/>
    <w:rsid w:val="004D0CD2"/>
    <w:rsid w:val="004D2D5E"/>
    <w:rsid w:val="004D4FC7"/>
    <w:rsid w:val="004D54B6"/>
    <w:rsid w:val="004D6DF0"/>
    <w:rsid w:val="004D7B24"/>
    <w:rsid w:val="004E0A51"/>
    <w:rsid w:val="004E3D0B"/>
    <w:rsid w:val="004E6C63"/>
    <w:rsid w:val="00501073"/>
    <w:rsid w:val="00502110"/>
    <w:rsid w:val="005079BA"/>
    <w:rsid w:val="00510677"/>
    <w:rsid w:val="005124E0"/>
    <w:rsid w:val="0051275C"/>
    <w:rsid w:val="00516984"/>
    <w:rsid w:val="00517CE5"/>
    <w:rsid w:val="00522DBC"/>
    <w:rsid w:val="005243E7"/>
    <w:rsid w:val="00524DEA"/>
    <w:rsid w:val="005267CB"/>
    <w:rsid w:val="00531422"/>
    <w:rsid w:val="00532EA4"/>
    <w:rsid w:val="00533527"/>
    <w:rsid w:val="0053518F"/>
    <w:rsid w:val="00544E40"/>
    <w:rsid w:val="00544F6F"/>
    <w:rsid w:val="00551FBB"/>
    <w:rsid w:val="005573CC"/>
    <w:rsid w:val="00560BF3"/>
    <w:rsid w:val="00572EA2"/>
    <w:rsid w:val="005745C2"/>
    <w:rsid w:val="0057500C"/>
    <w:rsid w:val="00575533"/>
    <w:rsid w:val="0057778D"/>
    <w:rsid w:val="005814EA"/>
    <w:rsid w:val="005875D5"/>
    <w:rsid w:val="00596E4A"/>
    <w:rsid w:val="005A1588"/>
    <w:rsid w:val="005A2C23"/>
    <w:rsid w:val="005A46CB"/>
    <w:rsid w:val="005A696E"/>
    <w:rsid w:val="005B4067"/>
    <w:rsid w:val="005B5574"/>
    <w:rsid w:val="005C26F9"/>
    <w:rsid w:val="005C380D"/>
    <w:rsid w:val="005C6761"/>
    <w:rsid w:val="005D1324"/>
    <w:rsid w:val="005D2185"/>
    <w:rsid w:val="005D2432"/>
    <w:rsid w:val="005D69EF"/>
    <w:rsid w:val="005E5428"/>
    <w:rsid w:val="005F75B7"/>
    <w:rsid w:val="00602EC7"/>
    <w:rsid w:val="00605542"/>
    <w:rsid w:val="0060586D"/>
    <w:rsid w:val="0060683E"/>
    <w:rsid w:val="0060704E"/>
    <w:rsid w:val="006114A9"/>
    <w:rsid w:val="00611B47"/>
    <w:rsid w:val="00612C0A"/>
    <w:rsid w:val="00613731"/>
    <w:rsid w:val="006231FC"/>
    <w:rsid w:val="00631BE0"/>
    <w:rsid w:val="00636398"/>
    <w:rsid w:val="00651BFB"/>
    <w:rsid w:val="0066195C"/>
    <w:rsid w:val="00663C32"/>
    <w:rsid w:val="00670DB0"/>
    <w:rsid w:val="00674026"/>
    <w:rsid w:val="0068082D"/>
    <w:rsid w:val="00684E16"/>
    <w:rsid w:val="00684EE5"/>
    <w:rsid w:val="00685AB2"/>
    <w:rsid w:val="00686C75"/>
    <w:rsid w:val="0069062F"/>
    <w:rsid w:val="00692257"/>
    <w:rsid w:val="006965BF"/>
    <w:rsid w:val="00696969"/>
    <w:rsid w:val="006A17EE"/>
    <w:rsid w:val="006B453F"/>
    <w:rsid w:val="006B7CB5"/>
    <w:rsid w:val="006B7D26"/>
    <w:rsid w:val="006C287A"/>
    <w:rsid w:val="006C2E87"/>
    <w:rsid w:val="006C563A"/>
    <w:rsid w:val="006C5BBD"/>
    <w:rsid w:val="006C6578"/>
    <w:rsid w:val="006D101A"/>
    <w:rsid w:val="006D1700"/>
    <w:rsid w:val="006D2833"/>
    <w:rsid w:val="006D289D"/>
    <w:rsid w:val="006D2CC2"/>
    <w:rsid w:val="006D3CFB"/>
    <w:rsid w:val="006E23D6"/>
    <w:rsid w:val="006E3181"/>
    <w:rsid w:val="006E43FB"/>
    <w:rsid w:val="006E56D2"/>
    <w:rsid w:val="006E7C7C"/>
    <w:rsid w:val="006F04CF"/>
    <w:rsid w:val="006F209D"/>
    <w:rsid w:val="006F2493"/>
    <w:rsid w:val="006F3B87"/>
    <w:rsid w:val="006F7E26"/>
    <w:rsid w:val="00700ACA"/>
    <w:rsid w:val="00701249"/>
    <w:rsid w:val="00701DF7"/>
    <w:rsid w:val="00702A8B"/>
    <w:rsid w:val="00703525"/>
    <w:rsid w:val="00704601"/>
    <w:rsid w:val="00705369"/>
    <w:rsid w:val="0070598E"/>
    <w:rsid w:val="00710886"/>
    <w:rsid w:val="0071105C"/>
    <w:rsid w:val="00711CAA"/>
    <w:rsid w:val="007128DC"/>
    <w:rsid w:val="0071330E"/>
    <w:rsid w:val="00713C81"/>
    <w:rsid w:val="00715683"/>
    <w:rsid w:val="0072375D"/>
    <w:rsid w:val="00725295"/>
    <w:rsid w:val="0072655E"/>
    <w:rsid w:val="007324C7"/>
    <w:rsid w:val="0073333A"/>
    <w:rsid w:val="007335B2"/>
    <w:rsid w:val="0073436E"/>
    <w:rsid w:val="00735072"/>
    <w:rsid w:val="00736ABE"/>
    <w:rsid w:val="007463D2"/>
    <w:rsid w:val="00753354"/>
    <w:rsid w:val="00757184"/>
    <w:rsid w:val="00760814"/>
    <w:rsid w:val="0076227D"/>
    <w:rsid w:val="00765072"/>
    <w:rsid w:val="0076674A"/>
    <w:rsid w:val="00766B83"/>
    <w:rsid w:val="00767BA5"/>
    <w:rsid w:val="00772CFB"/>
    <w:rsid w:val="00773334"/>
    <w:rsid w:val="00773CDB"/>
    <w:rsid w:val="00775622"/>
    <w:rsid w:val="00776231"/>
    <w:rsid w:val="00780DC1"/>
    <w:rsid w:val="00782FCA"/>
    <w:rsid w:val="007858CC"/>
    <w:rsid w:val="007869F0"/>
    <w:rsid w:val="007876EF"/>
    <w:rsid w:val="007916AE"/>
    <w:rsid w:val="00793780"/>
    <w:rsid w:val="00793F84"/>
    <w:rsid w:val="00795EC4"/>
    <w:rsid w:val="00796CB1"/>
    <w:rsid w:val="00797BE2"/>
    <w:rsid w:val="007A03BA"/>
    <w:rsid w:val="007A1898"/>
    <w:rsid w:val="007A50C7"/>
    <w:rsid w:val="007A5BAD"/>
    <w:rsid w:val="007C1914"/>
    <w:rsid w:val="007C4366"/>
    <w:rsid w:val="007C5835"/>
    <w:rsid w:val="007C5F26"/>
    <w:rsid w:val="007C79CD"/>
    <w:rsid w:val="007D7C5C"/>
    <w:rsid w:val="007E004F"/>
    <w:rsid w:val="007E4EA5"/>
    <w:rsid w:val="007F12EE"/>
    <w:rsid w:val="007F3B4D"/>
    <w:rsid w:val="007F3B8E"/>
    <w:rsid w:val="007F46E9"/>
    <w:rsid w:val="007F4E8A"/>
    <w:rsid w:val="007F6F61"/>
    <w:rsid w:val="00801091"/>
    <w:rsid w:val="00802D62"/>
    <w:rsid w:val="00802F7C"/>
    <w:rsid w:val="00802FE4"/>
    <w:rsid w:val="008031C7"/>
    <w:rsid w:val="00803966"/>
    <w:rsid w:val="0080415F"/>
    <w:rsid w:val="008075D1"/>
    <w:rsid w:val="00813EA2"/>
    <w:rsid w:val="0081443B"/>
    <w:rsid w:val="008208E5"/>
    <w:rsid w:val="00822723"/>
    <w:rsid w:val="00822FA7"/>
    <w:rsid w:val="00823352"/>
    <w:rsid w:val="008248AE"/>
    <w:rsid w:val="00827F0C"/>
    <w:rsid w:val="00831990"/>
    <w:rsid w:val="00833A9D"/>
    <w:rsid w:val="008362F5"/>
    <w:rsid w:val="008377F4"/>
    <w:rsid w:val="00844566"/>
    <w:rsid w:val="00845A47"/>
    <w:rsid w:val="008463B4"/>
    <w:rsid w:val="008464EA"/>
    <w:rsid w:val="00850594"/>
    <w:rsid w:val="008567E6"/>
    <w:rsid w:val="008602DB"/>
    <w:rsid w:val="00860B99"/>
    <w:rsid w:val="008655BE"/>
    <w:rsid w:val="00865665"/>
    <w:rsid w:val="00865999"/>
    <w:rsid w:val="00871E10"/>
    <w:rsid w:val="0087478D"/>
    <w:rsid w:val="00876D2E"/>
    <w:rsid w:val="00881312"/>
    <w:rsid w:val="00887609"/>
    <w:rsid w:val="00887AC2"/>
    <w:rsid w:val="00891560"/>
    <w:rsid w:val="008928A0"/>
    <w:rsid w:val="008932A7"/>
    <w:rsid w:val="00893E3C"/>
    <w:rsid w:val="00895E3E"/>
    <w:rsid w:val="00897E4E"/>
    <w:rsid w:val="008A5664"/>
    <w:rsid w:val="008B241E"/>
    <w:rsid w:val="008B5CA5"/>
    <w:rsid w:val="008B5D54"/>
    <w:rsid w:val="008B6F49"/>
    <w:rsid w:val="008C07D0"/>
    <w:rsid w:val="008C1492"/>
    <w:rsid w:val="008C1A42"/>
    <w:rsid w:val="008C2A1E"/>
    <w:rsid w:val="008C3A1C"/>
    <w:rsid w:val="008D0ED7"/>
    <w:rsid w:val="008D2782"/>
    <w:rsid w:val="008D4B5C"/>
    <w:rsid w:val="008D5742"/>
    <w:rsid w:val="008D5AEA"/>
    <w:rsid w:val="008D60B2"/>
    <w:rsid w:val="008D7D7B"/>
    <w:rsid w:val="008E2226"/>
    <w:rsid w:val="008E2C17"/>
    <w:rsid w:val="008E7140"/>
    <w:rsid w:val="008F0B8D"/>
    <w:rsid w:val="008F1415"/>
    <w:rsid w:val="008F186E"/>
    <w:rsid w:val="00901B62"/>
    <w:rsid w:val="00907EB4"/>
    <w:rsid w:val="00911388"/>
    <w:rsid w:val="00914E24"/>
    <w:rsid w:val="00915BCD"/>
    <w:rsid w:val="00916876"/>
    <w:rsid w:val="00920978"/>
    <w:rsid w:val="009215D4"/>
    <w:rsid w:val="009239B1"/>
    <w:rsid w:val="00931863"/>
    <w:rsid w:val="00932776"/>
    <w:rsid w:val="00935282"/>
    <w:rsid w:val="00935F75"/>
    <w:rsid w:val="00937D6B"/>
    <w:rsid w:val="00940B23"/>
    <w:rsid w:val="00947028"/>
    <w:rsid w:val="009476E3"/>
    <w:rsid w:val="00951F55"/>
    <w:rsid w:val="009526D6"/>
    <w:rsid w:val="00952A19"/>
    <w:rsid w:val="00953959"/>
    <w:rsid w:val="009558A2"/>
    <w:rsid w:val="00955EDB"/>
    <w:rsid w:val="0095605A"/>
    <w:rsid w:val="009569A5"/>
    <w:rsid w:val="00961E70"/>
    <w:rsid w:val="00962757"/>
    <w:rsid w:val="00963E7C"/>
    <w:rsid w:val="00964411"/>
    <w:rsid w:val="009704C2"/>
    <w:rsid w:val="00972530"/>
    <w:rsid w:val="009759E8"/>
    <w:rsid w:val="00982EB5"/>
    <w:rsid w:val="00984FE5"/>
    <w:rsid w:val="0098723F"/>
    <w:rsid w:val="009879FC"/>
    <w:rsid w:val="00991E48"/>
    <w:rsid w:val="0099336C"/>
    <w:rsid w:val="00993AEE"/>
    <w:rsid w:val="00994D5C"/>
    <w:rsid w:val="00994DB1"/>
    <w:rsid w:val="00995368"/>
    <w:rsid w:val="00995D3E"/>
    <w:rsid w:val="00997D0E"/>
    <w:rsid w:val="009A0BBA"/>
    <w:rsid w:val="009A0BF5"/>
    <w:rsid w:val="009A0E18"/>
    <w:rsid w:val="009A21D0"/>
    <w:rsid w:val="009A79E1"/>
    <w:rsid w:val="009B0947"/>
    <w:rsid w:val="009B2184"/>
    <w:rsid w:val="009B3655"/>
    <w:rsid w:val="009B5F61"/>
    <w:rsid w:val="009B643B"/>
    <w:rsid w:val="009C1684"/>
    <w:rsid w:val="009C32A7"/>
    <w:rsid w:val="009C5151"/>
    <w:rsid w:val="009C71F7"/>
    <w:rsid w:val="009C73FC"/>
    <w:rsid w:val="009C79ED"/>
    <w:rsid w:val="009D2568"/>
    <w:rsid w:val="009D3288"/>
    <w:rsid w:val="009D4B4C"/>
    <w:rsid w:val="009D785A"/>
    <w:rsid w:val="009E7DC9"/>
    <w:rsid w:val="009F0AA0"/>
    <w:rsid w:val="009F0ED7"/>
    <w:rsid w:val="009F7193"/>
    <w:rsid w:val="00A023D2"/>
    <w:rsid w:val="00A03BBC"/>
    <w:rsid w:val="00A13A04"/>
    <w:rsid w:val="00A1642E"/>
    <w:rsid w:val="00A16E34"/>
    <w:rsid w:val="00A224B3"/>
    <w:rsid w:val="00A279B9"/>
    <w:rsid w:val="00A34F3D"/>
    <w:rsid w:val="00A40C64"/>
    <w:rsid w:val="00A4516F"/>
    <w:rsid w:val="00A5105B"/>
    <w:rsid w:val="00A512CD"/>
    <w:rsid w:val="00A5383B"/>
    <w:rsid w:val="00A60672"/>
    <w:rsid w:val="00A65C73"/>
    <w:rsid w:val="00A67086"/>
    <w:rsid w:val="00A74948"/>
    <w:rsid w:val="00A7633F"/>
    <w:rsid w:val="00A8097B"/>
    <w:rsid w:val="00A821B4"/>
    <w:rsid w:val="00A85418"/>
    <w:rsid w:val="00A92924"/>
    <w:rsid w:val="00A933BC"/>
    <w:rsid w:val="00A94350"/>
    <w:rsid w:val="00A975BD"/>
    <w:rsid w:val="00AA0E20"/>
    <w:rsid w:val="00AA2C1E"/>
    <w:rsid w:val="00AA45A8"/>
    <w:rsid w:val="00AA4B16"/>
    <w:rsid w:val="00AA66B7"/>
    <w:rsid w:val="00AB2543"/>
    <w:rsid w:val="00AB29D2"/>
    <w:rsid w:val="00AB4EF6"/>
    <w:rsid w:val="00AB6ECC"/>
    <w:rsid w:val="00AC0174"/>
    <w:rsid w:val="00AC20E3"/>
    <w:rsid w:val="00AC4876"/>
    <w:rsid w:val="00AC4DF1"/>
    <w:rsid w:val="00AD2F36"/>
    <w:rsid w:val="00AD396E"/>
    <w:rsid w:val="00AD6AA7"/>
    <w:rsid w:val="00AD7D85"/>
    <w:rsid w:val="00AE0BC7"/>
    <w:rsid w:val="00AE7508"/>
    <w:rsid w:val="00AF234E"/>
    <w:rsid w:val="00AF3D2B"/>
    <w:rsid w:val="00B0048E"/>
    <w:rsid w:val="00B04BC9"/>
    <w:rsid w:val="00B0749E"/>
    <w:rsid w:val="00B102D3"/>
    <w:rsid w:val="00B11A36"/>
    <w:rsid w:val="00B133F6"/>
    <w:rsid w:val="00B143FB"/>
    <w:rsid w:val="00B208C8"/>
    <w:rsid w:val="00B20A29"/>
    <w:rsid w:val="00B240DA"/>
    <w:rsid w:val="00B30A82"/>
    <w:rsid w:val="00B31233"/>
    <w:rsid w:val="00B32C44"/>
    <w:rsid w:val="00B421B6"/>
    <w:rsid w:val="00B4445B"/>
    <w:rsid w:val="00B46947"/>
    <w:rsid w:val="00B478D9"/>
    <w:rsid w:val="00B5085E"/>
    <w:rsid w:val="00B50967"/>
    <w:rsid w:val="00B548E4"/>
    <w:rsid w:val="00B5518A"/>
    <w:rsid w:val="00B55735"/>
    <w:rsid w:val="00B608AC"/>
    <w:rsid w:val="00B64B9E"/>
    <w:rsid w:val="00B65F8D"/>
    <w:rsid w:val="00B66BE1"/>
    <w:rsid w:val="00B81EDE"/>
    <w:rsid w:val="00B91400"/>
    <w:rsid w:val="00B917DD"/>
    <w:rsid w:val="00B96113"/>
    <w:rsid w:val="00BA0302"/>
    <w:rsid w:val="00BA2FE1"/>
    <w:rsid w:val="00BA34E5"/>
    <w:rsid w:val="00BA6B1A"/>
    <w:rsid w:val="00BA717A"/>
    <w:rsid w:val="00BB5996"/>
    <w:rsid w:val="00BB5D73"/>
    <w:rsid w:val="00BB7C51"/>
    <w:rsid w:val="00BC09E8"/>
    <w:rsid w:val="00BC0C9B"/>
    <w:rsid w:val="00BC7BBC"/>
    <w:rsid w:val="00BD289E"/>
    <w:rsid w:val="00BD5239"/>
    <w:rsid w:val="00BD560C"/>
    <w:rsid w:val="00BD709A"/>
    <w:rsid w:val="00BE5729"/>
    <w:rsid w:val="00BE79B1"/>
    <w:rsid w:val="00BE7FAD"/>
    <w:rsid w:val="00BF2BAD"/>
    <w:rsid w:val="00BF686C"/>
    <w:rsid w:val="00BF751E"/>
    <w:rsid w:val="00C065E9"/>
    <w:rsid w:val="00C10B0D"/>
    <w:rsid w:val="00C10B61"/>
    <w:rsid w:val="00C1264D"/>
    <w:rsid w:val="00C126FC"/>
    <w:rsid w:val="00C128E1"/>
    <w:rsid w:val="00C14132"/>
    <w:rsid w:val="00C16BAB"/>
    <w:rsid w:val="00C21E00"/>
    <w:rsid w:val="00C23E12"/>
    <w:rsid w:val="00C25A6A"/>
    <w:rsid w:val="00C30D90"/>
    <w:rsid w:val="00C32312"/>
    <w:rsid w:val="00C32380"/>
    <w:rsid w:val="00C3711B"/>
    <w:rsid w:val="00C40F02"/>
    <w:rsid w:val="00C44C27"/>
    <w:rsid w:val="00C45924"/>
    <w:rsid w:val="00C4666E"/>
    <w:rsid w:val="00C46E03"/>
    <w:rsid w:val="00C508DC"/>
    <w:rsid w:val="00C52013"/>
    <w:rsid w:val="00C52741"/>
    <w:rsid w:val="00C529E1"/>
    <w:rsid w:val="00C54302"/>
    <w:rsid w:val="00C553B7"/>
    <w:rsid w:val="00C56CAF"/>
    <w:rsid w:val="00C574C2"/>
    <w:rsid w:val="00C617FF"/>
    <w:rsid w:val="00C61CAB"/>
    <w:rsid w:val="00C646C8"/>
    <w:rsid w:val="00C6507A"/>
    <w:rsid w:val="00C661EF"/>
    <w:rsid w:val="00C673E2"/>
    <w:rsid w:val="00C7255C"/>
    <w:rsid w:val="00C72847"/>
    <w:rsid w:val="00C767CA"/>
    <w:rsid w:val="00C80F6B"/>
    <w:rsid w:val="00C82E6E"/>
    <w:rsid w:val="00C82E95"/>
    <w:rsid w:val="00C86F43"/>
    <w:rsid w:val="00C90B13"/>
    <w:rsid w:val="00C91D82"/>
    <w:rsid w:val="00C91EB8"/>
    <w:rsid w:val="00C92848"/>
    <w:rsid w:val="00C94C63"/>
    <w:rsid w:val="00C94EB9"/>
    <w:rsid w:val="00C953FA"/>
    <w:rsid w:val="00C974FA"/>
    <w:rsid w:val="00CA0874"/>
    <w:rsid w:val="00CA59DD"/>
    <w:rsid w:val="00CA65AA"/>
    <w:rsid w:val="00CA7A66"/>
    <w:rsid w:val="00CA7CDF"/>
    <w:rsid w:val="00CB0CBF"/>
    <w:rsid w:val="00CC253E"/>
    <w:rsid w:val="00CC4B5A"/>
    <w:rsid w:val="00CC619C"/>
    <w:rsid w:val="00CC7145"/>
    <w:rsid w:val="00CD2AA4"/>
    <w:rsid w:val="00CD50BD"/>
    <w:rsid w:val="00CD72D9"/>
    <w:rsid w:val="00CE662A"/>
    <w:rsid w:val="00CE707D"/>
    <w:rsid w:val="00CF09AE"/>
    <w:rsid w:val="00CF147D"/>
    <w:rsid w:val="00CF2982"/>
    <w:rsid w:val="00CF4C38"/>
    <w:rsid w:val="00CF5C26"/>
    <w:rsid w:val="00D00E8A"/>
    <w:rsid w:val="00D00E8B"/>
    <w:rsid w:val="00D01CE1"/>
    <w:rsid w:val="00D0327E"/>
    <w:rsid w:val="00D03CDF"/>
    <w:rsid w:val="00D05413"/>
    <w:rsid w:val="00D06905"/>
    <w:rsid w:val="00D06F45"/>
    <w:rsid w:val="00D13EA1"/>
    <w:rsid w:val="00D14A4D"/>
    <w:rsid w:val="00D14CAF"/>
    <w:rsid w:val="00D14E07"/>
    <w:rsid w:val="00D15343"/>
    <w:rsid w:val="00D15728"/>
    <w:rsid w:val="00D15958"/>
    <w:rsid w:val="00D22D52"/>
    <w:rsid w:val="00D25A5C"/>
    <w:rsid w:val="00D27A93"/>
    <w:rsid w:val="00D30B33"/>
    <w:rsid w:val="00D35145"/>
    <w:rsid w:val="00D37E0D"/>
    <w:rsid w:val="00D4066E"/>
    <w:rsid w:val="00D41030"/>
    <w:rsid w:val="00D428DE"/>
    <w:rsid w:val="00D42969"/>
    <w:rsid w:val="00D4369F"/>
    <w:rsid w:val="00D4639D"/>
    <w:rsid w:val="00D4719D"/>
    <w:rsid w:val="00D51202"/>
    <w:rsid w:val="00D5290E"/>
    <w:rsid w:val="00D54027"/>
    <w:rsid w:val="00D56B8C"/>
    <w:rsid w:val="00D60615"/>
    <w:rsid w:val="00D623AC"/>
    <w:rsid w:val="00D637A9"/>
    <w:rsid w:val="00D65183"/>
    <w:rsid w:val="00D67B41"/>
    <w:rsid w:val="00D815FC"/>
    <w:rsid w:val="00D84C0D"/>
    <w:rsid w:val="00D87B5F"/>
    <w:rsid w:val="00D924F4"/>
    <w:rsid w:val="00D9273A"/>
    <w:rsid w:val="00D952DF"/>
    <w:rsid w:val="00DA219B"/>
    <w:rsid w:val="00DA2F42"/>
    <w:rsid w:val="00DA30F1"/>
    <w:rsid w:val="00DA4C34"/>
    <w:rsid w:val="00DA7070"/>
    <w:rsid w:val="00DA73B9"/>
    <w:rsid w:val="00DB0263"/>
    <w:rsid w:val="00DB2147"/>
    <w:rsid w:val="00DB4D7B"/>
    <w:rsid w:val="00DB5B06"/>
    <w:rsid w:val="00DC0120"/>
    <w:rsid w:val="00DC0EE6"/>
    <w:rsid w:val="00DC3A79"/>
    <w:rsid w:val="00DC4F7B"/>
    <w:rsid w:val="00DC57CC"/>
    <w:rsid w:val="00DC74EE"/>
    <w:rsid w:val="00DD142A"/>
    <w:rsid w:val="00DD20B6"/>
    <w:rsid w:val="00DD510B"/>
    <w:rsid w:val="00DD5282"/>
    <w:rsid w:val="00DE25C4"/>
    <w:rsid w:val="00DE6927"/>
    <w:rsid w:val="00DF000E"/>
    <w:rsid w:val="00DF08D6"/>
    <w:rsid w:val="00DF451E"/>
    <w:rsid w:val="00DF6241"/>
    <w:rsid w:val="00DF6797"/>
    <w:rsid w:val="00E0677F"/>
    <w:rsid w:val="00E106F2"/>
    <w:rsid w:val="00E11B66"/>
    <w:rsid w:val="00E15F16"/>
    <w:rsid w:val="00E1669A"/>
    <w:rsid w:val="00E21144"/>
    <w:rsid w:val="00E21ECE"/>
    <w:rsid w:val="00E24F11"/>
    <w:rsid w:val="00E24F18"/>
    <w:rsid w:val="00E318BF"/>
    <w:rsid w:val="00E3218F"/>
    <w:rsid w:val="00E33D61"/>
    <w:rsid w:val="00E35556"/>
    <w:rsid w:val="00E356A6"/>
    <w:rsid w:val="00E375CC"/>
    <w:rsid w:val="00E440C4"/>
    <w:rsid w:val="00E46C70"/>
    <w:rsid w:val="00E516F5"/>
    <w:rsid w:val="00E53396"/>
    <w:rsid w:val="00E55130"/>
    <w:rsid w:val="00E563ED"/>
    <w:rsid w:val="00E663C6"/>
    <w:rsid w:val="00E66603"/>
    <w:rsid w:val="00E670BA"/>
    <w:rsid w:val="00E70D1F"/>
    <w:rsid w:val="00E76DAE"/>
    <w:rsid w:val="00E801C0"/>
    <w:rsid w:val="00E80D2C"/>
    <w:rsid w:val="00E84C79"/>
    <w:rsid w:val="00E90F29"/>
    <w:rsid w:val="00E91371"/>
    <w:rsid w:val="00E915AC"/>
    <w:rsid w:val="00E91D66"/>
    <w:rsid w:val="00E92BA0"/>
    <w:rsid w:val="00E9351C"/>
    <w:rsid w:val="00EA3C37"/>
    <w:rsid w:val="00EB1FC3"/>
    <w:rsid w:val="00EB29D8"/>
    <w:rsid w:val="00EC309D"/>
    <w:rsid w:val="00EC4612"/>
    <w:rsid w:val="00EC6225"/>
    <w:rsid w:val="00EC6473"/>
    <w:rsid w:val="00EC6771"/>
    <w:rsid w:val="00EC6EDA"/>
    <w:rsid w:val="00ED15F4"/>
    <w:rsid w:val="00ED3D74"/>
    <w:rsid w:val="00ED4AB7"/>
    <w:rsid w:val="00EE1746"/>
    <w:rsid w:val="00EE3031"/>
    <w:rsid w:val="00EF250A"/>
    <w:rsid w:val="00EF5692"/>
    <w:rsid w:val="00F00226"/>
    <w:rsid w:val="00F10FCE"/>
    <w:rsid w:val="00F153BA"/>
    <w:rsid w:val="00F20C77"/>
    <w:rsid w:val="00F2121E"/>
    <w:rsid w:val="00F21B8C"/>
    <w:rsid w:val="00F278BD"/>
    <w:rsid w:val="00F31580"/>
    <w:rsid w:val="00F37764"/>
    <w:rsid w:val="00F44C6F"/>
    <w:rsid w:val="00F45C9E"/>
    <w:rsid w:val="00F45D39"/>
    <w:rsid w:val="00F46E7F"/>
    <w:rsid w:val="00F511CE"/>
    <w:rsid w:val="00F5358D"/>
    <w:rsid w:val="00F548DB"/>
    <w:rsid w:val="00F55B41"/>
    <w:rsid w:val="00F55C57"/>
    <w:rsid w:val="00F56C86"/>
    <w:rsid w:val="00F56D70"/>
    <w:rsid w:val="00F60999"/>
    <w:rsid w:val="00F62BBA"/>
    <w:rsid w:val="00F64500"/>
    <w:rsid w:val="00F6506F"/>
    <w:rsid w:val="00F66E2D"/>
    <w:rsid w:val="00F717C0"/>
    <w:rsid w:val="00F749E8"/>
    <w:rsid w:val="00F75CCF"/>
    <w:rsid w:val="00F769DD"/>
    <w:rsid w:val="00F84480"/>
    <w:rsid w:val="00F8678B"/>
    <w:rsid w:val="00F8709A"/>
    <w:rsid w:val="00F91AC5"/>
    <w:rsid w:val="00F9341A"/>
    <w:rsid w:val="00F97A19"/>
    <w:rsid w:val="00FA1046"/>
    <w:rsid w:val="00FA163D"/>
    <w:rsid w:val="00FA4304"/>
    <w:rsid w:val="00FB2108"/>
    <w:rsid w:val="00FC5EDD"/>
    <w:rsid w:val="00FC71D3"/>
    <w:rsid w:val="00FD0165"/>
    <w:rsid w:val="00FD153A"/>
    <w:rsid w:val="00FE0398"/>
    <w:rsid w:val="00FE171F"/>
    <w:rsid w:val="00FE2596"/>
    <w:rsid w:val="00FE4748"/>
    <w:rsid w:val="00FE59DE"/>
    <w:rsid w:val="00FE6898"/>
    <w:rsid w:val="00FF18D4"/>
    <w:rsid w:val="00FF34B6"/>
    <w:rsid w:val="00FF40BC"/>
    <w:rsid w:val="00FF4D94"/>
    <w:rsid w:val="00FF5A0E"/>
    <w:rsid w:val="00FF6511"/>
    <w:rsid w:val="00FF7342"/>
    <w:rsid w:val="790D7F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710886"/>
    <w:pPr>
      <w:tabs>
        <w:tab w:val="left" w:pos="660"/>
        <w:tab w:val="right" w:leader="dot" w:pos="10070"/>
      </w:tabs>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B30A82"/>
    <w:rPr>
      <w:sz w:val="16"/>
      <w:szCs w:val="16"/>
    </w:rPr>
  </w:style>
  <w:style w:type="paragraph" w:styleId="CommentText">
    <w:name w:val="annotation text"/>
    <w:basedOn w:val="Normal"/>
    <w:link w:val="CommentTextChar"/>
    <w:uiPriority w:val="99"/>
    <w:unhideWhenUsed/>
    <w:rsid w:val="00B30A82"/>
    <w:pPr>
      <w:spacing w:line="240" w:lineRule="auto"/>
    </w:pPr>
    <w:rPr>
      <w:sz w:val="20"/>
      <w:szCs w:val="20"/>
    </w:rPr>
  </w:style>
  <w:style w:type="character" w:customStyle="1" w:styleId="CommentTextChar">
    <w:name w:val="Comment Text Char"/>
    <w:basedOn w:val="DefaultParagraphFont"/>
    <w:link w:val="CommentText"/>
    <w:uiPriority w:val="99"/>
    <w:rsid w:val="00B30A8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30A82"/>
    <w:rPr>
      <w:b/>
      <w:bCs/>
    </w:rPr>
  </w:style>
  <w:style w:type="character" w:customStyle="1" w:styleId="CommentSubjectChar">
    <w:name w:val="Comment Subject Char"/>
    <w:basedOn w:val="CommentTextChar"/>
    <w:link w:val="CommentSubject"/>
    <w:uiPriority w:val="99"/>
    <w:semiHidden/>
    <w:rsid w:val="00B30A82"/>
    <w:rPr>
      <w:rFonts w:ascii="Times New Roman" w:hAnsi="Times New Roman"/>
      <w:b/>
      <w:bCs/>
      <w:sz w:val="20"/>
      <w:szCs w:val="20"/>
    </w:rPr>
  </w:style>
  <w:style w:type="character" w:styleId="UnresolvedMention">
    <w:name w:val="Unresolved Mention"/>
    <w:basedOn w:val="DefaultParagraphFont"/>
    <w:uiPriority w:val="99"/>
    <w:semiHidden/>
    <w:unhideWhenUsed/>
    <w:rsid w:val="008B5CA5"/>
    <w:rPr>
      <w:color w:val="605E5C"/>
      <w:shd w:val="clear" w:color="auto" w:fill="E1DFDD"/>
    </w:rPr>
  </w:style>
  <w:style w:type="paragraph" w:styleId="Revision">
    <w:name w:val="Revision"/>
    <w:hidden/>
    <w:uiPriority w:val="99"/>
    <w:semiHidden/>
    <w:rsid w:val="00D15728"/>
    <w:pPr>
      <w:spacing w:after="0" w:line="240" w:lineRule="auto"/>
    </w:pPr>
    <w:rPr>
      <w:rFonts w:ascii="Times New Roman" w:hAnsi="Times New Roman"/>
      <w:sz w:val="24"/>
    </w:rPr>
  </w:style>
  <w:style w:type="character" w:customStyle="1" w:styleId="normaltextrun">
    <w:name w:val="normaltextrun"/>
    <w:basedOn w:val="DefaultParagraphFont"/>
    <w:rsid w:val="00300C1D"/>
  </w:style>
  <w:style w:type="paragraph" w:customStyle="1" w:styleId="paragraph">
    <w:name w:val="paragraph"/>
    <w:basedOn w:val="Normal"/>
    <w:rsid w:val="00027B4F"/>
    <w:pPr>
      <w:spacing w:before="100" w:beforeAutospacing="1" w:after="100" w:afterAutospacing="1" w:line="240" w:lineRule="auto"/>
    </w:pPr>
    <w:rPr>
      <w:rFonts w:eastAsia="Times New Roman" w:cs="Times New Roman"/>
      <w:szCs w:val="24"/>
    </w:rPr>
  </w:style>
  <w:style w:type="paragraph" w:styleId="BodyText2">
    <w:name w:val="Body Text 2"/>
    <w:basedOn w:val="Normal"/>
    <w:link w:val="BodyText2Char"/>
    <w:semiHidden/>
    <w:rsid w:val="00275959"/>
    <w:pPr>
      <w:spacing w:after="0" w:line="240" w:lineRule="auto"/>
      <w:jc w:val="both"/>
    </w:pPr>
    <w:rPr>
      <w:rFonts w:eastAsia="Times New Roman" w:cs="Times New Roman"/>
      <w:szCs w:val="20"/>
    </w:rPr>
  </w:style>
  <w:style w:type="character" w:customStyle="1" w:styleId="BodyText2Char">
    <w:name w:val="Body Text 2 Char"/>
    <w:basedOn w:val="DefaultParagraphFont"/>
    <w:link w:val="BodyText2"/>
    <w:semiHidden/>
    <w:rsid w:val="0027595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oi.org/10.2147/IDR.S173867" TargetMode="External" /><Relationship Id="rId11" Type="http://schemas.openxmlformats.org/officeDocument/2006/relationships/hyperlink" Target="https://www.cdc.gov/drugresistance/pdf/threats-report/2019-ar-threats-report-508.pdf" TargetMode="External" /><Relationship Id="rId12" Type="http://schemas.openxmlformats.org/officeDocument/2006/relationships/hyperlink" Target="https://www.driveresearch.com/market-research-company-blog/how-much-does-a-focus-group-cost-focus-groups-syracuse-ny/" TargetMode="External" /><Relationship Id="rId13" Type="http://schemas.openxmlformats.org/officeDocument/2006/relationships/hyperlink" Target="https://obamawhitehouse.archives.gov/sites/default/files/omb/inforeg/pmc_survey_guidance_2006.pdf" TargetMode="External" /><Relationship Id="rId14" Type="http://schemas.openxmlformats.org/officeDocument/2006/relationships/hyperlink" Target="https://doi.org/10.2196/jmir.6980"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mail" TargetMode="External" /><Relationship Id="rId9" Type="http://schemas.openxmlformats.org/officeDocument/2006/relationships/hyperlink" Target="https://www.advarr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cd2318-15d6-487a-a67c-1bb65c8f11d1">
      <Terms xmlns="http://schemas.microsoft.com/office/infopath/2007/PartnerControls"/>
    </lcf76f155ced4ddcb4097134ff3c332f>
    <TaxCatchAll xmlns="4160ed17-4e23-4fd8-ac5f-7e947e6000c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EC58A07F4AD4D47A173F3C0A411FDF7" ma:contentTypeVersion="16" ma:contentTypeDescription="Create a new document." ma:contentTypeScope="" ma:versionID="31968d9e118188bb1c9624071eec7ea9">
  <xsd:schema xmlns:xsd="http://www.w3.org/2001/XMLSchema" xmlns:xs="http://www.w3.org/2001/XMLSchema" xmlns:p="http://schemas.microsoft.com/office/2006/metadata/properties" xmlns:ns2="d4cd2318-15d6-487a-a67c-1bb65c8f11d1" xmlns:ns3="4160ed17-4e23-4fd8-ac5f-7e947e6000c7" targetNamespace="http://schemas.microsoft.com/office/2006/metadata/properties" ma:root="true" ma:fieldsID="bdc6723e134b5f01d160d84439294df8" ns2:_="" ns3:_="">
    <xsd:import namespace="d4cd2318-15d6-487a-a67c-1bb65c8f11d1"/>
    <xsd:import namespace="4160ed17-4e23-4fd8-ac5f-7e947e6000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d2318-15d6-487a-a67c-1bb65c8f11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10af04-4ae7-4e7d-8f78-debd264da8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60ed17-4e23-4fd8-ac5f-7e947e6000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b39c3eb-9b22-4f49-82ba-64a21ce43c85}" ma:internalName="TaxCatchAll" ma:showField="CatchAllData" ma:web="4160ed17-4e23-4fd8-ac5f-7e947e6000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A1962D-A9CD-4ADF-B12D-2494D5B659A4}">
  <ds:schemaRefs>
    <ds:schemaRef ds:uri="http://schemas.openxmlformats.org/officeDocument/2006/bibliography"/>
  </ds:schemaRefs>
</ds:datastoreItem>
</file>

<file path=customXml/itemProps2.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3.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d4cd2318-15d6-487a-a67c-1bb65c8f11d1"/>
    <ds:schemaRef ds:uri="4160ed17-4e23-4fd8-ac5f-7e947e6000c7"/>
  </ds:schemaRefs>
</ds:datastoreItem>
</file>

<file path=customXml/itemProps4.xml><?xml version="1.0" encoding="utf-8"?>
<ds:datastoreItem xmlns:ds="http://schemas.openxmlformats.org/officeDocument/2006/customXml" ds:itemID="{6171F49A-FEDC-4967-96E8-FBF726F8C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d2318-15d6-487a-a67c-1bb65c8f11d1"/>
    <ds:schemaRef ds:uri="4160ed17-4e23-4fd8-ac5f-7e947e600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3292</Words>
  <Characters>18771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Joyce, Kevin J. (CDC/DDPHSS/OS/OSI)</cp:lastModifiedBy>
  <cp:revision>3</cp:revision>
  <dcterms:created xsi:type="dcterms:W3CDTF">2023-08-09T13:13:00Z</dcterms:created>
  <dcterms:modified xsi:type="dcterms:W3CDTF">2023-08-09T13:17:00Z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0x0101002EC58A07F4AD4D47A173F3C0A411FDF7</vt:lpwstr>
  </property>
  <property fmtid="{D5CDD505-2E9C-101B-9397-08002B2CF9AE}" pid="3" name="MediaServiceImageTags">
    <vt:lpwstr/>
  </property>
  <property fmtid="{D5CDD505-2E9C-101B-9397-08002B2CF9AE}" pid="4" name="MSIP_Label_7b94a7b8-f06c-4dfe-bdcc-9b548fd58c31_ActionId">
    <vt:lpwstr>6b135a3c-e0fe-4f72-9dde-95d62e656f46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2023-08-03T18:46:52Z</vt:lpwstr>
  </property>
  <property fmtid="{D5CDD505-2E9C-101B-9397-08002B2CF9AE}" pid="10" name="MSIP_Label_7b94a7b8-f06c-4dfe-bdcc-9b548fd58c31_SiteId">
    <vt:lpwstr>9ce70869-60db-44fd-abe8-d2767077fc8f</vt:lpwstr>
  </property>
  <property fmtid="{D5CDD505-2E9C-101B-9397-08002B2CF9AE}" pid="11" name="_dlc_DocIdItemGuid">
    <vt:lpwstr>e28d4fa4-bae3-4cdf-93ea-0dd5dc1c0e99</vt:lpwstr>
  </property>
</Properties>
</file>