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87E" w:rsidP="0016287E" w14:paraId="4D712A1D" w14:textId="77777777"/>
    <w:p w:rsidR="00DA4054" w:rsidP="00795DF3" w14:paraId="112B97EF" w14:textId="7FE1C35B">
      <w:pPr>
        <w:jc w:val="center"/>
        <w:rPr>
          <w:bCs/>
        </w:rPr>
      </w:pPr>
      <w:r>
        <w:t>U</w:t>
      </w:r>
      <w:r w:rsidR="556B1670">
        <w:t>nited</w:t>
      </w:r>
      <w:r>
        <w:t xml:space="preserve"> </w:t>
      </w:r>
      <w:r>
        <w:t>S</w:t>
      </w:r>
      <w:r w:rsidR="058CD9CE">
        <w:t>tates</w:t>
      </w:r>
      <w:r w:rsidRPr="00F44AAD">
        <w:rPr>
          <w:bCs/>
        </w:rPr>
        <w:t xml:space="preserve"> Food and Drug Administration</w:t>
      </w:r>
      <w:r>
        <w:rPr>
          <w:bCs/>
        </w:rPr>
        <w:t xml:space="preserve"> </w:t>
      </w:r>
    </w:p>
    <w:p w:rsidR="00DA4054" w:rsidRPr="00F44AAD" w:rsidP="00795DF3" w14:paraId="70737146" w14:textId="77777777">
      <w:pPr>
        <w:jc w:val="center"/>
        <w:rPr>
          <w:bCs/>
        </w:rPr>
      </w:pPr>
    </w:p>
    <w:p w:rsidR="00EE692B" w:rsidRPr="00F44AAD" w:rsidP="00EE692B" w14:paraId="2F93A22D" w14:textId="77777777">
      <w:pPr>
        <w:jc w:val="center"/>
        <w:rPr>
          <w:bCs/>
        </w:rPr>
      </w:pPr>
      <w:r w:rsidRPr="00F44AAD">
        <w:rPr>
          <w:bCs/>
        </w:rPr>
        <w:t xml:space="preserve">Exemptions </w:t>
      </w:r>
      <w:r w:rsidRPr="00F44AAD" w:rsidR="008017F1">
        <w:rPr>
          <w:bCs/>
        </w:rPr>
        <w:t>F</w:t>
      </w:r>
      <w:r w:rsidRPr="00F44AAD">
        <w:rPr>
          <w:bCs/>
        </w:rPr>
        <w:t>rom Substantial Equivalence Requirements</w:t>
      </w:r>
      <w:r w:rsidRPr="00F44AAD" w:rsidR="008017F1">
        <w:rPr>
          <w:bCs/>
        </w:rPr>
        <w:t xml:space="preserve"> for Tobacco Products</w:t>
      </w:r>
    </w:p>
    <w:p w:rsidR="466EDB3C" w:rsidP="466EDB3C" w14:paraId="4B5E50AA" w14:textId="08EF8209">
      <w:pPr>
        <w:jc w:val="center"/>
      </w:pPr>
    </w:p>
    <w:p w:rsidR="00EE692B" w:rsidRPr="00F44AAD" w:rsidP="00CF74C3" w14:paraId="0DD9B48F" w14:textId="33A69CC8">
      <w:pPr>
        <w:jc w:val="center"/>
        <w:rPr>
          <w:bCs/>
        </w:rPr>
      </w:pPr>
      <w:r w:rsidRPr="00F44AAD">
        <w:rPr>
          <w:bCs/>
        </w:rPr>
        <w:t xml:space="preserve">OMB Control </w:t>
      </w:r>
      <w:r>
        <w:t>N</w:t>
      </w:r>
      <w:r w:rsidR="69651C03">
        <w:t>o.</w:t>
      </w:r>
      <w:r w:rsidRPr="00F44AAD">
        <w:rPr>
          <w:bCs/>
        </w:rPr>
        <w:t xml:space="preserve"> </w:t>
      </w:r>
      <w:r w:rsidRPr="00F44AAD">
        <w:rPr>
          <w:bCs/>
        </w:rPr>
        <w:t>0910-0684</w:t>
      </w:r>
      <w:r w:rsidR="7AA63B39">
        <w:t xml:space="preserve"> – </w:t>
      </w:r>
      <w:r w:rsidR="4C125C0C">
        <w:t>EXTENSION</w:t>
      </w:r>
    </w:p>
    <w:p w:rsidR="466EDB3C" w:rsidP="466EDB3C" w14:paraId="24B56627" w14:textId="0D9BA5E9">
      <w:pPr>
        <w:jc w:val="center"/>
      </w:pPr>
    </w:p>
    <w:p w:rsidR="00EB7538" w:rsidRPr="00F44AAD" w:rsidP="00FE2F7E" w14:paraId="73F07BE8" w14:textId="515929A6">
      <w:pPr>
        <w:spacing w:line="259" w:lineRule="auto"/>
        <w:jc w:val="center"/>
        <w:rPr>
          <w:bCs/>
        </w:rPr>
      </w:pPr>
      <w:r>
        <w:t>SUPPORTING STATEMENT</w:t>
      </w:r>
    </w:p>
    <w:p w:rsidR="00E24EB4" w:rsidP="00810FF1" w14:paraId="6BCE68B1" w14:textId="77777777">
      <w:pPr>
        <w:rPr>
          <w:b/>
        </w:rPr>
      </w:pPr>
    </w:p>
    <w:p w:rsidR="466EDB3C" w14:paraId="671C4F4C" w14:textId="3FEE79CE">
      <w:r w:rsidRPr="00FE2F7E">
        <w:rPr>
          <w:u w:val="single"/>
        </w:rPr>
        <w:t>Terms of Clearance:</w:t>
      </w:r>
      <w:r>
        <w:rPr>
          <w:b/>
        </w:rPr>
        <w:t xml:space="preserve"> </w:t>
      </w:r>
      <w:r w:rsidR="00E74A91">
        <w:t>None</w:t>
      </w:r>
    </w:p>
    <w:p w:rsidR="466EDB3C" w:rsidRPr="00FE2F7E" w:rsidP="466EDB3C" w14:paraId="51487B5F" w14:textId="2FB1E1BB">
      <w:pPr>
        <w:pStyle w:val="NormalWeb"/>
      </w:pPr>
      <w:r w:rsidRPr="466EDB3C">
        <w:rPr>
          <w:b/>
          <w:bCs/>
        </w:rPr>
        <w:t xml:space="preserve">Part </w:t>
      </w:r>
      <w:r w:rsidR="00EB7538">
        <w:rPr>
          <w:b/>
          <w:bCs/>
        </w:rPr>
        <w:t>A. Justification</w:t>
      </w:r>
      <w:r w:rsidRPr="466EDB3C" w:rsidR="6B0F980D">
        <w:rPr>
          <w:b/>
          <w:bCs/>
        </w:rPr>
        <w:t>:</w:t>
      </w:r>
    </w:p>
    <w:p w:rsidR="008B30AB" w:rsidP="00FE2F7E" w14:paraId="4DFE8996" w14:textId="77777777">
      <w:pPr>
        <w:numPr>
          <w:ilvl w:val="0"/>
          <w:numId w:val="1"/>
        </w:numPr>
        <w:tabs>
          <w:tab w:val="num" w:pos="270"/>
          <w:tab w:val="clear" w:pos="720"/>
        </w:tabs>
        <w:spacing w:before="100" w:beforeAutospacing="1" w:after="100" w:afterAutospacing="1"/>
        <w:ind w:hanging="720"/>
        <w:rPr>
          <w:u w:val="single"/>
        </w:rPr>
      </w:pPr>
      <w:r w:rsidRPr="29BFD2EA">
        <w:rPr>
          <w:u w:val="single"/>
        </w:rPr>
        <w:t>Circumstances Making the Collection of Information Necessary</w:t>
      </w:r>
    </w:p>
    <w:p w:rsidR="004D141A" w:rsidP="00FE2F7E" w14:paraId="1790CFB2" w14:textId="41432881">
      <w:r w:rsidRPr="450F5066">
        <w:rPr>
          <w:rFonts w:eastAsia="Calibri"/>
        </w:rPr>
        <w:t>This information collection supports Food and Drug Administration (FDA, us or we)</w:t>
      </w:r>
      <w:r w:rsidR="002B1AF6">
        <w:rPr>
          <w:rFonts w:eastAsia="Calibri"/>
        </w:rPr>
        <w:t xml:space="preserve"> </w:t>
      </w:r>
      <w:r w:rsidRPr="450F5066" w:rsidR="00230B72">
        <w:rPr>
          <w:rFonts w:eastAsia="Calibri"/>
        </w:rPr>
        <w:t>regulations.</w:t>
      </w:r>
      <w:r>
        <w:t xml:space="preserve"> </w:t>
      </w:r>
      <w:r w:rsidRPr="006F2796">
        <w:t>The Federal Food, Drug, and Cosmetic Act (</w:t>
      </w:r>
      <w:r>
        <w:t>the FD&amp;C Act</w:t>
      </w:r>
      <w:r w:rsidRPr="006F2796">
        <w:t xml:space="preserve">) </w:t>
      </w:r>
      <w:r>
        <w:t xml:space="preserve">authorizes FDA </w:t>
      </w:r>
      <w:r w:rsidRPr="006F2796">
        <w:t>to regulate the manufacture, marketing, and distribution of tobacco products to protect the public health generally and to</w:t>
      </w:r>
      <w:r>
        <w:t xml:space="preserve"> reduce tobacco use by minors.</w:t>
      </w:r>
    </w:p>
    <w:p w:rsidR="004D141A" w:rsidP="004D141A" w14:paraId="297CA666" w14:textId="77777777">
      <w:pPr>
        <w:ind w:left="720"/>
      </w:pPr>
    </w:p>
    <w:p w:rsidR="0061247B" w:rsidP="00FE2F7E" w14:paraId="38F1100A" w14:textId="6CC5B0B0">
      <w:r>
        <w:t>Tobacco products are governed by chapter IX of the F</w:t>
      </w:r>
      <w:r w:rsidR="18C62FE1">
        <w:t>D&amp;C Act</w:t>
      </w:r>
      <w:r w:rsidR="00F63AB0">
        <w:t xml:space="preserve"> </w:t>
      </w:r>
      <w:r>
        <w:t>(sections 900 through 920) (21 U.S.C. 387 through 21 U.S.C. 387</w:t>
      </w:r>
      <w:r w:rsidR="007B55DD">
        <w:t>u</w:t>
      </w:r>
      <w:r>
        <w:t>). Section 201(</w:t>
      </w:r>
      <w:r>
        <w:t>rr</w:t>
      </w:r>
      <w:r>
        <w:t xml:space="preserve">) of the FD&amp;C Act, as amended, defines a tobacco product as “any product made or derived from tobacco </w:t>
      </w:r>
      <w:r w:rsidRPr="00CB79E8">
        <w:t>or containing nicotine from any source</w:t>
      </w:r>
      <w:r>
        <w:t xml:space="preserve"> that is intended for human consumption, including any component, part, or accessory of a tobacco product (except for raw materials other than tobacco used in manufacturing a component, part, or accessory of a tobacco product).”</w:t>
      </w:r>
    </w:p>
    <w:p w:rsidR="00460833" w:rsidP="00712C70" w14:paraId="2150DF99" w14:textId="77777777">
      <w:pPr>
        <w:ind w:left="720"/>
      </w:pPr>
    </w:p>
    <w:p w:rsidR="00006842" w:rsidP="00624B55" w14:paraId="7429BB32" w14:textId="436C4592">
      <w:r>
        <w:t>The Consolidated Appropriations Act</w:t>
      </w:r>
      <w:r w:rsidR="00445F6A">
        <w:t>,</w:t>
      </w:r>
      <w:r>
        <w:t xml:space="preserve"> 2022 (</w:t>
      </w:r>
      <w:r w:rsidR="29BFD2EA">
        <w:t>P</w:t>
      </w:r>
      <w:r w:rsidR="00445F6A">
        <w:t xml:space="preserve">ublic </w:t>
      </w:r>
      <w:r w:rsidR="29BFD2EA">
        <w:t>L</w:t>
      </w:r>
      <w:r w:rsidR="00445F6A">
        <w:t>aw</w:t>
      </w:r>
      <w:r w:rsidR="29BFD2EA">
        <w:t xml:space="preserve"> 117-103) </w:t>
      </w:r>
      <w:r>
        <w:t>(the Appropriations Act), enacted on March 15, 2022, amended the definition of the term “tobacco product” in section 201(</w:t>
      </w:r>
      <w:r>
        <w:t>rr</w:t>
      </w:r>
      <w:r>
        <w:t xml:space="preserve">) of the FD&amp;C Act to include products that contain nicotine from any source. As a result, non-tobacco nicotine (NTN) products that were not previously subject to the FD&amp;C Act (e.g., products containing synthetic nicotine) are now subject to </w:t>
      </w:r>
      <w:r>
        <w:t>all of</w:t>
      </w:r>
      <w:r>
        <w:t xml:space="preserve"> the tobacco product provisions in the FD&amp;C Act beginning on April 14, 2022, including the requirement of premarket review for new tobacco products. </w:t>
      </w:r>
    </w:p>
    <w:p w:rsidR="00006842" w:rsidP="0061247B" w14:paraId="023681CD" w14:textId="77777777">
      <w:pPr>
        <w:ind w:left="720"/>
      </w:pPr>
    </w:p>
    <w:p w:rsidR="0061247B" w:rsidRPr="002548F8" w:rsidP="00624B55" w14:paraId="12C5491F" w14:textId="23CBF290">
      <w:pPr>
        <w:rPr>
          <w:b/>
          <w:bCs/>
        </w:rPr>
      </w:pPr>
      <w:r w:rsidRPr="450F5066">
        <w:rPr>
          <w:b/>
          <w:bCs/>
        </w:rPr>
        <w:t xml:space="preserve">CFR and </w:t>
      </w:r>
      <w:r w:rsidRPr="450F5066" w:rsidR="00E24EB4">
        <w:rPr>
          <w:b/>
          <w:bCs/>
        </w:rPr>
        <w:t xml:space="preserve">FD&amp;C </w:t>
      </w:r>
      <w:r w:rsidRPr="450F5066">
        <w:rPr>
          <w:b/>
          <w:bCs/>
        </w:rPr>
        <w:t>Act Citations</w:t>
      </w:r>
      <w:r w:rsidRPr="450F5066" w:rsidR="00F32369">
        <w:rPr>
          <w:b/>
          <w:bCs/>
        </w:rPr>
        <w:t xml:space="preserve"> Regarding Exemptions from Substantial Equivalence Requirements</w:t>
      </w:r>
    </w:p>
    <w:p w:rsidR="0061247B" w:rsidP="0061247B" w14:paraId="3592DE56" w14:textId="77777777">
      <w:pPr>
        <w:ind w:left="720"/>
      </w:pPr>
    </w:p>
    <w:p w:rsidR="00DE319C" w:rsidP="00624B55" w14:paraId="6A79805B" w14:textId="0E97B0BD">
      <w:r w:rsidRPr="0062121B">
        <w:t>The FD&amp;C Act requires that</w:t>
      </w:r>
      <w:r w:rsidR="00987083">
        <w:t>,</w:t>
      </w:r>
      <w:r w:rsidRPr="0062121B">
        <w:t xml:space="preserve"> before a new tobacco product may be introduced or delivered for introduction into interstate commerce, the new tobacco product must undergo premarket review by FDA. FDA must issue an order authorizing the commercial distribution of the new tobacco product or find the product exempt from the requirements of substantial equivalence under section 910(a)(2)(A) of the FD&amp;C Act (</w:t>
      </w:r>
      <w:hyperlink r:id="rId8" w:tgtFrame="_blank" w:history="1">
        <w:r w:rsidRPr="0062121B">
          <w:rPr>
            <w:color w:val="0000FF"/>
            <w:u w:val="single"/>
          </w:rPr>
          <w:t>21 U.S.C. 387j(a)(2)(A)</w:t>
        </w:r>
      </w:hyperlink>
      <w:r w:rsidRPr="0062121B">
        <w:t>), before the product may be introduced into commercial distribution.</w:t>
      </w:r>
    </w:p>
    <w:p w:rsidR="00DB5EA2" w:rsidRPr="0062121B" w:rsidP="00624B55" w14:paraId="3B1B6ED1" w14:textId="6F034416">
      <w:pPr>
        <w:spacing w:before="100" w:beforeAutospacing="1" w:after="100" w:afterAutospacing="1"/>
      </w:pPr>
      <w:r w:rsidRPr="0062121B">
        <w:t xml:space="preserve">FDA has established a pathway for manufacturers to request exemptions from the substantial equivalence requirements of the FD&amp;C Act in </w:t>
      </w:r>
      <w:hyperlink r:id="rId9" w:tgtFrame="_blank" w:history="1">
        <w:r w:rsidRPr="0062121B">
          <w:rPr>
            <w:color w:val="0000FF"/>
            <w:u w:val="single"/>
          </w:rPr>
          <w:t>21 CFR 1107.1</w:t>
        </w:r>
      </w:hyperlink>
      <w:r w:rsidRPr="0062121B">
        <w:t xml:space="preserve"> of the </w:t>
      </w:r>
      <w:r w:rsidR="00EA127C">
        <w:t>a</w:t>
      </w:r>
      <w:r w:rsidRPr="0062121B">
        <w:t xml:space="preserve">gency's regulations. As described in § 1107.1(a), FDA may exempt tobacco products that are modified by adding or deleting a tobacco additive, or increasing or decreasing the quantity of an existing tobacco additive, from the requirement of demonstrating substantial equivalence if the </w:t>
      </w:r>
      <w:r w:rsidR="00C62485">
        <w:t>a</w:t>
      </w:r>
      <w:r w:rsidRPr="0062121B">
        <w:t xml:space="preserve">gency determines that: (1) </w:t>
      </w:r>
      <w:r w:rsidR="00EF3DEC">
        <w:t>t</w:t>
      </w:r>
      <w:r w:rsidRPr="0062121B">
        <w:t>he modification would be a minor modification of a tobacco product that can be sold under the FD&amp;C Act; (2) a report demonstrating substantial equivalence is not necessary to ensure that permitting the tobacco product to be marketed would be appropriate for the protection of public health; and (3) an exemption is otherwise appropriate.</w:t>
      </w:r>
    </w:p>
    <w:p w:rsidR="00D2434F" w:rsidP="00624B55" w14:paraId="53400C2C" w14:textId="6B5804EA">
      <w:pPr>
        <w:spacing w:before="100" w:beforeAutospacing="1" w:after="100" w:afterAutospacing="1"/>
      </w:pPr>
      <w:r>
        <w:t>Section 1107.1(b) states that a request for exemption under section 905(j)(3) of the FD&amp;C Act (</w:t>
      </w:r>
      <w:hyperlink r:id="rId10" w:tgtFrame="_blank" w:history="1">
        <w:r w:rsidRPr="450F5066">
          <w:rPr>
            <w:color w:val="0000FF"/>
            <w:u w:val="single"/>
          </w:rPr>
          <w:t>21 U.S.C. 387e(j)(3)</w:t>
        </w:r>
      </w:hyperlink>
      <w:r>
        <w:t>) may be made only by the manufacturer of a legally marketed tobacco product for a minor modification to that tobacco product and the manufacturer must submit the request and all information supporting it to FDA. The request must be made in an electronic format that FDA can process, review, and archive (or a written request must be made by the manufacturer explaining in detail why the manufacturer cannot submit the request in an electronic format and requesting an alternative means of submission to the electronic format).</w:t>
      </w:r>
    </w:p>
    <w:p w:rsidR="009F0828" w:rsidP="00624B55" w14:paraId="242A4B88" w14:textId="2A4BD9EF">
      <w:r>
        <w:t xml:space="preserve">An exemption request must contain: (1) </w:t>
      </w:r>
      <w:r w:rsidR="00EF3DEC">
        <w:t>t</w:t>
      </w:r>
      <w:r>
        <w:t xml:space="preserve">he manufacturer's address and contact information; (2) identification of the tobacco product(s); (3) a detailed explanation of the purpose for the modification; (4) a detailed description of the modification, including a statement as to whether the modification involves adding or deleting a tobacco additive, or increasing or decreasing the quantity of the existing tobacco additive; (5) a detailed explanation of why the modification is a minor modification of a tobacco product that can be sold under the FD&amp;C Act; (6) a detailed explanation of why a report under section 905(j)(1) of the FD&amp;C Act intended to demonstrate substantial equivalence is not necessary to ensure that permitting the tobacco product to be marketed would be appropriate for protection of the public health; (7) a certification ( </w:t>
      </w:r>
      <w:r w:rsidRPr="450F5066">
        <w:rPr>
          <w:i/>
          <w:iCs/>
        </w:rPr>
        <w:t>i.e.,</w:t>
      </w:r>
      <w:r>
        <w:t xml:space="preserve"> a signed statement by a responsible official of the </w:t>
      </w:r>
      <w:r w:rsidR="00C6488E">
        <w:t>manufacturer</w:t>
      </w:r>
      <w:r>
        <w:t xml:space="preserve">) summarizing the supporting evidence and providing the rationale for the official's determination that the modification does not increase the tobacco product's appeal to or use by minors, toxicity, addictiveness, or abuse liability; (8) other information justifying an exemption; and (9) an environmental assessment (EA) under </w:t>
      </w:r>
      <w:hyperlink r:id="rId11" w:tgtFrame="_blank" w:history="1">
        <w:r w:rsidRPr="450F5066">
          <w:rPr>
            <w:color w:val="0000FF"/>
            <w:u w:val="single"/>
          </w:rPr>
          <w:t>21 CFR part 25</w:t>
        </w:r>
      </w:hyperlink>
      <w:r>
        <w:t xml:space="preserve"> prepared in accordance with the requirements of </w:t>
      </w:r>
      <w:hyperlink r:id="rId12" w:tgtFrame="_blank" w:history="1">
        <w:r w:rsidRPr="0062121B" w:rsidR="003F5B0B">
          <w:t>§</w:t>
        </w:r>
        <w:r w:rsidRPr="450F5066">
          <w:rPr>
            <w:color w:val="0000FF"/>
            <w:u w:val="single"/>
          </w:rPr>
          <w:t xml:space="preserve"> 25.40</w:t>
        </w:r>
      </w:hyperlink>
      <w:r>
        <w:t>.</w:t>
      </w:r>
    </w:p>
    <w:p w:rsidR="004058DF" w:rsidRPr="0062121B" w:rsidP="00624B55" w14:paraId="043D1346" w14:textId="6FBDA2B9">
      <w:pPr>
        <w:spacing w:before="100" w:beforeAutospacing="1" w:after="100" w:afterAutospacing="1"/>
      </w:pPr>
      <w:r>
        <w:t>The National Environmental Policy Act of 1969 (NEPA) (</w:t>
      </w:r>
      <w:hyperlink r:id="rId13" w:tgtFrame="_blank" w:history="1">
        <w:r w:rsidRPr="450F5066">
          <w:rPr>
            <w:color w:val="0000FF"/>
            <w:u w:val="single"/>
          </w:rPr>
          <w:t>42 U.S.C. 4321-4347</w:t>
        </w:r>
      </w:hyperlink>
      <w:r>
        <w:t xml:space="preserve">) states national environmental objectives and imposes upon each </w:t>
      </w:r>
      <w:r w:rsidR="003F5B0B">
        <w:t>f</w:t>
      </w:r>
      <w:r>
        <w:t xml:space="preserve">ederal </w:t>
      </w:r>
      <w:r w:rsidR="003F5B0B">
        <w:t>a</w:t>
      </w:r>
      <w:r>
        <w:t xml:space="preserve">gency the duty to consider the environmental effects of its actions. Section 102(2)(C) of NEPA requires the preparation of an environmental impact statement for every major </w:t>
      </w:r>
      <w:r w:rsidR="003F5B0B">
        <w:t>f</w:t>
      </w:r>
      <w:r>
        <w:t>ederal action that will significantly affect the quality of the human environment.</w:t>
      </w:r>
    </w:p>
    <w:p w:rsidR="00CD69E5" w:rsidRPr="0062121B" w:rsidP="00624B55" w14:paraId="4868A2A7" w14:textId="1CD0CC6E">
      <w:pPr>
        <w:spacing w:before="100" w:beforeAutospacing="1" w:after="100" w:afterAutospacing="1"/>
      </w:pPr>
      <w:r w:rsidRPr="0062121B">
        <w:t xml:space="preserve">The FDA NEPA regulations are contained in </w:t>
      </w:r>
      <w:r w:rsidR="003F5B0B">
        <w:t xml:space="preserve">21 CFR </w:t>
      </w:r>
      <w:r w:rsidRPr="0062121B">
        <w:t>part 25. All applications for exemption from substantial equivalence require the submission of an EA. An EA provides information that is used to determine whether an FDA action could result in a significant environmental impact. Section</w:t>
      </w:r>
      <w:r w:rsidR="00185623">
        <w:t xml:space="preserve">s </w:t>
      </w:r>
      <w:r w:rsidRPr="0062121B">
        <w:t>25.40(a) and (c) specif</w:t>
      </w:r>
      <w:r w:rsidR="00185623">
        <w:t>y</w:t>
      </w:r>
      <w:r w:rsidRPr="0062121B">
        <w:t xml:space="preserve"> the content requirements for EAs for non-excluded actions.</w:t>
      </w:r>
    </w:p>
    <w:p w:rsidR="0061247B" w:rsidP="00624B55" w14:paraId="4F26837D" w14:textId="6A8DB273">
      <w:pPr>
        <w:spacing w:before="100" w:beforeAutospacing="1" w:after="100" w:afterAutospacing="1"/>
      </w:pPr>
      <w:bookmarkStart w:id="0" w:name="_Hlk109383941"/>
      <w:r w:rsidRPr="0062121B">
        <w:t>The information required by § 1107.1(b) is submitted to FDA</w:t>
      </w:r>
      <w:r w:rsidR="00E81A91">
        <w:t>,</w:t>
      </w:r>
      <w:r w:rsidRPr="0062121B">
        <w:t xml:space="preserve"> so FDA can determine whether an exemption from substantial equivalence to the product is appropriate for the protection of the </w:t>
      </w:r>
      <w:r w:rsidRPr="0062121B">
        <w:t>public health. Section 1107.1(c) states that FDA will review the information submitted and determine whether to grant or deny an exemption based on whether the criteria in section 905(j)(3) of the FD&amp;C Act are met. FDA may request additional information</w:t>
      </w:r>
      <w:r w:rsidR="00902767">
        <w:t>,</w:t>
      </w:r>
      <w:r w:rsidRPr="0062121B">
        <w:t xml:space="preserve"> if necessary, to </w:t>
      </w:r>
      <w:r w:rsidRPr="0062121B">
        <w:t>make a determination</w:t>
      </w:r>
      <w:r w:rsidRPr="0062121B">
        <w:t xml:space="preserve"> and may consider the exemption request withdrawn if the information is not provided within the requested timeframe.</w:t>
      </w:r>
    </w:p>
    <w:bookmarkEnd w:id="0"/>
    <w:p w:rsidR="007D46C3" w:rsidP="00624B55" w14:paraId="5FA8F1E6" w14:textId="6B0CA218">
      <w:r>
        <w:t xml:space="preserve">This collection of information </w:t>
      </w:r>
      <w:r w:rsidR="00823B82">
        <w:t xml:space="preserve">also </w:t>
      </w:r>
      <w:r w:rsidR="00B96FB1">
        <w:t>contains a requirement</w:t>
      </w:r>
      <w:r w:rsidR="00823B82">
        <w:t>, referred to as an “</w:t>
      </w:r>
      <w:r w:rsidR="001D1B5D">
        <w:t>A</w:t>
      </w:r>
      <w:r w:rsidR="00823B82">
        <w:t xml:space="preserve">bbreviated </w:t>
      </w:r>
      <w:r w:rsidR="001D1B5D">
        <w:t>R</w:t>
      </w:r>
      <w:r w:rsidR="00823B82">
        <w:t xml:space="preserve">eport,” </w:t>
      </w:r>
      <w:r w:rsidR="00B96FB1">
        <w:t xml:space="preserve">that </w:t>
      </w:r>
      <w:r>
        <w:t xml:space="preserve">a manufacturer submit a report at least 90 days prior to making an introduction or delivery for introduction into interstate commerce for commercial distribution of a tobacco product. Section 905(j)(1)(A)(ii) of the FD&amp;C Act </w:t>
      </w:r>
      <w:r w:rsidR="450F5066">
        <w:t>(21 U</w:t>
      </w:r>
      <w:r w:rsidR="009814FC">
        <w:t>.</w:t>
      </w:r>
      <w:r w:rsidR="450F5066">
        <w:t>S</w:t>
      </w:r>
      <w:r w:rsidR="009814FC">
        <w:t>.</w:t>
      </w:r>
      <w:r w:rsidR="450F5066">
        <w:t>C</w:t>
      </w:r>
      <w:r w:rsidR="009814FC">
        <w:t>.</w:t>
      </w:r>
      <w:r w:rsidR="450F5066">
        <w:t xml:space="preserve"> 387e(j)</w:t>
      </w:r>
      <w:r w:rsidR="00902767">
        <w:t>(1)(A)(ii)</w:t>
      </w:r>
      <w:r w:rsidR="009814FC">
        <w:t xml:space="preserve">) </w:t>
      </w:r>
      <w:r>
        <w:t>states that if an exemption has been requested and granted, the manufacturer must submit to FDA a report that demonstrates that the tobacco product is modified within the meaning of section 905(j)(3)</w:t>
      </w:r>
      <w:r w:rsidR="00902767">
        <w:t xml:space="preserve"> of the FD&amp;C Act</w:t>
      </w:r>
      <w:r>
        <w:t>, the modifications are to a product that is commercially marketed and in compliance with the requirements of the FD&amp;C Act, and all the modifications are covered by exemptions granted by the Secretary</w:t>
      </w:r>
      <w:r w:rsidR="00902767">
        <w:t xml:space="preserve"> of Health and Human Services (the Secretary)</w:t>
      </w:r>
      <w:r>
        <w:t xml:space="preserve"> under section 905(j)(3).</w:t>
      </w:r>
    </w:p>
    <w:p w:rsidR="004D141A" w:rsidP="00115711" w14:paraId="19EEAD79" w14:textId="77777777">
      <w:pPr>
        <w:ind w:left="720"/>
      </w:pPr>
    </w:p>
    <w:p w:rsidR="4119018E" w:rsidP="00A41F99" w14:paraId="1A5B232D" w14:textId="37D0B088">
      <w:r>
        <w:t xml:space="preserve">We therefore request extension of OMB approval of provisions found in </w:t>
      </w:r>
      <w:r w:rsidR="007B0DD8">
        <w:t>21 CFR 1107.1(b)</w:t>
      </w:r>
      <w:r w:rsidR="00902767">
        <w:t xml:space="preserve"> and</w:t>
      </w:r>
      <w:r w:rsidR="00902767">
        <w:t xml:space="preserve"> </w:t>
      </w:r>
      <w:r w:rsidR="007B0DD8">
        <w:t>(c)</w:t>
      </w:r>
      <w:r w:rsidR="00E81A91">
        <w:t>,</w:t>
      </w:r>
      <w:r w:rsidR="007B0DD8">
        <w:t xml:space="preserve"> and section 905(j)(3) of the FD&amp;C Act</w:t>
      </w:r>
      <w:r w:rsidR="00902767">
        <w:t>,</w:t>
      </w:r>
      <w:r w:rsidR="007B0DD8">
        <w:t xml:space="preserve"> </w:t>
      </w:r>
      <w:r>
        <w:t>as discussed in this supporting statement.</w:t>
      </w:r>
    </w:p>
    <w:p w:rsidR="008B30AB" w:rsidRPr="002746DB" w:rsidP="00A41F99" w14:paraId="78F18A47"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 xml:space="preserve">Purpose and Use of the Information Collection </w:t>
      </w:r>
    </w:p>
    <w:p w:rsidR="0061247B" w:rsidP="00A41F99" w14:paraId="6552C099" w14:textId="40DD81AE">
      <w:r>
        <w:t xml:space="preserve">The information collected under these provisions of the FD&amp;C Act </w:t>
      </w:r>
      <w:r w:rsidR="001360E8">
        <w:t xml:space="preserve">and FDA’s regulations </w:t>
      </w:r>
      <w:r>
        <w:t>is needed for FDA to determine whether to grant or deny an exemption request based on whether the criteria in section 905(j)(3) of the FD&amp;C Act are met</w:t>
      </w:r>
      <w:r w:rsidR="002C1E76">
        <w:t xml:space="preserve"> and for manufacturers to comply with section 905(j)(1)(A)(ii) of the FD&amp;C Act if an exemption has been requested and granted</w:t>
      </w:r>
      <w:r>
        <w:t xml:space="preserve">. </w:t>
      </w:r>
    </w:p>
    <w:p w:rsidR="0061247B" w:rsidP="0061247B" w14:paraId="32B3A2B2" w14:textId="77777777">
      <w:pPr>
        <w:ind w:left="720"/>
      </w:pPr>
    </w:p>
    <w:p w:rsidR="0061247B" w:rsidP="00A41F99" w14:paraId="30755CD5" w14:textId="6BAF8A19">
      <w:bookmarkStart w:id="1" w:name="_Hlk109384025"/>
      <w:r>
        <w:t>If the information were not collected, FDA would be unable to determine if an exemption could be granted under section 905(j)(3) of the FD&amp;C Act</w:t>
      </w:r>
      <w:r w:rsidR="00623664">
        <w:t>;</w:t>
      </w:r>
      <w:r w:rsidR="004F5285">
        <w:t xml:space="preserve"> </w:t>
      </w:r>
      <w:r w:rsidR="00537541">
        <w:t xml:space="preserve">FDA would also be unable to </w:t>
      </w:r>
      <w:r w:rsidR="004F5285">
        <w:t>effectively regulate section 905(j)(1)(A)(ii) of the FD&amp;C Act</w:t>
      </w:r>
      <w:r>
        <w:t>.</w:t>
      </w:r>
    </w:p>
    <w:p w:rsidR="00E74A91" w:rsidP="0061247B" w14:paraId="21772CE0" w14:textId="77777777">
      <w:pPr>
        <w:ind w:left="720"/>
      </w:pPr>
    </w:p>
    <w:p w:rsidR="4119018E" w:rsidP="00A41F99" w14:paraId="2072DD3D" w14:textId="1657CEF7">
      <w:bookmarkStart w:id="2" w:name="_Hlk109381865"/>
      <w:bookmarkEnd w:id="1"/>
      <w:r>
        <w:t xml:space="preserve">This collection of information will be requested of </w:t>
      </w:r>
      <w:r w:rsidR="003A0C2D">
        <w:t xml:space="preserve">respondents from </w:t>
      </w:r>
      <w:r w:rsidR="006E1925">
        <w:t>private sector</w:t>
      </w:r>
      <w:r w:rsidR="001360E8">
        <w:t>,</w:t>
      </w:r>
      <w:r w:rsidR="006E1925">
        <w:t xml:space="preserve"> for</w:t>
      </w:r>
      <w:r w:rsidR="001360E8">
        <w:t>-</w:t>
      </w:r>
      <w:r w:rsidR="006E1925">
        <w:t>profit businesses</w:t>
      </w:r>
      <w:r w:rsidR="001360E8">
        <w:t xml:space="preserve">. </w:t>
      </w:r>
      <w:r w:rsidR="450F5066">
        <w:t xml:space="preserve">Respondents are tobacco product manufacturers defined as any person, including any </w:t>
      </w:r>
      <w:r w:rsidR="450F5066">
        <w:t>repacker</w:t>
      </w:r>
      <w:r w:rsidR="450F5066">
        <w:t xml:space="preserve"> or </w:t>
      </w:r>
      <w:r w:rsidR="450F5066">
        <w:t>relabeler</w:t>
      </w:r>
      <w:r w:rsidR="450F5066">
        <w:t>, who: (1) manufactures, fabricates, assembles, processes, or labels a tobacco product; or (2) imports a finished tobacco product for sale or distribution in the United States.</w:t>
      </w:r>
      <w:bookmarkEnd w:id="2"/>
    </w:p>
    <w:p w:rsidR="002746DB" w:rsidRPr="004C6979" w:rsidP="00F10A9E" w14:paraId="70948C2E" w14:textId="77777777">
      <w:pPr>
        <w:numPr>
          <w:ilvl w:val="0"/>
          <w:numId w:val="1"/>
        </w:numPr>
        <w:tabs>
          <w:tab w:val="num" w:pos="270"/>
          <w:tab w:val="clear" w:pos="720"/>
        </w:tabs>
        <w:spacing w:before="100" w:beforeAutospacing="1" w:after="100" w:afterAutospacing="1"/>
        <w:ind w:right="-1440" w:hanging="720"/>
        <w:rPr>
          <w:u w:val="single"/>
        </w:rPr>
      </w:pPr>
      <w:r w:rsidRPr="450F5066">
        <w:rPr>
          <w:u w:val="single"/>
        </w:rPr>
        <w:t xml:space="preserve">Use of Improved Information Technology and Burden Reduction </w:t>
      </w:r>
    </w:p>
    <w:p w:rsidR="00FB2EAA" w:rsidP="00F10A9E" w14:paraId="0FF152B9" w14:textId="1B4DF0D0">
      <w:r>
        <w:t xml:space="preserve">Section </w:t>
      </w:r>
      <w:r w:rsidR="00AA4635">
        <w:t>21 CFR 1107.1(b)</w:t>
      </w:r>
      <w:r w:rsidR="0061247B">
        <w:t xml:space="preserve"> require</w:t>
      </w:r>
      <w:r w:rsidR="006E1925">
        <w:t>s</w:t>
      </w:r>
      <w:r w:rsidR="0061247B">
        <w:t xml:space="preserve"> that the exemption request and supporting information</w:t>
      </w:r>
      <w:r w:rsidR="001D1B5D">
        <w:t>, including the Abbreviated Report,</w:t>
      </w:r>
      <w:r w:rsidR="0061247B">
        <w:t xml:space="preserve"> be submitted in an electronic format that FDA can process, review, and archive. </w:t>
      </w:r>
      <w:r w:rsidR="000E40B4">
        <w:t>T</w:t>
      </w:r>
      <w:r w:rsidR="0061247B">
        <w:t>he exemption request</w:t>
      </w:r>
      <w:r w:rsidR="00C95669">
        <w:t xml:space="preserve"> and supporting information must</w:t>
      </w:r>
      <w:r w:rsidR="0061247B">
        <w:t xml:space="preserve"> be legible and in English. These requirements ensure that FDA </w:t>
      </w:r>
      <w:r w:rsidR="006E1925">
        <w:t xml:space="preserve">can </w:t>
      </w:r>
      <w:r w:rsidR="0061247B">
        <w:t xml:space="preserve">review the exemption request expeditiously and appropriately. </w:t>
      </w:r>
    </w:p>
    <w:p w:rsidR="00717C5B" w:rsidP="0061247B" w14:paraId="5F062590" w14:textId="77777777">
      <w:pPr>
        <w:ind w:left="720"/>
      </w:pPr>
    </w:p>
    <w:p w:rsidR="00FB2EAA" w14:paraId="4047F4ED" w14:textId="0C030FD2">
      <w:r>
        <w:t xml:space="preserve">FDA provides information on its </w:t>
      </w:r>
      <w:r w:rsidR="001B28B1">
        <w:t>w</w:t>
      </w:r>
      <w:r>
        <w:t>ebsite on how manufacture</w:t>
      </w:r>
      <w:r w:rsidR="001B28B1">
        <w:t>r</w:t>
      </w:r>
      <w:r>
        <w:t>s may provide electronic submission</w:t>
      </w:r>
      <w:r w:rsidR="00E05302">
        <w:t>s</w:t>
      </w:r>
      <w:r w:rsidR="00210759">
        <w:t xml:space="preserve"> and regulatory correspondence</w:t>
      </w:r>
      <w:r w:rsidR="00AD241E">
        <w:t xml:space="preserve">, </w:t>
      </w:r>
      <w:r w:rsidR="00297A3E">
        <w:t xml:space="preserve">such as the exemption request and supporting </w:t>
      </w:r>
      <w:r w:rsidR="00297A3E">
        <w:t xml:space="preserve">information, </w:t>
      </w:r>
      <w:r w:rsidR="00326C5F">
        <w:t xml:space="preserve">as well as </w:t>
      </w:r>
      <w:r w:rsidR="00297A3E">
        <w:t xml:space="preserve">the </w:t>
      </w:r>
      <w:r w:rsidR="007B55DD">
        <w:t>A</w:t>
      </w:r>
      <w:r w:rsidR="00297A3E">
        <w:t xml:space="preserve">bbreviated </w:t>
      </w:r>
      <w:r w:rsidR="007B55DD">
        <w:t>R</w:t>
      </w:r>
      <w:r w:rsidR="00297A3E">
        <w:t>eport</w:t>
      </w:r>
      <w:r w:rsidR="00AD241E">
        <w:t>,</w:t>
      </w:r>
      <w:r>
        <w:t xml:space="preserve"> to FDA (e.g., information on electronic media and methods of transmission)</w:t>
      </w:r>
      <w:r w:rsidR="001B28B1">
        <w:t>.</w:t>
      </w:r>
      <w:r w:rsidR="001D1B5D">
        <w:t xml:space="preserve">  </w:t>
      </w:r>
      <w:r w:rsidR="003057DF">
        <w:t xml:space="preserve">Steps on how to prepare and the recommended structure of an </w:t>
      </w:r>
      <w:r w:rsidR="001B28B1">
        <w:t>e</w:t>
      </w:r>
      <w:r w:rsidR="003057DF">
        <w:t xml:space="preserve">xemption </w:t>
      </w:r>
      <w:r w:rsidR="001B28B1">
        <w:t>r</w:t>
      </w:r>
      <w:r w:rsidR="003057DF">
        <w:t xml:space="preserve">equest and Abbreviated Report can be found at: </w:t>
      </w:r>
      <w:hyperlink r:id="rId14" w:history="1">
        <w:r w:rsidR="0039420D">
          <w:rPr>
            <w:rStyle w:val="Hyperlink"/>
          </w:rPr>
          <w:t>www.fda.gov/tobacco-products/market-and-distribute-tobacco-product/exemption-substantial-equivalence</w:t>
        </w:r>
      </w:hyperlink>
      <w:r w:rsidR="001D1B5D">
        <w:t xml:space="preserve"> </w:t>
      </w:r>
      <w:r w:rsidR="0039420D">
        <w:t>.</w:t>
      </w:r>
      <w:r w:rsidR="007E6EB9">
        <w:t xml:space="preserve"> Information</w:t>
      </w:r>
      <w:r w:rsidR="007637F7">
        <w:t xml:space="preserve"> </w:t>
      </w:r>
      <w:r w:rsidR="007E6EB9">
        <w:t xml:space="preserve">on how to submit </w:t>
      </w:r>
      <w:r w:rsidR="001B28B1">
        <w:t>e</w:t>
      </w:r>
      <w:r w:rsidR="007E6EB9">
        <w:t xml:space="preserve">xemption </w:t>
      </w:r>
      <w:r w:rsidR="001B28B1">
        <w:t>r</w:t>
      </w:r>
      <w:r w:rsidR="007E6EB9">
        <w:t xml:space="preserve">equests and Abbreviated Reports to the </w:t>
      </w:r>
      <w:r w:rsidR="001B28B1">
        <w:t>Center for Tobacco Products (</w:t>
      </w:r>
      <w:r w:rsidR="007E6EB9">
        <w:t>CTP</w:t>
      </w:r>
      <w:r w:rsidR="001B28B1">
        <w:t>)</w:t>
      </w:r>
      <w:r w:rsidR="007E6EB9">
        <w:t xml:space="preserve"> Portal</w:t>
      </w:r>
      <w:r w:rsidR="00B33889">
        <w:t xml:space="preserve"> Next Generation</w:t>
      </w:r>
      <w:r w:rsidR="007B55DD">
        <w:t xml:space="preserve"> (NextGen)</w:t>
      </w:r>
      <w:r w:rsidR="007E6EB9">
        <w:t xml:space="preserve"> can be found here: </w:t>
      </w:r>
      <w:hyperlink r:id="rId15" w:history="1">
        <w:r w:rsidR="0039420D">
          <w:rPr>
            <w:rStyle w:val="Hyperlink"/>
          </w:rPr>
          <w:t>www.fda.gov/tobacco-products/manufacturing/submit-documents-ctp-portal-next-generation</w:t>
        </w:r>
      </w:hyperlink>
      <w:r w:rsidR="0039420D">
        <w:t xml:space="preserve"> </w:t>
      </w:r>
      <w:r>
        <w:t>.</w:t>
      </w:r>
      <w:r w:rsidR="00AD241E">
        <w:t xml:space="preserve"> </w:t>
      </w:r>
    </w:p>
    <w:p w:rsidR="007B55DD" w14:paraId="5C517811" w14:textId="77777777"/>
    <w:p w:rsidR="007B55DD" w:rsidP="00F10A9E" w14:paraId="157708F7" w14:textId="739FFCC2">
      <w:r w:rsidRPr="007B55DD">
        <w:t xml:space="preserve">The CTP Portal NextGen web application requires that an organization request an Industry Account Manager (IAM) role be set up for an individual of the organization to act as an administrator for </w:t>
      </w:r>
      <w:r w:rsidRPr="007B55DD">
        <w:t>all of</w:t>
      </w:r>
      <w:r w:rsidRPr="007B55DD">
        <w:t xml:space="preserve"> the organization’s CTP Portal NextGen accounts. Once the IAM account is created by CTP, the IAM can create, manage, and set roles for </w:t>
      </w:r>
      <w:r w:rsidRPr="007B55DD">
        <w:t>all of</w:t>
      </w:r>
      <w:r w:rsidRPr="007B55DD">
        <w:t xml:space="preserve"> the organization’s employees’ CTP Portal NextGen user accounts. Users may then prepare submissions on behalf of their organization using the FDA’s </w:t>
      </w:r>
      <w:r w:rsidRPr="007B55DD">
        <w:t>eSubmitter</w:t>
      </w:r>
      <w:r w:rsidRPr="007B55DD">
        <w:t xml:space="preserve"> tool for supported submission types and can send these submissions to CTP directly from CTP Portal NextGen. Instructions on requesting a free IAM account for CTP Portal NextGen are available at </w:t>
      </w:r>
      <w:hyperlink r:id="rId16" w:history="1">
        <w:r w:rsidR="0039420D">
          <w:rPr>
            <w:rStyle w:val="Hyperlink"/>
          </w:rPr>
          <w:t>www.fda.gov/tobacco-products/manufacturing/request-industry-account-manager-iam-ctp-portal-next-generation</w:t>
        </w:r>
      </w:hyperlink>
      <w:r w:rsidR="0039420D">
        <w:t xml:space="preserve"> </w:t>
      </w:r>
      <w:r w:rsidR="001935E2">
        <w:t xml:space="preserve"> .</w:t>
      </w:r>
    </w:p>
    <w:p w:rsidR="00FB2EAA" w:rsidP="00094449" w14:paraId="4B5BBB12" w14:textId="77777777">
      <w:pPr>
        <w:ind w:left="720"/>
      </w:pPr>
    </w:p>
    <w:p w:rsidR="4119018E" w:rsidP="00F10A9E" w14:paraId="6900AEAC" w14:textId="0108AA55">
      <w:r>
        <w:t>FDA does not anticipate any need</w:t>
      </w:r>
      <w:r w:rsidR="00B33889">
        <w:t xml:space="preserve"> for a manufacturer</w:t>
      </w:r>
      <w:r>
        <w:t xml:space="preserve"> to submit an exemption request or supporting information in a non-electronic format. However, a company that is not able to submit the documentation in an electronic format may submit a written request to the C</w:t>
      </w:r>
      <w:r w:rsidR="00B33889">
        <w:t xml:space="preserve">TP </w:t>
      </w:r>
      <w:r>
        <w:t>document control center (</w:t>
      </w:r>
      <w:hyperlink r:id="rId17" w:history="1">
        <w:r w:rsidR="0039420D">
          <w:rPr>
            <w:rStyle w:val="Hyperlink"/>
          </w:rPr>
          <w:t>www.fda.gov/tobacco-products/about-center-tobacco-products-ctp/contact-ctp</w:t>
        </w:r>
      </w:hyperlink>
      <w:r w:rsidR="0039420D">
        <w:t xml:space="preserve"> ). </w:t>
      </w:r>
      <w:r w:rsidR="0061247B">
        <w:t>FDA estimates that</w:t>
      </w:r>
      <w:r w:rsidR="00B33889">
        <w:t>,</w:t>
      </w:r>
      <w:r w:rsidR="0061247B">
        <w:t xml:space="preserve"> based on its </w:t>
      </w:r>
      <w:r w:rsidR="0061247B">
        <w:t>past experience</w:t>
      </w:r>
      <w:r w:rsidR="0061247B">
        <w:t xml:space="preserve"> with submittal of information, approximately 99</w:t>
      </w:r>
      <w:r w:rsidR="001360E8">
        <w:t xml:space="preserve"> percent</w:t>
      </w:r>
      <w:r w:rsidR="0061247B">
        <w:t xml:space="preserve"> of the respondents will submit the information electronically.</w:t>
      </w:r>
    </w:p>
    <w:p w:rsidR="002746DB" w:rsidRPr="002746DB" w:rsidP="006F11F8" w14:paraId="096B87DA"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 xml:space="preserve">Efforts to Identify Duplication and Use of Similar Information </w:t>
      </w:r>
    </w:p>
    <w:p w:rsidR="0061247B" w:rsidP="006F11F8" w14:paraId="7D477907" w14:textId="446B9767">
      <w:r>
        <w:t>We are unaware of duplicative information collection</w:t>
      </w:r>
      <w:r w:rsidR="00E81A91">
        <w:t>.</w:t>
      </w:r>
    </w:p>
    <w:p w:rsidR="002746DB" w:rsidRPr="004C6979" w:rsidP="006F11F8" w14:paraId="39FB02A5"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Impact on Small Businesses or Other Small Entities</w:t>
      </w:r>
    </w:p>
    <w:p w:rsidR="0061247B" w:rsidP="00A22B5A" w14:paraId="6DA14C94" w14:textId="22763E1D">
      <w:pPr>
        <w:pStyle w:val="BodyText2"/>
      </w:pPr>
      <w:r>
        <w:t xml:space="preserve">The respondents to the initial collection of information and respondents to the follow up collection of information are businesses who manufacture tobacco products. The information submission requirements in this collection of information do not fall disproportionately upon small businesses, as the </w:t>
      </w:r>
      <w:r w:rsidR="00E24EB4">
        <w:t xml:space="preserve">FD&amp;C </w:t>
      </w:r>
      <w:r>
        <w:t xml:space="preserve">Act allows for the submission of this information from all manufacturers of tobacco products. FDA is also allowing for the alternative submittal of requests for exemption from the requirements relating to demonstration of substantial equivalence in paper form for those individuals who are unable, or choose not to, use the electronic submission. FDA continues to pursue means of reducing the reporting burden for both small and large respondents and will continue to employ the latest technology for receiving these submissions, consistent with the intent of the legislation. </w:t>
      </w:r>
    </w:p>
    <w:p w:rsidR="0061247B" w:rsidP="0061247B" w14:paraId="6003C565" w14:textId="77777777">
      <w:pPr>
        <w:pStyle w:val="BodyText2"/>
        <w:ind w:left="720"/>
      </w:pPr>
    </w:p>
    <w:p w:rsidR="4119018E" w:rsidP="00A22B5A" w14:paraId="1313B84E" w14:textId="45800DDD">
      <w:pPr>
        <w:pStyle w:val="BodyText2"/>
      </w:pPr>
      <w:r>
        <w:t>Consistent with the requirements of the FD&amp;C Act, FDA intends to provide technical and other nonfinancial assistance to small tobacco product manufacturers in complying with the premarket requirements of sections 905 and 910 of the FD&amp;C Act</w:t>
      </w:r>
      <w:r w:rsidR="00775E71">
        <w:t>.</w:t>
      </w:r>
    </w:p>
    <w:p w:rsidR="7882251D" w:rsidP="7882251D" w14:paraId="67E01E95" w14:textId="2F5E3FD5">
      <w:pPr>
        <w:pStyle w:val="BodyText2"/>
      </w:pPr>
    </w:p>
    <w:p w:rsidR="00CD77C3" w:rsidRPr="004C6979" w:rsidP="003B2CFB" w14:paraId="4630BD01"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Consequences of Collecting the Information Less Frequently</w:t>
      </w:r>
    </w:p>
    <w:p w:rsidR="4119018E" w:rsidP="003B2CFB" w14:paraId="50DAD0CE" w14:textId="5735B478">
      <w:r>
        <w:t xml:space="preserve">Respondents to this collection of information will respond occasionally on an as needed basis.  The </w:t>
      </w:r>
      <w:r w:rsidR="00E24EB4">
        <w:t xml:space="preserve">FD&amp;C </w:t>
      </w:r>
      <w:r>
        <w:t xml:space="preserve">Act provides that FDA may exempt </w:t>
      </w:r>
      <w:r w:rsidR="00A57A69">
        <w:t xml:space="preserve">tobacco products that meet specific criteria </w:t>
      </w:r>
      <w:r>
        <w:t xml:space="preserve">from requirements relating to the demonstration that a tobacco product is substantially equivalent. The </w:t>
      </w:r>
      <w:r w:rsidR="00AB3837">
        <w:t>collection of information</w:t>
      </w:r>
      <w:r>
        <w:t xml:space="preserve"> describe</w:t>
      </w:r>
      <w:r w:rsidR="00AB3837">
        <w:t>s</w:t>
      </w:r>
      <w:r>
        <w:t xml:space="preserve"> the process and statutory criteria for requesting an exemption and explain</w:t>
      </w:r>
      <w:r w:rsidR="00AB3837">
        <w:t>s</w:t>
      </w:r>
      <w:r>
        <w:t xml:space="preserve"> how FDA would review requests for exemptions. </w:t>
      </w:r>
      <w:r w:rsidR="00AB3837">
        <w:t>T</w:t>
      </w:r>
      <w:r>
        <w:t xml:space="preserve">his </w:t>
      </w:r>
      <w:r w:rsidR="00AB3837">
        <w:t>collection of information</w:t>
      </w:r>
      <w:r>
        <w:t xml:space="preserve"> satisf</w:t>
      </w:r>
      <w:r w:rsidR="00AB3837">
        <w:t>ies</w:t>
      </w:r>
      <w:r>
        <w:t xml:space="preserve"> the requirement in the </w:t>
      </w:r>
      <w:r w:rsidR="00E24EB4">
        <w:t xml:space="preserve">FD&amp;C </w:t>
      </w:r>
      <w:r>
        <w:t>Act that FDA issue regulations implementing the exemption provision</w:t>
      </w:r>
      <w:r w:rsidR="006A0A2A">
        <w:t xml:space="preserve"> and that manufacturers comply with section 905(j)(1)(A)(ii) of the FD&amp;C Act if an exemption has been requested and granted</w:t>
      </w:r>
      <w:r>
        <w:t>. Collecting the information less frequently would hamper manufacturers’ ability to use this as a pathway to market. There are no legal obstacles to reduce the burden of this collection of information</w:t>
      </w:r>
      <w:r w:rsidR="00E81A91">
        <w:t>.</w:t>
      </w:r>
    </w:p>
    <w:p w:rsidR="00CD77C3" w:rsidRPr="004C6979" w:rsidP="003B2CFB" w14:paraId="76F4490F" w14:textId="77777777">
      <w:pPr>
        <w:numPr>
          <w:ilvl w:val="0"/>
          <w:numId w:val="1"/>
        </w:numPr>
        <w:tabs>
          <w:tab w:val="left" w:pos="270"/>
        </w:tabs>
        <w:spacing w:before="100" w:beforeAutospacing="1" w:after="100" w:afterAutospacing="1"/>
        <w:ind w:hanging="720"/>
        <w:rPr>
          <w:u w:val="single"/>
        </w:rPr>
      </w:pPr>
      <w:r w:rsidRPr="450F5066">
        <w:rPr>
          <w:u w:val="single"/>
        </w:rPr>
        <w:t>Special Circumstances Relating to the Guidelines of 5 CFR 1320.5</w:t>
      </w:r>
    </w:p>
    <w:p w:rsidR="318CF6E8" w:rsidP="003B2CFB" w14:paraId="2481FB26" w14:textId="1676158B">
      <w:r>
        <w:t>This section is not applicable.</w:t>
      </w:r>
      <w:r w:rsidR="00356D2A">
        <w:t xml:space="preserve"> There are no special circumstances for this collection of information.</w:t>
      </w:r>
    </w:p>
    <w:p w:rsidR="00CD77C3" w:rsidP="003B2CFB" w14:paraId="6AFDFDEE"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Comments in Response to the Federal Register Notice and Efforts to Consult Outside the Agency</w:t>
      </w:r>
    </w:p>
    <w:p w:rsidR="00522E3F" w:rsidP="003B2CFB" w14:paraId="79DB57EF" w14:textId="790E2C93">
      <w:r>
        <w:t xml:space="preserve">FDA published a 60-day notice for public comment in the </w:t>
      </w:r>
      <w:r w:rsidRPr="1EEE291E">
        <w:rPr>
          <w:i/>
          <w:iCs/>
        </w:rPr>
        <w:t>Federal Register</w:t>
      </w:r>
      <w:r>
        <w:t xml:space="preserve"> of </w:t>
      </w:r>
      <w:r w:rsidR="007B55DD">
        <w:t>June 27, 2025 (90 FR 27623)</w:t>
      </w:r>
      <w:r>
        <w:t>.</w:t>
      </w:r>
      <w:r w:rsidR="00390F61">
        <w:t xml:space="preserve"> No comments were received.</w:t>
      </w:r>
      <w:r>
        <w:t xml:space="preserve"> </w:t>
      </w:r>
    </w:p>
    <w:p w:rsidR="00CD77C3" w:rsidRPr="00C55858" w:rsidP="00F57B18" w14:paraId="78510B9C" w14:textId="77777777">
      <w:pPr>
        <w:numPr>
          <w:ilvl w:val="0"/>
          <w:numId w:val="1"/>
        </w:numPr>
        <w:tabs>
          <w:tab w:val="num" w:pos="270"/>
          <w:tab w:val="clear" w:pos="720"/>
        </w:tabs>
        <w:spacing w:before="100" w:beforeAutospacing="1" w:after="100" w:afterAutospacing="1"/>
        <w:ind w:hanging="720"/>
        <w:rPr>
          <w:u w:val="single"/>
        </w:rPr>
      </w:pPr>
      <w:r w:rsidRPr="450F5066">
        <w:rPr>
          <w:u w:val="single"/>
        </w:rPr>
        <w:t>Explanation of Any Payment or Gift to Respondents</w:t>
      </w:r>
    </w:p>
    <w:p w:rsidR="4119018E" w:rsidP="00F57B18" w14:paraId="3C203208" w14:textId="55E381AE">
      <w:pPr>
        <w:spacing w:before="100" w:beforeAutospacing="1" w:after="100" w:afterAutospacing="1"/>
        <w:rPr>
          <w:rFonts w:eastAsia="Calibri"/>
        </w:rPr>
      </w:pPr>
      <w:r w:rsidRPr="4119018E">
        <w:rPr>
          <w:rFonts w:eastAsia="Calibri"/>
        </w:rPr>
        <w:t>There are no incentives, payments or gifts associated with this information collection.</w:t>
      </w:r>
    </w:p>
    <w:p w:rsidR="00CD77C3" w:rsidRPr="004C6979" w:rsidP="00F57B18" w14:paraId="5DD0986E" w14:textId="130B40B1">
      <w:pPr>
        <w:numPr>
          <w:ilvl w:val="0"/>
          <w:numId w:val="1"/>
        </w:numPr>
        <w:tabs>
          <w:tab w:val="num" w:pos="270"/>
          <w:tab w:val="left" w:pos="360"/>
          <w:tab w:val="clear" w:pos="720"/>
        </w:tabs>
        <w:spacing w:before="100" w:beforeAutospacing="1" w:after="100" w:afterAutospacing="1"/>
        <w:ind w:hanging="720"/>
        <w:rPr>
          <w:u w:val="single"/>
        </w:rPr>
      </w:pPr>
      <w:r w:rsidRPr="450F5066">
        <w:rPr>
          <w:u w:val="single"/>
        </w:rPr>
        <w:t>Assurance of Confidentiality Provided to Respondents</w:t>
      </w:r>
    </w:p>
    <w:p w:rsidR="0061247B" w:rsidP="00F57B18" w14:paraId="2674A0E9" w14:textId="3FB83D56">
      <w:r w:rsidRPr="0061247B">
        <w:t xml:space="preserve">Among the laws governing the disclosure of data submitted under section 905 of the FD&amp;C Act are the Freedom of Information Act (FOIA) (5 U.S.C. 552) and FDA’s implementing regulations at 21 CFR </w:t>
      </w:r>
      <w:r w:rsidR="00E6254E">
        <w:t>p</w:t>
      </w:r>
      <w:r w:rsidRPr="0061247B">
        <w:t xml:space="preserve">art 20. Under FOIA, the public has broad access to </w:t>
      </w:r>
      <w:r w:rsidR="00B33889">
        <w:t>a</w:t>
      </w:r>
      <w:r w:rsidRPr="0061247B">
        <w:t>gency records, unless the records (or a part of the records) are protected from disclosure by any of the law’s nine exemptions.</w:t>
      </w:r>
    </w:p>
    <w:p w:rsidR="00356D2A" w:rsidP="00DD09F5" w14:paraId="4DFE6033" w14:textId="32BD73F2">
      <w:pPr>
        <w:ind w:left="720"/>
      </w:pPr>
    </w:p>
    <w:p w:rsidR="4119018E" w:rsidP="008F2216" w14:paraId="6C41EDCC" w14:textId="7E4C06B7">
      <w:r>
        <w:t xml:space="preserve">CTP also identified privacy compliance requirements and coordinated with FDA’s Privacy Officer to ensure responsible offices in CTP satisfy all in accordance with law and policy. </w:t>
      </w:r>
      <w:r w:rsidR="006E199A">
        <w:t xml:space="preserve">CTP consulted with FDA’s Privacy office, which conducted a Privacy Impact Assessment (PIA). The PIA was approved on </w:t>
      </w:r>
      <w:r w:rsidR="007B55DD">
        <w:t>8/10/2023 and</w:t>
      </w:r>
      <w:r w:rsidR="006E199A">
        <w:t xml:space="preserve"> was assigned PIA ID </w:t>
      </w:r>
      <w:r w:rsidRPr="007B55DD" w:rsidR="007B55DD">
        <w:t>FDA2107988</w:t>
      </w:r>
      <w:r w:rsidR="006E199A">
        <w:t>.</w:t>
      </w:r>
    </w:p>
    <w:p w:rsidR="004C6979" w:rsidRPr="004C6979" w:rsidP="00BE005F" w14:paraId="634DC22A" w14:textId="77777777">
      <w:pPr>
        <w:numPr>
          <w:ilvl w:val="0"/>
          <w:numId w:val="1"/>
        </w:numPr>
        <w:tabs>
          <w:tab w:val="num" w:pos="360"/>
          <w:tab w:val="clear" w:pos="720"/>
        </w:tabs>
        <w:spacing w:before="100" w:beforeAutospacing="1" w:after="100" w:afterAutospacing="1"/>
        <w:ind w:hanging="720"/>
        <w:rPr>
          <w:u w:val="single"/>
        </w:rPr>
      </w:pPr>
      <w:r w:rsidRPr="450F5066">
        <w:rPr>
          <w:u w:val="single"/>
        </w:rPr>
        <w:t>Justification for Sensitive Questions</w:t>
      </w:r>
    </w:p>
    <w:p w:rsidR="4119018E" w:rsidP="00BE005F" w14:paraId="272A418D" w14:textId="3E972052">
      <w:pPr>
        <w:pStyle w:val="BodyText2"/>
      </w:pPr>
      <w:r>
        <w:t>Th</w:t>
      </w:r>
      <w:r w:rsidR="00B33889">
        <w:t>e</w:t>
      </w:r>
      <w:r>
        <w:t xml:space="preserve"> </w:t>
      </w:r>
      <w:r w:rsidR="00B33889">
        <w:t xml:space="preserve">collection of </w:t>
      </w:r>
      <w:r>
        <w:t xml:space="preserve">information does not </w:t>
      </w:r>
      <w:r w:rsidR="00356D2A">
        <w:t xml:space="preserve">involve </w:t>
      </w:r>
      <w:r w:rsidR="00B33889">
        <w:t xml:space="preserve">sensitive </w:t>
      </w:r>
      <w:r>
        <w:t>questions</w:t>
      </w:r>
      <w:r w:rsidR="00B33889">
        <w:t>.</w:t>
      </w:r>
    </w:p>
    <w:p w:rsidR="000F70CB" w:rsidP="00BE005F" w14:paraId="19B06BDD" w14:textId="77777777">
      <w:pPr>
        <w:pStyle w:val="BodyText2"/>
      </w:pPr>
    </w:p>
    <w:p w:rsidR="0061247B" w:rsidP="001363F8" w14:paraId="1B986CEF" w14:textId="59C92513">
      <w:pPr>
        <w:numPr>
          <w:ilvl w:val="0"/>
          <w:numId w:val="1"/>
        </w:numPr>
        <w:tabs>
          <w:tab w:val="num" w:pos="360"/>
          <w:tab w:val="clear" w:pos="720"/>
        </w:tabs>
        <w:autoSpaceDE w:val="0"/>
        <w:autoSpaceDN w:val="0"/>
        <w:adjustRightInd w:val="0"/>
        <w:spacing w:before="100" w:beforeAutospacing="1" w:after="100" w:afterAutospacing="1"/>
        <w:ind w:hanging="720"/>
      </w:pPr>
      <w:r w:rsidRPr="000F70CB">
        <w:rPr>
          <w:u w:val="single"/>
        </w:rPr>
        <w:t>Estimates of Annualized Burden Hours and Costs</w:t>
      </w:r>
    </w:p>
    <w:p w:rsidR="0061247B" w:rsidRPr="00390F61" w:rsidP="00390F61" w14:paraId="4197D8A7" w14:textId="45DCB50C">
      <w:pPr>
        <w:autoSpaceDE w:val="0"/>
        <w:autoSpaceDN w:val="0"/>
        <w:adjustRightInd w:val="0"/>
      </w:pPr>
      <w:r w:rsidRPr="00390F61">
        <w:t>12a. Annualized Hour Burden Estimate</w:t>
      </w:r>
    </w:p>
    <w:p w:rsidR="0061247B" w:rsidRPr="0026695A" w:rsidP="0061247B" w14:paraId="795F519C" w14:textId="77777777">
      <w:pPr>
        <w:autoSpaceDE w:val="0"/>
        <w:autoSpaceDN w:val="0"/>
        <w:adjustRightInd w:val="0"/>
        <w:rPr>
          <w:u w:val="single"/>
        </w:rPr>
      </w:pPr>
    </w:p>
    <w:p w:rsidR="00B33889" w:rsidP="00390F61" w14:paraId="33497094" w14:textId="77777777">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pPr>
      <w:r w:rsidRPr="00B27963">
        <w:t>FDA estimates the burden for this information collection as follows:</w:t>
      </w:r>
    </w:p>
    <w:p w:rsidR="00B33889" w:rsidRPr="002722FA" w:rsidP="00B33889" w14:paraId="257F6A3E" w14:textId="77777777">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0"/>
        <w:jc w:val="center"/>
        <w:rPr>
          <w:iCs/>
          <w:sz w:val="20"/>
          <w:szCs w:val="20"/>
        </w:rPr>
      </w:pPr>
      <w:r>
        <w:rPr>
          <w:iCs/>
          <w:sz w:val="20"/>
          <w:szCs w:val="20"/>
        </w:rPr>
        <w:t>Table 1.—Estimated Annual Reporting Burden</w:t>
      </w:r>
      <w:r w:rsidRPr="00A35DC6">
        <w:rPr>
          <w:iCs/>
          <w:sz w:val="20"/>
          <w:szCs w:val="20"/>
          <w:vertAlign w:val="superscript"/>
        </w:rPr>
        <w:t>1</w:t>
      </w:r>
    </w:p>
    <w:tbl>
      <w:tblPr>
        <w:tblW w:w="9450" w:type="dxa"/>
        <w:jc w:val="center"/>
        <w:tblLayout w:type="fixed"/>
        <w:tblCellMar>
          <w:left w:w="0" w:type="dxa"/>
          <w:right w:w="0" w:type="dxa"/>
        </w:tblCellMar>
        <w:tblLook w:val="0000"/>
      </w:tblPr>
      <w:tblGrid>
        <w:gridCol w:w="2335"/>
        <w:gridCol w:w="1779"/>
        <w:gridCol w:w="1602"/>
        <w:gridCol w:w="1246"/>
        <w:gridCol w:w="1246"/>
        <w:gridCol w:w="1242"/>
      </w:tblGrid>
      <w:tr w14:paraId="7D0AF8E5" w14:textId="77777777" w:rsidTr="00A35DC6">
        <w:tblPrEx>
          <w:tblW w:w="9450" w:type="dxa"/>
          <w:jc w:val="center"/>
          <w:tblLayout w:type="fixed"/>
          <w:tblCellMar>
            <w:left w:w="0" w:type="dxa"/>
            <w:right w:w="0" w:type="dxa"/>
          </w:tblCellMar>
          <w:tblLook w:val="0000"/>
        </w:tblPrEx>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241B979B" w14:textId="77777777">
            <w:pPr>
              <w:keepNext/>
              <w:jc w:val="center"/>
              <w:rPr>
                <w:sz w:val="20"/>
                <w:szCs w:val="20"/>
              </w:rPr>
            </w:pPr>
            <w:r w:rsidRPr="00EE64D7">
              <w:rPr>
                <w:sz w:val="20"/>
                <w:szCs w:val="20"/>
              </w:rPr>
              <w:t>21 CFR Section and</w:t>
            </w:r>
            <w:r>
              <w:rPr>
                <w:sz w:val="20"/>
                <w:szCs w:val="20"/>
              </w:rPr>
              <w:t>/or</w:t>
            </w:r>
            <w:r w:rsidRPr="00EE64D7">
              <w:rPr>
                <w:sz w:val="20"/>
                <w:szCs w:val="20"/>
              </w:rPr>
              <w:t xml:space="preserve"> Activity</w:t>
            </w:r>
          </w:p>
        </w:tc>
        <w:tc>
          <w:tcPr>
            <w:tcW w:w="1779"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5193C8EF" w14:textId="77777777">
            <w:pPr>
              <w:keepNext/>
              <w:jc w:val="center"/>
              <w:rPr>
                <w:sz w:val="20"/>
                <w:szCs w:val="20"/>
              </w:rPr>
            </w:pPr>
            <w:r w:rsidRPr="00EE64D7">
              <w:rPr>
                <w:sz w:val="20"/>
                <w:szCs w:val="20"/>
              </w:rPr>
              <w:t>No. of Respondents</w:t>
            </w:r>
          </w:p>
        </w:tc>
        <w:tc>
          <w:tcPr>
            <w:tcW w:w="160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2D90586F" w14:textId="77777777">
            <w:pPr>
              <w:keepNext/>
              <w:jc w:val="center"/>
              <w:rPr>
                <w:sz w:val="20"/>
                <w:szCs w:val="20"/>
              </w:rPr>
            </w:pPr>
            <w:r w:rsidRPr="00EE64D7">
              <w:rPr>
                <w:sz w:val="20"/>
                <w:szCs w:val="20"/>
              </w:rPr>
              <w:t>No. of</w:t>
            </w:r>
            <w:r>
              <w:rPr>
                <w:sz w:val="20"/>
                <w:szCs w:val="20"/>
              </w:rPr>
              <w:t xml:space="preserve"> </w:t>
            </w:r>
            <w:r w:rsidRPr="00EE64D7">
              <w:rPr>
                <w:sz w:val="20"/>
                <w:szCs w:val="20"/>
              </w:rPr>
              <w:t xml:space="preserve">Responses per </w:t>
            </w:r>
            <w:r w:rsidRPr="450F5066">
              <w:rPr>
                <w:sz w:val="20"/>
                <w:szCs w:val="20"/>
              </w:rPr>
              <w:t>Respondent</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159D6B79" w14:textId="5CB0A6A5">
            <w:pPr>
              <w:keepNext/>
              <w:jc w:val="center"/>
              <w:rPr>
                <w:sz w:val="20"/>
                <w:szCs w:val="20"/>
              </w:rPr>
            </w:pPr>
            <w:r w:rsidRPr="00EE64D7">
              <w:rPr>
                <w:sz w:val="20"/>
                <w:szCs w:val="20"/>
              </w:rPr>
              <w:t>Total Annual Responses</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5330CFEE" w14:textId="77777777">
            <w:pPr>
              <w:keepNext/>
              <w:jc w:val="center"/>
              <w:rPr>
                <w:sz w:val="20"/>
                <w:szCs w:val="20"/>
              </w:rPr>
            </w:pPr>
            <w:r w:rsidRPr="00EE64D7">
              <w:rPr>
                <w:sz w:val="20"/>
                <w:szCs w:val="20"/>
              </w:rPr>
              <w:t>Average Burden per Response</w:t>
            </w:r>
            <w:r>
              <w:rPr>
                <w:sz w:val="20"/>
                <w:szCs w:val="20"/>
              </w:rPr>
              <w:t xml:space="preserve"> (hours)</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12A5C889" w14:textId="77777777">
            <w:pPr>
              <w:keepNext/>
              <w:jc w:val="center"/>
              <w:rPr>
                <w:sz w:val="20"/>
                <w:szCs w:val="20"/>
              </w:rPr>
            </w:pPr>
            <w:r w:rsidRPr="00EE64D7">
              <w:rPr>
                <w:sz w:val="20"/>
                <w:szCs w:val="20"/>
              </w:rPr>
              <w:t>Total Hours</w:t>
            </w:r>
          </w:p>
        </w:tc>
      </w:tr>
      <w:tr w14:paraId="51A506D1" w14:textId="77777777" w:rsidTr="00A35DC6">
        <w:tblPrEx>
          <w:tblW w:w="9450" w:type="dxa"/>
          <w:jc w:val="center"/>
          <w:tblLayout w:type="fixed"/>
          <w:tblCellMar>
            <w:left w:w="0" w:type="dxa"/>
            <w:right w:w="0" w:type="dxa"/>
          </w:tblCellMar>
          <w:tblLook w:val="0000"/>
        </w:tblPrEx>
        <w:trPr>
          <w:trHeight w:val="300"/>
          <w:jc w:val="center"/>
        </w:trPr>
        <w:tc>
          <w:tcPr>
            <w:tcW w:w="9450" w:type="dxa"/>
            <w:gridSpan w:val="6"/>
            <w:tcBorders>
              <w:top w:val="single" w:sz="4" w:space="0" w:color="auto"/>
              <w:left w:val="single" w:sz="4" w:space="0" w:color="auto"/>
              <w:bottom w:val="single" w:sz="4" w:space="0" w:color="auto"/>
              <w:right w:val="single" w:sz="4" w:space="0" w:color="auto"/>
            </w:tcBorders>
          </w:tcPr>
          <w:p w:rsidR="00B33889" w:rsidP="00A35DC6" w14:paraId="28FB742F" w14:textId="77777777">
            <w:pPr>
              <w:keepNext/>
              <w:jc w:val="center"/>
              <w:rPr>
                <w:sz w:val="20"/>
                <w:szCs w:val="20"/>
              </w:rPr>
            </w:pPr>
            <w:r w:rsidRPr="77A30C28">
              <w:rPr>
                <w:color w:val="000000" w:themeColor="text1"/>
                <w:sz w:val="20"/>
                <w:szCs w:val="20"/>
              </w:rPr>
              <w:t xml:space="preserve">§ 1107.1(b) Optional Preparation of Tobacco Product Exemption </w:t>
            </w:r>
            <w:r w:rsidRPr="77A30C28">
              <w:rPr>
                <w:color w:val="000000" w:themeColor="text1"/>
                <w:sz w:val="20"/>
                <w:szCs w:val="20"/>
              </w:rPr>
              <w:t>From</w:t>
            </w:r>
            <w:r w:rsidRPr="77A30C28">
              <w:rPr>
                <w:color w:val="000000" w:themeColor="text1"/>
                <w:sz w:val="20"/>
                <w:szCs w:val="20"/>
              </w:rPr>
              <w:t xml:space="preserve"> Substantial Equivalence Request Including § 25.40 Preparation of an Environmental Assessment</w:t>
            </w:r>
          </w:p>
        </w:tc>
      </w:tr>
      <w:tr w14:paraId="4F1AE207" w14:textId="77777777" w:rsidTr="00A35DC6">
        <w:tblPrEx>
          <w:tblW w:w="9450" w:type="dxa"/>
          <w:jc w:val="center"/>
          <w:tblLayout w:type="fixed"/>
          <w:tblCellMar>
            <w:left w:w="0" w:type="dxa"/>
            <w:right w:w="0" w:type="dxa"/>
          </w:tblCellMar>
          <w:tblLook w:val="0000"/>
        </w:tblPrEx>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B33889" w:rsidRPr="00EA3539" w:rsidP="00A35DC6" w14:paraId="43034E4D" w14:textId="77777777">
            <w:pPr>
              <w:widowControl w:val="0"/>
              <w:autoSpaceDE w:val="0"/>
              <w:autoSpaceDN w:val="0"/>
              <w:adjustRightInd w:val="0"/>
              <w:rPr>
                <w:sz w:val="20"/>
                <w:szCs w:val="20"/>
              </w:rPr>
            </w:pPr>
            <w:r w:rsidRPr="77A30C28">
              <w:rPr>
                <w:sz w:val="20"/>
                <w:szCs w:val="20"/>
              </w:rPr>
              <w:t>21 CFR 1107.1(b)--</w:t>
            </w:r>
          </w:p>
          <w:p w:rsidR="00B33889" w:rsidRPr="00EA3539" w:rsidP="00A35DC6" w14:paraId="70DFB9A9" w14:textId="77777777">
            <w:pPr>
              <w:widowControl w:val="0"/>
              <w:autoSpaceDE w:val="0"/>
              <w:autoSpaceDN w:val="0"/>
              <w:adjustRightInd w:val="0"/>
              <w:rPr>
                <w:sz w:val="20"/>
                <w:szCs w:val="20"/>
              </w:rPr>
            </w:pPr>
            <w:r w:rsidRPr="77A30C28">
              <w:rPr>
                <w:sz w:val="20"/>
                <w:szCs w:val="20"/>
              </w:rPr>
              <w:t>Preparation of tobacco product exemption from substantial equivalence request and 21 CFR 25.40--</w:t>
            </w:r>
          </w:p>
          <w:p w:rsidR="00B33889" w:rsidRPr="00EE64D7" w:rsidP="00A35DC6" w14:paraId="51E2727E" w14:textId="77777777">
            <w:pPr>
              <w:widowControl w:val="0"/>
              <w:autoSpaceDE w:val="0"/>
              <w:autoSpaceDN w:val="0"/>
              <w:adjustRightInd w:val="0"/>
              <w:rPr>
                <w:sz w:val="20"/>
                <w:szCs w:val="20"/>
              </w:rPr>
            </w:pPr>
            <w:r w:rsidRPr="00EA3539">
              <w:rPr>
                <w:sz w:val="20"/>
                <w:szCs w:val="20"/>
              </w:rPr>
              <w:t>Preparation of an environmental assessment</w:t>
            </w:r>
          </w:p>
        </w:tc>
        <w:tc>
          <w:tcPr>
            <w:tcW w:w="1779"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774F2D67" w14:textId="01A9CB0E">
            <w:pPr>
              <w:jc w:val="center"/>
              <w:rPr>
                <w:sz w:val="20"/>
                <w:szCs w:val="20"/>
              </w:rPr>
            </w:pPr>
            <w:r>
              <w:rPr>
                <w:sz w:val="20"/>
                <w:szCs w:val="20"/>
              </w:rPr>
              <w:t>682</w:t>
            </w:r>
          </w:p>
        </w:tc>
        <w:tc>
          <w:tcPr>
            <w:tcW w:w="160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338DBC42" w14:textId="77777777">
            <w:pPr>
              <w:jc w:val="center"/>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5F7C02EC" w14:textId="77777777">
            <w:pPr>
              <w:jc w:val="center"/>
              <w:rPr>
                <w:sz w:val="20"/>
                <w:szCs w:val="20"/>
              </w:rPr>
            </w:pPr>
            <w:r>
              <w:rPr>
                <w:sz w:val="20"/>
                <w:szCs w:val="20"/>
              </w:rPr>
              <w:t>682</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3388F47F" w14:textId="77777777">
            <w:pPr>
              <w:jc w:val="center"/>
              <w:rPr>
                <w:sz w:val="20"/>
                <w:szCs w:val="20"/>
              </w:rPr>
            </w:pPr>
            <w:r w:rsidRPr="00EE64D7">
              <w:rPr>
                <w:sz w:val="20"/>
                <w:szCs w:val="20"/>
              </w:rPr>
              <w:t>24</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28188108" w14:textId="77777777">
            <w:pPr>
              <w:jc w:val="center"/>
              <w:rPr>
                <w:sz w:val="20"/>
                <w:szCs w:val="20"/>
              </w:rPr>
            </w:pPr>
            <w:r>
              <w:rPr>
                <w:sz w:val="20"/>
                <w:szCs w:val="20"/>
              </w:rPr>
              <w:t>16,368</w:t>
            </w:r>
          </w:p>
        </w:tc>
      </w:tr>
      <w:tr w14:paraId="3109BF72" w14:textId="77777777" w:rsidTr="00A35DC6">
        <w:tblPrEx>
          <w:tblW w:w="9450" w:type="dxa"/>
          <w:jc w:val="center"/>
          <w:tblLayout w:type="fixed"/>
          <w:tblCellMar>
            <w:left w:w="0" w:type="dxa"/>
            <w:right w:w="0" w:type="dxa"/>
          </w:tblCellMar>
          <w:tblLook w:val="0000"/>
        </w:tblPrEx>
        <w:trPr>
          <w:trHeight w:val="300"/>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B33889" w:rsidP="00A35DC6" w14:paraId="555E0361" w14:textId="77777777">
            <w:pPr>
              <w:ind w:left="90"/>
              <w:rPr>
                <w:sz w:val="20"/>
                <w:szCs w:val="20"/>
              </w:rPr>
            </w:pPr>
            <w:r w:rsidRPr="77A30C28">
              <w:rPr>
                <w:color w:val="000000" w:themeColor="text1"/>
                <w:sz w:val="20"/>
                <w:szCs w:val="20"/>
              </w:rPr>
              <w:t>Total Hours (§ 1107.1(b))</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P="00A35DC6" w14:paraId="12B47C1A" w14:textId="3019FA5F">
            <w:pPr>
              <w:jc w:val="center"/>
              <w:rPr>
                <w:sz w:val="20"/>
                <w:szCs w:val="20"/>
              </w:rPr>
            </w:pPr>
            <w:r w:rsidRPr="77A30C28">
              <w:rPr>
                <w:color w:val="000000" w:themeColor="text1"/>
                <w:sz w:val="20"/>
                <w:szCs w:val="20"/>
              </w:rPr>
              <w:t>16,368</w:t>
            </w:r>
          </w:p>
        </w:tc>
      </w:tr>
      <w:tr w14:paraId="1A9BB378" w14:textId="77777777" w:rsidTr="00A35DC6">
        <w:tblPrEx>
          <w:tblW w:w="9450" w:type="dxa"/>
          <w:jc w:val="center"/>
          <w:tblLayout w:type="fixed"/>
          <w:tblCellMar>
            <w:left w:w="0" w:type="dxa"/>
            <w:right w:w="0" w:type="dxa"/>
          </w:tblCellMar>
          <w:tblLook w:val="0000"/>
        </w:tblPrEx>
        <w:trPr>
          <w:trHeight w:val="300"/>
          <w:jc w:val="center"/>
        </w:trPr>
        <w:tc>
          <w:tcPr>
            <w:tcW w:w="9450" w:type="dxa"/>
            <w:gridSpan w:val="6"/>
            <w:tcBorders>
              <w:top w:val="single" w:sz="4" w:space="0" w:color="auto"/>
              <w:left w:val="single" w:sz="4" w:space="0" w:color="auto"/>
              <w:bottom w:val="single" w:sz="4" w:space="0" w:color="auto"/>
              <w:right w:val="single" w:sz="4" w:space="0" w:color="auto"/>
            </w:tcBorders>
            <w:vAlign w:val="center"/>
          </w:tcPr>
          <w:p w:rsidR="00B33889" w:rsidP="00A35DC6" w14:paraId="5E0255A0" w14:textId="77777777">
            <w:pPr>
              <w:jc w:val="center"/>
              <w:rPr>
                <w:sz w:val="20"/>
                <w:szCs w:val="20"/>
              </w:rPr>
            </w:pPr>
            <w:r w:rsidRPr="77A30C28">
              <w:rPr>
                <w:color w:val="000000" w:themeColor="text1"/>
                <w:sz w:val="20"/>
                <w:szCs w:val="20"/>
              </w:rPr>
              <w:t xml:space="preserve">§ 1107.1(c) Preparation of Additional Information for Tobacco Product Exemption </w:t>
            </w:r>
            <w:r w:rsidRPr="77A30C28">
              <w:rPr>
                <w:color w:val="000000" w:themeColor="text1"/>
                <w:sz w:val="20"/>
                <w:szCs w:val="20"/>
              </w:rPr>
              <w:t>From</w:t>
            </w:r>
            <w:r w:rsidRPr="77A30C28">
              <w:rPr>
                <w:color w:val="000000" w:themeColor="text1"/>
                <w:sz w:val="20"/>
                <w:szCs w:val="20"/>
              </w:rPr>
              <w:t xml:space="preserve"> Substantial Equivalence Request</w:t>
            </w:r>
          </w:p>
        </w:tc>
      </w:tr>
      <w:tr w14:paraId="79915802" w14:textId="77777777" w:rsidTr="00A35DC6">
        <w:tblPrEx>
          <w:tblW w:w="9450" w:type="dxa"/>
          <w:jc w:val="center"/>
          <w:tblLayout w:type="fixed"/>
          <w:tblCellMar>
            <w:left w:w="0" w:type="dxa"/>
            <w:right w:w="0" w:type="dxa"/>
          </w:tblCellMar>
          <w:tblLook w:val="0000"/>
        </w:tblPrEx>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B33889" w:rsidRPr="00EA3539" w:rsidP="00A35DC6" w14:paraId="6240BBFD" w14:textId="77777777">
            <w:pPr>
              <w:keepNext/>
              <w:widowControl w:val="0"/>
              <w:autoSpaceDE w:val="0"/>
              <w:autoSpaceDN w:val="0"/>
              <w:adjustRightInd w:val="0"/>
              <w:rPr>
                <w:sz w:val="20"/>
                <w:szCs w:val="20"/>
              </w:rPr>
            </w:pPr>
            <w:r w:rsidRPr="77A30C28">
              <w:rPr>
                <w:sz w:val="20"/>
                <w:szCs w:val="20"/>
              </w:rPr>
              <w:t>21 CFR 1107.1(c)--</w:t>
            </w:r>
          </w:p>
          <w:p w:rsidR="00B33889" w:rsidRPr="00EE64D7" w:rsidP="00A35DC6" w14:paraId="6878B7FE" w14:textId="77777777">
            <w:pPr>
              <w:keepNext/>
              <w:widowControl w:val="0"/>
              <w:autoSpaceDE w:val="0"/>
              <w:autoSpaceDN w:val="0"/>
              <w:adjustRightInd w:val="0"/>
              <w:rPr>
                <w:sz w:val="20"/>
                <w:szCs w:val="20"/>
              </w:rPr>
            </w:pPr>
            <w:r w:rsidRPr="00EA3539">
              <w:rPr>
                <w:sz w:val="20"/>
                <w:szCs w:val="20"/>
              </w:rPr>
              <w:t>Preparation of additional information for tobacco product exemption from substantial equivalence request</w:t>
            </w:r>
          </w:p>
        </w:tc>
        <w:tc>
          <w:tcPr>
            <w:tcW w:w="1779"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7A37785E" w14:textId="77777777">
            <w:pPr>
              <w:keepNext/>
              <w:jc w:val="center"/>
              <w:rPr>
                <w:sz w:val="20"/>
                <w:szCs w:val="20"/>
              </w:rPr>
            </w:pPr>
            <w:r>
              <w:rPr>
                <w:sz w:val="20"/>
                <w:szCs w:val="20"/>
              </w:rPr>
              <w:t>150</w:t>
            </w:r>
          </w:p>
        </w:tc>
        <w:tc>
          <w:tcPr>
            <w:tcW w:w="160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3D1199F9" w14:textId="77777777">
            <w:pPr>
              <w:keepNext/>
              <w:jc w:val="center"/>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674CA79E" w14:textId="77777777">
            <w:pPr>
              <w:keepNext/>
              <w:jc w:val="center"/>
              <w:rPr>
                <w:sz w:val="20"/>
                <w:szCs w:val="20"/>
              </w:rPr>
            </w:pPr>
            <w:r>
              <w:rPr>
                <w:sz w:val="20"/>
                <w:szCs w:val="20"/>
              </w:rPr>
              <w:t>150</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02C74127" w14:textId="77777777">
            <w:pPr>
              <w:keepNext/>
              <w:jc w:val="center"/>
              <w:rPr>
                <w:sz w:val="20"/>
                <w:szCs w:val="20"/>
              </w:rPr>
            </w:pPr>
            <w:r w:rsidRPr="00EE64D7">
              <w:rPr>
                <w:sz w:val="20"/>
                <w:szCs w:val="20"/>
              </w:rPr>
              <w:t>3</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311B2619" w14:textId="77777777">
            <w:pPr>
              <w:keepNext/>
              <w:jc w:val="center"/>
              <w:rPr>
                <w:sz w:val="20"/>
                <w:szCs w:val="20"/>
              </w:rPr>
            </w:pPr>
            <w:r>
              <w:rPr>
                <w:sz w:val="20"/>
                <w:szCs w:val="20"/>
              </w:rPr>
              <w:t>450</w:t>
            </w:r>
          </w:p>
        </w:tc>
      </w:tr>
      <w:tr w14:paraId="61150208" w14:textId="77777777" w:rsidTr="00A35DC6">
        <w:tblPrEx>
          <w:tblW w:w="9450" w:type="dxa"/>
          <w:jc w:val="center"/>
          <w:tblLayout w:type="fixed"/>
          <w:tblCellMar>
            <w:left w:w="0" w:type="dxa"/>
            <w:right w:w="0" w:type="dxa"/>
          </w:tblCellMar>
          <w:tblLook w:val="0000"/>
        </w:tblPrEx>
        <w:trPr>
          <w:trHeight w:val="300"/>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B33889" w:rsidP="00A35DC6" w14:paraId="57EA4E25" w14:textId="77777777">
            <w:pPr>
              <w:ind w:left="90"/>
            </w:pPr>
            <w:r w:rsidRPr="77A30C28">
              <w:rPr>
                <w:color w:val="000000" w:themeColor="text1"/>
                <w:sz w:val="20"/>
                <w:szCs w:val="20"/>
              </w:rPr>
              <w:t xml:space="preserve">Total Hours (§ 1107.1(c)) </w:t>
            </w:r>
            <w:r w:rsidRPr="77A30C28">
              <w:rPr>
                <w:sz w:val="20"/>
                <w:szCs w:val="20"/>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P="00A35DC6" w14:paraId="52C4C060" w14:textId="77777777">
            <w:pPr>
              <w:jc w:val="center"/>
              <w:rPr>
                <w:sz w:val="20"/>
                <w:szCs w:val="20"/>
              </w:rPr>
            </w:pPr>
            <w:r w:rsidRPr="77A30C28">
              <w:rPr>
                <w:sz w:val="20"/>
                <w:szCs w:val="20"/>
              </w:rPr>
              <w:t>450</w:t>
            </w:r>
          </w:p>
        </w:tc>
      </w:tr>
      <w:tr w14:paraId="42F271CB" w14:textId="77777777" w:rsidTr="00A35DC6">
        <w:tblPrEx>
          <w:tblW w:w="9450" w:type="dxa"/>
          <w:jc w:val="center"/>
          <w:tblLayout w:type="fixed"/>
          <w:tblCellMar>
            <w:left w:w="0" w:type="dxa"/>
            <w:right w:w="0" w:type="dxa"/>
          </w:tblCellMar>
          <w:tblLook w:val="0000"/>
        </w:tblPrEx>
        <w:trPr>
          <w:trHeight w:val="300"/>
          <w:jc w:val="center"/>
        </w:trPr>
        <w:tc>
          <w:tcPr>
            <w:tcW w:w="9450" w:type="dxa"/>
            <w:gridSpan w:val="6"/>
            <w:tcBorders>
              <w:top w:val="single" w:sz="4" w:space="0" w:color="auto"/>
              <w:left w:val="single" w:sz="4" w:space="0" w:color="auto"/>
              <w:bottom w:val="single" w:sz="4" w:space="0" w:color="auto"/>
              <w:right w:val="single" w:sz="4" w:space="0" w:color="auto"/>
            </w:tcBorders>
            <w:vAlign w:val="center"/>
          </w:tcPr>
          <w:p w:rsidR="00B33889" w:rsidP="00A35DC6" w14:paraId="7DFBE0F7" w14:textId="77777777">
            <w:pPr>
              <w:keepNext/>
              <w:jc w:val="center"/>
              <w:rPr>
                <w:sz w:val="20"/>
                <w:szCs w:val="20"/>
              </w:rPr>
            </w:pPr>
            <w:r w:rsidRPr="77A30C28">
              <w:rPr>
                <w:color w:val="000000" w:themeColor="text1"/>
                <w:sz w:val="20"/>
                <w:szCs w:val="20"/>
              </w:rPr>
              <w:t>Section 905(j)(1)(A)(ii) of the FD&amp;C Act: If exemption granted, report submitted to demonstrate tobacco product is modified under section 905(j)(3), modifications are to a product that is commercially marketed and compliant, and modifications covered by exemptions granted by Secretary under section 905(j)(3)</w:t>
            </w:r>
          </w:p>
        </w:tc>
      </w:tr>
      <w:tr w14:paraId="217FF7A9" w14:textId="77777777" w:rsidTr="00A35DC6">
        <w:tblPrEx>
          <w:tblW w:w="9450" w:type="dxa"/>
          <w:jc w:val="center"/>
          <w:tblLayout w:type="fixed"/>
          <w:tblCellMar>
            <w:left w:w="0" w:type="dxa"/>
            <w:right w:w="0" w:type="dxa"/>
          </w:tblCellMar>
          <w:tblLook w:val="0000"/>
        </w:tblPrEx>
        <w:trPr>
          <w:jc w:val="center"/>
        </w:trPr>
        <w:tc>
          <w:tcPr>
            <w:tcW w:w="2335"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6A046192" w14:textId="77777777">
            <w:pPr>
              <w:widowControl w:val="0"/>
              <w:autoSpaceDE w:val="0"/>
              <w:autoSpaceDN w:val="0"/>
              <w:adjustRightInd w:val="0"/>
              <w:rPr>
                <w:sz w:val="20"/>
                <w:szCs w:val="20"/>
              </w:rPr>
            </w:pPr>
            <w:r w:rsidRPr="77A30C28">
              <w:rPr>
                <w:sz w:val="20"/>
                <w:szCs w:val="20"/>
              </w:rPr>
              <w:t xml:space="preserve">Abbreviated </w:t>
            </w:r>
            <w:r>
              <w:rPr>
                <w:sz w:val="20"/>
                <w:szCs w:val="20"/>
              </w:rPr>
              <w:t>R</w:t>
            </w:r>
            <w:r w:rsidRPr="77A30C28">
              <w:rPr>
                <w:sz w:val="20"/>
                <w:szCs w:val="20"/>
              </w:rPr>
              <w:t>eport submitted to demonstrate tobacco product is modified under section 905(j)(3), modifications are to a product that is commercially marketed and compliant, and modifications covered by exemptions granted by Secretary under section 905(j)(3)</w:t>
            </w:r>
          </w:p>
        </w:tc>
        <w:tc>
          <w:tcPr>
            <w:tcW w:w="1779"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451FFC4D" w14:textId="77777777">
            <w:pPr>
              <w:jc w:val="center"/>
              <w:rPr>
                <w:sz w:val="20"/>
                <w:szCs w:val="20"/>
              </w:rPr>
            </w:pPr>
            <w:r>
              <w:rPr>
                <w:sz w:val="20"/>
                <w:szCs w:val="20"/>
              </w:rPr>
              <w:t>186</w:t>
            </w:r>
          </w:p>
        </w:tc>
        <w:tc>
          <w:tcPr>
            <w:tcW w:w="160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771EDCC7" w14:textId="77777777">
            <w:pPr>
              <w:jc w:val="center"/>
              <w:rPr>
                <w:sz w:val="20"/>
                <w:szCs w:val="20"/>
              </w:rPr>
            </w:pPr>
            <w:r w:rsidRPr="00EE64D7">
              <w:rPr>
                <w:sz w:val="20"/>
                <w:szCs w:val="20"/>
              </w:rPr>
              <w:t>1</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7608B115" w14:textId="77777777">
            <w:pPr>
              <w:jc w:val="center"/>
              <w:rPr>
                <w:sz w:val="20"/>
                <w:szCs w:val="20"/>
              </w:rPr>
            </w:pPr>
            <w:r>
              <w:rPr>
                <w:sz w:val="20"/>
                <w:szCs w:val="20"/>
              </w:rPr>
              <w:t>186</w:t>
            </w:r>
          </w:p>
        </w:tc>
        <w:tc>
          <w:tcPr>
            <w:tcW w:w="1246"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467E56F5" w14:textId="77777777">
            <w:pPr>
              <w:jc w:val="center"/>
              <w:rPr>
                <w:sz w:val="20"/>
                <w:szCs w:val="20"/>
              </w:rPr>
            </w:pPr>
            <w:r>
              <w:rPr>
                <w:sz w:val="20"/>
                <w:szCs w:val="20"/>
              </w:rPr>
              <w:t>2</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RPr="00EE64D7" w:rsidP="00A35DC6" w14:paraId="77DAD73B" w14:textId="77777777">
            <w:pPr>
              <w:jc w:val="center"/>
              <w:rPr>
                <w:sz w:val="20"/>
                <w:szCs w:val="20"/>
              </w:rPr>
            </w:pPr>
            <w:r>
              <w:rPr>
                <w:sz w:val="20"/>
                <w:szCs w:val="20"/>
              </w:rPr>
              <w:t>372</w:t>
            </w:r>
          </w:p>
        </w:tc>
      </w:tr>
      <w:tr w14:paraId="4D1B2226" w14:textId="77777777" w:rsidTr="00A35DC6">
        <w:tblPrEx>
          <w:tblW w:w="9450" w:type="dxa"/>
          <w:jc w:val="center"/>
          <w:tblLayout w:type="fixed"/>
          <w:tblCellMar>
            <w:left w:w="0" w:type="dxa"/>
            <w:right w:w="0" w:type="dxa"/>
          </w:tblCellMar>
          <w:tblLook w:val="0000"/>
        </w:tblPrEx>
        <w:trPr>
          <w:trHeight w:val="300"/>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B33889" w:rsidP="00A35DC6" w14:paraId="454CC05F" w14:textId="77777777">
            <w:pPr>
              <w:ind w:left="90"/>
              <w:rPr>
                <w:sz w:val="20"/>
                <w:szCs w:val="20"/>
              </w:rPr>
            </w:pPr>
            <w:r w:rsidRPr="77A30C28">
              <w:rPr>
                <w:color w:val="000000" w:themeColor="text1"/>
                <w:sz w:val="20"/>
                <w:szCs w:val="20"/>
              </w:rPr>
              <w:t>Total Hours (section 905(j)(1)(A)(ii) of the FD&amp;C Act</w:t>
            </w:r>
            <w:r>
              <w:rPr>
                <w:color w:val="000000" w:themeColor="text1"/>
                <w:sz w:val="20"/>
                <w:szCs w:val="20"/>
              </w:rPr>
              <w:t>)</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P="00A35DC6" w14:paraId="2C7CDC46" w14:textId="77777777">
            <w:pPr>
              <w:jc w:val="center"/>
              <w:rPr>
                <w:sz w:val="20"/>
                <w:szCs w:val="20"/>
              </w:rPr>
            </w:pPr>
            <w:r w:rsidRPr="77A30C28">
              <w:rPr>
                <w:sz w:val="20"/>
                <w:szCs w:val="20"/>
              </w:rPr>
              <w:t>372</w:t>
            </w:r>
          </w:p>
        </w:tc>
      </w:tr>
      <w:tr w14:paraId="205FFA54" w14:textId="77777777" w:rsidTr="00A35DC6">
        <w:tblPrEx>
          <w:tblW w:w="9450" w:type="dxa"/>
          <w:jc w:val="center"/>
          <w:tblLayout w:type="fixed"/>
          <w:tblCellMar>
            <w:left w:w="0" w:type="dxa"/>
            <w:right w:w="0" w:type="dxa"/>
          </w:tblCellMar>
          <w:tblLook w:val="0000"/>
        </w:tblPrEx>
        <w:trPr>
          <w:jc w:val="center"/>
        </w:trPr>
        <w:tc>
          <w:tcPr>
            <w:tcW w:w="8208" w:type="dxa"/>
            <w:gridSpan w:val="5"/>
            <w:tcBorders>
              <w:top w:val="single" w:sz="4" w:space="0" w:color="auto"/>
              <w:left w:val="single" w:sz="4" w:space="0" w:color="auto"/>
              <w:bottom w:val="single" w:sz="4" w:space="0" w:color="auto"/>
              <w:right w:val="single" w:sz="4" w:space="0" w:color="auto"/>
            </w:tcBorders>
            <w:vAlign w:val="center"/>
          </w:tcPr>
          <w:p w:rsidR="00B33889" w:rsidRPr="009C5711" w:rsidP="00A35DC6" w14:paraId="24F9F8E7" w14:textId="77777777">
            <w:pPr>
              <w:widowControl w:val="0"/>
              <w:autoSpaceDE w:val="0"/>
              <w:autoSpaceDN w:val="0"/>
              <w:adjustRightInd w:val="0"/>
              <w:rPr>
                <w:sz w:val="20"/>
                <w:szCs w:val="20"/>
              </w:rPr>
            </w:pPr>
            <w:r w:rsidRPr="77A30C28">
              <w:rPr>
                <w:sz w:val="20"/>
                <w:szCs w:val="20"/>
              </w:rPr>
              <w:t xml:space="preserve"> Total </w:t>
            </w:r>
            <w:r w:rsidRPr="77A30C28">
              <w:rPr>
                <w:color w:val="000000" w:themeColor="text1"/>
                <w:sz w:val="19"/>
                <w:szCs w:val="19"/>
              </w:rPr>
              <w:t xml:space="preserve">Hours Exemptions </w:t>
            </w:r>
            <w:r w:rsidRPr="77A30C28">
              <w:rPr>
                <w:color w:val="000000" w:themeColor="text1"/>
                <w:sz w:val="19"/>
                <w:szCs w:val="19"/>
              </w:rPr>
              <w:t>From</w:t>
            </w:r>
            <w:r w:rsidRPr="77A30C28">
              <w:rPr>
                <w:color w:val="000000" w:themeColor="text1"/>
                <w:sz w:val="19"/>
                <w:szCs w:val="19"/>
              </w:rPr>
              <w:t xml:space="preserve"> Substantial Equivalence Requirements</w:t>
            </w:r>
          </w:p>
        </w:tc>
        <w:tc>
          <w:tcPr>
            <w:tcW w:w="1242" w:type="dxa"/>
            <w:tcBorders>
              <w:top w:val="single" w:sz="4" w:space="0" w:color="auto"/>
              <w:left w:val="single" w:sz="4" w:space="0" w:color="auto"/>
              <w:bottom w:val="single" w:sz="4" w:space="0" w:color="auto"/>
              <w:right w:val="single" w:sz="4" w:space="0" w:color="auto"/>
            </w:tcBorders>
            <w:vAlign w:val="center"/>
          </w:tcPr>
          <w:p w:rsidR="00B33889" w:rsidP="00A35DC6" w14:paraId="24CE7B61" w14:textId="77777777">
            <w:pPr>
              <w:jc w:val="center"/>
              <w:rPr>
                <w:sz w:val="20"/>
                <w:szCs w:val="20"/>
              </w:rPr>
            </w:pPr>
            <w:r>
              <w:rPr>
                <w:sz w:val="20"/>
                <w:szCs w:val="20"/>
              </w:rPr>
              <w:t>17,190</w:t>
            </w:r>
          </w:p>
        </w:tc>
      </w:tr>
    </w:tbl>
    <w:p w:rsidR="00822C98" w:rsidRPr="005F106A" w:rsidP="005F106A" w14:paraId="77B8F726" w14:textId="601F7900">
      <w:pPr>
        <w:autoSpaceDE w:val="0"/>
        <w:autoSpaceDN w:val="0"/>
        <w:adjustRightInd w:val="0"/>
        <w:spacing w:after="200"/>
        <w:rPr>
          <w:sz w:val="20"/>
          <w:szCs w:val="20"/>
        </w:rPr>
      </w:pPr>
      <w:r w:rsidRPr="00A35DC6">
        <w:rPr>
          <w:sz w:val="20"/>
          <w:szCs w:val="20"/>
          <w:vertAlign w:val="superscript"/>
        </w:rPr>
        <w:t>1</w:t>
      </w:r>
      <w:r>
        <w:rPr>
          <w:sz w:val="20"/>
          <w:szCs w:val="20"/>
        </w:rPr>
        <w:t xml:space="preserve"> There are no capital costs or operating and maintenance costs associated with this collection of information.</w:t>
      </w:r>
    </w:p>
    <w:p w:rsidR="00DA4054" w:rsidP="00251254" w14:paraId="0DA7DA6A" w14:textId="6C4F4C85">
      <w:pPr>
        <w:autoSpaceDE w:val="0"/>
        <w:autoSpaceDN w:val="0"/>
        <w:adjustRightInd w:val="0"/>
      </w:pPr>
      <w:bookmarkStart w:id="3" w:name="_Hlk109377038"/>
      <w:r w:rsidRPr="00EE64D7">
        <w:t>The estimated average burden per response (in hours) is based on</w:t>
      </w:r>
      <w:r w:rsidR="00A1515B">
        <w:t xml:space="preserve"> the burdens associated with this</w:t>
      </w:r>
      <w:r w:rsidRPr="00EE64D7">
        <w:t xml:space="preserve"> existing information collection that applies to tobacco products currently subject to the FD&amp;C Act. FDA esti</w:t>
      </w:r>
      <w:r w:rsidR="008C0121">
        <w:t xml:space="preserve">mates that we will receive </w:t>
      </w:r>
      <w:r w:rsidR="004D6DF9">
        <w:t>682</w:t>
      </w:r>
      <w:r w:rsidRPr="00EE64D7">
        <w:t xml:space="preserve"> exemption requests under § 1107.1(b) for 24 hours per respon</w:t>
      </w:r>
      <w:r w:rsidR="008C0121">
        <w:t xml:space="preserve">se including EA for a total of </w:t>
      </w:r>
      <w:r w:rsidR="00626F8E">
        <w:t>16,368</w:t>
      </w:r>
      <w:r w:rsidRPr="00EE64D7">
        <w:t xml:space="preserve"> hours. </w:t>
      </w:r>
      <w:r w:rsidR="0079723C">
        <w:t xml:space="preserve">We have reduced the number of </w:t>
      </w:r>
      <w:r w:rsidR="0079723C">
        <w:t xml:space="preserve">respondents from 812 to 682 based on the average number of exemption requests received during the past 3 years. </w:t>
      </w:r>
    </w:p>
    <w:p w:rsidR="00E504B7" w:rsidP="00251254" w14:paraId="33233DCA" w14:textId="77777777">
      <w:pPr>
        <w:autoSpaceDE w:val="0"/>
        <w:autoSpaceDN w:val="0"/>
        <w:adjustRightInd w:val="0"/>
      </w:pPr>
    </w:p>
    <w:p w:rsidR="00EE64D7" w:rsidRPr="00EE64D7" w:rsidP="00251254" w14:paraId="6F15DE8D" w14:textId="60151914">
      <w:pPr>
        <w:autoSpaceDE w:val="0"/>
        <w:autoSpaceDN w:val="0"/>
        <w:adjustRightInd w:val="0"/>
      </w:pPr>
      <w:r w:rsidRPr="00EE64D7">
        <w:t>FDA estimates</w:t>
      </w:r>
      <w:r w:rsidR="0079723C">
        <w:t xml:space="preserve">, that </w:t>
      </w:r>
      <w:r w:rsidRPr="00EE64D7">
        <w:t xml:space="preserve">we will receive </w:t>
      </w:r>
      <w:r w:rsidR="006A4F8E">
        <w:t>150</w:t>
      </w:r>
      <w:r w:rsidRPr="00EE64D7" w:rsidR="006A4F8E">
        <w:t xml:space="preserve"> </w:t>
      </w:r>
      <w:r w:rsidRPr="00EE64D7">
        <w:t xml:space="preserve">submissions requiring additional information in support of the initial exemption request, and it is expected that it will take an average of 3 hours to prepare the additional information for a total of </w:t>
      </w:r>
      <w:r w:rsidR="006A4F8E">
        <w:t>450</w:t>
      </w:r>
      <w:r w:rsidRPr="00EE64D7" w:rsidR="006A4F8E">
        <w:t xml:space="preserve"> </w:t>
      </w:r>
      <w:r w:rsidRPr="00EE64D7">
        <w:t xml:space="preserve">hours. </w:t>
      </w:r>
    </w:p>
    <w:p w:rsidR="00E77DC0" w:rsidP="00E77DC0" w14:paraId="7CEC38A2" w14:textId="77777777">
      <w:pPr>
        <w:autoSpaceDE w:val="0"/>
        <w:autoSpaceDN w:val="0"/>
        <w:adjustRightInd w:val="0"/>
        <w:ind w:left="720"/>
      </w:pPr>
    </w:p>
    <w:p w:rsidR="008C0121" w:rsidP="00B14F5A" w14:paraId="3507C7A7" w14:textId="39377996">
      <w:pPr>
        <w:autoSpaceDE w:val="0"/>
        <w:autoSpaceDN w:val="0"/>
        <w:adjustRightInd w:val="0"/>
      </w:pPr>
      <w:bookmarkStart w:id="4" w:name="_Hlk204156125"/>
      <w:r w:rsidRPr="00DE74FA">
        <w:t>FDA estimates that 186 respondents will prepare an Abbreviated Report, as required by section 905(j)(1)(A)(ii) of the FD&amp;C Act, with each report taking approximately 2 hours to prepare for a total of 372 hours.</w:t>
      </w:r>
      <w:r>
        <w:t xml:space="preserve"> </w:t>
      </w:r>
      <w:r w:rsidRPr="00DE74FA">
        <w:t xml:space="preserve"> </w:t>
      </w:r>
      <w:bookmarkEnd w:id="4"/>
      <w:r w:rsidRPr="00DE74FA">
        <w:t xml:space="preserve">We have reduced the estimated number of respondents who are expected to prepare and submit an Abbreviated Report required by section 905(j)(1)(A)(ii) of the FD&amp;C Act from 1,217 to 186 based </w:t>
      </w:r>
      <w:r w:rsidRPr="00D5441A" w:rsidR="00D5441A">
        <w:t xml:space="preserve">on the average number of exemptions issued during the past 3 </w:t>
      </w:r>
      <w:r w:rsidRPr="00D5441A" w:rsidR="00D5441A">
        <w:t>years</w:t>
      </w:r>
      <w:r w:rsidR="0071158B">
        <w:t>.</w:t>
      </w:r>
      <w:r w:rsidRPr="00DE74FA">
        <w:t>.</w:t>
      </w:r>
      <w:r w:rsidR="0079723C">
        <w:t xml:space="preserve"> </w:t>
      </w:r>
    </w:p>
    <w:p w:rsidR="00DA4054" w:rsidP="008C0121" w14:paraId="2A2EE702" w14:textId="77777777">
      <w:pPr>
        <w:autoSpaceDE w:val="0"/>
        <w:autoSpaceDN w:val="0"/>
        <w:adjustRightInd w:val="0"/>
        <w:ind w:left="720" w:firstLine="720"/>
      </w:pPr>
    </w:p>
    <w:p w:rsidR="00DB4A79" w:rsidP="00B14F5A" w14:paraId="6D5797DE" w14:textId="0ECF12FD">
      <w:pPr>
        <w:autoSpaceDE w:val="0"/>
        <w:autoSpaceDN w:val="0"/>
        <w:adjustRightInd w:val="0"/>
      </w:pPr>
      <w:r>
        <w:t xml:space="preserve">Therefore, </w:t>
      </w:r>
      <w:r w:rsidRPr="00EE64D7" w:rsidR="00EE64D7">
        <w:t>FDA estimate</w:t>
      </w:r>
      <w:r>
        <w:t>s</w:t>
      </w:r>
      <w:r w:rsidRPr="00EE64D7" w:rsidR="00EE64D7">
        <w:t xml:space="preserve"> the total hours for </w:t>
      </w:r>
      <w:r w:rsidR="007771DD">
        <w:t xml:space="preserve">the collection of information associated with </w:t>
      </w:r>
      <w:r w:rsidRPr="00EE64D7" w:rsidR="00EE64D7">
        <w:t xml:space="preserve">exemptions from </w:t>
      </w:r>
      <w:r w:rsidR="007771DD">
        <w:t>s</w:t>
      </w:r>
      <w:r w:rsidRPr="00EE64D7" w:rsidR="00EE64D7">
        <w:t xml:space="preserve">ubstantial </w:t>
      </w:r>
      <w:r w:rsidR="007771DD">
        <w:t>e</w:t>
      </w:r>
      <w:r w:rsidRPr="00EE64D7" w:rsidR="00EE64D7">
        <w:t>qu</w:t>
      </w:r>
      <w:r w:rsidR="008C0121">
        <w:t xml:space="preserve">ivalence </w:t>
      </w:r>
      <w:r w:rsidR="007771DD">
        <w:t>r</w:t>
      </w:r>
      <w:r w:rsidR="008C0121">
        <w:t xml:space="preserve">equirements </w:t>
      </w:r>
      <w:r>
        <w:t xml:space="preserve">is </w:t>
      </w:r>
      <w:r w:rsidR="00EE5C7F">
        <w:t>17,190</w:t>
      </w:r>
      <w:r w:rsidRPr="00EE64D7" w:rsidR="00EE64D7">
        <w:t xml:space="preserve"> hours</w:t>
      </w:r>
      <w:r w:rsidR="002D1F5E">
        <w:t xml:space="preserve"> (16,368 + 450 + 372 = 17,190 total hours)</w:t>
      </w:r>
      <w:r w:rsidRPr="00EE64D7" w:rsidR="00EE64D7">
        <w:t>.</w:t>
      </w:r>
    </w:p>
    <w:p w:rsidR="00F259C5" w:rsidP="00F259C5" w14:paraId="027BC803" w14:textId="77777777">
      <w:pPr>
        <w:autoSpaceDE w:val="0"/>
        <w:autoSpaceDN w:val="0"/>
        <w:adjustRightInd w:val="0"/>
        <w:ind w:firstLine="720"/>
      </w:pPr>
    </w:p>
    <w:p w:rsidR="004260A7" w:rsidP="0075307F" w14:paraId="1A7B00F3" w14:textId="77777777">
      <w:pPr>
        <w:autoSpaceDE w:val="0"/>
        <w:autoSpaceDN w:val="0"/>
        <w:adjustRightInd w:val="0"/>
      </w:pPr>
      <w:r>
        <w:t xml:space="preserve">Although there </w:t>
      </w:r>
      <w:r w:rsidR="00F11C46">
        <w:t>may be</w:t>
      </w:r>
      <w:r>
        <w:t xml:space="preserve"> year-to-year variability in the </w:t>
      </w:r>
      <w:r w:rsidR="00F11C46">
        <w:t>absolute</w:t>
      </w:r>
      <w:r>
        <w:t xml:space="preserve"> number of exemption requests submitted,</w:t>
      </w:r>
      <w:r w:rsidR="000E6B41">
        <w:t xml:space="preserve"> </w:t>
      </w:r>
      <w:r w:rsidR="00F258B0">
        <w:t xml:space="preserve">FDA considers </w:t>
      </w:r>
      <w:r w:rsidR="002301DF">
        <w:t>any</w:t>
      </w:r>
      <w:r w:rsidR="00F258B0">
        <w:t xml:space="preserve"> trend</w:t>
      </w:r>
      <w:r w:rsidR="002301DF">
        <w:t>s</w:t>
      </w:r>
      <w:r w:rsidR="005F7CE4">
        <w:t xml:space="preserve"> in our analysis</w:t>
      </w:r>
      <w:r w:rsidR="004F4D3F">
        <w:t xml:space="preserve">, and </w:t>
      </w:r>
      <w:r w:rsidR="008B0F9A">
        <w:t>the</w:t>
      </w:r>
      <w:r w:rsidR="00F11C46">
        <w:t xml:space="preserve"> overall </w:t>
      </w:r>
      <w:r w:rsidR="00C919AC">
        <w:t>number</w:t>
      </w:r>
      <w:r w:rsidR="008B0F9A">
        <w:t xml:space="preserve"> of extension requests from </w:t>
      </w:r>
      <w:r w:rsidR="000E6B41">
        <w:t>manufacturers of tobacco products</w:t>
      </w:r>
      <w:r w:rsidR="008B0F9A">
        <w:t xml:space="preserve"> has </w:t>
      </w:r>
      <w:r w:rsidR="008857FC">
        <w:t>remained consistent</w:t>
      </w:r>
      <w:r w:rsidR="00705887">
        <w:t xml:space="preserve">. </w:t>
      </w:r>
    </w:p>
    <w:bookmarkEnd w:id="3"/>
    <w:p w:rsidR="0061247B" w:rsidP="008C0121" w14:paraId="546A0D1E" w14:textId="77777777">
      <w:pPr>
        <w:autoSpaceDE w:val="0"/>
        <w:autoSpaceDN w:val="0"/>
        <w:adjustRightInd w:val="0"/>
      </w:pPr>
    </w:p>
    <w:p w:rsidR="0061247B" w:rsidRPr="00D41370" w:rsidP="0061247B" w14:paraId="03862047" w14:textId="4B80BE9C">
      <w:pPr>
        <w:autoSpaceDE w:val="0"/>
        <w:autoSpaceDN w:val="0"/>
        <w:adjustRightInd w:val="0"/>
      </w:pPr>
      <w:r w:rsidRPr="00D41370">
        <w:t>12</w:t>
      </w:r>
      <w:r w:rsidRPr="00D41370" w:rsidR="00B440C8">
        <w:t>b</w:t>
      </w:r>
      <w:r w:rsidRPr="00D41370">
        <w:t>. Annualized Cost Burden Estimate</w:t>
      </w:r>
    </w:p>
    <w:p w:rsidR="0061247B" w:rsidRPr="0026695A" w:rsidP="0061247B" w14:paraId="4B90F83E" w14:textId="77777777">
      <w:pPr>
        <w:autoSpaceDE w:val="0"/>
        <w:autoSpaceDN w:val="0"/>
        <w:adjustRightInd w:val="0"/>
        <w:rPr>
          <w:u w:val="single"/>
        </w:rPr>
      </w:pPr>
    </w:p>
    <w:p w:rsidR="450F5066" w:rsidRPr="000F2B3D" w:rsidP="00D41370" w14:paraId="31ADC8C8" w14:textId="7E7814D5">
      <w:r>
        <w:t>The estimated annual reporting cost to respondents for this collection of information is $</w:t>
      </w:r>
      <w:r w:rsidR="00065C0F">
        <w:t>1,</w:t>
      </w:r>
      <w:r w:rsidR="003C14C5">
        <w:t>211,895</w:t>
      </w:r>
      <w:r>
        <w:t xml:space="preserve">.  This estimate assumes that </w:t>
      </w:r>
      <w:r w:rsidR="0079723C">
        <w:t xml:space="preserve">the </w:t>
      </w:r>
      <w:r>
        <w:t xml:space="preserve">tobacco </w:t>
      </w:r>
      <w:r w:rsidR="0079723C">
        <w:t xml:space="preserve">manufacturing </w:t>
      </w:r>
      <w:r>
        <w:t>industry (all occupations)</w:t>
      </w:r>
      <w:r w:rsidR="0079723C">
        <w:t xml:space="preserve"> labor category</w:t>
      </w:r>
      <w:r>
        <w:t xml:space="preserve"> will account for the </w:t>
      </w:r>
      <w:r w:rsidR="0061247B">
        <w:t>preparation of a request for exemption from substantial equivalence</w:t>
      </w:r>
      <w:r>
        <w:t xml:space="preserve"> at an average</w:t>
      </w:r>
      <w:r w:rsidR="0079723C">
        <w:t xml:space="preserve"> (mean) hourly</w:t>
      </w:r>
      <w:r>
        <w:t xml:space="preserve"> wage of $</w:t>
      </w:r>
      <w:r w:rsidR="4F483CC4">
        <w:t>35.25</w:t>
      </w:r>
      <w:r>
        <w:t xml:space="preserve"> (Department of Labor’s Bureau of Labor Statistics</w:t>
      </w:r>
      <w:r w:rsidR="00E81A91">
        <w:t xml:space="preserve"> </w:t>
      </w:r>
      <w:r>
        <w:t>May 202</w:t>
      </w:r>
      <w:r w:rsidR="00017B2F">
        <w:t>4</w:t>
      </w:r>
      <w:r>
        <w:t xml:space="preserve">: </w:t>
      </w:r>
      <w:hyperlink r:id="rId18" w:anchor="/industry/312200" w:history="1">
        <w:r w:rsidR="00017B2F">
          <w:rPr>
            <w:rStyle w:val="Hyperlink"/>
          </w:rPr>
          <w:t>data.bls.gov/</w:t>
        </w:r>
        <w:r w:rsidR="00017B2F">
          <w:rPr>
            <w:rStyle w:val="Hyperlink"/>
          </w:rPr>
          <w:t>oes</w:t>
        </w:r>
        <w:r w:rsidR="00017B2F">
          <w:rPr>
            <w:rStyle w:val="Hyperlink"/>
          </w:rPr>
          <w:t>/#/industry/312200</w:t>
        </w:r>
      </w:hyperlink>
      <w:r>
        <w:t>). We double this to account for benefits and overhead, yielding an hourly wage rate of $</w:t>
      </w:r>
      <w:r w:rsidR="7B55764D">
        <w:t>70.50</w:t>
      </w:r>
      <w:r>
        <w:t>.</w:t>
      </w:r>
    </w:p>
    <w:p w:rsidR="450F5066" w:rsidRPr="000F2B3D" w:rsidP="450F5066" w14:paraId="41F11026" w14:textId="6A1CB6C6">
      <w:pPr>
        <w:ind w:left="720"/>
      </w:pPr>
    </w:p>
    <w:p w:rsidR="002E06C8" w:rsidRPr="000F2B3D" w:rsidP="00D41370" w14:paraId="1E4AF323" w14:textId="475ECD12">
      <w:pPr>
        <w:autoSpaceDE w:val="0"/>
        <w:autoSpaceDN w:val="0"/>
        <w:adjustRightInd w:val="0"/>
      </w:pPr>
      <w:r w:rsidRPr="000F2B3D">
        <w:t>FDA notes that the annualized cost burden estimate will involve the initial</w:t>
      </w:r>
      <w:r w:rsidR="0079723C">
        <w:t xml:space="preserve"> exemption from substantial equivalence</w:t>
      </w:r>
      <w:r w:rsidRPr="000F2B3D">
        <w:t xml:space="preserve"> request </w:t>
      </w:r>
      <w:r w:rsidRPr="000F2B3D" w:rsidR="009C5711">
        <w:t xml:space="preserve">plus environmental assessment preparation and submission </w:t>
      </w:r>
      <w:r w:rsidR="00DD5BCF">
        <w:t xml:space="preserve">at a cost </w:t>
      </w:r>
      <w:r w:rsidRPr="000F2B3D">
        <w:t>of $</w:t>
      </w:r>
      <w:r w:rsidRPr="003A6D47" w:rsidR="003A6D47">
        <w:t>1,</w:t>
      </w:r>
      <w:r w:rsidR="00DB63B2">
        <w:t>153</w:t>
      </w:r>
      <w:r w:rsidRPr="003A6D47" w:rsidR="003A6D47">
        <w:t>,</w:t>
      </w:r>
      <w:r w:rsidR="00DB63B2">
        <w:t>994</w:t>
      </w:r>
      <w:r w:rsidRPr="003A6D47" w:rsidR="003A6D47">
        <w:t xml:space="preserve"> </w:t>
      </w:r>
      <w:r w:rsidRPr="000F2B3D">
        <w:t>(</w:t>
      </w:r>
      <w:r w:rsidR="003A6D47">
        <w:t>16,</w:t>
      </w:r>
      <w:r w:rsidR="002D3781">
        <w:t>368</w:t>
      </w:r>
      <w:r w:rsidRPr="000F2B3D">
        <w:t xml:space="preserve"> total burden hours x $</w:t>
      </w:r>
      <w:r w:rsidR="000B44D9">
        <w:t>70.50</w:t>
      </w:r>
      <w:r w:rsidRPr="000F2B3D">
        <w:t xml:space="preserve">) plus additional supporting information requests </w:t>
      </w:r>
      <w:r w:rsidR="009420FA">
        <w:t xml:space="preserve">at a cost </w:t>
      </w:r>
      <w:r w:rsidRPr="000F2B3D">
        <w:t>of $</w:t>
      </w:r>
      <w:r w:rsidR="00DB63B2">
        <w:t>31,725</w:t>
      </w:r>
      <w:r w:rsidR="002D3781">
        <w:t xml:space="preserve"> </w:t>
      </w:r>
      <w:r w:rsidRPr="000F2B3D">
        <w:t>(450 total burden hours x $</w:t>
      </w:r>
      <w:r w:rsidR="00DB63B2">
        <w:t>70.50</w:t>
      </w:r>
      <w:r w:rsidRPr="000F2B3D">
        <w:t xml:space="preserve">) plus creation and submission of the section 905(j)(1)(A)(ii) </w:t>
      </w:r>
      <w:r w:rsidR="0079723C">
        <w:t>Abbreviated R</w:t>
      </w:r>
      <w:r w:rsidRPr="000F2B3D">
        <w:t xml:space="preserve">eports </w:t>
      </w:r>
      <w:r w:rsidR="009420FA">
        <w:t xml:space="preserve">at a cost </w:t>
      </w:r>
      <w:r w:rsidRPr="000F2B3D">
        <w:t>of $</w:t>
      </w:r>
      <w:r w:rsidR="00DB63B2">
        <w:t>26,226</w:t>
      </w:r>
      <w:r w:rsidRPr="000F2B3D">
        <w:t xml:space="preserve"> (</w:t>
      </w:r>
      <w:r w:rsidR="00065C0F">
        <w:t>372</w:t>
      </w:r>
      <w:r w:rsidRPr="000F2B3D">
        <w:t xml:space="preserve"> total burden hours x $</w:t>
      </w:r>
      <w:r w:rsidR="00DB63B2">
        <w:t>70.50</w:t>
      </w:r>
      <w:r w:rsidRPr="000F2B3D">
        <w:t>).</w:t>
      </w:r>
    </w:p>
    <w:p w:rsidR="0079723C" w:rsidP="00D41370" w14:paraId="4B889C77"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79723C" w:rsidRPr="00A35DC6" w:rsidP="0079723C" w14:paraId="01BF4195"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hanging="720"/>
        <w:jc w:val="center"/>
        <w:rPr>
          <w:sz w:val="20"/>
          <w:szCs w:val="20"/>
        </w:rPr>
      </w:pPr>
      <w:r>
        <w:rPr>
          <w:sz w:val="20"/>
          <w:szCs w:val="20"/>
        </w:rPr>
        <w:t xml:space="preserve">Table </w:t>
      </w:r>
      <w:r>
        <w:rPr>
          <w:sz w:val="20"/>
          <w:szCs w:val="20"/>
        </w:rPr>
        <w:t>2.—</w:t>
      </w:r>
      <w:r>
        <w:rPr>
          <w:sz w:val="20"/>
          <w:szCs w:val="20"/>
        </w:rPr>
        <w:t>Estimated Annual Cost Burden</w:t>
      </w:r>
    </w:p>
    <w:tbl>
      <w:tblPr>
        <w:tblW w:w="936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20"/>
        <w:gridCol w:w="1530"/>
        <w:gridCol w:w="1170"/>
        <w:gridCol w:w="1440"/>
      </w:tblGrid>
      <w:tr w14:paraId="75C18C5F" w14:textId="77777777" w:rsidTr="00A35DC6">
        <w:tblPrEx>
          <w:tblW w:w="9360"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blHeader/>
        </w:trPr>
        <w:tc>
          <w:tcPr>
            <w:tcW w:w="5220" w:type="dxa"/>
            <w:vAlign w:val="center"/>
          </w:tcPr>
          <w:p w:rsidR="0079723C" w:rsidRPr="000F2B3D" w:rsidP="00A35DC6" w14:paraId="21439CD0" w14:textId="77777777">
            <w:pPr>
              <w:jc w:val="center"/>
              <w:rPr>
                <w:sz w:val="20"/>
                <w:szCs w:val="20"/>
              </w:rPr>
            </w:pPr>
            <w:r w:rsidRPr="0B3B28DD">
              <w:rPr>
                <w:sz w:val="20"/>
                <w:szCs w:val="20"/>
              </w:rPr>
              <w:t>Activity</w:t>
            </w:r>
          </w:p>
        </w:tc>
        <w:tc>
          <w:tcPr>
            <w:tcW w:w="1530" w:type="dxa"/>
            <w:vAlign w:val="center"/>
          </w:tcPr>
          <w:p w:rsidR="0079723C" w:rsidRPr="000F2B3D" w:rsidP="00A35DC6" w14:paraId="39E3AD6F" w14:textId="77777777">
            <w:pPr>
              <w:jc w:val="center"/>
              <w:rPr>
                <w:sz w:val="20"/>
                <w:szCs w:val="20"/>
              </w:rPr>
            </w:pPr>
            <w:r w:rsidRPr="000F2B3D">
              <w:rPr>
                <w:sz w:val="20"/>
                <w:szCs w:val="20"/>
              </w:rPr>
              <w:t>Total Burden Hours</w:t>
            </w:r>
          </w:p>
        </w:tc>
        <w:tc>
          <w:tcPr>
            <w:tcW w:w="1170" w:type="dxa"/>
            <w:vAlign w:val="center"/>
          </w:tcPr>
          <w:p w:rsidR="0079723C" w:rsidRPr="000F2B3D" w:rsidP="00A35DC6" w14:paraId="6E814BF2" w14:textId="77777777">
            <w:pPr>
              <w:jc w:val="center"/>
              <w:rPr>
                <w:sz w:val="20"/>
                <w:szCs w:val="20"/>
              </w:rPr>
            </w:pPr>
            <w:r w:rsidRPr="000F2B3D">
              <w:rPr>
                <w:sz w:val="20"/>
                <w:szCs w:val="20"/>
              </w:rPr>
              <w:t>Hourly Wage Rate</w:t>
            </w:r>
          </w:p>
        </w:tc>
        <w:tc>
          <w:tcPr>
            <w:tcW w:w="1440" w:type="dxa"/>
            <w:vAlign w:val="center"/>
          </w:tcPr>
          <w:p w:rsidR="0079723C" w:rsidRPr="000F2B3D" w:rsidP="00A35DC6" w14:paraId="714B6DD6" w14:textId="77777777">
            <w:pPr>
              <w:jc w:val="center"/>
              <w:rPr>
                <w:sz w:val="20"/>
                <w:szCs w:val="20"/>
              </w:rPr>
            </w:pPr>
            <w:r w:rsidRPr="000F2B3D">
              <w:rPr>
                <w:sz w:val="20"/>
                <w:szCs w:val="20"/>
              </w:rPr>
              <w:t xml:space="preserve">Total Cost </w:t>
            </w:r>
          </w:p>
        </w:tc>
      </w:tr>
      <w:tr w14:paraId="649F74C9" w14:textId="77777777" w:rsidTr="00A35DC6">
        <w:tblPrEx>
          <w:tblW w:w="9360" w:type="dxa"/>
          <w:tblInd w:w="203" w:type="dxa"/>
          <w:tblLayout w:type="fixed"/>
          <w:tblCellMar>
            <w:left w:w="0" w:type="dxa"/>
            <w:right w:w="0" w:type="dxa"/>
          </w:tblCellMar>
          <w:tblLook w:val="0000"/>
        </w:tblPrEx>
        <w:tc>
          <w:tcPr>
            <w:tcW w:w="5220" w:type="dxa"/>
          </w:tcPr>
          <w:p w:rsidR="0079723C" w:rsidRPr="000F2B3D" w:rsidP="00E8290E" w14:paraId="1D330C6E" w14:textId="77777777">
            <w:pPr>
              <w:widowControl w:val="0"/>
              <w:autoSpaceDE w:val="0"/>
              <w:autoSpaceDN w:val="0"/>
              <w:adjustRightInd w:val="0"/>
              <w:rPr>
                <w:sz w:val="20"/>
                <w:szCs w:val="20"/>
              </w:rPr>
            </w:pPr>
            <w:r w:rsidRPr="000F2B3D">
              <w:rPr>
                <w:b/>
                <w:sz w:val="20"/>
                <w:szCs w:val="20"/>
              </w:rPr>
              <w:t>21 CFR 1107.1(b)</w:t>
            </w:r>
            <w:r w:rsidRPr="000F2B3D">
              <w:rPr>
                <w:sz w:val="20"/>
                <w:szCs w:val="20"/>
              </w:rPr>
              <w:t xml:space="preserve"> Tobacco manufacturers preparation of tobacco product exemption from substantial equivalence request</w:t>
            </w:r>
            <w:r>
              <w:rPr>
                <w:sz w:val="20"/>
                <w:szCs w:val="20"/>
              </w:rPr>
              <w:t xml:space="preserve"> </w:t>
            </w:r>
            <w:r w:rsidRPr="77A30C28">
              <w:rPr>
                <w:sz w:val="20"/>
                <w:szCs w:val="20"/>
              </w:rPr>
              <w:t>and 21 CFR 25.40</w:t>
            </w:r>
            <w:r>
              <w:rPr>
                <w:sz w:val="20"/>
                <w:szCs w:val="20"/>
              </w:rPr>
              <w:t xml:space="preserve"> </w:t>
            </w:r>
            <w:r w:rsidRPr="00EA3539">
              <w:rPr>
                <w:sz w:val="20"/>
                <w:szCs w:val="20"/>
              </w:rPr>
              <w:t>Preparation of an environmental assessment</w:t>
            </w:r>
          </w:p>
        </w:tc>
        <w:tc>
          <w:tcPr>
            <w:tcW w:w="1530" w:type="dxa"/>
            <w:vAlign w:val="center"/>
          </w:tcPr>
          <w:p w:rsidR="0079723C" w:rsidRPr="000F2B3D" w:rsidP="00A35DC6" w14:paraId="4A708B70" w14:textId="77777777">
            <w:pPr>
              <w:jc w:val="center"/>
              <w:rPr>
                <w:sz w:val="20"/>
                <w:szCs w:val="20"/>
              </w:rPr>
            </w:pPr>
            <w:r>
              <w:rPr>
                <w:sz w:val="20"/>
                <w:szCs w:val="20"/>
              </w:rPr>
              <w:t>16,368</w:t>
            </w:r>
          </w:p>
        </w:tc>
        <w:tc>
          <w:tcPr>
            <w:tcW w:w="1170" w:type="dxa"/>
            <w:vAlign w:val="center"/>
          </w:tcPr>
          <w:p w:rsidR="0079723C" w:rsidRPr="000F2B3D" w:rsidP="00A35DC6" w14:paraId="5AA2195C" w14:textId="1AACD653">
            <w:pPr>
              <w:jc w:val="center"/>
              <w:rPr>
                <w:sz w:val="20"/>
                <w:szCs w:val="20"/>
              </w:rPr>
            </w:pPr>
            <w:r w:rsidRPr="000F2B3D">
              <w:rPr>
                <w:sz w:val="20"/>
                <w:szCs w:val="20"/>
              </w:rPr>
              <w:t>$</w:t>
            </w:r>
            <w:r w:rsidR="00F13DB5">
              <w:rPr>
                <w:sz w:val="20"/>
                <w:szCs w:val="20"/>
              </w:rPr>
              <w:t>70.50</w:t>
            </w:r>
          </w:p>
        </w:tc>
        <w:tc>
          <w:tcPr>
            <w:tcW w:w="1440" w:type="dxa"/>
            <w:vAlign w:val="center"/>
          </w:tcPr>
          <w:p w:rsidR="0079723C" w:rsidRPr="000F2B3D" w:rsidP="00A35DC6" w14:paraId="17B3B7D0" w14:textId="0011506D">
            <w:pPr>
              <w:jc w:val="center"/>
              <w:rPr>
                <w:sz w:val="20"/>
                <w:szCs w:val="20"/>
              </w:rPr>
            </w:pPr>
            <w:r w:rsidRPr="000F2B3D">
              <w:rPr>
                <w:sz w:val="20"/>
                <w:szCs w:val="20"/>
              </w:rPr>
              <w:t xml:space="preserve">$ </w:t>
            </w:r>
            <w:r>
              <w:rPr>
                <w:sz w:val="20"/>
                <w:szCs w:val="20"/>
              </w:rPr>
              <w:t>1,</w:t>
            </w:r>
            <w:r w:rsidR="00F13DB5">
              <w:rPr>
                <w:sz w:val="20"/>
                <w:szCs w:val="20"/>
              </w:rPr>
              <w:t>153,944</w:t>
            </w:r>
          </w:p>
        </w:tc>
      </w:tr>
      <w:tr w14:paraId="3E68F5DD" w14:textId="77777777" w:rsidTr="00A35DC6">
        <w:tblPrEx>
          <w:tblW w:w="9360" w:type="dxa"/>
          <w:tblInd w:w="203" w:type="dxa"/>
          <w:tblLayout w:type="fixed"/>
          <w:tblCellMar>
            <w:left w:w="0" w:type="dxa"/>
            <w:right w:w="0" w:type="dxa"/>
          </w:tblCellMar>
          <w:tblLook w:val="0000"/>
        </w:tblPrEx>
        <w:tc>
          <w:tcPr>
            <w:tcW w:w="5220" w:type="dxa"/>
          </w:tcPr>
          <w:p w:rsidR="0079723C" w:rsidRPr="000F2B3D" w:rsidP="007A4C2C" w14:paraId="54503522" w14:textId="77777777">
            <w:pPr>
              <w:widowControl w:val="0"/>
              <w:autoSpaceDE w:val="0"/>
              <w:autoSpaceDN w:val="0"/>
              <w:adjustRightInd w:val="0"/>
              <w:rPr>
                <w:sz w:val="20"/>
                <w:szCs w:val="20"/>
              </w:rPr>
            </w:pPr>
            <w:r w:rsidRPr="000F2B3D">
              <w:rPr>
                <w:b/>
                <w:sz w:val="20"/>
                <w:szCs w:val="20"/>
              </w:rPr>
              <w:t>21 CFR 1107.1(c)</w:t>
            </w:r>
            <w:r w:rsidRPr="000F2B3D">
              <w:rPr>
                <w:sz w:val="20"/>
                <w:szCs w:val="20"/>
              </w:rPr>
              <w:t xml:space="preserve"> Tobacco manufacturers preparation of additional information for tobacco product exemption from substantial equivalence request</w:t>
            </w:r>
          </w:p>
        </w:tc>
        <w:tc>
          <w:tcPr>
            <w:tcW w:w="1530" w:type="dxa"/>
            <w:vAlign w:val="center"/>
          </w:tcPr>
          <w:p w:rsidR="0079723C" w:rsidRPr="000F2B3D" w:rsidP="00A35DC6" w14:paraId="24134BB2" w14:textId="77777777">
            <w:pPr>
              <w:jc w:val="center"/>
              <w:rPr>
                <w:sz w:val="20"/>
                <w:szCs w:val="20"/>
              </w:rPr>
            </w:pPr>
            <w:r w:rsidRPr="000F2B3D">
              <w:rPr>
                <w:sz w:val="20"/>
                <w:szCs w:val="20"/>
              </w:rPr>
              <w:t>450</w:t>
            </w:r>
          </w:p>
        </w:tc>
        <w:tc>
          <w:tcPr>
            <w:tcW w:w="1170" w:type="dxa"/>
            <w:vAlign w:val="center"/>
          </w:tcPr>
          <w:p w:rsidR="0079723C" w:rsidRPr="000F2B3D" w:rsidP="00A35DC6" w14:paraId="134BA630" w14:textId="64AE6319">
            <w:pPr>
              <w:jc w:val="center"/>
              <w:rPr>
                <w:sz w:val="20"/>
                <w:szCs w:val="20"/>
              </w:rPr>
            </w:pPr>
            <w:r w:rsidRPr="000F2B3D">
              <w:rPr>
                <w:sz w:val="20"/>
                <w:szCs w:val="20"/>
              </w:rPr>
              <w:t>$</w:t>
            </w:r>
            <w:r w:rsidR="00F13DB5">
              <w:rPr>
                <w:sz w:val="20"/>
                <w:szCs w:val="20"/>
              </w:rPr>
              <w:t>70.50</w:t>
            </w:r>
          </w:p>
        </w:tc>
        <w:tc>
          <w:tcPr>
            <w:tcW w:w="1440" w:type="dxa"/>
            <w:vAlign w:val="center"/>
          </w:tcPr>
          <w:p w:rsidR="0079723C" w:rsidRPr="000F2B3D" w:rsidP="00A35DC6" w14:paraId="58332D98" w14:textId="79F542F0">
            <w:pPr>
              <w:jc w:val="center"/>
              <w:rPr>
                <w:sz w:val="20"/>
                <w:szCs w:val="20"/>
              </w:rPr>
            </w:pPr>
            <w:r w:rsidRPr="000F2B3D">
              <w:rPr>
                <w:sz w:val="20"/>
                <w:szCs w:val="20"/>
              </w:rPr>
              <w:t>$</w:t>
            </w:r>
            <w:r w:rsidR="00F13DB5">
              <w:rPr>
                <w:sz w:val="20"/>
                <w:szCs w:val="20"/>
              </w:rPr>
              <w:t>31,725.00</w:t>
            </w:r>
          </w:p>
        </w:tc>
      </w:tr>
      <w:tr w14:paraId="2B01D622" w14:textId="77777777" w:rsidTr="00A35DC6">
        <w:tblPrEx>
          <w:tblW w:w="9360" w:type="dxa"/>
          <w:tblInd w:w="203" w:type="dxa"/>
          <w:tblLayout w:type="fixed"/>
          <w:tblCellMar>
            <w:left w:w="0" w:type="dxa"/>
            <w:right w:w="0" w:type="dxa"/>
          </w:tblCellMar>
          <w:tblLook w:val="0000"/>
        </w:tblPrEx>
        <w:tc>
          <w:tcPr>
            <w:tcW w:w="5220" w:type="dxa"/>
          </w:tcPr>
          <w:p w:rsidR="0079723C" w:rsidRPr="000F2B3D" w:rsidP="007A4C2C" w14:paraId="5BACEA5D" w14:textId="77777777">
            <w:pPr>
              <w:rPr>
                <w:sz w:val="20"/>
                <w:szCs w:val="20"/>
              </w:rPr>
            </w:pPr>
            <w:r w:rsidRPr="000F2B3D">
              <w:rPr>
                <w:b/>
                <w:sz w:val="20"/>
                <w:szCs w:val="20"/>
              </w:rPr>
              <w:t xml:space="preserve">Section 905(j)(1)(A)(ii) of the FD&amp;C Act </w:t>
            </w:r>
            <w:r w:rsidRPr="000F2B3D">
              <w:rPr>
                <w:sz w:val="20"/>
                <w:szCs w:val="20"/>
              </w:rPr>
              <w:t xml:space="preserve">If exemption granted, </w:t>
            </w:r>
            <w:r>
              <w:rPr>
                <w:sz w:val="20"/>
                <w:szCs w:val="20"/>
              </w:rPr>
              <w:t>Abbreviated R</w:t>
            </w:r>
            <w:r w:rsidRPr="000F2B3D">
              <w:rPr>
                <w:sz w:val="20"/>
                <w:szCs w:val="20"/>
              </w:rPr>
              <w:t xml:space="preserve">eport submitted to demonstrate tobacco </w:t>
            </w:r>
            <w:r w:rsidRPr="000F2B3D">
              <w:rPr>
                <w:sz w:val="20"/>
                <w:szCs w:val="20"/>
              </w:rPr>
              <w:t>product is modified under 905(j)(3), modifications are to a product that is commercially marketed and compliant product, and modifications covered by exemptions granted by Secretary pursuant to 905(j)(3).</w:t>
            </w:r>
          </w:p>
        </w:tc>
        <w:tc>
          <w:tcPr>
            <w:tcW w:w="1530" w:type="dxa"/>
            <w:vAlign w:val="center"/>
          </w:tcPr>
          <w:p w:rsidR="0079723C" w:rsidRPr="000F2B3D" w:rsidP="00A35DC6" w14:paraId="13A7CBC7" w14:textId="77777777">
            <w:pPr>
              <w:jc w:val="center"/>
              <w:rPr>
                <w:sz w:val="20"/>
                <w:szCs w:val="20"/>
              </w:rPr>
            </w:pPr>
            <w:r>
              <w:rPr>
                <w:sz w:val="20"/>
                <w:szCs w:val="20"/>
              </w:rPr>
              <w:t>372</w:t>
            </w:r>
          </w:p>
        </w:tc>
        <w:tc>
          <w:tcPr>
            <w:tcW w:w="1170" w:type="dxa"/>
            <w:vAlign w:val="center"/>
          </w:tcPr>
          <w:p w:rsidR="0079723C" w:rsidRPr="000F2B3D" w:rsidP="00A35DC6" w14:paraId="27414A8A" w14:textId="0E1F33CC">
            <w:pPr>
              <w:jc w:val="center"/>
              <w:rPr>
                <w:sz w:val="20"/>
                <w:szCs w:val="20"/>
              </w:rPr>
            </w:pPr>
            <w:r w:rsidRPr="000F2B3D">
              <w:rPr>
                <w:sz w:val="20"/>
                <w:szCs w:val="20"/>
              </w:rPr>
              <w:t>$</w:t>
            </w:r>
            <w:r w:rsidR="00F13DB5">
              <w:rPr>
                <w:sz w:val="20"/>
                <w:szCs w:val="20"/>
              </w:rPr>
              <w:t>70.50</w:t>
            </w:r>
          </w:p>
        </w:tc>
        <w:tc>
          <w:tcPr>
            <w:tcW w:w="1440" w:type="dxa"/>
            <w:vAlign w:val="center"/>
          </w:tcPr>
          <w:p w:rsidR="0079723C" w:rsidRPr="000F2B3D" w:rsidP="00A35DC6" w14:paraId="0ED56149" w14:textId="4490A422">
            <w:pPr>
              <w:jc w:val="center"/>
              <w:rPr>
                <w:sz w:val="20"/>
                <w:szCs w:val="20"/>
              </w:rPr>
            </w:pPr>
            <w:r w:rsidRPr="000F2B3D">
              <w:rPr>
                <w:sz w:val="20"/>
                <w:szCs w:val="20"/>
              </w:rPr>
              <w:t>$</w:t>
            </w:r>
            <w:r>
              <w:rPr>
                <w:sz w:val="20"/>
                <w:szCs w:val="20"/>
              </w:rPr>
              <w:t>2</w:t>
            </w:r>
            <w:r w:rsidR="00F13DB5">
              <w:rPr>
                <w:sz w:val="20"/>
                <w:szCs w:val="20"/>
              </w:rPr>
              <w:t>6,226.00</w:t>
            </w:r>
          </w:p>
        </w:tc>
      </w:tr>
      <w:tr w14:paraId="2CF16B2F" w14:textId="77777777" w:rsidTr="00A35DC6">
        <w:tblPrEx>
          <w:tblW w:w="9360" w:type="dxa"/>
          <w:tblInd w:w="203" w:type="dxa"/>
          <w:tblLayout w:type="fixed"/>
          <w:tblCellMar>
            <w:left w:w="0" w:type="dxa"/>
            <w:right w:w="0" w:type="dxa"/>
          </w:tblCellMar>
          <w:tblLook w:val="0000"/>
        </w:tblPrEx>
        <w:tc>
          <w:tcPr>
            <w:tcW w:w="7920" w:type="dxa"/>
            <w:gridSpan w:val="3"/>
          </w:tcPr>
          <w:p w:rsidR="0079723C" w:rsidRPr="000F2B3D" w:rsidP="00A35DC6" w14:paraId="00809B11" w14:textId="77777777">
            <w:pPr>
              <w:jc w:val="center"/>
              <w:rPr>
                <w:sz w:val="20"/>
                <w:szCs w:val="20"/>
              </w:rPr>
            </w:pPr>
            <w:r w:rsidRPr="000F2B3D">
              <w:rPr>
                <w:b/>
                <w:sz w:val="20"/>
                <w:szCs w:val="20"/>
              </w:rPr>
              <w:t>Total</w:t>
            </w:r>
          </w:p>
        </w:tc>
        <w:tc>
          <w:tcPr>
            <w:tcW w:w="1440" w:type="dxa"/>
            <w:vAlign w:val="center"/>
          </w:tcPr>
          <w:p w:rsidR="0079723C" w:rsidRPr="00E77DC0" w:rsidP="00A35DC6" w14:paraId="60C97DF1" w14:textId="1EE6E8AC">
            <w:pPr>
              <w:jc w:val="center"/>
              <w:rPr>
                <w:b/>
                <w:bCs/>
                <w:noProof/>
                <w:sz w:val="20"/>
                <w:szCs w:val="20"/>
              </w:rPr>
            </w:pPr>
            <w:r w:rsidRPr="0B3B28DD">
              <w:rPr>
                <w:b/>
                <w:bCs/>
                <w:sz w:val="20"/>
                <w:szCs w:val="20"/>
              </w:rPr>
              <w:fldChar w:fldCharType="begin"/>
            </w:r>
            <w:r w:rsidRPr="0B3B28DD">
              <w:rPr>
                <w:b/>
                <w:bCs/>
                <w:sz w:val="20"/>
                <w:szCs w:val="20"/>
              </w:rPr>
              <w:instrText xml:space="preserve"> =SUM(ABOVE) </w:instrText>
            </w:r>
            <w:r w:rsidRPr="0B3B28DD">
              <w:rPr>
                <w:b/>
                <w:bCs/>
                <w:sz w:val="20"/>
                <w:szCs w:val="20"/>
              </w:rPr>
              <w:fldChar w:fldCharType="separate"/>
            </w:r>
            <w:r w:rsidRPr="0B3B28DD">
              <w:rPr>
                <w:b/>
                <w:bCs/>
                <w:noProof/>
                <w:sz w:val="20"/>
                <w:szCs w:val="20"/>
              </w:rPr>
              <w:t>$</w:t>
            </w:r>
            <w:r w:rsidRPr="0B3B28DD">
              <w:rPr>
                <w:b/>
                <w:bCs/>
                <w:sz w:val="20"/>
                <w:szCs w:val="20"/>
              </w:rPr>
              <w:fldChar w:fldCharType="end"/>
            </w:r>
            <w:r w:rsidRPr="0B3B28DD">
              <w:rPr>
                <w:b/>
                <w:bCs/>
                <w:noProof/>
                <w:sz w:val="20"/>
                <w:szCs w:val="20"/>
              </w:rPr>
              <w:t>1,</w:t>
            </w:r>
            <w:r w:rsidR="00F13DB5">
              <w:rPr>
                <w:b/>
                <w:bCs/>
                <w:noProof/>
                <w:sz w:val="20"/>
                <w:szCs w:val="20"/>
              </w:rPr>
              <w:t>211,895</w:t>
            </w:r>
          </w:p>
        </w:tc>
      </w:tr>
    </w:tbl>
    <w:p w:rsidR="0079723C" w:rsidRPr="000F2B3D" w:rsidP="007A4C2C" w14:paraId="0262F6A0" w14:textId="77777777">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4C6979" w:rsidRPr="004C6979" w:rsidP="00D7326F" w14:paraId="1DF201A2" w14:textId="77777777">
      <w:pPr>
        <w:numPr>
          <w:ilvl w:val="0"/>
          <w:numId w:val="1"/>
        </w:numPr>
        <w:tabs>
          <w:tab w:val="num" w:pos="360"/>
          <w:tab w:val="clear" w:pos="720"/>
        </w:tabs>
        <w:spacing w:before="100" w:beforeAutospacing="1" w:after="100" w:afterAutospacing="1"/>
        <w:ind w:hanging="720"/>
        <w:rPr>
          <w:u w:val="single"/>
        </w:rPr>
      </w:pPr>
      <w:r w:rsidRPr="450F5066">
        <w:rPr>
          <w:u w:val="single"/>
        </w:rPr>
        <w:t>Estimates of Other Total Annual Cost</w:t>
      </w:r>
      <w:r w:rsidRPr="450F5066" w:rsidR="007C75B1">
        <w:rPr>
          <w:u w:val="single"/>
        </w:rPr>
        <w:t>s</w:t>
      </w:r>
      <w:r w:rsidRPr="450F5066">
        <w:rPr>
          <w:u w:val="single"/>
        </w:rPr>
        <w:t xml:space="preserve"> to Respondents and</w:t>
      </w:r>
      <w:r w:rsidRPr="450F5066" w:rsidR="00350523">
        <w:rPr>
          <w:u w:val="single"/>
        </w:rPr>
        <w:t>/or Recordkeepers/Capital Costs</w:t>
      </w:r>
    </w:p>
    <w:p w:rsidR="0061247B" w:rsidP="00D7326F" w14:paraId="6835565A" w14:textId="78802ED8">
      <w:r>
        <w:t>There are no additional capital</w:t>
      </w:r>
      <w:r w:rsidR="00F13DB5">
        <w:t>, start-up, or maintenance</w:t>
      </w:r>
      <w:r>
        <w:t xml:space="preserve"> costs associated with this collection of information.</w:t>
      </w:r>
    </w:p>
    <w:p w:rsidR="00356D2A" w:rsidRPr="001363E1" w:rsidP="00FE64BB" w14:paraId="0BA89FA2" w14:textId="16DC3CD0">
      <w:pPr>
        <w:numPr>
          <w:ilvl w:val="0"/>
          <w:numId w:val="1"/>
        </w:numPr>
        <w:tabs>
          <w:tab w:val="num" w:pos="360"/>
          <w:tab w:val="clear" w:pos="720"/>
        </w:tabs>
        <w:spacing w:before="100" w:beforeAutospacing="1" w:after="100" w:afterAutospacing="1"/>
        <w:ind w:hanging="720"/>
        <w:rPr>
          <w:u w:val="single"/>
        </w:rPr>
      </w:pPr>
      <w:r w:rsidRPr="450F5066">
        <w:rPr>
          <w:u w:val="single"/>
        </w:rPr>
        <w:t>Annualized Cost to the Federal Government</w:t>
      </w:r>
    </w:p>
    <w:p w:rsidR="00356D2A" w:rsidP="00FE64BB" w14:paraId="6248D420" w14:textId="11C04F5C">
      <w:pPr>
        <w:spacing w:before="100" w:beforeAutospacing="1" w:after="100" w:afterAutospacing="1"/>
      </w:pPr>
      <w:r>
        <w:t xml:space="preserve">Our estimated cost to the </w:t>
      </w:r>
      <w:r w:rsidR="00F13DB5">
        <w:t>f</w:t>
      </w:r>
      <w:r>
        <w:t xml:space="preserve">ederal government reflects the allocation of </w:t>
      </w:r>
      <w:r w:rsidR="007E17F1">
        <w:t>5</w:t>
      </w:r>
      <w:r>
        <w:t xml:space="preserve"> full-time</w:t>
      </w:r>
      <w:r w:rsidR="00DA4054">
        <w:t xml:space="preserve"> </w:t>
      </w:r>
      <w:r>
        <w:t>equivalent</w:t>
      </w:r>
      <w:r w:rsidR="00F13DB5">
        <w:t xml:space="preserve"> employees </w:t>
      </w:r>
      <w:r>
        <w:t xml:space="preserve">(FTEs) who </w:t>
      </w:r>
      <w:r w:rsidRPr="5298CBAA" w:rsidR="007E17F1">
        <w:rPr>
          <w:color w:val="000000" w:themeColor="text1"/>
        </w:rPr>
        <w:t>will review, compile, edit, and render a decision on exemption</w:t>
      </w:r>
      <w:r w:rsidR="00F13DB5">
        <w:rPr>
          <w:color w:val="000000" w:themeColor="text1"/>
        </w:rPr>
        <w:t xml:space="preserve"> </w:t>
      </w:r>
      <w:r w:rsidRPr="5298CBAA" w:rsidR="007E17F1">
        <w:rPr>
          <w:color w:val="000000" w:themeColor="text1"/>
        </w:rPr>
        <w:t>for substantial equivalence</w:t>
      </w:r>
      <w:r w:rsidR="00F13DB5">
        <w:rPr>
          <w:color w:val="000000" w:themeColor="text1"/>
        </w:rPr>
        <w:t xml:space="preserve"> requests</w:t>
      </w:r>
      <w:r w:rsidRPr="5298CBAA" w:rsidR="00895EE9">
        <w:rPr>
          <w:color w:val="000000" w:themeColor="text1"/>
        </w:rPr>
        <w:t xml:space="preserve"> and review reports submitted under section 905(j)(1)(A)(ii)</w:t>
      </w:r>
      <w:r w:rsidR="00F13DB5">
        <w:rPr>
          <w:color w:val="000000" w:themeColor="text1"/>
        </w:rPr>
        <w:t xml:space="preserve"> of the FD&amp;C Act</w:t>
      </w:r>
      <w:r w:rsidRPr="5298CBAA" w:rsidR="007E17F1">
        <w:rPr>
          <w:color w:val="000000" w:themeColor="text1"/>
        </w:rPr>
        <w:t>.</w:t>
      </w:r>
      <w:r>
        <w:t xml:space="preserve"> Using as a basis</w:t>
      </w:r>
      <w:r w:rsidR="00F13DB5">
        <w:t xml:space="preserve"> 2025</w:t>
      </w:r>
      <w:r>
        <w:t xml:space="preserve"> salary and wage data for the Washington DC-Metropolitan area found at </w:t>
      </w:r>
      <w:hyperlink r:id="rId19" w:history="1">
        <w:r w:rsidRPr="5298CBAA" w:rsidR="008E75F2">
          <w:rPr>
            <w:rStyle w:val="Hyperlink"/>
          </w:rPr>
          <w:t>www.opm.gov/policy-data-oversight/pay-leave/salaries-wages/salary-tables/25Tables/pdf/DCB.pdf</w:t>
        </w:r>
      </w:hyperlink>
      <w:r w:rsidR="008E75F2">
        <w:t xml:space="preserve"> </w:t>
      </w:r>
      <w:r>
        <w:t>for a GS-13/</w:t>
      </w:r>
      <w:r w:rsidR="00F13DB5">
        <w:t xml:space="preserve">Step </w:t>
      </w:r>
      <w:r>
        <w:t>4 employee, we calculate a total</w:t>
      </w:r>
      <w:r w:rsidR="00F13DB5">
        <w:t xml:space="preserve"> annual</w:t>
      </w:r>
      <w:r>
        <w:t xml:space="preserve"> cost </w:t>
      </w:r>
      <w:r w:rsidR="00F13DB5">
        <w:t xml:space="preserve">to the federal government </w:t>
      </w:r>
      <w:r>
        <w:t>of $</w:t>
      </w:r>
      <w:r w:rsidR="00AE6F6E">
        <w:t>6</w:t>
      </w:r>
      <w:r w:rsidR="000352BA">
        <w:t>63</w:t>
      </w:r>
      <w:r w:rsidR="007E17F1">
        <w:t>,</w:t>
      </w:r>
      <w:r w:rsidR="00C65641">
        <w:t>190</w:t>
      </w:r>
      <w:r>
        <w:t xml:space="preserve"> ($</w:t>
      </w:r>
      <w:r w:rsidR="00DE79E7">
        <w:t>1</w:t>
      </w:r>
      <w:r w:rsidR="000352BA">
        <w:t>32,638</w:t>
      </w:r>
      <w:r>
        <w:t xml:space="preserve"> x </w:t>
      </w:r>
      <w:r w:rsidR="007E17F1">
        <w:t>5</w:t>
      </w:r>
      <w:r>
        <w:t>).</w:t>
      </w:r>
    </w:p>
    <w:p w:rsidR="004C6979" w:rsidP="00F57B18" w14:paraId="285E0D5E" w14:textId="4C1E9281">
      <w:pPr>
        <w:numPr>
          <w:ilvl w:val="0"/>
          <w:numId w:val="1"/>
        </w:numPr>
        <w:tabs>
          <w:tab w:val="num" w:pos="360"/>
          <w:tab w:val="clear" w:pos="720"/>
        </w:tabs>
        <w:spacing w:before="100" w:beforeAutospacing="1" w:after="100" w:afterAutospacing="1"/>
        <w:ind w:hanging="720"/>
        <w:rPr>
          <w:u w:val="single"/>
        </w:rPr>
      </w:pPr>
      <w:r w:rsidRPr="450F5066">
        <w:rPr>
          <w:u w:val="single"/>
        </w:rPr>
        <w:t>Explanation for Program Changes or Adjustments</w:t>
      </w:r>
    </w:p>
    <w:p w:rsidR="00F13DB5" w:rsidP="00F57B18" w14:paraId="362C2128" w14:textId="4C8A5437">
      <w:pPr>
        <w:spacing w:before="100" w:beforeAutospacing="1" w:after="100" w:afterAutospacing="1"/>
      </w:pPr>
      <w:r>
        <w:t>FDA has adjusted its burden estimates based on updated respondent numbers. Specifically, we have reduced the ann</w:t>
      </w:r>
      <w:r w:rsidR="00E81A91">
        <w:t>u</w:t>
      </w:r>
      <w:r>
        <w:t>al number of respondents submitting exemption requests from 812 to 682 based on the average number of exemption requests received durin</w:t>
      </w:r>
      <w:r w:rsidR="00E81A91">
        <w:t>g</w:t>
      </w:r>
      <w:r>
        <w:t xml:space="preserve"> the past 3 years. We have reduced the number of respondents who will submit Abbreviated Reports, as required by section 905(j)(1)(A)(ii) of the FD&amp;C Act, from 1,217 to 186 annually based on the average number of exemptions issued during the past 3 years. </w:t>
      </w:r>
    </w:p>
    <w:p w:rsidR="001363E1" w:rsidP="00F57B18" w14:paraId="6B1228D1" w14:textId="18456127">
      <w:pPr>
        <w:spacing w:before="100" w:beforeAutospacing="1" w:after="100" w:afterAutospacing="1"/>
      </w:pPr>
      <w:r>
        <w:t xml:space="preserve">Our estimated burden for the information collection reflects an overall decrease of </w:t>
      </w:r>
      <w:r w:rsidR="00F13DB5">
        <w:t>5,182 hours and 1,161</w:t>
      </w:r>
      <w:r w:rsidR="009C0B22">
        <w:t xml:space="preserve"> total</w:t>
      </w:r>
      <w:r w:rsidR="00F13DB5">
        <w:t xml:space="preserve"> </w:t>
      </w:r>
      <w:r w:rsidRPr="0071140B" w:rsidR="00F13DB5">
        <w:t>respondents</w:t>
      </w:r>
      <w:r w:rsidR="00F13DB5">
        <w:t xml:space="preserve">. We attribute this adjustment to the number of submissions we received over the last </w:t>
      </w:r>
      <w:r w:rsidR="002536B9">
        <w:t>3</w:t>
      </w:r>
      <w:r w:rsidR="00F13DB5">
        <w:t xml:space="preserve"> years. Therefore, FDA now estimates the respondent burden associated with Exemptions for Substantial Equivalence Requirement is 17,190 hours. </w:t>
      </w:r>
    </w:p>
    <w:p w:rsidR="004C6979" w:rsidP="00F57B18" w14:paraId="4759E9EB" w14:textId="72D3F75F">
      <w:pPr>
        <w:numPr>
          <w:ilvl w:val="0"/>
          <w:numId w:val="1"/>
        </w:numPr>
        <w:tabs>
          <w:tab w:val="num" w:pos="360"/>
          <w:tab w:val="clear" w:pos="720"/>
        </w:tabs>
        <w:spacing w:before="100" w:beforeAutospacing="1" w:after="100" w:afterAutospacing="1"/>
        <w:ind w:hanging="720"/>
        <w:rPr>
          <w:u w:val="single"/>
        </w:rPr>
      </w:pPr>
      <w:r w:rsidRPr="450F5066">
        <w:rPr>
          <w:u w:val="single"/>
        </w:rPr>
        <w:t>Plans for Tabulation and Publication and Project Time Schedule</w:t>
      </w:r>
    </w:p>
    <w:p w:rsidR="001363E1" w:rsidRPr="004C6979" w:rsidP="00F57B18" w14:paraId="5EE49886" w14:textId="02BC3DD3">
      <w:pPr>
        <w:spacing w:before="100" w:beforeAutospacing="1" w:after="100" w:afterAutospacing="1"/>
        <w:rPr>
          <w:u w:val="single"/>
        </w:rPr>
      </w:pPr>
      <w:r>
        <w:t>This information collected will not be published or tabulated.</w:t>
      </w:r>
    </w:p>
    <w:p w:rsidR="004C6979" w:rsidRPr="004C6979" w:rsidP="00F57B18" w14:paraId="5D20D69B" w14:textId="6B67E856">
      <w:pPr>
        <w:numPr>
          <w:ilvl w:val="0"/>
          <w:numId w:val="1"/>
        </w:numPr>
        <w:tabs>
          <w:tab w:val="num" w:pos="360"/>
          <w:tab w:val="clear" w:pos="720"/>
        </w:tabs>
        <w:spacing w:before="100" w:beforeAutospacing="1" w:after="100" w:afterAutospacing="1"/>
        <w:ind w:hanging="720"/>
        <w:rPr>
          <w:u w:val="single"/>
        </w:rPr>
      </w:pPr>
      <w:r w:rsidRPr="450F5066">
        <w:rPr>
          <w:u w:val="single"/>
        </w:rPr>
        <w:t xml:space="preserve">Reason(s) Display of OMB Expiration Date </w:t>
      </w:r>
      <w:r w:rsidRPr="450F5066" w:rsidR="003657A6">
        <w:rPr>
          <w:u w:val="single"/>
        </w:rPr>
        <w:t>I</w:t>
      </w:r>
      <w:r w:rsidRPr="450F5066">
        <w:rPr>
          <w:u w:val="single"/>
        </w:rPr>
        <w:t>s Inappropriate</w:t>
      </w:r>
    </w:p>
    <w:p w:rsidR="0061247B" w:rsidP="00F57B18" w14:paraId="4FD5D72B" w14:textId="1CCDECC2">
      <w:r>
        <w:t>FDA is not requesting an exemption for display of the OMB expiration date and is also not seeking OMB approval to exclude the expiration date for this information collection.</w:t>
      </w:r>
    </w:p>
    <w:p w:rsidR="00EB7538" w:rsidRPr="00F57B18" w:rsidP="009E0C07" w14:paraId="59AC64CF" w14:textId="02A5CFAA">
      <w:pPr>
        <w:pStyle w:val="ListParagraph"/>
        <w:numPr>
          <w:ilvl w:val="0"/>
          <w:numId w:val="1"/>
        </w:numPr>
        <w:tabs>
          <w:tab w:val="num" w:pos="360"/>
          <w:tab w:val="clear" w:pos="720"/>
        </w:tabs>
        <w:spacing w:before="100" w:beforeAutospacing="1" w:after="100" w:afterAutospacing="1"/>
        <w:ind w:hanging="720"/>
        <w:rPr>
          <w:u w:val="single"/>
        </w:rPr>
      </w:pPr>
      <w:r w:rsidRPr="00F57B18">
        <w:rPr>
          <w:u w:val="single"/>
        </w:rPr>
        <w:t>Exceptions to Certification for Paperwork Reduction Act Submissions</w:t>
      </w:r>
    </w:p>
    <w:p w:rsidR="318CF6E8" w:rsidP="00F57B18" w14:paraId="1996F58D" w14:textId="73FAA08D">
      <w:pPr>
        <w:spacing w:before="100" w:beforeAutospacing="1" w:after="100" w:afterAutospacing="1"/>
      </w:pPr>
      <w:r>
        <w:t>There are no exceptions to the certification</w:t>
      </w:r>
      <w:r w:rsidR="004260A7">
        <w:t>.</w:t>
      </w:r>
    </w:p>
    <w:sectPr w:rsidSect="00EB7538">
      <w:footerReference w:type="even" r:id="rId20"/>
      <w:footerReference w:type="default" r:id="rId2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3A7F0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3CAF47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294D7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4521">
      <w:rPr>
        <w:rStyle w:val="PageNumber"/>
        <w:noProof/>
      </w:rPr>
      <w:t>12</w:t>
    </w:r>
    <w:r>
      <w:rPr>
        <w:rStyle w:val="PageNumber"/>
      </w:rPr>
      <w:fldChar w:fldCharType="end"/>
    </w:r>
  </w:p>
  <w:p w:rsidR="00E63DE5" w14:paraId="131F8B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084330018">
    <w:abstractNumId w:val="10"/>
  </w:num>
  <w:num w:numId="2" w16cid:durableId="660544612">
    <w:abstractNumId w:val="15"/>
  </w:num>
  <w:num w:numId="3" w16cid:durableId="901136366">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972787177">
    <w:abstractNumId w:val="20"/>
  </w:num>
  <w:num w:numId="5" w16cid:durableId="1472555843">
    <w:abstractNumId w:val="7"/>
  </w:num>
  <w:num w:numId="6" w16cid:durableId="1887179833">
    <w:abstractNumId w:val="22"/>
  </w:num>
  <w:num w:numId="7" w16cid:durableId="2052270083">
    <w:abstractNumId w:val="27"/>
  </w:num>
  <w:num w:numId="8" w16cid:durableId="1559168120">
    <w:abstractNumId w:val="4"/>
  </w:num>
  <w:num w:numId="9" w16cid:durableId="236017668">
    <w:abstractNumId w:val="23"/>
  </w:num>
  <w:num w:numId="10" w16cid:durableId="1389567486">
    <w:abstractNumId w:val="19"/>
  </w:num>
  <w:num w:numId="11" w16cid:durableId="1035547725">
    <w:abstractNumId w:val="9"/>
  </w:num>
  <w:num w:numId="12" w16cid:durableId="1998876500">
    <w:abstractNumId w:val="30"/>
  </w:num>
  <w:num w:numId="13" w16cid:durableId="1466309915">
    <w:abstractNumId w:val="18"/>
  </w:num>
  <w:num w:numId="14" w16cid:durableId="353920064">
    <w:abstractNumId w:val="8"/>
  </w:num>
  <w:num w:numId="15" w16cid:durableId="783571071">
    <w:abstractNumId w:val="14"/>
  </w:num>
  <w:num w:numId="16" w16cid:durableId="304774066">
    <w:abstractNumId w:val="13"/>
  </w:num>
  <w:num w:numId="17" w16cid:durableId="1568759012">
    <w:abstractNumId w:val="26"/>
  </w:num>
  <w:num w:numId="18" w16cid:durableId="384064125">
    <w:abstractNumId w:val="29"/>
  </w:num>
  <w:num w:numId="19" w16cid:durableId="1814251425">
    <w:abstractNumId w:val="28"/>
  </w:num>
  <w:num w:numId="20" w16cid:durableId="1439983261">
    <w:abstractNumId w:val="17"/>
  </w:num>
  <w:num w:numId="21" w16cid:durableId="752238843">
    <w:abstractNumId w:val="12"/>
  </w:num>
  <w:num w:numId="22" w16cid:durableId="898175014">
    <w:abstractNumId w:val="3"/>
  </w:num>
  <w:num w:numId="23" w16cid:durableId="282615322">
    <w:abstractNumId w:val="24"/>
  </w:num>
  <w:num w:numId="24" w16cid:durableId="343438056">
    <w:abstractNumId w:val="21"/>
  </w:num>
  <w:num w:numId="25" w16cid:durableId="459541972">
    <w:abstractNumId w:val="11"/>
  </w:num>
  <w:num w:numId="26" w16cid:durableId="2124877589">
    <w:abstractNumId w:val="6"/>
  </w:num>
  <w:num w:numId="27" w16cid:durableId="1121539140">
    <w:abstractNumId w:val="31"/>
  </w:num>
  <w:num w:numId="28" w16cid:durableId="144905331">
    <w:abstractNumId w:val="25"/>
  </w:num>
  <w:num w:numId="29" w16cid:durableId="1348173560">
    <w:abstractNumId w:val="5"/>
  </w:num>
  <w:num w:numId="30" w16cid:durableId="1774668788">
    <w:abstractNumId w:val="16"/>
  </w:num>
  <w:num w:numId="31" w16cid:durableId="1725791342">
    <w:abstractNumId w:val="2"/>
  </w:num>
  <w:num w:numId="32" w16cid:durableId="171758538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7CE"/>
    <w:rsid w:val="00006842"/>
    <w:rsid w:val="000119F8"/>
    <w:rsid w:val="000148B5"/>
    <w:rsid w:val="00014CBB"/>
    <w:rsid w:val="000166EC"/>
    <w:rsid w:val="00016DC4"/>
    <w:rsid w:val="00017B2F"/>
    <w:rsid w:val="00023952"/>
    <w:rsid w:val="00026C9F"/>
    <w:rsid w:val="000313C9"/>
    <w:rsid w:val="00031A78"/>
    <w:rsid w:val="00032EA0"/>
    <w:rsid w:val="000352BA"/>
    <w:rsid w:val="00036C67"/>
    <w:rsid w:val="000453AE"/>
    <w:rsid w:val="000460D3"/>
    <w:rsid w:val="00046C2E"/>
    <w:rsid w:val="00046F53"/>
    <w:rsid w:val="0006570F"/>
    <w:rsid w:val="00065C0F"/>
    <w:rsid w:val="00066589"/>
    <w:rsid w:val="00067C52"/>
    <w:rsid w:val="00070F6E"/>
    <w:rsid w:val="00072A87"/>
    <w:rsid w:val="00081C70"/>
    <w:rsid w:val="0008276F"/>
    <w:rsid w:val="00085C49"/>
    <w:rsid w:val="000877E9"/>
    <w:rsid w:val="00094449"/>
    <w:rsid w:val="00097523"/>
    <w:rsid w:val="0009780F"/>
    <w:rsid w:val="000A5399"/>
    <w:rsid w:val="000A7FD1"/>
    <w:rsid w:val="000B1A87"/>
    <w:rsid w:val="000B4022"/>
    <w:rsid w:val="000B4446"/>
    <w:rsid w:val="000B44D9"/>
    <w:rsid w:val="000B46FA"/>
    <w:rsid w:val="000C05D6"/>
    <w:rsid w:val="000C575D"/>
    <w:rsid w:val="000C6085"/>
    <w:rsid w:val="000D3C56"/>
    <w:rsid w:val="000D48FD"/>
    <w:rsid w:val="000D4DF7"/>
    <w:rsid w:val="000D4E7F"/>
    <w:rsid w:val="000D5043"/>
    <w:rsid w:val="000D76F9"/>
    <w:rsid w:val="000E1C64"/>
    <w:rsid w:val="000E2C3B"/>
    <w:rsid w:val="000E40B4"/>
    <w:rsid w:val="000E5540"/>
    <w:rsid w:val="000E6B41"/>
    <w:rsid w:val="000F1325"/>
    <w:rsid w:val="000F2B3D"/>
    <w:rsid w:val="000F70CB"/>
    <w:rsid w:val="00100739"/>
    <w:rsid w:val="001024D9"/>
    <w:rsid w:val="0010546B"/>
    <w:rsid w:val="00107885"/>
    <w:rsid w:val="00107975"/>
    <w:rsid w:val="00113AE3"/>
    <w:rsid w:val="00113E08"/>
    <w:rsid w:val="00114FC4"/>
    <w:rsid w:val="00115711"/>
    <w:rsid w:val="00117FA7"/>
    <w:rsid w:val="0012329C"/>
    <w:rsid w:val="001247F7"/>
    <w:rsid w:val="00134FA7"/>
    <w:rsid w:val="001360E8"/>
    <w:rsid w:val="001363E1"/>
    <w:rsid w:val="001363F8"/>
    <w:rsid w:val="00137950"/>
    <w:rsid w:val="00141CD1"/>
    <w:rsid w:val="0015007C"/>
    <w:rsid w:val="0015217C"/>
    <w:rsid w:val="00152F29"/>
    <w:rsid w:val="00155F7C"/>
    <w:rsid w:val="0016262E"/>
    <w:rsid w:val="0016287E"/>
    <w:rsid w:val="00162F4B"/>
    <w:rsid w:val="001671F8"/>
    <w:rsid w:val="00171FB5"/>
    <w:rsid w:val="00173873"/>
    <w:rsid w:val="00185020"/>
    <w:rsid w:val="00185270"/>
    <w:rsid w:val="00185623"/>
    <w:rsid w:val="001935E2"/>
    <w:rsid w:val="001976BD"/>
    <w:rsid w:val="001A0DFB"/>
    <w:rsid w:val="001A18E6"/>
    <w:rsid w:val="001A3B5A"/>
    <w:rsid w:val="001A4D1B"/>
    <w:rsid w:val="001A4D66"/>
    <w:rsid w:val="001A6ECA"/>
    <w:rsid w:val="001B28B1"/>
    <w:rsid w:val="001B3709"/>
    <w:rsid w:val="001B6F05"/>
    <w:rsid w:val="001B71C7"/>
    <w:rsid w:val="001B76B6"/>
    <w:rsid w:val="001B7CE9"/>
    <w:rsid w:val="001C3ABD"/>
    <w:rsid w:val="001D0C34"/>
    <w:rsid w:val="001D1B5D"/>
    <w:rsid w:val="001D242D"/>
    <w:rsid w:val="001D3D18"/>
    <w:rsid w:val="001D46AD"/>
    <w:rsid w:val="001D495A"/>
    <w:rsid w:val="001D52EA"/>
    <w:rsid w:val="001D5BD6"/>
    <w:rsid w:val="001E1C73"/>
    <w:rsid w:val="001E4F0E"/>
    <w:rsid w:val="001F067A"/>
    <w:rsid w:val="001F3C46"/>
    <w:rsid w:val="001F55F6"/>
    <w:rsid w:val="002061E1"/>
    <w:rsid w:val="002073C6"/>
    <w:rsid w:val="00210759"/>
    <w:rsid w:val="0021399E"/>
    <w:rsid w:val="00216384"/>
    <w:rsid w:val="00220C7C"/>
    <w:rsid w:val="002259EF"/>
    <w:rsid w:val="00225A53"/>
    <w:rsid w:val="002301DF"/>
    <w:rsid w:val="00230B34"/>
    <w:rsid w:val="00230B72"/>
    <w:rsid w:val="00232CED"/>
    <w:rsid w:val="00236A34"/>
    <w:rsid w:val="00241BD0"/>
    <w:rsid w:val="00242645"/>
    <w:rsid w:val="00242ED1"/>
    <w:rsid w:val="00251127"/>
    <w:rsid w:val="00251254"/>
    <w:rsid w:val="002530EA"/>
    <w:rsid w:val="002536B9"/>
    <w:rsid w:val="00254069"/>
    <w:rsid w:val="002548F8"/>
    <w:rsid w:val="00255739"/>
    <w:rsid w:val="00255A96"/>
    <w:rsid w:val="00261807"/>
    <w:rsid w:val="002650F1"/>
    <w:rsid w:val="0026695A"/>
    <w:rsid w:val="00266A5C"/>
    <w:rsid w:val="00266C35"/>
    <w:rsid w:val="002722FA"/>
    <w:rsid w:val="002734E5"/>
    <w:rsid w:val="00273BA3"/>
    <w:rsid w:val="002746DB"/>
    <w:rsid w:val="00276D1D"/>
    <w:rsid w:val="0028076F"/>
    <w:rsid w:val="00280CAF"/>
    <w:rsid w:val="00282F09"/>
    <w:rsid w:val="00286D00"/>
    <w:rsid w:val="00287660"/>
    <w:rsid w:val="00297A3E"/>
    <w:rsid w:val="002A34D9"/>
    <w:rsid w:val="002A6A28"/>
    <w:rsid w:val="002B1AF6"/>
    <w:rsid w:val="002B4B50"/>
    <w:rsid w:val="002B501D"/>
    <w:rsid w:val="002C1CBD"/>
    <w:rsid w:val="002C1E76"/>
    <w:rsid w:val="002C386A"/>
    <w:rsid w:val="002C53D0"/>
    <w:rsid w:val="002C5B5F"/>
    <w:rsid w:val="002C7225"/>
    <w:rsid w:val="002D0002"/>
    <w:rsid w:val="002D14D8"/>
    <w:rsid w:val="002D1F5E"/>
    <w:rsid w:val="002D3781"/>
    <w:rsid w:val="002D4799"/>
    <w:rsid w:val="002E06C8"/>
    <w:rsid w:val="002E2F25"/>
    <w:rsid w:val="002E3FA4"/>
    <w:rsid w:val="002E5911"/>
    <w:rsid w:val="002F1554"/>
    <w:rsid w:val="002F1AD9"/>
    <w:rsid w:val="002F48DB"/>
    <w:rsid w:val="0030272E"/>
    <w:rsid w:val="00302F35"/>
    <w:rsid w:val="003057DF"/>
    <w:rsid w:val="003066B9"/>
    <w:rsid w:val="00306707"/>
    <w:rsid w:val="00311193"/>
    <w:rsid w:val="003140BF"/>
    <w:rsid w:val="0032277F"/>
    <w:rsid w:val="00326C5F"/>
    <w:rsid w:val="00335F5B"/>
    <w:rsid w:val="0033645A"/>
    <w:rsid w:val="00337FA6"/>
    <w:rsid w:val="00341027"/>
    <w:rsid w:val="00342B63"/>
    <w:rsid w:val="00345440"/>
    <w:rsid w:val="00345886"/>
    <w:rsid w:val="00350523"/>
    <w:rsid w:val="00351AF8"/>
    <w:rsid w:val="00355CE4"/>
    <w:rsid w:val="00356D2A"/>
    <w:rsid w:val="0036286A"/>
    <w:rsid w:val="0036482F"/>
    <w:rsid w:val="00365641"/>
    <w:rsid w:val="003657A6"/>
    <w:rsid w:val="00367338"/>
    <w:rsid w:val="003732FB"/>
    <w:rsid w:val="003740BC"/>
    <w:rsid w:val="003779C2"/>
    <w:rsid w:val="003801A3"/>
    <w:rsid w:val="00383D90"/>
    <w:rsid w:val="00390ECF"/>
    <w:rsid w:val="00390F61"/>
    <w:rsid w:val="003926D0"/>
    <w:rsid w:val="00393C8A"/>
    <w:rsid w:val="0039420D"/>
    <w:rsid w:val="003A03A7"/>
    <w:rsid w:val="003A0C2D"/>
    <w:rsid w:val="003A2858"/>
    <w:rsid w:val="003A2C04"/>
    <w:rsid w:val="003A6D47"/>
    <w:rsid w:val="003B0789"/>
    <w:rsid w:val="003B2304"/>
    <w:rsid w:val="003B2CFB"/>
    <w:rsid w:val="003B323C"/>
    <w:rsid w:val="003B394B"/>
    <w:rsid w:val="003B42B3"/>
    <w:rsid w:val="003B5F80"/>
    <w:rsid w:val="003B6384"/>
    <w:rsid w:val="003B7BEA"/>
    <w:rsid w:val="003C04D9"/>
    <w:rsid w:val="003C149B"/>
    <w:rsid w:val="003C14C5"/>
    <w:rsid w:val="003C1990"/>
    <w:rsid w:val="003C4EBB"/>
    <w:rsid w:val="003D1531"/>
    <w:rsid w:val="003E1DFF"/>
    <w:rsid w:val="003E4EC6"/>
    <w:rsid w:val="003E527E"/>
    <w:rsid w:val="003E553E"/>
    <w:rsid w:val="003E7078"/>
    <w:rsid w:val="003F3DF5"/>
    <w:rsid w:val="003F515B"/>
    <w:rsid w:val="003F5B0B"/>
    <w:rsid w:val="00403B3D"/>
    <w:rsid w:val="00404B06"/>
    <w:rsid w:val="004058DF"/>
    <w:rsid w:val="00411D11"/>
    <w:rsid w:val="00413DDD"/>
    <w:rsid w:val="00415E23"/>
    <w:rsid w:val="004161B5"/>
    <w:rsid w:val="00423ECF"/>
    <w:rsid w:val="00424061"/>
    <w:rsid w:val="0042429A"/>
    <w:rsid w:val="004260A7"/>
    <w:rsid w:val="00436030"/>
    <w:rsid w:val="00436969"/>
    <w:rsid w:val="00436A60"/>
    <w:rsid w:val="00442E8E"/>
    <w:rsid w:val="00443969"/>
    <w:rsid w:val="00445B08"/>
    <w:rsid w:val="00445F6A"/>
    <w:rsid w:val="00447D74"/>
    <w:rsid w:val="00450068"/>
    <w:rsid w:val="00450A74"/>
    <w:rsid w:val="00451096"/>
    <w:rsid w:val="00460833"/>
    <w:rsid w:val="00463241"/>
    <w:rsid w:val="00464D1E"/>
    <w:rsid w:val="00465350"/>
    <w:rsid w:val="00471CFA"/>
    <w:rsid w:val="00473CDF"/>
    <w:rsid w:val="0048214C"/>
    <w:rsid w:val="004846BF"/>
    <w:rsid w:val="00485D14"/>
    <w:rsid w:val="00494987"/>
    <w:rsid w:val="00495F66"/>
    <w:rsid w:val="004A0F86"/>
    <w:rsid w:val="004B377F"/>
    <w:rsid w:val="004C0688"/>
    <w:rsid w:val="004C28A0"/>
    <w:rsid w:val="004C3781"/>
    <w:rsid w:val="004C390E"/>
    <w:rsid w:val="004C6979"/>
    <w:rsid w:val="004D141A"/>
    <w:rsid w:val="004D1D45"/>
    <w:rsid w:val="004D3E7A"/>
    <w:rsid w:val="004D6DF9"/>
    <w:rsid w:val="004E6F06"/>
    <w:rsid w:val="004F4D3F"/>
    <w:rsid w:val="004F5285"/>
    <w:rsid w:val="00500880"/>
    <w:rsid w:val="00500D7C"/>
    <w:rsid w:val="00507131"/>
    <w:rsid w:val="00507B36"/>
    <w:rsid w:val="00511F44"/>
    <w:rsid w:val="005124B7"/>
    <w:rsid w:val="005175B5"/>
    <w:rsid w:val="00522D43"/>
    <w:rsid w:val="00522E3F"/>
    <w:rsid w:val="00526D7B"/>
    <w:rsid w:val="005307B2"/>
    <w:rsid w:val="0053422A"/>
    <w:rsid w:val="0053529F"/>
    <w:rsid w:val="00535303"/>
    <w:rsid w:val="0053603E"/>
    <w:rsid w:val="00537541"/>
    <w:rsid w:val="00544138"/>
    <w:rsid w:val="00545E8E"/>
    <w:rsid w:val="00550394"/>
    <w:rsid w:val="00551BD2"/>
    <w:rsid w:val="00552233"/>
    <w:rsid w:val="00560B2E"/>
    <w:rsid w:val="0056398B"/>
    <w:rsid w:val="005670D5"/>
    <w:rsid w:val="005746E0"/>
    <w:rsid w:val="00574B8B"/>
    <w:rsid w:val="005817D1"/>
    <w:rsid w:val="00584583"/>
    <w:rsid w:val="00586F32"/>
    <w:rsid w:val="0059126B"/>
    <w:rsid w:val="005A1C60"/>
    <w:rsid w:val="005A4099"/>
    <w:rsid w:val="005A47C1"/>
    <w:rsid w:val="005A6799"/>
    <w:rsid w:val="005B206F"/>
    <w:rsid w:val="005B3651"/>
    <w:rsid w:val="005B3D7A"/>
    <w:rsid w:val="005C38B2"/>
    <w:rsid w:val="005C462E"/>
    <w:rsid w:val="005C5029"/>
    <w:rsid w:val="005C55C2"/>
    <w:rsid w:val="005C798B"/>
    <w:rsid w:val="005D1506"/>
    <w:rsid w:val="005D4DF5"/>
    <w:rsid w:val="005D7917"/>
    <w:rsid w:val="005E1072"/>
    <w:rsid w:val="005E5D80"/>
    <w:rsid w:val="005F106A"/>
    <w:rsid w:val="005F4BC2"/>
    <w:rsid w:val="005F6106"/>
    <w:rsid w:val="005F76F7"/>
    <w:rsid w:val="005F7CE4"/>
    <w:rsid w:val="005F7DE5"/>
    <w:rsid w:val="00601291"/>
    <w:rsid w:val="00602208"/>
    <w:rsid w:val="00611D6B"/>
    <w:rsid w:val="0061247B"/>
    <w:rsid w:val="00613DE8"/>
    <w:rsid w:val="0062121B"/>
    <w:rsid w:val="0062296A"/>
    <w:rsid w:val="00622AE9"/>
    <w:rsid w:val="00623664"/>
    <w:rsid w:val="00624B55"/>
    <w:rsid w:val="00626F8E"/>
    <w:rsid w:val="00635395"/>
    <w:rsid w:val="00637165"/>
    <w:rsid w:val="00653B6E"/>
    <w:rsid w:val="00660BC1"/>
    <w:rsid w:val="006700A0"/>
    <w:rsid w:val="00671F8B"/>
    <w:rsid w:val="006725DE"/>
    <w:rsid w:val="00677739"/>
    <w:rsid w:val="00683EE2"/>
    <w:rsid w:val="006852D0"/>
    <w:rsid w:val="006900A9"/>
    <w:rsid w:val="0069201A"/>
    <w:rsid w:val="00692A42"/>
    <w:rsid w:val="00695117"/>
    <w:rsid w:val="0069666B"/>
    <w:rsid w:val="00697605"/>
    <w:rsid w:val="00697DAF"/>
    <w:rsid w:val="006A0A2A"/>
    <w:rsid w:val="006A26C6"/>
    <w:rsid w:val="006A4F8E"/>
    <w:rsid w:val="006A589B"/>
    <w:rsid w:val="006A7D5D"/>
    <w:rsid w:val="006C1C38"/>
    <w:rsid w:val="006C4312"/>
    <w:rsid w:val="006C50E8"/>
    <w:rsid w:val="006D51D5"/>
    <w:rsid w:val="006D6236"/>
    <w:rsid w:val="006D75C6"/>
    <w:rsid w:val="006E01F2"/>
    <w:rsid w:val="006E1925"/>
    <w:rsid w:val="006E199A"/>
    <w:rsid w:val="006E3A97"/>
    <w:rsid w:val="006E6F69"/>
    <w:rsid w:val="006F11F8"/>
    <w:rsid w:val="006F2796"/>
    <w:rsid w:val="006F4D6D"/>
    <w:rsid w:val="00704262"/>
    <w:rsid w:val="00705086"/>
    <w:rsid w:val="00705887"/>
    <w:rsid w:val="00706B23"/>
    <w:rsid w:val="007076BA"/>
    <w:rsid w:val="0071140B"/>
    <w:rsid w:val="0071158B"/>
    <w:rsid w:val="007125C3"/>
    <w:rsid w:val="00712C70"/>
    <w:rsid w:val="00716B1A"/>
    <w:rsid w:val="00716DED"/>
    <w:rsid w:val="00717649"/>
    <w:rsid w:val="00717C5B"/>
    <w:rsid w:val="00733A52"/>
    <w:rsid w:val="00734A8B"/>
    <w:rsid w:val="00741BA4"/>
    <w:rsid w:val="0074548D"/>
    <w:rsid w:val="00747CAA"/>
    <w:rsid w:val="0075307F"/>
    <w:rsid w:val="00754497"/>
    <w:rsid w:val="00754B0C"/>
    <w:rsid w:val="007637F7"/>
    <w:rsid w:val="00764A25"/>
    <w:rsid w:val="00771CC3"/>
    <w:rsid w:val="00772BBC"/>
    <w:rsid w:val="00774906"/>
    <w:rsid w:val="00775E71"/>
    <w:rsid w:val="007771DD"/>
    <w:rsid w:val="00780A89"/>
    <w:rsid w:val="00781D91"/>
    <w:rsid w:val="00782086"/>
    <w:rsid w:val="00786F8C"/>
    <w:rsid w:val="00787C39"/>
    <w:rsid w:val="007959A9"/>
    <w:rsid w:val="00795DF3"/>
    <w:rsid w:val="00795E92"/>
    <w:rsid w:val="007970BF"/>
    <w:rsid w:val="0079723C"/>
    <w:rsid w:val="007A2048"/>
    <w:rsid w:val="007A27DF"/>
    <w:rsid w:val="007A373C"/>
    <w:rsid w:val="007A4C2C"/>
    <w:rsid w:val="007A4EC7"/>
    <w:rsid w:val="007B0DD8"/>
    <w:rsid w:val="007B225C"/>
    <w:rsid w:val="007B547D"/>
    <w:rsid w:val="007B55DD"/>
    <w:rsid w:val="007B6F62"/>
    <w:rsid w:val="007C23B9"/>
    <w:rsid w:val="007C3ACA"/>
    <w:rsid w:val="007C59EA"/>
    <w:rsid w:val="007C6D1B"/>
    <w:rsid w:val="007C75B1"/>
    <w:rsid w:val="007D290C"/>
    <w:rsid w:val="007D3235"/>
    <w:rsid w:val="007D3DFC"/>
    <w:rsid w:val="007D46C3"/>
    <w:rsid w:val="007D6665"/>
    <w:rsid w:val="007D6CB5"/>
    <w:rsid w:val="007D78F7"/>
    <w:rsid w:val="007E0D20"/>
    <w:rsid w:val="007E17F1"/>
    <w:rsid w:val="007E6EB9"/>
    <w:rsid w:val="007E72E4"/>
    <w:rsid w:val="007F32AD"/>
    <w:rsid w:val="007F41A0"/>
    <w:rsid w:val="008016A6"/>
    <w:rsid w:val="008017F1"/>
    <w:rsid w:val="00801A17"/>
    <w:rsid w:val="00804521"/>
    <w:rsid w:val="0080776D"/>
    <w:rsid w:val="00810145"/>
    <w:rsid w:val="008108C1"/>
    <w:rsid w:val="008108FA"/>
    <w:rsid w:val="00810FF1"/>
    <w:rsid w:val="0081266A"/>
    <w:rsid w:val="00817C0A"/>
    <w:rsid w:val="00822336"/>
    <w:rsid w:val="00822C98"/>
    <w:rsid w:val="00823B82"/>
    <w:rsid w:val="00823DFA"/>
    <w:rsid w:val="00833C16"/>
    <w:rsid w:val="00835163"/>
    <w:rsid w:val="00836C06"/>
    <w:rsid w:val="00840C6A"/>
    <w:rsid w:val="008421CF"/>
    <w:rsid w:val="0084274D"/>
    <w:rsid w:val="00843752"/>
    <w:rsid w:val="00846593"/>
    <w:rsid w:val="00846CB9"/>
    <w:rsid w:val="00847E71"/>
    <w:rsid w:val="008501FF"/>
    <w:rsid w:val="00851A7E"/>
    <w:rsid w:val="00851FE5"/>
    <w:rsid w:val="00857017"/>
    <w:rsid w:val="00860549"/>
    <w:rsid w:val="00864877"/>
    <w:rsid w:val="00865942"/>
    <w:rsid w:val="00865F84"/>
    <w:rsid w:val="00866004"/>
    <w:rsid w:val="00866906"/>
    <w:rsid w:val="0087160A"/>
    <w:rsid w:val="00872ABC"/>
    <w:rsid w:val="0087492C"/>
    <w:rsid w:val="00875FDC"/>
    <w:rsid w:val="00876795"/>
    <w:rsid w:val="0088136B"/>
    <w:rsid w:val="00883CA6"/>
    <w:rsid w:val="008857FC"/>
    <w:rsid w:val="00885B09"/>
    <w:rsid w:val="00885F73"/>
    <w:rsid w:val="008904F0"/>
    <w:rsid w:val="00891F4B"/>
    <w:rsid w:val="00892400"/>
    <w:rsid w:val="00895A17"/>
    <w:rsid w:val="00895EE9"/>
    <w:rsid w:val="008965A0"/>
    <w:rsid w:val="008A08E0"/>
    <w:rsid w:val="008A1A22"/>
    <w:rsid w:val="008A209D"/>
    <w:rsid w:val="008B0B4B"/>
    <w:rsid w:val="008B0E29"/>
    <w:rsid w:val="008B0EFA"/>
    <w:rsid w:val="008B0F9A"/>
    <w:rsid w:val="008B25FF"/>
    <w:rsid w:val="008B30AB"/>
    <w:rsid w:val="008B73DB"/>
    <w:rsid w:val="008C0121"/>
    <w:rsid w:val="008C28C2"/>
    <w:rsid w:val="008D240D"/>
    <w:rsid w:val="008D3FFC"/>
    <w:rsid w:val="008E0CB7"/>
    <w:rsid w:val="008E108A"/>
    <w:rsid w:val="008E513B"/>
    <w:rsid w:val="008E75F2"/>
    <w:rsid w:val="008F2216"/>
    <w:rsid w:val="008F3C4C"/>
    <w:rsid w:val="00902767"/>
    <w:rsid w:val="00905DEF"/>
    <w:rsid w:val="00907562"/>
    <w:rsid w:val="00913B43"/>
    <w:rsid w:val="00914FC9"/>
    <w:rsid w:val="00915C1B"/>
    <w:rsid w:val="0092319C"/>
    <w:rsid w:val="009239FA"/>
    <w:rsid w:val="00927A01"/>
    <w:rsid w:val="00930203"/>
    <w:rsid w:val="00931132"/>
    <w:rsid w:val="009311D2"/>
    <w:rsid w:val="0093124B"/>
    <w:rsid w:val="00931275"/>
    <w:rsid w:val="00933A50"/>
    <w:rsid w:val="00933B7C"/>
    <w:rsid w:val="00936AC7"/>
    <w:rsid w:val="00940CEB"/>
    <w:rsid w:val="009420FA"/>
    <w:rsid w:val="00951AE1"/>
    <w:rsid w:val="00951CC8"/>
    <w:rsid w:val="00962305"/>
    <w:rsid w:val="00963AD5"/>
    <w:rsid w:val="00966315"/>
    <w:rsid w:val="00975082"/>
    <w:rsid w:val="009803C9"/>
    <w:rsid w:val="009814FC"/>
    <w:rsid w:val="00983912"/>
    <w:rsid w:val="00983CBD"/>
    <w:rsid w:val="00984FCB"/>
    <w:rsid w:val="00985B72"/>
    <w:rsid w:val="00986DA8"/>
    <w:rsid w:val="00986F98"/>
    <w:rsid w:val="00987083"/>
    <w:rsid w:val="00991666"/>
    <w:rsid w:val="00991E34"/>
    <w:rsid w:val="00996371"/>
    <w:rsid w:val="009971AB"/>
    <w:rsid w:val="009A1674"/>
    <w:rsid w:val="009B76F6"/>
    <w:rsid w:val="009C0B22"/>
    <w:rsid w:val="009C2148"/>
    <w:rsid w:val="009C4D21"/>
    <w:rsid w:val="009C5711"/>
    <w:rsid w:val="009C684F"/>
    <w:rsid w:val="009D074C"/>
    <w:rsid w:val="009D4D4E"/>
    <w:rsid w:val="009E0256"/>
    <w:rsid w:val="009E0C07"/>
    <w:rsid w:val="009E2602"/>
    <w:rsid w:val="009F0828"/>
    <w:rsid w:val="009F2B4F"/>
    <w:rsid w:val="009F3CFF"/>
    <w:rsid w:val="009F6116"/>
    <w:rsid w:val="009F66B5"/>
    <w:rsid w:val="00A00198"/>
    <w:rsid w:val="00A07914"/>
    <w:rsid w:val="00A13BF1"/>
    <w:rsid w:val="00A1515B"/>
    <w:rsid w:val="00A16F91"/>
    <w:rsid w:val="00A2013F"/>
    <w:rsid w:val="00A20A7D"/>
    <w:rsid w:val="00A22B5A"/>
    <w:rsid w:val="00A237C4"/>
    <w:rsid w:val="00A237DB"/>
    <w:rsid w:val="00A30C7F"/>
    <w:rsid w:val="00A35D42"/>
    <w:rsid w:val="00A35DC6"/>
    <w:rsid w:val="00A41F99"/>
    <w:rsid w:val="00A425CC"/>
    <w:rsid w:val="00A430E5"/>
    <w:rsid w:val="00A44585"/>
    <w:rsid w:val="00A44EAB"/>
    <w:rsid w:val="00A454B3"/>
    <w:rsid w:val="00A46CCF"/>
    <w:rsid w:val="00A56F41"/>
    <w:rsid w:val="00A57A69"/>
    <w:rsid w:val="00A633CB"/>
    <w:rsid w:val="00A635C4"/>
    <w:rsid w:val="00A70426"/>
    <w:rsid w:val="00A71517"/>
    <w:rsid w:val="00A71FBB"/>
    <w:rsid w:val="00A723DB"/>
    <w:rsid w:val="00A75CA7"/>
    <w:rsid w:val="00A82AE5"/>
    <w:rsid w:val="00A83AF6"/>
    <w:rsid w:val="00A91E9A"/>
    <w:rsid w:val="00A91ED8"/>
    <w:rsid w:val="00A93ED9"/>
    <w:rsid w:val="00A958D4"/>
    <w:rsid w:val="00AA05DD"/>
    <w:rsid w:val="00AA4635"/>
    <w:rsid w:val="00AA59F0"/>
    <w:rsid w:val="00AA728B"/>
    <w:rsid w:val="00AB256E"/>
    <w:rsid w:val="00AB3837"/>
    <w:rsid w:val="00AC696E"/>
    <w:rsid w:val="00AC6A99"/>
    <w:rsid w:val="00AD2175"/>
    <w:rsid w:val="00AD241E"/>
    <w:rsid w:val="00AD25FA"/>
    <w:rsid w:val="00AD76CF"/>
    <w:rsid w:val="00AE2E97"/>
    <w:rsid w:val="00AE6F33"/>
    <w:rsid w:val="00AE6F6E"/>
    <w:rsid w:val="00AE7340"/>
    <w:rsid w:val="00AF2018"/>
    <w:rsid w:val="00AF2CD8"/>
    <w:rsid w:val="00AF69D8"/>
    <w:rsid w:val="00B040A5"/>
    <w:rsid w:val="00B055EF"/>
    <w:rsid w:val="00B10936"/>
    <w:rsid w:val="00B13B8E"/>
    <w:rsid w:val="00B14F5A"/>
    <w:rsid w:val="00B15244"/>
    <w:rsid w:val="00B16E52"/>
    <w:rsid w:val="00B17091"/>
    <w:rsid w:val="00B213D2"/>
    <w:rsid w:val="00B217D2"/>
    <w:rsid w:val="00B23769"/>
    <w:rsid w:val="00B23900"/>
    <w:rsid w:val="00B245AE"/>
    <w:rsid w:val="00B25330"/>
    <w:rsid w:val="00B25B74"/>
    <w:rsid w:val="00B2600E"/>
    <w:rsid w:val="00B27083"/>
    <w:rsid w:val="00B27963"/>
    <w:rsid w:val="00B33889"/>
    <w:rsid w:val="00B34B43"/>
    <w:rsid w:val="00B3CF27"/>
    <w:rsid w:val="00B440C8"/>
    <w:rsid w:val="00B5087A"/>
    <w:rsid w:val="00B557B5"/>
    <w:rsid w:val="00B61B5B"/>
    <w:rsid w:val="00B64914"/>
    <w:rsid w:val="00B660A2"/>
    <w:rsid w:val="00B719A3"/>
    <w:rsid w:val="00B73C33"/>
    <w:rsid w:val="00B74293"/>
    <w:rsid w:val="00B837EF"/>
    <w:rsid w:val="00B83D5B"/>
    <w:rsid w:val="00B862FC"/>
    <w:rsid w:val="00B86DFA"/>
    <w:rsid w:val="00B936D0"/>
    <w:rsid w:val="00B939E1"/>
    <w:rsid w:val="00B9455D"/>
    <w:rsid w:val="00B96890"/>
    <w:rsid w:val="00B96FB1"/>
    <w:rsid w:val="00BA268E"/>
    <w:rsid w:val="00BA4889"/>
    <w:rsid w:val="00BA5303"/>
    <w:rsid w:val="00BA7D9B"/>
    <w:rsid w:val="00BB35E3"/>
    <w:rsid w:val="00BB4286"/>
    <w:rsid w:val="00BB5F13"/>
    <w:rsid w:val="00BB74B7"/>
    <w:rsid w:val="00BD1FCC"/>
    <w:rsid w:val="00BD5AF0"/>
    <w:rsid w:val="00BD7AC2"/>
    <w:rsid w:val="00BE005F"/>
    <w:rsid w:val="00BE1809"/>
    <w:rsid w:val="00BE1916"/>
    <w:rsid w:val="00BE3600"/>
    <w:rsid w:val="00BE36E9"/>
    <w:rsid w:val="00BF1BA6"/>
    <w:rsid w:val="00BF6CA9"/>
    <w:rsid w:val="00C010A4"/>
    <w:rsid w:val="00C01F6F"/>
    <w:rsid w:val="00C04171"/>
    <w:rsid w:val="00C1017A"/>
    <w:rsid w:val="00C10F66"/>
    <w:rsid w:val="00C149AB"/>
    <w:rsid w:val="00C168BA"/>
    <w:rsid w:val="00C31933"/>
    <w:rsid w:val="00C34A9A"/>
    <w:rsid w:val="00C40694"/>
    <w:rsid w:val="00C42F52"/>
    <w:rsid w:val="00C465A4"/>
    <w:rsid w:val="00C46B9C"/>
    <w:rsid w:val="00C47BA4"/>
    <w:rsid w:val="00C55858"/>
    <w:rsid w:val="00C564E6"/>
    <w:rsid w:val="00C62485"/>
    <w:rsid w:val="00C6488E"/>
    <w:rsid w:val="00C65641"/>
    <w:rsid w:val="00C66FCF"/>
    <w:rsid w:val="00C67788"/>
    <w:rsid w:val="00C70542"/>
    <w:rsid w:val="00C71F92"/>
    <w:rsid w:val="00C75CBF"/>
    <w:rsid w:val="00C76BE0"/>
    <w:rsid w:val="00C82108"/>
    <w:rsid w:val="00C919AC"/>
    <w:rsid w:val="00C92A9D"/>
    <w:rsid w:val="00C93342"/>
    <w:rsid w:val="00C95669"/>
    <w:rsid w:val="00C97361"/>
    <w:rsid w:val="00CA157A"/>
    <w:rsid w:val="00CA3758"/>
    <w:rsid w:val="00CA3CE5"/>
    <w:rsid w:val="00CA3D1D"/>
    <w:rsid w:val="00CB79E8"/>
    <w:rsid w:val="00CC2894"/>
    <w:rsid w:val="00CC482E"/>
    <w:rsid w:val="00CD2E6B"/>
    <w:rsid w:val="00CD69E5"/>
    <w:rsid w:val="00CD77C3"/>
    <w:rsid w:val="00CE112C"/>
    <w:rsid w:val="00CF3BAA"/>
    <w:rsid w:val="00CF4713"/>
    <w:rsid w:val="00CF6188"/>
    <w:rsid w:val="00CF68DD"/>
    <w:rsid w:val="00CF74C3"/>
    <w:rsid w:val="00D006A4"/>
    <w:rsid w:val="00D03FCD"/>
    <w:rsid w:val="00D0481B"/>
    <w:rsid w:val="00D062EA"/>
    <w:rsid w:val="00D06548"/>
    <w:rsid w:val="00D07E0B"/>
    <w:rsid w:val="00D10523"/>
    <w:rsid w:val="00D125F4"/>
    <w:rsid w:val="00D17253"/>
    <w:rsid w:val="00D2434F"/>
    <w:rsid w:val="00D25E91"/>
    <w:rsid w:val="00D27EF3"/>
    <w:rsid w:val="00D3098A"/>
    <w:rsid w:val="00D3396E"/>
    <w:rsid w:val="00D36C77"/>
    <w:rsid w:val="00D41370"/>
    <w:rsid w:val="00D4269C"/>
    <w:rsid w:val="00D45E1E"/>
    <w:rsid w:val="00D47EE0"/>
    <w:rsid w:val="00D51F7A"/>
    <w:rsid w:val="00D5441A"/>
    <w:rsid w:val="00D568F5"/>
    <w:rsid w:val="00D57E5F"/>
    <w:rsid w:val="00D608DA"/>
    <w:rsid w:val="00D620B1"/>
    <w:rsid w:val="00D62453"/>
    <w:rsid w:val="00D6286D"/>
    <w:rsid w:val="00D62DAE"/>
    <w:rsid w:val="00D6315D"/>
    <w:rsid w:val="00D661C7"/>
    <w:rsid w:val="00D67BA8"/>
    <w:rsid w:val="00D71ED7"/>
    <w:rsid w:val="00D730BF"/>
    <w:rsid w:val="00D7326F"/>
    <w:rsid w:val="00D745BF"/>
    <w:rsid w:val="00D7696C"/>
    <w:rsid w:val="00D77745"/>
    <w:rsid w:val="00D8101F"/>
    <w:rsid w:val="00D8282A"/>
    <w:rsid w:val="00D84DE1"/>
    <w:rsid w:val="00D97B19"/>
    <w:rsid w:val="00DA2921"/>
    <w:rsid w:val="00DA2FF3"/>
    <w:rsid w:val="00DA4054"/>
    <w:rsid w:val="00DA4083"/>
    <w:rsid w:val="00DB19C2"/>
    <w:rsid w:val="00DB4799"/>
    <w:rsid w:val="00DB4A79"/>
    <w:rsid w:val="00DB5EA2"/>
    <w:rsid w:val="00DB63B2"/>
    <w:rsid w:val="00DB6CA3"/>
    <w:rsid w:val="00DC0341"/>
    <w:rsid w:val="00DC490D"/>
    <w:rsid w:val="00DC4DE9"/>
    <w:rsid w:val="00DC76C7"/>
    <w:rsid w:val="00DD09F5"/>
    <w:rsid w:val="00DD20FA"/>
    <w:rsid w:val="00DD2F59"/>
    <w:rsid w:val="00DD3CB0"/>
    <w:rsid w:val="00DD3D5C"/>
    <w:rsid w:val="00DD4201"/>
    <w:rsid w:val="00DD4C6B"/>
    <w:rsid w:val="00DD5BCF"/>
    <w:rsid w:val="00DE0A7E"/>
    <w:rsid w:val="00DE319C"/>
    <w:rsid w:val="00DE5711"/>
    <w:rsid w:val="00DE6013"/>
    <w:rsid w:val="00DE74FA"/>
    <w:rsid w:val="00DE79E7"/>
    <w:rsid w:val="00DF13D8"/>
    <w:rsid w:val="00E00E39"/>
    <w:rsid w:val="00E00EA0"/>
    <w:rsid w:val="00E033AE"/>
    <w:rsid w:val="00E05302"/>
    <w:rsid w:val="00E055CA"/>
    <w:rsid w:val="00E11B1F"/>
    <w:rsid w:val="00E20BA6"/>
    <w:rsid w:val="00E217BC"/>
    <w:rsid w:val="00E22713"/>
    <w:rsid w:val="00E24EB4"/>
    <w:rsid w:val="00E26758"/>
    <w:rsid w:val="00E311AB"/>
    <w:rsid w:val="00E34104"/>
    <w:rsid w:val="00E35393"/>
    <w:rsid w:val="00E3667C"/>
    <w:rsid w:val="00E371B6"/>
    <w:rsid w:val="00E37773"/>
    <w:rsid w:val="00E4357B"/>
    <w:rsid w:val="00E44597"/>
    <w:rsid w:val="00E504B7"/>
    <w:rsid w:val="00E57BD6"/>
    <w:rsid w:val="00E606C2"/>
    <w:rsid w:val="00E61336"/>
    <w:rsid w:val="00E6254E"/>
    <w:rsid w:val="00E637C0"/>
    <w:rsid w:val="00E63A5C"/>
    <w:rsid w:val="00E63D26"/>
    <w:rsid w:val="00E63DE5"/>
    <w:rsid w:val="00E64D98"/>
    <w:rsid w:val="00E65691"/>
    <w:rsid w:val="00E65A37"/>
    <w:rsid w:val="00E677AE"/>
    <w:rsid w:val="00E715C1"/>
    <w:rsid w:val="00E72B04"/>
    <w:rsid w:val="00E73991"/>
    <w:rsid w:val="00E74944"/>
    <w:rsid w:val="00E74A91"/>
    <w:rsid w:val="00E76A33"/>
    <w:rsid w:val="00E77749"/>
    <w:rsid w:val="00E77B48"/>
    <w:rsid w:val="00E77DC0"/>
    <w:rsid w:val="00E8047C"/>
    <w:rsid w:val="00E807FB"/>
    <w:rsid w:val="00E81A91"/>
    <w:rsid w:val="00E8290E"/>
    <w:rsid w:val="00E83B01"/>
    <w:rsid w:val="00E84B81"/>
    <w:rsid w:val="00E91799"/>
    <w:rsid w:val="00E952E8"/>
    <w:rsid w:val="00EA127C"/>
    <w:rsid w:val="00EA183D"/>
    <w:rsid w:val="00EA240A"/>
    <w:rsid w:val="00EA34E3"/>
    <w:rsid w:val="00EA3539"/>
    <w:rsid w:val="00EA664C"/>
    <w:rsid w:val="00EA684B"/>
    <w:rsid w:val="00EB1F8F"/>
    <w:rsid w:val="00EB217A"/>
    <w:rsid w:val="00EB7538"/>
    <w:rsid w:val="00EC143F"/>
    <w:rsid w:val="00EC20AF"/>
    <w:rsid w:val="00ED29A0"/>
    <w:rsid w:val="00ED609C"/>
    <w:rsid w:val="00ED6E20"/>
    <w:rsid w:val="00ED7ECE"/>
    <w:rsid w:val="00EE3C18"/>
    <w:rsid w:val="00EE5C7F"/>
    <w:rsid w:val="00EE64D7"/>
    <w:rsid w:val="00EE692B"/>
    <w:rsid w:val="00EE7DCE"/>
    <w:rsid w:val="00EE7F3E"/>
    <w:rsid w:val="00EF3DEC"/>
    <w:rsid w:val="00F00CB5"/>
    <w:rsid w:val="00F03B88"/>
    <w:rsid w:val="00F05A4E"/>
    <w:rsid w:val="00F06124"/>
    <w:rsid w:val="00F10A9E"/>
    <w:rsid w:val="00F118B1"/>
    <w:rsid w:val="00F11A20"/>
    <w:rsid w:val="00F11C46"/>
    <w:rsid w:val="00F13DB5"/>
    <w:rsid w:val="00F207A4"/>
    <w:rsid w:val="00F240B5"/>
    <w:rsid w:val="00F258B0"/>
    <w:rsid w:val="00F259C5"/>
    <w:rsid w:val="00F302A6"/>
    <w:rsid w:val="00F32369"/>
    <w:rsid w:val="00F34CB7"/>
    <w:rsid w:val="00F355AC"/>
    <w:rsid w:val="00F36976"/>
    <w:rsid w:val="00F372A8"/>
    <w:rsid w:val="00F40BD0"/>
    <w:rsid w:val="00F44AAD"/>
    <w:rsid w:val="00F451E1"/>
    <w:rsid w:val="00F47554"/>
    <w:rsid w:val="00F47B89"/>
    <w:rsid w:val="00F520F5"/>
    <w:rsid w:val="00F53D36"/>
    <w:rsid w:val="00F56378"/>
    <w:rsid w:val="00F5672D"/>
    <w:rsid w:val="00F57B18"/>
    <w:rsid w:val="00F603CC"/>
    <w:rsid w:val="00F63AB0"/>
    <w:rsid w:val="00F63FA6"/>
    <w:rsid w:val="00F71A5A"/>
    <w:rsid w:val="00F769E0"/>
    <w:rsid w:val="00F77EA3"/>
    <w:rsid w:val="00F83E30"/>
    <w:rsid w:val="00F922B7"/>
    <w:rsid w:val="00F9788C"/>
    <w:rsid w:val="00FA16D1"/>
    <w:rsid w:val="00FA2EBE"/>
    <w:rsid w:val="00FA5549"/>
    <w:rsid w:val="00FB2EAA"/>
    <w:rsid w:val="00FC0D57"/>
    <w:rsid w:val="00FC2C9F"/>
    <w:rsid w:val="00FC331F"/>
    <w:rsid w:val="00FC57D5"/>
    <w:rsid w:val="00FC6BDE"/>
    <w:rsid w:val="00FE2F7E"/>
    <w:rsid w:val="00FE4FE9"/>
    <w:rsid w:val="00FE5E11"/>
    <w:rsid w:val="00FE64BB"/>
    <w:rsid w:val="00FF6043"/>
    <w:rsid w:val="00FF6F95"/>
    <w:rsid w:val="0242DEF3"/>
    <w:rsid w:val="03A337AE"/>
    <w:rsid w:val="05287A6F"/>
    <w:rsid w:val="058CD9CE"/>
    <w:rsid w:val="0720AC23"/>
    <w:rsid w:val="0B3B28DD"/>
    <w:rsid w:val="0BAC96A1"/>
    <w:rsid w:val="0D51827D"/>
    <w:rsid w:val="0EED52DE"/>
    <w:rsid w:val="0FCB7A44"/>
    <w:rsid w:val="101407B1"/>
    <w:rsid w:val="10C78E69"/>
    <w:rsid w:val="1374ED23"/>
    <w:rsid w:val="17E30C3B"/>
    <w:rsid w:val="18C62FE1"/>
    <w:rsid w:val="18DB2AE1"/>
    <w:rsid w:val="1B1F031B"/>
    <w:rsid w:val="1D387547"/>
    <w:rsid w:val="1E335A17"/>
    <w:rsid w:val="1E524DBF"/>
    <w:rsid w:val="1ED445A8"/>
    <w:rsid w:val="1EEE291E"/>
    <w:rsid w:val="23541D2A"/>
    <w:rsid w:val="28278E4D"/>
    <w:rsid w:val="283D2AE6"/>
    <w:rsid w:val="29BFD2EA"/>
    <w:rsid w:val="2B99A053"/>
    <w:rsid w:val="318CF6E8"/>
    <w:rsid w:val="31E38A87"/>
    <w:rsid w:val="331833DC"/>
    <w:rsid w:val="3416B024"/>
    <w:rsid w:val="3498752B"/>
    <w:rsid w:val="35B6A3C1"/>
    <w:rsid w:val="39E16FFE"/>
    <w:rsid w:val="3A1BE142"/>
    <w:rsid w:val="3CD18A1B"/>
    <w:rsid w:val="3D55212F"/>
    <w:rsid w:val="3D72A71D"/>
    <w:rsid w:val="3E7675F7"/>
    <w:rsid w:val="3F9D2ACA"/>
    <w:rsid w:val="404D25BE"/>
    <w:rsid w:val="4119018E"/>
    <w:rsid w:val="4384C680"/>
    <w:rsid w:val="450F5066"/>
    <w:rsid w:val="466EDB3C"/>
    <w:rsid w:val="48764EB3"/>
    <w:rsid w:val="48A80F69"/>
    <w:rsid w:val="4C125C0C"/>
    <w:rsid w:val="4C6DFEBF"/>
    <w:rsid w:val="4F483CC4"/>
    <w:rsid w:val="4F5E18DC"/>
    <w:rsid w:val="5298CBAA"/>
    <w:rsid w:val="52FF2A0C"/>
    <w:rsid w:val="5336D6A0"/>
    <w:rsid w:val="543189FF"/>
    <w:rsid w:val="546C2E14"/>
    <w:rsid w:val="553A8516"/>
    <w:rsid w:val="556B1670"/>
    <w:rsid w:val="575F6D36"/>
    <w:rsid w:val="5F0CC79A"/>
    <w:rsid w:val="5FA29AEE"/>
    <w:rsid w:val="68A16FC6"/>
    <w:rsid w:val="69651C03"/>
    <w:rsid w:val="6B0F980D"/>
    <w:rsid w:val="6D47B096"/>
    <w:rsid w:val="6DCE7746"/>
    <w:rsid w:val="711EDDE7"/>
    <w:rsid w:val="71438151"/>
    <w:rsid w:val="717E6668"/>
    <w:rsid w:val="73728BED"/>
    <w:rsid w:val="741E93B1"/>
    <w:rsid w:val="7424E37C"/>
    <w:rsid w:val="75BA6412"/>
    <w:rsid w:val="75C9A528"/>
    <w:rsid w:val="766CC77E"/>
    <w:rsid w:val="77A30C28"/>
    <w:rsid w:val="7882251D"/>
    <w:rsid w:val="7AA63B39"/>
    <w:rsid w:val="7B55764D"/>
    <w:rsid w:val="7C43E380"/>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4D49EDAE"/>
  <w15:docId w15:val="{7F16B7FE-DE0A-44BB-A934-BA034BD4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2FB"/>
    <w:rPr>
      <w:sz w:val="24"/>
      <w:szCs w:val="24"/>
      <w:lang w:bidi="ar-SA"/>
    </w:rPr>
  </w:style>
  <w:style w:type="paragraph" w:styleId="Heading1">
    <w:name w:val="heading 1"/>
    <w:basedOn w:val="Normal"/>
    <w:next w:val="Normal"/>
    <w:link w:val="Heading1Char"/>
    <w:qFormat/>
    <w:rsid w:val="003F5B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F5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423ECF"/>
    <w:rPr>
      <w:sz w:val="16"/>
      <w:szCs w:val="16"/>
    </w:rPr>
  </w:style>
  <w:style w:type="paragraph" w:styleId="CommentText">
    <w:name w:val="annotation text"/>
    <w:basedOn w:val="Normal"/>
    <w:link w:val="CommentTextChar"/>
    <w:rsid w:val="00423ECF"/>
    <w:rPr>
      <w:sz w:val="20"/>
      <w:szCs w:val="20"/>
    </w:rPr>
  </w:style>
  <w:style w:type="character" w:customStyle="1" w:styleId="CommentTextChar">
    <w:name w:val="Comment Text Char"/>
    <w:basedOn w:val="DefaultParagraphFont"/>
    <w:link w:val="CommentText"/>
    <w:rsid w:val="00423ECF"/>
  </w:style>
  <w:style w:type="paragraph" w:styleId="CommentSubject">
    <w:name w:val="annotation subject"/>
    <w:basedOn w:val="CommentText"/>
    <w:next w:val="CommentText"/>
    <w:link w:val="CommentSubjectChar"/>
    <w:rsid w:val="00423ECF"/>
    <w:rPr>
      <w:b/>
      <w:bCs/>
    </w:rPr>
  </w:style>
  <w:style w:type="character" w:customStyle="1" w:styleId="CommentSubjectChar">
    <w:name w:val="Comment Subject Char"/>
    <w:link w:val="CommentSubject"/>
    <w:rsid w:val="00423ECF"/>
    <w:rPr>
      <w:b/>
      <w:bCs/>
    </w:rPr>
  </w:style>
  <w:style w:type="character" w:styleId="Hyperlink">
    <w:name w:val="Hyperlink"/>
    <w:basedOn w:val="DefaultParagraphFont"/>
    <w:unhideWhenUsed/>
    <w:rsid w:val="00781D91"/>
    <w:rPr>
      <w:color w:val="0000FF" w:themeColor="hyperlink"/>
      <w:u w:val="single"/>
    </w:rPr>
  </w:style>
  <w:style w:type="character" w:styleId="UnresolvedMention">
    <w:name w:val="Unresolved Mention"/>
    <w:basedOn w:val="DefaultParagraphFont"/>
    <w:uiPriority w:val="99"/>
    <w:semiHidden/>
    <w:unhideWhenUsed/>
    <w:rsid w:val="00781D91"/>
    <w:rPr>
      <w:color w:val="808080"/>
      <w:shd w:val="clear" w:color="auto" w:fill="E6E6E6"/>
    </w:rPr>
  </w:style>
  <w:style w:type="paragraph" w:styleId="ListParagraph">
    <w:name w:val="List Paragraph"/>
    <w:basedOn w:val="Normal"/>
    <w:uiPriority w:val="34"/>
    <w:qFormat/>
    <w:rsid w:val="00A958D4"/>
    <w:pPr>
      <w:ind w:left="720"/>
      <w:contextualSpacing/>
    </w:pPr>
  </w:style>
  <w:style w:type="paragraph" w:styleId="Header">
    <w:name w:val="header"/>
    <w:basedOn w:val="Normal"/>
    <w:link w:val="HeaderChar"/>
    <w:semiHidden/>
    <w:unhideWhenUsed/>
    <w:rsid w:val="000007CE"/>
    <w:pPr>
      <w:tabs>
        <w:tab w:val="center" w:pos="4680"/>
        <w:tab w:val="right" w:pos="9360"/>
      </w:tabs>
    </w:pPr>
  </w:style>
  <w:style w:type="character" w:customStyle="1" w:styleId="HeaderChar">
    <w:name w:val="Header Char"/>
    <w:basedOn w:val="DefaultParagraphFont"/>
    <w:link w:val="Header"/>
    <w:semiHidden/>
    <w:rsid w:val="000007CE"/>
    <w:rPr>
      <w:sz w:val="24"/>
      <w:szCs w:val="24"/>
      <w:lang w:bidi="ar-SA"/>
    </w:rPr>
  </w:style>
  <w:style w:type="paragraph" w:styleId="Revision">
    <w:name w:val="Revision"/>
    <w:hidden/>
    <w:uiPriority w:val="99"/>
    <w:semiHidden/>
    <w:rsid w:val="00AF2CD8"/>
    <w:rPr>
      <w:sz w:val="24"/>
      <w:szCs w:val="24"/>
      <w:lang w:bidi="ar-SA"/>
    </w:rPr>
  </w:style>
  <w:style w:type="character" w:styleId="FollowedHyperlink">
    <w:name w:val="FollowedHyperlink"/>
    <w:basedOn w:val="DefaultParagraphFont"/>
    <w:semiHidden/>
    <w:unhideWhenUsed/>
    <w:rsid w:val="00210759"/>
    <w:rPr>
      <w:color w:val="800080" w:themeColor="followedHyperlink"/>
      <w:u w:val="single"/>
    </w:rPr>
  </w:style>
  <w:style w:type="paragraph" w:customStyle="1" w:styleId="Default">
    <w:name w:val="Default"/>
    <w:rsid w:val="00C82108"/>
    <w:pPr>
      <w:autoSpaceDE w:val="0"/>
      <w:autoSpaceDN w:val="0"/>
      <w:adjustRightInd w:val="0"/>
    </w:pPr>
    <w:rPr>
      <w:color w:val="000000"/>
      <w:sz w:val="24"/>
      <w:szCs w:val="24"/>
      <w:lang w:bidi="ar-SA"/>
    </w:rPr>
  </w:style>
  <w:style w:type="character" w:customStyle="1" w:styleId="Heading2Char">
    <w:name w:val="Heading 2 Char"/>
    <w:basedOn w:val="DefaultParagraphFont"/>
    <w:link w:val="Heading2"/>
    <w:rsid w:val="003F5B0B"/>
    <w:rPr>
      <w:rFonts w:asciiTheme="majorHAnsi" w:eastAsiaTheme="majorEastAsia" w:hAnsiTheme="majorHAnsi" w:cstheme="majorBidi"/>
      <w:color w:val="365F91" w:themeColor="accent1" w:themeShade="BF"/>
      <w:sz w:val="26"/>
      <w:szCs w:val="26"/>
      <w:lang w:bidi="ar-SA"/>
    </w:rPr>
  </w:style>
  <w:style w:type="character" w:customStyle="1" w:styleId="Heading1Char">
    <w:name w:val="Heading 1 Char"/>
    <w:basedOn w:val="DefaultParagraphFont"/>
    <w:link w:val="Heading1"/>
    <w:rsid w:val="003F5B0B"/>
    <w:rPr>
      <w:rFonts w:asciiTheme="majorHAnsi" w:eastAsiaTheme="majorEastAsia" w:hAnsiTheme="majorHAnsi" w:cstheme="majorBidi"/>
      <w:color w:val="365F91" w:themeColor="accent1" w:themeShade="BF"/>
      <w:sz w:val="32"/>
      <w:szCs w:val="32"/>
      <w:lang w:bidi="ar-SA"/>
    </w:rPr>
  </w:style>
  <w:style w:type="paragraph" w:styleId="FootnoteText">
    <w:name w:val="footnote text"/>
    <w:basedOn w:val="Normal"/>
    <w:link w:val="FootnoteTextChar"/>
    <w:semiHidden/>
    <w:unhideWhenUsed/>
    <w:rsid w:val="00B33889"/>
    <w:rPr>
      <w:sz w:val="20"/>
      <w:szCs w:val="20"/>
    </w:rPr>
  </w:style>
  <w:style w:type="character" w:customStyle="1" w:styleId="FootnoteTextChar">
    <w:name w:val="Footnote Text Char"/>
    <w:basedOn w:val="DefaultParagraphFont"/>
    <w:link w:val="FootnoteText"/>
    <w:semiHidden/>
    <w:rsid w:val="00B33889"/>
    <w:rPr>
      <w:lang w:bidi="ar-SA"/>
    </w:rPr>
  </w:style>
  <w:style w:type="character" w:styleId="FootnoteReference">
    <w:name w:val="footnote reference"/>
    <w:basedOn w:val="DefaultParagraphFont"/>
    <w:unhideWhenUsed/>
    <w:rsid w:val="00B33889"/>
    <w:rPr>
      <w:vertAlign w:val="superscript"/>
    </w:rPr>
  </w:style>
  <w:style w:type="character" w:styleId="Mention">
    <w:name w:val="Mention"/>
    <w:basedOn w:val="DefaultParagraphFont"/>
    <w:uiPriority w:val="99"/>
    <w:unhideWhenUsed/>
    <w:rsid w:val="006D75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21/387e" TargetMode="External" /><Relationship Id="rId11" Type="http://schemas.openxmlformats.org/officeDocument/2006/relationships/hyperlink" Target="https://www.ecfr.gov/current/title-21/part-25" TargetMode="External" /><Relationship Id="rId12" Type="http://schemas.openxmlformats.org/officeDocument/2006/relationships/hyperlink" Target="https://www.ecfr.gov/current/title-21/section-25.40" TargetMode="External" /><Relationship Id="rId13" Type="http://schemas.openxmlformats.org/officeDocument/2006/relationships/hyperlink" Target="https://www.govinfo.gov/link/uscode/42/4321" TargetMode="External" /><Relationship Id="rId14" Type="http://schemas.openxmlformats.org/officeDocument/2006/relationships/hyperlink" Target="https://www.fda.gov/tobacco-products/market-and-distribute-tobacco-product/exemption-substantial-equivalence" TargetMode="External" /><Relationship Id="rId15" Type="http://schemas.openxmlformats.org/officeDocument/2006/relationships/hyperlink" Target="https://www.fda.gov/tobacco-products/manufacturing/submit-documents-ctp-portal-next-generation" TargetMode="External" /><Relationship Id="rId16" Type="http://schemas.openxmlformats.org/officeDocument/2006/relationships/hyperlink" Target="https://www.fda.gov/tobacco-products/manufacturing/request-industry-account-manager-iam-ctp-portal-next-generation" TargetMode="External" /><Relationship Id="rId17" Type="http://schemas.openxmlformats.org/officeDocument/2006/relationships/hyperlink" Target="https://www.fda.gov/tobacco-products/about-center-tobacco-products-ctp/contact-ctp" TargetMode="External" /><Relationship Id="rId18" Type="http://schemas.openxmlformats.org/officeDocument/2006/relationships/hyperlink" Target="https://data.bls.gov/oes/" TargetMode="External" /><Relationship Id="rId19" Type="http://schemas.openxmlformats.org/officeDocument/2006/relationships/hyperlink" Target="http://www.opm.gov/policy-data-oversight/pay-leave/salaries-wages/salary-tables/25Tables/pdf/DCB.pdf"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uscode/21/387j" TargetMode="External" /><Relationship Id="rId9" Type="http://schemas.openxmlformats.org/officeDocument/2006/relationships/hyperlink" Target="https://www.ecfr.gov/current/title-21/section-110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875F7-405F-49AF-A724-5774DA6C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2B9AF-A193-43E8-A2B6-D8330F5055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4CDF57-9222-4F29-BAE4-7D52C85EE699}">
  <ds:schemaRefs>
    <ds:schemaRef ds:uri="http://schemas.openxmlformats.org/officeDocument/2006/bibliography"/>
  </ds:schemaRefs>
</ds:datastoreItem>
</file>

<file path=customXml/itemProps4.xml><?xml version="1.0" encoding="utf-8"?>
<ds:datastoreItem xmlns:ds="http://schemas.openxmlformats.org/officeDocument/2006/customXml" ds:itemID="{D218C304-65DE-4CE5-B676-3E1E70664ABC}">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3298</Words>
  <Characters>20151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2013-12-05T12:01:00Z</cp:lastPrinted>
  <dcterms:created xsi:type="dcterms:W3CDTF">2025-09-16T13:26:00Z</dcterms:created>
  <dcterms:modified xsi:type="dcterms:W3CDTF">2025-09-16T13:26:00Z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_ExtendedDescription">
    <vt:lpwstr/>
  </property>
</Properties>
</file>