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22A9" w:rsidR="00AA4506" w:rsidP="00AA4506" w:rsidRDefault="00BD22F5" w14:paraId="6E838C40" w14:textId="60A6A210">
      <w:pPr>
        <w:rPr>
          <w:b/>
          <w:u w:val="single"/>
        </w:rPr>
      </w:pPr>
      <w:r w:rsidRPr="00F822A9">
        <w:rPr>
          <w:b/>
          <w:u w:val="single"/>
        </w:rPr>
        <w:t>Instruction</w:t>
      </w:r>
      <w:r w:rsidRPr="00F822A9" w:rsidR="00A21963">
        <w:rPr>
          <w:b/>
          <w:u w:val="single"/>
        </w:rPr>
        <w:t>s</w:t>
      </w:r>
      <w:r w:rsidRPr="00F822A9">
        <w:rPr>
          <w:b/>
          <w:u w:val="single"/>
        </w:rPr>
        <w:t xml:space="preserve"> for Reporting </w:t>
      </w:r>
      <w:r w:rsidRPr="00F822A9" w:rsidR="00A21963">
        <w:rPr>
          <w:b/>
          <w:u w:val="single"/>
        </w:rPr>
        <w:t>Requirements U</w:t>
      </w:r>
      <w:r w:rsidRPr="00F822A9">
        <w:rPr>
          <w:b/>
          <w:u w:val="single"/>
        </w:rPr>
        <w:t>nder Section 905(j)(1)(A)(ii)</w:t>
      </w:r>
      <w:r w:rsidR="00AA4506">
        <w:rPr>
          <w:b/>
          <w:u w:val="single"/>
        </w:rPr>
        <w:t xml:space="preserve"> </w:t>
      </w:r>
    </w:p>
    <w:p w:rsidR="00F822A9" w:rsidP="00BD22F5" w:rsidRDefault="00F822A9" w14:paraId="3C24E26B" w14:textId="77777777"/>
    <w:p w:rsidR="00BD22F5" w:rsidP="00BD22F5" w:rsidRDefault="00A21963" w14:paraId="6E0EF91C" w14:textId="72C78F7C">
      <w:r>
        <w:t xml:space="preserve">If you are </w:t>
      </w:r>
      <w:r w:rsidR="00BD22F5">
        <w:t xml:space="preserve">required to register under Section 905(j) </w:t>
      </w:r>
      <w:r>
        <w:t>and</w:t>
      </w:r>
      <w:r w:rsidR="00BD22F5">
        <w:t xml:space="preserve"> propose to begin the introduction or delivery for introduction into interstate commerce</w:t>
      </w:r>
      <w:r w:rsidR="00494892">
        <w:t xml:space="preserve"> for commercial distribution of a tobacco product intended for human use that was not commercially marketed (other than for test marketing) in the United States as of February 15, 2007, </w:t>
      </w:r>
      <w:r>
        <w:t xml:space="preserve">you must </w:t>
      </w:r>
      <w:r w:rsidR="00494892">
        <w:t>submit a</w:t>
      </w:r>
      <w:r w:rsidR="00C24EDA">
        <w:t>n abbreviated</w:t>
      </w:r>
      <w:r w:rsidR="00494892">
        <w:t xml:space="preserve"> report to the Secretary</w:t>
      </w:r>
      <w:r>
        <w:t xml:space="preserve"> indicating your intent</w:t>
      </w:r>
      <w:r w:rsidR="00494892">
        <w:t>.</w:t>
      </w:r>
    </w:p>
    <w:p w:rsidR="00494892" w:rsidP="00BD22F5" w:rsidRDefault="00494892" w14:paraId="4F77A9FF" w14:textId="77777777"/>
    <w:p w:rsidR="00494892" w:rsidP="00BD22F5" w:rsidRDefault="00494892" w14:paraId="3CC17B2C" w14:textId="4D51D812">
      <w:r>
        <w:t xml:space="preserve">The </w:t>
      </w:r>
      <w:r w:rsidR="00C24EDA">
        <w:t xml:space="preserve">abbreviated </w:t>
      </w:r>
      <w:r>
        <w:t xml:space="preserve">report must be made </w:t>
      </w:r>
      <w:r w:rsidR="00A21963">
        <w:t xml:space="preserve">and submitted </w:t>
      </w:r>
      <w:r>
        <w:t xml:space="preserve">at least 90 days prior to making </w:t>
      </w:r>
      <w:r w:rsidR="00BF4519">
        <w:t xml:space="preserve">the </w:t>
      </w:r>
      <w:r>
        <w:t>introduction or delivery</w:t>
      </w:r>
      <w:r w:rsidR="00BF4519">
        <w:t xml:space="preserve"> for introduction into interstate commerce</w:t>
      </w:r>
      <w:r>
        <w:t>, and shall contain the basis for determining that</w:t>
      </w:r>
      <w:r w:rsidR="00F822A9">
        <w:t>:</w:t>
      </w:r>
      <w:r>
        <w:t xml:space="preserve"> </w:t>
      </w:r>
    </w:p>
    <w:p w:rsidR="00A21963" w:rsidP="00BD22F5" w:rsidRDefault="00A21963" w14:paraId="659F1129" w14:textId="77777777"/>
    <w:p w:rsidR="0014199B" w:rsidP="00494892" w:rsidRDefault="00494892" w14:paraId="22624B5B" w14:textId="77777777">
      <w:pPr>
        <w:numPr>
          <w:ilvl w:val="0"/>
          <w:numId w:val="3"/>
        </w:numPr>
      </w:pPr>
      <w:r>
        <w:t xml:space="preserve">The tobacco product is modified within the meaning of section 905(j)(3), which states that </w:t>
      </w:r>
    </w:p>
    <w:p w:rsidR="00494892" w:rsidP="0014199B" w:rsidRDefault="00494892" w14:paraId="2FF1A665" w14:textId="77777777">
      <w:pPr>
        <w:numPr>
          <w:ilvl w:val="1"/>
          <w:numId w:val="3"/>
        </w:numPr>
      </w:pPr>
      <w:r>
        <w:t xml:space="preserve">the modification would be a minor modification of a tobacco product that can be sold under this </w:t>
      </w:r>
      <w:proofErr w:type="gramStart"/>
      <w:r>
        <w:t>Act;</w:t>
      </w:r>
      <w:proofErr w:type="gramEnd"/>
    </w:p>
    <w:p w:rsidR="00494892" w:rsidP="00494892" w:rsidRDefault="0014199B" w14:paraId="64893D57" w14:textId="77777777">
      <w:pPr>
        <w:numPr>
          <w:ilvl w:val="1"/>
          <w:numId w:val="3"/>
        </w:numPr>
      </w:pPr>
      <w:r>
        <w:t>a report under Section 905(j) is not necessary to ensure that permitting the tobacco product to be marketed would be appropriate for protection of the public health; and</w:t>
      </w:r>
    </w:p>
    <w:p w:rsidR="0014199B" w:rsidP="00494892" w:rsidRDefault="0014199B" w14:paraId="00032BD8" w14:textId="77777777">
      <w:pPr>
        <w:numPr>
          <w:ilvl w:val="1"/>
          <w:numId w:val="3"/>
        </w:numPr>
      </w:pPr>
      <w:r>
        <w:t>an exemption is otherwise appropriate.</w:t>
      </w:r>
    </w:p>
    <w:p w:rsidR="00A21963" w:rsidP="00A21963" w:rsidRDefault="00A21963" w14:paraId="14B5ACE7" w14:textId="77777777">
      <w:pPr>
        <w:ind w:left="720"/>
      </w:pPr>
    </w:p>
    <w:p w:rsidR="0014199B" w:rsidP="0014199B" w:rsidRDefault="0014199B" w14:paraId="18B6CC93" w14:textId="77777777">
      <w:pPr>
        <w:numPr>
          <w:ilvl w:val="0"/>
          <w:numId w:val="3"/>
        </w:numPr>
      </w:pPr>
      <w:r>
        <w:t>The tobacco product’s modifications are to a product that is commercially marketed and in compliance with the requirements of this Act; and</w:t>
      </w:r>
    </w:p>
    <w:p w:rsidR="00A21963" w:rsidP="00A21963" w:rsidRDefault="00A21963" w14:paraId="37D2DC9C" w14:textId="77777777">
      <w:pPr>
        <w:ind w:left="720"/>
      </w:pPr>
    </w:p>
    <w:p w:rsidR="0014199B" w:rsidP="0014199B" w:rsidRDefault="0014199B" w14:paraId="2F662D85" w14:textId="77777777">
      <w:pPr>
        <w:numPr>
          <w:ilvl w:val="0"/>
          <w:numId w:val="3"/>
        </w:numPr>
      </w:pPr>
      <w:r>
        <w:t xml:space="preserve">All of the </w:t>
      </w:r>
      <w:r w:rsidR="00BF4519">
        <w:t>modifications are covered by the exemptions granted pursuant to Section 905(j)(3).</w:t>
      </w:r>
    </w:p>
    <w:p w:rsidR="0014199B" w:rsidP="0014199B" w:rsidRDefault="0014199B" w14:paraId="7DED0534" w14:textId="77777777"/>
    <w:p w:rsidR="0014199B" w:rsidP="0014199B" w:rsidRDefault="00A21963" w14:paraId="08ED9D72" w14:textId="48FEC199">
      <w:r>
        <w:t xml:space="preserve">If you need further assistance in completing this </w:t>
      </w:r>
      <w:r w:rsidR="00C24EDA">
        <w:t xml:space="preserve">abbreviated </w:t>
      </w:r>
      <w:r>
        <w:t xml:space="preserve">report, or have any questions, please contact FDA’s Center for Tobacco Products </w:t>
      </w:r>
      <w:r w:rsidR="00F822A9">
        <w:t xml:space="preserve">Call Center </w:t>
      </w:r>
      <w:r>
        <w:t>at 1-877-</w:t>
      </w:r>
      <w:r w:rsidR="00F822A9">
        <w:t xml:space="preserve">CTP-1373 (1-877-287-1373) or at </w:t>
      </w:r>
      <w:hyperlink w:history="1" r:id="rId8">
        <w:r w:rsidRPr="00CF592E" w:rsidR="00F822A9">
          <w:rPr>
            <w:rStyle w:val="Hyperlink"/>
          </w:rPr>
          <w:t>www.fda.gov/tobaccoproducts</w:t>
        </w:r>
      </w:hyperlink>
      <w:r w:rsidR="00F822A9">
        <w:t xml:space="preserve">. </w:t>
      </w:r>
      <w:r w:rsidR="00CF1CE2">
        <w:t xml:space="preserve">Instructions can also be found at </w:t>
      </w:r>
      <w:hyperlink w:history="1" r:id="rId9">
        <w:r w:rsidRPr="00272F30" w:rsidR="00F6394F">
          <w:rPr>
            <w:rStyle w:val="Hyperlink"/>
          </w:rPr>
          <w:t>www.fda.gov/tobacco-products/market-and-distribute-tobacco-product/exemption-substantial-equivalence</w:t>
        </w:r>
      </w:hyperlink>
      <w:r w:rsidR="006567A0">
        <w:t>.</w:t>
      </w:r>
    </w:p>
    <w:p w:rsidR="00F822A9" w:rsidP="0014199B" w:rsidRDefault="00F822A9" w14:paraId="1EBDD424" w14:textId="77777777"/>
    <w:p w:rsidR="00F822A9" w:rsidP="0014199B" w:rsidRDefault="00F822A9" w14:paraId="7380259E" w14:textId="77777777"/>
    <w:p w:rsidR="00F822A9" w:rsidP="0014199B" w:rsidRDefault="00F822A9" w14:paraId="1630159D" w14:textId="77777777"/>
    <w:p w:rsidR="00F822A9" w:rsidP="0014199B" w:rsidRDefault="00F822A9" w14:paraId="4DB9DB36" w14:textId="77777777"/>
    <w:sectPr w:rsidR="00F822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45B7" w14:textId="77777777" w:rsidR="00F6394F" w:rsidRDefault="00F6394F" w:rsidP="00F6394F">
      <w:r>
        <w:separator/>
      </w:r>
    </w:p>
  </w:endnote>
  <w:endnote w:type="continuationSeparator" w:id="0">
    <w:p w14:paraId="6B3189E5" w14:textId="77777777" w:rsidR="00F6394F" w:rsidRDefault="00F6394F" w:rsidP="00F6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DC42" w14:textId="77777777" w:rsidR="00F6394F" w:rsidRDefault="00F63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CFFD" w14:textId="77777777" w:rsidR="00F6394F" w:rsidRDefault="00F63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038C" w14:textId="77777777" w:rsidR="00F6394F" w:rsidRDefault="00F63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881C" w14:textId="77777777" w:rsidR="00F6394F" w:rsidRDefault="00F6394F" w:rsidP="00F6394F">
      <w:r>
        <w:separator/>
      </w:r>
    </w:p>
  </w:footnote>
  <w:footnote w:type="continuationSeparator" w:id="0">
    <w:p w14:paraId="034A6630" w14:textId="77777777" w:rsidR="00F6394F" w:rsidRDefault="00F6394F" w:rsidP="00F6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0406" w14:textId="77777777" w:rsidR="00F6394F" w:rsidRDefault="00F63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6209" w14:textId="6E4442CF" w:rsidR="00F6394F" w:rsidRDefault="00F63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A47F" w14:textId="77777777" w:rsidR="00F6394F" w:rsidRDefault="00F63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533A7"/>
    <w:multiLevelType w:val="hybridMultilevel"/>
    <w:tmpl w:val="D67860A0"/>
    <w:lvl w:ilvl="0" w:tplc="590EC55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6442E25"/>
    <w:multiLevelType w:val="hybridMultilevel"/>
    <w:tmpl w:val="8506CD7C"/>
    <w:lvl w:ilvl="0" w:tplc="782CC8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1E55252"/>
    <w:multiLevelType w:val="hybridMultilevel"/>
    <w:tmpl w:val="FF40CC14"/>
    <w:lvl w:ilvl="0" w:tplc="2B9201BC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EB"/>
    <w:rsid w:val="000A2D2E"/>
    <w:rsid w:val="000F18EB"/>
    <w:rsid w:val="0014199B"/>
    <w:rsid w:val="001A5394"/>
    <w:rsid w:val="001A7C0E"/>
    <w:rsid w:val="003C326F"/>
    <w:rsid w:val="00442712"/>
    <w:rsid w:val="00463DF1"/>
    <w:rsid w:val="00494892"/>
    <w:rsid w:val="004E7FF8"/>
    <w:rsid w:val="005F61EB"/>
    <w:rsid w:val="006567A0"/>
    <w:rsid w:val="006B624D"/>
    <w:rsid w:val="00707059"/>
    <w:rsid w:val="009649D1"/>
    <w:rsid w:val="00984C3C"/>
    <w:rsid w:val="009D021B"/>
    <w:rsid w:val="009E7417"/>
    <w:rsid w:val="00A21963"/>
    <w:rsid w:val="00AA4506"/>
    <w:rsid w:val="00AB4DC9"/>
    <w:rsid w:val="00B55377"/>
    <w:rsid w:val="00BD22F5"/>
    <w:rsid w:val="00BF4519"/>
    <w:rsid w:val="00C22B42"/>
    <w:rsid w:val="00C24EDA"/>
    <w:rsid w:val="00C36F1D"/>
    <w:rsid w:val="00CF1CE2"/>
    <w:rsid w:val="00D23B6C"/>
    <w:rsid w:val="00E71BA8"/>
    <w:rsid w:val="00E922C5"/>
    <w:rsid w:val="00F6394F"/>
    <w:rsid w:val="00F822A9"/>
    <w:rsid w:val="00F921AB"/>
    <w:rsid w:val="00F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4F62B"/>
  <w15:chartTrackingRefBased/>
  <w15:docId w15:val="{D1C32D2E-FE2F-4378-8FFF-72FBEF54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22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5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E7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4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74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E7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417"/>
    <w:rPr>
      <w:rFonts w:ascii="Arial" w:hAnsi="Arial"/>
      <w:b/>
      <w:bCs/>
    </w:rPr>
  </w:style>
  <w:style w:type="paragraph" w:styleId="Header">
    <w:name w:val="header"/>
    <w:basedOn w:val="Normal"/>
    <w:link w:val="HeaderChar"/>
    <w:rsid w:val="00F63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394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F63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394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tobaccoproduc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da.gov/tobacco-products/market-and-distribute-tobacco-product/exemption-substantial-equivalen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8F22-D01C-4938-9B57-E80CCD74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Reporting Requirements Under Section 905(j)(1)(A)(ii)</vt:lpstr>
    </vt:vector>
  </TitlesOfParts>
  <Company>US FDA</Company>
  <LinksUpToDate>false</LinksUpToDate>
  <CharactersWithSpaces>1865</CharactersWithSpaces>
  <SharedDoc>false</SharedDoc>
  <HLinks>
    <vt:vector size="6" baseType="variant">
      <vt:variant>
        <vt:i4>2162729</vt:i4>
      </vt:variant>
      <vt:variant>
        <vt:i4>0</vt:i4>
      </vt:variant>
      <vt:variant>
        <vt:i4>0</vt:i4>
      </vt:variant>
      <vt:variant>
        <vt:i4>5</vt:i4>
      </vt:variant>
      <vt:variant>
        <vt:lpwstr>http://www.fda.gov/tobaccoproducts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Reporting Requirements Under Section 905(j)(1)(A)(ii)</dc:title>
  <dc:subject/>
  <dc:creator>Christopher.Colburn</dc:creator>
  <cp:keywords/>
  <cp:lastModifiedBy>Showalter, Rachel</cp:lastModifiedBy>
  <cp:revision>4</cp:revision>
  <cp:lastPrinted>2011-05-23T15:58:00Z</cp:lastPrinted>
  <dcterms:created xsi:type="dcterms:W3CDTF">2022-07-19T18:07:00Z</dcterms:created>
  <dcterms:modified xsi:type="dcterms:W3CDTF">2022-07-22T11:48:00Z</dcterms:modified>
</cp:coreProperties>
</file>