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30D7" w:rsidRPr="00B330D7" w:rsidP="001C50B5" w14:paraId="13D5DA94" w14:textId="77777777">
      <w:pPr>
        <w:keepLines/>
        <w:spacing w:after="160"/>
        <w:jc w:val="center"/>
        <w:rPr>
          <w:bCs/>
          <w:sz w:val="24"/>
          <w:szCs w:val="24"/>
        </w:rPr>
      </w:pPr>
      <w:r w:rsidRPr="00B330D7">
        <w:rPr>
          <w:bCs/>
          <w:sz w:val="24"/>
          <w:szCs w:val="24"/>
        </w:rPr>
        <w:t>United States Food and Drug Administration</w:t>
      </w:r>
    </w:p>
    <w:p w:rsidR="0046693B" w:rsidRPr="00B330D7" w:rsidP="001C50B5" w14:paraId="07D30E04" w14:textId="7063EDE4">
      <w:pPr>
        <w:keepLines/>
        <w:spacing w:after="160"/>
        <w:jc w:val="center"/>
        <w:rPr>
          <w:bCs/>
          <w:sz w:val="24"/>
          <w:szCs w:val="24"/>
        </w:rPr>
      </w:pPr>
      <w:r w:rsidRPr="00B330D7">
        <w:rPr>
          <w:bCs/>
          <w:sz w:val="24"/>
          <w:szCs w:val="24"/>
        </w:rPr>
        <w:t>Tobacco Products, User Fees, Requirements for the Submission of Data Needed to Calculate User Fees for Domestic Manufacturers and Importers of Tobacco Products</w:t>
      </w:r>
    </w:p>
    <w:p w:rsidR="0046693B" w:rsidRPr="00B330D7" w:rsidP="001C50B5" w14:paraId="6D82E7A7" w14:textId="2583B988">
      <w:pPr>
        <w:keepLines/>
        <w:spacing w:after="160"/>
        <w:jc w:val="center"/>
        <w:rPr>
          <w:bCs/>
          <w:sz w:val="24"/>
          <w:szCs w:val="24"/>
        </w:rPr>
      </w:pPr>
      <w:r w:rsidRPr="00B330D7">
        <w:rPr>
          <w:bCs/>
          <w:sz w:val="24"/>
          <w:szCs w:val="24"/>
        </w:rPr>
        <w:t xml:space="preserve">OMB Control No. </w:t>
      </w:r>
      <w:r w:rsidRPr="00B330D7">
        <w:rPr>
          <w:bCs/>
          <w:sz w:val="24"/>
          <w:szCs w:val="24"/>
        </w:rPr>
        <w:t>0910-0749</w:t>
      </w:r>
    </w:p>
    <w:p w:rsidR="00B330D7" w:rsidRPr="00B330D7" w:rsidP="001C50B5" w14:paraId="015321D0" w14:textId="77777777">
      <w:pPr>
        <w:keepLines/>
        <w:spacing w:after="160"/>
        <w:jc w:val="center"/>
        <w:rPr>
          <w:bCs/>
          <w:sz w:val="24"/>
          <w:szCs w:val="24"/>
        </w:rPr>
      </w:pPr>
      <w:r w:rsidRPr="00B330D7">
        <w:rPr>
          <w:bCs/>
          <w:sz w:val="24"/>
          <w:szCs w:val="24"/>
        </w:rPr>
        <w:t>SUPPORTING STATEMENT</w:t>
      </w:r>
    </w:p>
    <w:p w:rsidR="00851372" w:rsidRPr="00B330D7" w:rsidP="001C50B5" w14:paraId="51FDDA31" w14:textId="2081925C">
      <w:pPr>
        <w:keepLines/>
        <w:spacing w:after="160"/>
        <w:rPr>
          <w:bCs/>
          <w:sz w:val="24"/>
          <w:szCs w:val="24"/>
        </w:rPr>
      </w:pPr>
      <w:r w:rsidRPr="00B330D7">
        <w:rPr>
          <w:bCs/>
          <w:sz w:val="24"/>
          <w:szCs w:val="24"/>
          <w:u w:val="single"/>
        </w:rPr>
        <w:t>Terms of Clearance</w:t>
      </w:r>
      <w:r w:rsidRPr="00B330D7">
        <w:rPr>
          <w:bCs/>
          <w:sz w:val="24"/>
          <w:szCs w:val="24"/>
        </w:rPr>
        <w:t>: None.</w:t>
      </w:r>
    </w:p>
    <w:p w:rsidR="000E1F25" w:rsidP="001C50B5" w14:paraId="63424262" w14:textId="77777777">
      <w:pPr>
        <w:pStyle w:val="Heading1"/>
        <w:keepNext w:val="0"/>
        <w:keepLines/>
        <w:numPr>
          <w:ilvl w:val="0"/>
          <w:numId w:val="6"/>
        </w:numPr>
        <w:spacing w:after="160"/>
        <w:ind w:left="360"/>
        <w:rPr>
          <w:b/>
          <w:bCs/>
          <w:szCs w:val="24"/>
        </w:rPr>
      </w:pPr>
      <w:bookmarkStart w:id="0" w:name="_Toc99430975"/>
      <w:bookmarkStart w:id="1" w:name="_Toc143058435"/>
      <w:bookmarkStart w:id="2" w:name="_Toc146088433"/>
      <w:r w:rsidRPr="00F43955">
        <w:rPr>
          <w:b/>
          <w:bCs/>
          <w:szCs w:val="24"/>
        </w:rPr>
        <w:t>Justification</w:t>
      </w:r>
      <w:bookmarkEnd w:id="0"/>
      <w:bookmarkEnd w:id="1"/>
      <w:bookmarkEnd w:id="2"/>
    </w:p>
    <w:p w:rsidR="000E1F25" w:rsidRPr="00222838" w:rsidP="1D1B3329" w14:paraId="2519F65C" w14:textId="77777777">
      <w:pPr>
        <w:pStyle w:val="ListParagraph"/>
        <w:keepLines/>
        <w:numPr>
          <w:ilvl w:val="0"/>
          <w:numId w:val="7"/>
        </w:numPr>
        <w:spacing w:after="160"/>
        <w:ind w:left="360"/>
        <w:rPr>
          <w:b/>
          <w:bCs/>
          <w:sz w:val="24"/>
          <w:szCs w:val="24"/>
          <w:u w:val="single"/>
        </w:rPr>
      </w:pPr>
      <w:r w:rsidRPr="1D1B3329">
        <w:rPr>
          <w:b/>
          <w:bCs/>
          <w:sz w:val="24"/>
          <w:szCs w:val="24"/>
          <w:u w:val="single"/>
        </w:rPr>
        <w:t>Circumstances Making the Collection of Information Necessary</w:t>
      </w:r>
    </w:p>
    <w:p w:rsidR="00CB17DF" w:rsidP="41C1B694" w14:paraId="7599D9B6" w14:textId="5434EB6E">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0A9A12E8">
        <w:rPr>
          <w:sz w:val="24"/>
          <w:szCs w:val="24"/>
        </w:rPr>
        <w:t xml:space="preserve">This information collection supports Food and Drug Administration </w:t>
      </w:r>
      <w:r w:rsidRPr="0A9A12E8" w:rsidR="22838CDB">
        <w:rPr>
          <w:sz w:val="24"/>
          <w:szCs w:val="24"/>
        </w:rPr>
        <w:t xml:space="preserve">regulations. </w:t>
      </w:r>
      <w:r w:rsidRPr="0A9A12E8" w:rsidR="63FBDAE2">
        <w:rPr>
          <w:sz w:val="24"/>
          <w:szCs w:val="24"/>
        </w:rPr>
        <w:t>Tobacco products are generally governed by chapter IX of the Federal Food, Drug, and Cosmetic Act</w:t>
      </w:r>
      <w:r w:rsidRPr="0A9A12E8" w:rsidR="5301AA4F">
        <w:rPr>
          <w:sz w:val="24"/>
          <w:szCs w:val="24"/>
        </w:rPr>
        <w:t xml:space="preserve"> (FD&amp;C Act</w:t>
      </w:r>
      <w:r w:rsidRPr="0A9A12E8" w:rsidR="2D4370B4">
        <w:rPr>
          <w:sz w:val="24"/>
          <w:szCs w:val="24"/>
        </w:rPr>
        <w:t xml:space="preserve"> or the Act</w:t>
      </w:r>
      <w:r w:rsidRPr="0A9A12E8" w:rsidR="5301AA4F">
        <w:rPr>
          <w:sz w:val="24"/>
          <w:szCs w:val="24"/>
        </w:rPr>
        <w:t>)</w:t>
      </w:r>
      <w:r w:rsidRPr="0A9A12E8" w:rsidR="63FBDAE2">
        <w:rPr>
          <w:sz w:val="24"/>
          <w:szCs w:val="24"/>
        </w:rPr>
        <w:t xml:space="preserve"> (sections 900 through 920) (21 U.S.C. 387</w:t>
      </w:r>
      <w:r w:rsidRPr="0A9A12E8" w:rsidR="677805F3">
        <w:rPr>
          <w:sz w:val="24"/>
          <w:szCs w:val="24"/>
        </w:rPr>
        <w:t>-</w:t>
      </w:r>
      <w:r w:rsidRPr="0A9A12E8" w:rsidR="63FBDAE2">
        <w:rPr>
          <w:sz w:val="24"/>
          <w:szCs w:val="24"/>
        </w:rPr>
        <w:t xml:space="preserve">387t). </w:t>
      </w:r>
      <w:r w:rsidRPr="0A9A12E8" w:rsidR="0B014E88">
        <w:rPr>
          <w:sz w:val="24"/>
          <w:szCs w:val="24"/>
        </w:rPr>
        <w:t xml:space="preserve">Specifically, </w:t>
      </w:r>
      <w:r w:rsidRPr="0A9A12E8" w:rsidR="6BA05655">
        <w:rPr>
          <w:sz w:val="24"/>
          <w:szCs w:val="24"/>
        </w:rPr>
        <w:t xml:space="preserve">Section 919 of the Act (21 U.S.C. 387s) </w:t>
      </w:r>
      <w:r w:rsidRPr="0A9A12E8" w:rsidR="0B014E88">
        <w:rPr>
          <w:sz w:val="24"/>
          <w:szCs w:val="24"/>
        </w:rPr>
        <w:t xml:space="preserve">governs </w:t>
      </w:r>
      <w:r w:rsidRPr="0A9A12E8" w:rsidR="5096E22A">
        <w:rPr>
          <w:sz w:val="24"/>
          <w:szCs w:val="24"/>
        </w:rPr>
        <w:t xml:space="preserve">tobacco user fees. </w:t>
      </w:r>
    </w:p>
    <w:p w:rsidR="006C653F" w:rsidP="1D1B3329" w14:paraId="02E30F1D" w14:textId="25E6033E">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1D1B3329">
        <w:rPr>
          <w:sz w:val="24"/>
          <w:szCs w:val="24"/>
        </w:rPr>
        <w:t>Section 919(a) requires FDA to “assess user fees on, and collect such fees from, each manufacturer and importer of tobacco products” subject to the tobacco product provisions of the FD&amp;C Act.</w:t>
      </w:r>
      <w:r w:rsidRPr="1D1B3329" w:rsidR="23D541B9">
        <w:rPr>
          <w:sz w:val="24"/>
          <w:szCs w:val="24"/>
        </w:rPr>
        <w:t xml:space="preserve"> </w:t>
      </w:r>
      <w:r w:rsidRPr="1D1B3329" w:rsidR="1CDA6634">
        <w:rPr>
          <w:sz w:val="24"/>
          <w:szCs w:val="24"/>
        </w:rPr>
        <w:t>Accordingly, Section 919</w:t>
      </w:r>
      <w:r w:rsidRPr="1D1B3329" w:rsidR="5E32ACE8">
        <w:rPr>
          <w:sz w:val="24"/>
          <w:szCs w:val="24"/>
        </w:rPr>
        <w:t>(b)(2)(B)(</w:t>
      </w:r>
      <w:r w:rsidRPr="1D1B3329" w:rsidR="5E32ACE8">
        <w:rPr>
          <w:sz w:val="24"/>
          <w:szCs w:val="24"/>
        </w:rPr>
        <w:t>i</w:t>
      </w:r>
      <w:r w:rsidRPr="1D1B3329" w:rsidR="5E32ACE8">
        <w:rPr>
          <w:sz w:val="24"/>
          <w:szCs w:val="24"/>
        </w:rPr>
        <w:t xml:space="preserve">) </w:t>
      </w:r>
      <w:r w:rsidRPr="1D1B3329" w:rsidR="62B3137D">
        <w:rPr>
          <w:sz w:val="24"/>
          <w:szCs w:val="24"/>
        </w:rPr>
        <w:t xml:space="preserve">identifies those </w:t>
      </w:r>
      <w:r w:rsidRPr="1D1B3329" w:rsidR="7AFEBF24">
        <w:rPr>
          <w:sz w:val="24"/>
          <w:szCs w:val="24"/>
        </w:rPr>
        <w:t xml:space="preserve">tobacco </w:t>
      </w:r>
      <w:r w:rsidRPr="1D1B3329" w:rsidR="62B3137D">
        <w:rPr>
          <w:sz w:val="24"/>
          <w:szCs w:val="24"/>
        </w:rPr>
        <w:t>product</w:t>
      </w:r>
      <w:r w:rsidRPr="1D1B3329" w:rsidR="7AFEBF24">
        <w:rPr>
          <w:sz w:val="24"/>
          <w:szCs w:val="24"/>
        </w:rPr>
        <w:t>s</w:t>
      </w:r>
      <w:r w:rsidRPr="1D1B3329" w:rsidR="62B3137D">
        <w:rPr>
          <w:sz w:val="24"/>
          <w:szCs w:val="24"/>
        </w:rPr>
        <w:t xml:space="preserve"> as: cigarettes, cigars, snuff, chewing tobacco, pipe tobacco, and roll-your-own tobacco.</w:t>
      </w:r>
    </w:p>
    <w:p w:rsidR="007751E6" w:rsidP="001C50B5" w14:paraId="13DF7946" w14:textId="68FBC60A">
      <w:pPr>
        <w:keepLines/>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Pr>
          <w:sz w:val="24"/>
          <w:szCs w:val="24"/>
        </w:rPr>
        <w:t>S</w:t>
      </w:r>
      <w:r w:rsidR="0025049F">
        <w:rPr>
          <w:sz w:val="24"/>
          <w:szCs w:val="24"/>
        </w:rPr>
        <w:t xml:space="preserve">ection 919(b)(1) </w:t>
      </w:r>
      <w:r>
        <w:rPr>
          <w:sz w:val="24"/>
          <w:szCs w:val="24"/>
        </w:rPr>
        <w:t xml:space="preserve">specifies the total amount of user fees to be collected for each fiscal year </w:t>
      </w:r>
      <w:r w:rsidR="0025049F">
        <w:rPr>
          <w:sz w:val="24"/>
          <w:szCs w:val="24"/>
        </w:rPr>
        <w:t xml:space="preserve">and under section 919(a) </w:t>
      </w:r>
      <w:r w:rsidR="002131A0">
        <w:rPr>
          <w:sz w:val="24"/>
          <w:szCs w:val="24"/>
        </w:rPr>
        <w:t>FDA is to assess and collect a proportionate amount each quarter of the fiscal year.</w:t>
      </w:r>
      <w:r w:rsidR="00210B9B">
        <w:rPr>
          <w:sz w:val="24"/>
          <w:szCs w:val="24"/>
        </w:rPr>
        <w:t xml:space="preserve"> </w:t>
      </w:r>
      <w:r w:rsidR="002131A0">
        <w:rPr>
          <w:sz w:val="24"/>
          <w:szCs w:val="24"/>
        </w:rPr>
        <w:t xml:space="preserve">The FD&amp;C Act provides for the total assessment to be allocated </w:t>
      </w:r>
      <w:r w:rsidR="00407B3E">
        <w:rPr>
          <w:sz w:val="24"/>
          <w:szCs w:val="24"/>
        </w:rPr>
        <w:t xml:space="preserve">first </w:t>
      </w:r>
      <w:r w:rsidR="002131A0">
        <w:rPr>
          <w:sz w:val="24"/>
          <w:szCs w:val="24"/>
        </w:rPr>
        <w:t>among the</w:t>
      </w:r>
      <w:r w:rsidR="00F405AE">
        <w:rPr>
          <w:sz w:val="24"/>
          <w:szCs w:val="24"/>
        </w:rPr>
        <w:t xml:space="preserve"> </w:t>
      </w:r>
      <w:r w:rsidR="002131A0">
        <w:rPr>
          <w:sz w:val="24"/>
          <w:szCs w:val="24"/>
        </w:rPr>
        <w:t>classes of tobacco products</w:t>
      </w:r>
      <w:r w:rsidR="008C4F24">
        <w:rPr>
          <w:sz w:val="24"/>
          <w:szCs w:val="24"/>
        </w:rPr>
        <w:t xml:space="preserve"> (yearly class allocation)</w:t>
      </w:r>
      <w:r w:rsidR="00407B3E">
        <w:rPr>
          <w:sz w:val="24"/>
          <w:szCs w:val="24"/>
        </w:rPr>
        <w:t xml:space="preserve"> and then among the domestic manufacturers and importers within each tobacco class</w:t>
      </w:r>
      <w:r w:rsidR="008C4F24">
        <w:rPr>
          <w:sz w:val="24"/>
          <w:szCs w:val="24"/>
        </w:rPr>
        <w:t xml:space="preserve"> (individual market share)</w:t>
      </w:r>
      <w:r w:rsidR="002131A0">
        <w:rPr>
          <w:sz w:val="24"/>
          <w:szCs w:val="24"/>
        </w:rPr>
        <w:t xml:space="preserve">. The </w:t>
      </w:r>
      <w:r w:rsidR="008C4F24">
        <w:rPr>
          <w:sz w:val="24"/>
          <w:szCs w:val="24"/>
        </w:rPr>
        <w:t xml:space="preserve">yearly </w:t>
      </w:r>
      <w:r w:rsidR="002131A0">
        <w:rPr>
          <w:sz w:val="24"/>
          <w:szCs w:val="24"/>
        </w:rPr>
        <w:t>class allocation is based on volume of tobacco product removed</w:t>
      </w:r>
      <w:r>
        <w:rPr>
          <w:rStyle w:val="FootnoteReference"/>
          <w:sz w:val="24"/>
          <w:szCs w:val="24"/>
        </w:rPr>
        <w:footnoteReference w:id="3"/>
      </w:r>
      <w:r w:rsidRPr="00C72E68" w:rsidR="00C72E68">
        <w:rPr>
          <w:sz w:val="24"/>
          <w:szCs w:val="24"/>
        </w:rPr>
        <w:t xml:space="preserve"> </w:t>
      </w:r>
      <w:r>
        <w:rPr>
          <w:sz w:val="24"/>
          <w:szCs w:val="24"/>
        </w:rPr>
        <w:t>into commerce</w:t>
      </w:r>
      <w:r w:rsidR="00735229">
        <w:rPr>
          <w:sz w:val="24"/>
          <w:szCs w:val="24"/>
        </w:rPr>
        <w:t xml:space="preserve"> for each tobacco class</w:t>
      </w:r>
      <w:r>
        <w:rPr>
          <w:sz w:val="24"/>
          <w:szCs w:val="24"/>
        </w:rPr>
        <w:t>.</w:t>
      </w:r>
      <w:r w:rsidR="00210B9B">
        <w:rPr>
          <w:sz w:val="24"/>
          <w:szCs w:val="24"/>
        </w:rPr>
        <w:t xml:space="preserve"> </w:t>
      </w:r>
      <w:r w:rsidR="008C4F24">
        <w:rPr>
          <w:sz w:val="24"/>
          <w:szCs w:val="24"/>
        </w:rPr>
        <w:t xml:space="preserve">The </w:t>
      </w:r>
      <w:r>
        <w:rPr>
          <w:sz w:val="24"/>
          <w:szCs w:val="24"/>
        </w:rPr>
        <w:t>individual</w:t>
      </w:r>
      <w:r w:rsidR="008C4F24">
        <w:rPr>
          <w:sz w:val="24"/>
          <w:szCs w:val="24"/>
        </w:rPr>
        <w:t xml:space="preserve"> market share is</w:t>
      </w:r>
      <w:r>
        <w:rPr>
          <w:sz w:val="24"/>
          <w:szCs w:val="24"/>
        </w:rPr>
        <w:t xml:space="preserve"> based on </w:t>
      </w:r>
      <w:r w:rsidR="007B7ACD">
        <w:rPr>
          <w:sz w:val="24"/>
          <w:szCs w:val="24"/>
        </w:rPr>
        <w:t>entities</w:t>
      </w:r>
      <w:r>
        <w:rPr>
          <w:sz w:val="24"/>
          <w:szCs w:val="24"/>
        </w:rPr>
        <w:t xml:space="preserve"> share of the market for that tobacco product class</w:t>
      </w:r>
      <w:r w:rsidR="008C4F24">
        <w:rPr>
          <w:sz w:val="24"/>
          <w:szCs w:val="24"/>
        </w:rPr>
        <w:t xml:space="preserve"> and calculated using Federal excise tax</w:t>
      </w:r>
      <w:r w:rsidR="007B7ACD">
        <w:rPr>
          <w:sz w:val="24"/>
          <w:szCs w:val="24"/>
        </w:rPr>
        <w:t xml:space="preserve"> data</w:t>
      </w:r>
      <w:r>
        <w:rPr>
          <w:sz w:val="24"/>
          <w:szCs w:val="24"/>
        </w:rPr>
        <w:t>.</w:t>
      </w:r>
    </w:p>
    <w:p w:rsidR="007269BD" w:rsidRPr="00877B92" w:rsidP="001C50B5" w14:paraId="663A4B24" w14:textId="38C41AF4">
      <w:pPr>
        <w:keepLines/>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Pr>
          <w:sz w:val="24"/>
          <w:szCs w:val="24"/>
        </w:rPr>
        <w:t>To implement the tobacco user fee program as prescribed in the FD&amp;C Act (as summarized above), FDA must collect the information needed to accurately calculate tobacco user fee</w:t>
      </w:r>
      <w:r w:rsidR="007B7ACD">
        <w:rPr>
          <w:sz w:val="24"/>
          <w:szCs w:val="24"/>
        </w:rPr>
        <w:t xml:space="preserve"> assessments</w:t>
      </w:r>
      <w:r>
        <w:rPr>
          <w:sz w:val="24"/>
          <w:szCs w:val="24"/>
        </w:rPr>
        <w:t xml:space="preserve">. </w:t>
      </w:r>
      <w:r w:rsidR="00AD09AE">
        <w:rPr>
          <w:sz w:val="24"/>
          <w:szCs w:val="24"/>
        </w:rPr>
        <w:t>FDA published a final rule</w:t>
      </w:r>
      <w:r w:rsidR="00E7273B">
        <w:rPr>
          <w:sz w:val="24"/>
          <w:szCs w:val="24"/>
        </w:rPr>
        <w:t xml:space="preserve">, </w:t>
      </w:r>
      <w:r w:rsidRPr="00877B92">
        <w:rPr>
          <w:sz w:val="24"/>
          <w:szCs w:val="24"/>
        </w:rPr>
        <w:t>21 CFR Part 1150</w:t>
      </w:r>
      <w:r w:rsidR="00E7273B">
        <w:rPr>
          <w:sz w:val="24"/>
          <w:szCs w:val="24"/>
        </w:rPr>
        <w:t>, that</w:t>
      </w:r>
      <w:r w:rsidRPr="00877B92">
        <w:rPr>
          <w:sz w:val="24"/>
          <w:szCs w:val="24"/>
        </w:rPr>
        <w:t xml:space="preserve"> requires domestic manufacturers and importers </w:t>
      </w:r>
      <w:r>
        <w:rPr>
          <w:sz w:val="24"/>
          <w:szCs w:val="24"/>
        </w:rPr>
        <w:t xml:space="preserve">of the applicable tobacco products (listed above) </w:t>
      </w:r>
      <w:r w:rsidRPr="00877B92">
        <w:rPr>
          <w:sz w:val="24"/>
          <w:szCs w:val="24"/>
        </w:rPr>
        <w:t xml:space="preserve">to submit </w:t>
      </w:r>
      <w:r>
        <w:rPr>
          <w:sz w:val="24"/>
          <w:szCs w:val="24"/>
        </w:rPr>
        <w:t xml:space="preserve">this </w:t>
      </w:r>
      <w:r w:rsidRPr="00877B92">
        <w:rPr>
          <w:sz w:val="24"/>
          <w:szCs w:val="24"/>
        </w:rPr>
        <w:t xml:space="preserve">information </w:t>
      </w:r>
      <w:r>
        <w:rPr>
          <w:sz w:val="24"/>
          <w:szCs w:val="24"/>
        </w:rPr>
        <w:t>to the</w:t>
      </w:r>
      <w:r w:rsidRPr="00877B92">
        <w:rPr>
          <w:sz w:val="24"/>
          <w:szCs w:val="24"/>
        </w:rPr>
        <w:t xml:space="preserve"> FDA.</w:t>
      </w:r>
      <w:r w:rsidR="00210B9B">
        <w:rPr>
          <w:sz w:val="24"/>
          <w:szCs w:val="24"/>
        </w:rPr>
        <w:t xml:space="preserve"> </w:t>
      </w:r>
    </w:p>
    <w:p w:rsidR="002B0550" w:rsidP="1D1B3329" w14:paraId="46809ED0" w14:textId="30062F24">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0A9A12E8">
        <w:rPr>
          <w:sz w:val="24"/>
          <w:szCs w:val="24"/>
        </w:rPr>
        <w:t xml:space="preserve">The following sections </w:t>
      </w:r>
      <w:r w:rsidRPr="0A9A12E8" w:rsidR="48E06127">
        <w:rPr>
          <w:sz w:val="24"/>
          <w:szCs w:val="24"/>
        </w:rPr>
        <w:t>of</w:t>
      </w:r>
      <w:r w:rsidRPr="0A9A12E8">
        <w:rPr>
          <w:sz w:val="24"/>
          <w:szCs w:val="24"/>
        </w:rPr>
        <w:t xml:space="preserve"> the </w:t>
      </w:r>
      <w:r w:rsidRPr="0A9A12E8" w:rsidR="58262B74">
        <w:rPr>
          <w:sz w:val="24"/>
          <w:szCs w:val="24"/>
        </w:rPr>
        <w:t xml:space="preserve">final </w:t>
      </w:r>
      <w:r w:rsidRPr="0A9A12E8">
        <w:rPr>
          <w:sz w:val="24"/>
          <w:szCs w:val="24"/>
        </w:rPr>
        <w:t>rule</w:t>
      </w:r>
      <w:r w:rsidRPr="0A9A12E8" w:rsidR="48E06127">
        <w:rPr>
          <w:sz w:val="24"/>
          <w:szCs w:val="24"/>
        </w:rPr>
        <w:t xml:space="preserve"> include collections of information</w:t>
      </w:r>
      <w:r w:rsidRPr="0A9A12E8" w:rsidR="50766734">
        <w:rPr>
          <w:sz w:val="24"/>
          <w:szCs w:val="24"/>
        </w:rPr>
        <w:t>.</w:t>
      </w:r>
      <w:r w:rsidRPr="0A9A12E8" w:rsidR="0CE0D6FC">
        <w:rPr>
          <w:sz w:val="24"/>
          <w:szCs w:val="24"/>
        </w:rPr>
        <w:t xml:space="preserve"> </w:t>
      </w:r>
      <w:r w:rsidRPr="0A9A12E8" w:rsidR="5733EC11">
        <w:rPr>
          <w:sz w:val="24"/>
          <w:szCs w:val="24"/>
        </w:rPr>
        <w:t>T</w:t>
      </w:r>
      <w:r w:rsidRPr="0A9A12E8" w:rsidR="0CE0D6FC">
        <w:rPr>
          <w:sz w:val="24"/>
          <w:szCs w:val="24"/>
        </w:rPr>
        <w:t xml:space="preserve">he information captured by these sections is necessary to provide FDA with the information </w:t>
      </w:r>
      <w:r w:rsidRPr="0A9A12E8" w:rsidR="5886EFD7">
        <w:rPr>
          <w:sz w:val="24"/>
          <w:szCs w:val="24"/>
        </w:rPr>
        <w:t>necessary</w:t>
      </w:r>
      <w:r w:rsidRPr="0A9A12E8" w:rsidR="0CE0D6FC">
        <w:rPr>
          <w:sz w:val="24"/>
          <w:szCs w:val="24"/>
        </w:rPr>
        <w:t xml:space="preserve"> to </w:t>
      </w:r>
      <w:r w:rsidRPr="0A9A12E8" w:rsidR="5886EFD7">
        <w:rPr>
          <w:sz w:val="24"/>
          <w:szCs w:val="24"/>
        </w:rPr>
        <w:t xml:space="preserve">accurately </w:t>
      </w:r>
      <w:r w:rsidRPr="0A9A12E8" w:rsidR="0CE0D6FC">
        <w:rPr>
          <w:sz w:val="24"/>
          <w:szCs w:val="24"/>
        </w:rPr>
        <w:t xml:space="preserve">assess and collect </w:t>
      </w:r>
      <w:r w:rsidRPr="0A9A12E8" w:rsidR="5886EFD7">
        <w:rPr>
          <w:sz w:val="24"/>
          <w:szCs w:val="24"/>
        </w:rPr>
        <w:t xml:space="preserve">tobacco user fees </w:t>
      </w:r>
      <w:r w:rsidRPr="0A9A12E8" w:rsidR="0CE0D6FC">
        <w:rPr>
          <w:sz w:val="24"/>
          <w:szCs w:val="24"/>
        </w:rPr>
        <w:t>from each domestic manufacturer and importer</w:t>
      </w:r>
      <w:r w:rsidRPr="0A9A12E8" w:rsidR="649F9736">
        <w:rPr>
          <w:sz w:val="24"/>
          <w:szCs w:val="24"/>
        </w:rPr>
        <w:t xml:space="preserve"> of tobacco products subject to tobacco user fees</w:t>
      </w:r>
      <w:r w:rsidRPr="0A9A12E8" w:rsidR="6827AFD7">
        <w:rPr>
          <w:sz w:val="24"/>
          <w:szCs w:val="24"/>
        </w:rPr>
        <w:t>.</w:t>
      </w:r>
    </w:p>
    <w:p w:rsidR="00E13D1A" w:rsidP="001C50B5" w14:paraId="63E0D60E" w14:textId="77777777">
      <w:pPr>
        <w:keepLines/>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u w:val="single"/>
        </w:rPr>
      </w:pPr>
    </w:p>
    <w:p w:rsidR="00E13D1A" w:rsidP="001C50B5" w14:paraId="708CDE8D" w14:textId="77777777">
      <w:pPr>
        <w:keepLines/>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u w:val="single"/>
        </w:rPr>
      </w:pPr>
    </w:p>
    <w:p w:rsidR="004E0945" w:rsidRPr="003B08F5" w:rsidP="0A9A12E8" w14:paraId="75CC9813" w14:textId="331EC361">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0A9A12E8">
        <w:rPr>
          <w:sz w:val="24"/>
          <w:szCs w:val="24"/>
        </w:rPr>
        <w:t>Section</w:t>
      </w:r>
      <w:r w:rsidRPr="0A9A12E8" w:rsidR="5F0967F8">
        <w:rPr>
          <w:sz w:val="24"/>
          <w:szCs w:val="24"/>
        </w:rPr>
        <w:t xml:space="preserve"> </w:t>
      </w:r>
      <w:r w:rsidRPr="0A9A12E8" w:rsidR="62FD563C">
        <w:rPr>
          <w:sz w:val="24"/>
          <w:szCs w:val="24"/>
        </w:rPr>
        <w:t>1150.5</w:t>
      </w:r>
      <w:r w:rsidRPr="0A9A12E8" w:rsidR="20AB4ACA">
        <w:rPr>
          <w:sz w:val="24"/>
          <w:szCs w:val="24"/>
        </w:rPr>
        <w:t xml:space="preserve"> covers essential information enabling FDA to determine allocations and verify monthly summary information on which the allocations are based</w:t>
      </w:r>
      <w:r w:rsidRPr="0A9A12E8" w:rsidR="2412F19A">
        <w:rPr>
          <w:sz w:val="24"/>
          <w:szCs w:val="24"/>
        </w:rPr>
        <w:t xml:space="preserve"> on.</w:t>
      </w:r>
      <w:r w:rsidRPr="0A9A12E8" w:rsidR="20AB4ACA">
        <w:rPr>
          <w:sz w:val="24"/>
          <w:szCs w:val="24"/>
        </w:rPr>
        <w:t xml:space="preserve"> FDA can accurately assess and collect user fees from domestic manufacturers and importers of tobacco products subject to tobacco user fees. Submission of the information in a summary form (FDA 3852) along with the supporting documents (i.e., certified copies of the relevant tax forms) ensures that FDA can efficiently and accurately identify the amount of tobacco product removed by class and the amount of Federal excise taxes assessed for those removals. FDA believes that the required information provides the Agency the data necessary to effectively implement its legislative requirements in Section 919 of the FD&amp;C Act. </w:t>
      </w:r>
    </w:p>
    <w:p w:rsidR="483E7574" w14:paraId="0A981E52" w14:textId="3BCED8E9">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0A9A12E8">
        <w:rPr>
          <w:sz w:val="24"/>
          <w:szCs w:val="24"/>
        </w:rPr>
        <w:t xml:space="preserve">Paragraph </w:t>
      </w:r>
      <w:r w:rsidRPr="0A9A12E8" w:rsidR="6E306DCF">
        <w:rPr>
          <w:sz w:val="24"/>
          <w:szCs w:val="24"/>
        </w:rPr>
        <w:t xml:space="preserve">1150.5(a) describes when and in what manner FDA requires domestic manufacturers and importers of tobacco products subject to tobacco user fees to submit information. </w:t>
      </w:r>
      <w:r w:rsidRPr="0A9A12E8" w:rsidR="64957E73">
        <w:rPr>
          <w:sz w:val="24"/>
          <w:szCs w:val="24"/>
        </w:rPr>
        <w:t xml:space="preserve">Paragraph </w:t>
      </w:r>
      <w:r w:rsidRPr="0A9A12E8" w:rsidR="0DA2A626">
        <w:rPr>
          <w:sz w:val="24"/>
          <w:szCs w:val="24"/>
        </w:rPr>
        <w:t>1150.5(b)(1) and (b)(2) describe the information that FDA requires domestic manufacturers and importers of tobacco products subject to tobacco user fees to provide monthly. Moreover, FDA provid</w:t>
      </w:r>
      <w:r w:rsidRPr="0A9A12E8" w:rsidR="781DCE8E">
        <w:rPr>
          <w:sz w:val="24"/>
          <w:szCs w:val="24"/>
        </w:rPr>
        <w:t>es form FDA 3852</w:t>
      </w:r>
      <w:r w:rsidRPr="0A9A12E8" w:rsidR="0DA2A626">
        <w:rPr>
          <w:sz w:val="24"/>
          <w:szCs w:val="24"/>
        </w:rPr>
        <w:t xml:space="preserve"> to domestic manufacturers and importers. FDA requires the use of this form to capture the monthly identification and removal information specified under § 1150.5(b)(1) and (b)(2).</w:t>
      </w:r>
      <w:r w:rsidRPr="0A9A12E8" w:rsidR="261C2746">
        <w:rPr>
          <w:sz w:val="24"/>
          <w:szCs w:val="24"/>
        </w:rPr>
        <w:t xml:space="preserve"> </w:t>
      </w:r>
    </w:p>
    <w:p w:rsidR="743218A1" w:rsidP="2E15CD71" w14:paraId="0CA9B5E5" w14:textId="2ABD0375">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0A9A12E8">
        <w:rPr>
          <w:sz w:val="24"/>
          <w:szCs w:val="24"/>
        </w:rPr>
        <w:t xml:space="preserve">Specifically, under § 1150.5(b)(1), each domestic manufacturer and importer submits identifying information, including its name and address, contact name and telephone number, an email address and postal address for FDA notifications, Alcohol and Tobacco Tax and Trade Bureau (TTB) permit number, and Employer Identification Number (EIN). </w:t>
      </w:r>
    </w:p>
    <w:p w:rsidR="2EDDA3BA" w:rsidP="2E15CD71" w14:paraId="35B7ADA2" w14:textId="1C57EBE9">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0A9A12E8">
        <w:rPr>
          <w:sz w:val="24"/>
          <w:szCs w:val="24"/>
        </w:rPr>
        <w:t xml:space="preserve">Under § 1150.5(b)(2), each domestic manufacturer and importer submits removal information to include the units of products, by class, removed and not tax exempt for the prior month and the Federal excise taxes assessed, by class, for those removals. This sub-paragraph requires monthly reports from all domestic manufacturers and importers even if entities had no removals subject to tax during the reporting period.   </w:t>
      </w:r>
    </w:p>
    <w:p w:rsidR="00F27C12" w:rsidP="563854A4" w14:paraId="1F3C8335" w14:textId="5DB6061D">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0A9A12E8">
        <w:rPr>
          <w:sz w:val="24"/>
          <w:szCs w:val="24"/>
        </w:rPr>
        <w:t>Lastly, § 1150.5(b)(3) requires that domestic manufacturers and importers of tobacco products subject to tobacco user fees provide monthly certified copies of returns and forms related to the removal of tobacco products into domestic commerce (Section 5702 of the IRC) and the payment of Federal excise taxes imposed (Chapter 52 of the IRC). Because the specific names of non-FDA reports and forms may change over time, FDA does not name reports or forms in the final rule; FDA specifies the form names on Form FDA 3852. Currently, the forms include: TTB Form 5220.6; TTB Form 5210.5; TTB 5000.24; and CBP Form 7501. The burden on reporting entities should be relatively low because are submitting copies of forms they are currently required to submit under separate laws. Note that the</w:t>
      </w:r>
      <w:r w:rsidRPr="0A9A12E8" w:rsidR="0F880897">
        <w:rPr>
          <w:sz w:val="24"/>
          <w:szCs w:val="24"/>
        </w:rPr>
        <w:t xml:space="preserve"> cost and hourly burden </w:t>
      </w:r>
      <w:r w:rsidRPr="0A9A12E8" w:rsidR="5FFB48F4">
        <w:rPr>
          <w:sz w:val="24"/>
          <w:szCs w:val="24"/>
        </w:rPr>
        <w:t xml:space="preserve">listed </w:t>
      </w:r>
      <w:r w:rsidRPr="0A9A12E8" w:rsidR="57F3E742">
        <w:rPr>
          <w:sz w:val="24"/>
          <w:szCs w:val="24"/>
        </w:rPr>
        <w:t xml:space="preserve">in Table 1 </w:t>
      </w:r>
      <w:r w:rsidRPr="0A9A12E8" w:rsidR="5FFB48F4">
        <w:rPr>
          <w:sz w:val="24"/>
          <w:szCs w:val="24"/>
        </w:rPr>
        <w:t xml:space="preserve">for § 1150.5(b) covers the burden </w:t>
      </w:r>
      <w:r w:rsidRPr="0A9A12E8" w:rsidR="0F880897">
        <w:rPr>
          <w:sz w:val="24"/>
          <w:szCs w:val="24"/>
        </w:rPr>
        <w:t xml:space="preserve">for all </w:t>
      </w:r>
      <w:r w:rsidRPr="0A9A12E8" w:rsidR="245220D0">
        <w:rPr>
          <w:sz w:val="24"/>
          <w:szCs w:val="24"/>
        </w:rPr>
        <w:t>paragraphs</w:t>
      </w:r>
      <w:r w:rsidRPr="0A9A12E8" w:rsidR="0F880897">
        <w:rPr>
          <w:sz w:val="24"/>
          <w:szCs w:val="24"/>
        </w:rPr>
        <w:t xml:space="preserve"> in § 1150.</w:t>
      </w:r>
      <w:r w:rsidRPr="0A9A12E8" w:rsidR="5FFB48F4">
        <w:rPr>
          <w:sz w:val="24"/>
          <w:szCs w:val="24"/>
        </w:rPr>
        <w:t>5</w:t>
      </w:r>
      <w:r w:rsidRPr="0A9A12E8" w:rsidR="0F880897">
        <w:rPr>
          <w:sz w:val="24"/>
          <w:szCs w:val="24"/>
        </w:rPr>
        <w:t>.</w:t>
      </w:r>
    </w:p>
    <w:p w:rsidR="00A00B80" w:rsidRPr="001C50B5" w:rsidP="2E15CD71" w14:paraId="61CC4DE9" w14:textId="2910313B">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0A9A12E8">
        <w:rPr>
          <w:sz w:val="24"/>
          <w:szCs w:val="24"/>
        </w:rPr>
        <w:t>Section</w:t>
      </w:r>
      <w:r w:rsidRPr="0A9A12E8" w:rsidR="2DF20337">
        <w:rPr>
          <w:sz w:val="24"/>
          <w:szCs w:val="24"/>
        </w:rPr>
        <w:t xml:space="preserve"> </w:t>
      </w:r>
      <w:r w:rsidRPr="0A9A12E8" w:rsidR="47417C29">
        <w:rPr>
          <w:sz w:val="24"/>
          <w:szCs w:val="24"/>
        </w:rPr>
        <w:t xml:space="preserve">1150.13 </w:t>
      </w:r>
      <w:r w:rsidRPr="0A9A12E8" w:rsidR="4DC9BBA7">
        <w:rPr>
          <w:sz w:val="24"/>
          <w:szCs w:val="24"/>
        </w:rPr>
        <w:t>covers necessary information to collect assessments identify</w:t>
      </w:r>
      <w:r w:rsidRPr="0A9A12E8" w:rsidR="1BD7DB6E">
        <w:rPr>
          <w:sz w:val="24"/>
          <w:szCs w:val="24"/>
        </w:rPr>
        <w:t>ing</w:t>
      </w:r>
      <w:r w:rsidRPr="0A9A12E8" w:rsidR="4DC9BBA7">
        <w:rPr>
          <w:sz w:val="24"/>
          <w:szCs w:val="24"/>
        </w:rPr>
        <w:t xml:space="preserve"> which domestic manufacturers and importers have paid their assessments</w:t>
      </w:r>
      <w:r w:rsidRPr="0A9A12E8" w:rsidR="0B4E1300">
        <w:rPr>
          <w:sz w:val="24"/>
          <w:szCs w:val="24"/>
        </w:rPr>
        <w:t xml:space="preserve">, and to calculate interest on unpaid manufacturer and importer assessments. </w:t>
      </w:r>
      <w:r w:rsidRPr="0A9A12E8" w:rsidR="21E26737">
        <w:rPr>
          <w:sz w:val="24"/>
          <w:szCs w:val="24"/>
        </w:rPr>
        <w:t xml:space="preserve">This section requires that a domestic manufacturer and importer pay an assessment by the last day of the applicable quarter. If FDA has not notified the domestic manufacturer or importer of the amount that is required to be remitted 30 calendar days before the end of a fiscal year quarter, the final rule provides that no interest is assessed until 30 calendar days after the date FDA sent notification of the amount owed. This section also requires that payments be submitted in U.S. dollars and in the manner specified in the notification (for example, online payment).   </w:t>
      </w:r>
    </w:p>
    <w:p w:rsidR="001C1004" w:rsidRPr="001C50B5" w:rsidP="2E15CD71" w14:paraId="4DFAD72F" w14:textId="6D5D9675">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0A9A12E8">
        <w:rPr>
          <w:sz w:val="24"/>
          <w:szCs w:val="24"/>
        </w:rPr>
        <w:t xml:space="preserve">Section </w:t>
      </w:r>
      <w:r w:rsidRPr="0A9A12E8" w:rsidR="47417C29">
        <w:rPr>
          <w:sz w:val="24"/>
          <w:szCs w:val="24"/>
        </w:rPr>
        <w:t>1150.15</w:t>
      </w:r>
      <w:r w:rsidRPr="0A9A12E8" w:rsidR="6DD3AF1A">
        <w:rPr>
          <w:sz w:val="24"/>
          <w:szCs w:val="24"/>
        </w:rPr>
        <w:t xml:space="preserve"> covers information necessary to notify FDA of domestic manufacturer or importer disputes. FDA will provide a dated, writte</w:t>
      </w:r>
      <w:r w:rsidRPr="0A9A12E8" w:rsidR="24359244">
        <w:rPr>
          <w:sz w:val="24"/>
          <w:szCs w:val="24"/>
        </w:rPr>
        <w:t xml:space="preserve">n response and FDA’s response will provide information about how to submit a request for further Agency review. </w:t>
      </w:r>
      <w:r w:rsidRPr="0A9A12E8" w:rsidR="0C702644">
        <w:rPr>
          <w:sz w:val="24"/>
          <w:szCs w:val="24"/>
        </w:rPr>
        <w:t xml:space="preserve">Specifically, § 1150.15(a) requires that domestic manufacturers and importers submit any dispute in writing, within 45 days of the date of the assessment notification, that the dispute be legible and in English, and that the dispute be sent to the address identified on FDA’s tobacco products </w:t>
      </w:r>
      <w:r w:rsidRPr="0A9A12E8" w:rsidR="71664707">
        <w:rPr>
          <w:sz w:val="24"/>
          <w:szCs w:val="24"/>
        </w:rPr>
        <w:t>website</w:t>
      </w:r>
      <w:r w:rsidRPr="0A9A12E8" w:rsidR="0C702644">
        <w:rPr>
          <w:sz w:val="24"/>
          <w:szCs w:val="24"/>
        </w:rPr>
        <w:t>. If FDA determines that there is an error in the amount of the assessment, FDA will credit the necessary amount to the next quarterly invoice or refund the amount. To ensure finality in FDA’s accounts and potential refund obligations, FDA believes it is necessary to have a time limit on disputes over user fee assessments. FDA believes the timeframe identified is adequate to detect an issue and prepare a written dispute.</w:t>
      </w:r>
      <w:r w:rsidRPr="0A9A12E8" w:rsidR="7042C7D0">
        <w:rPr>
          <w:sz w:val="24"/>
          <w:szCs w:val="24"/>
        </w:rPr>
        <w:t xml:space="preserve"> Further, § 1150.15(d) provides that any request for further Agency review under 21 CFR 10.75 be submitted in writing within 30 days of the date of FDA’s response to the dispute (submitted under § 1150.15(a)). FDA believes this timeframe is adequate to detect a continued issue and to prepare a written request for further review. Along with the timeframe in § 1150.15(a), this timeframe ensures finality in FDA’s accounts and potential refund obligations.  </w:t>
      </w:r>
    </w:p>
    <w:p w:rsidR="00D05777" w:rsidRPr="00D05777" w:rsidP="563854A4" w14:paraId="14EC93FF" w14:textId="0CEDD288">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563854A4">
        <w:rPr>
          <w:sz w:val="24"/>
          <w:szCs w:val="24"/>
        </w:rPr>
        <w:t xml:space="preserve">On August 9, 2023, the U.S. District Court for the District of Columbia issued an order vacating FDA’s rule deeming tobacco products to be subject to FDA’s tobacco product authorities “insofar as it applies to premium cigars”. FDA is working to develop a reporting mechanism that will allow for FDA to identify non-premium cigars. </w:t>
      </w:r>
    </w:p>
    <w:p w:rsidR="00D05777" w:rsidRPr="00D05777" w:rsidP="23A3D308" w14:paraId="2F71B191" w14:textId="4FB84A38">
      <w:pPr>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23A3D308">
        <w:rPr>
          <w:sz w:val="24"/>
          <w:szCs w:val="24"/>
        </w:rPr>
        <w:t xml:space="preserve">Accordingly, we request extension of OMB approval for the information collection provisions </w:t>
      </w:r>
      <w:bookmarkStart w:id="3" w:name="_Hlk176775554"/>
      <w:r w:rsidRPr="23A3D308">
        <w:rPr>
          <w:sz w:val="24"/>
          <w:szCs w:val="24"/>
        </w:rPr>
        <w:t xml:space="preserve">and the associated agency form, </w:t>
      </w:r>
      <w:bookmarkEnd w:id="3"/>
      <w:r w:rsidRPr="23A3D308">
        <w:rPr>
          <w:sz w:val="24"/>
          <w:szCs w:val="24"/>
        </w:rPr>
        <w:t>as discussed in this supporting statement.</w:t>
      </w:r>
    </w:p>
    <w:p w:rsidR="000E1F25" w:rsidP="001C50B5" w14:paraId="224A15C1" w14:textId="77777777">
      <w:pPr>
        <w:keepLines/>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b/>
          <w:bCs/>
          <w:sz w:val="24"/>
          <w:szCs w:val="24"/>
          <w:u w:val="single"/>
        </w:rPr>
      </w:pPr>
      <w:r w:rsidRPr="009B7168">
        <w:rPr>
          <w:b/>
          <w:bCs/>
          <w:sz w:val="24"/>
          <w:szCs w:val="24"/>
          <w:u w:val="single"/>
        </w:rPr>
        <w:t>2. Purpose and Use of the Information Collection</w:t>
      </w:r>
    </w:p>
    <w:p w:rsidR="00856BBF" w:rsidP="001C50B5" w14:paraId="7332F129" w14:textId="7B7C299E">
      <w:pPr>
        <w:keepLines/>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b/>
          <w:bCs/>
          <w:sz w:val="24"/>
          <w:szCs w:val="24"/>
          <w:u w:val="single"/>
        </w:rPr>
      </w:pPr>
      <w:r w:rsidRPr="00C72E68">
        <w:rPr>
          <w:sz w:val="24"/>
          <w:szCs w:val="24"/>
        </w:rPr>
        <w:t xml:space="preserve">The purpose of the information collection is </w:t>
      </w:r>
      <w:r w:rsidR="00CC30B5">
        <w:rPr>
          <w:sz w:val="24"/>
          <w:szCs w:val="24"/>
        </w:rPr>
        <w:t>t</w:t>
      </w:r>
      <w:r w:rsidR="005724BD">
        <w:rPr>
          <w:sz w:val="24"/>
          <w:szCs w:val="24"/>
        </w:rPr>
        <w:t>o require</w:t>
      </w:r>
      <w:r w:rsidR="00CC30B5">
        <w:rPr>
          <w:sz w:val="24"/>
          <w:szCs w:val="24"/>
        </w:rPr>
        <w:t xml:space="preserve"> </w:t>
      </w:r>
      <w:r w:rsidR="00D70B1A">
        <w:rPr>
          <w:sz w:val="24"/>
          <w:szCs w:val="24"/>
        </w:rPr>
        <w:t xml:space="preserve">each domestic manufacturer </w:t>
      </w:r>
      <w:r w:rsidR="00F7497B">
        <w:rPr>
          <w:sz w:val="24"/>
          <w:szCs w:val="24"/>
        </w:rPr>
        <w:t xml:space="preserve">or </w:t>
      </w:r>
      <w:r w:rsidR="00D70B1A">
        <w:rPr>
          <w:sz w:val="24"/>
          <w:szCs w:val="24"/>
        </w:rPr>
        <w:t xml:space="preserve">importer </w:t>
      </w:r>
      <w:r w:rsidR="00F12B9F">
        <w:rPr>
          <w:sz w:val="24"/>
          <w:szCs w:val="24"/>
        </w:rPr>
        <w:t xml:space="preserve">of tobacco products </w:t>
      </w:r>
      <w:r w:rsidR="00E25EFB">
        <w:rPr>
          <w:sz w:val="24"/>
          <w:szCs w:val="24"/>
        </w:rPr>
        <w:t xml:space="preserve">subject to tobacco user fees </w:t>
      </w:r>
      <w:r w:rsidR="00A31B73">
        <w:rPr>
          <w:sz w:val="24"/>
          <w:szCs w:val="24"/>
        </w:rPr>
        <w:t xml:space="preserve">to </w:t>
      </w:r>
      <w:r w:rsidR="00D70B1A">
        <w:rPr>
          <w:sz w:val="24"/>
          <w:szCs w:val="24"/>
        </w:rPr>
        <w:t xml:space="preserve">submit to FDA information </w:t>
      </w:r>
      <w:r w:rsidR="001475E9">
        <w:rPr>
          <w:sz w:val="24"/>
          <w:szCs w:val="24"/>
        </w:rPr>
        <w:t>necessary</w:t>
      </w:r>
      <w:r w:rsidR="00D70B1A">
        <w:rPr>
          <w:sz w:val="24"/>
          <w:szCs w:val="24"/>
        </w:rPr>
        <w:t xml:space="preserve"> to calculate and assess user fees under </w:t>
      </w:r>
      <w:r w:rsidR="003A0CBE">
        <w:rPr>
          <w:sz w:val="24"/>
          <w:szCs w:val="24"/>
        </w:rPr>
        <w:t xml:space="preserve">section 919 of </w:t>
      </w:r>
      <w:r w:rsidR="00D70B1A">
        <w:rPr>
          <w:sz w:val="24"/>
          <w:szCs w:val="24"/>
        </w:rPr>
        <w:t>the FD&amp;C Act</w:t>
      </w:r>
      <w:r w:rsidR="00617030">
        <w:rPr>
          <w:sz w:val="24"/>
          <w:szCs w:val="24"/>
        </w:rPr>
        <w:t xml:space="preserve">. </w:t>
      </w:r>
      <w:r w:rsidR="00015F66">
        <w:rPr>
          <w:sz w:val="24"/>
          <w:szCs w:val="24"/>
        </w:rPr>
        <w:t xml:space="preserve">FDA </w:t>
      </w:r>
      <w:r w:rsidR="005724BD">
        <w:rPr>
          <w:sz w:val="24"/>
          <w:szCs w:val="24"/>
        </w:rPr>
        <w:t>will</w:t>
      </w:r>
      <w:r w:rsidR="006431D4">
        <w:rPr>
          <w:sz w:val="24"/>
          <w:szCs w:val="24"/>
        </w:rPr>
        <w:t xml:space="preserve"> </w:t>
      </w:r>
      <w:r w:rsidR="00015F66">
        <w:rPr>
          <w:sz w:val="24"/>
          <w:szCs w:val="24"/>
        </w:rPr>
        <w:t xml:space="preserve">collect this information to ensure that it </w:t>
      </w:r>
      <w:r w:rsidR="005724BD">
        <w:rPr>
          <w:sz w:val="24"/>
          <w:szCs w:val="24"/>
        </w:rPr>
        <w:t>has</w:t>
      </w:r>
      <w:r w:rsidR="00015F66">
        <w:rPr>
          <w:sz w:val="24"/>
          <w:szCs w:val="24"/>
        </w:rPr>
        <w:t xml:space="preserve"> the information </w:t>
      </w:r>
      <w:r w:rsidR="00A656C8">
        <w:rPr>
          <w:sz w:val="24"/>
          <w:szCs w:val="24"/>
        </w:rPr>
        <w:t>necessary</w:t>
      </w:r>
      <w:r w:rsidR="00015F66">
        <w:rPr>
          <w:sz w:val="24"/>
          <w:szCs w:val="24"/>
        </w:rPr>
        <w:t xml:space="preserve"> to calculate, assess, and collect </w:t>
      </w:r>
      <w:r w:rsidR="00A656C8">
        <w:rPr>
          <w:sz w:val="24"/>
          <w:szCs w:val="24"/>
        </w:rPr>
        <w:t>tobacco</w:t>
      </w:r>
      <w:r w:rsidR="00015F66">
        <w:rPr>
          <w:sz w:val="24"/>
          <w:szCs w:val="24"/>
        </w:rPr>
        <w:t xml:space="preserve"> user fees.</w:t>
      </w:r>
      <w:r w:rsidR="00CC149B">
        <w:rPr>
          <w:sz w:val="24"/>
          <w:szCs w:val="24"/>
        </w:rPr>
        <w:t xml:space="preserve"> </w:t>
      </w:r>
      <w:r w:rsidRPr="00CC149B" w:rsidR="00CC149B">
        <w:rPr>
          <w:sz w:val="24"/>
          <w:szCs w:val="24"/>
        </w:rPr>
        <w:t xml:space="preserve">In addition, the collection of information allows the domestic manufacturer or importer the ability to request further review of their </w:t>
      </w:r>
      <w:r w:rsidR="00A31B73">
        <w:rPr>
          <w:sz w:val="24"/>
          <w:szCs w:val="24"/>
        </w:rPr>
        <w:t xml:space="preserve">assessment </w:t>
      </w:r>
      <w:r w:rsidRPr="00CC149B" w:rsidR="00CC149B">
        <w:rPr>
          <w:sz w:val="24"/>
          <w:szCs w:val="24"/>
        </w:rPr>
        <w:t>if the</w:t>
      </w:r>
      <w:r w:rsidR="005724BD">
        <w:rPr>
          <w:sz w:val="24"/>
          <w:szCs w:val="24"/>
        </w:rPr>
        <w:t xml:space="preserve">re is a </w:t>
      </w:r>
      <w:r w:rsidRPr="00CC149B" w:rsidR="00CC149B">
        <w:rPr>
          <w:sz w:val="24"/>
          <w:szCs w:val="24"/>
        </w:rPr>
        <w:t xml:space="preserve">dispute </w:t>
      </w:r>
      <w:r w:rsidR="005724BD">
        <w:rPr>
          <w:sz w:val="24"/>
          <w:szCs w:val="24"/>
        </w:rPr>
        <w:t xml:space="preserve">over </w:t>
      </w:r>
      <w:r w:rsidRPr="00CC149B" w:rsidR="00CC149B">
        <w:rPr>
          <w:sz w:val="24"/>
          <w:szCs w:val="24"/>
        </w:rPr>
        <w:t xml:space="preserve">the amount of </w:t>
      </w:r>
      <w:r w:rsidR="003209F1">
        <w:rPr>
          <w:sz w:val="24"/>
          <w:szCs w:val="24"/>
        </w:rPr>
        <w:t xml:space="preserve">the </w:t>
      </w:r>
      <w:r w:rsidRPr="00CC149B" w:rsidR="00CC149B">
        <w:rPr>
          <w:sz w:val="24"/>
          <w:szCs w:val="24"/>
        </w:rPr>
        <w:t>user fee assessed by FDA.</w:t>
      </w:r>
    </w:p>
    <w:p w:rsidR="000E1F25" w:rsidP="563854A4" w14:paraId="1682E0DC" w14:textId="39FB27CF">
      <w:pPr>
        <w:keepNext/>
        <w:keepLines/>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b/>
          <w:bCs/>
          <w:sz w:val="24"/>
          <w:szCs w:val="24"/>
          <w:u w:val="single"/>
        </w:rPr>
      </w:pPr>
      <w:r w:rsidRPr="563854A4">
        <w:rPr>
          <w:b/>
          <w:bCs/>
          <w:sz w:val="24"/>
          <w:szCs w:val="24"/>
          <w:u w:val="single"/>
        </w:rPr>
        <w:t>3. Use of Improved Information Technology and Burden Reduction</w:t>
      </w:r>
    </w:p>
    <w:p w:rsidR="005724BD" w:rsidP="563854A4" w14:paraId="2F1A2F83" w14:textId="468D8D7D">
      <w:pPr>
        <w:keepNext/>
        <w:keepLines/>
        <w:spacing w:after="160"/>
        <w:rPr>
          <w:sz w:val="24"/>
          <w:szCs w:val="24"/>
        </w:rPr>
      </w:pPr>
      <w:r w:rsidRPr="563854A4">
        <w:rPr>
          <w:sz w:val="24"/>
          <w:szCs w:val="24"/>
        </w:rPr>
        <w:t>To</w:t>
      </w:r>
      <w:r w:rsidRPr="563854A4" w:rsidR="47A58C47">
        <w:rPr>
          <w:sz w:val="24"/>
          <w:szCs w:val="24"/>
        </w:rPr>
        <w:t xml:space="preserve"> make reporting requirements for this collect</w:t>
      </w:r>
      <w:r w:rsidRPr="563854A4" w:rsidR="114744B7">
        <w:rPr>
          <w:sz w:val="24"/>
          <w:szCs w:val="24"/>
        </w:rPr>
        <w:t xml:space="preserve">ion easier for respondents, FDA </w:t>
      </w:r>
      <w:r w:rsidRPr="563854A4" w:rsidR="3CDA4CED">
        <w:rPr>
          <w:sz w:val="24"/>
          <w:szCs w:val="24"/>
        </w:rPr>
        <w:t>created</w:t>
      </w:r>
      <w:r w:rsidRPr="563854A4" w:rsidR="4C190FC8">
        <w:rPr>
          <w:sz w:val="24"/>
          <w:szCs w:val="24"/>
        </w:rPr>
        <w:t xml:space="preserve"> Form FDA 3852 </w:t>
      </w:r>
      <w:r w:rsidRPr="563854A4" w:rsidR="5BB99462">
        <w:rPr>
          <w:sz w:val="24"/>
          <w:szCs w:val="24"/>
        </w:rPr>
        <w:t xml:space="preserve">to provide </w:t>
      </w:r>
      <w:r w:rsidRPr="563854A4" w:rsidR="55BFB70B">
        <w:rPr>
          <w:sz w:val="24"/>
          <w:szCs w:val="24"/>
        </w:rPr>
        <w:t>user fee s</w:t>
      </w:r>
      <w:r w:rsidRPr="563854A4" w:rsidR="5BB99462">
        <w:rPr>
          <w:sz w:val="24"/>
          <w:szCs w:val="24"/>
        </w:rPr>
        <w:t>ubmission</w:t>
      </w:r>
      <w:r w:rsidRPr="563854A4" w:rsidR="55BFB70B">
        <w:rPr>
          <w:sz w:val="24"/>
          <w:szCs w:val="24"/>
        </w:rPr>
        <w:t xml:space="preserve"> information </w:t>
      </w:r>
      <w:r w:rsidRPr="563854A4" w:rsidR="5BB99462">
        <w:rPr>
          <w:sz w:val="24"/>
          <w:szCs w:val="24"/>
        </w:rPr>
        <w:t>electronic</w:t>
      </w:r>
      <w:r w:rsidRPr="563854A4" w:rsidR="4C190FC8">
        <w:rPr>
          <w:sz w:val="24"/>
          <w:szCs w:val="24"/>
        </w:rPr>
        <w:t xml:space="preserve">ally. </w:t>
      </w:r>
      <w:r w:rsidRPr="563854A4" w:rsidR="14DDA0A9">
        <w:rPr>
          <w:sz w:val="24"/>
          <w:szCs w:val="24"/>
        </w:rPr>
        <w:t xml:space="preserve">Domestic manufacturers and importers </w:t>
      </w:r>
      <w:r w:rsidRPr="563854A4" w:rsidR="4625B98E">
        <w:rPr>
          <w:sz w:val="24"/>
          <w:szCs w:val="24"/>
        </w:rPr>
        <w:t>must</w:t>
      </w:r>
      <w:r w:rsidRPr="563854A4" w:rsidR="14DDA0A9">
        <w:rPr>
          <w:sz w:val="24"/>
          <w:szCs w:val="24"/>
        </w:rPr>
        <w:t xml:space="preserve"> </w:t>
      </w:r>
      <w:r w:rsidRPr="563854A4" w:rsidR="55BFB70B">
        <w:rPr>
          <w:sz w:val="24"/>
          <w:szCs w:val="24"/>
        </w:rPr>
        <w:t>complete an</w:t>
      </w:r>
      <w:r w:rsidRPr="563854A4" w:rsidR="14DDA0A9">
        <w:rPr>
          <w:sz w:val="24"/>
          <w:szCs w:val="24"/>
        </w:rPr>
        <w:t>d submit this form to FDA v</w:t>
      </w:r>
      <w:r w:rsidRPr="563854A4" w:rsidR="55BFB70B">
        <w:rPr>
          <w:sz w:val="24"/>
          <w:szCs w:val="24"/>
        </w:rPr>
        <w:t>ia e</w:t>
      </w:r>
      <w:r w:rsidRPr="563854A4" w:rsidR="14DDA0A9">
        <w:rPr>
          <w:sz w:val="24"/>
          <w:szCs w:val="24"/>
        </w:rPr>
        <w:t>-</w:t>
      </w:r>
      <w:r w:rsidRPr="563854A4">
        <w:rPr>
          <w:sz w:val="24"/>
          <w:szCs w:val="24"/>
        </w:rPr>
        <w:t>mail</w:t>
      </w:r>
      <w:r w:rsidRPr="563854A4" w:rsidR="14DDA0A9">
        <w:rPr>
          <w:sz w:val="24"/>
          <w:szCs w:val="24"/>
        </w:rPr>
        <w:t>, fax,</w:t>
      </w:r>
      <w:r w:rsidRPr="563854A4">
        <w:rPr>
          <w:sz w:val="24"/>
          <w:szCs w:val="24"/>
        </w:rPr>
        <w:t xml:space="preserve"> or</w:t>
      </w:r>
      <w:r w:rsidRPr="563854A4" w:rsidR="55BFB70B">
        <w:rPr>
          <w:sz w:val="24"/>
          <w:szCs w:val="24"/>
        </w:rPr>
        <w:t xml:space="preserve"> mail.</w:t>
      </w:r>
      <w:r w:rsidRPr="563854A4" w:rsidR="14DDA0A9">
        <w:rPr>
          <w:sz w:val="24"/>
          <w:szCs w:val="24"/>
        </w:rPr>
        <w:t xml:space="preserve"> B</w:t>
      </w:r>
      <w:r w:rsidRPr="563854A4" w:rsidR="55BFB70B">
        <w:rPr>
          <w:sz w:val="24"/>
          <w:szCs w:val="24"/>
        </w:rPr>
        <w:t xml:space="preserve">ased on its </w:t>
      </w:r>
      <w:r w:rsidRPr="563854A4" w:rsidR="738A1501">
        <w:rPr>
          <w:sz w:val="24"/>
          <w:szCs w:val="24"/>
        </w:rPr>
        <w:t>experience</w:t>
      </w:r>
      <w:r w:rsidRPr="563854A4" w:rsidR="55BFB70B">
        <w:rPr>
          <w:sz w:val="24"/>
          <w:szCs w:val="24"/>
        </w:rPr>
        <w:t xml:space="preserve"> with submittals, </w:t>
      </w:r>
      <w:r w:rsidRPr="563854A4" w:rsidR="14DDA0A9">
        <w:rPr>
          <w:sz w:val="24"/>
          <w:szCs w:val="24"/>
        </w:rPr>
        <w:t xml:space="preserve">FDA estimates </w:t>
      </w:r>
      <w:r w:rsidRPr="563854A4" w:rsidR="118CD574">
        <w:rPr>
          <w:sz w:val="24"/>
          <w:szCs w:val="24"/>
        </w:rPr>
        <w:t>approximately</w:t>
      </w:r>
      <w:r w:rsidRPr="563854A4" w:rsidR="55BFB70B">
        <w:rPr>
          <w:sz w:val="24"/>
          <w:szCs w:val="24"/>
        </w:rPr>
        <w:t xml:space="preserve"> 80</w:t>
      </w:r>
      <w:r w:rsidRPr="563854A4" w:rsidR="118CD574">
        <w:rPr>
          <w:sz w:val="24"/>
          <w:szCs w:val="24"/>
        </w:rPr>
        <w:t>-</w:t>
      </w:r>
      <w:r w:rsidRPr="563854A4" w:rsidR="35F314D7">
        <w:rPr>
          <w:sz w:val="24"/>
          <w:szCs w:val="24"/>
        </w:rPr>
        <w:t>90</w:t>
      </w:r>
      <w:r w:rsidRPr="563854A4" w:rsidR="55BFB70B">
        <w:rPr>
          <w:sz w:val="24"/>
          <w:szCs w:val="24"/>
        </w:rPr>
        <w:t xml:space="preserve"> </w:t>
      </w:r>
      <w:r w:rsidRPr="563854A4" w:rsidR="662099B1">
        <w:rPr>
          <w:sz w:val="24"/>
          <w:szCs w:val="24"/>
        </w:rPr>
        <w:t xml:space="preserve">percent </w:t>
      </w:r>
      <w:r w:rsidRPr="563854A4" w:rsidR="55BFB70B">
        <w:rPr>
          <w:sz w:val="24"/>
          <w:szCs w:val="24"/>
        </w:rPr>
        <w:t>of all respondents will submit the information in electronic format.</w:t>
      </w:r>
    </w:p>
    <w:p w:rsidR="000E1F25" w:rsidP="001C50B5" w14:paraId="2690E49D" w14:textId="5BB9376F">
      <w:pPr>
        <w:pStyle w:val="Level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60"/>
        <w:ind w:left="0"/>
        <w:rPr>
          <w:b/>
          <w:bCs/>
          <w:u w:val="single"/>
        </w:rPr>
      </w:pPr>
      <w:r w:rsidRPr="009B7168">
        <w:rPr>
          <w:b/>
          <w:bCs/>
          <w:u w:val="single"/>
        </w:rPr>
        <w:t>4.</w:t>
      </w:r>
      <w:r w:rsidR="00210B9B">
        <w:rPr>
          <w:b/>
          <w:bCs/>
          <w:u w:val="single"/>
        </w:rPr>
        <w:t xml:space="preserve"> </w:t>
      </w:r>
      <w:r w:rsidRPr="009B7168">
        <w:rPr>
          <w:b/>
          <w:bCs/>
          <w:u w:val="single"/>
        </w:rPr>
        <w:t>Efforts to Identify Duplication and Use of Similar Information</w:t>
      </w:r>
    </w:p>
    <w:p w:rsidR="00011660" w:rsidP="001C50B5" w14:paraId="362D100B" w14:textId="59A382DF">
      <w:pPr>
        <w:pStyle w:val="Level1"/>
        <w:keepLines/>
        <w:tabs>
          <w:tab w:val="left" w:pos="0"/>
          <w:tab w:val="left" w:pos="1440"/>
          <w:tab w:val="left" w:pos="2160"/>
          <w:tab w:val="left" w:pos="2880"/>
          <w:tab w:val="left" w:pos="3600"/>
          <w:tab w:val="left" w:pos="4320"/>
          <w:tab w:val="left" w:pos="5040"/>
          <w:tab w:val="left" w:pos="5760"/>
          <w:tab w:val="left" w:pos="6480"/>
          <w:tab w:val="left" w:pos="7200"/>
          <w:tab w:val="left" w:pos="7920"/>
        </w:tabs>
        <w:spacing w:after="160"/>
        <w:ind w:left="0"/>
      </w:pPr>
      <w:r>
        <w:t>As referenced in the previous terms of clearance, t</w:t>
      </w:r>
      <w:r>
        <w:t xml:space="preserve">he data collected under this ICR overlaps with collections of excise tax and import information by Alcohol and Tobacco Tax and Trade Bureau (TTB) and Customs and Border Protection (CBP). However, TTB and CBP data cannot currently be used by FDA for calculating </w:t>
      </w:r>
      <w:r w:rsidR="002626DE">
        <w:t xml:space="preserve">quarterly </w:t>
      </w:r>
      <w:r w:rsidR="005053BA">
        <w:t>tobacco user fee assessments</w:t>
      </w:r>
      <w:r w:rsidR="002626DE">
        <w:t xml:space="preserve"> </w:t>
      </w:r>
      <w:r>
        <w:t xml:space="preserve">due to both logistical reasons and restrictions on the use of excise tax information </w:t>
      </w:r>
      <w:r w:rsidR="00C2587D">
        <w:t xml:space="preserve">provided to FDA </w:t>
      </w:r>
      <w:r>
        <w:t>directly by TTB.</w:t>
      </w:r>
      <w:r w:rsidR="007B27AA">
        <w:t xml:space="preserve"> In meeting with TTB, FDA</w:t>
      </w:r>
      <w:r>
        <w:t xml:space="preserve"> identifi</w:t>
      </w:r>
      <w:r w:rsidR="005053BA">
        <w:t>ed</w:t>
      </w:r>
      <w:r>
        <w:t xml:space="preserve"> legal restrictions that are outlined in the Internal Revenue Code law(s), specifically section 6103, that does not allow for the </w:t>
      </w:r>
      <w:r w:rsidR="005053BA">
        <w:t>direct</w:t>
      </w:r>
      <w:r>
        <w:t xml:space="preserve"> utilization of </w:t>
      </w:r>
      <w:r w:rsidR="00C2587D">
        <w:t xml:space="preserve">excise tax </w:t>
      </w:r>
      <w:r>
        <w:t xml:space="preserve">data </w:t>
      </w:r>
      <w:r w:rsidR="00792B7A">
        <w:t xml:space="preserve">(and other associated data) </w:t>
      </w:r>
      <w:r>
        <w:t xml:space="preserve">received </w:t>
      </w:r>
      <w:r w:rsidR="00792B7A">
        <w:t xml:space="preserve">directly </w:t>
      </w:r>
      <w:r>
        <w:t xml:space="preserve">from TTB and CBP to </w:t>
      </w:r>
      <w:r w:rsidR="00AD7FCE">
        <w:t xml:space="preserve">fully </w:t>
      </w:r>
      <w:r>
        <w:t>implement FDA’s Tobacco User Fee Program</w:t>
      </w:r>
      <w:r w:rsidR="00AD7FCE">
        <w:t>—</w:t>
      </w:r>
      <w:r w:rsidR="005053BA">
        <w:t>especially in calculating quarterly tobacco user fee assessments</w:t>
      </w:r>
      <w:r>
        <w:t xml:space="preserve">. FDA continues to communicate with the TTB and CBP to obtain certain information from each organization that allows the </w:t>
      </w:r>
      <w:r w:rsidR="00792B7A">
        <w:t>FDA</w:t>
      </w:r>
      <w:r>
        <w:t xml:space="preserve"> to verify and validate our records received from industry to ensure accurate tobacco user fee assessments.</w:t>
      </w:r>
    </w:p>
    <w:p w:rsidR="000E1F25" w:rsidP="0047702E" w14:paraId="54B8F3B2" w14:textId="4380C214">
      <w:pPr>
        <w:pStyle w:val="Level1"/>
        <w:keepLines/>
        <w:tabs>
          <w:tab w:val="left" w:pos="0"/>
          <w:tab w:val="left" w:pos="1440"/>
          <w:tab w:val="left" w:pos="2160"/>
          <w:tab w:val="left" w:pos="2880"/>
          <w:tab w:val="left" w:pos="3600"/>
          <w:tab w:val="left" w:pos="4320"/>
          <w:tab w:val="left" w:pos="5040"/>
          <w:tab w:val="left" w:pos="5760"/>
          <w:tab w:val="left" w:pos="6480"/>
          <w:tab w:val="left" w:pos="7200"/>
          <w:tab w:val="left" w:pos="7920"/>
        </w:tabs>
        <w:spacing w:after="160"/>
        <w:ind w:left="0"/>
        <w:rPr>
          <w:b/>
          <w:bCs/>
          <w:u w:val="single"/>
        </w:rPr>
      </w:pPr>
      <w:r>
        <w:t xml:space="preserve"> </w:t>
      </w:r>
      <w:r w:rsidRPr="009B7168">
        <w:rPr>
          <w:b/>
          <w:bCs/>
          <w:u w:val="single"/>
        </w:rPr>
        <w:t>5.</w:t>
      </w:r>
      <w:r>
        <w:rPr>
          <w:b/>
          <w:bCs/>
          <w:u w:val="single"/>
        </w:rPr>
        <w:t xml:space="preserve"> </w:t>
      </w:r>
      <w:r w:rsidRPr="009B7168">
        <w:rPr>
          <w:b/>
          <w:bCs/>
          <w:u w:val="single"/>
        </w:rPr>
        <w:t>Impact on Small Businesses or Other Small Entities</w:t>
      </w:r>
    </w:p>
    <w:p w:rsidR="005724BD" w:rsidP="001C50B5" w14:paraId="38366EE9" w14:textId="5F79AB37">
      <w:pPr>
        <w:pStyle w:val="Level1"/>
        <w:keepLines/>
        <w:tabs>
          <w:tab w:val="left" w:pos="1440"/>
          <w:tab w:val="left" w:pos="2160"/>
          <w:tab w:val="left" w:pos="2880"/>
          <w:tab w:val="left" w:pos="3600"/>
          <w:tab w:val="left" w:pos="4320"/>
          <w:tab w:val="left" w:pos="5040"/>
          <w:tab w:val="left" w:pos="5760"/>
          <w:tab w:val="left" w:pos="6480"/>
          <w:tab w:val="left" w:pos="7200"/>
          <w:tab w:val="left" w:pos="7920"/>
        </w:tabs>
        <w:spacing w:after="160"/>
        <w:ind w:left="0"/>
      </w:pPr>
      <w:r>
        <w:t xml:space="preserve">All </w:t>
      </w:r>
      <w:r w:rsidR="6988EB5C">
        <w:t xml:space="preserve">domestic </w:t>
      </w:r>
      <w:r>
        <w:t>manufacture</w:t>
      </w:r>
      <w:r w:rsidR="6988EB5C">
        <w:t>r</w:t>
      </w:r>
      <w:r>
        <w:t xml:space="preserve">s </w:t>
      </w:r>
      <w:r w:rsidR="6988EB5C">
        <w:t xml:space="preserve">and importers of tobacco products subject to regulation under chapter IX of the FD&amp;C Act </w:t>
      </w:r>
      <w:r w:rsidR="34ED7AB1">
        <w:t>are</w:t>
      </w:r>
      <w:r>
        <w:t xml:space="preserve"> affected by this rule, including s</w:t>
      </w:r>
      <w:r w:rsidR="7F1A0D22">
        <w:t>mall businesses</w:t>
      </w:r>
      <w:r w:rsidR="039F9C2F">
        <w:t xml:space="preserve">. It is likely that about </w:t>
      </w:r>
      <w:r w:rsidR="0847A47E">
        <w:t xml:space="preserve">85 </w:t>
      </w:r>
      <w:r w:rsidR="039F9C2F">
        <w:t xml:space="preserve">percent of the affected entities </w:t>
      </w:r>
      <w:r w:rsidR="0847A47E">
        <w:t xml:space="preserve">(approximately 220 entities) </w:t>
      </w:r>
      <w:r w:rsidR="039F9C2F">
        <w:t xml:space="preserve">would be </w:t>
      </w:r>
      <w:r w:rsidR="5B12FDE9">
        <w:t xml:space="preserve">considered </w:t>
      </w:r>
      <w:r w:rsidR="039F9C2F">
        <w:t>small</w:t>
      </w:r>
      <w:r w:rsidR="294B8DA3">
        <w:t xml:space="preserve"> </w:t>
      </w:r>
      <w:r w:rsidR="09C4214A">
        <w:t>tobacco product manufacturers under the definition included in section 900 of the FD&amp;C Act</w:t>
      </w:r>
      <w:r w:rsidR="2E38CC40">
        <w:t>.</w:t>
      </w:r>
      <w:r>
        <w:rPr>
          <w:rStyle w:val="FootnoteReference"/>
        </w:rPr>
        <w:footnoteReference w:id="4"/>
      </w:r>
      <w:r w:rsidR="039F9C2F">
        <w:t xml:space="preserve"> The actual user fees paid by small entities are likely smaller than those paid by larger businesses because</w:t>
      </w:r>
      <w:r w:rsidR="7F1A0D22">
        <w:t xml:space="preserve"> </w:t>
      </w:r>
      <w:r w:rsidR="67DADF1E">
        <w:t>user fees are assessed based on the percentage share by class of tobacco products and by individual company within each tobacco product class</w:t>
      </w:r>
      <w:r w:rsidR="7F1A0D22">
        <w:t>.</w:t>
      </w:r>
      <w:r w:rsidR="434BFBE6">
        <w:t xml:space="preserve"> </w:t>
      </w:r>
      <w:r w:rsidR="039F9C2F">
        <w:t xml:space="preserve"> </w:t>
      </w:r>
    </w:p>
    <w:p w:rsidR="005724BD" w:rsidP="001C50B5" w14:paraId="7433D35B" w14:textId="77777777">
      <w:pPr>
        <w:pStyle w:val="Level1"/>
        <w:keepLines/>
        <w:tabs>
          <w:tab w:val="left" w:pos="0"/>
          <w:tab w:val="left" w:pos="1440"/>
          <w:tab w:val="left" w:pos="2160"/>
          <w:tab w:val="left" w:pos="2880"/>
          <w:tab w:val="left" w:pos="3600"/>
          <w:tab w:val="left" w:pos="4320"/>
          <w:tab w:val="left" w:pos="5040"/>
          <w:tab w:val="left" w:pos="5760"/>
          <w:tab w:val="left" w:pos="6480"/>
          <w:tab w:val="left" w:pos="7200"/>
          <w:tab w:val="left" w:pos="7920"/>
        </w:tabs>
        <w:spacing w:after="160"/>
        <w:ind w:left="0"/>
      </w:pPr>
      <w:r>
        <w:t>FDA continues to pursue means of reducing the reporting burden for both small and large respondents to this collection of information and continue</w:t>
      </w:r>
      <w:r>
        <w:t>s</w:t>
      </w:r>
      <w:r>
        <w:t xml:space="preserve"> to employ the latest technology for receiving user fee information, consistent with the intent of the legislation.</w:t>
      </w:r>
    </w:p>
    <w:p w:rsidR="005724BD" w:rsidP="001C50B5" w14:paraId="551A3653" w14:textId="77777777">
      <w:pPr>
        <w:pStyle w:val="Level1"/>
        <w:keepLines/>
        <w:tabs>
          <w:tab w:val="left" w:pos="0"/>
          <w:tab w:val="left" w:pos="1440"/>
          <w:tab w:val="left" w:pos="2160"/>
          <w:tab w:val="left" w:pos="2880"/>
          <w:tab w:val="left" w:pos="3600"/>
          <w:tab w:val="left" w:pos="4320"/>
          <w:tab w:val="left" w:pos="5040"/>
          <w:tab w:val="left" w:pos="5760"/>
          <w:tab w:val="left" w:pos="6480"/>
          <w:tab w:val="left" w:pos="7200"/>
          <w:tab w:val="left" w:pos="7920"/>
        </w:tabs>
        <w:spacing w:after="160"/>
        <w:ind w:left="0"/>
      </w:pPr>
      <w:r>
        <w:t>FDA aid</w:t>
      </w:r>
      <w:r>
        <w:t>s</w:t>
      </w:r>
      <w:r>
        <w:t xml:space="preserve"> small businesses in dealing with the information submission requirements of this collection of information by providing technical, nonfinancial assistance in submitting the information required for user fees.</w:t>
      </w:r>
    </w:p>
    <w:p w:rsidR="000E1F25" w:rsidP="001C50B5" w14:paraId="2DD553F8" w14:textId="3F3760C9">
      <w:pPr>
        <w:keepLines/>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b/>
          <w:bCs/>
          <w:sz w:val="24"/>
          <w:szCs w:val="24"/>
          <w:u w:val="single"/>
        </w:rPr>
      </w:pPr>
      <w:r w:rsidRPr="009B7168">
        <w:rPr>
          <w:b/>
          <w:bCs/>
          <w:sz w:val="24"/>
          <w:szCs w:val="24"/>
          <w:u w:val="single"/>
        </w:rPr>
        <w:t>6.</w:t>
      </w:r>
      <w:r w:rsidR="00210B9B">
        <w:rPr>
          <w:b/>
          <w:bCs/>
          <w:sz w:val="24"/>
          <w:szCs w:val="24"/>
          <w:u w:val="single"/>
        </w:rPr>
        <w:t xml:space="preserve"> </w:t>
      </w:r>
      <w:r w:rsidRPr="009B7168">
        <w:rPr>
          <w:b/>
          <w:bCs/>
          <w:sz w:val="24"/>
          <w:szCs w:val="24"/>
          <w:u w:val="single"/>
        </w:rPr>
        <w:t>Consequences of Collecting the Information Less Frequently</w:t>
      </w:r>
    </w:p>
    <w:p w:rsidR="000E1F25" w:rsidP="001C50B5" w14:paraId="4FFD6B38" w14:textId="3845CF16">
      <w:pPr>
        <w:keepLines/>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rStyle w:val="Emphasis"/>
          <w:i w:val="0"/>
          <w:color w:val="000000"/>
          <w:sz w:val="24"/>
          <w:szCs w:val="24"/>
        </w:rPr>
      </w:pPr>
      <w:r w:rsidRPr="75B3D2F1">
        <w:rPr>
          <w:rStyle w:val="Emphasis"/>
          <w:i w:val="0"/>
          <w:color w:val="000000" w:themeColor="text1"/>
          <w:sz w:val="24"/>
          <w:szCs w:val="24"/>
        </w:rPr>
        <w:t xml:space="preserve">The collection of information </w:t>
      </w:r>
      <w:r w:rsidRPr="75B3D2F1" w:rsidR="00EE1800">
        <w:rPr>
          <w:rStyle w:val="Emphasis"/>
          <w:i w:val="0"/>
          <w:color w:val="000000" w:themeColor="text1"/>
          <w:sz w:val="24"/>
          <w:szCs w:val="24"/>
        </w:rPr>
        <w:t xml:space="preserve">submitted </w:t>
      </w:r>
      <w:r w:rsidRPr="75B3D2F1" w:rsidR="005724BD">
        <w:rPr>
          <w:rStyle w:val="Emphasis"/>
          <w:i w:val="0"/>
          <w:color w:val="000000" w:themeColor="text1"/>
          <w:sz w:val="24"/>
          <w:szCs w:val="24"/>
        </w:rPr>
        <w:t>is</w:t>
      </w:r>
      <w:r w:rsidRPr="75B3D2F1" w:rsidR="00EE1800">
        <w:rPr>
          <w:rStyle w:val="Emphasis"/>
          <w:i w:val="0"/>
          <w:color w:val="000000" w:themeColor="text1"/>
          <w:sz w:val="24"/>
          <w:szCs w:val="24"/>
        </w:rPr>
        <w:t xml:space="preserve"> used to meet the requirements of section 9</w:t>
      </w:r>
      <w:r w:rsidRPr="75B3D2F1" w:rsidR="00753805">
        <w:rPr>
          <w:rStyle w:val="Emphasis"/>
          <w:i w:val="0"/>
          <w:color w:val="000000" w:themeColor="text1"/>
          <w:sz w:val="24"/>
          <w:szCs w:val="24"/>
        </w:rPr>
        <w:t xml:space="preserve">19 </w:t>
      </w:r>
      <w:r w:rsidRPr="75B3D2F1" w:rsidR="00011660">
        <w:rPr>
          <w:rStyle w:val="Emphasis"/>
          <w:i w:val="0"/>
          <w:color w:val="000000" w:themeColor="text1"/>
          <w:sz w:val="24"/>
          <w:szCs w:val="24"/>
        </w:rPr>
        <w:t>of the FD&amp;</w:t>
      </w:r>
      <w:r w:rsidRPr="75B3D2F1" w:rsidR="00CC149B">
        <w:rPr>
          <w:rStyle w:val="Emphasis"/>
          <w:i w:val="0"/>
          <w:color w:val="000000" w:themeColor="text1"/>
          <w:sz w:val="24"/>
          <w:szCs w:val="24"/>
        </w:rPr>
        <w:t xml:space="preserve">C Act </w:t>
      </w:r>
      <w:r w:rsidRPr="75B3D2F1" w:rsidR="00753805">
        <w:rPr>
          <w:rStyle w:val="Emphasis"/>
          <w:i w:val="0"/>
          <w:color w:val="000000" w:themeColor="text1"/>
          <w:sz w:val="24"/>
          <w:szCs w:val="24"/>
        </w:rPr>
        <w:t>regarding user fees.</w:t>
      </w:r>
      <w:r w:rsidRPr="75B3D2F1" w:rsidR="00210B9B">
        <w:rPr>
          <w:rStyle w:val="Emphasis"/>
          <w:i w:val="0"/>
          <w:color w:val="000000" w:themeColor="text1"/>
          <w:sz w:val="24"/>
          <w:szCs w:val="24"/>
        </w:rPr>
        <w:t xml:space="preserve"> </w:t>
      </w:r>
      <w:r w:rsidRPr="75B3D2F1" w:rsidR="001B3D98">
        <w:rPr>
          <w:rStyle w:val="Emphasis"/>
          <w:i w:val="0"/>
          <w:color w:val="000000" w:themeColor="text1"/>
          <w:sz w:val="24"/>
          <w:szCs w:val="24"/>
        </w:rPr>
        <w:t xml:space="preserve">Because the information collection </w:t>
      </w:r>
      <w:r w:rsidRPr="75B3D2F1" w:rsidR="005724BD">
        <w:rPr>
          <w:rStyle w:val="Emphasis"/>
          <w:i w:val="0"/>
          <w:color w:val="000000" w:themeColor="text1"/>
          <w:sz w:val="24"/>
          <w:szCs w:val="24"/>
        </w:rPr>
        <w:t>is</w:t>
      </w:r>
      <w:r w:rsidRPr="75B3D2F1" w:rsidR="001B3D98">
        <w:rPr>
          <w:rStyle w:val="Emphasis"/>
          <w:i w:val="0"/>
          <w:color w:val="000000" w:themeColor="text1"/>
          <w:sz w:val="24"/>
          <w:szCs w:val="24"/>
        </w:rPr>
        <w:t xml:space="preserve"> derived from information collected monthly by other agencies (i.e., TTB and CB</w:t>
      </w:r>
      <w:r w:rsidRPr="75B3D2F1" w:rsidR="00174C12">
        <w:rPr>
          <w:rStyle w:val="Emphasis"/>
          <w:i w:val="0"/>
          <w:color w:val="000000" w:themeColor="text1"/>
          <w:sz w:val="24"/>
          <w:szCs w:val="24"/>
        </w:rPr>
        <w:t>P)</w:t>
      </w:r>
      <w:r w:rsidRPr="75B3D2F1" w:rsidR="001B3D98">
        <w:rPr>
          <w:rStyle w:val="Emphasis"/>
          <w:i w:val="0"/>
          <w:color w:val="000000" w:themeColor="text1"/>
          <w:sz w:val="24"/>
          <w:szCs w:val="24"/>
        </w:rPr>
        <w:t>, we believe that c</w:t>
      </w:r>
      <w:r w:rsidRPr="75B3D2F1" w:rsidR="00FC346B">
        <w:rPr>
          <w:rStyle w:val="Emphasis"/>
          <w:i w:val="0"/>
          <w:color w:val="000000" w:themeColor="text1"/>
          <w:sz w:val="24"/>
          <w:szCs w:val="24"/>
        </w:rPr>
        <w:t xml:space="preserve">ollecting this information less frequently </w:t>
      </w:r>
      <w:r w:rsidRPr="75B3D2F1" w:rsidR="001F31FE">
        <w:rPr>
          <w:rStyle w:val="Emphasis"/>
          <w:i w:val="0"/>
          <w:color w:val="000000" w:themeColor="text1"/>
          <w:sz w:val="24"/>
          <w:szCs w:val="24"/>
        </w:rPr>
        <w:t>will</w:t>
      </w:r>
      <w:r w:rsidRPr="75B3D2F1" w:rsidR="00FC346B">
        <w:rPr>
          <w:rStyle w:val="Emphasis"/>
          <w:i w:val="0"/>
          <w:color w:val="000000" w:themeColor="text1"/>
          <w:sz w:val="24"/>
          <w:szCs w:val="24"/>
        </w:rPr>
        <w:t xml:space="preserve"> not allow FDA to meet </w:t>
      </w:r>
      <w:r w:rsidRPr="75B3D2F1" w:rsidR="00607384">
        <w:rPr>
          <w:rStyle w:val="Emphasis"/>
          <w:i w:val="0"/>
          <w:color w:val="000000" w:themeColor="text1"/>
          <w:sz w:val="24"/>
          <w:szCs w:val="24"/>
        </w:rPr>
        <w:t xml:space="preserve">its </w:t>
      </w:r>
      <w:r w:rsidRPr="75B3D2F1" w:rsidR="00FC346B">
        <w:rPr>
          <w:rStyle w:val="Emphasis"/>
          <w:i w:val="0"/>
          <w:color w:val="000000" w:themeColor="text1"/>
          <w:sz w:val="24"/>
          <w:szCs w:val="24"/>
        </w:rPr>
        <w:t xml:space="preserve">statutory obligations for </w:t>
      </w:r>
      <w:r w:rsidR="008675DB">
        <w:rPr>
          <w:rStyle w:val="Emphasis"/>
          <w:i w:val="0"/>
          <w:color w:val="000000" w:themeColor="text1"/>
          <w:sz w:val="24"/>
          <w:szCs w:val="24"/>
        </w:rPr>
        <w:t>assessing</w:t>
      </w:r>
      <w:r w:rsidR="00604371">
        <w:rPr>
          <w:rStyle w:val="Emphasis"/>
          <w:i w:val="0"/>
          <w:color w:val="000000" w:themeColor="text1"/>
          <w:sz w:val="24"/>
          <w:szCs w:val="24"/>
        </w:rPr>
        <w:t xml:space="preserve"> and </w:t>
      </w:r>
      <w:r w:rsidRPr="75B3D2F1" w:rsidR="00753805">
        <w:rPr>
          <w:rStyle w:val="Emphasis"/>
          <w:i w:val="0"/>
          <w:color w:val="000000" w:themeColor="text1"/>
          <w:sz w:val="24"/>
          <w:szCs w:val="24"/>
        </w:rPr>
        <w:t xml:space="preserve">collecting equitable user fees from </w:t>
      </w:r>
      <w:r w:rsidRPr="75B3D2F1" w:rsidR="00607384">
        <w:rPr>
          <w:rStyle w:val="Emphasis"/>
          <w:i w:val="0"/>
          <w:color w:val="000000" w:themeColor="text1"/>
          <w:sz w:val="24"/>
          <w:szCs w:val="24"/>
        </w:rPr>
        <w:t xml:space="preserve">domestic </w:t>
      </w:r>
      <w:r w:rsidRPr="75B3D2F1" w:rsidR="00753805">
        <w:rPr>
          <w:rStyle w:val="Emphasis"/>
          <w:i w:val="0"/>
          <w:color w:val="000000" w:themeColor="text1"/>
          <w:sz w:val="24"/>
          <w:szCs w:val="24"/>
        </w:rPr>
        <w:t>manufacturers and importers of tobacco products.</w:t>
      </w:r>
    </w:p>
    <w:p w:rsidR="000E1F25" w:rsidP="2AB88A8A" w14:paraId="574A3F77" w14:textId="252AF60A">
      <w:pPr>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b/>
          <w:bCs/>
          <w:sz w:val="24"/>
          <w:szCs w:val="24"/>
          <w:u w:val="single"/>
        </w:rPr>
      </w:pPr>
      <w:r w:rsidRPr="0A9A12E8">
        <w:rPr>
          <w:b/>
          <w:bCs/>
          <w:sz w:val="24"/>
          <w:szCs w:val="24"/>
          <w:u w:val="single"/>
        </w:rPr>
        <w:t>7.</w:t>
      </w:r>
      <w:r w:rsidRPr="0A9A12E8" w:rsidR="33534694">
        <w:rPr>
          <w:b/>
          <w:bCs/>
          <w:sz w:val="24"/>
          <w:szCs w:val="24"/>
          <w:u w:val="single"/>
        </w:rPr>
        <w:t xml:space="preserve"> </w:t>
      </w:r>
      <w:r w:rsidRPr="0A9A12E8">
        <w:rPr>
          <w:b/>
          <w:bCs/>
          <w:sz w:val="24"/>
          <w:szCs w:val="24"/>
          <w:u w:val="single"/>
        </w:rPr>
        <w:t>Special Circumstances Relating to the Guidelines of 5 CFR 1320.5</w:t>
      </w:r>
      <w:r w:rsidR="31F2D611">
        <w:tab/>
      </w:r>
    </w:p>
    <w:p w:rsidR="00973F05" w:rsidP="563854A4" w14:paraId="5F174189" w14:textId="441E7C0C">
      <w:pPr>
        <w:keepLines/>
        <w:spacing w:after="160" w:line="259" w:lineRule="auto"/>
        <w:rPr>
          <w:sz w:val="24"/>
          <w:szCs w:val="24"/>
        </w:rPr>
      </w:pPr>
      <w:r w:rsidRPr="0A9A12E8">
        <w:rPr>
          <w:sz w:val="24"/>
          <w:szCs w:val="24"/>
        </w:rPr>
        <w:t xml:space="preserve">This information collection </w:t>
      </w:r>
      <w:r w:rsidRPr="0A9A12E8" w:rsidR="0CA752C7">
        <w:rPr>
          <w:sz w:val="24"/>
          <w:szCs w:val="24"/>
        </w:rPr>
        <w:t>has one</w:t>
      </w:r>
      <w:r w:rsidRPr="0A9A12E8">
        <w:rPr>
          <w:sz w:val="24"/>
          <w:szCs w:val="24"/>
        </w:rPr>
        <w:t xml:space="preserve"> special circumstance associated that would be inconsistent with the regulation.</w:t>
      </w:r>
      <w:r w:rsidRPr="0A9A12E8" w:rsidR="7FF870B3">
        <w:rPr>
          <w:sz w:val="24"/>
          <w:szCs w:val="24"/>
        </w:rPr>
        <w:t xml:space="preserve"> </w:t>
      </w:r>
      <w:r w:rsidRPr="0A9A12E8" w:rsidR="4CAAF0A0">
        <w:rPr>
          <w:sz w:val="24"/>
          <w:szCs w:val="24"/>
        </w:rPr>
        <w:t>Speci</w:t>
      </w:r>
      <w:r w:rsidRPr="0A9A12E8" w:rsidR="4AEE3686">
        <w:rPr>
          <w:sz w:val="24"/>
          <w:szCs w:val="24"/>
        </w:rPr>
        <w:t>fi</w:t>
      </w:r>
      <w:r w:rsidRPr="0A9A12E8" w:rsidR="4CAAF0A0">
        <w:rPr>
          <w:sz w:val="24"/>
          <w:szCs w:val="24"/>
        </w:rPr>
        <w:t xml:space="preserve">cally, </w:t>
      </w:r>
      <w:r w:rsidRPr="0A9A12E8" w:rsidR="2AC7F167">
        <w:rPr>
          <w:sz w:val="24"/>
          <w:szCs w:val="24"/>
        </w:rPr>
        <w:t xml:space="preserve">FDA expects respondents to provide </w:t>
      </w:r>
      <w:r w:rsidRPr="0A9A12E8" w:rsidR="54C3F5D8">
        <w:rPr>
          <w:sz w:val="24"/>
          <w:szCs w:val="24"/>
        </w:rPr>
        <w:t>monthly reporting as require</w:t>
      </w:r>
      <w:r w:rsidRPr="0A9A12E8" w:rsidR="72B482F3">
        <w:rPr>
          <w:sz w:val="24"/>
          <w:szCs w:val="24"/>
        </w:rPr>
        <w:t>d</w:t>
      </w:r>
      <w:r w:rsidRPr="0A9A12E8" w:rsidR="54C3F5D8">
        <w:rPr>
          <w:sz w:val="24"/>
          <w:szCs w:val="24"/>
        </w:rPr>
        <w:t xml:space="preserve"> in § 1150.5. Additionally, responde</w:t>
      </w:r>
      <w:r w:rsidRPr="0A9A12E8" w:rsidR="55C4D4D4">
        <w:rPr>
          <w:sz w:val="24"/>
          <w:szCs w:val="24"/>
        </w:rPr>
        <w:t>nts may provide voluntary premium cigar data monthly</w:t>
      </w:r>
      <w:r w:rsidRPr="0A9A12E8" w:rsidR="6A5BD6AD">
        <w:rPr>
          <w:sz w:val="24"/>
          <w:szCs w:val="24"/>
        </w:rPr>
        <w:t xml:space="preserve"> as </w:t>
      </w:r>
      <w:r w:rsidRPr="0A9A12E8" w:rsidR="267C74F0">
        <w:rPr>
          <w:sz w:val="24"/>
          <w:szCs w:val="24"/>
        </w:rPr>
        <w:t>herein</w:t>
      </w:r>
      <w:r w:rsidRPr="0A9A12E8" w:rsidR="6A5BD6AD">
        <w:rPr>
          <w:sz w:val="24"/>
          <w:szCs w:val="24"/>
        </w:rPr>
        <w:t xml:space="preserve">. </w:t>
      </w:r>
    </w:p>
    <w:p w:rsidR="000E1F25" w:rsidP="001C50B5" w14:paraId="408FD9D3" w14:textId="77777777">
      <w:pPr>
        <w:pStyle w:val="BodyTextIndent2"/>
        <w:keepLines/>
        <w:spacing w:after="160" w:line="240" w:lineRule="auto"/>
        <w:ind w:left="0"/>
        <w:rPr>
          <w:b/>
          <w:bCs/>
          <w:iCs/>
          <w:u w:val="single"/>
        </w:rPr>
      </w:pPr>
      <w:r w:rsidRPr="009B7168">
        <w:rPr>
          <w:b/>
          <w:u w:val="single"/>
        </w:rPr>
        <w:t xml:space="preserve">8. </w:t>
      </w:r>
      <w:r w:rsidRPr="009B7168">
        <w:rPr>
          <w:b/>
          <w:bCs/>
          <w:iCs/>
          <w:u w:val="single"/>
        </w:rPr>
        <w:t>Comments in Response to the Federal Register Notice and Efforts to Consult Outside the Agency</w:t>
      </w:r>
    </w:p>
    <w:p w:rsidR="001F31FE" w:rsidP="001C50B5" w14:paraId="5D270480" w14:textId="34217C5C">
      <w:pPr>
        <w:keepLines/>
        <w:spacing w:after="160"/>
        <w:rPr>
          <w:sz w:val="24"/>
          <w:szCs w:val="24"/>
        </w:rPr>
      </w:pPr>
      <w:r w:rsidRPr="0A9A12E8">
        <w:rPr>
          <w:sz w:val="24"/>
          <w:szCs w:val="24"/>
        </w:rPr>
        <w:t xml:space="preserve">In the Federal Register of </w:t>
      </w:r>
      <w:r w:rsidR="007D696D">
        <w:rPr>
          <w:sz w:val="24"/>
          <w:szCs w:val="24"/>
        </w:rPr>
        <w:t>May 1</w:t>
      </w:r>
      <w:r w:rsidRPr="0A9A12E8">
        <w:rPr>
          <w:sz w:val="24"/>
          <w:szCs w:val="24"/>
        </w:rPr>
        <w:t>, 2025 (</w:t>
      </w:r>
      <w:r w:rsidR="007D696D">
        <w:rPr>
          <w:sz w:val="24"/>
          <w:szCs w:val="24"/>
        </w:rPr>
        <w:t xml:space="preserve">90 </w:t>
      </w:r>
      <w:r w:rsidRPr="0A9A12E8">
        <w:rPr>
          <w:sz w:val="24"/>
          <w:szCs w:val="24"/>
        </w:rPr>
        <w:t xml:space="preserve">FR </w:t>
      </w:r>
      <w:r w:rsidR="007D696D">
        <w:rPr>
          <w:sz w:val="24"/>
          <w:szCs w:val="24"/>
        </w:rPr>
        <w:t>18687</w:t>
      </w:r>
      <w:r w:rsidRPr="0A9A12E8">
        <w:rPr>
          <w:sz w:val="24"/>
          <w:szCs w:val="24"/>
        </w:rPr>
        <w:t>), FDA published a 60-day notice requesting public comment on the proposed collection of information. No comments were received.</w:t>
      </w:r>
    </w:p>
    <w:p w:rsidR="000E1F25" w:rsidP="001C50B5" w14:paraId="2454E959" w14:textId="77777777">
      <w:pPr>
        <w:keepLines/>
        <w:spacing w:after="160"/>
        <w:rPr>
          <w:b/>
          <w:sz w:val="24"/>
          <w:szCs w:val="24"/>
          <w:u w:val="single"/>
        </w:rPr>
      </w:pPr>
      <w:r w:rsidRPr="009B7168">
        <w:rPr>
          <w:b/>
          <w:sz w:val="24"/>
          <w:szCs w:val="24"/>
          <w:u w:val="single"/>
        </w:rPr>
        <w:t>9. Explanation of Any Payment or Gift to Respondents</w:t>
      </w:r>
    </w:p>
    <w:p w:rsidR="001F31FE" w:rsidP="001C50B5" w14:paraId="62B79E0E" w14:textId="77777777">
      <w:pPr>
        <w:pStyle w:val="BodyText"/>
        <w:keepLines/>
        <w:spacing w:after="160"/>
        <w:rPr>
          <w:sz w:val="24"/>
          <w:szCs w:val="24"/>
        </w:rPr>
      </w:pPr>
      <w:r>
        <w:rPr>
          <w:sz w:val="24"/>
          <w:szCs w:val="24"/>
        </w:rPr>
        <w:t>There is no payment or gift awarded to respondents of this collection of information.</w:t>
      </w:r>
    </w:p>
    <w:p w:rsidR="000E1F25" w:rsidP="001C50B5" w14:paraId="1BF0C70C" w14:textId="77777777">
      <w:pPr>
        <w:keepLines/>
        <w:spacing w:after="160"/>
        <w:rPr>
          <w:b/>
          <w:sz w:val="24"/>
          <w:szCs w:val="24"/>
          <w:u w:val="single"/>
        </w:rPr>
      </w:pPr>
      <w:r w:rsidRPr="009B7168">
        <w:rPr>
          <w:b/>
          <w:sz w:val="24"/>
          <w:szCs w:val="24"/>
          <w:u w:val="single"/>
        </w:rPr>
        <w:t xml:space="preserve">10. Assurance of </w:t>
      </w:r>
      <w:r w:rsidRPr="009B7168" w:rsidR="00014B41">
        <w:rPr>
          <w:b/>
          <w:sz w:val="24"/>
          <w:szCs w:val="24"/>
          <w:u w:val="single"/>
        </w:rPr>
        <w:t>Privacy</w:t>
      </w:r>
      <w:r w:rsidRPr="009B7168">
        <w:rPr>
          <w:b/>
          <w:sz w:val="24"/>
          <w:szCs w:val="24"/>
          <w:u w:val="single"/>
        </w:rPr>
        <w:t xml:space="preserve"> Provided to Respondents</w:t>
      </w:r>
    </w:p>
    <w:p w:rsidR="001F31FE" w:rsidP="001C50B5" w14:paraId="44926AC6" w14:textId="249405D5">
      <w:pPr>
        <w:pStyle w:val="Heading1"/>
        <w:keepNext w:val="0"/>
        <w:keepLines/>
        <w:tabs>
          <w:tab w:val="clear" w:pos="720"/>
        </w:tabs>
        <w:spacing w:after="160"/>
        <w:rPr>
          <w:szCs w:val="24"/>
        </w:rPr>
      </w:pPr>
      <w:r w:rsidRPr="00BE686C">
        <w:rPr>
          <w:szCs w:val="24"/>
        </w:rPr>
        <w:t>All data will be collected with an assurance that the respondents</w:t>
      </w:r>
      <w:r w:rsidR="00D563E7">
        <w:rPr>
          <w:szCs w:val="24"/>
        </w:rPr>
        <w:t>’</w:t>
      </w:r>
      <w:r w:rsidRPr="00BE686C">
        <w:rPr>
          <w:szCs w:val="24"/>
        </w:rPr>
        <w:t xml:space="preserve"> answers remain </w:t>
      </w:r>
      <w:r w:rsidR="00014B41">
        <w:rPr>
          <w:szCs w:val="24"/>
        </w:rPr>
        <w:t>private</w:t>
      </w:r>
      <w:r w:rsidR="00FC346B">
        <w:rPr>
          <w:szCs w:val="24"/>
        </w:rPr>
        <w:t xml:space="preserve"> to the extent allowed by law</w:t>
      </w:r>
      <w:r w:rsidR="005918F6">
        <w:rPr>
          <w:szCs w:val="24"/>
        </w:rPr>
        <w:t xml:space="preserve"> and</w:t>
      </w:r>
      <w:r w:rsidRPr="005918F6" w:rsidR="005918F6">
        <w:rPr>
          <w:szCs w:val="24"/>
        </w:rPr>
        <w:t xml:space="preserve"> </w:t>
      </w:r>
      <w:r w:rsidR="005918F6">
        <w:rPr>
          <w:szCs w:val="24"/>
        </w:rPr>
        <w:t>consistent</w:t>
      </w:r>
      <w:r w:rsidRPr="00BE686C" w:rsidR="005918F6">
        <w:rPr>
          <w:szCs w:val="24"/>
        </w:rPr>
        <w:t xml:space="preserve"> with the FDA Privacy Act System of Records #09-10-00</w:t>
      </w:r>
      <w:r w:rsidR="005918F6">
        <w:rPr>
          <w:szCs w:val="24"/>
        </w:rPr>
        <w:t>21</w:t>
      </w:r>
      <w:r w:rsidRPr="00BE686C" w:rsidR="005918F6">
        <w:rPr>
          <w:szCs w:val="24"/>
        </w:rPr>
        <w:t xml:space="preserve"> (</w:t>
      </w:r>
      <w:r w:rsidR="005918F6">
        <w:rPr>
          <w:szCs w:val="24"/>
        </w:rPr>
        <w:t>FDA User Fee System)</w:t>
      </w:r>
      <w:r w:rsidRPr="00BE686C">
        <w:rPr>
          <w:szCs w:val="24"/>
        </w:rPr>
        <w:t>.</w:t>
      </w:r>
      <w:r w:rsidR="00210B9B">
        <w:rPr>
          <w:szCs w:val="24"/>
        </w:rPr>
        <w:t xml:space="preserve"> </w:t>
      </w:r>
      <w:r w:rsidR="00014B41">
        <w:rPr>
          <w:szCs w:val="24"/>
        </w:rPr>
        <w:t>Private</w:t>
      </w:r>
      <w:r w:rsidRPr="00BE686C">
        <w:rPr>
          <w:szCs w:val="24"/>
        </w:rPr>
        <w:t xml:space="preserve"> information is protected from disclosure under the Freedom of Information Act (FOIA) under section 552(a) and (b) (5 U.S.C. 552(a) and (b)), and by part 20 of the </w:t>
      </w:r>
      <w:r w:rsidR="00D563E7">
        <w:rPr>
          <w:szCs w:val="24"/>
        </w:rPr>
        <w:t>A</w:t>
      </w:r>
      <w:r w:rsidRPr="00BE686C">
        <w:rPr>
          <w:szCs w:val="24"/>
        </w:rPr>
        <w:t>gency’s</w:t>
      </w:r>
      <w:r w:rsidR="00CD184D">
        <w:rPr>
          <w:szCs w:val="24"/>
        </w:rPr>
        <w:t xml:space="preserve"> regulations (21 CFR part 20).</w:t>
      </w:r>
    </w:p>
    <w:p w:rsidR="001F31FE" w:rsidRPr="00BE686C" w:rsidP="001C50B5" w14:paraId="4DC2EB8D" w14:textId="77777777">
      <w:pPr>
        <w:keepLines/>
        <w:spacing w:after="160"/>
        <w:rPr>
          <w:sz w:val="24"/>
          <w:szCs w:val="24"/>
        </w:rPr>
      </w:pPr>
      <w:r>
        <w:rPr>
          <w:sz w:val="24"/>
          <w:szCs w:val="24"/>
        </w:rPr>
        <w:t>Privacy</w:t>
      </w:r>
      <w:r w:rsidR="00CD184D">
        <w:rPr>
          <w:sz w:val="24"/>
          <w:szCs w:val="24"/>
        </w:rPr>
        <w:t xml:space="preserve"> </w:t>
      </w:r>
      <w:r>
        <w:rPr>
          <w:sz w:val="24"/>
          <w:szCs w:val="24"/>
        </w:rPr>
        <w:t>is</w:t>
      </w:r>
      <w:r w:rsidR="00CD184D">
        <w:rPr>
          <w:sz w:val="24"/>
          <w:szCs w:val="24"/>
        </w:rPr>
        <w:t xml:space="preserve"> assured by</w:t>
      </w:r>
      <w:r w:rsidRPr="00BE686C" w:rsidR="000E1F25">
        <w:rPr>
          <w:sz w:val="24"/>
          <w:szCs w:val="24"/>
        </w:rPr>
        <w:t xml:space="preserve"> enacting procedures to prevent unauthorized access to respondent data and by preventing the public disclosure of the responses of individual participants. </w:t>
      </w:r>
    </w:p>
    <w:p w:rsidR="000E1F25" w:rsidP="001C50B5" w14:paraId="49D34F6C" w14:textId="58212F4D">
      <w:pPr>
        <w:keepLines/>
        <w:spacing w:after="160"/>
        <w:rPr>
          <w:sz w:val="24"/>
          <w:szCs w:val="24"/>
        </w:rPr>
      </w:pPr>
      <w:r w:rsidRPr="00BE686C">
        <w:rPr>
          <w:sz w:val="24"/>
          <w:szCs w:val="24"/>
        </w:rPr>
        <w:t xml:space="preserve">All electronic data </w:t>
      </w:r>
      <w:r w:rsidR="001F31FE">
        <w:rPr>
          <w:sz w:val="24"/>
          <w:szCs w:val="24"/>
        </w:rPr>
        <w:t>is</w:t>
      </w:r>
      <w:r w:rsidRPr="00BE686C">
        <w:rPr>
          <w:sz w:val="24"/>
          <w:szCs w:val="24"/>
        </w:rPr>
        <w:t xml:space="preserve"> maintained in a manner that is consistent with the Department of Health and Human Services ADP Systems Security Policy as described in DHHS ADP Systems Manual, Part 6, chapters 6-30 and 6-35.</w:t>
      </w:r>
      <w:r w:rsidR="00210B9B">
        <w:rPr>
          <w:sz w:val="24"/>
          <w:szCs w:val="24"/>
        </w:rPr>
        <w:t xml:space="preserve"> </w:t>
      </w:r>
    </w:p>
    <w:p w:rsidR="00B330D7" w:rsidP="001C50B5" w14:paraId="5C0BB543" w14:textId="4BF14C9F">
      <w:pPr>
        <w:keepLines/>
        <w:spacing w:after="160"/>
        <w:rPr>
          <w:sz w:val="24"/>
          <w:szCs w:val="24"/>
        </w:rPr>
      </w:pPr>
      <w:r w:rsidRPr="1D1B3329">
        <w:rPr>
          <w:sz w:val="24"/>
          <w:szCs w:val="24"/>
        </w:rPr>
        <w:t>CTP consulted with FDA’s Privacy office, which conducted a Privacy Impact Assessment (PIA). CTP received HHS approval on the privacy impact assessment and was assigned PIA ID</w:t>
      </w:r>
      <w:r w:rsidRPr="1D1B3329" w:rsidR="22A60E9A">
        <w:rPr>
          <w:sz w:val="24"/>
          <w:szCs w:val="24"/>
        </w:rPr>
        <w:t xml:space="preserve"> FDA2107988</w:t>
      </w:r>
      <w:r w:rsidRPr="1D1B3329" w:rsidR="157C8072">
        <w:rPr>
          <w:sz w:val="24"/>
          <w:szCs w:val="24"/>
        </w:rPr>
        <w:t>.</w:t>
      </w:r>
    </w:p>
    <w:p w:rsidR="000E1F25" w:rsidP="001C50B5" w14:paraId="2D2556F7" w14:textId="583DCFE9">
      <w:pPr>
        <w:keepLines/>
        <w:spacing w:after="160"/>
        <w:rPr>
          <w:b/>
          <w:sz w:val="24"/>
          <w:szCs w:val="24"/>
          <w:u w:val="single"/>
        </w:rPr>
      </w:pPr>
      <w:r w:rsidRPr="009B7168">
        <w:rPr>
          <w:b/>
          <w:sz w:val="24"/>
          <w:szCs w:val="24"/>
          <w:u w:val="single"/>
        </w:rPr>
        <w:t>11.</w:t>
      </w:r>
      <w:r w:rsidR="00210B9B">
        <w:rPr>
          <w:b/>
          <w:sz w:val="24"/>
          <w:szCs w:val="24"/>
          <w:u w:val="single"/>
        </w:rPr>
        <w:t xml:space="preserve"> </w:t>
      </w:r>
      <w:r w:rsidRPr="009B7168">
        <w:rPr>
          <w:b/>
          <w:sz w:val="24"/>
          <w:szCs w:val="24"/>
          <w:u w:val="single"/>
        </w:rPr>
        <w:t>Justification for Sensitive Questions</w:t>
      </w:r>
    </w:p>
    <w:p w:rsidR="006361E3" w:rsidP="1D1B3329" w14:paraId="60CD5137" w14:textId="3D183DBF">
      <w:pPr>
        <w:keepLines/>
        <w:spacing w:after="160"/>
        <w:rPr>
          <w:sz w:val="24"/>
          <w:szCs w:val="24"/>
        </w:rPr>
      </w:pPr>
      <w:r w:rsidRPr="1D1B3329">
        <w:rPr>
          <w:sz w:val="24"/>
          <w:szCs w:val="24"/>
        </w:rPr>
        <w:t xml:space="preserve">FDA </w:t>
      </w:r>
      <w:r w:rsidRPr="1D1B3329" w:rsidR="3A043849">
        <w:rPr>
          <w:sz w:val="24"/>
          <w:szCs w:val="24"/>
        </w:rPr>
        <w:t>is not asking</w:t>
      </w:r>
      <w:r w:rsidRPr="1D1B3329">
        <w:rPr>
          <w:sz w:val="24"/>
          <w:szCs w:val="24"/>
        </w:rPr>
        <w:t xml:space="preserve"> questions of a sensitive nature in this collection of </w:t>
      </w:r>
      <w:r w:rsidRPr="1D1B3329" w:rsidR="1BE798B3">
        <w:rPr>
          <w:sz w:val="24"/>
          <w:szCs w:val="24"/>
        </w:rPr>
        <w:t>information</w:t>
      </w:r>
      <w:r w:rsidRPr="1D1B3329" w:rsidR="563E32B1">
        <w:rPr>
          <w:sz w:val="24"/>
          <w:szCs w:val="24"/>
        </w:rPr>
        <w:t>.</w:t>
      </w:r>
      <w:r w:rsidRPr="1D1B3329">
        <w:rPr>
          <w:sz w:val="24"/>
          <w:szCs w:val="24"/>
        </w:rPr>
        <w:t xml:space="preserve"> </w:t>
      </w:r>
    </w:p>
    <w:p w:rsidR="000E1F25" w:rsidP="0A9A12E8" w14:paraId="5F713DE0" w14:textId="4F80E383">
      <w:pPr>
        <w:keepNext/>
        <w:keepLines/>
        <w:spacing w:after="160"/>
        <w:rPr>
          <w:b/>
          <w:bCs/>
          <w:sz w:val="24"/>
          <w:szCs w:val="24"/>
          <w:u w:val="single"/>
        </w:rPr>
      </w:pPr>
      <w:r w:rsidRPr="0A9A12E8">
        <w:rPr>
          <w:b/>
          <w:bCs/>
          <w:sz w:val="24"/>
          <w:szCs w:val="24"/>
          <w:u w:val="single"/>
        </w:rPr>
        <w:t>12.</w:t>
      </w:r>
      <w:r w:rsidRPr="0A9A12E8" w:rsidR="7FF870B3">
        <w:rPr>
          <w:b/>
          <w:bCs/>
          <w:sz w:val="24"/>
          <w:szCs w:val="24"/>
          <w:u w:val="single"/>
        </w:rPr>
        <w:t xml:space="preserve"> </w:t>
      </w:r>
      <w:r w:rsidRPr="0A9A12E8">
        <w:rPr>
          <w:b/>
          <w:bCs/>
          <w:sz w:val="24"/>
          <w:szCs w:val="24"/>
          <w:u w:val="single"/>
        </w:rPr>
        <w:t>Estimates of Annualized Burden Hours and Costs</w:t>
      </w:r>
    </w:p>
    <w:p w:rsidR="000E1F25" w:rsidP="0A9A12E8" w14:paraId="6BFC7131" w14:textId="77777777">
      <w:pPr>
        <w:pStyle w:val="HTMLPreformatted"/>
        <w:keepNext/>
        <w:keepLines/>
        <w:tabs>
          <w:tab w:val="clear" w:pos="916"/>
        </w:tabs>
        <w:spacing w:after="160"/>
        <w:ind w:left="360"/>
        <w:rPr>
          <w:rFonts w:ascii="Times New Roman" w:hAnsi="Times New Roman" w:cs="Times New Roman"/>
          <w:b/>
          <w:bCs/>
          <w:sz w:val="24"/>
          <w:szCs w:val="24"/>
          <w:u w:val="single"/>
        </w:rPr>
      </w:pPr>
      <w:r w:rsidRPr="0A9A12E8">
        <w:rPr>
          <w:rFonts w:ascii="Times New Roman" w:hAnsi="Times New Roman" w:cs="Times New Roman"/>
          <w:b/>
          <w:bCs/>
          <w:sz w:val="24"/>
          <w:szCs w:val="24"/>
        </w:rPr>
        <w:t xml:space="preserve">12a. </w:t>
      </w:r>
      <w:r w:rsidRPr="0A9A12E8">
        <w:rPr>
          <w:rFonts w:ascii="Times New Roman" w:hAnsi="Times New Roman" w:cs="Times New Roman"/>
          <w:b/>
          <w:bCs/>
          <w:sz w:val="24"/>
          <w:szCs w:val="24"/>
          <w:u w:val="single"/>
        </w:rPr>
        <w:t>Annualized Hour Burden Estimate</w:t>
      </w: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8"/>
        <w:gridCol w:w="1532"/>
        <w:gridCol w:w="1618"/>
        <w:gridCol w:w="1261"/>
        <w:gridCol w:w="1171"/>
        <w:gridCol w:w="1169"/>
      </w:tblGrid>
      <w:tr w14:paraId="7AB8344A" w14:textId="77777777" w:rsidTr="0A9A12E8">
        <w:tblPrEx>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9"/>
          <w:tblHeader/>
        </w:trPr>
        <w:tc>
          <w:tcPr>
            <w:tcW w:w="5000" w:type="pct"/>
            <w:gridSpan w:val="6"/>
            <w:tcBorders>
              <w:top w:val="nil"/>
              <w:left w:val="nil"/>
              <w:bottom w:val="single" w:sz="4" w:space="0" w:color="auto"/>
              <w:right w:val="nil"/>
            </w:tcBorders>
            <w:shd w:val="clear" w:color="auto" w:fill="auto"/>
          </w:tcPr>
          <w:p w:rsidR="00336BB0" w:rsidRPr="00D82C54" w:rsidP="0A9A12E8" w14:paraId="58A9874B" w14:textId="4C0D0135">
            <w:pPr>
              <w:keepNext/>
              <w:keepLines/>
              <w:spacing w:after="160"/>
              <w:jc w:val="center"/>
            </w:pPr>
            <w:r w:rsidRPr="00D82C54">
              <w:t>Table 1.</w:t>
            </w:r>
            <w:r w:rsidRPr="00D82C54" w:rsidR="44C552E8">
              <w:t xml:space="preserve"> </w:t>
            </w:r>
            <w:r w:rsidRPr="00D82C54">
              <w:t>Estimated Annual Reporting Burden</w:t>
            </w:r>
            <w:r w:rsidRPr="00D82C54" w:rsidR="3DF108A5">
              <w:rPr>
                <w:vertAlign w:val="superscript"/>
              </w:rPr>
              <w:t>1</w:t>
            </w:r>
          </w:p>
        </w:tc>
      </w:tr>
      <w:tr w14:paraId="56DCEA2C" w14:textId="77777777" w:rsidTr="0A9A12E8">
        <w:tblPrEx>
          <w:tblW w:w="5336" w:type="pct"/>
          <w:tblLayout w:type="fixed"/>
          <w:tblLook w:val="01E0"/>
        </w:tblPrEx>
        <w:trPr>
          <w:cantSplit/>
          <w:trHeight w:val="773"/>
          <w:tblHeader/>
        </w:trPr>
        <w:tc>
          <w:tcPr>
            <w:tcW w:w="1621" w:type="pct"/>
            <w:tcBorders>
              <w:top w:val="single" w:sz="4" w:space="0" w:color="auto"/>
            </w:tcBorders>
            <w:vAlign w:val="center"/>
          </w:tcPr>
          <w:p w:rsidR="00336BB0" w:rsidRPr="00D82C54" w:rsidP="001C50B5" w14:paraId="07BAF83E" w14:textId="45095292">
            <w:pPr>
              <w:keepLines/>
              <w:spacing w:after="160"/>
              <w:jc w:val="center"/>
            </w:pPr>
            <w:r w:rsidRPr="00D82C54">
              <w:t>21 CFR Section</w:t>
            </w:r>
            <w:r w:rsidRPr="00D82C54" w:rsidR="56377438">
              <w:t>/Activity</w:t>
            </w:r>
          </w:p>
        </w:tc>
        <w:tc>
          <w:tcPr>
            <w:tcW w:w="767" w:type="pct"/>
            <w:tcBorders>
              <w:top w:val="single" w:sz="4" w:space="0" w:color="auto"/>
            </w:tcBorders>
            <w:vAlign w:val="center"/>
          </w:tcPr>
          <w:p w:rsidR="00336BB0" w:rsidRPr="00D82C54" w:rsidP="001C50B5" w14:paraId="2AD211A8" w14:textId="77777777">
            <w:pPr>
              <w:keepLines/>
              <w:spacing w:after="160"/>
              <w:jc w:val="center"/>
            </w:pPr>
            <w:r w:rsidRPr="00D82C54">
              <w:t>No. of Respondents</w:t>
            </w:r>
          </w:p>
        </w:tc>
        <w:tc>
          <w:tcPr>
            <w:tcW w:w="810" w:type="pct"/>
            <w:tcBorders>
              <w:top w:val="single" w:sz="4" w:space="0" w:color="auto"/>
            </w:tcBorders>
            <w:vAlign w:val="center"/>
          </w:tcPr>
          <w:p w:rsidR="00336BB0" w:rsidRPr="00D82C54" w:rsidP="001C50B5" w14:paraId="57FC172C" w14:textId="77777777">
            <w:pPr>
              <w:keepLines/>
              <w:spacing w:after="160"/>
              <w:jc w:val="center"/>
            </w:pPr>
            <w:r w:rsidRPr="00D82C54">
              <w:rPr>
                <w:bCs/>
              </w:rPr>
              <w:t>No. of Responses per Respondent</w:t>
            </w:r>
          </w:p>
        </w:tc>
        <w:tc>
          <w:tcPr>
            <w:tcW w:w="631" w:type="pct"/>
            <w:tcBorders>
              <w:top w:val="single" w:sz="4" w:space="0" w:color="auto"/>
            </w:tcBorders>
            <w:vAlign w:val="center"/>
          </w:tcPr>
          <w:p w:rsidR="00336BB0" w:rsidRPr="00D82C54" w:rsidP="001C50B5" w14:paraId="7D11D536" w14:textId="22B9B913">
            <w:pPr>
              <w:keepLines/>
              <w:spacing w:after="160"/>
              <w:jc w:val="center"/>
            </w:pPr>
            <w:r w:rsidRPr="00D82C54">
              <w:t xml:space="preserve">Total </w:t>
            </w:r>
            <w:r w:rsidRPr="00D82C54" w:rsidR="00B05155">
              <w:t xml:space="preserve">No. of </w:t>
            </w:r>
            <w:r w:rsidRPr="00D82C54">
              <w:t>Annual Responses</w:t>
            </w:r>
          </w:p>
        </w:tc>
        <w:tc>
          <w:tcPr>
            <w:tcW w:w="586" w:type="pct"/>
            <w:tcBorders>
              <w:top w:val="single" w:sz="4" w:space="0" w:color="auto"/>
            </w:tcBorders>
            <w:vAlign w:val="center"/>
          </w:tcPr>
          <w:p w:rsidR="00336BB0" w:rsidRPr="00D82C54" w:rsidP="001C50B5" w14:paraId="302D7DD7" w14:textId="77777777">
            <w:pPr>
              <w:keepLines/>
              <w:spacing w:after="160"/>
              <w:jc w:val="center"/>
            </w:pPr>
            <w:r w:rsidRPr="00D82C54">
              <w:rPr>
                <w:bCs/>
              </w:rPr>
              <w:t>Hours per Response</w:t>
            </w:r>
          </w:p>
        </w:tc>
        <w:tc>
          <w:tcPr>
            <w:tcW w:w="585" w:type="pct"/>
            <w:tcBorders>
              <w:top w:val="single" w:sz="4" w:space="0" w:color="auto"/>
            </w:tcBorders>
            <w:vAlign w:val="center"/>
          </w:tcPr>
          <w:p w:rsidR="00336BB0" w:rsidRPr="00D82C54" w:rsidP="001C50B5" w14:paraId="5C417972" w14:textId="77777777">
            <w:pPr>
              <w:keepLines/>
              <w:spacing w:after="160"/>
              <w:jc w:val="center"/>
            </w:pPr>
            <w:r w:rsidRPr="00D82C54">
              <w:t>Total Hours</w:t>
            </w:r>
          </w:p>
        </w:tc>
      </w:tr>
      <w:tr w14:paraId="57D552A9" w14:textId="77777777" w:rsidTr="0A9A12E8">
        <w:tblPrEx>
          <w:tblW w:w="5336" w:type="pct"/>
          <w:tblLayout w:type="fixed"/>
          <w:tblLook w:val="01E0"/>
        </w:tblPrEx>
        <w:trPr>
          <w:cantSplit/>
          <w:trHeight w:val="1124"/>
        </w:trPr>
        <w:tc>
          <w:tcPr>
            <w:tcW w:w="1621" w:type="pct"/>
          </w:tcPr>
          <w:p w:rsidR="00336BB0" w:rsidRPr="00D82C54" w:rsidP="001C50B5" w14:paraId="74107911" w14:textId="66597275">
            <w:pPr>
              <w:keepLines/>
              <w:spacing w:after="160"/>
            </w:pPr>
            <w:r w:rsidRPr="00D82C54">
              <w:t xml:space="preserve">1150.5(a), (b)(1) and (2), and Form FDA 3852; </w:t>
            </w:r>
            <w:r w:rsidRPr="00D82C54" w:rsidR="6D1A17CA">
              <w:t>I</w:t>
            </w:r>
            <w:r w:rsidRPr="00D82C54">
              <w:t>dentification and removal information (monthly)</w:t>
            </w:r>
          </w:p>
        </w:tc>
        <w:tc>
          <w:tcPr>
            <w:tcW w:w="767" w:type="pct"/>
            <w:vAlign w:val="center"/>
          </w:tcPr>
          <w:p w:rsidR="00336BB0" w:rsidRPr="00D82C54" w:rsidP="001C50B5" w14:paraId="37016E46" w14:textId="1B0A52BB">
            <w:pPr>
              <w:keepLines/>
              <w:spacing w:after="160"/>
              <w:jc w:val="center"/>
            </w:pPr>
            <w:r w:rsidRPr="00D82C54">
              <w:t>820</w:t>
            </w:r>
          </w:p>
        </w:tc>
        <w:tc>
          <w:tcPr>
            <w:tcW w:w="810" w:type="pct"/>
            <w:vAlign w:val="center"/>
          </w:tcPr>
          <w:p w:rsidR="00336BB0" w:rsidRPr="00D82C54" w:rsidP="001C50B5" w14:paraId="4CF038E3" w14:textId="77777777">
            <w:pPr>
              <w:keepLines/>
              <w:spacing w:after="160"/>
              <w:jc w:val="center"/>
            </w:pPr>
            <w:r w:rsidRPr="00D82C54">
              <w:t>12</w:t>
            </w:r>
          </w:p>
        </w:tc>
        <w:tc>
          <w:tcPr>
            <w:tcW w:w="631" w:type="pct"/>
            <w:vAlign w:val="center"/>
          </w:tcPr>
          <w:p w:rsidR="00336BB0" w:rsidRPr="00D82C54" w:rsidP="001C50B5" w14:paraId="36C344EA" w14:textId="5060B584">
            <w:pPr>
              <w:keepLines/>
              <w:spacing w:after="160"/>
              <w:jc w:val="center"/>
            </w:pPr>
            <w:r w:rsidRPr="00D82C54">
              <w:t>9,840</w:t>
            </w:r>
          </w:p>
        </w:tc>
        <w:tc>
          <w:tcPr>
            <w:tcW w:w="586" w:type="pct"/>
            <w:vAlign w:val="center"/>
          </w:tcPr>
          <w:p w:rsidR="00336BB0" w:rsidRPr="00D82C54" w:rsidP="001C50B5" w14:paraId="7C37A6C9" w14:textId="77777777">
            <w:pPr>
              <w:keepLines/>
              <w:spacing w:after="160"/>
              <w:jc w:val="center"/>
            </w:pPr>
            <w:r w:rsidRPr="00D82C54">
              <w:t>3</w:t>
            </w:r>
          </w:p>
        </w:tc>
        <w:tc>
          <w:tcPr>
            <w:tcW w:w="585" w:type="pct"/>
            <w:vAlign w:val="center"/>
          </w:tcPr>
          <w:p w:rsidR="00336BB0" w:rsidRPr="00D82C54" w:rsidP="001C50B5" w14:paraId="7E066ECB" w14:textId="223B77F4">
            <w:pPr>
              <w:keepLines/>
              <w:spacing w:after="160"/>
              <w:jc w:val="center"/>
            </w:pPr>
            <w:r w:rsidRPr="00D82C54">
              <w:t>29,520</w:t>
            </w:r>
          </w:p>
        </w:tc>
      </w:tr>
      <w:tr w14:paraId="54BFE570" w14:textId="77777777" w:rsidTr="00D82C54">
        <w:tblPrEx>
          <w:tblW w:w="5336" w:type="pct"/>
          <w:tblLayout w:type="fixed"/>
          <w:tblLook w:val="01E0"/>
        </w:tblPrEx>
        <w:trPr>
          <w:cantSplit/>
          <w:trHeight w:val="1124"/>
        </w:trPr>
        <w:tc>
          <w:tcPr>
            <w:tcW w:w="1621" w:type="pct"/>
            <w:tcBorders>
              <w:top w:val="single" w:sz="4" w:space="0" w:color="auto"/>
              <w:left w:val="single" w:sz="4" w:space="0" w:color="auto"/>
              <w:bottom w:val="single" w:sz="4" w:space="0" w:color="auto"/>
              <w:right w:val="single" w:sz="4" w:space="0" w:color="auto"/>
            </w:tcBorders>
          </w:tcPr>
          <w:p w:rsidR="057162ED" w:rsidRPr="00D82C54" w:rsidP="057162ED" w14:paraId="374D2C36" w14:textId="41089097">
            <w:r w:rsidRPr="00D82C54">
              <w:t>Voluntary premium cigar data submission (monthly)</w:t>
            </w:r>
          </w:p>
        </w:tc>
        <w:tc>
          <w:tcPr>
            <w:tcW w:w="767" w:type="pct"/>
            <w:tcBorders>
              <w:top w:val="single" w:sz="4" w:space="0" w:color="auto"/>
              <w:left w:val="single" w:sz="4" w:space="0" w:color="auto"/>
              <w:bottom w:val="single" w:sz="4" w:space="0" w:color="auto"/>
              <w:right w:val="single" w:sz="4" w:space="0" w:color="auto"/>
            </w:tcBorders>
            <w:vAlign w:val="center"/>
          </w:tcPr>
          <w:p w:rsidR="057162ED" w:rsidRPr="00D82C54" w:rsidP="057162ED" w14:paraId="534FFEAD" w14:textId="43A0AC0F">
            <w:pPr>
              <w:jc w:val="center"/>
            </w:pPr>
            <w:r w:rsidRPr="00D82C54">
              <w:t>50</w:t>
            </w:r>
          </w:p>
        </w:tc>
        <w:tc>
          <w:tcPr>
            <w:tcW w:w="810" w:type="pct"/>
            <w:tcBorders>
              <w:top w:val="single" w:sz="4" w:space="0" w:color="auto"/>
              <w:left w:val="single" w:sz="4" w:space="0" w:color="auto"/>
              <w:bottom w:val="single" w:sz="4" w:space="0" w:color="auto"/>
              <w:right w:val="single" w:sz="4" w:space="0" w:color="auto"/>
            </w:tcBorders>
            <w:vAlign w:val="center"/>
          </w:tcPr>
          <w:p w:rsidR="057162ED" w:rsidRPr="00D82C54" w:rsidP="057162ED" w14:paraId="09B568AC" w14:textId="18A4D02B">
            <w:pPr>
              <w:jc w:val="center"/>
            </w:pPr>
            <w:r w:rsidRPr="00D82C54">
              <w:t>12</w:t>
            </w:r>
          </w:p>
        </w:tc>
        <w:tc>
          <w:tcPr>
            <w:tcW w:w="631" w:type="pct"/>
            <w:tcBorders>
              <w:top w:val="single" w:sz="4" w:space="0" w:color="auto"/>
              <w:left w:val="single" w:sz="4" w:space="0" w:color="auto"/>
              <w:bottom w:val="single" w:sz="4" w:space="0" w:color="auto"/>
              <w:right w:val="single" w:sz="4" w:space="0" w:color="auto"/>
            </w:tcBorders>
            <w:vAlign w:val="center"/>
          </w:tcPr>
          <w:p w:rsidR="057162ED" w:rsidRPr="00D82C54" w:rsidP="057162ED" w14:paraId="274BF836" w14:textId="01B045E2">
            <w:pPr>
              <w:jc w:val="center"/>
            </w:pPr>
            <w:r w:rsidRPr="00D82C54">
              <w:t>600</w:t>
            </w:r>
          </w:p>
        </w:tc>
        <w:tc>
          <w:tcPr>
            <w:tcW w:w="586" w:type="pct"/>
            <w:tcBorders>
              <w:top w:val="single" w:sz="4" w:space="0" w:color="auto"/>
              <w:left w:val="single" w:sz="4" w:space="0" w:color="auto"/>
              <w:bottom w:val="single" w:sz="4" w:space="0" w:color="auto"/>
              <w:right w:val="single" w:sz="4" w:space="0" w:color="auto"/>
            </w:tcBorders>
            <w:vAlign w:val="center"/>
          </w:tcPr>
          <w:p w:rsidR="057162ED" w:rsidRPr="00D82C54" w:rsidP="057162ED" w14:paraId="47E4F8E8" w14:textId="69B23800">
            <w:pPr>
              <w:jc w:val="center"/>
            </w:pPr>
            <w:r w:rsidRPr="00D82C54">
              <w:t>1.5</w:t>
            </w:r>
          </w:p>
        </w:tc>
        <w:tc>
          <w:tcPr>
            <w:tcW w:w="585" w:type="pct"/>
            <w:tcBorders>
              <w:top w:val="single" w:sz="4" w:space="0" w:color="auto"/>
              <w:left w:val="single" w:sz="4" w:space="0" w:color="auto"/>
              <w:bottom w:val="single" w:sz="4" w:space="0" w:color="auto"/>
              <w:right w:val="single" w:sz="4" w:space="0" w:color="auto"/>
            </w:tcBorders>
            <w:vAlign w:val="center"/>
          </w:tcPr>
          <w:p w:rsidR="057162ED" w:rsidRPr="00D82C54" w:rsidP="057162ED" w14:paraId="0184E14D" w14:textId="56295F4D">
            <w:pPr>
              <w:jc w:val="center"/>
            </w:pPr>
            <w:r w:rsidRPr="00D82C54">
              <w:t>900</w:t>
            </w:r>
          </w:p>
        </w:tc>
      </w:tr>
      <w:tr w14:paraId="76C50720" w14:textId="77777777" w:rsidTr="0A9A12E8">
        <w:tblPrEx>
          <w:tblW w:w="5336" w:type="pct"/>
          <w:tblLayout w:type="fixed"/>
          <w:tblLook w:val="01E0"/>
        </w:tblPrEx>
        <w:trPr>
          <w:cantSplit/>
          <w:trHeight w:val="19"/>
        </w:trPr>
        <w:tc>
          <w:tcPr>
            <w:tcW w:w="1621" w:type="pct"/>
          </w:tcPr>
          <w:p w:rsidR="00336BB0" w:rsidRPr="00D82C54" w:rsidP="001C50B5" w14:paraId="2DD11368" w14:textId="77777777">
            <w:pPr>
              <w:keepLines/>
              <w:spacing w:after="160"/>
            </w:pPr>
            <w:r w:rsidRPr="00D82C54">
              <w:t>1150.5(b)(3); Certified copies (monthly)</w:t>
            </w:r>
          </w:p>
        </w:tc>
        <w:tc>
          <w:tcPr>
            <w:tcW w:w="767" w:type="pct"/>
            <w:vAlign w:val="center"/>
          </w:tcPr>
          <w:p w:rsidR="00336BB0" w:rsidRPr="00D82C54" w:rsidP="001C50B5" w14:paraId="48E259D8" w14:textId="268786DF">
            <w:pPr>
              <w:keepLines/>
              <w:spacing w:after="160"/>
              <w:jc w:val="center"/>
            </w:pPr>
            <w:r w:rsidRPr="00D82C54">
              <w:t>820</w:t>
            </w:r>
          </w:p>
        </w:tc>
        <w:tc>
          <w:tcPr>
            <w:tcW w:w="810" w:type="pct"/>
            <w:vAlign w:val="center"/>
          </w:tcPr>
          <w:p w:rsidR="00336BB0" w:rsidRPr="00D82C54" w:rsidP="001C50B5" w14:paraId="2E9D7DE0" w14:textId="77777777">
            <w:pPr>
              <w:keepLines/>
              <w:spacing w:after="160"/>
              <w:jc w:val="center"/>
            </w:pPr>
            <w:r w:rsidRPr="00D82C54">
              <w:t>12</w:t>
            </w:r>
          </w:p>
        </w:tc>
        <w:tc>
          <w:tcPr>
            <w:tcW w:w="631" w:type="pct"/>
            <w:vAlign w:val="center"/>
          </w:tcPr>
          <w:p w:rsidR="00336BB0" w:rsidRPr="00D82C54" w:rsidP="001C50B5" w14:paraId="6AF2BC03" w14:textId="5F0072C4">
            <w:pPr>
              <w:keepLines/>
              <w:spacing w:after="160"/>
              <w:jc w:val="center"/>
            </w:pPr>
            <w:r w:rsidRPr="00D82C54">
              <w:t>9,84</w:t>
            </w:r>
            <w:r w:rsidRPr="00D82C54" w:rsidR="0C3658D3">
              <w:t>0</w:t>
            </w:r>
          </w:p>
        </w:tc>
        <w:tc>
          <w:tcPr>
            <w:tcW w:w="586" w:type="pct"/>
            <w:vAlign w:val="center"/>
          </w:tcPr>
          <w:p w:rsidR="00336BB0" w:rsidRPr="00D82C54" w:rsidP="001C50B5" w14:paraId="7D239D6C" w14:textId="77777777">
            <w:pPr>
              <w:keepLines/>
              <w:spacing w:after="160"/>
              <w:jc w:val="center"/>
            </w:pPr>
            <w:r w:rsidRPr="00D82C54">
              <w:t>1</w:t>
            </w:r>
          </w:p>
        </w:tc>
        <w:tc>
          <w:tcPr>
            <w:tcW w:w="585" w:type="pct"/>
            <w:vAlign w:val="center"/>
          </w:tcPr>
          <w:p w:rsidR="00336BB0" w:rsidRPr="00D82C54" w:rsidP="001C50B5" w14:paraId="5A5B2C72" w14:textId="1488626D">
            <w:pPr>
              <w:keepLines/>
              <w:spacing w:after="160"/>
              <w:jc w:val="center"/>
            </w:pPr>
            <w:r w:rsidRPr="00D82C54">
              <w:t>9,84</w:t>
            </w:r>
            <w:r w:rsidRPr="00D82C54" w:rsidR="0C3658D3">
              <w:t>0</w:t>
            </w:r>
          </w:p>
        </w:tc>
      </w:tr>
      <w:tr w14:paraId="78803666" w14:textId="77777777" w:rsidTr="0A9A12E8">
        <w:tblPrEx>
          <w:tblW w:w="5336" w:type="pct"/>
          <w:tblLayout w:type="fixed"/>
          <w:tblLook w:val="01E0"/>
        </w:tblPrEx>
        <w:trPr>
          <w:cantSplit/>
          <w:trHeight w:val="728"/>
        </w:trPr>
        <w:tc>
          <w:tcPr>
            <w:tcW w:w="1621" w:type="pct"/>
          </w:tcPr>
          <w:p w:rsidR="00336BB0" w:rsidRPr="00D82C54" w:rsidP="001C50B5" w14:paraId="7FAF3E2C" w14:textId="1CE483F9">
            <w:pPr>
              <w:keepLines/>
              <w:spacing w:after="160"/>
            </w:pPr>
            <w:r w:rsidRPr="00D82C54">
              <w:t xml:space="preserve">1150.13; </w:t>
            </w:r>
            <w:r w:rsidRPr="00D82C54" w:rsidR="6D1A17CA">
              <w:t>Payment of user fee assessment</w:t>
            </w:r>
            <w:r w:rsidRPr="00D82C54">
              <w:t xml:space="preserve"> (quarterly)</w:t>
            </w:r>
          </w:p>
        </w:tc>
        <w:tc>
          <w:tcPr>
            <w:tcW w:w="767" w:type="pct"/>
            <w:vAlign w:val="center"/>
          </w:tcPr>
          <w:p w:rsidR="00336BB0" w:rsidRPr="00D82C54" w:rsidP="001C50B5" w14:paraId="00F11F64" w14:textId="33368A87">
            <w:pPr>
              <w:keepLines/>
              <w:spacing w:after="160"/>
              <w:jc w:val="center"/>
            </w:pPr>
            <w:r w:rsidRPr="00D82C54">
              <w:t>319</w:t>
            </w:r>
          </w:p>
        </w:tc>
        <w:tc>
          <w:tcPr>
            <w:tcW w:w="810" w:type="pct"/>
            <w:vAlign w:val="center"/>
          </w:tcPr>
          <w:p w:rsidR="00336BB0" w:rsidRPr="00D82C54" w:rsidP="001C50B5" w14:paraId="3D4DE71E" w14:textId="77777777">
            <w:pPr>
              <w:keepLines/>
              <w:spacing w:after="160"/>
              <w:jc w:val="center"/>
            </w:pPr>
            <w:r w:rsidRPr="00D82C54">
              <w:t>4</w:t>
            </w:r>
          </w:p>
        </w:tc>
        <w:tc>
          <w:tcPr>
            <w:tcW w:w="631" w:type="pct"/>
            <w:vAlign w:val="center"/>
          </w:tcPr>
          <w:p w:rsidR="00336BB0" w:rsidRPr="00D82C54" w:rsidP="001C50B5" w14:paraId="70A82EAE" w14:textId="15E3938E">
            <w:pPr>
              <w:keepLines/>
              <w:spacing w:after="160"/>
              <w:jc w:val="center"/>
            </w:pPr>
            <w:r w:rsidRPr="00D82C54">
              <w:t>1,276</w:t>
            </w:r>
          </w:p>
        </w:tc>
        <w:tc>
          <w:tcPr>
            <w:tcW w:w="586" w:type="pct"/>
            <w:vAlign w:val="center"/>
          </w:tcPr>
          <w:p w:rsidR="00336BB0" w:rsidRPr="00D82C54" w:rsidP="001C50B5" w14:paraId="7F13CB22" w14:textId="77777777">
            <w:pPr>
              <w:keepLines/>
              <w:spacing w:after="160"/>
              <w:jc w:val="center"/>
            </w:pPr>
            <w:r w:rsidRPr="00D82C54">
              <w:t>1</w:t>
            </w:r>
          </w:p>
        </w:tc>
        <w:tc>
          <w:tcPr>
            <w:tcW w:w="585" w:type="pct"/>
            <w:vAlign w:val="center"/>
          </w:tcPr>
          <w:p w:rsidR="00336BB0" w:rsidRPr="00D82C54" w:rsidP="001C50B5" w14:paraId="3564D65B" w14:textId="4CB7A9E9">
            <w:pPr>
              <w:keepLines/>
              <w:spacing w:after="160"/>
              <w:jc w:val="center"/>
            </w:pPr>
            <w:r w:rsidRPr="00D82C54">
              <w:t>1,276</w:t>
            </w:r>
          </w:p>
        </w:tc>
      </w:tr>
      <w:tr w14:paraId="7F086496" w14:textId="77777777" w:rsidTr="0A9A12E8">
        <w:tblPrEx>
          <w:tblW w:w="5336" w:type="pct"/>
          <w:tblLayout w:type="fixed"/>
          <w:tblLook w:val="01E0"/>
        </w:tblPrEx>
        <w:trPr>
          <w:cantSplit/>
          <w:trHeight w:val="512"/>
        </w:trPr>
        <w:tc>
          <w:tcPr>
            <w:tcW w:w="1621" w:type="pct"/>
          </w:tcPr>
          <w:p w:rsidR="00336BB0" w:rsidRPr="00D82C54" w:rsidP="001C50B5" w14:paraId="69B3E2FC" w14:textId="54F6A7A3">
            <w:pPr>
              <w:keepLines/>
              <w:spacing w:after="160"/>
            </w:pPr>
            <w:r w:rsidRPr="00D82C54">
              <w:t>1150.15(a); Submission of user fee dispute (</w:t>
            </w:r>
            <w:r w:rsidRPr="00D82C54" w:rsidR="09F5D426">
              <w:t>a</w:t>
            </w:r>
            <w:r w:rsidRPr="00D82C54" w:rsidR="41F9A7B7">
              <w:t>nnually</w:t>
            </w:r>
            <w:r w:rsidRPr="00D82C54">
              <w:t>)</w:t>
            </w:r>
          </w:p>
        </w:tc>
        <w:tc>
          <w:tcPr>
            <w:tcW w:w="767" w:type="pct"/>
            <w:vAlign w:val="center"/>
          </w:tcPr>
          <w:p w:rsidR="00336BB0" w:rsidRPr="00D82C54" w:rsidP="001C50B5" w14:paraId="3517C82C" w14:textId="4F5A5904">
            <w:pPr>
              <w:keepLines/>
              <w:spacing w:after="160"/>
              <w:jc w:val="center"/>
            </w:pPr>
            <w:r w:rsidRPr="00D82C54">
              <w:t>2</w:t>
            </w:r>
          </w:p>
        </w:tc>
        <w:tc>
          <w:tcPr>
            <w:tcW w:w="810" w:type="pct"/>
            <w:vAlign w:val="center"/>
          </w:tcPr>
          <w:p w:rsidR="00336BB0" w:rsidRPr="00D82C54" w:rsidP="001C50B5" w14:paraId="6C6705AA" w14:textId="77777777">
            <w:pPr>
              <w:keepLines/>
              <w:spacing w:after="160"/>
              <w:jc w:val="center"/>
            </w:pPr>
            <w:r w:rsidRPr="00D82C54">
              <w:t>1</w:t>
            </w:r>
          </w:p>
        </w:tc>
        <w:tc>
          <w:tcPr>
            <w:tcW w:w="631" w:type="pct"/>
            <w:vAlign w:val="center"/>
          </w:tcPr>
          <w:p w:rsidR="00336BB0" w:rsidRPr="00D82C54" w:rsidP="001C50B5" w14:paraId="4751481D" w14:textId="008D881F">
            <w:pPr>
              <w:keepLines/>
              <w:spacing w:after="160"/>
              <w:jc w:val="center"/>
            </w:pPr>
            <w:r w:rsidRPr="00D82C54">
              <w:t>2</w:t>
            </w:r>
          </w:p>
        </w:tc>
        <w:tc>
          <w:tcPr>
            <w:tcW w:w="586" w:type="pct"/>
            <w:vAlign w:val="center"/>
          </w:tcPr>
          <w:p w:rsidR="00336BB0" w:rsidRPr="00D82C54" w:rsidP="001C50B5" w14:paraId="14485608" w14:textId="77777777">
            <w:pPr>
              <w:keepLines/>
              <w:spacing w:after="160"/>
              <w:jc w:val="center"/>
            </w:pPr>
            <w:r w:rsidRPr="00D82C54">
              <w:t>10</w:t>
            </w:r>
          </w:p>
        </w:tc>
        <w:tc>
          <w:tcPr>
            <w:tcW w:w="585" w:type="pct"/>
            <w:vAlign w:val="center"/>
          </w:tcPr>
          <w:p w:rsidR="00336BB0" w:rsidRPr="00D82C54" w:rsidP="001C50B5" w14:paraId="36192E0C" w14:textId="0C4CAED6">
            <w:pPr>
              <w:keepLines/>
              <w:spacing w:after="160"/>
              <w:jc w:val="center"/>
            </w:pPr>
            <w:r w:rsidRPr="00D82C54">
              <w:t>20</w:t>
            </w:r>
          </w:p>
        </w:tc>
      </w:tr>
      <w:tr w14:paraId="5E7CACC4" w14:textId="77777777" w:rsidTr="0A9A12E8">
        <w:tblPrEx>
          <w:tblW w:w="5336" w:type="pct"/>
          <w:tblLayout w:type="fixed"/>
          <w:tblLook w:val="01E0"/>
        </w:tblPrEx>
        <w:trPr>
          <w:cantSplit/>
          <w:trHeight w:val="19"/>
        </w:trPr>
        <w:tc>
          <w:tcPr>
            <w:tcW w:w="1621" w:type="pct"/>
          </w:tcPr>
          <w:p w:rsidR="00336BB0" w:rsidRPr="00D82C54" w:rsidP="001C50B5" w14:paraId="0007D3B8" w14:textId="17DC3D69">
            <w:pPr>
              <w:keepLines/>
              <w:spacing w:after="160"/>
            </w:pPr>
            <w:r w:rsidRPr="00D82C54">
              <w:t>1150.15(d); Submission of request for further review of dispute of user fee (</w:t>
            </w:r>
            <w:r w:rsidRPr="00D82C54" w:rsidR="11564722">
              <w:t>annually)</w:t>
            </w:r>
          </w:p>
        </w:tc>
        <w:tc>
          <w:tcPr>
            <w:tcW w:w="767" w:type="pct"/>
            <w:vAlign w:val="center"/>
          </w:tcPr>
          <w:p w:rsidR="00336BB0" w:rsidRPr="00D82C54" w:rsidP="001C50B5" w14:paraId="4751EBD2" w14:textId="286CD514">
            <w:pPr>
              <w:keepLines/>
              <w:spacing w:after="160"/>
              <w:jc w:val="center"/>
            </w:pPr>
            <w:r w:rsidRPr="00D82C54">
              <w:t>1</w:t>
            </w:r>
          </w:p>
        </w:tc>
        <w:tc>
          <w:tcPr>
            <w:tcW w:w="810" w:type="pct"/>
            <w:vAlign w:val="center"/>
          </w:tcPr>
          <w:p w:rsidR="00336BB0" w:rsidRPr="00D82C54" w:rsidP="001C50B5" w14:paraId="2CD0B70D" w14:textId="77777777">
            <w:pPr>
              <w:keepLines/>
              <w:spacing w:after="160"/>
              <w:jc w:val="center"/>
            </w:pPr>
            <w:r w:rsidRPr="00D82C54">
              <w:t>1</w:t>
            </w:r>
          </w:p>
        </w:tc>
        <w:tc>
          <w:tcPr>
            <w:tcW w:w="631" w:type="pct"/>
            <w:vAlign w:val="center"/>
          </w:tcPr>
          <w:p w:rsidR="00336BB0" w:rsidRPr="00D82C54" w:rsidP="001C50B5" w14:paraId="5E0B3414" w14:textId="1901F751">
            <w:pPr>
              <w:keepLines/>
              <w:spacing w:after="160"/>
              <w:jc w:val="center"/>
            </w:pPr>
            <w:r w:rsidRPr="00D82C54">
              <w:t>1</w:t>
            </w:r>
          </w:p>
        </w:tc>
        <w:tc>
          <w:tcPr>
            <w:tcW w:w="586" w:type="pct"/>
            <w:vAlign w:val="center"/>
          </w:tcPr>
          <w:p w:rsidR="00336BB0" w:rsidRPr="00D82C54" w:rsidP="001C50B5" w14:paraId="6ED9D29B" w14:textId="7F7F5667">
            <w:pPr>
              <w:keepLines/>
              <w:spacing w:after="160"/>
              <w:jc w:val="center"/>
            </w:pPr>
            <w:r w:rsidRPr="00D82C54">
              <w:t>5</w:t>
            </w:r>
          </w:p>
        </w:tc>
        <w:tc>
          <w:tcPr>
            <w:tcW w:w="585" w:type="pct"/>
            <w:vAlign w:val="center"/>
          </w:tcPr>
          <w:p w:rsidR="00336BB0" w:rsidRPr="00D82C54" w:rsidP="001C50B5" w14:paraId="3571815D" w14:textId="3830FA79">
            <w:pPr>
              <w:keepLines/>
              <w:spacing w:after="160"/>
              <w:jc w:val="center"/>
            </w:pPr>
            <w:r w:rsidRPr="00D82C54">
              <w:t>5</w:t>
            </w:r>
          </w:p>
        </w:tc>
      </w:tr>
      <w:tr w14:paraId="751B2D6D" w14:textId="77777777" w:rsidTr="00D82C54">
        <w:tblPrEx>
          <w:tblW w:w="5336" w:type="pct"/>
          <w:tblLayout w:type="fixed"/>
          <w:tblLook w:val="01E0"/>
        </w:tblPrEx>
        <w:trPr>
          <w:cantSplit/>
          <w:trHeight w:val="80"/>
        </w:trPr>
        <w:tc>
          <w:tcPr>
            <w:tcW w:w="1621" w:type="pct"/>
            <w:tcBorders>
              <w:top w:val="single" w:sz="4" w:space="0" w:color="auto"/>
              <w:left w:val="single" w:sz="4" w:space="0" w:color="auto"/>
              <w:bottom w:val="single" w:sz="4" w:space="0" w:color="auto"/>
              <w:right w:val="single" w:sz="4" w:space="0" w:color="auto"/>
            </w:tcBorders>
          </w:tcPr>
          <w:p w:rsidR="0048471B" w:rsidRPr="00D82C54" w14:paraId="4325856B" w14:textId="07A27CCB">
            <w:r w:rsidRPr="00D82C54">
              <w:t>Total</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7181895A" w:rsidRPr="00D82C54" w:rsidP="7181895A" w14:paraId="212DA153" w14:textId="2B65A3F9"/>
        </w:tc>
        <w:tc>
          <w:tcPr>
            <w:tcW w:w="810" w:type="pct"/>
            <w:tcBorders>
              <w:top w:val="single" w:sz="4" w:space="0" w:color="auto"/>
              <w:left w:val="single" w:sz="4" w:space="0" w:color="auto"/>
              <w:bottom w:val="single" w:sz="4" w:space="0" w:color="auto"/>
              <w:right w:val="single" w:sz="4" w:space="0" w:color="auto"/>
            </w:tcBorders>
            <w:shd w:val="clear" w:color="auto" w:fill="auto"/>
          </w:tcPr>
          <w:p w:rsidR="7181895A" w:rsidRPr="00D82C54" w:rsidP="7181895A" w14:paraId="28AA9124" w14:textId="3B559104"/>
        </w:tc>
        <w:tc>
          <w:tcPr>
            <w:tcW w:w="631" w:type="pct"/>
            <w:tcBorders>
              <w:top w:val="single" w:sz="4" w:space="0" w:color="auto"/>
              <w:left w:val="single" w:sz="4" w:space="0" w:color="auto"/>
              <w:bottom w:val="single" w:sz="4" w:space="0" w:color="auto"/>
              <w:right w:val="single" w:sz="4" w:space="0" w:color="auto"/>
            </w:tcBorders>
            <w:shd w:val="clear" w:color="auto" w:fill="auto"/>
          </w:tcPr>
          <w:p w:rsidR="7181895A" w:rsidRPr="00D82C54" w:rsidP="00D82C54" w14:paraId="75CC8014" w14:textId="1B49068B">
            <w:pPr>
              <w:jc w:val="center"/>
            </w:pPr>
            <w:r w:rsidRPr="00D82C54">
              <w:t>21,559</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7181895A" w:rsidRPr="00D82C54" w:rsidP="7181895A" w14:paraId="4F637450" w14:textId="1907DA1A"/>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336BB0" w:rsidRPr="00D82C54" w:rsidP="633C5BBA" w14:paraId="50A56B88" w14:textId="6EB800E3">
            <w:pPr>
              <w:keepLines/>
              <w:spacing w:after="160" w:line="259" w:lineRule="auto"/>
              <w:jc w:val="center"/>
            </w:pPr>
            <w:r w:rsidRPr="00D82C54">
              <w:t>41,561</w:t>
            </w:r>
          </w:p>
        </w:tc>
      </w:tr>
    </w:tbl>
    <w:p w:rsidR="20420FE3" w:rsidP="0A9A12E8" w14:paraId="20636876" w14:textId="5E2C0FD0">
      <w:pPr>
        <w:rPr>
          <w:sz w:val="24"/>
          <w:szCs w:val="24"/>
        </w:rPr>
      </w:pPr>
      <w:r w:rsidRPr="0A9A12E8">
        <w:rPr>
          <w:color w:val="000000" w:themeColor="text1"/>
          <w:vertAlign w:val="superscript"/>
        </w:rPr>
        <w:t>1</w:t>
      </w:r>
      <w:r w:rsidRPr="0A9A12E8">
        <w:rPr>
          <w:color w:val="000000" w:themeColor="text1"/>
        </w:rPr>
        <w:t xml:space="preserve"> There are no capital costs or operating and maintenance costs associated with this collection of information.</w:t>
      </w:r>
    </w:p>
    <w:p w:rsidR="0A9A12E8" w:rsidP="0A9A12E8" w14:paraId="24318F9C" w14:textId="6A353AF9">
      <w:pPr>
        <w:rPr>
          <w:sz w:val="24"/>
          <w:szCs w:val="24"/>
        </w:rPr>
      </w:pPr>
    </w:p>
    <w:p w:rsidR="5E186134" w:rsidP="2E15CD71" w14:paraId="7DF606A5" w14:textId="5AB1664A">
      <w:pPr>
        <w:rPr>
          <w:sz w:val="24"/>
          <w:szCs w:val="24"/>
        </w:rPr>
      </w:pPr>
      <w:r w:rsidRPr="563854A4">
        <w:rPr>
          <w:sz w:val="24"/>
          <w:szCs w:val="24"/>
        </w:rPr>
        <w:t>FDA estimates that entities will submit tobacco product user fee reports for approximate</w:t>
      </w:r>
      <w:r w:rsidRPr="563854A4" w:rsidR="035DA228">
        <w:rPr>
          <w:sz w:val="24"/>
          <w:szCs w:val="24"/>
        </w:rPr>
        <w:t>ly</w:t>
      </w:r>
      <w:r w:rsidRPr="563854A4">
        <w:rPr>
          <w:sz w:val="24"/>
          <w:szCs w:val="24"/>
        </w:rPr>
        <w:t xml:space="preserve"> 820 TTB permits </w:t>
      </w:r>
      <w:r w:rsidRPr="563854A4">
        <w:rPr>
          <w:sz w:val="24"/>
          <w:szCs w:val="24"/>
        </w:rPr>
        <w:t>in a given</w:t>
      </w:r>
      <w:r w:rsidRPr="563854A4">
        <w:rPr>
          <w:sz w:val="24"/>
          <w:szCs w:val="24"/>
        </w:rPr>
        <w:t xml:space="preserve"> month. </w:t>
      </w:r>
      <w:r w:rsidRPr="563854A4" w:rsidR="345685A9">
        <w:rPr>
          <w:sz w:val="24"/>
          <w:szCs w:val="24"/>
        </w:rPr>
        <w:t xml:space="preserve">FDA considered the number of active TTB permits (based on TTB data) in FY23 for domestic manufacturer and </w:t>
      </w:r>
      <w:r w:rsidRPr="563854A4" w:rsidR="0F79EC55">
        <w:rPr>
          <w:sz w:val="24"/>
          <w:szCs w:val="24"/>
        </w:rPr>
        <w:t>importers of tobacco products subject to tobacco user fees</w:t>
      </w:r>
      <w:r w:rsidRPr="563854A4" w:rsidR="60CD6CB9">
        <w:rPr>
          <w:sz w:val="24"/>
          <w:szCs w:val="24"/>
        </w:rPr>
        <w:t xml:space="preserve"> to estimate the responses for §1150.5. </w:t>
      </w:r>
      <w:r w:rsidRPr="563854A4" w:rsidR="2588016A">
        <w:rPr>
          <w:sz w:val="24"/>
          <w:szCs w:val="24"/>
        </w:rPr>
        <w:t xml:space="preserve">FDA estimates it will take 3 hours for each of these submission types for a total of 29,520 hours annually. </w:t>
      </w:r>
      <w:r w:rsidRPr="563854A4" w:rsidR="60CD6CB9">
        <w:rPr>
          <w:sz w:val="24"/>
          <w:szCs w:val="24"/>
        </w:rPr>
        <w:t xml:space="preserve">This is an increase of 120 respondents </w:t>
      </w:r>
      <w:r w:rsidRPr="563854A4" w:rsidR="4092217B">
        <w:rPr>
          <w:sz w:val="24"/>
          <w:szCs w:val="24"/>
        </w:rPr>
        <w:t xml:space="preserve">and 4,320 hours annually. Under § 1150.5(b)(3), these respondents are also expected to provide monthly certified copies of the returns and forms that relate to the removal of tobacco products into domestic commerce and the payment of Federal excise taxes imposed under chapter 52 of the Internal Revenue Code of 1986 to FDA.  We estimate that each monthly report will take 1 hour for a total of </w:t>
      </w:r>
      <w:r w:rsidRPr="563854A4" w:rsidR="52273C35">
        <w:rPr>
          <w:sz w:val="24"/>
          <w:szCs w:val="24"/>
        </w:rPr>
        <w:t>9,840</w:t>
      </w:r>
      <w:r w:rsidRPr="563854A4" w:rsidR="4092217B">
        <w:rPr>
          <w:sz w:val="24"/>
          <w:szCs w:val="24"/>
        </w:rPr>
        <w:t xml:space="preserve"> hours annually</w:t>
      </w:r>
      <w:r w:rsidRPr="563854A4" w:rsidR="56AF2341">
        <w:rPr>
          <w:sz w:val="24"/>
          <w:szCs w:val="24"/>
        </w:rPr>
        <w:t>, which is an increase of 1,440 hours.</w:t>
      </w:r>
    </w:p>
    <w:p w:rsidR="633C5BBA" w:rsidP="633C5BBA" w14:paraId="7A1E9EE5" w14:textId="444AA2B4">
      <w:pPr>
        <w:rPr>
          <w:sz w:val="24"/>
          <w:szCs w:val="24"/>
        </w:rPr>
      </w:pPr>
    </w:p>
    <w:p w:rsidR="518DE45A" w:rsidP="563854A4" w14:paraId="01D3BDD3" w14:textId="301E5D9A">
      <w:pPr>
        <w:spacing w:line="259" w:lineRule="auto"/>
        <w:rPr>
          <w:sz w:val="24"/>
          <w:szCs w:val="24"/>
        </w:rPr>
      </w:pPr>
      <w:r w:rsidRPr="0A9A12E8">
        <w:rPr>
          <w:sz w:val="24"/>
          <w:szCs w:val="24"/>
        </w:rPr>
        <w:t xml:space="preserve">FDA expects </w:t>
      </w:r>
      <w:r w:rsidRPr="0A9A12E8" w:rsidR="02A80B6F">
        <w:rPr>
          <w:sz w:val="24"/>
          <w:szCs w:val="24"/>
        </w:rPr>
        <w:t>50</w:t>
      </w:r>
      <w:r w:rsidRPr="0A9A12E8">
        <w:rPr>
          <w:sz w:val="24"/>
          <w:szCs w:val="24"/>
        </w:rPr>
        <w:t xml:space="preserve"> respondents to submit v</w:t>
      </w:r>
      <w:r w:rsidRPr="0A9A12E8" w:rsidR="3C4EF6F2">
        <w:rPr>
          <w:sz w:val="24"/>
          <w:szCs w:val="24"/>
        </w:rPr>
        <w:t>oluntary premium cigar data monthly</w:t>
      </w:r>
      <w:r w:rsidRPr="0A9A12E8" w:rsidR="1D770F01">
        <w:rPr>
          <w:sz w:val="24"/>
          <w:szCs w:val="24"/>
        </w:rPr>
        <w:t>,</w:t>
      </w:r>
      <w:r w:rsidRPr="0A9A12E8" w:rsidR="3C4EF6F2">
        <w:rPr>
          <w:sz w:val="24"/>
          <w:szCs w:val="24"/>
        </w:rPr>
        <w:t xml:space="preserve"> </w:t>
      </w:r>
      <w:r w:rsidRPr="0A9A12E8" w:rsidR="23436B11">
        <w:rPr>
          <w:sz w:val="24"/>
          <w:szCs w:val="24"/>
        </w:rPr>
        <w:t xml:space="preserve">which </w:t>
      </w:r>
      <w:r w:rsidRPr="0A9A12E8" w:rsidR="51313B94">
        <w:rPr>
          <w:sz w:val="24"/>
          <w:szCs w:val="24"/>
        </w:rPr>
        <w:t>take</w:t>
      </w:r>
      <w:r w:rsidRPr="0A9A12E8" w:rsidR="129A752F">
        <w:rPr>
          <w:sz w:val="24"/>
          <w:szCs w:val="24"/>
        </w:rPr>
        <w:t>s</w:t>
      </w:r>
      <w:r w:rsidRPr="0A9A12E8" w:rsidR="51313B94">
        <w:rPr>
          <w:sz w:val="24"/>
          <w:szCs w:val="24"/>
        </w:rPr>
        <w:t xml:space="preserve"> an average of 1.5 hours per response</w:t>
      </w:r>
      <w:r w:rsidRPr="0A9A12E8" w:rsidR="3108E955">
        <w:rPr>
          <w:sz w:val="24"/>
          <w:szCs w:val="24"/>
        </w:rPr>
        <w:t>,</w:t>
      </w:r>
      <w:r w:rsidRPr="0A9A12E8" w:rsidR="51313B94">
        <w:rPr>
          <w:sz w:val="24"/>
          <w:szCs w:val="24"/>
        </w:rPr>
        <w:t xml:space="preserve"> </w:t>
      </w:r>
      <w:r w:rsidRPr="0A9A12E8" w:rsidR="0311F792">
        <w:rPr>
          <w:sz w:val="24"/>
          <w:szCs w:val="24"/>
        </w:rPr>
        <w:t>12 times per year</w:t>
      </w:r>
      <w:r w:rsidRPr="0A9A12E8" w:rsidR="3EB3B650">
        <w:rPr>
          <w:sz w:val="24"/>
          <w:szCs w:val="24"/>
        </w:rPr>
        <w:t>,</w:t>
      </w:r>
      <w:r w:rsidRPr="0A9A12E8" w:rsidR="51313B94">
        <w:rPr>
          <w:sz w:val="24"/>
          <w:szCs w:val="24"/>
        </w:rPr>
        <w:t xml:space="preserve"> </w:t>
      </w:r>
      <w:r w:rsidRPr="0A9A12E8" w:rsidR="407F7E20">
        <w:rPr>
          <w:sz w:val="24"/>
          <w:szCs w:val="24"/>
        </w:rPr>
        <w:t>totaling</w:t>
      </w:r>
      <w:r w:rsidRPr="0A9A12E8" w:rsidR="51313B94">
        <w:rPr>
          <w:sz w:val="24"/>
          <w:szCs w:val="24"/>
        </w:rPr>
        <w:t xml:space="preserve"> 900 hours.</w:t>
      </w:r>
      <w:r w:rsidRPr="0A9A12E8" w:rsidR="2C24C241">
        <w:rPr>
          <w:sz w:val="24"/>
          <w:szCs w:val="24"/>
        </w:rPr>
        <w:t xml:space="preserve"> This</w:t>
      </w:r>
      <w:r w:rsidRPr="0A9A12E8" w:rsidR="3C4EF6F2">
        <w:rPr>
          <w:sz w:val="24"/>
          <w:szCs w:val="24"/>
        </w:rPr>
        <w:t xml:space="preserve"> reflect</w:t>
      </w:r>
      <w:r w:rsidRPr="0A9A12E8" w:rsidR="78668CDF">
        <w:rPr>
          <w:sz w:val="24"/>
          <w:szCs w:val="24"/>
        </w:rPr>
        <w:t>s</w:t>
      </w:r>
      <w:r w:rsidRPr="0A9A12E8" w:rsidR="3C4EF6F2">
        <w:rPr>
          <w:sz w:val="24"/>
          <w:szCs w:val="24"/>
        </w:rPr>
        <w:t xml:space="preserve"> a reduction in 50 respondents from 100 to 50 and a reduction in average burden per response from 2.5 </w:t>
      </w:r>
      <w:r w:rsidRPr="0A9A12E8" w:rsidR="57CB8886">
        <w:rPr>
          <w:sz w:val="24"/>
          <w:szCs w:val="24"/>
        </w:rPr>
        <w:t>hours</w:t>
      </w:r>
      <w:r w:rsidRPr="0A9A12E8" w:rsidR="3C4EF6F2">
        <w:rPr>
          <w:sz w:val="24"/>
          <w:szCs w:val="24"/>
        </w:rPr>
        <w:t xml:space="preserve"> to 1.5 hours.  FDA updated this data based on reasonable estimates of the burden of voluntary submissions in FY24.  There may be some fluctuations in this number.</w:t>
      </w:r>
    </w:p>
    <w:p w:rsidR="00B9599A" w:rsidP="563854A4" w14:paraId="39759A3A" w14:textId="661A9312">
      <w:pPr>
        <w:keepLines/>
        <w:spacing w:before="160" w:after="160"/>
        <w:rPr>
          <w:sz w:val="24"/>
          <w:szCs w:val="24"/>
        </w:rPr>
      </w:pPr>
      <w:r w:rsidRPr="563854A4">
        <w:rPr>
          <w:sz w:val="24"/>
          <w:szCs w:val="24"/>
        </w:rPr>
        <w:t xml:space="preserve">The estimate of 319 respondents submitting payment of user fee information under §1150.13 reflects </w:t>
      </w:r>
      <w:r w:rsidRPr="563854A4" w:rsidR="114182F9">
        <w:rPr>
          <w:sz w:val="24"/>
          <w:szCs w:val="24"/>
        </w:rPr>
        <w:t>a decrease of 57 respondents. FDA considered the number of user fee assessments issued to domestic manufacturers and importers of tobacco products subject to tobacco user fees on average each quarter for FY23. Note, entities may have more than one TTB permit, however, tobacco user fee assessments are aggregated based on EIN and not TTB permit number. Therefore, we expect the number of respondents to be lower for § 1150.13.</w:t>
      </w:r>
    </w:p>
    <w:p w:rsidR="6C1C8614" w14:paraId="2017C297" w14:textId="4093089E">
      <w:pPr>
        <w:keepLines/>
        <w:spacing w:before="160" w:after="160"/>
        <w:rPr>
          <w:sz w:val="24"/>
          <w:szCs w:val="24"/>
        </w:rPr>
      </w:pPr>
      <w:r w:rsidRPr="563854A4">
        <w:rPr>
          <w:sz w:val="24"/>
          <w:szCs w:val="24"/>
        </w:rPr>
        <w:t xml:space="preserve">FDA estimates that two of the respondents assessed user fees will dispute the amounts under § 1150.15(a), for a total of 20 hours. </w:t>
      </w:r>
      <w:r w:rsidRPr="563854A4" w:rsidR="5F418631">
        <w:rPr>
          <w:sz w:val="24"/>
          <w:szCs w:val="24"/>
        </w:rPr>
        <w:t>FDA also estimates that one respondent who disputes their user fees will ask for further review by FDA under §1150.15(d), for a total a</w:t>
      </w:r>
      <w:r w:rsidRPr="563854A4" w:rsidR="00D70497">
        <w:rPr>
          <w:sz w:val="24"/>
          <w:szCs w:val="24"/>
        </w:rPr>
        <w:t>m</w:t>
      </w:r>
      <w:r w:rsidRPr="563854A4" w:rsidR="5F418631">
        <w:rPr>
          <w:sz w:val="24"/>
          <w:szCs w:val="24"/>
        </w:rPr>
        <w:t xml:space="preserve">ount of 5 hours. </w:t>
      </w:r>
      <w:r w:rsidRPr="563854A4" w:rsidR="383756A2">
        <w:rPr>
          <w:sz w:val="24"/>
          <w:szCs w:val="24"/>
        </w:rPr>
        <w:t>FDA considered the historical submission of tobacco user fee disputes and requests for additional Agency review.</w:t>
      </w:r>
    </w:p>
    <w:p w:rsidR="2E15CD71" w:rsidP="563854A4" w14:paraId="0A9379BC" w14:textId="40541B5A">
      <w:pPr>
        <w:keepLines/>
        <w:rPr>
          <w:sz w:val="24"/>
          <w:szCs w:val="24"/>
        </w:rPr>
      </w:pPr>
      <w:r w:rsidRPr="563854A4">
        <w:rPr>
          <w:sz w:val="24"/>
          <w:szCs w:val="24"/>
        </w:rPr>
        <w:t xml:space="preserve">As previously stated, FDA is working to develop a reporting mechanism that will allow for FDA to identify non-premium cigars which may include an update to Form FDA 3852. In the meantime, domestic manufacturers and importers of cigars may voluntarily report data for “premium cigars”. </w:t>
      </w:r>
    </w:p>
    <w:p w:rsidR="2E15CD71" w:rsidP="563854A4" w14:paraId="2855AC4E" w14:textId="6B06D65C">
      <w:pPr>
        <w:keepLines/>
        <w:rPr>
          <w:sz w:val="24"/>
          <w:szCs w:val="24"/>
        </w:rPr>
      </w:pPr>
      <w:r w:rsidRPr="563854A4">
        <w:rPr>
          <w:sz w:val="24"/>
          <w:szCs w:val="24"/>
        </w:rPr>
        <w:t xml:space="preserve"> </w:t>
      </w:r>
    </w:p>
    <w:p w:rsidR="2E15CD71" w:rsidP="563854A4" w14:paraId="18D8688D" w14:textId="0CCB41BE">
      <w:pPr>
        <w:keepLines/>
        <w:rPr>
          <w:sz w:val="24"/>
          <w:szCs w:val="24"/>
        </w:rPr>
      </w:pPr>
      <w:r w:rsidRPr="0A9A12E8">
        <w:rPr>
          <w:sz w:val="24"/>
          <w:szCs w:val="24"/>
        </w:rPr>
        <w:t>As part of the current monthly report, the regulations require submitting “[t]he units of product, by class, removed and not tax exempt for the prior month and the Federal excise tax it paid, by class, for such removal.” FDA uses this and other information to calculate tobacco product user fee assessments. Beginning with August 2023 removals (reports that were due September 20, 2023), FDA would explain that a domestic manufacturer or importer of cigars, in addition to the currently required information—may also submit the three data elements below for products that are “premium cigars” as defined in the court order:</w:t>
      </w:r>
    </w:p>
    <w:p w:rsidR="2E15CD71" w:rsidP="563854A4" w14:paraId="271C1724" w14:textId="6A282265">
      <w:pPr>
        <w:pStyle w:val="ListParagraph"/>
        <w:keepLines/>
        <w:numPr>
          <w:ilvl w:val="0"/>
          <w:numId w:val="2"/>
        </w:numPr>
        <w:rPr>
          <w:sz w:val="24"/>
          <w:szCs w:val="24"/>
        </w:rPr>
      </w:pPr>
      <w:r w:rsidRPr="563854A4">
        <w:rPr>
          <w:sz w:val="24"/>
          <w:szCs w:val="24"/>
        </w:rPr>
        <w:t>The number of units removed and not tax exempt (block 10A for manufacturers and 10C for importers)</w:t>
      </w:r>
    </w:p>
    <w:p w:rsidR="2E15CD71" w:rsidP="563854A4" w14:paraId="5C83C2FB" w14:textId="51AC05AF">
      <w:pPr>
        <w:pStyle w:val="ListParagraph"/>
        <w:keepLines/>
        <w:numPr>
          <w:ilvl w:val="0"/>
          <w:numId w:val="2"/>
        </w:numPr>
        <w:rPr>
          <w:sz w:val="24"/>
          <w:szCs w:val="24"/>
        </w:rPr>
      </w:pPr>
      <w:r w:rsidRPr="563854A4">
        <w:rPr>
          <w:sz w:val="24"/>
          <w:szCs w:val="24"/>
        </w:rPr>
        <w:t>The Federal excise tax paid for those removals (block 10B for manufacturers and 10D for importers)</w:t>
      </w:r>
    </w:p>
    <w:p w:rsidR="2E15CD71" w:rsidP="563854A4" w14:paraId="5C262523" w14:textId="3DD38086">
      <w:pPr>
        <w:pStyle w:val="ListParagraph"/>
        <w:keepLines/>
        <w:numPr>
          <w:ilvl w:val="0"/>
          <w:numId w:val="2"/>
        </w:numPr>
        <w:rPr>
          <w:sz w:val="24"/>
          <w:szCs w:val="24"/>
        </w:rPr>
      </w:pPr>
      <w:r w:rsidRPr="0A9A12E8">
        <w:rPr>
          <w:sz w:val="24"/>
          <w:szCs w:val="24"/>
        </w:rPr>
        <w:t>The supporting documentation identifying the removals and associated Federal excise taxes (attached to FDA 3852)</w:t>
      </w:r>
    </w:p>
    <w:p w:rsidR="0A9A12E8" w:rsidP="0A9A12E8" w14:paraId="3DD90557" w14:textId="39A7E0FD">
      <w:pPr>
        <w:pStyle w:val="ListParagraph"/>
        <w:keepLines/>
        <w:rPr>
          <w:sz w:val="24"/>
          <w:szCs w:val="24"/>
        </w:rPr>
      </w:pPr>
    </w:p>
    <w:p w:rsidR="2E15CD71" w:rsidP="563854A4" w14:paraId="7ABD92ED" w14:textId="4D9D75D9">
      <w:pPr>
        <w:keepLines/>
        <w:rPr>
          <w:sz w:val="24"/>
          <w:szCs w:val="24"/>
        </w:rPr>
      </w:pPr>
      <w:r w:rsidRPr="563854A4">
        <w:rPr>
          <w:sz w:val="24"/>
          <w:szCs w:val="24"/>
        </w:rPr>
        <w:t>FDA suggests domestic manufacturers and importers of cigars use the existing FDA 3852 form, page 2, row 10 to report any additional information; they may enter both the non-premium and premium cigar volume and taxes in cells 10A through 10D as appropriate. Responders may use the current methods of submission for the monthly reports:</w:t>
      </w:r>
    </w:p>
    <w:p w:rsidR="2E15CD71" w:rsidP="563854A4" w14:paraId="2E0B637E" w14:textId="7964AD99">
      <w:pPr>
        <w:pStyle w:val="ListParagraph"/>
        <w:keepLines/>
        <w:numPr>
          <w:ilvl w:val="0"/>
          <w:numId w:val="1"/>
        </w:numPr>
        <w:rPr>
          <w:sz w:val="24"/>
          <w:szCs w:val="24"/>
        </w:rPr>
      </w:pPr>
      <w:r w:rsidRPr="563854A4">
        <w:rPr>
          <w:sz w:val="24"/>
          <w:szCs w:val="24"/>
        </w:rPr>
        <w:t xml:space="preserve">Email: </w:t>
      </w:r>
      <w:hyperlink r:id="rId9" w:history="1">
        <w:r w:rsidRPr="563854A4">
          <w:rPr>
            <w:rStyle w:val="Hyperlink"/>
            <w:sz w:val="24"/>
            <w:szCs w:val="24"/>
          </w:rPr>
          <w:t>TobaccoUserFees@fda.hhs.gov</w:t>
        </w:r>
      </w:hyperlink>
      <w:r w:rsidRPr="563854A4">
        <w:rPr>
          <w:sz w:val="24"/>
          <w:szCs w:val="24"/>
        </w:rPr>
        <w:t xml:space="preserve"> (preferred method)</w:t>
      </w:r>
    </w:p>
    <w:p w:rsidR="2E15CD71" w:rsidP="563854A4" w14:paraId="7A730F23" w14:textId="7AF08194">
      <w:pPr>
        <w:pStyle w:val="ListParagraph"/>
        <w:keepLines/>
        <w:numPr>
          <w:ilvl w:val="0"/>
          <w:numId w:val="1"/>
        </w:numPr>
        <w:rPr>
          <w:sz w:val="24"/>
          <w:szCs w:val="24"/>
        </w:rPr>
      </w:pPr>
      <w:r w:rsidRPr="563854A4">
        <w:rPr>
          <w:sz w:val="24"/>
          <w:szCs w:val="24"/>
        </w:rPr>
        <w:t>Fax: 301-595-1429 or 301-595-1430</w:t>
      </w:r>
    </w:p>
    <w:p w:rsidR="2E15CD71" w:rsidP="0A9A12E8" w14:paraId="441ACD0F" w14:textId="5C61CEB0">
      <w:pPr>
        <w:pStyle w:val="ListParagraph"/>
        <w:keepNext/>
        <w:keepLines/>
        <w:numPr>
          <w:ilvl w:val="0"/>
          <w:numId w:val="1"/>
        </w:numPr>
        <w:rPr>
          <w:sz w:val="24"/>
          <w:szCs w:val="24"/>
        </w:rPr>
      </w:pPr>
      <w:r w:rsidRPr="0A9A12E8">
        <w:rPr>
          <w:sz w:val="24"/>
          <w:szCs w:val="24"/>
        </w:rPr>
        <w:t>Mail:</w:t>
      </w:r>
      <w:r w:rsidR="279B3C4C">
        <w:tab/>
      </w:r>
      <w:r w:rsidRPr="0A9A12E8">
        <w:rPr>
          <w:sz w:val="24"/>
          <w:szCs w:val="24"/>
        </w:rPr>
        <w:t>Food and Drug Administration</w:t>
      </w:r>
    </w:p>
    <w:p w:rsidR="2E15CD71" w:rsidP="0A9A12E8" w14:paraId="54178B3C" w14:textId="7832A332">
      <w:pPr>
        <w:keepNext/>
        <w:keepLines/>
        <w:ind w:left="1440"/>
        <w:rPr>
          <w:sz w:val="24"/>
          <w:szCs w:val="24"/>
        </w:rPr>
      </w:pPr>
      <w:r w:rsidRPr="0A9A12E8">
        <w:rPr>
          <w:sz w:val="24"/>
          <w:szCs w:val="24"/>
        </w:rPr>
        <w:t>Center for Tobacco Products</w:t>
      </w:r>
    </w:p>
    <w:p w:rsidR="2E15CD71" w:rsidP="0A9A12E8" w14:paraId="094565D6" w14:textId="7CF1FC84">
      <w:pPr>
        <w:keepNext/>
        <w:keepLines/>
        <w:ind w:left="1440"/>
        <w:rPr>
          <w:sz w:val="24"/>
          <w:szCs w:val="24"/>
        </w:rPr>
      </w:pPr>
      <w:r w:rsidRPr="0A9A12E8">
        <w:rPr>
          <w:sz w:val="24"/>
          <w:szCs w:val="24"/>
        </w:rPr>
        <w:t>Document Control Center</w:t>
      </w:r>
    </w:p>
    <w:p w:rsidR="2E15CD71" w:rsidP="0A9A12E8" w14:paraId="358FBC11" w14:textId="619B21F3">
      <w:pPr>
        <w:keepNext/>
        <w:keepLines/>
        <w:ind w:left="1440"/>
        <w:rPr>
          <w:sz w:val="24"/>
          <w:szCs w:val="24"/>
        </w:rPr>
      </w:pPr>
      <w:r w:rsidRPr="0A9A12E8">
        <w:rPr>
          <w:sz w:val="24"/>
          <w:szCs w:val="24"/>
        </w:rPr>
        <w:t>Attn: OM, Division of Financial Management, User Fee Team</w:t>
      </w:r>
    </w:p>
    <w:p w:rsidR="00471052" w:rsidP="00D82C54" w14:paraId="65DA839B" w14:textId="0D97DFE1">
      <w:pPr>
        <w:keepNext/>
        <w:keepLines/>
        <w:spacing w:before="160" w:after="160"/>
        <w:ind w:left="1440"/>
        <w:rPr>
          <w:sz w:val="24"/>
          <w:szCs w:val="24"/>
        </w:rPr>
      </w:pPr>
      <w:r w:rsidRPr="0A9A12E8">
        <w:rPr>
          <w:sz w:val="24"/>
          <w:szCs w:val="24"/>
        </w:rPr>
        <w:t>Building 71, Room G335</w:t>
      </w:r>
      <w:r w:rsidR="5476ED15">
        <w:br/>
      </w:r>
      <w:r w:rsidRPr="0A9A12E8">
        <w:rPr>
          <w:sz w:val="24"/>
          <w:szCs w:val="24"/>
        </w:rPr>
        <w:t>10903 New Hampshire Avenue</w:t>
      </w:r>
      <w:r w:rsidR="5476ED15">
        <w:br/>
      </w:r>
      <w:r w:rsidRPr="0A9A12E8" w:rsidR="5AB87A9A">
        <w:rPr>
          <w:sz w:val="24"/>
          <w:szCs w:val="24"/>
        </w:rPr>
        <w:t>Silver Spring, MD 20993-0002</w:t>
      </w:r>
    </w:p>
    <w:p w:rsidR="000E1F25" w:rsidRPr="00AC3FCB" w:rsidP="1D1B3329" w14:paraId="06349A79" w14:textId="788BECF6">
      <w:pPr>
        <w:keepLines/>
        <w:spacing w:after="160"/>
        <w:rPr>
          <w:b/>
          <w:bCs/>
          <w:sz w:val="24"/>
          <w:szCs w:val="24"/>
          <w:u w:val="single"/>
        </w:rPr>
      </w:pPr>
      <w:r w:rsidRPr="1D1B3329">
        <w:rPr>
          <w:b/>
          <w:bCs/>
          <w:sz w:val="24"/>
          <w:szCs w:val="24"/>
        </w:rPr>
        <w:t xml:space="preserve">12b. </w:t>
      </w:r>
      <w:r w:rsidRPr="1D1B3329">
        <w:rPr>
          <w:b/>
          <w:bCs/>
          <w:sz w:val="24"/>
          <w:szCs w:val="24"/>
          <w:u w:val="single"/>
        </w:rPr>
        <w:t>Annualized Cost Burden Estimate</w:t>
      </w:r>
    </w:p>
    <w:p w:rsidR="009F3679" w:rsidP="0A9A12E8" w14:paraId="436C1CFF" w14:textId="1F1B69C1">
      <w:pPr>
        <w:pStyle w:val="HTMLPreformatted"/>
        <w:keepLines/>
        <w:tabs>
          <w:tab w:val="clear" w:pos="916"/>
        </w:tabs>
        <w:spacing w:after="160"/>
        <w:ind w:left="360"/>
        <w:jc w:val="center"/>
        <w:rPr>
          <w:rFonts w:ascii="Times New Roman" w:hAnsi="Times New Roman" w:cs="Times New Roman"/>
          <w:sz w:val="24"/>
          <w:szCs w:val="24"/>
        </w:rPr>
      </w:pPr>
      <w:r w:rsidRPr="0A9A12E8">
        <w:rPr>
          <w:rFonts w:ascii="Times New Roman" w:hAnsi="Times New Roman" w:cs="Times New Roman"/>
          <w:sz w:val="24"/>
          <w:szCs w:val="24"/>
        </w:rPr>
        <w:t>Table 2. Estimated Annual Cost Burden</w:t>
      </w:r>
      <w:r w:rsidRPr="0A9A12E8" w:rsidR="453E543A">
        <w:rPr>
          <w:rFonts w:ascii="Times New Roman" w:hAnsi="Times New Roman" w:cs="Times New Roman"/>
          <w:sz w:val="24"/>
          <w:szCs w:val="24"/>
          <w:vertAlign w:val="superscript"/>
        </w:rPr>
        <w:t>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1620"/>
        <w:gridCol w:w="1620"/>
        <w:gridCol w:w="2070"/>
      </w:tblGrid>
      <w:tr w14:paraId="0C2B5BBF" w14:textId="77777777" w:rsidTr="0A9A12E8">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27" w:type="dxa"/>
            <w:shd w:val="clear" w:color="auto" w:fill="auto"/>
            <w:vAlign w:val="center"/>
          </w:tcPr>
          <w:p w:rsidR="00271D89" w:rsidRPr="00271D89" w:rsidP="001C50B5" w14:paraId="3ABA2077" w14:textId="77777777">
            <w:pPr>
              <w:keepLines/>
              <w:spacing w:after="160"/>
              <w:jc w:val="center"/>
              <w:rPr>
                <w:sz w:val="24"/>
                <w:szCs w:val="24"/>
              </w:rPr>
            </w:pPr>
            <w:r w:rsidRPr="00271D89">
              <w:rPr>
                <w:sz w:val="24"/>
                <w:szCs w:val="24"/>
              </w:rPr>
              <w:t>Type of Respondent</w:t>
            </w:r>
          </w:p>
        </w:tc>
        <w:tc>
          <w:tcPr>
            <w:tcW w:w="1620" w:type="dxa"/>
            <w:shd w:val="clear" w:color="auto" w:fill="auto"/>
            <w:vAlign w:val="center"/>
          </w:tcPr>
          <w:p w:rsidR="00271D89" w:rsidRPr="00271D89" w:rsidP="001C50B5" w14:paraId="117C3932" w14:textId="77777777">
            <w:pPr>
              <w:keepLines/>
              <w:spacing w:after="160"/>
              <w:jc w:val="center"/>
              <w:rPr>
                <w:sz w:val="24"/>
                <w:szCs w:val="24"/>
              </w:rPr>
            </w:pPr>
            <w:r w:rsidRPr="00271D89">
              <w:rPr>
                <w:sz w:val="24"/>
                <w:szCs w:val="24"/>
              </w:rPr>
              <w:t>Total Burden Hours</w:t>
            </w:r>
          </w:p>
        </w:tc>
        <w:tc>
          <w:tcPr>
            <w:tcW w:w="1620" w:type="dxa"/>
            <w:shd w:val="clear" w:color="auto" w:fill="auto"/>
            <w:vAlign w:val="center"/>
          </w:tcPr>
          <w:p w:rsidR="00271D89" w:rsidRPr="00271D89" w:rsidP="001C50B5" w14:paraId="65AADCF9" w14:textId="77777777">
            <w:pPr>
              <w:keepLines/>
              <w:spacing w:after="160"/>
              <w:jc w:val="center"/>
              <w:rPr>
                <w:sz w:val="24"/>
                <w:szCs w:val="24"/>
              </w:rPr>
            </w:pPr>
            <w:r w:rsidRPr="00271D89">
              <w:rPr>
                <w:sz w:val="24"/>
                <w:szCs w:val="24"/>
              </w:rPr>
              <w:t>Hourly Wage Rate</w:t>
            </w:r>
          </w:p>
        </w:tc>
        <w:tc>
          <w:tcPr>
            <w:tcW w:w="2070" w:type="dxa"/>
            <w:shd w:val="clear" w:color="auto" w:fill="auto"/>
            <w:vAlign w:val="center"/>
          </w:tcPr>
          <w:p w:rsidR="00271D89" w:rsidRPr="00271D89" w:rsidP="001C50B5" w14:paraId="66EC23EE" w14:textId="77777777">
            <w:pPr>
              <w:keepLines/>
              <w:spacing w:after="160"/>
              <w:jc w:val="center"/>
              <w:rPr>
                <w:sz w:val="24"/>
                <w:szCs w:val="24"/>
              </w:rPr>
            </w:pPr>
            <w:r w:rsidRPr="00271D89">
              <w:rPr>
                <w:sz w:val="24"/>
                <w:szCs w:val="24"/>
              </w:rPr>
              <w:t>Total Respondent Costs</w:t>
            </w:r>
          </w:p>
        </w:tc>
      </w:tr>
      <w:tr w14:paraId="0DC86590" w14:textId="77777777" w:rsidTr="0A9A12E8">
        <w:tblPrEx>
          <w:tblW w:w="0" w:type="auto"/>
          <w:tblInd w:w="288" w:type="dxa"/>
          <w:tblLook w:val="01E0"/>
        </w:tblPrEx>
        <w:tc>
          <w:tcPr>
            <w:tcW w:w="3127" w:type="dxa"/>
            <w:shd w:val="clear" w:color="auto" w:fill="auto"/>
            <w:vAlign w:val="center"/>
          </w:tcPr>
          <w:p w:rsidR="00271D89" w:rsidRPr="00271D89" w:rsidP="001C50B5" w14:paraId="766B72A5" w14:textId="77777777">
            <w:pPr>
              <w:keepLines/>
              <w:spacing w:after="160"/>
              <w:rPr>
                <w:sz w:val="24"/>
                <w:szCs w:val="24"/>
              </w:rPr>
            </w:pPr>
            <w:r w:rsidRPr="1D1B3329">
              <w:rPr>
                <w:sz w:val="24"/>
                <w:szCs w:val="24"/>
              </w:rPr>
              <w:t>Tobacco product manufacturers and importers</w:t>
            </w:r>
          </w:p>
        </w:tc>
        <w:tc>
          <w:tcPr>
            <w:tcW w:w="1620" w:type="dxa"/>
            <w:shd w:val="clear" w:color="auto" w:fill="auto"/>
            <w:vAlign w:val="center"/>
          </w:tcPr>
          <w:p w:rsidR="00271D89" w:rsidRPr="00271D89" w:rsidP="2AB88A8A" w14:paraId="131A0FFE" w14:textId="59B527A6">
            <w:pPr>
              <w:keepLines/>
              <w:spacing w:after="160" w:line="259" w:lineRule="auto"/>
              <w:jc w:val="center"/>
              <w:rPr>
                <w:sz w:val="24"/>
                <w:szCs w:val="24"/>
              </w:rPr>
            </w:pPr>
            <w:r w:rsidRPr="0A9A12E8">
              <w:rPr>
                <w:sz w:val="24"/>
                <w:szCs w:val="24"/>
              </w:rPr>
              <w:t>41,561</w:t>
            </w:r>
          </w:p>
        </w:tc>
        <w:tc>
          <w:tcPr>
            <w:tcW w:w="1620" w:type="dxa"/>
            <w:shd w:val="clear" w:color="auto" w:fill="auto"/>
            <w:vAlign w:val="center"/>
          </w:tcPr>
          <w:p w:rsidR="00271D89" w:rsidRPr="00271D89" w:rsidP="001C50B5" w14:paraId="69E4340D" w14:textId="3877FB10">
            <w:pPr>
              <w:keepLines/>
              <w:spacing w:after="160"/>
              <w:jc w:val="center"/>
              <w:rPr>
                <w:sz w:val="24"/>
                <w:szCs w:val="24"/>
              </w:rPr>
            </w:pPr>
            <w:r w:rsidRPr="1D1B3329">
              <w:rPr>
                <w:sz w:val="24"/>
                <w:szCs w:val="24"/>
              </w:rPr>
              <w:t>$</w:t>
            </w:r>
            <w:r w:rsidRPr="1D1B3329" w:rsidR="0CE3C294">
              <w:rPr>
                <w:sz w:val="24"/>
                <w:szCs w:val="24"/>
              </w:rPr>
              <w:t xml:space="preserve">153.96 </w:t>
            </w:r>
          </w:p>
        </w:tc>
        <w:tc>
          <w:tcPr>
            <w:tcW w:w="2070" w:type="dxa"/>
            <w:shd w:val="clear" w:color="auto" w:fill="auto"/>
            <w:vAlign w:val="center"/>
          </w:tcPr>
          <w:p w:rsidR="00271D89" w:rsidRPr="00271D89" w:rsidP="2AB88A8A" w14:paraId="72ADBA13" w14:textId="3A460EAE">
            <w:pPr>
              <w:keepLines/>
              <w:spacing w:after="160" w:line="259" w:lineRule="auto"/>
              <w:jc w:val="center"/>
              <w:rPr>
                <w:sz w:val="24"/>
                <w:szCs w:val="24"/>
              </w:rPr>
            </w:pPr>
            <w:bookmarkStart w:id="4" w:name="_Hlk955205"/>
            <w:r w:rsidRPr="0A9A12E8">
              <w:rPr>
                <w:sz w:val="24"/>
                <w:szCs w:val="24"/>
              </w:rPr>
              <w:t>$</w:t>
            </w:r>
            <w:bookmarkEnd w:id="4"/>
            <w:r w:rsidRPr="0A9A12E8" w:rsidR="6F583377">
              <w:rPr>
                <w:sz w:val="24"/>
                <w:szCs w:val="24"/>
              </w:rPr>
              <w:t>6,</w:t>
            </w:r>
            <w:r w:rsidRPr="0A9A12E8" w:rsidR="1236D2D3">
              <w:rPr>
                <w:sz w:val="24"/>
                <w:szCs w:val="24"/>
              </w:rPr>
              <w:t>398,731.5</w:t>
            </w:r>
            <w:r w:rsidRPr="0A9A12E8" w:rsidR="6F583377">
              <w:rPr>
                <w:sz w:val="24"/>
                <w:szCs w:val="24"/>
              </w:rPr>
              <w:t xml:space="preserve">6 </w:t>
            </w:r>
          </w:p>
        </w:tc>
      </w:tr>
    </w:tbl>
    <w:p w:rsidR="706ADB5E" w:rsidP="0A9A12E8" w14:paraId="71E87051" w14:textId="0FE91A51">
      <w:pPr>
        <w:ind w:firstLine="720"/>
        <w:rPr>
          <w:sz w:val="24"/>
          <w:szCs w:val="24"/>
        </w:rPr>
      </w:pPr>
      <w:r w:rsidRPr="0A9A12E8">
        <w:rPr>
          <w:color w:val="000000" w:themeColor="text1"/>
          <w:vertAlign w:val="superscript"/>
        </w:rPr>
        <w:t>1</w:t>
      </w:r>
      <w:r w:rsidRPr="0A9A12E8">
        <w:rPr>
          <w:color w:val="000000" w:themeColor="text1"/>
        </w:rPr>
        <w:t xml:space="preserve"> There are no capital costs or operating and maintenance costs associated with this collection of </w:t>
      </w:r>
      <w:r>
        <w:tab/>
      </w:r>
      <w:r>
        <w:tab/>
      </w:r>
      <w:r w:rsidRPr="0A9A12E8">
        <w:rPr>
          <w:color w:val="000000" w:themeColor="text1"/>
        </w:rPr>
        <w:t>information.</w:t>
      </w:r>
    </w:p>
    <w:p w:rsidR="003166F2" w:rsidP="563854A4" w14:paraId="5BED0620" w14:textId="4F0B3CD0">
      <w:pPr>
        <w:keepLines/>
        <w:tabs>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60" w:after="160" w:line="259" w:lineRule="auto"/>
        <w:rPr>
          <w:sz w:val="24"/>
          <w:szCs w:val="24"/>
        </w:rPr>
      </w:pPr>
      <w:r w:rsidRPr="0A9A12E8">
        <w:rPr>
          <w:sz w:val="24"/>
          <w:szCs w:val="24"/>
        </w:rPr>
        <w:t>FDA assumes that a submission will likely involve the work of tobacco manufacturing management occupations and legal occupations. Referencing 2023 Bureau of Labor Statistics national industry-specific occupational employment and mean wage estimates for the tobacco manufacturing industry, FDA has estimated that the wage is $153.96 per hour. This wage represents a mix of 50 percent management (11-0000, $73.88/hour) and 50 percent legal occupations (23-0000, $80.08/hour) and is doubled to account for benefits and overhead. FDA estimates the reporting cost to respondents is $6,</w:t>
      </w:r>
      <w:r w:rsidRPr="0A9A12E8" w:rsidR="15FCA3E3">
        <w:rPr>
          <w:sz w:val="24"/>
          <w:szCs w:val="24"/>
        </w:rPr>
        <w:t>398,731.56</w:t>
      </w:r>
      <w:r w:rsidRPr="0A9A12E8">
        <w:rPr>
          <w:sz w:val="24"/>
          <w:szCs w:val="24"/>
        </w:rPr>
        <w:t>. This figure was derived by multiplying the total reporting burden hours from Table 1 (4</w:t>
      </w:r>
      <w:r w:rsidRPr="0A9A12E8" w:rsidR="13579B08">
        <w:rPr>
          <w:sz w:val="24"/>
          <w:szCs w:val="24"/>
        </w:rPr>
        <w:t>1,561</w:t>
      </w:r>
      <w:r w:rsidRPr="0A9A12E8">
        <w:rPr>
          <w:sz w:val="24"/>
          <w:szCs w:val="24"/>
        </w:rPr>
        <w:t>) by an hourly rate of $153.96.</w:t>
      </w:r>
    </w:p>
    <w:p w:rsidR="000E1F25" w:rsidP="001C50B5" w14:paraId="2F10D809" w14:textId="77777777">
      <w:pPr>
        <w:keepLines/>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b/>
          <w:bCs/>
          <w:sz w:val="24"/>
          <w:szCs w:val="24"/>
          <w:u w:val="single"/>
        </w:rPr>
      </w:pPr>
      <w:r w:rsidRPr="009B7168">
        <w:rPr>
          <w:b/>
          <w:bCs/>
          <w:sz w:val="24"/>
          <w:szCs w:val="24"/>
          <w:u w:val="single"/>
        </w:rPr>
        <w:t>13. Estimates of Other Total Annual Cost Burden to Respondents and Record Keepers</w:t>
      </w:r>
    </w:p>
    <w:p w:rsidR="000E1F25" w:rsidP="001C50B5" w14:paraId="15B9ABA4" w14:textId="77777777">
      <w:pPr>
        <w:keepLines/>
        <w:spacing w:after="160"/>
        <w:rPr>
          <w:bCs/>
          <w:sz w:val="24"/>
          <w:szCs w:val="24"/>
        </w:rPr>
      </w:pPr>
      <w:r w:rsidRPr="00297AF1">
        <w:rPr>
          <w:bCs/>
          <w:sz w:val="24"/>
          <w:szCs w:val="24"/>
        </w:rPr>
        <w:t xml:space="preserve">There </w:t>
      </w:r>
      <w:r w:rsidRPr="00297AF1" w:rsidR="00080231">
        <w:rPr>
          <w:bCs/>
          <w:sz w:val="24"/>
          <w:szCs w:val="24"/>
        </w:rPr>
        <w:t>is no capital</w:t>
      </w:r>
      <w:r w:rsidRPr="00297AF1">
        <w:rPr>
          <w:bCs/>
          <w:sz w:val="24"/>
          <w:szCs w:val="24"/>
        </w:rPr>
        <w:t>, operating, or maintenance cost associated with this information collection.</w:t>
      </w:r>
    </w:p>
    <w:p w:rsidR="000E1F25" w:rsidP="001C50B5" w14:paraId="38D9255C" w14:textId="77777777">
      <w:pPr>
        <w:keepLines/>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b/>
          <w:bCs/>
          <w:sz w:val="24"/>
          <w:szCs w:val="24"/>
          <w:u w:val="single"/>
        </w:rPr>
      </w:pPr>
      <w:r w:rsidRPr="009B7168">
        <w:rPr>
          <w:b/>
          <w:sz w:val="24"/>
          <w:szCs w:val="24"/>
          <w:u w:val="single"/>
        </w:rPr>
        <w:t xml:space="preserve">14. Annualized </w:t>
      </w:r>
      <w:r w:rsidRPr="009B7168">
        <w:rPr>
          <w:b/>
          <w:bCs/>
          <w:sz w:val="24"/>
          <w:szCs w:val="24"/>
          <w:u w:val="single"/>
        </w:rPr>
        <w:t>Cost to Federal Government</w:t>
      </w:r>
    </w:p>
    <w:p w:rsidR="00B330D7" w:rsidP="4E1CF620" w14:paraId="3263FCFE" w14:textId="5386A45C">
      <w:pPr>
        <w:keepLines/>
        <w:spacing w:after="160"/>
        <w:rPr>
          <w:sz w:val="24"/>
          <w:szCs w:val="24"/>
        </w:rPr>
      </w:pPr>
      <w:r w:rsidRPr="1D1B3329">
        <w:rPr>
          <w:sz w:val="24"/>
          <w:szCs w:val="24"/>
        </w:rPr>
        <w:t>Our estimated cost to the Federal government reflects the allocation of 2</w:t>
      </w:r>
      <w:r w:rsidRPr="1D1B3329" w:rsidR="54B040A3">
        <w:rPr>
          <w:sz w:val="24"/>
          <w:szCs w:val="24"/>
        </w:rPr>
        <w:t xml:space="preserve"> full-time equivalent employees who</w:t>
      </w:r>
      <w:r w:rsidRPr="1D1B3329">
        <w:rPr>
          <w:sz w:val="24"/>
          <w:szCs w:val="24"/>
        </w:rPr>
        <w:t xml:space="preserve"> collect, process, and file responses </w:t>
      </w:r>
      <w:r w:rsidRPr="1D1B3329" w:rsidR="39C3B85E">
        <w:rPr>
          <w:sz w:val="24"/>
          <w:szCs w:val="24"/>
        </w:rPr>
        <w:t>related to the payment, submission, or dispute of user fees</w:t>
      </w:r>
      <w:r w:rsidRPr="1D1B3329">
        <w:rPr>
          <w:sz w:val="24"/>
          <w:szCs w:val="24"/>
        </w:rPr>
        <w:t>.</w:t>
      </w:r>
      <w:r w:rsidRPr="1D1B3329" w:rsidR="434BFBE6">
        <w:rPr>
          <w:sz w:val="24"/>
          <w:szCs w:val="24"/>
        </w:rPr>
        <w:t xml:space="preserve"> </w:t>
      </w:r>
      <w:r w:rsidRPr="1D1B3329" w:rsidR="091F2E75">
        <w:rPr>
          <w:sz w:val="24"/>
          <w:szCs w:val="24"/>
        </w:rPr>
        <w:t xml:space="preserve"> Using 2025 Grade 13 Step 4 salary and wage data for the Washington DC-Metropolitan area found at </w:t>
      </w:r>
      <w:hyperlink r:id="rId10" w:history="1">
        <w:r w:rsidRPr="1D1B3329" w:rsidR="091F2E75">
          <w:rPr>
            <w:rStyle w:val="Hyperlink"/>
            <w:sz w:val="24"/>
            <w:szCs w:val="24"/>
          </w:rPr>
          <w:t>https://www.opm.gov/policy-data-oversight/pay-leave/salaries-wages/salary-tables/25Tables/html/DCB.aspx</w:t>
        </w:r>
      </w:hyperlink>
      <w:r w:rsidRPr="1D1B3329" w:rsidR="091F2E75">
        <w:rPr>
          <w:sz w:val="24"/>
          <w:szCs w:val="24"/>
        </w:rPr>
        <w:t xml:space="preserve"> and doubling </w:t>
      </w:r>
      <w:r w:rsidRPr="1D1B3329" w:rsidR="0BF5D8C5">
        <w:rPr>
          <w:sz w:val="24"/>
          <w:szCs w:val="24"/>
        </w:rPr>
        <w:t xml:space="preserve">to account </w:t>
      </w:r>
      <w:r w:rsidRPr="1D1B3329" w:rsidR="091F2E75">
        <w:rPr>
          <w:sz w:val="24"/>
          <w:szCs w:val="24"/>
        </w:rPr>
        <w:t>for benefits and overhead, we calculate a total cost of $530,552 ($132,638 x 2 x 2)</w:t>
      </w:r>
      <w:r w:rsidRPr="1D1B3329">
        <w:rPr>
          <w:sz w:val="24"/>
          <w:szCs w:val="24"/>
        </w:rPr>
        <w:t>.</w:t>
      </w:r>
    </w:p>
    <w:p w:rsidR="00750239" w:rsidP="0A9A12E8" w14:paraId="7593ABBF" w14:textId="77777777">
      <w:pPr>
        <w:keepNext/>
        <w:keepLines/>
        <w:tabs>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b/>
          <w:bCs/>
          <w:sz w:val="24"/>
          <w:szCs w:val="24"/>
          <w:u w:val="single"/>
        </w:rPr>
      </w:pPr>
      <w:r w:rsidRPr="0A9A12E8">
        <w:rPr>
          <w:b/>
          <w:bCs/>
          <w:sz w:val="24"/>
          <w:szCs w:val="24"/>
          <w:u w:val="single"/>
        </w:rPr>
        <w:t>15. Explanation for Program Changes or Adjustments</w:t>
      </w:r>
    </w:p>
    <w:p w:rsidR="008F7E7C" w:rsidRPr="008F7E7C" w:rsidP="0A9A12E8" w14:paraId="13BA27E7" w14:textId="500AD0DA">
      <w:pPr>
        <w:keepNext/>
        <w:keepLines/>
        <w:spacing w:after="160" w:line="259" w:lineRule="auto"/>
        <w:rPr>
          <w:sz w:val="24"/>
          <w:szCs w:val="24"/>
        </w:rPr>
      </w:pPr>
      <w:r w:rsidRPr="0A9A12E8">
        <w:rPr>
          <w:sz w:val="24"/>
          <w:szCs w:val="24"/>
        </w:rPr>
        <w:t xml:space="preserve">FDA estimates the total annual burden for this collection of information is </w:t>
      </w:r>
      <w:r w:rsidRPr="0A9A12E8" w:rsidR="4B88F3DD">
        <w:rPr>
          <w:sz w:val="24"/>
          <w:szCs w:val="24"/>
        </w:rPr>
        <w:t>41,561</w:t>
      </w:r>
      <w:r w:rsidRPr="0A9A12E8">
        <w:rPr>
          <w:sz w:val="24"/>
          <w:szCs w:val="24"/>
        </w:rPr>
        <w:t xml:space="preserve"> hours.</w:t>
      </w:r>
      <w:r w:rsidRPr="0A9A12E8" w:rsidR="638A6161">
        <w:rPr>
          <w:sz w:val="24"/>
          <w:szCs w:val="24"/>
        </w:rPr>
        <w:t xml:space="preserve"> </w:t>
      </w:r>
      <w:r w:rsidRPr="0A9A12E8">
        <w:rPr>
          <w:sz w:val="24"/>
          <w:szCs w:val="24"/>
        </w:rPr>
        <w:t xml:space="preserve">The estimated burden for the information collection reflects an overall </w:t>
      </w:r>
      <w:r w:rsidRPr="0A9A12E8" w:rsidR="1C478F53">
        <w:rPr>
          <w:sz w:val="24"/>
          <w:szCs w:val="24"/>
        </w:rPr>
        <w:t>increase</w:t>
      </w:r>
      <w:r w:rsidRPr="0A9A12E8">
        <w:rPr>
          <w:sz w:val="24"/>
          <w:szCs w:val="24"/>
        </w:rPr>
        <w:t xml:space="preserve"> of </w:t>
      </w:r>
      <w:r w:rsidRPr="0A9A12E8" w:rsidR="04E8A41F">
        <w:rPr>
          <w:sz w:val="24"/>
          <w:szCs w:val="24"/>
        </w:rPr>
        <w:t>3,377</w:t>
      </w:r>
      <w:r w:rsidRPr="0A9A12E8">
        <w:rPr>
          <w:sz w:val="24"/>
          <w:szCs w:val="24"/>
        </w:rPr>
        <w:t xml:space="preserve"> hours.</w:t>
      </w:r>
      <w:r w:rsidRPr="0A9A12E8" w:rsidR="638A6161">
        <w:rPr>
          <w:sz w:val="24"/>
          <w:szCs w:val="24"/>
        </w:rPr>
        <w:t xml:space="preserve"> </w:t>
      </w:r>
      <w:r w:rsidRPr="0A9A12E8">
        <w:rPr>
          <w:sz w:val="24"/>
          <w:szCs w:val="24"/>
        </w:rPr>
        <w:t>We attribute this adjustment to a</w:t>
      </w:r>
      <w:r w:rsidRPr="0A9A12E8" w:rsidR="14057496">
        <w:rPr>
          <w:sz w:val="24"/>
          <w:szCs w:val="24"/>
        </w:rPr>
        <w:t xml:space="preserve">n </w:t>
      </w:r>
      <w:r w:rsidRPr="0A9A12E8" w:rsidR="7D58B200">
        <w:rPr>
          <w:sz w:val="24"/>
          <w:szCs w:val="24"/>
        </w:rPr>
        <w:t>increase</w:t>
      </w:r>
      <w:r w:rsidRPr="0A9A12E8">
        <w:rPr>
          <w:sz w:val="24"/>
          <w:szCs w:val="24"/>
        </w:rPr>
        <w:t xml:space="preserve"> in the number of entities submitting tobacco user fee information to FDA.</w:t>
      </w:r>
    </w:p>
    <w:p w:rsidR="00123234" w:rsidRPr="009F3679" w:rsidP="001C50B5" w14:paraId="2CD879CA" w14:textId="77777777">
      <w:pPr>
        <w:keepLines/>
        <w:spacing w:after="160"/>
        <w:rPr>
          <w:bCs/>
          <w:sz w:val="24"/>
          <w:szCs w:val="24"/>
        </w:rPr>
      </w:pPr>
      <w:r w:rsidRPr="009B7168">
        <w:rPr>
          <w:b/>
          <w:bCs/>
          <w:sz w:val="24"/>
          <w:szCs w:val="24"/>
          <w:u w:val="single"/>
        </w:rPr>
        <w:t xml:space="preserve">16. Plans for Tabulation and Publication and Project Time Schedule </w:t>
      </w:r>
    </w:p>
    <w:p w:rsidR="000E1F25" w:rsidP="001C50B5" w14:paraId="2AE2ABB4" w14:textId="645C7009">
      <w:pPr>
        <w:keepLines/>
        <w:spacing w:after="160"/>
        <w:rPr>
          <w:sz w:val="24"/>
          <w:szCs w:val="24"/>
        </w:rPr>
      </w:pPr>
      <w:r w:rsidRPr="00986836">
        <w:rPr>
          <w:sz w:val="24"/>
          <w:szCs w:val="24"/>
        </w:rPr>
        <w:t xml:space="preserve">The Agency </w:t>
      </w:r>
      <w:r w:rsidR="00750D81">
        <w:rPr>
          <w:sz w:val="24"/>
          <w:szCs w:val="24"/>
        </w:rPr>
        <w:t>has no plans for the tabulation and publication of this collection of information.</w:t>
      </w:r>
    </w:p>
    <w:p w:rsidR="000E1F25" w:rsidP="001C50B5" w14:paraId="7AF134C9" w14:textId="4C10D574">
      <w:pPr>
        <w:keepLines/>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b/>
          <w:bCs/>
          <w:sz w:val="24"/>
          <w:szCs w:val="24"/>
          <w:u w:val="single"/>
        </w:rPr>
      </w:pPr>
      <w:r w:rsidRPr="009B7168">
        <w:rPr>
          <w:b/>
          <w:bCs/>
          <w:sz w:val="24"/>
          <w:szCs w:val="24"/>
          <w:u w:val="single"/>
        </w:rPr>
        <w:t xml:space="preserve">17. Reason(s) Display of OMB Expiration Date </w:t>
      </w:r>
      <w:r w:rsidRPr="009B7168" w:rsidR="0077327F">
        <w:rPr>
          <w:b/>
          <w:bCs/>
          <w:sz w:val="24"/>
          <w:szCs w:val="24"/>
          <w:u w:val="single"/>
        </w:rPr>
        <w:t>I</w:t>
      </w:r>
      <w:r w:rsidRPr="009B7168">
        <w:rPr>
          <w:b/>
          <w:bCs/>
          <w:sz w:val="24"/>
          <w:szCs w:val="24"/>
          <w:u w:val="single"/>
        </w:rPr>
        <w:t>s</w:t>
      </w:r>
      <w:r w:rsidRPr="00EB46B5">
        <w:rPr>
          <w:bCs/>
          <w:sz w:val="24"/>
          <w:szCs w:val="24"/>
          <w:u w:val="single"/>
        </w:rPr>
        <w:t xml:space="preserve"> </w:t>
      </w:r>
      <w:r w:rsidRPr="00A01C8D">
        <w:rPr>
          <w:b/>
          <w:bCs/>
          <w:sz w:val="24"/>
          <w:szCs w:val="24"/>
          <w:u w:val="single"/>
        </w:rPr>
        <w:t xml:space="preserve">Inappropriate </w:t>
      </w:r>
    </w:p>
    <w:p w:rsidR="000E1F25" w:rsidP="001C50B5" w14:paraId="4395FC1E" w14:textId="77777777">
      <w:pPr>
        <w:keepLines/>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00BE686C">
        <w:rPr>
          <w:sz w:val="24"/>
          <w:szCs w:val="24"/>
        </w:rPr>
        <w:t>The OMB approval and expiration date will be displayed on all materials associated with th</w:t>
      </w:r>
      <w:r w:rsidR="00750D81">
        <w:rPr>
          <w:sz w:val="24"/>
          <w:szCs w:val="24"/>
        </w:rPr>
        <w:t>is collection of information</w:t>
      </w:r>
      <w:r w:rsidRPr="00BE686C">
        <w:rPr>
          <w:sz w:val="24"/>
          <w:szCs w:val="24"/>
        </w:rPr>
        <w:t>.</w:t>
      </w:r>
    </w:p>
    <w:p w:rsidR="000E1F25" w:rsidRPr="009B7168" w:rsidP="001C50B5" w14:paraId="525523D7" w14:textId="77777777">
      <w:pPr>
        <w:keepLines/>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b/>
          <w:sz w:val="24"/>
          <w:szCs w:val="24"/>
          <w:u w:val="single"/>
        </w:rPr>
      </w:pPr>
      <w:r w:rsidRPr="009B7168">
        <w:rPr>
          <w:b/>
          <w:bCs/>
          <w:sz w:val="24"/>
          <w:szCs w:val="24"/>
          <w:u w:val="single"/>
        </w:rPr>
        <w:t>18. Exceptions to Certification for Paperwork Reduction Act Submissions</w:t>
      </w:r>
    </w:p>
    <w:p w:rsidR="000E1F25" w:rsidRPr="00986836" w:rsidP="563854A4" w14:paraId="274CDE13" w14:textId="2A456A59">
      <w:pPr>
        <w:keepLines/>
        <w:tabs>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sz w:val="24"/>
          <w:szCs w:val="24"/>
        </w:rPr>
      </w:pPr>
      <w:r w:rsidRPr="0A9A12E8">
        <w:rPr>
          <w:sz w:val="24"/>
          <w:szCs w:val="24"/>
        </w:rPr>
        <w:t>No exceptions are requested.</w:t>
      </w:r>
    </w:p>
    <w:sectPr w:rsidSect="005E1779">
      <w:headerReference w:type="default" r:id="rId11"/>
      <w:footerReference w:type="even" r:id="rId12"/>
      <w:footerReference w:type="default" r:id="rId13"/>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640" w:rsidP="00912100" w14:paraId="6085B8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D7640" w:rsidP="00912100" w14:paraId="0516BE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640" w:rsidP="00912100" w14:paraId="43CB088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BCC">
      <w:rPr>
        <w:rStyle w:val="PageNumber"/>
        <w:noProof/>
      </w:rPr>
      <w:t>17</w:t>
    </w:r>
    <w:r>
      <w:rPr>
        <w:rStyle w:val="PageNumber"/>
      </w:rPr>
      <w:fldChar w:fldCharType="end"/>
    </w:r>
  </w:p>
  <w:p w:rsidR="004D7640" w:rsidP="00912100" w14:paraId="5F13C33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1625" w14:paraId="41C67B39" w14:textId="77777777">
      <w:r>
        <w:separator/>
      </w:r>
    </w:p>
  </w:footnote>
  <w:footnote w:type="continuationSeparator" w:id="1">
    <w:p w:rsidR="00C81625" w14:paraId="10CF3A42" w14:textId="77777777">
      <w:r>
        <w:continuationSeparator/>
      </w:r>
    </w:p>
  </w:footnote>
  <w:footnote w:type="continuationNotice" w:id="2">
    <w:p w:rsidR="00C81625" w14:paraId="46967288" w14:textId="77777777"/>
  </w:footnote>
  <w:footnote w:id="3">
    <w:p w:rsidR="002131A0" w14:paraId="277404BD" w14:textId="77777777">
      <w:pPr>
        <w:pStyle w:val="FootnoteText"/>
      </w:pPr>
      <w:r>
        <w:rPr>
          <w:rStyle w:val="FootnoteReference"/>
        </w:rPr>
        <w:footnoteRef/>
      </w:r>
      <w:r>
        <w:t xml:space="preserve"> Removal is defined at 26 U.S.C. 5702 as “the removal of tobacco products or cigarette papers or tubes, or any processed tobacco, from the factory or from internal revenue bond under section 5704, as the Secretary [of Treasury] shall by regulation prescribe, or release from customs custody, and shall also include the smuggling or other unlawful importation of such articles into the United States.”</w:t>
      </w:r>
    </w:p>
  </w:footnote>
  <w:footnote w:id="4">
    <w:p w:rsidR="03495273" w:rsidRPr="00535B05" w:rsidP="00535B05" w14:paraId="59B2B421" w14:textId="66C4DB2D">
      <w:pPr>
        <w:pStyle w:val="FootnoteText"/>
      </w:pPr>
      <w:r w:rsidRPr="03495273">
        <w:rPr>
          <w:rStyle w:val="FootnoteReference"/>
        </w:rPr>
        <w:footnoteRef/>
      </w:r>
      <w:r w:rsidR="1D1B3329">
        <w:t xml:space="preserve"> This is based on counts of tobacco product manufacturer and importer EINs from 2023 TTB data and </w:t>
      </w:r>
      <w:r w:rsidRPr="00F23217" w:rsidR="1D1B3329">
        <w:t xml:space="preserve">Census Bureau 2021 Statistics of U.S. Business data (https://www.census.gov/data/tables/2021/econ/susb/2021-susb-annual.html) on establishments with 500 or fewer employees (the closest reported threshold to </w:t>
      </w:r>
      <w:r w:rsidR="1D1B3329">
        <w:t xml:space="preserve">the small tobacco product manufacturer </w:t>
      </w:r>
      <w:r w:rsidRPr="00F23217" w:rsidR="1D1B3329">
        <w:t>350 employee</w:t>
      </w:r>
      <w:r w:rsidR="1D1B3329">
        <w:t xml:space="preserve"> threshold</w:t>
      </w:r>
      <w:r w:rsidRPr="00F23217" w:rsidR="1D1B3329">
        <w:t>).</w:t>
      </w:r>
      <w:r w:rsidR="1D1B332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8495211" w14:textId="77777777" w:rsidTr="00535B05">
      <w:tblPrEx>
        <w:tblW w:w="0" w:type="auto"/>
        <w:tblLayout w:type="fixed"/>
        <w:tblLook w:val="06A0"/>
      </w:tblPrEx>
      <w:tc>
        <w:tcPr>
          <w:tcW w:w="3120" w:type="dxa"/>
        </w:tcPr>
        <w:p w:rsidR="03495273" w:rsidP="00535B05" w14:paraId="0CE693B7" w14:textId="7B92F85E">
          <w:pPr>
            <w:pStyle w:val="Header"/>
            <w:ind w:left="-115"/>
          </w:pPr>
        </w:p>
      </w:tc>
      <w:tc>
        <w:tcPr>
          <w:tcW w:w="3120" w:type="dxa"/>
        </w:tcPr>
        <w:p w:rsidR="03495273" w:rsidP="00535B05" w14:paraId="1DF0FFCA" w14:textId="0413AB36">
          <w:pPr>
            <w:pStyle w:val="Header"/>
            <w:jc w:val="center"/>
          </w:pPr>
        </w:p>
      </w:tc>
      <w:tc>
        <w:tcPr>
          <w:tcW w:w="3120" w:type="dxa"/>
        </w:tcPr>
        <w:p w:rsidR="03495273" w:rsidP="00535B05" w14:paraId="79CEB716" w14:textId="5AB480AB">
          <w:pPr>
            <w:pStyle w:val="Header"/>
            <w:ind w:right="-115"/>
            <w:jc w:val="right"/>
          </w:pPr>
        </w:p>
      </w:tc>
    </w:tr>
  </w:tbl>
  <w:p w:rsidR="03495273" w:rsidP="00535B05" w14:paraId="5EAF6C82" w14:textId="4FC10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B40B2"/>
    <w:multiLevelType w:val="hybridMultilevel"/>
    <w:tmpl w:val="D66EB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8941B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30C7468"/>
    <w:multiLevelType w:val="hybridMultilevel"/>
    <w:tmpl w:val="06626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D861FF"/>
    <w:multiLevelType w:val="hybridMultilevel"/>
    <w:tmpl w:val="4522A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036C39"/>
    <w:multiLevelType w:val="hybridMultilevel"/>
    <w:tmpl w:val="3EE678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BCF7A4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7592037"/>
    <w:multiLevelType w:val="hybridMultilevel"/>
    <w:tmpl w:val="0CEE7428"/>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8">
    <w:nsid w:val="6DA93905"/>
    <w:multiLevelType w:val="hybridMultilevel"/>
    <w:tmpl w:val="B4580B0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D02AD5"/>
    <w:multiLevelType w:val="hybridMultilevel"/>
    <w:tmpl w:val="DADCAB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39454534">
    <w:abstractNumId w:val="1"/>
  </w:num>
  <w:num w:numId="2" w16cid:durableId="549540655">
    <w:abstractNumId w:val="6"/>
  </w:num>
  <w:num w:numId="3" w16cid:durableId="166213322">
    <w:abstractNumId w:val="2"/>
  </w:num>
  <w:num w:numId="4" w16cid:durableId="162817167">
    <w:abstractNumId w:val="9"/>
  </w:num>
  <w:num w:numId="5" w16cid:durableId="481193261">
    <w:abstractNumId w:val="5"/>
  </w:num>
  <w:num w:numId="6" w16cid:durableId="1198738715">
    <w:abstractNumId w:val="8"/>
  </w:num>
  <w:num w:numId="7" w16cid:durableId="315575070">
    <w:abstractNumId w:val="0"/>
  </w:num>
  <w:num w:numId="8" w16cid:durableId="1584684355">
    <w:abstractNumId w:val="3"/>
  </w:num>
  <w:num w:numId="9" w16cid:durableId="430861880">
    <w:abstractNumId w:val="4"/>
  </w:num>
  <w:num w:numId="10" w16cid:durableId="306666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25"/>
    <w:rsid w:val="00000A72"/>
    <w:rsid w:val="000076D7"/>
    <w:rsid w:val="00011658"/>
    <w:rsid w:val="00011660"/>
    <w:rsid w:val="00014B41"/>
    <w:rsid w:val="00015F66"/>
    <w:rsid w:val="00016B39"/>
    <w:rsid w:val="00016F73"/>
    <w:rsid w:val="0001767E"/>
    <w:rsid w:val="000209E0"/>
    <w:rsid w:val="00021BEA"/>
    <w:rsid w:val="0003110D"/>
    <w:rsid w:val="00033079"/>
    <w:rsid w:val="0003751E"/>
    <w:rsid w:val="00041093"/>
    <w:rsid w:val="00044A68"/>
    <w:rsid w:val="0004514B"/>
    <w:rsid w:val="000508C3"/>
    <w:rsid w:val="00051590"/>
    <w:rsid w:val="00054019"/>
    <w:rsid w:val="0006443F"/>
    <w:rsid w:val="00070112"/>
    <w:rsid w:val="00071005"/>
    <w:rsid w:val="000718A7"/>
    <w:rsid w:val="0007345D"/>
    <w:rsid w:val="0007455D"/>
    <w:rsid w:val="00080231"/>
    <w:rsid w:val="000844E8"/>
    <w:rsid w:val="00085914"/>
    <w:rsid w:val="00085C1A"/>
    <w:rsid w:val="0008600C"/>
    <w:rsid w:val="0008659A"/>
    <w:rsid w:val="00094F14"/>
    <w:rsid w:val="00097114"/>
    <w:rsid w:val="000A28DC"/>
    <w:rsid w:val="000A2D8F"/>
    <w:rsid w:val="000A6B6C"/>
    <w:rsid w:val="000B16FB"/>
    <w:rsid w:val="000B374D"/>
    <w:rsid w:val="000B455A"/>
    <w:rsid w:val="000B5FE0"/>
    <w:rsid w:val="000B6C8E"/>
    <w:rsid w:val="000C2357"/>
    <w:rsid w:val="000C3A3F"/>
    <w:rsid w:val="000C70A4"/>
    <w:rsid w:val="000D623E"/>
    <w:rsid w:val="000D67E0"/>
    <w:rsid w:val="000E1F25"/>
    <w:rsid w:val="000E3B9B"/>
    <w:rsid w:val="000E791E"/>
    <w:rsid w:val="000F2C96"/>
    <w:rsid w:val="00100EF3"/>
    <w:rsid w:val="00101D3C"/>
    <w:rsid w:val="00107FF5"/>
    <w:rsid w:val="00110BCA"/>
    <w:rsid w:val="001122E8"/>
    <w:rsid w:val="00115A1E"/>
    <w:rsid w:val="00121DA1"/>
    <w:rsid w:val="00123234"/>
    <w:rsid w:val="001312EF"/>
    <w:rsid w:val="00132CBD"/>
    <w:rsid w:val="00140475"/>
    <w:rsid w:val="00142F91"/>
    <w:rsid w:val="0014331E"/>
    <w:rsid w:val="00145607"/>
    <w:rsid w:val="001475E9"/>
    <w:rsid w:val="001505FD"/>
    <w:rsid w:val="00156666"/>
    <w:rsid w:val="00163A31"/>
    <w:rsid w:val="00164C3A"/>
    <w:rsid w:val="00165929"/>
    <w:rsid w:val="00167712"/>
    <w:rsid w:val="001679E2"/>
    <w:rsid w:val="00172444"/>
    <w:rsid w:val="00174C12"/>
    <w:rsid w:val="001802A5"/>
    <w:rsid w:val="00182E52"/>
    <w:rsid w:val="0019080D"/>
    <w:rsid w:val="00191044"/>
    <w:rsid w:val="00193E20"/>
    <w:rsid w:val="001949B8"/>
    <w:rsid w:val="0019638A"/>
    <w:rsid w:val="001A0211"/>
    <w:rsid w:val="001A12B4"/>
    <w:rsid w:val="001A1EB0"/>
    <w:rsid w:val="001A432C"/>
    <w:rsid w:val="001B34F3"/>
    <w:rsid w:val="001B3D98"/>
    <w:rsid w:val="001B5BEE"/>
    <w:rsid w:val="001B769B"/>
    <w:rsid w:val="001C1004"/>
    <w:rsid w:val="001C46C1"/>
    <w:rsid w:val="001C50B5"/>
    <w:rsid w:val="001D001F"/>
    <w:rsid w:val="001D3753"/>
    <w:rsid w:val="001D50B1"/>
    <w:rsid w:val="001D795E"/>
    <w:rsid w:val="001E684A"/>
    <w:rsid w:val="001E6BE3"/>
    <w:rsid w:val="001E7F31"/>
    <w:rsid w:val="001F0849"/>
    <w:rsid w:val="001F1774"/>
    <w:rsid w:val="001F26A0"/>
    <w:rsid w:val="001F31FE"/>
    <w:rsid w:val="001F3500"/>
    <w:rsid w:val="001F4433"/>
    <w:rsid w:val="002009E7"/>
    <w:rsid w:val="00206D8E"/>
    <w:rsid w:val="0020729E"/>
    <w:rsid w:val="00210B9B"/>
    <w:rsid w:val="002131A0"/>
    <w:rsid w:val="00217338"/>
    <w:rsid w:val="00217458"/>
    <w:rsid w:val="002177C6"/>
    <w:rsid w:val="00222838"/>
    <w:rsid w:val="002235D3"/>
    <w:rsid w:val="002270A4"/>
    <w:rsid w:val="0023027E"/>
    <w:rsid w:val="00237732"/>
    <w:rsid w:val="002413CA"/>
    <w:rsid w:val="0025049F"/>
    <w:rsid w:val="002535B3"/>
    <w:rsid w:val="00254B31"/>
    <w:rsid w:val="002602C6"/>
    <w:rsid w:val="0026076E"/>
    <w:rsid w:val="00261803"/>
    <w:rsid w:val="002626DE"/>
    <w:rsid w:val="00263FE1"/>
    <w:rsid w:val="00265DAE"/>
    <w:rsid w:val="00271D89"/>
    <w:rsid w:val="00272DEA"/>
    <w:rsid w:val="00272F9C"/>
    <w:rsid w:val="0027408A"/>
    <w:rsid w:val="002765BE"/>
    <w:rsid w:val="00287847"/>
    <w:rsid w:val="00287B2B"/>
    <w:rsid w:val="002932A7"/>
    <w:rsid w:val="002979B0"/>
    <w:rsid w:val="00297AF1"/>
    <w:rsid w:val="002A09B7"/>
    <w:rsid w:val="002A35C4"/>
    <w:rsid w:val="002A3E0A"/>
    <w:rsid w:val="002B0550"/>
    <w:rsid w:val="002B574E"/>
    <w:rsid w:val="002D0BBE"/>
    <w:rsid w:val="002D0DCB"/>
    <w:rsid w:val="002D594A"/>
    <w:rsid w:val="002E1271"/>
    <w:rsid w:val="002E6A37"/>
    <w:rsid w:val="002F3774"/>
    <w:rsid w:val="002F5978"/>
    <w:rsid w:val="0030064F"/>
    <w:rsid w:val="00301B89"/>
    <w:rsid w:val="00305388"/>
    <w:rsid w:val="00313551"/>
    <w:rsid w:val="003143F6"/>
    <w:rsid w:val="0031456F"/>
    <w:rsid w:val="003166F2"/>
    <w:rsid w:val="0031727D"/>
    <w:rsid w:val="003209F1"/>
    <w:rsid w:val="003270FE"/>
    <w:rsid w:val="0032740F"/>
    <w:rsid w:val="00336BB0"/>
    <w:rsid w:val="00337E7E"/>
    <w:rsid w:val="003404DC"/>
    <w:rsid w:val="00343241"/>
    <w:rsid w:val="00346ACE"/>
    <w:rsid w:val="0036117C"/>
    <w:rsid w:val="00363040"/>
    <w:rsid w:val="00371EE2"/>
    <w:rsid w:val="00372D41"/>
    <w:rsid w:val="00373107"/>
    <w:rsid w:val="00374F25"/>
    <w:rsid w:val="00377244"/>
    <w:rsid w:val="00381116"/>
    <w:rsid w:val="00381F45"/>
    <w:rsid w:val="00382400"/>
    <w:rsid w:val="00385A44"/>
    <w:rsid w:val="00385A92"/>
    <w:rsid w:val="00387073"/>
    <w:rsid w:val="00392991"/>
    <w:rsid w:val="00393D8B"/>
    <w:rsid w:val="00395646"/>
    <w:rsid w:val="00395E28"/>
    <w:rsid w:val="003A04D5"/>
    <w:rsid w:val="003A0CBE"/>
    <w:rsid w:val="003B08F5"/>
    <w:rsid w:val="003B5032"/>
    <w:rsid w:val="003B6D32"/>
    <w:rsid w:val="003C230B"/>
    <w:rsid w:val="003C2BFD"/>
    <w:rsid w:val="003C7143"/>
    <w:rsid w:val="003D552F"/>
    <w:rsid w:val="003E2C2D"/>
    <w:rsid w:val="003E6ABF"/>
    <w:rsid w:val="003F1508"/>
    <w:rsid w:val="003F177B"/>
    <w:rsid w:val="003F183F"/>
    <w:rsid w:val="003F686A"/>
    <w:rsid w:val="003F6DF3"/>
    <w:rsid w:val="00403BCF"/>
    <w:rsid w:val="00404243"/>
    <w:rsid w:val="0040449D"/>
    <w:rsid w:val="00405C9C"/>
    <w:rsid w:val="00405D4B"/>
    <w:rsid w:val="00405DC5"/>
    <w:rsid w:val="00407B3E"/>
    <w:rsid w:val="00410D9D"/>
    <w:rsid w:val="004175D6"/>
    <w:rsid w:val="00417601"/>
    <w:rsid w:val="0042360C"/>
    <w:rsid w:val="004247DE"/>
    <w:rsid w:val="00427E9A"/>
    <w:rsid w:val="00431ED2"/>
    <w:rsid w:val="004422F5"/>
    <w:rsid w:val="004465CF"/>
    <w:rsid w:val="00446E17"/>
    <w:rsid w:val="00447CF0"/>
    <w:rsid w:val="004513BA"/>
    <w:rsid w:val="00452F80"/>
    <w:rsid w:val="00453B5E"/>
    <w:rsid w:val="00454119"/>
    <w:rsid w:val="00454CC7"/>
    <w:rsid w:val="00454E74"/>
    <w:rsid w:val="00463F44"/>
    <w:rsid w:val="00465894"/>
    <w:rsid w:val="0046693B"/>
    <w:rsid w:val="00471052"/>
    <w:rsid w:val="00473312"/>
    <w:rsid w:val="0047702E"/>
    <w:rsid w:val="00477F72"/>
    <w:rsid w:val="0048060F"/>
    <w:rsid w:val="00481163"/>
    <w:rsid w:val="004817EB"/>
    <w:rsid w:val="0048471B"/>
    <w:rsid w:val="00485415"/>
    <w:rsid w:val="00487952"/>
    <w:rsid w:val="00490507"/>
    <w:rsid w:val="00492C00"/>
    <w:rsid w:val="00492F34"/>
    <w:rsid w:val="0049702F"/>
    <w:rsid w:val="004A0AA9"/>
    <w:rsid w:val="004A28FB"/>
    <w:rsid w:val="004A371E"/>
    <w:rsid w:val="004B1B2A"/>
    <w:rsid w:val="004B5FA9"/>
    <w:rsid w:val="004B6174"/>
    <w:rsid w:val="004B61B6"/>
    <w:rsid w:val="004B7A88"/>
    <w:rsid w:val="004C1612"/>
    <w:rsid w:val="004C5F1E"/>
    <w:rsid w:val="004D20A4"/>
    <w:rsid w:val="004D652A"/>
    <w:rsid w:val="004D7640"/>
    <w:rsid w:val="004E0945"/>
    <w:rsid w:val="004E2C39"/>
    <w:rsid w:val="004E2F93"/>
    <w:rsid w:val="004E4B3A"/>
    <w:rsid w:val="004E6270"/>
    <w:rsid w:val="004F097D"/>
    <w:rsid w:val="004F0E12"/>
    <w:rsid w:val="005035EC"/>
    <w:rsid w:val="005053BA"/>
    <w:rsid w:val="00512BCC"/>
    <w:rsid w:val="0051391E"/>
    <w:rsid w:val="00515A1A"/>
    <w:rsid w:val="00522813"/>
    <w:rsid w:val="005232A2"/>
    <w:rsid w:val="00526615"/>
    <w:rsid w:val="00535B05"/>
    <w:rsid w:val="00537710"/>
    <w:rsid w:val="00542F93"/>
    <w:rsid w:val="00544365"/>
    <w:rsid w:val="00545D54"/>
    <w:rsid w:val="005460FF"/>
    <w:rsid w:val="00552FE8"/>
    <w:rsid w:val="00553283"/>
    <w:rsid w:val="00556BCC"/>
    <w:rsid w:val="00560630"/>
    <w:rsid w:val="005724BD"/>
    <w:rsid w:val="0057493F"/>
    <w:rsid w:val="00584749"/>
    <w:rsid w:val="005918F6"/>
    <w:rsid w:val="00595D8B"/>
    <w:rsid w:val="005A0917"/>
    <w:rsid w:val="005A15C3"/>
    <w:rsid w:val="005A6C1F"/>
    <w:rsid w:val="005A6E52"/>
    <w:rsid w:val="005B0F62"/>
    <w:rsid w:val="005C37E8"/>
    <w:rsid w:val="005C41B3"/>
    <w:rsid w:val="005D46B8"/>
    <w:rsid w:val="005D5738"/>
    <w:rsid w:val="005D77DB"/>
    <w:rsid w:val="005E0BAE"/>
    <w:rsid w:val="005E1779"/>
    <w:rsid w:val="005E2C1A"/>
    <w:rsid w:val="005E4541"/>
    <w:rsid w:val="005F0710"/>
    <w:rsid w:val="005F0BF1"/>
    <w:rsid w:val="005F15A1"/>
    <w:rsid w:val="005F3DE1"/>
    <w:rsid w:val="005F3F95"/>
    <w:rsid w:val="00602D21"/>
    <w:rsid w:val="00604054"/>
    <w:rsid w:val="00604371"/>
    <w:rsid w:val="00605342"/>
    <w:rsid w:val="00607384"/>
    <w:rsid w:val="00617030"/>
    <w:rsid w:val="00617F78"/>
    <w:rsid w:val="0062641E"/>
    <w:rsid w:val="006361E3"/>
    <w:rsid w:val="006377F6"/>
    <w:rsid w:val="006412D9"/>
    <w:rsid w:val="00641921"/>
    <w:rsid w:val="00642C7D"/>
    <w:rsid w:val="00642E49"/>
    <w:rsid w:val="006431D4"/>
    <w:rsid w:val="00644557"/>
    <w:rsid w:val="00644633"/>
    <w:rsid w:val="00651299"/>
    <w:rsid w:val="00652EEE"/>
    <w:rsid w:val="00653473"/>
    <w:rsid w:val="00657230"/>
    <w:rsid w:val="006627AE"/>
    <w:rsid w:val="00666E5F"/>
    <w:rsid w:val="0067682A"/>
    <w:rsid w:val="00680586"/>
    <w:rsid w:val="00696F9E"/>
    <w:rsid w:val="006A4BDF"/>
    <w:rsid w:val="006B3169"/>
    <w:rsid w:val="006B7888"/>
    <w:rsid w:val="006C0947"/>
    <w:rsid w:val="006C44B3"/>
    <w:rsid w:val="006C4951"/>
    <w:rsid w:val="006C50AF"/>
    <w:rsid w:val="006C653F"/>
    <w:rsid w:val="006D0E33"/>
    <w:rsid w:val="006D35D6"/>
    <w:rsid w:val="006D46E9"/>
    <w:rsid w:val="006D54F3"/>
    <w:rsid w:val="006D5D91"/>
    <w:rsid w:val="006E3772"/>
    <w:rsid w:val="006F19C9"/>
    <w:rsid w:val="006F1D3C"/>
    <w:rsid w:val="006F48EC"/>
    <w:rsid w:val="006F537B"/>
    <w:rsid w:val="006F6374"/>
    <w:rsid w:val="006F7232"/>
    <w:rsid w:val="00700483"/>
    <w:rsid w:val="00707B59"/>
    <w:rsid w:val="007162E4"/>
    <w:rsid w:val="007223F7"/>
    <w:rsid w:val="00722609"/>
    <w:rsid w:val="007250F0"/>
    <w:rsid w:val="00725D28"/>
    <w:rsid w:val="007269BD"/>
    <w:rsid w:val="00726D2C"/>
    <w:rsid w:val="00727578"/>
    <w:rsid w:val="0072789A"/>
    <w:rsid w:val="00730328"/>
    <w:rsid w:val="00733BC3"/>
    <w:rsid w:val="00735229"/>
    <w:rsid w:val="00736059"/>
    <w:rsid w:val="00737F0B"/>
    <w:rsid w:val="007431E2"/>
    <w:rsid w:val="007461BC"/>
    <w:rsid w:val="00746591"/>
    <w:rsid w:val="00750239"/>
    <w:rsid w:val="007506CC"/>
    <w:rsid w:val="00750D81"/>
    <w:rsid w:val="00753805"/>
    <w:rsid w:val="00753D7A"/>
    <w:rsid w:val="00760EAA"/>
    <w:rsid w:val="00762D30"/>
    <w:rsid w:val="00765042"/>
    <w:rsid w:val="00770E74"/>
    <w:rsid w:val="0077327F"/>
    <w:rsid w:val="007735B5"/>
    <w:rsid w:val="007751E6"/>
    <w:rsid w:val="00780F1D"/>
    <w:rsid w:val="007813FE"/>
    <w:rsid w:val="00783E50"/>
    <w:rsid w:val="00790883"/>
    <w:rsid w:val="00792B7A"/>
    <w:rsid w:val="007A5E6F"/>
    <w:rsid w:val="007A7862"/>
    <w:rsid w:val="007B0725"/>
    <w:rsid w:val="007B083F"/>
    <w:rsid w:val="007B09A3"/>
    <w:rsid w:val="007B0E72"/>
    <w:rsid w:val="007B27AA"/>
    <w:rsid w:val="007B29BE"/>
    <w:rsid w:val="007B625C"/>
    <w:rsid w:val="007B7397"/>
    <w:rsid w:val="007B7ACD"/>
    <w:rsid w:val="007C560F"/>
    <w:rsid w:val="007C7D20"/>
    <w:rsid w:val="007D0520"/>
    <w:rsid w:val="007D4A5B"/>
    <w:rsid w:val="007D696D"/>
    <w:rsid w:val="007D6A2E"/>
    <w:rsid w:val="007D7522"/>
    <w:rsid w:val="007E0A23"/>
    <w:rsid w:val="007E560C"/>
    <w:rsid w:val="007E6958"/>
    <w:rsid w:val="00805EFB"/>
    <w:rsid w:val="00810C49"/>
    <w:rsid w:val="00813203"/>
    <w:rsid w:val="00813608"/>
    <w:rsid w:val="008147D1"/>
    <w:rsid w:val="00814DEE"/>
    <w:rsid w:val="008150D8"/>
    <w:rsid w:val="00815D02"/>
    <w:rsid w:val="00816F5D"/>
    <w:rsid w:val="00820E2F"/>
    <w:rsid w:val="00830365"/>
    <w:rsid w:val="0083085E"/>
    <w:rsid w:val="00830B37"/>
    <w:rsid w:val="00831B09"/>
    <w:rsid w:val="008321CC"/>
    <w:rsid w:val="00835AA5"/>
    <w:rsid w:val="00836458"/>
    <w:rsid w:val="00836C21"/>
    <w:rsid w:val="0083751A"/>
    <w:rsid w:val="00837D6C"/>
    <w:rsid w:val="00844C36"/>
    <w:rsid w:val="00845A56"/>
    <w:rsid w:val="00846619"/>
    <w:rsid w:val="00851001"/>
    <w:rsid w:val="00851372"/>
    <w:rsid w:val="00856BBF"/>
    <w:rsid w:val="00861856"/>
    <w:rsid w:val="008675DB"/>
    <w:rsid w:val="00870639"/>
    <w:rsid w:val="00871001"/>
    <w:rsid w:val="00871274"/>
    <w:rsid w:val="00874874"/>
    <w:rsid w:val="00877B92"/>
    <w:rsid w:val="008829EB"/>
    <w:rsid w:val="008870BD"/>
    <w:rsid w:val="00891D04"/>
    <w:rsid w:val="008A505E"/>
    <w:rsid w:val="008B478F"/>
    <w:rsid w:val="008B7A3A"/>
    <w:rsid w:val="008C0230"/>
    <w:rsid w:val="008C0F26"/>
    <w:rsid w:val="008C1864"/>
    <w:rsid w:val="008C4F24"/>
    <w:rsid w:val="008D13BA"/>
    <w:rsid w:val="008D3415"/>
    <w:rsid w:val="008D3480"/>
    <w:rsid w:val="008D424F"/>
    <w:rsid w:val="008D4C5A"/>
    <w:rsid w:val="008D4D25"/>
    <w:rsid w:val="008D73FA"/>
    <w:rsid w:val="008E2373"/>
    <w:rsid w:val="008E5F22"/>
    <w:rsid w:val="008F19F3"/>
    <w:rsid w:val="008F286B"/>
    <w:rsid w:val="008F31D3"/>
    <w:rsid w:val="008F6559"/>
    <w:rsid w:val="008F7DFE"/>
    <w:rsid w:val="008F7E7C"/>
    <w:rsid w:val="00904C2B"/>
    <w:rsid w:val="009102CD"/>
    <w:rsid w:val="009117C5"/>
    <w:rsid w:val="00912100"/>
    <w:rsid w:val="00913B5D"/>
    <w:rsid w:val="009151A7"/>
    <w:rsid w:val="009161B3"/>
    <w:rsid w:val="009228F1"/>
    <w:rsid w:val="00931B20"/>
    <w:rsid w:val="00933BB1"/>
    <w:rsid w:val="009420A3"/>
    <w:rsid w:val="009429E4"/>
    <w:rsid w:val="009450C6"/>
    <w:rsid w:val="009456DF"/>
    <w:rsid w:val="00947BF0"/>
    <w:rsid w:val="00952363"/>
    <w:rsid w:val="009607FD"/>
    <w:rsid w:val="00966871"/>
    <w:rsid w:val="009726C3"/>
    <w:rsid w:val="00973F05"/>
    <w:rsid w:val="00981B3C"/>
    <w:rsid w:val="009850A9"/>
    <w:rsid w:val="00985E72"/>
    <w:rsid w:val="00986836"/>
    <w:rsid w:val="009870A3"/>
    <w:rsid w:val="00987E3F"/>
    <w:rsid w:val="009924DC"/>
    <w:rsid w:val="00994258"/>
    <w:rsid w:val="0099447B"/>
    <w:rsid w:val="009966DB"/>
    <w:rsid w:val="009A3C57"/>
    <w:rsid w:val="009B1D4A"/>
    <w:rsid w:val="009B6E65"/>
    <w:rsid w:val="009B7168"/>
    <w:rsid w:val="009C5FBB"/>
    <w:rsid w:val="009C61F7"/>
    <w:rsid w:val="009D1CEA"/>
    <w:rsid w:val="009D367D"/>
    <w:rsid w:val="009D3A49"/>
    <w:rsid w:val="009DAAE2"/>
    <w:rsid w:val="009E2909"/>
    <w:rsid w:val="009E4E06"/>
    <w:rsid w:val="009E52AD"/>
    <w:rsid w:val="009E5C17"/>
    <w:rsid w:val="009E7FE9"/>
    <w:rsid w:val="009F3679"/>
    <w:rsid w:val="009F409C"/>
    <w:rsid w:val="009F6D97"/>
    <w:rsid w:val="00A00B80"/>
    <w:rsid w:val="00A01C8D"/>
    <w:rsid w:val="00A02D52"/>
    <w:rsid w:val="00A139D3"/>
    <w:rsid w:val="00A17512"/>
    <w:rsid w:val="00A23447"/>
    <w:rsid w:val="00A23825"/>
    <w:rsid w:val="00A238A4"/>
    <w:rsid w:val="00A26553"/>
    <w:rsid w:val="00A31B73"/>
    <w:rsid w:val="00A43387"/>
    <w:rsid w:val="00A43A0A"/>
    <w:rsid w:val="00A52C4B"/>
    <w:rsid w:val="00A6493D"/>
    <w:rsid w:val="00A656C8"/>
    <w:rsid w:val="00A65B53"/>
    <w:rsid w:val="00A75D9D"/>
    <w:rsid w:val="00A80E05"/>
    <w:rsid w:val="00A82626"/>
    <w:rsid w:val="00A831A1"/>
    <w:rsid w:val="00A8601B"/>
    <w:rsid w:val="00A927DC"/>
    <w:rsid w:val="00A94E2D"/>
    <w:rsid w:val="00A95198"/>
    <w:rsid w:val="00AA0B05"/>
    <w:rsid w:val="00AA351A"/>
    <w:rsid w:val="00AB0C45"/>
    <w:rsid w:val="00AB0E8E"/>
    <w:rsid w:val="00AB20F1"/>
    <w:rsid w:val="00AB5951"/>
    <w:rsid w:val="00AB6304"/>
    <w:rsid w:val="00AC0F7F"/>
    <w:rsid w:val="00AC2AC1"/>
    <w:rsid w:val="00AC37DE"/>
    <w:rsid w:val="00AC3FCB"/>
    <w:rsid w:val="00AC62EC"/>
    <w:rsid w:val="00AD09AE"/>
    <w:rsid w:val="00AD19A7"/>
    <w:rsid w:val="00AD4C4A"/>
    <w:rsid w:val="00AD5553"/>
    <w:rsid w:val="00AD566B"/>
    <w:rsid w:val="00AD6098"/>
    <w:rsid w:val="00AD7DB9"/>
    <w:rsid w:val="00AD7FCE"/>
    <w:rsid w:val="00AE1CCE"/>
    <w:rsid w:val="00AE6975"/>
    <w:rsid w:val="00AF04DB"/>
    <w:rsid w:val="00AF1969"/>
    <w:rsid w:val="00AF66B5"/>
    <w:rsid w:val="00B013B5"/>
    <w:rsid w:val="00B01685"/>
    <w:rsid w:val="00B02EE2"/>
    <w:rsid w:val="00B04774"/>
    <w:rsid w:val="00B05155"/>
    <w:rsid w:val="00B070B6"/>
    <w:rsid w:val="00B10A35"/>
    <w:rsid w:val="00B12F6A"/>
    <w:rsid w:val="00B14563"/>
    <w:rsid w:val="00B22DC9"/>
    <w:rsid w:val="00B300BC"/>
    <w:rsid w:val="00B330D7"/>
    <w:rsid w:val="00B33DD1"/>
    <w:rsid w:val="00B34881"/>
    <w:rsid w:val="00B35A22"/>
    <w:rsid w:val="00B35B3A"/>
    <w:rsid w:val="00B36BCA"/>
    <w:rsid w:val="00B36CDA"/>
    <w:rsid w:val="00B40B09"/>
    <w:rsid w:val="00B42E61"/>
    <w:rsid w:val="00B45784"/>
    <w:rsid w:val="00B53C4D"/>
    <w:rsid w:val="00B61392"/>
    <w:rsid w:val="00B6346D"/>
    <w:rsid w:val="00B865B9"/>
    <w:rsid w:val="00B9100E"/>
    <w:rsid w:val="00B9599A"/>
    <w:rsid w:val="00BA0836"/>
    <w:rsid w:val="00BA597E"/>
    <w:rsid w:val="00BA63AE"/>
    <w:rsid w:val="00BA75B6"/>
    <w:rsid w:val="00BA77CC"/>
    <w:rsid w:val="00BB15DE"/>
    <w:rsid w:val="00BB6DA6"/>
    <w:rsid w:val="00BC6D75"/>
    <w:rsid w:val="00BD2780"/>
    <w:rsid w:val="00BD36AB"/>
    <w:rsid w:val="00BE2E40"/>
    <w:rsid w:val="00BE686C"/>
    <w:rsid w:val="00BF2D02"/>
    <w:rsid w:val="00BF438E"/>
    <w:rsid w:val="00BF5ADF"/>
    <w:rsid w:val="00BF5C53"/>
    <w:rsid w:val="00BF7585"/>
    <w:rsid w:val="00C11F75"/>
    <w:rsid w:val="00C14351"/>
    <w:rsid w:val="00C2001B"/>
    <w:rsid w:val="00C2255E"/>
    <w:rsid w:val="00C227F6"/>
    <w:rsid w:val="00C23C0E"/>
    <w:rsid w:val="00C25045"/>
    <w:rsid w:val="00C2587D"/>
    <w:rsid w:val="00C25944"/>
    <w:rsid w:val="00C26F8F"/>
    <w:rsid w:val="00C27078"/>
    <w:rsid w:val="00C301BD"/>
    <w:rsid w:val="00C322E9"/>
    <w:rsid w:val="00C3287F"/>
    <w:rsid w:val="00C357E2"/>
    <w:rsid w:val="00C372ED"/>
    <w:rsid w:val="00C376FC"/>
    <w:rsid w:val="00C45475"/>
    <w:rsid w:val="00C5162C"/>
    <w:rsid w:val="00C52D9A"/>
    <w:rsid w:val="00C530EA"/>
    <w:rsid w:val="00C5325B"/>
    <w:rsid w:val="00C534CA"/>
    <w:rsid w:val="00C57D25"/>
    <w:rsid w:val="00C614CE"/>
    <w:rsid w:val="00C61F1B"/>
    <w:rsid w:val="00C6202B"/>
    <w:rsid w:val="00C653A1"/>
    <w:rsid w:val="00C67A31"/>
    <w:rsid w:val="00C70FC6"/>
    <w:rsid w:val="00C72D38"/>
    <w:rsid w:val="00C72E68"/>
    <w:rsid w:val="00C80A2F"/>
    <w:rsid w:val="00C81625"/>
    <w:rsid w:val="00C876A7"/>
    <w:rsid w:val="00C92BF4"/>
    <w:rsid w:val="00C96E25"/>
    <w:rsid w:val="00CA474B"/>
    <w:rsid w:val="00CB17DF"/>
    <w:rsid w:val="00CB284A"/>
    <w:rsid w:val="00CB4668"/>
    <w:rsid w:val="00CB7571"/>
    <w:rsid w:val="00CC149B"/>
    <w:rsid w:val="00CC30B5"/>
    <w:rsid w:val="00CC611E"/>
    <w:rsid w:val="00CD0915"/>
    <w:rsid w:val="00CD184D"/>
    <w:rsid w:val="00CE05E5"/>
    <w:rsid w:val="00CE0B8B"/>
    <w:rsid w:val="00CE676B"/>
    <w:rsid w:val="00CF2A7C"/>
    <w:rsid w:val="00CF2FDA"/>
    <w:rsid w:val="00CF5F9E"/>
    <w:rsid w:val="00D03DC7"/>
    <w:rsid w:val="00D05410"/>
    <w:rsid w:val="00D05777"/>
    <w:rsid w:val="00D12EB6"/>
    <w:rsid w:val="00D210B0"/>
    <w:rsid w:val="00D23308"/>
    <w:rsid w:val="00D344B2"/>
    <w:rsid w:val="00D34D37"/>
    <w:rsid w:val="00D362A7"/>
    <w:rsid w:val="00D37E43"/>
    <w:rsid w:val="00D40BFB"/>
    <w:rsid w:val="00D50E6B"/>
    <w:rsid w:val="00D563E7"/>
    <w:rsid w:val="00D60A33"/>
    <w:rsid w:val="00D66737"/>
    <w:rsid w:val="00D701D6"/>
    <w:rsid w:val="00D70497"/>
    <w:rsid w:val="00D70B1A"/>
    <w:rsid w:val="00D81A5B"/>
    <w:rsid w:val="00D82C54"/>
    <w:rsid w:val="00D84E25"/>
    <w:rsid w:val="00D91F3D"/>
    <w:rsid w:val="00D91F60"/>
    <w:rsid w:val="00D947F5"/>
    <w:rsid w:val="00DA1664"/>
    <w:rsid w:val="00DA210B"/>
    <w:rsid w:val="00DA2829"/>
    <w:rsid w:val="00DA40B1"/>
    <w:rsid w:val="00DA4CAA"/>
    <w:rsid w:val="00DB3364"/>
    <w:rsid w:val="00DC1B82"/>
    <w:rsid w:val="00DC308E"/>
    <w:rsid w:val="00DC5E7D"/>
    <w:rsid w:val="00DC62B4"/>
    <w:rsid w:val="00DC6535"/>
    <w:rsid w:val="00DD169E"/>
    <w:rsid w:val="00DD35D8"/>
    <w:rsid w:val="00DD5547"/>
    <w:rsid w:val="00DE72BC"/>
    <w:rsid w:val="00DF0506"/>
    <w:rsid w:val="00DF0AFA"/>
    <w:rsid w:val="00DF4075"/>
    <w:rsid w:val="00DF4A5C"/>
    <w:rsid w:val="00E00566"/>
    <w:rsid w:val="00E04E27"/>
    <w:rsid w:val="00E05ACC"/>
    <w:rsid w:val="00E12AAC"/>
    <w:rsid w:val="00E13246"/>
    <w:rsid w:val="00E13D1A"/>
    <w:rsid w:val="00E162AC"/>
    <w:rsid w:val="00E16AE0"/>
    <w:rsid w:val="00E22116"/>
    <w:rsid w:val="00E25EFB"/>
    <w:rsid w:val="00E3055A"/>
    <w:rsid w:val="00E35A5D"/>
    <w:rsid w:val="00E401B1"/>
    <w:rsid w:val="00E40968"/>
    <w:rsid w:val="00E47466"/>
    <w:rsid w:val="00E477F0"/>
    <w:rsid w:val="00E5070A"/>
    <w:rsid w:val="00E548D5"/>
    <w:rsid w:val="00E6143E"/>
    <w:rsid w:val="00E64695"/>
    <w:rsid w:val="00E64F56"/>
    <w:rsid w:val="00E65D67"/>
    <w:rsid w:val="00E71F1F"/>
    <w:rsid w:val="00E7273B"/>
    <w:rsid w:val="00E839B2"/>
    <w:rsid w:val="00E930C5"/>
    <w:rsid w:val="00E9627B"/>
    <w:rsid w:val="00EA0855"/>
    <w:rsid w:val="00EA5DB2"/>
    <w:rsid w:val="00EA6E23"/>
    <w:rsid w:val="00EABDC7"/>
    <w:rsid w:val="00EB29AC"/>
    <w:rsid w:val="00EB2D7C"/>
    <w:rsid w:val="00EB46B5"/>
    <w:rsid w:val="00EC3D63"/>
    <w:rsid w:val="00ED0C52"/>
    <w:rsid w:val="00ED5004"/>
    <w:rsid w:val="00ED5301"/>
    <w:rsid w:val="00EE1800"/>
    <w:rsid w:val="00EE57C3"/>
    <w:rsid w:val="00EF0F28"/>
    <w:rsid w:val="00EF1E25"/>
    <w:rsid w:val="00EF2780"/>
    <w:rsid w:val="00EF2806"/>
    <w:rsid w:val="00EF6060"/>
    <w:rsid w:val="00EF6400"/>
    <w:rsid w:val="00EF67A3"/>
    <w:rsid w:val="00F04E9C"/>
    <w:rsid w:val="00F05652"/>
    <w:rsid w:val="00F059C9"/>
    <w:rsid w:val="00F12B9F"/>
    <w:rsid w:val="00F13885"/>
    <w:rsid w:val="00F15667"/>
    <w:rsid w:val="00F203AE"/>
    <w:rsid w:val="00F23217"/>
    <w:rsid w:val="00F2693D"/>
    <w:rsid w:val="00F26C0D"/>
    <w:rsid w:val="00F26F40"/>
    <w:rsid w:val="00F27C12"/>
    <w:rsid w:val="00F303CE"/>
    <w:rsid w:val="00F405AE"/>
    <w:rsid w:val="00F43955"/>
    <w:rsid w:val="00F4481B"/>
    <w:rsid w:val="00F46CC1"/>
    <w:rsid w:val="00F53533"/>
    <w:rsid w:val="00F57B80"/>
    <w:rsid w:val="00F61485"/>
    <w:rsid w:val="00F618FB"/>
    <w:rsid w:val="00F735D0"/>
    <w:rsid w:val="00F737BA"/>
    <w:rsid w:val="00F7497B"/>
    <w:rsid w:val="00F84099"/>
    <w:rsid w:val="00F8454B"/>
    <w:rsid w:val="00F9084A"/>
    <w:rsid w:val="00F91529"/>
    <w:rsid w:val="00F924AC"/>
    <w:rsid w:val="00FA50AF"/>
    <w:rsid w:val="00FA5369"/>
    <w:rsid w:val="00FA53AF"/>
    <w:rsid w:val="00FA6648"/>
    <w:rsid w:val="00FB5D1E"/>
    <w:rsid w:val="00FC346B"/>
    <w:rsid w:val="00FC48D1"/>
    <w:rsid w:val="00FD0870"/>
    <w:rsid w:val="00FD1DF9"/>
    <w:rsid w:val="00FD1F0B"/>
    <w:rsid w:val="00FD29A3"/>
    <w:rsid w:val="00FD4F0F"/>
    <w:rsid w:val="00FD6AC2"/>
    <w:rsid w:val="00FE3F38"/>
    <w:rsid w:val="00FE7945"/>
    <w:rsid w:val="00FF3FEB"/>
    <w:rsid w:val="00FF4438"/>
    <w:rsid w:val="00FF4BC5"/>
    <w:rsid w:val="00FF4CD4"/>
    <w:rsid w:val="00FF6CDF"/>
    <w:rsid w:val="00FF6DF3"/>
    <w:rsid w:val="010402EE"/>
    <w:rsid w:val="0152B297"/>
    <w:rsid w:val="022FAD98"/>
    <w:rsid w:val="0235B2E2"/>
    <w:rsid w:val="023B797B"/>
    <w:rsid w:val="02A80B6F"/>
    <w:rsid w:val="02E12223"/>
    <w:rsid w:val="02E5D29F"/>
    <w:rsid w:val="02EDDBEC"/>
    <w:rsid w:val="02FADD99"/>
    <w:rsid w:val="0311F792"/>
    <w:rsid w:val="03443E1B"/>
    <w:rsid w:val="03495273"/>
    <w:rsid w:val="03497CD9"/>
    <w:rsid w:val="0357923B"/>
    <w:rsid w:val="035DA228"/>
    <w:rsid w:val="039BA756"/>
    <w:rsid w:val="039F9C2F"/>
    <w:rsid w:val="0403D838"/>
    <w:rsid w:val="041FE211"/>
    <w:rsid w:val="04693454"/>
    <w:rsid w:val="0482F45B"/>
    <w:rsid w:val="04A4CEBC"/>
    <w:rsid w:val="04D7307D"/>
    <w:rsid w:val="04E8A41F"/>
    <w:rsid w:val="057162ED"/>
    <w:rsid w:val="05E66FB9"/>
    <w:rsid w:val="06362108"/>
    <w:rsid w:val="063877F6"/>
    <w:rsid w:val="0688A478"/>
    <w:rsid w:val="06BD5C03"/>
    <w:rsid w:val="070CAC67"/>
    <w:rsid w:val="0847A47E"/>
    <w:rsid w:val="0868BC22"/>
    <w:rsid w:val="08C3C231"/>
    <w:rsid w:val="091F2E75"/>
    <w:rsid w:val="096A5E76"/>
    <w:rsid w:val="097EA13C"/>
    <w:rsid w:val="09912EB2"/>
    <w:rsid w:val="09A37028"/>
    <w:rsid w:val="09C4214A"/>
    <w:rsid w:val="09F5D426"/>
    <w:rsid w:val="0A5C197B"/>
    <w:rsid w:val="0A9A12E8"/>
    <w:rsid w:val="0AC193C1"/>
    <w:rsid w:val="0ACDD139"/>
    <w:rsid w:val="0B014E88"/>
    <w:rsid w:val="0B4E1300"/>
    <w:rsid w:val="0B812257"/>
    <w:rsid w:val="0BD49658"/>
    <w:rsid w:val="0BF5D8C5"/>
    <w:rsid w:val="0BF928C6"/>
    <w:rsid w:val="0C3658D3"/>
    <w:rsid w:val="0C518698"/>
    <w:rsid w:val="0C702644"/>
    <w:rsid w:val="0CA752C7"/>
    <w:rsid w:val="0CE0D6FC"/>
    <w:rsid w:val="0CE3C294"/>
    <w:rsid w:val="0D0CD1EB"/>
    <w:rsid w:val="0D34285F"/>
    <w:rsid w:val="0D693F29"/>
    <w:rsid w:val="0DA2A626"/>
    <w:rsid w:val="0DA887C5"/>
    <w:rsid w:val="0DE10254"/>
    <w:rsid w:val="0E1A4401"/>
    <w:rsid w:val="0E271E4E"/>
    <w:rsid w:val="0E5865C9"/>
    <w:rsid w:val="0EF273CB"/>
    <w:rsid w:val="0EF8E523"/>
    <w:rsid w:val="0F73564F"/>
    <w:rsid w:val="0F79EC55"/>
    <w:rsid w:val="0F880897"/>
    <w:rsid w:val="0FC5CF04"/>
    <w:rsid w:val="0FCAFB69"/>
    <w:rsid w:val="102A1FED"/>
    <w:rsid w:val="103489F8"/>
    <w:rsid w:val="104DFFC7"/>
    <w:rsid w:val="106102EB"/>
    <w:rsid w:val="10C2FBC5"/>
    <w:rsid w:val="10D0152C"/>
    <w:rsid w:val="111BCCBB"/>
    <w:rsid w:val="114182F9"/>
    <w:rsid w:val="114744B7"/>
    <w:rsid w:val="11564722"/>
    <w:rsid w:val="118CD574"/>
    <w:rsid w:val="118F392B"/>
    <w:rsid w:val="11A6454D"/>
    <w:rsid w:val="11B0516F"/>
    <w:rsid w:val="1236D2D3"/>
    <w:rsid w:val="125A5E50"/>
    <w:rsid w:val="1267E0ED"/>
    <w:rsid w:val="1299C94B"/>
    <w:rsid w:val="129A752F"/>
    <w:rsid w:val="1324187F"/>
    <w:rsid w:val="13579B08"/>
    <w:rsid w:val="13CA0077"/>
    <w:rsid w:val="14057496"/>
    <w:rsid w:val="140A57DE"/>
    <w:rsid w:val="14A3E61C"/>
    <w:rsid w:val="14DDA0A9"/>
    <w:rsid w:val="1509D035"/>
    <w:rsid w:val="157C8072"/>
    <w:rsid w:val="15A455EA"/>
    <w:rsid w:val="15CE1635"/>
    <w:rsid w:val="15D20AF4"/>
    <w:rsid w:val="15FCA3E3"/>
    <w:rsid w:val="164CFA96"/>
    <w:rsid w:val="167F29F2"/>
    <w:rsid w:val="16D1D483"/>
    <w:rsid w:val="1773FBA0"/>
    <w:rsid w:val="17F07233"/>
    <w:rsid w:val="17FE55BA"/>
    <w:rsid w:val="180E2438"/>
    <w:rsid w:val="18AB4AE1"/>
    <w:rsid w:val="192B33F9"/>
    <w:rsid w:val="19620D12"/>
    <w:rsid w:val="19630EB7"/>
    <w:rsid w:val="19759C7C"/>
    <w:rsid w:val="197B2EC0"/>
    <w:rsid w:val="19A42EBE"/>
    <w:rsid w:val="19D40EF1"/>
    <w:rsid w:val="1A175394"/>
    <w:rsid w:val="1AA07617"/>
    <w:rsid w:val="1AA531BC"/>
    <w:rsid w:val="1AAA8C8A"/>
    <w:rsid w:val="1ABC90CF"/>
    <w:rsid w:val="1AC3E270"/>
    <w:rsid w:val="1AEC9E05"/>
    <w:rsid w:val="1B1D32F7"/>
    <w:rsid w:val="1B7607F8"/>
    <w:rsid w:val="1B790C31"/>
    <w:rsid w:val="1B9E1104"/>
    <w:rsid w:val="1BA4FB49"/>
    <w:rsid w:val="1BD7DB6E"/>
    <w:rsid w:val="1BE798B3"/>
    <w:rsid w:val="1BEC4474"/>
    <w:rsid w:val="1C478F53"/>
    <w:rsid w:val="1C5F6E26"/>
    <w:rsid w:val="1C63996B"/>
    <w:rsid w:val="1CDA6634"/>
    <w:rsid w:val="1D1B3329"/>
    <w:rsid w:val="1D50D2F8"/>
    <w:rsid w:val="1D554F3B"/>
    <w:rsid w:val="1D770F01"/>
    <w:rsid w:val="1D984389"/>
    <w:rsid w:val="1E2AA713"/>
    <w:rsid w:val="1FD35D80"/>
    <w:rsid w:val="20420FE3"/>
    <w:rsid w:val="205B2738"/>
    <w:rsid w:val="2080607E"/>
    <w:rsid w:val="20AB4ACA"/>
    <w:rsid w:val="20C20ADB"/>
    <w:rsid w:val="20D7E23B"/>
    <w:rsid w:val="216B84B1"/>
    <w:rsid w:val="21E26737"/>
    <w:rsid w:val="22838CDB"/>
    <w:rsid w:val="22A60E9A"/>
    <w:rsid w:val="22D63EA3"/>
    <w:rsid w:val="231B7308"/>
    <w:rsid w:val="23436B11"/>
    <w:rsid w:val="2349A72B"/>
    <w:rsid w:val="23A3D308"/>
    <w:rsid w:val="23D541B9"/>
    <w:rsid w:val="23F23786"/>
    <w:rsid w:val="2412F19A"/>
    <w:rsid w:val="24359244"/>
    <w:rsid w:val="245220D0"/>
    <w:rsid w:val="245DB1DD"/>
    <w:rsid w:val="24EC80E3"/>
    <w:rsid w:val="257B4A15"/>
    <w:rsid w:val="2588016A"/>
    <w:rsid w:val="25921CB8"/>
    <w:rsid w:val="25F54D73"/>
    <w:rsid w:val="261C2746"/>
    <w:rsid w:val="263E1D35"/>
    <w:rsid w:val="263FA64D"/>
    <w:rsid w:val="267C74F0"/>
    <w:rsid w:val="2693AAD9"/>
    <w:rsid w:val="274FAA0C"/>
    <w:rsid w:val="27665F6A"/>
    <w:rsid w:val="27706D68"/>
    <w:rsid w:val="2770FC05"/>
    <w:rsid w:val="277F6A6B"/>
    <w:rsid w:val="279B3C4C"/>
    <w:rsid w:val="27A67BD5"/>
    <w:rsid w:val="27BE1797"/>
    <w:rsid w:val="28000828"/>
    <w:rsid w:val="28468FB6"/>
    <w:rsid w:val="290E3938"/>
    <w:rsid w:val="2940F2D8"/>
    <w:rsid w:val="294B8DA3"/>
    <w:rsid w:val="296864E5"/>
    <w:rsid w:val="29A7B284"/>
    <w:rsid w:val="2A8180B3"/>
    <w:rsid w:val="2AA3844A"/>
    <w:rsid w:val="2AB88A8A"/>
    <w:rsid w:val="2AC7F167"/>
    <w:rsid w:val="2B3E7B0A"/>
    <w:rsid w:val="2C24C241"/>
    <w:rsid w:val="2C40580D"/>
    <w:rsid w:val="2D4370B4"/>
    <w:rsid w:val="2DF20337"/>
    <w:rsid w:val="2DFF0469"/>
    <w:rsid w:val="2E15CD71"/>
    <w:rsid w:val="2E38CC40"/>
    <w:rsid w:val="2EBFD7BB"/>
    <w:rsid w:val="2EDDA3BA"/>
    <w:rsid w:val="2F1CA51D"/>
    <w:rsid w:val="2F6C5E53"/>
    <w:rsid w:val="2F90A6BD"/>
    <w:rsid w:val="2FBEABE4"/>
    <w:rsid w:val="2FD67861"/>
    <w:rsid w:val="2FF659A8"/>
    <w:rsid w:val="2FF9B903"/>
    <w:rsid w:val="30BFD82F"/>
    <w:rsid w:val="30E578D2"/>
    <w:rsid w:val="3108E955"/>
    <w:rsid w:val="31113543"/>
    <w:rsid w:val="31343979"/>
    <w:rsid w:val="318D1CBF"/>
    <w:rsid w:val="318EC05F"/>
    <w:rsid w:val="31F2D611"/>
    <w:rsid w:val="320335E9"/>
    <w:rsid w:val="321E4ED6"/>
    <w:rsid w:val="32AD52EB"/>
    <w:rsid w:val="3314DED5"/>
    <w:rsid w:val="33163D8B"/>
    <w:rsid w:val="334C8475"/>
    <w:rsid w:val="33534694"/>
    <w:rsid w:val="338BD7D6"/>
    <w:rsid w:val="33A37601"/>
    <w:rsid w:val="33B92E9E"/>
    <w:rsid w:val="34365A44"/>
    <w:rsid w:val="345685A9"/>
    <w:rsid w:val="34DAF59D"/>
    <w:rsid w:val="34E7F104"/>
    <w:rsid w:val="34E94862"/>
    <w:rsid w:val="34ED7AB1"/>
    <w:rsid w:val="35952C82"/>
    <w:rsid w:val="35F314D7"/>
    <w:rsid w:val="360D8F26"/>
    <w:rsid w:val="3702CC27"/>
    <w:rsid w:val="37695F3C"/>
    <w:rsid w:val="37A0AB59"/>
    <w:rsid w:val="38163F81"/>
    <w:rsid w:val="383756A2"/>
    <w:rsid w:val="3943504D"/>
    <w:rsid w:val="3949B97B"/>
    <w:rsid w:val="39C3B85E"/>
    <w:rsid w:val="3A005AA5"/>
    <w:rsid w:val="3A043849"/>
    <w:rsid w:val="3A4F26E0"/>
    <w:rsid w:val="3B6DC1F6"/>
    <w:rsid w:val="3C1046B1"/>
    <w:rsid w:val="3C4EF6F2"/>
    <w:rsid w:val="3C595818"/>
    <w:rsid w:val="3CCC48A8"/>
    <w:rsid w:val="3CDA4CED"/>
    <w:rsid w:val="3CF33CE2"/>
    <w:rsid w:val="3D19DD4C"/>
    <w:rsid w:val="3D8DB95C"/>
    <w:rsid w:val="3DA0DFD3"/>
    <w:rsid w:val="3DCE4B8C"/>
    <w:rsid w:val="3DE900ED"/>
    <w:rsid w:val="3DF108A5"/>
    <w:rsid w:val="3E416C82"/>
    <w:rsid w:val="3EA40EAC"/>
    <w:rsid w:val="3EB3B650"/>
    <w:rsid w:val="3F329243"/>
    <w:rsid w:val="3F9AA696"/>
    <w:rsid w:val="4020ECA5"/>
    <w:rsid w:val="407F7E20"/>
    <w:rsid w:val="408577D7"/>
    <w:rsid w:val="4091CEBE"/>
    <w:rsid w:val="4092217B"/>
    <w:rsid w:val="40A4C831"/>
    <w:rsid w:val="40BD2D09"/>
    <w:rsid w:val="41363F99"/>
    <w:rsid w:val="41684137"/>
    <w:rsid w:val="418A5638"/>
    <w:rsid w:val="41C1B694"/>
    <w:rsid w:val="41F9A7B7"/>
    <w:rsid w:val="4214CC27"/>
    <w:rsid w:val="426BF329"/>
    <w:rsid w:val="42C7CB1C"/>
    <w:rsid w:val="42EB3FDA"/>
    <w:rsid w:val="43068C88"/>
    <w:rsid w:val="4312819D"/>
    <w:rsid w:val="43189B7A"/>
    <w:rsid w:val="432BD55F"/>
    <w:rsid w:val="434BFBE6"/>
    <w:rsid w:val="44B7188C"/>
    <w:rsid w:val="44B77495"/>
    <w:rsid w:val="44C552E8"/>
    <w:rsid w:val="44E148D0"/>
    <w:rsid w:val="451581EA"/>
    <w:rsid w:val="453E543A"/>
    <w:rsid w:val="45B2D86A"/>
    <w:rsid w:val="4625B98E"/>
    <w:rsid w:val="464D47FC"/>
    <w:rsid w:val="4670C14B"/>
    <w:rsid w:val="46A0E403"/>
    <w:rsid w:val="46B9EA64"/>
    <w:rsid w:val="46D7A83B"/>
    <w:rsid w:val="47235A4A"/>
    <w:rsid w:val="4725F206"/>
    <w:rsid w:val="47417C29"/>
    <w:rsid w:val="475D452E"/>
    <w:rsid w:val="47A58C47"/>
    <w:rsid w:val="47BED617"/>
    <w:rsid w:val="47CCF1E2"/>
    <w:rsid w:val="47D56B7F"/>
    <w:rsid w:val="4805FD70"/>
    <w:rsid w:val="480D1774"/>
    <w:rsid w:val="483A5FCD"/>
    <w:rsid w:val="483E7574"/>
    <w:rsid w:val="48597C89"/>
    <w:rsid w:val="48C138E5"/>
    <w:rsid w:val="48E06127"/>
    <w:rsid w:val="493F0A14"/>
    <w:rsid w:val="494819D8"/>
    <w:rsid w:val="4962F06A"/>
    <w:rsid w:val="4998A620"/>
    <w:rsid w:val="49B7FF08"/>
    <w:rsid w:val="4A1B741F"/>
    <w:rsid w:val="4A3A6CDE"/>
    <w:rsid w:val="4A7323BD"/>
    <w:rsid w:val="4A9801E3"/>
    <w:rsid w:val="4AA5B52D"/>
    <w:rsid w:val="4AE87063"/>
    <w:rsid w:val="4AEE3686"/>
    <w:rsid w:val="4AFABFD0"/>
    <w:rsid w:val="4B2037C3"/>
    <w:rsid w:val="4B88F3DD"/>
    <w:rsid w:val="4BC765B8"/>
    <w:rsid w:val="4C058AAA"/>
    <w:rsid w:val="4C190FC8"/>
    <w:rsid w:val="4C624DCE"/>
    <w:rsid w:val="4CAAF0A0"/>
    <w:rsid w:val="4D930D8D"/>
    <w:rsid w:val="4D9AF87D"/>
    <w:rsid w:val="4DC9BBA7"/>
    <w:rsid w:val="4E1CF620"/>
    <w:rsid w:val="4ED61132"/>
    <w:rsid w:val="4FC2B435"/>
    <w:rsid w:val="502695B5"/>
    <w:rsid w:val="50766734"/>
    <w:rsid w:val="5096E22A"/>
    <w:rsid w:val="50FADF7B"/>
    <w:rsid w:val="51313B94"/>
    <w:rsid w:val="518252FC"/>
    <w:rsid w:val="518DE45A"/>
    <w:rsid w:val="520F02E3"/>
    <w:rsid w:val="52273C35"/>
    <w:rsid w:val="52BC7F6B"/>
    <w:rsid w:val="52C37572"/>
    <w:rsid w:val="52E62D3E"/>
    <w:rsid w:val="5301AA4F"/>
    <w:rsid w:val="5338DAB3"/>
    <w:rsid w:val="533E322E"/>
    <w:rsid w:val="53C97571"/>
    <w:rsid w:val="53DA97C5"/>
    <w:rsid w:val="53F1AB6F"/>
    <w:rsid w:val="54018DB7"/>
    <w:rsid w:val="541BFF3C"/>
    <w:rsid w:val="5476ED15"/>
    <w:rsid w:val="547F6057"/>
    <w:rsid w:val="54B040A3"/>
    <w:rsid w:val="54C3F5D8"/>
    <w:rsid w:val="55BFB70B"/>
    <w:rsid w:val="55C4D4D4"/>
    <w:rsid w:val="560D7483"/>
    <w:rsid w:val="56377438"/>
    <w:rsid w:val="563854A4"/>
    <w:rsid w:val="563E32B1"/>
    <w:rsid w:val="5668EB0A"/>
    <w:rsid w:val="568C1E20"/>
    <w:rsid w:val="56AF2341"/>
    <w:rsid w:val="5733EC11"/>
    <w:rsid w:val="5775E560"/>
    <w:rsid w:val="57B2ADC0"/>
    <w:rsid w:val="57BFC04E"/>
    <w:rsid w:val="57CB8886"/>
    <w:rsid w:val="57F3E742"/>
    <w:rsid w:val="57FAFCE8"/>
    <w:rsid w:val="58262B74"/>
    <w:rsid w:val="582FD8C3"/>
    <w:rsid w:val="5886EFD7"/>
    <w:rsid w:val="588E6F8B"/>
    <w:rsid w:val="58E445F9"/>
    <w:rsid w:val="59115A96"/>
    <w:rsid w:val="5943F39A"/>
    <w:rsid w:val="59AFB4A3"/>
    <w:rsid w:val="5A4B6B71"/>
    <w:rsid w:val="5A7ECFE8"/>
    <w:rsid w:val="5AAB6AC9"/>
    <w:rsid w:val="5AB87A9A"/>
    <w:rsid w:val="5B080F8F"/>
    <w:rsid w:val="5B12FDE9"/>
    <w:rsid w:val="5B4B8504"/>
    <w:rsid w:val="5B6D886C"/>
    <w:rsid w:val="5BB99462"/>
    <w:rsid w:val="5C3F8C6D"/>
    <w:rsid w:val="5C834767"/>
    <w:rsid w:val="5CDC6A4A"/>
    <w:rsid w:val="5D0349E6"/>
    <w:rsid w:val="5D0F352A"/>
    <w:rsid w:val="5DB219AE"/>
    <w:rsid w:val="5DC3F5EE"/>
    <w:rsid w:val="5E186134"/>
    <w:rsid w:val="5E32ACE8"/>
    <w:rsid w:val="5E3A401A"/>
    <w:rsid w:val="5E57D6DA"/>
    <w:rsid w:val="5E8325C6"/>
    <w:rsid w:val="5F0967F8"/>
    <w:rsid w:val="5F418631"/>
    <w:rsid w:val="5FD7A2F8"/>
    <w:rsid w:val="5FFB48F4"/>
    <w:rsid w:val="60C1E24B"/>
    <w:rsid w:val="60CD6CB9"/>
    <w:rsid w:val="612554B7"/>
    <w:rsid w:val="61464EB4"/>
    <w:rsid w:val="617CA031"/>
    <w:rsid w:val="625A76F2"/>
    <w:rsid w:val="62694C31"/>
    <w:rsid w:val="62B3137D"/>
    <w:rsid w:val="62C81A4C"/>
    <w:rsid w:val="62FD563C"/>
    <w:rsid w:val="632BC37B"/>
    <w:rsid w:val="633C5BBA"/>
    <w:rsid w:val="638A6161"/>
    <w:rsid w:val="63F63C9A"/>
    <w:rsid w:val="63FBDAE2"/>
    <w:rsid w:val="64957E73"/>
    <w:rsid w:val="649F9736"/>
    <w:rsid w:val="64C4090D"/>
    <w:rsid w:val="64D15F8D"/>
    <w:rsid w:val="6560CED3"/>
    <w:rsid w:val="65985E27"/>
    <w:rsid w:val="65CDB31A"/>
    <w:rsid w:val="65D9612E"/>
    <w:rsid w:val="65E90C29"/>
    <w:rsid w:val="65FC2D3F"/>
    <w:rsid w:val="662099B1"/>
    <w:rsid w:val="66252779"/>
    <w:rsid w:val="66B28F04"/>
    <w:rsid w:val="66D1FFAA"/>
    <w:rsid w:val="6756D47C"/>
    <w:rsid w:val="677805F3"/>
    <w:rsid w:val="67D5BAF3"/>
    <w:rsid w:val="67DADF1E"/>
    <w:rsid w:val="67F78AEC"/>
    <w:rsid w:val="68067915"/>
    <w:rsid w:val="6827AFD7"/>
    <w:rsid w:val="682C1290"/>
    <w:rsid w:val="683C04B9"/>
    <w:rsid w:val="68A64F85"/>
    <w:rsid w:val="692F9617"/>
    <w:rsid w:val="6939BF80"/>
    <w:rsid w:val="6988EB5C"/>
    <w:rsid w:val="69F0780F"/>
    <w:rsid w:val="69F5C6EE"/>
    <w:rsid w:val="6A2BD790"/>
    <w:rsid w:val="6A5BD6AD"/>
    <w:rsid w:val="6AA72788"/>
    <w:rsid w:val="6B8AFFF4"/>
    <w:rsid w:val="6BA05655"/>
    <w:rsid w:val="6C16876E"/>
    <w:rsid w:val="6C1C8614"/>
    <w:rsid w:val="6C3E5EE7"/>
    <w:rsid w:val="6CDCC183"/>
    <w:rsid w:val="6CF4952D"/>
    <w:rsid w:val="6CF84948"/>
    <w:rsid w:val="6D1A17CA"/>
    <w:rsid w:val="6DD3AF1A"/>
    <w:rsid w:val="6E025203"/>
    <w:rsid w:val="6E306DCF"/>
    <w:rsid w:val="6EDAAC54"/>
    <w:rsid w:val="6F583377"/>
    <w:rsid w:val="6F90A9F8"/>
    <w:rsid w:val="70228D96"/>
    <w:rsid w:val="70366092"/>
    <w:rsid w:val="7042C7D0"/>
    <w:rsid w:val="704C06E2"/>
    <w:rsid w:val="705B4A98"/>
    <w:rsid w:val="706ADB5E"/>
    <w:rsid w:val="71146EA0"/>
    <w:rsid w:val="71323063"/>
    <w:rsid w:val="71664707"/>
    <w:rsid w:val="7181895A"/>
    <w:rsid w:val="71B9EDFA"/>
    <w:rsid w:val="720C8598"/>
    <w:rsid w:val="7216DE56"/>
    <w:rsid w:val="7225B8D9"/>
    <w:rsid w:val="725AAC7C"/>
    <w:rsid w:val="72A6C1AD"/>
    <w:rsid w:val="72B482F3"/>
    <w:rsid w:val="7310392A"/>
    <w:rsid w:val="7314A6B2"/>
    <w:rsid w:val="73167FD0"/>
    <w:rsid w:val="738A1501"/>
    <w:rsid w:val="73F55962"/>
    <w:rsid w:val="743218A1"/>
    <w:rsid w:val="7443C359"/>
    <w:rsid w:val="74B55338"/>
    <w:rsid w:val="74CDD0DC"/>
    <w:rsid w:val="7504EF79"/>
    <w:rsid w:val="7578A4C1"/>
    <w:rsid w:val="75B3D2F1"/>
    <w:rsid w:val="75F66717"/>
    <w:rsid w:val="76924505"/>
    <w:rsid w:val="76AB2263"/>
    <w:rsid w:val="76B9D206"/>
    <w:rsid w:val="76CCAB28"/>
    <w:rsid w:val="76CFC7E9"/>
    <w:rsid w:val="773D5A11"/>
    <w:rsid w:val="7778A596"/>
    <w:rsid w:val="781DCE8E"/>
    <w:rsid w:val="784BC31E"/>
    <w:rsid w:val="78668CDF"/>
    <w:rsid w:val="7894DF44"/>
    <w:rsid w:val="7A1A921C"/>
    <w:rsid w:val="7A2E165F"/>
    <w:rsid w:val="7A658C36"/>
    <w:rsid w:val="7A928073"/>
    <w:rsid w:val="7AFEBF24"/>
    <w:rsid w:val="7B3C9967"/>
    <w:rsid w:val="7B6DE88B"/>
    <w:rsid w:val="7BEF2841"/>
    <w:rsid w:val="7BF2B7F4"/>
    <w:rsid w:val="7BF914BB"/>
    <w:rsid w:val="7C10CB34"/>
    <w:rsid w:val="7C9A7702"/>
    <w:rsid w:val="7CC61707"/>
    <w:rsid w:val="7D58B200"/>
    <w:rsid w:val="7D766DD7"/>
    <w:rsid w:val="7DCC2ABB"/>
    <w:rsid w:val="7E426C35"/>
    <w:rsid w:val="7F1A0D22"/>
    <w:rsid w:val="7F201D66"/>
    <w:rsid w:val="7F338660"/>
    <w:rsid w:val="7F4B68A9"/>
    <w:rsid w:val="7F4CADAF"/>
    <w:rsid w:val="7F861EDA"/>
    <w:rsid w:val="7F9E7D4D"/>
    <w:rsid w:val="7FC1B185"/>
    <w:rsid w:val="7FF870B3"/>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7F1E3329"/>
  <w15:docId w15:val="{EE0A8D36-9022-4656-B227-FAE67E96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5A1"/>
    <w:rPr>
      <w:lang w:bidi="ar-SA"/>
    </w:rPr>
  </w:style>
  <w:style w:type="paragraph" w:styleId="Heading1">
    <w:name w:val="heading 1"/>
    <w:basedOn w:val="Normal"/>
    <w:next w:val="Normal"/>
    <w:qFormat/>
    <w:rsid w:val="000E1F25"/>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E1F25"/>
    <w:pPr>
      <w:autoSpaceDE w:val="0"/>
      <w:autoSpaceDN w:val="0"/>
      <w:adjustRightInd w:val="0"/>
      <w:ind w:left="720"/>
    </w:pPr>
    <w:rPr>
      <w:sz w:val="24"/>
      <w:szCs w:val="24"/>
      <w:lang w:bidi="ar-SA"/>
    </w:rPr>
  </w:style>
  <w:style w:type="paragraph" w:styleId="BodyTextIndent2">
    <w:name w:val="Body Text Indent 2"/>
    <w:basedOn w:val="Normal"/>
    <w:rsid w:val="000E1F25"/>
    <w:pPr>
      <w:spacing w:after="120" w:line="480" w:lineRule="auto"/>
      <w:ind w:left="360"/>
    </w:pPr>
    <w:rPr>
      <w:sz w:val="24"/>
      <w:szCs w:val="24"/>
    </w:rPr>
  </w:style>
  <w:style w:type="paragraph" w:styleId="HTMLPreformatted">
    <w:name w:val="HTML Preformatted"/>
    <w:basedOn w:val="Normal"/>
    <w:rsid w:val="000E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odyText1">
    <w:name w:val="Body Text1"/>
    <w:aliases w:val="body tx,bt,flush,indent,memo body text"/>
    <w:basedOn w:val="Normal"/>
    <w:link w:val="bodytextChar"/>
    <w:rsid w:val="000E1F25"/>
    <w:pPr>
      <w:spacing w:before="120" w:after="120"/>
      <w:ind w:firstLine="720"/>
    </w:pPr>
    <w:rPr>
      <w:sz w:val="22"/>
    </w:rPr>
  </w:style>
  <w:style w:type="character" w:styleId="Emphasis">
    <w:name w:val="Emphasis"/>
    <w:qFormat/>
    <w:rsid w:val="000E1F25"/>
    <w:rPr>
      <w:i/>
      <w:iCs/>
    </w:rPr>
  </w:style>
  <w:style w:type="character" w:customStyle="1" w:styleId="bodytextChar">
    <w:name w:val="body text Char"/>
    <w:aliases w:val="body text Char Char,body tx Char,bt Char,flush Char,indent Char"/>
    <w:link w:val="BodyText1"/>
    <w:rsid w:val="000E1F25"/>
    <w:rPr>
      <w:sz w:val="22"/>
      <w:lang w:val="en-US" w:eastAsia="en-US" w:bidi="ar-SA"/>
    </w:rPr>
  </w:style>
  <w:style w:type="paragraph" w:customStyle="1" w:styleId="CM33">
    <w:name w:val="CM33"/>
    <w:basedOn w:val="Normal"/>
    <w:next w:val="Normal"/>
    <w:rsid w:val="000E1F25"/>
    <w:pPr>
      <w:autoSpaceDE w:val="0"/>
      <w:autoSpaceDN w:val="0"/>
      <w:adjustRightInd w:val="0"/>
    </w:pPr>
    <w:rPr>
      <w:sz w:val="24"/>
      <w:szCs w:val="24"/>
    </w:rPr>
  </w:style>
  <w:style w:type="paragraph" w:customStyle="1" w:styleId="CM14">
    <w:name w:val="CM14"/>
    <w:basedOn w:val="Normal"/>
    <w:next w:val="Normal"/>
    <w:rsid w:val="000E1F25"/>
    <w:pPr>
      <w:autoSpaceDE w:val="0"/>
      <w:autoSpaceDN w:val="0"/>
      <w:adjustRightInd w:val="0"/>
      <w:spacing w:line="253" w:lineRule="atLeast"/>
    </w:pPr>
    <w:rPr>
      <w:sz w:val="24"/>
      <w:szCs w:val="24"/>
    </w:rPr>
  </w:style>
  <w:style w:type="paragraph" w:styleId="BodyText">
    <w:name w:val="Body Text"/>
    <w:basedOn w:val="Normal"/>
    <w:link w:val="BodyTextChar0"/>
    <w:rsid w:val="000E1F25"/>
    <w:pPr>
      <w:spacing w:after="120"/>
    </w:pPr>
  </w:style>
  <w:style w:type="character" w:customStyle="1" w:styleId="BodyTextChar0">
    <w:name w:val="Body Text Char"/>
    <w:link w:val="BodyText"/>
    <w:rsid w:val="000E1F25"/>
    <w:rPr>
      <w:lang w:val="en-US" w:eastAsia="en-US" w:bidi="ar-SA"/>
    </w:rPr>
  </w:style>
  <w:style w:type="paragraph" w:customStyle="1" w:styleId="TableHeaders">
    <w:name w:val="Table Headers"/>
    <w:basedOn w:val="Normal"/>
    <w:rsid w:val="000E1F25"/>
    <w:pPr>
      <w:keepNext/>
      <w:spacing w:before="40" w:after="40"/>
      <w:jc w:val="center"/>
    </w:pPr>
    <w:rPr>
      <w:rFonts w:ascii="Arial" w:hAnsi="Arial"/>
      <w:b/>
      <w:snapToGrid w:val="0"/>
      <w:color w:val="FFFFFF"/>
    </w:rPr>
  </w:style>
  <w:style w:type="paragraph" w:styleId="FootnoteText">
    <w:name w:val="footnote text"/>
    <w:basedOn w:val="Normal"/>
    <w:link w:val="FootnoteTextChar"/>
    <w:rsid w:val="000E1F25"/>
    <w:pPr>
      <w:widowControl w:val="0"/>
      <w:autoSpaceDE w:val="0"/>
      <w:autoSpaceDN w:val="0"/>
      <w:adjustRightInd w:val="0"/>
    </w:pPr>
  </w:style>
  <w:style w:type="character" w:customStyle="1" w:styleId="FootnoteTextChar">
    <w:name w:val="Footnote Text Char"/>
    <w:link w:val="FootnoteText"/>
    <w:rsid w:val="000E1F25"/>
    <w:rPr>
      <w:lang w:val="en-US" w:eastAsia="en-US" w:bidi="ar-SA"/>
    </w:rPr>
  </w:style>
  <w:style w:type="character" w:styleId="FootnoteReference">
    <w:name w:val="footnote reference"/>
    <w:rsid w:val="000E1F25"/>
    <w:rPr>
      <w:vertAlign w:val="superscript"/>
    </w:rPr>
  </w:style>
  <w:style w:type="paragraph" w:customStyle="1" w:styleId="bodytextpsg">
    <w:name w:val="bodytextpsg"/>
    <w:basedOn w:val="Normal"/>
    <w:rsid w:val="000E1F25"/>
    <w:pPr>
      <w:spacing w:after="120" w:line="360" w:lineRule="auto"/>
      <w:ind w:firstLine="720"/>
    </w:pPr>
    <w:rPr>
      <w:sz w:val="24"/>
      <w:szCs w:val="24"/>
    </w:rPr>
  </w:style>
  <w:style w:type="character" w:styleId="Hyperlink">
    <w:name w:val="Hyperlink"/>
    <w:rsid w:val="000E1F25"/>
    <w:rPr>
      <w:color w:val="0000FF"/>
      <w:u w:val="single"/>
    </w:rPr>
  </w:style>
  <w:style w:type="paragraph" w:styleId="Header">
    <w:name w:val="header"/>
    <w:basedOn w:val="Normal"/>
    <w:rsid w:val="00E22116"/>
    <w:pPr>
      <w:tabs>
        <w:tab w:val="center" w:pos="4320"/>
        <w:tab w:val="right" w:pos="8640"/>
      </w:tabs>
    </w:pPr>
  </w:style>
  <w:style w:type="paragraph" w:styleId="Footer">
    <w:name w:val="footer"/>
    <w:basedOn w:val="Normal"/>
    <w:rsid w:val="00E22116"/>
    <w:pPr>
      <w:tabs>
        <w:tab w:val="center" w:pos="4320"/>
        <w:tab w:val="right" w:pos="8640"/>
      </w:tabs>
    </w:pPr>
  </w:style>
  <w:style w:type="character" w:styleId="CommentReference">
    <w:name w:val="annotation reference"/>
    <w:rsid w:val="00552FE8"/>
    <w:rPr>
      <w:sz w:val="16"/>
      <w:szCs w:val="16"/>
    </w:rPr>
  </w:style>
  <w:style w:type="paragraph" w:styleId="CommentText">
    <w:name w:val="annotation text"/>
    <w:basedOn w:val="Normal"/>
    <w:link w:val="CommentTextChar"/>
    <w:rsid w:val="00552FE8"/>
  </w:style>
  <w:style w:type="character" w:customStyle="1" w:styleId="CommentTextChar">
    <w:name w:val="Comment Text Char"/>
    <w:basedOn w:val="DefaultParagraphFont"/>
    <w:link w:val="CommentText"/>
    <w:rsid w:val="00552FE8"/>
  </w:style>
  <w:style w:type="paragraph" w:styleId="CommentSubject">
    <w:name w:val="annotation subject"/>
    <w:basedOn w:val="CommentText"/>
    <w:next w:val="CommentText"/>
    <w:link w:val="CommentSubjectChar"/>
    <w:rsid w:val="00552FE8"/>
    <w:rPr>
      <w:b/>
      <w:bCs/>
    </w:rPr>
  </w:style>
  <w:style w:type="character" w:customStyle="1" w:styleId="CommentSubjectChar">
    <w:name w:val="Comment Subject Char"/>
    <w:link w:val="CommentSubject"/>
    <w:rsid w:val="00552FE8"/>
    <w:rPr>
      <w:b/>
      <w:bCs/>
    </w:rPr>
  </w:style>
  <w:style w:type="paragraph" w:styleId="BalloonText">
    <w:name w:val="Balloon Text"/>
    <w:basedOn w:val="Normal"/>
    <w:link w:val="BalloonTextChar"/>
    <w:rsid w:val="00552FE8"/>
    <w:rPr>
      <w:rFonts w:ascii="Tahoma" w:hAnsi="Tahoma" w:cs="Tahoma"/>
      <w:sz w:val="16"/>
      <w:szCs w:val="16"/>
    </w:rPr>
  </w:style>
  <w:style w:type="character" w:customStyle="1" w:styleId="BalloonTextChar">
    <w:name w:val="Balloon Text Char"/>
    <w:link w:val="BalloonText"/>
    <w:rsid w:val="00552FE8"/>
    <w:rPr>
      <w:rFonts w:ascii="Tahoma" w:hAnsi="Tahoma" w:cs="Tahoma"/>
      <w:sz w:val="16"/>
      <w:szCs w:val="16"/>
    </w:rPr>
  </w:style>
  <w:style w:type="paragraph" w:customStyle="1" w:styleId="CM66">
    <w:name w:val="CM66"/>
    <w:basedOn w:val="Normal"/>
    <w:next w:val="Normal"/>
    <w:rsid w:val="001E684A"/>
    <w:pPr>
      <w:autoSpaceDE w:val="0"/>
      <w:autoSpaceDN w:val="0"/>
      <w:adjustRightInd w:val="0"/>
    </w:pPr>
    <w:rPr>
      <w:sz w:val="24"/>
      <w:szCs w:val="24"/>
    </w:rPr>
  </w:style>
  <w:style w:type="character" w:styleId="PageNumber">
    <w:name w:val="page number"/>
    <w:basedOn w:val="DefaultParagraphFont"/>
    <w:rsid w:val="00912100"/>
  </w:style>
  <w:style w:type="paragraph" w:styleId="BodyText2">
    <w:name w:val="Body Text 2"/>
    <w:basedOn w:val="Normal"/>
    <w:link w:val="BodyText2Char"/>
    <w:rsid w:val="00271D89"/>
    <w:pPr>
      <w:spacing w:after="120" w:line="480" w:lineRule="auto"/>
    </w:pPr>
  </w:style>
  <w:style w:type="character" w:customStyle="1" w:styleId="BodyText2Char">
    <w:name w:val="Body Text 2 Char"/>
    <w:basedOn w:val="DefaultParagraphFont"/>
    <w:link w:val="BodyText2"/>
    <w:rsid w:val="00271D89"/>
  </w:style>
  <w:style w:type="character" w:styleId="FollowedHyperlink">
    <w:name w:val="FollowedHyperlink"/>
    <w:basedOn w:val="DefaultParagraphFont"/>
    <w:rsid w:val="0032740F"/>
    <w:rPr>
      <w:color w:val="800080" w:themeColor="followedHyperlink"/>
      <w:u w:val="single"/>
    </w:rPr>
  </w:style>
  <w:style w:type="paragraph" w:styleId="ListParagraph">
    <w:name w:val="List Paragraph"/>
    <w:basedOn w:val="Normal"/>
    <w:uiPriority w:val="34"/>
    <w:qFormat/>
    <w:rsid w:val="00222838"/>
    <w:pPr>
      <w:ind w:left="720"/>
      <w:contextualSpacing/>
    </w:pPr>
  </w:style>
  <w:style w:type="character" w:styleId="UnresolvedMention">
    <w:name w:val="Unresolved Mention"/>
    <w:basedOn w:val="DefaultParagraphFont"/>
    <w:uiPriority w:val="99"/>
    <w:semiHidden/>
    <w:unhideWhenUsed/>
    <w:rsid w:val="004D20A4"/>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F0AFA"/>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5Tables/html/DCB.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obaccoUserFees@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2EDB-AB07-40A9-A20D-3CF87BED35BB}">
  <ds:schemaRefs>
    <ds:schemaRef ds:uri="http://schemas.microsoft.com/sharepoint/v3/contenttype/forms"/>
  </ds:schemaRefs>
</ds:datastoreItem>
</file>

<file path=customXml/itemProps2.xml><?xml version="1.0" encoding="utf-8"?>
<ds:datastoreItem xmlns:ds="http://schemas.openxmlformats.org/officeDocument/2006/customXml" ds:itemID="{37F76214-E545-4606-8323-29264076BE72}">
  <ds:schemaRefs>
    <ds:schemaRef ds:uri="http://www.w3.org/XML/1998/namespace"/>
    <ds:schemaRef ds:uri="3c66cd9f-b2c2-4f0e-a893-47fba9e311c1"/>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D4C6EF2-3217-4F60-864B-1D073D02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A15E4-A76C-428E-B143-1DDB2195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3357</Words>
  <Characters>18618</Characters>
  <Application>Microsoft Office Word</Application>
  <DocSecurity>0</DocSecurity>
  <Lines>155</Lines>
  <Paragraphs>43</Paragraphs>
  <ScaleCrop>false</ScaleCrop>
  <Company>US FDA</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Fee Supporting Statement</dc:title>
  <dc:creator>Capezzuto, JonnaLynn</dc:creator>
  <cp:lastModifiedBy>Amber Sanford</cp:lastModifiedBy>
  <cp:revision>322</cp:revision>
  <cp:lastPrinted>2014-06-16T19:04:00Z</cp:lastPrinted>
  <dcterms:created xsi:type="dcterms:W3CDTF">2024-09-05T19:41:00Z</dcterms:created>
  <dcterms:modified xsi:type="dcterms:W3CDTF">2025-07-29T17:24:00Z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_ExtendedDescription">
    <vt:lpwstr/>
  </property>
</Properties>
</file>