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F48E9" w14:paraId="00000001" w14:textId="7777777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SUPPORTING STATEMENT</w:t>
      </w:r>
    </w:p>
    <w:p w:rsidR="00FF48E9" w14:paraId="00000002" w14:textId="7777777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U.S. Department of Commerce</w:t>
      </w:r>
    </w:p>
    <w:p w:rsidR="00FF48E9" w14:paraId="00000003" w14:textId="7777777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National Institute of Standards and Technology</w:t>
      </w:r>
    </w:p>
    <w:p w:rsidR="00FF48E9" w14:paraId="00000004" w14:textId="7777777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Generic Clearance for Community Resilience Data Collections</w:t>
      </w:r>
    </w:p>
    <w:p w:rsidR="00FF48E9" w14:paraId="00000005" w14:textId="7777777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OMB Control No. 0693-0078</w:t>
      </w:r>
    </w:p>
    <w:p w:rsidR="00FF48E9" w14:paraId="00000006" w14:textId="77777777">
      <w:pPr>
        <w:spacing w:line="240" w:lineRule="auto"/>
        <w:jc w:val="center"/>
        <w:rPr>
          <w:rFonts w:ascii="Times New Roman" w:eastAsia="Times New Roman" w:hAnsi="Times New Roman" w:cs="Times New Roman"/>
          <w:b/>
          <w:sz w:val="24"/>
          <w:szCs w:val="24"/>
        </w:rPr>
      </w:pPr>
    </w:p>
    <w:p w:rsidR="00FF48E9" w14:paraId="00000007" w14:textId="7777777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SUPPORTING STATEMENT PART A</w:t>
      </w:r>
    </w:p>
    <w:p w:rsidR="00FF48E9" w14:paraId="00000008" w14:textId="77777777">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Abstract</w:t>
      </w:r>
    </w:p>
    <w:p w:rsidR="007740B5" w14:paraId="757D8291" w14:textId="73940EE5">
      <w:pPr>
        <w:widowControl w:val="0"/>
        <w:spacing w:after="0" w:line="240" w:lineRule="auto"/>
        <w:rPr>
          <w:rFonts w:ascii="Times New Roman" w:eastAsia="Times New Roman" w:hAnsi="Times New Roman" w:cs="Times New Roman"/>
          <w:sz w:val="24"/>
          <w:szCs w:val="24"/>
        </w:rPr>
      </w:pPr>
      <w:r w:rsidRPr="007740B5">
        <w:rPr>
          <w:rFonts w:ascii="Times New Roman" w:eastAsia="Times New Roman" w:hAnsi="Times New Roman" w:cs="Times New Roman"/>
          <w:sz w:val="24"/>
          <w:szCs w:val="24"/>
        </w:rPr>
        <w:t>Through acts such as the National Construction Safety Team (NCST) Act, the National Windstorm Impact Reduction (NWIR) Act, the National Earthquake Hazard Reduction Act, and the NIST Organic Act, NIST conducts research and develops guidance and other related tools to promote and enhance the safety and well-being of people in the face of a hazard event. With this in mind, NIST proposes to conduct a number of data collection efforts within the topic areas of disaster and failure studies and community resilience, including studies of specific disaster events (e.g., wildfire, urban fire, structure collapse, hurricane, earthquake, tornado, and flood events), assessments of community resilience and sustainability, and evaluations of the usability and utility of NIST community resilience guidance or other products.</w:t>
      </w:r>
    </w:p>
    <w:p w:rsidR="00FF48E9" w14:paraId="0000000A" w14:textId="77777777">
      <w:pPr>
        <w:widowControl w:val="0"/>
        <w:spacing w:after="0" w:line="240" w:lineRule="auto"/>
        <w:rPr>
          <w:rFonts w:ascii="Times New Roman" w:eastAsia="Times New Roman" w:hAnsi="Times New Roman" w:cs="Times New Roman"/>
          <w:sz w:val="24"/>
          <w:szCs w:val="24"/>
        </w:rPr>
      </w:pPr>
    </w:p>
    <w:p w:rsidR="00FF48E9" w14:paraId="0000000B" w14:textId="7254C1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data collection efforts may be either qualitative or quantitative in nature or may consist of mixed methods. Additionally, data may be collected via a variety of means, including but not limited to electronic or social media, direct or indirect observation (i.e., in person, video and audio collections), interviews, questionnaires, and focus groups. NIST will limit its inquiries to data collections that solicit strictly voluntary opinions or responses. The results of the data collected will be used to decrease negative impacts of disasters on society, and, in turn, increase community resilience within the U.S. communities</w:t>
      </w:r>
      <w:r w:rsidR="005F7DF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rsidR="00FF48E9" w14:paraId="0000000C" w14:textId="77777777">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FF48E9" w14:paraId="0000000E" w14:textId="54FDB2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notice pertains to an extension of a previously approved submission (Generic Clearance for Community Resilience Data Collections; OMB Control No. 0693-0078). The NIST Engineering Laboratory utilizes this clearance to conduct research in support of topic areas of disaster and failure studies, building and infrastructure functionality, and community resilience (including studies of specific disaster events such as wildfire, urban fire, structure collapse, hurricane, earthquake, tornado, and flood events).</w:t>
      </w:r>
    </w:p>
    <w:p w:rsidR="00FF48E9" w14:paraId="0000000F"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FF48E9" w14:paraId="00000010"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type of research is directly related to a range of disasters which are unpredictable in their number, intensity, and regional or national significance during a given year.  Additionally, some disasters may require multiple studies resulting in multiple collections. Therefore, </w:t>
      </w:r>
      <w:r>
        <w:rPr>
          <w:rFonts w:ascii="Times New Roman" w:eastAsia="Times New Roman" w:hAnsi="Times New Roman" w:cs="Times New Roman"/>
          <w:sz w:val="24"/>
          <w:szCs w:val="24"/>
        </w:rPr>
        <w:t>in light of</w:t>
      </w:r>
      <w:r>
        <w:rPr>
          <w:rFonts w:ascii="Times New Roman" w:eastAsia="Times New Roman" w:hAnsi="Times New Roman" w:cs="Times New Roman"/>
          <w:sz w:val="24"/>
          <w:szCs w:val="24"/>
        </w:rPr>
        <w:t xml:space="preserve"> the recent increases in the number of severe disaster events and the growing trend of disasters occurring outside of their typical season, NIST is requesting to maintain the ICR Annual Response allotment of 25,000 Responses; and the ICR Annual Hours allotment of 18,000. NIST assures that no changes will be made to any of the individual information collection requests that have been approved for use.  </w:t>
      </w:r>
    </w:p>
    <w:p w:rsidR="00FF48E9" w14:paraId="00000011" w14:textId="77777777">
      <w:pPr>
        <w:spacing w:after="0" w:line="240" w:lineRule="auto"/>
        <w:rPr>
          <w:rFonts w:ascii="Times New Roman" w:eastAsia="Times New Roman" w:hAnsi="Times New Roman" w:cs="Times New Roman"/>
          <w:sz w:val="24"/>
          <w:szCs w:val="24"/>
        </w:rPr>
      </w:pPr>
    </w:p>
    <w:p w:rsidR="00FF48E9" w14:paraId="00000013" w14:textId="0223B323">
      <w:pPr>
        <w:spacing w:line="480" w:lineRule="auto"/>
        <w:ind w:hanging="2"/>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Justification</w:t>
      </w:r>
    </w:p>
    <w:p w:rsidR="00FF48E9" w14:paraId="00000014" w14:textId="7777777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 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p>
    <w:p w:rsidR="00FF48E9" w14:paraId="00000015" w14:textId="77777777">
      <w:pPr>
        <w:spacing w:line="256"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accordance with the Office of Management and Budget’s (OMB) regulations at 5 CFR 1320 - implementing the Paperwork Reduction Act, the Government Performance and Results Act (GPRA) of 1993, Executive Order 12862 - Setting Customer Service Standards, the National Performance Review, good management practices, and its mission, </w:t>
      </w:r>
    </w:p>
    <w:p w:rsidR="00FF48E9" w:rsidP="008A3DAC" w14:paraId="00000017" w14:textId="328269A8">
      <w:pPr>
        <w:spacing w:line="256" w:lineRule="auto"/>
        <w:ind w:firstLine="360"/>
      </w:pPr>
      <w:r>
        <w:rPr>
          <w:rFonts w:ascii="Times New Roman" w:eastAsia="Times New Roman" w:hAnsi="Times New Roman" w:cs="Times New Roman"/>
          <w:sz w:val="24"/>
          <w:szCs w:val="24"/>
        </w:rPr>
        <w:t>“To strengthen the U.S. economy and improve the quality of life by working with industry to develop and apply technology, measurements, and standards” the National Institute of Standards and Technology (NIST), a non-regulatory agency of the Department of Commerce, proposes to conduct a number of surveys and other empirical data collections related to NIST efforts to better understand community resilience, hazard impacts, and related planning processes for the built environment under this generic collection.</w:t>
      </w:r>
      <w:r w:rsidR="008A3DAC">
        <w:rPr>
          <w:rFonts w:ascii="Times New Roman" w:eastAsia="Times New Roman" w:hAnsi="Times New Roman" w:cs="Times New Roman"/>
          <w:sz w:val="24"/>
          <w:szCs w:val="24"/>
        </w:rPr>
        <w:br/>
      </w:r>
    </w:p>
    <w:p w:rsidR="00FF48E9" w14:paraId="00000018" w14:textId="7777777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Indicate how, by whom, and for what purpose the information is to be used. Except for a new collection, indicate the actual use the agency has made of the information received from the current collection.</w:t>
      </w:r>
    </w:p>
    <w:p w:rsidR="00FF48E9" w14:paraId="00000019"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data collections, both quantitative and qualitative, are designed to determine information and feedback that strengthens the understanding of community resilience against potential hazard events. Under such acts as the National Construction Safety Team Act, the National Windstorm Impact Reduction Act, the National Earthquake Hazard Reduction Act, and the NIST Organic Act, NIST conducts research and develops guidance and other related tools to ensure and enhance the safety and well-being of people in the face of a hazard event. </w:t>
      </w:r>
    </w:p>
    <w:p w:rsidR="00FF48E9" w14:paraId="0000001A"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NIST proposes to conduct </w:t>
      </w:r>
      <w:r>
        <w:rPr>
          <w:rFonts w:ascii="Times New Roman" w:eastAsia="Times New Roman" w:hAnsi="Times New Roman" w:cs="Times New Roman"/>
          <w:sz w:val="24"/>
          <w:szCs w:val="24"/>
        </w:rPr>
        <w:t>a number of</w:t>
      </w:r>
      <w:r>
        <w:rPr>
          <w:rFonts w:ascii="Times New Roman" w:eastAsia="Times New Roman" w:hAnsi="Times New Roman" w:cs="Times New Roman"/>
          <w:sz w:val="24"/>
          <w:szCs w:val="24"/>
        </w:rPr>
        <w:t xml:space="preserve"> data collection efforts within the topic areas of disaster and failure studies and community resilience, including studies of specific disaster events (e.g., wildfire, urban fire, structure collapse, hurricane, earthquake, tornado, and flood events), assessments of community resilience and sustainability, and evaluations of the usability and utility of NIST guidance or other products. For example, one study may assess user perceptions and applications of the NIST “Community Resilience Planning Guide for Buildings and Infrastructure Systems” as well as adherence to codes and standards in community resilience planning. Another example may include the study of disaster impacts to community members due to a large-scale wildfire event. These data collections efforts may be either qualitative or quantitative in </w:t>
      </w:r>
      <w:r>
        <w:rPr>
          <w:rFonts w:ascii="Times New Roman" w:eastAsia="Times New Roman" w:hAnsi="Times New Roman" w:cs="Times New Roman"/>
          <w:sz w:val="24"/>
          <w:szCs w:val="24"/>
        </w:rPr>
        <w:t>nature, or</w:t>
      </w:r>
      <w:r>
        <w:rPr>
          <w:rFonts w:ascii="Times New Roman" w:eastAsia="Times New Roman" w:hAnsi="Times New Roman" w:cs="Times New Roman"/>
          <w:sz w:val="24"/>
          <w:szCs w:val="24"/>
        </w:rPr>
        <w:t xml:space="preserve"> may consist of mixed methods. Additionally, data may be collected via a variety of means, including but not limited to electronic or social media, direct or indirect observation (i.e., in person, video and audio collections), interviews, questionnaires, and focus groups. NIST will limit its inquiries to data collections that solicit voluntary responses. The results of the data collected will be used in research efforts aimed to decrease negative impacts of </w:t>
      </w:r>
      <w:r>
        <w:rPr>
          <w:rFonts w:ascii="Times New Roman" w:eastAsia="Times New Roman" w:hAnsi="Times New Roman" w:cs="Times New Roman"/>
          <w:sz w:val="24"/>
          <w:szCs w:val="24"/>
        </w:rPr>
        <w:t xml:space="preserve">hazards on society, and, in turn, to increase community resilience within the U.S. communities. Steps will be taken to ensure anonymity of respondents in each activity covered by this request. </w:t>
      </w:r>
    </w:p>
    <w:p w:rsidR="00FF48E9" w14:paraId="0000001B" w14:textId="6CCE069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list of information collections that have been previously approved. Several of these information collections have directly supported National Construction Safety Team </w:t>
      </w:r>
      <w:r w:rsidR="0034721F">
        <w:rPr>
          <w:rFonts w:ascii="Times New Roman" w:eastAsia="Times New Roman" w:hAnsi="Times New Roman" w:cs="Times New Roman"/>
          <w:sz w:val="24"/>
          <w:szCs w:val="24"/>
        </w:rPr>
        <w:t>i</w:t>
      </w:r>
      <w:r>
        <w:rPr>
          <w:rFonts w:ascii="Times New Roman" w:eastAsia="Times New Roman" w:hAnsi="Times New Roman" w:cs="Times New Roman"/>
          <w:sz w:val="24"/>
          <w:szCs w:val="24"/>
        </w:rPr>
        <w:t>nvestigations and continue to do so. The list includes only those information collections that will be renewed in 2025.</w:t>
      </w:r>
    </w:p>
    <w:p w:rsidR="00FF48E9" w14:paraId="0000001C" w14:textId="77777777">
      <w:pPr>
        <w:numPr>
          <w:ilvl w:val="0"/>
          <w:numId w:val="1"/>
        </w:num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Manufacturing Resilience Survey: Hurricane Maria (Short Survey Version).</w:t>
      </w:r>
    </w:p>
    <w:p w:rsidR="00FF48E9" w14:paraId="0000001D" w14:textId="77777777">
      <w:pPr>
        <w:numPr>
          <w:ilvl w:val="0"/>
          <w:numId w:val="1"/>
        </w:num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Manufacturing Resilience Survey: Hurricane Maria (Long Survey Version).</w:t>
      </w:r>
    </w:p>
    <w:p w:rsidR="00FF48E9" w14:paraId="0000001E" w14:textId="77777777">
      <w:pPr>
        <w:numPr>
          <w:ilvl w:val="0"/>
          <w:numId w:val="1"/>
        </w:numP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Hurricane Maria Transportation Interview</w:t>
      </w:r>
    </w:p>
    <w:p w:rsidR="00FF48E9" w14:paraId="0000001F" w14:textId="77777777">
      <w:pPr>
        <w:numPr>
          <w:ilvl w:val="0"/>
          <w:numId w:val="1"/>
        </w:num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Infrastructure Interdependency Following Hurr Maria: Component 5 Municipal Transportation</w:t>
      </w:r>
    </w:p>
    <w:p w:rsidR="00FF48E9" w14:paraId="00000020" w14:textId="77777777">
      <w:pPr>
        <w:numPr>
          <w:ilvl w:val="0"/>
          <w:numId w:val="1"/>
        </w:num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Infrastructure Interdependency Following Hurr Maria: Component 4 Transportation</w:t>
      </w:r>
    </w:p>
    <w:p w:rsidR="00FF48E9" w14:paraId="00000021" w14:textId="77777777">
      <w:pPr>
        <w:numPr>
          <w:ilvl w:val="0"/>
          <w:numId w:val="1"/>
        </w:num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Infrastructure Interdependency Following Hurr Maria: Component 3 Power Service</w:t>
      </w:r>
    </w:p>
    <w:p w:rsidR="00FF48E9" w14:paraId="00000022" w14:textId="77777777">
      <w:pPr>
        <w:numPr>
          <w:ilvl w:val="0"/>
          <w:numId w:val="1"/>
        </w:num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Infrastructure Interdependency Following Hurr Maria: Component 2 Comm Water Service</w:t>
      </w:r>
    </w:p>
    <w:p w:rsidR="00FF48E9" w14:paraId="00000023" w14:textId="77777777">
      <w:pPr>
        <w:numPr>
          <w:ilvl w:val="0"/>
          <w:numId w:val="1"/>
        </w:num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Infrastructure Interdependency Following Hurr Maria: Component 1 Water</w:t>
      </w:r>
    </w:p>
    <w:p w:rsidR="00FF48E9" w14:paraId="00000024" w14:textId="77777777">
      <w:pPr>
        <w:numPr>
          <w:ilvl w:val="0"/>
          <w:numId w:val="1"/>
        </w:numP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NIST Hurricane Maria Study, Hurricane Maria Recovery of Critical Social Functions Project: School Recovery Following Hurricane Maria School Recovery Survey Wave 2.</w:t>
      </w:r>
    </w:p>
    <w:p w:rsidR="00FF48E9" w14:paraId="00000025" w14:textId="77777777">
      <w:pPr>
        <w:numPr>
          <w:ilvl w:val="0"/>
          <w:numId w:val="1"/>
        </w:numP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NIST Hurricane Maria Study, Hurricane Maria Recovery of Critical Social Functions, Project: Hospital Recovery Following Hurricane Maria Hospital Recovery Survey Wave 2.</w:t>
      </w:r>
    </w:p>
    <w:p w:rsidR="00FF48E9" w14:paraId="00000026" w14:textId="77777777">
      <w:pPr>
        <w:numPr>
          <w:ilvl w:val="0"/>
          <w:numId w:val="1"/>
        </w:numPr>
        <w:pBdr>
          <w:top w:val="nil"/>
          <w:left w:val="nil"/>
          <w:bottom w:val="nil"/>
          <w:right w:val="nil"/>
          <w:between w:val="nil"/>
        </w:pBd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Champlain Towers South (CTS) Condominium Collapse in Surfside, FL INTERVIEW GUIDE COMPONENT 1: CTS RESIDENTS</w:t>
      </w:r>
    </w:p>
    <w:p w:rsidR="00FF48E9" w14:paraId="00000027" w14:textId="77777777">
      <w:pPr>
        <w:numPr>
          <w:ilvl w:val="0"/>
          <w:numId w:val="1"/>
        </w:numPr>
        <w:pBdr>
          <w:top w:val="nil"/>
          <w:left w:val="nil"/>
          <w:bottom w:val="nil"/>
          <w:right w:val="nil"/>
          <w:between w:val="nil"/>
        </w:pBd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Champlain Towers South (CTS) Condominium Collapse in Surfside, FL INTERVIEW GUIDE COMPONENT 2: CTS CONDO ASS BOARD MEMBERS</w:t>
      </w:r>
    </w:p>
    <w:p w:rsidR="00FF48E9" w14:paraId="00000028" w14:textId="77777777">
      <w:pPr>
        <w:numPr>
          <w:ilvl w:val="0"/>
          <w:numId w:val="1"/>
        </w:numPr>
        <w:pBdr>
          <w:top w:val="nil"/>
          <w:left w:val="nil"/>
          <w:bottom w:val="nil"/>
          <w:right w:val="nil"/>
          <w:between w:val="nil"/>
        </w:pBd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Champlain Towers South (CTS) Condominium Collapse in Surfside, FL INTERVIEW GUIDE COMPONENT 3: CTS VISITORS</w:t>
      </w:r>
    </w:p>
    <w:p w:rsidR="00FF48E9" w14:paraId="00000029" w14:textId="77777777">
      <w:pPr>
        <w:numPr>
          <w:ilvl w:val="0"/>
          <w:numId w:val="1"/>
        </w:numPr>
        <w:pBdr>
          <w:top w:val="nil"/>
          <w:left w:val="nil"/>
          <w:bottom w:val="nil"/>
          <w:right w:val="nil"/>
          <w:between w:val="nil"/>
        </w:pBd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Champlain Towers South (CTS) Condominium Collapse in Surfside, FL INTERVIEW GUIDE COMPONENT 4: CTS STRUCTURES SPECIALIST</w:t>
      </w:r>
    </w:p>
    <w:p w:rsidR="00FF48E9" w14:paraId="0000002A" w14:textId="77777777">
      <w:pPr>
        <w:numPr>
          <w:ilvl w:val="0"/>
          <w:numId w:val="1"/>
        </w:numPr>
        <w:pBdr>
          <w:top w:val="nil"/>
          <w:left w:val="nil"/>
          <w:bottom w:val="nil"/>
          <w:right w:val="nil"/>
          <w:between w:val="nil"/>
        </w:pBd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Champlain Towers South (CTS) Condominium Collapse in Surfside, FL INTERVIEW GUIDE COMPONENT 5: CTS COLLAPSE SITE PERSONNEL HANDLING CONCRETE</w:t>
      </w:r>
    </w:p>
    <w:p w:rsidR="00FF48E9" w14:paraId="0000002B" w14:textId="77777777">
      <w:pPr>
        <w:numPr>
          <w:ilvl w:val="0"/>
          <w:numId w:val="1"/>
        </w:numPr>
        <w:pBdr>
          <w:top w:val="nil"/>
          <w:left w:val="nil"/>
          <w:bottom w:val="nil"/>
          <w:right w:val="nil"/>
          <w:between w:val="nil"/>
        </w:pBd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Champlain Towers South (CTS) Condominium Collapse in Surfside, FL INTERVIEW GUIDE COMPONENT 6: CTS MAINTENANCE STAFF</w:t>
      </w:r>
    </w:p>
    <w:p w:rsidR="00FF48E9" w14:paraId="0000002C" w14:textId="77777777">
      <w:pPr>
        <w:numPr>
          <w:ilvl w:val="0"/>
          <w:numId w:val="1"/>
        </w:numPr>
        <w:pBdr>
          <w:top w:val="nil"/>
          <w:left w:val="nil"/>
          <w:bottom w:val="nil"/>
          <w:right w:val="nil"/>
          <w:between w:val="nil"/>
        </w:pBd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Champlain Towers South (CTS) Condominium Collapse in Surfside, FL INTERVIEW GUIDE COMPONENT 7: CTS NON_MAIN STAFF</w:t>
      </w:r>
    </w:p>
    <w:p w:rsidR="00FF48E9" w14:paraId="0000002D" w14:textId="77777777">
      <w:pPr>
        <w:numPr>
          <w:ilvl w:val="0"/>
          <w:numId w:val="1"/>
        </w:numPr>
        <w:pBdr>
          <w:top w:val="nil"/>
          <w:left w:val="nil"/>
          <w:bottom w:val="nil"/>
          <w:right w:val="nil"/>
          <w:between w:val="nil"/>
        </w:pBd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Champlain Towers South (CTS) Condominium Collapse in Surfside, FL INTERVIEW GUIDE COMPONENT 8: CTS CONTRACTOR</w:t>
      </w:r>
    </w:p>
    <w:p w:rsidR="00FF48E9" w14:paraId="0000002E" w14:textId="77777777">
      <w:pPr>
        <w:numPr>
          <w:ilvl w:val="0"/>
          <w:numId w:val="1"/>
        </w:numPr>
        <w:pBdr>
          <w:top w:val="nil"/>
          <w:left w:val="nil"/>
          <w:bottom w:val="nil"/>
          <w:right w:val="nil"/>
          <w:between w:val="nil"/>
        </w:pBd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Champlain Towers South (CTS) Condominium Collapse in Surfside, FL INTERVIEW GUIDE COMPONENT 9: POTENTIAL CONTRACTOR</w:t>
      </w:r>
    </w:p>
    <w:p w:rsidR="00FF48E9" w14:paraId="0000002F" w14:textId="77777777">
      <w:pPr>
        <w:numPr>
          <w:ilvl w:val="0"/>
          <w:numId w:val="1"/>
        </w:numPr>
        <w:pBdr>
          <w:top w:val="nil"/>
          <w:left w:val="nil"/>
          <w:bottom w:val="nil"/>
          <w:right w:val="nil"/>
          <w:between w:val="nil"/>
        </w:pBd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Champlain Towers South (CTS) Condominium Collapse in Surfside, FL INTERVIEW GUIDE COMPONENT 10: THOSE WITH HISTORICAL INSIGHTS ON THE TOWN OF SURFSIDE</w:t>
      </w:r>
    </w:p>
    <w:p w:rsidR="008A3DAC" w:rsidRPr="008A3DAC" w:rsidP="008A3DAC" w14:paraId="5FBB4A7F" w14:textId="62F090DB">
      <w:pPr>
        <w:numPr>
          <w:ilvl w:val="0"/>
          <w:numId w:val="1"/>
        </w:numPr>
        <w:pBdr>
          <w:top w:val="nil"/>
          <w:left w:val="nil"/>
          <w:bottom w:val="nil"/>
          <w:right w:val="nil"/>
          <w:between w:val="nil"/>
        </w:pBd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Champlain Towers South (CTS) Condominium Collapse in Surfside, FL INTERVIEW GUIDE COMPONENT 11: THOSE WITH INSIGHTS ON THE CTS BUILDING and SITE HISTORY</w:t>
      </w:r>
    </w:p>
    <w:p w:rsidR="00FF48E9" w14:paraId="00000031" w14:textId="77777777">
      <w:pPr>
        <w:spacing w:line="240" w:lineRule="auto"/>
        <w:rPr>
          <w:rFonts w:ascii="Times New Roman" w:eastAsia="Times New Roman" w:hAnsi="Times New Roman" w:cs="Times New Roman"/>
          <w:b/>
          <w:sz w:val="24"/>
          <w:szCs w:val="24"/>
        </w:rPr>
      </w:pPr>
    </w:p>
    <w:p w:rsidR="00FF48E9" w14:paraId="00000032" w14:textId="7777777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Describe whether, and to what extent, the collection of information involves the </w:t>
      </w:r>
      <w:r>
        <w:rPr>
          <w:rFonts w:ascii="Times New Roman" w:eastAsia="Times New Roman" w:hAnsi="Times New Roman" w:cs="Times New Roman"/>
          <w:b/>
          <w:sz w:val="24"/>
          <w:szCs w:val="24"/>
        </w:rPr>
        <w:t>use  of</w:t>
      </w:r>
      <w:r>
        <w:rPr>
          <w:rFonts w:ascii="Times New Roman" w:eastAsia="Times New Roman" w:hAnsi="Times New Roman" w:cs="Times New Roman"/>
          <w:b/>
          <w:sz w:val="24"/>
          <w:szCs w:val="24"/>
        </w:rPr>
        <w:t xml:space="preserve">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FF48E9" w14:paraId="00000033" w14:textId="77777777">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Whenever possible, information technology will be used to reduce burden on solicited individuals. In addition to traditional data collection methods, NIST will, whenever appropriate, offer electronic response options via the NIST website.  </w:t>
      </w:r>
    </w:p>
    <w:p w:rsidR="00FF48E9" w14:paraId="00000034" w14:textId="77777777">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planned use of transactional and electronic web site surveys will substantially contribute to the number of projected responses and associated burden hours.</w:t>
      </w:r>
    </w:p>
    <w:p w:rsidR="00FF48E9" w14:paraId="00000035" w14:textId="5F1B2458">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general, the data collected will be used by NIST researchers to better understand community resilience, related planning and response processes, and building and infrastructure functionality, and impacted social and economic systems, as well as to plan the direction of future research and guidelines. The surveys and other empirical data collections may include involvement from the following members of the public: individuals or households; first responders; weather forecasters; members of the media; water, power, transportation, and communications infrastructure operators; business or other for profit organizations; not-for-profit institutions; education institutions; medical institutions; Regional, State, Local or Tribal Government; Federal government; standards-making bodies; and professional associations.</w:t>
      </w:r>
    </w:p>
    <w:p w:rsidR="00FF48E9" w14:paraId="00000036" w14:textId="01F64527">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collected will not be directly disseminated to the public in raw form, but aspects or portions of the information collected may be released and used to support research </w:t>
      </w:r>
      <w:r w:rsidR="00694731">
        <w:rPr>
          <w:rFonts w:ascii="Times New Roman" w:eastAsia="Times New Roman" w:hAnsi="Times New Roman" w:cs="Times New Roman"/>
          <w:sz w:val="24"/>
          <w:szCs w:val="24"/>
        </w:rPr>
        <w:t xml:space="preserve">in an aggregate form to be </w:t>
      </w:r>
      <w:r>
        <w:rPr>
          <w:rFonts w:ascii="Times New Roman" w:eastAsia="Times New Roman" w:hAnsi="Times New Roman" w:cs="Times New Roman"/>
          <w:sz w:val="24"/>
          <w:szCs w:val="24"/>
        </w:rPr>
        <w:t>published in various journals, papers, reports, presentations, and guidance documents.</w:t>
      </w:r>
    </w:p>
    <w:p w:rsidR="00FF48E9" w14:paraId="00000037" w14:textId="77777777">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collected from individual collections under this umbrella submission may be categorized as Human Subjects research. In such cases, individual collection efforts will need to be vetted through and approved by the NIST Human Subjects Protection Office (HSPO) as needed or required.  The frequency of data collection efforts will be on an as-needed basis. </w:t>
      </w:r>
    </w:p>
    <w:p w:rsidR="00FF48E9" w14:paraId="00000038" w14:textId="77777777">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information collection and dissemination will comply with the NIST Chief Information Officer (CIO) Information Quality Guidelines and Standards.  Quality will be ensured and established at levels appropriate to the nature and timeliness of the information to be disseminated and will include all pre-dissemination reviews, as required by the Information Quality Guidelines and Standards.  </w:t>
      </w:r>
    </w:p>
    <w:p w:rsidR="00FF48E9" w14:paraId="00000039" w14:textId="7777777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 Describe efforts to identify duplication. Show specifically why any similar information already available cannot be used or modified for use for the purposes described in Item 2 above.</w:t>
      </w:r>
    </w:p>
    <w:p w:rsidR="00FF48E9" w14:paraId="0000003A" w14:textId="77777777">
      <w:pPr>
        <w:spacing w:after="0" w:line="240" w:lineRule="auto"/>
        <w:rPr>
          <w:color w:val="000000"/>
        </w:rPr>
      </w:pPr>
      <w:r>
        <w:rPr>
          <w:rFonts w:ascii="Times New Roman" w:eastAsia="Times New Roman" w:hAnsi="Times New Roman" w:cs="Times New Roman"/>
          <w:color w:val="000000"/>
          <w:sz w:val="24"/>
          <w:szCs w:val="24"/>
        </w:rPr>
        <w:t xml:space="preserve">NIST has an internal review process that will examine each survey or data collection effort to be conducted under the generic clearance—to prevent internal duplication of effort and to ensure that appropriate data collection instruments are developed. </w:t>
      </w: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By examining its three-year, NIST-wide requirements and combining those requirements into a generic clearance request, NIST is, to the greatest extent possible, centralizing the administration of its customer data collections.  This will provide for a more consistent and comprehensive approach.  While there may be other surveys or data collections that become the subject of separate clearance requests, NIST is confident that the procedures in place ensure that there will be no duplication within NIST-directed research.   </w:t>
      </w:r>
    </w:p>
    <w:p w:rsidR="00FF48E9" w14:paraId="0000003B" w14:textId="77777777">
      <w:pPr>
        <w:spacing w:after="0" w:line="240" w:lineRule="auto"/>
        <w:rPr>
          <w:color w:val="000000"/>
        </w:rPr>
      </w:pPr>
      <w:r>
        <w:rPr>
          <w:rFonts w:ascii="Times New Roman" w:eastAsia="Times New Roman" w:hAnsi="Times New Roman" w:cs="Times New Roman"/>
          <w:color w:val="000000"/>
          <w:sz w:val="24"/>
          <w:szCs w:val="24"/>
        </w:rPr>
        <w:t> </w:t>
      </w:r>
    </w:p>
    <w:p w:rsidR="00FF48E9" w14:paraId="0000003C" w14:textId="2F4E387C">
      <w:pPr>
        <w:spacing w:after="0" w:line="240" w:lineRule="auto"/>
        <w:rPr>
          <w:color w:val="000000"/>
        </w:rPr>
      </w:pPr>
      <w:r>
        <w:rPr>
          <w:rFonts w:ascii="Times New Roman" w:eastAsia="Times New Roman" w:hAnsi="Times New Roman" w:cs="Times New Roman"/>
          <w:color w:val="000000"/>
          <w:sz w:val="24"/>
          <w:szCs w:val="24"/>
        </w:rPr>
        <w:t xml:space="preserve">The surveys and other empirical data collections may include involvement from the following members of the public: Individuals or households; first responders; weather forecasters; members of the media; water, power, transportation, and communications infrastructure operators; business or other </w:t>
      </w:r>
      <w:r w:rsidR="00B6334A">
        <w:rPr>
          <w:rFonts w:ascii="Times New Roman" w:eastAsia="Times New Roman" w:hAnsi="Times New Roman" w:cs="Times New Roman"/>
          <w:color w:val="000000"/>
          <w:sz w:val="24"/>
          <w:szCs w:val="24"/>
        </w:rPr>
        <w:t>for-</w:t>
      </w:r>
      <w:r>
        <w:rPr>
          <w:rFonts w:ascii="Times New Roman" w:eastAsia="Times New Roman" w:hAnsi="Times New Roman" w:cs="Times New Roman"/>
          <w:color w:val="000000"/>
          <w:sz w:val="24"/>
          <w:szCs w:val="24"/>
        </w:rPr>
        <w:t>profit organizations; not-for-profit institutions; education institutions; medical institutions; Regional, State, Local or Tribal Government; Federal government; standards-making bodies; and professional associations. These entities should only respond to questionnaires once when the data to be collected will constitute a cross-sectional data set. </w:t>
      </w:r>
    </w:p>
    <w:p w:rsidR="00FF48E9" w14:paraId="0000003D" w14:textId="77777777">
      <w:pPr>
        <w:spacing w:after="0" w:line="240" w:lineRule="auto"/>
        <w:rPr>
          <w:color w:val="000000"/>
        </w:rPr>
      </w:pPr>
      <w:r>
        <w:rPr>
          <w:rFonts w:ascii="Times New Roman" w:eastAsia="Times New Roman" w:hAnsi="Times New Roman" w:cs="Times New Roman"/>
          <w:color w:val="000000"/>
          <w:sz w:val="24"/>
          <w:szCs w:val="24"/>
        </w:rPr>
        <w:t> </w:t>
      </w:r>
    </w:p>
    <w:p w:rsidR="00FF48E9" w14:paraId="0000003E" w14:textId="06789C57">
      <w:pPr>
        <w:spacing w:after="0" w:line="240" w:lineRule="auto"/>
        <w:rPr>
          <w:color w:val="000000"/>
        </w:rPr>
      </w:pPr>
      <w:r>
        <w:rPr>
          <w:rFonts w:ascii="Times New Roman" w:eastAsia="Times New Roman" w:hAnsi="Times New Roman" w:cs="Times New Roman"/>
          <w:color w:val="000000"/>
          <w:sz w:val="24"/>
          <w:szCs w:val="24"/>
        </w:rPr>
        <w:t xml:space="preserve">Given the long timeframe associated with community resilience </w:t>
      </w:r>
      <w:r w:rsidR="00D13369">
        <w:rPr>
          <w:rFonts w:ascii="Times New Roman" w:eastAsia="Times New Roman" w:hAnsi="Times New Roman" w:cs="Times New Roman"/>
          <w:color w:val="000000"/>
          <w:sz w:val="24"/>
          <w:szCs w:val="24"/>
        </w:rPr>
        <w:t xml:space="preserve">studies </w:t>
      </w:r>
      <w:r>
        <w:rPr>
          <w:rFonts w:ascii="Times New Roman" w:eastAsia="Times New Roman" w:hAnsi="Times New Roman" w:cs="Times New Roman"/>
          <w:color w:val="000000"/>
          <w:sz w:val="24"/>
          <w:szCs w:val="24"/>
        </w:rPr>
        <w:t xml:space="preserve">and when the effects of resilience actions can be observed, there </w:t>
      </w:r>
      <w:r w:rsidR="001F173C">
        <w:rPr>
          <w:rFonts w:ascii="Times New Roman" w:eastAsia="Times New Roman" w:hAnsi="Times New Roman" w:cs="Times New Roman"/>
          <w:color w:val="000000"/>
          <w:sz w:val="24"/>
          <w:szCs w:val="24"/>
        </w:rPr>
        <w:t>will be a</w:t>
      </w:r>
      <w:r>
        <w:rPr>
          <w:rFonts w:ascii="Times New Roman" w:eastAsia="Times New Roman" w:hAnsi="Times New Roman" w:cs="Times New Roman"/>
          <w:color w:val="000000"/>
          <w:sz w:val="24"/>
          <w:szCs w:val="24"/>
        </w:rPr>
        <w:t xml:space="preserve"> duplication of </w:t>
      </w:r>
      <w:r w:rsidR="001F173C">
        <w:rPr>
          <w:rFonts w:ascii="Times New Roman" w:eastAsia="Times New Roman" w:hAnsi="Times New Roman" w:cs="Times New Roman"/>
          <w:color w:val="000000"/>
          <w:sz w:val="24"/>
          <w:szCs w:val="24"/>
        </w:rPr>
        <w:t>questions</w:t>
      </w:r>
      <w:r>
        <w:rPr>
          <w:rFonts w:ascii="Times New Roman" w:eastAsia="Times New Roman" w:hAnsi="Times New Roman" w:cs="Times New Roman"/>
          <w:color w:val="000000"/>
          <w:sz w:val="24"/>
          <w:szCs w:val="24"/>
        </w:rPr>
        <w:t xml:space="preserve"> when a longitudinal study is undertaken. Such studies will serve to provide valuable insights </w:t>
      </w:r>
      <w:r w:rsidR="00BE00AD">
        <w:rPr>
          <w:rFonts w:ascii="Times New Roman" w:eastAsia="Times New Roman" w:hAnsi="Times New Roman" w:cs="Times New Roman"/>
          <w:color w:val="000000"/>
          <w:sz w:val="24"/>
          <w:szCs w:val="24"/>
        </w:rPr>
        <w:t xml:space="preserve">into </w:t>
      </w:r>
      <w:r>
        <w:rPr>
          <w:rFonts w:ascii="Times New Roman" w:eastAsia="Times New Roman" w:hAnsi="Times New Roman" w:cs="Times New Roman"/>
          <w:color w:val="000000"/>
          <w:sz w:val="24"/>
          <w:szCs w:val="24"/>
        </w:rPr>
        <w:t>the understanding of the recovery process, which is intricately linked to resilience planning.  </w:t>
      </w:r>
    </w:p>
    <w:p w:rsidR="00FF48E9" w14:paraId="0000003F" w14:textId="77777777">
      <w:pPr>
        <w:spacing w:after="0" w:line="240" w:lineRule="auto"/>
        <w:rPr>
          <w:color w:val="000000"/>
        </w:rPr>
      </w:pPr>
      <w:r>
        <w:rPr>
          <w:rFonts w:ascii="Times New Roman" w:eastAsia="Times New Roman" w:hAnsi="Times New Roman" w:cs="Times New Roman"/>
          <w:color w:val="000000"/>
          <w:sz w:val="24"/>
          <w:szCs w:val="24"/>
        </w:rPr>
        <w:t> </w:t>
      </w:r>
    </w:p>
    <w:p w:rsidR="00FF48E9" w14:paraId="00000040" w14:textId="77777777">
      <w:pPr>
        <w:spacing w:after="0" w:line="240" w:lineRule="auto"/>
        <w:rPr>
          <w:color w:val="000000"/>
        </w:rPr>
      </w:pPr>
      <w:r>
        <w:rPr>
          <w:rFonts w:ascii="Times New Roman" w:eastAsia="Times New Roman" w:hAnsi="Times New Roman" w:cs="Times New Roman"/>
          <w:color w:val="000000"/>
          <w:sz w:val="24"/>
          <w:szCs w:val="24"/>
        </w:rPr>
        <w:t>Individuals participating in these types of data collection efforts may be asked to sign an informed consent document (meaning participants are informed of the data collection and are providing their consent to participate).  Longitudinal studies may require that an individual be surveyed more than once for a given tool over a pre- or post-disaster event period. NIST will provide an example of the consent form that will be provided to each possible respondent.  This consent form will be provided as a supplemental document for the submission package.    </w:t>
      </w:r>
    </w:p>
    <w:p w:rsidR="00FF48E9" w14:paraId="00000041" w14:textId="77777777">
      <w:pPr>
        <w:spacing w:line="240" w:lineRule="auto"/>
        <w:rPr>
          <w:rFonts w:ascii="Times New Roman" w:eastAsia="Times New Roman" w:hAnsi="Times New Roman" w:cs="Times New Roman"/>
          <w:b/>
          <w:sz w:val="24"/>
          <w:szCs w:val="24"/>
        </w:rPr>
      </w:pPr>
    </w:p>
    <w:p w:rsidR="00FF48E9" w14:paraId="00000042" w14:textId="7777777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 If the collection of information impacts small businesses or other small entities, describe any methods used to minimize burden.</w:t>
      </w:r>
    </w:p>
    <w:p w:rsidR="00FF48E9" w14:paraId="00000043" w14:textId="77777777">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 small business and other small entities may be involved in these efforts; however, NIST will keep the burden to them as well as on any business, organization or individual at a minimum by asking for opinions on a strictly voluntary basis and by asking for the minimum amount of information needed to evaluate the future direction and scope of NIST research.</w:t>
      </w:r>
    </w:p>
    <w:p w:rsidR="00FF48E9" w14:paraId="00000044" w14:textId="77777777">
      <w:pPr>
        <w:spacing w:line="240" w:lineRule="auto"/>
        <w:rPr>
          <w:rFonts w:ascii="Times New Roman" w:eastAsia="Times New Roman" w:hAnsi="Times New Roman" w:cs="Times New Roman"/>
          <w:b/>
          <w:sz w:val="24"/>
          <w:szCs w:val="24"/>
        </w:rPr>
      </w:pPr>
    </w:p>
    <w:p w:rsidR="00FF48E9" w14:paraId="00000045" w14:textId="7777777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 Describe the consequence to Federal program or policy activities if the collection is not conducted or is conducted less frequently, as well as any technical or legal obstacles to reducing burden.</w:t>
      </w:r>
    </w:p>
    <w:p w:rsidR="00FF48E9" w14:paraId="00000046" w14:textId="777777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NIST does not conduct the proposed data collection to support this research, progress on community resilience, sustainability and reducing the impact of disasters will be greatly diminished. Additionally, results from these data collections may lead to further research that could result in changes to, or enhancements of, the delivery of products, services, and information, as well as identifying high-priority items for improvement or inclusion in the suite of products, services and programs NIST provides for community resilience, disaster response, and hazard mitigation. Specific examples include change to building codes and standards as well as improved guidance and tools on community resilience.</w:t>
      </w:r>
    </w:p>
    <w:p w:rsidR="00FF48E9" w14:paraId="00000047" w14:textId="777777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these surveys and other data collections were conducted less frequently or not conducted, NIST researchers would lack important information that may hinder the future direction and scope of NIST research as well as achieving NIST’s mission. Outputs from these studies are likely to lead to a reduction in costs incurred to U.S. community stakeholders due the benefits to the U.S. public, such as more effective and efficient community resilience and recovery planning processes.</w:t>
      </w:r>
    </w:p>
    <w:p w:rsidR="00FF48E9" w14:paraId="00000048" w14:textId="77777777">
      <w:pPr>
        <w:spacing w:line="240" w:lineRule="auto"/>
        <w:rPr>
          <w:rFonts w:ascii="Times New Roman" w:eastAsia="Times New Roman" w:hAnsi="Times New Roman" w:cs="Times New Roman"/>
          <w:b/>
          <w:sz w:val="24"/>
          <w:szCs w:val="24"/>
        </w:rPr>
      </w:pPr>
    </w:p>
    <w:p w:rsidR="00FF48E9" w14:paraId="00000049" w14:textId="7777777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 Explain any special circumstances that would cause an information collection to be conducted in a manner: requiring respondents to report information to the agency more often than quarterly; requiring respondents to prepare a written response to a collection of information in fewer than 30 days after receipt of it; requiring respondents to submit more than an original and two copies of any document; requiring respondents to retain records, other than health, medical, government contract; grant-in-aid, or tax records, for more than three years; in connection with a statistical survey, that is not designed to produce valid and reliable results that can be generalized to the universe of study; requiring the use of a statistical data classification that has not been reviewed and approved by OMB; that includes a pledge of confidentiality that is not supported by authority established in statute or regulation, that is not supported by disclosure and data security policies that are consistent with the pledge, or which unnecessarily impedes sharing of data with other agencies for compatible confidential use; or requiring respondents to submit proprietary trade secrets, or other confidential information unless the agency can demonstrate that it has instituted procedures to protect the information's confidentiality to the extent permitted by law.</w:t>
      </w:r>
    </w:p>
    <w:p w:rsidR="00FF48E9" w14:paraId="0000004A" w14:textId="77777777">
      <w:pPr>
        <w:tabs>
          <w:tab w:val="left" w:pos="-1080"/>
          <w:tab w:val="left" w:pos="0"/>
          <w:tab w:val="left" w:pos="360"/>
          <w:tab w:val="left" w:pos="540"/>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collection conducted under this generic clearance will be conducted in accordance with the guidelines in 5 CFR 1320.5.  </w:t>
      </w:r>
    </w:p>
    <w:p w:rsidR="00FF48E9" w14:paraId="0000004C" w14:textId="6C9F958E">
      <w:r>
        <w:rPr>
          <w:rFonts w:ascii="Times New Roman" w:eastAsia="Times New Roman" w:hAnsi="Times New Roman" w:cs="Times New Roman"/>
          <w:b/>
          <w:sz w:val="24"/>
          <w:szCs w:val="24"/>
        </w:rPr>
        <w:br/>
      </w:r>
      <w:r w:rsidR="00C74438">
        <w:rPr>
          <w:rFonts w:ascii="Times New Roman" w:eastAsia="Times New Roman" w:hAnsi="Times New Roman" w:cs="Times New Roman"/>
          <w:b/>
          <w:sz w:val="24"/>
          <w:szCs w:val="24"/>
        </w:rPr>
        <w:t xml:space="preserve">8. If applicable, provide a copy and identify the date and page number of </w:t>
      </w:r>
      <w:r w:rsidR="00C74438">
        <w:rPr>
          <w:rFonts w:ascii="Times New Roman" w:eastAsia="Times New Roman" w:hAnsi="Times New Roman" w:cs="Times New Roman"/>
          <w:b/>
          <w:sz w:val="24"/>
          <w:szCs w:val="24"/>
        </w:rPr>
        <w:t>publication</w:t>
      </w:r>
      <w:r w:rsidR="00C74438">
        <w:rPr>
          <w:rFonts w:ascii="Times New Roman" w:eastAsia="Times New Roman" w:hAnsi="Times New Roman" w:cs="Times New Roman"/>
          <w:b/>
          <w:sz w:val="24"/>
          <w:szCs w:val="24"/>
        </w:rPr>
        <w:t xml:space="preserve"> in the Federal Register of the agency's notice, required by 5 CFR 1320.8(d), soliciting comments on the information collection prior to submission to OMB. Summarize public comments received in response to that notice and describe actions taken by the agency in response to these comments. Consultation with representatives of those from whom information is to </w:t>
      </w:r>
      <w:r w:rsidR="00C74438">
        <w:rPr>
          <w:rFonts w:ascii="Times New Roman" w:eastAsia="Times New Roman" w:hAnsi="Times New Roman" w:cs="Times New Roman"/>
          <w:b/>
          <w:sz w:val="24"/>
          <w:szCs w:val="24"/>
        </w:rPr>
        <w:t>be obtained or those who must compile records should occur at least once every 3 years - even if the collection of information activity is the same as in prior periods. There may be circumstances that may preclude consultation in a specific situation. These circumstances should be explained.</w:t>
      </w:r>
    </w:p>
    <w:p w:rsidR="00FF48E9" w:rsidRPr="00AF5445" w14:paraId="0000004E" w14:textId="2639863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sidRPr="00AF5445" w:rsidR="00C74438">
        <w:rPr>
          <w:rFonts w:ascii="Times New Roman" w:eastAsia="Times New Roman" w:hAnsi="Times New Roman" w:cs="Times New Roman"/>
          <w:color w:val="000000"/>
          <w:sz w:val="24"/>
          <w:szCs w:val="24"/>
        </w:rPr>
        <w:t xml:space="preserve">A 60-day Federal Register Notice (FRN) soliciting public comments </w:t>
      </w:r>
      <w:sdt>
        <w:sdtPr>
          <w:tag w:val="goog_rdk_0"/>
          <w:id w:val="-1037968764"/>
          <w:richText/>
        </w:sdtPr>
        <w:sdtContent/>
      </w:sdt>
      <w:r w:rsidRPr="00AF5445" w:rsidR="00C74438">
        <w:rPr>
          <w:rFonts w:ascii="Times New Roman" w:eastAsia="Times New Roman" w:hAnsi="Times New Roman" w:cs="Times New Roman"/>
          <w:color w:val="000000"/>
          <w:sz w:val="24"/>
          <w:szCs w:val="24"/>
        </w:rPr>
        <w:t xml:space="preserve">was published on </w:t>
      </w:r>
      <w:r w:rsidR="00105E9A">
        <w:rPr>
          <w:rFonts w:ascii="Times New Roman" w:eastAsia="Times New Roman" w:hAnsi="Times New Roman" w:cs="Times New Roman"/>
          <w:color w:val="000000"/>
          <w:sz w:val="24"/>
          <w:szCs w:val="24"/>
        </w:rPr>
        <w:t>April 11</w:t>
      </w:r>
      <w:r w:rsidR="00AF5445">
        <w:rPr>
          <w:rFonts w:ascii="Times New Roman" w:eastAsia="Times New Roman" w:hAnsi="Times New Roman" w:cs="Times New Roman"/>
          <w:color w:val="000000"/>
          <w:sz w:val="24"/>
          <w:szCs w:val="24"/>
        </w:rPr>
        <w:t>,</w:t>
      </w:r>
      <w:r w:rsidR="00105E9A">
        <w:rPr>
          <w:rFonts w:ascii="Times New Roman" w:eastAsia="Times New Roman" w:hAnsi="Times New Roman" w:cs="Times New Roman"/>
          <w:color w:val="000000"/>
          <w:sz w:val="24"/>
          <w:szCs w:val="24"/>
        </w:rPr>
        <w:t xml:space="preserve"> 2025</w:t>
      </w:r>
      <w:r w:rsidRPr="00AF5445" w:rsidR="00C74438">
        <w:rPr>
          <w:rFonts w:ascii="Times New Roman" w:eastAsia="Times New Roman" w:hAnsi="Times New Roman" w:cs="Times New Roman"/>
          <w:color w:val="000000"/>
          <w:sz w:val="24"/>
          <w:szCs w:val="24"/>
        </w:rPr>
        <w:t xml:space="preserve"> (Vol.</w:t>
      </w:r>
      <w:r w:rsidR="00105E9A">
        <w:rPr>
          <w:rFonts w:ascii="Times New Roman" w:eastAsia="Times New Roman" w:hAnsi="Times New Roman" w:cs="Times New Roman"/>
          <w:color w:val="000000"/>
          <w:sz w:val="24"/>
          <w:szCs w:val="24"/>
        </w:rPr>
        <w:t xml:space="preserve"> 90</w:t>
      </w:r>
      <w:r w:rsidRPr="00AF5445" w:rsidR="00C74438">
        <w:rPr>
          <w:rFonts w:ascii="Times New Roman" w:eastAsia="Times New Roman" w:hAnsi="Times New Roman" w:cs="Times New Roman"/>
          <w:color w:val="000000"/>
          <w:sz w:val="24"/>
          <w:szCs w:val="24"/>
        </w:rPr>
        <w:t xml:space="preserve">, Number </w:t>
      </w:r>
      <w:r w:rsidR="00105E9A">
        <w:rPr>
          <w:rFonts w:ascii="Times New Roman" w:eastAsia="Times New Roman" w:hAnsi="Times New Roman" w:cs="Times New Roman"/>
          <w:color w:val="000000"/>
          <w:sz w:val="24"/>
          <w:szCs w:val="24"/>
        </w:rPr>
        <w:t>69</w:t>
      </w:r>
      <w:r w:rsidRPr="00AF5445" w:rsidR="00C74438">
        <w:rPr>
          <w:rFonts w:ascii="Times New Roman" w:eastAsia="Times New Roman" w:hAnsi="Times New Roman" w:cs="Times New Roman"/>
          <w:color w:val="000000"/>
          <w:sz w:val="24"/>
          <w:szCs w:val="24"/>
        </w:rPr>
        <w:t>, page</w:t>
      </w:r>
      <w:r w:rsidR="00105E9A">
        <w:rPr>
          <w:rFonts w:ascii="Times New Roman" w:eastAsia="Times New Roman" w:hAnsi="Times New Roman" w:cs="Times New Roman"/>
          <w:color w:val="000000"/>
          <w:sz w:val="24"/>
          <w:szCs w:val="24"/>
        </w:rPr>
        <w:t>s 15449-15450</w:t>
      </w:r>
      <w:r w:rsidRPr="00AF5445" w:rsidR="00C74438">
        <w:rPr>
          <w:rFonts w:ascii="Times New Roman" w:eastAsia="Times New Roman" w:hAnsi="Times New Roman" w:cs="Times New Roman"/>
          <w:color w:val="000000"/>
          <w:sz w:val="24"/>
          <w:szCs w:val="24"/>
        </w:rPr>
        <w:t>).</w:t>
      </w:r>
      <w:r w:rsidR="00C74438">
        <w:rPr>
          <w:rFonts w:ascii="Times New Roman" w:eastAsia="Times New Roman" w:hAnsi="Times New Roman" w:cs="Times New Roman"/>
          <w:color w:val="000000"/>
          <w:sz w:val="24"/>
          <w:szCs w:val="24"/>
        </w:rPr>
        <w:t xml:space="preserve">  </w:t>
      </w:r>
      <w:r w:rsidR="00105E9A">
        <w:rPr>
          <w:rFonts w:ascii="Times New Roman" w:eastAsia="Times New Roman" w:hAnsi="Times New Roman" w:cs="Times New Roman"/>
          <w:color w:val="000000"/>
          <w:sz w:val="24"/>
          <w:szCs w:val="24"/>
        </w:rPr>
        <w:t>No c</w:t>
      </w:r>
      <w:r w:rsidR="00C74438">
        <w:rPr>
          <w:rFonts w:ascii="Times New Roman" w:eastAsia="Times New Roman" w:hAnsi="Times New Roman" w:cs="Times New Roman"/>
          <w:color w:val="000000"/>
          <w:sz w:val="24"/>
          <w:szCs w:val="24"/>
        </w:rPr>
        <w:t xml:space="preserve">omments </w:t>
      </w:r>
      <w:r w:rsidR="00105E9A">
        <w:rPr>
          <w:rFonts w:ascii="Times New Roman" w:eastAsia="Times New Roman" w:hAnsi="Times New Roman" w:cs="Times New Roman"/>
          <w:color w:val="000000"/>
          <w:sz w:val="24"/>
          <w:szCs w:val="24"/>
        </w:rPr>
        <w:t xml:space="preserve">were </w:t>
      </w:r>
      <w:r w:rsidR="00C74438">
        <w:rPr>
          <w:rFonts w:ascii="Times New Roman" w:eastAsia="Times New Roman" w:hAnsi="Times New Roman" w:cs="Times New Roman"/>
          <w:color w:val="000000"/>
          <w:sz w:val="24"/>
          <w:szCs w:val="24"/>
        </w:rPr>
        <w:t>received</w:t>
      </w:r>
      <w:r w:rsidR="00105E9A">
        <w:rPr>
          <w:rFonts w:ascii="Times New Roman" w:eastAsia="Times New Roman" w:hAnsi="Times New Roman" w:cs="Times New Roman"/>
          <w:color w:val="000000"/>
          <w:sz w:val="24"/>
          <w:szCs w:val="24"/>
        </w:rPr>
        <w:t>.</w:t>
      </w:r>
    </w:p>
    <w:p w:rsidR="00FF48E9" w:rsidP="008A3DAC" w14:paraId="00000053" w14:textId="3159B4E7">
      <w:pPr>
        <w:rPr>
          <w:rFonts w:ascii="Times New Roman" w:eastAsia="Times New Roman" w:hAnsi="Times New Roman" w:cs="Times New Roman"/>
          <w:b/>
          <w:sz w:val="24"/>
          <w:szCs w:val="24"/>
        </w:rPr>
      </w:pPr>
      <w:r w:rsidRPr="00AF5445">
        <w:rPr>
          <w:rFonts w:ascii="Times New Roman" w:eastAsia="Times New Roman" w:hAnsi="Times New Roman" w:cs="Times New Roman"/>
          <w:color w:val="000000"/>
          <w:sz w:val="24"/>
          <w:szCs w:val="24"/>
        </w:rPr>
        <w:t xml:space="preserve">A 30-day Federal Register Notice (FRN) soliciting public comments was published on </w:t>
      </w:r>
      <w:r w:rsidR="00B14AFD">
        <w:rPr>
          <w:rFonts w:ascii="Times New Roman" w:eastAsia="Times New Roman" w:hAnsi="Times New Roman" w:cs="Times New Roman"/>
          <w:color w:val="000000"/>
          <w:sz w:val="24"/>
          <w:szCs w:val="24"/>
        </w:rPr>
        <w:t>July 10, 2025</w:t>
      </w:r>
      <w:r w:rsidRPr="00AF5445">
        <w:rPr>
          <w:rFonts w:ascii="Times New Roman" w:eastAsia="Times New Roman" w:hAnsi="Times New Roman" w:cs="Times New Roman"/>
          <w:color w:val="000000"/>
          <w:sz w:val="24"/>
          <w:szCs w:val="24"/>
        </w:rPr>
        <w:t xml:space="preserve">, (Vol. </w:t>
      </w:r>
      <w:r w:rsidR="00B14AFD">
        <w:rPr>
          <w:rFonts w:ascii="Times New Roman" w:eastAsia="Times New Roman" w:hAnsi="Times New Roman" w:cs="Times New Roman"/>
          <w:color w:val="000000"/>
          <w:sz w:val="24"/>
          <w:szCs w:val="24"/>
        </w:rPr>
        <w:t>90</w:t>
      </w:r>
      <w:r w:rsidRPr="00AF5445">
        <w:rPr>
          <w:rFonts w:ascii="Times New Roman" w:eastAsia="Times New Roman" w:hAnsi="Times New Roman" w:cs="Times New Roman"/>
          <w:color w:val="000000"/>
          <w:sz w:val="24"/>
          <w:szCs w:val="24"/>
        </w:rPr>
        <w:t xml:space="preserve">, Number </w:t>
      </w:r>
      <w:r w:rsidR="00B14AFD">
        <w:rPr>
          <w:rFonts w:ascii="Times New Roman" w:eastAsia="Times New Roman" w:hAnsi="Times New Roman" w:cs="Times New Roman"/>
          <w:color w:val="000000"/>
          <w:sz w:val="24"/>
          <w:szCs w:val="24"/>
        </w:rPr>
        <w:t>130</w:t>
      </w:r>
      <w:r w:rsidRPr="00AF5445">
        <w:rPr>
          <w:rFonts w:ascii="Times New Roman" w:eastAsia="Times New Roman" w:hAnsi="Times New Roman" w:cs="Times New Roman"/>
          <w:color w:val="000000"/>
          <w:sz w:val="24"/>
          <w:szCs w:val="24"/>
        </w:rPr>
        <w:t xml:space="preserve">, page </w:t>
      </w:r>
      <w:r w:rsidR="00B14AFD">
        <w:rPr>
          <w:rFonts w:ascii="Times New Roman" w:eastAsia="Times New Roman" w:hAnsi="Times New Roman" w:cs="Times New Roman"/>
          <w:color w:val="000000"/>
          <w:sz w:val="24"/>
          <w:szCs w:val="24"/>
        </w:rPr>
        <w:t>30631)</w:t>
      </w:r>
      <w:r w:rsidRPr="00AF5445">
        <w:rPr>
          <w:rFonts w:ascii="Times New Roman" w:eastAsia="Times New Roman" w:hAnsi="Times New Roman" w:cs="Times New Roman"/>
          <w:color w:val="000000"/>
          <w:sz w:val="24"/>
          <w:szCs w:val="24"/>
        </w:rPr>
        <w:t>.</w:t>
      </w:r>
      <w:r w:rsidR="008A3DAC">
        <w:rPr>
          <w:rFonts w:ascii="Times New Roman" w:eastAsia="Times New Roman" w:hAnsi="Times New Roman" w:cs="Times New Roman"/>
          <w:color w:val="000000"/>
          <w:sz w:val="24"/>
          <w:szCs w:val="24"/>
        </w:rPr>
        <w:br/>
      </w:r>
      <w:r w:rsidR="008A3DAC">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Data collection instruments under this collection are developed in consultation with other federal and academic researchers, subject matter experts in the study of community resilience, and individuals and organizations who represent the interests or perspectives of the population of focus. For larger collections, the instrument development process may include a pilot study phase to best inform the collection process and specific questions.</w:t>
      </w:r>
      <w:r w:rsidR="008A3DAC">
        <w:rPr>
          <w:rFonts w:ascii="Times New Roman" w:eastAsia="Times New Roman" w:hAnsi="Times New Roman" w:cs="Times New Roman"/>
          <w:color w:val="000000"/>
          <w:sz w:val="24"/>
          <w:szCs w:val="24"/>
        </w:rPr>
        <w:br/>
      </w:r>
    </w:p>
    <w:p w:rsidR="00FF48E9" w14:paraId="00000054" w14:textId="7777777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9. Explain any decision to provide any payment or gift to respondents, other than remuneration of contractors or grantees.</w:t>
      </w:r>
    </w:p>
    <w:p w:rsidR="00FF48E9" w14:paraId="00000055"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NIST will not provide any payment or gift to respondents for any written, verbal, electronic, or other survey participation and responses.  </w:t>
      </w:r>
    </w:p>
    <w:p w:rsidR="00FF48E9" w14:paraId="00000056" w14:textId="77777777">
      <w:pPr>
        <w:spacing w:after="0" w:line="240" w:lineRule="auto"/>
        <w:rPr>
          <w:rFonts w:ascii="Times New Roman" w:eastAsia="Times New Roman" w:hAnsi="Times New Roman" w:cs="Times New Roman"/>
          <w:sz w:val="24"/>
          <w:szCs w:val="24"/>
        </w:rPr>
      </w:pPr>
    </w:p>
    <w:p w:rsidR="00FF48E9" w14:paraId="00000057" w14:textId="147673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if respondents must leave their home or place of business to travel to a specific location, to participate in an information collection conducted in a “laboratory” </w:t>
      </w:r>
      <w:r>
        <w:rPr>
          <w:rFonts w:ascii="Times New Roman" w:eastAsia="Times New Roman" w:hAnsi="Times New Roman" w:cs="Times New Roman"/>
          <w:sz w:val="24"/>
          <w:szCs w:val="24"/>
        </w:rPr>
        <w:t>type-setting</w:t>
      </w:r>
      <w:r>
        <w:rPr>
          <w:rFonts w:ascii="Times New Roman" w:eastAsia="Times New Roman" w:hAnsi="Times New Roman" w:cs="Times New Roman"/>
          <w:sz w:val="24"/>
          <w:szCs w:val="24"/>
        </w:rPr>
        <w:t xml:space="preserve"> or an office-setting (such as in-depth interviews, and usability testing, etc.) under this clearance may receive a small stipend to offset the cost of travel expenses.  </w:t>
      </w:r>
      <w:r w:rsidRPr="00534204" w:rsidR="00534204">
        <w:rPr>
          <w:rFonts w:ascii="Times New Roman" w:eastAsia="Times New Roman" w:hAnsi="Times New Roman" w:cs="Times New Roman"/>
          <w:sz w:val="24"/>
          <w:szCs w:val="24"/>
        </w:rPr>
        <w:t>In such cases, the remuneration may range from $</w:t>
      </w:r>
      <w:r w:rsidR="00534204">
        <w:rPr>
          <w:rFonts w:ascii="Times New Roman" w:eastAsia="Times New Roman" w:hAnsi="Times New Roman" w:cs="Times New Roman"/>
          <w:sz w:val="24"/>
          <w:szCs w:val="24"/>
        </w:rPr>
        <w:t>25</w:t>
      </w:r>
      <w:r w:rsidRPr="00534204" w:rsidR="00534204">
        <w:rPr>
          <w:rFonts w:ascii="Times New Roman" w:eastAsia="Times New Roman" w:hAnsi="Times New Roman" w:cs="Times New Roman"/>
          <w:sz w:val="24"/>
          <w:szCs w:val="24"/>
        </w:rPr>
        <w:t xml:space="preserve">-$100 per individual, dependent on the data collection and the level and length of participation required of the participants.  </w:t>
      </w:r>
    </w:p>
    <w:p w:rsidR="00FF48E9" w14:paraId="00000058" w14:textId="77777777">
      <w:pPr>
        <w:spacing w:line="240" w:lineRule="auto"/>
        <w:rPr>
          <w:rFonts w:ascii="Times New Roman" w:eastAsia="Times New Roman" w:hAnsi="Times New Roman" w:cs="Times New Roman"/>
          <w:b/>
          <w:sz w:val="24"/>
          <w:szCs w:val="24"/>
        </w:rPr>
      </w:pPr>
    </w:p>
    <w:p w:rsidR="00FF48E9" w14:paraId="00000059" w14:textId="7777777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 Describe any assurance of confidentiality provided to respondents and the basis for the assurance in statute, regulation, or agency policy. If the collection requires a </w:t>
      </w:r>
      <w:r>
        <w:rPr>
          <w:rFonts w:ascii="Times New Roman" w:eastAsia="Times New Roman" w:hAnsi="Times New Roman" w:cs="Times New Roman"/>
          <w:b/>
          <w:sz w:val="24"/>
          <w:szCs w:val="24"/>
        </w:rPr>
        <w:t>systems of records notice (SORN)</w:t>
      </w:r>
      <w:r>
        <w:rPr>
          <w:rFonts w:ascii="Times New Roman" w:eastAsia="Times New Roman" w:hAnsi="Times New Roman" w:cs="Times New Roman"/>
          <w:b/>
          <w:sz w:val="24"/>
          <w:szCs w:val="24"/>
        </w:rPr>
        <w:t xml:space="preserve"> or privacy impact assessment (PIA), those should be cited and described here.</w:t>
      </w:r>
    </w:p>
    <w:p w:rsidR="0000485C" w:rsidRPr="0000485C" w:rsidP="0000485C" w14:paraId="51304DB4" w14:textId="77777777">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sidRPr="0000485C">
        <w:rPr>
          <w:rFonts w:ascii="Times New Roman" w:eastAsia="Times New Roman" w:hAnsi="Times New Roman" w:cs="Times New Roman"/>
          <w:color w:val="000000"/>
          <w:sz w:val="24"/>
          <w:szCs w:val="24"/>
        </w:rPr>
        <w:t>Information collected in these studies have historically not involved information maintained in a Privacy Act System of Records (as defined by the provisions of The Privacy Act of 1974, amended 5 U.S.C. § 552a). Should future information collections trigger Privacy Act provisions and require SORN coverage, Disclosure of the information will be subject to all the published routine uses as identified in the Privacy Act System of Records Notices: COMMERCE-NIST-6 Participants in Experiments, Studies, and Surveys.</w:t>
      </w:r>
    </w:p>
    <w:p w:rsidR="0000485C" w:rsidP="0000485C" w14:paraId="6C9F454B" w14:textId="609F0F8A">
      <w:pPr>
        <w:spacing w:after="120" w:line="240" w:lineRule="auto"/>
        <w:rPr>
          <w:rFonts w:ascii="Times New Roman" w:eastAsia="Times New Roman" w:hAnsi="Times New Roman" w:cs="Times New Roman"/>
          <w:color w:val="000000"/>
          <w:sz w:val="24"/>
          <w:szCs w:val="24"/>
        </w:rPr>
      </w:pPr>
      <w:r w:rsidRPr="0000485C">
        <w:rPr>
          <w:rFonts w:ascii="Times New Roman" w:eastAsia="Times New Roman" w:hAnsi="Times New Roman" w:cs="Times New Roman"/>
          <w:color w:val="000000"/>
          <w:sz w:val="24"/>
          <w:szCs w:val="24"/>
        </w:rPr>
        <w:t xml:space="preserve">Additionally, in accordance with the privacy provisions of the E-Government Act of 2002, a Privacy Impact Assessment is required for this information system. The information is </w:t>
      </w:r>
      <w:r w:rsidRPr="0000485C">
        <w:rPr>
          <w:rFonts w:ascii="Times New Roman" w:eastAsia="Times New Roman" w:hAnsi="Times New Roman" w:cs="Times New Roman"/>
          <w:color w:val="000000"/>
          <w:sz w:val="24"/>
          <w:szCs w:val="24"/>
        </w:rPr>
        <w:t>maintained in NIST’s PIA for system, 730-01, EL Managed Infrastructure. A copy of the PIA is attached as a supplementary document.</w:t>
      </w:r>
      <w:r w:rsidR="006F32C8">
        <w:rPr>
          <w:rFonts w:ascii="Times New Roman" w:eastAsia="Times New Roman" w:hAnsi="Times New Roman" w:cs="Times New Roman"/>
          <w:color w:val="000000"/>
          <w:sz w:val="24"/>
          <w:szCs w:val="24"/>
        </w:rPr>
        <w:br/>
      </w:r>
    </w:p>
    <w:p w:rsidR="00FF48E9" w14:paraId="0000005F" w14:textId="7777777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Provide additional justification for any questions of a sensitive nature, such as sexual behavior and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FF48E9" w14:paraId="00000061" w14:textId="39F626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br/>
      </w:r>
      <w:r w:rsidR="00C74438">
        <w:rPr>
          <w:rFonts w:ascii="Times New Roman" w:eastAsia="Times New Roman" w:hAnsi="Times New Roman" w:cs="Times New Roman"/>
          <w:sz w:val="24"/>
          <w:szCs w:val="24"/>
        </w:rPr>
        <w:t>No sensitive data will be collected.</w:t>
      </w:r>
    </w:p>
    <w:p w:rsidR="00FF48E9" w14:paraId="00000062" w14:textId="77777777">
      <w:pPr>
        <w:spacing w:line="240" w:lineRule="auto"/>
        <w:rPr>
          <w:rFonts w:ascii="Times New Roman" w:eastAsia="Times New Roman" w:hAnsi="Times New Roman" w:cs="Times New Roman"/>
          <w:b/>
          <w:sz w:val="24"/>
          <w:szCs w:val="24"/>
        </w:rPr>
      </w:pPr>
    </w:p>
    <w:p w:rsidR="00FF48E9" w14:paraId="00000063" w14:textId="7777777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 Provide estimates of the hour burden of the collection of information. </w:t>
      </w:r>
    </w:p>
    <w:p w:rsidR="00FF48E9" w14:paraId="00000064" w14:textId="777777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total estimated number of possible respondents for the three-year period is 25,000, and the estimated number of burden hours is 18,000.  Below is a table of approved collections continuing with this </w:t>
      </w:r>
      <w:sdt>
        <w:sdtPr>
          <w:tag w:val="goog_rdk_1"/>
          <w:id w:val="-1048754048"/>
          <w:richText/>
        </w:sdtPr>
        <w:sdtContent/>
      </w:sdt>
      <w:sdt>
        <w:sdtPr>
          <w:tag w:val="goog_rdk_2"/>
          <w:id w:val="-1159381156"/>
          <w:richText/>
        </w:sdtPr>
        <w:sdtContent/>
      </w:sdt>
      <w:r>
        <w:rPr>
          <w:rFonts w:ascii="Times New Roman" w:eastAsia="Times New Roman" w:hAnsi="Times New Roman" w:cs="Times New Roman"/>
          <w:sz w:val="24"/>
          <w:szCs w:val="24"/>
        </w:rPr>
        <w:t>renewal:</w:t>
      </w:r>
    </w:p>
    <w:tbl>
      <w:tblPr>
        <w:tblStyle w:val="a0"/>
        <w:tblW w:w="8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775"/>
        <w:gridCol w:w="1404"/>
        <w:gridCol w:w="1980"/>
        <w:gridCol w:w="1530"/>
      </w:tblGrid>
      <w:tr w14:paraId="5CD7051D" w14:textId="77777777">
        <w:tblPrEx>
          <w:tblW w:w="8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3775" w:type="dxa"/>
            <w:tcBorders>
              <w:bottom w:val="single" w:sz="8" w:space="0" w:color="000000"/>
            </w:tcBorders>
          </w:tcPr>
          <w:p w:rsidR="00FF48E9" w14:paraId="00000065" w14:textId="77777777">
            <w:pPr>
              <w:rPr>
                <w:b/>
              </w:rPr>
            </w:pPr>
            <w:r>
              <w:rPr>
                <w:b/>
              </w:rPr>
              <w:t>Information Collection</w:t>
            </w:r>
          </w:p>
        </w:tc>
        <w:tc>
          <w:tcPr>
            <w:tcW w:w="1404" w:type="dxa"/>
          </w:tcPr>
          <w:p w:rsidR="00FF48E9" w14:paraId="00000066" w14:textId="77777777">
            <w:pPr>
              <w:rPr>
                <w:b/>
              </w:rPr>
            </w:pPr>
            <w:r>
              <w:rPr>
                <w:b/>
              </w:rPr>
              <w:t># of Respondents</w:t>
            </w:r>
          </w:p>
        </w:tc>
        <w:tc>
          <w:tcPr>
            <w:tcW w:w="1980" w:type="dxa"/>
          </w:tcPr>
          <w:p w:rsidR="00FF48E9" w14:paraId="00000067" w14:textId="77777777">
            <w:pPr>
              <w:rPr>
                <w:b/>
              </w:rPr>
            </w:pPr>
            <w:r>
              <w:rPr>
                <w:b/>
              </w:rPr>
              <w:t>Time per response</w:t>
            </w:r>
          </w:p>
        </w:tc>
        <w:tc>
          <w:tcPr>
            <w:tcW w:w="1530" w:type="dxa"/>
          </w:tcPr>
          <w:p w:rsidR="00FF48E9" w14:paraId="00000068" w14:textId="77777777">
            <w:pPr>
              <w:rPr>
                <w:b/>
              </w:rPr>
            </w:pPr>
            <w:r>
              <w:rPr>
                <w:b/>
              </w:rPr>
              <w:t>Burden hours</w:t>
            </w:r>
          </w:p>
        </w:tc>
      </w:tr>
      <w:tr w14:paraId="3FEC076C" w14:textId="77777777">
        <w:tblPrEx>
          <w:tblW w:w="8689" w:type="dxa"/>
          <w:tblLayout w:type="fixed"/>
          <w:tblLook w:val="0400"/>
        </w:tblPrEx>
        <w:tc>
          <w:tcPr>
            <w:tcW w:w="37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rsidR="00AC5FF4" w:rsidP="00AC5FF4" w14:paraId="00000069" w14:textId="77777777">
            <w:pPr>
              <w:rPr>
                <w:sz w:val="20"/>
                <w:szCs w:val="20"/>
              </w:rPr>
            </w:pPr>
            <w:r>
              <w:rPr>
                <w:sz w:val="20"/>
                <w:szCs w:val="20"/>
              </w:rPr>
              <w:t>Manufacturing Resilience Survey: Hurricane Maria</w:t>
            </w:r>
          </w:p>
          <w:p w:rsidR="00AC5FF4" w:rsidP="00AC5FF4" w14:paraId="0000006A" w14:textId="77777777">
            <w:pPr>
              <w:rPr>
                <w:sz w:val="18"/>
                <w:szCs w:val="18"/>
              </w:rPr>
            </w:pPr>
            <w:r>
              <w:rPr>
                <w:sz w:val="20"/>
                <w:szCs w:val="20"/>
              </w:rPr>
              <w:t xml:space="preserve">  (Short Survey Version).</w:t>
            </w:r>
          </w:p>
        </w:tc>
        <w:tc>
          <w:tcPr>
            <w:tcW w:w="1404" w:type="dxa"/>
            <w:tcBorders>
              <w:left w:val="single" w:sz="8" w:space="0" w:color="000000"/>
            </w:tcBorders>
          </w:tcPr>
          <w:p w:rsidR="00AC5FF4" w:rsidP="00AC5FF4" w14:paraId="0000006B" w14:textId="2A3E096E">
            <w:pPr>
              <w:jc w:val="center"/>
            </w:pPr>
            <w:r>
              <w:t>250</w:t>
            </w:r>
          </w:p>
        </w:tc>
        <w:tc>
          <w:tcPr>
            <w:tcW w:w="1980" w:type="dxa"/>
          </w:tcPr>
          <w:p w:rsidR="00AC5FF4" w:rsidP="00AC5FF4" w14:paraId="0000006C" w14:textId="6260F3B2">
            <w:pPr>
              <w:jc w:val="center"/>
            </w:pPr>
            <w:r>
              <w:t>20 min</w:t>
            </w:r>
            <w:r w:rsidR="00424451">
              <w:t>utes</w:t>
            </w:r>
          </w:p>
        </w:tc>
        <w:tc>
          <w:tcPr>
            <w:tcW w:w="1530" w:type="dxa"/>
          </w:tcPr>
          <w:p w:rsidR="00AC5FF4" w:rsidP="00AC5FF4" w14:paraId="0000006D" w14:textId="4F48FD6B">
            <w:pPr>
              <w:jc w:val="center"/>
            </w:pPr>
            <w:r>
              <w:t>83</w:t>
            </w:r>
          </w:p>
        </w:tc>
      </w:tr>
      <w:tr w14:paraId="5CE58490" w14:textId="77777777">
        <w:tblPrEx>
          <w:tblW w:w="8689" w:type="dxa"/>
          <w:tblLayout w:type="fixed"/>
          <w:tblLook w:val="0400"/>
        </w:tblPrEx>
        <w:tc>
          <w:tcPr>
            <w:tcW w:w="37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rsidR="00AC5FF4" w:rsidP="00AC5FF4" w14:paraId="0000006E" w14:textId="77777777">
            <w:pPr>
              <w:rPr>
                <w:sz w:val="20"/>
                <w:szCs w:val="20"/>
              </w:rPr>
            </w:pPr>
            <w:r>
              <w:rPr>
                <w:sz w:val="20"/>
                <w:szCs w:val="20"/>
              </w:rPr>
              <w:t>Manufacturing</w:t>
            </w:r>
          </w:p>
          <w:p w:rsidR="00AC5FF4" w:rsidP="00AC5FF4" w14:paraId="0000006F" w14:textId="77777777">
            <w:pPr>
              <w:rPr>
                <w:sz w:val="18"/>
                <w:szCs w:val="18"/>
              </w:rPr>
            </w:pPr>
            <w:r>
              <w:rPr>
                <w:sz w:val="20"/>
                <w:szCs w:val="20"/>
              </w:rPr>
              <w:t xml:space="preserve">  Resilience Survey: Hurricane Maria (Long Survey Version).</w:t>
            </w:r>
          </w:p>
        </w:tc>
        <w:tc>
          <w:tcPr>
            <w:tcW w:w="1404" w:type="dxa"/>
            <w:tcBorders>
              <w:left w:val="single" w:sz="8" w:space="0" w:color="000000"/>
            </w:tcBorders>
          </w:tcPr>
          <w:p w:rsidR="00AC5FF4" w:rsidP="00AC5FF4" w14:paraId="00000070" w14:textId="7F4C5EC4">
            <w:pPr>
              <w:jc w:val="center"/>
            </w:pPr>
            <w:r>
              <w:t>150</w:t>
            </w:r>
          </w:p>
        </w:tc>
        <w:tc>
          <w:tcPr>
            <w:tcW w:w="1980" w:type="dxa"/>
          </w:tcPr>
          <w:p w:rsidR="00AC5FF4" w:rsidP="00AC5FF4" w14:paraId="00000071" w14:textId="4E553633">
            <w:pPr>
              <w:jc w:val="center"/>
            </w:pPr>
            <w:r>
              <w:t>30 minutes</w:t>
            </w:r>
          </w:p>
        </w:tc>
        <w:tc>
          <w:tcPr>
            <w:tcW w:w="1530" w:type="dxa"/>
          </w:tcPr>
          <w:p w:rsidR="00AC5FF4" w:rsidP="00AC5FF4" w14:paraId="00000072" w14:textId="3E2EDC58">
            <w:pPr>
              <w:jc w:val="center"/>
            </w:pPr>
            <w:r>
              <w:t>75</w:t>
            </w:r>
          </w:p>
        </w:tc>
      </w:tr>
      <w:tr w14:paraId="6C1B6958" w14:textId="77777777">
        <w:tblPrEx>
          <w:tblW w:w="8689" w:type="dxa"/>
          <w:tblLayout w:type="fixed"/>
          <w:tblLook w:val="0400"/>
        </w:tblPrEx>
        <w:tc>
          <w:tcPr>
            <w:tcW w:w="37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rsidR="00AC5FF4" w:rsidP="00AC5FF4" w14:paraId="00000073" w14:textId="77777777">
            <w:pPr>
              <w:rPr>
                <w:sz w:val="20"/>
                <w:szCs w:val="20"/>
              </w:rPr>
            </w:pPr>
            <w:r>
              <w:rPr>
                <w:sz w:val="20"/>
                <w:szCs w:val="20"/>
              </w:rPr>
              <w:t>Hurricane</w:t>
            </w:r>
          </w:p>
          <w:p w:rsidR="00AC5FF4" w:rsidP="00AC5FF4" w14:paraId="00000074" w14:textId="77777777">
            <w:pPr>
              <w:rPr>
                <w:sz w:val="18"/>
                <w:szCs w:val="18"/>
              </w:rPr>
            </w:pPr>
            <w:r>
              <w:rPr>
                <w:sz w:val="20"/>
                <w:szCs w:val="20"/>
              </w:rPr>
              <w:t xml:space="preserve">  Maria Transportation Interview</w:t>
            </w:r>
          </w:p>
        </w:tc>
        <w:tc>
          <w:tcPr>
            <w:tcW w:w="1404" w:type="dxa"/>
            <w:tcBorders>
              <w:left w:val="single" w:sz="8" w:space="0" w:color="000000"/>
            </w:tcBorders>
          </w:tcPr>
          <w:p w:rsidR="00AC5FF4" w:rsidP="00AC5FF4" w14:paraId="00000075" w14:textId="59B53F96">
            <w:pPr>
              <w:jc w:val="center"/>
            </w:pPr>
            <w:r>
              <w:t>30</w:t>
            </w:r>
          </w:p>
        </w:tc>
        <w:tc>
          <w:tcPr>
            <w:tcW w:w="1980" w:type="dxa"/>
          </w:tcPr>
          <w:p w:rsidR="00AC5FF4" w:rsidP="00AC5FF4" w14:paraId="00000076" w14:textId="0B806F8E">
            <w:pPr>
              <w:jc w:val="center"/>
            </w:pPr>
            <w:r>
              <w:t>30 minutes</w:t>
            </w:r>
          </w:p>
        </w:tc>
        <w:tc>
          <w:tcPr>
            <w:tcW w:w="1530" w:type="dxa"/>
          </w:tcPr>
          <w:p w:rsidR="00AC5FF4" w:rsidP="00AC5FF4" w14:paraId="00000077" w14:textId="26C7FA15">
            <w:pPr>
              <w:jc w:val="center"/>
            </w:pPr>
            <w:r>
              <w:t>15</w:t>
            </w:r>
          </w:p>
        </w:tc>
      </w:tr>
      <w:tr w14:paraId="72A5376C" w14:textId="77777777">
        <w:tblPrEx>
          <w:tblW w:w="8689" w:type="dxa"/>
          <w:tblLayout w:type="fixed"/>
          <w:tblLook w:val="0400"/>
        </w:tblPrEx>
        <w:tc>
          <w:tcPr>
            <w:tcW w:w="37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rsidR="00AC5FF4" w:rsidP="00AC5FF4" w14:paraId="00000078" w14:textId="77777777">
            <w:pPr>
              <w:rPr>
                <w:sz w:val="20"/>
                <w:szCs w:val="20"/>
              </w:rPr>
            </w:pPr>
            <w:r>
              <w:rPr>
                <w:sz w:val="20"/>
                <w:szCs w:val="20"/>
              </w:rPr>
              <w:t>Infrastructure</w:t>
            </w:r>
          </w:p>
          <w:p w:rsidR="00AC5FF4" w:rsidP="00AC5FF4" w14:paraId="00000079" w14:textId="77777777">
            <w:pPr>
              <w:rPr>
                <w:sz w:val="18"/>
                <w:szCs w:val="18"/>
              </w:rPr>
            </w:pPr>
            <w:r>
              <w:rPr>
                <w:sz w:val="20"/>
                <w:szCs w:val="20"/>
              </w:rPr>
              <w:t xml:space="preserve">  Interdependency Following Hurr Maria: Component 5 Municipal Transportation</w:t>
            </w:r>
          </w:p>
        </w:tc>
        <w:tc>
          <w:tcPr>
            <w:tcW w:w="1404" w:type="dxa"/>
            <w:tcBorders>
              <w:left w:val="single" w:sz="8" w:space="0" w:color="000000"/>
            </w:tcBorders>
          </w:tcPr>
          <w:p w:rsidR="00AC5FF4" w:rsidP="00AC5FF4" w14:paraId="0000007A" w14:textId="59A72545">
            <w:pPr>
              <w:jc w:val="center"/>
            </w:pPr>
            <w:r>
              <w:t>26</w:t>
            </w:r>
          </w:p>
        </w:tc>
        <w:tc>
          <w:tcPr>
            <w:tcW w:w="1980" w:type="dxa"/>
          </w:tcPr>
          <w:p w:rsidR="00AC5FF4" w:rsidP="00AC5FF4" w14:paraId="0000007B" w14:textId="4B51A217">
            <w:pPr>
              <w:jc w:val="center"/>
            </w:pPr>
            <w:r>
              <w:t>1 hour</w:t>
            </w:r>
          </w:p>
        </w:tc>
        <w:tc>
          <w:tcPr>
            <w:tcW w:w="1530" w:type="dxa"/>
          </w:tcPr>
          <w:p w:rsidR="00AC5FF4" w:rsidP="00AC5FF4" w14:paraId="0000007C" w14:textId="60D1B07F">
            <w:pPr>
              <w:jc w:val="center"/>
            </w:pPr>
            <w:r>
              <w:t>26</w:t>
            </w:r>
          </w:p>
        </w:tc>
      </w:tr>
      <w:tr w14:paraId="474C1E26" w14:textId="77777777">
        <w:tblPrEx>
          <w:tblW w:w="8689" w:type="dxa"/>
          <w:tblLayout w:type="fixed"/>
          <w:tblLook w:val="0400"/>
        </w:tblPrEx>
        <w:tc>
          <w:tcPr>
            <w:tcW w:w="37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rsidR="00AC5FF4" w:rsidP="00AC5FF4" w14:paraId="0000007D" w14:textId="77777777">
            <w:pPr>
              <w:rPr>
                <w:sz w:val="20"/>
                <w:szCs w:val="20"/>
              </w:rPr>
            </w:pPr>
            <w:r>
              <w:rPr>
                <w:sz w:val="20"/>
                <w:szCs w:val="20"/>
              </w:rPr>
              <w:t>Infrastructure</w:t>
            </w:r>
          </w:p>
          <w:p w:rsidR="00AC5FF4" w:rsidP="00AC5FF4" w14:paraId="0000007E" w14:textId="77777777">
            <w:pPr>
              <w:rPr>
                <w:sz w:val="18"/>
                <w:szCs w:val="18"/>
              </w:rPr>
            </w:pPr>
            <w:r>
              <w:rPr>
                <w:sz w:val="20"/>
                <w:szCs w:val="20"/>
              </w:rPr>
              <w:t xml:space="preserve">  Interdependency Following Hurr Maria: Component 4 Transportation</w:t>
            </w:r>
          </w:p>
        </w:tc>
        <w:tc>
          <w:tcPr>
            <w:tcW w:w="1404" w:type="dxa"/>
            <w:tcBorders>
              <w:left w:val="single" w:sz="8" w:space="0" w:color="000000"/>
            </w:tcBorders>
          </w:tcPr>
          <w:p w:rsidR="00AC5FF4" w:rsidP="00AC5FF4" w14:paraId="0000007F" w14:textId="5B194450">
            <w:pPr>
              <w:jc w:val="center"/>
            </w:pPr>
            <w:r>
              <w:t>45</w:t>
            </w:r>
          </w:p>
        </w:tc>
        <w:tc>
          <w:tcPr>
            <w:tcW w:w="1980" w:type="dxa"/>
          </w:tcPr>
          <w:p w:rsidR="00AC5FF4" w:rsidP="00AC5FF4" w14:paraId="00000080" w14:textId="04DA9546">
            <w:pPr>
              <w:jc w:val="center"/>
            </w:pPr>
            <w:r>
              <w:t>1 hour</w:t>
            </w:r>
          </w:p>
        </w:tc>
        <w:tc>
          <w:tcPr>
            <w:tcW w:w="1530" w:type="dxa"/>
          </w:tcPr>
          <w:p w:rsidR="00AC5FF4" w:rsidP="00AC5FF4" w14:paraId="00000081" w14:textId="676CF32B">
            <w:pPr>
              <w:jc w:val="center"/>
            </w:pPr>
            <w:r>
              <w:t>45</w:t>
            </w:r>
          </w:p>
        </w:tc>
      </w:tr>
      <w:tr w14:paraId="4E2D71A5" w14:textId="77777777">
        <w:tblPrEx>
          <w:tblW w:w="8689" w:type="dxa"/>
          <w:tblLayout w:type="fixed"/>
          <w:tblLook w:val="0400"/>
        </w:tblPrEx>
        <w:tc>
          <w:tcPr>
            <w:tcW w:w="37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rsidR="00AC5FF4" w:rsidP="00AC5FF4" w14:paraId="00000082" w14:textId="77777777">
            <w:pPr>
              <w:rPr>
                <w:sz w:val="20"/>
                <w:szCs w:val="20"/>
              </w:rPr>
            </w:pPr>
            <w:r>
              <w:rPr>
                <w:sz w:val="20"/>
                <w:szCs w:val="20"/>
              </w:rPr>
              <w:t>Infrastructure</w:t>
            </w:r>
          </w:p>
          <w:p w:rsidR="00AC5FF4" w:rsidP="00AC5FF4" w14:paraId="00000083" w14:textId="77777777">
            <w:pPr>
              <w:rPr>
                <w:sz w:val="18"/>
                <w:szCs w:val="18"/>
              </w:rPr>
            </w:pPr>
            <w:r>
              <w:rPr>
                <w:sz w:val="20"/>
                <w:szCs w:val="20"/>
              </w:rPr>
              <w:t xml:space="preserve">  Interdependency Following Hurr Maria: Component 3 Power Service</w:t>
            </w:r>
          </w:p>
        </w:tc>
        <w:tc>
          <w:tcPr>
            <w:tcW w:w="1404" w:type="dxa"/>
            <w:tcBorders>
              <w:left w:val="single" w:sz="8" w:space="0" w:color="000000"/>
            </w:tcBorders>
          </w:tcPr>
          <w:p w:rsidR="00AC5FF4" w:rsidP="00AC5FF4" w14:paraId="00000084" w14:textId="0E2711D6">
            <w:pPr>
              <w:jc w:val="center"/>
            </w:pPr>
            <w:r>
              <w:t>70</w:t>
            </w:r>
          </w:p>
        </w:tc>
        <w:tc>
          <w:tcPr>
            <w:tcW w:w="1980" w:type="dxa"/>
          </w:tcPr>
          <w:p w:rsidR="00AC5FF4" w:rsidP="00AC5FF4" w14:paraId="00000085" w14:textId="7D4245F7">
            <w:pPr>
              <w:jc w:val="center"/>
            </w:pPr>
            <w:r>
              <w:t>1 hour</w:t>
            </w:r>
          </w:p>
        </w:tc>
        <w:tc>
          <w:tcPr>
            <w:tcW w:w="1530" w:type="dxa"/>
          </w:tcPr>
          <w:p w:rsidR="00AC5FF4" w:rsidP="00AC5FF4" w14:paraId="00000086" w14:textId="59B99C33">
            <w:pPr>
              <w:jc w:val="center"/>
            </w:pPr>
            <w:r>
              <w:t>70</w:t>
            </w:r>
          </w:p>
        </w:tc>
      </w:tr>
      <w:tr w14:paraId="406D989D" w14:textId="77777777">
        <w:tblPrEx>
          <w:tblW w:w="8689" w:type="dxa"/>
          <w:tblLayout w:type="fixed"/>
          <w:tblLook w:val="0400"/>
        </w:tblPrEx>
        <w:tc>
          <w:tcPr>
            <w:tcW w:w="37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rsidR="00AC5FF4" w:rsidP="00AC5FF4" w14:paraId="00000087" w14:textId="77777777">
            <w:pPr>
              <w:rPr>
                <w:sz w:val="20"/>
                <w:szCs w:val="20"/>
              </w:rPr>
            </w:pPr>
            <w:r>
              <w:rPr>
                <w:sz w:val="20"/>
                <w:szCs w:val="20"/>
              </w:rPr>
              <w:t>Infrastructure</w:t>
            </w:r>
          </w:p>
          <w:p w:rsidR="00AC5FF4" w:rsidP="00AC5FF4" w14:paraId="00000088" w14:textId="77777777">
            <w:pPr>
              <w:rPr>
                <w:sz w:val="18"/>
                <w:szCs w:val="18"/>
              </w:rPr>
            </w:pPr>
            <w:r>
              <w:rPr>
                <w:sz w:val="20"/>
                <w:szCs w:val="20"/>
              </w:rPr>
              <w:t xml:space="preserve">  Interdependency Following Hurr Maria: Component 2 Comm Water Service</w:t>
            </w:r>
          </w:p>
        </w:tc>
        <w:tc>
          <w:tcPr>
            <w:tcW w:w="1404" w:type="dxa"/>
            <w:tcBorders>
              <w:left w:val="single" w:sz="8" w:space="0" w:color="000000"/>
            </w:tcBorders>
          </w:tcPr>
          <w:p w:rsidR="00AC5FF4" w:rsidP="00AC5FF4" w14:paraId="00000089" w14:textId="31B99384">
            <w:pPr>
              <w:jc w:val="center"/>
            </w:pPr>
            <w:r>
              <w:t>14</w:t>
            </w:r>
          </w:p>
        </w:tc>
        <w:tc>
          <w:tcPr>
            <w:tcW w:w="1980" w:type="dxa"/>
          </w:tcPr>
          <w:p w:rsidR="00AC5FF4" w:rsidP="00AC5FF4" w14:paraId="0000008A" w14:textId="15FD3CAB">
            <w:pPr>
              <w:jc w:val="center"/>
            </w:pPr>
            <w:r>
              <w:t>1 hour</w:t>
            </w:r>
          </w:p>
        </w:tc>
        <w:tc>
          <w:tcPr>
            <w:tcW w:w="1530" w:type="dxa"/>
          </w:tcPr>
          <w:p w:rsidR="00AC5FF4" w:rsidP="00AC5FF4" w14:paraId="0000008B" w14:textId="40AA39BA">
            <w:pPr>
              <w:jc w:val="center"/>
            </w:pPr>
            <w:r>
              <w:t>14</w:t>
            </w:r>
          </w:p>
        </w:tc>
      </w:tr>
      <w:tr w14:paraId="4784986D" w14:textId="77777777">
        <w:tblPrEx>
          <w:tblW w:w="8689" w:type="dxa"/>
          <w:tblLayout w:type="fixed"/>
          <w:tblLook w:val="0400"/>
        </w:tblPrEx>
        <w:tc>
          <w:tcPr>
            <w:tcW w:w="37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rsidR="00AC5FF4" w:rsidP="00AC5FF4" w14:paraId="0000008C" w14:textId="77777777">
            <w:pPr>
              <w:rPr>
                <w:sz w:val="20"/>
                <w:szCs w:val="20"/>
              </w:rPr>
            </w:pPr>
            <w:r>
              <w:rPr>
                <w:sz w:val="20"/>
                <w:szCs w:val="20"/>
              </w:rPr>
              <w:t>Infrastructure</w:t>
            </w:r>
          </w:p>
          <w:p w:rsidR="00AC5FF4" w:rsidP="00AC5FF4" w14:paraId="0000008D" w14:textId="77777777">
            <w:pPr>
              <w:rPr>
                <w:sz w:val="18"/>
                <w:szCs w:val="18"/>
              </w:rPr>
            </w:pPr>
            <w:r>
              <w:rPr>
                <w:sz w:val="20"/>
                <w:szCs w:val="20"/>
              </w:rPr>
              <w:t xml:space="preserve">  Interdependency Following Hurr Maria: Component 1 Water</w:t>
            </w:r>
          </w:p>
        </w:tc>
        <w:tc>
          <w:tcPr>
            <w:tcW w:w="1404" w:type="dxa"/>
            <w:tcBorders>
              <w:left w:val="single" w:sz="8" w:space="0" w:color="000000"/>
            </w:tcBorders>
          </w:tcPr>
          <w:p w:rsidR="00AC5FF4" w:rsidP="00AC5FF4" w14:paraId="0000008E" w14:textId="580FF8B6">
            <w:pPr>
              <w:jc w:val="center"/>
            </w:pPr>
            <w:r>
              <w:t>45</w:t>
            </w:r>
          </w:p>
        </w:tc>
        <w:tc>
          <w:tcPr>
            <w:tcW w:w="1980" w:type="dxa"/>
          </w:tcPr>
          <w:p w:rsidR="00AC5FF4" w:rsidP="00AC5FF4" w14:paraId="0000008F" w14:textId="25BA4B0A">
            <w:pPr>
              <w:jc w:val="center"/>
            </w:pPr>
            <w:r>
              <w:t>1 hour</w:t>
            </w:r>
          </w:p>
        </w:tc>
        <w:tc>
          <w:tcPr>
            <w:tcW w:w="1530" w:type="dxa"/>
          </w:tcPr>
          <w:p w:rsidR="00AC5FF4" w:rsidP="00AC5FF4" w14:paraId="00000090" w14:textId="5D756F4F">
            <w:pPr>
              <w:jc w:val="center"/>
            </w:pPr>
            <w:r>
              <w:t>45</w:t>
            </w:r>
          </w:p>
        </w:tc>
      </w:tr>
      <w:tr w14:paraId="44D85BD3" w14:textId="77777777">
        <w:tblPrEx>
          <w:tblW w:w="8689" w:type="dxa"/>
          <w:tblLayout w:type="fixed"/>
          <w:tblLook w:val="0400"/>
        </w:tblPrEx>
        <w:tc>
          <w:tcPr>
            <w:tcW w:w="37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rsidR="00AC5FF4" w:rsidP="00AC5FF4" w14:paraId="00000091" w14:textId="77777777">
            <w:pPr>
              <w:rPr>
                <w:sz w:val="20"/>
                <w:szCs w:val="20"/>
              </w:rPr>
            </w:pPr>
            <w:r>
              <w:rPr>
                <w:sz w:val="20"/>
                <w:szCs w:val="20"/>
              </w:rPr>
              <w:t>NIST</w:t>
            </w:r>
          </w:p>
          <w:p w:rsidR="00AC5FF4" w:rsidP="00AC5FF4" w14:paraId="00000092" w14:textId="77777777">
            <w:pPr>
              <w:rPr>
                <w:sz w:val="20"/>
                <w:szCs w:val="20"/>
              </w:rPr>
            </w:pPr>
            <w:r>
              <w:rPr>
                <w:sz w:val="20"/>
                <w:szCs w:val="20"/>
              </w:rPr>
              <w:t xml:space="preserve">  Hurricane Maria Study, Hurricane Maria Recovery of Critical Social Functions</w:t>
            </w:r>
          </w:p>
          <w:p w:rsidR="00AC5FF4" w:rsidP="00AC5FF4" w14:paraId="00000093" w14:textId="77777777">
            <w:pPr>
              <w:rPr>
                <w:sz w:val="20"/>
                <w:szCs w:val="20"/>
              </w:rPr>
            </w:pPr>
            <w:r>
              <w:rPr>
                <w:sz w:val="20"/>
                <w:szCs w:val="20"/>
              </w:rPr>
              <w:t xml:space="preserve">  Project: School Recovery Following Hurricane Maria School Recovery Survey</w:t>
            </w:r>
          </w:p>
          <w:p w:rsidR="00AC5FF4" w:rsidP="00AC5FF4" w14:paraId="00000094" w14:textId="77777777">
            <w:pPr>
              <w:rPr>
                <w:sz w:val="18"/>
                <w:szCs w:val="18"/>
              </w:rPr>
            </w:pPr>
            <w:r>
              <w:rPr>
                <w:sz w:val="20"/>
                <w:szCs w:val="20"/>
              </w:rPr>
              <w:t xml:space="preserve">  Wave 2.</w:t>
            </w:r>
          </w:p>
        </w:tc>
        <w:tc>
          <w:tcPr>
            <w:tcW w:w="1404" w:type="dxa"/>
            <w:tcBorders>
              <w:left w:val="single" w:sz="8" w:space="0" w:color="000000"/>
            </w:tcBorders>
          </w:tcPr>
          <w:p w:rsidR="00AC5FF4" w:rsidP="00AC5FF4" w14:paraId="00000095" w14:textId="759CC4FC">
            <w:pPr>
              <w:jc w:val="center"/>
            </w:pPr>
            <w:r>
              <w:t>410</w:t>
            </w:r>
          </w:p>
        </w:tc>
        <w:tc>
          <w:tcPr>
            <w:tcW w:w="1980" w:type="dxa"/>
          </w:tcPr>
          <w:p w:rsidR="00AC5FF4" w:rsidP="00AC5FF4" w14:paraId="00000096" w14:textId="7667D6D3">
            <w:pPr>
              <w:jc w:val="center"/>
            </w:pPr>
            <w:r>
              <w:t>25 minutes</w:t>
            </w:r>
          </w:p>
        </w:tc>
        <w:tc>
          <w:tcPr>
            <w:tcW w:w="1530" w:type="dxa"/>
          </w:tcPr>
          <w:p w:rsidR="00AC5FF4" w:rsidP="00AC5FF4" w14:paraId="00000097" w14:textId="7D3C0243">
            <w:pPr>
              <w:jc w:val="center"/>
            </w:pPr>
            <w:r>
              <w:t>171</w:t>
            </w:r>
          </w:p>
        </w:tc>
      </w:tr>
      <w:tr w14:paraId="3B477968" w14:textId="77777777">
        <w:tblPrEx>
          <w:tblW w:w="8689" w:type="dxa"/>
          <w:tblLayout w:type="fixed"/>
          <w:tblLook w:val="0400"/>
        </w:tblPrEx>
        <w:tc>
          <w:tcPr>
            <w:tcW w:w="37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rsidR="00AC5FF4" w:rsidP="00AC5FF4" w14:paraId="00000098" w14:textId="77777777">
            <w:pPr>
              <w:rPr>
                <w:sz w:val="20"/>
                <w:szCs w:val="20"/>
              </w:rPr>
            </w:pPr>
            <w:r>
              <w:rPr>
                <w:sz w:val="20"/>
                <w:szCs w:val="20"/>
              </w:rPr>
              <w:t>NIST</w:t>
            </w:r>
          </w:p>
          <w:p w:rsidR="00AC5FF4" w:rsidP="00AC5FF4" w14:paraId="00000099" w14:textId="77777777">
            <w:pPr>
              <w:rPr>
                <w:sz w:val="20"/>
                <w:szCs w:val="20"/>
              </w:rPr>
            </w:pPr>
            <w:r>
              <w:rPr>
                <w:sz w:val="20"/>
                <w:szCs w:val="20"/>
              </w:rPr>
              <w:t xml:space="preserve">  Hurricane Maria Study, Hurricane Maria Recovery of Critical Social Functions,</w:t>
            </w:r>
          </w:p>
          <w:p w:rsidR="00AC5FF4" w:rsidP="00AC5FF4" w14:paraId="0000009A" w14:textId="77777777">
            <w:pPr>
              <w:rPr>
                <w:sz w:val="20"/>
                <w:szCs w:val="20"/>
              </w:rPr>
            </w:pPr>
            <w:r>
              <w:rPr>
                <w:sz w:val="20"/>
                <w:szCs w:val="20"/>
              </w:rPr>
              <w:t xml:space="preserve">  Project: Hospital Recovery Following Hurricane Maria Hospital Recovery Survey</w:t>
            </w:r>
          </w:p>
          <w:p w:rsidR="00AC5FF4" w:rsidP="00AC5FF4" w14:paraId="0000009B" w14:textId="77777777">
            <w:pPr>
              <w:rPr>
                <w:sz w:val="18"/>
                <w:szCs w:val="18"/>
              </w:rPr>
            </w:pPr>
            <w:r>
              <w:rPr>
                <w:sz w:val="20"/>
                <w:szCs w:val="20"/>
              </w:rPr>
              <w:t xml:space="preserve">  Wave 2.</w:t>
            </w:r>
          </w:p>
        </w:tc>
        <w:tc>
          <w:tcPr>
            <w:tcW w:w="1404" w:type="dxa"/>
            <w:tcBorders>
              <w:left w:val="single" w:sz="8" w:space="0" w:color="000000"/>
            </w:tcBorders>
          </w:tcPr>
          <w:p w:rsidR="00AC5FF4" w:rsidP="00AC5FF4" w14:paraId="0000009C" w14:textId="5CDFDC95">
            <w:pPr>
              <w:jc w:val="center"/>
            </w:pPr>
            <w:r>
              <w:t>45</w:t>
            </w:r>
          </w:p>
        </w:tc>
        <w:tc>
          <w:tcPr>
            <w:tcW w:w="1980" w:type="dxa"/>
          </w:tcPr>
          <w:p w:rsidR="00AC5FF4" w:rsidP="00AC5FF4" w14:paraId="0000009D" w14:textId="4F7F31A8">
            <w:pPr>
              <w:jc w:val="center"/>
            </w:pPr>
            <w:r>
              <w:t>25 minutes</w:t>
            </w:r>
          </w:p>
        </w:tc>
        <w:tc>
          <w:tcPr>
            <w:tcW w:w="1530" w:type="dxa"/>
          </w:tcPr>
          <w:p w:rsidR="00AC5FF4" w:rsidP="00AC5FF4" w14:paraId="0000009E" w14:textId="022FB902">
            <w:pPr>
              <w:jc w:val="center"/>
            </w:pPr>
            <w:r>
              <w:t>19</w:t>
            </w:r>
          </w:p>
        </w:tc>
      </w:tr>
      <w:tr w14:paraId="400956C2" w14:textId="77777777">
        <w:tblPrEx>
          <w:tblW w:w="8689" w:type="dxa"/>
          <w:tblLayout w:type="fixed"/>
          <w:tblLook w:val="0400"/>
        </w:tblPrEx>
        <w:tc>
          <w:tcPr>
            <w:tcW w:w="37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rsidR="00AC5FF4" w:rsidP="00AC5FF4" w14:paraId="0000009F" w14:textId="77777777">
            <w:pPr>
              <w:rPr>
                <w:sz w:val="20"/>
                <w:szCs w:val="20"/>
              </w:rPr>
            </w:pPr>
            <w:r>
              <w:rPr>
                <w:sz w:val="20"/>
                <w:szCs w:val="20"/>
              </w:rPr>
              <w:t>Champlain</w:t>
            </w:r>
          </w:p>
          <w:p w:rsidR="00AC5FF4" w:rsidP="00AC5FF4" w14:paraId="000000A0" w14:textId="77777777">
            <w:pPr>
              <w:rPr>
                <w:sz w:val="20"/>
                <w:szCs w:val="20"/>
              </w:rPr>
            </w:pPr>
            <w:r>
              <w:rPr>
                <w:sz w:val="20"/>
                <w:szCs w:val="20"/>
              </w:rPr>
              <w:t xml:space="preserve">  Towers South (CTS) Condominium Collapse in Surfside, FL INTERVIEW GUIDE</w:t>
            </w:r>
          </w:p>
          <w:p w:rsidR="00AC5FF4" w:rsidP="00AC5FF4" w14:paraId="000000A1" w14:textId="77777777">
            <w:pPr>
              <w:rPr>
                <w:sz w:val="18"/>
                <w:szCs w:val="18"/>
              </w:rPr>
            </w:pPr>
            <w:r>
              <w:rPr>
                <w:sz w:val="20"/>
                <w:szCs w:val="20"/>
              </w:rPr>
              <w:t xml:space="preserve">  COMPONENT 1: CTS RESIDENTS</w:t>
            </w:r>
          </w:p>
        </w:tc>
        <w:tc>
          <w:tcPr>
            <w:tcW w:w="1404" w:type="dxa"/>
            <w:tcBorders>
              <w:left w:val="single" w:sz="8" w:space="0" w:color="000000"/>
            </w:tcBorders>
          </w:tcPr>
          <w:p w:rsidR="00AC5FF4" w:rsidP="00AC5FF4" w14:paraId="000000A2" w14:textId="785BDF06">
            <w:pPr>
              <w:jc w:val="center"/>
            </w:pPr>
            <w:r>
              <w:t>135</w:t>
            </w:r>
          </w:p>
        </w:tc>
        <w:tc>
          <w:tcPr>
            <w:tcW w:w="1980" w:type="dxa"/>
          </w:tcPr>
          <w:p w:rsidR="00AC5FF4" w:rsidP="00AC5FF4" w14:paraId="000000A3" w14:textId="23F424CC">
            <w:pPr>
              <w:jc w:val="center"/>
            </w:pPr>
            <w:r>
              <w:t>170 minutes</w:t>
            </w:r>
          </w:p>
        </w:tc>
        <w:tc>
          <w:tcPr>
            <w:tcW w:w="1530" w:type="dxa"/>
          </w:tcPr>
          <w:p w:rsidR="00AC5FF4" w:rsidP="00AC5FF4" w14:paraId="000000A4" w14:textId="7BD92E28">
            <w:pPr>
              <w:jc w:val="center"/>
            </w:pPr>
            <w:r>
              <w:t>383</w:t>
            </w:r>
          </w:p>
        </w:tc>
      </w:tr>
      <w:tr w14:paraId="4152315C" w14:textId="77777777">
        <w:tblPrEx>
          <w:tblW w:w="8689" w:type="dxa"/>
          <w:tblLayout w:type="fixed"/>
          <w:tblLook w:val="0400"/>
        </w:tblPrEx>
        <w:tc>
          <w:tcPr>
            <w:tcW w:w="37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rsidR="00AC5FF4" w:rsidP="00AC5FF4" w14:paraId="000000A5" w14:textId="77777777">
            <w:pPr>
              <w:rPr>
                <w:sz w:val="20"/>
                <w:szCs w:val="20"/>
              </w:rPr>
            </w:pPr>
            <w:r>
              <w:rPr>
                <w:sz w:val="20"/>
                <w:szCs w:val="20"/>
              </w:rPr>
              <w:t>Champlain</w:t>
            </w:r>
          </w:p>
          <w:p w:rsidR="00AC5FF4" w:rsidP="00AC5FF4" w14:paraId="000000A6" w14:textId="77777777">
            <w:pPr>
              <w:rPr>
                <w:sz w:val="20"/>
                <w:szCs w:val="20"/>
              </w:rPr>
            </w:pPr>
            <w:r>
              <w:rPr>
                <w:sz w:val="20"/>
                <w:szCs w:val="20"/>
              </w:rPr>
              <w:t xml:space="preserve">  Towers South (CTS) Condominium Collapse in Surfside, FL INTERVIEW GUIDE</w:t>
            </w:r>
          </w:p>
          <w:p w:rsidR="00AC5FF4" w:rsidP="00AC5FF4" w14:paraId="000000A7" w14:textId="77777777">
            <w:pPr>
              <w:rPr>
                <w:sz w:val="18"/>
                <w:szCs w:val="18"/>
              </w:rPr>
            </w:pPr>
            <w:r>
              <w:rPr>
                <w:sz w:val="20"/>
                <w:szCs w:val="20"/>
              </w:rPr>
              <w:t xml:space="preserve">  COMPONENT 2: CTS CONDO ASS BOARD MEMBERS</w:t>
            </w:r>
          </w:p>
        </w:tc>
        <w:tc>
          <w:tcPr>
            <w:tcW w:w="1404" w:type="dxa"/>
            <w:tcBorders>
              <w:left w:val="single" w:sz="8" w:space="0" w:color="000000"/>
            </w:tcBorders>
          </w:tcPr>
          <w:p w:rsidR="00AC5FF4" w:rsidP="00AC5FF4" w14:paraId="000000A8" w14:textId="27FC2452">
            <w:pPr>
              <w:jc w:val="center"/>
            </w:pPr>
            <w:r>
              <w:t>47</w:t>
            </w:r>
          </w:p>
        </w:tc>
        <w:tc>
          <w:tcPr>
            <w:tcW w:w="1980" w:type="dxa"/>
          </w:tcPr>
          <w:p w:rsidR="00AC5FF4" w:rsidP="00AC5FF4" w14:paraId="000000A9" w14:textId="062D1DF6">
            <w:pPr>
              <w:jc w:val="center"/>
            </w:pPr>
            <w:r>
              <w:t>185 minutes</w:t>
            </w:r>
          </w:p>
        </w:tc>
        <w:tc>
          <w:tcPr>
            <w:tcW w:w="1530" w:type="dxa"/>
          </w:tcPr>
          <w:p w:rsidR="00AC5FF4" w:rsidP="00AC5FF4" w14:paraId="000000AA" w14:textId="55CCA9B8">
            <w:pPr>
              <w:jc w:val="center"/>
            </w:pPr>
            <w:r>
              <w:t>145</w:t>
            </w:r>
          </w:p>
        </w:tc>
      </w:tr>
      <w:tr w14:paraId="093C6AF2" w14:textId="77777777">
        <w:tblPrEx>
          <w:tblW w:w="8689" w:type="dxa"/>
          <w:tblLayout w:type="fixed"/>
          <w:tblLook w:val="0400"/>
        </w:tblPrEx>
        <w:tc>
          <w:tcPr>
            <w:tcW w:w="37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rsidR="00AC5FF4" w:rsidP="00AC5FF4" w14:paraId="000000AB" w14:textId="77777777">
            <w:pPr>
              <w:rPr>
                <w:sz w:val="20"/>
                <w:szCs w:val="20"/>
              </w:rPr>
            </w:pPr>
            <w:r>
              <w:rPr>
                <w:sz w:val="20"/>
                <w:szCs w:val="20"/>
              </w:rPr>
              <w:t>Champlain</w:t>
            </w:r>
          </w:p>
          <w:p w:rsidR="00AC5FF4" w:rsidP="00AC5FF4" w14:paraId="000000AC" w14:textId="77777777">
            <w:pPr>
              <w:rPr>
                <w:sz w:val="20"/>
                <w:szCs w:val="20"/>
              </w:rPr>
            </w:pPr>
            <w:r>
              <w:rPr>
                <w:sz w:val="20"/>
                <w:szCs w:val="20"/>
              </w:rPr>
              <w:t xml:space="preserve">  Towers South (CTS) Condominium Collapse in Surfside, FL INTERVIEW GUIDE</w:t>
            </w:r>
          </w:p>
          <w:p w:rsidR="00AC5FF4" w:rsidP="00AC5FF4" w14:paraId="000000AD" w14:textId="77777777">
            <w:pPr>
              <w:rPr>
                <w:sz w:val="18"/>
                <w:szCs w:val="18"/>
              </w:rPr>
            </w:pPr>
            <w:r>
              <w:rPr>
                <w:sz w:val="20"/>
                <w:szCs w:val="20"/>
              </w:rPr>
              <w:t xml:space="preserve">  COMPONENT 3: CTS VISITORS</w:t>
            </w:r>
          </w:p>
        </w:tc>
        <w:tc>
          <w:tcPr>
            <w:tcW w:w="1404" w:type="dxa"/>
            <w:tcBorders>
              <w:left w:val="single" w:sz="8" w:space="0" w:color="000000"/>
            </w:tcBorders>
          </w:tcPr>
          <w:p w:rsidR="00AC5FF4" w:rsidP="00AC5FF4" w14:paraId="000000AE" w14:textId="6AB2E1C1">
            <w:pPr>
              <w:jc w:val="center"/>
            </w:pPr>
            <w:r>
              <w:t>18</w:t>
            </w:r>
          </w:p>
        </w:tc>
        <w:tc>
          <w:tcPr>
            <w:tcW w:w="1980" w:type="dxa"/>
          </w:tcPr>
          <w:p w:rsidR="00AC5FF4" w:rsidP="00AC5FF4" w14:paraId="000000AF" w14:textId="33A885D8">
            <w:pPr>
              <w:jc w:val="center"/>
            </w:pPr>
            <w:r>
              <w:t>165 minutes</w:t>
            </w:r>
          </w:p>
        </w:tc>
        <w:tc>
          <w:tcPr>
            <w:tcW w:w="1530" w:type="dxa"/>
          </w:tcPr>
          <w:p w:rsidR="00AC5FF4" w:rsidP="00AC5FF4" w14:paraId="000000B0" w14:textId="2797EC0F">
            <w:pPr>
              <w:jc w:val="center"/>
            </w:pPr>
            <w:r>
              <w:t>50</w:t>
            </w:r>
          </w:p>
        </w:tc>
      </w:tr>
      <w:tr w14:paraId="6DDF7531" w14:textId="77777777">
        <w:tblPrEx>
          <w:tblW w:w="8689" w:type="dxa"/>
          <w:tblLayout w:type="fixed"/>
          <w:tblLook w:val="0400"/>
        </w:tblPrEx>
        <w:tc>
          <w:tcPr>
            <w:tcW w:w="37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rsidR="00AC5FF4" w:rsidP="00AC5FF4" w14:paraId="000000B1" w14:textId="77777777">
            <w:pPr>
              <w:rPr>
                <w:sz w:val="20"/>
                <w:szCs w:val="20"/>
              </w:rPr>
            </w:pPr>
            <w:r>
              <w:rPr>
                <w:sz w:val="20"/>
                <w:szCs w:val="20"/>
              </w:rPr>
              <w:t>Champlain</w:t>
            </w:r>
          </w:p>
          <w:p w:rsidR="00AC5FF4" w:rsidP="00AC5FF4" w14:paraId="000000B2" w14:textId="77777777">
            <w:pPr>
              <w:rPr>
                <w:sz w:val="20"/>
                <w:szCs w:val="20"/>
              </w:rPr>
            </w:pPr>
            <w:r>
              <w:rPr>
                <w:sz w:val="20"/>
                <w:szCs w:val="20"/>
              </w:rPr>
              <w:t xml:space="preserve">  Towers South (CTS) Condominium Collapse in Surfside, FL INTERVIEW GUIDE</w:t>
            </w:r>
          </w:p>
          <w:p w:rsidR="00AC5FF4" w:rsidP="00AC5FF4" w14:paraId="000000B3" w14:textId="77777777">
            <w:pPr>
              <w:rPr>
                <w:sz w:val="18"/>
                <w:szCs w:val="18"/>
              </w:rPr>
            </w:pPr>
            <w:r>
              <w:rPr>
                <w:sz w:val="20"/>
                <w:szCs w:val="20"/>
              </w:rPr>
              <w:t xml:space="preserve">  COMPONENT 4: CTS STRUCTURES SPECIALIST</w:t>
            </w:r>
          </w:p>
        </w:tc>
        <w:tc>
          <w:tcPr>
            <w:tcW w:w="1404" w:type="dxa"/>
            <w:tcBorders>
              <w:left w:val="single" w:sz="8" w:space="0" w:color="000000"/>
            </w:tcBorders>
          </w:tcPr>
          <w:p w:rsidR="00AC5FF4" w:rsidP="00AC5FF4" w14:paraId="000000B4" w14:textId="5CA6B91E">
            <w:pPr>
              <w:jc w:val="center"/>
            </w:pPr>
            <w:r>
              <w:t>47</w:t>
            </w:r>
          </w:p>
        </w:tc>
        <w:tc>
          <w:tcPr>
            <w:tcW w:w="1980" w:type="dxa"/>
          </w:tcPr>
          <w:p w:rsidR="00AC5FF4" w:rsidP="00AC5FF4" w14:paraId="000000B5" w14:textId="003E6DAF">
            <w:pPr>
              <w:jc w:val="center"/>
            </w:pPr>
            <w:r>
              <w:t>210 minutes</w:t>
            </w:r>
          </w:p>
        </w:tc>
        <w:tc>
          <w:tcPr>
            <w:tcW w:w="1530" w:type="dxa"/>
          </w:tcPr>
          <w:p w:rsidR="00AC5FF4" w:rsidP="00AC5FF4" w14:paraId="000000B6" w14:textId="0A47CABA">
            <w:pPr>
              <w:jc w:val="center"/>
            </w:pPr>
            <w:r>
              <w:t>165</w:t>
            </w:r>
          </w:p>
        </w:tc>
      </w:tr>
      <w:tr w14:paraId="309FCA3E" w14:textId="77777777">
        <w:tblPrEx>
          <w:tblW w:w="8689" w:type="dxa"/>
          <w:tblLayout w:type="fixed"/>
          <w:tblLook w:val="0400"/>
        </w:tblPrEx>
        <w:tc>
          <w:tcPr>
            <w:tcW w:w="37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rsidR="00AC5FF4" w:rsidP="00AC5FF4" w14:paraId="000000B7" w14:textId="77777777">
            <w:pPr>
              <w:rPr>
                <w:sz w:val="20"/>
                <w:szCs w:val="20"/>
              </w:rPr>
            </w:pPr>
            <w:r>
              <w:rPr>
                <w:sz w:val="20"/>
                <w:szCs w:val="20"/>
              </w:rPr>
              <w:t>Champlain</w:t>
            </w:r>
          </w:p>
          <w:p w:rsidR="00AC5FF4" w:rsidP="00AC5FF4" w14:paraId="000000B8" w14:textId="77777777">
            <w:pPr>
              <w:rPr>
                <w:sz w:val="20"/>
                <w:szCs w:val="20"/>
              </w:rPr>
            </w:pPr>
            <w:r>
              <w:rPr>
                <w:sz w:val="20"/>
                <w:szCs w:val="20"/>
              </w:rPr>
              <w:t xml:space="preserve">  Towers South (CTS) Condominium Collapse in Surfside, FL INTERVIEW GUIDE</w:t>
            </w:r>
          </w:p>
          <w:p w:rsidR="00AC5FF4" w:rsidP="00AC5FF4" w14:paraId="000000B9" w14:textId="77777777">
            <w:pPr>
              <w:rPr>
                <w:sz w:val="18"/>
                <w:szCs w:val="18"/>
              </w:rPr>
            </w:pPr>
            <w:r>
              <w:rPr>
                <w:sz w:val="20"/>
                <w:szCs w:val="20"/>
              </w:rPr>
              <w:t xml:space="preserve">  COMPONENT 5: CTS COLLAPSE SITE PERSONNEL HANDLING CONCRETE</w:t>
            </w:r>
          </w:p>
        </w:tc>
        <w:tc>
          <w:tcPr>
            <w:tcW w:w="1404" w:type="dxa"/>
            <w:tcBorders>
              <w:left w:val="single" w:sz="8" w:space="0" w:color="000000"/>
            </w:tcBorders>
          </w:tcPr>
          <w:p w:rsidR="00AC5FF4" w:rsidP="00AC5FF4" w14:paraId="000000BA" w14:textId="6A5ECBEA">
            <w:pPr>
              <w:jc w:val="center"/>
            </w:pPr>
            <w:r>
              <w:t>20</w:t>
            </w:r>
          </w:p>
        </w:tc>
        <w:tc>
          <w:tcPr>
            <w:tcW w:w="1980" w:type="dxa"/>
          </w:tcPr>
          <w:p w:rsidR="00AC5FF4" w:rsidP="00AC5FF4" w14:paraId="000000BB" w14:textId="67EE4FAB">
            <w:pPr>
              <w:jc w:val="center"/>
            </w:pPr>
            <w:r>
              <w:t>120 minutes</w:t>
            </w:r>
          </w:p>
        </w:tc>
        <w:tc>
          <w:tcPr>
            <w:tcW w:w="1530" w:type="dxa"/>
          </w:tcPr>
          <w:p w:rsidR="00AC5FF4" w:rsidP="00AC5FF4" w14:paraId="000000BC" w14:textId="7F38FBC9">
            <w:pPr>
              <w:jc w:val="center"/>
            </w:pPr>
            <w:r>
              <w:t>40</w:t>
            </w:r>
          </w:p>
        </w:tc>
      </w:tr>
      <w:tr w14:paraId="7D1E86A9" w14:textId="77777777">
        <w:tblPrEx>
          <w:tblW w:w="8689" w:type="dxa"/>
          <w:tblLayout w:type="fixed"/>
          <w:tblLook w:val="0400"/>
        </w:tblPrEx>
        <w:tc>
          <w:tcPr>
            <w:tcW w:w="37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rsidR="00AC5FF4" w:rsidP="00AC5FF4" w14:paraId="000000BD" w14:textId="77777777">
            <w:pPr>
              <w:rPr>
                <w:sz w:val="20"/>
                <w:szCs w:val="20"/>
              </w:rPr>
            </w:pPr>
            <w:r>
              <w:rPr>
                <w:sz w:val="20"/>
                <w:szCs w:val="20"/>
              </w:rPr>
              <w:t>Champlain</w:t>
            </w:r>
          </w:p>
          <w:p w:rsidR="00AC5FF4" w:rsidP="00AC5FF4" w14:paraId="000000BE" w14:textId="77777777">
            <w:pPr>
              <w:rPr>
                <w:sz w:val="20"/>
                <w:szCs w:val="20"/>
              </w:rPr>
            </w:pPr>
            <w:r>
              <w:rPr>
                <w:sz w:val="20"/>
                <w:szCs w:val="20"/>
              </w:rPr>
              <w:t xml:space="preserve">  Towers South (CTS) Condominium Collapse in Surfside, FL INTERVIEW GUIDE</w:t>
            </w:r>
          </w:p>
          <w:p w:rsidR="00AC5FF4" w:rsidP="00AC5FF4" w14:paraId="000000BF" w14:textId="77777777">
            <w:pPr>
              <w:rPr>
                <w:sz w:val="18"/>
                <w:szCs w:val="18"/>
              </w:rPr>
            </w:pPr>
            <w:r>
              <w:rPr>
                <w:sz w:val="20"/>
                <w:szCs w:val="20"/>
              </w:rPr>
              <w:t xml:space="preserve">  COMPONENT 6: CTS MAINTENANCE STAFF</w:t>
            </w:r>
          </w:p>
        </w:tc>
        <w:tc>
          <w:tcPr>
            <w:tcW w:w="1404" w:type="dxa"/>
            <w:tcBorders>
              <w:left w:val="single" w:sz="8" w:space="0" w:color="000000"/>
            </w:tcBorders>
          </w:tcPr>
          <w:p w:rsidR="00AC5FF4" w:rsidP="00AC5FF4" w14:paraId="000000C0" w14:textId="685FE747">
            <w:pPr>
              <w:jc w:val="center"/>
            </w:pPr>
            <w:r>
              <w:t>20</w:t>
            </w:r>
          </w:p>
        </w:tc>
        <w:tc>
          <w:tcPr>
            <w:tcW w:w="1980" w:type="dxa"/>
          </w:tcPr>
          <w:p w:rsidR="00AC5FF4" w:rsidP="00AC5FF4" w14:paraId="000000C1" w14:textId="79179F0F">
            <w:pPr>
              <w:jc w:val="center"/>
            </w:pPr>
            <w:r>
              <w:t>210 minutes</w:t>
            </w:r>
          </w:p>
        </w:tc>
        <w:tc>
          <w:tcPr>
            <w:tcW w:w="1530" w:type="dxa"/>
          </w:tcPr>
          <w:p w:rsidR="00AC5FF4" w:rsidP="00AC5FF4" w14:paraId="000000C2" w14:textId="48205364">
            <w:pPr>
              <w:jc w:val="center"/>
            </w:pPr>
            <w:r>
              <w:t>70</w:t>
            </w:r>
          </w:p>
        </w:tc>
      </w:tr>
      <w:tr w14:paraId="1720EEF1" w14:textId="77777777">
        <w:tblPrEx>
          <w:tblW w:w="8689" w:type="dxa"/>
          <w:tblLayout w:type="fixed"/>
          <w:tblLook w:val="0400"/>
        </w:tblPrEx>
        <w:tc>
          <w:tcPr>
            <w:tcW w:w="37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rsidR="00AC5FF4" w:rsidP="00AC5FF4" w14:paraId="000000C3" w14:textId="77777777">
            <w:pPr>
              <w:rPr>
                <w:sz w:val="20"/>
                <w:szCs w:val="20"/>
              </w:rPr>
            </w:pPr>
            <w:r>
              <w:rPr>
                <w:sz w:val="20"/>
                <w:szCs w:val="20"/>
              </w:rPr>
              <w:t>Champlain</w:t>
            </w:r>
          </w:p>
          <w:p w:rsidR="00AC5FF4" w:rsidP="00AC5FF4" w14:paraId="000000C4" w14:textId="77777777">
            <w:pPr>
              <w:rPr>
                <w:sz w:val="20"/>
                <w:szCs w:val="20"/>
              </w:rPr>
            </w:pPr>
            <w:r>
              <w:rPr>
                <w:sz w:val="20"/>
                <w:szCs w:val="20"/>
              </w:rPr>
              <w:t xml:space="preserve">  Towers South (CTS) Condominium Collapse in Surfside, FL INTERVIEW GUIDE</w:t>
            </w:r>
          </w:p>
          <w:p w:rsidR="00AC5FF4" w:rsidP="00AC5FF4" w14:paraId="000000C5" w14:textId="77777777">
            <w:pPr>
              <w:rPr>
                <w:sz w:val="18"/>
                <w:szCs w:val="18"/>
              </w:rPr>
            </w:pPr>
            <w:r>
              <w:rPr>
                <w:sz w:val="20"/>
                <w:szCs w:val="20"/>
              </w:rPr>
              <w:t xml:space="preserve">  COMPONENT 7: CTS NON_MAIN STAFF</w:t>
            </w:r>
          </w:p>
        </w:tc>
        <w:tc>
          <w:tcPr>
            <w:tcW w:w="1404" w:type="dxa"/>
            <w:tcBorders>
              <w:left w:val="single" w:sz="8" w:space="0" w:color="000000"/>
            </w:tcBorders>
          </w:tcPr>
          <w:p w:rsidR="00AC5FF4" w:rsidP="00AC5FF4" w14:paraId="000000C6" w14:textId="7D13908D">
            <w:pPr>
              <w:jc w:val="center"/>
            </w:pPr>
            <w:r>
              <w:t>20</w:t>
            </w:r>
          </w:p>
        </w:tc>
        <w:tc>
          <w:tcPr>
            <w:tcW w:w="1980" w:type="dxa"/>
          </w:tcPr>
          <w:p w:rsidR="00AC5FF4" w:rsidP="00AC5FF4" w14:paraId="000000C7" w14:textId="574DD3DC">
            <w:pPr>
              <w:jc w:val="center"/>
            </w:pPr>
            <w:r>
              <w:t>150 minutes</w:t>
            </w:r>
          </w:p>
        </w:tc>
        <w:tc>
          <w:tcPr>
            <w:tcW w:w="1530" w:type="dxa"/>
          </w:tcPr>
          <w:p w:rsidR="00AC5FF4" w:rsidP="00AC5FF4" w14:paraId="000000C8" w14:textId="1B2C0975">
            <w:pPr>
              <w:jc w:val="center"/>
            </w:pPr>
            <w:r>
              <w:t>50</w:t>
            </w:r>
          </w:p>
        </w:tc>
      </w:tr>
      <w:tr w14:paraId="657B5C9B" w14:textId="77777777">
        <w:tblPrEx>
          <w:tblW w:w="8689" w:type="dxa"/>
          <w:tblLayout w:type="fixed"/>
          <w:tblLook w:val="0400"/>
        </w:tblPrEx>
        <w:tc>
          <w:tcPr>
            <w:tcW w:w="37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rsidR="00AC5FF4" w:rsidP="00AC5FF4" w14:paraId="000000C9" w14:textId="77777777">
            <w:pPr>
              <w:rPr>
                <w:sz w:val="20"/>
                <w:szCs w:val="20"/>
              </w:rPr>
            </w:pPr>
            <w:bookmarkStart w:id="0" w:name="_Hlk193795995"/>
            <w:r>
              <w:rPr>
                <w:sz w:val="20"/>
                <w:szCs w:val="20"/>
              </w:rPr>
              <w:t>Champlain</w:t>
            </w:r>
          </w:p>
          <w:p w:rsidR="00AC5FF4" w:rsidP="00AC5FF4" w14:paraId="000000CA" w14:textId="77777777">
            <w:pPr>
              <w:rPr>
                <w:sz w:val="20"/>
                <w:szCs w:val="20"/>
              </w:rPr>
            </w:pPr>
            <w:r>
              <w:rPr>
                <w:sz w:val="20"/>
                <w:szCs w:val="20"/>
              </w:rPr>
              <w:t xml:space="preserve">  Towers South (CTS) Condominium Collapse in Surfside, FL INTERVIEW GUIDE</w:t>
            </w:r>
          </w:p>
          <w:p w:rsidR="00AC5FF4" w:rsidP="00AC5FF4" w14:paraId="000000CB" w14:textId="77777777">
            <w:pPr>
              <w:rPr>
                <w:sz w:val="18"/>
                <w:szCs w:val="18"/>
              </w:rPr>
            </w:pPr>
            <w:r>
              <w:rPr>
                <w:sz w:val="20"/>
                <w:szCs w:val="20"/>
              </w:rPr>
              <w:t xml:space="preserve">  COMPONENT 8: CTS CONTRACTOR</w:t>
            </w:r>
          </w:p>
        </w:tc>
        <w:tc>
          <w:tcPr>
            <w:tcW w:w="1404" w:type="dxa"/>
            <w:tcBorders>
              <w:left w:val="single" w:sz="8" w:space="0" w:color="000000"/>
            </w:tcBorders>
          </w:tcPr>
          <w:p w:rsidR="00AC5FF4" w:rsidP="00AC5FF4" w14:paraId="000000CC" w14:textId="67A4308C">
            <w:pPr>
              <w:jc w:val="center"/>
            </w:pPr>
            <w:r>
              <w:t>30</w:t>
            </w:r>
          </w:p>
        </w:tc>
        <w:tc>
          <w:tcPr>
            <w:tcW w:w="1980" w:type="dxa"/>
          </w:tcPr>
          <w:p w:rsidR="00AC5FF4" w:rsidP="00AC5FF4" w14:paraId="000000CD" w14:textId="78EA203E">
            <w:pPr>
              <w:jc w:val="center"/>
            </w:pPr>
            <w:r>
              <w:t>120 minutes</w:t>
            </w:r>
          </w:p>
        </w:tc>
        <w:tc>
          <w:tcPr>
            <w:tcW w:w="1530" w:type="dxa"/>
          </w:tcPr>
          <w:p w:rsidR="00AC5FF4" w:rsidP="00AC5FF4" w14:paraId="000000CE" w14:textId="03739716">
            <w:pPr>
              <w:jc w:val="center"/>
            </w:pPr>
            <w:r>
              <w:t>60</w:t>
            </w:r>
          </w:p>
        </w:tc>
      </w:tr>
      <w:bookmarkEnd w:id="0"/>
      <w:tr w14:paraId="5BD4A02B" w14:textId="77777777">
        <w:tblPrEx>
          <w:tblW w:w="8689" w:type="dxa"/>
          <w:tblLayout w:type="fixed"/>
          <w:tblLook w:val="0400"/>
        </w:tblPrEx>
        <w:tc>
          <w:tcPr>
            <w:tcW w:w="37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rsidR="00DE3051" w:rsidP="00DE3051" w14:paraId="56F7FB01" w14:textId="77777777">
            <w:pPr>
              <w:rPr>
                <w:sz w:val="20"/>
                <w:szCs w:val="20"/>
              </w:rPr>
            </w:pPr>
            <w:r>
              <w:rPr>
                <w:sz w:val="20"/>
                <w:szCs w:val="20"/>
              </w:rPr>
              <w:t>Champlain</w:t>
            </w:r>
          </w:p>
          <w:p w:rsidR="00DE3051" w:rsidP="00DE3051" w14:paraId="02654C81" w14:textId="77777777">
            <w:pPr>
              <w:rPr>
                <w:sz w:val="20"/>
                <w:szCs w:val="20"/>
              </w:rPr>
            </w:pPr>
            <w:r>
              <w:rPr>
                <w:sz w:val="20"/>
                <w:szCs w:val="20"/>
              </w:rPr>
              <w:t xml:space="preserve">  Towers South (CTS) Condominium Collapse in Surfside, FL INTERVIEW GUIDE</w:t>
            </w:r>
          </w:p>
          <w:p w:rsidR="00DE3051" w:rsidP="00DE3051" w14:paraId="7F0E2D17" w14:textId="548CF3C9">
            <w:pPr>
              <w:rPr>
                <w:sz w:val="20"/>
                <w:szCs w:val="20"/>
              </w:rPr>
            </w:pPr>
            <w:r>
              <w:rPr>
                <w:sz w:val="20"/>
                <w:szCs w:val="20"/>
              </w:rPr>
              <w:t xml:space="preserve">  COMPONENT 9: POTENTIAL CONTRACTOR</w:t>
            </w:r>
          </w:p>
        </w:tc>
        <w:tc>
          <w:tcPr>
            <w:tcW w:w="1404" w:type="dxa"/>
            <w:tcBorders>
              <w:left w:val="single" w:sz="8" w:space="0" w:color="000000"/>
            </w:tcBorders>
          </w:tcPr>
          <w:p w:rsidR="00DE3051" w:rsidP="00DE3051" w14:paraId="5DE4C304" w14:textId="4D593419">
            <w:pPr>
              <w:jc w:val="center"/>
            </w:pPr>
            <w:r>
              <w:t>30</w:t>
            </w:r>
          </w:p>
        </w:tc>
        <w:tc>
          <w:tcPr>
            <w:tcW w:w="1980" w:type="dxa"/>
          </w:tcPr>
          <w:p w:rsidR="00DE3051" w:rsidP="00DE3051" w14:paraId="2C1A4D71" w14:textId="0CE2C775">
            <w:pPr>
              <w:jc w:val="center"/>
            </w:pPr>
            <w:r>
              <w:t>120 minutes</w:t>
            </w:r>
          </w:p>
        </w:tc>
        <w:tc>
          <w:tcPr>
            <w:tcW w:w="1530" w:type="dxa"/>
          </w:tcPr>
          <w:p w:rsidR="00DE3051" w:rsidP="00DE3051" w14:paraId="0819AB7D" w14:textId="4C6B566B">
            <w:pPr>
              <w:jc w:val="center"/>
            </w:pPr>
            <w:r>
              <w:t>60</w:t>
            </w:r>
          </w:p>
        </w:tc>
      </w:tr>
      <w:tr w14:paraId="4BBB85A1" w14:textId="77777777">
        <w:tblPrEx>
          <w:tblW w:w="8689" w:type="dxa"/>
          <w:tblLayout w:type="fixed"/>
          <w:tblLook w:val="0400"/>
        </w:tblPrEx>
        <w:tc>
          <w:tcPr>
            <w:tcW w:w="37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rsidR="00DE3051" w:rsidP="00DE3051" w14:paraId="530707E3" w14:textId="77777777">
            <w:pPr>
              <w:rPr>
                <w:sz w:val="20"/>
                <w:szCs w:val="20"/>
              </w:rPr>
            </w:pPr>
            <w:r>
              <w:rPr>
                <w:sz w:val="20"/>
                <w:szCs w:val="20"/>
              </w:rPr>
              <w:t>Champlain</w:t>
            </w:r>
          </w:p>
          <w:p w:rsidR="00DE3051" w:rsidP="00DE3051" w14:paraId="4FC65FF0" w14:textId="77777777">
            <w:pPr>
              <w:rPr>
                <w:sz w:val="20"/>
                <w:szCs w:val="20"/>
              </w:rPr>
            </w:pPr>
            <w:r>
              <w:rPr>
                <w:sz w:val="20"/>
                <w:szCs w:val="20"/>
              </w:rPr>
              <w:t xml:space="preserve">  Towers South (CTS) Condominium Collapse in Surfside, FL INTERVIEW GUIDE</w:t>
            </w:r>
          </w:p>
          <w:p w:rsidR="00DE3051" w:rsidP="00DE3051" w14:paraId="434F1351" w14:textId="7A299676">
            <w:pPr>
              <w:rPr>
                <w:sz w:val="20"/>
                <w:szCs w:val="20"/>
              </w:rPr>
            </w:pPr>
            <w:r>
              <w:rPr>
                <w:sz w:val="20"/>
                <w:szCs w:val="20"/>
              </w:rPr>
              <w:t xml:space="preserve">  COMPONENT 10: THOSE WITH HISTORICAL INSIGHTS ON THE TOWN OF SURFSIDE</w:t>
            </w:r>
          </w:p>
        </w:tc>
        <w:tc>
          <w:tcPr>
            <w:tcW w:w="1404" w:type="dxa"/>
            <w:tcBorders>
              <w:left w:val="single" w:sz="8" w:space="0" w:color="000000"/>
            </w:tcBorders>
          </w:tcPr>
          <w:p w:rsidR="00DE3051" w:rsidP="00DE3051" w14:paraId="4BA4F1D4" w14:textId="287DA634">
            <w:pPr>
              <w:jc w:val="center"/>
            </w:pPr>
            <w:r>
              <w:t>15</w:t>
            </w:r>
          </w:p>
        </w:tc>
        <w:tc>
          <w:tcPr>
            <w:tcW w:w="1980" w:type="dxa"/>
          </w:tcPr>
          <w:p w:rsidR="00DE3051" w:rsidP="00DE3051" w14:paraId="11DE1EF8" w14:textId="285657BB">
            <w:pPr>
              <w:jc w:val="center"/>
            </w:pPr>
            <w:r>
              <w:t>120 minutes</w:t>
            </w:r>
          </w:p>
        </w:tc>
        <w:tc>
          <w:tcPr>
            <w:tcW w:w="1530" w:type="dxa"/>
          </w:tcPr>
          <w:p w:rsidR="00DE3051" w:rsidP="00DE3051" w14:paraId="1156D87A" w14:textId="66A3AABB">
            <w:pPr>
              <w:jc w:val="center"/>
            </w:pPr>
            <w:r>
              <w:t>30</w:t>
            </w:r>
          </w:p>
        </w:tc>
      </w:tr>
      <w:tr w14:paraId="7B471FE2" w14:textId="77777777">
        <w:tblPrEx>
          <w:tblW w:w="8689" w:type="dxa"/>
          <w:tblLayout w:type="fixed"/>
          <w:tblLook w:val="0400"/>
        </w:tblPrEx>
        <w:tc>
          <w:tcPr>
            <w:tcW w:w="37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rsidR="00DE3051" w:rsidP="00DE3051" w14:paraId="3EA2D24D" w14:textId="77777777">
            <w:pPr>
              <w:rPr>
                <w:sz w:val="20"/>
                <w:szCs w:val="20"/>
              </w:rPr>
            </w:pPr>
            <w:r>
              <w:rPr>
                <w:sz w:val="20"/>
                <w:szCs w:val="20"/>
              </w:rPr>
              <w:t>Champlain</w:t>
            </w:r>
          </w:p>
          <w:p w:rsidR="00DE3051" w:rsidP="00DE3051" w14:paraId="076AA187" w14:textId="77777777">
            <w:pPr>
              <w:rPr>
                <w:sz w:val="20"/>
                <w:szCs w:val="20"/>
              </w:rPr>
            </w:pPr>
            <w:r>
              <w:rPr>
                <w:sz w:val="20"/>
                <w:szCs w:val="20"/>
              </w:rPr>
              <w:t xml:space="preserve">  Towers South (CTS) Condominium Collapse in Surfside, FL INTERVIEW GUIDE</w:t>
            </w:r>
          </w:p>
          <w:p w:rsidR="00DE3051" w:rsidP="00DE3051" w14:paraId="0E17C968" w14:textId="15FC5DD3">
            <w:pPr>
              <w:rPr>
                <w:sz w:val="20"/>
                <w:szCs w:val="20"/>
              </w:rPr>
            </w:pPr>
            <w:r>
              <w:rPr>
                <w:sz w:val="20"/>
                <w:szCs w:val="20"/>
              </w:rPr>
              <w:t xml:space="preserve">  COMPONENT 11: THOSE WITH INSIGHTS ON THE CTS BUILDING and SITE HISTORY</w:t>
            </w:r>
          </w:p>
        </w:tc>
        <w:tc>
          <w:tcPr>
            <w:tcW w:w="1404" w:type="dxa"/>
            <w:tcBorders>
              <w:left w:val="single" w:sz="8" w:space="0" w:color="000000"/>
            </w:tcBorders>
          </w:tcPr>
          <w:p w:rsidR="00DE3051" w:rsidP="00DE3051" w14:paraId="419658F9" w14:textId="4BFA70C6">
            <w:pPr>
              <w:jc w:val="center"/>
            </w:pPr>
            <w:r>
              <w:t>15</w:t>
            </w:r>
          </w:p>
        </w:tc>
        <w:tc>
          <w:tcPr>
            <w:tcW w:w="1980" w:type="dxa"/>
          </w:tcPr>
          <w:p w:rsidR="00DE3051" w:rsidP="00DE3051" w14:paraId="3FE01928" w14:textId="3C5CA8F3">
            <w:pPr>
              <w:jc w:val="center"/>
            </w:pPr>
            <w:r>
              <w:t>120 minutes</w:t>
            </w:r>
          </w:p>
        </w:tc>
        <w:tc>
          <w:tcPr>
            <w:tcW w:w="1530" w:type="dxa"/>
          </w:tcPr>
          <w:p w:rsidR="00DE3051" w:rsidP="00DE3051" w14:paraId="1331DF10" w14:textId="64A9E3E0">
            <w:pPr>
              <w:jc w:val="center"/>
            </w:pPr>
            <w:r>
              <w:t>30</w:t>
            </w:r>
          </w:p>
        </w:tc>
      </w:tr>
      <w:tr w14:paraId="489C83F8" w14:textId="77777777">
        <w:tblPrEx>
          <w:tblW w:w="8689" w:type="dxa"/>
          <w:tblLayout w:type="fixed"/>
          <w:tblLook w:val="0400"/>
        </w:tblPrEx>
        <w:tc>
          <w:tcPr>
            <w:tcW w:w="3775" w:type="dxa"/>
          </w:tcPr>
          <w:p w:rsidR="00DE3051" w:rsidP="00DE3051" w14:paraId="000000CF" w14:textId="77777777">
            <w:pPr>
              <w:rPr>
                <w:b/>
                <w:sz w:val="28"/>
                <w:szCs w:val="28"/>
              </w:rPr>
            </w:pPr>
            <w:r>
              <w:rPr>
                <w:b/>
                <w:sz w:val="28"/>
                <w:szCs w:val="28"/>
              </w:rPr>
              <w:t>TOTALS</w:t>
            </w:r>
          </w:p>
        </w:tc>
        <w:tc>
          <w:tcPr>
            <w:tcW w:w="1404" w:type="dxa"/>
          </w:tcPr>
          <w:p w:rsidR="00DE3051" w:rsidP="00DE3051" w14:paraId="000000D0" w14:textId="1AF5D0C1">
            <w:pPr>
              <w:jc w:val="center"/>
              <w:rPr>
                <w:b/>
                <w:sz w:val="28"/>
                <w:szCs w:val="28"/>
              </w:rPr>
            </w:pPr>
            <w:r>
              <w:rPr>
                <w:b/>
                <w:sz w:val="28"/>
                <w:szCs w:val="28"/>
              </w:rPr>
              <w:t>1,482</w:t>
            </w:r>
          </w:p>
        </w:tc>
        <w:tc>
          <w:tcPr>
            <w:tcW w:w="1980" w:type="dxa"/>
          </w:tcPr>
          <w:p w:rsidR="00DE3051" w:rsidP="00DE3051" w14:paraId="000000D1" w14:textId="78D127F2">
            <w:pPr>
              <w:jc w:val="center"/>
              <w:rPr>
                <w:b/>
                <w:sz w:val="28"/>
                <w:szCs w:val="28"/>
              </w:rPr>
            </w:pPr>
            <w:r>
              <w:rPr>
                <w:b/>
                <w:sz w:val="28"/>
                <w:szCs w:val="28"/>
              </w:rPr>
              <w:t>20-210 min</w:t>
            </w:r>
          </w:p>
        </w:tc>
        <w:tc>
          <w:tcPr>
            <w:tcW w:w="1530" w:type="dxa"/>
          </w:tcPr>
          <w:p w:rsidR="00DE3051" w:rsidP="00DE3051" w14:paraId="000000D2" w14:textId="21B7739F">
            <w:pPr>
              <w:jc w:val="center"/>
              <w:rPr>
                <w:b/>
                <w:sz w:val="28"/>
                <w:szCs w:val="28"/>
              </w:rPr>
            </w:pPr>
            <w:r>
              <w:rPr>
                <w:b/>
                <w:sz w:val="28"/>
                <w:szCs w:val="28"/>
              </w:rPr>
              <w:t>1,646</w:t>
            </w:r>
          </w:p>
        </w:tc>
      </w:tr>
    </w:tbl>
    <w:p w:rsidR="00FF48E9" w14:paraId="000000D3" w14:textId="77777777"/>
    <w:p w:rsidR="00FF48E9" w14:paraId="000000D4" w14:textId="7777777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Provide an estimate for the total annual cost burden to respondents or record keepers resulting from the collection of information. (Do not include the cost of any hour burden already reflected on the burden worksheet).</w:t>
      </w:r>
    </w:p>
    <w:p w:rsidR="00FF48E9" w14:paraId="000000D5" w14:textId="59E3F2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no costs to respondents.</w:t>
      </w:r>
      <w:r w:rsidR="008A3DAC">
        <w:rPr>
          <w:rFonts w:ascii="Times New Roman" w:eastAsia="Times New Roman" w:hAnsi="Times New Roman" w:cs="Times New Roman"/>
          <w:sz w:val="24"/>
          <w:szCs w:val="24"/>
        </w:rPr>
        <w:br/>
      </w:r>
    </w:p>
    <w:p w:rsidR="00FF48E9" w14:paraId="000000D6" w14:textId="7777777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Provide estimates of annualized costs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 Agencies may also aggregate cost estimates from Items 12, 13, and 14 in a single table.</w:t>
      </w:r>
    </w:p>
    <w:p w:rsidR="00FF48E9" w14:paraId="000000D7"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umbrella submission.  This Generic Clearance will involve 5 NIST employees that will devote a portion of their time, aside from normal duties, to plan, coordinate, administer, or monitor the overall types of individual information collections to be conducted.  NIST estimates that it would involve an annual estimated total of 560 hours and an estimated cost of $125,000 per year.  </w:t>
      </w:r>
    </w:p>
    <w:p w:rsidR="00FF48E9" w14:paraId="000000D8" w14:textId="77777777">
      <w:pPr>
        <w:spacing w:after="0" w:line="240" w:lineRule="auto"/>
        <w:rPr>
          <w:rFonts w:ascii="Times New Roman" w:eastAsia="Times New Roman" w:hAnsi="Times New Roman" w:cs="Times New Roman"/>
          <w:sz w:val="24"/>
          <w:szCs w:val="24"/>
        </w:rPr>
      </w:pPr>
    </w:p>
    <w:p w:rsidR="00FF48E9" w14:paraId="000000D9"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NIST will describe individual cost estimates for each individual information collection request made.  For example, if NIST determines that a Contractor will be involved in the collection efforts, those specific costs will be described.  </w:t>
      </w:r>
    </w:p>
    <w:p w:rsidR="00FF48E9" w14:paraId="000000DA" w14:textId="77777777">
      <w:pPr>
        <w:spacing w:line="240" w:lineRule="auto"/>
        <w:rPr>
          <w:rFonts w:ascii="Times New Roman" w:eastAsia="Times New Roman" w:hAnsi="Times New Roman" w:cs="Times New Roman"/>
          <w:b/>
          <w:sz w:val="24"/>
          <w:szCs w:val="24"/>
        </w:rPr>
      </w:pPr>
    </w:p>
    <w:p w:rsidR="00FF48E9" w14:paraId="000000DB" w14:textId="7777777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Explain the reasons for any program changes or adjustments reported on the burden</w:t>
      </w:r>
    </w:p>
    <w:p w:rsidR="00FF48E9" w14:paraId="000000DC" w14:textId="7777777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worksheet.</w:t>
      </w:r>
    </w:p>
    <w:p w:rsidR="00FF48E9" w14:paraId="000000DD" w14:textId="20364597">
      <w:pPr>
        <w:spacing w:line="240" w:lineRule="auto"/>
        <w:rPr>
          <w:rFonts w:ascii="Times New Roman" w:eastAsia="Times New Roman" w:hAnsi="Times New Roman" w:cs="Times New Roman"/>
          <w:b/>
          <w:sz w:val="24"/>
          <w:szCs w:val="24"/>
        </w:rPr>
      </w:pPr>
      <w:r w:rsidRPr="00167BA3">
        <w:rPr>
          <w:rFonts w:ascii="Times New Roman" w:eastAsia="Times New Roman" w:hAnsi="Times New Roman" w:cs="Times New Roman"/>
          <w:sz w:val="24"/>
          <w:szCs w:val="24"/>
        </w:rPr>
        <w:t>There are no changes to th</w:t>
      </w:r>
      <w:r>
        <w:rPr>
          <w:rFonts w:ascii="Times New Roman" w:eastAsia="Times New Roman" w:hAnsi="Times New Roman" w:cs="Times New Roman"/>
          <w:sz w:val="24"/>
          <w:szCs w:val="24"/>
        </w:rPr>
        <w:t xml:space="preserve">is generic </w:t>
      </w:r>
      <w:r w:rsidR="000917AC">
        <w:rPr>
          <w:rFonts w:ascii="Times New Roman" w:eastAsia="Times New Roman" w:hAnsi="Times New Roman" w:cs="Times New Roman"/>
          <w:sz w:val="24"/>
          <w:szCs w:val="24"/>
        </w:rPr>
        <w:t>clearance</w:t>
      </w:r>
      <w:r>
        <w:rPr>
          <w:rFonts w:ascii="Times New Roman" w:eastAsia="Times New Roman" w:hAnsi="Times New Roman" w:cs="Times New Roman"/>
          <w:sz w:val="24"/>
          <w:szCs w:val="24"/>
        </w:rPr>
        <w:t xml:space="preserve"> </w:t>
      </w:r>
      <w:r w:rsidRPr="00167BA3">
        <w:rPr>
          <w:rFonts w:ascii="Times New Roman" w:eastAsia="Times New Roman" w:hAnsi="Times New Roman" w:cs="Times New Roman"/>
          <w:sz w:val="24"/>
          <w:szCs w:val="24"/>
        </w:rPr>
        <w:t>since last OMB approval.</w:t>
      </w:r>
      <w:r w:rsidR="008A3DAC">
        <w:rPr>
          <w:rFonts w:ascii="Times New Roman" w:eastAsia="Times New Roman" w:hAnsi="Times New Roman" w:cs="Times New Roman"/>
          <w:sz w:val="24"/>
          <w:szCs w:val="24"/>
        </w:rPr>
        <w:br/>
      </w:r>
    </w:p>
    <w:p w:rsidR="00FF48E9" w14:paraId="000000DE" w14:textId="7777777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16. 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FF48E9" w14:paraId="000000DF"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of these data collections will help to further and improve guidance on community resilience and to reduce the impacts of hazards on communities. Findings will be used in technology transfer as applicable through changes in building codes and standards. Results may be used in papers published in research journals and presented at conferences. Findings from the data collection activities may also be published in books, compendiums, and reports, and NIST publications. Results may be disseminated to NIST staff, key policy and management officials, and both public and private stakeholders. There will be no attribution to individuals in the analyzed data.  </w:t>
      </w:r>
    </w:p>
    <w:p w:rsidR="00FF48E9" w14:paraId="000000E0" w14:textId="77777777">
      <w:pPr>
        <w:spacing w:after="0" w:line="240" w:lineRule="auto"/>
        <w:rPr>
          <w:rFonts w:ascii="Times New Roman" w:eastAsia="Times New Roman" w:hAnsi="Times New Roman" w:cs="Times New Roman"/>
          <w:b/>
          <w:sz w:val="24"/>
          <w:szCs w:val="24"/>
        </w:rPr>
      </w:pPr>
    </w:p>
    <w:p w:rsidR="00FF48E9" w14:paraId="000000E1" w14:textId="7777777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17. If seeking approval to not display the expiration date for OMB approval of the information collection, explain the reasons that display would be inappropriate.</w:t>
      </w:r>
    </w:p>
    <w:p w:rsidR="00FF48E9" w14:paraId="000000E2"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written and electronic material will display the OMB Control # and current expiration date of the OMB approval.  All written and electronic surveys (with the exception of transactional surveys in the form of business </w:t>
      </w:r>
      <w:r>
        <w:rPr>
          <w:rFonts w:ascii="Times New Roman" w:eastAsia="Times New Roman" w:hAnsi="Times New Roman" w:cs="Times New Roman"/>
          <w:sz w:val="24"/>
          <w:szCs w:val="24"/>
        </w:rPr>
        <w:t>reply</w:t>
      </w:r>
      <w:r>
        <w:rPr>
          <w:rFonts w:ascii="Times New Roman" w:eastAsia="Times New Roman" w:hAnsi="Times New Roman" w:cs="Times New Roman"/>
          <w:sz w:val="24"/>
          <w:szCs w:val="24"/>
        </w:rPr>
        <w:t xml:space="preserve"> cards where space will not permit) will display the following notification:</w:t>
      </w:r>
    </w:p>
    <w:p w:rsidR="00FF48E9" w14:paraId="000000E3"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OMB Control #0693-0078</w:t>
      </w:r>
    </w:p>
    <w:p w:rsidR="00FF48E9" w14:paraId="000000E4" w14:textId="083517F7">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Expiration date:  </w:t>
      </w:r>
      <w:r w:rsidRPr="008C44D4" w:rsidR="008C44D4">
        <w:rPr>
          <w:rFonts w:ascii="Times New Roman" w:eastAsia="Times New Roman" w:hAnsi="Times New Roman" w:cs="Times New Roman"/>
          <w:sz w:val="24"/>
          <w:szCs w:val="24"/>
        </w:rPr>
        <w:t>TBD – will be the expiration date of the OMB approval</w:t>
      </w:r>
    </w:p>
    <w:p w:rsidR="00FF48E9" w14:paraId="000000E5" w14:textId="752CCADA">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collection of information contains Paperwork Reduction Act (PRA) requirements approved by the Office of Management and Budget (OMB).  Notwithstanding any other provisions of the law, no person is required to respond to, nor shall any person be subject to a penalty for failure to comply with, a collection of information subject to the requirements of the PRA unless that collection of information displays a currently valid OMB control number.  Public reporting burden for this collection is estimated to be between 15 and 120 minutes per response, including the time for reviewing instructions, searching existing data sources, gathering and maintaining the data needed and completing and reviewing the collection of information.  Send comments regarding this burden estimate or any aspect of this collection of information, including suggestions for reducing this burden, to the National Institute of Standards and Technology, Attn: Jennifer Helgeson, Research Economist, NIST, 100 Bureau Drive, M8603, Gaithersburg, MD 20899-1710, telephone 301-975-6133, or via email to jennifer.helgeson@nist.gov.</w:t>
      </w:r>
      <w:r w:rsidR="008A3DAC">
        <w:rPr>
          <w:rFonts w:ascii="Times New Roman" w:eastAsia="Times New Roman" w:hAnsi="Times New Roman" w:cs="Times New Roman"/>
          <w:sz w:val="24"/>
          <w:szCs w:val="24"/>
        </w:rPr>
        <w:br/>
      </w:r>
    </w:p>
    <w:p w:rsidR="00FF48E9" w14:paraId="000000E6" w14:textId="7777777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18. Explain each exception to the topics of the certification statement identified in “Certification or Paperwork Reduction Act Submissions.”</w:t>
      </w:r>
    </w:p>
    <w:p w:rsidR="00FF48E9" w14:paraId="000000E7" w14:textId="4A9D4BFD">
      <w:pPr>
        <w:rPr>
          <w:rFonts w:ascii="Times New Roman" w:eastAsia="Times New Roman" w:hAnsi="Times New Roman" w:cs="Times New Roman"/>
          <w:sz w:val="24"/>
          <w:szCs w:val="24"/>
        </w:rPr>
      </w:pPr>
      <w:r>
        <w:rPr>
          <w:rFonts w:ascii="Times New Roman" w:eastAsia="Times New Roman" w:hAnsi="Times New Roman" w:cs="Times New Roman"/>
          <w:sz w:val="24"/>
          <w:szCs w:val="24"/>
        </w:rPr>
        <w:t>NIST does not require any exceptions.</w:t>
      </w:r>
    </w:p>
    <w:p w:rsidR="00FF48E9" w14:paraId="000000E8" w14:textId="77777777">
      <w:pPr>
        <w:spacing w:line="240" w:lineRule="auto"/>
        <w:rPr>
          <w:rFonts w:ascii="Times New Roman" w:eastAsia="Times New Roman" w:hAnsi="Times New Roman" w:cs="Times New Roman"/>
          <w:b/>
          <w:sz w:val="24"/>
          <w:szCs w:val="24"/>
        </w:rPr>
      </w:pPr>
    </w:p>
    <w:p w:rsidR="00FF48E9" w14:paraId="000000E9" w14:textId="77777777">
      <w:pPr>
        <w:spacing w:line="240" w:lineRule="auto"/>
        <w:rPr>
          <w:rFonts w:ascii="Times New Roman" w:eastAsia="Times New Roman" w:hAnsi="Times New Roman" w:cs="Times New Roman"/>
          <w:b/>
          <w:sz w:val="24"/>
          <w:szCs w:val="24"/>
        </w:rPr>
      </w:pPr>
    </w:p>
    <w:sectPr>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3248430-6CC2-4903-946D-B5710232CD5A}"/>
    <w:embedBold r:id="rId2" w:fontKey="{1C312DB0-84E2-4699-BBCA-3BDC31F7F4A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CFC1DF2-1361-419E-B6F3-2537476C77BA}"/>
    <w:embedItalic r:id="rId4" w:fontKey="{838E4B3C-6F3F-47E2-91F6-046C4B57A295}"/>
  </w:font>
  <w:font w:name="Calibri Light">
    <w:panose1 w:val="020F0302020204030204"/>
    <w:charset w:val="00"/>
    <w:family w:val="swiss"/>
    <w:pitch w:val="variable"/>
    <w:sig w:usb0="E4002EFF" w:usb1="C200247B" w:usb2="00000009" w:usb3="00000000" w:csb0="000001FF" w:csb1="00000000"/>
    <w:embedRegular r:id="rId5" w:fontKey="{5EE07589-E405-4C21-8F4A-17AE40E2972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3DE52C31"/>
    <w:multiLevelType w:val="multilevel"/>
    <w:tmpl w:val="20F84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5072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8E9"/>
    <w:rsid w:val="0000485C"/>
    <w:rsid w:val="000917AC"/>
    <w:rsid w:val="00093534"/>
    <w:rsid w:val="000A1D25"/>
    <w:rsid w:val="00105E9A"/>
    <w:rsid w:val="00126314"/>
    <w:rsid w:val="00131CE9"/>
    <w:rsid w:val="00167BA3"/>
    <w:rsid w:val="001C2038"/>
    <w:rsid w:val="001F173C"/>
    <w:rsid w:val="001F6DDD"/>
    <w:rsid w:val="0020097A"/>
    <w:rsid w:val="002A6BD9"/>
    <w:rsid w:val="0034721F"/>
    <w:rsid w:val="0042333A"/>
    <w:rsid w:val="00424451"/>
    <w:rsid w:val="005335B3"/>
    <w:rsid w:val="00534204"/>
    <w:rsid w:val="00595B1A"/>
    <w:rsid w:val="005A42EB"/>
    <w:rsid w:val="005D19D2"/>
    <w:rsid w:val="005F56FF"/>
    <w:rsid w:val="005F7DFF"/>
    <w:rsid w:val="00603EAE"/>
    <w:rsid w:val="006706B9"/>
    <w:rsid w:val="00673E00"/>
    <w:rsid w:val="00694731"/>
    <w:rsid w:val="006A0078"/>
    <w:rsid w:val="006F32C8"/>
    <w:rsid w:val="00712519"/>
    <w:rsid w:val="007740B5"/>
    <w:rsid w:val="00796870"/>
    <w:rsid w:val="007B79ED"/>
    <w:rsid w:val="008555FD"/>
    <w:rsid w:val="00882D90"/>
    <w:rsid w:val="008A3DAC"/>
    <w:rsid w:val="008B18D5"/>
    <w:rsid w:val="008C44D4"/>
    <w:rsid w:val="008D1F9B"/>
    <w:rsid w:val="008D4C1A"/>
    <w:rsid w:val="00927954"/>
    <w:rsid w:val="00933882"/>
    <w:rsid w:val="0094607D"/>
    <w:rsid w:val="009E1624"/>
    <w:rsid w:val="00A21159"/>
    <w:rsid w:val="00A21546"/>
    <w:rsid w:val="00A45F9D"/>
    <w:rsid w:val="00A92F7E"/>
    <w:rsid w:val="00AC5FF4"/>
    <w:rsid w:val="00AF5445"/>
    <w:rsid w:val="00B14AFD"/>
    <w:rsid w:val="00B24C43"/>
    <w:rsid w:val="00B6334A"/>
    <w:rsid w:val="00BC62A8"/>
    <w:rsid w:val="00BE00AD"/>
    <w:rsid w:val="00C655A0"/>
    <w:rsid w:val="00C74438"/>
    <w:rsid w:val="00D13369"/>
    <w:rsid w:val="00D17C49"/>
    <w:rsid w:val="00D35D9F"/>
    <w:rsid w:val="00D450C3"/>
    <w:rsid w:val="00DE3051"/>
    <w:rsid w:val="00E873D6"/>
    <w:rsid w:val="00F830D8"/>
    <w:rsid w:val="00FF48E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5E074AF9"/>
  <w15:docId w15:val="{1F5AC444-88A8-4758-A17C-CFA42D034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3611D"/>
    <w:pPr>
      <w:ind w:left="720"/>
      <w:contextualSpacing/>
    </w:pPr>
  </w:style>
  <w:style w:type="character" w:styleId="FootnoteReference">
    <w:name w:val="footnote reference"/>
    <w:semiHidden/>
    <w:unhideWhenUsed/>
    <w:rsid w:val="003E24D5"/>
    <w:rPr>
      <w:vertAlign w:val="superscript"/>
    </w:rPr>
  </w:style>
  <w:style w:type="character" w:styleId="Hyperlink">
    <w:name w:val="Hyperlink"/>
    <w:basedOn w:val="DefaultParagraphFont"/>
    <w:uiPriority w:val="99"/>
    <w:unhideWhenUsed/>
    <w:rsid w:val="003E24D5"/>
    <w:rPr>
      <w:color w:val="0563C1" w:themeColor="hyperlink"/>
      <w:u w:val="single"/>
    </w:rPr>
  </w:style>
  <w:style w:type="table" w:styleId="TableGrid">
    <w:name w:val="Table Grid"/>
    <w:basedOn w:val="TableNormal"/>
    <w:uiPriority w:val="39"/>
    <w:rsid w:val="00602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35D9F"/>
    <w:pPr>
      <w:spacing w:after="0" w:line="240" w:lineRule="auto"/>
    </w:pPr>
  </w:style>
  <w:style w:type="paragraph" w:styleId="CommentSubject">
    <w:name w:val="annotation subject"/>
    <w:basedOn w:val="CommentText"/>
    <w:next w:val="CommentText"/>
    <w:link w:val="CommentSubjectChar"/>
    <w:uiPriority w:val="99"/>
    <w:semiHidden/>
    <w:unhideWhenUsed/>
    <w:rsid w:val="00E873D6"/>
    <w:rPr>
      <w:b/>
      <w:bCs/>
    </w:rPr>
  </w:style>
  <w:style w:type="character" w:customStyle="1" w:styleId="CommentSubjectChar">
    <w:name w:val="Comment Subject Char"/>
    <w:basedOn w:val="CommentTextChar"/>
    <w:link w:val="CommentSubject"/>
    <w:uiPriority w:val="99"/>
    <w:semiHidden/>
    <w:rsid w:val="00E873D6"/>
    <w:rPr>
      <w:b/>
      <w:bCs/>
      <w:sz w:val="20"/>
      <w:szCs w:val="20"/>
    </w:rPr>
  </w:style>
  <w:style w:type="character" w:styleId="UnresolvedMention">
    <w:name w:val="Unresolved Mention"/>
    <w:basedOn w:val="DefaultParagraphFont"/>
    <w:uiPriority w:val="99"/>
    <w:semiHidden/>
    <w:unhideWhenUsed/>
    <w:rsid w:val="00BC62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MZ6f9GJqFJUC+8NmpUA4A8/BTQ==">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4222</Words>
  <Characters>24731</Characters>
  <Application>Microsoft Office Word</Application>
  <DocSecurity>0</DocSecurity>
  <Lines>206</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Reinhart, Liz (Fed)</dc:creator>
  <cp:lastModifiedBy>O'Reilly, Maureen D. (Fed)</cp:lastModifiedBy>
  <cp:revision>2</cp:revision>
  <cp:lastPrinted>2025-03-25T15:16:00Z</cp:lastPrinted>
  <dcterms:created xsi:type="dcterms:W3CDTF">2025-08-15T12:19:00Z</dcterms:created>
  <dcterms:modified xsi:type="dcterms:W3CDTF">2025-08-15T12:19:00Z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660242716ebbca9d351c8fddc1ab448a4896bf06aac1a5145c909976ae2f7e62</vt:lpwstr>
  </property>
</Properties>
</file>