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230667" w:rsidRPr="006D7AF2" w14:paraId="00000002" w14:textId="77777777">
      <w:pPr>
        <w:jc w:val="center"/>
        <w:rPr>
          <w:rFonts w:ascii="Times New Roman" w:hAnsi="Times New Roman" w:cs="Times New Roman"/>
          <w:b/>
          <w:sz w:val="24"/>
          <w:szCs w:val="24"/>
        </w:rPr>
      </w:pPr>
      <w:r w:rsidRPr="006D7AF2">
        <w:rPr>
          <w:rFonts w:ascii="Times New Roman" w:hAnsi="Times New Roman" w:cs="Times New Roman"/>
          <w:b/>
          <w:sz w:val="24"/>
          <w:szCs w:val="24"/>
        </w:rPr>
        <w:t>Supporting Statement Part B</w:t>
      </w:r>
    </w:p>
    <w:p w:rsidR="00230667" w:rsidRPr="006D7AF2" w14:paraId="00000003" w14:textId="77777777">
      <w:pPr>
        <w:jc w:val="center"/>
        <w:rPr>
          <w:rFonts w:ascii="Times New Roman" w:hAnsi="Times New Roman" w:cs="Times New Roman"/>
          <w:b/>
          <w:sz w:val="24"/>
          <w:szCs w:val="24"/>
        </w:rPr>
      </w:pPr>
      <w:r w:rsidRPr="006D7AF2">
        <w:rPr>
          <w:rFonts w:ascii="Times New Roman" w:hAnsi="Times New Roman" w:cs="Times New Roman"/>
          <w:b/>
          <w:sz w:val="24"/>
          <w:szCs w:val="24"/>
        </w:rPr>
        <w:t>U.S. Department of Commerce</w:t>
      </w:r>
    </w:p>
    <w:p w:rsidR="00230667" w:rsidRPr="006D7AF2" w14:paraId="00000004" w14:textId="77777777">
      <w:pPr>
        <w:jc w:val="center"/>
        <w:rPr>
          <w:rFonts w:ascii="Times New Roman" w:hAnsi="Times New Roman" w:cs="Times New Roman"/>
          <w:b/>
          <w:sz w:val="24"/>
          <w:szCs w:val="24"/>
        </w:rPr>
      </w:pPr>
      <w:bookmarkStart w:id="0" w:name="_heading=h.30j0zll" w:colFirst="0" w:colLast="0"/>
      <w:bookmarkEnd w:id="0"/>
      <w:r w:rsidRPr="006D7AF2">
        <w:rPr>
          <w:rFonts w:ascii="Times New Roman" w:hAnsi="Times New Roman" w:cs="Times New Roman"/>
          <w:b/>
          <w:sz w:val="24"/>
          <w:szCs w:val="24"/>
        </w:rPr>
        <w:t>National Institute of Standards and Technology</w:t>
      </w:r>
    </w:p>
    <w:p w:rsidR="00230667" w:rsidRPr="006D7AF2" w14:paraId="00000005" w14:textId="77777777">
      <w:pPr>
        <w:jc w:val="center"/>
        <w:rPr>
          <w:rFonts w:ascii="Times New Roman" w:hAnsi="Times New Roman" w:cs="Times New Roman"/>
          <w:b/>
          <w:sz w:val="24"/>
          <w:szCs w:val="24"/>
        </w:rPr>
      </w:pPr>
      <w:r w:rsidRPr="006D7AF2">
        <w:rPr>
          <w:rFonts w:ascii="Times New Roman" w:hAnsi="Times New Roman" w:cs="Times New Roman"/>
          <w:b/>
          <w:sz w:val="24"/>
          <w:szCs w:val="24"/>
        </w:rPr>
        <w:t>Generic Clearance for Community Resilience Data Collections</w:t>
      </w:r>
    </w:p>
    <w:p w:rsidR="00230667" w:rsidRPr="006D7AF2" w14:paraId="00000006" w14:textId="77777777">
      <w:pPr>
        <w:jc w:val="center"/>
        <w:rPr>
          <w:rFonts w:ascii="Times New Roman" w:hAnsi="Times New Roman" w:cs="Times New Roman"/>
          <w:sz w:val="24"/>
          <w:szCs w:val="24"/>
        </w:rPr>
      </w:pPr>
      <w:r w:rsidRPr="006D7AF2">
        <w:rPr>
          <w:rFonts w:ascii="Times New Roman" w:hAnsi="Times New Roman" w:cs="Times New Roman"/>
          <w:b/>
          <w:sz w:val="24"/>
          <w:szCs w:val="24"/>
        </w:rPr>
        <w:t>OMB CONTROL NO. 0693-0078</w:t>
      </w:r>
    </w:p>
    <w:p w:rsidR="00230667" w14:paraId="00000008" w14:textId="77777777">
      <w:pPr>
        <w:widowControl w:val="0"/>
        <w:spacing w:before="80" w:after="0" w:line="240" w:lineRule="auto"/>
        <w:ind w:left="400"/>
        <w:rPr>
          <w:rFonts w:ascii="Times New Roman" w:eastAsia="Times New Roman" w:hAnsi="Times New Roman" w:cs="Times New Roman"/>
          <w:b/>
          <w:sz w:val="24"/>
          <w:szCs w:val="24"/>
        </w:rPr>
      </w:pPr>
    </w:p>
    <w:p w:rsidR="00230667" w14:paraId="00000009" w14:textId="77777777">
      <w:pPr>
        <w:widowControl w:val="0"/>
        <w:numPr>
          <w:ilvl w:val="0"/>
          <w:numId w:val="2"/>
        </w:numPr>
        <w:pBdr>
          <w:top w:val="nil"/>
          <w:left w:val="nil"/>
          <w:bottom w:val="nil"/>
          <w:right w:val="nil"/>
          <w:between w:val="nil"/>
        </w:pBdr>
        <w:spacing w:before="80"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Describe (including a numerical estimate) the potential respondent universe and any sampling or other respondent selection method to be used. Data on the number of entities (e.g., establishments, State and local government units, households, or persons) in the universe covered by the collection and in the corresponding sample are to be provided in tabular form for the universe as a whole and for each of the strata in the proposed sample. Indicate expected response rates for the </w:t>
      </w:r>
      <w:r>
        <w:rPr>
          <w:rFonts w:ascii="Times New Roman" w:eastAsia="Times New Roman" w:hAnsi="Times New Roman" w:cs="Times New Roman"/>
          <w:b/>
          <w:color w:val="000000"/>
          <w:sz w:val="24"/>
          <w:szCs w:val="24"/>
        </w:rPr>
        <w:t>collection as a whole</w:t>
      </w:r>
      <w:r>
        <w:rPr>
          <w:rFonts w:ascii="Times New Roman" w:eastAsia="Times New Roman" w:hAnsi="Times New Roman" w:cs="Times New Roman"/>
          <w:b/>
          <w:color w:val="000000"/>
          <w:sz w:val="24"/>
          <w:szCs w:val="24"/>
        </w:rPr>
        <w:t>. If the collection had been conducted previously, include the actual response rate achieved during the last collection.</w:t>
      </w:r>
    </w:p>
    <w:p w:rsidR="00230667" w14:paraId="0000000A" w14:textId="77777777">
      <w:pPr>
        <w:widowControl w:val="0"/>
        <w:spacing w:before="80" w:after="0" w:line="240" w:lineRule="auto"/>
        <w:rPr>
          <w:rFonts w:ascii="Times New Roman" w:eastAsia="Times New Roman" w:hAnsi="Times New Roman" w:cs="Times New Roman"/>
          <w:b/>
          <w:sz w:val="24"/>
          <w:szCs w:val="24"/>
        </w:rPr>
      </w:pPr>
    </w:p>
    <w:p w:rsidR="00230667" w:rsidRPr="006D7AF2" w14:paraId="0000000B" w14:textId="77777777">
      <w:pPr>
        <w:rPr>
          <w:rFonts w:ascii="Times New Roman" w:hAnsi="Times New Roman" w:cs="Times New Roman"/>
          <w:sz w:val="24"/>
          <w:szCs w:val="24"/>
        </w:rPr>
      </w:pPr>
      <w:r w:rsidRPr="006D7AF2">
        <w:rPr>
          <w:rFonts w:ascii="Times New Roman" w:hAnsi="Times New Roman" w:cs="Times New Roman"/>
          <w:sz w:val="24"/>
          <w:szCs w:val="24"/>
        </w:rPr>
        <w:t xml:space="preserve">The activities under this collection may involve samples of self-selected participants, as well as representative samples of affected community members. In some cases, the use of convenience samples or quota samples may be made. Potential respondents will be selected to cover a broad range of individuals and entities related to specific aspects of community resilience, hazard preparedness, and disaster response and recovery.  </w:t>
      </w:r>
    </w:p>
    <w:p w:rsidR="00230667" w:rsidRPr="006D7AF2" w14:paraId="0000000D" w14:textId="77777777">
      <w:pPr>
        <w:rPr>
          <w:rFonts w:ascii="Times New Roman" w:hAnsi="Times New Roman" w:cs="Times New Roman"/>
          <w:sz w:val="24"/>
          <w:szCs w:val="24"/>
        </w:rPr>
      </w:pPr>
      <w:r w:rsidRPr="006D7AF2">
        <w:rPr>
          <w:rFonts w:ascii="Times New Roman" w:hAnsi="Times New Roman" w:cs="Times New Roman"/>
          <w:sz w:val="24"/>
          <w:szCs w:val="24"/>
        </w:rPr>
        <w:t>The specific sample planned for each individual collection and the method for soliciting participation will be described fully in each information collection request. In some cases, statistically representative methods will be employed to ensure a sample that reflects attributes of the population.</w:t>
      </w:r>
    </w:p>
    <w:p w:rsidR="00230667" w:rsidRPr="006D7AF2" w14:paraId="0000000F" w14:textId="77777777">
      <w:pPr>
        <w:rPr>
          <w:rFonts w:ascii="Times New Roman" w:eastAsia="Times New Roman" w:hAnsi="Times New Roman" w:cs="Times New Roman"/>
          <w:b/>
          <w:sz w:val="28"/>
          <w:szCs w:val="28"/>
        </w:rPr>
      </w:pPr>
      <w:r w:rsidRPr="006D7AF2">
        <w:rPr>
          <w:rFonts w:ascii="Times New Roman" w:hAnsi="Times New Roman" w:cs="Times New Roman"/>
          <w:sz w:val="24"/>
          <w:szCs w:val="24"/>
        </w:rPr>
        <w:t xml:space="preserve">The number of individuals and entities participating </w:t>
      </w:r>
      <w:r w:rsidRPr="006D7AF2">
        <w:rPr>
          <w:rFonts w:ascii="Times New Roman" w:hAnsi="Times New Roman" w:cs="Times New Roman"/>
          <w:sz w:val="24"/>
          <w:szCs w:val="24"/>
        </w:rPr>
        <w:t>in a given</w:t>
      </w:r>
      <w:r w:rsidRPr="006D7AF2">
        <w:rPr>
          <w:rFonts w:ascii="Times New Roman" w:hAnsi="Times New Roman" w:cs="Times New Roman"/>
          <w:sz w:val="24"/>
          <w:szCs w:val="24"/>
        </w:rPr>
        <w:t xml:space="preserve"> study will vary based on the nature of and needs addressed by the study.</w:t>
      </w:r>
    </w:p>
    <w:p w:rsidR="00230667" w14:paraId="00000010" w14:textId="77777777">
      <w:pPr>
        <w:widowControl w:val="0"/>
        <w:spacing w:before="80" w:after="0" w:line="240" w:lineRule="auto"/>
        <w:ind w:left="40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 Describe the procedures for the collection of information including: </w:t>
      </w:r>
    </w:p>
    <w:p w:rsidR="00230667" w14:paraId="00000011" w14:textId="77777777">
      <w:pPr>
        <w:widowControl w:val="0"/>
        <w:numPr>
          <w:ilvl w:val="0"/>
          <w:numId w:val="1"/>
        </w:numPr>
        <w:pBdr>
          <w:top w:val="nil"/>
          <w:left w:val="nil"/>
          <w:bottom w:val="nil"/>
          <w:right w:val="nil"/>
          <w:between w:val="nil"/>
        </w:pBdr>
        <w:spacing w:before="80"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Statistical methodology for stratification and sample selection,</w:t>
      </w:r>
    </w:p>
    <w:p w:rsidR="00230667" w14:paraId="00000012" w14:textId="77777777">
      <w:pPr>
        <w:widowControl w:val="0"/>
        <w:numPr>
          <w:ilvl w:val="0"/>
          <w:numId w:val="1"/>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Estimation procedure,</w:t>
      </w:r>
    </w:p>
    <w:p w:rsidR="00230667" w14:paraId="00000013" w14:textId="77777777">
      <w:pPr>
        <w:widowControl w:val="0"/>
        <w:numPr>
          <w:ilvl w:val="0"/>
          <w:numId w:val="1"/>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Degree of accuracy needed for the purpose described in the justification,</w:t>
      </w:r>
    </w:p>
    <w:p w:rsidR="00230667" w14:paraId="00000014" w14:textId="77777777">
      <w:pPr>
        <w:widowControl w:val="0"/>
        <w:numPr>
          <w:ilvl w:val="0"/>
          <w:numId w:val="1"/>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Unusual problems requiring specialized sampling procedures, and</w:t>
      </w:r>
    </w:p>
    <w:p w:rsidR="00230667" w14:paraId="00000015" w14:textId="77777777">
      <w:pPr>
        <w:widowControl w:val="0"/>
        <w:numPr>
          <w:ilvl w:val="0"/>
          <w:numId w:val="1"/>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Any use of periodic (less frequent than annual) data collection cycles to reduce burden.</w:t>
      </w:r>
    </w:p>
    <w:p w:rsidR="00230667" w14:paraId="00000016" w14:textId="77777777">
      <w:pPr>
        <w:widowControl w:val="0"/>
        <w:spacing w:before="80" w:after="0" w:line="240" w:lineRule="auto"/>
        <w:rPr>
          <w:rFonts w:ascii="Times New Roman" w:eastAsia="Times New Roman" w:hAnsi="Times New Roman" w:cs="Times New Roman"/>
          <w:sz w:val="24"/>
          <w:szCs w:val="24"/>
        </w:rPr>
      </w:pPr>
    </w:p>
    <w:p w:rsidR="00230667" w14:paraId="00000017" w14:textId="77777777">
      <w:pPr>
        <w:rPr>
          <w:rFonts w:ascii="Times New Roman" w:eastAsia="Times New Roman" w:hAnsi="Times New Roman" w:cs="Times New Roman"/>
          <w:sz w:val="24"/>
          <w:szCs w:val="24"/>
        </w:rPr>
      </w:pPr>
      <w:r>
        <w:rPr>
          <w:rFonts w:ascii="Times New Roman" w:eastAsia="Times New Roman" w:hAnsi="Times New Roman" w:cs="Times New Roman"/>
          <w:sz w:val="24"/>
          <w:szCs w:val="24"/>
        </w:rPr>
        <w:t>Data collection methods and procedures may vary and the specifics of these will be provided as supplemental documents for each information collection request.  NIST experts may use a variety of methodologies for these collections; and commercial survey-specific software to automate its collection and analysis of feedback.  Some collection instruments may also involve physical copies, information collection instruments may be electronically disseminated and/or posted on target pages of a NIST web site. Telephone scripts, personal interviews, and focus groups may also be used and if applicable, will be provided as a part of the submission.</w:t>
      </w:r>
    </w:p>
    <w:p w:rsidR="00230667" w14:paraId="00000018" w14:textId="77777777">
      <w:pPr>
        <w:widowControl w:val="0"/>
        <w:spacing w:before="80" w:after="0" w:line="240" w:lineRule="auto"/>
        <w:rPr>
          <w:rFonts w:ascii="Times New Roman" w:eastAsia="Times New Roman" w:hAnsi="Times New Roman" w:cs="Times New Roman"/>
          <w:b/>
          <w:sz w:val="24"/>
          <w:szCs w:val="24"/>
        </w:rPr>
      </w:pPr>
    </w:p>
    <w:p w:rsidR="00230667" w14:paraId="00000019" w14:textId="77777777">
      <w:pPr>
        <w:widowControl w:val="0"/>
        <w:spacing w:before="80" w:after="0" w:line="240" w:lineRule="auto"/>
        <w:ind w:left="400"/>
        <w:rPr>
          <w:rFonts w:ascii="Times New Roman" w:eastAsia="Times New Roman" w:hAnsi="Times New Roman" w:cs="Times New Roman"/>
          <w:b/>
          <w:sz w:val="24"/>
          <w:szCs w:val="24"/>
        </w:rPr>
      </w:pPr>
      <w:r>
        <w:rPr>
          <w:rFonts w:ascii="Times New Roman" w:eastAsia="Times New Roman" w:hAnsi="Times New Roman" w:cs="Times New Roman"/>
          <w:b/>
          <w:sz w:val="24"/>
          <w:szCs w:val="24"/>
        </w:rPr>
        <w:t>3. Describe methods to maximize response rates and to deal with issues of non-response. The accuracy and reliability of information collected must be shown to be adequate for intended uses. For collections based on sampling, a special justification must be provided for any collection that will not yield "reliable" data that can be generalized to the universe studied.</w:t>
      </w:r>
    </w:p>
    <w:p w:rsidR="00230667" w14:paraId="0000001A" w14:textId="77777777">
      <w:pPr>
        <w:widowControl w:val="0"/>
        <w:spacing w:before="80" w:after="0" w:line="240" w:lineRule="auto"/>
        <w:ind w:left="400"/>
        <w:rPr>
          <w:rFonts w:ascii="Times New Roman" w:eastAsia="Times New Roman" w:hAnsi="Times New Roman" w:cs="Times New Roman"/>
          <w:b/>
          <w:sz w:val="24"/>
          <w:szCs w:val="24"/>
        </w:rPr>
      </w:pPr>
    </w:p>
    <w:p w:rsidR="00230667" w14:paraId="0000001B" w14:textId="77777777">
      <w:pPr>
        <w:widowControl w:val="0"/>
        <w:spacing w:before="80" w:after="0" w:line="240" w:lineRule="auto"/>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collection plans will consider the minimum number of responses needed to provide accurate and reliable </w:t>
      </w:r>
      <w:r>
        <w:rPr>
          <w:rFonts w:ascii="Times New Roman" w:eastAsia="Times New Roman" w:hAnsi="Times New Roman" w:cs="Times New Roman"/>
          <w:sz w:val="24"/>
          <w:szCs w:val="24"/>
        </w:rPr>
        <w:t>data, and</w:t>
      </w:r>
      <w:r>
        <w:rPr>
          <w:rFonts w:ascii="Times New Roman" w:eastAsia="Times New Roman" w:hAnsi="Times New Roman" w:cs="Times New Roman"/>
          <w:sz w:val="24"/>
          <w:szCs w:val="24"/>
        </w:rPr>
        <w:t xml:space="preserve"> develop plans to obtain at least the minimum number of responses. Information collected under this generic clearance may not always yield generalizable quantitative findings; however, it can provide useful input about community resilience planning, risk-informed planning, hazard preparedness, disaster response, and sustainability. NIST may use generally accepted survey methods to minimize non-response, including, but not limited to tailoring the type, frequency, and nature of solicitation.</w:t>
      </w:r>
    </w:p>
    <w:p w:rsidR="00230667" w14:paraId="0000001C" w14:textId="77777777">
      <w:pPr>
        <w:widowControl w:val="0"/>
        <w:spacing w:before="80" w:after="0" w:line="240" w:lineRule="auto"/>
        <w:ind w:left="400"/>
        <w:rPr>
          <w:rFonts w:ascii="Times New Roman" w:eastAsia="Times New Roman" w:hAnsi="Times New Roman" w:cs="Times New Roman"/>
          <w:b/>
          <w:sz w:val="24"/>
          <w:szCs w:val="24"/>
        </w:rPr>
      </w:pPr>
    </w:p>
    <w:p w:rsidR="00230667" w14:paraId="0000001D" w14:textId="77777777">
      <w:pPr>
        <w:widowControl w:val="0"/>
        <w:spacing w:before="80" w:after="0" w:line="240" w:lineRule="auto"/>
        <w:ind w:left="400"/>
        <w:rPr>
          <w:rFonts w:ascii="Times New Roman" w:eastAsia="Times New Roman" w:hAnsi="Times New Roman" w:cs="Times New Roman"/>
          <w:b/>
          <w:sz w:val="24"/>
          <w:szCs w:val="24"/>
        </w:rPr>
      </w:pPr>
      <w:r>
        <w:rPr>
          <w:rFonts w:ascii="Times New Roman" w:eastAsia="Times New Roman" w:hAnsi="Times New Roman" w:cs="Times New Roman"/>
          <w:b/>
          <w:sz w:val="24"/>
          <w:szCs w:val="24"/>
        </w:rPr>
        <w:t>4. Describe any tests of procedures or methods to be undertaken. Testing is encouraged as an effective means of refining collections of information to minimize burden and improve utility. Tests must be approved if they call for answers to identical questions from 10 or more respondents. A proposed test or set of tests may be submitted for approval separately or in combination with the main collection of information.</w:t>
      </w:r>
    </w:p>
    <w:p w:rsidR="00230667" w14:paraId="0000001E" w14:textId="77777777">
      <w:pPr>
        <w:widowControl w:val="0"/>
        <w:spacing w:before="80" w:after="0" w:line="240" w:lineRule="auto"/>
        <w:ind w:left="400"/>
        <w:rPr>
          <w:rFonts w:ascii="Times New Roman" w:eastAsia="Times New Roman" w:hAnsi="Times New Roman" w:cs="Times New Roman"/>
          <w:b/>
          <w:sz w:val="24"/>
          <w:szCs w:val="24"/>
        </w:rPr>
      </w:pPr>
    </w:p>
    <w:p w:rsidR="00230667" w14:paraId="0000001F" w14:textId="77777777">
      <w:pPr>
        <w:rPr>
          <w:rFonts w:ascii="Times New Roman" w:eastAsia="Times New Roman" w:hAnsi="Times New Roman" w:cs="Times New Roman"/>
          <w:b/>
          <w:sz w:val="24"/>
          <w:szCs w:val="24"/>
        </w:rPr>
      </w:pPr>
      <w:r>
        <w:rPr>
          <w:rFonts w:ascii="Times New Roman" w:eastAsia="Times New Roman" w:hAnsi="Times New Roman" w:cs="Times New Roman"/>
          <w:sz w:val="24"/>
          <w:szCs w:val="24"/>
        </w:rPr>
        <w:t>Pretesting may be done with internal staff, a limited number of external colleagues, and/or individuals/entities familiar with the type of information sought. If the number of pretest respondents exceeds nine members of the public, NIST will submit the pretest instruments for OMB review under this generic clearance.</w:t>
      </w:r>
    </w:p>
    <w:p w:rsidR="00230667" w14:paraId="00000020" w14:textId="77777777">
      <w:pPr>
        <w:widowControl w:val="0"/>
        <w:spacing w:before="80" w:after="0" w:line="240" w:lineRule="auto"/>
        <w:rPr>
          <w:rFonts w:ascii="Times New Roman" w:eastAsia="Times New Roman" w:hAnsi="Times New Roman" w:cs="Times New Roman"/>
          <w:b/>
          <w:sz w:val="24"/>
          <w:szCs w:val="24"/>
        </w:rPr>
      </w:pPr>
    </w:p>
    <w:p w:rsidR="00230667" w14:paraId="00000021" w14:textId="77777777">
      <w:pPr>
        <w:widowControl w:val="0"/>
        <w:spacing w:before="80" w:after="0" w:line="240" w:lineRule="auto"/>
        <w:ind w:left="40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 Provide the name and telephone number of individuals consulted on statistical aspects of the design and the name of the agency unit, contractor(s), grantee(s), or other person(s) who will </w:t>
      </w:r>
      <w:r>
        <w:rPr>
          <w:rFonts w:ascii="Times New Roman" w:eastAsia="Times New Roman" w:hAnsi="Times New Roman" w:cs="Times New Roman"/>
          <w:b/>
          <w:sz w:val="24"/>
          <w:szCs w:val="24"/>
        </w:rPr>
        <w:t>actually collect</w:t>
      </w:r>
      <w:r>
        <w:rPr>
          <w:rFonts w:ascii="Times New Roman" w:eastAsia="Times New Roman" w:hAnsi="Times New Roman" w:cs="Times New Roman"/>
          <w:b/>
          <w:sz w:val="24"/>
          <w:szCs w:val="24"/>
        </w:rPr>
        <w:t xml:space="preserve"> and/or analyze the information for the agency.</w:t>
      </w:r>
    </w:p>
    <w:p w:rsidR="00230667" w14:paraId="00000022" w14:textId="77777777">
      <w:pPr>
        <w:widowControl w:val="0"/>
        <w:spacing w:before="80" w:after="0" w:line="240" w:lineRule="auto"/>
        <w:ind w:left="400"/>
        <w:rPr>
          <w:rFonts w:ascii="Times New Roman" w:eastAsia="Times New Roman" w:hAnsi="Times New Roman" w:cs="Times New Roman"/>
          <w:b/>
          <w:sz w:val="24"/>
          <w:szCs w:val="24"/>
        </w:rPr>
      </w:pPr>
    </w:p>
    <w:p w:rsidR="00230667" w14:paraId="00000023" w14:textId="7777777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statistical methods are used, NIST will obtain and provide information from the statisticians involved in the development, design, conduct, and analysis of usability data collections to be conducted, when appropriate.  NIST will provide the name and contact information of the persons consulted in specific information collection requests submitted under this generic clearance.  </w:t>
      </w:r>
    </w:p>
    <w:p w:rsidR="00230667" w14:paraId="00000024" w14:textId="77777777">
      <w:pPr>
        <w:widowControl w:val="0"/>
        <w:spacing w:before="80" w:after="0" w:line="240" w:lineRule="auto"/>
        <w:ind w:left="400"/>
        <w:rPr>
          <w:rFonts w:ascii="Times New Roman" w:eastAsia="Times New Roman" w:hAnsi="Times New Roman" w:cs="Times New Roman"/>
          <w:b/>
          <w:sz w:val="24"/>
          <w:szCs w:val="24"/>
        </w:rPr>
      </w:pPr>
    </w:p>
    <w:sectPr>
      <w:pgSz w:w="12240" w:h="15840"/>
      <w:pgMar w:top="640" w:right="420" w:bottom="1200" w:left="320" w:header="0" w:footer="1014"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sig w:usb0="00000000" w:usb1="00000000" w:usb2="00000000" w:usb3="00000000" w:csb0="00000001" w:csb1="00000000"/>
    <w:embedRegular r:id="rId1" w:fontKey="{BC9C43F2-5023-4CE1-8EF3-689EB346C5A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8DFC6C1-3BFC-4D73-8564-DB95B63EDBE2}"/>
    <w:embedBold r:id="rId3" w:fontKey="{29E8269B-9350-4F59-9852-8FADB7209E7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8709D158-F09B-4689-878A-7D0A54A3D629}"/>
    <w:embedItalic r:id="rId5" w:fontKey="{6AF74101-7597-4DC4-8495-6084B08CC25A}"/>
  </w:font>
  <w:font w:name="Calibri Light">
    <w:panose1 w:val="020F0302020204030204"/>
    <w:charset w:val="00"/>
    <w:family w:val="swiss"/>
    <w:pitch w:val="variable"/>
    <w:sig w:usb0="E4002EFF" w:usb1="C200247B" w:usb2="00000009" w:usb3="00000000" w:csb0="000001FF" w:csb1="00000000"/>
    <w:embedRegular r:id="rId6" w:fontKey="{9D7FF5F9-3CE0-4012-9EC7-587CA8B3AD4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263450B7"/>
    <w:multiLevelType w:val="multilevel"/>
    <w:tmpl w:val="77B62450"/>
    <w:lvl w:ilvl="0">
      <w:start w:val="1"/>
      <w:numFmt w:val="decimal"/>
      <w:lvlText w:val="%1."/>
      <w:lvlJc w:val="left"/>
      <w:pPr>
        <w:ind w:left="760" w:hanging="360"/>
      </w:pPr>
    </w:lvl>
    <w:lvl w:ilvl="1">
      <w:start w:val="1"/>
      <w:numFmt w:val="lowerLetter"/>
      <w:lvlText w:val="%2."/>
      <w:lvlJc w:val="left"/>
      <w:pPr>
        <w:ind w:left="1480" w:hanging="360"/>
      </w:pPr>
    </w:lvl>
    <w:lvl w:ilvl="2">
      <w:start w:val="1"/>
      <w:numFmt w:val="lowerRoman"/>
      <w:lvlText w:val="%3."/>
      <w:lvlJc w:val="right"/>
      <w:pPr>
        <w:ind w:left="2200" w:hanging="180"/>
      </w:pPr>
    </w:lvl>
    <w:lvl w:ilvl="3">
      <w:start w:val="1"/>
      <w:numFmt w:val="decimal"/>
      <w:lvlText w:val="%4."/>
      <w:lvlJc w:val="left"/>
      <w:pPr>
        <w:ind w:left="2920" w:hanging="360"/>
      </w:pPr>
    </w:lvl>
    <w:lvl w:ilvl="4">
      <w:start w:val="1"/>
      <w:numFmt w:val="lowerLetter"/>
      <w:lvlText w:val="%5."/>
      <w:lvlJc w:val="left"/>
      <w:pPr>
        <w:ind w:left="3640" w:hanging="360"/>
      </w:pPr>
    </w:lvl>
    <w:lvl w:ilvl="5">
      <w:start w:val="1"/>
      <w:numFmt w:val="lowerRoman"/>
      <w:lvlText w:val="%6."/>
      <w:lvlJc w:val="right"/>
      <w:pPr>
        <w:ind w:left="4360" w:hanging="180"/>
      </w:pPr>
    </w:lvl>
    <w:lvl w:ilvl="6">
      <w:start w:val="1"/>
      <w:numFmt w:val="decimal"/>
      <w:lvlText w:val="%7."/>
      <w:lvlJc w:val="left"/>
      <w:pPr>
        <w:ind w:left="5080" w:hanging="360"/>
      </w:pPr>
    </w:lvl>
    <w:lvl w:ilvl="7">
      <w:start w:val="1"/>
      <w:numFmt w:val="lowerLetter"/>
      <w:lvlText w:val="%8."/>
      <w:lvlJc w:val="left"/>
      <w:pPr>
        <w:ind w:left="5800" w:hanging="360"/>
      </w:pPr>
    </w:lvl>
    <w:lvl w:ilvl="8">
      <w:start w:val="1"/>
      <w:numFmt w:val="lowerRoman"/>
      <w:lvlText w:val="%9."/>
      <w:lvlJc w:val="right"/>
      <w:pPr>
        <w:ind w:left="6520" w:hanging="180"/>
      </w:pPr>
    </w:lvl>
  </w:abstractNum>
  <w:abstractNum w:abstractNumId="1">
    <w:nsid w:val="7FF353FD"/>
    <w:multiLevelType w:val="multilevel"/>
    <w:tmpl w:val="CC58D232"/>
    <w:lvl w:ilvl="0">
      <w:start w:val="1"/>
      <w:numFmt w:val="bullet"/>
      <w:lvlText w:val="●"/>
      <w:lvlJc w:val="left"/>
      <w:pPr>
        <w:ind w:left="1120" w:hanging="360"/>
      </w:pPr>
      <w:rPr>
        <w:rFonts w:ascii="Noto Sans Symbols" w:eastAsia="Noto Sans Symbols" w:hAnsi="Noto Sans Symbols" w:cs="Noto Sans Symbols"/>
      </w:rPr>
    </w:lvl>
    <w:lvl w:ilvl="1">
      <w:start w:val="1"/>
      <w:numFmt w:val="bullet"/>
      <w:lvlText w:val="o"/>
      <w:lvlJc w:val="left"/>
      <w:pPr>
        <w:ind w:left="1840" w:hanging="360"/>
      </w:pPr>
      <w:rPr>
        <w:rFonts w:ascii="Courier New" w:eastAsia="Courier New" w:hAnsi="Courier New" w:cs="Courier New"/>
      </w:rPr>
    </w:lvl>
    <w:lvl w:ilvl="2">
      <w:start w:val="1"/>
      <w:numFmt w:val="bullet"/>
      <w:lvlText w:val="▪"/>
      <w:lvlJc w:val="left"/>
      <w:pPr>
        <w:ind w:left="2560" w:hanging="360"/>
      </w:pPr>
      <w:rPr>
        <w:rFonts w:ascii="Noto Sans Symbols" w:eastAsia="Noto Sans Symbols" w:hAnsi="Noto Sans Symbols" w:cs="Noto Sans Symbols"/>
      </w:rPr>
    </w:lvl>
    <w:lvl w:ilvl="3">
      <w:start w:val="1"/>
      <w:numFmt w:val="bullet"/>
      <w:lvlText w:val="●"/>
      <w:lvlJc w:val="left"/>
      <w:pPr>
        <w:ind w:left="3280" w:hanging="360"/>
      </w:pPr>
      <w:rPr>
        <w:rFonts w:ascii="Noto Sans Symbols" w:eastAsia="Noto Sans Symbols" w:hAnsi="Noto Sans Symbols" w:cs="Noto Sans Symbols"/>
      </w:rPr>
    </w:lvl>
    <w:lvl w:ilvl="4">
      <w:start w:val="1"/>
      <w:numFmt w:val="bullet"/>
      <w:lvlText w:val="o"/>
      <w:lvlJc w:val="left"/>
      <w:pPr>
        <w:ind w:left="4000" w:hanging="360"/>
      </w:pPr>
      <w:rPr>
        <w:rFonts w:ascii="Courier New" w:eastAsia="Courier New" w:hAnsi="Courier New" w:cs="Courier New"/>
      </w:rPr>
    </w:lvl>
    <w:lvl w:ilvl="5">
      <w:start w:val="1"/>
      <w:numFmt w:val="bullet"/>
      <w:lvlText w:val="▪"/>
      <w:lvlJc w:val="left"/>
      <w:pPr>
        <w:ind w:left="4720" w:hanging="360"/>
      </w:pPr>
      <w:rPr>
        <w:rFonts w:ascii="Noto Sans Symbols" w:eastAsia="Noto Sans Symbols" w:hAnsi="Noto Sans Symbols" w:cs="Noto Sans Symbols"/>
      </w:rPr>
    </w:lvl>
    <w:lvl w:ilvl="6">
      <w:start w:val="1"/>
      <w:numFmt w:val="bullet"/>
      <w:lvlText w:val="●"/>
      <w:lvlJc w:val="left"/>
      <w:pPr>
        <w:ind w:left="5440" w:hanging="360"/>
      </w:pPr>
      <w:rPr>
        <w:rFonts w:ascii="Noto Sans Symbols" w:eastAsia="Noto Sans Symbols" w:hAnsi="Noto Sans Symbols" w:cs="Noto Sans Symbols"/>
      </w:rPr>
    </w:lvl>
    <w:lvl w:ilvl="7">
      <w:start w:val="1"/>
      <w:numFmt w:val="bullet"/>
      <w:lvlText w:val="o"/>
      <w:lvlJc w:val="left"/>
      <w:pPr>
        <w:ind w:left="6160" w:hanging="360"/>
      </w:pPr>
      <w:rPr>
        <w:rFonts w:ascii="Courier New" w:eastAsia="Courier New" w:hAnsi="Courier New" w:cs="Courier New"/>
      </w:rPr>
    </w:lvl>
    <w:lvl w:ilvl="8">
      <w:start w:val="1"/>
      <w:numFmt w:val="bullet"/>
      <w:lvlText w:val="▪"/>
      <w:lvlJc w:val="left"/>
      <w:pPr>
        <w:ind w:left="6880" w:hanging="360"/>
      </w:pPr>
      <w:rPr>
        <w:rFonts w:ascii="Noto Sans Symbols" w:eastAsia="Noto Sans Symbols" w:hAnsi="Noto Sans Symbols" w:cs="Noto Sans Symbols"/>
      </w:rPr>
    </w:lvl>
  </w:abstractNum>
  <w:num w:numId="1" w16cid:durableId="2074037537">
    <w:abstractNumId w:val="1"/>
  </w:num>
  <w:num w:numId="2" w16cid:durableId="2811534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0667"/>
    <w:rsid w:val="00126314"/>
    <w:rsid w:val="00207325"/>
    <w:rsid w:val="00230667"/>
    <w:rsid w:val="006D7AF2"/>
    <w:rsid w:val="00E46132"/>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docId w15:val="{ECEE0720-7820-4D5A-B428-0650CFAA2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004338"/>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styles" Target="styles.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y5KD6OweeZHhs6Gv3nxaKuDjFw==">CgMxLjAyCWguMzBqMHpsbDgAaioKFHN1Z2dlc3QuOTQ1MTMzY2o1a3EwEhJDaHJpc3RvcGhlciBDbGF2aW5qKgoUc3VnZ2VzdC45ejlvc2Y2cXh3a3cSEkNocmlzdG9waGVyIENsYXZpbmopChNzdWdnZXN0LmVvYms5aHp4aGVrEhJDaHJpc3RvcGhlciBDbGF2aW5yITE3NUpmMWVoSkRmSU9oMGlfWGkxQXBMRFllVVlKUW5mNA==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758</Words>
  <Characters>4326</Characters>
  <Application>Microsoft Office Word</Application>
  <DocSecurity>0</DocSecurity>
  <Lines>36</Lines>
  <Paragraphs>10</Paragraphs>
  <ScaleCrop>false</ScaleCrop>
  <Company/>
  <LinksUpToDate>false</LinksUpToDate>
  <CharactersWithSpaces>5074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O'Reilly, Maureen D. (Fed)</dc:creator>
  <cp:lastModifiedBy>O'Reilly, Maureen D. (Fed)</cp:lastModifiedBy>
  <cp:revision>2</cp:revision>
  <dcterms:created xsi:type="dcterms:W3CDTF">2025-07-09T13:35:00Z</dcterms:created>
  <dcterms:modified xsi:type="dcterms:W3CDTF">2025-07-09T13:35:00Z</dcterms:modified>
</cp:coreProperties>
</file>