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4DBF" w14:paraId="6325D7D5" w14:textId="5DE6B22C">
      <w:hyperlink r:id="rId6" w:history="1">
        <w:r w:rsidRPr="00F50DE7">
          <w:rPr>
            <w:rStyle w:val="Hyperlink"/>
          </w:rPr>
          <w:t>pmatthias@whoi.edu</w:t>
        </w:r>
      </w:hyperlink>
    </w:p>
    <w:p w:rsidR="00B24DBF" w14:paraId="0769A3FF" w14:textId="07FA82A4">
      <w:r w:rsidRPr="00B24DBF">
        <w:t>Ocean Observatories Initiative Program Management Office</w:t>
      </w:r>
    </w:p>
    <w:p w:rsidR="00184DEA" w14:paraId="3256560B" w14:textId="7104E082">
      <w:r>
        <w:t>Summary of Significant Changes:</w:t>
      </w:r>
    </w:p>
    <w:p w:rsidR="00934098" w:rsidRPr="00565472" w14:paraId="20B1AA48" w14:textId="4CC141A1">
      <w:pPr>
        <w:rPr>
          <w:color w:val="FF0000"/>
        </w:rPr>
      </w:pPr>
      <w:r w:rsidRPr="003535BB">
        <w:rPr>
          <w:color w:val="FF0000"/>
        </w:rPr>
        <w:t>Overall</w:t>
      </w:r>
      <w:r w:rsidR="00565472">
        <w:rPr>
          <w:color w:val="FF0000"/>
        </w:rPr>
        <w:t xml:space="preserve"> </w:t>
      </w:r>
      <w:r w:rsidR="00BF6032">
        <w:rPr>
          <w:color w:val="FF0000"/>
        </w:rPr>
        <w:t xml:space="preserve">the </w:t>
      </w:r>
      <w:r w:rsidR="00565472">
        <w:rPr>
          <w:color w:val="FF0000"/>
        </w:rPr>
        <w:t xml:space="preserve">document </w:t>
      </w:r>
      <w:r w:rsidR="00BF6032">
        <w:rPr>
          <w:color w:val="FF0000"/>
        </w:rPr>
        <w:t>i</w:t>
      </w:r>
      <w:r w:rsidRPr="003535BB">
        <w:rPr>
          <w:color w:val="FF0000"/>
        </w:rPr>
        <w:t xml:space="preserve">s </w:t>
      </w:r>
      <w:r w:rsidR="00BF6032">
        <w:rPr>
          <w:color w:val="FF0000"/>
        </w:rPr>
        <w:t xml:space="preserve">significantly </w:t>
      </w:r>
      <w:r w:rsidRPr="003535BB">
        <w:rPr>
          <w:color w:val="FF0000"/>
        </w:rPr>
        <w:t>improved</w:t>
      </w:r>
      <w:r w:rsidR="00565472">
        <w:rPr>
          <w:color w:val="FF0000"/>
        </w:rPr>
        <w:t xml:space="preserve"> compared to the 2021 version</w:t>
      </w:r>
      <w:r w:rsidRPr="003535BB" w:rsidR="00670040">
        <w:rPr>
          <w:color w:val="FF0000"/>
        </w:rPr>
        <w:t>.</w:t>
      </w:r>
      <w:r w:rsidR="00BF6032">
        <w:rPr>
          <w:color w:val="FF0000"/>
        </w:rPr>
        <w:t xml:space="preserve">  Several topics including </w:t>
      </w:r>
      <w:r w:rsidR="00565472">
        <w:rPr>
          <w:color w:val="FF0000"/>
        </w:rPr>
        <w:t xml:space="preserve">Program </w:t>
      </w:r>
      <w:r w:rsidRPr="003535BB" w:rsidR="00565472">
        <w:rPr>
          <w:color w:val="FF0000"/>
        </w:rPr>
        <w:t>Life Cycle Planning</w:t>
      </w:r>
      <w:r w:rsidR="00565472">
        <w:rPr>
          <w:color w:val="FF0000"/>
        </w:rPr>
        <w:t xml:space="preserve"> </w:t>
      </w:r>
      <w:r w:rsidR="00BF6032">
        <w:rPr>
          <w:color w:val="FF0000"/>
        </w:rPr>
        <w:t>are</w:t>
      </w:r>
      <w:r w:rsidR="00565472">
        <w:rPr>
          <w:color w:val="FF0000"/>
        </w:rPr>
        <w:t xml:space="preserve"> presented in a </w:t>
      </w:r>
      <w:r w:rsidR="00BF6032">
        <w:rPr>
          <w:color w:val="FF0000"/>
        </w:rPr>
        <w:t xml:space="preserve">much </w:t>
      </w:r>
      <w:r w:rsidR="00565472">
        <w:rPr>
          <w:color w:val="FF0000"/>
        </w:rPr>
        <w:t>more organized and cohesive manner.</w:t>
      </w:r>
      <w:r w:rsidRPr="003535BB" w:rsidR="00670040">
        <w:rPr>
          <w:color w:val="FF0000"/>
        </w:rPr>
        <w:t xml:space="preserve"> </w:t>
      </w:r>
    </w:p>
    <w:p w:rsidR="00FF3CA3" w:rsidRPr="00FF3CA3" w:rsidP="00FF3CA3" w14:paraId="3EA61A36" w14:textId="0F61D59E">
      <w:r w:rsidRPr="00FF3CA3">
        <w:rPr>
          <w:b/>
          <w:bCs/>
        </w:rPr>
        <w:t xml:space="preserve">Chapter 1 – Introduction </w:t>
      </w:r>
    </w:p>
    <w:p w:rsidR="00FF3CA3" w:rsidP="00FF3CA3" w14:paraId="05486C27" w14:textId="2CFF9E42">
      <w:r w:rsidRPr="00FF3CA3">
        <w:t>•</w:t>
      </w:r>
      <w:r w:rsidRPr="00FF3CA3">
        <w:rPr>
          <w:b/>
          <w:bCs/>
        </w:rPr>
        <w:t xml:space="preserve">Section 1.1 Purpose and Scope </w:t>
      </w:r>
    </w:p>
    <w:p w:rsidR="00565472" w:rsidRPr="00C0144C" w:rsidP="00FF3CA3" w14:paraId="3DA97F1E" w14:textId="458DE127">
      <w:pPr>
        <w:rPr>
          <w:color w:val="FF0000"/>
        </w:rPr>
      </w:pPr>
      <w:r>
        <w:rPr>
          <w:color w:val="FF0000"/>
        </w:rPr>
        <w:t>Regarding this statement:</w:t>
      </w:r>
    </w:p>
    <w:p w:rsidR="00565472" w:rsidRPr="00C0144C" w:rsidP="00C0144C" w14:paraId="27488630" w14:textId="132BBEE5">
      <w:pPr>
        <w:ind w:left="720"/>
        <w:rPr>
          <w:i/>
        </w:rPr>
      </w:pPr>
      <w:r w:rsidRPr="00C0144C">
        <w:rPr>
          <w:i/>
        </w:rPr>
        <w:t>“</w:t>
      </w:r>
      <w:r w:rsidRPr="00C0144C">
        <w:rPr>
          <w:i/>
        </w:rPr>
        <w:t xml:space="preserve">the term </w:t>
      </w:r>
      <w:r w:rsidRPr="00C0144C">
        <w:rPr>
          <w:iCs/>
        </w:rPr>
        <w:t xml:space="preserve">project </w:t>
      </w:r>
      <w:r w:rsidRPr="00C0144C">
        <w:rPr>
          <w:i/>
        </w:rPr>
        <w:t>specifically refers to the Construction Stage for Major Facilities</w:t>
      </w:r>
      <w:r w:rsidRPr="00C0144C">
        <w:rPr>
          <w:i/>
        </w:rPr>
        <w:t>”</w:t>
      </w:r>
    </w:p>
    <w:p w:rsidR="00565472" w:rsidRPr="00C0144C" w:rsidP="00FF3CA3" w14:paraId="5C4822B8" w14:textId="4289A31E">
      <w:pPr>
        <w:rPr>
          <w:color w:val="FF0000"/>
        </w:rPr>
      </w:pPr>
      <w:r>
        <w:rPr>
          <w:color w:val="FF0000"/>
        </w:rPr>
        <w:t xml:space="preserve">Recommend changing </w:t>
      </w:r>
      <w:r w:rsidR="00BF6032">
        <w:rPr>
          <w:color w:val="FF0000"/>
        </w:rPr>
        <w:t xml:space="preserve">“project” instead to </w:t>
      </w:r>
      <w:r w:rsidR="00C0144C">
        <w:rPr>
          <w:color w:val="FF0000"/>
        </w:rPr>
        <w:t>“Construction Phase Project” since</w:t>
      </w:r>
      <w:r w:rsidRPr="00C0144C" w:rsidR="00C0144C">
        <w:rPr>
          <w:color w:val="FF0000"/>
        </w:rPr>
        <w:t xml:space="preserve"> different term</w:t>
      </w:r>
      <w:r w:rsidR="00C0144C">
        <w:rPr>
          <w:color w:val="FF0000"/>
        </w:rPr>
        <w:t>s such as “</w:t>
      </w:r>
      <w:r w:rsidR="00C0144C">
        <w:rPr>
          <w:i/>
          <w:iCs/>
        </w:rPr>
        <w:t xml:space="preserve">Science Support Program” </w:t>
      </w:r>
      <w:r w:rsidRPr="00C0144C" w:rsidR="00C0144C">
        <w:rPr>
          <w:i/>
          <w:iCs/>
          <w:color w:val="FF0000"/>
        </w:rPr>
        <w:t>are</w:t>
      </w:r>
      <w:r w:rsidRPr="00C0144C" w:rsidR="00C0144C">
        <w:rPr>
          <w:color w:val="FF0000"/>
        </w:rPr>
        <w:t xml:space="preserve"> used for the Operations phase</w:t>
      </w:r>
      <w:r w:rsidR="00C0144C">
        <w:rPr>
          <w:color w:val="FF0000"/>
        </w:rPr>
        <w:t xml:space="preserve">.  </w:t>
      </w:r>
      <w:r>
        <w:rPr>
          <w:color w:val="FF0000"/>
        </w:rPr>
        <w:t xml:space="preserve">There are </w:t>
      </w:r>
      <w:r w:rsidR="00BF6032">
        <w:rPr>
          <w:color w:val="FF0000"/>
        </w:rPr>
        <w:t>many</w:t>
      </w:r>
      <w:r>
        <w:rPr>
          <w:color w:val="FF0000"/>
        </w:rPr>
        <w:t xml:space="preserve"> instances of the word “project” and all of them do not relate solely to the “Construction Phase for Major Facilities.”  </w:t>
      </w:r>
      <w:r w:rsidR="00C0144C">
        <w:rPr>
          <w:color w:val="FF0000"/>
        </w:rPr>
        <w:t>Using a generic term for something specific will cause confusion, especially since this document covers all facility stages and the project management methods to use for each.</w:t>
      </w:r>
    </w:p>
    <w:p w:rsidR="00FF3CA3" w:rsidP="00FF3CA3" w14:paraId="32732B06" w14:textId="77777777">
      <w:pPr>
        <w:rPr>
          <w:b/>
          <w:bCs/>
        </w:rPr>
      </w:pPr>
      <w:r w:rsidRPr="00FF3CA3">
        <w:rPr>
          <w:b/>
          <w:bCs/>
        </w:rPr>
        <w:t xml:space="preserve">Chapter 2 – NSF Life Cycle Oversight </w:t>
      </w:r>
    </w:p>
    <w:p w:rsidR="00114098" w:rsidRPr="00163FF9" w:rsidP="00FF3CA3" w14:paraId="3EB06F60" w14:textId="5406EFCE">
      <w:pPr>
        <w:rPr>
          <w:color w:val="FF0000"/>
        </w:rPr>
      </w:pPr>
      <w:r w:rsidRPr="00163FF9">
        <w:rPr>
          <w:color w:val="FF0000"/>
        </w:rPr>
        <w:t xml:space="preserve">Agree </w:t>
      </w:r>
      <w:r w:rsidRPr="00163FF9" w:rsidR="00A32AA0">
        <w:rPr>
          <w:color w:val="FF0000"/>
        </w:rPr>
        <w:t>with the change of</w:t>
      </w:r>
      <w:r w:rsidRPr="00163FF9">
        <w:rPr>
          <w:color w:val="FF0000"/>
        </w:rPr>
        <w:t xml:space="preserve"> moving this topic </w:t>
      </w:r>
      <w:r w:rsidRPr="00163FF9" w:rsidR="00A32AA0">
        <w:rPr>
          <w:color w:val="FF0000"/>
        </w:rPr>
        <w:t>from section 6 to section 2.</w:t>
      </w:r>
    </w:p>
    <w:p w:rsidR="00357846" w:rsidP="00FF3CA3" w14:paraId="6A9A6367" w14:textId="7978065E">
      <w:pPr>
        <w:rPr>
          <w:color w:val="FF0000"/>
        </w:rPr>
      </w:pPr>
      <w:r>
        <w:rPr>
          <w:color w:val="FF0000"/>
        </w:rPr>
        <w:t xml:space="preserve">Recommend keeping the roles and responsibilities as described in the 2021 RIG.  </w:t>
      </w:r>
      <w:r w:rsidRPr="00163FF9" w:rsidR="00163FF9">
        <w:rPr>
          <w:color w:val="FF0000"/>
        </w:rPr>
        <w:t>Overall,</w:t>
      </w:r>
      <w:r w:rsidRPr="00163FF9" w:rsidR="00114098">
        <w:rPr>
          <w:color w:val="FF0000"/>
        </w:rPr>
        <w:t xml:space="preserve"> this section has added a lot of </w:t>
      </w:r>
      <w:r w:rsidR="00BF6032">
        <w:rPr>
          <w:color w:val="FF0000"/>
        </w:rPr>
        <w:t>wording</w:t>
      </w:r>
      <w:r w:rsidRPr="00163FF9" w:rsidR="00114098">
        <w:rPr>
          <w:color w:val="FF0000"/>
        </w:rPr>
        <w:t xml:space="preserve"> </w:t>
      </w:r>
      <w:r w:rsidRPr="00163FF9" w:rsidR="00A32AA0">
        <w:rPr>
          <w:color w:val="FF0000"/>
        </w:rPr>
        <w:t xml:space="preserve">as compared to </w:t>
      </w:r>
      <w:r w:rsidRPr="00163FF9" w:rsidR="001756DA">
        <w:rPr>
          <w:color w:val="FF0000"/>
        </w:rPr>
        <w:t>the 2021 RIG, but has not improved clarity.  Examples below:</w:t>
      </w:r>
    </w:p>
    <w:p w:rsidR="00CF148D" w:rsidP="00FF3CA3" w14:paraId="772CB8FE" w14:textId="4108D254">
      <w:pPr>
        <w:rPr>
          <w:color w:val="FF0000"/>
        </w:rPr>
      </w:pPr>
      <w:r>
        <w:rPr>
          <w:color w:val="FF0000"/>
        </w:rPr>
        <w:t xml:space="preserve">New </w:t>
      </w:r>
      <w:r w:rsidR="002501C3">
        <w:rPr>
          <w:color w:val="FF0000"/>
        </w:rPr>
        <w:t>Description</w:t>
      </w:r>
      <w:r w:rsidR="00565472">
        <w:rPr>
          <w:color w:val="FF0000"/>
        </w:rPr>
        <w:t xml:space="preserve"> example</w:t>
      </w:r>
      <w:r>
        <w:rPr>
          <w:color w:val="FF0000"/>
        </w:rPr>
        <w:t>:</w:t>
      </w:r>
    </w:p>
    <w:p w:rsidR="006A1FB1" w:rsidRPr="00565472" w:rsidP="002501C3" w14:paraId="41256232" w14:textId="1CB40DC9">
      <w:pPr>
        <w:ind w:left="720"/>
        <w:rPr>
          <w:i/>
        </w:rPr>
      </w:pPr>
      <w:r>
        <w:rPr>
          <w:i/>
        </w:rPr>
        <w:t>“</w:t>
      </w:r>
      <w:r w:rsidRPr="00565472" w:rsidR="002501C3">
        <w:rPr>
          <w:i/>
        </w:rPr>
        <w:t>Chief Officer for Research Facilities (CORF). This senior executive resides within the Office of the Director, reports directly to the NSF Director, and has full life cycle oversight responsibility for NSF major research facilities.1 The CORF advises the Director on all aspects of NSF Major Facilities and Mid-scale RI throughout their life cycles and collaborates across NSF on the oversight of the NSF research facilities portfolio. The CORF is a member of the agency’s Executive Leadership Team, liaison to the National Science Board’s (NSB) Awards and Facilities Committee and chairs the Facilities Readiness Panel and the Facilities Governance Board. A deputy CORF focuses on oversight of the Mid-scale RI portfolio and chairs the Major and Mid-scale Facilities Working Group (MMFWG).</w:t>
      </w:r>
      <w:r>
        <w:rPr>
          <w:i/>
        </w:rPr>
        <w:t>”</w:t>
      </w:r>
    </w:p>
    <w:p w:rsidR="006A1FB1" w:rsidP="00FF3CA3" w14:paraId="3576CC2F" w14:textId="7FF47CD3">
      <w:pPr>
        <w:rPr>
          <w:color w:val="FF0000"/>
        </w:rPr>
      </w:pPr>
      <w:r>
        <w:rPr>
          <w:color w:val="FF0000"/>
        </w:rPr>
        <w:t>Previous Description</w:t>
      </w:r>
      <w:r w:rsidR="00565472">
        <w:rPr>
          <w:color w:val="FF0000"/>
        </w:rPr>
        <w:t xml:space="preserve"> example:</w:t>
      </w:r>
    </w:p>
    <w:p w:rsidR="002501C3" w:rsidRPr="00565472" w:rsidP="002501C3" w14:paraId="18EBC7BB" w14:textId="7A8318D9">
      <w:pPr>
        <w:ind w:left="720"/>
        <w:rPr>
          <w:i/>
        </w:rPr>
      </w:pPr>
      <w:r>
        <w:rPr>
          <w:i/>
        </w:rPr>
        <w:t>“</w:t>
      </w:r>
      <w:r w:rsidRPr="00565472">
        <w:rPr>
          <w:i/>
        </w:rPr>
        <w:t xml:space="preserve">Chief Officer for Research Facilities (CORF) – The senior official who advises the NSF Director on all aspects of the agency's support for major and mid-scale research facilities </w:t>
      </w:r>
      <w:r w:rsidRPr="00565472">
        <w:rPr>
          <w:i/>
        </w:rPr>
        <w:t>throughout their life cycle and collaborates with NSF employees involved in oversight and assistance of the NSF multi-user research facilities portfolio.</w:t>
      </w:r>
      <w:r>
        <w:rPr>
          <w:i/>
        </w:rPr>
        <w:t>”</w:t>
      </w:r>
    </w:p>
    <w:p w:rsidR="00FF3CA3" w:rsidP="00FF3CA3" w14:paraId="2DE6C076" w14:textId="2255A22C">
      <w:r w:rsidRPr="00FF3CA3">
        <w:rPr>
          <w:b/>
          <w:bCs/>
        </w:rPr>
        <w:t>Section 2.1 NSF Staff Roles and Responsibilities for Management and Oversight</w:t>
      </w:r>
    </w:p>
    <w:p w:rsidR="00A25AC8" w:rsidRPr="00F72977" w:rsidP="00FF3CA3" w14:paraId="44EA42B7" w14:textId="6E6819F0">
      <w:pPr>
        <w:rPr>
          <w:color w:val="FF0000"/>
        </w:rPr>
      </w:pPr>
      <w:r w:rsidRPr="00F72977">
        <w:rPr>
          <w:color w:val="FF0000"/>
        </w:rPr>
        <w:t>Section 2.1.1:</w:t>
      </w:r>
    </w:p>
    <w:p w:rsidR="00A25AC8" w:rsidRPr="00DA409D" w:rsidP="00DA409D" w14:paraId="6E75F00A" w14:textId="4D4BCD17">
      <w:pPr>
        <w:ind w:left="720"/>
        <w:rPr>
          <w:i/>
          <w:iCs/>
        </w:rPr>
      </w:pPr>
      <w:r w:rsidRPr="00DA409D">
        <w:rPr>
          <w:i/>
          <w:iCs/>
        </w:rPr>
        <w:t>“</w:t>
      </w:r>
      <w:r w:rsidRPr="00DA409D">
        <w:rPr>
          <w:i/>
          <w:iCs/>
        </w:rPr>
        <w:t xml:space="preserve">However, it acknowledges that </w:t>
      </w:r>
      <w:r w:rsidRPr="003535BB">
        <w:rPr>
          <w:b/>
          <w:i/>
          <w:iCs/>
          <w:color w:val="FF0000"/>
        </w:rPr>
        <w:t>variations</w:t>
      </w:r>
      <w:r w:rsidRPr="00DA409D">
        <w:rPr>
          <w:i/>
          <w:iCs/>
        </w:rPr>
        <w:t xml:space="preserve"> may arise due to the distinct characteristics of each facility. These deviations reflect the unique requirements and challenges associated with the specific goals and operational demands of individual projects and Science Support Programs. The flexibility inherent in the guidance ensures that the framework can adapt to the varied nature of each facility while maintaining alignment with overall scientific objectives.</w:t>
      </w:r>
      <w:r w:rsidRPr="00DA409D">
        <w:rPr>
          <w:i/>
          <w:iCs/>
        </w:rPr>
        <w:t>”</w:t>
      </w:r>
    </w:p>
    <w:p w:rsidR="00565472" w:rsidP="00FF3CA3" w14:paraId="16B40A26" w14:textId="77777777">
      <w:pPr>
        <w:rPr>
          <w:color w:val="FF0000"/>
        </w:rPr>
      </w:pPr>
      <w:r>
        <w:rPr>
          <w:color w:val="FF0000"/>
        </w:rPr>
        <w:t xml:space="preserve">It would be useful to be more specific about the “variations”.  </w:t>
      </w:r>
    </w:p>
    <w:p w:rsidR="00565472" w:rsidP="00565472" w14:paraId="0E68E7CF" w14:textId="77777777">
      <w:pPr>
        <w:pStyle w:val="ListParagraph"/>
        <w:numPr>
          <w:ilvl w:val="0"/>
          <w:numId w:val="2"/>
        </w:numPr>
        <w:rPr>
          <w:color w:val="FF0000"/>
        </w:rPr>
      </w:pPr>
      <w:r w:rsidRPr="00565472">
        <w:rPr>
          <w:color w:val="FF0000"/>
        </w:rPr>
        <w:t xml:space="preserve">How are these handled in terms of NSF </w:t>
      </w:r>
      <w:r w:rsidRPr="00565472" w:rsidR="002501C3">
        <w:rPr>
          <w:color w:val="FF0000"/>
        </w:rPr>
        <w:t xml:space="preserve">decision making and </w:t>
      </w:r>
      <w:r w:rsidRPr="00565472">
        <w:rPr>
          <w:color w:val="FF0000"/>
        </w:rPr>
        <w:t>approval</w:t>
      </w:r>
      <w:r w:rsidRPr="00565472" w:rsidR="002501C3">
        <w:rPr>
          <w:color w:val="FF0000"/>
        </w:rPr>
        <w:t xml:space="preserve"> requirements</w:t>
      </w:r>
      <w:r w:rsidRPr="00565472">
        <w:rPr>
          <w:color w:val="FF0000"/>
        </w:rPr>
        <w:t xml:space="preserve"> (what role makes the decisions)</w:t>
      </w:r>
    </w:p>
    <w:p w:rsidR="00A25AC8" w:rsidRPr="00565472" w:rsidP="00565472" w14:paraId="283FC34B" w14:textId="12919D69">
      <w:pPr>
        <w:pStyle w:val="ListParagraph"/>
        <w:numPr>
          <w:ilvl w:val="0"/>
          <w:numId w:val="2"/>
        </w:numPr>
        <w:rPr>
          <w:color w:val="FF0000"/>
        </w:rPr>
      </w:pPr>
      <w:r>
        <w:rPr>
          <w:color w:val="FF0000"/>
        </w:rPr>
        <w:t>W</w:t>
      </w:r>
      <w:r w:rsidRPr="00565472" w:rsidR="003535BB">
        <w:rPr>
          <w:color w:val="FF0000"/>
        </w:rPr>
        <w:t xml:space="preserve">here </w:t>
      </w:r>
      <w:r w:rsidRPr="00565472" w:rsidR="00DA409D">
        <w:rPr>
          <w:color w:val="FF0000"/>
        </w:rPr>
        <w:t>should</w:t>
      </w:r>
      <w:r w:rsidRPr="00565472" w:rsidR="003535BB">
        <w:rPr>
          <w:color w:val="FF0000"/>
        </w:rPr>
        <w:t xml:space="preserve"> they</w:t>
      </w:r>
      <w:r w:rsidRPr="00565472" w:rsidR="00DA409D">
        <w:rPr>
          <w:color w:val="FF0000"/>
        </w:rPr>
        <w:t xml:space="preserve"> be captured?  The CA?  Program Documentation?</w:t>
      </w:r>
    </w:p>
    <w:p w:rsidR="00EF623F" w:rsidRPr="00F72977" w:rsidP="00FF3CA3" w14:paraId="1896A4E0" w14:textId="161D336E">
      <w:pPr>
        <w:rPr>
          <w:color w:val="FF0000"/>
        </w:rPr>
      </w:pPr>
      <w:r w:rsidRPr="00F72977">
        <w:rPr>
          <w:color w:val="FF0000"/>
        </w:rPr>
        <w:t xml:space="preserve">The </w:t>
      </w:r>
      <w:r w:rsidR="00BF6032">
        <w:rPr>
          <w:color w:val="FF0000"/>
        </w:rPr>
        <w:t>wording</w:t>
      </w:r>
      <w:r w:rsidRPr="00F72977">
        <w:rPr>
          <w:color w:val="FF0000"/>
        </w:rPr>
        <w:t xml:space="preserve"> here </w:t>
      </w:r>
      <w:r w:rsidR="00BF6032">
        <w:rPr>
          <w:color w:val="FF0000"/>
        </w:rPr>
        <w:t>seem</w:t>
      </w:r>
      <w:r w:rsidRPr="00F72977">
        <w:rPr>
          <w:color w:val="FF0000"/>
        </w:rPr>
        <w:t>s redundant and vague:</w:t>
      </w:r>
    </w:p>
    <w:p w:rsidR="002F73E4" w:rsidRPr="00FF3CA3" w:rsidP="00EF623F" w14:paraId="6EB3069E" w14:textId="76DAFF52">
      <w:pPr>
        <w:ind w:left="720"/>
        <w:rPr>
          <w:i/>
          <w:iCs/>
        </w:rPr>
      </w:pPr>
      <w:r>
        <w:rPr>
          <w:i/>
          <w:iCs/>
        </w:rPr>
        <w:t>“</w:t>
      </w:r>
      <w:r w:rsidRPr="00EF623F">
        <w:rPr>
          <w:i/>
          <w:iCs/>
        </w:rPr>
        <w:t xml:space="preserve">Sponsoring Directorate. The NSF Sponsoring Directorate </w:t>
      </w:r>
      <w:r w:rsidRPr="00BF1FCF" w:rsidR="00BF1FCF">
        <w:rPr>
          <w:i/>
          <w:iCs/>
          <w:color w:val="FF0000"/>
        </w:rPr>
        <w:t>division? Person?</w:t>
      </w:r>
      <w:r w:rsidRPr="00BF1FCF">
        <w:rPr>
          <w:i/>
          <w:iCs/>
          <w:color w:val="FF0000"/>
        </w:rPr>
        <w:t xml:space="preserve"> </w:t>
      </w:r>
      <w:r w:rsidRPr="00EA5029">
        <w:rPr>
          <w:i/>
          <w:iCs/>
          <w:strike/>
        </w:rPr>
        <w:t>that</w:t>
      </w:r>
      <w:r w:rsidRPr="00EF623F">
        <w:rPr>
          <w:i/>
          <w:iCs/>
        </w:rPr>
        <w:t xml:space="preserve"> proposes the project and is committed to funding the pre-construction development and design activities, eventual operations as a Science Support Program, and final disposition. The senior management within the Sponsoring Directorate considers community inputs, discipline-specific studies, advisory committee recommendations and internal NSF factors to prioritize candidate projects, balancing risk with opportunities and competing demands for available resources.</w:t>
      </w:r>
      <w:r>
        <w:rPr>
          <w:i/>
          <w:iCs/>
        </w:rPr>
        <w:t>”</w:t>
      </w:r>
    </w:p>
    <w:p w:rsidR="00163FF9" w:rsidRPr="002501C3" w:rsidP="00FF3CA3" w14:paraId="5B8CA878" w14:textId="684C799C">
      <w:pPr>
        <w:rPr>
          <w:color w:val="FF0000"/>
        </w:rPr>
      </w:pPr>
      <w:r>
        <w:rPr>
          <w:color w:val="FF0000"/>
        </w:rPr>
        <w:t>O</w:t>
      </w:r>
      <w:r w:rsidRPr="002501C3" w:rsidR="002501C3">
        <w:rPr>
          <w:color w:val="FF0000"/>
        </w:rPr>
        <w:t>verall, this section does communicate NSF’s structure and oversight framework but could be improved by editing content for brevity and clarity.</w:t>
      </w:r>
    </w:p>
    <w:p w:rsidR="00355A78" w:rsidP="00FF3CA3" w14:paraId="37DD80E0" w14:textId="1DB24CA2">
      <w:pPr>
        <w:rPr>
          <w:color w:val="FF0000"/>
        </w:rPr>
      </w:pPr>
      <w:r w:rsidRPr="00FF3CA3">
        <w:t>•</w:t>
      </w:r>
      <w:r w:rsidRPr="00FF3CA3">
        <w:rPr>
          <w:b/>
          <w:bCs/>
        </w:rPr>
        <w:t>Section 2.</w:t>
      </w:r>
      <w:r>
        <w:rPr>
          <w:b/>
          <w:bCs/>
        </w:rPr>
        <w:t>3.3.2</w:t>
      </w:r>
    </w:p>
    <w:p w:rsidR="00355A78" w:rsidP="00355A78" w14:paraId="419F8147" w14:textId="0B265F60">
      <w:pPr>
        <w:rPr>
          <w:i/>
        </w:rPr>
      </w:pPr>
      <w:r w:rsidRPr="006A723D">
        <w:rPr>
          <w:color w:val="FF0000"/>
        </w:rPr>
        <w:t>Re this statement:</w:t>
      </w:r>
      <w:r w:rsidRPr="006A723D">
        <w:rPr>
          <w:i/>
          <w:color w:val="FF0000"/>
        </w:rPr>
        <w:t xml:space="preserve"> </w:t>
      </w:r>
      <w:r w:rsidRPr="0036652F">
        <w:rPr>
          <w:i/>
        </w:rPr>
        <w:t>The primary deliverables for the PDR are an updated PEP along with an estimated cost and DEP for the Final Design Phase.</w:t>
      </w:r>
    </w:p>
    <w:p w:rsidR="0036652F" w:rsidRPr="0036652F" w:rsidP="00355A78" w14:paraId="3DB64E86" w14:textId="15230922">
      <w:pPr>
        <w:rPr>
          <w:color w:val="FF0000"/>
        </w:rPr>
      </w:pPr>
      <w:r>
        <w:rPr>
          <w:color w:val="FF0000"/>
        </w:rPr>
        <w:t xml:space="preserve">The RIG should list the Entry and Exit Criteria and Review Artifacts for the CDR, PDR, and FDR. </w:t>
      </w:r>
    </w:p>
    <w:p w:rsidR="00FF3CA3" w:rsidP="00FF3CA3" w14:paraId="208D79C2" w14:textId="4586C3DB">
      <w:r w:rsidRPr="00FF3CA3">
        <w:t>•</w:t>
      </w:r>
      <w:r w:rsidRPr="00FF3CA3">
        <w:rPr>
          <w:b/>
          <w:bCs/>
        </w:rPr>
        <w:t xml:space="preserve">Section 2.7.4 Recapitalization During Operations </w:t>
      </w:r>
      <w:r w:rsidRPr="00FF3CA3">
        <w:t>provides guidance on</w:t>
      </w:r>
      <w:r w:rsidR="002501C3">
        <w:t xml:space="preserve"> </w:t>
      </w:r>
      <w:r w:rsidRPr="00FF3CA3">
        <w:t>recapitalization mechanisms.</w:t>
      </w:r>
    </w:p>
    <w:p w:rsidR="008F10EB" w:rsidP="00FF3CA3" w14:paraId="50C7E311" w14:textId="46872758">
      <w:pPr>
        <w:rPr>
          <w:color w:val="FF0000"/>
        </w:rPr>
      </w:pPr>
      <w:r>
        <w:rPr>
          <w:color w:val="FF0000"/>
        </w:rPr>
        <w:t xml:space="preserve">This is a welcome addition to the RIG.  </w:t>
      </w:r>
      <w:r>
        <w:rPr>
          <w:color w:val="FF0000"/>
        </w:rPr>
        <w:t xml:space="preserve">This section could be improved by outlining the submission and approval process. </w:t>
      </w:r>
    </w:p>
    <w:p w:rsidR="008F10EB" w:rsidP="008F10EB" w14:paraId="45F0C29C" w14:textId="6F1A3D2F">
      <w:pPr>
        <w:pStyle w:val="ListParagraph"/>
        <w:numPr>
          <w:ilvl w:val="0"/>
          <w:numId w:val="1"/>
        </w:numPr>
        <w:rPr>
          <w:color w:val="FF0000"/>
        </w:rPr>
      </w:pPr>
      <w:r>
        <w:rPr>
          <w:color w:val="FF0000"/>
        </w:rPr>
        <w:t>What are the requirements for the Asset Management Plan?</w:t>
      </w:r>
    </w:p>
    <w:p w:rsidR="008F10EB" w:rsidRPr="008F10EB" w:rsidP="008F10EB" w14:paraId="5CAA2750" w14:textId="6FBB1DF1">
      <w:pPr>
        <w:pStyle w:val="ListParagraph"/>
        <w:numPr>
          <w:ilvl w:val="0"/>
          <w:numId w:val="1"/>
        </w:numPr>
        <w:rPr>
          <w:color w:val="FF0000"/>
        </w:rPr>
      </w:pPr>
      <w:r>
        <w:rPr>
          <w:color w:val="FF0000"/>
        </w:rPr>
        <w:t>Provide an approval chain of command after: “</w:t>
      </w:r>
      <w:r w:rsidRPr="008F10EB">
        <w:rPr>
          <w:i/>
        </w:rPr>
        <w:t>Close consultation with the NSF PO is essential in determining the most appropriate funding mechanism based on the availability of funds and other factors.”</w:t>
      </w:r>
    </w:p>
    <w:p w:rsidR="00FF3CA3" w:rsidRPr="00FF3CA3" w:rsidP="00FF3CA3" w14:paraId="79DEBC71" w14:textId="77777777">
      <w:r w:rsidRPr="00FF3CA3">
        <w:t>•</w:t>
      </w:r>
      <w:r w:rsidRPr="00FF3CA3">
        <w:rPr>
          <w:b/>
          <w:bCs/>
        </w:rPr>
        <w:t xml:space="preserve">Section 2.9 Mid-scale Research Infrastructure Guidance </w:t>
      </w:r>
      <w:r w:rsidRPr="00FF3CA3">
        <w:t>is relocated from Chapter5; clarifies and differentiates guidance for Mid-scale RI from Major Facilities.</w:t>
      </w:r>
    </w:p>
    <w:p w:rsidR="00FF3CA3" w:rsidRPr="008F10EB" w:rsidP="00FF3CA3" w14:paraId="70F02B5E" w14:textId="6CA8D4A8">
      <w:pPr>
        <w:rPr>
          <w:color w:val="FF0000"/>
        </w:rPr>
      </w:pPr>
      <w:r w:rsidRPr="008F10EB">
        <w:rPr>
          <w:color w:val="FF0000"/>
        </w:rPr>
        <w:t>This section calls out using and tailoring Program Management techniques and how to document them.  Suggest providing a table or bulleted list of required plans and documentation.</w:t>
      </w:r>
    </w:p>
    <w:p w:rsidR="00FF3CA3" w:rsidRPr="00FF3CA3" w:rsidP="00FF3CA3" w14:paraId="06643F0A" w14:textId="7A1F92DF">
      <w:r w:rsidRPr="00FF3CA3">
        <w:t>•</w:t>
      </w:r>
      <w:r w:rsidRPr="00FF3CA3">
        <w:rPr>
          <w:b/>
          <w:bCs/>
        </w:rPr>
        <w:t>Section 3.2 Tailoring, Scaling, and Progressively Elaborating Plans</w:t>
      </w:r>
      <w:r w:rsidR="00BF6032">
        <w:rPr>
          <w:b/>
          <w:bCs/>
        </w:rPr>
        <w:t>.</w:t>
      </w:r>
    </w:p>
    <w:p w:rsidR="006844BE" w:rsidP="006844BE" w14:paraId="73B80FA9" w14:textId="77777777">
      <w:pPr>
        <w:rPr>
          <w:color w:val="FF0000"/>
        </w:rPr>
      </w:pPr>
      <w:r>
        <w:rPr>
          <w:color w:val="FF0000"/>
        </w:rPr>
        <w:t>Section 3.3 states: “</w:t>
      </w:r>
      <w:r w:rsidRPr="00F15D3B">
        <w:rPr>
          <w:i/>
        </w:rPr>
        <w:t>There are no standard required plans for the Development Stage.”</w:t>
      </w:r>
      <w:r>
        <w:rPr>
          <w:i/>
        </w:rPr>
        <w:t xml:space="preserve"> </w:t>
      </w:r>
      <w:r>
        <w:rPr>
          <w:color w:val="FF0000"/>
        </w:rPr>
        <w:t>And “</w:t>
      </w:r>
      <w:r w:rsidRPr="00F15D3B">
        <w:rPr>
          <w:i/>
        </w:rPr>
        <w:t>Any formal plans required as deliverables would be described in the funding announcement”</w:t>
      </w:r>
      <w:r>
        <w:rPr>
          <w:i/>
        </w:rPr>
        <w:t xml:space="preserve"> </w:t>
      </w:r>
    </w:p>
    <w:p w:rsidR="006844BE" w:rsidRPr="006844BE" w:rsidP="00FF3CA3" w14:paraId="393AF326" w14:textId="07157338">
      <w:pPr>
        <w:rPr>
          <w:color w:val="FF0000"/>
        </w:rPr>
      </w:pPr>
      <w:r>
        <w:rPr>
          <w:color w:val="FF0000"/>
        </w:rPr>
        <w:t>Some requirements for “formal plans” provided by NSF and “standard plans” should be developed such as the recommended “Master Plan” and “Key Performance Parameters” called out in the same section.</w:t>
      </w:r>
    </w:p>
    <w:p w:rsidR="00067A91" w:rsidP="00067A91" w14:paraId="204A2A1D" w14:textId="41A3A58F">
      <w:r w:rsidRPr="00067A91">
        <w:t xml:space="preserve">• </w:t>
      </w:r>
      <w:r w:rsidRPr="00067A91">
        <w:rPr>
          <w:b/>
          <w:bCs/>
        </w:rPr>
        <w:t xml:space="preserve">Section 3.6 Operations Stage Planning </w:t>
      </w:r>
      <w:r w:rsidRPr="00067A91">
        <w:t xml:space="preserve">contains improved guidance on the Annual Work Plan and Facility Condition Assessment of a Major Facility. </w:t>
      </w:r>
    </w:p>
    <w:p w:rsidR="00B64B8B" w:rsidRPr="00B64B8B" w:rsidP="00B64B8B" w14:paraId="35CABCB2" w14:textId="0D4610FF">
      <w:pPr>
        <w:rPr>
          <w:color w:val="FF0000"/>
        </w:rPr>
      </w:pPr>
      <w:r w:rsidRPr="00B64B8B">
        <w:rPr>
          <w:color w:val="FF0000"/>
        </w:rPr>
        <w:t>The new Operations Stage Planning section of the 2025 Research Infrastructure Guide, Section 3.6, under public discussion in NSF programs from 2022 through 2024, represents a substantial advancement in the depth and quality of guidance for major facility operators over previous requirements stated in RIG 2.5.1; Cooperative Agreement – Award Specific Financial Administrative Terms and Conditions (FATC); and Modifications and Supplemental FATC ¶85. The new §3.6 provides a strong conceptual structure including specific elements sufficient to enable development of a detailed approach to the scope and processes for conducting, reporting and using the results of a Facility Condition Assessment (FCA) and the Asset Management Plan (AMP). Our organization was able to develop a detailed initial draft FCA process based on the guidance as presented in drafts NSF made available to the major facility community through June 2024.</w:t>
      </w:r>
    </w:p>
    <w:p w:rsidR="00B64B8B" w:rsidRPr="00B64B8B" w:rsidP="00B64B8B" w14:paraId="04CF1FBA" w14:textId="1FCB8B78">
      <w:pPr>
        <w:rPr>
          <w:color w:val="FF0000"/>
        </w:rPr>
      </w:pPr>
      <w:r w:rsidRPr="00B64B8B">
        <w:rPr>
          <w:color w:val="FF0000"/>
        </w:rPr>
        <w:t xml:space="preserve">Sections 3.6.2.1 and 3.6.2.3 discuss identifying “resources needed” and corresponding timelines to address FCA Report issues as well as cost estimates within the FCA Report and Asset Management Plan. Section 3.6.2.4, “Identify Funding Needs” requires submission of annual estimated costs to execute the Asset Management Plan. NSF-conducted public presentations on conducting Facilities Condition Assessments indicated cost estimates likely would be expected at a quality/accuracy level of concept or feasibility studies. (See How to Conduct FCAs – P. Anticona, RI Workshop, June 2023). It is understood that there is a substantial difference in labor, documentation, and preparation time between cost estimates and schedules developed under §4.3 that support specific financial assistance proposals and industry-standard practices for cost estimates and timelines at a concept or feasibility study level. Although §4.3 suggests that a major facility operator “tailor and scale” GAO and NSF cost estimating and scheduling guidance to its facility, “departures” from the RIG and GAO estimating structures must be noted and justified. We suggest that specific guidance on NSF’s expectations for FCA/AMP cost estimating and schedule standards be included within §3.6, or include the potential for collaborative review of the FCA results (that may include feasibility study level cost estimates and related timelines) to inform successive steps toward more detailed estimates culminating in meeting the standards under §§4.3 and 4.4 that </w:t>
      </w:r>
      <w:r w:rsidRPr="00B64B8B">
        <w:rPr>
          <w:color w:val="FF0000"/>
        </w:rPr>
        <w:t>would provide a sufficient basis for funding proposal alternatives under §§2.7.2, 2.7.4. This approach appears to be consistent with guidance under §3.2.</w:t>
      </w:r>
    </w:p>
    <w:p w:rsidR="00B64B8B" w:rsidP="00B64B8B" w14:paraId="1DE28C45" w14:textId="786F8E3D">
      <w:pPr>
        <w:rPr>
          <w:color w:val="FF0000"/>
        </w:rPr>
      </w:pPr>
      <w:r w:rsidRPr="00B64B8B">
        <w:rPr>
          <w:color w:val="FF0000"/>
        </w:rPr>
        <w:t xml:space="preserve">Both Cooperative Agreement FATC (§1.8) and RIG (§3.6.2) require that the facility condition assessment address potential vulnerabilities and needed upgrades against natural hazards anticipated from climate change, as well as mitigations through resilience to climate change. In view of recent events, revised or additional guidance seems appropriate on the future natural hazards major facility operators should anticipate and address in the facility condition assessment. </w:t>
      </w:r>
    </w:p>
    <w:p w:rsidR="00067A91" w:rsidP="00067A91" w14:paraId="6B68A20F" w14:textId="432C2652">
      <w:r w:rsidRPr="00067A91">
        <w:t xml:space="preserve">• </w:t>
      </w:r>
      <w:r w:rsidRPr="00067A91">
        <w:rPr>
          <w:b/>
          <w:bCs/>
        </w:rPr>
        <w:t>Section 4.5 Monitoring Progress Against Plan</w:t>
      </w:r>
      <w:r w:rsidRPr="00067A91">
        <w:t xml:space="preserve">. </w:t>
      </w:r>
    </w:p>
    <w:p w:rsidR="00355A78" w:rsidRPr="00067A91" w:rsidP="00067A91" w14:paraId="3D38041B" w14:textId="530EDA9E">
      <w:r>
        <w:t>Suggest rewording the sentences that begin with “NSF aims to…” and “NSF also aims to…” to be less ambiguous.</w:t>
      </w:r>
    </w:p>
    <w:p w:rsidR="00067A91" w:rsidP="00067A91" w14:paraId="3875E3A0" w14:textId="0539BB4E">
      <w:r w:rsidRPr="00067A91">
        <w:t xml:space="preserve">• </w:t>
      </w:r>
      <w:r w:rsidRPr="00067A91">
        <w:rPr>
          <w:b/>
          <w:bCs/>
        </w:rPr>
        <w:t xml:space="preserve">Section 4.7 Contingency Estimating and Management </w:t>
      </w:r>
      <w:r w:rsidRPr="00067A91">
        <w:t xml:space="preserve">is decoupled from risk management. </w:t>
      </w:r>
    </w:p>
    <w:p w:rsidR="00190D63" w:rsidRPr="00E77EEF" w:rsidP="00067A91" w14:paraId="7226F3C9" w14:textId="7CEF4BDF">
      <w:pPr>
        <w:rPr>
          <w:color w:val="FF0000"/>
        </w:rPr>
      </w:pPr>
      <w:r w:rsidRPr="00E77EEF">
        <w:rPr>
          <w:color w:val="FF0000"/>
        </w:rPr>
        <w:t>It’s interesting that this section specifically calls out</w:t>
      </w:r>
      <w:r w:rsidRPr="00E77EEF" w:rsidR="00E77EEF">
        <w:rPr>
          <w:color w:val="FF0000"/>
        </w:rPr>
        <w:t>:</w:t>
      </w:r>
    </w:p>
    <w:p w:rsidR="00E77EEF" w:rsidRPr="00E77EEF" w:rsidP="00E77EEF" w14:paraId="033EAC04" w14:textId="4A1E73D7">
      <w:pPr>
        <w:ind w:left="720"/>
        <w:rPr>
          <w:i/>
          <w:color w:val="000000" w:themeColor="text1"/>
        </w:rPr>
      </w:pPr>
      <w:r w:rsidRPr="00E77EEF">
        <w:rPr>
          <w:i/>
          <w:color w:val="000000" w:themeColor="text1"/>
        </w:rPr>
        <w:t xml:space="preserve">“NSF Requirement: Major Facility projects </w:t>
      </w:r>
      <w:r w:rsidRPr="00E77EEF">
        <w:rPr>
          <w:b/>
          <w:i/>
          <w:color w:val="000000" w:themeColor="text1"/>
        </w:rPr>
        <w:t>must use</w:t>
      </w:r>
      <w:r w:rsidRPr="00E77EEF">
        <w:rPr>
          <w:i/>
          <w:color w:val="000000" w:themeColor="text1"/>
        </w:rPr>
        <w:t xml:space="preserve"> a combined cost and schedule risk analysis using Monte Carlo methods and select a value within the 70-90% confidence range.”</w:t>
      </w:r>
    </w:p>
    <w:p w:rsidR="00E77EEF" w:rsidP="00E77EEF" w14:paraId="0D4ECB63" w14:textId="0DCFE065">
      <w:pPr>
        <w:rPr>
          <w:color w:val="FF0000"/>
        </w:rPr>
      </w:pPr>
      <w:r>
        <w:rPr>
          <w:color w:val="FF0000"/>
        </w:rPr>
        <w:t>All the other sections allow for various methods for other project management processes, but this one is setting a hard requirement by stating “must use”.  By stating this as a “Shall” requirement it’s at the same level of importance as using EVMS during the construction phase.</w:t>
      </w:r>
    </w:p>
    <w:p w:rsidR="00E77EEF" w:rsidRPr="00E77EEF" w:rsidP="00E77EEF" w14:paraId="7E7FBC74" w14:textId="432ACABE">
      <w:pPr>
        <w:rPr>
          <w:color w:val="FF0000"/>
        </w:rPr>
      </w:pPr>
      <w:r>
        <w:rPr>
          <w:color w:val="FF0000"/>
        </w:rPr>
        <w:t xml:space="preserve">There are alternatives such as a decision tree analysis.  </w:t>
      </w:r>
    </w:p>
    <w:p w:rsidR="00067A91" w:rsidP="00067A91" w14:paraId="4E5184F7" w14:textId="2F522395">
      <w:r w:rsidRPr="00067A91">
        <w:t xml:space="preserve">• </w:t>
      </w:r>
      <w:r w:rsidRPr="00067A91">
        <w:rPr>
          <w:b/>
          <w:bCs/>
        </w:rPr>
        <w:t xml:space="preserve">Section 5.3 Information Assurance </w:t>
      </w:r>
      <w:r w:rsidR="00143882">
        <w:t>.</w:t>
      </w:r>
    </w:p>
    <w:p w:rsidR="00E77EEF" w:rsidRPr="00C264E6" w:rsidP="00067A91" w14:paraId="6DA4DD18" w14:textId="193708C7">
      <w:pPr>
        <w:rPr>
          <w:color w:val="FF0000"/>
        </w:rPr>
      </w:pPr>
      <w:r w:rsidRPr="00C264E6">
        <w:rPr>
          <w:color w:val="FF0000"/>
        </w:rPr>
        <w:t>Not specifically limited to this section, but the “Key Takeaway” text boxes shouldn’t really be needed.  These sentences should just be the first sentence the sections</w:t>
      </w:r>
      <w:r>
        <w:rPr>
          <w:color w:val="FF0000"/>
        </w:rPr>
        <w:t>, or clearly stated as a program requirement</w:t>
      </w:r>
      <w:r w:rsidRPr="00C264E6">
        <w:rPr>
          <w:color w:val="FF0000"/>
        </w:rPr>
        <w:t>.</w:t>
      </w:r>
    </w:p>
    <w:p w:rsidR="00067A91" w:rsidRPr="00067A91" w:rsidP="00067A91" w14:paraId="0B3AC2F3" w14:textId="77777777">
      <w:r w:rsidRPr="00067A91">
        <w:t xml:space="preserve">• </w:t>
      </w:r>
      <w:r w:rsidRPr="00067A91">
        <w:rPr>
          <w:b/>
          <w:bCs/>
        </w:rPr>
        <w:t xml:space="preserve">Section 5.9 Agile Guidance </w:t>
      </w:r>
      <w:r w:rsidRPr="00067A91">
        <w:t xml:space="preserve">provides new content and guidance on applying Agile methodologies to NSF awards. </w:t>
      </w:r>
    </w:p>
    <w:p w:rsidR="00067A91" w:rsidRPr="00C264E6" w:rsidP="00067A91" w14:paraId="68558B3D" w14:textId="4EC3376F">
      <w:pPr>
        <w:rPr>
          <w:b/>
          <w:bCs/>
        </w:rPr>
      </w:pPr>
      <w:r w:rsidRPr="00C264E6">
        <w:rPr>
          <w:color w:val="FF0000"/>
        </w:rPr>
        <w:t>Interesting that this guide calls out “Agile Development Methods”.  That means NSF Program Officers need to accept scope adjustments and uncertainty as well as WBS flexibility.</w:t>
      </w:r>
      <w:r w:rsidR="00565472">
        <w:rPr>
          <w:color w:val="FF0000"/>
        </w:rPr>
        <w:t xml:space="preserve">  I agree with Agile being an option, but this seems like a big jump from the last guide.</w:t>
      </w:r>
    </w:p>
    <w:p w:rsidR="00761574" w14:paraId="00171BA7" w14:textId="32EB44FE">
      <w:r>
        <w:t>Other comments:</w:t>
      </w:r>
    </w:p>
    <w:p w:rsidR="00761574" w:rsidRPr="006A723D" w:rsidP="00761574" w14:paraId="26FFADAE" w14:textId="7D2BD262">
      <w:pPr>
        <w:rPr>
          <w:color w:val="FF0000"/>
        </w:rPr>
      </w:pPr>
      <w:r w:rsidRPr="006A723D">
        <w:rPr>
          <w:color w:val="FF0000"/>
        </w:rPr>
        <w:t xml:space="preserve">It would be interesting to see NSF’s “Internal Management Plan” (section 2.2).    </w:t>
      </w:r>
    </w:p>
    <w:p w:rsidR="00761574" w:rsidP="00761574" w14:paraId="6218FB2C" w14:textId="725EEFDD">
      <w:pPr>
        <w:rPr>
          <w:color w:val="FF0000"/>
        </w:rPr>
      </w:pPr>
      <w:r>
        <w:rPr>
          <w:color w:val="FF0000"/>
        </w:rPr>
        <w:t xml:space="preserve">There are </w:t>
      </w:r>
      <w:r w:rsidRPr="006A723D">
        <w:rPr>
          <w:color w:val="FF0000"/>
        </w:rPr>
        <w:t xml:space="preserve">many </w:t>
      </w:r>
      <w:r>
        <w:rPr>
          <w:color w:val="FF0000"/>
        </w:rPr>
        <w:t xml:space="preserve">new </w:t>
      </w:r>
      <w:r w:rsidRPr="006A723D">
        <w:rPr>
          <w:color w:val="FF0000"/>
        </w:rPr>
        <w:t xml:space="preserve">references to Agile, including an entirely new section.   The additional section was highlighted under the Significant Changes, but “Agile” appears 99 times throughout the entire document.  </w:t>
      </w:r>
    </w:p>
    <w:p w:rsidR="00BF6032" w:rsidP="00761574" w14:paraId="3C4F6E11" w14:textId="77777777">
      <w:pPr>
        <w:rPr>
          <w:color w:val="FF0000"/>
        </w:rPr>
      </w:pPr>
      <w:r>
        <w:rPr>
          <w:color w:val="FF0000"/>
        </w:rPr>
        <w:t xml:space="preserve">The RIG needs to provide more guidance related to the </w:t>
      </w:r>
      <w:r>
        <w:rPr>
          <w:color w:val="FF0000"/>
        </w:rPr>
        <w:t xml:space="preserve">“what,” </w:t>
      </w:r>
      <w:r>
        <w:rPr>
          <w:color w:val="FF0000"/>
        </w:rPr>
        <w:t>“who</w:t>
      </w:r>
      <w:r>
        <w:rPr>
          <w:color w:val="FF0000"/>
        </w:rPr>
        <w:t>,</w:t>
      </w:r>
      <w:r>
        <w:rPr>
          <w:color w:val="FF0000"/>
        </w:rPr>
        <w:t xml:space="preserve">” and “how’ of Facility Commissioning including (1) Can portions of a facility be commissioned?,  (2) What if the </w:t>
      </w:r>
      <w:r>
        <w:rPr>
          <w:color w:val="FF0000"/>
        </w:rPr>
        <w:t xml:space="preserve">verification/validation </w:t>
      </w:r>
      <w:r>
        <w:rPr>
          <w:color w:val="FF0000"/>
        </w:rPr>
        <w:t xml:space="preserve">test results do not match the Plan?, </w:t>
      </w:r>
      <w:r w:rsidR="00234511">
        <w:rPr>
          <w:color w:val="FF0000"/>
        </w:rPr>
        <w:t>(3) What is the process?</w:t>
      </w:r>
      <w:r w:rsidR="00EE3B6E">
        <w:rPr>
          <w:color w:val="FF0000"/>
        </w:rPr>
        <w:t xml:space="preserve">, </w:t>
      </w:r>
      <w:r>
        <w:rPr>
          <w:color w:val="FF0000"/>
        </w:rPr>
        <w:t>and (</w:t>
      </w:r>
      <w:r w:rsidR="00EE3B6E">
        <w:rPr>
          <w:color w:val="FF0000"/>
        </w:rPr>
        <w:t>4</w:t>
      </w:r>
      <w:r>
        <w:rPr>
          <w:color w:val="FF0000"/>
        </w:rPr>
        <w:t xml:space="preserve">) What is the role of the PO in Commissioning? </w:t>
      </w:r>
      <w:r w:rsidR="00CC03E1">
        <w:rPr>
          <w:color w:val="FF0000"/>
        </w:rPr>
        <w:t xml:space="preserve">  </w:t>
      </w:r>
    </w:p>
    <w:p w:rsidR="006A723D" w:rsidRPr="006A723D" w:rsidP="00761574" w14:paraId="5D6AC098" w14:textId="473664A6">
      <w:pPr>
        <w:rPr>
          <w:color w:val="FF0000"/>
        </w:rPr>
      </w:pPr>
      <w:r>
        <w:rPr>
          <w:color w:val="FF0000"/>
        </w:rPr>
        <w:t xml:space="preserve">Requirements management and </w:t>
      </w:r>
      <w:r w:rsidR="00CC03E1">
        <w:rPr>
          <w:color w:val="FF0000"/>
        </w:rPr>
        <w:t>verification and validation activities need to be spelled</w:t>
      </w:r>
      <w:r>
        <w:rPr>
          <w:color w:val="FF0000"/>
        </w:rPr>
        <w:t xml:space="preserve"> out.</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24DBF" w:rsidP="00B24DBF" w14:paraId="30D61898" w14:textId="77777777">
      <w:pPr>
        <w:spacing w:before="0"/>
      </w:pPr>
      <w:r>
        <w:separator/>
      </w:r>
    </w:p>
  </w:endnote>
  <w:endnote w:type="continuationSeparator" w:id="1">
    <w:p w:rsidR="00B24DBF" w:rsidP="00B24DBF" w14:paraId="29ACE98F"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DBF" w14:paraId="7810C4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DBF" w:rsidP="00B24DBF" w14:paraId="26BAC00C" w14:textId="54048D0D">
    <w:pPr>
      <w:pStyle w:val="Footer"/>
    </w:pPr>
    <w:bookmarkStart w:id="0" w:name="TITUS1FooterPrimary"/>
    <w:r w:rsidRPr="00B24DBF">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DBF" w14:paraId="4297E9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4DBF" w:rsidP="00B24DBF" w14:paraId="32BD0C91" w14:textId="77777777">
      <w:pPr>
        <w:spacing w:before="0"/>
      </w:pPr>
      <w:r>
        <w:separator/>
      </w:r>
    </w:p>
  </w:footnote>
  <w:footnote w:type="continuationSeparator" w:id="1">
    <w:p w:rsidR="00B24DBF" w:rsidP="00B24DBF" w14:paraId="790F2760" w14:textId="777777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DBF" w14:paraId="41BAB8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DBF" w:rsidP="00B24DBF" w14:paraId="5214118E" w14:textId="565F3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DBF" w14:paraId="1F77DD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F56405"/>
    <w:multiLevelType w:val="hybridMultilevel"/>
    <w:tmpl w:val="A05EB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3673688"/>
    <w:multiLevelType w:val="hybridMultilevel"/>
    <w:tmpl w:val="8BA6D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45526665">
    <w:abstractNumId w:val="1"/>
  </w:num>
  <w:num w:numId="2" w16cid:durableId="69030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50"/>
    <w:rsid w:val="00020C0E"/>
    <w:rsid w:val="00067A91"/>
    <w:rsid w:val="00097DE3"/>
    <w:rsid w:val="00114098"/>
    <w:rsid w:val="00133FB2"/>
    <w:rsid w:val="00143882"/>
    <w:rsid w:val="00163FF9"/>
    <w:rsid w:val="001756DA"/>
    <w:rsid w:val="00184DEA"/>
    <w:rsid w:val="00190D63"/>
    <w:rsid w:val="001976FF"/>
    <w:rsid w:val="001B3421"/>
    <w:rsid w:val="001D3380"/>
    <w:rsid w:val="00234511"/>
    <w:rsid w:val="002501C3"/>
    <w:rsid w:val="002A72AC"/>
    <w:rsid w:val="002D4126"/>
    <w:rsid w:val="002D578E"/>
    <w:rsid w:val="002F0350"/>
    <w:rsid w:val="002F73E4"/>
    <w:rsid w:val="003067BB"/>
    <w:rsid w:val="003535BB"/>
    <w:rsid w:val="00355A78"/>
    <w:rsid w:val="00357846"/>
    <w:rsid w:val="0036652F"/>
    <w:rsid w:val="004715CD"/>
    <w:rsid w:val="00490246"/>
    <w:rsid w:val="004D1AA7"/>
    <w:rsid w:val="005066C7"/>
    <w:rsid w:val="00565472"/>
    <w:rsid w:val="0057232A"/>
    <w:rsid w:val="00670040"/>
    <w:rsid w:val="006844BE"/>
    <w:rsid w:val="006A1FB1"/>
    <w:rsid w:val="006A723D"/>
    <w:rsid w:val="006C0B91"/>
    <w:rsid w:val="00724D73"/>
    <w:rsid w:val="00761574"/>
    <w:rsid w:val="008C72D3"/>
    <w:rsid w:val="008F10EB"/>
    <w:rsid w:val="008F26DA"/>
    <w:rsid w:val="009007A7"/>
    <w:rsid w:val="00934098"/>
    <w:rsid w:val="00A25AC8"/>
    <w:rsid w:val="00A32AA0"/>
    <w:rsid w:val="00A919A2"/>
    <w:rsid w:val="00B24DBF"/>
    <w:rsid w:val="00B34C6C"/>
    <w:rsid w:val="00B64B8B"/>
    <w:rsid w:val="00BF1FCF"/>
    <w:rsid w:val="00BF6032"/>
    <w:rsid w:val="00C0144C"/>
    <w:rsid w:val="00C264E6"/>
    <w:rsid w:val="00C36326"/>
    <w:rsid w:val="00C915B7"/>
    <w:rsid w:val="00CC03E1"/>
    <w:rsid w:val="00CE3D7D"/>
    <w:rsid w:val="00CF148D"/>
    <w:rsid w:val="00D92E89"/>
    <w:rsid w:val="00DA409D"/>
    <w:rsid w:val="00DD3EFA"/>
    <w:rsid w:val="00E77EEF"/>
    <w:rsid w:val="00EA5029"/>
    <w:rsid w:val="00EE3B6E"/>
    <w:rsid w:val="00EF623F"/>
    <w:rsid w:val="00F15D3B"/>
    <w:rsid w:val="00F50DE7"/>
    <w:rsid w:val="00F72977"/>
    <w:rsid w:val="00F856C6"/>
    <w:rsid w:val="00F95B44"/>
    <w:rsid w:val="00FB09AE"/>
    <w:rsid w:val="00FF3ABC"/>
    <w:rsid w:val="00FF3C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7C2B06"/>
  <w15:chartTrackingRefBased/>
  <w15:docId w15:val="{1129F657-39FB-4CB0-8F75-B3CE0C2F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after="120" w:line="360" w:lineRule="auto"/>
        <w15:collapsed/>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style>
  <w:style w:type="paragraph" w:styleId="Heading1">
    <w:name w:val="heading 1"/>
    <w:basedOn w:val="Normal"/>
    <w:next w:val="Normal"/>
    <w:link w:val="Heading1Char"/>
    <w:uiPriority w:val="9"/>
    <w:qFormat/>
    <w:rsid w:val="002F0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3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3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3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3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3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350"/>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350"/>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3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3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3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3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3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350"/>
    <w:rPr>
      <w:rFonts w:eastAsiaTheme="majorEastAsia" w:cstheme="majorBidi"/>
      <w:color w:val="272727" w:themeColor="text1" w:themeTint="D8"/>
    </w:rPr>
  </w:style>
  <w:style w:type="paragraph" w:styleId="Title">
    <w:name w:val="Title"/>
    <w:basedOn w:val="Normal"/>
    <w:next w:val="Normal"/>
    <w:link w:val="TitleChar"/>
    <w:uiPriority w:val="10"/>
    <w:qFormat/>
    <w:rsid w:val="002F035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3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3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0350"/>
    <w:rPr>
      <w:i/>
      <w:iCs/>
      <w:color w:val="404040" w:themeColor="text1" w:themeTint="BF"/>
    </w:rPr>
  </w:style>
  <w:style w:type="paragraph" w:styleId="ListParagraph">
    <w:name w:val="List Paragraph"/>
    <w:basedOn w:val="Normal"/>
    <w:uiPriority w:val="34"/>
    <w:qFormat/>
    <w:rsid w:val="002F0350"/>
    <w:pPr>
      <w:ind w:left="720"/>
      <w:contextualSpacing/>
    </w:pPr>
  </w:style>
  <w:style w:type="character" w:styleId="IntenseEmphasis">
    <w:name w:val="Intense Emphasis"/>
    <w:basedOn w:val="DefaultParagraphFont"/>
    <w:uiPriority w:val="21"/>
    <w:qFormat/>
    <w:rsid w:val="002F0350"/>
    <w:rPr>
      <w:i/>
      <w:iCs/>
      <w:color w:val="0F4761" w:themeColor="accent1" w:themeShade="BF"/>
    </w:rPr>
  </w:style>
  <w:style w:type="paragraph" w:styleId="IntenseQuote">
    <w:name w:val="Intense Quote"/>
    <w:basedOn w:val="Normal"/>
    <w:next w:val="Normal"/>
    <w:link w:val="IntenseQuoteChar"/>
    <w:uiPriority w:val="30"/>
    <w:qFormat/>
    <w:rsid w:val="002F0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350"/>
    <w:rPr>
      <w:i/>
      <w:iCs/>
      <w:color w:val="0F4761" w:themeColor="accent1" w:themeShade="BF"/>
    </w:rPr>
  </w:style>
  <w:style w:type="character" w:styleId="IntenseReference">
    <w:name w:val="Intense Reference"/>
    <w:basedOn w:val="DefaultParagraphFont"/>
    <w:uiPriority w:val="32"/>
    <w:qFormat/>
    <w:rsid w:val="002F0350"/>
    <w:rPr>
      <w:b/>
      <w:bCs/>
      <w:smallCaps/>
      <w:color w:val="0F4761" w:themeColor="accent1" w:themeShade="BF"/>
      <w:spacing w:val="5"/>
    </w:rPr>
  </w:style>
  <w:style w:type="character" w:styleId="Hyperlink">
    <w:name w:val="Hyperlink"/>
    <w:basedOn w:val="DefaultParagraphFont"/>
    <w:uiPriority w:val="99"/>
    <w:unhideWhenUsed/>
    <w:rsid w:val="00B24DBF"/>
    <w:rPr>
      <w:color w:val="467886" w:themeColor="hyperlink"/>
      <w:u w:val="single"/>
    </w:rPr>
  </w:style>
  <w:style w:type="character" w:styleId="UnresolvedMention">
    <w:name w:val="Unresolved Mention"/>
    <w:basedOn w:val="DefaultParagraphFont"/>
    <w:uiPriority w:val="99"/>
    <w:semiHidden/>
    <w:unhideWhenUsed/>
    <w:rsid w:val="00B24DBF"/>
    <w:rPr>
      <w:color w:val="605E5C"/>
      <w:shd w:val="clear" w:color="auto" w:fill="E1DFDD"/>
    </w:rPr>
  </w:style>
  <w:style w:type="paragraph" w:styleId="Header">
    <w:name w:val="header"/>
    <w:basedOn w:val="Normal"/>
    <w:link w:val="HeaderChar"/>
    <w:uiPriority w:val="99"/>
    <w:unhideWhenUsed/>
    <w:rsid w:val="00B24DBF"/>
    <w:pPr>
      <w:tabs>
        <w:tab w:val="center" w:pos="4680"/>
        <w:tab w:val="right" w:pos="9360"/>
      </w:tabs>
      <w:spacing w:before="0"/>
    </w:pPr>
  </w:style>
  <w:style w:type="character" w:customStyle="1" w:styleId="HeaderChar">
    <w:name w:val="Header Char"/>
    <w:basedOn w:val="DefaultParagraphFont"/>
    <w:link w:val="Header"/>
    <w:uiPriority w:val="99"/>
    <w:rsid w:val="00B24DBF"/>
  </w:style>
  <w:style w:type="paragraph" w:styleId="Footer">
    <w:name w:val="footer"/>
    <w:basedOn w:val="Normal"/>
    <w:link w:val="FooterChar"/>
    <w:uiPriority w:val="99"/>
    <w:unhideWhenUsed/>
    <w:rsid w:val="00B24DBF"/>
    <w:pPr>
      <w:tabs>
        <w:tab w:val="center" w:pos="4680"/>
        <w:tab w:val="right" w:pos="9360"/>
      </w:tabs>
      <w:spacing w:before="0"/>
    </w:pPr>
  </w:style>
  <w:style w:type="character" w:customStyle="1" w:styleId="FooterChar">
    <w:name w:val="Footer Char"/>
    <w:basedOn w:val="DefaultParagraphFont"/>
    <w:link w:val="Footer"/>
    <w:uiPriority w:val="99"/>
    <w:rsid w:val="00B24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pmatthias@whoi.edu"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Palanza</dc:creator>
  <cp:lastModifiedBy>Plimpton, Suzanne H.</cp:lastModifiedBy>
  <cp:revision>2</cp:revision>
  <dcterms:created xsi:type="dcterms:W3CDTF">2025-03-10T21:57:00Z</dcterms:created>
  <dcterms:modified xsi:type="dcterms:W3CDTF">2025-03-10T21:57:00Z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d45dc2b9-9d30-4539-b430-b269ebdc5343</vt:lpwstr>
  </property>
</Properties>
</file>