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2B6A" w:rsidRPr="00642B6A" w:rsidP="00642B6A" w14:paraId="428772FF"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00642B6A" w:rsidRPr="00642B6A" w:rsidP="00642B6A" w14:paraId="42877300"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D579D2" w:rsidP="00D579D2" w14:paraId="0732568B" w14:textId="674E5B2A">
      <w:pPr>
        <w:tabs>
          <w:tab w:val="center" w:pos="4680"/>
        </w:tabs>
        <w:suppressAutoHyphens/>
        <w:spacing w:after="240"/>
        <w:jc w:val="center"/>
        <w:rPr>
          <w:rFonts w:eastAsia="Times New Roman" w:cs="Times New Roman"/>
          <w:caps/>
          <w:szCs w:val="24"/>
        </w:rPr>
      </w:pPr>
      <w:r w:rsidRPr="004704B2">
        <w:rPr>
          <w:rFonts w:eastAsia="Times New Roman" w:cs="Times New Roman"/>
          <w:caps/>
          <w:szCs w:val="24"/>
        </w:rPr>
        <w:t>Margin Requirements for Uncleared Swaps for Swap Dealers and Major Swap Participants</w:t>
      </w:r>
      <w:r w:rsidRPr="00BA3AE5" w:rsidR="00BA3AE5">
        <w:rPr>
          <w:rFonts w:eastAsia="Times New Roman" w:cs="Times New Roman"/>
          <w:caps/>
          <w:szCs w:val="24"/>
        </w:rPr>
        <w:t>—Cross-Border Application of the Margin Requirements</w:t>
      </w:r>
    </w:p>
    <w:p w:rsidR="00642B6A" w:rsidP="00642B6A" w14:paraId="42877301" w14:textId="47E3BF65">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427B53">
        <w:rPr>
          <w:rFonts w:eastAsia="Times New Roman" w:cs="Times New Roman"/>
          <w:b/>
          <w:szCs w:val="24"/>
        </w:rPr>
        <w:t>0111</w:t>
      </w:r>
    </w:p>
    <w:p w:rsidR="00642B6A" w:rsidRPr="00642B6A" w:rsidP="00551A51" w14:paraId="42877303" w14:textId="77777777">
      <w:pPr>
        <w:spacing w:after="240"/>
        <w:jc w:val="both"/>
        <w:outlineLvl w:val="0"/>
        <w:rPr>
          <w:rFonts w:eastAsia="Times New Roman" w:cs="Times New Roman"/>
          <w:b/>
          <w:szCs w:val="24"/>
        </w:rPr>
      </w:pPr>
      <w:r w:rsidRPr="00642B6A">
        <w:rPr>
          <w:rFonts w:eastAsia="Times New Roman" w:cs="Times New Roman"/>
          <w:b/>
          <w:szCs w:val="24"/>
        </w:rPr>
        <w:t>Justification</w:t>
      </w:r>
    </w:p>
    <w:p w:rsidR="00642B6A" w:rsidRPr="00642B6A" w:rsidP="003B1476" w14:paraId="42877304" w14:textId="77777777">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42802" w:rsidRPr="0059653A" w:rsidP="002E2093" w14:paraId="42877307" w14:textId="2703A8CF">
      <w:pPr>
        <w:autoSpaceDE w:val="0"/>
        <w:autoSpaceDN w:val="0"/>
        <w:adjustRightInd w:val="0"/>
        <w:spacing w:after="240"/>
        <w:jc w:val="both"/>
        <w:rPr>
          <w:rFonts w:eastAsia="Times New Roman" w:cs="Times New Roman"/>
          <w:color w:val="000000"/>
          <w:szCs w:val="24"/>
        </w:rPr>
      </w:pPr>
      <w:r w:rsidRPr="0059653A">
        <w:rPr>
          <w:rFonts w:eastAsia="Times New Roman" w:cs="Times New Roman"/>
          <w:color w:val="000000"/>
          <w:szCs w:val="24"/>
        </w:rPr>
        <w:t xml:space="preserve">Section </w:t>
      </w:r>
      <w:r w:rsidRPr="0059653A" w:rsidR="00577F1F">
        <w:rPr>
          <w:rFonts w:eastAsia="Times New Roman" w:cs="Times New Roman"/>
          <w:color w:val="000000"/>
          <w:szCs w:val="24"/>
        </w:rPr>
        <w:t>731</w:t>
      </w:r>
      <w:r w:rsidRPr="0059653A">
        <w:rPr>
          <w:rFonts w:eastAsia="Times New Roman" w:cs="Times New Roman"/>
          <w:color w:val="000000"/>
          <w:szCs w:val="24"/>
        </w:rPr>
        <w:t xml:space="preserve"> of the Dodd-Frank Wall Street Reform and Consumer Protection Act,</w:t>
      </w:r>
      <w:r>
        <w:rPr>
          <w:rStyle w:val="FootnoteReference"/>
          <w:rFonts w:eastAsia="Times New Roman" w:cs="Times New Roman"/>
          <w:color w:val="000000"/>
          <w:szCs w:val="24"/>
        </w:rPr>
        <w:footnoteReference w:id="3"/>
      </w:r>
      <w:r w:rsidRPr="0059653A">
        <w:rPr>
          <w:rFonts w:eastAsia="Times New Roman" w:cs="Times New Roman"/>
          <w:color w:val="000000"/>
          <w:szCs w:val="24"/>
        </w:rPr>
        <w:t xml:space="preserve"> amend</w:t>
      </w:r>
      <w:r w:rsidRPr="0059653A" w:rsidR="00577F1F">
        <w:rPr>
          <w:rFonts w:eastAsia="Times New Roman" w:cs="Times New Roman"/>
          <w:color w:val="000000"/>
          <w:szCs w:val="24"/>
        </w:rPr>
        <w:t>ed</w:t>
      </w:r>
      <w:r w:rsidRPr="0059653A">
        <w:rPr>
          <w:rFonts w:eastAsia="Times New Roman" w:cs="Times New Roman"/>
          <w:color w:val="000000"/>
          <w:szCs w:val="24"/>
        </w:rPr>
        <w:t xml:space="preserve"> the Commodity Exchange Act (“CEA”),</w:t>
      </w:r>
      <w:r>
        <w:rPr>
          <w:rStyle w:val="FootnoteReference"/>
          <w:rFonts w:eastAsia="Times New Roman" w:cs="Times New Roman"/>
          <w:color w:val="000000"/>
          <w:szCs w:val="24"/>
        </w:rPr>
        <w:footnoteReference w:id="4"/>
      </w:r>
      <w:r w:rsidRPr="0059653A">
        <w:rPr>
          <w:rFonts w:eastAsia="Times New Roman" w:cs="Times New Roman"/>
          <w:color w:val="000000"/>
          <w:szCs w:val="24"/>
        </w:rPr>
        <w:t xml:space="preserve"> to add, as </w:t>
      </w:r>
      <w:r w:rsidRPr="0059653A" w:rsidR="00C05975">
        <w:rPr>
          <w:rFonts w:eastAsia="Times New Roman" w:cs="Times New Roman"/>
          <w:color w:val="000000"/>
          <w:szCs w:val="24"/>
        </w:rPr>
        <w:t xml:space="preserve">Section </w:t>
      </w:r>
      <w:r w:rsidRPr="0059653A">
        <w:rPr>
          <w:rFonts w:eastAsia="Times New Roman" w:cs="Times New Roman"/>
          <w:color w:val="000000"/>
          <w:szCs w:val="24"/>
        </w:rPr>
        <w:t>4</w:t>
      </w:r>
      <w:r w:rsidRPr="0059653A" w:rsidR="0074122B">
        <w:rPr>
          <w:rFonts w:eastAsia="Times New Roman" w:cs="Times New Roman"/>
          <w:color w:val="000000"/>
          <w:szCs w:val="24"/>
        </w:rPr>
        <w:t>s</w:t>
      </w:r>
      <w:r w:rsidRPr="0059653A">
        <w:rPr>
          <w:rFonts w:eastAsia="Times New Roman" w:cs="Times New Roman"/>
          <w:color w:val="000000"/>
          <w:szCs w:val="24"/>
        </w:rPr>
        <w:t>(</w:t>
      </w:r>
      <w:r w:rsidRPr="0059653A" w:rsidR="0074122B">
        <w:rPr>
          <w:rFonts w:eastAsia="Times New Roman" w:cs="Times New Roman"/>
          <w:color w:val="000000"/>
          <w:szCs w:val="24"/>
        </w:rPr>
        <w:t>e</w:t>
      </w:r>
      <w:r w:rsidRPr="0059653A">
        <w:rPr>
          <w:rFonts w:eastAsia="Times New Roman" w:cs="Times New Roman"/>
          <w:color w:val="000000"/>
          <w:szCs w:val="24"/>
        </w:rPr>
        <w:t>)</w:t>
      </w:r>
      <w:r>
        <w:rPr>
          <w:rStyle w:val="FootnoteReference"/>
          <w:rFonts w:eastAsia="Times New Roman" w:cs="Times New Roman"/>
          <w:color w:val="000000"/>
          <w:szCs w:val="24"/>
        </w:rPr>
        <w:footnoteReference w:id="5"/>
      </w:r>
      <w:r w:rsidRPr="0059653A">
        <w:rPr>
          <w:rFonts w:eastAsia="Times New Roman" w:cs="Times New Roman"/>
          <w:color w:val="000000"/>
          <w:szCs w:val="24"/>
        </w:rPr>
        <w:t xml:space="preserve"> thereof, provisions concerning </w:t>
      </w:r>
      <w:r w:rsidRPr="0059653A" w:rsidR="0074122B">
        <w:rPr>
          <w:rFonts w:eastAsia="Times New Roman" w:cs="Times New Roman"/>
          <w:color w:val="000000"/>
          <w:szCs w:val="24"/>
        </w:rPr>
        <w:t xml:space="preserve">the setting of initial and variation margin requirements for swap dealers (“SDs”) and major swap participants (“MSPs”).  </w:t>
      </w:r>
      <w:r w:rsidRPr="0059653A" w:rsidR="008C0D38">
        <w:rPr>
          <w:rFonts w:eastAsia="Times New Roman" w:cs="Times New Roman"/>
          <w:color w:val="000000"/>
          <w:szCs w:val="24"/>
        </w:rPr>
        <w:t xml:space="preserve">Each SD and MSP for which there is a Prudential Regulator, as defined in </w:t>
      </w:r>
      <w:r w:rsidRPr="0059653A" w:rsidR="00C05975">
        <w:rPr>
          <w:rFonts w:eastAsia="Times New Roman" w:cs="Times New Roman"/>
          <w:color w:val="000000"/>
          <w:szCs w:val="24"/>
        </w:rPr>
        <w:t xml:space="preserve">Section </w:t>
      </w:r>
      <w:r w:rsidRPr="0059653A" w:rsidR="008C0D38">
        <w:rPr>
          <w:rFonts w:eastAsia="Times New Roman" w:cs="Times New Roman"/>
          <w:color w:val="000000"/>
          <w:szCs w:val="24"/>
        </w:rPr>
        <w:t>1a(39)</w:t>
      </w:r>
      <w:r>
        <w:rPr>
          <w:rStyle w:val="FootnoteReference"/>
          <w:rFonts w:eastAsia="Times New Roman" w:cs="Times New Roman"/>
          <w:color w:val="000000"/>
          <w:szCs w:val="24"/>
        </w:rPr>
        <w:footnoteReference w:id="6"/>
      </w:r>
      <w:r w:rsidRPr="0059653A" w:rsidR="008C0D38">
        <w:rPr>
          <w:rFonts w:eastAsia="Times New Roman" w:cs="Times New Roman"/>
          <w:color w:val="000000"/>
          <w:szCs w:val="24"/>
        </w:rPr>
        <w:t xml:space="preserve"> of the CEA, must meet margin requirements established by the applicable Prudential Regulator, and each SD and MSP for which there is no Prudential Regulator </w:t>
      </w:r>
      <w:r w:rsidRPr="0059653A" w:rsidR="00741904">
        <w:rPr>
          <w:rFonts w:eastAsia="Times New Roman" w:cs="Times New Roman"/>
          <w:color w:val="000000"/>
          <w:szCs w:val="24"/>
        </w:rPr>
        <w:t xml:space="preserve">(“Covered Swap Entities” or “CSEs”) </w:t>
      </w:r>
      <w:r w:rsidRPr="0059653A" w:rsidR="008C0D38">
        <w:rPr>
          <w:rFonts w:eastAsia="Times New Roman" w:cs="Times New Roman"/>
          <w:color w:val="000000"/>
          <w:szCs w:val="24"/>
        </w:rPr>
        <w:t xml:space="preserve">must comply with the </w:t>
      </w:r>
      <w:r w:rsidRPr="0059653A" w:rsidR="00FA64E4">
        <w:rPr>
          <w:rFonts w:eastAsia="Times New Roman" w:cs="Times New Roman"/>
          <w:color w:val="000000"/>
          <w:szCs w:val="24"/>
        </w:rPr>
        <w:t xml:space="preserve">Commodity Futures Trading </w:t>
      </w:r>
      <w:r w:rsidRPr="0059653A" w:rsidR="008C0D38">
        <w:rPr>
          <w:rFonts w:eastAsia="Times New Roman" w:cs="Times New Roman"/>
          <w:color w:val="000000"/>
          <w:szCs w:val="24"/>
        </w:rPr>
        <w:t>Commission</w:t>
      </w:r>
      <w:r w:rsidR="00551A51">
        <w:rPr>
          <w:rFonts w:eastAsia="Times New Roman" w:cs="Times New Roman"/>
          <w:color w:val="000000"/>
          <w:szCs w:val="24"/>
        </w:rPr>
        <w:t>’</w:t>
      </w:r>
      <w:r w:rsidRPr="0059653A" w:rsidR="008C0D38">
        <w:rPr>
          <w:rFonts w:eastAsia="Times New Roman" w:cs="Times New Roman"/>
          <w:color w:val="000000"/>
          <w:szCs w:val="24"/>
        </w:rPr>
        <w:t xml:space="preserve">s </w:t>
      </w:r>
      <w:r w:rsidRPr="0059653A" w:rsidR="00FA64E4">
        <w:rPr>
          <w:rFonts w:eastAsia="Times New Roman" w:cs="Times New Roman"/>
          <w:color w:val="000000"/>
          <w:szCs w:val="24"/>
        </w:rPr>
        <w:t xml:space="preserve">(“Commission”) </w:t>
      </w:r>
      <w:r w:rsidR="00551A51">
        <w:rPr>
          <w:rFonts w:eastAsia="Times New Roman" w:cs="Times New Roman"/>
          <w:color w:val="000000"/>
          <w:szCs w:val="24"/>
        </w:rPr>
        <w:t>R</w:t>
      </w:r>
      <w:r w:rsidRPr="0059653A" w:rsidR="008C0D38">
        <w:rPr>
          <w:rFonts w:eastAsia="Times New Roman" w:cs="Times New Roman"/>
          <w:color w:val="000000"/>
          <w:szCs w:val="24"/>
        </w:rPr>
        <w:t>egulations governing margin</w:t>
      </w:r>
      <w:r w:rsidRPr="0059653A" w:rsidR="0041206F">
        <w:rPr>
          <w:rFonts w:eastAsia="Times New Roman" w:cs="Times New Roman"/>
          <w:color w:val="000000"/>
          <w:szCs w:val="24"/>
        </w:rPr>
        <w:t xml:space="preserve"> on all swaps that are not </w:t>
      </w:r>
      <w:r w:rsidRPr="0059653A" w:rsidR="00E72EB4">
        <w:rPr>
          <w:rFonts w:eastAsia="Times New Roman" w:cs="Times New Roman"/>
          <w:color w:val="000000"/>
          <w:szCs w:val="24"/>
        </w:rPr>
        <w:t xml:space="preserve">centrally </w:t>
      </w:r>
      <w:r w:rsidRPr="0059653A" w:rsidR="0041206F">
        <w:rPr>
          <w:rFonts w:eastAsia="Times New Roman" w:cs="Times New Roman"/>
          <w:color w:val="000000"/>
          <w:szCs w:val="24"/>
        </w:rPr>
        <w:t>cleared</w:t>
      </w:r>
      <w:r w:rsidRPr="0059653A" w:rsidR="008C0D38">
        <w:rPr>
          <w:rFonts w:eastAsia="Times New Roman" w:cs="Times New Roman"/>
          <w:color w:val="000000"/>
          <w:szCs w:val="24"/>
        </w:rPr>
        <w:t>.</w:t>
      </w:r>
    </w:p>
    <w:p w:rsidR="008A02A6" w:rsidRPr="0059653A" w:rsidP="002E2093" w14:paraId="42877309" w14:textId="27998935">
      <w:pPr>
        <w:autoSpaceDE w:val="0"/>
        <w:autoSpaceDN w:val="0"/>
        <w:adjustRightInd w:val="0"/>
        <w:spacing w:after="240"/>
        <w:jc w:val="both"/>
        <w:rPr>
          <w:rFonts w:eastAsia="Times New Roman" w:cs="Times New Roman"/>
          <w:color w:val="000000"/>
          <w:szCs w:val="24"/>
        </w:rPr>
      </w:pPr>
      <w:r w:rsidRPr="0059653A">
        <w:rPr>
          <w:rFonts w:eastAsia="Times New Roman" w:cs="Times New Roman"/>
          <w:color w:val="000000"/>
          <w:szCs w:val="24"/>
        </w:rPr>
        <w:t xml:space="preserve">With regard to the cross-border application of the Commission’s margin rules, </w:t>
      </w:r>
      <w:r w:rsidRPr="0059653A" w:rsidR="00C05975">
        <w:rPr>
          <w:rFonts w:eastAsia="Times New Roman" w:cs="Times New Roman"/>
          <w:color w:val="000000"/>
          <w:szCs w:val="24"/>
        </w:rPr>
        <w:t xml:space="preserve">Section </w:t>
      </w:r>
      <w:r w:rsidRPr="0059653A">
        <w:rPr>
          <w:rFonts w:eastAsia="Times New Roman" w:cs="Times New Roman"/>
          <w:color w:val="000000"/>
          <w:szCs w:val="24"/>
        </w:rPr>
        <w:t xml:space="preserve">2(i) of the CEA provides the Commission with express authority over activities outside the United States </w:t>
      </w:r>
      <w:r w:rsidR="003F4067">
        <w:rPr>
          <w:rFonts w:eastAsia="Times New Roman" w:cs="Times New Roman"/>
          <w:color w:val="000000"/>
          <w:szCs w:val="24"/>
        </w:rPr>
        <w:t xml:space="preserve">(“U.S.”) </w:t>
      </w:r>
      <w:r w:rsidRPr="0059653A">
        <w:rPr>
          <w:rFonts w:eastAsia="Times New Roman" w:cs="Times New Roman"/>
          <w:color w:val="000000"/>
          <w:szCs w:val="24"/>
        </w:rPr>
        <w:t>relating to swaps when certain conditions are met.</w:t>
      </w:r>
      <w:r>
        <w:rPr>
          <w:rStyle w:val="FootnoteReference"/>
          <w:rFonts w:eastAsia="Times New Roman" w:cs="Times New Roman"/>
          <w:color w:val="000000"/>
          <w:szCs w:val="24"/>
        </w:rPr>
        <w:footnoteReference w:id="7"/>
      </w:r>
      <w:r w:rsidRPr="0059653A">
        <w:rPr>
          <w:rFonts w:eastAsia="Times New Roman" w:cs="Times New Roman"/>
          <w:color w:val="000000"/>
          <w:szCs w:val="24"/>
        </w:rPr>
        <w:t xml:space="preserve">  </w:t>
      </w:r>
      <w:r w:rsidRPr="0059653A" w:rsidR="008C0D38">
        <w:rPr>
          <w:rFonts w:eastAsia="Times New Roman" w:cs="Times New Roman"/>
          <w:color w:val="000000"/>
          <w:szCs w:val="24"/>
        </w:rPr>
        <w:t xml:space="preserve">Section 2(i) </w:t>
      </w:r>
      <w:r w:rsidRPr="0059653A">
        <w:rPr>
          <w:rFonts w:eastAsia="Times New Roman" w:cs="Times New Roman"/>
          <w:color w:val="000000"/>
          <w:szCs w:val="24"/>
        </w:rPr>
        <w:t xml:space="preserve">of the CEA </w:t>
      </w:r>
      <w:r w:rsidRPr="0059653A" w:rsidR="008C0D38">
        <w:rPr>
          <w:rFonts w:eastAsia="Times New Roman" w:cs="Times New Roman"/>
          <w:color w:val="000000"/>
          <w:szCs w:val="24"/>
        </w:rPr>
        <w:t xml:space="preserve">provides that the provisions of the CEA relating to swaps that were enacted by the Wall Street Transparency and Accountability Act of 2010 (including any rule prescribed or regulation promulgated under that Act), shall not apply to activities outside the </w:t>
      </w:r>
      <w:r w:rsidR="003F4067">
        <w:rPr>
          <w:rFonts w:eastAsia="Times New Roman" w:cs="Times New Roman"/>
          <w:color w:val="000000"/>
          <w:szCs w:val="24"/>
        </w:rPr>
        <w:t>U.S.</w:t>
      </w:r>
      <w:r w:rsidRPr="0059653A" w:rsidR="008C0D38">
        <w:rPr>
          <w:rFonts w:eastAsia="Times New Roman" w:cs="Times New Roman"/>
          <w:color w:val="000000"/>
          <w:szCs w:val="24"/>
        </w:rPr>
        <w:t xml:space="preserve"> unless those activities (1) have a direct and significant connection with activities in, or effect on, commerce of the </w:t>
      </w:r>
      <w:r w:rsidR="003F4067">
        <w:rPr>
          <w:rFonts w:eastAsia="Times New Roman" w:cs="Times New Roman"/>
          <w:color w:val="000000"/>
          <w:szCs w:val="24"/>
        </w:rPr>
        <w:t>U.S.</w:t>
      </w:r>
      <w:r w:rsidRPr="0059653A" w:rsidR="008C0D38">
        <w:rPr>
          <w:rFonts w:eastAsia="Times New Roman" w:cs="Times New Roman"/>
          <w:color w:val="000000"/>
          <w:szCs w:val="24"/>
        </w:rPr>
        <w:t xml:space="preserve"> or (2) contravene such rules or regulations as the Commission may prescribe or promulgate as are necessary or appropriate to prevent the evasion of any provision </w:t>
      </w:r>
      <w:r w:rsidRPr="0059653A" w:rsidR="00BA2F9A">
        <w:rPr>
          <w:rFonts w:eastAsia="Times New Roman" w:cs="Times New Roman"/>
          <w:color w:val="000000"/>
          <w:szCs w:val="24"/>
        </w:rPr>
        <w:t>of the CEA that was enacted by the Wall Street Transparency and Accountability Act of 2010.</w:t>
      </w:r>
    </w:p>
    <w:p w:rsidR="00BA2F9A" w:rsidRPr="0059653A" w:rsidP="002E2093" w14:paraId="66073228" w14:textId="32488B82">
      <w:pPr>
        <w:autoSpaceDE w:val="0"/>
        <w:autoSpaceDN w:val="0"/>
        <w:adjustRightInd w:val="0"/>
        <w:spacing w:after="240"/>
        <w:jc w:val="both"/>
        <w:rPr>
          <w:rFonts w:eastAsia="Times New Roman" w:cs="Times New Roman"/>
          <w:color w:val="000000"/>
          <w:szCs w:val="24"/>
        </w:rPr>
      </w:pPr>
      <w:r w:rsidRPr="0059653A">
        <w:rPr>
          <w:rFonts w:eastAsia="Times New Roman" w:cs="Times New Roman"/>
          <w:color w:val="000000"/>
          <w:szCs w:val="24"/>
        </w:rPr>
        <w:t xml:space="preserve">On May 31, 2016, the Commission published a </w:t>
      </w:r>
      <w:r w:rsidRPr="0059653A" w:rsidR="006D0EA5">
        <w:rPr>
          <w:rFonts w:eastAsia="Times New Roman" w:cs="Times New Roman"/>
          <w:color w:val="000000"/>
          <w:szCs w:val="24"/>
        </w:rPr>
        <w:t>f</w:t>
      </w:r>
      <w:r w:rsidRPr="0059653A">
        <w:rPr>
          <w:rFonts w:eastAsia="Times New Roman" w:cs="Times New Roman"/>
          <w:color w:val="000000"/>
          <w:szCs w:val="24"/>
        </w:rPr>
        <w:t xml:space="preserve">inal </w:t>
      </w:r>
      <w:r w:rsidRPr="0059653A" w:rsidR="006D0EA5">
        <w:rPr>
          <w:rFonts w:eastAsia="Times New Roman" w:cs="Times New Roman"/>
          <w:color w:val="000000"/>
          <w:szCs w:val="24"/>
        </w:rPr>
        <w:t>r</w:t>
      </w:r>
      <w:r w:rsidRPr="0059653A">
        <w:rPr>
          <w:rFonts w:eastAsia="Times New Roman" w:cs="Times New Roman"/>
          <w:color w:val="000000"/>
          <w:szCs w:val="24"/>
        </w:rPr>
        <w:t xml:space="preserve">ule </w:t>
      </w:r>
      <w:r w:rsidRPr="0059653A" w:rsidR="006D0EA5">
        <w:rPr>
          <w:rFonts w:eastAsia="Times New Roman" w:cs="Times New Roman"/>
          <w:color w:val="000000"/>
          <w:szCs w:val="24"/>
        </w:rPr>
        <w:t xml:space="preserve">(“Final Rule”) </w:t>
      </w:r>
      <w:r w:rsidRPr="0059653A">
        <w:rPr>
          <w:rFonts w:eastAsia="Times New Roman" w:cs="Times New Roman"/>
          <w:color w:val="000000"/>
          <w:szCs w:val="24"/>
        </w:rPr>
        <w:t xml:space="preserve">addressing the cross-border application of its margin requirements for uncleared swaps of CSEs (with substituted compliance available in certain circumstances), except as to a narrow class of uncleared swaps </w:t>
      </w:r>
      <w:r w:rsidRPr="0059653A">
        <w:rPr>
          <w:rFonts w:eastAsia="Times New Roman" w:cs="Times New Roman"/>
          <w:color w:val="000000"/>
          <w:szCs w:val="24"/>
        </w:rPr>
        <w:t>between a non-U.S. CSE and a non-U.S. counterparty that fall within a limited exclusion.</w:t>
      </w:r>
      <w:r>
        <w:rPr>
          <w:rFonts w:eastAsia="Times New Roman" w:cs="Times New Roman"/>
          <w:color w:val="000000"/>
          <w:szCs w:val="24"/>
          <w:vertAlign w:val="superscript"/>
        </w:rPr>
        <w:footnoteReference w:id="8"/>
      </w:r>
      <w:r w:rsidRPr="0059653A">
        <w:rPr>
          <w:rFonts w:eastAsia="Times New Roman" w:cs="Times New Roman"/>
          <w:color w:val="000000"/>
          <w:szCs w:val="24"/>
        </w:rPr>
        <w:t xml:space="preserve">  </w:t>
      </w:r>
      <w:r w:rsidRPr="0059653A" w:rsidR="006D0EA5">
        <w:rPr>
          <w:szCs w:val="24"/>
        </w:rPr>
        <w:t>The Final Rule contains a collection of information under Commission Regulation 23.160(c) regarding requests for comparability determinations, and information collections regarding non-netting jurisdictions</w:t>
      </w:r>
      <w:r w:rsidR="0082647F">
        <w:rPr>
          <w:szCs w:val="24"/>
        </w:rPr>
        <w:t>,</w:t>
      </w:r>
      <w:r>
        <w:rPr>
          <w:rStyle w:val="FootnoteReference"/>
          <w:szCs w:val="24"/>
        </w:rPr>
        <w:footnoteReference w:id="9"/>
      </w:r>
      <w:r w:rsidRPr="0059653A" w:rsidR="006D0EA5">
        <w:rPr>
          <w:szCs w:val="24"/>
        </w:rPr>
        <w:t xml:space="preserve"> and non-segregation jurisdictions.</w:t>
      </w:r>
      <w:r>
        <w:rPr>
          <w:rStyle w:val="FootnoteReference"/>
          <w:szCs w:val="24"/>
        </w:rPr>
        <w:footnoteReference w:id="10"/>
      </w:r>
      <w:r w:rsidR="00551A51">
        <w:rPr>
          <w:szCs w:val="24"/>
        </w:rPr>
        <w:t xml:space="preserve">  </w:t>
      </w:r>
      <w:r w:rsidRPr="0059653A" w:rsidR="00CE05A9">
        <w:rPr>
          <w:rFonts w:eastAsia="Times New Roman" w:cs="Times New Roman"/>
          <w:color w:val="000000"/>
          <w:szCs w:val="24"/>
        </w:rPr>
        <w:t>This Supporting Statement covers all three collections covered by OMB control number 3038-0111.</w:t>
      </w:r>
    </w:p>
    <w:p w:rsidR="008A02A6" w:rsidRPr="0059653A" w:rsidP="002E2093" w14:paraId="4287730B" w14:textId="39DE1131">
      <w:pPr>
        <w:autoSpaceDE w:val="0"/>
        <w:autoSpaceDN w:val="0"/>
        <w:adjustRightInd w:val="0"/>
        <w:spacing w:after="240"/>
        <w:jc w:val="both"/>
        <w:rPr>
          <w:rFonts w:eastAsia="Times New Roman" w:cs="Times New Roman"/>
          <w:color w:val="000000"/>
          <w:szCs w:val="24"/>
        </w:rPr>
      </w:pPr>
      <w:r w:rsidRPr="0059653A">
        <w:rPr>
          <w:rFonts w:eastAsia="Times New Roman" w:cs="Times New Roman"/>
          <w:color w:val="000000"/>
          <w:szCs w:val="24"/>
        </w:rPr>
        <w:t xml:space="preserve">Because margin requirements </w:t>
      </w:r>
      <w:r w:rsidRPr="0059653A" w:rsidR="0041206F">
        <w:rPr>
          <w:rFonts w:eastAsia="Times New Roman" w:cs="Times New Roman"/>
          <w:color w:val="000000"/>
          <w:szCs w:val="24"/>
        </w:rPr>
        <w:t xml:space="preserve">for uncleared swaps </w:t>
      </w:r>
      <w:r w:rsidRPr="0059653A">
        <w:rPr>
          <w:rFonts w:eastAsia="Times New Roman" w:cs="Times New Roman"/>
          <w:color w:val="000000"/>
          <w:szCs w:val="24"/>
        </w:rPr>
        <w:t xml:space="preserve">are critical in ensuring the safety and soundness of a CSE and to preserving the integrity of the financial markets, the Commission believes that its margin rules should apply on a cross-border basis in a manner that effectively addresses risks to the registered CSE and the U.S. financial system. </w:t>
      </w:r>
      <w:r w:rsidRPr="0059653A">
        <w:rPr>
          <w:rFonts w:eastAsia="Times New Roman" w:cs="Times New Roman"/>
          <w:color w:val="000000"/>
          <w:szCs w:val="24"/>
        </w:rPr>
        <w:t xml:space="preserve"> At the same time, t</w:t>
      </w:r>
      <w:r w:rsidRPr="0059653A">
        <w:t>he Commission recognizes that non-U.S. CSEs and non-U.S. counterparties may be subject to comparable or different rules in their home jurisdictions</w:t>
      </w:r>
      <w:r w:rsidRPr="0059653A" w:rsidR="00D35086">
        <w:t>.  In accordance with principles of international comity</w:t>
      </w:r>
      <w:r w:rsidRPr="0059653A">
        <w:rPr>
          <w:lang w:val="en"/>
        </w:rPr>
        <w:t xml:space="preserve">, the </w:t>
      </w:r>
      <w:r w:rsidRPr="0059653A" w:rsidR="00CE05A9">
        <w:rPr>
          <w:rFonts w:eastAsia="Times New Roman" w:cs="Times New Roman"/>
          <w:color w:val="000000"/>
          <w:szCs w:val="24"/>
        </w:rPr>
        <w:t>Final Rule</w:t>
      </w:r>
      <w:r w:rsidRPr="0059653A" w:rsidR="00741904">
        <w:rPr>
          <w:rFonts w:eastAsia="Times New Roman" w:cs="Times New Roman"/>
          <w:color w:val="000000"/>
          <w:szCs w:val="24"/>
        </w:rPr>
        <w:t xml:space="preserve"> allow</w:t>
      </w:r>
      <w:r w:rsidRPr="0059653A" w:rsidR="00362A85">
        <w:rPr>
          <w:rFonts w:eastAsia="Times New Roman" w:cs="Times New Roman"/>
          <w:color w:val="000000"/>
          <w:szCs w:val="24"/>
        </w:rPr>
        <w:t>s</w:t>
      </w:r>
      <w:r w:rsidRPr="0059653A" w:rsidR="00741904">
        <w:rPr>
          <w:rFonts w:eastAsia="Times New Roman" w:cs="Times New Roman"/>
          <w:color w:val="000000"/>
          <w:szCs w:val="24"/>
        </w:rPr>
        <w:t xml:space="preserve"> CSEs</w:t>
      </w:r>
      <w:r w:rsidR="00BA361E">
        <w:rPr>
          <w:rFonts w:eastAsia="Times New Roman" w:cs="Times New Roman"/>
          <w:color w:val="000000"/>
          <w:szCs w:val="24"/>
        </w:rPr>
        <w:t>,</w:t>
      </w:r>
      <w:r w:rsidRPr="0059653A" w:rsidR="00741904">
        <w:rPr>
          <w:rFonts w:eastAsia="Times New Roman" w:cs="Times New Roman"/>
          <w:color w:val="000000"/>
          <w:szCs w:val="24"/>
        </w:rPr>
        <w:t xml:space="preserve"> subject to the </w:t>
      </w:r>
      <w:r w:rsidRPr="0059653A" w:rsidR="00D053FF">
        <w:rPr>
          <w:rFonts w:eastAsia="Times New Roman" w:cs="Times New Roman"/>
          <w:color w:val="000000"/>
          <w:szCs w:val="24"/>
        </w:rPr>
        <w:t xml:space="preserve">Commission’s </w:t>
      </w:r>
      <w:r w:rsidRPr="0059653A" w:rsidR="00741904">
        <w:rPr>
          <w:rFonts w:eastAsia="Times New Roman" w:cs="Times New Roman"/>
          <w:color w:val="000000"/>
          <w:szCs w:val="24"/>
        </w:rPr>
        <w:t>margin requirements</w:t>
      </w:r>
      <w:r w:rsidR="00BA361E">
        <w:rPr>
          <w:rFonts w:eastAsia="Times New Roman" w:cs="Times New Roman"/>
          <w:color w:val="000000"/>
          <w:szCs w:val="24"/>
        </w:rPr>
        <w:t>,</w:t>
      </w:r>
      <w:r w:rsidRPr="0059653A" w:rsidR="00741904">
        <w:rPr>
          <w:rFonts w:eastAsia="Times New Roman" w:cs="Times New Roman"/>
          <w:color w:val="000000"/>
          <w:szCs w:val="24"/>
        </w:rPr>
        <w:t xml:space="preserve"> to satisfy the Commission’s margin requirements by complying with </w:t>
      </w:r>
      <w:r w:rsidRPr="0059653A" w:rsidR="00D053FF">
        <w:rPr>
          <w:rFonts w:eastAsia="Times New Roman" w:cs="Times New Roman"/>
          <w:color w:val="000000"/>
          <w:szCs w:val="24"/>
        </w:rPr>
        <w:t>some or all of the relevant foreign jurisdiction’s margin requirements to the extent that the Commission makes a determination</w:t>
      </w:r>
      <w:r w:rsidRPr="0059653A" w:rsidR="00D053FF">
        <w:rPr>
          <w:rFonts w:eastAsia="Times New Roman"/>
          <w:szCs w:val="20"/>
        </w:rPr>
        <w:t xml:space="preserve"> that the</w:t>
      </w:r>
      <w:r w:rsidRPr="0059653A" w:rsidR="00722749">
        <w:rPr>
          <w:rFonts w:eastAsia="Times New Roman"/>
          <w:szCs w:val="20"/>
        </w:rPr>
        <w:t xml:space="preserve"> foreign jurisdiction’s</w:t>
      </w:r>
      <w:r w:rsidRPr="0059653A" w:rsidR="00D053FF">
        <w:rPr>
          <w:rFonts w:eastAsia="Times New Roman"/>
          <w:szCs w:val="20"/>
        </w:rPr>
        <w:t xml:space="preserve"> requirements are comparable to the Commission’s corresponding margin requirements</w:t>
      </w:r>
      <w:r w:rsidRPr="0059653A" w:rsidR="00722749">
        <w:rPr>
          <w:rFonts w:eastAsia="Times New Roman"/>
          <w:szCs w:val="20"/>
        </w:rPr>
        <w:t xml:space="preserve"> (referred to as “substituted compliance”)</w:t>
      </w:r>
      <w:r w:rsidRPr="0059653A" w:rsidR="009C6A01">
        <w:rPr>
          <w:rFonts w:eastAsia="Times New Roman"/>
          <w:szCs w:val="20"/>
        </w:rPr>
        <w:t xml:space="preserve">.  In certain limited circumstances, non-U.S. CSEs would not be required to comply with </w:t>
      </w:r>
      <w:r w:rsidRPr="0059653A" w:rsidR="00741904">
        <w:rPr>
          <w:rFonts w:eastAsia="Times New Roman" w:cs="Times New Roman"/>
          <w:color w:val="000000"/>
          <w:szCs w:val="24"/>
        </w:rPr>
        <w:t xml:space="preserve">the Commission’s margin requirements </w:t>
      </w:r>
      <w:r w:rsidRPr="0059653A" w:rsidR="009C6A01">
        <w:rPr>
          <w:rFonts w:eastAsia="Times New Roman" w:cs="Times New Roman"/>
          <w:color w:val="000000"/>
          <w:szCs w:val="24"/>
        </w:rPr>
        <w:t>for certain swap transactions with non-U.S. persons, subject to specified conditions.</w:t>
      </w:r>
      <w:r w:rsidRPr="0059653A" w:rsidR="00094094">
        <w:rPr>
          <w:rFonts w:eastAsia="Times New Roman" w:cs="Times New Roman"/>
          <w:color w:val="000000"/>
          <w:szCs w:val="24"/>
        </w:rPr>
        <w:t xml:space="preserve"> </w:t>
      </w:r>
      <w:r w:rsidRPr="0059653A" w:rsidR="00741904">
        <w:rPr>
          <w:rFonts w:eastAsia="Times New Roman" w:cs="Times New Roman"/>
          <w:color w:val="000000"/>
          <w:szCs w:val="24"/>
        </w:rPr>
        <w:t xml:space="preserve"> </w:t>
      </w:r>
    </w:p>
    <w:p w:rsidR="009A3696" w:rsidP="002E2093" w14:paraId="7DA70470" w14:textId="40604591">
      <w:pPr>
        <w:spacing w:after="240"/>
        <w:jc w:val="both"/>
        <w:rPr>
          <w:rFonts w:eastAsia="Times New Roman" w:cs="Times New Roman"/>
          <w:szCs w:val="24"/>
        </w:rPr>
      </w:pPr>
      <w:r w:rsidRPr="009A3696">
        <w:rPr>
          <w:rFonts w:eastAsia="Times New Roman" w:cs="Times New Roman"/>
          <w:szCs w:val="24"/>
        </w:rPr>
        <w:t>Under Commission Regulation 23.160(c)(1),</w:t>
      </w:r>
      <w:r w:rsidRPr="0059653A">
        <w:t xml:space="preserve"> a CSE that is eligible for substituted compliance or a foreign regulatory agency that has direct supervisory authority over one or more </w:t>
      </w:r>
      <w:r w:rsidRPr="009A3696">
        <w:rPr>
          <w:rFonts w:eastAsia="Times New Roman" w:cs="Times New Roman"/>
          <w:szCs w:val="24"/>
        </w:rPr>
        <w:t>CSEs and</w:t>
      </w:r>
      <w:r w:rsidRPr="0059653A">
        <w:t xml:space="preserve"> that is responsible </w:t>
      </w:r>
      <w:r w:rsidRPr="009A3696">
        <w:rPr>
          <w:rFonts w:eastAsia="Times New Roman" w:cs="Times New Roman"/>
          <w:szCs w:val="24"/>
        </w:rPr>
        <w:t>for administering</w:t>
      </w:r>
      <w:r w:rsidRPr="0059653A">
        <w:t xml:space="preserve"> the relevant foreign jurisdiction’s margin requirements may request, individually or collectively, that the Commission make a determination that a CSE that complies with margin requirements in the relevant foreign jurisdiction would be deemed to be in compliance with the Commission’s corresponding margin </w:t>
      </w:r>
      <w:r w:rsidRPr="009A3696">
        <w:rPr>
          <w:rFonts w:eastAsia="Times New Roman" w:cs="Times New Roman"/>
          <w:szCs w:val="24"/>
        </w:rPr>
        <w:t>rule promulgated by the Commission</w:t>
      </w:r>
      <w:r w:rsidRPr="0059653A">
        <w:t xml:space="preserve"> (a “comparability determination”).</w:t>
      </w:r>
      <w:r>
        <w:rPr>
          <w:rStyle w:val="FootnoteReference"/>
        </w:rPr>
        <w:footnoteReference w:id="11"/>
      </w:r>
      <w:r w:rsidRPr="0059653A">
        <w:t xml:space="preserve">  </w:t>
      </w:r>
      <w:r w:rsidRPr="009A3696">
        <w:rPr>
          <w:rFonts w:eastAsia="Times New Roman" w:cs="Times New Roman"/>
          <w:szCs w:val="24"/>
        </w:rPr>
        <w:t>Once a comparability determination is made for a jurisdiction, it applies for all entities or transactions in that jurisdiction to the extent provided in the comparability determination, as approved by the Commission and subject to any conditions specified by the Commission.  All CSEs, regardless of whether they rely on a comparability determination, remain subject to the Commission’s examination and enforcement authority.</w:t>
      </w:r>
    </w:p>
    <w:p w:rsidR="009A3696" w:rsidRPr="0059653A" w:rsidP="002E2093" w14:paraId="0B6249B5" w14:textId="2AB85F36">
      <w:pPr>
        <w:spacing w:after="240"/>
        <w:jc w:val="both"/>
      </w:pPr>
      <w:r w:rsidRPr="009A3696">
        <w:rPr>
          <w:rFonts w:eastAsia="Times New Roman" w:cs="Times New Roman"/>
          <w:szCs w:val="24"/>
        </w:rPr>
        <w:t>Commission Regulation</w:t>
      </w:r>
      <w:r w:rsidRPr="0059653A">
        <w:t xml:space="preserve"> 23.160(c)(2) </w:t>
      </w:r>
      <w:r w:rsidRPr="009A3696">
        <w:rPr>
          <w:rFonts w:eastAsia="Times New Roman" w:cs="Times New Roman"/>
          <w:szCs w:val="24"/>
        </w:rPr>
        <w:t>requires that applicants for a comparability determination provide copies of the relevant foreign jurisdiction’s margin requirements</w:t>
      </w:r>
      <w:r w:rsidRPr="009A3696">
        <w:rPr>
          <w:rFonts w:eastAsia="Times New Roman" w:cs="Times New Roman"/>
          <w:szCs w:val="24"/>
          <w:vertAlign w:val="superscript"/>
        </w:rPr>
        <w:t xml:space="preserve"> </w:t>
      </w:r>
      <w:r w:rsidRPr="009A3696">
        <w:rPr>
          <w:rFonts w:eastAsia="Times New Roman" w:cs="Times New Roman"/>
          <w:szCs w:val="24"/>
        </w:rPr>
        <w:t xml:space="preserve">and descriptions of their objectives, how they differ from the margin policy framework for non-cleared, bilateral derivatives </w:t>
      </w:r>
      <w:r w:rsidRPr="009A3696">
        <w:rPr>
          <w:rFonts w:eastAsia="Times New Roman" w:cs="Times New Roman"/>
          <w:szCs w:val="24"/>
        </w:rPr>
        <w:t>set forth by the Basel Committee on Banking Supervision and the International Organization of Securities Commissions, and how they address the elements of the Commission’s margin requirements.</w:t>
      </w:r>
      <w:r>
        <w:rPr>
          <w:rStyle w:val="FootnoteReference"/>
          <w:rFonts w:eastAsia="Times New Roman" w:cs="Times New Roman"/>
          <w:szCs w:val="24"/>
        </w:rPr>
        <w:footnoteReference w:id="12"/>
      </w:r>
      <w:r w:rsidRPr="009A3696">
        <w:rPr>
          <w:rFonts w:eastAsia="Times New Roman" w:cs="Times New Roman"/>
          <w:szCs w:val="24"/>
        </w:rPr>
        <w:t xml:space="preserve">  The applicant must identify the specific legal and regulatory provisions of the foreign jurisdiction’s margin requirements that correspond to each element and, if necessary, whether the relevant foreign jurisdiction’s margin requirements do not address a particular element.</w:t>
      </w:r>
    </w:p>
    <w:p w:rsidR="009A3696" w:rsidP="002E2093" w14:paraId="54B25289" w14:textId="777CA3F7">
      <w:pPr>
        <w:spacing w:after="240"/>
        <w:jc w:val="both"/>
        <w:rPr>
          <w:rFonts w:eastAsia="Times New Roman" w:cs="Times New Roman"/>
          <w:szCs w:val="24"/>
        </w:rPr>
      </w:pPr>
      <w:r w:rsidRPr="009A3696">
        <w:rPr>
          <w:rFonts w:eastAsia="Times New Roman" w:cs="Times New Roman"/>
          <w:szCs w:val="24"/>
        </w:rPr>
        <w:t>Commission Regulation 23.160(d) includes a special provision for non-netting jurisdictions.</w:t>
      </w:r>
      <w:r>
        <w:rPr>
          <w:rStyle w:val="FootnoteReference"/>
          <w:rFonts w:eastAsia="Times New Roman" w:cs="Times New Roman"/>
          <w:szCs w:val="24"/>
        </w:rPr>
        <w:footnoteReference w:id="13"/>
      </w:r>
      <w:r w:rsidRPr="009A3696">
        <w:rPr>
          <w:rFonts w:eastAsia="Times New Roman" w:cs="Times New Roman"/>
          <w:szCs w:val="24"/>
        </w:rPr>
        <w:t xml:space="preserve">  This provision allows CSEs</w:t>
      </w:r>
      <w:r w:rsidR="00064431">
        <w:rPr>
          <w:rFonts w:eastAsia="Times New Roman" w:cs="Times New Roman"/>
          <w:szCs w:val="24"/>
        </w:rPr>
        <w:t>,</w:t>
      </w:r>
      <w:r w:rsidRPr="009A3696">
        <w:rPr>
          <w:rFonts w:eastAsia="Times New Roman" w:cs="Times New Roman"/>
          <w:szCs w:val="24"/>
        </w:rPr>
        <w:t xml:space="preserve"> that cannot conclude after sufficient legal review with a well-founded basis that the netting agreement with a counterparty in a foreign jurisdiction meets the definition of an “eligible master netting agreement” set forth in </w:t>
      </w:r>
      <w:bookmarkStart w:id="0" w:name="_Hlk109384592"/>
      <w:r w:rsidRPr="009A3696">
        <w:rPr>
          <w:rFonts w:eastAsia="Times New Roman" w:cs="Times New Roman"/>
          <w:szCs w:val="24"/>
        </w:rPr>
        <w:t>Commission Regulation 23.151</w:t>
      </w:r>
      <w:r w:rsidR="0074060F">
        <w:rPr>
          <w:rFonts w:eastAsia="Times New Roman" w:cs="Times New Roman"/>
          <w:szCs w:val="24"/>
        </w:rPr>
        <w:t>,</w:t>
      </w:r>
      <w:r>
        <w:rPr>
          <w:rStyle w:val="FootnoteReference"/>
          <w:rFonts w:eastAsia="Times New Roman" w:cs="Times New Roman"/>
          <w:szCs w:val="24"/>
        </w:rPr>
        <w:footnoteReference w:id="14"/>
      </w:r>
      <w:r w:rsidRPr="009A3696">
        <w:rPr>
          <w:rFonts w:eastAsia="Times New Roman" w:cs="Times New Roman"/>
          <w:szCs w:val="24"/>
        </w:rPr>
        <w:t xml:space="preserve"> </w:t>
      </w:r>
      <w:bookmarkEnd w:id="0"/>
      <w:r w:rsidRPr="009A3696">
        <w:rPr>
          <w:rFonts w:eastAsia="Times New Roman" w:cs="Times New Roman"/>
          <w:szCs w:val="24"/>
        </w:rPr>
        <w:t xml:space="preserve">to nevertheless net uncleared swaps in determining the amount of margin that they post, provided that certain conditions are met.  In order to avail itself of this special provision, a CSE must treat the uncleared swaps covered by the agreement on a gross basis in determining the amount of initial and variation margin that it must collect, but may net those uncleared swaps in determining the amount it must post to the counterparty, in accordance with the netting provisions of </w:t>
      </w:r>
      <w:bookmarkStart w:id="1" w:name="_Hlk109384627"/>
      <w:r w:rsidRPr="009A3696">
        <w:rPr>
          <w:rFonts w:eastAsia="Times New Roman" w:cs="Times New Roman"/>
          <w:szCs w:val="24"/>
        </w:rPr>
        <w:t xml:space="preserve">Commission Regulations 23.152(c) </w:t>
      </w:r>
      <w:bookmarkStart w:id="2" w:name="_Hlk109384654"/>
      <w:bookmarkEnd w:id="1"/>
      <w:r w:rsidRPr="009A3696">
        <w:rPr>
          <w:rFonts w:eastAsia="Times New Roman" w:cs="Times New Roman"/>
          <w:szCs w:val="24"/>
        </w:rPr>
        <w:t>and 23.153(d)</w:t>
      </w:r>
      <w:bookmarkEnd w:id="2"/>
      <w:r w:rsidRPr="009A3696">
        <w:rPr>
          <w:rFonts w:eastAsia="Times New Roman" w:cs="Times New Roman"/>
          <w:szCs w:val="24"/>
        </w:rPr>
        <w:t>.</w:t>
      </w:r>
      <w:r>
        <w:rPr>
          <w:rStyle w:val="FootnoteReference"/>
          <w:rFonts w:eastAsia="Times New Roman" w:cs="Times New Roman"/>
          <w:szCs w:val="24"/>
        </w:rPr>
        <w:footnoteReference w:id="15"/>
      </w:r>
      <w:r w:rsidRPr="009A3696">
        <w:rPr>
          <w:rFonts w:eastAsia="Times New Roman" w:cs="Times New Roman"/>
          <w:szCs w:val="24"/>
        </w:rPr>
        <w:t xml:space="preserve">  A CSE that enters into uncleared swaps in “non-netting” jurisdictions in reliance on this provision must have policies and procedures ensuring that it complies with the special provision’s requirements, and maintain books and records properly documenting that all of the requirements of this exception are satisfied.</w:t>
      </w:r>
    </w:p>
    <w:p w:rsidR="00BA2F9A" w:rsidRPr="00BA2F9A" w:rsidP="002E2093" w14:paraId="30F0FD3F" w14:textId="69D6981A">
      <w:pPr>
        <w:spacing w:after="240"/>
        <w:jc w:val="both"/>
      </w:pPr>
      <w:r w:rsidRPr="009A3696">
        <w:rPr>
          <w:rFonts w:eastAsia="Times New Roman" w:cs="Times New Roman"/>
          <w:szCs w:val="24"/>
        </w:rPr>
        <w:t>Commission Regulation 23.160(e)</w:t>
      </w:r>
      <w:r>
        <w:rPr>
          <w:rStyle w:val="FootnoteReference"/>
          <w:rFonts w:eastAsia="Times New Roman" w:cs="Times New Roman"/>
          <w:szCs w:val="24"/>
        </w:rPr>
        <w:footnoteReference w:id="16"/>
      </w:r>
      <w:r w:rsidR="0088270F">
        <w:rPr>
          <w:rFonts w:eastAsia="Times New Roman" w:cs="Times New Roman"/>
          <w:szCs w:val="24"/>
        </w:rPr>
        <w:t xml:space="preserve"> </w:t>
      </w:r>
      <w:r w:rsidRPr="009A3696">
        <w:rPr>
          <w:rFonts w:eastAsia="Times New Roman" w:cs="Times New Roman"/>
          <w:szCs w:val="24"/>
        </w:rPr>
        <w:t xml:space="preserve">includes a special provision for non-segregation jurisdictions that allows non-U.S. CSEs that are Foreign Consolidated Subsidiaries (“FCS”) (as defined in </w:t>
      </w:r>
      <w:bookmarkStart w:id="3" w:name="_Hlk109384688"/>
      <w:r w:rsidRPr="009A3696">
        <w:rPr>
          <w:rFonts w:eastAsia="Times New Roman" w:cs="Times New Roman"/>
          <w:szCs w:val="24"/>
        </w:rPr>
        <w:t>Commission Regulation 23.160(a)(1)</w:t>
      </w:r>
      <w:bookmarkEnd w:id="3"/>
      <w:r>
        <w:rPr>
          <w:rStyle w:val="FootnoteReference"/>
          <w:rFonts w:eastAsia="Times New Roman" w:cs="Times New Roman"/>
          <w:szCs w:val="24"/>
        </w:rPr>
        <w:footnoteReference w:id="17"/>
      </w:r>
      <w:r w:rsidR="00BC4E0E">
        <w:rPr>
          <w:rFonts w:eastAsia="Times New Roman" w:cs="Times New Roman"/>
          <w:szCs w:val="24"/>
        </w:rPr>
        <w:t>)</w:t>
      </w:r>
      <w:r w:rsidRPr="009A3696">
        <w:rPr>
          <w:rFonts w:eastAsia="Times New Roman" w:cs="Times New Roman"/>
          <w:szCs w:val="24"/>
        </w:rPr>
        <w:t xml:space="preserve"> and foreign branches of U.S. CSEs to engage in swaps in foreign jurisdictions where inherent limitations in the legal or operational infrastructure make it impracticable for the CSE and its counterparty to post collateral in compliance with the custodial arrangement requirements of the Commission’s margin rules, subject to certain conditions.  In order to rely on this special provision, a FCS or foreign branch of a U.S. CSE is required to satisfy all of the conditions of the rule, including that (1) inherent limitations in the legal or operational infrastructure of the foreign jurisdiction make it impracticable for the CSE and its counterparty to post any form of eligible initial margin collateral for the uncleared swap pursuant to custodial arrangements that comply with the Commission’s margin rules; (2) foreign regulatory restrictions require the CSE to transact in uncleared swaps with the counterparty through an establishment within the foreign jurisdiction and do not permit the posting of collateral for the swap in compliance with the custodial arrangements of Commission Regulation 23.157</w:t>
      </w:r>
      <w:r>
        <w:rPr>
          <w:rStyle w:val="FootnoteReference"/>
          <w:rFonts w:eastAsia="Times New Roman" w:cs="Times New Roman"/>
          <w:szCs w:val="24"/>
        </w:rPr>
        <w:footnoteReference w:id="18"/>
      </w:r>
      <w:r w:rsidRPr="009A3696">
        <w:rPr>
          <w:rFonts w:eastAsia="Times New Roman" w:cs="Times New Roman"/>
          <w:szCs w:val="24"/>
        </w:rPr>
        <w:t xml:space="preserve"> in the </w:t>
      </w:r>
      <w:r w:rsidR="003F4067">
        <w:rPr>
          <w:rFonts w:eastAsia="Times New Roman" w:cs="Times New Roman"/>
          <w:szCs w:val="24"/>
        </w:rPr>
        <w:t>U.S.</w:t>
      </w:r>
      <w:r w:rsidRPr="009A3696">
        <w:rPr>
          <w:rFonts w:eastAsia="Times New Roman" w:cs="Times New Roman"/>
          <w:szCs w:val="24"/>
        </w:rPr>
        <w:t xml:space="preserve"> or a jurisdiction for which the Commission has issued a comparability determination </w:t>
      </w:r>
      <w:bookmarkStart w:id="4" w:name="_Hlk109384785"/>
      <w:r w:rsidRPr="009A3696">
        <w:rPr>
          <w:rFonts w:eastAsia="Times New Roman" w:cs="Times New Roman"/>
          <w:szCs w:val="24"/>
        </w:rPr>
        <w:t xml:space="preserve">under Commission Regulation 23.160(c) </w:t>
      </w:r>
      <w:bookmarkEnd w:id="4"/>
      <w:r w:rsidRPr="009A3696">
        <w:rPr>
          <w:rFonts w:eastAsia="Times New Roman" w:cs="Times New Roman"/>
          <w:szCs w:val="24"/>
        </w:rPr>
        <w:t xml:space="preserve">with respect to Commission Regulation 23.157; (3) the CSE’s </w:t>
      </w:r>
      <w:r w:rsidRPr="009A3696">
        <w:rPr>
          <w:rFonts w:eastAsia="Times New Roman" w:cs="Times New Roman"/>
          <w:szCs w:val="24"/>
        </w:rPr>
        <w:t>counterparty is not a U.S. person and is not a CSE, and the counterparty’s obligations under the uncleared swap are not guaranteed by a U.S. person; (4) the CSE collects initial margin in cash on a gross basis, and posts and collects variation margin in cash, in accordance with specific requirements; (5) for each broad risk category, as set out in Commission Regulation 23.154(b)(2)(v),</w:t>
      </w:r>
      <w:r>
        <w:rPr>
          <w:rStyle w:val="FootnoteReference"/>
          <w:rFonts w:eastAsia="Times New Roman" w:cs="Times New Roman"/>
          <w:szCs w:val="24"/>
        </w:rPr>
        <w:footnoteReference w:id="19"/>
      </w:r>
      <w:r w:rsidRPr="009A3696">
        <w:rPr>
          <w:rFonts w:eastAsia="Times New Roman" w:cs="Times New Roman"/>
          <w:szCs w:val="24"/>
        </w:rPr>
        <w:t xml:space="preserve"> the total outstanding notional value of all uncleared swaps in that broad risk category, as to which the CSE is relying on under Commission Regulation 23.160(e), may not exceed 5 percent of the CSE’s total outstanding notional value for all uncleared swaps in the same broad risk category; (6) the CSE has policies and procedures ensuring that it is in compliance with the requirements of this provision; and (7) the CSE maintains books and records properly documenting that all of the requirements of this provision are satisfied.</w:t>
      </w:r>
    </w:p>
    <w:p w:rsidR="00CE05A9" w:rsidP="002E2093" w14:paraId="1657208F" w14:textId="33A32D91">
      <w:pPr>
        <w:spacing w:after="240"/>
        <w:jc w:val="both"/>
        <w:rPr>
          <w:rFonts w:eastAsia="Times New Roman" w:cs="Times New Roman"/>
          <w:color w:val="000000"/>
        </w:rPr>
      </w:pPr>
      <w:r w:rsidRPr="00B04609">
        <w:rPr>
          <w:rFonts w:eastAsia="Times New Roman" w:cs="Times New Roman"/>
          <w:color w:val="000000"/>
          <w:szCs w:val="24"/>
        </w:rPr>
        <w:t>Th</w:t>
      </w:r>
      <w:r w:rsidR="000E26BB">
        <w:rPr>
          <w:rFonts w:eastAsia="Times New Roman" w:cs="Times New Roman"/>
          <w:color w:val="000000"/>
          <w:szCs w:val="24"/>
        </w:rPr>
        <w:t>is</w:t>
      </w:r>
      <w:r w:rsidRPr="00B04609">
        <w:rPr>
          <w:rFonts w:eastAsia="Times New Roman" w:cs="Times New Roman"/>
          <w:color w:val="000000"/>
          <w:szCs w:val="24"/>
        </w:rPr>
        <w:t xml:space="preserve"> collection of information </w:t>
      </w:r>
      <w:r w:rsidR="00E92BCC">
        <w:rPr>
          <w:rFonts w:eastAsia="Times New Roman" w:cs="Times New Roman"/>
          <w:color w:val="000000"/>
          <w:szCs w:val="24"/>
        </w:rPr>
        <w:t>is</w:t>
      </w:r>
      <w:r w:rsidRPr="00B04609" w:rsidR="00E92BCC">
        <w:rPr>
          <w:rFonts w:eastAsia="Times New Roman" w:cs="Times New Roman"/>
          <w:color w:val="000000"/>
          <w:szCs w:val="24"/>
        </w:rPr>
        <w:t xml:space="preserve"> </w:t>
      </w:r>
      <w:r w:rsidRPr="00B04609">
        <w:rPr>
          <w:rFonts w:eastAsia="Times New Roman" w:cs="Times New Roman"/>
          <w:color w:val="000000"/>
          <w:szCs w:val="24"/>
        </w:rPr>
        <w:t xml:space="preserve">necessary to implement </w:t>
      </w:r>
      <w:r w:rsidR="00C05975">
        <w:rPr>
          <w:rFonts w:eastAsia="Times New Roman" w:cs="Times New Roman"/>
          <w:color w:val="000000"/>
          <w:szCs w:val="24"/>
        </w:rPr>
        <w:t>S</w:t>
      </w:r>
      <w:r w:rsidRPr="00B04609" w:rsidR="00C05975">
        <w:rPr>
          <w:rFonts w:eastAsia="Times New Roman" w:cs="Times New Roman"/>
          <w:color w:val="000000"/>
          <w:szCs w:val="24"/>
        </w:rPr>
        <w:t xml:space="preserve">ection </w:t>
      </w:r>
      <w:r w:rsidRPr="00B04609">
        <w:rPr>
          <w:rFonts w:eastAsia="Times New Roman" w:cs="Times New Roman"/>
          <w:color w:val="000000"/>
          <w:szCs w:val="24"/>
        </w:rPr>
        <w:t>4s(e) of the CEA, which expressly authorizes the Commission to adopt rules governing margin requirements for SDs and MSPs</w:t>
      </w:r>
      <w:r w:rsidR="00E92BCC">
        <w:rPr>
          <w:rFonts w:eastAsia="Times New Roman" w:cs="Times New Roman"/>
          <w:color w:val="000000"/>
          <w:szCs w:val="24"/>
        </w:rPr>
        <w:t xml:space="preserve"> that do not have a Prudential Regulator,</w:t>
      </w:r>
      <w:r w:rsidRPr="00B04609">
        <w:rPr>
          <w:rFonts w:eastAsia="Times New Roman" w:cs="Times New Roman"/>
          <w:color w:val="000000"/>
          <w:szCs w:val="24"/>
        </w:rPr>
        <w:t xml:space="preserve"> and </w:t>
      </w:r>
      <w:r w:rsidR="00C05975">
        <w:rPr>
          <w:rFonts w:eastAsia="Times New Roman" w:cs="Times New Roman"/>
          <w:color w:val="000000"/>
          <w:szCs w:val="24"/>
        </w:rPr>
        <w:t xml:space="preserve">Section </w:t>
      </w:r>
      <w:r w:rsidR="00E92BCC">
        <w:rPr>
          <w:rFonts w:eastAsia="Times New Roman" w:cs="Times New Roman"/>
          <w:color w:val="000000"/>
          <w:szCs w:val="24"/>
        </w:rPr>
        <w:t xml:space="preserve">2(i) of the CEA, which provides the Commission with express authority over swaps activities in </w:t>
      </w:r>
      <w:r w:rsidRPr="00B04609">
        <w:rPr>
          <w:rFonts w:eastAsia="Times New Roman" w:cs="Times New Roman"/>
          <w:color w:val="000000"/>
          <w:szCs w:val="24"/>
        </w:rPr>
        <w:t>cross</w:t>
      </w:r>
      <w:r w:rsidR="00E92BCC">
        <w:rPr>
          <w:rFonts w:eastAsia="Times New Roman" w:cs="Times New Roman"/>
          <w:color w:val="000000"/>
          <w:szCs w:val="24"/>
        </w:rPr>
        <w:t>-</w:t>
      </w:r>
      <w:r w:rsidRPr="00B04609">
        <w:rPr>
          <w:rFonts w:eastAsia="Times New Roman" w:cs="Times New Roman"/>
          <w:color w:val="000000"/>
          <w:szCs w:val="24"/>
        </w:rPr>
        <w:t>border transactions</w:t>
      </w:r>
      <w:r w:rsidR="00E92BCC">
        <w:rPr>
          <w:rFonts w:eastAsia="Times New Roman" w:cs="Times New Roman"/>
          <w:color w:val="000000"/>
          <w:szCs w:val="24"/>
        </w:rPr>
        <w:t xml:space="preserve"> when certain conditions are met</w:t>
      </w:r>
      <w:r w:rsidRPr="00B04609">
        <w:rPr>
          <w:rFonts w:eastAsia="Times New Roman" w:cs="Times New Roman"/>
          <w:color w:val="000000"/>
          <w:szCs w:val="24"/>
        </w:rPr>
        <w:t xml:space="preserve">.  As noted above, </w:t>
      </w:r>
      <w:r w:rsidR="00C05975">
        <w:rPr>
          <w:rFonts w:eastAsia="Times New Roman" w:cs="Times New Roman"/>
          <w:color w:val="000000"/>
          <w:szCs w:val="24"/>
        </w:rPr>
        <w:t>S</w:t>
      </w:r>
      <w:r w:rsidRPr="00B04609" w:rsidR="00C05975">
        <w:rPr>
          <w:rFonts w:eastAsia="Times New Roman" w:cs="Times New Roman"/>
          <w:color w:val="000000"/>
          <w:szCs w:val="24"/>
        </w:rPr>
        <w:t xml:space="preserve">ection </w:t>
      </w:r>
      <w:r w:rsidRPr="00B04609">
        <w:rPr>
          <w:rFonts w:eastAsia="Times New Roman" w:cs="Times New Roman"/>
          <w:color w:val="000000"/>
          <w:szCs w:val="24"/>
        </w:rPr>
        <w:t xml:space="preserve">4s(e) of the CEA mandates the adoption of rules establishing minimum initial and variation margin requirements for SDs and MSPs on all swaps that are not </w:t>
      </w:r>
      <w:r w:rsidR="00E72EB4">
        <w:rPr>
          <w:rFonts w:eastAsia="Times New Roman" w:cs="Times New Roman"/>
          <w:color w:val="000000"/>
          <w:szCs w:val="24"/>
        </w:rPr>
        <w:t xml:space="preserve">centrally </w:t>
      </w:r>
      <w:r w:rsidRPr="00B04609">
        <w:rPr>
          <w:rFonts w:eastAsia="Times New Roman" w:cs="Times New Roman"/>
          <w:color w:val="000000"/>
          <w:szCs w:val="24"/>
        </w:rPr>
        <w:t>cleared.</w:t>
      </w:r>
      <w:r>
        <w:rPr>
          <w:rFonts w:eastAsia="Times New Roman" w:cs="Times New Roman"/>
          <w:color w:val="000000"/>
          <w:szCs w:val="24"/>
        </w:rPr>
        <w:t xml:space="preserve">  The information collection </w:t>
      </w:r>
      <w:r w:rsidR="0017250C">
        <w:rPr>
          <w:rFonts w:eastAsia="Times New Roman" w:cs="Times New Roman"/>
          <w:color w:val="000000"/>
          <w:szCs w:val="24"/>
        </w:rPr>
        <w:t>is</w:t>
      </w:r>
      <w:r w:rsidR="00882745">
        <w:rPr>
          <w:rFonts w:eastAsia="Times New Roman" w:cs="Times New Roman"/>
          <w:color w:val="000000"/>
          <w:szCs w:val="24"/>
        </w:rPr>
        <w:t xml:space="preserve"> necessary for</w:t>
      </w:r>
      <w:r w:rsidR="00DB00E1">
        <w:rPr>
          <w:rFonts w:eastAsia="Times New Roman" w:cs="Times New Roman"/>
          <w:color w:val="000000"/>
          <w:szCs w:val="24"/>
        </w:rPr>
        <w:t xml:space="preserve"> the Commission to </w:t>
      </w:r>
      <w:r w:rsidRPr="00EB0FA7" w:rsidR="00EB0FA7">
        <w:rPr>
          <w:rFonts w:eastAsia="Times New Roman" w:cs="Times New Roman"/>
          <w:color w:val="000000"/>
          <w:szCs w:val="24"/>
        </w:rPr>
        <w:t xml:space="preserve">consider whether the requirements of the foreign rules </w:t>
      </w:r>
      <w:r w:rsidR="00DB00E1">
        <w:rPr>
          <w:rFonts w:eastAsia="Times New Roman" w:cs="Times New Roman"/>
          <w:color w:val="000000"/>
          <w:szCs w:val="24"/>
        </w:rPr>
        <w:t>are</w:t>
      </w:r>
      <w:r w:rsidRPr="00EB0FA7" w:rsidR="00EB0FA7">
        <w:rPr>
          <w:rFonts w:eastAsia="Times New Roman" w:cs="Times New Roman"/>
          <w:color w:val="000000"/>
          <w:szCs w:val="24"/>
        </w:rPr>
        <w:t xml:space="preserve"> comparable to the applicable requirements of the Commission’s rules </w:t>
      </w:r>
      <w:r w:rsidR="0041206F">
        <w:rPr>
          <w:rFonts w:eastAsia="Times New Roman" w:cs="Times New Roman"/>
          <w:color w:val="000000"/>
          <w:szCs w:val="24"/>
        </w:rPr>
        <w:t>in ensuring</w:t>
      </w:r>
      <w:r w:rsidRPr="00EB0FA7" w:rsidR="00EB0FA7">
        <w:rPr>
          <w:rFonts w:eastAsia="Times New Roman" w:cs="Times New Roman"/>
          <w:color w:val="000000"/>
          <w:szCs w:val="24"/>
        </w:rPr>
        <w:t xml:space="preserve"> the safe</w:t>
      </w:r>
      <w:r w:rsidR="0041206F">
        <w:rPr>
          <w:rFonts w:eastAsia="Times New Roman" w:cs="Times New Roman"/>
          <w:color w:val="000000"/>
          <w:szCs w:val="24"/>
        </w:rPr>
        <w:t>ty</w:t>
      </w:r>
      <w:r w:rsidRPr="00EB0FA7" w:rsidR="00EB0FA7">
        <w:rPr>
          <w:rFonts w:eastAsia="Times New Roman" w:cs="Times New Roman"/>
          <w:color w:val="000000"/>
          <w:szCs w:val="24"/>
        </w:rPr>
        <w:t xml:space="preserve"> and sound</w:t>
      </w:r>
      <w:r w:rsidR="0041206F">
        <w:rPr>
          <w:rFonts w:eastAsia="Times New Roman" w:cs="Times New Roman"/>
          <w:color w:val="000000"/>
          <w:szCs w:val="24"/>
        </w:rPr>
        <w:t>ness</w:t>
      </w:r>
      <w:r w:rsidRPr="00EB0FA7" w:rsidR="00EB0FA7">
        <w:rPr>
          <w:rFonts w:eastAsia="Times New Roman" w:cs="Times New Roman"/>
          <w:color w:val="000000"/>
          <w:szCs w:val="24"/>
        </w:rPr>
        <w:t xml:space="preserve"> of the CSE </w:t>
      </w:r>
      <w:r w:rsidR="0041206F">
        <w:rPr>
          <w:rFonts w:eastAsia="Times New Roman" w:cs="Times New Roman"/>
          <w:color w:val="000000"/>
          <w:szCs w:val="24"/>
        </w:rPr>
        <w:t xml:space="preserve">and are appropriate for </w:t>
      </w:r>
      <w:r w:rsidRPr="00EB0FA7" w:rsidR="00EB0FA7">
        <w:rPr>
          <w:rFonts w:eastAsia="Times New Roman" w:cs="Times New Roman"/>
          <w:color w:val="000000"/>
          <w:szCs w:val="24"/>
        </w:rPr>
        <w:t xml:space="preserve">the risks associated with the </w:t>
      </w:r>
      <w:r w:rsidR="0041206F">
        <w:rPr>
          <w:rFonts w:eastAsia="Times New Roman" w:cs="Times New Roman"/>
          <w:color w:val="000000"/>
          <w:szCs w:val="24"/>
        </w:rPr>
        <w:t xml:space="preserve">uncleared </w:t>
      </w:r>
      <w:r w:rsidRPr="00EB0FA7" w:rsidR="00EB0FA7">
        <w:rPr>
          <w:rFonts w:eastAsia="Times New Roman" w:cs="Times New Roman"/>
          <w:color w:val="000000"/>
          <w:szCs w:val="24"/>
        </w:rPr>
        <w:t>swaps</w:t>
      </w:r>
      <w:r w:rsidR="0041206F">
        <w:rPr>
          <w:rFonts w:eastAsia="Times New Roman" w:cs="Times New Roman"/>
          <w:color w:val="000000"/>
          <w:szCs w:val="24"/>
        </w:rPr>
        <w:t xml:space="preserve"> held as a CSE</w:t>
      </w:r>
      <w:r w:rsidRPr="00EB0FA7" w:rsidR="00EB0FA7">
        <w:rPr>
          <w:rFonts w:eastAsia="Times New Roman" w:cs="Times New Roman"/>
          <w:color w:val="000000"/>
          <w:szCs w:val="24"/>
        </w:rPr>
        <w:t>.</w:t>
      </w:r>
      <w:r>
        <w:rPr>
          <w:rFonts w:eastAsia="Times New Roman" w:cs="Times New Roman"/>
          <w:color w:val="000000"/>
          <w:szCs w:val="24"/>
        </w:rPr>
        <w:t xml:space="preserve">  Further, </w:t>
      </w:r>
      <w:r>
        <w:rPr>
          <w:rFonts w:eastAsia="Times New Roman" w:cs="Times New Roman"/>
          <w:color w:val="000000"/>
        </w:rPr>
        <w:t>the Final Rule require</w:t>
      </w:r>
      <w:r w:rsidR="00B72940">
        <w:rPr>
          <w:rFonts w:eastAsia="Times New Roman" w:cs="Times New Roman"/>
          <w:color w:val="000000"/>
        </w:rPr>
        <w:t>s</w:t>
      </w:r>
      <w:r>
        <w:rPr>
          <w:rFonts w:eastAsia="Times New Roman" w:cs="Times New Roman"/>
          <w:color w:val="000000"/>
        </w:rPr>
        <w:t xml:space="preserve"> CSEs to have policies and procedures ensuring that they </w:t>
      </w:r>
      <w:r w:rsidR="0088270F">
        <w:rPr>
          <w:rFonts w:eastAsia="Times New Roman" w:cs="Times New Roman"/>
          <w:color w:val="000000"/>
        </w:rPr>
        <w:t>comply</w:t>
      </w:r>
      <w:r>
        <w:rPr>
          <w:rFonts w:eastAsia="Times New Roman" w:cs="Times New Roman"/>
          <w:color w:val="000000"/>
        </w:rPr>
        <w:t xml:space="preserve"> with all of the requirements of the special provisions for non-netting jurisdictions and non-segregation provisions, respectively, and to maintain books and records properly documenting that all of the requirements of the special provisions for non-netting jurisdictions and non-segregation jurisdictions, respectively, are satisfied.  </w:t>
      </w:r>
      <w:r w:rsidR="00B72940">
        <w:rPr>
          <w:rFonts w:eastAsia="Times New Roman" w:cs="Times New Roman"/>
          <w:color w:val="000000"/>
        </w:rPr>
        <w:t>These</w:t>
      </w:r>
      <w:r>
        <w:rPr>
          <w:rFonts w:eastAsia="Times New Roman" w:cs="Times New Roman"/>
          <w:color w:val="000000"/>
        </w:rPr>
        <w:t xml:space="preserve"> information collections are necessary as a means for the Commission to be able to determine that CSEs relying on these special provisions are entitled to do so and are complying with the special provisions’ requirements.</w:t>
      </w:r>
    </w:p>
    <w:p w:rsidR="001577B2" w:rsidP="00C96955" w14:paraId="42877312" w14:textId="77777777">
      <w:pPr>
        <w:tabs>
          <w:tab w:val="left" w:pos="-720"/>
        </w:tabs>
        <w:spacing w:after="240"/>
        <w:ind w:left="720" w:hanging="720"/>
        <w:jc w:val="both"/>
        <w:rPr>
          <w:rFonts w:eastAsia="Times New Roman" w:cs="Times New Roman"/>
          <w:color w:val="000000"/>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FA64E4" w:rsidP="002E2093" w14:paraId="6A0443DE" w14:textId="07561CEB">
      <w:pPr>
        <w:spacing w:after="240"/>
        <w:jc w:val="both"/>
        <w:rPr>
          <w:rFonts w:eastAsia="Times New Roman" w:cs="Times New Roman"/>
          <w:color w:val="000000"/>
        </w:rPr>
      </w:pPr>
      <w:r>
        <w:rPr>
          <w:rFonts w:eastAsia="Times New Roman" w:cs="Times New Roman"/>
          <w:color w:val="000000"/>
        </w:rPr>
        <w:t>Persons requesting a comparability determination are required to submit documentation to the Commission.  Further, the Final Rule requires CSEs to maintain books and records properly documenting that all of the requirements of the special provisions for non-netting jurisdictions and non-segregation jurisdictions, respectively, are satisfied.</w:t>
      </w:r>
    </w:p>
    <w:p w:rsidR="00D43587" w:rsidP="002E2093" w14:paraId="23B9C8FE" w14:textId="241CCA8D">
      <w:pPr>
        <w:spacing w:after="240"/>
        <w:jc w:val="both"/>
        <w:rPr>
          <w:rFonts w:eastAsia="Times New Roman" w:cs="Times New Roman"/>
          <w:color w:val="000000"/>
        </w:rPr>
      </w:pPr>
      <w:r>
        <w:rPr>
          <w:rFonts w:eastAsia="Times New Roman" w:cs="Times New Roman"/>
          <w:color w:val="000000"/>
        </w:rPr>
        <w:t>As noted above, CSEs (</w:t>
      </w:r>
      <w:r w:rsidRPr="00106D27">
        <w:rPr>
          <w:rFonts w:eastAsia="Times New Roman" w:cs="Times New Roman"/>
          <w:i/>
          <w:iCs/>
          <w:color w:val="000000"/>
        </w:rPr>
        <w:t>i.e.</w:t>
      </w:r>
      <w:r>
        <w:rPr>
          <w:rFonts w:eastAsia="Times New Roman" w:cs="Times New Roman"/>
          <w:color w:val="000000"/>
        </w:rPr>
        <w:t xml:space="preserve">, SDs and MSPs that are subject to the Commission’s margin rules but are not subject to a Prudential Regulator’s jurisdiction) that are eligible for substituted compliance under the Final Rule, as well as foreign regulatory agencies that have direct supervisory authority to administer the foreign regulatory framework for uncleared swaps in the requested foreign jurisdiction, may make a request for a comparability determination.  The Commission will use the information submitted with the request to determine whether the relevant foreign jurisdiction’s margin rules for uncleared swaps are comparable to the Commission’s corresponding margin </w:t>
      </w:r>
      <w:r>
        <w:rPr>
          <w:rFonts w:eastAsia="Times New Roman" w:cs="Times New Roman"/>
          <w:color w:val="000000"/>
        </w:rPr>
        <w:t xml:space="preserve">requirements.  The </w:t>
      </w:r>
      <w:r>
        <w:rPr>
          <w:rFonts w:eastAsia="Times New Roman" w:cs="Times New Roman"/>
          <w:color w:val="000000"/>
        </w:rPr>
        <w:t xml:space="preserve">CSEs and/or foreign regulatory agencies </w:t>
      </w:r>
      <w:r>
        <w:rPr>
          <w:rFonts w:eastAsia="Times New Roman" w:cs="Times New Roman"/>
          <w:color w:val="000000"/>
        </w:rPr>
        <w:t xml:space="preserve">may submit the required documentation electronically or by hard copy.  The documentation will provide an analysis and comparison of the foreign jurisdiction’s regulations to the Commission’s </w:t>
      </w:r>
      <w:r w:rsidR="006E312C">
        <w:rPr>
          <w:rFonts w:eastAsia="Times New Roman" w:cs="Times New Roman"/>
          <w:color w:val="000000"/>
        </w:rPr>
        <w:t>R</w:t>
      </w:r>
      <w:r>
        <w:rPr>
          <w:rFonts w:eastAsia="Times New Roman" w:cs="Times New Roman"/>
          <w:color w:val="000000"/>
        </w:rPr>
        <w:t xml:space="preserve">egulations for the purpose of providing the Commission with </w:t>
      </w:r>
      <w:r w:rsidR="009626AB">
        <w:rPr>
          <w:rFonts w:eastAsia="Times New Roman" w:cs="Times New Roman"/>
          <w:color w:val="000000"/>
        </w:rPr>
        <w:t>the necessary information</w:t>
      </w:r>
      <w:r>
        <w:rPr>
          <w:rFonts w:eastAsia="Times New Roman" w:cs="Times New Roman"/>
          <w:color w:val="000000"/>
        </w:rPr>
        <w:t xml:space="preserve"> to make a comparability determination to the extent that it determines that some or all of the relevant foreign jurisdiction’s margin requirements are comparable to the Commission’s corresponding margin requirements.</w:t>
      </w:r>
      <w:r w:rsidR="00692192">
        <w:rPr>
          <w:rFonts w:eastAsia="Times New Roman" w:cs="Times New Roman"/>
          <w:color w:val="000000"/>
        </w:rPr>
        <w:t xml:space="preserve"> </w:t>
      </w:r>
      <w:r>
        <w:rPr>
          <w:rFonts w:eastAsia="Times New Roman" w:cs="Times New Roman"/>
          <w:color w:val="000000"/>
        </w:rPr>
        <w:t xml:space="preserve"> </w:t>
      </w:r>
      <w:r w:rsidR="00393688">
        <w:rPr>
          <w:szCs w:val="24"/>
        </w:rPr>
        <w:t xml:space="preserve">To date, the Commission has issued a comparability determination for 3 jurisdictions based on the information provided pursuant to Commission </w:t>
      </w:r>
      <w:r w:rsidR="00575717">
        <w:rPr>
          <w:szCs w:val="24"/>
        </w:rPr>
        <w:t>R</w:t>
      </w:r>
      <w:r w:rsidR="00393688">
        <w:rPr>
          <w:szCs w:val="24"/>
        </w:rPr>
        <w:t>egulation</w:t>
      </w:r>
      <w:r w:rsidR="008E5178">
        <w:rPr>
          <w:szCs w:val="24"/>
        </w:rPr>
        <w:t xml:space="preserve"> 23.160(c)</w:t>
      </w:r>
      <w:r w:rsidR="00393688">
        <w:rPr>
          <w:szCs w:val="24"/>
        </w:rPr>
        <w:t>.</w:t>
      </w:r>
      <w:r>
        <w:rPr>
          <w:rStyle w:val="FootnoteReference"/>
          <w:szCs w:val="24"/>
        </w:rPr>
        <w:footnoteReference w:id="20"/>
      </w:r>
    </w:p>
    <w:p w:rsidR="00552649" w:rsidP="002E2093" w14:paraId="0574250E" w14:textId="1140F8A2">
      <w:pPr>
        <w:spacing w:after="240"/>
        <w:jc w:val="both"/>
        <w:rPr>
          <w:rFonts w:eastAsia="Times New Roman" w:cs="Times New Roman"/>
          <w:color w:val="000000"/>
        </w:rPr>
      </w:pPr>
      <w:r>
        <w:rPr>
          <w:rFonts w:eastAsia="Times New Roman" w:cs="Times New Roman"/>
          <w:color w:val="000000"/>
        </w:rPr>
        <w:t>Also, the Commission will use books and records maintained by CSEs to determine whether CSEs relying on the special provisions for non-netting jurisdictions and non-segregation jurisdictions are entitled to do so and are complying with the special provisions’ requirements.</w:t>
      </w:r>
    </w:p>
    <w:p w:rsidR="0059653A" w:rsidP="00C96955" w14:paraId="05F8118D" w14:textId="77777777">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2B6A" w:rsidRPr="0059653A" w:rsidP="002E2093" w14:paraId="42877316" w14:textId="2FDF3B29">
      <w:pPr>
        <w:spacing w:after="240"/>
        <w:jc w:val="both"/>
        <w:rPr>
          <w:rFonts w:eastAsia="Times New Roman" w:cs="Times New Roman"/>
          <w:b/>
          <w:szCs w:val="24"/>
        </w:rPr>
      </w:pPr>
      <w:r w:rsidRPr="00692192">
        <w:rPr>
          <w:rFonts w:eastAsia="Times New Roman" w:cs="Times New Roman"/>
          <w:color w:val="000000"/>
        </w:rPr>
        <w:t>The</w:t>
      </w:r>
      <w:r w:rsidRPr="00BA1318">
        <w:rPr>
          <w:rFonts w:eastAsia="Times New Roman" w:cs="Times New Roman"/>
          <w:szCs w:val="24"/>
        </w:rPr>
        <w:t xml:space="preserve"> </w:t>
      </w:r>
      <w:r w:rsidR="00551A51">
        <w:rPr>
          <w:rFonts w:eastAsia="Times New Roman" w:cs="Times New Roman"/>
          <w:szCs w:val="24"/>
        </w:rPr>
        <w:t>R</w:t>
      </w:r>
      <w:r w:rsidRPr="00BA1318">
        <w:rPr>
          <w:rFonts w:eastAsia="Times New Roman" w:cs="Times New Roman"/>
          <w:szCs w:val="24"/>
        </w:rPr>
        <w:t>egulations require that recordkeeping generally be performed in accordance with</w:t>
      </w:r>
      <w:r w:rsidR="009A3696">
        <w:rPr>
          <w:rFonts w:eastAsia="Times New Roman" w:cs="Times New Roman"/>
          <w:szCs w:val="24"/>
        </w:rPr>
        <w:t xml:space="preserve"> </w:t>
      </w:r>
      <w:r w:rsidRPr="00BA1318">
        <w:rPr>
          <w:rFonts w:eastAsia="Times New Roman" w:cs="Times New Roman"/>
          <w:szCs w:val="24"/>
        </w:rPr>
        <w:t xml:space="preserve">Commission </w:t>
      </w:r>
      <w:r w:rsidR="009A3696">
        <w:rPr>
          <w:rFonts w:eastAsia="Times New Roman" w:cs="Times New Roman"/>
          <w:szCs w:val="24"/>
        </w:rPr>
        <w:t>R</w:t>
      </w:r>
      <w:r w:rsidRPr="00BA1318" w:rsidR="009A3696">
        <w:rPr>
          <w:rFonts w:eastAsia="Times New Roman" w:cs="Times New Roman"/>
          <w:szCs w:val="24"/>
        </w:rPr>
        <w:t xml:space="preserve">egulation </w:t>
      </w:r>
      <w:r w:rsidRPr="00BA1318">
        <w:rPr>
          <w:rFonts w:eastAsia="Times New Roman" w:cs="Times New Roman"/>
          <w:szCs w:val="24"/>
        </w:rPr>
        <w:t>1.31, which permits the use of electronic storage media.</w:t>
      </w:r>
    </w:p>
    <w:p w:rsidR="00642B6A" w:rsidRPr="00642B6A" w:rsidP="00C96955" w14:paraId="42877317"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552649" w:rsidRPr="00C96955" w:rsidP="002E2093" w14:paraId="44FEC6F7" w14:textId="3F4D69BE">
      <w:pPr>
        <w:spacing w:after="240"/>
        <w:jc w:val="both"/>
        <w:rPr>
          <w:rFonts w:eastAsia="Times New Roman" w:cs="Times New Roman"/>
          <w:szCs w:val="24"/>
        </w:rPr>
      </w:pPr>
      <w:r w:rsidRPr="00C96955">
        <w:rPr>
          <w:rFonts w:eastAsia="Times New Roman" w:cs="Times New Roman"/>
          <w:szCs w:val="24"/>
        </w:rPr>
        <w:t>The collection of information includes the submission of information from SDs, MSPs and foreign regulatory agencies that are engaged in activities that implicate new regulatory requirements.  This information would not have been previously submitted by the respondents to the Commission.  Therefore, the required information is not already collected by the Commission for any other purpose, collected by any other agency from the affected respondents, or available for public disclosure through any other source.</w:t>
      </w:r>
    </w:p>
    <w:p w:rsidR="00642B6A" w:rsidRPr="00642B6A" w:rsidP="00C96955" w14:paraId="42877319" w14:textId="0DA0156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small entities (Item 5 of OMB </w:t>
      </w:r>
      <w:r w:rsidRPr="00642B6A" w:rsidR="00315443">
        <w:rPr>
          <w:rFonts w:eastAsia="Times New Roman" w:cs="Times New Roman"/>
          <w:b/>
          <w:szCs w:val="24"/>
        </w:rPr>
        <w:t>F</w:t>
      </w:r>
      <w:r w:rsidR="00315443">
        <w:rPr>
          <w:rFonts w:eastAsia="Times New Roman" w:cs="Times New Roman"/>
          <w:b/>
          <w:szCs w:val="24"/>
        </w:rPr>
        <w:t>or</w:t>
      </w:r>
      <w:r w:rsidRPr="00642B6A" w:rsidR="00315443">
        <w:rPr>
          <w:rFonts w:eastAsia="Times New Roman" w:cs="Times New Roman"/>
          <w:b/>
          <w:szCs w:val="24"/>
        </w:rPr>
        <w:t xml:space="preserve">m </w:t>
      </w:r>
      <w:r w:rsidRPr="00642B6A">
        <w:rPr>
          <w:rFonts w:eastAsia="Times New Roman" w:cs="Times New Roman"/>
          <w:b/>
          <w:szCs w:val="24"/>
        </w:rPr>
        <w:t>83-I), describe the methods used to minimize burden.</w:t>
      </w:r>
    </w:p>
    <w:p w:rsidR="009A3696" w:rsidRPr="00C96955" w:rsidP="002E2093" w14:paraId="35E29705" w14:textId="5AB28648">
      <w:pPr>
        <w:spacing w:after="240"/>
        <w:jc w:val="both"/>
        <w:rPr>
          <w:rFonts w:eastAsia="Times New Roman" w:cs="Times New Roman"/>
          <w:szCs w:val="24"/>
        </w:rPr>
      </w:pPr>
      <w:r w:rsidRPr="00C96955">
        <w:rPr>
          <w:rFonts w:eastAsia="Times New Roman" w:cs="Times New Roman"/>
          <w:szCs w:val="24"/>
        </w:rPr>
        <w:t xml:space="preserve">The collection of information will not have a significant impact on small entities.  The Commission notes that under </w:t>
      </w:r>
      <w:r w:rsidR="00692192">
        <w:rPr>
          <w:rFonts w:eastAsia="Times New Roman" w:cs="Times New Roman"/>
          <w:szCs w:val="24"/>
        </w:rPr>
        <w:t>the Commission’s Regulations</w:t>
      </w:r>
      <w:r w:rsidRPr="00C96955">
        <w:rPr>
          <w:rFonts w:eastAsia="Times New Roman" w:cs="Times New Roman"/>
          <w:szCs w:val="24"/>
        </w:rPr>
        <w:t xml:space="preserve">, SDs and MSPs are only required to collect and post margin on uncleared swaps when the counterparties to the uncleared swaps are either other </w:t>
      </w:r>
      <w:r w:rsidRPr="00C96955">
        <w:rPr>
          <w:rFonts w:eastAsia="Times New Roman" w:cs="Times New Roman"/>
          <w:szCs w:val="24"/>
        </w:rPr>
        <w:t>SDs and MSPs or financial end users.  The Commission has determined that SDs and MSPs are not small entities</w:t>
      </w:r>
      <w:r w:rsidRPr="00C96955" w:rsidR="0059653A">
        <w:rPr>
          <w:rFonts w:eastAsia="Times New Roman" w:cs="Times New Roman"/>
          <w:szCs w:val="24"/>
        </w:rPr>
        <w:t>.</w:t>
      </w:r>
      <w:r w:rsidRPr="00C96955">
        <w:rPr>
          <w:rFonts w:eastAsia="Times New Roman" w:cs="Times New Roman"/>
          <w:szCs w:val="24"/>
        </w:rPr>
        <w:t xml:space="preserve">  Furthermore, any financial end users that may be indirectly impacted by the </w:t>
      </w:r>
      <w:r w:rsidR="00F62BF1">
        <w:rPr>
          <w:rFonts w:eastAsia="Times New Roman" w:cs="Times New Roman"/>
          <w:szCs w:val="24"/>
        </w:rPr>
        <w:t>requirements</w:t>
      </w:r>
      <w:r w:rsidRPr="00C96955">
        <w:rPr>
          <w:rFonts w:eastAsia="Times New Roman" w:cs="Times New Roman"/>
          <w:szCs w:val="24"/>
        </w:rPr>
        <w:t xml:space="preserve"> would be similar to </w:t>
      </w:r>
      <w:r w:rsidR="007C4C87">
        <w:rPr>
          <w:rFonts w:eastAsia="Times New Roman" w:cs="Times New Roman"/>
          <w:szCs w:val="24"/>
        </w:rPr>
        <w:t>eligible contract participants (“</w:t>
      </w:r>
      <w:r w:rsidRPr="00C96955">
        <w:rPr>
          <w:rFonts w:eastAsia="Times New Roman" w:cs="Times New Roman"/>
          <w:szCs w:val="24"/>
        </w:rPr>
        <w:t>ECPs</w:t>
      </w:r>
      <w:r w:rsidR="007C4C87">
        <w:rPr>
          <w:rFonts w:eastAsia="Times New Roman" w:cs="Times New Roman"/>
          <w:szCs w:val="24"/>
        </w:rPr>
        <w:t>”)</w:t>
      </w:r>
      <w:r w:rsidRPr="00C96955">
        <w:rPr>
          <w:rFonts w:eastAsia="Times New Roman" w:cs="Times New Roman"/>
          <w:szCs w:val="24"/>
        </w:rPr>
        <w:t>, and, as such, they would not be small entities.  Further, to the extent that there are any foreign financial entities that would not be considered ECPs, the Commission expects that there will not be a substantial number of these entities significantly impacted by the</w:t>
      </w:r>
      <w:r w:rsidR="00692192">
        <w:rPr>
          <w:rFonts w:eastAsia="Times New Roman" w:cs="Times New Roman"/>
          <w:szCs w:val="24"/>
        </w:rPr>
        <w:t>se requirements</w:t>
      </w:r>
      <w:r w:rsidRPr="00C96955">
        <w:rPr>
          <w:rFonts w:eastAsia="Times New Roman" w:cs="Times New Roman"/>
          <w:szCs w:val="24"/>
        </w:rPr>
        <w:t xml:space="preserve"> because most foreign financial entities would likely be ECPs to the extent they would trade in uncleared swaps.  The Commission expects that only a small number of foreign financial entities that are not ECPs, if any, would trade in uncleared swaps.</w:t>
      </w:r>
    </w:p>
    <w:p w:rsidR="00642B6A" w:rsidRPr="00642B6A" w:rsidP="00C96955" w14:paraId="4287731B"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3607A6" w:rsidP="002E2093" w14:paraId="4287731C" w14:textId="437ECAE7">
      <w:pPr>
        <w:spacing w:after="240"/>
        <w:jc w:val="both"/>
        <w:rPr>
          <w:rFonts w:eastAsia="Times New Roman" w:cs="Times New Roman"/>
          <w:szCs w:val="24"/>
        </w:rPr>
      </w:pPr>
      <w:r>
        <w:rPr>
          <w:rFonts w:eastAsia="Times New Roman" w:cs="Times New Roman"/>
          <w:szCs w:val="24"/>
        </w:rPr>
        <w:t>An SD</w:t>
      </w:r>
      <w:r w:rsidR="00094EC8">
        <w:rPr>
          <w:rFonts w:eastAsia="Times New Roman" w:cs="Times New Roman"/>
          <w:szCs w:val="24"/>
        </w:rPr>
        <w:t>,</w:t>
      </w:r>
      <w:r>
        <w:rPr>
          <w:rFonts w:eastAsia="Times New Roman" w:cs="Times New Roman"/>
          <w:szCs w:val="24"/>
        </w:rPr>
        <w:t xml:space="preserve"> MSP </w:t>
      </w:r>
      <w:r w:rsidR="00094EC8">
        <w:rPr>
          <w:rFonts w:eastAsia="Times New Roman" w:cs="Times New Roman"/>
          <w:szCs w:val="24"/>
        </w:rPr>
        <w:t xml:space="preserve">or foreign regulatory agency </w:t>
      </w:r>
      <w:r>
        <w:rPr>
          <w:rFonts w:eastAsia="Times New Roman" w:cs="Times New Roman"/>
          <w:szCs w:val="24"/>
        </w:rPr>
        <w:t xml:space="preserve">is required to submit documentation in support of a </w:t>
      </w:r>
      <w:r w:rsidR="008E0C3B">
        <w:rPr>
          <w:rFonts w:eastAsia="Times New Roman" w:cs="Times New Roman"/>
          <w:szCs w:val="24"/>
        </w:rPr>
        <w:t xml:space="preserve">request for a </w:t>
      </w:r>
      <w:r w:rsidR="00AA3389">
        <w:rPr>
          <w:rFonts w:eastAsia="Times New Roman" w:cs="Times New Roman"/>
          <w:szCs w:val="24"/>
        </w:rPr>
        <w:t>c</w:t>
      </w:r>
      <w:r w:rsidR="008E0C3B">
        <w:rPr>
          <w:rFonts w:eastAsia="Times New Roman" w:cs="Times New Roman"/>
          <w:szCs w:val="24"/>
        </w:rPr>
        <w:t>omparability</w:t>
      </w:r>
      <w:r>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 xml:space="preserve">etermination </w:t>
      </w:r>
      <w:r>
        <w:rPr>
          <w:rFonts w:eastAsia="Times New Roman" w:cs="Times New Roman"/>
          <w:szCs w:val="24"/>
        </w:rPr>
        <w:t xml:space="preserve">only once.  </w:t>
      </w:r>
      <w:r w:rsidRPr="00094EC8" w:rsidR="00094EC8">
        <w:rPr>
          <w:rFonts w:eastAsia="Times New Roman" w:cs="Times New Roman"/>
          <w:szCs w:val="24"/>
        </w:rPr>
        <w:t xml:space="preserve">If the Commission did not receive information regarding </w:t>
      </w:r>
      <w:r w:rsidR="008E0C3B">
        <w:rPr>
          <w:rFonts w:eastAsia="Times New Roman" w:cs="Times New Roman"/>
          <w:szCs w:val="24"/>
        </w:rPr>
        <w:t xml:space="preserve">a </w:t>
      </w:r>
      <w:r w:rsidR="00AA3389">
        <w:rPr>
          <w:rFonts w:eastAsia="Times New Roman" w:cs="Times New Roman"/>
          <w:szCs w:val="24"/>
        </w:rPr>
        <w:t>c</w:t>
      </w:r>
      <w:r w:rsidR="008E0C3B">
        <w:rPr>
          <w:rFonts w:eastAsia="Times New Roman" w:cs="Times New Roman"/>
          <w:szCs w:val="24"/>
        </w:rPr>
        <w:t>omparability</w:t>
      </w:r>
      <w:r w:rsidR="00094EC8">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etermination</w:t>
      </w:r>
      <w:r w:rsidRPr="00094EC8" w:rsidR="00094EC8">
        <w:rPr>
          <w:rFonts w:eastAsia="Times New Roman" w:cs="Times New Roman"/>
          <w:szCs w:val="24"/>
        </w:rPr>
        <w:t xml:space="preserve">, the Commission could not assess </w:t>
      </w:r>
      <w:r w:rsidR="00094EC8">
        <w:rPr>
          <w:rFonts w:eastAsia="Times New Roman" w:cs="Times New Roman"/>
          <w:szCs w:val="24"/>
        </w:rPr>
        <w:t xml:space="preserve">whether </w:t>
      </w:r>
      <w:r w:rsidR="008E0C3B">
        <w:rPr>
          <w:rFonts w:eastAsia="Times New Roman" w:cs="Times New Roman"/>
          <w:szCs w:val="24"/>
        </w:rPr>
        <w:t xml:space="preserve">the </w:t>
      </w:r>
      <w:r w:rsidRPr="00094EC8" w:rsidR="00094EC8">
        <w:rPr>
          <w:rFonts w:eastAsia="Times New Roman" w:cs="Times New Roman"/>
          <w:szCs w:val="24"/>
        </w:rPr>
        <w:t xml:space="preserve">foreign </w:t>
      </w:r>
      <w:r w:rsidR="008E0C3B">
        <w:rPr>
          <w:rFonts w:eastAsia="Times New Roman" w:cs="Times New Roman"/>
          <w:szCs w:val="24"/>
        </w:rPr>
        <w:t xml:space="preserve">jurisdiction’s </w:t>
      </w:r>
      <w:r w:rsidRPr="00094EC8" w:rsidR="00094EC8">
        <w:rPr>
          <w:rFonts w:eastAsia="Times New Roman" w:cs="Times New Roman"/>
          <w:szCs w:val="24"/>
        </w:rPr>
        <w:t xml:space="preserve">margin </w:t>
      </w:r>
      <w:r w:rsidR="00DE72C7">
        <w:rPr>
          <w:rFonts w:eastAsia="Times New Roman" w:cs="Times New Roman"/>
          <w:szCs w:val="24"/>
        </w:rPr>
        <w:t xml:space="preserve">rules for </w:t>
      </w:r>
      <w:r w:rsidRPr="00094EC8" w:rsidR="00094EC8">
        <w:rPr>
          <w:rFonts w:eastAsia="Times New Roman" w:cs="Times New Roman"/>
          <w:szCs w:val="24"/>
        </w:rPr>
        <w:t xml:space="preserve">uncleared swaps </w:t>
      </w:r>
      <w:r w:rsidR="00DE72C7">
        <w:rPr>
          <w:rFonts w:eastAsia="Times New Roman" w:cs="Times New Roman"/>
          <w:szCs w:val="24"/>
        </w:rPr>
        <w:t>are</w:t>
      </w:r>
      <w:r w:rsidRPr="00094EC8" w:rsidR="00DE72C7">
        <w:rPr>
          <w:rFonts w:eastAsia="Times New Roman" w:cs="Times New Roman"/>
          <w:szCs w:val="24"/>
        </w:rPr>
        <w:t xml:space="preserve"> </w:t>
      </w:r>
      <w:r w:rsidRPr="00094EC8" w:rsidR="00094EC8">
        <w:rPr>
          <w:rFonts w:eastAsia="Times New Roman" w:cs="Times New Roman"/>
          <w:szCs w:val="24"/>
        </w:rPr>
        <w:t xml:space="preserve">comparable to the Commission’s </w:t>
      </w:r>
      <w:r w:rsidR="00DE72C7">
        <w:rPr>
          <w:rFonts w:eastAsia="Times New Roman" w:cs="Times New Roman"/>
          <w:szCs w:val="24"/>
        </w:rPr>
        <w:t xml:space="preserve">corresponding margin </w:t>
      </w:r>
      <w:r w:rsidRPr="00094EC8" w:rsidR="00094EC8">
        <w:rPr>
          <w:rFonts w:eastAsia="Times New Roman" w:cs="Times New Roman"/>
          <w:szCs w:val="24"/>
        </w:rPr>
        <w:t xml:space="preserve">requirements </w:t>
      </w:r>
      <w:r w:rsidR="00DE72C7">
        <w:rPr>
          <w:rFonts w:eastAsia="Times New Roman" w:cs="Times New Roman"/>
          <w:szCs w:val="24"/>
        </w:rPr>
        <w:t>for uncleared</w:t>
      </w:r>
      <w:r w:rsidR="00336D63">
        <w:rPr>
          <w:rFonts w:eastAsia="Times New Roman" w:cs="Times New Roman"/>
          <w:szCs w:val="24"/>
        </w:rPr>
        <w:t xml:space="preserve"> swaps.</w:t>
      </w:r>
    </w:p>
    <w:p w:rsidR="006977E9" w:rsidRPr="003607A6" w:rsidP="002E2093" w14:paraId="54C838A5" w14:textId="723ACD8A">
      <w:pPr>
        <w:spacing w:after="240"/>
        <w:jc w:val="both"/>
        <w:rPr>
          <w:rFonts w:eastAsia="Times New Roman" w:cs="Times New Roman"/>
          <w:szCs w:val="24"/>
        </w:rPr>
      </w:pPr>
      <w:r w:rsidRPr="0059653A">
        <w:rPr>
          <w:rFonts w:eastAsia="Times New Roman" w:cs="Times New Roman"/>
          <w:szCs w:val="24"/>
        </w:rPr>
        <w:t>A</w:t>
      </w:r>
      <w:r w:rsidRPr="0059653A" w:rsidR="00F7020F">
        <w:rPr>
          <w:rFonts w:eastAsia="Times New Roman" w:cs="Times New Roman"/>
          <w:szCs w:val="24"/>
        </w:rPr>
        <w:t xml:space="preserve"> </w:t>
      </w:r>
      <w:r w:rsidRPr="0059653A">
        <w:rPr>
          <w:rFonts w:eastAsia="Times New Roman" w:cs="Times New Roman"/>
          <w:szCs w:val="24"/>
        </w:rPr>
        <w:t xml:space="preserve">CSE </w:t>
      </w:r>
      <w:r w:rsidRPr="0059653A" w:rsidR="008E5178">
        <w:rPr>
          <w:rFonts w:eastAsia="Times New Roman" w:cs="Times New Roman"/>
          <w:szCs w:val="24"/>
        </w:rPr>
        <w:t xml:space="preserve">relying on Commission </w:t>
      </w:r>
      <w:r w:rsidRPr="0059653A" w:rsidR="00575717">
        <w:rPr>
          <w:rFonts w:eastAsia="Times New Roman" w:cs="Times New Roman"/>
          <w:szCs w:val="24"/>
        </w:rPr>
        <w:t>R</w:t>
      </w:r>
      <w:r w:rsidRPr="0059653A" w:rsidR="008E5178">
        <w:rPr>
          <w:rFonts w:eastAsia="Times New Roman" w:cs="Times New Roman"/>
          <w:szCs w:val="24"/>
        </w:rPr>
        <w:t xml:space="preserve">egulations 23.160(d) or (e) </w:t>
      </w:r>
      <w:r w:rsidRPr="0059653A">
        <w:rPr>
          <w:rFonts w:eastAsia="Times New Roman" w:cs="Times New Roman"/>
          <w:szCs w:val="24"/>
        </w:rPr>
        <w:t xml:space="preserve">is </w:t>
      </w:r>
      <w:r w:rsidRPr="0059653A" w:rsidR="008E5178">
        <w:rPr>
          <w:rFonts w:eastAsia="Times New Roman" w:cs="Times New Roman"/>
          <w:szCs w:val="24"/>
        </w:rPr>
        <w:t xml:space="preserve">required to have policies and procedures to ensure compliance with the applicable regulation and maintain books and records. </w:t>
      </w:r>
      <w:r w:rsidR="00692192">
        <w:rPr>
          <w:rFonts w:eastAsia="Times New Roman" w:cs="Times New Roman"/>
          <w:szCs w:val="24"/>
        </w:rPr>
        <w:t xml:space="preserve"> </w:t>
      </w:r>
      <w:r w:rsidRPr="0059653A" w:rsidR="001A0E9C">
        <w:rPr>
          <w:rFonts w:eastAsia="Times New Roman" w:cs="Times New Roman"/>
          <w:szCs w:val="24"/>
        </w:rPr>
        <w:t xml:space="preserve">The </w:t>
      </w:r>
      <w:r w:rsidRPr="0059653A" w:rsidR="00622A78">
        <w:rPr>
          <w:rFonts w:eastAsia="Times New Roman" w:cs="Times New Roman"/>
          <w:szCs w:val="24"/>
        </w:rPr>
        <w:t xml:space="preserve">Commission </w:t>
      </w:r>
      <w:r w:rsidRPr="0059653A" w:rsidR="001A0E9C">
        <w:rPr>
          <w:rFonts w:eastAsia="Times New Roman" w:cs="Times New Roman"/>
          <w:szCs w:val="24"/>
        </w:rPr>
        <w:t>requires access to</w:t>
      </w:r>
      <w:r w:rsidRPr="0059653A" w:rsidR="00622A78">
        <w:rPr>
          <w:rFonts w:eastAsia="Times New Roman" w:cs="Times New Roman"/>
          <w:szCs w:val="24"/>
        </w:rPr>
        <w:t xml:space="preserve"> this information regarding </w:t>
      </w:r>
      <w:r w:rsidRPr="0059653A" w:rsidR="00622A78">
        <w:rPr>
          <w:rFonts w:eastAsia="Times New Roman" w:cs="Times New Roman"/>
          <w:color w:val="000000"/>
        </w:rPr>
        <w:t>non-netting jurisdictions and non-segregation jurisdictions</w:t>
      </w:r>
      <w:r w:rsidRPr="0059653A" w:rsidR="001A0E9C">
        <w:rPr>
          <w:rFonts w:eastAsia="Times New Roman" w:cs="Times New Roman"/>
          <w:color w:val="000000"/>
        </w:rPr>
        <w:t xml:space="preserve"> to </w:t>
      </w:r>
      <w:r w:rsidRPr="0059653A" w:rsidR="00622A78">
        <w:rPr>
          <w:rFonts w:eastAsia="Times New Roman" w:cs="Times New Roman"/>
          <w:color w:val="000000"/>
        </w:rPr>
        <w:t xml:space="preserve">assess whether the CSE complies, and </w:t>
      </w:r>
      <w:r w:rsidRPr="0059653A" w:rsidR="008E5178">
        <w:rPr>
          <w:rFonts w:eastAsia="Times New Roman" w:cs="Times New Roman"/>
          <w:color w:val="000000"/>
        </w:rPr>
        <w:t xml:space="preserve">is </w:t>
      </w:r>
      <w:r w:rsidRPr="0059653A" w:rsidR="00622A78">
        <w:rPr>
          <w:rFonts w:eastAsia="Times New Roman" w:cs="Times New Roman"/>
          <w:color w:val="000000"/>
        </w:rPr>
        <w:t>taking steps to maintain compliance, with the respective regulations.</w:t>
      </w:r>
    </w:p>
    <w:p w:rsidR="00642B6A" w:rsidRPr="00642B6A" w:rsidP="00C96955" w14:paraId="4287731E"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P="00C96955" w14:paraId="4287731F"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P="002E2093" w14:paraId="42877320" w14:textId="358F2EDE">
      <w:pPr>
        <w:spacing w:after="240"/>
        <w:jc w:val="both"/>
        <w:rPr>
          <w:rFonts w:eastAsia="Times New Roman" w:cs="Times New Roman"/>
          <w:szCs w:val="24"/>
        </w:rPr>
      </w:pPr>
      <w:r>
        <w:rPr>
          <w:rFonts w:eastAsia="Times New Roman" w:cs="Times New Roman"/>
          <w:szCs w:val="24"/>
        </w:rPr>
        <w:t xml:space="preserve">Not applicable.  </w:t>
      </w:r>
      <w:r w:rsidR="001F7B2C">
        <w:rPr>
          <w:rFonts w:eastAsia="Times New Roman" w:cs="Times New Roman"/>
          <w:szCs w:val="24"/>
        </w:rPr>
        <w:t xml:space="preserve">The documentation in support of a comparability determination would only need to be submitted once.  Commission Regulations 23.160(d) and (e) do not contain a standalone </w:t>
      </w:r>
      <w:r w:rsidRPr="00C96955" w:rsidR="001F7B2C">
        <w:rPr>
          <w:rFonts w:eastAsia="Times New Roman" w:cs="Times New Roman"/>
          <w:szCs w:val="24"/>
        </w:rPr>
        <w:t>reporting requirement</w:t>
      </w:r>
      <w:r w:rsidR="001F7B2C">
        <w:rPr>
          <w:rFonts w:eastAsia="Times New Roman" w:cs="Times New Roman"/>
          <w:szCs w:val="24"/>
        </w:rPr>
        <w:t>.</w:t>
      </w:r>
    </w:p>
    <w:p w:rsidR="00642B6A" w:rsidRPr="00642B6A" w:rsidP="00C96955" w14:paraId="42877321" w14:textId="77777777">
      <w:pPr>
        <w:numPr>
          <w:ilvl w:val="0"/>
          <w:numId w:val="1"/>
        </w:numPr>
        <w:tabs>
          <w:tab w:val="left" w:pos="-720"/>
          <w:tab w:val="left" w:pos="0"/>
          <w:tab w:val="left" w:pos="720"/>
          <w:tab w:val="clear" w:pos="936"/>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642B6A" w:rsidRPr="00642B6A" w:rsidP="002E2093" w14:paraId="42877322" w14:textId="61184744">
      <w:pPr>
        <w:spacing w:after="240"/>
        <w:jc w:val="both"/>
        <w:rPr>
          <w:rFonts w:eastAsia="Times New Roman" w:cs="Times New Roman"/>
          <w:szCs w:val="24"/>
        </w:rPr>
      </w:pPr>
      <w:bookmarkStart w:id="5" w:name="_Hlk200960052"/>
      <w:r w:rsidRPr="00642B6A">
        <w:rPr>
          <w:rFonts w:eastAsia="Times New Roman" w:cs="Times New Roman"/>
          <w:szCs w:val="24"/>
        </w:rPr>
        <w:t>Not applicable.</w:t>
      </w:r>
    </w:p>
    <w:bookmarkEnd w:id="5"/>
    <w:p w:rsidR="00642B6A" w:rsidRPr="00642B6A" w:rsidP="00C96955" w14:paraId="42877323"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577C70" w:rsidRPr="00C96955" w:rsidP="00577C70" w14:paraId="32735388" w14:textId="77777777">
      <w:pPr>
        <w:spacing w:after="240"/>
        <w:jc w:val="both"/>
        <w:rPr>
          <w:rFonts w:eastAsia="Times New Roman" w:cs="Times New Roman"/>
          <w:szCs w:val="24"/>
        </w:rPr>
      </w:pPr>
      <w:r>
        <w:rPr>
          <w:rFonts w:eastAsia="Times New Roman" w:cs="Times New Roman"/>
          <w:szCs w:val="24"/>
        </w:rPr>
        <w:t xml:space="preserve">Not </w:t>
      </w:r>
      <w:r w:rsidR="001A2E3A">
        <w:rPr>
          <w:rFonts w:eastAsia="Times New Roman" w:cs="Times New Roman"/>
          <w:szCs w:val="24"/>
        </w:rPr>
        <w:t>applicable</w:t>
      </w:r>
      <w:r w:rsidRPr="00642B6A" w:rsidR="00642B6A">
        <w:rPr>
          <w:rFonts w:eastAsia="Times New Roman" w:cs="Times New Roman"/>
          <w:szCs w:val="24"/>
        </w:rPr>
        <w:t>.</w:t>
      </w:r>
      <w:r>
        <w:rPr>
          <w:rFonts w:eastAsia="Times New Roman" w:cs="Times New Roman"/>
          <w:szCs w:val="24"/>
        </w:rPr>
        <w:t xml:space="preserve">  </w:t>
      </w:r>
      <w:r w:rsidRPr="00642B6A">
        <w:rPr>
          <w:rFonts w:eastAsia="Times New Roman" w:cs="Times New Roman"/>
          <w:szCs w:val="24"/>
        </w:rPr>
        <w:t>Respondents are not required to submit more than an original and two copies of any documents to the Commission or third parties.</w:t>
      </w:r>
    </w:p>
    <w:p w:rsidR="00642B6A" w:rsidRPr="00C96955" w:rsidP="002E2093" w14:paraId="42877324" w14:textId="0D585C2E">
      <w:pPr>
        <w:spacing w:after="240"/>
        <w:jc w:val="both"/>
        <w:rPr>
          <w:rFonts w:eastAsia="Times New Roman" w:cs="Times New Roman"/>
          <w:szCs w:val="24"/>
        </w:rPr>
      </w:pPr>
    </w:p>
    <w:p w:rsidR="002A4187" w:rsidRPr="00F90EC7" w:rsidP="00C96955" w14:paraId="587CBA40" w14:textId="0178311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P="002E2093" w14:paraId="42877326" w14:textId="32C43B52">
      <w:pPr>
        <w:spacing w:after="240"/>
        <w:jc w:val="both"/>
        <w:rPr>
          <w:rFonts w:eastAsia="Times New Roman" w:cs="Times New Roman"/>
          <w:szCs w:val="24"/>
        </w:rPr>
      </w:pPr>
      <w:r w:rsidRPr="00BA1318">
        <w:rPr>
          <w:rFonts w:eastAsia="Times New Roman" w:cs="Times New Roman"/>
          <w:szCs w:val="24"/>
        </w:rPr>
        <w:t xml:space="preserve">The recordkeeping requirements set forth in the regulations mandate that records be maintained in accordance with Commission </w:t>
      </w:r>
      <w:r w:rsidR="0088270F">
        <w:rPr>
          <w:rFonts w:eastAsia="Times New Roman" w:cs="Times New Roman"/>
          <w:szCs w:val="24"/>
        </w:rPr>
        <w:t>R</w:t>
      </w:r>
      <w:r w:rsidRPr="00BA1318">
        <w:rPr>
          <w:rFonts w:eastAsia="Times New Roman" w:cs="Times New Roman"/>
          <w:szCs w:val="24"/>
        </w:rPr>
        <w:t xml:space="preserve">egulation 23.203 and, by extension, Commission </w:t>
      </w:r>
      <w:r w:rsidR="00F90EC7">
        <w:rPr>
          <w:rFonts w:eastAsia="Times New Roman" w:cs="Times New Roman"/>
          <w:szCs w:val="24"/>
        </w:rPr>
        <w:t>R</w:t>
      </w:r>
      <w:r w:rsidRPr="00BA1318" w:rsidR="00F90EC7">
        <w:rPr>
          <w:rFonts w:eastAsia="Times New Roman" w:cs="Times New Roman"/>
          <w:szCs w:val="24"/>
        </w:rPr>
        <w:t xml:space="preserve">egulation </w:t>
      </w:r>
      <w:r w:rsidRPr="00BA1318">
        <w:rPr>
          <w:rFonts w:eastAsia="Times New Roman" w:cs="Times New Roman"/>
          <w:szCs w:val="24"/>
        </w:rPr>
        <w:t>1.31</w:t>
      </w:r>
      <w:r>
        <w:rPr>
          <w:rFonts w:eastAsia="Times New Roman" w:cs="Times New Roman"/>
          <w:szCs w:val="24"/>
        </w:rPr>
        <w:t xml:space="preserve">. </w:t>
      </w:r>
      <w:r w:rsidR="00A365EE">
        <w:rPr>
          <w:rFonts w:eastAsia="Times New Roman" w:cs="Times New Roman"/>
          <w:szCs w:val="24"/>
        </w:rPr>
        <w:t xml:space="preserve"> </w:t>
      </w:r>
      <w:r>
        <w:rPr>
          <w:rFonts w:eastAsia="Times New Roman" w:cs="Times New Roman"/>
          <w:szCs w:val="24"/>
        </w:rPr>
        <w:t xml:space="preserve">Commission </w:t>
      </w:r>
      <w:r w:rsidR="00F90EC7">
        <w:rPr>
          <w:rFonts w:eastAsia="Times New Roman" w:cs="Times New Roman"/>
          <w:szCs w:val="24"/>
        </w:rPr>
        <w:t xml:space="preserve">Regulation </w:t>
      </w:r>
      <w:r>
        <w:rPr>
          <w:rFonts w:eastAsia="Times New Roman" w:cs="Times New Roman"/>
          <w:szCs w:val="24"/>
        </w:rPr>
        <w:t>1.31</w:t>
      </w:r>
      <w:r w:rsidRPr="00FA79CB">
        <w:rPr>
          <w:rFonts w:eastAsia="Times New Roman" w:cs="Times New Roman"/>
          <w:szCs w:val="24"/>
        </w:rPr>
        <w:t xml:space="preserve"> requires that books and records required to be kept by the CEA or Commission </w:t>
      </w:r>
      <w:r w:rsidR="0088270F">
        <w:rPr>
          <w:rFonts w:eastAsia="Times New Roman" w:cs="Times New Roman"/>
          <w:szCs w:val="24"/>
        </w:rPr>
        <w:t>R</w:t>
      </w:r>
      <w:r w:rsidRPr="00FA79CB">
        <w:rPr>
          <w:rFonts w:eastAsia="Times New Roman" w:cs="Times New Roman"/>
          <w:szCs w:val="24"/>
        </w:rPr>
        <w:t xml:space="preserve">egulations be retained for certain specified periods. </w:t>
      </w:r>
      <w:r w:rsidR="00692192">
        <w:rPr>
          <w:rFonts w:eastAsia="Times New Roman" w:cs="Times New Roman"/>
          <w:szCs w:val="24"/>
        </w:rPr>
        <w:t xml:space="preserve"> </w:t>
      </w:r>
      <w:r w:rsidRPr="00FA79CB">
        <w:rPr>
          <w:rFonts w:eastAsia="Times New Roman" w:cs="Times New Roman"/>
          <w:szCs w:val="24"/>
        </w:rPr>
        <w:t>Other than with respect to oral communications, the shortest of these periods is five years from the date of creation</w:t>
      </w:r>
      <w:r>
        <w:rPr>
          <w:rFonts w:eastAsia="Times New Roman" w:cs="Times New Roman"/>
          <w:szCs w:val="24"/>
        </w:rPr>
        <w:t>.</w:t>
      </w:r>
    </w:p>
    <w:p w:rsidR="00642B6A" w:rsidRPr="00642B6A" w:rsidP="00C96955" w14:paraId="42877327"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P="002E2093" w14:paraId="42877328" w14:textId="2E449CC1">
      <w:pPr>
        <w:tabs>
          <w:tab w:val="left" w:pos="-720"/>
          <w:tab w:val="left" w:pos="0"/>
          <w:tab w:val="left" w:pos="720"/>
        </w:tabs>
        <w:spacing w:after="240"/>
        <w:jc w:val="both"/>
        <w:rPr>
          <w:rFonts w:eastAsia="Times New Roman" w:cs="Times New Roman"/>
        </w:rPr>
      </w:pPr>
      <w:r w:rsidRPr="00642B6A">
        <w:rPr>
          <w:rFonts w:eastAsia="Times New Roman" w:cs="Times New Roman"/>
        </w:rPr>
        <w:t>Not applicable.</w:t>
      </w:r>
    </w:p>
    <w:p w:rsidR="00642B6A" w:rsidRPr="00642B6A" w:rsidP="00C96955" w14:paraId="4287732A" w14:textId="6E5841FC">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C96955" w:rsidP="002E2093" w14:paraId="4287732B" w14:textId="140EDB2E">
      <w:pPr>
        <w:tabs>
          <w:tab w:val="left" w:pos="-720"/>
          <w:tab w:val="left" w:pos="0"/>
          <w:tab w:val="left" w:pos="720"/>
        </w:tabs>
        <w:spacing w:after="240"/>
        <w:jc w:val="both"/>
        <w:rPr>
          <w:rFonts w:eastAsia="Times New Roman" w:cs="Times New Roman"/>
        </w:rPr>
      </w:pPr>
      <w:r w:rsidRPr="00C96955">
        <w:rPr>
          <w:rFonts w:eastAsia="Times New Roman" w:cs="Times New Roman"/>
        </w:rPr>
        <w:t>Not applicable.</w:t>
      </w:r>
    </w:p>
    <w:p w:rsidR="00642B6A" w:rsidRPr="003607A6" w:rsidP="00C96955" w14:paraId="4287732C"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2A4187" w:rsidRPr="0088270F" w:rsidP="00C96955" w14:paraId="518C2876" w14:textId="7F9DF0F1">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C96955" w:rsidP="002E2093" w14:paraId="4287732E" w14:textId="292C865C">
      <w:pPr>
        <w:spacing w:after="240"/>
        <w:jc w:val="both"/>
        <w:rPr>
          <w:rFonts w:eastAsia="Times New Roman" w:cs="Times New Roman"/>
          <w:szCs w:val="24"/>
        </w:rPr>
      </w:pPr>
      <w:r w:rsidRPr="00E74DE7">
        <w:rPr>
          <w:rFonts w:eastAsia="Times New Roman" w:cs="Times New Roman"/>
          <w:szCs w:val="24"/>
        </w:rPr>
        <w:t xml:space="preserve">The Commission fully complies with </w:t>
      </w:r>
      <w:r w:rsidR="0088270F">
        <w:rPr>
          <w:rFonts w:eastAsia="Times New Roman" w:cs="Times New Roman"/>
          <w:szCs w:val="24"/>
        </w:rPr>
        <w:t>S</w:t>
      </w:r>
      <w:r w:rsidRPr="00E74DE7">
        <w:rPr>
          <w:rFonts w:eastAsia="Times New Roman" w:cs="Times New Roman"/>
          <w:szCs w:val="24"/>
        </w:rPr>
        <w:t xml:space="preserve">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w:t>
      </w:r>
      <w:r w:rsidR="00692192">
        <w:rPr>
          <w:rFonts w:eastAsia="Times New Roman" w:cs="Times New Roman"/>
          <w:szCs w:val="24"/>
        </w:rPr>
        <w:t xml:space="preserve"> </w:t>
      </w:r>
      <w:r w:rsidRPr="00E74DE7">
        <w:rPr>
          <w:rFonts w:eastAsia="Times New Roman" w:cs="Times New Roman"/>
          <w:szCs w:val="24"/>
        </w:rPr>
        <w:t xml:space="preserve">The Commission has procedures to protect the confidentiality of a respondent’s data. </w:t>
      </w:r>
      <w:r w:rsidR="00692192">
        <w:rPr>
          <w:rFonts w:eastAsia="Times New Roman" w:cs="Times New Roman"/>
          <w:szCs w:val="24"/>
        </w:rPr>
        <w:t xml:space="preserve"> </w:t>
      </w:r>
      <w:r w:rsidRPr="00E74DE7">
        <w:rPr>
          <w:rFonts w:eastAsia="Times New Roman" w:cs="Times New Roman"/>
          <w:szCs w:val="24"/>
        </w:rPr>
        <w:t xml:space="preserve">These are set forth in the Commission’s </w:t>
      </w:r>
      <w:r w:rsidR="006E312C">
        <w:rPr>
          <w:rFonts w:eastAsia="Times New Roman" w:cs="Times New Roman"/>
          <w:szCs w:val="24"/>
        </w:rPr>
        <w:t>R</w:t>
      </w:r>
      <w:r w:rsidRPr="00E74DE7">
        <w:rPr>
          <w:rFonts w:eastAsia="Times New Roman" w:cs="Times New Roman"/>
          <w:szCs w:val="24"/>
        </w:rPr>
        <w:t xml:space="preserve">egulations at </w:t>
      </w:r>
      <w:r w:rsidR="00BD0A9B">
        <w:rPr>
          <w:rFonts w:eastAsia="Times New Roman" w:cs="Times New Roman"/>
          <w:szCs w:val="24"/>
        </w:rPr>
        <w:t>p</w:t>
      </w:r>
      <w:r w:rsidRPr="00E74DE7">
        <w:rPr>
          <w:rFonts w:eastAsia="Times New Roman" w:cs="Times New Roman"/>
          <w:szCs w:val="24"/>
        </w:rPr>
        <w:t>art 145</w:t>
      </w:r>
      <w:r w:rsidR="00BD0A9B">
        <w:rPr>
          <w:rFonts w:eastAsia="Times New Roman" w:cs="Times New Roman"/>
          <w:szCs w:val="24"/>
        </w:rPr>
        <w:t xml:space="preserve"> </w:t>
      </w:r>
      <w:r w:rsidR="0013490E">
        <w:rPr>
          <w:rFonts w:eastAsia="Times New Roman" w:cs="Times New Roman"/>
          <w:szCs w:val="24"/>
        </w:rPr>
        <w:t>of title 17</w:t>
      </w:r>
      <w:r w:rsidRPr="00E74DE7">
        <w:rPr>
          <w:rFonts w:eastAsia="Times New Roman" w:cs="Times New Roman"/>
          <w:szCs w:val="24"/>
        </w:rPr>
        <w:t xml:space="preserve"> of the Code of Federal Regulations.</w:t>
      </w:r>
    </w:p>
    <w:p w:rsidR="00642B6A" w:rsidRPr="00642B6A" w:rsidP="00C96955" w14:paraId="4287732F"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72373" w:rsidRPr="00C96955" w:rsidP="00E850EA" w14:paraId="6054CC26" w14:textId="0897DA60">
      <w:pPr>
        <w:spacing w:after="240"/>
        <w:rPr>
          <w:rFonts w:eastAsia="Times New Roman" w:cs="Times New Roman"/>
          <w:szCs w:val="24"/>
        </w:rPr>
      </w:pPr>
      <w:r w:rsidRPr="00A70A72">
        <w:rPr>
          <w:rFonts w:eastAsia="Times New Roman" w:cs="Times New Roman"/>
          <w:szCs w:val="24"/>
        </w:rPr>
        <w:t xml:space="preserve">The </w:t>
      </w:r>
      <w:r w:rsidRPr="00A3395D">
        <w:rPr>
          <w:rFonts w:eastAsia="Times New Roman" w:cs="Times New Roman"/>
          <w:szCs w:val="24"/>
        </w:rPr>
        <w:t>Commission published a</w:t>
      </w:r>
      <w:r w:rsidRPr="00A3395D" w:rsidR="0013490E">
        <w:rPr>
          <w:rFonts w:eastAsia="Times New Roman" w:cs="Times New Roman"/>
          <w:szCs w:val="24"/>
        </w:rPr>
        <w:t xml:space="preserve"> </w:t>
      </w:r>
      <w:r w:rsidRPr="00A3395D" w:rsidR="00AC6F2E">
        <w:rPr>
          <w:rFonts w:eastAsia="Times New Roman" w:cs="Times New Roman"/>
          <w:szCs w:val="24"/>
        </w:rPr>
        <w:t xml:space="preserve">Federal Register notice seeking comment on the information collections on </w:t>
      </w:r>
      <w:r w:rsidRPr="00A3395D" w:rsidR="00A3395D">
        <w:rPr>
          <w:rFonts w:eastAsia="Times New Roman" w:cs="Times New Roman"/>
          <w:szCs w:val="24"/>
        </w:rPr>
        <w:t>July 8, 2025</w:t>
      </w:r>
      <w:r w:rsidRPr="00A3395D">
        <w:rPr>
          <w:rFonts w:eastAsia="Times New Roman" w:cs="Times New Roman"/>
          <w:szCs w:val="24"/>
        </w:rPr>
        <w:t xml:space="preserve">.  </w:t>
      </w:r>
      <w:r w:rsidRPr="00A3395D">
        <w:rPr>
          <w:rFonts w:eastAsia="Times New Roman" w:cs="Times New Roman"/>
          <w:i/>
          <w:iCs/>
          <w:szCs w:val="24"/>
        </w:rPr>
        <w:t>See</w:t>
      </w:r>
      <w:r w:rsidRPr="00A3395D" w:rsidR="00A3395D">
        <w:rPr>
          <w:rFonts w:eastAsia="Times New Roman" w:cs="Times New Roman"/>
          <w:szCs w:val="24"/>
        </w:rPr>
        <w:t xml:space="preserve"> 90 FR 30055 (Jul. 8, 2025)</w:t>
      </w:r>
      <w:r w:rsidRPr="00A3395D">
        <w:rPr>
          <w:rFonts w:eastAsia="Times New Roman" w:cs="Times New Roman"/>
          <w:szCs w:val="24"/>
        </w:rPr>
        <w:t xml:space="preserve">.  The notice provided a 60-day period during which the public was invited to comment on the information collections and the burdens imposed by them.  </w:t>
      </w:r>
      <w:r w:rsidRPr="00346789" w:rsidR="00B704F7">
        <w:t>The Commission received no relevant comments on the 60-Day notice</w:t>
      </w:r>
      <w:r w:rsidRPr="00A3395D" w:rsidR="00F556B1">
        <w:t>.</w:t>
      </w:r>
      <w:r w:rsidR="00F556B1">
        <w:t xml:space="preserve"> </w:t>
      </w:r>
    </w:p>
    <w:p w:rsidR="00642B6A" w:rsidRPr="00642B6A" w:rsidP="00C96955" w14:paraId="42877331"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2E2093" w14:paraId="42877332" w14:textId="2C48D141">
      <w:pPr>
        <w:spacing w:after="240"/>
        <w:jc w:val="both"/>
        <w:rPr>
          <w:rFonts w:eastAsia="Times New Roman" w:cs="Times New Roman"/>
          <w:szCs w:val="24"/>
        </w:rPr>
      </w:pPr>
      <w:r>
        <w:rPr>
          <w:rFonts w:eastAsia="Times New Roman" w:cs="Times New Roman"/>
          <w:szCs w:val="24"/>
        </w:rPr>
        <w:t>Not applicable.</w:t>
      </w:r>
      <w:r w:rsidRPr="00C96955" w:rsidR="002C7E70">
        <w:rPr>
          <w:rFonts w:eastAsia="Times New Roman" w:cs="Times New Roman"/>
          <w:szCs w:val="24"/>
        </w:rPr>
        <w:t xml:space="preserve"> </w:t>
      </w:r>
      <w:r w:rsidRPr="00C96955" w:rsidR="00DE72C7">
        <w:rPr>
          <w:rFonts w:eastAsia="Times New Roman" w:cs="Times New Roman"/>
          <w:szCs w:val="24"/>
        </w:rPr>
        <w:t xml:space="preserve"> </w:t>
      </w:r>
      <w:r w:rsidRPr="002C7E70" w:rsidR="002C7E70">
        <w:rPr>
          <w:rFonts w:eastAsia="Times New Roman" w:cs="Times New Roman"/>
          <w:szCs w:val="24"/>
        </w:rPr>
        <w:t>The Commission has neither considered nor made any payment or gift to a respondent.</w:t>
      </w:r>
    </w:p>
    <w:p w:rsidR="00642B6A" w:rsidRPr="00642B6A" w:rsidP="00C96955" w14:paraId="42877333"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59739E" w:rsidRPr="002E2093" w:rsidP="002E2093" w14:paraId="42877335" w14:textId="447561DF">
      <w:pPr>
        <w:spacing w:after="240"/>
        <w:jc w:val="both"/>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w:t>
      </w:r>
      <w:r w:rsidR="00AE528B">
        <w:rPr>
          <w:rFonts w:eastAsia="Times New Roman" w:cs="Times New Roman"/>
          <w:szCs w:val="24"/>
        </w:rPr>
        <w:t>S</w:t>
      </w:r>
      <w:r w:rsidRPr="00642B6A" w:rsidR="00AE528B">
        <w:rPr>
          <w:rFonts w:eastAsia="Times New Roman" w:cs="Times New Roman"/>
          <w:szCs w:val="24"/>
        </w:rPr>
        <w:t xml:space="preserve">ection </w:t>
      </w:r>
      <w:r w:rsidRPr="00642B6A">
        <w:rPr>
          <w:rFonts w:eastAsia="Times New Roman" w:cs="Times New Roman"/>
          <w:szCs w:val="24"/>
        </w:rPr>
        <w:t xml:space="preserve">8(a)(1) of the </w:t>
      </w:r>
      <w:r w:rsidR="00924278">
        <w:rPr>
          <w:rFonts w:eastAsia="Times New Roman" w:cs="Times New Roman"/>
          <w:szCs w:val="24"/>
        </w:rPr>
        <w:t>CEA</w:t>
      </w:r>
      <w:r w:rsidRPr="00642B6A">
        <w:rPr>
          <w:rFonts w:eastAsia="Times New Roman" w:cs="Times New Roman"/>
          <w:szCs w:val="24"/>
        </w:rPr>
        <w:t xml:space="preserve">,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Pr="00E15E4F" w:rsidR="00E15E4F">
        <w:rPr>
          <w:rFonts w:eastAsia="Times New Roman" w:cs="Times New Roman"/>
          <w:szCs w:val="24"/>
        </w:rPr>
        <w:t xml:space="preserve">The Commission has procedures to protect the confidentiality of an applicant’s or registrant’s data.  These are set forth in the Commission’s </w:t>
      </w:r>
      <w:r w:rsidR="00AE528B">
        <w:rPr>
          <w:rFonts w:eastAsia="Times New Roman" w:cs="Times New Roman"/>
          <w:szCs w:val="24"/>
        </w:rPr>
        <w:t>R</w:t>
      </w:r>
      <w:r w:rsidRPr="00E15E4F" w:rsidR="00AE528B">
        <w:rPr>
          <w:rFonts w:eastAsia="Times New Roman" w:cs="Times New Roman"/>
          <w:szCs w:val="24"/>
        </w:rPr>
        <w:t xml:space="preserve">egulations </w:t>
      </w:r>
      <w:r w:rsidRPr="00E15E4F" w:rsidR="00E15E4F">
        <w:rPr>
          <w:rFonts w:eastAsia="Times New Roman" w:cs="Times New Roman"/>
          <w:szCs w:val="24"/>
        </w:rPr>
        <w:t xml:space="preserve">at </w:t>
      </w:r>
      <w:r w:rsidR="00924278">
        <w:rPr>
          <w:rFonts w:eastAsia="Times New Roman" w:cs="Times New Roman"/>
          <w:szCs w:val="24"/>
        </w:rPr>
        <w:t>p</w:t>
      </w:r>
      <w:r w:rsidRPr="00E15E4F" w:rsidR="00E15E4F">
        <w:rPr>
          <w:rFonts w:eastAsia="Times New Roman" w:cs="Times New Roman"/>
          <w:szCs w:val="24"/>
        </w:rPr>
        <w:t>art</w:t>
      </w:r>
      <w:r w:rsidR="00924278">
        <w:rPr>
          <w:rFonts w:eastAsia="Times New Roman" w:cs="Times New Roman"/>
          <w:szCs w:val="24"/>
        </w:rPr>
        <w:t xml:space="preserve"> </w:t>
      </w:r>
      <w:r w:rsidRPr="00E15E4F" w:rsidR="00E15E4F">
        <w:rPr>
          <w:rFonts w:eastAsia="Times New Roman" w:cs="Times New Roman"/>
          <w:szCs w:val="24"/>
        </w:rPr>
        <w:t xml:space="preserve">145 of </w:t>
      </w:r>
      <w:r w:rsidR="006E312C">
        <w:rPr>
          <w:rFonts w:eastAsia="Times New Roman" w:cs="Times New Roman"/>
          <w:szCs w:val="24"/>
        </w:rPr>
        <w:t>T</w:t>
      </w:r>
      <w:r w:rsidRPr="00E15E4F" w:rsidR="00E15E4F">
        <w:rPr>
          <w:rFonts w:eastAsia="Times New Roman" w:cs="Times New Roman"/>
          <w:szCs w:val="24"/>
        </w:rPr>
        <w:t>itle 17 of the Code of Federal Regulations.</w:t>
      </w:r>
    </w:p>
    <w:p w:rsidR="00642B6A" w:rsidRPr="00642B6A" w:rsidP="00C96955" w14:paraId="42877336"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P="002E2093" w14:paraId="42877337" w14:textId="54435EB7">
      <w:pPr>
        <w:tabs>
          <w:tab w:val="left" w:pos="-720"/>
        </w:tabs>
        <w:suppressAutoHyphens/>
        <w:spacing w:after="240"/>
        <w:jc w:val="both"/>
        <w:rPr>
          <w:rFonts w:eastAsia="Times New Roman" w:cs="Times New Roman"/>
          <w:szCs w:val="24"/>
        </w:rPr>
      </w:pPr>
      <w:r w:rsidRPr="00642B6A">
        <w:rPr>
          <w:rFonts w:eastAsia="Times New Roman" w:cs="Times New Roman"/>
          <w:szCs w:val="24"/>
        </w:rPr>
        <w:t xml:space="preserve">The </w:t>
      </w:r>
      <w:r w:rsidRPr="002D46D5" w:rsidR="002D46D5">
        <w:rPr>
          <w:rFonts w:eastAsia="Times New Roman" w:cs="Times New Roman"/>
          <w:szCs w:val="24"/>
        </w:rPr>
        <w:t xml:space="preserve">Commission </w:t>
      </w:r>
      <w:r w:rsidR="00FC7D45">
        <w:rPr>
          <w:rFonts w:eastAsia="Times New Roman" w:cs="Times New Roman"/>
          <w:szCs w:val="24"/>
        </w:rPr>
        <w:t>r</w:t>
      </w:r>
      <w:r w:rsidRPr="00642B6A" w:rsidR="00FC7D45">
        <w:rPr>
          <w:rFonts w:eastAsia="Times New Roman" w:cs="Times New Roman"/>
          <w:szCs w:val="24"/>
        </w:rPr>
        <w:t xml:space="preserve">egulations </w:t>
      </w:r>
      <w:r w:rsidRPr="00642B6A">
        <w:rPr>
          <w:rFonts w:eastAsia="Times New Roman" w:cs="Times New Roman"/>
          <w:szCs w:val="24"/>
        </w:rPr>
        <w:t>covered by this collection do not require the giving of sensitive information, as that term is used in Question 11.</w:t>
      </w:r>
    </w:p>
    <w:p w:rsidR="00642B6A" w:rsidRPr="00642B6A" w:rsidP="00C96955" w14:paraId="42877339" w14:textId="29E4165F">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P="00C96955" w14:paraId="4287733A"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P="00C96955" w14:paraId="4287733B"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P="00C96955" w14:paraId="4287733C"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Provide estimates of annualized cost to respondents for the hours burdens for collections of information, identifying and using appropriate wage rate categories.  The cost of contracting out or paying outside parties for information collection </w:t>
      </w:r>
      <w:r w:rsidRPr="00642B6A">
        <w:rPr>
          <w:rFonts w:eastAsia="Times New Roman" w:cs="Times New Roman"/>
          <w:b/>
          <w:szCs w:val="24"/>
        </w:rPr>
        <w:t>activities should not be included here.  Instead, this cost should be included in Item 13.</w:t>
      </w:r>
    </w:p>
    <w:p w:rsidR="002A4187" w:rsidP="002E2093" w14:paraId="3427E0F9" w14:textId="68AAB697">
      <w:pPr>
        <w:spacing w:after="240"/>
        <w:jc w:val="both"/>
        <w:rPr>
          <w:rFonts w:eastAsia="Times New Roman" w:cs="Times New Roman"/>
          <w:color w:val="000000"/>
        </w:rPr>
      </w:pPr>
      <w:r w:rsidRPr="0071057A">
        <w:rPr>
          <w:rFonts w:eastAsia="Times New Roman" w:cs="Times New Roman"/>
          <w:i/>
          <w:iCs/>
          <w:color w:val="000000"/>
        </w:rPr>
        <w:t xml:space="preserve">See </w:t>
      </w:r>
      <w:r w:rsidRPr="00F84A60">
        <w:rPr>
          <w:rFonts w:eastAsia="Times New Roman" w:cs="Times New Roman"/>
          <w:color w:val="000000"/>
        </w:rPr>
        <w:t>Attachment A</w:t>
      </w:r>
      <w:r w:rsidRPr="0041581B">
        <w:rPr>
          <w:rFonts w:eastAsia="Times New Roman" w:cs="Times New Roman"/>
          <w:color w:val="000000"/>
        </w:rPr>
        <w:t>.</w:t>
      </w:r>
      <w:r w:rsidRPr="0041581B">
        <w:rPr>
          <w:rFonts w:eastAsia="Times New Roman" w:cs="Times New Roman"/>
        </w:rPr>
        <w:t xml:space="preserve">  </w:t>
      </w:r>
      <w:r w:rsidRPr="0041581B">
        <w:rPr>
          <w:rFonts w:eastAsia="Times New Roman" w:cs="Times New Roman"/>
          <w:color w:val="000000"/>
        </w:rPr>
        <w:t xml:space="preserve">The Commission estimates that the collection of information required by the regulations in connection with comparability determinations will impose a burden of </w:t>
      </w:r>
      <w:r w:rsidRPr="0041581B" w:rsidR="00236654">
        <w:rPr>
          <w:rFonts w:eastAsia="Times New Roman" w:cs="Times New Roman"/>
          <w:color w:val="000000"/>
        </w:rPr>
        <w:t>560</w:t>
      </w:r>
      <w:r w:rsidRPr="0041581B">
        <w:rPr>
          <w:rFonts w:eastAsia="Times New Roman" w:cs="Times New Roman"/>
          <w:color w:val="000000"/>
        </w:rPr>
        <w:t xml:space="preserve"> annual hours on an estimated </w:t>
      </w:r>
      <w:r w:rsidRPr="0041581B" w:rsidR="0028137E">
        <w:rPr>
          <w:rFonts w:eastAsia="Times New Roman" w:cs="Times New Roman"/>
          <w:color w:val="000000"/>
        </w:rPr>
        <w:t>14</w:t>
      </w:r>
      <w:r w:rsidRPr="0041581B">
        <w:rPr>
          <w:rFonts w:eastAsia="Times New Roman" w:cs="Times New Roman"/>
          <w:color w:val="000000"/>
        </w:rPr>
        <w:t xml:space="preserve"> entities.  The collections of information in connection with non-netting jurisdictions and non-segregation jurisdictions will impose </w:t>
      </w:r>
      <w:r w:rsidRPr="008260B0" w:rsidR="00E75299">
        <w:rPr>
          <w:rFonts w:eastAsia="Times New Roman" w:cs="Times New Roman"/>
          <w:color w:val="000000"/>
        </w:rPr>
        <w:t xml:space="preserve">500 </w:t>
      </w:r>
      <w:r w:rsidRPr="008260B0">
        <w:rPr>
          <w:rFonts w:eastAsia="Times New Roman" w:cs="Times New Roman"/>
          <w:color w:val="000000"/>
        </w:rPr>
        <w:t xml:space="preserve">annual hours on an estimated </w:t>
      </w:r>
      <w:r w:rsidRPr="008260B0" w:rsidR="00E75299">
        <w:rPr>
          <w:rFonts w:eastAsia="Times New Roman" w:cs="Times New Roman"/>
          <w:color w:val="000000"/>
        </w:rPr>
        <w:t xml:space="preserve">50 </w:t>
      </w:r>
      <w:r w:rsidRPr="008260B0">
        <w:rPr>
          <w:rFonts w:eastAsia="Times New Roman" w:cs="Times New Roman"/>
          <w:color w:val="000000"/>
        </w:rPr>
        <w:t>CSEs</w:t>
      </w:r>
      <w:r w:rsidRPr="0041581B">
        <w:rPr>
          <w:rFonts w:eastAsia="Times New Roman" w:cs="Times New Roman"/>
          <w:color w:val="000000"/>
        </w:rPr>
        <w:t xml:space="preserve"> who may rely on </w:t>
      </w:r>
      <w:r w:rsidRPr="0041581B" w:rsidR="00BA65AC">
        <w:rPr>
          <w:rFonts w:eastAsia="Times New Roman" w:cs="Times New Roman"/>
          <w:color w:val="000000"/>
        </w:rPr>
        <w:t>Commission Regulation</w:t>
      </w:r>
      <w:r w:rsidRPr="0041581B" w:rsidR="007A5D5D">
        <w:rPr>
          <w:rFonts w:eastAsia="Times New Roman" w:cs="Times New Roman"/>
          <w:color w:val="000000"/>
        </w:rPr>
        <w:t xml:space="preserve"> </w:t>
      </w:r>
      <w:r w:rsidRPr="0041581B">
        <w:rPr>
          <w:rFonts w:eastAsia="Times New Roman" w:cs="Times New Roman"/>
          <w:color w:val="000000"/>
        </w:rPr>
        <w:t xml:space="preserve">23.160(d), and 1,920 annual hours on an estimated 12 FCSs or foreign branches of U.S. CSEs who may rely on </w:t>
      </w:r>
      <w:r w:rsidRPr="0041581B" w:rsidR="007A5D5D">
        <w:rPr>
          <w:rFonts w:eastAsia="Times New Roman" w:cs="Times New Roman"/>
          <w:color w:val="000000"/>
        </w:rPr>
        <w:t xml:space="preserve">Commission </w:t>
      </w:r>
      <w:r w:rsidRPr="0041581B" w:rsidR="00575717">
        <w:rPr>
          <w:rFonts w:eastAsia="Times New Roman" w:cs="Times New Roman"/>
          <w:color w:val="000000"/>
        </w:rPr>
        <w:t>R</w:t>
      </w:r>
      <w:r w:rsidRPr="0041581B" w:rsidR="007A5D5D">
        <w:rPr>
          <w:rFonts w:eastAsia="Times New Roman" w:cs="Times New Roman"/>
          <w:color w:val="000000"/>
        </w:rPr>
        <w:t xml:space="preserve">egulation </w:t>
      </w:r>
      <w:r w:rsidRPr="0041581B">
        <w:rPr>
          <w:rFonts w:eastAsia="Times New Roman" w:cs="Times New Roman"/>
          <w:color w:val="000000"/>
        </w:rPr>
        <w:t>23.160(e).</w:t>
      </w:r>
    </w:p>
    <w:p w:rsidR="00F3315F" w:rsidRPr="00D905AA" w:rsidP="00F3315F" w14:paraId="19BEBFB9" w14:textId="77777777">
      <w:pPr>
        <w:spacing w:after="240"/>
        <w:jc w:val="both"/>
        <w:rPr>
          <w:rFonts w:eastAsia="Times New Roman" w:cs="Times New Roman"/>
          <w:i/>
          <w:szCs w:val="24"/>
        </w:rPr>
      </w:pPr>
      <w:r w:rsidRPr="00D905AA">
        <w:rPr>
          <w:rFonts w:eastAsia="Times New Roman" w:cs="Times New Roman"/>
          <w:i/>
          <w:szCs w:val="24"/>
        </w:rPr>
        <w:t>Burden Statement – Information Collection for Comparability Determinations</w:t>
      </w:r>
      <w:r w:rsidRPr="00D905AA">
        <w:rPr>
          <w:rFonts w:eastAsia="Times New Roman" w:cs="Times New Roman"/>
          <w:szCs w:val="24"/>
        </w:rPr>
        <w:t>:</w:t>
      </w:r>
    </w:p>
    <w:p w:rsidR="00F3315F" w:rsidP="00F3315F" w14:paraId="07DB2DC1" w14:textId="77777777">
      <w:pPr>
        <w:spacing w:after="240"/>
        <w:ind w:left="720"/>
        <w:jc w:val="both"/>
        <w:rPr>
          <w:rFonts w:eastAsia="Times New Roman" w:cs="Times New Roman"/>
          <w:szCs w:val="24"/>
        </w:rPr>
      </w:pPr>
      <w:bookmarkStart w:id="6" w:name="_Hlk108529658"/>
      <w:r w:rsidRPr="00D905AA">
        <w:rPr>
          <w:rFonts w:eastAsia="Times New Roman" w:cs="Times New Roman"/>
          <w:i/>
          <w:szCs w:val="24"/>
        </w:rPr>
        <w:t>Estimated Number of Respondents</w:t>
      </w:r>
      <w:r w:rsidRPr="00D905AA">
        <w:rPr>
          <w:rFonts w:eastAsia="Times New Roman" w:cs="Times New Roman"/>
          <w:szCs w:val="24"/>
        </w:rPr>
        <w:t>:  1</w:t>
      </w:r>
      <w:r>
        <w:rPr>
          <w:rFonts w:eastAsia="Times New Roman" w:cs="Times New Roman"/>
          <w:szCs w:val="24"/>
        </w:rPr>
        <w:t>4</w:t>
      </w:r>
    </w:p>
    <w:p w:rsidR="00F3315F" w:rsidRPr="0041581B" w:rsidP="00F3315F" w14:paraId="7E76ED45" w14:textId="77777777">
      <w:pPr>
        <w:spacing w:after="240"/>
        <w:ind w:left="720"/>
        <w:jc w:val="both"/>
        <w:rPr>
          <w:rFonts w:eastAsia="Times New Roman" w:cs="Times New Roman"/>
          <w:i/>
          <w:iCs/>
          <w:szCs w:val="24"/>
        </w:rPr>
      </w:pPr>
      <w:r w:rsidRPr="00D905AA">
        <w:rPr>
          <w:rFonts w:eastAsia="Times New Roman" w:cs="Times New Roman"/>
          <w:i/>
          <w:iCs/>
          <w:szCs w:val="24"/>
        </w:rPr>
        <w:t>Estimated Number of Responses</w:t>
      </w:r>
      <w:r>
        <w:rPr>
          <w:rFonts w:eastAsia="Times New Roman" w:cs="Times New Roman"/>
          <w:i/>
          <w:iCs/>
          <w:szCs w:val="24"/>
        </w:rPr>
        <w:t xml:space="preserve"> Per Respondent</w:t>
      </w:r>
      <w:r w:rsidRPr="009A7AB6">
        <w:rPr>
          <w:rFonts w:eastAsia="Times New Roman" w:cs="Times New Roman"/>
          <w:szCs w:val="24"/>
        </w:rPr>
        <w:t>: 1</w:t>
      </w:r>
    </w:p>
    <w:p w:rsidR="00F3315F" w:rsidRPr="00D905AA" w:rsidP="00F3315F" w14:paraId="33797E0E" w14:textId="77777777">
      <w:pPr>
        <w:spacing w:after="240"/>
        <w:ind w:left="720"/>
        <w:jc w:val="both"/>
        <w:rPr>
          <w:rFonts w:eastAsia="Times New Roman" w:cs="Times New Roman"/>
          <w:szCs w:val="24"/>
        </w:rPr>
      </w:pPr>
      <w:r w:rsidRPr="00D905AA">
        <w:rPr>
          <w:rFonts w:eastAsia="Times New Roman" w:cs="Times New Roman"/>
          <w:i/>
          <w:szCs w:val="24"/>
        </w:rPr>
        <w:t>Estimated Average Burden Hours Per Respondent</w:t>
      </w:r>
      <w:r w:rsidRPr="00D905AA">
        <w:rPr>
          <w:rFonts w:eastAsia="Times New Roman" w:cs="Times New Roman"/>
          <w:szCs w:val="24"/>
        </w:rPr>
        <w:t xml:space="preserve">:  </w:t>
      </w:r>
      <w:r>
        <w:rPr>
          <w:rFonts w:eastAsia="Times New Roman" w:cs="Times New Roman"/>
          <w:szCs w:val="24"/>
        </w:rPr>
        <w:t>4</w:t>
      </w:r>
      <w:r w:rsidRPr="00D905AA">
        <w:rPr>
          <w:rFonts w:eastAsia="Times New Roman" w:cs="Times New Roman"/>
          <w:szCs w:val="24"/>
        </w:rPr>
        <w:t>0</w:t>
      </w:r>
    </w:p>
    <w:p w:rsidR="00F3315F" w:rsidRPr="00D905AA" w:rsidP="00F3315F" w14:paraId="56E5C104" w14:textId="77777777">
      <w:pPr>
        <w:spacing w:after="240"/>
        <w:ind w:left="720"/>
        <w:jc w:val="both"/>
        <w:rPr>
          <w:rFonts w:eastAsia="Times New Roman" w:cs="Times New Roman"/>
          <w:szCs w:val="24"/>
        </w:rPr>
      </w:pPr>
      <w:r w:rsidRPr="00D905AA">
        <w:rPr>
          <w:rFonts w:eastAsia="Times New Roman" w:cs="Times New Roman"/>
          <w:i/>
          <w:szCs w:val="24"/>
        </w:rPr>
        <w:t>Estimated Total Annual Burden Hours</w:t>
      </w:r>
      <w:r w:rsidRPr="00D905AA">
        <w:rPr>
          <w:rFonts w:eastAsia="Times New Roman" w:cs="Times New Roman"/>
          <w:szCs w:val="24"/>
        </w:rPr>
        <w:t xml:space="preserve">:  </w:t>
      </w:r>
      <w:r>
        <w:rPr>
          <w:rFonts w:eastAsia="Times New Roman" w:cs="Times New Roman"/>
          <w:szCs w:val="24"/>
        </w:rPr>
        <w:t>560</w:t>
      </w:r>
    </w:p>
    <w:p w:rsidR="00F3315F" w:rsidP="00F3315F" w14:paraId="472A9FCD" w14:textId="77777777">
      <w:pPr>
        <w:spacing w:after="240"/>
        <w:ind w:left="720"/>
        <w:jc w:val="both"/>
        <w:rPr>
          <w:rFonts w:eastAsia="Times New Roman" w:cs="Times New Roman"/>
          <w:szCs w:val="24"/>
        </w:rPr>
      </w:pPr>
      <w:r w:rsidRPr="00D905AA">
        <w:rPr>
          <w:rFonts w:eastAsia="Times New Roman" w:cs="Times New Roman"/>
          <w:i/>
          <w:szCs w:val="24"/>
        </w:rPr>
        <w:t>Frequency of Collection</w:t>
      </w:r>
      <w:r w:rsidRPr="00D905AA">
        <w:rPr>
          <w:rFonts w:eastAsia="Times New Roman" w:cs="Times New Roman"/>
          <w:szCs w:val="24"/>
        </w:rPr>
        <w:t>:  Once.</w:t>
      </w:r>
    </w:p>
    <w:p w:rsidR="00F3315F" w:rsidP="00F3315F" w14:paraId="49416426" w14:textId="4D8A4597">
      <w:pPr>
        <w:spacing w:after="240"/>
        <w:ind w:left="720"/>
        <w:jc w:val="both"/>
        <w:rPr>
          <w:rFonts w:eastAsia="Times New Roman" w:cs="Times New Roman"/>
          <w:iCs/>
          <w:szCs w:val="24"/>
        </w:rPr>
      </w:pPr>
      <w:r>
        <w:rPr>
          <w:rFonts w:eastAsia="Times New Roman" w:cs="Times New Roman"/>
          <w:i/>
          <w:szCs w:val="24"/>
        </w:rPr>
        <w:t>Aggregate Reporting Burden</w:t>
      </w:r>
      <w:r w:rsidRPr="00D905AA">
        <w:rPr>
          <w:rFonts w:eastAsia="Times New Roman" w:cs="Times New Roman"/>
          <w:szCs w:val="24"/>
        </w:rPr>
        <w:t>:</w:t>
      </w:r>
      <w:r>
        <w:rPr>
          <w:rFonts w:eastAsia="Times New Roman" w:cs="Times New Roman"/>
          <w:szCs w:val="24"/>
        </w:rPr>
        <w:t xml:space="preserve"> </w:t>
      </w:r>
      <w:r w:rsidRPr="009A7AB6">
        <w:rPr>
          <w:rFonts w:eastAsia="Times New Roman" w:cs="Times New Roman"/>
          <w:iCs/>
          <w:szCs w:val="24"/>
        </w:rPr>
        <w:t xml:space="preserve">14 respondents </w:t>
      </w:r>
      <w:r w:rsidR="00EF336B">
        <w:rPr>
          <w:rFonts w:eastAsia="Times New Roman" w:cs="Times New Roman"/>
          <w:iCs/>
          <w:szCs w:val="24"/>
        </w:rPr>
        <w:t>×</w:t>
      </w:r>
      <w:r w:rsidRPr="009A7AB6">
        <w:rPr>
          <w:rFonts w:eastAsia="Times New Roman" w:cs="Times New Roman"/>
          <w:iCs/>
          <w:szCs w:val="24"/>
        </w:rPr>
        <w:t xml:space="preserve"> 40 hours</w:t>
      </w:r>
      <w:r w:rsidRPr="00206BC9">
        <w:rPr>
          <w:rFonts w:eastAsia="Times New Roman" w:cs="Times New Roman"/>
          <w:i/>
          <w:szCs w:val="24"/>
        </w:rPr>
        <w:t xml:space="preserve"> = </w:t>
      </w:r>
      <w:r w:rsidRPr="00F3315F">
        <w:rPr>
          <w:rFonts w:eastAsia="Times New Roman" w:cs="Times New Roman"/>
          <w:iCs/>
          <w:szCs w:val="24"/>
        </w:rPr>
        <w:t>560 hours</w:t>
      </w:r>
    </w:p>
    <w:bookmarkEnd w:id="6"/>
    <w:p w:rsidR="00F3315F" w:rsidRPr="00D905AA" w:rsidP="00F3315F" w14:paraId="17427F0A" w14:textId="77777777">
      <w:pPr>
        <w:spacing w:after="240"/>
        <w:jc w:val="both"/>
        <w:rPr>
          <w:rFonts w:eastAsia="Times New Roman" w:cs="Times New Roman"/>
          <w:szCs w:val="24"/>
        </w:rPr>
      </w:pPr>
      <w:r w:rsidRPr="00D905AA">
        <w:rPr>
          <w:rFonts w:eastAsia="Times New Roman" w:cs="Times New Roman"/>
          <w:i/>
          <w:szCs w:val="24"/>
        </w:rPr>
        <w:t>Burden Statement – Information Collection for Non-Netting Jurisdictions</w:t>
      </w:r>
      <w:r w:rsidRPr="00D905AA">
        <w:rPr>
          <w:rFonts w:eastAsia="Times New Roman" w:cs="Times New Roman"/>
          <w:szCs w:val="24"/>
        </w:rPr>
        <w:t>:</w:t>
      </w:r>
      <w:bookmarkStart w:id="7" w:name="_Hlk109593675"/>
    </w:p>
    <w:bookmarkEnd w:id="7"/>
    <w:p w:rsidR="00F3315F" w:rsidP="00F3315F" w14:paraId="2A6797F2" w14:textId="77777777">
      <w:pPr>
        <w:spacing w:after="240"/>
        <w:ind w:left="720"/>
        <w:jc w:val="both"/>
        <w:rPr>
          <w:rFonts w:eastAsia="Times New Roman" w:cs="Times New Roman"/>
          <w:szCs w:val="24"/>
        </w:rPr>
      </w:pPr>
      <w:r w:rsidRPr="00D905AA">
        <w:rPr>
          <w:rFonts w:eastAsia="Times New Roman" w:cs="Times New Roman"/>
          <w:i/>
          <w:szCs w:val="24"/>
        </w:rPr>
        <w:t>Estimated Number of Respondents</w:t>
      </w:r>
      <w:r w:rsidRPr="00D905AA">
        <w:rPr>
          <w:rFonts w:eastAsia="Times New Roman" w:cs="Times New Roman"/>
          <w:szCs w:val="24"/>
        </w:rPr>
        <w:t>:  5</w:t>
      </w:r>
      <w:r>
        <w:rPr>
          <w:rFonts w:eastAsia="Times New Roman" w:cs="Times New Roman"/>
          <w:szCs w:val="24"/>
        </w:rPr>
        <w:t>0</w:t>
      </w:r>
    </w:p>
    <w:p w:rsidR="00F3315F" w:rsidRPr="0041581B" w:rsidP="00F3315F" w14:paraId="633CD995" w14:textId="77777777">
      <w:pPr>
        <w:spacing w:after="240"/>
        <w:ind w:left="720"/>
        <w:jc w:val="both"/>
        <w:rPr>
          <w:rFonts w:eastAsia="Times New Roman" w:cs="Times New Roman"/>
          <w:i/>
          <w:iCs/>
          <w:szCs w:val="24"/>
        </w:rPr>
      </w:pPr>
      <w:r w:rsidRPr="00D905AA">
        <w:rPr>
          <w:rFonts w:eastAsia="Times New Roman" w:cs="Times New Roman"/>
          <w:i/>
          <w:iCs/>
          <w:szCs w:val="24"/>
        </w:rPr>
        <w:t>Estimated Number of Responses</w:t>
      </w:r>
      <w:r>
        <w:rPr>
          <w:rFonts w:eastAsia="Times New Roman" w:cs="Times New Roman"/>
          <w:i/>
          <w:iCs/>
          <w:szCs w:val="24"/>
        </w:rPr>
        <w:t xml:space="preserve"> Per Respondent</w:t>
      </w:r>
      <w:r w:rsidRPr="00D905AA">
        <w:rPr>
          <w:rFonts w:eastAsia="Times New Roman" w:cs="Times New Roman"/>
          <w:i/>
          <w:iCs/>
          <w:szCs w:val="24"/>
        </w:rPr>
        <w:t>:</w:t>
      </w:r>
      <w:r>
        <w:rPr>
          <w:rFonts w:eastAsia="Times New Roman" w:cs="Times New Roman"/>
          <w:i/>
          <w:iCs/>
          <w:szCs w:val="24"/>
        </w:rPr>
        <w:t xml:space="preserve"> 1</w:t>
      </w:r>
    </w:p>
    <w:p w:rsidR="00F3315F" w:rsidRPr="00D905AA" w:rsidP="00F3315F" w14:paraId="30740B96" w14:textId="77777777">
      <w:pPr>
        <w:spacing w:after="240"/>
        <w:ind w:left="720"/>
        <w:jc w:val="both"/>
        <w:rPr>
          <w:rFonts w:eastAsia="Times New Roman" w:cs="Times New Roman"/>
          <w:szCs w:val="24"/>
        </w:rPr>
      </w:pPr>
      <w:r w:rsidRPr="00D905AA">
        <w:rPr>
          <w:rFonts w:eastAsia="Times New Roman" w:cs="Times New Roman"/>
          <w:i/>
          <w:szCs w:val="24"/>
        </w:rPr>
        <w:t>Estimated Average Burden Hours Per Respondent</w:t>
      </w:r>
      <w:r w:rsidRPr="00D905AA">
        <w:rPr>
          <w:rFonts w:eastAsia="Times New Roman" w:cs="Times New Roman"/>
          <w:szCs w:val="24"/>
        </w:rPr>
        <w:t>:  10</w:t>
      </w:r>
    </w:p>
    <w:p w:rsidR="00F3315F" w:rsidRPr="00D905AA" w:rsidP="00F3315F" w14:paraId="6EED46E4" w14:textId="77777777">
      <w:pPr>
        <w:spacing w:after="240"/>
        <w:ind w:left="720"/>
        <w:jc w:val="both"/>
        <w:rPr>
          <w:rFonts w:eastAsia="Times New Roman" w:cs="Times New Roman"/>
          <w:szCs w:val="24"/>
        </w:rPr>
      </w:pPr>
      <w:r w:rsidRPr="00D905AA">
        <w:rPr>
          <w:rFonts w:eastAsia="Times New Roman" w:cs="Times New Roman"/>
          <w:i/>
          <w:szCs w:val="24"/>
        </w:rPr>
        <w:t>Estimated Total Annual Burden Hours</w:t>
      </w:r>
      <w:r w:rsidRPr="00D905AA">
        <w:rPr>
          <w:rFonts w:eastAsia="Times New Roman" w:cs="Times New Roman"/>
          <w:szCs w:val="24"/>
        </w:rPr>
        <w:t>:  5</w:t>
      </w:r>
      <w:r>
        <w:rPr>
          <w:rFonts w:eastAsia="Times New Roman" w:cs="Times New Roman"/>
          <w:szCs w:val="24"/>
        </w:rPr>
        <w:t>0</w:t>
      </w:r>
      <w:r w:rsidRPr="00D905AA">
        <w:rPr>
          <w:rFonts w:eastAsia="Times New Roman" w:cs="Times New Roman"/>
          <w:szCs w:val="24"/>
        </w:rPr>
        <w:t>0</w:t>
      </w:r>
    </w:p>
    <w:p w:rsidR="00F3315F" w:rsidP="00F3315F" w14:paraId="1FC58B05" w14:textId="77777777">
      <w:pPr>
        <w:spacing w:after="240"/>
        <w:ind w:left="720"/>
        <w:jc w:val="both"/>
        <w:rPr>
          <w:rFonts w:eastAsia="Times New Roman" w:cs="Times New Roman"/>
          <w:szCs w:val="24"/>
        </w:rPr>
      </w:pPr>
      <w:r w:rsidRPr="00D905AA">
        <w:rPr>
          <w:rFonts w:eastAsia="Times New Roman" w:cs="Times New Roman"/>
          <w:i/>
          <w:szCs w:val="24"/>
        </w:rPr>
        <w:t>Frequency of Collection</w:t>
      </w:r>
      <w:r w:rsidRPr="00D905AA">
        <w:rPr>
          <w:rFonts w:eastAsia="Times New Roman" w:cs="Times New Roman"/>
          <w:szCs w:val="24"/>
        </w:rPr>
        <w:t>:  Once; As needed.</w:t>
      </w:r>
    </w:p>
    <w:p w:rsidR="00F3315F" w:rsidP="00F3315F" w14:paraId="787311C2" w14:textId="5C31C4C8">
      <w:pPr>
        <w:spacing w:after="240"/>
        <w:ind w:left="720"/>
        <w:jc w:val="both"/>
        <w:rPr>
          <w:rFonts w:eastAsia="Times New Roman" w:cs="Times New Roman"/>
          <w:iCs/>
          <w:szCs w:val="24"/>
        </w:rPr>
      </w:pPr>
      <w:r>
        <w:rPr>
          <w:rFonts w:eastAsia="Times New Roman" w:cs="Times New Roman"/>
          <w:i/>
          <w:szCs w:val="24"/>
        </w:rPr>
        <w:t>Aggregate Recordkeeping Burden</w:t>
      </w:r>
      <w:r w:rsidRPr="00D905AA">
        <w:rPr>
          <w:rFonts w:eastAsia="Times New Roman" w:cs="Times New Roman"/>
          <w:szCs w:val="24"/>
        </w:rPr>
        <w:t>:</w:t>
      </w:r>
      <w:r>
        <w:rPr>
          <w:rFonts w:eastAsia="Times New Roman" w:cs="Times New Roman"/>
          <w:szCs w:val="24"/>
        </w:rPr>
        <w:t xml:space="preserve"> </w:t>
      </w:r>
      <w:r w:rsidRPr="009A7AB6">
        <w:rPr>
          <w:rFonts w:eastAsia="Times New Roman" w:cs="Times New Roman"/>
          <w:iCs/>
          <w:szCs w:val="24"/>
        </w:rPr>
        <w:t xml:space="preserve">50 respondents </w:t>
      </w:r>
      <w:r w:rsidR="00EF336B">
        <w:rPr>
          <w:rFonts w:eastAsia="Times New Roman" w:cs="Times New Roman"/>
          <w:iCs/>
          <w:szCs w:val="24"/>
        </w:rPr>
        <w:t>×</w:t>
      </w:r>
      <w:r w:rsidRPr="009A7AB6">
        <w:rPr>
          <w:rFonts w:eastAsia="Times New Roman" w:cs="Times New Roman"/>
          <w:iCs/>
          <w:szCs w:val="24"/>
        </w:rPr>
        <w:t xml:space="preserve"> 10 hours</w:t>
      </w:r>
      <w:r w:rsidRPr="00206BC9">
        <w:rPr>
          <w:rFonts w:eastAsia="Times New Roman" w:cs="Times New Roman"/>
          <w:i/>
          <w:szCs w:val="24"/>
        </w:rPr>
        <w:t xml:space="preserve"> = </w:t>
      </w:r>
      <w:r w:rsidRPr="00F3315F">
        <w:rPr>
          <w:rFonts w:eastAsia="Times New Roman" w:cs="Times New Roman"/>
          <w:iCs/>
          <w:szCs w:val="24"/>
        </w:rPr>
        <w:t>500 hours</w:t>
      </w:r>
    </w:p>
    <w:p w:rsidR="00F3315F" w:rsidRPr="00D905AA" w:rsidP="00F3315F" w14:paraId="1EC0E40C" w14:textId="24296446">
      <w:pPr>
        <w:spacing w:after="240"/>
        <w:jc w:val="both"/>
        <w:rPr>
          <w:rFonts w:eastAsia="Times New Roman" w:cs="Times New Roman"/>
          <w:szCs w:val="24"/>
        </w:rPr>
      </w:pPr>
      <w:r w:rsidRPr="00D905AA">
        <w:rPr>
          <w:rFonts w:eastAsia="Times New Roman" w:cs="Times New Roman"/>
          <w:i/>
          <w:szCs w:val="24"/>
        </w:rPr>
        <w:t>Burden Statement – Information Collection for Non-Segregation Jurisdictions</w:t>
      </w:r>
      <w:r w:rsidRPr="00D905AA">
        <w:rPr>
          <w:rFonts w:eastAsia="Times New Roman" w:cs="Times New Roman"/>
          <w:szCs w:val="24"/>
        </w:rPr>
        <w:t>:</w:t>
      </w:r>
    </w:p>
    <w:p w:rsidR="00F3315F" w:rsidP="00F3315F" w14:paraId="68F955A2" w14:textId="77777777">
      <w:pPr>
        <w:spacing w:after="240"/>
        <w:ind w:left="720"/>
        <w:jc w:val="both"/>
        <w:rPr>
          <w:rFonts w:eastAsia="Times New Roman" w:cs="Times New Roman"/>
          <w:szCs w:val="24"/>
        </w:rPr>
      </w:pPr>
      <w:r w:rsidRPr="00D905AA">
        <w:rPr>
          <w:rFonts w:eastAsia="Times New Roman" w:cs="Times New Roman"/>
          <w:i/>
          <w:szCs w:val="24"/>
        </w:rPr>
        <w:t>Estimated Number of Respondents</w:t>
      </w:r>
      <w:r w:rsidRPr="00D905AA">
        <w:rPr>
          <w:rFonts w:eastAsia="Times New Roman" w:cs="Times New Roman"/>
          <w:szCs w:val="24"/>
        </w:rPr>
        <w:t>:  12</w:t>
      </w:r>
    </w:p>
    <w:p w:rsidR="00F3315F" w:rsidRPr="0041581B" w:rsidP="00F3315F" w14:paraId="4057074F" w14:textId="77777777">
      <w:pPr>
        <w:spacing w:after="240"/>
        <w:ind w:left="720"/>
        <w:jc w:val="both"/>
        <w:rPr>
          <w:rFonts w:eastAsia="Times New Roman" w:cs="Times New Roman"/>
          <w:i/>
          <w:iCs/>
          <w:szCs w:val="24"/>
        </w:rPr>
      </w:pPr>
      <w:r w:rsidRPr="00D905AA">
        <w:rPr>
          <w:rFonts w:eastAsia="Times New Roman" w:cs="Times New Roman"/>
          <w:i/>
          <w:iCs/>
          <w:szCs w:val="24"/>
        </w:rPr>
        <w:t>Estimated Number of Responses</w:t>
      </w:r>
      <w:r>
        <w:rPr>
          <w:rFonts w:eastAsia="Times New Roman" w:cs="Times New Roman"/>
          <w:i/>
          <w:iCs/>
          <w:szCs w:val="24"/>
        </w:rPr>
        <w:t xml:space="preserve"> Per Respondent</w:t>
      </w:r>
      <w:r w:rsidRPr="00D905AA">
        <w:rPr>
          <w:rFonts w:eastAsia="Times New Roman" w:cs="Times New Roman"/>
          <w:i/>
          <w:iCs/>
          <w:szCs w:val="24"/>
        </w:rPr>
        <w:t>:</w:t>
      </w:r>
      <w:r>
        <w:rPr>
          <w:rFonts w:eastAsia="Times New Roman" w:cs="Times New Roman"/>
          <w:i/>
          <w:iCs/>
          <w:szCs w:val="24"/>
        </w:rPr>
        <w:t xml:space="preserve"> 1</w:t>
      </w:r>
    </w:p>
    <w:p w:rsidR="00F3315F" w:rsidRPr="00D905AA" w:rsidP="00F3315F" w14:paraId="65C04B45" w14:textId="622A594B">
      <w:pPr>
        <w:spacing w:after="240"/>
        <w:ind w:left="720"/>
        <w:jc w:val="both"/>
        <w:rPr>
          <w:rFonts w:eastAsia="Times New Roman" w:cs="Times New Roman"/>
          <w:szCs w:val="24"/>
        </w:rPr>
      </w:pPr>
      <w:r w:rsidRPr="00D905AA">
        <w:rPr>
          <w:rFonts w:eastAsia="Times New Roman" w:cs="Times New Roman"/>
          <w:i/>
          <w:szCs w:val="24"/>
        </w:rPr>
        <w:t>Estimated Average Burden Hours Per Respondent</w:t>
      </w:r>
      <w:r w:rsidRPr="00D905AA">
        <w:rPr>
          <w:rFonts w:eastAsia="Times New Roman" w:cs="Times New Roman"/>
          <w:szCs w:val="24"/>
        </w:rPr>
        <w:t>:  160</w:t>
      </w:r>
      <w:r>
        <w:rPr>
          <w:rFonts w:eastAsia="Times New Roman" w:cs="Times New Roman"/>
          <w:szCs w:val="24"/>
        </w:rPr>
        <w:t xml:space="preserve"> (20 hours </w:t>
      </w:r>
      <w:r w:rsidR="00EF336B">
        <w:rPr>
          <w:rFonts w:eastAsia="Times New Roman" w:cs="Times New Roman"/>
          <w:szCs w:val="24"/>
        </w:rPr>
        <w:t>×</w:t>
      </w:r>
      <w:r>
        <w:rPr>
          <w:rFonts w:eastAsia="Times New Roman" w:cs="Times New Roman"/>
          <w:szCs w:val="24"/>
        </w:rPr>
        <w:t xml:space="preserve"> 8 jurisdictions)</w:t>
      </w:r>
    </w:p>
    <w:p w:rsidR="00F3315F" w:rsidRPr="00D905AA" w:rsidP="00F3315F" w14:paraId="1D1493A6" w14:textId="77777777">
      <w:pPr>
        <w:spacing w:after="240"/>
        <w:ind w:left="720"/>
        <w:jc w:val="both"/>
        <w:rPr>
          <w:rFonts w:eastAsia="Times New Roman" w:cs="Times New Roman"/>
          <w:szCs w:val="24"/>
        </w:rPr>
      </w:pPr>
      <w:r w:rsidRPr="00D905AA">
        <w:rPr>
          <w:rFonts w:eastAsia="Times New Roman" w:cs="Times New Roman"/>
          <w:i/>
          <w:szCs w:val="24"/>
        </w:rPr>
        <w:t>Estimated Total Annual Burden Hours</w:t>
      </w:r>
      <w:r w:rsidRPr="00D905AA">
        <w:rPr>
          <w:rFonts w:eastAsia="Times New Roman" w:cs="Times New Roman"/>
          <w:szCs w:val="24"/>
        </w:rPr>
        <w:t>:  1,920</w:t>
      </w:r>
    </w:p>
    <w:p w:rsidR="00F3315F" w:rsidP="00F3315F" w14:paraId="39710B44" w14:textId="77777777">
      <w:pPr>
        <w:spacing w:after="240"/>
        <w:ind w:left="720"/>
        <w:jc w:val="both"/>
        <w:rPr>
          <w:rFonts w:eastAsia="Times New Roman" w:cs="Times New Roman"/>
          <w:szCs w:val="24"/>
        </w:rPr>
      </w:pPr>
      <w:r w:rsidRPr="00D905AA">
        <w:rPr>
          <w:rFonts w:eastAsia="Times New Roman" w:cs="Times New Roman"/>
          <w:i/>
          <w:szCs w:val="24"/>
        </w:rPr>
        <w:t>Frequency of Collection</w:t>
      </w:r>
      <w:r w:rsidRPr="00D905AA">
        <w:rPr>
          <w:rFonts w:eastAsia="Times New Roman" w:cs="Times New Roman"/>
          <w:szCs w:val="24"/>
        </w:rPr>
        <w:t>:  Once; As needed.</w:t>
      </w:r>
    </w:p>
    <w:p w:rsidR="00F3315F" w:rsidP="00F3315F" w14:paraId="40C9FFE0" w14:textId="44A15038">
      <w:pPr>
        <w:spacing w:after="240"/>
        <w:ind w:left="720"/>
        <w:jc w:val="both"/>
        <w:rPr>
          <w:rFonts w:eastAsia="Times New Roman" w:cs="Times New Roman"/>
          <w:iCs/>
          <w:szCs w:val="24"/>
        </w:rPr>
      </w:pPr>
      <w:r>
        <w:rPr>
          <w:rFonts w:eastAsia="Times New Roman" w:cs="Times New Roman"/>
          <w:i/>
          <w:szCs w:val="24"/>
        </w:rPr>
        <w:t>Aggregate Recordkeeping Burden</w:t>
      </w:r>
      <w:r w:rsidRPr="009A7AB6">
        <w:rPr>
          <w:rFonts w:eastAsia="Times New Roman" w:cs="Times New Roman"/>
          <w:iCs/>
          <w:szCs w:val="24"/>
        </w:rPr>
        <w:t xml:space="preserve">: 12 respondents </w:t>
      </w:r>
      <w:r w:rsidR="000A4AD5">
        <w:rPr>
          <w:rFonts w:eastAsia="Times New Roman" w:cs="Times New Roman"/>
          <w:iCs/>
          <w:szCs w:val="24"/>
        </w:rPr>
        <w:t>×</w:t>
      </w:r>
      <w:r w:rsidRPr="009A7AB6">
        <w:rPr>
          <w:rFonts w:eastAsia="Times New Roman" w:cs="Times New Roman"/>
          <w:iCs/>
          <w:szCs w:val="24"/>
        </w:rPr>
        <w:t xml:space="preserve"> 160 hours</w:t>
      </w:r>
      <w:r w:rsidRPr="00206BC9">
        <w:rPr>
          <w:rFonts w:eastAsia="Times New Roman" w:cs="Times New Roman"/>
          <w:i/>
          <w:szCs w:val="24"/>
        </w:rPr>
        <w:t xml:space="preserve"> = </w:t>
      </w:r>
      <w:r w:rsidRPr="00F3315F">
        <w:rPr>
          <w:rFonts w:eastAsia="Times New Roman" w:cs="Times New Roman"/>
          <w:iCs/>
          <w:szCs w:val="24"/>
        </w:rPr>
        <w:t>1,920 hours</w:t>
      </w:r>
    </w:p>
    <w:p w:rsidR="00F3315F" w:rsidRPr="00206BC9" w:rsidP="00F3315F" w14:paraId="206A1BDA" w14:textId="5772E7F8">
      <w:pPr>
        <w:spacing w:after="240"/>
        <w:jc w:val="both"/>
        <w:rPr>
          <w:rFonts w:eastAsia="Times New Roman" w:cs="Times New Roman"/>
          <w:iCs/>
          <w:szCs w:val="24"/>
        </w:rPr>
      </w:pPr>
      <w:r>
        <w:rPr>
          <w:rFonts w:eastAsia="Times New Roman" w:cs="Times New Roman"/>
          <w:iCs/>
          <w:szCs w:val="24"/>
        </w:rPr>
        <w:t xml:space="preserve">Based upon the above, the aggregate cost for all respondents is 2,980 burden hours and $298,000 [2,980 burden hours </w:t>
      </w:r>
      <w:r w:rsidR="00AC5FAA">
        <w:rPr>
          <w:rFonts w:eastAsia="Times New Roman" w:cs="Times New Roman"/>
          <w:iCs/>
          <w:szCs w:val="24"/>
        </w:rPr>
        <w:t>×</w:t>
      </w:r>
      <w:r>
        <w:rPr>
          <w:rFonts w:eastAsia="Times New Roman" w:cs="Times New Roman"/>
          <w:iCs/>
          <w:szCs w:val="24"/>
        </w:rPr>
        <w:t xml:space="preserve"> $100 per hour].</w:t>
      </w:r>
    </w:p>
    <w:p w:rsidR="00B964DA" w:rsidP="002E2093" w14:paraId="1CF264FB" w14:textId="2355F568">
      <w:pPr>
        <w:spacing w:after="240"/>
        <w:jc w:val="both"/>
        <w:rPr>
          <w:rFonts w:eastAsia="Times New Roman" w:cs="Times New Roman"/>
          <w:szCs w:val="24"/>
        </w:rPr>
      </w:pPr>
      <w:r w:rsidRPr="007868BB">
        <w:rPr>
          <w:rFonts w:eastAsia="Times New Roman" w:cs="Times New Roman"/>
          <w:szCs w:val="24"/>
        </w:rPr>
        <w:t xml:space="preserve">The annualized costs were determined using an average salary of $100.00 per hour. </w:t>
      </w:r>
      <w:r w:rsidR="008D733D">
        <w:rPr>
          <w:rFonts w:eastAsia="Times New Roman" w:cs="Times New Roman"/>
          <w:szCs w:val="24"/>
        </w:rPr>
        <w:t xml:space="preserve"> </w:t>
      </w:r>
      <w:r w:rsidRPr="007868BB">
        <w:rPr>
          <w:rFonts w:eastAsia="Times New Roman" w:cs="Times New Roman"/>
          <w:szCs w:val="24"/>
        </w:rPr>
        <w:t>The Commission believes that this is an appropriate salary estimate for purposes of th</w:t>
      </w:r>
      <w:r>
        <w:rPr>
          <w:rFonts w:eastAsia="Times New Roman" w:cs="Times New Roman"/>
          <w:szCs w:val="24"/>
        </w:rPr>
        <w:t>ese collections</w:t>
      </w:r>
      <w:r w:rsidRPr="007868BB">
        <w:rPr>
          <w:rFonts w:eastAsia="Times New Roman" w:cs="Times New Roman"/>
          <w:szCs w:val="24"/>
        </w:rPr>
        <w:t>.</w:t>
      </w:r>
      <w:r>
        <w:rPr>
          <w:rFonts w:eastAsia="Times New Roman" w:cs="Times New Roman"/>
          <w:szCs w:val="24"/>
        </w:rPr>
        <w:t xml:space="preserve">  </w:t>
      </w:r>
      <w:r w:rsidRPr="007868BB">
        <w:rPr>
          <w:rFonts w:eastAsia="Times New Roman" w:cs="Times New Roman"/>
          <w:szCs w:val="24"/>
        </w:rPr>
        <w:t xml:space="preserve">In support of this determination, the Commission notes that the salary estimate is based upon </w:t>
      </w:r>
      <w:r w:rsidR="00E90EFA">
        <w:rPr>
          <w:rFonts w:eastAsia="Times New Roman" w:cs="Times New Roman"/>
          <w:szCs w:val="24"/>
        </w:rPr>
        <w:t xml:space="preserve">the </w:t>
      </w:r>
      <w:r w:rsidRPr="007868BB">
        <w:rPr>
          <w:rFonts w:eastAsia="Times New Roman" w:cs="Times New Roman"/>
          <w:szCs w:val="24"/>
        </w:rPr>
        <w:t xml:space="preserve">May </w:t>
      </w:r>
      <w:r w:rsidRPr="007868BB">
        <w:rPr>
          <w:rFonts w:eastAsia="Times New Roman" w:cs="Times New Roman"/>
          <w:szCs w:val="24"/>
        </w:rPr>
        <w:t>202</w:t>
      </w:r>
      <w:r>
        <w:rPr>
          <w:rFonts w:eastAsia="Times New Roman" w:cs="Times New Roman"/>
          <w:szCs w:val="24"/>
        </w:rPr>
        <w:t xml:space="preserve">4 </w:t>
      </w:r>
      <w:r w:rsidRPr="007868BB">
        <w:rPr>
          <w:rFonts w:eastAsia="Times New Roman" w:cs="Times New Roman"/>
          <w:szCs w:val="24"/>
        </w:rPr>
        <w:t>Bureau of Labor Statistics’ findings of National Occupation Employment and Wage Estimates, United States, including the mean hourly wage of an employee under occupation code 23-1011, “Lawyers,” that are employed by the “Securities, Commodity Contracts, and Other Financial Investments and Related Activities Industry,” which is $</w:t>
      </w:r>
      <w:r>
        <w:rPr>
          <w:rFonts w:eastAsia="Times New Roman" w:cs="Times New Roman"/>
          <w:szCs w:val="24"/>
        </w:rPr>
        <w:t>128.34</w:t>
      </w:r>
      <w:r w:rsidRPr="007868BB">
        <w:rPr>
          <w:rFonts w:eastAsia="Times New Roman" w:cs="Times New Roman"/>
          <w:szCs w:val="24"/>
        </w:rPr>
        <w:t>; and the mean hourly wage of an employee under occupation code</w:t>
      </w:r>
      <w:r w:rsidR="006B26C2">
        <w:rPr>
          <w:rFonts w:eastAsia="Times New Roman" w:cs="Times New Roman"/>
          <w:szCs w:val="24"/>
        </w:rPr>
        <w:t xml:space="preserve"> </w:t>
      </w:r>
      <w:r w:rsidRPr="007868BB">
        <w:rPr>
          <w:rFonts w:eastAsia="Times New Roman" w:cs="Times New Roman"/>
          <w:szCs w:val="24"/>
        </w:rPr>
        <w:t>13-1041, “Compliance Officers” in the same industry, which is $</w:t>
      </w:r>
      <w:r>
        <w:rPr>
          <w:rFonts w:eastAsia="Times New Roman" w:cs="Times New Roman"/>
          <w:szCs w:val="24"/>
        </w:rPr>
        <w:t>49.34</w:t>
      </w:r>
      <w:r w:rsidRPr="007868BB">
        <w:rPr>
          <w:rFonts w:eastAsia="Times New Roman" w:cs="Times New Roman"/>
          <w:szCs w:val="24"/>
        </w:rPr>
        <w:t>.</w:t>
      </w:r>
      <w:r>
        <w:rPr>
          <w:rStyle w:val="FootnoteReference"/>
          <w:rFonts w:eastAsia="Times New Roman" w:cs="Times New Roman"/>
          <w:szCs w:val="24"/>
        </w:rPr>
        <w:footnoteReference w:id="21"/>
      </w:r>
      <w:r w:rsidRPr="007868BB">
        <w:rPr>
          <w:rFonts w:eastAsia="Times New Roman" w:cs="Times New Roman"/>
          <w:szCs w:val="24"/>
        </w:rPr>
        <w:t xml:space="preserve"> </w:t>
      </w:r>
    </w:p>
    <w:p w:rsidR="002A4187" w:rsidP="00B964DA" w14:paraId="1C4C1843" w14:textId="14509DA9">
      <w:pPr>
        <w:spacing w:after="240"/>
        <w:jc w:val="both"/>
        <w:rPr>
          <w:rFonts w:eastAsia="Times New Roman" w:cs="Times New Roman"/>
          <w:szCs w:val="24"/>
        </w:rPr>
      </w:pPr>
      <w:r w:rsidRPr="007868BB">
        <w:rPr>
          <w:rFonts w:eastAsia="Times New Roman" w:cs="Times New Roman"/>
          <w:szCs w:val="24"/>
        </w:rPr>
        <w:t xml:space="preserve">The Commission also notes that, the Commission took the foregoing data and then increased its </w:t>
      </w:r>
      <w:r w:rsidR="003E757D">
        <w:rPr>
          <w:rFonts w:eastAsia="Times New Roman" w:cs="Times New Roman"/>
          <w:szCs w:val="24"/>
        </w:rPr>
        <w:t>average salary</w:t>
      </w:r>
      <w:r w:rsidRPr="007868BB">
        <w:rPr>
          <w:rFonts w:eastAsia="Times New Roman" w:cs="Times New Roman"/>
          <w:szCs w:val="24"/>
        </w:rPr>
        <w:t xml:space="preserve"> estimate in recognition of the fact that some respondents may be large financial institutions whose employees’ salaries may exceed the mean wage</w:t>
      </w:r>
      <w:r>
        <w:rPr>
          <w:rFonts w:eastAsia="Times New Roman" w:cs="Times New Roman"/>
          <w:szCs w:val="24"/>
        </w:rPr>
        <w:t>.</w:t>
      </w:r>
      <w:r w:rsidRPr="007868BB">
        <w:rPr>
          <w:rFonts w:eastAsia="Times New Roman" w:cs="Times New Roman"/>
          <w:szCs w:val="24"/>
        </w:rPr>
        <w:t xml:space="preserve"> </w:t>
      </w:r>
      <w:r w:rsidR="008D733D">
        <w:rPr>
          <w:rFonts w:eastAsia="Times New Roman" w:cs="Times New Roman"/>
          <w:szCs w:val="24"/>
        </w:rPr>
        <w:t xml:space="preserve"> </w:t>
      </w:r>
      <w:r w:rsidRPr="007868BB">
        <w:rPr>
          <w:rFonts w:eastAsia="Times New Roman" w:cs="Times New Roman"/>
          <w:szCs w:val="24"/>
        </w:rPr>
        <w:t xml:space="preserve">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t>
      </w:r>
      <w:r w:rsidR="008212C6">
        <w:rPr>
          <w:rFonts w:eastAsia="Times New Roman" w:cs="Times New Roman"/>
          <w:szCs w:val="24"/>
        </w:rPr>
        <w:t xml:space="preserve"> </w:t>
      </w:r>
      <w:r w:rsidRPr="007868BB">
        <w:rPr>
          <w:rFonts w:eastAsia="Times New Roman" w:cs="Times New Roman"/>
          <w:szCs w:val="24"/>
        </w:rPr>
        <w:t xml:space="preserve">While the Commission is uncertain about the billing rates that these respondents may pay for outside counsel, the Commission believes that such counsel may bill at a rate of several hundred dollars per hour. </w:t>
      </w:r>
      <w:r w:rsidR="008212C6">
        <w:rPr>
          <w:rFonts w:eastAsia="Times New Roman" w:cs="Times New Roman"/>
          <w:szCs w:val="24"/>
        </w:rPr>
        <w:t xml:space="preserve"> </w:t>
      </w:r>
      <w:r w:rsidRPr="007868BB">
        <w:rPr>
          <w:rFonts w:eastAsia="Times New Roman" w:cs="Times New Roman"/>
          <w:szCs w:val="24"/>
        </w:rPr>
        <w:t>Any determination to use outside counsel, however, is at the discretion of the respondent.</w:t>
      </w:r>
    </w:p>
    <w:p w:rsidR="00642B6A" w:rsidRPr="00642B6A" w:rsidP="00C96955" w14:paraId="4287733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642B6A" w:rsidRPr="00642B6A" w:rsidP="00C96955" w14:paraId="42877340"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P="00C96955" w14:paraId="42877341"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P="00C96955" w14:paraId="42877342"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42B6A" w:rsidP="00942FE5" w14:paraId="42877343" w14:textId="300509CD">
      <w:pPr>
        <w:spacing w:after="240"/>
        <w:jc w:val="both"/>
        <w:rPr>
          <w:rFonts w:eastAsia="Times New Roman" w:cs="Times New Roman"/>
          <w:color w:val="000000"/>
          <w:szCs w:val="24"/>
        </w:rPr>
      </w:pPr>
      <w:r w:rsidRPr="009B1E93">
        <w:rPr>
          <w:rFonts w:eastAsia="Times New Roman" w:cs="Times New Roman"/>
          <w:color w:val="000000"/>
          <w:szCs w:val="24"/>
        </w:rPr>
        <w:t xml:space="preserve">It is expected that </w:t>
      </w:r>
      <w:r w:rsidR="00AE6CE6">
        <w:rPr>
          <w:rFonts w:eastAsia="Times New Roman" w:cs="Times New Roman"/>
          <w:color w:val="000000"/>
          <w:szCs w:val="24"/>
        </w:rPr>
        <w:t>respondents</w:t>
      </w:r>
      <w:r w:rsidR="00C032F4">
        <w:rPr>
          <w:rFonts w:eastAsia="Times New Roman" w:cs="Times New Roman"/>
          <w:color w:val="000000"/>
          <w:szCs w:val="24"/>
        </w:rPr>
        <w:t xml:space="preserve">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Pr="00C032F4" w:rsidR="00C032F4">
        <w:rPr>
          <w:rFonts w:eastAsia="Times New Roman" w:cs="Times New Roman"/>
          <w:color w:val="000000"/>
          <w:szCs w:val="24"/>
        </w:rPr>
        <w:t>capital</w:t>
      </w:r>
      <w:r w:rsidR="00C032F4">
        <w:rPr>
          <w:rFonts w:eastAsia="Times New Roman" w:cs="Times New Roman"/>
          <w:color w:val="000000"/>
          <w:szCs w:val="24"/>
        </w:rPr>
        <w:t>/</w:t>
      </w:r>
      <w:r w:rsidRPr="00C032F4" w:rsid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w:t>
      </w:r>
      <w:r w:rsidR="00E96899">
        <w:rPr>
          <w:rFonts w:eastAsia="Times New Roman" w:cs="Times New Roman"/>
          <w:color w:val="000000"/>
          <w:szCs w:val="24"/>
        </w:rPr>
        <w:t>,</w:t>
      </w:r>
      <w:r w:rsidR="00C032F4">
        <w:rPr>
          <w:rFonts w:eastAsia="Times New Roman" w:cs="Times New Roman"/>
          <w:color w:val="000000"/>
          <w:szCs w:val="24"/>
        </w:rPr>
        <w:t xml:space="preserve"> MSPs </w:t>
      </w:r>
      <w:r w:rsidR="00E96899">
        <w:rPr>
          <w:rFonts w:eastAsia="Times New Roman" w:cs="Times New Roman"/>
          <w:color w:val="000000"/>
          <w:szCs w:val="24"/>
        </w:rPr>
        <w:t xml:space="preserve">or foreign regulatory agencies </w:t>
      </w:r>
      <w:r w:rsidRPr="009B1E93">
        <w:rPr>
          <w:rFonts w:eastAsia="Times New Roman" w:cs="Times New Roman"/>
          <w:color w:val="000000"/>
          <w:szCs w:val="24"/>
        </w:rPr>
        <w:t>to report the information required by the regulations to the Commission.</w:t>
      </w:r>
    </w:p>
    <w:p w:rsidR="00642B6A" w:rsidRPr="00642B6A" w:rsidP="00C96955" w14:paraId="42877345"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C96955" w:rsidP="00942FE5" w14:paraId="42877346" w14:textId="559EFA03">
      <w:pPr>
        <w:spacing w:after="240"/>
        <w:jc w:val="both"/>
        <w:rPr>
          <w:rFonts w:eastAsia="Times New Roman" w:cs="Times New Roman"/>
          <w:color w:val="000000"/>
          <w:szCs w:val="24"/>
        </w:rPr>
      </w:pPr>
      <w:r w:rsidRPr="00C96955">
        <w:rPr>
          <w:rFonts w:eastAsia="Times New Roman" w:cs="Times New Roman"/>
          <w:color w:val="000000"/>
          <w:szCs w:val="24"/>
        </w:rPr>
        <w:t>It is not anticipated that the final regulations will impose any additional costs to the Federal Government.</w:t>
      </w:r>
    </w:p>
    <w:p w:rsidR="00642B6A" w:rsidRPr="00642B6A" w:rsidP="00C96955" w14:paraId="42877347"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FB6CB3" w:rsidRPr="00C96955" w:rsidP="00942FE5" w14:paraId="42877348" w14:textId="7462E638">
      <w:pPr>
        <w:spacing w:after="240"/>
        <w:jc w:val="both"/>
        <w:rPr>
          <w:rFonts w:eastAsia="Times New Roman" w:cs="Times New Roman"/>
          <w:color w:val="000000"/>
          <w:szCs w:val="24"/>
        </w:rPr>
      </w:pPr>
      <w:r>
        <w:rPr>
          <w:rFonts w:eastAsia="Times New Roman" w:cs="Times New Roman"/>
          <w:color w:val="000000"/>
          <w:szCs w:val="24"/>
        </w:rPr>
        <w:t xml:space="preserve">There are no program changes or </w:t>
      </w:r>
      <w:r w:rsidRPr="006E5C56">
        <w:rPr>
          <w:rFonts w:eastAsia="Times New Roman" w:cs="Times New Roman"/>
          <w:color w:val="000000"/>
          <w:szCs w:val="24"/>
        </w:rPr>
        <w:t xml:space="preserve">adjustments. </w:t>
      </w:r>
      <w:r w:rsidR="00D94EBB">
        <w:rPr>
          <w:rFonts w:eastAsia="Times New Roman" w:cs="Times New Roman"/>
          <w:color w:val="000000"/>
          <w:szCs w:val="24"/>
        </w:rPr>
        <w:t xml:space="preserve"> </w:t>
      </w:r>
      <w:r w:rsidR="005B0BD4">
        <w:rPr>
          <w:rFonts w:eastAsia="Times New Roman" w:cs="Times New Roman"/>
          <w:color w:val="000000"/>
          <w:szCs w:val="24"/>
        </w:rPr>
        <w:t>However, the</w:t>
      </w:r>
      <w:r w:rsidRPr="00E47ADF" w:rsidR="00F90EC7">
        <w:rPr>
          <w:rFonts w:eastAsia="Times New Roman" w:cs="Times New Roman"/>
          <w:color w:val="000000"/>
          <w:szCs w:val="24"/>
        </w:rPr>
        <w:t xml:space="preserve"> Commission</w:t>
      </w:r>
      <w:r w:rsidR="00D94EBB">
        <w:rPr>
          <w:rFonts w:eastAsia="Times New Roman" w:cs="Times New Roman"/>
          <w:color w:val="000000"/>
          <w:szCs w:val="24"/>
        </w:rPr>
        <w:t>’s</w:t>
      </w:r>
      <w:r w:rsidRPr="00E47ADF" w:rsidR="00F90EC7">
        <w:rPr>
          <w:rFonts w:eastAsia="Times New Roman" w:cs="Times New Roman"/>
          <w:color w:val="000000"/>
          <w:szCs w:val="24"/>
        </w:rPr>
        <w:t xml:space="preserve"> total burden hour estimate for the information collection </w:t>
      </w:r>
      <w:r w:rsidR="00B266A0">
        <w:rPr>
          <w:rFonts w:eastAsia="Times New Roman" w:cs="Times New Roman"/>
          <w:color w:val="000000"/>
          <w:szCs w:val="24"/>
        </w:rPr>
        <w:t>for</w:t>
      </w:r>
      <w:r w:rsidRPr="00E47ADF" w:rsidR="00F90EC7">
        <w:rPr>
          <w:rFonts w:eastAsia="Times New Roman" w:cs="Times New Roman"/>
          <w:color w:val="000000"/>
          <w:szCs w:val="24"/>
        </w:rPr>
        <w:t xml:space="preserve"> Commission Regulation 23.160(d) </w:t>
      </w:r>
      <w:r w:rsidR="00D94EBB">
        <w:rPr>
          <w:rFonts w:eastAsia="Times New Roman" w:cs="Times New Roman"/>
          <w:color w:val="000000"/>
          <w:szCs w:val="24"/>
        </w:rPr>
        <w:t xml:space="preserve">has decreased </w:t>
      </w:r>
      <w:r w:rsidR="00B266A0">
        <w:rPr>
          <w:rFonts w:eastAsia="Times New Roman" w:cs="Times New Roman"/>
          <w:color w:val="000000"/>
          <w:szCs w:val="24"/>
        </w:rPr>
        <w:t>due to</w:t>
      </w:r>
      <w:r w:rsidRPr="00E47ADF" w:rsidR="00F90EC7">
        <w:rPr>
          <w:rFonts w:eastAsia="Times New Roman" w:cs="Times New Roman"/>
          <w:color w:val="000000"/>
          <w:szCs w:val="24"/>
        </w:rPr>
        <w:t xml:space="preserve"> </w:t>
      </w:r>
      <w:r w:rsidR="00D94EBB">
        <w:rPr>
          <w:rFonts w:eastAsia="Times New Roman" w:cs="Times New Roman"/>
          <w:color w:val="000000"/>
          <w:szCs w:val="24"/>
        </w:rPr>
        <w:t>a</w:t>
      </w:r>
      <w:r w:rsidR="00A70706">
        <w:rPr>
          <w:rFonts w:eastAsia="Times New Roman" w:cs="Times New Roman"/>
          <w:color w:val="000000"/>
          <w:szCs w:val="24"/>
        </w:rPr>
        <w:t xml:space="preserve"> </w:t>
      </w:r>
      <w:r w:rsidRPr="00E47ADF" w:rsidR="00F90EC7">
        <w:rPr>
          <w:rFonts w:eastAsia="Times New Roman" w:cs="Times New Roman"/>
          <w:color w:val="000000"/>
          <w:szCs w:val="24"/>
        </w:rPr>
        <w:t xml:space="preserve">decrease in the number of CSEs subject to </w:t>
      </w:r>
      <w:r w:rsidR="005B0BD4">
        <w:rPr>
          <w:rFonts w:eastAsia="Times New Roman" w:cs="Times New Roman"/>
          <w:color w:val="000000"/>
          <w:szCs w:val="24"/>
        </w:rPr>
        <w:t>such</w:t>
      </w:r>
      <w:r w:rsidRPr="00E47ADF" w:rsidR="00F13D34">
        <w:rPr>
          <w:rFonts w:eastAsia="Times New Roman" w:cs="Times New Roman"/>
          <w:color w:val="000000"/>
          <w:szCs w:val="24"/>
        </w:rPr>
        <w:t xml:space="preserve"> recordkeeping requirements</w:t>
      </w:r>
      <w:r w:rsidR="00A6353E">
        <w:rPr>
          <w:rFonts w:eastAsia="Times New Roman" w:cs="Times New Roman"/>
          <w:color w:val="000000"/>
          <w:szCs w:val="24"/>
        </w:rPr>
        <w:t xml:space="preserve">.  </w:t>
      </w:r>
      <w:r w:rsidR="00435FB5">
        <w:rPr>
          <w:rFonts w:eastAsia="Times New Roman" w:cs="Times New Roman"/>
          <w:color w:val="000000"/>
          <w:szCs w:val="24"/>
        </w:rPr>
        <w:t xml:space="preserve">The number of </w:t>
      </w:r>
      <w:r w:rsidR="00A6353E">
        <w:rPr>
          <w:rFonts w:eastAsia="Times New Roman" w:cs="Times New Roman"/>
          <w:color w:val="000000"/>
          <w:szCs w:val="24"/>
        </w:rPr>
        <w:t>CSEs</w:t>
      </w:r>
      <w:r w:rsidR="00435FB5">
        <w:rPr>
          <w:rFonts w:eastAsia="Times New Roman" w:cs="Times New Roman"/>
          <w:color w:val="000000"/>
          <w:szCs w:val="24"/>
        </w:rPr>
        <w:t xml:space="preserve"> </w:t>
      </w:r>
      <w:r w:rsidR="00A6353E">
        <w:rPr>
          <w:rFonts w:eastAsia="Times New Roman" w:cs="Times New Roman"/>
          <w:color w:val="000000"/>
          <w:szCs w:val="24"/>
        </w:rPr>
        <w:t>has decreased</w:t>
      </w:r>
      <w:r w:rsidRPr="00E47ADF" w:rsidR="00F13D34">
        <w:rPr>
          <w:rFonts w:eastAsia="Times New Roman" w:cs="Times New Roman"/>
          <w:color w:val="000000"/>
          <w:szCs w:val="24"/>
        </w:rPr>
        <w:t xml:space="preserve"> </w:t>
      </w:r>
      <w:r w:rsidRPr="00E47ADF" w:rsidR="00F90EC7">
        <w:rPr>
          <w:rFonts w:eastAsia="Times New Roman" w:cs="Times New Roman"/>
          <w:color w:val="000000"/>
          <w:szCs w:val="24"/>
        </w:rPr>
        <w:t xml:space="preserve">from </w:t>
      </w:r>
      <w:r w:rsidRPr="00E47ADF" w:rsidR="00E47ADF">
        <w:rPr>
          <w:rFonts w:eastAsia="Times New Roman" w:cs="Times New Roman"/>
          <w:color w:val="000000"/>
          <w:szCs w:val="24"/>
        </w:rPr>
        <w:t>5</w:t>
      </w:r>
      <w:r w:rsidR="00E47ADF">
        <w:rPr>
          <w:rFonts w:eastAsia="Times New Roman" w:cs="Times New Roman"/>
          <w:color w:val="000000"/>
          <w:szCs w:val="24"/>
        </w:rPr>
        <w:t>3</w:t>
      </w:r>
      <w:r w:rsidRPr="00E47ADF" w:rsidR="00E47ADF">
        <w:rPr>
          <w:rFonts w:eastAsia="Times New Roman" w:cs="Times New Roman"/>
          <w:color w:val="000000"/>
          <w:szCs w:val="24"/>
        </w:rPr>
        <w:t xml:space="preserve"> </w:t>
      </w:r>
      <w:r w:rsidRPr="00E47ADF" w:rsidR="00F90EC7">
        <w:rPr>
          <w:rFonts w:eastAsia="Times New Roman" w:cs="Times New Roman"/>
          <w:color w:val="000000"/>
          <w:szCs w:val="24"/>
        </w:rPr>
        <w:t>to 5</w:t>
      </w:r>
      <w:r w:rsidR="00E47ADF">
        <w:rPr>
          <w:rFonts w:eastAsia="Times New Roman" w:cs="Times New Roman"/>
          <w:color w:val="000000"/>
          <w:szCs w:val="24"/>
        </w:rPr>
        <w:t>0</w:t>
      </w:r>
      <w:r w:rsidRPr="00E47ADF" w:rsidR="00F90EC7">
        <w:rPr>
          <w:rFonts w:eastAsia="Times New Roman" w:cs="Times New Roman"/>
          <w:color w:val="000000"/>
          <w:szCs w:val="24"/>
        </w:rPr>
        <w:t>.</w:t>
      </w:r>
      <w:r w:rsidRPr="00E47ADF" w:rsidR="004704B2">
        <w:rPr>
          <w:rFonts w:eastAsia="Times New Roman" w:cs="Times New Roman"/>
          <w:color w:val="000000"/>
          <w:szCs w:val="24"/>
        </w:rPr>
        <w:t xml:space="preserve">  This results in an overall decrease</w:t>
      </w:r>
      <w:r w:rsidRPr="00E47ADF" w:rsidR="00D41971">
        <w:rPr>
          <w:rFonts w:eastAsia="Times New Roman" w:cs="Times New Roman"/>
          <w:color w:val="000000"/>
          <w:szCs w:val="24"/>
        </w:rPr>
        <w:t xml:space="preserve"> from </w:t>
      </w:r>
      <w:r w:rsidR="00E47ADF">
        <w:rPr>
          <w:rFonts w:eastAsia="Times New Roman" w:cs="Times New Roman"/>
          <w:color w:val="000000"/>
          <w:szCs w:val="24"/>
        </w:rPr>
        <w:t xml:space="preserve">530 </w:t>
      </w:r>
      <w:r w:rsidRPr="00E47ADF" w:rsidR="00B23070">
        <w:rPr>
          <w:rFonts w:eastAsia="Times New Roman" w:cs="Times New Roman"/>
          <w:color w:val="000000"/>
          <w:szCs w:val="24"/>
        </w:rPr>
        <w:t xml:space="preserve">to </w:t>
      </w:r>
      <w:r w:rsidR="00E47ADF">
        <w:rPr>
          <w:rFonts w:eastAsia="Times New Roman" w:cs="Times New Roman"/>
          <w:color w:val="000000"/>
          <w:szCs w:val="24"/>
        </w:rPr>
        <w:t>50</w:t>
      </w:r>
      <w:r w:rsidRPr="00E47ADF" w:rsidR="00E47ADF">
        <w:rPr>
          <w:rFonts w:eastAsia="Times New Roman" w:cs="Times New Roman"/>
          <w:color w:val="000000"/>
          <w:szCs w:val="24"/>
        </w:rPr>
        <w:t xml:space="preserve">0 </w:t>
      </w:r>
      <w:r w:rsidRPr="00E47ADF" w:rsidR="004704B2">
        <w:rPr>
          <w:rFonts w:eastAsia="Times New Roman" w:cs="Times New Roman"/>
          <w:color w:val="000000"/>
          <w:szCs w:val="24"/>
        </w:rPr>
        <w:t xml:space="preserve">in the total burden hour </w:t>
      </w:r>
      <w:r w:rsidRPr="00E47ADF" w:rsidR="00AA2B42">
        <w:rPr>
          <w:rFonts w:eastAsia="Times New Roman" w:cs="Times New Roman"/>
          <w:color w:val="000000"/>
          <w:szCs w:val="24"/>
        </w:rPr>
        <w:t>estimate</w:t>
      </w:r>
      <w:r w:rsidRPr="00E47ADF" w:rsidR="004704B2">
        <w:rPr>
          <w:rFonts w:eastAsia="Times New Roman" w:cs="Times New Roman"/>
          <w:color w:val="000000"/>
          <w:szCs w:val="24"/>
        </w:rPr>
        <w:t xml:space="preserve"> for CSEs under Commission Regulation 23.160(d)</w:t>
      </w:r>
      <w:r w:rsidRPr="00E47ADF" w:rsidR="0073373A">
        <w:rPr>
          <w:rFonts w:eastAsia="Times New Roman" w:cs="Times New Roman"/>
          <w:color w:val="000000"/>
          <w:szCs w:val="24"/>
        </w:rPr>
        <w:t xml:space="preserve">.  This reduction yields a decrease in </w:t>
      </w:r>
      <w:r w:rsidRPr="00E47ADF" w:rsidR="00FA23A2">
        <w:rPr>
          <w:rFonts w:eastAsia="Times New Roman" w:cs="Times New Roman"/>
          <w:color w:val="000000"/>
          <w:szCs w:val="24"/>
        </w:rPr>
        <w:t xml:space="preserve">the </w:t>
      </w:r>
      <w:r w:rsidRPr="00E47ADF" w:rsidR="0073373A">
        <w:rPr>
          <w:rFonts w:eastAsia="Times New Roman" w:cs="Times New Roman"/>
          <w:color w:val="000000"/>
          <w:szCs w:val="24"/>
        </w:rPr>
        <w:t>total number of respondents subject to th</w:t>
      </w:r>
      <w:r w:rsidRPr="00E47ADF" w:rsidR="00FA23A2">
        <w:rPr>
          <w:rFonts w:eastAsia="Times New Roman" w:cs="Times New Roman"/>
          <w:color w:val="000000"/>
          <w:szCs w:val="24"/>
        </w:rPr>
        <w:t>is</w:t>
      </w:r>
      <w:r w:rsidRPr="00E47ADF" w:rsidR="0073373A">
        <w:rPr>
          <w:rFonts w:eastAsia="Times New Roman" w:cs="Times New Roman"/>
          <w:color w:val="000000"/>
          <w:szCs w:val="24"/>
        </w:rPr>
        <w:t xml:space="preserve"> collection from </w:t>
      </w:r>
      <w:r w:rsidRPr="00E47ADF" w:rsidR="00E47ADF">
        <w:rPr>
          <w:rFonts w:eastAsia="Times New Roman" w:cs="Times New Roman"/>
          <w:color w:val="000000"/>
          <w:szCs w:val="24"/>
        </w:rPr>
        <w:t xml:space="preserve">79 </w:t>
      </w:r>
      <w:r w:rsidRPr="00E47ADF" w:rsidR="0073373A">
        <w:rPr>
          <w:rFonts w:eastAsia="Times New Roman" w:cs="Times New Roman"/>
          <w:color w:val="000000"/>
          <w:szCs w:val="24"/>
        </w:rPr>
        <w:t xml:space="preserve">to </w:t>
      </w:r>
      <w:r w:rsidRPr="00E47ADF" w:rsidR="00E47ADF">
        <w:rPr>
          <w:rFonts w:eastAsia="Times New Roman" w:cs="Times New Roman"/>
          <w:color w:val="000000"/>
          <w:szCs w:val="24"/>
        </w:rPr>
        <w:t>76</w:t>
      </w:r>
      <w:r w:rsidRPr="00E47ADF" w:rsidR="00572B20">
        <w:rPr>
          <w:rFonts w:eastAsia="Times New Roman" w:cs="Times New Roman"/>
          <w:color w:val="000000"/>
          <w:szCs w:val="24"/>
        </w:rPr>
        <w:t xml:space="preserve">, and an overall decrease in the estimated burden hours for the collection from </w:t>
      </w:r>
      <w:r w:rsidRPr="00E47ADF" w:rsidR="00E47ADF">
        <w:rPr>
          <w:rFonts w:eastAsia="Times New Roman" w:cs="Times New Roman"/>
          <w:color w:val="000000"/>
          <w:szCs w:val="24"/>
        </w:rPr>
        <w:t>3,010</w:t>
      </w:r>
      <w:r w:rsidRPr="00E47ADF" w:rsidR="00572B20">
        <w:rPr>
          <w:rFonts w:eastAsia="Times New Roman" w:cs="Times New Roman"/>
          <w:color w:val="000000"/>
          <w:szCs w:val="24"/>
        </w:rPr>
        <w:t xml:space="preserve"> total burden hours to </w:t>
      </w:r>
      <w:r w:rsidRPr="00E47ADF" w:rsidR="00E47ADF">
        <w:rPr>
          <w:rFonts w:eastAsia="Times New Roman" w:cs="Times New Roman"/>
          <w:color w:val="000000"/>
          <w:szCs w:val="24"/>
        </w:rPr>
        <w:t>2,980</w:t>
      </w:r>
      <w:r w:rsidRPr="00E47ADF" w:rsidR="00572B20">
        <w:rPr>
          <w:rFonts w:eastAsia="Times New Roman" w:cs="Times New Roman"/>
          <w:color w:val="000000"/>
          <w:szCs w:val="24"/>
        </w:rPr>
        <w:t xml:space="preserve"> annual burden hours</w:t>
      </w:r>
      <w:r w:rsidRPr="00E47ADF" w:rsidR="004704B2">
        <w:rPr>
          <w:rFonts w:eastAsia="Times New Roman" w:cs="Times New Roman"/>
          <w:color w:val="000000"/>
          <w:szCs w:val="24"/>
        </w:rPr>
        <w:t>.</w:t>
      </w:r>
    </w:p>
    <w:p w:rsidR="00642B6A" w:rsidRPr="00642B6A" w:rsidP="00C96955" w14:paraId="42877349" w14:textId="77777777">
      <w:pPr>
        <w:tabs>
          <w:tab w:val="left" w:pos="-720"/>
        </w:tabs>
        <w:spacing w:after="24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C96955" w:rsidP="00942FE5" w14:paraId="4287734A" w14:textId="09019E80">
      <w:pPr>
        <w:spacing w:after="240"/>
        <w:jc w:val="both"/>
        <w:rPr>
          <w:rFonts w:eastAsia="Times New Roman" w:cs="Times New Roman"/>
          <w:color w:val="000000"/>
          <w:szCs w:val="24"/>
        </w:rPr>
      </w:pPr>
      <w:r w:rsidRPr="00C96955">
        <w:rPr>
          <w:rFonts w:eastAsia="Times New Roman" w:cs="Times New Roman"/>
          <w:color w:val="000000"/>
          <w:szCs w:val="24"/>
        </w:rPr>
        <w:t>This question d</w:t>
      </w:r>
      <w:r w:rsidRPr="00C96955">
        <w:rPr>
          <w:rFonts w:eastAsia="Times New Roman" w:cs="Times New Roman"/>
          <w:color w:val="000000"/>
          <w:szCs w:val="24"/>
        </w:rPr>
        <w:t>oes not apply.</w:t>
      </w:r>
    </w:p>
    <w:p w:rsidR="00642B6A" w:rsidRPr="00642B6A" w:rsidP="00C96955" w14:paraId="4287734B"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P="00942FE5" w14:paraId="4287734C" w14:textId="1E2A3984">
      <w:pPr>
        <w:spacing w:after="240"/>
        <w:jc w:val="both"/>
        <w:rPr>
          <w:rFonts w:eastAsia="Times New Roman" w:cs="Times New Roman"/>
          <w:szCs w:val="24"/>
        </w:rPr>
      </w:pPr>
      <w:r>
        <w:rPr>
          <w:rFonts w:eastAsia="Times New Roman" w:cs="Times New Roman"/>
          <w:szCs w:val="24"/>
        </w:rPr>
        <w:t>This question does not</w:t>
      </w:r>
      <w:r w:rsidRPr="00642B6A">
        <w:rPr>
          <w:rFonts w:eastAsia="Times New Roman" w:cs="Times New Roman"/>
          <w:szCs w:val="24"/>
        </w:rPr>
        <w:t xml:space="preserve"> apply.</w:t>
      </w:r>
    </w:p>
    <w:p w:rsidR="00642B6A" w:rsidRPr="00642B6A" w:rsidP="00C96955" w14:paraId="4287734D"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 xml:space="preserve">Explain each exception to the certification statement identified in Item 19, </w:t>
      </w:r>
      <w:r w:rsidR="008E0C3B">
        <w:rPr>
          <w:rFonts w:eastAsia="Times New Roman" w:cs="Times New Roman"/>
          <w:b/>
          <w:szCs w:val="24"/>
        </w:rPr>
        <w:t>“</w:t>
      </w:r>
      <w:r w:rsidRPr="00642B6A">
        <w:rPr>
          <w:rFonts w:eastAsia="Times New Roman" w:cs="Times New Roman"/>
          <w:b/>
          <w:szCs w:val="24"/>
        </w:rPr>
        <w:t>Certification for Paperwork Reduction Act Submissions,</w:t>
      </w:r>
      <w:r w:rsidR="008E0C3B">
        <w:rPr>
          <w:rFonts w:eastAsia="Times New Roman" w:cs="Times New Roman"/>
          <w:b/>
          <w:szCs w:val="24"/>
        </w:rPr>
        <w:t>”</w:t>
      </w:r>
      <w:r w:rsidRPr="00642B6A">
        <w:rPr>
          <w:rFonts w:eastAsia="Times New Roman" w:cs="Times New Roman"/>
          <w:b/>
          <w:szCs w:val="24"/>
        </w:rPr>
        <w:t xml:space="preserve"> of OMB Form 83-I.</w:t>
      </w:r>
    </w:p>
    <w:p w:rsidR="0070144D" w:rsidP="00942FE5" w14:paraId="5A601BAF" w14:textId="7395953C">
      <w:pPr>
        <w:spacing w:after="240"/>
        <w:jc w:val="both"/>
        <w:rPr>
          <w:rFonts w:eastAsia="Times New Roman" w:cs="Times New Roman"/>
          <w:szCs w:val="24"/>
        </w:rPr>
        <w:sectPr w:rsidSect="00585718">
          <w:pgSz w:w="12240" w:h="15840"/>
          <w:pgMar w:top="1440" w:right="1440" w:bottom="1440" w:left="1440" w:header="720" w:footer="720" w:gutter="0"/>
          <w:cols w:space="720"/>
          <w:docGrid w:linePitch="360"/>
        </w:sectPr>
      </w:pPr>
      <w:r>
        <w:rPr>
          <w:rFonts w:eastAsia="Times New Roman" w:cs="Times New Roman"/>
          <w:szCs w:val="24"/>
        </w:rPr>
        <w:t>This question do</w:t>
      </w:r>
      <w:r w:rsidRPr="00642B6A" w:rsidR="00642B6A">
        <w:rPr>
          <w:rFonts w:eastAsia="Times New Roman" w:cs="Times New Roman"/>
          <w:szCs w:val="24"/>
        </w:rPr>
        <w:t>es not apply.</w:t>
      </w:r>
    </w:p>
    <w:p w:rsidR="00642B6A" w:rsidRPr="009A7AB6" w:rsidP="0070144D" w14:paraId="42877351" w14:textId="77777777">
      <w:pPr>
        <w:tabs>
          <w:tab w:val="left" w:pos="-720"/>
        </w:tabs>
        <w:spacing w:after="240"/>
        <w:jc w:val="center"/>
        <w:rPr>
          <w:rFonts w:eastAsia="Times New Roman" w:cs="Times New Roman"/>
          <w:b/>
          <w:szCs w:val="24"/>
          <w:u w:val="single"/>
        </w:rPr>
      </w:pPr>
      <w:r w:rsidRPr="009A7AB6">
        <w:rPr>
          <w:rFonts w:eastAsia="Times New Roman" w:cs="Times New Roman"/>
          <w:b/>
          <w:szCs w:val="24"/>
          <w:u w:val="single"/>
        </w:rPr>
        <w:t>Attachment A</w:t>
      </w:r>
    </w:p>
    <w:p w:rsidR="0028137E" w:rsidP="0070144D" w14:paraId="5D03D93A" w14:textId="4A0F791F">
      <w:pPr>
        <w:spacing w:after="240"/>
        <w:jc w:val="center"/>
        <w:rPr>
          <w:b/>
          <w:szCs w:val="24"/>
        </w:rPr>
      </w:pPr>
      <w:r>
        <w:rPr>
          <w:rFonts w:eastAsia="Times New Roman" w:cs="Times New Roman"/>
          <w:b/>
        </w:rPr>
        <w:t xml:space="preserve">OMB Control Number 3038-0111 – </w:t>
      </w:r>
      <w:r w:rsidRPr="001F5592" w:rsidR="001F5592">
        <w:rPr>
          <w:rFonts w:eastAsia="Times New Roman" w:cs="Times New Roman"/>
          <w:b/>
        </w:rPr>
        <w:t>Margin Requirements for Uncleared Swaps for Swap Dealers and Major Swap Participants</w:t>
      </w:r>
      <w:r w:rsidRPr="00BA3AE5" w:rsidR="00BA3AE5">
        <w:rPr>
          <w:b/>
          <w:szCs w:val="24"/>
        </w:rPr>
        <w:t>—Cross-Border Application of the Margin Requirements</w:t>
      </w:r>
    </w:p>
    <w:p w:rsidR="006F5E4E" w:rsidP="006F5E4E" w14:paraId="55BA0823" w14:textId="77777777">
      <w:pPr>
        <w:spacing w:after="120"/>
        <w:jc w:val="center"/>
        <w:rPr>
          <w:rFonts w:eastAsia="Times New Roman" w:cs="Times New Roman"/>
        </w:rPr>
      </w:pPr>
      <w:r>
        <w:rPr>
          <w:rFonts w:eastAsia="Times New Roman" w:cs="Times New Roman"/>
        </w:rPr>
        <w:t>Number of Registrants/Respondents: 76</w:t>
      </w:r>
    </w:p>
    <w:p w:rsidR="006F5E4E" w:rsidP="006F5E4E" w14:paraId="5CD70EF0" w14:textId="77777777">
      <w:pPr>
        <w:spacing w:after="120"/>
        <w:jc w:val="center"/>
        <w:rPr>
          <w:rFonts w:eastAsia="Times New Roman" w:cs="Times New Roman"/>
        </w:rPr>
      </w:pPr>
      <w:r>
        <w:rPr>
          <w:rFonts w:eastAsia="Times New Roman" w:cs="Times New Roman"/>
        </w:rPr>
        <w:t>Frequency of Reporting/Recordkeeping: Once, As needed</w:t>
      </w:r>
    </w:p>
    <w:p w:rsidR="006F5E4E" w:rsidP="006F5E4E" w14:paraId="4165006D" w14:textId="77777777">
      <w:pPr>
        <w:spacing w:after="120"/>
        <w:jc w:val="center"/>
        <w:rPr>
          <w:rFonts w:eastAsia="Times New Roman" w:cs="Times New Roman"/>
        </w:rPr>
      </w:pPr>
      <w:r>
        <w:rPr>
          <w:rFonts w:eastAsia="Times New Roman" w:cs="Times New Roman"/>
        </w:rPr>
        <w:t>Estimated Average Burden Hours Per Registrant: 210</w:t>
      </w:r>
    </w:p>
    <w:p w:rsidR="006F5E4E" w:rsidP="006F5E4E" w14:paraId="5ACE3D5F" w14:textId="77777777">
      <w:pPr>
        <w:spacing w:after="120"/>
        <w:jc w:val="center"/>
        <w:rPr>
          <w:rFonts w:eastAsia="Times New Roman" w:cs="Times New Roman"/>
        </w:rPr>
      </w:pPr>
      <w:r>
        <w:rPr>
          <w:rFonts w:eastAsia="Times New Roman" w:cs="Times New Roman"/>
        </w:rPr>
        <w:t>Estimated Aggregate Burden Hours: 2,980</w:t>
      </w:r>
    </w:p>
    <w:p w:rsidR="006F5E4E" w:rsidP="006F5E4E" w14:paraId="3515554E" w14:textId="77777777">
      <w:pPr>
        <w:spacing w:after="120"/>
        <w:jc w:val="center"/>
        <w:rPr>
          <w:rFonts w:eastAsia="Times New Roman" w:cs="Times New Roman"/>
        </w:rPr>
      </w:pPr>
      <w:r>
        <w:rPr>
          <w:rFonts w:eastAsia="Times New Roman" w:cs="Times New Roman"/>
        </w:rPr>
        <w:t xml:space="preserve">Estimated Annual Cost Per Registrant: $21,000 </w:t>
      </w:r>
    </w:p>
    <w:p w:rsidR="006F5E4E" w:rsidP="006F5E4E" w14:paraId="0E766B7A" w14:textId="77777777">
      <w:pPr>
        <w:spacing w:after="120"/>
        <w:jc w:val="center"/>
        <w:rPr>
          <w:rFonts w:eastAsia="Times New Roman" w:cs="Times New Roman"/>
        </w:rPr>
      </w:pPr>
      <w:r>
        <w:rPr>
          <w:rFonts w:eastAsia="Times New Roman" w:cs="Times New Roman"/>
        </w:rPr>
        <w:t>Estimated Aggregate Annual Cost: $298,000</w:t>
      </w:r>
    </w:p>
    <w:p w:rsidR="006F5E4E" w:rsidRPr="006F5E4E" w:rsidP="006F5E4E" w14:paraId="35D6B08D" w14:textId="6BF46877">
      <w:pPr>
        <w:spacing w:after="120"/>
        <w:jc w:val="center"/>
        <w:rPr>
          <w:rFonts w:eastAsia="Times New Roman" w:cs="Times New Roman"/>
        </w:rPr>
      </w:pPr>
      <w:r>
        <w:rPr>
          <w:rFonts w:eastAsia="Times New Roman" w:cs="Times New Roman"/>
        </w:rPr>
        <w:t>% of Responses Collected Electronically: 100%</w:t>
      </w:r>
    </w:p>
    <w:p w:rsidR="0028137E" w:rsidP="00BE056E" w14:paraId="2E028E4C" w14:textId="77777777">
      <w:pPr>
        <w:rPr>
          <w:rFonts w:eastAsia="Times New Roman" w:cs="Times New Roman"/>
        </w:rPr>
      </w:pPr>
    </w:p>
    <w:tbl>
      <w:tblPr>
        <w:tblW w:w="10890" w:type="dxa"/>
        <w:jc w:val="center"/>
        <w:tblLayout w:type="fixed"/>
        <w:tblCellMar>
          <w:left w:w="10" w:type="dxa"/>
          <w:right w:w="10" w:type="dxa"/>
        </w:tblCellMar>
        <w:tblLook w:val="0000"/>
      </w:tblPr>
      <w:tblGrid>
        <w:gridCol w:w="2234"/>
        <w:gridCol w:w="1250"/>
        <w:gridCol w:w="1141"/>
        <w:gridCol w:w="1141"/>
        <w:gridCol w:w="981"/>
        <w:gridCol w:w="1141"/>
        <w:gridCol w:w="1070"/>
        <w:gridCol w:w="821"/>
        <w:gridCol w:w="1111"/>
      </w:tblGrid>
      <w:tr w14:paraId="2B5A7336" w14:textId="77777777" w:rsidTr="009A7AB6">
        <w:tblPrEx>
          <w:tblW w:w="10890" w:type="dxa"/>
          <w:jc w:val="center"/>
          <w:tblLayout w:type="fixed"/>
          <w:tblCellMar>
            <w:left w:w="10" w:type="dxa"/>
            <w:right w:w="10" w:type="dxa"/>
          </w:tblCellMar>
          <w:tblLook w:val="0000"/>
        </w:tblPrEx>
        <w:trPr>
          <w:jc w:val="center"/>
        </w:trPr>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3319B9F9"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1.</w:t>
            </w:r>
          </w:p>
          <w:p w:rsidR="0028137E" w:rsidP="003C2AD8" w14:paraId="7D00606B" w14:textId="77777777">
            <w:pPr>
              <w:tabs>
                <w:tab w:val="left" w:pos="-720"/>
                <w:tab w:val="left" w:pos="0"/>
              </w:tabs>
              <w:suppressAutoHyphens/>
              <w:jc w:val="center"/>
            </w:pPr>
            <w:r>
              <w:rPr>
                <w:rFonts w:ascii="Arial" w:eastAsia="Arial" w:hAnsi="Arial" w:cs="Arial"/>
                <w:b/>
                <w:sz w:val="16"/>
              </w:rPr>
              <w:t>Regulation(s)</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127FD658"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2.</w:t>
            </w:r>
          </w:p>
          <w:p w:rsidR="0028137E" w:rsidP="003C2AD8" w14:paraId="4D4EAFFB"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 xml:space="preserve">Estimated Number of Respondents </w:t>
            </w:r>
          </w:p>
          <w:p w:rsidR="0028137E" w:rsidP="003C2AD8" w14:paraId="5EC20AFF" w14:textId="77777777">
            <w:pPr>
              <w:tabs>
                <w:tab w:val="left" w:pos="-720"/>
                <w:tab w:val="left" w:pos="0"/>
              </w:tabs>
              <w:suppressAutoHyphens/>
              <w:jc w:val="cente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552CB82B"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3.</w:t>
            </w:r>
          </w:p>
          <w:p w:rsidR="0028137E" w:rsidP="003C2AD8" w14:paraId="2FA23A2A"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Estimated Number of Reports</w:t>
            </w:r>
          </w:p>
          <w:p w:rsidR="0028137E" w:rsidP="003C2AD8" w14:paraId="7D9E305A" w14:textId="77777777">
            <w:pPr>
              <w:tabs>
                <w:tab w:val="left" w:pos="-720"/>
                <w:tab w:val="left" w:pos="0"/>
              </w:tabs>
              <w:suppressAutoHyphens/>
              <w:jc w:val="center"/>
            </w:pPr>
            <w:r>
              <w:rPr>
                <w:rFonts w:ascii="Arial" w:eastAsia="Arial" w:hAnsi="Arial" w:cs="Arial"/>
                <w:b/>
                <w:sz w:val="16"/>
              </w:rPr>
              <w:t>by Each Respondent</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38B1D765"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4.</w:t>
            </w:r>
          </w:p>
          <w:p w:rsidR="0028137E" w:rsidP="003C2AD8" w14:paraId="19A10A59" w14:textId="20D3713D">
            <w:pPr>
              <w:tabs>
                <w:tab w:val="left" w:pos="-720"/>
                <w:tab w:val="left" w:pos="0"/>
              </w:tabs>
              <w:suppressAutoHyphens/>
              <w:jc w:val="center"/>
              <w:rPr>
                <w:rFonts w:ascii="Arial" w:eastAsia="Arial" w:hAnsi="Arial" w:cs="Arial"/>
                <w:b/>
                <w:sz w:val="16"/>
              </w:rPr>
            </w:pPr>
            <w:r>
              <w:rPr>
                <w:rFonts w:ascii="Arial" w:eastAsia="Arial" w:hAnsi="Arial" w:cs="Arial"/>
                <w:b/>
                <w:sz w:val="16"/>
              </w:rPr>
              <w:t>Annual Number of Burden Hours per Respondent</w:t>
            </w:r>
          </w:p>
          <w:p w:rsidR="0028137E" w:rsidP="003C2AD8" w14:paraId="5216A4D7" w14:textId="77777777">
            <w:pPr>
              <w:tabs>
                <w:tab w:val="left" w:pos="-720"/>
                <w:tab w:val="left" w:pos="0"/>
              </w:tabs>
              <w:suppressAutoHyphens/>
              <w:jc w:val="center"/>
            </w:pP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49BEA1E6"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 xml:space="preserve">5. </w:t>
            </w:r>
          </w:p>
          <w:p w:rsidR="0028137E" w:rsidP="003C2AD8" w14:paraId="3155CD92"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Estimated Average Burden Hour Cost</w:t>
            </w:r>
          </w:p>
          <w:p w:rsidR="0028137E" w:rsidP="003C2AD8" w14:paraId="43BC2BC9" w14:textId="77777777">
            <w:pPr>
              <w:tabs>
                <w:tab w:val="left" w:pos="-720"/>
                <w:tab w:val="left" w:pos="0"/>
              </w:tabs>
              <w:suppressAutoHyphens/>
              <w:jc w:val="cente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24E89E61" w14:textId="77777777">
            <w:pPr>
              <w:jc w:val="center"/>
              <w:rPr>
                <w:rFonts w:ascii="Arial" w:eastAsia="Arial" w:hAnsi="Arial" w:cs="Arial"/>
                <w:b/>
                <w:sz w:val="16"/>
              </w:rPr>
            </w:pPr>
            <w:r>
              <w:rPr>
                <w:rFonts w:ascii="Arial" w:eastAsia="Arial" w:hAnsi="Arial" w:cs="Arial"/>
                <w:b/>
                <w:sz w:val="16"/>
              </w:rPr>
              <w:t>6.</w:t>
            </w:r>
          </w:p>
          <w:p w:rsidR="0028137E" w:rsidP="003C2AD8" w14:paraId="0B10B959" w14:textId="77777777">
            <w:pPr>
              <w:jc w:val="center"/>
              <w:rPr>
                <w:rFonts w:ascii="Arial" w:eastAsia="Arial" w:hAnsi="Arial" w:cs="Arial"/>
                <w:b/>
                <w:sz w:val="16"/>
              </w:rPr>
            </w:pPr>
            <w:r>
              <w:rPr>
                <w:rFonts w:ascii="Arial" w:eastAsia="Arial" w:hAnsi="Arial" w:cs="Arial"/>
                <w:b/>
                <w:sz w:val="16"/>
              </w:rPr>
              <w:t>Total Average Hour Burden Cost Per Respondent</w:t>
            </w:r>
          </w:p>
          <w:p w:rsidR="0028137E" w:rsidP="003C2AD8" w14:paraId="1BA33119" w14:textId="349A95E2">
            <w:pPr>
              <w:jc w:val="center"/>
            </w:pPr>
            <w:r>
              <w:rPr>
                <w:rFonts w:ascii="Arial" w:eastAsia="Arial" w:hAnsi="Arial" w:cs="Arial"/>
                <w:b/>
                <w:sz w:val="16"/>
              </w:rPr>
              <w:t>(4</w:t>
            </w:r>
            <w:r w:rsidR="008A7D9A">
              <w:rPr>
                <w:rFonts w:ascii="Arial" w:eastAsia="Arial" w:hAnsi="Arial" w:cs="Arial"/>
                <w:b/>
                <w:sz w:val="16"/>
              </w:rPr>
              <w:t>×</w:t>
            </w:r>
            <w:r>
              <w:rPr>
                <w:rFonts w:ascii="Arial" w:eastAsia="Arial" w:hAnsi="Arial" w:cs="Arial"/>
                <w:b/>
                <w:sz w:val="16"/>
              </w:rPr>
              <w:t>5)</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5E9F5489"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7.</w:t>
            </w:r>
          </w:p>
          <w:p w:rsidR="0028137E" w:rsidP="003C2AD8" w14:paraId="217AFE69"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Total Annual</w:t>
            </w:r>
          </w:p>
          <w:p w:rsidR="0028137E" w:rsidP="003C2AD8" w14:paraId="067ED88A"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Responses</w:t>
            </w:r>
          </w:p>
          <w:p w:rsidR="0028137E" w:rsidP="003C2AD8" w14:paraId="4B45EA2B" w14:textId="14599B99">
            <w:pPr>
              <w:tabs>
                <w:tab w:val="left" w:pos="-720"/>
                <w:tab w:val="left" w:pos="0"/>
              </w:tabs>
              <w:suppressAutoHyphens/>
              <w:jc w:val="center"/>
            </w:pPr>
            <w:r>
              <w:rPr>
                <w:rFonts w:ascii="Arial" w:eastAsia="Arial" w:hAnsi="Arial" w:cs="Arial"/>
                <w:b/>
                <w:sz w:val="16"/>
              </w:rPr>
              <w:t>(2</w:t>
            </w:r>
            <w:r w:rsidR="008A7D9A">
              <w:rPr>
                <w:rFonts w:ascii="Arial" w:eastAsia="Arial" w:hAnsi="Arial" w:cs="Arial"/>
                <w:b/>
                <w:sz w:val="16"/>
              </w:rPr>
              <w:t>×</w:t>
            </w:r>
            <w:r>
              <w:rPr>
                <w:rFonts w:ascii="Arial" w:eastAsia="Arial" w:hAnsi="Arial" w:cs="Arial"/>
                <w:b/>
                <w:sz w:val="16"/>
              </w:rPr>
              <w:t>3)</w:t>
            </w:r>
          </w:p>
        </w:tc>
        <w:tc>
          <w:tcPr>
            <w:tcW w:w="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54354AC3"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8.</w:t>
            </w:r>
          </w:p>
          <w:p w:rsidR="0028137E" w:rsidP="003C2AD8" w14:paraId="1B81FE33" w14:textId="7F130E97">
            <w:pPr>
              <w:tabs>
                <w:tab w:val="left" w:pos="-720"/>
                <w:tab w:val="left" w:pos="0"/>
              </w:tabs>
              <w:suppressAutoHyphens/>
              <w:jc w:val="center"/>
              <w:rPr>
                <w:rFonts w:ascii="Arial" w:eastAsia="Arial" w:hAnsi="Arial" w:cs="Arial"/>
                <w:b/>
                <w:sz w:val="16"/>
              </w:rPr>
            </w:pPr>
            <w:r>
              <w:rPr>
                <w:rFonts w:ascii="Arial" w:eastAsia="Arial" w:hAnsi="Arial" w:cs="Arial"/>
                <w:b/>
                <w:sz w:val="16"/>
              </w:rPr>
              <w:t>Total Annual Number of Burden Hours</w:t>
            </w:r>
          </w:p>
          <w:p w:rsidR="0028137E" w:rsidP="003C2AD8" w14:paraId="65019875" w14:textId="619494D1">
            <w:pPr>
              <w:tabs>
                <w:tab w:val="left" w:pos="-720"/>
                <w:tab w:val="left" w:pos="0"/>
              </w:tabs>
              <w:suppressAutoHyphens/>
              <w:jc w:val="center"/>
            </w:pPr>
            <w:r>
              <w:rPr>
                <w:rFonts w:ascii="Arial" w:eastAsia="Arial" w:hAnsi="Arial" w:cs="Arial"/>
                <w:b/>
                <w:sz w:val="16"/>
              </w:rPr>
              <w:t>(2</w:t>
            </w:r>
            <w:r w:rsidR="008A7D9A">
              <w:rPr>
                <w:rFonts w:ascii="Arial" w:eastAsia="Arial" w:hAnsi="Arial" w:cs="Arial"/>
                <w:b/>
                <w:sz w:val="16"/>
              </w:rPr>
              <w:t>×</w:t>
            </w:r>
            <w:r>
              <w:rPr>
                <w:rFonts w:ascii="Arial" w:eastAsia="Arial" w:hAnsi="Arial" w:cs="Arial"/>
                <w:b/>
                <w:sz w:val="16"/>
              </w:rPr>
              <w:t>4)</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0942A79C"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9.</w:t>
            </w:r>
          </w:p>
          <w:p w:rsidR="0028137E" w:rsidP="003C2AD8" w14:paraId="5D24BCC0"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Total Annual Burden Hour Cost of All Responses</w:t>
            </w:r>
          </w:p>
          <w:p w:rsidR="0028137E" w:rsidP="003C2AD8" w14:paraId="6569EA9D" w14:textId="0CD2C6F9">
            <w:pPr>
              <w:tabs>
                <w:tab w:val="left" w:pos="-720"/>
                <w:tab w:val="left" w:pos="0"/>
              </w:tabs>
              <w:suppressAutoHyphens/>
              <w:jc w:val="center"/>
            </w:pPr>
            <w:r>
              <w:rPr>
                <w:rFonts w:ascii="Arial" w:eastAsia="Arial" w:hAnsi="Arial" w:cs="Arial"/>
                <w:b/>
                <w:sz w:val="16"/>
              </w:rPr>
              <w:t>(2</w:t>
            </w:r>
            <w:r w:rsidR="008A7D9A">
              <w:rPr>
                <w:rFonts w:ascii="Arial" w:eastAsia="Arial" w:hAnsi="Arial" w:cs="Arial"/>
                <w:b/>
                <w:sz w:val="16"/>
              </w:rPr>
              <w:t>×</w:t>
            </w:r>
            <w:r>
              <w:rPr>
                <w:rFonts w:ascii="Arial" w:eastAsia="Arial" w:hAnsi="Arial" w:cs="Arial"/>
                <w:b/>
                <w:sz w:val="16"/>
              </w:rPr>
              <w:t>6)</w:t>
            </w:r>
          </w:p>
        </w:tc>
      </w:tr>
      <w:tr w14:paraId="083EFAD4" w14:textId="77777777" w:rsidTr="009A7AB6">
        <w:tblPrEx>
          <w:tblW w:w="10890" w:type="dxa"/>
          <w:jc w:val="center"/>
          <w:tblLayout w:type="fixed"/>
          <w:tblCellMar>
            <w:left w:w="10" w:type="dxa"/>
            <w:right w:w="10" w:type="dxa"/>
          </w:tblCellMar>
          <w:tblLook w:val="0000"/>
        </w:tblPrEx>
        <w:trPr>
          <w:jc w:val="center"/>
        </w:trPr>
        <w:tc>
          <w:tcPr>
            <w:tcW w:w="10890"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524C" w:rsidP="001D2DE8" w14:paraId="10CC49FC" w14:textId="6AAE70A9">
            <w:pPr>
              <w:tabs>
                <w:tab w:val="left" w:pos="-720"/>
                <w:tab w:val="left" w:pos="0"/>
              </w:tabs>
              <w:suppressAutoHyphens/>
              <w:jc w:val="center"/>
              <w:rPr>
                <w:rFonts w:ascii="Arial" w:eastAsia="Arial" w:hAnsi="Arial" w:cs="Arial"/>
                <w:b/>
                <w:sz w:val="16"/>
              </w:rPr>
            </w:pPr>
            <w:r>
              <w:rPr>
                <w:rFonts w:ascii="Arial" w:eastAsia="Arial" w:hAnsi="Arial" w:cs="Arial"/>
                <w:b/>
                <w:sz w:val="16"/>
              </w:rPr>
              <w:t xml:space="preserve">Reporting </w:t>
            </w:r>
          </w:p>
        </w:tc>
      </w:tr>
      <w:tr w14:paraId="274A440D" w14:textId="77777777" w:rsidTr="009A7AB6">
        <w:tblPrEx>
          <w:tblW w:w="10890" w:type="dxa"/>
          <w:jc w:val="center"/>
          <w:tblLayout w:type="fixed"/>
          <w:tblCellMar>
            <w:left w:w="10" w:type="dxa"/>
            <w:right w:w="10" w:type="dxa"/>
          </w:tblCellMar>
          <w:tblLook w:val="0000"/>
        </w:tblPrEx>
        <w:trPr>
          <w:jc w:val="center"/>
        </w:trPr>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6AC" w:rsidP="003C2AD8" w14:paraId="4EF90941" w14:textId="77777777">
            <w:pPr>
              <w:tabs>
                <w:tab w:val="left" w:pos="-720"/>
                <w:tab w:val="left" w:pos="0"/>
              </w:tabs>
              <w:suppressAutoHyphens/>
              <w:jc w:val="center"/>
              <w:rPr>
                <w:rFonts w:ascii="Arial" w:eastAsia="Arial" w:hAnsi="Arial" w:cs="Arial"/>
                <w:b/>
                <w:sz w:val="16"/>
              </w:rPr>
            </w:pPr>
            <w:r>
              <w:rPr>
                <w:rFonts w:ascii="Arial" w:eastAsia="Arial" w:hAnsi="Arial" w:cs="Arial"/>
                <w:b/>
                <w:sz w:val="16"/>
              </w:rPr>
              <w:t>Comparability</w:t>
            </w:r>
            <w:r w:rsidR="0070144D">
              <w:rPr>
                <w:rFonts w:ascii="Arial" w:eastAsia="Arial" w:hAnsi="Arial" w:cs="Arial"/>
                <w:b/>
                <w:sz w:val="16"/>
              </w:rPr>
              <w:t xml:space="preserve"> Determinations</w:t>
            </w:r>
          </w:p>
          <w:p w:rsidR="0028137E" w:rsidP="003C2AD8" w14:paraId="4802A0DB" w14:textId="0200FDEC">
            <w:pPr>
              <w:tabs>
                <w:tab w:val="left" w:pos="-720"/>
                <w:tab w:val="left" w:pos="0"/>
              </w:tabs>
              <w:suppressAutoHyphens/>
              <w:jc w:val="center"/>
            </w:pPr>
            <w:r>
              <w:rPr>
                <w:rFonts w:ascii="Arial" w:eastAsia="Arial" w:hAnsi="Arial" w:cs="Arial"/>
                <w:b/>
                <w:sz w:val="16"/>
              </w:rPr>
              <w:t>(</w:t>
            </w:r>
            <w:r>
              <w:rPr>
                <w:rFonts w:ascii="Arial" w:eastAsia="Arial" w:hAnsi="Arial" w:cs="Arial"/>
                <w:b/>
                <w:sz w:val="16"/>
              </w:rPr>
              <w:t>23.160(c)</w:t>
            </w:r>
            <w:r>
              <w:rPr>
                <w:rFonts w:ascii="Arial" w:eastAsia="Arial" w:hAnsi="Arial" w:cs="Arial"/>
                <w:b/>
                <w:sz w:val="16"/>
              </w:rPr>
              <w: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28137E" w14:paraId="27E1BAEA" w14:textId="3C6F3FA3">
            <w:pPr>
              <w:tabs>
                <w:tab w:val="left" w:pos="-720"/>
                <w:tab w:val="left" w:pos="0"/>
              </w:tabs>
              <w:suppressAutoHyphens/>
              <w:jc w:val="center"/>
            </w:pPr>
            <w:r>
              <w:rPr>
                <w:rFonts w:ascii="Arial" w:eastAsia="Arial" w:hAnsi="Arial" w:cs="Arial"/>
                <w:b/>
                <w:sz w:val="16"/>
              </w:rPr>
              <w:t>14</w:t>
            </w:r>
            <w:r>
              <w:rPr>
                <w:rFonts w:ascii="Arial" w:eastAsia="Arial" w:hAnsi="Arial" w:cs="Arial"/>
                <w:b/>
                <w:sz w:val="16"/>
                <w:vertAlign w:val="superscript"/>
              </w:rPr>
              <w:t>1</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19CC762E" w14:textId="77777777">
            <w:pPr>
              <w:tabs>
                <w:tab w:val="left" w:pos="-720"/>
                <w:tab w:val="left" w:pos="0"/>
              </w:tabs>
              <w:suppressAutoHyphens/>
              <w:jc w:val="center"/>
            </w:pPr>
            <w:r>
              <w:rPr>
                <w:rFonts w:ascii="Arial" w:eastAsia="Arial" w:hAnsi="Arial" w:cs="Arial"/>
                <w:b/>
                <w:sz w:val="16"/>
              </w:rPr>
              <w:t>1</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7615A6" w14:paraId="53DE8E03" w14:textId="71559730">
            <w:pPr>
              <w:tabs>
                <w:tab w:val="left" w:pos="-720"/>
                <w:tab w:val="left" w:pos="0"/>
              </w:tabs>
              <w:suppressAutoHyphens/>
              <w:jc w:val="center"/>
            </w:pPr>
            <w:r>
              <w:rPr>
                <w:rFonts w:ascii="Arial" w:eastAsia="Arial" w:hAnsi="Arial" w:cs="Arial"/>
                <w:b/>
                <w:sz w:val="16"/>
              </w:rPr>
              <w:t>40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10CD" w:rsidP="001D2DE8" w14:paraId="403C64DE" w14:textId="0A98BA95">
            <w:pPr>
              <w:tabs>
                <w:tab w:val="left" w:pos="-720"/>
                <w:tab w:val="left" w:pos="0"/>
              </w:tabs>
              <w:suppressAutoHyphens/>
              <w:jc w:val="center"/>
              <w:rPr>
                <w:rFonts w:ascii="Arial" w:eastAsia="Arial" w:hAnsi="Arial" w:cs="Arial"/>
                <w:b/>
                <w:sz w:val="16"/>
              </w:rPr>
            </w:pPr>
            <w:r>
              <w:rPr>
                <w:rFonts w:ascii="Arial" w:eastAsia="Arial" w:hAnsi="Arial" w:cs="Arial"/>
                <w:b/>
                <w:sz w:val="16"/>
              </w:rPr>
              <w:t>$</w:t>
            </w:r>
            <w:r w:rsidRPr="002B10CD">
              <w:rPr>
                <w:rFonts w:ascii="Arial" w:eastAsia="Arial" w:hAnsi="Arial" w:cs="Arial"/>
                <w:b/>
                <w:sz w:val="16"/>
              </w:rPr>
              <w:t>100</w:t>
            </w:r>
          </w:p>
          <w:p w:rsidR="0028137E" w:rsidP="001D2DE8" w14:paraId="1BFAF7FC" w14:textId="73DFAF91">
            <w:pPr>
              <w:tabs>
                <w:tab w:val="left" w:pos="-720"/>
                <w:tab w:val="left" w:pos="0"/>
              </w:tabs>
              <w:suppressAutoHyphens/>
              <w:jc w:val="cente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10CD" w:rsidP="001D2DE8" w14:paraId="0101C987" w14:textId="203AA020">
            <w:pPr>
              <w:rPr>
                <w:rFonts w:ascii="Arial" w:eastAsia="Arial" w:hAnsi="Arial" w:cs="Arial"/>
                <w:b/>
                <w:sz w:val="16"/>
              </w:rPr>
            </w:pPr>
            <w:r>
              <w:rPr>
                <w:rFonts w:ascii="Arial" w:eastAsia="Arial" w:hAnsi="Arial" w:cs="Arial"/>
                <w:b/>
                <w:sz w:val="16"/>
              </w:rPr>
              <w:t>$</w:t>
            </w:r>
            <w:r>
              <w:rPr>
                <w:rFonts w:ascii="Arial" w:eastAsia="Arial" w:hAnsi="Arial" w:cs="Arial"/>
                <w:b/>
                <w:sz w:val="16"/>
              </w:rPr>
              <w:t>4,000</w:t>
            </w:r>
          </w:p>
          <w:p w:rsidR="0028137E" w:rsidP="001D2DE8" w14:paraId="060851CC" w14:textId="675F3D18"/>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0836AB05" w14:textId="2A461B0C">
            <w:pPr>
              <w:tabs>
                <w:tab w:val="left" w:pos="-720"/>
                <w:tab w:val="left" w:pos="0"/>
              </w:tabs>
              <w:suppressAutoHyphens/>
              <w:jc w:val="center"/>
            </w:pPr>
            <w:r>
              <w:rPr>
                <w:rFonts w:ascii="Arial" w:eastAsia="Arial" w:hAnsi="Arial" w:cs="Arial"/>
                <w:b/>
                <w:sz w:val="16"/>
              </w:rPr>
              <w:t>14</w:t>
            </w:r>
          </w:p>
        </w:tc>
        <w:tc>
          <w:tcPr>
            <w:tcW w:w="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344BA33A" w14:textId="55B529DC">
            <w:pPr>
              <w:tabs>
                <w:tab w:val="left" w:pos="-720"/>
                <w:tab w:val="left" w:pos="0"/>
              </w:tabs>
              <w:suppressAutoHyphens/>
              <w:jc w:val="center"/>
            </w:pPr>
            <w:r>
              <w:rPr>
                <w:rFonts w:ascii="Arial" w:eastAsia="Arial" w:hAnsi="Arial" w:cs="Arial"/>
                <w:b/>
                <w:sz w:val="16"/>
              </w:rPr>
              <w:t>560</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10CD" w:rsidP="001D2DE8" w14:paraId="04642311" w14:textId="041DB5BC">
            <w:pPr>
              <w:tabs>
                <w:tab w:val="left" w:pos="-720"/>
                <w:tab w:val="left" w:pos="0"/>
              </w:tabs>
              <w:suppressAutoHyphens/>
              <w:jc w:val="center"/>
              <w:rPr>
                <w:rFonts w:ascii="Arial" w:eastAsia="Arial" w:hAnsi="Arial" w:cs="Arial"/>
                <w:b/>
                <w:sz w:val="16"/>
              </w:rPr>
            </w:pPr>
            <w:r>
              <w:rPr>
                <w:rFonts w:ascii="Arial" w:eastAsia="Arial" w:hAnsi="Arial" w:cs="Arial"/>
                <w:b/>
                <w:sz w:val="16"/>
              </w:rPr>
              <w:t>$</w:t>
            </w:r>
            <w:r>
              <w:rPr>
                <w:rFonts w:ascii="Arial" w:eastAsia="Arial" w:hAnsi="Arial" w:cs="Arial"/>
                <w:b/>
                <w:sz w:val="16"/>
              </w:rPr>
              <w:t>56,000</w:t>
            </w:r>
          </w:p>
          <w:p w:rsidR="0028137E" w:rsidP="001D2DE8" w14:paraId="54C1BBB0" w14:textId="5E6D07E5">
            <w:pPr>
              <w:tabs>
                <w:tab w:val="left" w:pos="-720"/>
                <w:tab w:val="left" w:pos="0"/>
              </w:tabs>
              <w:suppressAutoHyphens/>
              <w:jc w:val="center"/>
            </w:pPr>
          </w:p>
        </w:tc>
      </w:tr>
      <w:tr w14:paraId="63BB9DE1" w14:textId="77777777" w:rsidTr="009A7AB6">
        <w:tblPrEx>
          <w:tblW w:w="10890" w:type="dxa"/>
          <w:jc w:val="center"/>
          <w:tblLayout w:type="fixed"/>
          <w:tblCellMar>
            <w:left w:w="10" w:type="dxa"/>
            <w:right w:w="10" w:type="dxa"/>
          </w:tblCellMar>
          <w:tblLook w:val="0000"/>
        </w:tblPrEx>
        <w:trPr>
          <w:jc w:val="center"/>
        </w:trPr>
        <w:tc>
          <w:tcPr>
            <w:tcW w:w="10890"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524C" w:rsidP="001D2DE8" w14:paraId="68035AB4" w14:textId="148FA80A">
            <w:pPr>
              <w:tabs>
                <w:tab w:val="left" w:pos="-720"/>
                <w:tab w:val="left" w:pos="0"/>
              </w:tabs>
              <w:suppressAutoHyphens/>
              <w:jc w:val="center"/>
              <w:rPr>
                <w:rFonts w:ascii="Arial" w:eastAsia="Arial" w:hAnsi="Arial" w:cs="Arial"/>
                <w:b/>
                <w:sz w:val="16"/>
              </w:rPr>
            </w:pPr>
            <w:r>
              <w:rPr>
                <w:rFonts w:ascii="Arial" w:eastAsia="Arial" w:hAnsi="Arial" w:cs="Arial"/>
                <w:b/>
                <w:sz w:val="16"/>
              </w:rPr>
              <w:t>Recordkeeping</w:t>
            </w:r>
          </w:p>
        </w:tc>
      </w:tr>
      <w:tr w14:paraId="12F05791" w14:textId="77777777" w:rsidTr="009A7AB6">
        <w:tblPrEx>
          <w:tblW w:w="10890" w:type="dxa"/>
          <w:jc w:val="center"/>
          <w:tblLayout w:type="fixed"/>
          <w:tblCellMar>
            <w:left w:w="10" w:type="dxa"/>
            <w:right w:w="10" w:type="dxa"/>
          </w:tblCellMar>
          <w:tblLook w:val="0000"/>
        </w:tblPrEx>
        <w:trPr>
          <w:jc w:val="center"/>
        </w:trPr>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51DA" w:rsidP="003C2AD8" w14:paraId="1414A095" w14:textId="074A2F71">
            <w:pPr>
              <w:tabs>
                <w:tab w:val="left" w:pos="-720"/>
                <w:tab w:val="left" w:pos="0"/>
              </w:tabs>
              <w:suppressAutoHyphens/>
              <w:jc w:val="center"/>
              <w:rPr>
                <w:rFonts w:ascii="Arial" w:eastAsia="Arial" w:hAnsi="Arial" w:cs="Arial"/>
                <w:b/>
                <w:sz w:val="16"/>
              </w:rPr>
            </w:pPr>
            <w:r>
              <w:rPr>
                <w:rFonts w:ascii="Arial" w:eastAsia="Arial" w:hAnsi="Arial" w:cs="Arial"/>
                <w:b/>
                <w:sz w:val="16"/>
              </w:rPr>
              <w:t>Non-Netting Juris</w:t>
            </w:r>
            <w:r>
              <w:rPr>
                <w:rFonts w:ascii="Arial" w:eastAsia="Arial" w:hAnsi="Arial" w:cs="Arial"/>
                <w:b/>
                <w:sz w:val="16"/>
              </w:rPr>
              <w:t>dictions</w:t>
            </w:r>
          </w:p>
          <w:p w:rsidR="0028137E" w:rsidP="003C2AD8" w14:paraId="67217CE3" w14:textId="2219F894">
            <w:pPr>
              <w:tabs>
                <w:tab w:val="left" w:pos="-720"/>
                <w:tab w:val="left" w:pos="0"/>
              </w:tabs>
              <w:suppressAutoHyphens/>
              <w:jc w:val="center"/>
            </w:pPr>
            <w:r>
              <w:rPr>
                <w:rFonts w:ascii="Arial" w:eastAsia="Arial" w:hAnsi="Arial" w:cs="Arial"/>
                <w:b/>
                <w:sz w:val="16"/>
              </w:rPr>
              <w:t>(</w:t>
            </w:r>
            <w:r>
              <w:rPr>
                <w:rFonts w:ascii="Arial" w:eastAsia="Arial" w:hAnsi="Arial" w:cs="Arial"/>
                <w:b/>
                <w:sz w:val="16"/>
              </w:rPr>
              <w:t>23.160(d)</w:t>
            </w:r>
            <w:r>
              <w:rPr>
                <w:rFonts w:ascii="Arial" w:eastAsia="Arial" w:hAnsi="Arial" w:cs="Arial"/>
                <w:b/>
                <w:sz w:val="16"/>
              </w:rPr>
              <w: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C556F2" w14:paraId="0AC10C53" w14:textId="56D503C1">
            <w:pPr>
              <w:tabs>
                <w:tab w:val="left" w:pos="-720"/>
                <w:tab w:val="left" w:pos="0"/>
              </w:tabs>
              <w:suppressAutoHyphens/>
              <w:jc w:val="center"/>
            </w:pPr>
            <w:r>
              <w:rPr>
                <w:rFonts w:ascii="Arial" w:eastAsia="Arial" w:hAnsi="Arial" w:cs="Arial"/>
                <w:b/>
                <w:sz w:val="16"/>
              </w:rPr>
              <w:t>5</w:t>
            </w:r>
            <w:r w:rsidR="00E47ADF">
              <w:rPr>
                <w:rFonts w:ascii="Arial" w:eastAsia="Arial" w:hAnsi="Arial" w:cs="Arial"/>
                <w:b/>
                <w:sz w:val="16"/>
              </w:rPr>
              <w:t>0</w:t>
            </w:r>
            <w:r w:rsidR="001F5592">
              <w:rPr>
                <w:rFonts w:ascii="Arial" w:eastAsia="Arial" w:hAnsi="Arial" w:cs="Arial"/>
                <w:b/>
                <w:sz w:val="16"/>
                <w:vertAlign w:val="superscript"/>
              </w:rPr>
              <w:t>2</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2B02894C" w14:textId="77777777">
            <w:pPr>
              <w:tabs>
                <w:tab w:val="left" w:pos="-720"/>
                <w:tab w:val="left" w:pos="0"/>
              </w:tabs>
              <w:suppressAutoHyphens/>
              <w:jc w:val="center"/>
            </w:pPr>
            <w:r>
              <w:rPr>
                <w:rFonts w:ascii="Arial" w:eastAsia="Arial" w:hAnsi="Arial" w:cs="Arial"/>
                <w:b/>
                <w:sz w:val="16"/>
              </w:rPr>
              <w:t>1</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1B59E47B" w14:textId="77777777">
            <w:pPr>
              <w:tabs>
                <w:tab w:val="left" w:pos="-720"/>
                <w:tab w:val="left" w:pos="0"/>
              </w:tabs>
              <w:suppressAutoHyphens/>
              <w:jc w:val="center"/>
            </w:pPr>
            <w:r>
              <w:rPr>
                <w:rFonts w:ascii="Arial" w:eastAsia="Arial" w:hAnsi="Arial" w:cs="Arial"/>
                <w:b/>
                <w:sz w:val="16"/>
              </w:rPr>
              <w:t>10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10CD" w:rsidP="001D2DE8" w14:paraId="509E049A" w14:textId="3D039545">
            <w:pPr>
              <w:tabs>
                <w:tab w:val="left" w:pos="-720"/>
                <w:tab w:val="left" w:pos="0"/>
              </w:tabs>
              <w:suppressAutoHyphens/>
              <w:jc w:val="center"/>
              <w:rPr>
                <w:rFonts w:ascii="Arial" w:eastAsia="Arial" w:hAnsi="Arial" w:cs="Arial"/>
                <w:b/>
                <w:sz w:val="16"/>
              </w:rPr>
            </w:pPr>
            <w:r>
              <w:rPr>
                <w:rFonts w:ascii="Arial" w:eastAsia="Arial" w:hAnsi="Arial" w:cs="Arial"/>
                <w:b/>
                <w:sz w:val="16"/>
              </w:rPr>
              <w:t>$</w:t>
            </w:r>
            <w:r>
              <w:rPr>
                <w:rFonts w:ascii="Arial" w:eastAsia="Arial" w:hAnsi="Arial" w:cs="Arial"/>
                <w:b/>
                <w:sz w:val="16"/>
              </w:rPr>
              <w:t>100</w:t>
            </w:r>
          </w:p>
          <w:p w:rsidR="0028137E" w:rsidP="001D2DE8" w14:paraId="629EFB2E" w14:textId="58A847F0">
            <w:pPr>
              <w:tabs>
                <w:tab w:val="left" w:pos="-720"/>
                <w:tab w:val="left" w:pos="0"/>
              </w:tabs>
              <w:suppressAutoHyphens/>
              <w:jc w:val="cente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RPr="0059653A" w:rsidP="001D2DE8" w14:paraId="0816EBE8" w14:textId="4D824458">
            <w:pPr>
              <w:rPr>
                <w:rFonts w:ascii="Arial" w:hAnsi="Arial"/>
                <w:b/>
                <w:sz w:val="16"/>
              </w:rPr>
            </w:pPr>
            <w:r>
              <w:rPr>
                <w:rFonts w:ascii="Arial" w:eastAsia="Arial" w:hAnsi="Arial" w:cs="Arial"/>
                <w:b/>
                <w:sz w:val="16"/>
              </w:rPr>
              <w:t>$</w:t>
            </w:r>
            <w:r w:rsidR="0019428C">
              <w:rPr>
                <w:rFonts w:ascii="Arial" w:eastAsia="Arial" w:hAnsi="Arial" w:cs="Arial"/>
                <w:b/>
                <w:sz w:val="16"/>
              </w:rPr>
              <w:t>1</w:t>
            </w:r>
            <w:r w:rsidR="002B10CD">
              <w:rPr>
                <w:rFonts w:ascii="Arial" w:eastAsia="Arial" w:hAnsi="Arial" w:cs="Arial"/>
                <w:b/>
                <w:sz w:val="16"/>
              </w:rPr>
              <w:t>,</w:t>
            </w:r>
            <w:r w:rsidR="0019428C">
              <w:rPr>
                <w:rFonts w:ascii="Arial" w:eastAsia="Arial" w:hAnsi="Arial" w:cs="Arial"/>
                <w:b/>
                <w:sz w:val="16"/>
              </w:rPr>
              <w:t>0</w:t>
            </w:r>
            <w:r w:rsidR="002B10CD">
              <w:rPr>
                <w:rFonts w:ascii="Arial" w:eastAsia="Arial" w:hAnsi="Arial" w:cs="Arial"/>
                <w:b/>
                <w:sz w:val="16"/>
              </w:rPr>
              <w:t>00</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C556F2" w14:paraId="7264CEBD" w14:textId="0C09999B">
            <w:pPr>
              <w:tabs>
                <w:tab w:val="left" w:pos="-720"/>
                <w:tab w:val="left" w:pos="0"/>
              </w:tabs>
              <w:suppressAutoHyphens/>
              <w:jc w:val="center"/>
            </w:pPr>
            <w:r>
              <w:rPr>
                <w:rFonts w:ascii="Arial" w:eastAsia="Arial" w:hAnsi="Arial" w:cs="Arial"/>
                <w:b/>
                <w:sz w:val="16"/>
              </w:rPr>
              <w:t>50</w:t>
            </w:r>
          </w:p>
        </w:tc>
        <w:tc>
          <w:tcPr>
            <w:tcW w:w="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28C" w:rsidP="00C556F2" w14:paraId="44721EA4" w14:textId="022D1023">
            <w:pPr>
              <w:tabs>
                <w:tab w:val="left" w:pos="-720"/>
                <w:tab w:val="left" w:pos="0"/>
              </w:tabs>
              <w:suppressAutoHyphens/>
              <w:jc w:val="center"/>
              <w:rPr>
                <w:rFonts w:ascii="Arial" w:eastAsia="Arial" w:hAnsi="Arial" w:cs="Arial"/>
                <w:b/>
                <w:sz w:val="16"/>
              </w:rPr>
            </w:pPr>
            <w:r>
              <w:rPr>
                <w:rFonts w:ascii="Arial" w:eastAsia="Arial" w:hAnsi="Arial" w:cs="Arial"/>
                <w:b/>
                <w:sz w:val="16"/>
              </w:rPr>
              <w:t>500</w:t>
            </w:r>
          </w:p>
          <w:p w:rsidR="0028137E" w:rsidP="00C556F2" w14:paraId="205C0FFD" w14:textId="5059EED8">
            <w:pPr>
              <w:tabs>
                <w:tab w:val="left" w:pos="-720"/>
                <w:tab w:val="left" w:pos="0"/>
              </w:tabs>
              <w:suppressAutoHyphens/>
              <w:jc w:val="center"/>
            </w:pP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28C" w:rsidP="001D2DE8" w14:paraId="117AE2C0" w14:textId="5E5ACE95">
            <w:pPr>
              <w:tabs>
                <w:tab w:val="left" w:pos="-720"/>
                <w:tab w:val="left" w:pos="0"/>
              </w:tabs>
              <w:suppressAutoHyphens/>
              <w:jc w:val="center"/>
              <w:rPr>
                <w:rFonts w:ascii="Arial" w:eastAsia="Arial" w:hAnsi="Arial" w:cs="Arial"/>
                <w:b/>
                <w:sz w:val="16"/>
              </w:rPr>
            </w:pPr>
            <w:r>
              <w:rPr>
                <w:rFonts w:ascii="Arial" w:eastAsia="Arial" w:hAnsi="Arial" w:cs="Arial"/>
                <w:b/>
                <w:sz w:val="16"/>
              </w:rPr>
              <w:t>$</w:t>
            </w:r>
            <w:r w:rsidR="00E47ADF">
              <w:rPr>
                <w:rFonts w:ascii="Arial" w:eastAsia="Arial" w:hAnsi="Arial" w:cs="Arial"/>
                <w:b/>
                <w:sz w:val="16"/>
              </w:rPr>
              <w:t>50</w:t>
            </w:r>
            <w:r>
              <w:rPr>
                <w:rFonts w:ascii="Arial" w:eastAsia="Arial" w:hAnsi="Arial" w:cs="Arial"/>
                <w:b/>
                <w:sz w:val="16"/>
              </w:rPr>
              <w:t>,000</w:t>
            </w:r>
          </w:p>
          <w:p w:rsidR="0028137E" w:rsidP="001D2DE8" w14:paraId="06DE22F9" w14:textId="0FBE9699">
            <w:pPr>
              <w:tabs>
                <w:tab w:val="left" w:pos="-720"/>
                <w:tab w:val="left" w:pos="0"/>
              </w:tabs>
              <w:suppressAutoHyphens/>
              <w:jc w:val="center"/>
            </w:pPr>
          </w:p>
        </w:tc>
      </w:tr>
      <w:tr w14:paraId="653F2157" w14:textId="77777777" w:rsidTr="009A7AB6">
        <w:tblPrEx>
          <w:tblW w:w="10890" w:type="dxa"/>
          <w:jc w:val="center"/>
          <w:tblLayout w:type="fixed"/>
          <w:tblCellMar>
            <w:left w:w="10" w:type="dxa"/>
            <w:right w:w="10" w:type="dxa"/>
          </w:tblCellMar>
          <w:tblLook w:val="0000"/>
        </w:tblPrEx>
        <w:trPr>
          <w:jc w:val="center"/>
        </w:trPr>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51DA" w:rsidP="003C2AD8" w14:paraId="6787E8F2" w14:textId="2D46653B">
            <w:pPr>
              <w:tabs>
                <w:tab w:val="left" w:pos="-720"/>
                <w:tab w:val="left" w:pos="0"/>
              </w:tabs>
              <w:suppressAutoHyphens/>
              <w:jc w:val="center"/>
              <w:rPr>
                <w:rFonts w:ascii="Arial" w:eastAsia="Arial" w:hAnsi="Arial" w:cs="Arial"/>
                <w:b/>
                <w:sz w:val="16"/>
              </w:rPr>
            </w:pPr>
            <w:r>
              <w:rPr>
                <w:rFonts w:ascii="Arial" w:eastAsia="Arial" w:hAnsi="Arial" w:cs="Arial"/>
                <w:b/>
                <w:sz w:val="16"/>
              </w:rPr>
              <w:t>Segregation Jurisdictions</w:t>
            </w:r>
          </w:p>
          <w:p w:rsidR="0028137E" w:rsidP="003C2AD8" w14:paraId="295C167E" w14:textId="6A8E1FE5">
            <w:pPr>
              <w:tabs>
                <w:tab w:val="left" w:pos="-720"/>
                <w:tab w:val="left" w:pos="0"/>
              </w:tabs>
              <w:suppressAutoHyphens/>
              <w:jc w:val="center"/>
            </w:pPr>
            <w:r>
              <w:rPr>
                <w:rFonts w:ascii="Arial" w:eastAsia="Arial" w:hAnsi="Arial" w:cs="Arial"/>
                <w:b/>
                <w:sz w:val="16"/>
              </w:rPr>
              <w:t>(</w:t>
            </w:r>
            <w:r>
              <w:rPr>
                <w:rFonts w:ascii="Arial" w:eastAsia="Arial" w:hAnsi="Arial" w:cs="Arial"/>
                <w:b/>
                <w:sz w:val="16"/>
              </w:rPr>
              <w:t>23.160(e)</w:t>
            </w:r>
            <w:r>
              <w:rPr>
                <w:rFonts w:ascii="Arial" w:eastAsia="Arial" w:hAnsi="Arial" w:cs="Arial"/>
                <w:b/>
                <w:sz w:val="16"/>
              </w:rPr>
              <w: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4CD797D2" w14:textId="446A589B">
            <w:pPr>
              <w:tabs>
                <w:tab w:val="left" w:pos="-720"/>
                <w:tab w:val="left" w:pos="0"/>
              </w:tabs>
              <w:suppressAutoHyphens/>
              <w:jc w:val="center"/>
            </w:pPr>
            <w:r>
              <w:rPr>
                <w:rFonts w:ascii="Arial" w:eastAsia="Arial" w:hAnsi="Arial" w:cs="Arial"/>
                <w:b/>
                <w:sz w:val="16"/>
              </w:rPr>
              <w:t>12</w:t>
            </w:r>
            <w:r w:rsidR="001F5592">
              <w:rPr>
                <w:rFonts w:ascii="Arial" w:eastAsia="Arial" w:hAnsi="Arial" w:cs="Arial"/>
                <w:b/>
                <w:sz w:val="16"/>
                <w:vertAlign w:val="superscript"/>
              </w:rPr>
              <w:t>3</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05E82809" w14:textId="77777777">
            <w:pPr>
              <w:tabs>
                <w:tab w:val="left" w:pos="-720"/>
                <w:tab w:val="left" w:pos="0"/>
              </w:tabs>
              <w:suppressAutoHyphens/>
              <w:jc w:val="center"/>
            </w:pPr>
            <w:r>
              <w:rPr>
                <w:rFonts w:ascii="Arial" w:eastAsia="Arial" w:hAnsi="Arial" w:cs="Arial"/>
                <w:b/>
                <w:sz w:val="16"/>
              </w:rPr>
              <w:t>1</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3654A575" w14:textId="5A9AC817">
            <w:pPr>
              <w:tabs>
                <w:tab w:val="left" w:pos="-720"/>
                <w:tab w:val="left" w:pos="0"/>
              </w:tabs>
              <w:suppressAutoHyphens/>
              <w:jc w:val="center"/>
            </w:pPr>
            <w:r>
              <w:rPr>
                <w:rFonts w:ascii="Arial" w:eastAsia="Arial" w:hAnsi="Arial" w:cs="Arial"/>
                <w:b/>
                <w:sz w:val="16"/>
              </w:rPr>
              <w:t>160</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10CD" w:rsidP="001D2DE8" w14:paraId="26B5022D" w14:textId="012E3D86">
            <w:pPr>
              <w:tabs>
                <w:tab w:val="left" w:pos="-720"/>
                <w:tab w:val="left" w:pos="0"/>
              </w:tabs>
              <w:suppressAutoHyphens/>
              <w:jc w:val="center"/>
              <w:rPr>
                <w:rFonts w:ascii="Arial" w:eastAsia="Arial" w:hAnsi="Arial" w:cs="Arial"/>
                <w:b/>
                <w:sz w:val="16"/>
              </w:rPr>
            </w:pPr>
            <w:r>
              <w:rPr>
                <w:rFonts w:ascii="Arial" w:eastAsia="Arial" w:hAnsi="Arial" w:cs="Arial"/>
                <w:b/>
                <w:sz w:val="16"/>
              </w:rPr>
              <w:t>$</w:t>
            </w:r>
            <w:r>
              <w:rPr>
                <w:rFonts w:ascii="Arial" w:eastAsia="Arial" w:hAnsi="Arial" w:cs="Arial"/>
                <w:b/>
                <w:sz w:val="16"/>
              </w:rPr>
              <w:t>100</w:t>
            </w:r>
          </w:p>
          <w:p w:rsidR="0028137E" w:rsidP="001D2DE8" w14:paraId="685C3837" w14:textId="3CA72FDB">
            <w:pPr>
              <w:tabs>
                <w:tab w:val="left" w:pos="-720"/>
                <w:tab w:val="left" w:pos="0"/>
              </w:tabs>
              <w:suppressAutoHyphens/>
              <w:jc w:val="center"/>
            </w:pP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28C" w:rsidP="001D2DE8" w14:paraId="5DED070A" w14:textId="0001CC0D">
            <w:pPr>
              <w:rPr>
                <w:rFonts w:ascii="Arial" w:eastAsia="Arial" w:hAnsi="Arial" w:cs="Arial"/>
                <w:b/>
                <w:sz w:val="16"/>
              </w:rPr>
            </w:pPr>
            <w:r>
              <w:rPr>
                <w:rFonts w:ascii="Arial" w:eastAsia="Arial" w:hAnsi="Arial" w:cs="Arial"/>
                <w:b/>
                <w:sz w:val="16"/>
              </w:rPr>
              <w:t>$</w:t>
            </w:r>
            <w:r>
              <w:rPr>
                <w:rFonts w:ascii="Arial" w:eastAsia="Arial" w:hAnsi="Arial" w:cs="Arial"/>
                <w:b/>
                <w:sz w:val="16"/>
              </w:rPr>
              <w:t>16,000</w:t>
            </w:r>
          </w:p>
          <w:p w:rsidR="0028137E" w:rsidP="001D2DE8" w14:paraId="34E59775" w14:textId="74E3A90A"/>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66F0388C" w14:textId="77777777">
            <w:pPr>
              <w:tabs>
                <w:tab w:val="left" w:pos="-720"/>
                <w:tab w:val="left" w:pos="0"/>
              </w:tabs>
              <w:suppressAutoHyphens/>
              <w:jc w:val="center"/>
            </w:pPr>
            <w:r>
              <w:rPr>
                <w:rFonts w:ascii="Arial" w:eastAsia="Arial" w:hAnsi="Arial" w:cs="Arial"/>
                <w:b/>
                <w:sz w:val="16"/>
              </w:rPr>
              <w:t>12</w:t>
            </w:r>
          </w:p>
        </w:tc>
        <w:tc>
          <w:tcPr>
            <w:tcW w:w="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3C2AD8" w14:paraId="28B632EB" w14:textId="4A04506E">
            <w:pPr>
              <w:tabs>
                <w:tab w:val="left" w:pos="-720"/>
                <w:tab w:val="left" w:pos="0"/>
              </w:tabs>
              <w:suppressAutoHyphens/>
              <w:jc w:val="center"/>
            </w:pPr>
            <w:r>
              <w:rPr>
                <w:rFonts w:ascii="Arial" w:eastAsia="Arial" w:hAnsi="Arial" w:cs="Arial"/>
                <w:b/>
                <w:sz w:val="16"/>
              </w:rPr>
              <w:t>1,920</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28C" w:rsidP="003C2AD8" w14:paraId="223F66A8" w14:textId="69B06A92">
            <w:pPr>
              <w:tabs>
                <w:tab w:val="left" w:pos="-720"/>
                <w:tab w:val="left" w:pos="0"/>
              </w:tabs>
              <w:suppressAutoHyphens/>
              <w:jc w:val="center"/>
              <w:rPr>
                <w:rFonts w:ascii="Arial" w:eastAsia="Arial" w:hAnsi="Arial" w:cs="Arial"/>
                <w:b/>
                <w:sz w:val="16"/>
              </w:rPr>
            </w:pPr>
            <w:r>
              <w:rPr>
                <w:rFonts w:ascii="Arial" w:eastAsia="Arial" w:hAnsi="Arial" w:cs="Arial"/>
                <w:b/>
                <w:sz w:val="16"/>
              </w:rPr>
              <w:t>$</w:t>
            </w:r>
            <w:r w:rsidR="00C05975">
              <w:rPr>
                <w:rFonts w:ascii="Arial" w:eastAsia="Arial" w:hAnsi="Arial" w:cs="Arial"/>
                <w:b/>
                <w:sz w:val="16"/>
              </w:rPr>
              <w:t>192,000</w:t>
            </w:r>
          </w:p>
          <w:p w:rsidR="0028137E" w:rsidP="003C2AD8" w14:paraId="70CC35F6" w14:textId="4CD46FB3">
            <w:pPr>
              <w:tabs>
                <w:tab w:val="left" w:pos="-720"/>
                <w:tab w:val="left" w:pos="0"/>
              </w:tabs>
              <w:suppressAutoHyphens/>
              <w:jc w:val="center"/>
            </w:pPr>
          </w:p>
        </w:tc>
      </w:tr>
      <w:tr w14:paraId="37EB6A1E" w14:textId="77777777" w:rsidTr="009A7AB6">
        <w:tblPrEx>
          <w:tblW w:w="10890" w:type="dxa"/>
          <w:jc w:val="center"/>
          <w:tblLayout w:type="fixed"/>
          <w:tblCellMar>
            <w:left w:w="10" w:type="dxa"/>
            <w:right w:w="10" w:type="dxa"/>
          </w:tblCellMar>
          <w:tblLook w:val="0000"/>
        </w:tblPrEx>
        <w:trPr>
          <w:jc w:val="center"/>
        </w:trPr>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2BF1" w:rsidP="003C2AD8" w14:paraId="0BAA0F10" w14:textId="119B9A7E">
            <w:pPr>
              <w:tabs>
                <w:tab w:val="left" w:pos="-720"/>
                <w:tab w:val="left" w:pos="0"/>
              </w:tabs>
              <w:suppressAutoHyphens/>
              <w:jc w:val="center"/>
              <w:rPr>
                <w:rFonts w:ascii="Arial" w:eastAsia="Arial" w:hAnsi="Arial" w:cs="Arial"/>
                <w:b/>
                <w:sz w:val="16"/>
              </w:rPr>
            </w:pPr>
            <w:r>
              <w:rPr>
                <w:rFonts w:ascii="Arial" w:eastAsia="Arial" w:hAnsi="Arial" w:cs="Arial"/>
                <w:b/>
                <w:sz w:val="16"/>
              </w:rPr>
              <w:t>Totals:</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2BF1" w:rsidP="003C2AD8" w14:paraId="2F9E433F" w14:textId="4EB7BE16">
            <w:pPr>
              <w:tabs>
                <w:tab w:val="left" w:pos="-720"/>
                <w:tab w:val="left" w:pos="0"/>
              </w:tabs>
              <w:suppressAutoHyphens/>
              <w:jc w:val="center"/>
              <w:rPr>
                <w:rFonts w:ascii="Arial" w:eastAsia="Arial" w:hAnsi="Arial" w:cs="Arial"/>
                <w:b/>
                <w:sz w:val="16"/>
              </w:rPr>
            </w:pPr>
            <w:r>
              <w:rPr>
                <w:rFonts w:ascii="Arial" w:eastAsia="Arial" w:hAnsi="Arial" w:cs="Arial"/>
                <w:b/>
                <w:sz w:val="16"/>
              </w:rPr>
              <w:t>76</w:t>
            </w:r>
          </w:p>
          <w:p w:rsidR="00F62BF1" w:rsidP="003C2AD8" w14:paraId="16108C84" w14:textId="4E97C646">
            <w:pPr>
              <w:tabs>
                <w:tab w:val="left" w:pos="-720"/>
                <w:tab w:val="left" w:pos="0"/>
              </w:tabs>
              <w:suppressAutoHyphens/>
              <w:jc w:val="center"/>
              <w:rPr>
                <w:rFonts w:ascii="Arial" w:eastAsia="Arial" w:hAnsi="Arial" w:cs="Arial"/>
                <w:b/>
                <w:sz w:val="16"/>
              </w:rPr>
            </w:pPr>
          </w:p>
        </w:tc>
        <w:tc>
          <w:tcPr>
            <w:tcW w:w="1141" w:type="dxa"/>
            <w:tcBorders>
              <w:top w:val="single" w:sz="4" w:space="0" w:color="000000"/>
              <w:left w:val="single" w:sz="4" w:space="0" w:color="000000"/>
              <w:bottom w:val="single" w:sz="4" w:space="0" w:color="000000"/>
              <w:right w:val="single" w:sz="4" w:space="0" w:color="000000"/>
            </w:tcBorders>
            <w:shd w:val="clear" w:color="auto" w:fill="000000" w:themeFill="text1"/>
            <w:tcMar>
              <w:left w:w="108" w:type="dxa"/>
              <w:right w:w="108" w:type="dxa"/>
            </w:tcMar>
          </w:tcPr>
          <w:p w:rsidR="00F62BF1" w:rsidP="003C2AD8" w14:paraId="13EB642B" w14:textId="10B6C1BB">
            <w:pPr>
              <w:tabs>
                <w:tab w:val="left" w:pos="-720"/>
                <w:tab w:val="left" w:pos="0"/>
              </w:tabs>
              <w:suppressAutoHyphens/>
              <w:jc w:val="center"/>
              <w:rPr>
                <w:rFonts w:ascii="Arial" w:eastAsia="Arial" w:hAnsi="Arial" w:cs="Arial"/>
                <w:b/>
                <w:sz w:val="16"/>
              </w:rPr>
            </w:pPr>
          </w:p>
        </w:tc>
        <w:tc>
          <w:tcPr>
            <w:tcW w:w="1141" w:type="dxa"/>
            <w:tcBorders>
              <w:top w:val="single" w:sz="4" w:space="0" w:color="000000"/>
              <w:left w:val="single" w:sz="4" w:space="0" w:color="000000"/>
              <w:bottom w:val="single" w:sz="4" w:space="0" w:color="000000"/>
              <w:right w:val="single" w:sz="4" w:space="0" w:color="000000"/>
            </w:tcBorders>
            <w:shd w:val="clear" w:color="auto" w:fill="000000" w:themeFill="text1"/>
            <w:tcMar>
              <w:left w:w="108" w:type="dxa"/>
              <w:right w:w="108" w:type="dxa"/>
            </w:tcMar>
          </w:tcPr>
          <w:p w:rsidR="00F62BF1" w:rsidP="003C2AD8" w14:paraId="486E92A6" w14:textId="38BAB2C1">
            <w:pPr>
              <w:tabs>
                <w:tab w:val="left" w:pos="-720"/>
                <w:tab w:val="left" w:pos="0"/>
              </w:tabs>
              <w:suppressAutoHyphens/>
              <w:jc w:val="center"/>
              <w:rPr>
                <w:rFonts w:ascii="Arial" w:eastAsia="Arial" w:hAnsi="Arial" w:cs="Arial"/>
                <w:b/>
                <w:sz w:val="16"/>
              </w:rPr>
            </w:pPr>
          </w:p>
        </w:tc>
        <w:tc>
          <w:tcPr>
            <w:tcW w:w="981" w:type="dxa"/>
            <w:tcBorders>
              <w:top w:val="single" w:sz="4" w:space="0" w:color="000000"/>
              <w:left w:val="single" w:sz="4" w:space="0" w:color="000000"/>
              <w:bottom w:val="single" w:sz="4" w:space="0" w:color="000000"/>
              <w:right w:val="single" w:sz="4" w:space="0" w:color="000000"/>
            </w:tcBorders>
            <w:shd w:val="clear" w:color="auto" w:fill="000000" w:themeFill="text1"/>
            <w:tcMar>
              <w:left w:w="108" w:type="dxa"/>
              <w:right w:w="108" w:type="dxa"/>
            </w:tcMar>
          </w:tcPr>
          <w:p w:rsidR="00F62BF1" w:rsidP="001D2DE8" w14:paraId="54FCB9A7" w14:textId="7D6EF233">
            <w:pPr>
              <w:tabs>
                <w:tab w:val="left" w:pos="-720"/>
                <w:tab w:val="left" w:pos="0"/>
              </w:tabs>
              <w:suppressAutoHyphens/>
              <w:jc w:val="center"/>
              <w:rPr>
                <w:rFonts w:ascii="Arial" w:eastAsia="Arial" w:hAnsi="Arial" w:cs="Arial"/>
                <w:b/>
                <w:sz w:val="16"/>
              </w:rPr>
            </w:pPr>
          </w:p>
        </w:tc>
        <w:tc>
          <w:tcPr>
            <w:tcW w:w="1141" w:type="dxa"/>
            <w:tcBorders>
              <w:top w:val="single" w:sz="4" w:space="0" w:color="000000"/>
              <w:left w:val="single" w:sz="4" w:space="0" w:color="000000"/>
              <w:bottom w:val="single" w:sz="4" w:space="0" w:color="000000"/>
              <w:right w:val="single" w:sz="4" w:space="0" w:color="000000"/>
            </w:tcBorders>
            <w:shd w:val="clear" w:color="auto" w:fill="000000" w:themeFill="text1"/>
            <w:tcMar>
              <w:left w:w="108" w:type="dxa"/>
              <w:right w:w="108" w:type="dxa"/>
            </w:tcMar>
          </w:tcPr>
          <w:p w:rsidR="00F62BF1" w:rsidP="001D2DE8" w14:paraId="7E6B2337" w14:textId="5EA4B3E3">
            <w:pPr>
              <w:rPr>
                <w:rFonts w:ascii="Arial" w:eastAsia="Arial" w:hAnsi="Arial" w:cs="Arial"/>
                <w:b/>
                <w:sz w:val="16"/>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F62BF1" w:rsidP="003C2AD8" w14:paraId="6F32F63B" w14:textId="4DD82329">
            <w:pPr>
              <w:tabs>
                <w:tab w:val="left" w:pos="-720"/>
                <w:tab w:val="left" w:pos="0"/>
              </w:tabs>
              <w:suppressAutoHyphens/>
              <w:jc w:val="center"/>
              <w:rPr>
                <w:rFonts w:ascii="Arial" w:eastAsia="Arial" w:hAnsi="Arial" w:cs="Arial"/>
                <w:b/>
                <w:sz w:val="16"/>
              </w:rPr>
            </w:pPr>
            <w:r>
              <w:rPr>
                <w:rFonts w:ascii="Arial" w:eastAsia="Arial" w:hAnsi="Arial" w:cs="Arial"/>
                <w:b/>
                <w:sz w:val="16"/>
              </w:rPr>
              <w:t>76</w:t>
            </w:r>
          </w:p>
        </w:tc>
        <w:tc>
          <w:tcPr>
            <w:tcW w:w="8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F62BF1" w:rsidP="003C2AD8" w14:paraId="111D1C03" w14:textId="646C5EAA">
            <w:pPr>
              <w:tabs>
                <w:tab w:val="left" w:pos="-720"/>
                <w:tab w:val="left" w:pos="0"/>
              </w:tabs>
              <w:suppressAutoHyphens/>
              <w:jc w:val="center"/>
              <w:rPr>
                <w:rFonts w:ascii="Arial" w:eastAsia="Arial" w:hAnsi="Arial" w:cs="Arial"/>
                <w:b/>
                <w:sz w:val="16"/>
              </w:rPr>
            </w:pPr>
            <w:r>
              <w:rPr>
                <w:rFonts w:ascii="Arial" w:eastAsia="Arial" w:hAnsi="Arial" w:cs="Arial"/>
                <w:b/>
                <w:sz w:val="16"/>
              </w:rPr>
              <w:t>2,980</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2BF1" w:rsidP="003C2AD8" w14:paraId="24C86C31" w14:textId="0894AAC9">
            <w:pPr>
              <w:tabs>
                <w:tab w:val="left" w:pos="-720"/>
                <w:tab w:val="left" w:pos="0"/>
              </w:tabs>
              <w:suppressAutoHyphens/>
              <w:jc w:val="center"/>
              <w:rPr>
                <w:rFonts w:ascii="Arial" w:eastAsia="Arial" w:hAnsi="Arial" w:cs="Arial"/>
                <w:b/>
                <w:sz w:val="16"/>
              </w:rPr>
            </w:pPr>
            <w:r>
              <w:rPr>
                <w:rFonts w:ascii="Arial" w:eastAsia="Arial" w:hAnsi="Arial" w:cs="Arial"/>
                <w:b/>
                <w:sz w:val="16"/>
              </w:rPr>
              <w:t>$</w:t>
            </w:r>
            <w:r w:rsidR="00E47ADF">
              <w:rPr>
                <w:rFonts w:ascii="Arial" w:eastAsia="Arial" w:hAnsi="Arial" w:cs="Arial"/>
                <w:b/>
                <w:sz w:val="16"/>
              </w:rPr>
              <w:t>298,000</w:t>
            </w:r>
          </w:p>
        </w:tc>
      </w:tr>
      <w:tr w14:paraId="1EFDCEA8" w14:textId="77777777" w:rsidTr="009A7AB6">
        <w:tblPrEx>
          <w:tblW w:w="10890" w:type="dxa"/>
          <w:jc w:val="center"/>
          <w:tblLayout w:type="fixed"/>
          <w:tblCellMar>
            <w:left w:w="10" w:type="dxa"/>
            <w:right w:w="10" w:type="dxa"/>
          </w:tblCellMar>
          <w:tblLook w:val="0000"/>
        </w:tblPrEx>
        <w:trPr>
          <w:jc w:val="center"/>
        </w:trPr>
        <w:tc>
          <w:tcPr>
            <w:tcW w:w="10890"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7E" w:rsidP="00D36FD0" w14:paraId="41EEF3ED" w14:textId="433F8938">
            <w:pPr>
              <w:spacing w:after="120"/>
              <w:jc w:val="both"/>
              <w:rPr>
                <w:rFonts w:eastAsia="Times New Roman" w:cs="Times New Roman"/>
                <w:sz w:val="20"/>
              </w:rPr>
            </w:pPr>
            <w:r>
              <w:rPr>
                <w:rFonts w:eastAsia="Times New Roman" w:cs="Times New Roman"/>
                <w:sz w:val="20"/>
                <w:vertAlign w:val="superscript"/>
              </w:rPr>
              <w:br/>
              <w:t>1</w:t>
            </w:r>
            <w:r>
              <w:rPr>
                <w:rFonts w:eastAsia="Times New Roman" w:cs="Times New Roman"/>
                <w:sz w:val="20"/>
              </w:rPr>
              <w:t xml:space="preserve"> The Commission has already issued comparability determinations for Japan, the European Union</w:t>
            </w:r>
            <w:r w:rsidR="00ED0BFB">
              <w:rPr>
                <w:rFonts w:eastAsia="Times New Roman" w:cs="Times New Roman"/>
                <w:sz w:val="20"/>
              </w:rPr>
              <w:t>,</w:t>
            </w:r>
            <w:r>
              <w:rPr>
                <w:rFonts w:eastAsia="Times New Roman" w:cs="Times New Roman"/>
                <w:sz w:val="20"/>
              </w:rPr>
              <w:t xml:space="preserve"> and Australia.  Therefore, it estimates that it will receive requests for a comparability determination from</w:t>
            </w:r>
            <w:r w:rsidR="007615A6">
              <w:rPr>
                <w:rFonts w:eastAsia="Times New Roman" w:cs="Times New Roman"/>
                <w:sz w:val="20"/>
              </w:rPr>
              <w:t xml:space="preserve"> the remaining</w:t>
            </w:r>
            <w:r>
              <w:rPr>
                <w:rFonts w:eastAsia="Times New Roman" w:cs="Times New Roman"/>
                <w:sz w:val="20"/>
              </w:rPr>
              <w:t xml:space="preserve"> </w:t>
            </w:r>
            <w:r w:rsidR="007615A6">
              <w:rPr>
                <w:rFonts w:eastAsia="Times New Roman" w:cs="Times New Roman"/>
                <w:sz w:val="20"/>
              </w:rPr>
              <w:t>14</w:t>
            </w:r>
            <w:r>
              <w:rPr>
                <w:rFonts w:eastAsia="Times New Roman" w:cs="Times New Roman"/>
                <w:sz w:val="20"/>
              </w:rPr>
              <w:t xml:space="preserve"> jurisdictions, consisting of the </w:t>
            </w:r>
            <w:r w:rsidR="007615A6">
              <w:rPr>
                <w:rFonts w:eastAsia="Times New Roman" w:cs="Times New Roman"/>
                <w:sz w:val="20"/>
              </w:rPr>
              <w:t>13</w:t>
            </w:r>
            <w:r>
              <w:rPr>
                <w:rFonts w:eastAsia="Times New Roman" w:cs="Times New Roman"/>
                <w:sz w:val="20"/>
              </w:rPr>
              <w:t xml:space="preserve"> </w:t>
            </w:r>
            <w:r w:rsidR="00ED0BFB">
              <w:rPr>
                <w:rFonts w:eastAsia="Times New Roman" w:cs="Times New Roman"/>
                <w:sz w:val="20"/>
              </w:rPr>
              <w:t>other</w:t>
            </w:r>
            <w:r>
              <w:rPr>
                <w:rFonts w:eastAsia="Times New Roman" w:cs="Times New Roman"/>
                <w:sz w:val="20"/>
              </w:rPr>
              <w:t xml:space="preserve"> G20</w:t>
            </w:r>
            <w:r w:rsidR="00ED0BFB">
              <w:rPr>
                <w:rFonts w:eastAsia="Times New Roman" w:cs="Times New Roman"/>
                <w:sz w:val="20"/>
              </w:rPr>
              <w:t xml:space="preserve"> jurisdictions</w:t>
            </w:r>
            <w:r>
              <w:rPr>
                <w:rFonts w:eastAsia="Times New Roman" w:cs="Times New Roman"/>
                <w:sz w:val="20"/>
              </w:rPr>
              <w:t xml:space="preserve">, plus Switzerland. </w:t>
            </w:r>
          </w:p>
          <w:p w:rsidR="0028137E" w:rsidP="00D36FD0" w14:paraId="24A87BF5" w14:textId="6C5AABA8">
            <w:pPr>
              <w:spacing w:after="120"/>
              <w:jc w:val="both"/>
              <w:rPr>
                <w:rFonts w:eastAsia="Times New Roman" w:cs="Times New Roman"/>
                <w:sz w:val="20"/>
              </w:rPr>
            </w:pPr>
            <w:r>
              <w:rPr>
                <w:rFonts w:eastAsia="Times New Roman" w:cs="Times New Roman"/>
                <w:sz w:val="20"/>
                <w:vertAlign w:val="superscript"/>
              </w:rPr>
              <w:t>2</w:t>
            </w:r>
            <w:r w:rsidR="00527E76">
              <w:rPr>
                <w:rFonts w:eastAsia="Times New Roman" w:cs="Times New Roman"/>
                <w:sz w:val="20"/>
                <w:vertAlign w:val="superscript"/>
              </w:rPr>
              <w:t xml:space="preserve">  </w:t>
            </w:r>
            <w:r w:rsidRPr="00527E76" w:rsidR="00527E76">
              <w:rPr>
                <w:sz w:val="20"/>
                <w:szCs w:val="20"/>
              </w:rPr>
              <w:t xml:space="preserve">The </w:t>
            </w:r>
            <w:r w:rsidRPr="00527E76" w:rsidR="00527E76">
              <w:rPr>
                <w:rFonts w:eastAsia="Times New Roman" w:cs="Times New Roman"/>
                <w:sz w:val="20"/>
              </w:rPr>
              <w:t xml:space="preserve">Commission is revising its estimate in light of the </w:t>
            </w:r>
            <w:r w:rsidR="00CD2803">
              <w:rPr>
                <w:rFonts w:eastAsia="Times New Roman" w:cs="Times New Roman"/>
                <w:sz w:val="20"/>
              </w:rPr>
              <w:t>change in the</w:t>
            </w:r>
            <w:r w:rsidRPr="00527E76" w:rsidR="00527E76">
              <w:rPr>
                <w:rFonts w:eastAsia="Times New Roman" w:cs="Times New Roman"/>
                <w:sz w:val="20"/>
              </w:rPr>
              <w:t xml:space="preserve"> number of Commission</w:t>
            </w:r>
            <w:r w:rsidR="004877D1">
              <w:rPr>
                <w:rFonts w:eastAsia="Times New Roman" w:cs="Times New Roman"/>
                <w:sz w:val="20"/>
              </w:rPr>
              <w:t>-</w:t>
            </w:r>
            <w:r w:rsidRPr="00527E76" w:rsidR="00527E76">
              <w:rPr>
                <w:rFonts w:eastAsia="Times New Roman" w:cs="Times New Roman"/>
                <w:sz w:val="20"/>
              </w:rPr>
              <w:t>registered CSEs</w:t>
            </w:r>
            <w:r w:rsidR="00CD2803">
              <w:rPr>
                <w:rFonts w:eastAsia="Times New Roman" w:cs="Times New Roman"/>
                <w:sz w:val="20"/>
              </w:rPr>
              <w:t xml:space="preserve">, which has decreased </w:t>
            </w:r>
            <w:r w:rsidR="00B37572">
              <w:rPr>
                <w:rFonts w:eastAsia="Times New Roman" w:cs="Times New Roman"/>
                <w:sz w:val="20"/>
              </w:rPr>
              <w:t xml:space="preserve">from </w:t>
            </w:r>
            <w:r w:rsidRPr="00CD2803" w:rsidR="00CD2803">
              <w:rPr>
                <w:rFonts w:eastAsia="Times New Roman" w:cs="Times New Roman"/>
                <w:sz w:val="20"/>
              </w:rPr>
              <w:t>53 to 50 since the last renewal.</w:t>
            </w:r>
            <w:r w:rsidR="00B37572">
              <w:rPr>
                <w:rFonts w:eastAsia="Times New Roman" w:cs="Times New Roman"/>
                <w:sz w:val="20"/>
              </w:rPr>
              <w:t xml:space="preserve">  </w:t>
            </w:r>
            <w:r w:rsidR="00527E76">
              <w:rPr>
                <w:rFonts w:eastAsia="Times New Roman" w:cs="Times New Roman"/>
                <w:sz w:val="20"/>
              </w:rPr>
              <w:t>Currently</w:t>
            </w:r>
            <w:r>
              <w:rPr>
                <w:rFonts w:eastAsia="Times New Roman" w:cs="Times New Roman"/>
                <w:sz w:val="20"/>
              </w:rPr>
              <w:t xml:space="preserve">, there are </w:t>
            </w:r>
            <w:r w:rsidR="00677780">
              <w:rPr>
                <w:rFonts w:eastAsia="Times New Roman" w:cs="Times New Roman"/>
                <w:sz w:val="20"/>
              </w:rPr>
              <w:t xml:space="preserve">108 </w:t>
            </w:r>
            <w:r>
              <w:rPr>
                <w:rFonts w:eastAsia="Times New Roman" w:cs="Times New Roman"/>
                <w:sz w:val="20"/>
              </w:rPr>
              <w:t xml:space="preserve">swap entities registered with the Commission.  The Commission estimates that of the </w:t>
            </w:r>
            <w:r w:rsidR="00677780">
              <w:rPr>
                <w:rFonts w:eastAsia="Times New Roman" w:cs="Times New Roman"/>
                <w:sz w:val="20"/>
              </w:rPr>
              <w:t xml:space="preserve">108 </w:t>
            </w:r>
            <w:r w:rsidR="00B10792">
              <w:rPr>
                <w:rFonts w:eastAsia="Times New Roman" w:cs="Times New Roman"/>
                <w:sz w:val="20"/>
              </w:rPr>
              <w:t xml:space="preserve">Commission-registered </w:t>
            </w:r>
            <w:r>
              <w:rPr>
                <w:rFonts w:eastAsia="Times New Roman" w:cs="Times New Roman"/>
                <w:sz w:val="20"/>
              </w:rPr>
              <w:t xml:space="preserve">swap entities, </w:t>
            </w:r>
            <w:r w:rsidR="00B10792">
              <w:rPr>
                <w:rFonts w:eastAsia="Times New Roman" w:cs="Times New Roman"/>
                <w:sz w:val="20"/>
              </w:rPr>
              <w:t>50</w:t>
            </w:r>
            <w:r w:rsidR="00C556F2">
              <w:rPr>
                <w:rFonts w:eastAsia="Times New Roman" w:cs="Times New Roman"/>
                <w:sz w:val="20"/>
              </w:rPr>
              <w:t xml:space="preserve"> </w:t>
            </w:r>
            <w:r w:rsidR="00805F95">
              <w:rPr>
                <w:rFonts w:eastAsia="Times New Roman" w:cs="Times New Roman"/>
                <w:sz w:val="20"/>
              </w:rPr>
              <w:t>of which are</w:t>
            </w:r>
            <w:r>
              <w:rPr>
                <w:rFonts w:eastAsia="Times New Roman" w:cs="Times New Roman"/>
                <w:sz w:val="20"/>
              </w:rPr>
              <w:t xml:space="preserve"> CSEs </w:t>
            </w:r>
            <w:r w:rsidR="00E91E57">
              <w:rPr>
                <w:rFonts w:eastAsia="Times New Roman" w:cs="Times New Roman"/>
                <w:sz w:val="20"/>
              </w:rPr>
              <w:t xml:space="preserve">not subject </w:t>
            </w:r>
            <w:r w:rsidR="00653901">
              <w:rPr>
                <w:rFonts w:eastAsia="Times New Roman" w:cs="Times New Roman"/>
                <w:sz w:val="20"/>
              </w:rPr>
              <w:t xml:space="preserve">to </w:t>
            </w:r>
            <w:r w:rsidR="00721011">
              <w:rPr>
                <w:rFonts w:eastAsia="Times New Roman" w:cs="Times New Roman"/>
                <w:sz w:val="20"/>
              </w:rPr>
              <w:t>Prudential Regulator</w:t>
            </w:r>
            <w:r w:rsidR="009822A8">
              <w:rPr>
                <w:rFonts w:eastAsia="Times New Roman" w:cs="Times New Roman"/>
                <w:sz w:val="20"/>
              </w:rPr>
              <w:t xml:space="preserve"> and are therefore</w:t>
            </w:r>
            <w:r w:rsidR="00805F95">
              <w:rPr>
                <w:rFonts w:eastAsia="Times New Roman" w:cs="Times New Roman"/>
                <w:sz w:val="20"/>
              </w:rPr>
              <w:t xml:space="preserve"> </w:t>
            </w:r>
            <w:r>
              <w:rPr>
                <w:rFonts w:eastAsia="Times New Roman" w:cs="Times New Roman"/>
                <w:sz w:val="20"/>
              </w:rPr>
              <w:t>subject to the Commission’s margin rules.</w:t>
            </w:r>
            <w:r w:rsidR="009822A8">
              <w:rPr>
                <w:rFonts w:eastAsia="Times New Roman" w:cs="Times New Roman"/>
                <w:sz w:val="20"/>
              </w:rPr>
              <w:t xml:space="preserve">  </w:t>
            </w:r>
            <w:r>
              <w:rPr>
                <w:rFonts w:eastAsia="Times New Roman" w:cs="Times New Roman"/>
                <w:sz w:val="20"/>
              </w:rPr>
              <w:t xml:space="preserve">Because all of these CSEs are eligible to use the special provision for non-netting jurisdictions, the Commission estimates that </w:t>
            </w:r>
            <w:r w:rsidR="00C556F2">
              <w:rPr>
                <w:rFonts w:eastAsia="Times New Roman" w:cs="Times New Roman"/>
                <w:sz w:val="20"/>
              </w:rPr>
              <w:t>5</w:t>
            </w:r>
            <w:r w:rsidR="007B4562">
              <w:rPr>
                <w:rFonts w:eastAsia="Times New Roman" w:cs="Times New Roman"/>
                <w:sz w:val="20"/>
              </w:rPr>
              <w:t>0</w:t>
            </w:r>
            <w:r w:rsidR="00C556F2">
              <w:rPr>
                <w:rFonts w:eastAsia="Times New Roman" w:cs="Times New Roman"/>
                <w:sz w:val="20"/>
              </w:rPr>
              <w:t xml:space="preserve"> </w:t>
            </w:r>
            <w:r>
              <w:rPr>
                <w:rFonts w:eastAsia="Times New Roman" w:cs="Times New Roman"/>
                <w:sz w:val="20"/>
              </w:rPr>
              <w:t xml:space="preserve">CSEs may rely on </w:t>
            </w:r>
            <w:r w:rsidR="00412495">
              <w:rPr>
                <w:rFonts w:eastAsia="Times New Roman" w:cs="Times New Roman"/>
                <w:sz w:val="20"/>
              </w:rPr>
              <w:t>17 CFR</w:t>
            </w:r>
            <w:r>
              <w:rPr>
                <w:rFonts w:eastAsia="Times New Roman" w:cs="Times New Roman"/>
                <w:sz w:val="20"/>
              </w:rPr>
              <w:t xml:space="preserve"> 23.160(d).</w:t>
            </w:r>
          </w:p>
          <w:p w:rsidR="0028137E" w:rsidRPr="0059653A" w:rsidP="00D36FD0" w14:paraId="26D39B69" w14:textId="234D3CA0">
            <w:pPr>
              <w:spacing w:after="120"/>
              <w:jc w:val="both"/>
              <w:rPr>
                <w:rFonts w:eastAsia="Times New Roman" w:cs="Times New Roman"/>
                <w:sz w:val="20"/>
              </w:rPr>
            </w:pPr>
            <w:r>
              <w:rPr>
                <w:rFonts w:eastAsia="Times New Roman" w:cs="Times New Roman"/>
                <w:sz w:val="20"/>
                <w:vertAlign w:val="superscript"/>
              </w:rPr>
              <w:t>3</w:t>
            </w:r>
            <w:r>
              <w:rPr>
                <w:rFonts w:eastAsia="Times New Roman" w:cs="Times New Roman"/>
                <w:sz w:val="20"/>
                <w:vertAlign w:val="superscript"/>
              </w:rPr>
              <w:t xml:space="preserve"> </w:t>
            </w:r>
            <w:r>
              <w:rPr>
                <w:rFonts w:eastAsia="Times New Roman" w:cs="Times New Roman"/>
                <w:sz w:val="20"/>
              </w:rPr>
              <w:t xml:space="preserve">The Commission currently estimates that there are </w:t>
            </w:r>
            <w:r w:rsidR="00AD2E95">
              <w:rPr>
                <w:rFonts w:eastAsia="Times New Roman" w:cs="Times New Roman"/>
                <w:sz w:val="20"/>
              </w:rPr>
              <w:t>eight</w:t>
            </w:r>
            <w:r>
              <w:rPr>
                <w:rFonts w:eastAsia="Times New Roman" w:cs="Times New Roman"/>
                <w:sz w:val="20"/>
              </w:rPr>
              <w:t xml:space="preserve"> jurisdictions for which the first two conditions specified in </w:t>
            </w:r>
            <w:r>
              <w:rPr>
                <w:rFonts w:eastAsia="Times New Roman" w:cs="Times New Roman"/>
                <w:sz w:val="20"/>
              </w:rPr>
              <w:t xml:space="preserve">Commission Regulation </w:t>
            </w:r>
            <w:r>
              <w:rPr>
                <w:rFonts w:eastAsia="Times New Roman" w:cs="Times New Roman"/>
                <w:sz w:val="20"/>
              </w:rPr>
              <w:t>23.160(e) are satisfied and where FCSs and foreign branches of U.S. CSEs that are subject to the Commission’s margin rules may engage in swaps</w:t>
            </w:r>
            <w:r w:rsidR="00AD2E95">
              <w:rPr>
                <w:rFonts w:eastAsia="Times New Roman" w:cs="Times New Roman"/>
                <w:sz w:val="20"/>
              </w:rPr>
              <w:t xml:space="preserve">.  </w:t>
            </w:r>
            <w:r>
              <w:rPr>
                <w:rFonts w:eastAsia="Times New Roman" w:cs="Times New Roman"/>
                <w:sz w:val="20"/>
              </w:rPr>
              <w:t>The Commission estimates that approximately</w:t>
            </w:r>
            <w:r w:rsidR="00F125E3">
              <w:rPr>
                <w:rFonts w:eastAsia="Times New Roman" w:cs="Times New Roman"/>
                <w:sz w:val="20"/>
              </w:rPr>
              <w:t xml:space="preserve"> </w:t>
            </w:r>
            <w:r>
              <w:rPr>
                <w:rFonts w:eastAsia="Times New Roman" w:cs="Times New Roman"/>
                <w:sz w:val="20"/>
              </w:rPr>
              <w:t xml:space="preserve">12 FCSs and foreign branches of U.S. </w:t>
            </w:r>
            <w:r w:rsidR="000F3930">
              <w:rPr>
                <w:rFonts w:eastAsia="Times New Roman" w:cs="Times New Roman"/>
                <w:sz w:val="20"/>
              </w:rPr>
              <w:t xml:space="preserve"> </w:t>
            </w:r>
            <w:r>
              <w:rPr>
                <w:rFonts w:eastAsia="Times New Roman" w:cs="Times New Roman"/>
                <w:sz w:val="20"/>
              </w:rPr>
              <w:t xml:space="preserve">CSEs may rely on </w:t>
            </w:r>
            <w:r>
              <w:rPr>
                <w:rFonts w:eastAsia="Times New Roman" w:cs="Times New Roman"/>
                <w:sz w:val="20"/>
              </w:rPr>
              <w:t>Commission Regulation</w:t>
            </w:r>
            <w:r>
              <w:rPr>
                <w:rFonts w:eastAsia="Times New Roman" w:cs="Times New Roman"/>
                <w:sz w:val="20"/>
              </w:rPr>
              <w:t xml:space="preserve"> 23.160(e) in some or all of these jurisdiction(s).  The Commission estimates that each FCS or foreign branch of a U.S. CSE relying on this provision will incur an average of 20 annual burden hours to maintain books and records properly documenting that all of the requirements of this provision are satisfied (including policies and procedures ensuring that they are in compliance) with respect to each jurisdiction as to which they rely on the special provision.  Thus, based on the </w:t>
            </w:r>
            <w:r w:rsidR="00AD2E95">
              <w:rPr>
                <w:rFonts w:eastAsia="Times New Roman" w:cs="Times New Roman"/>
                <w:sz w:val="20"/>
              </w:rPr>
              <w:t>estimated 8</w:t>
            </w:r>
            <w:r>
              <w:rPr>
                <w:rFonts w:eastAsia="Times New Roman" w:cs="Times New Roman"/>
                <w:sz w:val="20"/>
              </w:rPr>
              <w:t xml:space="preserve"> non-segregation jurisdictions, the Commission estimates that each of the approximately 12 FCSs and foreign branches of U.S. CSEs that may rely on this provision will incur an estimated </w:t>
            </w:r>
            <w:r w:rsidR="00AD2E95">
              <w:rPr>
                <w:rFonts w:eastAsia="Times New Roman" w:cs="Times New Roman"/>
                <w:sz w:val="20"/>
              </w:rPr>
              <w:t>160</w:t>
            </w:r>
            <w:r>
              <w:rPr>
                <w:rFonts w:eastAsia="Times New Roman" w:cs="Times New Roman"/>
                <w:sz w:val="20"/>
              </w:rPr>
              <w:t xml:space="preserve"> average burden hours per year (</w:t>
            </w:r>
            <w:r w:rsidRPr="00062D33">
              <w:rPr>
                <w:rFonts w:eastAsia="Times New Roman" w:cs="Times New Roman"/>
                <w:i/>
                <w:iCs/>
                <w:sz w:val="20"/>
              </w:rPr>
              <w:t>i.e</w:t>
            </w:r>
            <w:r>
              <w:rPr>
                <w:rFonts w:eastAsia="Times New Roman" w:cs="Times New Roman"/>
                <w:sz w:val="20"/>
              </w:rPr>
              <w:t xml:space="preserve">., 20 average burden hours per jurisdiction multiplied by </w:t>
            </w:r>
            <w:r w:rsidR="00AD2E95">
              <w:rPr>
                <w:rFonts w:eastAsia="Times New Roman" w:cs="Times New Roman"/>
                <w:sz w:val="20"/>
              </w:rPr>
              <w:t>8</w:t>
            </w:r>
            <w:r>
              <w:rPr>
                <w:rFonts w:eastAsia="Times New Roman" w:cs="Times New Roman"/>
                <w:sz w:val="20"/>
              </w:rPr>
              <w:t xml:space="preserve">). </w:t>
            </w:r>
          </w:p>
        </w:tc>
      </w:tr>
    </w:tbl>
    <w:p w:rsidR="008F6D4A" w:rsidRPr="008F6D4A" w:rsidP="00C96955" w14:paraId="4287737D" w14:textId="77777777">
      <w:pPr>
        <w:jc w:val="both"/>
        <w:rPr>
          <w:rFonts w:eastAsia="Times New Roman" w:cs="Times New Roman"/>
          <w:szCs w:val="24"/>
        </w:rPr>
      </w:pPr>
    </w:p>
    <w:sectPr w:rsidSect="003467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0181" w:rsidP="009C6DB4" w14:paraId="5313D2EB" w14:textId="77777777">
      <w:r>
        <w:separator/>
      </w:r>
    </w:p>
  </w:footnote>
  <w:footnote w:type="continuationSeparator" w:id="1">
    <w:p w:rsidR="00330181" w:rsidP="009C6DB4" w14:paraId="2B29270B" w14:textId="77777777">
      <w:r>
        <w:continuationSeparator/>
      </w:r>
    </w:p>
  </w:footnote>
  <w:footnote w:type="continuationNotice" w:id="2">
    <w:p w:rsidR="00330181" w14:paraId="740109F0" w14:textId="77777777"/>
  </w:footnote>
  <w:footnote w:id="3">
    <w:p w:rsidR="00AD1313" w:rsidRPr="00A26432" w:rsidP="00703580" w14:paraId="29EBF838" w14:textId="3AFF5F54">
      <w:pPr>
        <w:pStyle w:val="FootnoteText"/>
        <w:spacing w:after="120"/>
      </w:pPr>
      <w:r w:rsidRPr="00A26432">
        <w:rPr>
          <w:rStyle w:val="FootnoteReference"/>
        </w:rPr>
        <w:footnoteRef/>
      </w:r>
      <w:r w:rsidRPr="00A26432">
        <w:t xml:space="preserve"> Pub. L. 111–023, 124 Stat. 1376 (2010).</w:t>
      </w:r>
    </w:p>
  </w:footnote>
  <w:footnote w:id="4">
    <w:p w:rsidR="003A2436" w:rsidRPr="00A26432" w:rsidP="00703580" w14:paraId="482BDCCB" w14:textId="7DA3124B">
      <w:pPr>
        <w:pStyle w:val="FootnoteText"/>
        <w:spacing w:after="120"/>
      </w:pPr>
      <w:r w:rsidRPr="00A26432">
        <w:rPr>
          <w:rStyle w:val="FootnoteReference"/>
        </w:rPr>
        <w:footnoteRef/>
      </w:r>
      <w:r w:rsidRPr="00A26432">
        <w:t xml:space="preserve"> 7 U.S.C. §§ 1 </w:t>
      </w:r>
      <w:r w:rsidRPr="00A26432">
        <w:rPr>
          <w:i/>
          <w:iCs/>
        </w:rPr>
        <w:t>et seq</w:t>
      </w:r>
      <w:r w:rsidRPr="00A26432">
        <w:t>.</w:t>
      </w:r>
    </w:p>
  </w:footnote>
  <w:footnote w:id="5">
    <w:p w:rsidR="0090536D" w:rsidRPr="00A26432" w:rsidP="00703580" w14:paraId="580228C3" w14:textId="0D7A2A17">
      <w:pPr>
        <w:pStyle w:val="FootnoteText"/>
        <w:spacing w:after="120"/>
      </w:pPr>
      <w:r w:rsidRPr="00A26432">
        <w:rPr>
          <w:rStyle w:val="FootnoteReference"/>
        </w:rPr>
        <w:footnoteRef/>
      </w:r>
      <w:r w:rsidRPr="00A26432">
        <w:t xml:space="preserve"> 7 U.S.C. 6s(e).</w:t>
      </w:r>
    </w:p>
  </w:footnote>
  <w:footnote w:id="6">
    <w:p w:rsidR="0090536D" w:rsidRPr="00A26432" w:rsidP="00703580" w14:paraId="7A4A02AC" w14:textId="41BC51E7">
      <w:pPr>
        <w:pStyle w:val="FootnoteText"/>
        <w:spacing w:after="120"/>
      </w:pPr>
      <w:r w:rsidRPr="00A26432">
        <w:rPr>
          <w:rStyle w:val="FootnoteReference"/>
        </w:rPr>
        <w:footnoteRef/>
      </w:r>
      <w:r w:rsidRPr="00A26432">
        <w:t xml:space="preserve"> 7 U.S.C. 1a(39).</w:t>
      </w:r>
    </w:p>
  </w:footnote>
  <w:footnote w:id="7">
    <w:p w:rsidR="0090536D" w:rsidRPr="00A26432" w:rsidP="00703580" w14:paraId="4657EEB9" w14:textId="0713E79F">
      <w:pPr>
        <w:pStyle w:val="FootnoteText"/>
        <w:spacing w:after="120"/>
      </w:pPr>
      <w:r w:rsidRPr="00A26432">
        <w:rPr>
          <w:rStyle w:val="FootnoteReference"/>
        </w:rPr>
        <w:footnoteRef/>
      </w:r>
      <w:r w:rsidRPr="00A26432">
        <w:t xml:space="preserve"> </w:t>
      </w:r>
      <w:r w:rsidRPr="00A26432" w:rsidR="0034754F">
        <w:t>7 U.S.C. 2(i).</w:t>
      </w:r>
    </w:p>
  </w:footnote>
  <w:footnote w:id="8">
    <w:p w:rsidR="00BA2F9A" w:rsidRPr="00A26432" w:rsidP="00703580" w14:paraId="3D1C05E4" w14:textId="7ABB9890">
      <w:pPr>
        <w:pStyle w:val="FootnoteText"/>
        <w:spacing w:after="120"/>
      </w:pPr>
      <w:r w:rsidRPr="00A26432">
        <w:rPr>
          <w:rStyle w:val="FootnoteReference"/>
        </w:rPr>
        <w:footnoteRef/>
      </w:r>
      <w:r w:rsidRPr="00A26432">
        <w:t xml:space="preserve"> </w:t>
      </w:r>
      <w:r w:rsidRPr="00997FB6" w:rsidR="00997FB6">
        <w:rPr>
          <w:i/>
          <w:iCs/>
        </w:rPr>
        <w:t xml:space="preserve">See </w:t>
      </w:r>
      <w:r w:rsidR="00B859D8">
        <w:t xml:space="preserve">Margin Requirements for Uncleared Swaps for Swap Dealers and Major Swap Participants-Cross-Border Application of the Margin Requirements, </w:t>
      </w:r>
      <w:r w:rsidRPr="00A26432">
        <w:t>81 FR 34818 (May 31, 2016).</w:t>
      </w:r>
    </w:p>
  </w:footnote>
  <w:footnote w:id="9">
    <w:p w:rsidR="00551A51" w:rsidRPr="00A26432" w:rsidP="00703580" w14:paraId="26700619" w14:textId="2BA2D3FB">
      <w:pPr>
        <w:pStyle w:val="FootnoteText"/>
        <w:spacing w:after="120"/>
        <w:jc w:val="both"/>
      </w:pPr>
      <w:r w:rsidRPr="00A26432">
        <w:rPr>
          <w:rStyle w:val="FootnoteReference"/>
        </w:rPr>
        <w:footnoteRef/>
      </w:r>
      <w:r w:rsidRPr="00A26432">
        <w:t xml:space="preserve"> As used in the adopting release, a “non-netting jurisdiction” is a jurisdiction in which a CSE cannot conclude, with a well-founded basis, that the netting agreement with a counterparty in that foreign jurisdiction meets the definition of an “eligible master netting agreement” set forth in Commission Regulation 23.151, and as described in Section II.B.5.b of the adopting release.</w:t>
      </w:r>
    </w:p>
  </w:footnote>
  <w:footnote w:id="10">
    <w:p w:rsidR="006D0EA5" w:rsidRPr="00A26432" w:rsidP="00703580" w14:paraId="3543985A" w14:textId="1555782A">
      <w:pPr>
        <w:pStyle w:val="FootnoteText"/>
        <w:spacing w:after="120"/>
        <w:jc w:val="both"/>
      </w:pPr>
      <w:r w:rsidRPr="00A26432">
        <w:rPr>
          <w:rStyle w:val="FootnoteReference"/>
        </w:rPr>
        <w:footnoteRef/>
      </w:r>
      <w:r w:rsidRPr="00A26432">
        <w:t xml:space="preserve"> As used in the adopting release, a “non-segregation jurisdiction” is a jurisdiction where inherent limitations in the legal or operational infrastructure of the foreign jurisdiction make it impracticable for the CSE and its counterparty to post initial margin pursuant to custodial arrangements that comply with the Commission’s margin rules, as further described in Section II.B.4.b of the adopting release.  </w:t>
      </w:r>
    </w:p>
  </w:footnote>
  <w:footnote w:id="11">
    <w:p w:rsidR="00DB13D4" w:rsidRPr="00A26432" w:rsidP="00703580" w14:paraId="4859B58D" w14:textId="4865BF39">
      <w:pPr>
        <w:pStyle w:val="FootnoteText"/>
        <w:spacing w:after="120"/>
      </w:pPr>
      <w:r w:rsidRPr="00A26432">
        <w:rPr>
          <w:rStyle w:val="FootnoteReference"/>
        </w:rPr>
        <w:footnoteRef/>
      </w:r>
      <w:r w:rsidRPr="00A26432">
        <w:t xml:space="preserve"> 17 CFR 23.160(c)(1).</w:t>
      </w:r>
    </w:p>
  </w:footnote>
  <w:footnote w:id="12">
    <w:p w:rsidR="00DB13D4" w:rsidRPr="00A26432" w:rsidP="00703580" w14:paraId="7E296445" w14:textId="3826586E">
      <w:pPr>
        <w:pStyle w:val="FootnoteText"/>
        <w:spacing w:after="120"/>
      </w:pPr>
      <w:r w:rsidRPr="00A26432">
        <w:rPr>
          <w:rStyle w:val="FootnoteReference"/>
        </w:rPr>
        <w:footnoteRef/>
      </w:r>
      <w:r w:rsidRPr="00A26432">
        <w:t xml:space="preserve"> 17 CFR 23.160(c)(2).</w:t>
      </w:r>
    </w:p>
  </w:footnote>
  <w:footnote w:id="13">
    <w:p w:rsidR="00DB13D4" w:rsidRPr="00A26432" w:rsidP="00703580" w14:paraId="40EAD374" w14:textId="292F8020">
      <w:pPr>
        <w:pStyle w:val="FootnoteText"/>
        <w:spacing w:after="120"/>
      </w:pPr>
      <w:r w:rsidRPr="00A26432">
        <w:rPr>
          <w:rStyle w:val="FootnoteReference"/>
        </w:rPr>
        <w:footnoteRef/>
      </w:r>
      <w:r w:rsidRPr="00A26432">
        <w:t xml:space="preserve"> 17 CFR 23.160(d).</w:t>
      </w:r>
    </w:p>
  </w:footnote>
  <w:footnote w:id="14">
    <w:p w:rsidR="00064431" w:rsidP="00CD46C1" w14:paraId="5BD33DAA" w14:textId="33CC4B89">
      <w:pPr>
        <w:pStyle w:val="FootnoteText"/>
        <w:spacing w:after="120"/>
      </w:pPr>
      <w:r>
        <w:rPr>
          <w:rStyle w:val="FootnoteReference"/>
        </w:rPr>
        <w:footnoteRef/>
      </w:r>
      <w:r>
        <w:t xml:space="preserve"> 17 CFR 23.151. </w:t>
      </w:r>
    </w:p>
  </w:footnote>
  <w:footnote w:id="15">
    <w:p w:rsidR="00C77CA8" w:rsidP="00CD46C1" w14:paraId="51BB9FAA" w14:textId="59B7B198">
      <w:pPr>
        <w:pStyle w:val="FootnoteText"/>
        <w:spacing w:after="120"/>
      </w:pPr>
      <w:r>
        <w:rPr>
          <w:rStyle w:val="FootnoteReference"/>
        </w:rPr>
        <w:footnoteRef/>
      </w:r>
      <w:r>
        <w:t xml:space="preserve"> 17 CFR </w:t>
      </w:r>
      <w:r w:rsidRPr="00C77CA8">
        <w:t>23.152(c)</w:t>
      </w:r>
      <w:r w:rsidR="00CF1AB9">
        <w:t>;</w:t>
      </w:r>
      <w:r w:rsidR="008730C0">
        <w:t xml:space="preserve"> </w:t>
      </w:r>
      <w:r w:rsidR="00CF1AB9">
        <w:t xml:space="preserve">17 CFR </w:t>
      </w:r>
      <w:r w:rsidRPr="00C77CA8">
        <w:t>23.153(d)</w:t>
      </w:r>
      <w:r>
        <w:t>.</w:t>
      </w:r>
    </w:p>
  </w:footnote>
  <w:footnote w:id="16">
    <w:p w:rsidR="00DB13D4" w:rsidRPr="00A26432" w:rsidP="00703580" w14:paraId="7D959D69" w14:textId="1101AC9E">
      <w:pPr>
        <w:pStyle w:val="FootnoteText"/>
        <w:spacing w:after="120"/>
      </w:pPr>
      <w:r w:rsidRPr="00A26432">
        <w:rPr>
          <w:rStyle w:val="FootnoteReference"/>
        </w:rPr>
        <w:footnoteRef/>
      </w:r>
      <w:r w:rsidRPr="00A26432">
        <w:t xml:space="preserve"> 17 CFR 23.160(e).</w:t>
      </w:r>
    </w:p>
  </w:footnote>
  <w:footnote w:id="17">
    <w:p w:rsidR="00DB13D4" w:rsidRPr="00A26432" w:rsidP="00703580" w14:paraId="0B2A0392" w14:textId="50B47BE6">
      <w:pPr>
        <w:pStyle w:val="FootnoteText"/>
        <w:spacing w:after="120"/>
      </w:pPr>
      <w:r w:rsidRPr="00A26432">
        <w:rPr>
          <w:rStyle w:val="FootnoteReference"/>
        </w:rPr>
        <w:footnoteRef/>
      </w:r>
      <w:r w:rsidRPr="00A26432">
        <w:t xml:space="preserve"> 17 CFR 23.160(a)(1).</w:t>
      </w:r>
    </w:p>
  </w:footnote>
  <w:footnote w:id="18">
    <w:p w:rsidR="00B05A67" w:rsidP="00B05A67" w14:paraId="53EB17B1" w14:textId="5C49CCA5">
      <w:pPr>
        <w:pStyle w:val="FootnoteText"/>
        <w:spacing w:after="120"/>
      </w:pPr>
      <w:r>
        <w:rPr>
          <w:rStyle w:val="FootnoteReference"/>
        </w:rPr>
        <w:footnoteRef/>
      </w:r>
      <w:r>
        <w:t xml:space="preserve"> 17 CFR 23.157.</w:t>
      </w:r>
    </w:p>
  </w:footnote>
  <w:footnote w:id="19">
    <w:p w:rsidR="00B05A67" w:rsidP="00B05A67" w14:paraId="7CECBF93" w14:textId="3793301F">
      <w:pPr>
        <w:pStyle w:val="FootnoteText"/>
        <w:spacing w:after="120"/>
      </w:pPr>
      <w:r>
        <w:rPr>
          <w:rStyle w:val="FootnoteReference"/>
        </w:rPr>
        <w:footnoteRef/>
      </w:r>
      <w:r>
        <w:t xml:space="preserve"> 17 CFR </w:t>
      </w:r>
      <w:r w:rsidRPr="00B05A67">
        <w:t>23.154(b)(2)(v)</w:t>
      </w:r>
      <w:r>
        <w:t>.</w:t>
      </w:r>
    </w:p>
  </w:footnote>
  <w:footnote w:id="20">
    <w:p w:rsidR="00393688" w:rsidRPr="00A26432" w:rsidP="00703580" w14:paraId="1049F25B" w14:textId="77777777">
      <w:pPr>
        <w:pStyle w:val="FootnoteText"/>
        <w:spacing w:after="120"/>
        <w:jc w:val="both"/>
      </w:pPr>
      <w:r w:rsidRPr="00A26432">
        <w:rPr>
          <w:rStyle w:val="FootnoteReference"/>
        </w:rPr>
        <w:footnoteRef/>
      </w:r>
      <w:r w:rsidRPr="00A26432">
        <w:t xml:space="preserve"> </w:t>
      </w:r>
      <w:r w:rsidRPr="00A26432">
        <w:rPr>
          <w:i/>
        </w:rPr>
        <w:t xml:space="preserve">See </w:t>
      </w:r>
      <w:r w:rsidRPr="00A26432">
        <w:t xml:space="preserve">Comparability Determination for Japan: Margin Requirements for Uncleared Swaps for Swap Dealers and Major Swap Participants, 81 FR 63376 (Sep. 15, 2016); Comparability Determination for the European Union: Margin Requirements for Uncleared Swaps for Swap Dealers and Major Swap Participants, 82 FR 48394 (Oct. 13, 2017) (“Margin Comparability Determination for the European Union”); and Comparability Determination for Australia: Margin Requirements for Uncleared Swaps for Swap Dealers and Major Swap Participants, 84 FR 12908 (Apr. 3, 2019).  The Commission subsequently amended its comparability determination for Japan.  </w:t>
      </w:r>
      <w:r w:rsidRPr="00A26432">
        <w:rPr>
          <w:i/>
        </w:rPr>
        <w:t xml:space="preserve">See </w:t>
      </w:r>
      <w:r w:rsidRPr="00A26432">
        <w:t>Amendment to Comparability Determination for Japan: Margin Requirements for Uncleared Swaps for Swap Dealers and Major Swap Participants, 84 FR 12074 (Apr. 1, 2019).</w:t>
      </w:r>
    </w:p>
  </w:footnote>
  <w:footnote w:id="21">
    <w:p w:rsidR="008212C6" w:rsidP="00703580" w14:paraId="5CCFE3B4" w14:textId="752BE30B">
      <w:pPr>
        <w:pStyle w:val="FootnoteText"/>
        <w:spacing w:after="120"/>
      </w:pPr>
      <w:r w:rsidRPr="00A26432">
        <w:rPr>
          <w:rStyle w:val="FootnoteReference"/>
        </w:rPr>
        <w:footnoteRef/>
      </w:r>
      <w:r w:rsidRPr="00A26432">
        <w:t xml:space="preserve"> </w:t>
      </w:r>
      <w:r w:rsidRPr="00A26432">
        <w:rPr>
          <w:i/>
          <w:iCs/>
        </w:rPr>
        <w:t xml:space="preserve">See </w:t>
      </w:r>
      <w:r w:rsidRPr="00A26432">
        <w:t xml:space="preserve">Securities, Commodity Contracts, and Other Financial Investments and Related Activities - May </w:t>
      </w:r>
      <w:r w:rsidRPr="00A26432" w:rsidR="007A63D6">
        <w:t xml:space="preserve">2024 </w:t>
      </w:r>
      <w:r w:rsidRPr="00A26432" w:rsidR="006A4C5D">
        <w:t>Occupational Employment and Wage Statistics Quest System</w:t>
      </w:r>
      <w:r w:rsidRPr="00A26432">
        <w:t xml:space="preserve"> Occupational Employment and Wage </w:t>
      </w:r>
      <w:r w:rsidRPr="00A26432" w:rsidR="006A4C5D">
        <w:t xml:space="preserve">Statistics </w:t>
      </w:r>
      <w:r w:rsidRPr="00A26432">
        <w:t xml:space="preserve">(bls.gov), </w:t>
      </w:r>
      <w:r w:rsidRPr="008D7907">
        <w:rPr>
          <w:i/>
          <w:iCs/>
        </w:rPr>
        <w:t>available at</w:t>
      </w:r>
      <w:bookmarkStart w:id="8" w:name="_Hlk115873509"/>
      <w:r w:rsidR="008D7907">
        <w:t xml:space="preserve"> </w:t>
      </w:r>
      <w:r w:rsidRPr="00A26432" w:rsidR="007A63D6">
        <w:t>https://data.bls.gov/oes/#/industry/523000</w:t>
      </w:r>
      <w:r w:rsidRPr="00A26432" w:rsidR="007A63D6">
        <w:t xml:space="preserve"> </w:t>
      </w:r>
      <w:bookmarkEnd w:id="8"/>
      <w:r w:rsidRPr="00A26432">
        <w:t xml:space="preserve">(last visited </w:t>
      </w:r>
      <w:r w:rsidRPr="00A26432" w:rsidR="007A63D6">
        <w:t>May 30, 2025</w:t>
      </w:r>
      <w:r w:rsidRPr="00A2643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9F7B2D"/>
    <w:multiLevelType w:val="hybridMultilevel"/>
    <w:tmpl w:val="A16C5D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2D861751"/>
    <w:multiLevelType w:val="hybridMultilevel"/>
    <w:tmpl w:val="C4ACB780"/>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left"/>
      <w:pPr>
        <w:ind w:left="2160" w:hanging="180"/>
      </w:pPr>
      <w:rPr>
        <w:rFonts w:hint="default"/>
        <w:sz w:val="24"/>
        <w:szCs w:val="24"/>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C33F2A"/>
    <w:multiLevelType w:val="hybridMultilevel"/>
    <w:tmpl w:val="F5DA2ED4"/>
    <w:lvl w:ilvl="0">
      <w:start w:val="1"/>
      <w:numFmt w:val="bullet"/>
      <w:lvlText w:val="•"/>
      <w:lvlJc w:val="left"/>
      <w:pPr>
        <w:tabs>
          <w:tab w:val="num" w:pos="936"/>
        </w:tabs>
        <w:ind w:left="936" w:hanging="216"/>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12112897">
    <w:abstractNumId w:val="2"/>
  </w:num>
  <w:num w:numId="2" w16cid:durableId="470679875">
    <w:abstractNumId w:val="1"/>
  </w:num>
  <w:num w:numId="3" w16cid:durableId="6746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1E83"/>
    <w:rsid w:val="00006B3A"/>
    <w:rsid w:val="000406D6"/>
    <w:rsid w:val="00040DC2"/>
    <w:rsid w:val="00040E01"/>
    <w:rsid w:val="000576BF"/>
    <w:rsid w:val="00061028"/>
    <w:rsid w:val="00062D33"/>
    <w:rsid w:val="00064431"/>
    <w:rsid w:val="00067F71"/>
    <w:rsid w:val="0007112C"/>
    <w:rsid w:val="00072761"/>
    <w:rsid w:val="0007594B"/>
    <w:rsid w:val="0007644D"/>
    <w:rsid w:val="000803D6"/>
    <w:rsid w:val="000835FF"/>
    <w:rsid w:val="00083F72"/>
    <w:rsid w:val="00085497"/>
    <w:rsid w:val="00094094"/>
    <w:rsid w:val="00094EC8"/>
    <w:rsid w:val="00097252"/>
    <w:rsid w:val="000A4AD5"/>
    <w:rsid w:val="000B2FF8"/>
    <w:rsid w:val="000B75D6"/>
    <w:rsid w:val="000C3307"/>
    <w:rsid w:val="000D4626"/>
    <w:rsid w:val="000E0987"/>
    <w:rsid w:val="000E26BB"/>
    <w:rsid w:val="000E76F9"/>
    <w:rsid w:val="000F1022"/>
    <w:rsid w:val="000F1DB1"/>
    <w:rsid w:val="000F3930"/>
    <w:rsid w:val="000F5789"/>
    <w:rsid w:val="000F7422"/>
    <w:rsid w:val="000F7A91"/>
    <w:rsid w:val="00105A55"/>
    <w:rsid w:val="00106D27"/>
    <w:rsid w:val="001168AC"/>
    <w:rsid w:val="001168FB"/>
    <w:rsid w:val="00116FC7"/>
    <w:rsid w:val="00117D14"/>
    <w:rsid w:val="0012080B"/>
    <w:rsid w:val="00122C1D"/>
    <w:rsid w:val="00130FE1"/>
    <w:rsid w:val="0013490E"/>
    <w:rsid w:val="001500FA"/>
    <w:rsid w:val="001577B2"/>
    <w:rsid w:val="00161B62"/>
    <w:rsid w:val="001721A0"/>
    <w:rsid w:val="0017250C"/>
    <w:rsid w:val="00176391"/>
    <w:rsid w:val="00180982"/>
    <w:rsid w:val="00183CA7"/>
    <w:rsid w:val="00183DF8"/>
    <w:rsid w:val="0019428C"/>
    <w:rsid w:val="00195854"/>
    <w:rsid w:val="001A0E9C"/>
    <w:rsid w:val="001A1265"/>
    <w:rsid w:val="001A2E3A"/>
    <w:rsid w:val="001A467A"/>
    <w:rsid w:val="001A5491"/>
    <w:rsid w:val="001B3E81"/>
    <w:rsid w:val="001B42B4"/>
    <w:rsid w:val="001C16FE"/>
    <w:rsid w:val="001D2DE8"/>
    <w:rsid w:val="001E062E"/>
    <w:rsid w:val="001F5592"/>
    <w:rsid w:val="001F7B2C"/>
    <w:rsid w:val="00200207"/>
    <w:rsid w:val="002010BD"/>
    <w:rsid w:val="002023E9"/>
    <w:rsid w:val="00206BC9"/>
    <w:rsid w:val="00213C87"/>
    <w:rsid w:val="00220DC6"/>
    <w:rsid w:val="0022169C"/>
    <w:rsid w:val="002266A2"/>
    <w:rsid w:val="002268D6"/>
    <w:rsid w:val="00230A42"/>
    <w:rsid w:val="00233D65"/>
    <w:rsid w:val="0023537F"/>
    <w:rsid w:val="00236654"/>
    <w:rsid w:val="00237732"/>
    <w:rsid w:val="00241C6F"/>
    <w:rsid w:val="00243435"/>
    <w:rsid w:val="002478AC"/>
    <w:rsid w:val="002600FA"/>
    <w:rsid w:val="00260C07"/>
    <w:rsid w:val="0026517C"/>
    <w:rsid w:val="00265D78"/>
    <w:rsid w:val="002750B6"/>
    <w:rsid w:val="00275C49"/>
    <w:rsid w:val="00275C9D"/>
    <w:rsid w:val="0027708A"/>
    <w:rsid w:val="0028137E"/>
    <w:rsid w:val="00283EA6"/>
    <w:rsid w:val="00285630"/>
    <w:rsid w:val="00286343"/>
    <w:rsid w:val="002879E8"/>
    <w:rsid w:val="002904A0"/>
    <w:rsid w:val="00292A48"/>
    <w:rsid w:val="002A2712"/>
    <w:rsid w:val="002A4187"/>
    <w:rsid w:val="002A7EA9"/>
    <w:rsid w:val="002B10CD"/>
    <w:rsid w:val="002C6F07"/>
    <w:rsid w:val="002C7E70"/>
    <w:rsid w:val="002D0489"/>
    <w:rsid w:val="002D46D5"/>
    <w:rsid w:val="002D6116"/>
    <w:rsid w:val="002E05BD"/>
    <w:rsid w:val="002E2093"/>
    <w:rsid w:val="002F1E80"/>
    <w:rsid w:val="00301AF0"/>
    <w:rsid w:val="00307371"/>
    <w:rsid w:val="00307E70"/>
    <w:rsid w:val="00315443"/>
    <w:rsid w:val="00323750"/>
    <w:rsid w:val="003249F1"/>
    <w:rsid w:val="00330181"/>
    <w:rsid w:val="00330DF8"/>
    <w:rsid w:val="00335D12"/>
    <w:rsid w:val="00336D63"/>
    <w:rsid w:val="00337E0A"/>
    <w:rsid w:val="00346789"/>
    <w:rsid w:val="0034754F"/>
    <w:rsid w:val="00351881"/>
    <w:rsid w:val="00351FC7"/>
    <w:rsid w:val="0035273D"/>
    <w:rsid w:val="003570D6"/>
    <w:rsid w:val="003607A6"/>
    <w:rsid w:val="00362A85"/>
    <w:rsid w:val="003677B4"/>
    <w:rsid w:val="0037312F"/>
    <w:rsid w:val="0037421B"/>
    <w:rsid w:val="003755F4"/>
    <w:rsid w:val="00377816"/>
    <w:rsid w:val="003808F9"/>
    <w:rsid w:val="00393688"/>
    <w:rsid w:val="003A2436"/>
    <w:rsid w:val="003A528E"/>
    <w:rsid w:val="003B1476"/>
    <w:rsid w:val="003B2171"/>
    <w:rsid w:val="003C2AD8"/>
    <w:rsid w:val="003D307A"/>
    <w:rsid w:val="003E757D"/>
    <w:rsid w:val="003F1368"/>
    <w:rsid w:val="003F2A11"/>
    <w:rsid w:val="003F3376"/>
    <w:rsid w:val="003F4067"/>
    <w:rsid w:val="00402E70"/>
    <w:rsid w:val="00405AC8"/>
    <w:rsid w:val="004075E2"/>
    <w:rsid w:val="00407CEA"/>
    <w:rsid w:val="00410592"/>
    <w:rsid w:val="0041206F"/>
    <w:rsid w:val="00412495"/>
    <w:rsid w:val="0041581B"/>
    <w:rsid w:val="0042381A"/>
    <w:rsid w:val="00427B53"/>
    <w:rsid w:val="00432D25"/>
    <w:rsid w:val="004341F0"/>
    <w:rsid w:val="00435FB5"/>
    <w:rsid w:val="004424C3"/>
    <w:rsid w:val="004426E7"/>
    <w:rsid w:val="00443D7B"/>
    <w:rsid w:val="00445095"/>
    <w:rsid w:val="004455CA"/>
    <w:rsid w:val="0044653A"/>
    <w:rsid w:val="0044799F"/>
    <w:rsid w:val="004479C4"/>
    <w:rsid w:val="00461AC8"/>
    <w:rsid w:val="004704B2"/>
    <w:rsid w:val="00470901"/>
    <w:rsid w:val="00476AB6"/>
    <w:rsid w:val="004851FA"/>
    <w:rsid w:val="00485CC8"/>
    <w:rsid w:val="004877D1"/>
    <w:rsid w:val="00487A4F"/>
    <w:rsid w:val="004917AF"/>
    <w:rsid w:val="00492374"/>
    <w:rsid w:val="004A5F11"/>
    <w:rsid w:val="004C2276"/>
    <w:rsid w:val="004C5206"/>
    <w:rsid w:val="004C68E2"/>
    <w:rsid w:val="004D4303"/>
    <w:rsid w:val="004D4BEA"/>
    <w:rsid w:val="004E6EB5"/>
    <w:rsid w:val="004F186E"/>
    <w:rsid w:val="004F4C42"/>
    <w:rsid w:val="0050552A"/>
    <w:rsid w:val="005118D5"/>
    <w:rsid w:val="00512415"/>
    <w:rsid w:val="00514BE7"/>
    <w:rsid w:val="00522FA8"/>
    <w:rsid w:val="00525395"/>
    <w:rsid w:val="00526695"/>
    <w:rsid w:val="005279C8"/>
    <w:rsid w:val="00527E76"/>
    <w:rsid w:val="00535EEC"/>
    <w:rsid w:val="005362DD"/>
    <w:rsid w:val="00536456"/>
    <w:rsid w:val="005370C5"/>
    <w:rsid w:val="0054137F"/>
    <w:rsid w:val="00547BBA"/>
    <w:rsid w:val="005503C6"/>
    <w:rsid w:val="00551A51"/>
    <w:rsid w:val="00552649"/>
    <w:rsid w:val="005541B7"/>
    <w:rsid w:val="00554929"/>
    <w:rsid w:val="0055511E"/>
    <w:rsid w:val="00555319"/>
    <w:rsid w:val="00557EF2"/>
    <w:rsid w:val="005654F0"/>
    <w:rsid w:val="00572081"/>
    <w:rsid w:val="00572B20"/>
    <w:rsid w:val="00575717"/>
    <w:rsid w:val="00577C70"/>
    <w:rsid w:val="00577F1F"/>
    <w:rsid w:val="005804AB"/>
    <w:rsid w:val="00585718"/>
    <w:rsid w:val="0059653A"/>
    <w:rsid w:val="005970E7"/>
    <w:rsid w:val="0059739E"/>
    <w:rsid w:val="005A485E"/>
    <w:rsid w:val="005B0BD4"/>
    <w:rsid w:val="005C6028"/>
    <w:rsid w:val="005D1D56"/>
    <w:rsid w:val="005D34A0"/>
    <w:rsid w:val="005D3732"/>
    <w:rsid w:val="005D6DC3"/>
    <w:rsid w:val="005E2CE6"/>
    <w:rsid w:val="005E41B2"/>
    <w:rsid w:val="005E4E5C"/>
    <w:rsid w:val="005F6AFC"/>
    <w:rsid w:val="006051F8"/>
    <w:rsid w:val="00607553"/>
    <w:rsid w:val="00607D38"/>
    <w:rsid w:val="006117E2"/>
    <w:rsid w:val="00612790"/>
    <w:rsid w:val="0061666D"/>
    <w:rsid w:val="00622A78"/>
    <w:rsid w:val="006243BC"/>
    <w:rsid w:val="00627AFF"/>
    <w:rsid w:val="00635BA1"/>
    <w:rsid w:val="0063622E"/>
    <w:rsid w:val="00637711"/>
    <w:rsid w:val="00640784"/>
    <w:rsid w:val="00642B6A"/>
    <w:rsid w:val="00653547"/>
    <w:rsid w:val="00653901"/>
    <w:rsid w:val="00664C08"/>
    <w:rsid w:val="00667CD6"/>
    <w:rsid w:val="00676D5A"/>
    <w:rsid w:val="00677780"/>
    <w:rsid w:val="00692192"/>
    <w:rsid w:val="00694F4E"/>
    <w:rsid w:val="006957CE"/>
    <w:rsid w:val="00695DD7"/>
    <w:rsid w:val="00697065"/>
    <w:rsid w:val="006977E9"/>
    <w:rsid w:val="006A4C5D"/>
    <w:rsid w:val="006A5919"/>
    <w:rsid w:val="006B26C2"/>
    <w:rsid w:val="006B2A40"/>
    <w:rsid w:val="006C148A"/>
    <w:rsid w:val="006C21C3"/>
    <w:rsid w:val="006D0EA5"/>
    <w:rsid w:val="006D2451"/>
    <w:rsid w:val="006D67DE"/>
    <w:rsid w:val="006E312C"/>
    <w:rsid w:val="006E5C56"/>
    <w:rsid w:val="006F13AF"/>
    <w:rsid w:val="006F3941"/>
    <w:rsid w:val="006F4429"/>
    <w:rsid w:val="006F5E4E"/>
    <w:rsid w:val="00701353"/>
    <w:rsid w:val="0070144D"/>
    <w:rsid w:val="007029A9"/>
    <w:rsid w:val="00703580"/>
    <w:rsid w:val="00703BF6"/>
    <w:rsid w:val="00704DE5"/>
    <w:rsid w:val="00707926"/>
    <w:rsid w:val="0071057A"/>
    <w:rsid w:val="00711F76"/>
    <w:rsid w:val="00715F21"/>
    <w:rsid w:val="00721011"/>
    <w:rsid w:val="00722312"/>
    <w:rsid w:val="00722749"/>
    <w:rsid w:val="007276AC"/>
    <w:rsid w:val="00732F9B"/>
    <w:rsid w:val="0073373A"/>
    <w:rsid w:val="00734CBD"/>
    <w:rsid w:val="007354DF"/>
    <w:rsid w:val="0074060F"/>
    <w:rsid w:val="0074122B"/>
    <w:rsid w:val="00741904"/>
    <w:rsid w:val="00747BF5"/>
    <w:rsid w:val="00750D98"/>
    <w:rsid w:val="00751B4D"/>
    <w:rsid w:val="007533EB"/>
    <w:rsid w:val="00755826"/>
    <w:rsid w:val="007615A6"/>
    <w:rsid w:val="0076443A"/>
    <w:rsid w:val="00766E20"/>
    <w:rsid w:val="007724B6"/>
    <w:rsid w:val="0078471A"/>
    <w:rsid w:val="007868BB"/>
    <w:rsid w:val="007925FC"/>
    <w:rsid w:val="007A328E"/>
    <w:rsid w:val="007A5D5D"/>
    <w:rsid w:val="007A63D6"/>
    <w:rsid w:val="007B1735"/>
    <w:rsid w:val="007B4562"/>
    <w:rsid w:val="007B7CE3"/>
    <w:rsid w:val="007C4C87"/>
    <w:rsid w:val="007C5B3F"/>
    <w:rsid w:val="007D22E3"/>
    <w:rsid w:val="007E10D4"/>
    <w:rsid w:val="007F1232"/>
    <w:rsid w:val="007F1F04"/>
    <w:rsid w:val="007F27F5"/>
    <w:rsid w:val="007F3179"/>
    <w:rsid w:val="007F750D"/>
    <w:rsid w:val="008044EB"/>
    <w:rsid w:val="00805F95"/>
    <w:rsid w:val="00815134"/>
    <w:rsid w:val="0082104F"/>
    <w:rsid w:val="008212C6"/>
    <w:rsid w:val="008260B0"/>
    <w:rsid w:val="0082647F"/>
    <w:rsid w:val="00836741"/>
    <w:rsid w:val="00837369"/>
    <w:rsid w:val="00841BE4"/>
    <w:rsid w:val="008435FA"/>
    <w:rsid w:val="00843603"/>
    <w:rsid w:val="0084558C"/>
    <w:rsid w:val="0085012C"/>
    <w:rsid w:val="00851BFA"/>
    <w:rsid w:val="00862166"/>
    <w:rsid w:val="00864361"/>
    <w:rsid w:val="00864555"/>
    <w:rsid w:val="00864A79"/>
    <w:rsid w:val="00865016"/>
    <w:rsid w:val="008655FD"/>
    <w:rsid w:val="008723AF"/>
    <w:rsid w:val="008730C0"/>
    <w:rsid w:val="0088270F"/>
    <w:rsid w:val="00882745"/>
    <w:rsid w:val="00891882"/>
    <w:rsid w:val="008A02A6"/>
    <w:rsid w:val="008A3E65"/>
    <w:rsid w:val="008A7D9A"/>
    <w:rsid w:val="008B2B07"/>
    <w:rsid w:val="008B302F"/>
    <w:rsid w:val="008B4FED"/>
    <w:rsid w:val="008B5316"/>
    <w:rsid w:val="008B59EA"/>
    <w:rsid w:val="008C0D38"/>
    <w:rsid w:val="008C4E2F"/>
    <w:rsid w:val="008C5DB5"/>
    <w:rsid w:val="008D643E"/>
    <w:rsid w:val="008D65DD"/>
    <w:rsid w:val="008D733D"/>
    <w:rsid w:val="008D7907"/>
    <w:rsid w:val="008E0C3B"/>
    <w:rsid w:val="008E5178"/>
    <w:rsid w:val="008F20DA"/>
    <w:rsid w:val="008F2F98"/>
    <w:rsid w:val="008F6D4A"/>
    <w:rsid w:val="00900997"/>
    <w:rsid w:val="00902356"/>
    <w:rsid w:val="0090388C"/>
    <w:rsid w:val="0090536D"/>
    <w:rsid w:val="009060E8"/>
    <w:rsid w:val="009075EF"/>
    <w:rsid w:val="00907917"/>
    <w:rsid w:val="00910DF6"/>
    <w:rsid w:val="00913346"/>
    <w:rsid w:val="009138D7"/>
    <w:rsid w:val="00921701"/>
    <w:rsid w:val="00924278"/>
    <w:rsid w:val="009309EC"/>
    <w:rsid w:val="00940206"/>
    <w:rsid w:val="00942FE5"/>
    <w:rsid w:val="00960F88"/>
    <w:rsid w:val="009626AB"/>
    <w:rsid w:val="00962B5C"/>
    <w:rsid w:val="00963975"/>
    <w:rsid w:val="00975FC8"/>
    <w:rsid w:val="00980294"/>
    <w:rsid w:val="009822A8"/>
    <w:rsid w:val="009832A4"/>
    <w:rsid w:val="0098406B"/>
    <w:rsid w:val="00993700"/>
    <w:rsid w:val="0099690D"/>
    <w:rsid w:val="00997FB6"/>
    <w:rsid w:val="009A3696"/>
    <w:rsid w:val="009A5D4C"/>
    <w:rsid w:val="009A7AB6"/>
    <w:rsid w:val="009B1E93"/>
    <w:rsid w:val="009B2F52"/>
    <w:rsid w:val="009B5778"/>
    <w:rsid w:val="009B5B90"/>
    <w:rsid w:val="009B6FFB"/>
    <w:rsid w:val="009C2F94"/>
    <w:rsid w:val="009C6A01"/>
    <w:rsid w:val="009C6DB4"/>
    <w:rsid w:val="009D00FB"/>
    <w:rsid w:val="009D2F30"/>
    <w:rsid w:val="009E00D2"/>
    <w:rsid w:val="009E32FF"/>
    <w:rsid w:val="009E445F"/>
    <w:rsid w:val="009F524C"/>
    <w:rsid w:val="009F536C"/>
    <w:rsid w:val="00A0026C"/>
    <w:rsid w:val="00A0189D"/>
    <w:rsid w:val="00A02657"/>
    <w:rsid w:val="00A0442B"/>
    <w:rsid w:val="00A04F5E"/>
    <w:rsid w:val="00A21931"/>
    <w:rsid w:val="00A257E3"/>
    <w:rsid w:val="00A26432"/>
    <w:rsid w:val="00A3037C"/>
    <w:rsid w:val="00A3395D"/>
    <w:rsid w:val="00A34FBC"/>
    <w:rsid w:val="00A365EE"/>
    <w:rsid w:val="00A53627"/>
    <w:rsid w:val="00A54471"/>
    <w:rsid w:val="00A61206"/>
    <w:rsid w:val="00A6353E"/>
    <w:rsid w:val="00A70706"/>
    <w:rsid w:val="00A708B1"/>
    <w:rsid w:val="00A70A72"/>
    <w:rsid w:val="00A72373"/>
    <w:rsid w:val="00A8226E"/>
    <w:rsid w:val="00A85EE5"/>
    <w:rsid w:val="00A95351"/>
    <w:rsid w:val="00AA1A0C"/>
    <w:rsid w:val="00AA2B42"/>
    <w:rsid w:val="00AA3389"/>
    <w:rsid w:val="00AA5900"/>
    <w:rsid w:val="00AA6F7A"/>
    <w:rsid w:val="00AC2529"/>
    <w:rsid w:val="00AC4910"/>
    <w:rsid w:val="00AC5528"/>
    <w:rsid w:val="00AC59BE"/>
    <w:rsid w:val="00AC5FAA"/>
    <w:rsid w:val="00AC6F2E"/>
    <w:rsid w:val="00AC7C9A"/>
    <w:rsid w:val="00AD0B9F"/>
    <w:rsid w:val="00AD1313"/>
    <w:rsid w:val="00AD2E95"/>
    <w:rsid w:val="00AD3EFE"/>
    <w:rsid w:val="00AD65C3"/>
    <w:rsid w:val="00AE528B"/>
    <w:rsid w:val="00AE6CE6"/>
    <w:rsid w:val="00AF0249"/>
    <w:rsid w:val="00B04609"/>
    <w:rsid w:val="00B04C3E"/>
    <w:rsid w:val="00B05A67"/>
    <w:rsid w:val="00B06276"/>
    <w:rsid w:val="00B10792"/>
    <w:rsid w:val="00B1090B"/>
    <w:rsid w:val="00B22937"/>
    <w:rsid w:val="00B23070"/>
    <w:rsid w:val="00B266A0"/>
    <w:rsid w:val="00B328FB"/>
    <w:rsid w:val="00B33652"/>
    <w:rsid w:val="00B37572"/>
    <w:rsid w:val="00B40C8A"/>
    <w:rsid w:val="00B43030"/>
    <w:rsid w:val="00B47A62"/>
    <w:rsid w:val="00B537F3"/>
    <w:rsid w:val="00B61087"/>
    <w:rsid w:val="00B654A4"/>
    <w:rsid w:val="00B6776C"/>
    <w:rsid w:val="00B704F7"/>
    <w:rsid w:val="00B70973"/>
    <w:rsid w:val="00B72940"/>
    <w:rsid w:val="00B7295F"/>
    <w:rsid w:val="00B74CE1"/>
    <w:rsid w:val="00B8081A"/>
    <w:rsid w:val="00B851FF"/>
    <w:rsid w:val="00B859D8"/>
    <w:rsid w:val="00B86819"/>
    <w:rsid w:val="00B8782F"/>
    <w:rsid w:val="00B9011A"/>
    <w:rsid w:val="00B91704"/>
    <w:rsid w:val="00B9226D"/>
    <w:rsid w:val="00B944B9"/>
    <w:rsid w:val="00B964DA"/>
    <w:rsid w:val="00BA0508"/>
    <w:rsid w:val="00BA0A82"/>
    <w:rsid w:val="00BA1318"/>
    <w:rsid w:val="00BA2F9A"/>
    <w:rsid w:val="00BA361E"/>
    <w:rsid w:val="00BA3AE5"/>
    <w:rsid w:val="00BA44E8"/>
    <w:rsid w:val="00BA4E8E"/>
    <w:rsid w:val="00BA5CC2"/>
    <w:rsid w:val="00BA65AC"/>
    <w:rsid w:val="00BB6D18"/>
    <w:rsid w:val="00BC3225"/>
    <w:rsid w:val="00BC4E0E"/>
    <w:rsid w:val="00BD0A9B"/>
    <w:rsid w:val="00BD464C"/>
    <w:rsid w:val="00BE056E"/>
    <w:rsid w:val="00BE092B"/>
    <w:rsid w:val="00BE186A"/>
    <w:rsid w:val="00BE3923"/>
    <w:rsid w:val="00BE42AB"/>
    <w:rsid w:val="00BE6AC8"/>
    <w:rsid w:val="00BF2D37"/>
    <w:rsid w:val="00BF5F0F"/>
    <w:rsid w:val="00C0199E"/>
    <w:rsid w:val="00C032F4"/>
    <w:rsid w:val="00C03FBF"/>
    <w:rsid w:val="00C0446C"/>
    <w:rsid w:val="00C05975"/>
    <w:rsid w:val="00C15798"/>
    <w:rsid w:val="00C173E1"/>
    <w:rsid w:val="00C17831"/>
    <w:rsid w:val="00C2000F"/>
    <w:rsid w:val="00C23A3C"/>
    <w:rsid w:val="00C25AB2"/>
    <w:rsid w:val="00C36A0B"/>
    <w:rsid w:val="00C36BBA"/>
    <w:rsid w:val="00C42F5D"/>
    <w:rsid w:val="00C46AF8"/>
    <w:rsid w:val="00C556F2"/>
    <w:rsid w:val="00C72BDC"/>
    <w:rsid w:val="00C7552D"/>
    <w:rsid w:val="00C7663D"/>
    <w:rsid w:val="00C77CA8"/>
    <w:rsid w:val="00C91CB5"/>
    <w:rsid w:val="00C93916"/>
    <w:rsid w:val="00C9497A"/>
    <w:rsid w:val="00C96955"/>
    <w:rsid w:val="00C97847"/>
    <w:rsid w:val="00CC26E2"/>
    <w:rsid w:val="00CD2730"/>
    <w:rsid w:val="00CD2803"/>
    <w:rsid w:val="00CD46C1"/>
    <w:rsid w:val="00CE05A9"/>
    <w:rsid w:val="00CE497C"/>
    <w:rsid w:val="00CE6842"/>
    <w:rsid w:val="00CF1AB9"/>
    <w:rsid w:val="00CF1C34"/>
    <w:rsid w:val="00CF4CAC"/>
    <w:rsid w:val="00D053FF"/>
    <w:rsid w:val="00D055D6"/>
    <w:rsid w:val="00D12FEB"/>
    <w:rsid w:val="00D21BED"/>
    <w:rsid w:val="00D23F67"/>
    <w:rsid w:val="00D248A1"/>
    <w:rsid w:val="00D25BD2"/>
    <w:rsid w:val="00D27AE8"/>
    <w:rsid w:val="00D310D0"/>
    <w:rsid w:val="00D321E0"/>
    <w:rsid w:val="00D35086"/>
    <w:rsid w:val="00D35368"/>
    <w:rsid w:val="00D36FD0"/>
    <w:rsid w:val="00D37F72"/>
    <w:rsid w:val="00D41971"/>
    <w:rsid w:val="00D43587"/>
    <w:rsid w:val="00D521FE"/>
    <w:rsid w:val="00D5330A"/>
    <w:rsid w:val="00D579D2"/>
    <w:rsid w:val="00D905AA"/>
    <w:rsid w:val="00D91DEE"/>
    <w:rsid w:val="00D9242F"/>
    <w:rsid w:val="00D944E4"/>
    <w:rsid w:val="00D945B5"/>
    <w:rsid w:val="00D94EBB"/>
    <w:rsid w:val="00D964B8"/>
    <w:rsid w:val="00DA558C"/>
    <w:rsid w:val="00DA611D"/>
    <w:rsid w:val="00DA6315"/>
    <w:rsid w:val="00DA72C8"/>
    <w:rsid w:val="00DB00E1"/>
    <w:rsid w:val="00DB13D4"/>
    <w:rsid w:val="00DB1AD1"/>
    <w:rsid w:val="00DB28B2"/>
    <w:rsid w:val="00DB7297"/>
    <w:rsid w:val="00DD04F8"/>
    <w:rsid w:val="00DD36CC"/>
    <w:rsid w:val="00DD51EE"/>
    <w:rsid w:val="00DD521C"/>
    <w:rsid w:val="00DD7D33"/>
    <w:rsid w:val="00DE2BFF"/>
    <w:rsid w:val="00DE5A6B"/>
    <w:rsid w:val="00DE72C7"/>
    <w:rsid w:val="00DF3AE5"/>
    <w:rsid w:val="00E02B6C"/>
    <w:rsid w:val="00E0319A"/>
    <w:rsid w:val="00E15E4F"/>
    <w:rsid w:val="00E208BF"/>
    <w:rsid w:val="00E212F7"/>
    <w:rsid w:val="00E26F9E"/>
    <w:rsid w:val="00E30FF1"/>
    <w:rsid w:val="00E322BD"/>
    <w:rsid w:val="00E33EC7"/>
    <w:rsid w:val="00E42802"/>
    <w:rsid w:val="00E43ABC"/>
    <w:rsid w:val="00E446C6"/>
    <w:rsid w:val="00E449D2"/>
    <w:rsid w:val="00E47ADF"/>
    <w:rsid w:val="00E553E9"/>
    <w:rsid w:val="00E60283"/>
    <w:rsid w:val="00E65C89"/>
    <w:rsid w:val="00E7116F"/>
    <w:rsid w:val="00E72EB4"/>
    <w:rsid w:val="00E73965"/>
    <w:rsid w:val="00E73A61"/>
    <w:rsid w:val="00E74DE7"/>
    <w:rsid w:val="00E75299"/>
    <w:rsid w:val="00E76DF4"/>
    <w:rsid w:val="00E81C36"/>
    <w:rsid w:val="00E850EA"/>
    <w:rsid w:val="00E854AA"/>
    <w:rsid w:val="00E86B76"/>
    <w:rsid w:val="00E87F36"/>
    <w:rsid w:val="00E87F90"/>
    <w:rsid w:val="00E90EFA"/>
    <w:rsid w:val="00E91E57"/>
    <w:rsid w:val="00E91FDA"/>
    <w:rsid w:val="00E92BCC"/>
    <w:rsid w:val="00E9390B"/>
    <w:rsid w:val="00E96899"/>
    <w:rsid w:val="00EA59A6"/>
    <w:rsid w:val="00EB03C6"/>
    <w:rsid w:val="00EB0FA7"/>
    <w:rsid w:val="00EC238C"/>
    <w:rsid w:val="00EC299A"/>
    <w:rsid w:val="00EC51DA"/>
    <w:rsid w:val="00ED0BFB"/>
    <w:rsid w:val="00ED7C26"/>
    <w:rsid w:val="00EF336B"/>
    <w:rsid w:val="00EF42A0"/>
    <w:rsid w:val="00F00265"/>
    <w:rsid w:val="00F02528"/>
    <w:rsid w:val="00F02CC0"/>
    <w:rsid w:val="00F11A2D"/>
    <w:rsid w:val="00F125E3"/>
    <w:rsid w:val="00F12F05"/>
    <w:rsid w:val="00F13D34"/>
    <w:rsid w:val="00F14661"/>
    <w:rsid w:val="00F14F61"/>
    <w:rsid w:val="00F1594B"/>
    <w:rsid w:val="00F21958"/>
    <w:rsid w:val="00F25B8A"/>
    <w:rsid w:val="00F2737F"/>
    <w:rsid w:val="00F32849"/>
    <w:rsid w:val="00F3315F"/>
    <w:rsid w:val="00F37307"/>
    <w:rsid w:val="00F378A6"/>
    <w:rsid w:val="00F46AC5"/>
    <w:rsid w:val="00F4707F"/>
    <w:rsid w:val="00F5265A"/>
    <w:rsid w:val="00F54453"/>
    <w:rsid w:val="00F556B1"/>
    <w:rsid w:val="00F568E5"/>
    <w:rsid w:val="00F62BF1"/>
    <w:rsid w:val="00F67732"/>
    <w:rsid w:val="00F7020F"/>
    <w:rsid w:val="00F84A60"/>
    <w:rsid w:val="00F85163"/>
    <w:rsid w:val="00F90EC7"/>
    <w:rsid w:val="00FA1DE5"/>
    <w:rsid w:val="00FA23A2"/>
    <w:rsid w:val="00FA64E4"/>
    <w:rsid w:val="00FA79CB"/>
    <w:rsid w:val="00FA7B73"/>
    <w:rsid w:val="00FB0145"/>
    <w:rsid w:val="00FB22B3"/>
    <w:rsid w:val="00FB6CB3"/>
    <w:rsid w:val="00FC1507"/>
    <w:rsid w:val="00FC54D4"/>
    <w:rsid w:val="00FC7D45"/>
    <w:rsid w:val="00FD6D7D"/>
    <w:rsid w:val="00FE1133"/>
    <w:rsid w:val="00FE503D"/>
    <w:rsid w:val="00FE6FE8"/>
    <w:rsid w:val="00FF0EB0"/>
    <w:rsid w:val="00FF3198"/>
    <w:rsid w:val="00FF418C"/>
    <w:rsid w:val="00FF6A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772FF"/>
  <w15:docId w15:val="{3D8D3AE7-7C05-4876-AAC6-20C6CA9A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1 Char,fn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 w:type="paragraph" w:styleId="ListParagraph">
    <w:name w:val="List Paragraph"/>
    <w:basedOn w:val="Normal"/>
    <w:uiPriority w:val="34"/>
    <w:qFormat/>
    <w:rsid w:val="00F84A60"/>
    <w:pPr>
      <w:ind w:left="720"/>
      <w:contextualSpacing/>
    </w:pPr>
  </w:style>
  <w:style w:type="paragraph" w:styleId="EndnoteText">
    <w:name w:val="endnote text"/>
    <w:basedOn w:val="Normal"/>
    <w:link w:val="EndnoteTextChar"/>
    <w:uiPriority w:val="99"/>
    <w:semiHidden/>
    <w:unhideWhenUsed/>
    <w:rsid w:val="007615A6"/>
    <w:rPr>
      <w:sz w:val="20"/>
      <w:szCs w:val="20"/>
    </w:rPr>
  </w:style>
  <w:style w:type="character" w:customStyle="1" w:styleId="EndnoteTextChar">
    <w:name w:val="Endnote Text Char"/>
    <w:basedOn w:val="DefaultParagraphFont"/>
    <w:link w:val="EndnoteText"/>
    <w:uiPriority w:val="99"/>
    <w:semiHidden/>
    <w:rsid w:val="007615A6"/>
    <w:rPr>
      <w:rFonts w:ascii="Times New Roman" w:hAnsi="Times New Roman"/>
      <w:sz w:val="20"/>
      <w:szCs w:val="20"/>
    </w:rPr>
  </w:style>
  <w:style w:type="character" w:styleId="EndnoteReference">
    <w:name w:val="endnote reference"/>
    <w:basedOn w:val="DefaultParagraphFont"/>
    <w:uiPriority w:val="99"/>
    <w:semiHidden/>
    <w:unhideWhenUsed/>
    <w:rsid w:val="007615A6"/>
    <w:rPr>
      <w:vertAlign w:val="superscript"/>
    </w:rPr>
  </w:style>
  <w:style w:type="character" w:styleId="Hyperlink">
    <w:name w:val="Hyperlink"/>
    <w:basedOn w:val="DefaultParagraphFont"/>
    <w:uiPriority w:val="99"/>
    <w:unhideWhenUsed/>
    <w:rsid w:val="008212C6"/>
    <w:rPr>
      <w:color w:val="0000FF"/>
      <w:u w:val="single"/>
    </w:rPr>
  </w:style>
  <w:style w:type="character" w:styleId="UnresolvedMention">
    <w:name w:val="Unresolved Mention"/>
    <w:basedOn w:val="DefaultParagraphFont"/>
    <w:uiPriority w:val="99"/>
    <w:semiHidden/>
    <w:unhideWhenUsed/>
    <w:rsid w:val="0082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9A1738B9B1545AB29F967C03B0EA8" ma:contentTypeVersion="11" ma:contentTypeDescription="Create a new document." ma:contentTypeScope="" ma:versionID="d3fe7f031daf0cc3b23554ab13ed4493">
  <xsd:schema xmlns:xsd="http://www.w3.org/2001/XMLSchema" xmlns:xs="http://www.w3.org/2001/XMLSchema" xmlns:p="http://schemas.microsoft.com/office/2006/metadata/properties" xmlns:ns2="572a8857-23f7-48b3-9b23-fa664fd0cccf" targetNamespace="http://schemas.microsoft.com/office/2006/metadata/properties" ma:root="true" ma:fieldsID="e72c7b05b828e01f3acace1a4240a1f9" ns2:_="">
    <xsd:import namespace="572a8857-23f7-48b3-9b23-fa664fd0cc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a8857-23f7-48b3-9b23-fa664fd0c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FFF83-B908-4C5F-93C1-28483653E2C8}">
  <ds:schemaRefs>
    <ds:schemaRef ds:uri="http://schemas.microsoft.com/sharepoint/v3/contenttype/forms"/>
  </ds:schemaRefs>
</ds:datastoreItem>
</file>

<file path=customXml/itemProps2.xml><?xml version="1.0" encoding="utf-8"?>
<ds:datastoreItem xmlns:ds="http://schemas.openxmlformats.org/officeDocument/2006/customXml" ds:itemID="{4A3AD811-18FD-436F-83EB-64850F42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a8857-23f7-48b3-9b23-fa664fd0c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D39E9-436A-47CE-8490-AF6F07C152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7032E-999F-4957-9AA4-4E14B3C88B6D}">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428</TotalTime>
  <Pages>14</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dc:creator>
  <cp:lastModifiedBy>Brescia, Catherine</cp:lastModifiedBy>
  <cp:revision>157</cp:revision>
  <cp:lastPrinted>2013-09-19T13:07:00Z</cp:lastPrinted>
  <dcterms:created xsi:type="dcterms:W3CDTF">2025-06-16T12:42:00Z</dcterms:created>
  <dcterms:modified xsi:type="dcterms:W3CDTF">2025-09-09T10:55:00Z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0x0101007A19A1738B9B1545AB29F967C03B0EA8</vt:lpwstr>
  </property>
</Properties>
</file>