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51D6" w:rsidP="00862B83" w14:paraId="030AD946" w14:textId="7724E450">
      <w:pPr>
        <w:pStyle w:val="Heading1"/>
        <w:jc w:val="center"/>
        <w:rPr>
          <w:rFonts w:ascii="Georgia" w:hAnsi="Georgia"/>
          <w:bCs w:val="0"/>
          <w:sz w:val="28"/>
          <w:szCs w:val="28"/>
        </w:rPr>
      </w:pPr>
      <w:r w:rsidRPr="00862B83">
        <w:rPr>
          <w:rFonts w:ascii="Georgia" w:hAnsi="Georgia"/>
          <w:bCs w:val="0"/>
          <w:sz w:val="28"/>
          <w:szCs w:val="28"/>
        </w:rPr>
        <w:t>O</w:t>
      </w:r>
      <w:r>
        <w:rPr>
          <w:rFonts w:ascii="Georgia" w:hAnsi="Georgia"/>
          <w:bCs w:val="0"/>
          <w:sz w:val="28"/>
          <w:szCs w:val="28"/>
        </w:rPr>
        <w:t xml:space="preserve">ffice of </w:t>
      </w:r>
      <w:r w:rsidRPr="00862B83">
        <w:rPr>
          <w:rFonts w:ascii="Georgia" w:hAnsi="Georgia"/>
          <w:bCs w:val="0"/>
          <w:sz w:val="28"/>
          <w:szCs w:val="28"/>
        </w:rPr>
        <w:t>M</w:t>
      </w:r>
      <w:r>
        <w:rPr>
          <w:rFonts w:ascii="Georgia" w:hAnsi="Georgia"/>
          <w:bCs w:val="0"/>
          <w:sz w:val="28"/>
          <w:szCs w:val="28"/>
        </w:rPr>
        <w:t xml:space="preserve">anagement and </w:t>
      </w:r>
      <w:r w:rsidRPr="00862B83">
        <w:rPr>
          <w:rFonts w:ascii="Georgia" w:hAnsi="Georgia"/>
          <w:bCs w:val="0"/>
          <w:sz w:val="28"/>
          <w:szCs w:val="28"/>
        </w:rPr>
        <w:t>B</w:t>
      </w:r>
      <w:r>
        <w:rPr>
          <w:rFonts w:ascii="Georgia" w:hAnsi="Georgia"/>
          <w:bCs w:val="0"/>
          <w:sz w:val="28"/>
          <w:szCs w:val="28"/>
        </w:rPr>
        <w:t>udget (OMB)</w:t>
      </w:r>
    </w:p>
    <w:p w:rsidR="00862B83" w:rsidRPr="00862B83" w:rsidP="00862B83" w14:paraId="59F3E2CC" w14:textId="51498CA8">
      <w:pPr>
        <w:pStyle w:val="Heading1"/>
        <w:jc w:val="center"/>
        <w:rPr>
          <w:rFonts w:ascii="Georgia" w:hAnsi="Georgia"/>
          <w:sz w:val="28"/>
          <w:szCs w:val="28"/>
        </w:rPr>
      </w:pPr>
      <w:r w:rsidRPr="00862B83">
        <w:rPr>
          <w:rFonts w:ascii="Georgia" w:hAnsi="Georgia"/>
          <w:bCs w:val="0"/>
          <w:sz w:val="28"/>
          <w:szCs w:val="28"/>
        </w:rPr>
        <w:t>Clearance</w:t>
      </w:r>
      <w:r w:rsidRPr="00862B83">
        <w:rPr>
          <w:rFonts w:ascii="Georgia" w:hAnsi="Georgia"/>
          <w:sz w:val="28"/>
          <w:szCs w:val="28"/>
        </w:rPr>
        <w:t xml:space="preserve"> </w:t>
      </w:r>
      <w:r w:rsidR="002851D6">
        <w:rPr>
          <w:rFonts w:ascii="Georgia" w:hAnsi="Georgia"/>
          <w:sz w:val="28"/>
          <w:szCs w:val="28"/>
        </w:rPr>
        <w:t>Request</w:t>
      </w:r>
    </w:p>
    <w:p w:rsidR="00862B83" w:rsidRPr="00862B83" w:rsidP="00862B83" w14:paraId="44A5C559" w14:textId="77777777"/>
    <w:p w:rsidR="00862B83" w:rsidRPr="00B0034B" w:rsidP="00862B83" w14:paraId="14EE0A96" w14:textId="69F43DCD">
      <w:pPr>
        <w:pStyle w:val="Heading1"/>
        <w:jc w:val="center"/>
        <w:rPr>
          <w:rFonts w:ascii="Georgia" w:hAnsi="Georgia"/>
          <w:sz w:val="28"/>
          <w:szCs w:val="28"/>
        </w:rPr>
      </w:pPr>
      <w:r>
        <w:rPr>
          <w:rFonts w:ascii="Georgia" w:hAnsi="Georgia"/>
          <w:sz w:val="28"/>
          <w:szCs w:val="28"/>
        </w:rPr>
        <w:t>f</w:t>
      </w:r>
      <w:r w:rsidRPr="00B0034B">
        <w:rPr>
          <w:rFonts w:ascii="Georgia" w:hAnsi="Georgia"/>
          <w:sz w:val="28"/>
          <w:szCs w:val="28"/>
        </w:rPr>
        <w:t>or</w:t>
      </w:r>
      <w:r>
        <w:rPr>
          <w:rFonts w:ascii="Georgia" w:hAnsi="Georgia"/>
          <w:sz w:val="28"/>
          <w:szCs w:val="28"/>
        </w:rPr>
        <w:t xml:space="preserve"> the</w:t>
      </w:r>
    </w:p>
    <w:p w:rsidR="00862B83" w:rsidP="00862B83" w14:paraId="270347B6" w14:textId="77777777">
      <w:pPr>
        <w:rPr>
          <w:b/>
          <w:bCs/>
          <w:sz w:val="28"/>
          <w:szCs w:val="28"/>
        </w:rPr>
      </w:pPr>
    </w:p>
    <w:p w:rsidR="006B459B" w:rsidP="006B459B" w14:paraId="615C7B09" w14:textId="4125986C">
      <w:pPr>
        <w:jc w:val="center"/>
        <w:rPr>
          <w:b/>
          <w:bCs/>
          <w:sz w:val="28"/>
          <w:szCs w:val="28"/>
        </w:rPr>
      </w:pPr>
      <w:r>
        <w:rPr>
          <w:b/>
          <w:bCs/>
          <w:sz w:val="28"/>
          <w:szCs w:val="28"/>
        </w:rPr>
        <w:t>Post</w:t>
      </w:r>
      <w:r>
        <w:rPr>
          <w:b/>
          <w:bCs/>
          <w:sz w:val="28"/>
          <w:szCs w:val="28"/>
        </w:rPr>
        <w:t xml:space="preserve">-Separation </w:t>
      </w:r>
      <w:r w:rsidRPr="00B0034B">
        <w:rPr>
          <w:b/>
          <w:bCs/>
          <w:sz w:val="28"/>
          <w:szCs w:val="28"/>
        </w:rPr>
        <w:t>Transition Assistance Program</w:t>
      </w:r>
      <w:r w:rsidR="003412F2">
        <w:rPr>
          <w:b/>
          <w:bCs/>
          <w:sz w:val="28"/>
          <w:szCs w:val="28"/>
        </w:rPr>
        <w:t xml:space="preserve"> (</w:t>
      </w:r>
      <w:r w:rsidR="005D1DF4">
        <w:rPr>
          <w:b/>
          <w:bCs/>
          <w:sz w:val="28"/>
          <w:szCs w:val="28"/>
        </w:rPr>
        <w:t>PSTAP</w:t>
      </w:r>
      <w:r w:rsidR="003412F2">
        <w:rPr>
          <w:b/>
          <w:bCs/>
          <w:sz w:val="28"/>
          <w:szCs w:val="28"/>
        </w:rPr>
        <w:t>)</w:t>
      </w:r>
    </w:p>
    <w:p w:rsidR="00AD6763" w:rsidRPr="00B0034B" w:rsidP="006B459B" w14:paraId="587B53A6" w14:textId="6BA72DE7">
      <w:pPr>
        <w:jc w:val="center"/>
        <w:rPr>
          <w:b/>
          <w:bCs/>
          <w:sz w:val="28"/>
          <w:szCs w:val="28"/>
        </w:rPr>
      </w:pPr>
      <w:r>
        <w:rPr>
          <w:b/>
          <w:bCs/>
          <w:sz w:val="28"/>
          <w:szCs w:val="28"/>
        </w:rPr>
        <w:t>Assessment</w:t>
      </w:r>
      <w:r w:rsidR="00B62A19">
        <w:rPr>
          <w:b/>
          <w:bCs/>
          <w:sz w:val="28"/>
          <w:szCs w:val="28"/>
        </w:rPr>
        <w:t xml:space="preserve"> and </w:t>
      </w:r>
      <w:r w:rsidR="00971DD3">
        <w:rPr>
          <w:b/>
          <w:bCs/>
          <w:sz w:val="28"/>
          <w:szCs w:val="28"/>
        </w:rPr>
        <w:t xml:space="preserve">Section </w:t>
      </w:r>
      <w:r w:rsidR="00B62A19">
        <w:rPr>
          <w:b/>
          <w:bCs/>
          <w:sz w:val="28"/>
          <w:szCs w:val="28"/>
        </w:rPr>
        <w:t>4306 Study</w:t>
      </w:r>
    </w:p>
    <w:p w:rsidR="006B459B" w:rsidRPr="00B0034B" w:rsidP="006B459B" w14:paraId="5E260AB5" w14:textId="77777777">
      <w:pPr>
        <w:jc w:val="center"/>
        <w:rPr>
          <w:b/>
          <w:bCs/>
          <w:sz w:val="28"/>
          <w:szCs w:val="28"/>
        </w:rPr>
      </w:pPr>
    </w:p>
    <w:p w:rsidR="003B4A59" w:rsidP="00636B28" w14:paraId="4700D35D" w14:textId="66C8302B">
      <w:pPr>
        <w:jc w:val="center"/>
        <w:rPr>
          <w:b/>
          <w:caps/>
          <w:sz w:val="28"/>
          <w:szCs w:val="28"/>
        </w:rPr>
      </w:pPr>
      <w:r w:rsidRPr="0060713B">
        <w:rPr>
          <w:b/>
          <w:caps/>
          <w:sz w:val="28"/>
          <w:szCs w:val="28"/>
        </w:rPr>
        <w:t>Supporting Statement</w:t>
      </w:r>
      <w:r w:rsidRPr="0060713B">
        <w:rPr>
          <w:b/>
          <w:caps/>
          <w:sz w:val="28"/>
          <w:szCs w:val="28"/>
        </w:rPr>
        <w:t xml:space="preserve"> B:</w:t>
      </w:r>
    </w:p>
    <w:p w:rsidR="00636B28" w:rsidRPr="0060713B" w:rsidP="00636B28" w14:paraId="28ECCA5F" w14:textId="77777777">
      <w:pPr>
        <w:jc w:val="center"/>
        <w:rPr>
          <w:b/>
          <w:caps/>
          <w:sz w:val="28"/>
          <w:szCs w:val="28"/>
        </w:rPr>
      </w:pPr>
    </w:p>
    <w:p w:rsidR="0060713B" w:rsidRPr="0060713B" w:rsidP="00636B28" w14:paraId="5AF2C5BA" w14:textId="5C170B68">
      <w:pPr>
        <w:jc w:val="center"/>
        <w:rPr>
          <w:b/>
          <w:sz w:val="28"/>
          <w:szCs w:val="28"/>
        </w:rPr>
      </w:pPr>
      <w:r w:rsidRPr="0060713B">
        <w:rPr>
          <w:b/>
          <w:sz w:val="28"/>
          <w:szCs w:val="28"/>
        </w:rPr>
        <w:t>Collections of Information Employing</w:t>
      </w:r>
    </w:p>
    <w:p w:rsidR="003B4A59" w:rsidRPr="0060713B" w:rsidP="00636B28" w14:paraId="093AA94B" w14:textId="5F18F16D">
      <w:pPr>
        <w:jc w:val="center"/>
        <w:rPr>
          <w:b/>
          <w:sz w:val="28"/>
          <w:szCs w:val="28"/>
        </w:rPr>
      </w:pPr>
      <w:r w:rsidRPr="0060713B">
        <w:rPr>
          <w:b/>
          <w:sz w:val="28"/>
          <w:szCs w:val="28"/>
        </w:rPr>
        <w:t>Statistical Methods</w:t>
      </w:r>
    </w:p>
    <w:p w:rsidR="003B4A59" w:rsidRPr="00FC5AB1" w14:paraId="657A7B3D" w14:textId="2AF09728">
      <w:pPr>
        <w:rPr>
          <w:szCs w:val="24"/>
        </w:rPr>
      </w:pPr>
    </w:p>
    <w:p w:rsidR="003B4A59" w:rsidRPr="00FC5AB1" w14:paraId="1996A551" w14:textId="5FFA257F">
      <w:pPr>
        <w:rPr>
          <w:szCs w:val="24"/>
        </w:rPr>
      </w:pPr>
    </w:p>
    <w:p w:rsidR="003B4A59" w:rsidRPr="008F3C8C" w:rsidP="00781C2C" w14:paraId="1A7D7598" w14:textId="410B2725">
      <w:pPr>
        <w:pStyle w:val="ListParagraph"/>
        <w:numPr>
          <w:ilvl w:val="0"/>
          <w:numId w:val="20"/>
        </w:numPr>
      </w:pPr>
      <w:r w:rsidRPr="008F3C8C">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 and in the corresponding sample are to be provided in tabular form for the universe as a whole and for each of the strata in the proposed sample. Indicated the expected response rates</w:t>
      </w:r>
      <w:r w:rsidRPr="008F3C8C" w:rsidR="00EC4A52">
        <w:t xml:space="preserve"> for the </w:t>
      </w:r>
      <w:r w:rsidRPr="008F3C8C" w:rsidR="00EC4A52">
        <w:t>collection as a whole</w:t>
      </w:r>
      <w:r w:rsidRPr="008F3C8C" w:rsidR="00EC4A52">
        <w:t>. If the collection has been conducted previously, include the actual response rate achieved during the last collection.</w:t>
      </w:r>
    </w:p>
    <w:p w:rsidR="00EC4A52" w:rsidRPr="00FC5AB1" w:rsidP="00D17658" w14:paraId="0886DDE3" w14:textId="65F1BC4A">
      <w:pPr>
        <w:ind w:left="720"/>
      </w:pPr>
    </w:p>
    <w:p w:rsidR="00A509E9" w:rsidP="009B706D" w14:paraId="55A8394F" w14:textId="31AB6B9C"/>
    <w:p w:rsidR="002144CC" w:rsidP="00D17658" w14:paraId="6CF76382" w14:textId="187D8CEA">
      <w:pPr>
        <w:ind w:left="720"/>
      </w:pPr>
      <w:r>
        <w:t>The Post-Separation Transition Assistance Program (PSTAP) and 4306 Study</w:t>
      </w:r>
      <w:r w:rsidR="005C0576">
        <w:t xml:space="preserve"> </w:t>
      </w:r>
      <w:r w:rsidR="00372010">
        <w:t xml:space="preserve">will be administered using the </w:t>
      </w:r>
      <w:r w:rsidR="00D0054B">
        <w:t xml:space="preserve">annual Cross-Sectional and Longitudinal </w:t>
      </w:r>
      <w:r>
        <w:t>s</w:t>
      </w:r>
      <w:r w:rsidR="00D0054B">
        <w:t>urvey</w:t>
      </w:r>
      <w:r>
        <w:t>s</w:t>
      </w:r>
      <w:r w:rsidR="00A509E9">
        <w:t xml:space="preserve"> of Veterans</w:t>
      </w:r>
      <w:r w:rsidR="00FB7FEF">
        <w:t xml:space="preserve">. The </w:t>
      </w:r>
      <w:r w:rsidR="00F82399">
        <w:t xml:space="preserve">PSTAP </w:t>
      </w:r>
      <w:r w:rsidR="00FB7FEF">
        <w:t xml:space="preserve">surveys are currently approved by OMB through </w:t>
      </w:r>
      <w:r w:rsidR="00A509E9">
        <w:t>Clearance 2900-0864. The</w:t>
      </w:r>
      <w:r>
        <w:t xml:space="preserve"> PSTAP</w:t>
      </w:r>
      <w:r w:rsidR="00A509E9">
        <w:t xml:space="preserve"> </w:t>
      </w:r>
      <w:r w:rsidR="00FB7FEF">
        <w:t>Cross-Sectional Survey</w:t>
      </w:r>
      <w:r w:rsidR="00A509E9">
        <w:t xml:space="preserve"> is a census of three cohorts of Veterans </w:t>
      </w:r>
      <w:r w:rsidR="000C488A">
        <w:t xml:space="preserve">who </w:t>
      </w:r>
      <w:r w:rsidRPr="00A509E9" w:rsidR="00A509E9">
        <w:t>separat</w:t>
      </w:r>
      <w:r w:rsidR="000C488A">
        <w:t>ed</w:t>
      </w:r>
      <w:r w:rsidRPr="00A509E9" w:rsidR="00A509E9">
        <w:t xml:space="preserve"> from service </w:t>
      </w:r>
      <w:r w:rsidR="00A509E9">
        <w:t>approximately</w:t>
      </w:r>
      <w:r w:rsidRPr="00A509E9" w:rsidR="00A509E9">
        <w:t xml:space="preserve"> six (6) months, one (1) year, and three (3) years</w:t>
      </w:r>
      <w:r w:rsidR="000C488A">
        <w:t xml:space="preserve"> prior to the survey date</w:t>
      </w:r>
      <w:r w:rsidR="00A509E9">
        <w:t>.</w:t>
      </w:r>
      <w:r w:rsidR="00636CCD">
        <w:t xml:space="preserve"> Veterans who respond “yes” </w:t>
      </w:r>
      <w:r w:rsidR="005C0576">
        <w:t>t</w:t>
      </w:r>
      <w:r w:rsidR="00636CCD">
        <w:t xml:space="preserve">o being contacted for future surveys in the </w:t>
      </w:r>
      <w:r w:rsidR="00FB7FEF">
        <w:t>Cross-Sectional Survey</w:t>
      </w:r>
      <w:r w:rsidR="00636CCD">
        <w:t xml:space="preserve"> </w:t>
      </w:r>
      <w:r w:rsidR="00FB7FEF">
        <w:t xml:space="preserve">are </w:t>
      </w:r>
      <w:r w:rsidR="00636CCD">
        <w:t xml:space="preserve">the participants for the </w:t>
      </w:r>
      <w:r w:rsidR="00FB7FEF">
        <w:t>Longitudinal Survey</w:t>
      </w:r>
      <w:r w:rsidR="00636CCD">
        <w:t xml:space="preserve">. </w:t>
      </w:r>
    </w:p>
    <w:p w:rsidR="002144CC" w:rsidP="00D17658" w14:paraId="12D0B330" w14:textId="77777777">
      <w:pPr>
        <w:ind w:left="720"/>
      </w:pPr>
    </w:p>
    <w:p w:rsidR="00A509E9" w:rsidP="00D17658" w14:paraId="184C0655" w14:textId="2293731B">
      <w:pPr>
        <w:ind w:left="720"/>
      </w:pPr>
      <w:r>
        <w:t>We will select the 4306 Study sample using random sampling from four cohorts</w:t>
      </w:r>
      <w:r w:rsidR="00D95406">
        <w:t xml:space="preserve"> based on the date of TAP pre-separation counseling completion</w:t>
      </w:r>
      <w:r>
        <w:t>: 1</w:t>
      </w:r>
      <w:r w:rsidR="00D95406">
        <w:t xml:space="preserve">a) attended TAP pre-separation counseling from October 2019 through September 2020, 1b) attended one year prior to changes to TAP implemented based on recommendations from the 4305 study, 2) attended one year after changes  TAP based on the 4305 recommendations, and 3) attended from October 2018 through September 2019. The survey will ask 4306 Study participants for permission to contact them again for future annual surveys. </w:t>
      </w:r>
      <w:r w:rsidR="00372010">
        <w:t>It is expected that changes made to TAP from the 4305 Study will be implemented in 2024, meaning the first survey of Veterans in those cohorts will take place in June of 202</w:t>
      </w:r>
      <w:r w:rsidR="00EA3FCD">
        <w:t>6</w:t>
      </w:r>
      <w:r w:rsidR="00372010">
        <w:t>.</w:t>
      </w:r>
    </w:p>
    <w:p w:rsidR="00D95406" w:rsidP="00D17658" w14:paraId="78E859B6" w14:textId="77777777">
      <w:pPr>
        <w:ind w:left="720"/>
      </w:pPr>
    </w:p>
    <w:p w:rsidR="00D95406" w:rsidP="00D17658" w14:paraId="68DDD099" w14:textId="65A06F31">
      <w:pPr>
        <w:ind w:left="720"/>
      </w:pPr>
      <w:r>
        <w:t xml:space="preserve">There </w:t>
      </w:r>
      <w:r w:rsidR="00EA3FCD">
        <w:t>is</w:t>
      </w:r>
      <w:r>
        <w:t xml:space="preserve"> some degree of overlap between the PSTAP and 4306 study samples. Combining the studies and using a single survey instrument will reduce costs and burden to respondents. </w:t>
      </w:r>
      <w:r w:rsidR="006A68C8">
        <w:t>Veterans who separated in a date represented by both a</w:t>
      </w:r>
      <w:r w:rsidR="0024782A">
        <w:t>n upcoming</w:t>
      </w:r>
      <w:r w:rsidR="006A68C8">
        <w:t xml:space="preserve"> PSTAP and 4306 cohort will automatically be selected for both studies. </w:t>
      </w:r>
      <w:r w:rsidR="0024782A">
        <w:t>For sampling and weighting purposes for the 4306 study, we will consider these Veterans to be sampled with certainty.</w:t>
      </w:r>
      <w:r w:rsidR="00C55C38">
        <w:t xml:space="preserve"> In the 2024 survey, roughly 13,000 Veterans were in both studies. </w:t>
      </w:r>
      <w:r w:rsidR="00817593">
        <w:t>Because the PSTAP and 4306 study share the same instruments, Veterans in</w:t>
      </w:r>
      <w:r w:rsidR="00633895">
        <w:t xml:space="preserve"> cohorts in</w:t>
      </w:r>
      <w:r w:rsidR="00817593">
        <w:t xml:space="preserve"> both studies will receive only one survey, and their responses will be used for both studies. </w:t>
      </w:r>
    </w:p>
    <w:p w:rsidR="00636CCD" w:rsidP="00D17658" w14:paraId="703B7008" w14:textId="7358900B">
      <w:pPr>
        <w:ind w:left="720"/>
      </w:pPr>
    </w:p>
    <w:p w:rsidR="00636CCD" w:rsidP="00D17658" w14:paraId="279ADF92" w14:textId="350143A8">
      <w:pPr>
        <w:ind w:left="720"/>
      </w:pPr>
      <w:r>
        <w:t>As this is an ongoing study, several Longitudinal Survey cohorts are already being surveyed. Each year, an additional cohort is added to the Longitudinal Survey from the previous year’s Cross-Sectional Survey 6-month cohort</w:t>
      </w:r>
      <w:r>
        <w:t>.</w:t>
      </w:r>
    </w:p>
    <w:p w:rsidR="00F01EBD" w:rsidP="00D17658" w14:paraId="528199CE" w14:textId="77777777">
      <w:pPr>
        <w:ind w:left="720"/>
      </w:pPr>
    </w:p>
    <w:p w:rsidR="00792699" w:rsidP="00D57048" w14:paraId="5DA050DC" w14:textId="18D3AA83">
      <w:pPr>
        <w:ind w:left="720"/>
      </w:pPr>
      <w:r>
        <w:t xml:space="preserve">Figure </w:t>
      </w:r>
      <w:r w:rsidR="008E0D1C">
        <w:t>A</w:t>
      </w:r>
      <w:r>
        <w:t xml:space="preserve"> below provides a visual representation of the cohorts for better understanding. While the </w:t>
      </w:r>
      <w:r w:rsidR="00F50F81">
        <w:t>Cross-Sectional</w:t>
      </w:r>
      <w:r>
        <w:t xml:space="preserve"> study surveys three separate cohorts each year, only the 6</w:t>
      </w:r>
      <w:r w:rsidR="00EE47FA">
        <w:t>-</w:t>
      </w:r>
      <w:r>
        <w:t xml:space="preserve">month cohort is invited into the longitudinal study </w:t>
      </w:r>
      <w:r w:rsidR="00EE47FA">
        <w:t>in</w:t>
      </w:r>
      <w:r>
        <w:t xml:space="preserve"> the </w:t>
      </w:r>
      <w:r w:rsidR="00EE47FA">
        <w:t xml:space="preserve">following </w:t>
      </w:r>
      <w:r>
        <w:t>year.</w:t>
      </w:r>
      <w:r w:rsidR="00F50F81">
        <w:t xml:space="preserve"> The 4306 Study cohorts will be administered based on the results and timing of changes made from the 4305 Study.</w:t>
      </w:r>
    </w:p>
    <w:p w:rsidR="00D916CB" w:rsidP="00CB2D27" w14:paraId="3461E93F" w14:textId="0F85FAFD">
      <w:pPr>
        <w:pStyle w:val="Caption"/>
        <w:ind w:left="900"/>
        <w:rPr>
          <w:b/>
          <w:bCs w:val="0"/>
        </w:rPr>
      </w:pPr>
      <w:r w:rsidRPr="00CB2D27">
        <w:rPr>
          <w:b/>
          <w:bCs w:val="0"/>
        </w:rPr>
        <w:t xml:space="preserve">Figure </w:t>
      </w:r>
      <w:r w:rsidRPr="00CB2D27">
        <w:rPr>
          <w:b/>
          <w:bCs w:val="0"/>
        </w:rPr>
        <w:fldChar w:fldCharType="begin"/>
      </w:r>
      <w:r w:rsidRPr="00CB2D27">
        <w:rPr>
          <w:b/>
          <w:bCs w:val="0"/>
        </w:rPr>
        <w:instrText xml:space="preserve"> SEQ Figure \* ALPHABETIC </w:instrText>
      </w:r>
      <w:r w:rsidRPr="00CB2D27">
        <w:rPr>
          <w:b/>
          <w:bCs w:val="0"/>
        </w:rPr>
        <w:fldChar w:fldCharType="separate"/>
      </w:r>
      <w:r w:rsidRPr="00CB2D27">
        <w:rPr>
          <w:b/>
          <w:bCs w:val="0"/>
          <w:noProof/>
        </w:rPr>
        <w:t>A</w:t>
      </w:r>
      <w:r w:rsidRPr="00CB2D27">
        <w:rPr>
          <w:b/>
          <w:bCs w:val="0"/>
        </w:rPr>
        <w:fldChar w:fldCharType="end"/>
      </w:r>
      <w:r w:rsidRPr="00CB2D27">
        <w:rPr>
          <w:b/>
          <w:bCs w:val="0"/>
        </w:rPr>
        <w:t>. Cross-Sectional and Longitudinal Cohorts by Survey Year</w:t>
      </w:r>
    </w:p>
    <w:p w:rsidR="00064137" w:rsidP="00064137" w14:paraId="440BD547" w14:textId="18BBAADB">
      <w:r>
        <w:t xml:space="preserve">                </w:t>
      </w:r>
      <w:r w:rsidR="00E277E1">
        <w:rPr>
          <w:noProof/>
        </w:rPr>
        <w:drawing>
          <wp:inline distT="0" distB="0" distL="0" distR="0">
            <wp:extent cx="3629025" cy="4513803"/>
            <wp:effectExtent l="0" t="0" r="0" b="1270"/>
            <wp:docPr id="6937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7601"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633139" cy="4518920"/>
                    </a:xfrm>
                    <a:prstGeom prst="rect">
                      <a:avLst/>
                    </a:prstGeom>
                    <a:noFill/>
                  </pic:spPr>
                </pic:pic>
              </a:graphicData>
            </a:graphic>
          </wp:inline>
        </w:drawing>
      </w:r>
    </w:p>
    <w:p w:rsidR="00D07FBD" w:rsidP="00D17658" w14:paraId="1D73E16D" w14:textId="77777777"/>
    <w:p w:rsidR="002A0B63" w:rsidP="00D17658" w14:paraId="121079DC" w14:textId="59FEC261">
      <w:r>
        <w:t xml:space="preserve">Annually, there are roughly 200,000 total separations from the Armed Forces. Each cohort in the study consists of a two-month window, meaning roughly 33,130 separated servicemembers are in each cohort. </w:t>
      </w:r>
    </w:p>
    <w:p w:rsidR="002A0B63" w:rsidP="00D17658" w14:paraId="1D1F971C" w14:textId="77777777"/>
    <w:p w:rsidR="002A0B63" w:rsidP="00D17658" w14:paraId="5FF4CAC3" w14:textId="51275B46">
      <w:r>
        <w:t xml:space="preserve">Given our experience collecting data from 2019 through </w:t>
      </w:r>
      <w:r w:rsidR="00F50F81">
        <w:t>202</w:t>
      </w:r>
      <w:r w:rsidR="002817B3">
        <w:t>4</w:t>
      </w:r>
      <w:r>
        <w:t xml:space="preserve">, we </w:t>
      </w:r>
      <w:r w:rsidRPr="006917F2">
        <w:t>estimate that</w:t>
      </w:r>
      <w:r>
        <w:t xml:space="preserve"> </w:t>
      </w:r>
      <w:r w:rsidR="001B20CC">
        <w:t>just over</w:t>
      </w:r>
      <w:r w:rsidRPr="006917F2" w:rsidR="001B20CC">
        <w:t xml:space="preserve"> </w:t>
      </w:r>
      <w:r w:rsidR="00031D8B">
        <w:t>10</w:t>
      </w:r>
      <w:r w:rsidRPr="006917F2">
        <w:t xml:space="preserve"> percent of </w:t>
      </w:r>
      <w:r>
        <w:t xml:space="preserve">each </w:t>
      </w:r>
      <w:r w:rsidRPr="006917F2">
        <w:t>cohort</w:t>
      </w:r>
      <w:r>
        <w:t xml:space="preserve">, or about </w:t>
      </w:r>
      <w:r w:rsidR="00031D8B">
        <w:t>3,500</w:t>
      </w:r>
      <w:r>
        <w:t xml:space="preserve"> veterans,</w:t>
      </w:r>
      <w:r w:rsidRPr="006917F2">
        <w:t xml:space="preserve"> will respond to the PSTAP </w:t>
      </w:r>
      <w:r w:rsidR="009F181F">
        <w:t>Cross-</w:t>
      </w:r>
      <w:r w:rsidR="00BF4EE4">
        <w:t>Sectional</w:t>
      </w:r>
      <w:r w:rsidRPr="006917F2">
        <w:t xml:space="preserve"> survey and</w:t>
      </w:r>
      <w:r>
        <w:t xml:space="preserve"> approximately half of respondents (7.5% of the cohort, or </w:t>
      </w:r>
      <w:r w:rsidR="00F26E3B">
        <w:t>1,</w:t>
      </w:r>
      <w:r w:rsidR="000B19F1">
        <w:t>750</w:t>
      </w:r>
      <w:r>
        <w:t xml:space="preserve"> Veterans) will</w:t>
      </w:r>
      <w:r w:rsidRPr="006917F2">
        <w:t xml:space="preserve"> agree to be contacted for future surveys</w:t>
      </w:r>
      <w:r>
        <w:t xml:space="preserve">. </w:t>
      </w:r>
    </w:p>
    <w:p w:rsidR="002A0B63" w:rsidP="00D17658" w14:paraId="4D138084" w14:textId="77777777"/>
    <w:p w:rsidR="002A0B63" w:rsidP="00D17658" w14:paraId="00363474" w14:textId="13FE9D56">
      <w:r>
        <w:t xml:space="preserve">The estimated follow-up response rate for the longitudinal survey is higher than for the cross-sectional survey, because the sample has already responded to the cross-sectional survey and agreed to receive an invitation for future surveys. If </w:t>
      </w:r>
      <w:r w:rsidR="000B19F1">
        <w:t>1,75</w:t>
      </w:r>
      <w:r>
        <w:t xml:space="preserve">0 Veterans agree to participate in the follow up survey, then we expect that </w:t>
      </w:r>
      <w:r w:rsidR="002C7DA0">
        <w:t>8</w:t>
      </w:r>
      <w:r w:rsidR="00557C26">
        <w:t>75</w:t>
      </w:r>
      <w:r>
        <w:t xml:space="preserve"> (an assumed response rate of 50% from the starting sample of Veterans who agreed to receive additional contacts) will respond to the longitudinal survey</w:t>
      </w:r>
      <w:r w:rsidR="00E90ED0">
        <w:t>, or approximately 25% of the starting cohort of 3,500</w:t>
      </w:r>
      <w:r>
        <w:t xml:space="preserve">. </w:t>
      </w:r>
    </w:p>
    <w:p w:rsidR="002A0B63" w:rsidP="00D17658" w14:paraId="3A86FA37" w14:textId="77777777"/>
    <w:p w:rsidR="002A0B63" w:rsidRPr="00D45915" w:rsidP="00D17658" w14:paraId="6739F309" w14:textId="5F68F0A3">
      <w:r w:rsidRPr="00D45915">
        <w:t xml:space="preserve">Based on this information, a power analysis was conducted to assess the statistical power of responses using Minimal Detectible Differences (MDDs). The MDD defines the difference in proportions for an outcome measure (e.g., employment) for the treatment </w:t>
      </w:r>
      <w:r w:rsidRPr="00D45915">
        <w:t>group and the control group that must exist to detect a statistically significant relationship. The tables assume a 95% confidence level (alpha = .05), a one-tailed significance test</w:t>
      </w:r>
      <w:r w:rsidR="00BB5CBA">
        <w:t xml:space="preserve">. </w:t>
      </w:r>
      <w:r w:rsidRPr="00D45915">
        <w:t xml:space="preserve">For this study, an MDD of 10 percent or less will be acceptable to draw conclusions from the survey responses. </w:t>
      </w:r>
    </w:p>
    <w:p w:rsidR="002A0B63" w:rsidP="00D17658" w14:paraId="352D8D71" w14:textId="77777777"/>
    <w:p w:rsidR="002A0B63" w:rsidP="00D17658" w14:paraId="2F97F47B" w14:textId="54FF24A9">
      <w:r>
        <w:t>We performed power calculations for between-cohort comparisons because these are the statistical analyses we plan to conduct for future PSTAP reports</w:t>
      </w:r>
      <w:r>
        <w:t xml:space="preserve">. </w:t>
      </w:r>
      <w:r w:rsidR="00CC6522">
        <w:t xml:space="preserve">We estimate MDDs for the longitudinal study cohorts because these cohorts represent the smallest expected number of respondents after attrition. </w:t>
      </w:r>
      <w:r w:rsidR="00F473E9">
        <w:t>Table A</w:t>
      </w:r>
      <w:r>
        <w:t xml:space="preserve"> </w:t>
      </w:r>
      <w:r w:rsidRPr="00A86899">
        <w:t xml:space="preserve">provides </w:t>
      </w:r>
      <w:r w:rsidRPr="00A86899">
        <w:t>MDDs</w:t>
      </w:r>
      <w:r w:rsidR="00BB5CBA">
        <w:t xml:space="preserve"> assuming a comparison of proportions measured within two cohorts, where the estimated proportion in one of the comparison cohorts is 50% (the 50% assumption assumes the </w:t>
      </w:r>
      <w:r w:rsidR="00D57048">
        <w:t>worst-case</w:t>
      </w:r>
      <w:r w:rsidR="00BB5CBA">
        <w:t xml:space="preserve"> scenario, resulting in an upper bound for the estimated MDD)</w:t>
      </w:r>
      <w:r w:rsidRPr="00A86899">
        <w:t xml:space="preserve">. </w:t>
      </w:r>
      <w:r w:rsidR="00BB5CBA">
        <w:t xml:space="preserve">We then estimated </w:t>
      </w:r>
      <w:r w:rsidR="0040270C">
        <w:t xml:space="preserve">MDDs for </w:t>
      </w:r>
      <w:r w:rsidR="000A31B6">
        <w:t>the</w:t>
      </w:r>
      <w:r w:rsidRPr="00A86899">
        <w:t xml:space="preserve"> best-case scenario</w:t>
      </w:r>
      <w:r w:rsidR="0040270C">
        <w:t xml:space="preserve"> (27%)</w:t>
      </w:r>
      <w:r w:rsidRPr="00A86899">
        <w:t>, expected response rate</w:t>
      </w:r>
      <w:r w:rsidR="0040270C">
        <w:t xml:space="preserve"> (25%)</w:t>
      </w:r>
      <w:r w:rsidRPr="00A86899">
        <w:t>, and worst-case scenario</w:t>
      </w:r>
      <w:r w:rsidR="0040270C">
        <w:t xml:space="preserve"> (20%)</w:t>
      </w:r>
      <w:r w:rsidRPr="00A86899">
        <w:t>, respectively</w:t>
      </w:r>
      <w:r w:rsidR="000A31B6">
        <w:t>,</w:t>
      </w:r>
      <w:r w:rsidRPr="000A31B6" w:rsidR="000A31B6">
        <w:t xml:space="preserve"> </w:t>
      </w:r>
      <w:r w:rsidR="000A31B6">
        <w:t>of the 3,500 cross sectional cohort respondents</w:t>
      </w:r>
      <w:r w:rsidRPr="00A86899">
        <w:t>.</w:t>
      </w:r>
      <w:r w:rsidR="00C0086E">
        <w:t xml:space="preserve"> The need to adjust weights for nonresponse introduces a design effect; we assume a design effect of 1.5 when estimating when estimating MDDs</w:t>
      </w:r>
      <w:r w:rsidR="002A2B83">
        <w:t xml:space="preserve"> due </w:t>
      </w:r>
      <w:r w:rsidRPr="002A2B83" w:rsidR="002A2B83">
        <w:t>to the need to adjust weights to account for differential nonresponse across subgroups of interest</w:t>
      </w:r>
      <w:r w:rsidR="00C0086E">
        <w:t>.</w:t>
      </w:r>
    </w:p>
    <w:p w:rsidR="00BB5CBA" w:rsidP="00BB5CBA" w14:paraId="1F5DCE5A" w14:textId="77777777"/>
    <w:p w:rsidR="00BB5CBA" w:rsidP="00BB5CBA" w14:paraId="12F0473A" w14:textId="69D470E7">
      <w:r>
        <w:t xml:space="preserve">As Table A shows, the assumed response rates will result in MDDs of </w:t>
      </w:r>
      <w:r w:rsidR="00C0086E">
        <w:t>9.1</w:t>
      </w:r>
      <w:r>
        <w:t xml:space="preserve"> percent or less under all scenarios. </w:t>
      </w:r>
      <w:r w:rsidR="000A31B6">
        <w:t>Therefore, we expect that t</w:t>
      </w:r>
      <w:r>
        <w:t xml:space="preserve">he threshold </w:t>
      </w:r>
      <w:r w:rsidR="000A31B6">
        <w:t xml:space="preserve">of 10 percent or less MDD </w:t>
      </w:r>
      <w:r>
        <w:t xml:space="preserve">for between-cohort analyses will be met even after accounting for attrition. </w:t>
      </w:r>
    </w:p>
    <w:p w:rsidR="00BB5CBA" w:rsidP="00D17658" w14:paraId="10DEF7DC" w14:textId="77777777"/>
    <w:p w:rsidR="00BB5CBA" w:rsidRPr="00BB5CBA" w:rsidP="00D17658" w14:paraId="2BFA4564" w14:textId="15FC4535">
      <w:pPr>
        <w:rPr>
          <w:b/>
          <w:iCs/>
          <w:color w:val="35499D"/>
          <w:sz w:val="20"/>
        </w:rPr>
      </w:pPr>
      <w:r w:rsidRPr="00BB5CBA">
        <w:rPr>
          <w:b/>
          <w:iCs/>
          <w:color w:val="35499D"/>
          <w:sz w:val="20"/>
        </w:rPr>
        <w:t>Table A. Minimum Detectable Differences, 95% confidence level (alpha = .05) for between-cohort comparisons*</w:t>
      </w:r>
    </w:p>
    <w:tbl>
      <w:tblPr>
        <w:tblW w:w="9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4"/>
        <w:gridCol w:w="3282"/>
        <w:gridCol w:w="3054"/>
      </w:tblGrid>
      <w:tr w14:paraId="40C8AB4A" w14:textId="77777777" w:rsidTr="00BB5CBA">
        <w:tblPrEx>
          <w:tblW w:w="9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95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B5CBA" w:rsidRPr="00792699" w:rsidP="00351935" w14:paraId="45C8BB5D" w14:textId="3CB37965">
            <w:pPr>
              <w:pStyle w:val="TableBody"/>
              <w:rPr>
                <w:rFonts w:ascii="Georgia" w:hAnsi="Georgia"/>
                <w:sz w:val="20"/>
                <w:szCs w:val="20"/>
              </w:rPr>
            </w:pPr>
            <w:r w:rsidRPr="00792699">
              <w:rPr>
                <w:rFonts w:ascii="Georgia" w:hAnsi="Georgia"/>
                <w:sz w:val="20"/>
                <w:szCs w:val="20"/>
              </w:rPr>
              <w:t xml:space="preserve">Number of respondents, assuming </w:t>
            </w:r>
            <w:r>
              <w:rPr>
                <w:rFonts w:ascii="Georgia" w:hAnsi="Georgia"/>
                <w:sz w:val="20"/>
                <w:szCs w:val="20"/>
              </w:rPr>
              <w:t>27</w:t>
            </w:r>
            <w:r w:rsidRPr="00792699">
              <w:rPr>
                <w:rFonts w:ascii="Georgia" w:hAnsi="Georgia"/>
                <w:sz w:val="20"/>
                <w:szCs w:val="20"/>
              </w:rPr>
              <w:t>%, 2</w:t>
            </w:r>
            <w:r>
              <w:rPr>
                <w:rFonts w:ascii="Georgia" w:hAnsi="Georgia"/>
                <w:sz w:val="20"/>
                <w:szCs w:val="20"/>
              </w:rPr>
              <w:t>5</w:t>
            </w:r>
            <w:r w:rsidRPr="00792699">
              <w:rPr>
                <w:rFonts w:ascii="Georgia" w:hAnsi="Georgia"/>
                <w:sz w:val="20"/>
                <w:szCs w:val="20"/>
              </w:rPr>
              <w:t>%, and 20% response rates from a starting sample of</w:t>
            </w:r>
            <w:r>
              <w:rPr>
                <w:rFonts w:ascii="Georgia" w:hAnsi="Georgia"/>
                <w:sz w:val="20"/>
                <w:szCs w:val="20"/>
              </w:rPr>
              <w:t xml:space="preserve"> 3,500 per cohort</w:t>
            </w:r>
          </w:p>
        </w:tc>
      </w:tr>
      <w:tr w14:paraId="72B045AC" w14:textId="77777777" w:rsidTr="00BB5CBA">
        <w:tblPrEx>
          <w:tblW w:w="9570" w:type="dxa"/>
          <w:tblInd w:w="-5" w:type="dxa"/>
          <w:tblLayout w:type="fixed"/>
          <w:tblLook w:val="04A0"/>
        </w:tblPrEx>
        <w:trPr>
          <w:trHeight w:val="44"/>
        </w:trPr>
        <w:tc>
          <w:tcPr>
            <w:tcW w:w="3234" w:type="dxa"/>
            <w:tcBorders>
              <w:top w:val="single" w:sz="4" w:space="0" w:color="auto"/>
              <w:left w:val="single" w:sz="4" w:space="0" w:color="auto"/>
              <w:bottom w:val="single" w:sz="4" w:space="0" w:color="auto"/>
              <w:right w:val="single" w:sz="4" w:space="0" w:color="auto"/>
            </w:tcBorders>
            <w:vAlign w:val="bottom"/>
            <w:hideMark/>
          </w:tcPr>
          <w:p w:rsidR="00BB5CBA" w:rsidRPr="00792699" w:rsidP="00351935" w14:paraId="162601F7" w14:textId="3034D135">
            <w:pPr>
              <w:pStyle w:val="TableBody"/>
              <w:jc w:val="center"/>
              <w:rPr>
                <w:rFonts w:ascii="Georgia" w:hAnsi="Georgia"/>
                <w:sz w:val="20"/>
                <w:szCs w:val="20"/>
              </w:rPr>
            </w:pPr>
            <w:r w:rsidRPr="00792699">
              <w:rPr>
                <w:rFonts w:ascii="Georgia" w:hAnsi="Georgia"/>
                <w:sz w:val="20"/>
                <w:szCs w:val="20"/>
              </w:rPr>
              <w:t xml:space="preserve">N = </w:t>
            </w:r>
            <w:r>
              <w:rPr>
                <w:rFonts w:ascii="Georgia" w:hAnsi="Georgia"/>
                <w:sz w:val="20"/>
                <w:szCs w:val="20"/>
              </w:rPr>
              <w:t>950 per cohort</w:t>
            </w:r>
          </w:p>
        </w:tc>
        <w:tc>
          <w:tcPr>
            <w:tcW w:w="3282" w:type="dxa"/>
            <w:tcBorders>
              <w:top w:val="single" w:sz="4" w:space="0" w:color="auto"/>
              <w:left w:val="single" w:sz="4" w:space="0" w:color="auto"/>
              <w:bottom w:val="single" w:sz="4" w:space="0" w:color="auto"/>
              <w:right w:val="single" w:sz="4" w:space="0" w:color="auto"/>
            </w:tcBorders>
            <w:vAlign w:val="bottom"/>
            <w:hideMark/>
          </w:tcPr>
          <w:p w:rsidR="00BB5CBA" w:rsidRPr="00792699" w:rsidP="00351935" w14:paraId="4B2612B5" w14:textId="606E789A">
            <w:pPr>
              <w:pStyle w:val="TableBody"/>
              <w:jc w:val="center"/>
              <w:rPr>
                <w:rFonts w:ascii="Georgia" w:hAnsi="Georgia"/>
                <w:sz w:val="20"/>
                <w:szCs w:val="20"/>
              </w:rPr>
            </w:pPr>
            <w:r w:rsidRPr="00792699">
              <w:rPr>
                <w:rFonts w:ascii="Georgia" w:hAnsi="Georgia"/>
                <w:sz w:val="20"/>
                <w:szCs w:val="20"/>
              </w:rPr>
              <w:t xml:space="preserve">N = </w:t>
            </w:r>
            <w:r>
              <w:rPr>
                <w:rFonts w:ascii="Georgia" w:hAnsi="Georgia"/>
                <w:sz w:val="20"/>
                <w:szCs w:val="20"/>
              </w:rPr>
              <w:t>875 per cohort</w:t>
            </w:r>
          </w:p>
        </w:tc>
        <w:tc>
          <w:tcPr>
            <w:tcW w:w="3054" w:type="dxa"/>
            <w:tcBorders>
              <w:top w:val="single" w:sz="4" w:space="0" w:color="auto"/>
              <w:left w:val="single" w:sz="4" w:space="0" w:color="auto"/>
              <w:bottom w:val="single" w:sz="4" w:space="0" w:color="auto"/>
              <w:right w:val="single" w:sz="4" w:space="0" w:color="auto"/>
            </w:tcBorders>
            <w:vAlign w:val="bottom"/>
            <w:hideMark/>
          </w:tcPr>
          <w:p w:rsidR="00BB5CBA" w:rsidRPr="00792699" w:rsidP="00351935" w14:paraId="0EA88984" w14:textId="45C9429A">
            <w:pPr>
              <w:pStyle w:val="TableBody"/>
              <w:jc w:val="center"/>
              <w:rPr>
                <w:rFonts w:ascii="Georgia" w:hAnsi="Georgia"/>
                <w:sz w:val="20"/>
                <w:szCs w:val="20"/>
              </w:rPr>
            </w:pPr>
            <w:r w:rsidRPr="00792699">
              <w:rPr>
                <w:rFonts w:ascii="Georgia" w:hAnsi="Georgia"/>
                <w:sz w:val="20"/>
                <w:szCs w:val="20"/>
              </w:rPr>
              <w:t xml:space="preserve">N = </w:t>
            </w:r>
            <w:r>
              <w:rPr>
                <w:rFonts w:ascii="Georgia" w:hAnsi="Georgia"/>
                <w:sz w:val="20"/>
                <w:szCs w:val="20"/>
              </w:rPr>
              <w:t>700 per cohort</w:t>
            </w:r>
          </w:p>
        </w:tc>
      </w:tr>
      <w:tr w14:paraId="6CD91854" w14:textId="77777777" w:rsidTr="00BB5CBA">
        <w:tblPrEx>
          <w:tblW w:w="9570" w:type="dxa"/>
          <w:tblInd w:w="-5" w:type="dxa"/>
          <w:tblLayout w:type="fixed"/>
          <w:tblLook w:val="04A0"/>
        </w:tblPrEx>
        <w:trPr>
          <w:trHeight w:val="401"/>
        </w:trPr>
        <w:tc>
          <w:tcPr>
            <w:tcW w:w="3234" w:type="dxa"/>
            <w:tcBorders>
              <w:top w:val="single" w:sz="4" w:space="0" w:color="auto"/>
              <w:left w:val="single" w:sz="4" w:space="0" w:color="auto"/>
              <w:bottom w:val="single" w:sz="4" w:space="0" w:color="auto"/>
              <w:right w:val="single" w:sz="4" w:space="0" w:color="auto"/>
            </w:tcBorders>
            <w:noWrap/>
            <w:vAlign w:val="center"/>
            <w:hideMark/>
          </w:tcPr>
          <w:p w:rsidR="00BB5CBA" w:rsidRPr="00792699" w:rsidP="00351935" w14:paraId="611B4D96" w14:textId="09F7BC54">
            <w:pPr>
              <w:pStyle w:val="TableBody"/>
              <w:jc w:val="center"/>
              <w:rPr>
                <w:rFonts w:ascii="Georgia" w:hAnsi="Georgia"/>
                <w:sz w:val="20"/>
                <w:szCs w:val="20"/>
              </w:rPr>
            </w:pPr>
            <w:r>
              <w:rPr>
                <w:rFonts w:ascii="Georgia" w:hAnsi="Georgia"/>
                <w:sz w:val="20"/>
                <w:szCs w:val="20"/>
              </w:rPr>
              <w:t>7.8</w:t>
            </w:r>
            <w:r w:rsidRPr="00792699">
              <w:rPr>
                <w:rFonts w:ascii="Georgia" w:hAnsi="Georgia"/>
                <w:sz w:val="20"/>
                <w:szCs w:val="20"/>
              </w:rPr>
              <w:t>%</w:t>
            </w:r>
          </w:p>
        </w:tc>
        <w:tc>
          <w:tcPr>
            <w:tcW w:w="3282" w:type="dxa"/>
            <w:tcBorders>
              <w:top w:val="single" w:sz="4" w:space="0" w:color="auto"/>
              <w:left w:val="single" w:sz="4" w:space="0" w:color="auto"/>
              <w:bottom w:val="single" w:sz="4" w:space="0" w:color="auto"/>
              <w:right w:val="single" w:sz="4" w:space="0" w:color="auto"/>
            </w:tcBorders>
            <w:noWrap/>
            <w:vAlign w:val="center"/>
            <w:hideMark/>
          </w:tcPr>
          <w:p w:rsidR="00BB5CBA" w:rsidRPr="00792699" w:rsidP="00351935" w14:paraId="6F7C5C04" w14:textId="00008D3B">
            <w:pPr>
              <w:pStyle w:val="TableBody"/>
              <w:jc w:val="center"/>
              <w:rPr>
                <w:rFonts w:ascii="Georgia" w:hAnsi="Georgia"/>
                <w:sz w:val="20"/>
                <w:szCs w:val="20"/>
              </w:rPr>
            </w:pPr>
            <w:r>
              <w:rPr>
                <w:rFonts w:ascii="Georgia" w:hAnsi="Georgia"/>
                <w:sz w:val="20"/>
                <w:szCs w:val="20"/>
              </w:rPr>
              <w:t>8.2</w:t>
            </w:r>
            <w:r>
              <w:rPr>
                <w:rFonts w:ascii="Georgia" w:hAnsi="Georgia"/>
                <w:sz w:val="20"/>
                <w:szCs w:val="20"/>
              </w:rPr>
              <w:t>%</w:t>
            </w:r>
          </w:p>
        </w:tc>
        <w:tc>
          <w:tcPr>
            <w:tcW w:w="3054" w:type="dxa"/>
            <w:tcBorders>
              <w:top w:val="single" w:sz="4" w:space="0" w:color="auto"/>
              <w:left w:val="single" w:sz="4" w:space="0" w:color="auto"/>
              <w:bottom w:val="single" w:sz="4" w:space="0" w:color="auto"/>
              <w:right w:val="single" w:sz="4" w:space="0" w:color="auto"/>
            </w:tcBorders>
            <w:noWrap/>
            <w:vAlign w:val="center"/>
            <w:hideMark/>
          </w:tcPr>
          <w:p w:rsidR="00BB5CBA" w:rsidRPr="00792699" w:rsidP="00351935" w14:paraId="10E2EE35" w14:textId="3036B214">
            <w:pPr>
              <w:pStyle w:val="TableBody"/>
              <w:jc w:val="center"/>
              <w:rPr>
                <w:rFonts w:ascii="Georgia" w:hAnsi="Georgia"/>
                <w:sz w:val="20"/>
                <w:szCs w:val="20"/>
              </w:rPr>
            </w:pPr>
            <w:r>
              <w:rPr>
                <w:rFonts w:ascii="Georgia" w:hAnsi="Georgia"/>
                <w:sz w:val="20"/>
                <w:szCs w:val="20"/>
              </w:rPr>
              <w:t>9.1</w:t>
            </w:r>
            <w:r>
              <w:rPr>
                <w:rFonts w:ascii="Georgia" w:hAnsi="Georgia"/>
                <w:sz w:val="20"/>
                <w:szCs w:val="20"/>
              </w:rPr>
              <w:t>%</w:t>
            </w:r>
          </w:p>
        </w:tc>
      </w:tr>
    </w:tbl>
    <w:p w:rsidR="002A0B63" w:rsidP="002A0B63" w14:paraId="054EF035" w14:textId="5C1F1F1C">
      <w:pPr>
        <w:pStyle w:val="FigureNote"/>
        <w:ind w:left="720"/>
        <w:rPr>
          <w:sz w:val="24"/>
          <w:szCs w:val="24"/>
        </w:rPr>
      </w:pPr>
      <w:r>
        <w:rPr>
          <w:b/>
          <w:sz w:val="24"/>
          <w:szCs w:val="24"/>
        </w:rPr>
        <w:t>*</w:t>
      </w:r>
      <w:r>
        <w:t>MDDs are for one-tailed comparisons</w:t>
      </w:r>
      <w:r w:rsidR="00E90ED0">
        <w:t xml:space="preserve">. Assumes a comparison of </w:t>
      </w:r>
      <w:r w:rsidR="00BB5CBA">
        <w:t xml:space="preserve">estimates where the estimated value in the comparison cohort is </w:t>
      </w:r>
      <w:r w:rsidR="00E90ED0">
        <w:t>50%</w:t>
      </w:r>
      <w:r w:rsidR="00BB5CBA">
        <w:t>.</w:t>
      </w:r>
      <w:r w:rsidR="004C5B22">
        <w:t xml:space="preserve"> MDD estimates a</w:t>
      </w:r>
      <w:r w:rsidR="00C0086E">
        <w:t>ssume a design effect of 1.5.</w:t>
      </w:r>
    </w:p>
    <w:p w:rsidR="00E420F1" w:rsidP="005D0895" w14:paraId="5803C6A0" w14:textId="77777777">
      <w:pPr>
        <w:ind w:left="360"/>
      </w:pPr>
    </w:p>
    <w:p w:rsidR="00E420F1" w:rsidP="00BB5CBA" w14:paraId="23E7D3E0" w14:textId="3D5A7219">
      <w:r>
        <w:t>T</w:t>
      </w:r>
      <w:r w:rsidRPr="002C07E3">
        <w:t xml:space="preserve">he </w:t>
      </w:r>
      <w:r w:rsidRPr="002C07E3" w:rsidR="005D1DF4">
        <w:t>PSTAP</w:t>
      </w:r>
      <w:r w:rsidRPr="002C07E3">
        <w:t xml:space="preserve"> Assessment </w:t>
      </w:r>
      <w:r w:rsidR="00FA44E9">
        <w:t>is</w:t>
      </w:r>
      <w:r w:rsidRPr="002C07E3">
        <w:t xml:space="preserve"> fielded no more than </w:t>
      </w:r>
      <w:r w:rsidRPr="00586059">
        <w:t xml:space="preserve">once </w:t>
      </w:r>
      <w:r w:rsidRPr="00586059" w:rsidR="00586059">
        <w:t>in a 12-month period</w:t>
      </w:r>
      <w:r w:rsidRPr="00586059">
        <w:t>.</w:t>
      </w:r>
      <w:r w:rsidRPr="002C07E3">
        <w:t xml:space="preserve"> For the purposes of this </w:t>
      </w:r>
      <w:r w:rsidR="008E6A98">
        <w:t>information collection request (</w:t>
      </w:r>
      <w:r w:rsidRPr="002C07E3">
        <w:t>ICR</w:t>
      </w:r>
      <w:r w:rsidR="008E6A98">
        <w:t>)</w:t>
      </w:r>
      <w:r w:rsidRPr="002C07E3">
        <w:t xml:space="preserve"> </w:t>
      </w:r>
      <w:r w:rsidR="00FA44E9">
        <w:t>renewal</w:t>
      </w:r>
      <w:r w:rsidRPr="002C07E3">
        <w:t xml:space="preserve"> of </w:t>
      </w:r>
      <w:r w:rsidR="007D6025">
        <w:t>data</w:t>
      </w:r>
      <w:r w:rsidRPr="002C07E3">
        <w:t xml:space="preserve"> collection, the three-year average annual burden calculation is shown in </w:t>
      </w:r>
      <w:r w:rsidR="008E0D1C">
        <w:t>T</w:t>
      </w:r>
      <w:r w:rsidRPr="002C07E3">
        <w:t xml:space="preserve">able </w:t>
      </w:r>
      <w:r w:rsidR="00CC6522">
        <w:t>B</w:t>
      </w:r>
      <w:r w:rsidR="008E0D1C">
        <w:t xml:space="preserve"> </w:t>
      </w:r>
      <w:r w:rsidRPr="002C07E3">
        <w:t>below. Attrition is a concern in all longitudinal studies. Attempts to boost participation rates can often be mitigated by using techniques such as</w:t>
      </w:r>
      <w:r w:rsidR="00486B8E">
        <w:t xml:space="preserve"> incentives,</w:t>
      </w:r>
      <w:r w:rsidR="002C07E3">
        <w:t xml:space="preserve"> </w:t>
      </w:r>
      <w:r w:rsidRPr="002C07E3">
        <w:t xml:space="preserve">personal interviews, telephone reminders, etc., which carry </w:t>
      </w:r>
      <w:r w:rsidR="006C6AC2">
        <w:t xml:space="preserve">an </w:t>
      </w:r>
      <w:r w:rsidRPr="002C07E3">
        <w:t xml:space="preserve">additional monetary burden. Therefore, the second and third waves of data collection (i.e., Year 2 and Year 3) are estimated using data from </w:t>
      </w:r>
      <w:r w:rsidR="00FA44E9">
        <w:t>the past years of the PSTAP Assessment</w:t>
      </w:r>
      <w:r w:rsidRPr="002C07E3">
        <w:t>.</w:t>
      </w:r>
    </w:p>
    <w:p w:rsidR="00E420F1" w:rsidP="00CB2D27" w14:paraId="2010DDE3" w14:textId="057DA286">
      <w:pPr>
        <w:spacing w:before="240" w:after="120"/>
        <w:ind w:left="450"/>
        <w:rPr>
          <w:b/>
          <w:iCs/>
          <w:color w:val="35499D"/>
          <w:sz w:val="20"/>
        </w:rPr>
      </w:pPr>
      <w:r w:rsidRPr="00CB2D27">
        <w:rPr>
          <w:b/>
          <w:iCs/>
          <w:color w:val="35499D"/>
          <w:sz w:val="20"/>
        </w:rPr>
        <w:t xml:space="preserve">Table </w:t>
      </w:r>
      <w:r w:rsidR="00BB5CBA">
        <w:rPr>
          <w:b/>
          <w:iCs/>
          <w:color w:val="35499D"/>
          <w:sz w:val="20"/>
        </w:rPr>
        <w:t>B</w:t>
      </w:r>
      <w:r w:rsidRPr="00CB2D27">
        <w:rPr>
          <w:b/>
          <w:iCs/>
          <w:color w:val="35499D"/>
          <w:sz w:val="20"/>
        </w:rPr>
        <w:t xml:space="preserve">. </w:t>
      </w:r>
      <w:r w:rsidRPr="00CB2D27">
        <w:rPr>
          <w:b/>
          <w:iCs/>
          <w:color w:val="35499D"/>
          <w:sz w:val="20"/>
        </w:rPr>
        <w:t>Average Annual Hourly Burden Calculation</w:t>
      </w:r>
      <w:r w:rsidR="004748A2">
        <w:rPr>
          <w:b/>
          <w:iCs/>
          <w:color w:val="35499D"/>
          <w:sz w:val="20"/>
        </w:rPr>
        <w:t xml:space="preserve"> for the PSTAP Assessment</w:t>
      </w:r>
    </w:p>
    <w:tbl>
      <w:tblPr>
        <w:tblW w:w="9350" w:type="dxa"/>
        <w:tblLook w:val="04A0"/>
      </w:tblPr>
      <w:tblGrid>
        <w:gridCol w:w="1075"/>
        <w:gridCol w:w="1260"/>
        <w:gridCol w:w="1080"/>
        <w:gridCol w:w="1069"/>
        <w:gridCol w:w="1074"/>
        <w:gridCol w:w="1020"/>
        <w:gridCol w:w="1074"/>
        <w:gridCol w:w="888"/>
        <w:gridCol w:w="810"/>
      </w:tblGrid>
      <w:tr w14:paraId="2A87D42F" w14:textId="77777777" w:rsidTr="00D17658">
        <w:tblPrEx>
          <w:tblW w:w="9350" w:type="dxa"/>
          <w:tblLook w:val="04A0"/>
        </w:tblPrEx>
        <w:trPr>
          <w:trHeight w:val="258"/>
        </w:trPr>
        <w:tc>
          <w:tcPr>
            <w:tcW w:w="935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50F81" w:rsidRPr="00F50F81" w:rsidP="00F50F81" w14:paraId="185907AA" w14:textId="77777777">
            <w:pPr>
              <w:jc w:val="center"/>
              <w:rPr>
                <w:rFonts w:ascii="Calibri" w:hAnsi="Calibri" w:cs="Calibri"/>
                <w:b/>
                <w:bCs/>
                <w:color w:val="000000"/>
                <w:sz w:val="20"/>
              </w:rPr>
            </w:pPr>
            <w:r w:rsidRPr="00F50F81">
              <w:rPr>
                <w:rFonts w:ascii="Calibri" w:hAnsi="Calibri" w:cs="Calibri"/>
                <w:b/>
                <w:bCs/>
                <w:color w:val="000000"/>
                <w:sz w:val="20"/>
              </w:rPr>
              <w:t>Cross-Sectional Survey</w:t>
            </w:r>
          </w:p>
        </w:tc>
      </w:tr>
      <w:tr w14:paraId="4A103B7E" w14:textId="77777777" w:rsidTr="00D17658">
        <w:tblPrEx>
          <w:tblW w:w="9350" w:type="dxa"/>
          <w:tblLook w:val="04A0"/>
        </w:tblPrEx>
        <w:trPr>
          <w:trHeight w:val="258"/>
        </w:trPr>
        <w:tc>
          <w:tcPr>
            <w:tcW w:w="1075" w:type="dxa"/>
            <w:tcBorders>
              <w:top w:val="nil"/>
              <w:left w:val="single" w:sz="4" w:space="0" w:color="auto"/>
              <w:bottom w:val="nil"/>
              <w:right w:val="nil"/>
            </w:tcBorders>
            <w:shd w:val="clear" w:color="000000" w:fill="FFFFFF"/>
            <w:noWrap/>
            <w:vAlign w:val="bottom"/>
            <w:hideMark/>
          </w:tcPr>
          <w:p w:rsidR="00F50F81" w:rsidRPr="00F50F81" w:rsidP="00F50F81" w14:paraId="37E3D73B" w14:textId="77777777">
            <w:pPr>
              <w:rPr>
                <w:rFonts w:ascii="Calibri" w:hAnsi="Calibri" w:cs="Calibri"/>
                <w:color w:val="000000"/>
                <w:sz w:val="20"/>
              </w:rPr>
            </w:pPr>
            <w:r w:rsidRPr="00F50F81">
              <w:rPr>
                <w:rFonts w:ascii="Calibri" w:hAnsi="Calibri" w:cs="Calibri"/>
                <w:color w:val="000000"/>
                <w:sz w:val="20"/>
              </w:rPr>
              <w:t> </w:t>
            </w:r>
          </w:p>
        </w:tc>
        <w:tc>
          <w:tcPr>
            <w:tcW w:w="2340" w:type="dxa"/>
            <w:gridSpan w:val="2"/>
            <w:tcBorders>
              <w:top w:val="single" w:sz="4" w:space="0" w:color="auto"/>
              <w:left w:val="single" w:sz="4" w:space="0" w:color="auto"/>
              <w:bottom w:val="single" w:sz="4" w:space="0" w:color="auto"/>
              <w:right w:val="nil"/>
            </w:tcBorders>
            <w:shd w:val="clear" w:color="000000" w:fill="FFFFFF"/>
            <w:vAlign w:val="bottom"/>
            <w:hideMark/>
          </w:tcPr>
          <w:p w:rsidR="00F50F81" w:rsidRPr="00F50F81" w:rsidP="00F50F81" w14:paraId="3AC4C934" w14:textId="51D7FFA0">
            <w:pPr>
              <w:jc w:val="center"/>
              <w:rPr>
                <w:rFonts w:ascii="Calibri" w:hAnsi="Calibri" w:cs="Calibri"/>
                <w:color w:val="000000"/>
                <w:sz w:val="20"/>
              </w:rPr>
            </w:pPr>
            <w:r w:rsidRPr="00F50F81">
              <w:rPr>
                <w:rFonts w:ascii="Calibri" w:hAnsi="Calibri" w:cs="Calibri"/>
                <w:color w:val="000000"/>
                <w:sz w:val="20"/>
              </w:rPr>
              <w:t xml:space="preserve">Cohorts </w:t>
            </w:r>
            <w:r w:rsidR="00A11E9C">
              <w:rPr>
                <w:rFonts w:ascii="Calibri" w:hAnsi="Calibri" w:cs="Calibri"/>
                <w:color w:val="000000"/>
                <w:sz w:val="20"/>
              </w:rPr>
              <w:t>22-24</w:t>
            </w:r>
          </w:p>
        </w:tc>
        <w:tc>
          <w:tcPr>
            <w:tcW w:w="2143" w:type="dxa"/>
            <w:gridSpan w:val="2"/>
            <w:tcBorders>
              <w:top w:val="single" w:sz="4" w:space="0" w:color="auto"/>
              <w:left w:val="single" w:sz="4" w:space="0" w:color="auto"/>
              <w:bottom w:val="single" w:sz="4" w:space="0" w:color="auto"/>
              <w:right w:val="nil"/>
            </w:tcBorders>
            <w:shd w:val="clear" w:color="000000" w:fill="FFFFFF"/>
            <w:vAlign w:val="bottom"/>
            <w:hideMark/>
          </w:tcPr>
          <w:p w:rsidR="00F50F81" w:rsidRPr="00F50F81" w:rsidP="00F50F81" w14:paraId="2A679068" w14:textId="66766F18">
            <w:pPr>
              <w:jc w:val="center"/>
              <w:rPr>
                <w:rFonts w:ascii="Calibri" w:hAnsi="Calibri" w:cs="Calibri"/>
                <w:color w:val="000000"/>
                <w:sz w:val="20"/>
              </w:rPr>
            </w:pPr>
            <w:r w:rsidRPr="00F50F81">
              <w:rPr>
                <w:rFonts w:ascii="Calibri" w:hAnsi="Calibri" w:cs="Calibri"/>
                <w:color w:val="000000"/>
                <w:sz w:val="20"/>
              </w:rPr>
              <w:t xml:space="preserve">Cohorts </w:t>
            </w:r>
            <w:r w:rsidR="00A11E9C">
              <w:rPr>
                <w:rFonts w:ascii="Calibri" w:hAnsi="Calibri" w:cs="Calibri"/>
                <w:color w:val="000000"/>
                <w:sz w:val="20"/>
              </w:rPr>
              <w:t>25-27</w:t>
            </w:r>
          </w:p>
        </w:tc>
        <w:tc>
          <w:tcPr>
            <w:tcW w:w="209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50F81" w:rsidRPr="00F50F81" w:rsidP="00F50F81" w14:paraId="621BA851" w14:textId="6890E0FB">
            <w:pPr>
              <w:jc w:val="center"/>
              <w:rPr>
                <w:rFonts w:ascii="Calibri" w:hAnsi="Calibri" w:cs="Calibri"/>
                <w:color w:val="000000"/>
                <w:sz w:val="20"/>
              </w:rPr>
            </w:pPr>
            <w:r w:rsidRPr="00F50F81">
              <w:rPr>
                <w:rFonts w:ascii="Calibri" w:hAnsi="Calibri" w:cs="Calibri"/>
                <w:color w:val="000000"/>
                <w:sz w:val="20"/>
              </w:rPr>
              <w:t xml:space="preserve">Cohorts </w:t>
            </w:r>
            <w:r w:rsidR="00A11E9C">
              <w:rPr>
                <w:rFonts w:ascii="Calibri" w:hAnsi="Calibri" w:cs="Calibri"/>
                <w:color w:val="000000"/>
                <w:sz w:val="20"/>
              </w:rPr>
              <w:t>28-30</w:t>
            </w:r>
          </w:p>
        </w:tc>
        <w:tc>
          <w:tcPr>
            <w:tcW w:w="888" w:type="dxa"/>
            <w:vMerge w:val="restart"/>
            <w:tcBorders>
              <w:top w:val="nil"/>
              <w:left w:val="single" w:sz="4" w:space="0" w:color="auto"/>
              <w:bottom w:val="single" w:sz="4" w:space="0" w:color="000000"/>
              <w:right w:val="nil"/>
            </w:tcBorders>
            <w:shd w:val="clear" w:color="000000" w:fill="FFFFFF"/>
            <w:vAlign w:val="bottom"/>
            <w:hideMark/>
          </w:tcPr>
          <w:p w:rsidR="00F50F81" w:rsidRPr="00F50F81" w:rsidP="00F50F81" w14:paraId="5A1510A7" w14:textId="77777777">
            <w:pPr>
              <w:jc w:val="center"/>
              <w:rPr>
                <w:rFonts w:ascii="Calibri" w:hAnsi="Calibri" w:cs="Calibri"/>
                <w:color w:val="000000"/>
                <w:sz w:val="20"/>
              </w:rPr>
            </w:pPr>
            <w:r w:rsidRPr="00F50F81">
              <w:rPr>
                <w:rFonts w:ascii="Calibri" w:hAnsi="Calibri" w:cs="Calibri"/>
                <w:color w:val="000000"/>
                <w:sz w:val="20"/>
              </w:rPr>
              <w:t>Minutes</w:t>
            </w:r>
          </w:p>
        </w:tc>
        <w:tc>
          <w:tcPr>
            <w:tcW w:w="810" w:type="dxa"/>
            <w:vMerge w:val="restart"/>
            <w:tcBorders>
              <w:top w:val="nil"/>
              <w:left w:val="single" w:sz="4" w:space="0" w:color="auto"/>
              <w:bottom w:val="single" w:sz="4" w:space="0" w:color="000000"/>
              <w:right w:val="single" w:sz="4" w:space="0" w:color="auto"/>
            </w:tcBorders>
            <w:shd w:val="clear" w:color="000000" w:fill="FFFFFF"/>
            <w:vAlign w:val="bottom"/>
            <w:hideMark/>
          </w:tcPr>
          <w:p w:rsidR="00F50F81" w:rsidRPr="00F50F81" w:rsidP="00F50F81" w14:paraId="752CBFB7" w14:textId="77777777">
            <w:pPr>
              <w:jc w:val="center"/>
              <w:rPr>
                <w:rFonts w:ascii="Calibri" w:hAnsi="Calibri" w:cs="Calibri"/>
                <w:color w:val="000000"/>
                <w:sz w:val="20"/>
              </w:rPr>
            </w:pPr>
            <w:r w:rsidRPr="00F50F81">
              <w:rPr>
                <w:rFonts w:ascii="Calibri" w:hAnsi="Calibri" w:cs="Calibri"/>
                <w:color w:val="000000"/>
                <w:sz w:val="20"/>
              </w:rPr>
              <w:t>Hourly Burden</w:t>
            </w:r>
          </w:p>
        </w:tc>
      </w:tr>
      <w:tr w14:paraId="1888FA6C" w14:textId="77777777" w:rsidTr="00F50F81">
        <w:tblPrEx>
          <w:tblW w:w="9350" w:type="dxa"/>
          <w:tblLook w:val="04A0"/>
        </w:tblPrEx>
        <w:trPr>
          <w:trHeight w:val="516"/>
        </w:trPr>
        <w:tc>
          <w:tcPr>
            <w:tcW w:w="1075" w:type="dxa"/>
            <w:tcBorders>
              <w:top w:val="nil"/>
              <w:left w:val="single" w:sz="4" w:space="0" w:color="auto"/>
              <w:bottom w:val="single" w:sz="4" w:space="0" w:color="auto"/>
              <w:right w:val="single" w:sz="4" w:space="0" w:color="auto"/>
            </w:tcBorders>
            <w:shd w:val="clear" w:color="000000" w:fill="FFFFFF"/>
            <w:noWrap/>
            <w:vAlign w:val="bottom"/>
            <w:hideMark/>
          </w:tcPr>
          <w:p w:rsidR="00F50F81" w:rsidRPr="00F50F81" w:rsidP="00F50F81" w14:paraId="010F14D4" w14:textId="77777777">
            <w:pPr>
              <w:rPr>
                <w:rFonts w:ascii="Calibri" w:hAnsi="Calibri" w:cs="Calibri"/>
                <w:color w:val="000000"/>
                <w:sz w:val="20"/>
              </w:rPr>
            </w:pPr>
            <w:r w:rsidRPr="00F50F81">
              <w:rPr>
                <w:rFonts w:ascii="Calibri" w:hAnsi="Calibri" w:cs="Calibri"/>
                <w:color w:val="000000"/>
                <w:sz w:val="20"/>
              </w:rPr>
              <w:t> </w:t>
            </w:r>
          </w:p>
        </w:tc>
        <w:tc>
          <w:tcPr>
            <w:tcW w:w="1260" w:type="dxa"/>
            <w:tcBorders>
              <w:top w:val="nil"/>
              <w:left w:val="nil"/>
              <w:bottom w:val="single" w:sz="4" w:space="0" w:color="auto"/>
              <w:right w:val="nil"/>
            </w:tcBorders>
            <w:shd w:val="clear" w:color="000000" w:fill="FFFFFF"/>
            <w:vAlign w:val="bottom"/>
            <w:hideMark/>
          </w:tcPr>
          <w:p w:rsidR="00F50F81" w:rsidRPr="00F50F81" w:rsidP="00F50F81" w14:paraId="3A9EB72C" w14:textId="77777777">
            <w:pPr>
              <w:rPr>
                <w:rFonts w:ascii="Calibri" w:hAnsi="Calibri" w:cs="Calibri"/>
                <w:color w:val="000000"/>
                <w:sz w:val="20"/>
              </w:rPr>
            </w:pPr>
            <w:r w:rsidRPr="00F50F81">
              <w:rPr>
                <w:rFonts w:ascii="Calibri" w:hAnsi="Calibri" w:cs="Calibri"/>
                <w:color w:val="000000"/>
                <w:sz w:val="20"/>
              </w:rPr>
              <w:t>Retention Rate*</w:t>
            </w:r>
          </w:p>
        </w:tc>
        <w:tc>
          <w:tcPr>
            <w:tcW w:w="1080" w:type="dxa"/>
            <w:tcBorders>
              <w:top w:val="nil"/>
              <w:left w:val="nil"/>
              <w:bottom w:val="single" w:sz="4" w:space="0" w:color="auto"/>
              <w:right w:val="nil"/>
            </w:tcBorders>
            <w:shd w:val="clear" w:color="000000" w:fill="FFFFFF"/>
            <w:vAlign w:val="bottom"/>
            <w:hideMark/>
          </w:tcPr>
          <w:p w:rsidR="00F50F81" w:rsidRPr="00F50F81" w:rsidP="00F50F81" w14:paraId="75E5E8A0" w14:textId="77777777">
            <w:pPr>
              <w:rPr>
                <w:rFonts w:ascii="Calibri" w:hAnsi="Calibri" w:cs="Calibri"/>
                <w:color w:val="000000"/>
                <w:sz w:val="20"/>
              </w:rPr>
            </w:pPr>
            <w:r w:rsidRPr="00F50F81">
              <w:rPr>
                <w:rFonts w:ascii="Calibri" w:hAnsi="Calibri" w:cs="Calibri"/>
                <w:color w:val="000000"/>
                <w:sz w:val="20"/>
              </w:rPr>
              <w:t>Responses</w:t>
            </w:r>
          </w:p>
        </w:tc>
        <w:tc>
          <w:tcPr>
            <w:tcW w:w="1069" w:type="dxa"/>
            <w:tcBorders>
              <w:top w:val="nil"/>
              <w:left w:val="single" w:sz="4" w:space="0" w:color="auto"/>
              <w:bottom w:val="single" w:sz="4" w:space="0" w:color="auto"/>
              <w:right w:val="nil"/>
            </w:tcBorders>
            <w:shd w:val="clear" w:color="000000" w:fill="FFFFFF"/>
            <w:vAlign w:val="bottom"/>
            <w:hideMark/>
          </w:tcPr>
          <w:p w:rsidR="00F50F81" w:rsidRPr="00F50F81" w:rsidP="00F50F81" w14:paraId="101A3F09" w14:textId="77777777">
            <w:pPr>
              <w:rPr>
                <w:rFonts w:ascii="Calibri" w:hAnsi="Calibri" w:cs="Calibri"/>
                <w:color w:val="000000"/>
                <w:sz w:val="20"/>
              </w:rPr>
            </w:pPr>
            <w:r w:rsidRPr="00F50F81">
              <w:rPr>
                <w:rFonts w:ascii="Calibri" w:hAnsi="Calibri" w:cs="Calibri"/>
                <w:color w:val="000000"/>
                <w:sz w:val="20"/>
              </w:rPr>
              <w:t>Retention Rate*</w:t>
            </w:r>
          </w:p>
        </w:tc>
        <w:tc>
          <w:tcPr>
            <w:tcW w:w="1074" w:type="dxa"/>
            <w:tcBorders>
              <w:top w:val="nil"/>
              <w:left w:val="nil"/>
              <w:bottom w:val="single" w:sz="4" w:space="0" w:color="auto"/>
              <w:right w:val="nil"/>
            </w:tcBorders>
            <w:shd w:val="clear" w:color="000000" w:fill="FFFFFF"/>
            <w:vAlign w:val="bottom"/>
            <w:hideMark/>
          </w:tcPr>
          <w:p w:rsidR="00F50F81" w:rsidRPr="00F50F81" w:rsidP="00F50F81" w14:paraId="59F0E7F4" w14:textId="77777777">
            <w:pPr>
              <w:rPr>
                <w:rFonts w:ascii="Calibri" w:hAnsi="Calibri" w:cs="Calibri"/>
                <w:color w:val="000000"/>
                <w:sz w:val="20"/>
              </w:rPr>
            </w:pPr>
            <w:r w:rsidRPr="00F50F81">
              <w:rPr>
                <w:rFonts w:ascii="Calibri" w:hAnsi="Calibri" w:cs="Calibri"/>
                <w:color w:val="000000"/>
                <w:sz w:val="20"/>
              </w:rPr>
              <w:t>Responses</w:t>
            </w:r>
          </w:p>
        </w:tc>
        <w:tc>
          <w:tcPr>
            <w:tcW w:w="1020" w:type="dxa"/>
            <w:tcBorders>
              <w:top w:val="nil"/>
              <w:left w:val="single" w:sz="4" w:space="0" w:color="auto"/>
              <w:bottom w:val="single" w:sz="4" w:space="0" w:color="auto"/>
              <w:right w:val="nil"/>
            </w:tcBorders>
            <w:shd w:val="clear" w:color="000000" w:fill="FFFFFF"/>
            <w:vAlign w:val="bottom"/>
            <w:hideMark/>
          </w:tcPr>
          <w:p w:rsidR="00F50F81" w:rsidRPr="00F50F81" w:rsidP="00F50F81" w14:paraId="09FF5183" w14:textId="77777777">
            <w:pPr>
              <w:rPr>
                <w:rFonts w:ascii="Calibri" w:hAnsi="Calibri" w:cs="Calibri"/>
                <w:color w:val="000000"/>
                <w:sz w:val="20"/>
              </w:rPr>
            </w:pPr>
            <w:r w:rsidRPr="00F50F81">
              <w:rPr>
                <w:rFonts w:ascii="Calibri" w:hAnsi="Calibri" w:cs="Calibri"/>
                <w:color w:val="000000"/>
                <w:sz w:val="20"/>
              </w:rPr>
              <w:t>Retention Rate*</w:t>
            </w:r>
          </w:p>
        </w:tc>
        <w:tc>
          <w:tcPr>
            <w:tcW w:w="1074" w:type="dxa"/>
            <w:tcBorders>
              <w:top w:val="nil"/>
              <w:left w:val="nil"/>
              <w:bottom w:val="single" w:sz="4" w:space="0" w:color="auto"/>
              <w:right w:val="nil"/>
            </w:tcBorders>
            <w:shd w:val="clear" w:color="000000" w:fill="FFFFFF"/>
            <w:noWrap/>
            <w:vAlign w:val="bottom"/>
            <w:hideMark/>
          </w:tcPr>
          <w:p w:rsidR="00F50F81" w:rsidRPr="00F50F81" w:rsidP="00F50F81" w14:paraId="22E6C836" w14:textId="77777777">
            <w:pPr>
              <w:rPr>
                <w:rFonts w:ascii="Calibri" w:hAnsi="Calibri" w:cs="Calibri"/>
                <w:color w:val="000000"/>
                <w:sz w:val="20"/>
              </w:rPr>
            </w:pPr>
            <w:r w:rsidRPr="00F50F81">
              <w:rPr>
                <w:rFonts w:ascii="Calibri" w:hAnsi="Calibri" w:cs="Calibri"/>
                <w:color w:val="000000"/>
                <w:sz w:val="20"/>
              </w:rPr>
              <w:t>Responses</w:t>
            </w:r>
          </w:p>
        </w:tc>
        <w:tc>
          <w:tcPr>
            <w:tcW w:w="888" w:type="dxa"/>
            <w:vMerge/>
            <w:tcBorders>
              <w:top w:val="nil"/>
              <w:left w:val="single" w:sz="4" w:space="0" w:color="auto"/>
              <w:bottom w:val="single" w:sz="4" w:space="0" w:color="000000"/>
              <w:right w:val="nil"/>
            </w:tcBorders>
            <w:vAlign w:val="center"/>
            <w:hideMark/>
          </w:tcPr>
          <w:p w:rsidR="00F50F81" w:rsidRPr="00F50F81" w:rsidP="00F50F81" w14:paraId="0A9B8D3F" w14:textId="77777777">
            <w:pPr>
              <w:rPr>
                <w:rFonts w:ascii="Calibri" w:hAnsi="Calibri" w:cs="Calibri"/>
                <w:color w:val="000000"/>
                <w:sz w:val="20"/>
              </w:rPr>
            </w:pPr>
          </w:p>
        </w:tc>
        <w:tc>
          <w:tcPr>
            <w:tcW w:w="810" w:type="dxa"/>
            <w:vMerge/>
            <w:tcBorders>
              <w:top w:val="nil"/>
              <w:left w:val="single" w:sz="4" w:space="0" w:color="auto"/>
              <w:bottom w:val="single" w:sz="4" w:space="0" w:color="000000"/>
              <w:right w:val="single" w:sz="4" w:space="0" w:color="auto"/>
            </w:tcBorders>
            <w:vAlign w:val="center"/>
            <w:hideMark/>
          </w:tcPr>
          <w:p w:rsidR="00F50F81" w:rsidRPr="00F50F81" w:rsidP="00F50F81" w14:paraId="0C866442" w14:textId="77777777">
            <w:pPr>
              <w:rPr>
                <w:rFonts w:ascii="Calibri" w:hAnsi="Calibri" w:cs="Calibri"/>
                <w:color w:val="000000"/>
                <w:sz w:val="20"/>
              </w:rPr>
            </w:pPr>
          </w:p>
        </w:tc>
      </w:tr>
      <w:tr w14:paraId="3A48A1FB" w14:textId="77777777" w:rsidTr="00DA75F0">
        <w:tblPrEx>
          <w:tblW w:w="9350" w:type="dxa"/>
          <w:tblLook w:val="04A0"/>
        </w:tblPrEx>
        <w:trPr>
          <w:trHeight w:val="258"/>
        </w:trPr>
        <w:tc>
          <w:tcPr>
            <w:tcW w:w="1075" w:type="dxa"/>
            <w:tcBorders>
              <w:top w:val="nil"/>
              <w:left w:val="single" w:sz="4" w:space="0" w:color="auto"/>
              <w:bottom w:val="single" w:sz="4" w:space="0" w:color="auto"/>
              <w:right w:val="nil"/>
            </w:tcBorders>
            <w:shd w:val="clear" w:color="000000" w:fill="FFFFFF"/>
            <w:noWrap/>
            <w:vAlign w:val="bottom"/>
            <w:hideMark/>
          </w:tcPr>
          <w:p w:rsidR="00F50F81" w:rsidRPr="00F50F81" w:rsidP="00F50F81" w14:paraId="78F291D5" w14:textId="77777777">
            <w:pPr>
              <w:rPr>
                <w:rFonts w:ascii="Calibri" w:hAnsi="Calibri" w:cs="Calibri"/>
                <w:color w:val="000000"/>
                <w:sz w:val="20"/>
              </w:rPr>
            </w:pPr>
            <w:r w:rsidRPr="00F50F81">
              <w:rPr>
                <w:rFonts w:ascii="Calibri" w:hAnsi="Calibri" w:cs="Calibri"/>
                <w:color w:val="000000"/>
                <w:sz w:val="20"/>
              </w:rPr>
              <w:t>Year 1</w:t>
            </w:r>
          </w:p>
        </w:tc>
        <w:tc>
          <w:tcPr>
            <w:tcW w:w="1260" w:type="dxa"/>
            <w:tcBorders>
              <w:top w:val="nil"/>
              <w:left w:val="single" w:sz="4" w:space="0" w:color="auto"/>
              <w:bottom w:val="single" w:sz="4" w:space="0" w:color="auto"/>
              <w:right w:val="nil"/>
            </w:tcBorders>
            <w:shd w:val="clear" w:color="000000" w:fill="FFFFFF"/>
            <w:vAlign w:val="bottom"/>
            <w:hideMark/>
          </w:tcPr>
          <w:p w:rsidR="00F50F81" w:rsidRPr="00F50F81" w:rsidP="00F50F81" w14:paraId="0CD18913" w14:textId="77777777">
            <w:pPr>
              <w:jc w:val="center"/>
              <w:rPr>
                <w:rFonts w:ascii="Calibri" w:hAnsi="Calibri" w:cs="Calibri"/>
                <w:color w:val="000000"/>
                <w:sz w:val="20"/>
              </w:rPr>
            </w:pPr>
            <w:r w:rsidRPr="00F50F81">
              <w:rPr>
                <w:rFonts w:ascii="Calibri" w:hAnsi="Calibri" w:cs="Calibri"/>
                <w:color w:val="000000"/>
                <w:sz w:val="20"/>
              </w:rPr>
              <w:t>n/a</w:t>
            </w:r>
          </w:p>
        </w:tc>
        <w:tc>
          <w:tcPr>
            <w:tcW w:w="1080" w:type="dxa"/>
            <w:tcBorders>
              <w:top w:val="nil"/>
              <w:left w:val="nil"/>
              <w:bottom w:val="single" w:sz="4" w:space="0" w:color="auto"/>
              <w:right w:val="nil"/>
            </w:tcBorders>
            <w:shd w:val="clear" w:color="000000" w:fill="FFFFFF"/>
            <w:vAlign w:val="bottom"/>
            <w:hideMark/>
          </w:tcPr>
          <w:p w:rsidR="00F50F81" w:rsidRPr="00F50F81" w:rsidP="00F50F81" w14:paraId="5D845892" w14:textId="1913E14A">
            <w:pPr>
              <w:jc w:val="center"/>
              <w:rPr>
                <w:rFonts w:ascii="Calibri" w:hAnsi="Calibri" w:cs="Calibri"/>
                <w:color w:val="000000"/>
                <w:sz w:val="20"/>
              </w:rPr>
            </w:pPr>
            <w:r>
              <w:rPr>
                <w:rFonts w:ascii="Calibri" w:hAnsi="Calibri" w:cs="Calibri"/>
                <w:color w:val="000000"/>
                <w:sz w:val="20"/>
              </w:rPr>
              <w:t>10,500</w:t>
            </w:r>
          </w:p>
        </w:tc>
        <w:tc>
          <w:tcPr>
            <w:tcW w:w="1069" w:type="dxa"/>
            <w:tcBorders>
              <w:top w:val="nil"/>
              <w:left w:val="single" w:sz="4" w:space="0" w:color="auto"/>
              <w:bottom w:val="single" w:sz="4" w:space="0" w:color="auto"/>
              <w:right w:val="nil"/>
            </w:tcBorders>
            <w:shd w:val="clear" w:color="000000" w:fill="FFFFFF"/>
            <w:vAlign w:val="bottom"/>
            <w:hideMark/>
          </w:tcPr>
          <w:p w:rsidR="00F50F81" w:rsidRPr="00F50F81" w:rsidP="00F50F81" w14:paraId="3946BB7F" w14:textId="77777777">
            <w:pPr>
              <w:jc w:val="center"/>
              <w:rPr>
                <w:rFonts w:ascii="Calibri" w:hAnsi="Calibri" w:cs="Calibri"/>
                <w:color w:val="000000"/>
                <w:sz w:val="20"/>
              </w:rPr>
            </w:pPr>
            <w:r w:rsidRPr="00F50F81">
              <w:rPr>
                <w:rFonts w:ascii="Calibri" w:hAnsi="Calibri" w:cs="Calibri"/>
                <w:color w:val="000000"/>
                <w:sz w:val="20"/>
              </w:rPr>
              <w:t> </w:t>
            </w:r>
          </w:p>
        </w:tc>
        <w:tc>
          <w:tcPr>
            <w:tcW w:w="1074" w:type="dxa"/>
            <w:tcBorders>
              <w:top w:val="nil"/>
              <w:left w:val="nil"/>
              <w:bottom w:val="single" w:sz="4" w:space="0" w:color="auto"/>
              <w:right w:val="nil"/>
            </w:tcBorders>
            <w:shd w:val="clear" w:color="000000" w:fill="FFFFFF"/>
            <w:vAlign w:val="bottom"/>
            <w:hideMark/>
          </w:tcPr>
          <w:p w:rsidR="00F50F81" w:rsidRPr="00F50F81" w:rsidP="00F50F81" w14:paraId="6993C489" w14:textId="77777777">
            <w:pPr>
              <w:jc w:val="center"/>
              <w:rPr>
                <w:rFonts w:ascii="Calibri" w:hAnsi="Calibri" w:cs="Calibri"/>
                <w:color w:val="000000"/>
                <w:sz w:val="20"/>
              </w:rPr>
            </w:pPr>
            <w:r w:rsidRPr="00F50F81">
              <w:rPr>
                <w:rFonts w:ascii="Calibri" w:hAnsi="Calibri" w:cs="Calibri"/>
                <w:color w:val="000000"/>
                <w:sz w:val="20"/>
              </w:rPr>
              <w:t> </w:t>
            </w:r>
          </w:p>
        </w:tc>
        <w:tc>
          <w:tcPr>
            <w:tcW w:w="1020" w:type="dxa"/>
            <w:tcBorders>
              <w:top w:val="nil"/>
              <w:left w:val="single" w:sz="4" w:space="0" w:color="auto"/>
              <w:bottom w:val="single" w:sz="4" w:space="0" w:color="auto"/>
              <w:right w:val="nil"/>
            </w:tcBorders>
            <w:shd w:val="clear" w:color="000000" w:fill="FFFFFF"/>
            <w:vAlign w:val="bottom"/>
            <w:hideMark/>
          </w:tcPr>
          <w:p w:rsidR="00F50F81" w:rsidRPr="00F50F81" w:rsidP="00F50F81" w14:paraId="64E7ADF5" w14:textId="77777777">
            <w:pPr>
              <w:jc w:val="center"/>
              <w:rPr>
                <w:rFonts w:ascii="Calibri" w:hAnsi="Calibri" w:cs="Calibri"/>
                <w:color w:val="000000"/>
                <w:sz w:val="20"/>
              </w:rPr>
            </w:pPr>
            <w:r w:rsidRPr="00F50F81">
              <w:rPr>
                <w:rFonts w:ascii="Calibri" w:hAnsi="Calibri" w:cs="Calibri"/>
                <w:color w:val="000000"/>
                <w:sz w:val="20"/>
              </w:rPr>
              <w:t> </w:t>
            </w:r>
          </w:p>
        </w:tc>
        <w:tc>
          <w:tcPr>
            <w:tcW w:w="1074" w:type="dxa"/>
            <w:tcBorders>
              <w:top w:val="nil"/>
              <w:left w:val="nil"/>
              <w:bottom w:val="single" w:sz="4" w:space="0" w:color="auto"/>
              <w:right w:val="nil"/>
            </w:tcBorders>
            <w:shd w:val="clear" w:color="000000" w:fill="FFFFFF"/>
            <w:noWrap/>
            <w:vAlign w:val="bottom"/>
            <w:hideMark/>
          </w:tcPr>
          <w:p w:rsidR="00F50F81" w:rsidRPr="00F50F81" w:rsidP="00F50F81" w14:paraId="27098951" w14:textId="77777777">
            <w:pPr>
              <w:jc w:val="center"/>
              <w:rPr>
                <w:rFonts w:ascii="Calibri" w:hAnsi="Calibri" w:cs="Calibri"/>
                <w:color w:val="000000"/>
                <w:sz w:val="20"/>
              </w:rPr>
            </w:pPr>
            <w:r w:rsidRPr="00F50F81">
              <w:rPr>
                <w:rFonts w:ascii="Calibri" w:hAnsi="Calibri" w:cs="Calibri"/>
                <w:color w:val="000000"/>
                <w:sz w:val="20"/>
              </w:rPr>
              <w:t> </w:t>
            </w:r>
          </w:p>
        </w:tc>
        <w:tc>
          <w:tcPr>
            <w:tcW w:w="888" w:type="dxa"/>
            <w:tcBorders>
              <w:top w:val="nil"/>
              <w:left w:val="single" w:sz="4" w:space="0" w:color="auto"/>
              <w:bottom w:val="single" w:sz="4" w:space="0" w:color="auto"/>
              <w:right w:val="nil"/>
            </w:tcBorders>
            <w:shd w:val="clear" w:color="000000" w:fill="FFFFFF"/>
            <w:noWrap/>
            <w:vAlign w:val="bottom"/>
            <w:hideMark/>
          </w:tcPr>
          <w:p w:rsidR="00F50F81" w:rsidRPr="00F50F81" w:rsidP="00F50F81" w14:paraId="33E59ED3" w14:textId="77777777">
            <w:pPr>
              <w:jc w:val="center"/>
              <w:rPr>
                <w:rFonts w:ascii="Calibri" w:hAnsi="Calibri" w:cs="Calibri"/>
                <w:color w:val="000000"/>
                <w:sz w:val="20"/>
              </w:rPr>
            </w:pPr>
            <w:r w:rsidRPr="00F50F81">
              <w:rPr>
                <w:rFonts w:ascii="Calibri" w:hAnsi="Calibri" w:cs="Calibri"/>
                <w:color w:val="000000"/>
                <w:sz w:val="20"/>
              </w:rPr>
              <w:t>18.5</w:t>
            </w:r>
          </w:p>
        </w:tc>
        <w:tc>
          <w:tcPr>
            <w:tcW w:w="810" w:type="dxa"/>
            <w:tcBorders>
              <w:top w:val="nil"/>
              <w:left w:val="single" w:sz="4" w:space="0" w:color="auto"/>
              <w:bottom w:val="single" w:sz="4" w:space="0" w:color="auto"/>
              <w:right w:val="single" w:sz="4" w:space="0" w:color="auto"/>
            </w:tcBorders>
            <w:shd w:val="clear" w:color="000000" w:fill="FFFFFF"/>
            <w:noWrap/>
            <w:vAlign w:val="bottom"/>
          </w:tcPr>
          <w:p w:rsidR="00F50F81" w:rsidRPr="00F50F81" w:rsidP="00F50F81" w14:paraId="0B0AD98D" w14:textId="2AB6A123">
            <w:pPr>
              <w:jc w:val="center"/>
              <w:rPr>
                <w:rFonts w:ascii="Calibri" w:hAnsi="Calibri" w:cs="Calibri"/>
                <w:color w:val="000000"/>
                <w:sz w:val="20"/>
              </w:rPr>
            </w:pPr>
            <w:r>
              <w:rPr>
                <w:rFonts w:ascii="Calibri" w:hAnsi="Calibri" w:cs="Calibri"/>
                <w:color w:val="000000"/>
                <w:sz w:val="20"/>
              </w:rPr>
              <w:t>3,238</w:t>
            </w:r>
          </w:p>
        </w:tc>
      </w:tr>
      <w:tr w14:paraId="2A39BEC7" w14:textId="77777777" w:rsidTr="00DA75F0">
        <w:tblPrEx>
          <w:tblW w:w="9350" w:type="dxa"/>
          <w:tblLook w:val="04A0"/>
        </w:tblPrEx>
        <w:trPr>
          <w:trHeight w:val="258"/>
        </w:trPr>
        <w:tc>
          <w:tcPr>
            <w:tcW w:w="1075" w:type="dxa"/>
            <w:tcBorders>
              <w:top w:val="nil"/>
              <w:left w:val="single" w:sz="4" w:space="0" w:color="auto"/>
              <w:bottom w:val="nil"/>
              <w:right w:val="nil"/>
            </w:tcBorders>
            <w:shd w:val="clear" w:color="000000" w:fill="FFFFFF"/>
            <w:noWrap/>
            <w:vAlign w:val="bottom"/>
            <w:hideMark/>
          </w:tcPr>
          <w:p w:rsidR="00F50F81" w:rsidRPr="00F50F81" w:rsidP="00F50F81" w14:paraId="0F7AF706" w14:textId="77777777">
            <w:pPr>
              <w:rPr>
                <w:rFonts w:ascii="Calibri" w:hAnsi="Calibri" w:cs="Calibri"/>
                <w:color w:val="000000"/>
                <w:sz w:val="20"/>
              </w:rPr>
            </w:pPr>
            <w:r w:rsidRPr="00F50F81">
              <w:rPr>
                <w:rFonts w:ascii="Calibri" w:hAnsi="Calibri" w:cs="Calibri"/>
                <w:color w:val="000000"/>
                <w:sz w:val="20"/>
              </w:rPr>
              <w:t>Year 2</w:t>
            </w:r>
          </w:p>
        </w:tc>
        <w:tc>
          <w:tcPr>
            <w:tcW w:w="1260" w:type="dxa"/>
            <w:tcBorders>
              <w:top w:val="nil"/>
              <w:left w:val="single" w:sz="4" w:space="0" w:color="auto"/>
              <w:bottom w:val="single" w:sz="4" w:space="0" w:color="auto"/>
              <w:right w:val="nil"/>
            </w:tcBorders>
            <w:shd w:val="clear" w:color="000000" w:fill="FFFFFF"/>
            <w:vAlign w:val="bottom"/>
            <w:hideMark/>
          </w:tcPr>
          <w:p w:rsidR="00F50F81" w:rsidRPr="00F50F81" w:rsidP="00F50F81" w14:paraId="7B6356AD" w14:textId="77777777">
            <w:pPr>
              <w:jc w:val="center"/>
              <w:rPr>
                <w:rFonts w:ascii="Calibri" w:hAnsi="Calibri" w:cs="Calibri"/>
                <w:color w:val="000000"/>
                <w:sz w:val="20"/>
              </w:rPr>
            </w:pPr>
            <w:r w:rsidRPr="00F50F81">
              <w:rPr>
                <w:rFonts w:ascii="Calibri" w:hAnsi="Calibri" w:cs="Calibri"/>
                <w:color w:val="000000"/>
                <w:sz w:val="20"/>
              </w:rPr>
              <w:t>n/a</w:t>
            </w:r>
          </w:p>
        </w:tc>
        <w:tc>
          <w:tcPr>
            <w:tcW w:w="1080" w:type="dxa"/>
            <w:tcBorders>
              <w:top w:val="nil"/>
              <w:left w:val="nil"/>
              <w:bottom w:val="nil"/>
              <w:right w:val="nil"/>
            </w:tcBorders>
            <w:shd w:val="clear" w:color="000000" w:fill="FFFFFF"/>
            <w:vAlign w:val="bottom"/>
            <w:hideMark/>
          </w:tcPr>
          <w:p w:rsidR="00F50F81" w:rsidRPr="00F50F81" w:rsidP="00F50F81" w14:paraId="2D011F36" w14:textId="77777777">
            <w:pPr>
              <w:jc w:val="center"/>
              <w:rPr>
                <w:rFonts w:ascii="Calibri" w:hAnsi="Calibri" w:cs="Calibri"/>
                <w:color w:val="000000"/>
                <w:sz w:val="20"/>
              </w:rPr>
            </w:pPr>
            <w:r w:rsidRPr="00F50F81">
              <w:rPr>
                <w:rFonts w:ascii="Calibri" w:hAnsi="Calibri" w:cs="Calibri"/>
                <w:color w:val="000000"/>
                <w:sz w:val="20"/>
              </w:rPr>
              <w:t> </w:t>
            </w:r>
          </w:p>
        </w:tc>
        <w:tc>
          <w:tcPr>
            <w:tcW w:w="1069" w:type="dxa"/>
            <w:tcBorders>
              <w:top w:val="nil"/>
              <w:left w:val="single" w:sz="4" w:space="0" w:color="auto"/>
              <w:bottom w:val="single" w:sz="4" w:space="0" w:color="auto"/>
              <w:right w:val="single" w:sz="4" w:space="0" w:color="auto"/>
            </w:tcBorders>
            <w:shd w:val="clear" w:color="000000" w:fill="FFFFFF"/>
            <w:vAlign w:val="bottom"/>
            <w:hideMark/>
          </w:tcPr>
          <w:p w:rsidR="00F50F81" w:rsidRPr="00F50F81" w:rsidP="00F50F81" w14:paraId="1F1737E8" w14:textId="77777777">
            <w:pPr>
              <w:jc w:val="center"/>
              <w:rPr>
                <w:rFonts w:ascii="Calibri" w:hAnsi="Calibri" w:cs="Calibri"/>
                <w:color w:val="000000"/>
                <w:sz w:val="20"/>
              </w:rPr>
            </w:pPr>
            <w:r w:rsidRPr="00F50F81">
              <w:rPr>
                <w:rFonts w:ascii="Calibri" w:hAnsi="Calibri" w:cs="Calibri"/>
                <w:color w:val="000000"/>
                <w:sz w:val="20"/>
              </w:rPr>
              <w:t>n/a</w:t>
            </w:r>
          </w:p>
        </w:tc>
        <w:tc>
          <w:tcPr>
            <w:tcW w:w="1074" w:type="dxa"/>
            <w:tcBorders>
              <w:top w:val="nil"/>
              <w:left w:val="nil"/>
              <w:bottom w:val="nil"/>
              <w:right w:val="nil"/>
            </w:tcBorders>
            <w:shd w:val="clear" w:color="000000" w:fill="FFFFFF"/>
            <w:vAlign w:val="bottom"/>
            <w:hideMark/>
          </w:tcPr>
          <w:p w:rsidR="00F50F81" w:rsidRPr="00F50F81" w:rsidP="00F50F81" w14:paraId="58C8783A" w14:textId="3B50799B">
            <w:pPr>
              <w:jc w:val="center"/>
              <w:rPr>
                <w:rFonts w:ascii="Calibri" w:hAnsi="Calibri" w:cs="Calibri"/>
                <w:color w:val="000000"/>
                <w:sz w:val="20"/>
              </w:rPr>
            </w:pPr>
            <w:r w:rsidRPr="00F50F81">
              <w:rPr>
                <w:rFonts w:ascii="Calibri" w:hAnsi="Calibri" w:cs="Calibri"/>
                <w:color w:val="000000"/>
                <w:sz w:val="20"/>
              </w:rPr>
              <w:t>1</w:t>
            </w:r>
            <w:r w:rsidR="00DA75F0">
              <w:rPr>
                <w:rFonts w:ascii="Calibri" w:hAnsi="Calibri" w:cs="Calibri"/>
                <w:color w:val="000000"/>
                <w:sz w:val="20"/>
              </w:rPr>
              <w:t>0,500</w:t>
            </w:r>
          </w:p>
        </w:tc>
        <w:tc>
          <w:tcPr>
            <w:tcW w:w="1020" w:type="dxa"/>
            <w:tcBorders>
              <w:top w:val="nil"/>
              <w:left w:val="single" w:sz="4" w:space="0" w:color="auto"/>
              <w:bottom w:val="nil"/>
              <w:right w:val="nil"/>
            </w:tcBorders>
            <w:shd w:val="clear" w:color="000000" w:fill="FFFFFF"/>
            <w:vAlign w:val="bottom"/>
            <w:hideMark/>
          </w:tcPr>
          <w:p w:rsidR="00F50F81" w:rsidRPr="00F50F81" w:rsidP="00F50F81" w14:paraId="1DB924B6" w14:textId="77777777">
            <w:pPr>
              <w:jc w:val="center"/>
              <w:rPr>
                <w:rFonts w:ascii="Calibri" w:hAnsi="Calibri" w:cs="Calibri"/>
                <w:color w:val="000000"/>
                <w:sz w:val="20"/>
              </w:rPr>
            </w:pPr>
            <w:r w:rsidRPr="00F50F81">
              <w:rPr>
                <w:rFonts w:ascii="Calibri" w:hAnsi="Calibri" w:cs="Calibri"/>
                <w:color w:val="000000"/>
                <w:sz w:val="20"/>
              </w:rPr>
              <w:t> </w:t>
            </w:r>
          </w:p>
        </w:tc>
        <w:tc>
          <w:tcPr>
            <w:tcW w:w="1074" w:type="dxa"/>
            <w:tcBorders>
              <w:top w:val="nil"/>
              <w:left w:val="nil"/>
              <w:bottom w:val="nil"/>
              <w:right w:val="nil"/>
            </w:tcBorders>
            <w:shd w:val="clear" w:color="000000" w:fill="FFFFFF"/>
            <w:noWrap/>
            <w:vAlign w:val="bottom"/>
            <w:hideMark/>
          </w:tcPr>
          <w:p w:rsidR="00F50F81" w:rsidRPr="00F50F81" w:rsidP="00F50F81" w14:paraId="62C21336" w14:textId="77777777">
            <w:pPr>
              <w:jc w:val="center"/>
              <w:rPr>
                <w:rFonts w:ascii="Calibri" w:hAnsi="Calibri" w:cs="Calibri"/>
                <w:color w:val="000000"/>
                <w:sz w:val="20"/>
              </w:rPr>
            </w:pPr>
            <w:r w:rsidRPr="00F50F81">
              <w:rPr>
                <w:rFonts w:ascii="Calibri" w:hAnsi="Calibri" w:cs="Calibri"/>
                <w:color w:val="000000"/>
                <w:sz w:val="20"/>
              </w:rPr>
              <w:t> </w:t>
            </w:r>
          </w:p>
        </w:tc>
        <w:tc>
          <w:tcPr>
            <w:tcW w:w="888" w:type="dxa"/>
            <w:tcBorders>
              <w:top w:val="nil"/>
              <w:left w:val="single" w:sz="4" w:space="0" w:color="auto"/>
              <w:bottom w:val="nil"/>
              <w:right w:val="nil"/>
            </w:tcBorders>
            <w:shd w:val="clear" w:color="000000" w:fill="FFFFFF"/>
            <w:noWrap/>
            <w:vAlign w:val="bottom"/>
            <w:hideMark/>
          </w:tcPr>
          <w:p w:rsidR="00F50F81" w:rsidRPr="00F50F81" w:rsidP="00F50F81" w14:paraId="4A67E831" w14:textId="77777777">
            <w:pPr>
              <w:jc w:val="center"/>
              <w:rPr>
                <w:rFonts w:ascii="Calibri" w:hAnsi="Calibri" w:cs="Calibri"/>
                <w:color w:val="000000"/>
                <w:sz w:val="20"/>
              </w:rPr>
            </w:pPr>
            <w:r w:rsidRPr="00F50F81">
              <w:rPr>
                <w:rFonts w:ascii="Calibri" w:hAnsi="Calibri" w:cs="Calibri"/>
                <w:color w:val="000000"/>
                <w:sz w:val="20"/>
              </w:rPr>
              <w:t>18.5</w:t>
            </w:r>
          </w:p>
        </w:tc>
        <w:tc>
          <w:tcPr>
            <w:tcW w:w="810" w:type="dxa"/>
            <w:tcBorders>
              <w:top w:val="nil"/>
              <w:left w:val="single" w:sz="4" w:space="0" w:color="auto"/>
              <w:bottom w:val="nil"/>
              <w:right w:val="single" w:sz="4" w:space="0" w:color="auto"/>
            </w:tcBorders>
            <w:shd w:val="clear" w:color="000000" w:fill="FFFFFF"/>
            <w:noWrap/>
            <w:vAlign w:val="bottom"/>
          </w:tcPr>
          <w:p w:rsidR="00F50F81" w:rsidRPr="00F50F81" w:rsidP="00F50F81" w14:paraId="0F437705" w14:textId="19560A80">
            <w:pPr>
              <w:jc w:val="center"/>
              <w:rPr>
                <w:rFonts w:ascii="Calibri" w:hAnsi="Calibri" w:cs="Calibri"/>
                <w:color w:val="000000"/>
                <w:sz w:val="20"/>
              </w:rPr>
            </w:pPr>
            <w:r>
              <w:rPr>
                <w:rFonts w:ascii="Calibri" w:hAnsi="Calibri" w:cs="Calibri"/>
                <w:color w:val="000000"/>
                <w:sz w:val="20"/>
              </w:rPr>
              <w:t>3,238</w:t>
            </w:r>
          </w:p>
        </w:tc>
      </w:tr>
      <w:tr w14:paraId="45A724B0" w14:textId="77777777" w:rsidTr="00DA75F0">
        <w:tblPrEx>
          <w:tblW w:w="9350" w:type="dxa"/>
          <w:tblLook w:val="04A0"/>
        </w:tblPrEx>
        <w:trPr>
          <w:trHeight w:val="258"/>
        </w:trPr>
        <w:tc>
          <w:tcPr>
            <w:tcW w:w="1075" w:type="dxa"/>
            <w:tcBorders>
              <w:top w:val="single" w:sz="4" w:space="0" w:color="auto"/>
              <w:left w:val="single" w:sz="4" w:space="0" w:color="auto"/>
              <w:bottom w:val="single" w:sz="4" w:space="0" w:color="auto"/>
              <w:right w:val="nil"/>
            </w:tcBorders>
            <w:shd w:val="clear" w:color="000000" w:fill="FFFFFF"/>
            <w:noWrap/>
            <w:vAlign w:val="bottom"/>
            <w:hideMark/>
          </w:tcPr>
          <w:p w:rsidR="00F50F81" w:rsidRPr="00F50F81" w:rsidP="00F50F81" w14:paraId="0458A878" w14:textId="77777777">
            <w:pPr>
              <w:rPr>
                <w:rFonts w:ascii="Calibri" w:hAnsi="Calibri" w:cs="Calibri"/>
                <w:color w:val="000000"/>
                <w:sz w:val="20"/>
              </w:rPr>
            </w:pPr>
            <w:r w:rsidRPr="00F50F81">
              <w:rPr>
                <w:rFonts w:ascii="Calibri" w:hAnsi="Calibri" w:cs="Calibri"/>
                <w:color w:val="000000"/>
                <w:sz w:val="20"/>
              </w:rPr>
              <w:t>Year 3</w:t>
            </w:r>
          </w:p>
        </w:tc>
        <w:tc>
          <w:tcPr>
            <w:tcW w:w="1260" w:type="dxa"/>
            <w:tcBorders>
              <w:top w:val="nil"/>
              <w:left w:val="single" w:sz="4" w:space="0" w:color="auto"/>
              <w:bottom w:val="single" w:sz="4" w:space="0" w:color="auto"/>
              <w:right w:val="nil"/>
            </w:tcBorders>
            <w:shd w:val="clear" w:color="000000" w:fill="FFFFFF"/>
            <w:vAlign w:val="bottom"/>
            <w:hideMark/>
          </w:tcPr>
          <w:p w:rsidR="00F50F81" w:rsidRPr="00F50F81" w:rsidP="00F50F81" w14:paraId="5843C4B5" w14:textId="77777777">
            <w:pPr>
              <w:jc w:val="center"/>
              <w:rPr>
                <w:rFonts w:ascii="Calibri" w:hAnsi="Calibri" w:cs="Calibri"/>
                <w:color w:val="000000"/>
                <w:sz w:val="20"/>
              </w:rPr>
            </w:pPr>
            <w:r w:rsidRPr="00F50F81">
              <w:rPr>
                <w:rFonts w:ascii="Calibri" w:hAnsi="Calibri" w:cs="Calibri"/>
                <w:color w:val="000000"/>
                <w:sz w:val="20"/>
              </w:rPr>
              <w:t>n/a</w:t>
            </w:r>
          </w:p>
        </w:tc>
        <w:tc>
          <w:tcPr>
            <w:tcW w:w="1080" w:type="dxa"/>
            <w:tcBorders>
              <w:top w:val="single" w:sz="4" w:space="0" w:color="auto"/>
              <w:left w:val="nil"/>
              <w:bottom w:val="single" w:sz="4" w:space="0" w:color="auto"/>
              <w:right w:val="nil"/>
            </w:tcBorders>
            <w:shd w:val="clear" w:color="000000" w:fill="FFFFFF"/>
            <w:vAlign w:val="bottom"/>
            <w:hideMark/>
          </w:tcPr>
          <w:p w:rsidR="00F50F81" w:rsidRPr="00F50F81" w:rsidP="00F50F81" w14:paraId="3ADE27AD" w14:textId="77777777">
            <w:pPr>
              <w:jc w:val="center"/>
              <w:rPr>
                <w:rFonts w:ascii="Calibri" w:hAnsi="Calibri" w:cs="Calibri"/>
                <w:color w:val="000000"/>
                <w:sz w:val="20"/>
              </w:rPr>
            </w:pPr>
            <w:r w:rsidRPr="00F50F81">
              <w:rPr>
                <w:rFonts w:ascii="Calibri" w:hAnsi="Calibri" w:cs="Calibri"/>
                <w:color w:val="000000"/>
                <w:sz w:val="20"/>
              </w:rPr>
              <w:t> </w:t>
            </w:r>
          </w:p>
        </w:tc>
        <w:tc>
          <w:tcPr>
            <w:tcW w:w="1069" w:type="dxa"/>
            <w:tcBorders>
              <w:top w:val="nil"/>
              <w:left w:val="single" w:sz="4" w:space="0" w:color="auto"/>
              <w:bottom w:val="single" w:sz="4" w:space="0" w:color="auto"/>
              <w:right w:val="single" w:sz="4" w:space="0" w:color="auto"/>
            </w:tcBorders>
            <w:shd w:val="clear" w:color="000000" w:fill="FFFFFF"/>
            <w:vAlign w:val="bottom"/>
            <w:hideMark/>
          </w:tcPr>
          <w:p w:rsidR="00F50F81" w:rsidRPr="00F50F81" w:rsidP="00F50F81" w14:paraId="77A4DC1B" w14:textId="77777777">
            <w:pPr>
              <w:jc w:val="center"/>
              <w:rPr>
                <w:rFonts w:ascii="Calibri" w:hAnsi="Calibri" w:cs="Calibri"/>
                <w:color w:val="000000"/>
                <w:sz w:val="20"/>
              </w:rPr>
            </w:pPr>
            <w:r w:rsidRPr="00F50F81">
              <w:rPr>
                <w:rFonts w:ascii="Calibri" w:hAnsi="Calibri" w:cs="Calibri"/>
                <w:color w:val="000000"/>
                <w:sz w:val="20"/>
              </w:rPr>
              <w:t>n/a</w:t>
            </w:r>
          </w:p>
        </w:tc>
        <w:tc>
          <w:tcPr>
            <w:tcW w:w="1074" w:type="dxa"/>
            <w:tcBorders>
              <w:top w:val="single" w:sz="4" w:space="0" w:color="auto"/>
              <w:left w:val="nil"/>
              <w:bottom w:val="single" w:sz="4" w:space="0" w:color="auto"/>
              <w:right w:val="nil"/>
            </w:tcBorders>
            <w:shd w:val="clear" w:color="000000" w:fill="FFFFFF"/>
            <w:vAlign w:val="bottom"/>
            <w:hideMark/>
          </w:tcPr>
          <w:p w:rsidR="00F50F81" w:rsidRPr="00F50F81" w:rsidP="00F50F81" w14:paraId="0A9CE3DC" w14:textId="77777777">
            <w:pPr>
              <w:jc w:val="center"/>
              <w:rPr>
                <w:rFonts w:ascii="Calibri" w:hAnsi="Calibri" w:cs="Calibri"/>
                <w:color w:val="000000"/>
                <w:sz w:val="20"/>
              </w:rPr>
            </w:pPr>
            <w:r w:rsidRPr="00F50F81">
              <w:rPr>
                <w:rFonts w:ascii="Calibri" w:hAnsi="Calibri" w:cs="Calibri"/>
                <w:color w:val="000000"/>
                <w:sz w:val="20"/>
              </w:rPr>
              <w:t> </w:t>
            </w:r>
          </w:p>
        </w:tc>
        <w:tc>
          <w:tcPr>
            <w:tcW w:w="1020" w:type="dxa"/>
            <w:tcBorders>
              <w:top w:val="single" w:sz="4" w:space="0" w:color="auto"/>
              <w:left w:val="single" w:sz="4" w:space="0" w:color="auto"/>
              <w:bottom w:val="single" w:sz="4" w:space="0" w:color="auto"/>
              <w:right w:val="nil"/>
            </w:tcBorders>
            <w:shd w:val="clear" w:color="000000" w:fill="FFFFFF"/>
            <w:vAlign w:val="bottom"/>
            <w:hideMark/>
          </w:tcPr>
          <w:p w:rsidR="00F50F81" w:rsidRPr="00F50F81" w:rsidP="00F50F81" w14:paraId="3FDE1FB3" w14:textId="77777777">
            <w:pPr>
              <w:jc w:val="center"/>
              <w:rPr>
                <w:rFonts w:ascii="Calibri" w:hAnsi="Calibri" w:cs="Calibri"/>
                <w:color w:val="000000"/>
                <w:sz w:val="20"/>
              </w:rPr>
            </w:pPr>
            <w:r w:rsidRPr="00F50F81">
              <w:rPr>
                <w:rFonts w:ascii="Calibri" w:hAnsi="Calibri" w:cs="Calibri"/>
                <w:color w:val="000000"/>
                <w:sz w:val="20"/>
              </w:rPr>
              <w:t>n/a</w:t>
            </w:r>
          </w:p>
        </w:tc>
        <w:tc>
          <w:tcPr>
            <w:tcW w:w="1074" w:type="dxa"/>
            <w:tcBorders>
              <w:top w:val="single" w:sz="4" w:space="0" w:color="auto"/>
              <w:left w:val="nil"/>
              <w:bottom w:val="single" w:sz="4" w:space="0" w:color="auto"/>
              <w:right w:val="nil"/>
            </w:tcBorders>
            <w:shd w:val="clear" w:color="000000" w:fill="FFFFFF"/>
            <w:noWrap/>
            <w:vAlign w:val="bottom"/>
            <w:hideMark/>
          </w:tcPr>
          <w:p w:rsidR="00F50F81" w:rsidRPr="00F50F81" w:rsidP="00F50F81" w14:paraId="4772F962" w14:textId="14DD8627">
            <w:pPr>
              <w:jc w:val="center"/>
              <w:rPr>
                <w:rFonts w:ascii="Calibri" w:hAnsi="Calibri" w:cs="Calibri"/>
                <w:color w:val="000000"/>
                <w:sz w:val="20"/>
              </w:rPr>
            </w:pPr>
            <w:r w:rsidRPr="00F50F81">
              <w:rPr>
                <w:rFonts w:ascii="Calibri" w:hAnsi="Calibri" w:cs="Calibri"/>
                <w:color w:val="000000"/>
                <w:sz w:val="20"/>
              </w:rPr>
              <w:t>1</w:t>
            </w:r>
            <w:r w:rsidR="00DA75F0">
              <w:rPr>
                <w:rFonts w:ascii="Calibri" w:hAnsi="Calibri" w:cs="Calibri"/>
                <w:color w:val="000000"/>
                <w:sz w:val="20"/>
              </w:rPr>
              <w:t>0,5</w:t>
            </w:r>
            <w:r w:rsidRPr="00F50F81">
              <w:rPr>
                <w:rFonts w:ascii="Calibri" w:hAnsi="Calibri" w:cs="Calibri"/>
                <w:color w:val="000000"/>
                <w:sz w:val="20"/>
              </w:rPr>
              <w:t>00</w:t>
            </w:r>
          </w:p>
        </w:tc>
        <w:tc>
          <w:tcPr>
            <w:tcW w:w="888" w:type="dxa"/>
            <w:tcBorders>
              <w:top w:val="single" w:sz="4" w:space="0" w:color="auto"/>
              <w:left w:val="single" w:sz="4" w:space="0" w:color="auto"/>
              <w:bottom w:val="single" w:sz="4" w:space="0" w:color="auto"/>
              <w:right w:val="nil"/>
            </w:tcBorders>
            <w:shd w:val="clear" w:color="000000" w:fill="FFFFFF"/>
            <w:noWrap/>
            <w:vAlign w:val="bottom"/>
            <w:hideMark/>
          </w:tcPr>
          <w:p w:rsidR="00F50F81" w:rsidRPr="00F50F81" w:rsidP="00F50F81" w14:paraId="20D5F8E6" w14:textId="77777777">
            <w:pPr>
              <w:jc w:val="center"/>
              <w:rPr>
                <w:rFonts w:ascii="Calibri" w:hAnsi="Calibri" w:cs="Calibri"/>
                <w:color w:val="000000"/>
                <w:sz w:val="20"/>
              </w:rPr>
            </w:pPr>
            <w:r w:rsidRPr="00F50F81">
              <w:rPr>
                <w:rFonts w:ascii="Calibri" w:hAnsi="Calibri" w:cs="Calibri"/>
                <w:color w:val="000000"/>
                <w:sz w:val="20"/>
              </w:rPr>
              <w:t>18.5</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F50F81" w:rsidRPr="00F50F81" w:rsidP="00F50F81" w14:paraId="4BBA504B" w14:textId="11703BBF">
            <w:pPr>
              <w:jc w:val="center"/>
              <w:rPr>
                <w:rFonts w:ascii="Calibri" w:hAnsi="Calibri" w:cs="Calibri"/>
                <w:color w:val="000000"/>
                <w:sz w:val="20"/>
              </w:rPr>
            </w:pPr>
            <w:r>
              <w:rPr>
                <w:rFonts w:ascii="Calibri" w:hAnsi="Calibri" w:cs="Calibri"/>
                <w:color w:val="000000"/>
                <w:sz w:val="20"/>
              </w:rPr>
              <w:t>3,238</w:t>
            </w:r>
          </w:p>
        </w:tc>
      </w:tr>
      <w:tr w14:paraId="7A2E2FBA" w14:textId="77777777" w:rsidTr="00DA75F0">
        <w:tblPrEx>
          <w:tblW w:w="9350" w:type="dxa"/>
          <w:tblLook w:val="04A0"/>
        </w:tblPrEx>
        <w:trPr>
          <w:trHeight w:val="258"/>
        </w:trPr>
        <w:tc>
          <w:tcPr>
            <w:tcW w:w="1075" w:type="dxa"/>
            <w:tcBorders>
              <w:top w:val="nil"/>
              <w:left w:val="single" w:sz="4" w:space="0" w:color="auto"/>
              <w:bottom w:val="single" w:sz="4" w:space="0" w:color="auto"/>
              <w:right w:val="nil"/>
            </w:tcBorders>
            <w:shd w:val="clear" w:color="000000" w:fill="FFFFFF"/>
            <w:noWrap/>
            <w:vAlign w:val="bottom"/>
            <w:hideMark/>
          </w:tcPr>
          <w:p w:rsidR="00F50F81" w:rsidRPr="00F50F81" w:rsidP="00F50F81" w14:paraId="38374CCE" w14:textId="77777777">
            <w:pPr>
              <w:rPr>
                <w:rFonts w:ascii="Calibri" w:hAnsi="Calibri" w:cs="Calibri"/>
                <w:color w:val="000000"/>
                <w:sz w:val="20"/>
              </w:rPr>
            </w:pPr>
            <w:r w:rsidRPr="00F50F81">
              <w:rPr>
                <w:rFonts w:ascii="Calibri" w:hAnsi="Calibri" w:cs="Calibri"/>
                <w:color w:val="000000"/>
                <w:sz w:val="20"/>
              </w:rPr>
              <w:t> </w:t>
            </w:r>
          </w:p>
        </w:tc>
        <w:tc>
          <w:tcPr>
            <w:tcW w:w="1260" w:type="dxa"/>
            <w:tcBorders>
              <w:top w:val="nil"/>
              <w:left w:val="nil"/>
              <w:bottom w:val="single" w:sz="4" w:space="0" w:color="auto"/>
              <w:right w:val="nil"/>
            </w:tcBorders>
            <w:shd w:val="clear" w:color="000000" w:fill="FFFFFF"/>
            <w:vAlign w:val="bottom"/>
            <w:hideMark/>
          </w:tcPr>
          <w:p w:rsidR="00F50F81" w:rsidRPr="00F50F81" w:rsidP="00F50F81" w14:paraId="3C8A3EA6" w14:textId="77777777">
            <w:pPr>
              <w:jc w:val="center"/>
              <w:rPr>
                <w:rFonts w:ascii="Calibri" w:hAnsi="Calibri" w:cs="Calibri"/>
                <w:color w:val="000000"/>
                <w:sz w:val="20"/>
              </w:rPr>
            </w:pPr>
            <w:r w:rsidRPr="00F50F81">
              <w:rPr>
                <w:rFonts w:ascii="Calibri" w:hAnsi="Calibri" w:cs="Calibri"/>
                <w:color w:val="000000"/>
                <w:sz w:val="20"/>
              </w:rPr>
              <w:t> </w:t>
            </w:r>
          </w:p>
        </w:tc>
        <w:tc>
          <w:tcPr>
            <w:tcW w:w="1080" w:type="dxa"/>
            <w:tcBorders>
              <w:top w:val="nil"/>
              <w:left w:val="nil"/>
              <w:bottom w:val="single" w:sz="4" w:space="0" w:color="auto"/>
              <w:right w:val="nil"/>
            </w:tcBorders>
            <w:shd w:val="clear" w:color="000000" w:fill="FFFFFF"/>
            <w:vAlign w:val="bottom"/>
            <w:hideMark/>
          </w:tcPr>
          <w:p w:rsidR="00F50F81" w:rsidRPr="00F50F81" w:rsidP="00F50F81" w14:paraId="1E92288B" w14:textId="77777777">
            <w:pPr>
              <w:jc w:val="center"/>
              <w:rPr>
                <w:rFonts w:ascii="Calibri" w:hAnsi="Calibri" w:cs="Calibri"/>
                <w:color w:val="000000"/>
                <w:sz w:val="20"/>
              </w:rPr>
            </w:pPr>
            <w:r w:rsidRPr="00F50F81">
              <w:rPr>
                <w:rFonts w:ascii="Calibri" w:hAnsi="Calibri" w:cs="Calibri"/>
                <w:color w:val="000000"/>
                <w:sz w:val="20"/>
              </w:rPr>
              <w:t> </w:t>
            </w:r>
          </w:p>
        </w:tc>
        <w:tc>
          <w:tcPr>
            <w:tcW w:w="1069" w:type="dxa"/>
            <w:tcBorders>
              <w:top w:val="nil"/>
              <w:left w:val="nil"/>
              <w:bottom w:val="single" w:sz="4" w:space="0" w:color="auto"/>
              <w:right w:val="nil"/>
            </w:tcBorders>
            <w:shd w:val="clear" w:color="000000" w:fill="FFFFFF"/>
            <w:vAlign w:val="bottom"/>
            <w:hideMark/>
          </w:tcPr>
          <w:p w:rsidR="00F50F81" w:rsidRPr="00F50F81" w:rsidP="00F50F81" w14:paraId="682A25D9" w14:textId="77777777">
            <w:pPr>
              <w:jc w:val="center"/>
              <w:rPr>
                <w:rFonts w:ascii="Calibri" w:hAnsi="Calibri" w:cs="Calibri"/>
                <w:color w:val="000000"/>
                <w:sz w:val="20"/>
              </w:rPr>
            </w:pPr>
            <w:r w:rsidRPr="00F50F81">
              <w:rPr>
                <w:rFonts w:ascii="Calibri" w:hAnsi="Calibri" w:cs="Calibri"/>
                <w:color w:val="000000"/>
                <w:sz w:val="20"/>
              </w:rPr>
              <w:t> </w:t>
            </w:r>
          </w:p>
        </w:tc>
        <w:tc>
          <w:tcPr>
            <w:tcW w:w="1074" w:type="dxa"/>
            <w:tcBorders>
              <w:top w:val="nil"/>
              <w:left w:val="nil"/>
              <w:bottom w:val="single" w:sz="4" w:space="0" w:color="auto"/>
              <w:right w:val="nil"/>
            </w:tcBorders>
            <w:shd w:val="clear" w:color="000000" w:fill="FFFFFF"/>
            <w:vAlign w:val="bottom"/>
            <w:hideMark/>
          </w:tcPr>
          <w:p w:rsidR="00F50F81" w:rsidRPr="00F50F81" w:rsidP="00F50F81" w14:paraId="33FAEF5E" w14:textId="77777777">
            <w:pPr>
              <w:jc w:val="center"/>
              <w:rPr>
                <w:rFonts w:ascii="Calibri" w:hAnsi="Calibri" w:cs="Calibri"/>
                <w:color w:val="000000"/>
                <w:sz w:val="20"/>
              </w:rPr>
            </w:pPr>
            <w:r w:rsidRPr="00F50F81">
              <w:rPr>
                <w:rFonts w:ascii="Calibri" w:hAnsi="Calibri" w:cs="Calibri"/>
                <w:color w:val="000000"/>
                <w:sz w:val="20"/>
              </w:rPr>
              <w:t> </w:t>
            </w:r>
          </w:p>
        </w:tc>
        <w:tc>
          <w:tcPr>
            <w:tcW w:w="2982" w:type="dxa"/>
            <w:gridSpan w:val="3"/>
            <w:tcBorders>
              <w:top w:val="single" w:sz="4" w:space="0" w:color="auto"/>
              <w:left w:val="nil"/>
              <w:bottom w:val="single" w:sz="4" w:space="0" w:color="auto"/>
              <w:right w:val="nil"/>
            </w:tcBorders>
            <w:shd w:val="clear" w:color="000000" w:fill="FFFFFF"/>
            <w:noWrap/>
            <w:vAlign w:val="bottom"/>
            <w:hideMark/>
          </w:tcPr>
          <w:p w:rsidR="00F50F81" w:rsidRPr="00F50F81" w:rsidP="00F50F81" w14:paraId="3CBDB474" w14:textId="77777777">
            <w:pPr>
              <w:jc w:val="right"/>
              <w:rPr>
                <w:rFonts w:ascii="Calibri" w:hAnsi="Calibri" w:cs="Calibri"/>
                <w:b/>
                <w:bCs/>
                <w:color w:val="000000"/>
                <w:sz w:val="20"/>
              </w:rPr>
            </w:pPr>
            <w:r w:rsidRPr="00F50F81">
              <w:rPr>
                <w:rFonts w:ascii="Calibri" w:hAnsi="Calibri" w:cs="Calibri"/>
                <w:b/>
                <w:bCs/>
                <w:color w:val="000000"/>
                <w:sz w:val="20"/>
              </w:rPr>
              <w:t>Average Annual Burden</w:t>
            </w:r>
          </w:p>
        </w:tc>
        <w:tc>
          <w:tcPr>
            <w:tcW w:w="810" w:type="dxa"/>
            <w:tcBorders>
              <w:top w:val="nil"/>
              <w:left w:val="nil"/>
              <w:bottom w:val="single" w:sz="4" w:space="0" w:color="auto"/>
              <w:right w:val="single" w:sz="4" w:space="0" w:color="auto"/>
            </w:tcBorders>
            <w:shd w:val="clear" w:color="000000" w:fill="FFFFFF"/>
            <w:noWrap/>
            <w:vAlign w:val="bottom"/>
          </w:tcPr>
          <w:p w:rsidR="00F50F81" w:rsidRPr="00DA75F0" w:rsidP="00F50F81" w14:paraId="54C08EAC" w14:textId="19B0BCFF">
            <w:pPr>
              <w:jc w:val="center"/>
              <w:rPr>
                <w:rFonts w:ascii="Calibri" w:hAnsi="Calibri" w:cs="Calibri"/>
                <w:b/>
                <w:bCs/>
                <w:color w:val="000000"/>
                <w:sz w:val="20"/>
              </w:rPr>
            </w:pPr>
            <w:r w:rsidRPr="00D57048">
              <w:rPr>
                <w:rFonts w:ascii="Calibri" w:hAnsi="Calibri" w:cs="Calibri"/>
                <w:b/>
                <w:bCs/>
                <w:color w:val="000000"/>
                <w:sz w:val="20"/>
              </w:rPr>
              <w:t>3,238</w:t>
            </w:r>
          </w:p>
        </w:tc>
      </w:tr>
      <w:tr w14:paraId="20F114D1" w14:textId="77777777" w:rsidTr="00D17658">
        <w:tblPrEx>
          <w:tblW w:w="9350" w:type="dxa"/>
          <w:tblLook w:val="04A0"/>
        </w:tblPrEx>
        <w:trPr>
          <w:trHeight w:val="258"/>
        </w:trPr>
        <w:tc>
          <w:tcPr>
            <w:tcW w:w="9350" w:type="dxa"/>
            <w:gridSpan w:val="9"/>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50F81" w:rsidRPr="00F50F81" w:rsidP="00F50F81" w14:paraId="58E9EB34" w14:textId="77777777">
            <w:pPr>
              <w:jc w:val="center"/>
              <w:rPr>
                <w:rFonts w:ascii="Calibri" w:hAnsi="Calibri" w:cs="Calibri"/>
                <w:b/>
                <w:bCs/>
                <w:color w:val="000000"/>
                <w:sz w:val="20"/>
              </w:rPr>
            </w:pPr>
            <w:r w:rsidRPr="00F50F81">
              <w:rPr>
                <w:rFonts w:ascii="Calibri" w:hAnsi="Calibri" w:cs="Calibri"/>
                <w:b/>
                <w:bCs/>
                <w:color w:val="000000"/>
                <w:sz w:val="20"/>
              </w:rPr>
              <w:t>Longitudinal Survey</w:t>
            </w:r>
          </w:p>
        </w:tc>
      </w:tr>
      <w:tr w14:paraId="5882D380" w14:textId="77777777" w:rsidTr="00D17658">
        <w:tblPrEx>
          <w:tblW w:w="9350" w:type="dxa"/>
          <w:tblLook w:val="04A0"/>
        </w:tblPrEx>
        <w:trPr>
          <w:trHeight w:val="258"/>
        </w:trPr>
        <w:tc>
          <w:tcPr>
            <w:tcW w:w="1075" w:type="dxa"/>
            <w:tcBorders>
              <w:top w:val="nil"/>
              <w:left w:val="single" w:sz="4" w:space="0" w:color="auto"/>
              <w:bottom w:val="nil"/>
              <w:right w:val="nil"/>
            </w:tcBorders>
            <w:shd w:val="clear" w:color="000000" w:fill="FFFFFF"/>
            <w:noWrap/>
            <w:vAlign w:val="bottom"/>
            <w:hideMark/>
          </w:tcPr>
          <w:p w:rsidR="00F50F81" w:rsidRPr="00F50F81" w:rsidP="00F50F81" w14:paraId="5BB8511E" w14:textId="77777777">
            <w:pPr>
              <w:rPr>
                <w:rFonts w:ascii="Calibri" w:hAnsi="Calibri" w:cs="Calibri"/>
                <w:color w:val="000000"/>
                <w:sz w:val="20"/>
              </w:rPr>
            </w:pPr>
            <w:r w:rsidRPr="00F50F81">
              <w:rPr>
                <w:rFonts w:ascii="Calibri" w:hAnsi="Calibri" w:cs="Calibri"/>
                <w:color w:val="000000"/>
                <w:sz w:val="20"/>
              </w:rPr>
              <w:t> </w:t>
            </w:r>
          </w:p>
        </w:tc>
        <w:tc>
          <w:tcPr>
            <w:tcW w:w="2340" w:type="dxa"/>
            <w:gridSpan w:val="2"/>
            <w:tcBorders>
              <w:top w:val="single" w:sz="4" w:space="0" w:color="auto"/>
              <w:left w:val="single" w:sz="4" w:space="0" w:color="auto"/>
              <w:bottom w:val="single" w:sz="4" w:space="0" w:color="auto"/>
              <w:right w:val="nil"/>
            </w:tcBorders>
            <w:shd w:val="clear" w:color="000000" w:fill="FFFFFF"/>
            <w:vAlign w:val="bottom"/>
            <w:hideMark/>
          </w:tcPr>
          <w:p w:rsidR="00F50F81" w:rsidRPr="00F50F81" w:rsidP="00F50F81" w14:paraId="490CD8C5" w14:textId="2C4F355D">
            <w:pPr>
              <w:jc w:val="center"/>
              <w:rPr>
                <w:rFonts w:ascii="Calibri" w:hAnsi="Calibri" w:cs="Calibri"/>
                <w:color w:val="000000"/>
                <w:sz w:val="20"/>
              </w:rPr>
            </w:pPr>
            <w:r w:rsidRPr="00F50F81">
              <w:rPr>
                <w:rFonts w:ascii="Calibri" w:hAnsi="Calibri" w:cs="Calibri"/>
                <w:color w:val="000000"/>
                <w:sz w:val="20"/>
              </w:rPr>
              <w:t>Cohorts 1-</w:t>
            </w:r>
            <w:r w:rsidR="00A11E9C">
              <w:rPr>
                <w:rFonts w:ascii="Calibri" w:hAnsi="Calibri" w:cs="Calibri"/>
                <w:color w:val="000000"/>
                <w:sz w:val="20"/>
              </w:rPr>
              <w:t>19</w:t>
            </w:r>
          </w:p>
        </w:tc>
        <w:tc>
          <w:tcPr>
            <w:tcW w:w="2143" w:type="dxa"/>
            <w:gridSpan w:val="2"/>
            <w:tcBorders>
              <w:top w:val="single" w:sz="4" w:space="0" w:color="auto"/>
              <w:left w:val="single" w:sz="4" w:space="0" w:color="auto"/>
              <w:bottom w:val="single" w:sz="4" w:space="0" w:color="auto"/>
              <w:right w:val="nil"/>
            </w:tcBorders>
            <w:shd w:val="clear" w:color="000000" w:fill="FFFFFF"/>
            <w:vAlign w:val="bottom"/>
            <w:hideMark/>
          </w:tcPr>
          <w:p w:rsidR="00F50F81" w:rsidRPr="00F50F81" w:rsidP="00F50F81" w14:paraId="0CE4D47D" w14:textId="75BF097F">
            <w:pPr>
              <w:jc w:val="center"/>
              <w:rPr>
                <w:rFonts w:ascii="Calibri" w:hAnsi="Calibri" w:cs="Calibri"/>
                <w:color w:val="000000"/>
                <w:sz w:val="20"/>
              </w:rPr>
            </w:pPr>
            <w:r w:rsidRPr="00F50F81">
              <w:rPr>
                <w:rFonts w:ascii="Calibri" w:hAnsi="Calibri" w:cs="Calibri"/>
                <w:color w:val="000000"/>
                <w:sz w:val="20"/>
              </w:rPr>
              <w:t>Cohort</w:t>
            </w:r>
            <w:r w:rsidR="00A11E9C">
              <w:rPr>
                <w:rFonts w:ascii="Calibri" w:hAnsi="Calibri" w:cs="Calibri"/>
                <w:color w:val="000000"/>
                <w:sz w:val="20"/>
              </w:rPr>
              <w:t xml:space="preserve"> 22</w:t>
            </w:r>
          </w:p>
        </w:tc>
        <w:tc>
          <w:tcPr>
            <w:tcW w:w="2094"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F50F81" w:rsidRPr="00F50F81" w:rsidP="00F50F81" w14:paraId="41B8677F" w14:textId="3CDC4FBD">
            <w:pPr>
              <w:jc w:val="center"/>
              <w:rPr>
                <w:rFonts w:ascii="Calibri" w:hAnsi="Calibri" w:cs="Calibri"/>
                <w:color w:val="000000"/>
                <w:sz w:val="20"/>
              </w:rPr>
            </w:pPr>
            <w:r w:rsidRPr="00F50F81">
              <w:rPr>
                <w:rFonts w:ascii="Calibri" w:hAnsi="Calibri" w:cs="Calibri"/>
                <w:color w:val="000000"/>
                <w:sz w:val="20"/>
              </w:rPr>
              <w:t xml:space="preserve">Cohort </w:t>
            </w:r>
            <w:r w:rsidR="00A11E9C">
              <w:rPr>
                <w:rFonts w:ascii="Calibri" w:hAnsi="Calibri" w:cs="Calibri"/>
                <w:color w:val="000000"/>
                <w:sz w:val="20"/>
              </w:rPr>
              <w:t>25</w:t>
            </w:r>
          </w:p>
        </w:tc>
        <w:tc>
          <w:tcPr>
            <w:tcW w:w="888" w:type="dxa"/>
            <w:vMerge w:val="restart"/>
            <w:tcBorders>
              <w:top w:val="nil"/>
              <w:left w:val="single" w:sz="4" w:space="0" w:color="auto"/>
              <w:bottom w:val="single" w:sz="4" w:space="0" w:color="000000"/>
              <w:right w:val="nil"/>
            </w:tcBorders>
            <w:shd w:val="clear" w:color="000000" w:fill="FFFFFF"/>
            <w:vAlign w:val="bottom"/>
            <w:hideMark/>
          </w:tcPr>
          <w:p w:rsidR="00F50F81" w:rsidRPr="00F50F81" w:rsidP="00F50F81" w14:paraId="5A6753CB" w14:textId="77777777">
            <w:pPr>
              <w:jc w:val="center"/>
              <w:rPr>
                <w:rFonts w:ascii="Calibri" w:hAnsi="Calibri" w:cs="Calibri"/>
                <w:color w:val="000000"/>
                <w:sz w:val="20"/>
              </w:rPr>
            </w:pPr>
            <w:r w:rsidRPr="00F50F81">
              <w:rPr>
                <w:rFonts w:ascii="Calibri" w:hAnsi="Calibri" w:cs="Calibri"/>
                <w:color w:val="000000"/>
                <w:sz w:val="20"/>
              </w:rPr>
              <w:t>Minutes</w:t>
            </w:r>
          </w:p>
        </w:tc>
        <w:tc>
          <w:tcPr>
            <w:tcW w:w="810" w:type="dxa"/>
            <w:vMerge w:val="restart"/>
            <w:tcBorders>
              <w:top w:val="nil"/>
              <w:left w:val="single" w:sz="4" w:space="0" w:color="auto"/>
              <w:bottom w:val="single" w:sz="4" w:space="0" w:color="000000"/>
              <w:right w:val="single" w:sz="4" w:space="0" w:color="auto"/>
            </w:tcBorders>
            <w:shd w:val="clear" w:color="000000" w:fill="FFFFFF"/>
            <w:vAlign w:val="bottom"/>
            <w:hideMark/>
          </w:tcPr>
          <w:p w:rsidR="00F50F81" w:rsidRPr="00F50F81" w:rsidP="00F50F81" w14:paraId="490678B9" w14:textId="77777777">
            <w:pPr>
              <w:jc w:val="center"/>
              <w:rPr>
                <w:rFonts w:ascii="Calibri" w:hAnsi="Calibri" w:cs="Calibri"/>
                <w:color w:val="000000"/>
                <w:sz w:val="20"/>
              </w:rPr>
            </w:pPr>
            <w:r w:rsidRPr="00F50F81">
              <w:rPr>
                <w:rFonts w:ascii="Calibri" w:hAnsi="Calibri" w:cs="Calibri"/>
                <w:color w:val="000000"/>
                <w:sz w:val="20"/>
              </w:rPr>
              <w:t>Hourly Burden</w:t>
            </w:r>
          </w:p>
        </w:tc>
      </w:tr>
      <w:tr w14:paraId="66271CED" w14:textId="77777777" w:rsidTr="00F50F81">
        <w:tblPrEx>
          <w:tblW w:w="9350" w:type="dxa"/>
          <w:tblLook w:val="04A0"/>
        </w:tblPrEx>
        <w:trPr>
          <w:trHeight w:val="516"/>
        </w:trPr>
        <w:tc>
          <w:tcPr>
            <w:tcW w:w="1075" w:type="dxa"/>
            <w:tcBorders>
              <w:top w:val="nil"/>
              <w:left w:val="single" w:sz="4" w:space="0" w:color="auto"/>
              <w:bottom w:val="single" w:sz="4" w:space="0" w:color="auto"/>
              <w:right w:val="single" w:sz="4" w:space="0" w:color="auto"/>
            </w:tcBorders>
            <w:shd w:val="clear" w:color="000000" w:fill="FFFFFF"/>
            <w:noWrap/>
            <w:vAlign w:val="bottom"/>
            <w:hideMark/>
          </w:tcPr>
          <w:p w:rsidR="00F50F81" w:rsidRPr="00F50F81" w:rsidP="00F50F81" w14:paraId="24838EF0" w14:textId="77777777">
            <w:pPr>
              <w:rPr>
                <w:rFonts w:ascii="Calibri" w:hAnsi="Calibri" w:cs="Calibri"/>
                <w:color w:val="000000"/>
                <w:sz w:val="20"/>
              </w:rPr>
            </w:pPr>
            <w:r w:rsidRPr="00F50F81">
              <w:rPr>
                <w:rFonts w:ascii="Calibri" w:hAnsi="Calibri" w:cs="Calibri"/>
                <w:color w:val="000000"/>
                <w:sz w:val="20"/>
              </w:rPr>
              <w:t> </w:t>
            </w:r>
          </w:p>
        </w:tc>
        <w:tc>
          <w:tcPr>
            <w:tcW w:w="1260" w:type="dxa"/>
            <w:tcBorders>
              <w:top w:val="nil"/>
              <w:left w:val="nil"/>
              <w:bottom w:val="single" w:sz="4" w:space="0" w:color="auto"/>
              <w:right w:val="nil"/>
            </w:tcBorders>
            <w:shd w:val="clear" w:color="000000" w:fill="FFFFFF"/>
            <w:vAlign w:val="bottom"/>
            <w:hideMark/>
          </w:tcPr>
          <w:p w:rsidR="00F50F81" w:rsidRPr="00F50F81" w:rsidP="00F50F81" w14:paraId="660F4B60" w14:textId="77777777">
            <w:pPr>
              <w:rPr>
                <w:rFonts w:ascii="Calibri" w:hAnsi="Calibri" w:cs="Calibri"/>
                <w:color w:val="000000"/>
                <w:sz w:val="20"/>
              </w:rPr>
            </w:pPr>
            <w:r w:rsidRPr="00F50F81">
              <w:rPr>
                <w:rFonts w:ascii="Calibri" w:hAnsi="Calibri" w:cs="Calibri"/>
                <w:color w:val="000000"/>
                <w:sz w:val="20"/>
              </w:rPr>
              <w:t>Retention Rate*</w:t>
            </w:r>
          </w:p>
        </w:tc>
        <w:tc>
          <w:tcPr>
            <w:tcW w:w="1080" w:type="dxa"/>
            <w:tcBorders>
              <w:top w:val="nil"/>
              <w:left w:val="nil"/>
              <w:bottom w:val="single" w:sz="4" w:space="0" w:color="auto"/>
              <w:right w:val="nil"/>
            </w:tcBorders>
            <w:shd w:val="clear" w:color="000000" w:fill="FFFFFF"/>
            <w:vAlign w:val="bottom"/>
            <w:hideMark/>
          </w:tcPr>
          <w:p w:rsidR="00F50F81" w:rsidRPr="00F50F81" w:rsidP="00F50F81" w14:paraId="73CB98EF" w14:textId="77777777">
            <w:pPr>
              <w:rPr>
                <w:rFonts w:ascii="Calibri" w:hAnsi="Calibri" w:cs="Calibri"/>
                <w:color w:val="000000"/>
                <w:sz w:val="20"/>
              </w:rPr>
            </w:pPr>
            <w:r w:rsidRPr="00F50F81">
              <w:rPr>
                <w:rFonts w:ascii="Calibri" w:hAnsi="Calibri" w:cs="Calibri"/>
                <w:color w:val="000000"/>
                <w:sz w:val="20"/>
              </w:rPr>
              <w:t>Responses</w:t>
            </w:r>
          </w:p>
        </w:tc>
        <w:tc>
          <w:tcPr>
            <w:tcW w:w="1069" w:type="dxa"/>
            <w:tcBorders>
              <w:top w:val="nil"/>
              <w:left w:val="single" w:sz="4" w:space="0" w:color="auto"/>
              <w:bottom w:val="single" w:sz="4" w:space="0" w:color="auto"/>
              <w:right w:val="nil"/>
            </w:tcBorders>
            <w:shd w:val="clear" w:color="000000" w:fill="FFFFFF"/>
            <w:vAlign w:val="bottom"/>
            <w:hideMark/>
          </w:tcPr>
          <w:p w:rsidR="00F50F81" w:rsidRPr="00F50F81" w:rsidP="00F50F81" w14:paraId="64B6FAB7" w14:textId="77777777">
            <w:pPr>
              <w:rPr>
                <w:rFonts w:ascii="Calibri" w:hAnsi="Calibri" w:cs="Calibri"/>
                <w:color w:val="000000"/>
                <w:sz w:val="20"/>
              </w:rPr>
            </w:pPr>
            <w:r w:rsidRPr="00F50F81">
              <w:rPr>
                <w:rFonts w:ascii="Calibri" w:hAnsi="Calibri" w:cs="Calibri"/>
                <w:color w:val="000000"/>
                <w:sz w:val="20"/>
              </w:rPr>
              <w:t>Retention Rate*</w:t>
            </w:r>
          </w:p>
        </w:tc>
        <w:tc>
          <w:tcPr>
            <w:tcW w:w="1074" w:type="dxa"/>
            <w:tcBorders>
              <w:top w:val="nil"/>
              <w:left w:val="nil"/>
              <w:bottom w:val="single" w:sz="4" w:space="0" w:color="auto"/>
              <w:right w:val="nil"/>
            </w:tcBorders>
            <w:shd w:val="clear" w:color="000000" w:fill="FFFFFF"/>
            <w:vAlign w:val="bottom"/>
            <w:hideMark/>
          </w:tcPr>
          <w:p w:rsidR="00F50F81" w:rsidRPr="00F50F81" w:rsidP="00F50F81" w14:paraId="5ABD1BEA" w14:textId="77777777">
            <w:pPr>
              <w:rPr>
                <w:rFonts w:ascii="Calibri" w:hAnsi="Calibri" w:cs="Calibri"/>
                <w:color w:val="000000"/>
                <w:sz w:val="20"/>
              </w:rPr>
            </w:pPr>
            <w:r w:rsidRPr="00F50F81">
              <w:rPr>
                <w:rFonts w:ascii="Calibri" w:hAnsi="Calibri" w:cs="Calibri"/>
                <w:color w:val="000000"/>
                <w:sz w:val="20"/>
              </w:rPr>
              <w:t>Responses</w:t>
            </w:r>
          </w:p>
        </w:tc>
        <w:tc>
          <w:tcPr>
            <w:tcW w:w="1020" w:type="dxa"/>
            <w:tcBorders>
              <w:top w:val="nil"/>
              <w:left w:val="single" w:sz="4" w:space="0" w:color="auto"/>
              <w:bottom w:val="single" w:sz="4" w:space="0" w:color="auto"/>
              <w:right w:val="nil"/>
            </w:tcBorders>
            <w:shd w:val="clear" w:color="000000" w:fill="FFFFFF"/>
            <w:vAlign w:val="bottom"/>
            <w:hideMark/>
          </w:tcPr>
          <w:p w:rsidR="00F50F81" w:rsidRPr="00F50F81" w:rsidP="00F50F81" w14:paraId="23E4CD41" w14:textId="77777777">
            <w:pPr>
              <w:rPr>
                <w:rFonts w:ascii="Calibri" w:hAnsi="Calibri" w:cs="Calibri"/>
                <w:color w:val="000000"/>
                <w:sz w:val="20"/>
              </w:rPr>
            </w:pPr>
            <w:r w:rsidRPr="00F50F81">
              <w:rPr>
                <w:rFonts w:ascii="Calibri" w:hAnsi="Calibri" w:cs="Calibri"/>
                <w:color w:val="000000"/>
                <w:sz w:val="20"/>
              </w:rPr>
              <w:t>Retention Rate*</w:t>
            </w:r>
          </w:p>
        </w:tc>
        <w:tc>
          <w:tcPr>
            <w:tcW w:w="1074" w:type="dxa"/>
            <w:tcBorders>
              <w:top w:val="nil"/>
              <w:left w:val="nil"/>
              <w:bottom w:val="single" w:sz="4" w:space="0" w:color="auto"/>
              <w:right w:val="nil"/>
            </w:tcBorders>
            <w:shd w:val="clear" w:color="000000" w:fill="FFFFFF"/>
            <w:noWrap/>
            <w:vAlign w:val="bottom"/>
            <w:hideMark/>
          </w:tcPr>
          <w:p w:rsidR="00F50F81" w:rsidRPr="00F50F81" w:rsidP="00F50F81" w14:paraId="1BA30A03" w14:textId="77777777">
            <w:pPr>
              <w:rPr>
                <w:rFonts w:ascii="Calibri" w:hAnsi="Calibri" w:cs="Calibri"/>
                <w:color w:val="000000"/>
                <w:sz w:val="20"/>
              </w:rPr>
            </w:pPr>
            <w:r w:rsidRPr="00F50F81">
              <w:rPr>
                <w:rFonts w:ascii="Calibri" w:hAnsi="Calibri" w:cs="Calibri"/>
                <w:color w:val="000000"/>
                <w:sz w:val="20"/>
              </w:rPr>
              <w:t>Responses</w:t>
            </w:r>
          </w:p>
        </w:tc>
        <w:tc>
          <w:tcPr>
            <w:tcW w:w="888" w:type="dxa"/>
            <w:vMerge/>
            <w:tcBorders>
              <w:top w:val="nil"/>
              <w:left w:val="single" w:sz="4" w:space="0" w:color="auto"/>
              <w:bottom w:val="single" w:sz="4" w:space="0" w:color="000000"/>
              <w:right w:val="nil"/>
            </w:tcBorders>
            <w:vAlign w:val="center"/>
            <w:hideMark/>
          </w:tcPr>
          <w:p w:rsidR="00F50F81" w:rsidRPr="00F50F81" w:rsidP="00F50F81" w14:paraId="58C3CEEF" w14:textId="77777777">
            <w:pPr>
              <w:rPr>
                <w:rFonts w:ascii="Calibri" w:hAnsi="Calibri" w:cs="Calibri"/>
                <w:color w:val="000000"/>
                <w:sz w:val="20"/>
              </w:rPr>
            </w:pPr>
          </w:p>
        </w:tc>
        <w:tc>
          <w:tcPr>
            <w:tcW w:w="810" w:type="dxa"/>
            <w:vMerge/>
            <w:tcBorders>
              <w:top w:val="nil"/>
              <w:left w:val="single" w:sz="4" w:space="0" w:color="auto"/>
              <w:bottom w:val="single" w:sz="4" w:space="0" w:color="000000"/>
              <w:right w:val="single" w:sz="4" w:space="0" w:color="auto"/>
            </w:tcBorders>
            <w:vAlign w:val="center"/>
            <w:hideMark/>
          </w:tcPr>
          <w:p w:rsidR="00F50F81" w:rsidRPr="00F50F81" w:rsidP="00F50F81" w14:paraId="6AE6895A" w14:textId="77777777">
            <w:pPr>
              <w:rPr>
                <w:rFonts w:ascii="Calibri" w:hAnsi="Calibri" w:cs="Calibri"/>
                <w:color w:val="000000"/>
                <w:sz w:val="20"/>
              </w:rPr>
            </w:pPr>
          </w:p>
        </w:tc>
      </w:tr>
      <w:tr w14:paraId="349EDBC0" w14:textId="77777777" w:rsidTr="00F50F81">
        <w:tblPrEx>
          <w:tblW w:w="9350" w:type="dxa"/>
          <w:tblLook w:val="04A0"/>
        </w:tblPrEx>
        <w:trPr>
          <w:trHeight w:val="258"/>
        </w:trPr>
        <w:tc>
          <w:tcPr>
            <w:tcW w:w="1075" w:type="dxa"/>
            <w:tcBorders>
              <w:top w:val="nil"/>
              <w:left w:val="single" w:sz="4" w:space="0" w:color="auto"/>
              <w:bottom w:val="single" w:sz="4" w:space="0" w:color="auto"/>
              <w:right w:val="nil"/>
            </w:tcBorders>
            <w:shd w:val="clear" w:color="000000" w:fill="FFFFFF"/>
            <w:noWrap/>
            <w:vAlign w:val="bottom"/>
            <w:hideMark/>
          </w:tcPr>
          <w:p w:rsidR="00F50F81" w:rsidRPr="00F50F81" w:rsidP="00F50F81" w14:paraId="3A8B0FD1" w14:textId="77777777">
            <w:pPr>
              <w:rPr>
                <w:rFonts w:ascii="Calibri" w:hAnsi="Calibri" w:cs="Calibri"/>
                <w:color w:val="000000"/>
                <w:sz w:val="20"/>
              </w:rPr>
            </w:pPr>
            <w:r w:rsidRPr="00F50F81">
              <w:rPr>
                <w:rFonts w:ascii="Calibri" w:hAnsi="Calibri" w:cs="Calibri"/>
                <w:color w:val="000000"/>
                <w:sz w:val="20"/>
              </w:rPr>
              <w:t>Year 1</w:t>
            </w:r>
          </w:p>
        </w:tc>
        <w:tc>
          <w:tcPr>
            <w:tcW w:w="1260" w:type="dxa"/>
            <w:tcBorders>
              <w:top w:val="nil"/>
              <w:left w:val="single" w:sz="4" w:space="0" w:color="auto"/>
              <w:bottom w:val="single" w:sz="4" w:space="0" w:color="auto"/>
              <w:right w:val="nil"/>
            </w:tcBorders>
            <w:shd w:val="clear" w:color="000000" w:fill="FFFFFF"/>
            <w:vAlign w:val="bottom"/>
            <w:hideMark/>
          </w:tcPr>
          <w:p w:rsidR="00F50F81" w:rsidRPr="00F50F81" w:rsidP="00F50F81" w14:paraId="03EAA630" w14:textId="77777777">
            <w:pPr>
              <w:jc w:val="center"/>
              <w:rPr>
                <w:rFonts w:ascii="Calibri" w:hAnsi="Calibri" w:cs="Calibri"/>
                <w:color w:val="000000"/>
                <w:sz w:val="20"/>
              </w:rPr>
            </w:pPr>
            <w:r w:rsidRPr="00F50F81">
              <w:rPr>
                <w:rFonts w:ascii="Calibri" w:hAnsi="Calibri" w:cs="Calibri"/>
                <w:color w:val="000000"/>
                <w:sz w:val="20"/>
              </w:rPr>
              <w:t>n/a</w:t>
            </w:r>
          </w:p>
        </w:tc>
        <w:tc>
          <w:tcPr>
            <w:tcW w:w="1080" w:type="dxa"/>
            <w:tcBorders>
              <w:top w:val="nil"/>
              <w:left w:val="nil"/>
              <w:bottom w:val="single" w:sz="4" w:space="0" w:color="auto"/>
              <w:right w:val="nil"/>
            </w:tcBorders>
            <w:shd w:val="clear" w:color="000000" w:fill="FFFFFF"/>
            <w:vAlign w:val="bottom"/>
            <w:hideMark/>
          </w:tcPr>
          <w:p w:rsidR="00F50F81" w:rsidRPr="00F50F81" w:rsidP="00F50F81" w14:paraId="5BF62A12" w14:textId="77777777">
            <w:pPr>
              <w:jc w:val="center"/>
              <w:rPr>
                <w:rFonts w:ascii="Calibri" w:hAnsi="Calibri" w:cs="Calibri"/>
                <w:color w:val="000000"/>
                <w:sz w:val="20"/>
              </w:rPr>
            </w:pPr>
            <w:r w:rsidRPr="00F50F81">
              <w:rPr>
                <w:rFonts w:ascii="Calibri" w:hAnsi="Calibri" w:cs="Calibri"/>
                <w:color w:val="000000"/>
                <w:sz w:val="20"/>
              </w:rPr>
              <w:t>4,500</w:t>
            </w:r>
          </w:p>
        </w:tc>
        <w:tc>
          <w:tcPr>
            <w:tcW w:w="1069" w:type="dxa"/>
            <w:tcBorders>
              <w:top w:val="nil"/>
              <w:left w:val="single" w:sz="4" w:space="0" w:color="auto"/>
              <w:bottom w:val="single" w:sz="4" w:space="0" w:color="auto"/>
              <w:right w:val="nil"/>
            </w:tcBorders>
            <w:shd w:val="clear" w:color="000000" w:fill="FFFFFF"/>
            <w:vAlign w:val="bottom"/>
            <w:hideMark/>
          </w:tcPr>
          <w:p w:rsidR="00F50F81" w:rsidRPr="00F50F81" w:rsidP="00F50F81" w14:paraId="0DB8DBF2" w14:textId="77777777">
            <w:pPr>
              <w:jc w:val="center"/>
              <w:rPr>
                <w:rFonts w:ascii="Calibri" w:hAnsi="Calibri" w:cs="Calibri"/>
                <w:color w:val="000000"/>
                <w:sz w:val="20"/>
              </w:rPr>
            </w:pPr>
            <w:r w:rsidRPr="00F50F81">
              <w:rPr>
                <w:rFonts w:ascii="Calibri" w:hAnsi="Calibri" w:cs="Calibri"/>
                <w:color w:val="000000"/>
                <w:sz w:val="20"/>
              </w:rPr>
              <w:t> </w:t>
            </w:r>
          </w:p>
        </w:tc>
        <w:tc>
          <w:tcPr>
            <w:tcW w:w="1074" w:type="dxa"/>
            <w:tcBorders>
              <w:top w:val="nil"/>
              <w:left w:val="nil"/>
              <w:bottom w:val="single" w:sz="4" w:space="0" w:color="auto"/>
              <w:right w:val="nil"/>
            </w:tcBorders>
            <w:shd w:val="clear" w:color="000000" w:fill="FFFFFF"/>
            <w:vAlign w:val="bottom"/>
            <w:hideMark/>
          </w:tcPr>
          <w:p w:rsidR="00F50F81" w:rsidRPr="00F50F81" w:rsidP="00F50F81" w14:paraId="07DA7982" w14:textId="77777777">
            <w:pPr>
              <w:jc w:val="center"/>
              <w:rPr>
                <w:rFonts w:ascii="Calibri" w:hAnsi="Calibri" w:cs="Calibri"/>
                <w:color w:val="000000"/>
                <w:sz w:val="20"/>
              </w:rPr>
            </w:pPr>
            <w:r w:rsidRPr="00F50F81">
              <w:rPr>
                <w:rFonts w:ascii="Calibri" w:hAnsi="Calibri" w:cs="Calibri"/>
                <w:color w:val="000000"/>
                <w:sz w:val="20"/>
              </w:rPr>
              <w:t> </w:t>
            </w:r>
          </w:p>
        </w:tc>
        <w:tc>
          <w:tcPr>
            <w:tcW w:w="1020" w:type="dxa"/>
            <w:tcBorders>
              <w:top w:val="nil"/>
              <w:left w:val="single" w:sz="4" w:space="0" w:color="auto"/>
              <w:bottom w:val="single" w:sz="4" w:space="0" w:color="auto"/>
              <w:right w:val="nil"/>
            </w:tcBorders>
            <w:shd w:val="clear" w:color="000000" w:fill="FFFFFF"/>
            <w:vAlign w:val="bottom"/>
            <w:hideMark/>
          </w:tcPr>
          <w:p w:rsidR="00F50F81" w:rsidRPr="00F50F81" w:rsidP="00F50F81" w14:paraId="6374123E" w14:textId="77777777">
            <w:pPr>
              <w:jc w:val="center"/>
              <w:rPr>
                <w:rFonts w:ascii="Calibri" w:hAnsi="Calibri" w:cs="Calibri"/>
                <w:color w:val="000000"/>
                <w:sz w:val="20"/>
              </w:rPr>
            </w:pPr>
            <w:r w:rsidRPr="00F50F81">
              <w:rPr>
                <w:rFonts w:ascii="Calibri" w:hAnsi="Calibri" w:cs="Calibri"/>
                <w:color w:val="000000"/>
                <w:sz w:val="20"/>
              </w:rPr>
              <w:t> </w:t>
            </w:r>
          </w:p>
        </w:tc>
        <w:tc>
          <w:tcPr>
            <w:tcW w:w="1074" w:type="dxa"/>
            <w:tcBorders>
              <w:top w:val="nil"/>
              <w:left w:val="nil"/>
              <w:bottom w:val="single" w:sz="4" w:space="0" w:color="auto"/>
              <w:right w:val="nil"/>
            </w:tcBorders>
            <w:shd w:val="clear" w:color="000000" w:fill="FFFFFF"/>
            <w:noWrap/>
            <w:vAlign w:val="bottom"/>
            <w:hideMark/>
          </w:tcPr>
          <w:p w:rsidR="00F50F81" w:rsidRPr="00F50F81" w:rsidP="00F50F81" w14:paraId="76ECC031" w14:textId="77777777">
            <w:pPr>
              <w:jc w:val="center"/>
              <w:rPr>
                <w:rFonts w:ascii="Calibri" w:hAnsi="Calibri" w:cs="Calibri"/>
                <w:color w:val="000000"/>
                <w:sz w:val="20"/>
              </w:rPr>
            </w:pPr>
            <w:r w:rsidRPr="00F50F81">
              <w:rPr>
                <w:rFonts w:ascii="Calibri" w:hAnsi="Calibri" w:cs="Calibri"/>
                <w:color w:val="000000"/>
                <w:sz w:val="20"/>
              </w:rPr>
              <w:t> </w:t>
            </w:r>
          </w:p>
        </w:tc>
        <w:tc>
          <w:tcPr>
            <w:tcW w:w="888" w:type="dxa"/>
            <w:tcBorders>
              <w:top w:val="nil"/>
              <w:left w:val="single" w:sz="4" w:space="0" w:color="auto"/>
              <w:bottom w:val="single" w:sz="4" w:space="0" w:color="auto"/>
              <w:right w:val="nil"/>
            </w:tcBorders>
            <w:shd w:val="clear" w:color="000000" w:fill="FFFFFF"/>
            <w:noWrap/>
            <w:vAlign w:val="bottom"/>
            <w:hideMark/>
          </w:tcPr>
          <w:p w:rsidR="00F50F81" w:rsidRPr="00F50F81" w:rsidP="00F50F81" w14:paraId="739618AD" w14:textId="77777777">
            <w:pPr>
              <w:jc w:val="center"/>
              <w:rPr>
                <w:rFonts w:ascii="Calibri" w:hAnsi="Calibri" w:cs="Calibri"/>
                <w:color w:val="000000"/>
                <w:sz w:val="20"/>
              </w:rPr>
            </w:pPr>
            <w:r w:rsidRPr="00F50F81">
              <w:rPr>
                <w:rFonts w:ascii="Calibri" w:hAnsi="Calibri" w:cs="Calibri"/>
                <w:color w:val="000000"/>
                <w:sz w:val="20"/>
              </w:rPr>
              <w:t>18.5</w:t>
            </w:r>
          </w:p>
        </w:tc>
        <w:tc>
          <w:tcPr>
            <w:tcW w:w="810" w:type="dxa"/>
            <w:tcBorders>
              <w:top w:val="nil"/>
              <w:left w:val="single" w:sz="4" w:space="0" w:color="auto"/>
              <w:bottom w:val="single" w:sz="4" w:space="0" w:color="auto"/>
              <w:right w:val="single" w:sz="4" w:space="0" w:color="auto"/>
            </w:tcBorders>
            <w:shd w:val="clear" w:color="000000" w:fill="FFFFFF"/>
            <w:noWrap/>
            <w:vAlign w:val="bottom"/>
            <w:hideMark/>
          </w:tcPr>
          <w:p w:rsidR="00F50F81" w:rsidRPr="00F50F81" w:rsidP="00F50F81" w14:paraId="603D8EDF" w14:textId="77777777">
            <w:pPr>
              <w:jc w:val="center"/>
              <w:rPr>
                <w:rFonts w:ascii="Calibri" w:hAnsi="Calibri" w:cs="Calibri"/>
                <w:color w:val="000000"/>
                <w:sz w:val="20"/>
              </w:rPr>
            </w:pPr>
            <w:r w:rsidRPr="00F50F81">
              <w:rPr>
                <w:rFonts w:ascii="Calibri" w:hAnsi="Calibri" w:cs="Calibri"/>
                <w:color w:val="000000"/>
                <w:sz w:val="20"/>
              </w:rPr>
              <w:t>1,388</w:t>
            </w:r>
          </w:p>
        </w:tc>
      </w:tr>
      <w:tr w14:paraId="59602853" w14:textId="77777777" w:rsidTr="00F50F81">
        <w:tblPrEx>
          <w:tblW w:w="9350" w:type="dxa"/>
          <w:tblLook w:val="04A0"/>
        </w:tblPrEx>
        <w:trPr>
          <w:trHeight w:val="258"/>
        </w:trPr>
        <w:tc>
          <w:tcPr>
            <w:tcW w:w="1075" w:type="dxa"/>
            <w:tcBorders>
              <w:top w:val="nil"/>
              <w:left w:val="single" w:sz="4" w:space="0" w:color="auto"/>
              <w:bottom w:val="nil"/>
              <w:right w:val="nil"/>
            </w:tcBorders>
            <w:shd w:val="clear" w:color="000000" w:fill="FFFFFF"/>
            <w:noWrap/>
            <w:vAlign w:val="bottom"/>
            <w:hideMark/>
          </w:tcPr>
          <w:p w:rsidR="00F50F81" w:rsidRPr="00F50F81" w:rsidP="00F50F81" w14:paraId="4D612D51" w14:textId="77777777">
            <w:pPr>
              <w:rPr>
                <w:rFonts w:ascii="Calibri" w:hAnsi="Calibri" w:cs="Calibri"/>
                <w:color w:val="000000"/>
                <w:sz w:val="20"/>
              </w:rPr>
            </w:pPr>
            <w:r w:rsidRPr="00F50F81">
              <w:rPr>
                <w:rFonts w:ascii="Calibri" w:hAnsi="Calibri" w:cs="Calibri"/>
                <w:color w:val="000000"/>
                <w:sz w:val="20"/>
              </w:rPr>
              <w:t>Year 2</w:t>
            </w:r>
          </w:p>
        </w:tc>
        <w:tc>
          <w:tcPr>
            <w:tcW w:w="1260" w:type="dxa"/>
            <w:tcBorders>
              <w:top w:val="nil"/>
              <w:left w:val="single" w:sz="4" w:space="0" w:color="auto"/>
              <w:bottom w:val="nil"/>
              <w:right w:val="nil"/>
            </w:tcBorders>
            <w:shd w:val="clear" w:color="000000" w:fill="FFFFFF"/>
            <w:vAlign w:val="bottom"/>
            <w:hideMark/>
          </w:tcPr>
          <w:p w:rsidR="00F50F81" w:rsidRPr="00F50F81" w:rsidP="00F50F81" w14:paraId="24144ABA" w14:textId="77777777">
            <w:pPr>
              <w:jc w:val="center"/>
              <w:rPr>
                <w:rFonts w:ascii="Calibri" w:hAnsi="Calibri" w:cs="Calibri"/>
                <w:color w:val="000000"/>
                <w:sz w:val="20"/>
              </w:rPr>
            </w:pPr>
            <w:r w:rsidRPr="00F50F81">
              <w:rPr>
                <w:rFonts w:ascii="Calibri" w:hAnsi="Calibri" w:cs="Calibri"/>
                <w:color w:val="000000"/>
                <w:sz w:val="20"/>
              </w:rPr>
              <w:t>88%</w:t>
            </w:r>
          </w:p>
        </w:tc>
        <w:tc>
          <w:tcPr>
            <w:tcW w:w="1080" w:type="dxa"/>
            <w:tcBorders>
              <w:top w:val="nil"/>
              <w:left w:val="nil"/>
              <w:bottom w:val="nil"/>
              <w:right w:val="nil"/>
            </w:tcBorders>
            <w:shd w:val="clear" w:color="000000" w:fill="FFFFFF"/>
            <w:vAlign w:val="bottom"/>
            <w:hideMark/>
          </w:tcPr>
          <w:p w:rsidR="00F50F81" w:rsidRPr="00F50F81" w:rsidP="00F50F81" w14:paraId="3983944B" w14:textId="77777777">
            <w:pPr>
              <w:jc w:val="center"/>
              <w:rPr>
                <w:rFonts w:ascii="Calibri" w:hAnsi="Calibri" w:cs="Calibri"/>
                <w:color w:val="000000"/>
                <w:sz w:val="20"/>
              </w:rPr>
            </w:pPr>
            <w:r w:rsidRPr="00F50F81">
              <w:rPr>
                <w:rFonts w:ascii="Calibri" w:hAnsi="Calibri" w:cs="Calibri"/>
                <w:color w:val="000000"/>
                <w:sz w:val="20"/>
              </w:rPr>
              <w:t>3,960</w:t>
            </w:r>
          </w:p>
        </w:tc>
        <w:tc>
          <w:tcPr>
            <w:tcW w:w="1069" w:type="dxa"/>
            <w:tcBorders>
              <w:top w:val="nil"/>
              <w:left w:val="single" w:sz="4" w:space="0" w:color="auto"/>
              <w:bottom w:val="nil"/>
              <w:right w:val="nil"/>
            </w:tcBorders>
            <w:shd w:val="clear" w:color="000000" w:fill="FFFFFF"/>
            <w:vAlign w:val="bottom"/>
            <w:hideMark/>
          </w:tcPr>
          <w:p w:rsidR="00F50F81" w:rsidRPr="00F50F81" w:rsidP="00F50F81" w14:paraId="07DCC91B" w14:textId="77777777">
            <w:pPr>
              <w:jc w:val="center"/>
              <w:rPr>
                <w:rFonts w:ascii="Calibri" w:hAnsi="Calibri" w:cs="Calibri"/>
                <w:color w:val="000000"/>
                <w:sz w:val="20"/>
              </w:rPr>
            </w:pPr>
            <w:r w:rsidRPr="00F50F81">
              <w:rPr>
                <w:rFonts w:ascii="Calibri" w:hAnsi="Calibri" w:cs="Calibri"/>
                <w:color w:val="000000"/>
                <w:sz w:val="20"/>
              </w:rPr>
              <w:t>n/a</w:t>
            </w:r>
          </w:p>
        </w:tc>
        <w:tc>
          <w:tcPr>
            <w:tcW w:w="1074" w:type="dxa"/>
            <w:tcBorders>
              <w:top w:val="nil"/>
              <w:left w:val="nil"/>
              <w:bottom w:val="nil"/>
              <w:right w:val="nil"/>
            </w:tcBorders>
            <w:shd w:val="clear" w:color="000000" w:fill="FFFFFF"/>
            <w:vAlign w:val="bottom"/>
            <w:hideMark/>
          </w:tcPr>
          <w:p w:rsidR="00F50F81" w:rsidRPr="00F50F81" w:rsidP="00F50F81" w14:paraId="3C1BCBB4" w14:textId="77777777">
            <w:pPr>
              <w:jc w:val="center"/>
              <w:rPr>
                <w:rFonts w:ascii="Calibri" w:hAnsi="Calibri" w:cs="Calibri"/>
                <w:color w:val="000000"/>
                <w:sz w:val="20"/>
              </w:rPr>
            </w:pPr>
            <w:r w:rsidRPr="00F50F81">
              <w:rPr>
                <w:rFonts w:ascii="Calibri" w:hAnsi="Calibri" w:cs="Calibri"/>
                <w:color w:val="000000"/>
                <w:sz w:val="20"/>
              </w:rPr>
              <w:t>950</w:t>
            </w:r>
          </w:p>
        </w:tc>
        <w:tc>
          <w:tcPr>
            <w:tcW w:w="1020" w:type="dxa"/>
            <w:tcBorders>
              <w:top w:val="nil"/>
              <w:left w:val="single" w:sz="4" w:space="0" w:color="auto"/>
              <w:bottom w:val="nil"/>
              <w:right w:val="nil"/>
            </w:tcBorders>
            <w:shd w:val="clear" w:color="000000" w:fill="FFFFFF"/>
            <w:vAlign w:val="bottom"/>
            <w:hideMark/>
          </w:tcPr>
          <w:p w:rsidR="00F50F81" w:rsidRPr="00F50F81" w:rsidP="00F50F81" w14:paraId="11628964" w14:textId="77777777">
            <w:pPr>
              <w:jc w:val="center"/>
              <w:rPr>
                <w:rFonts w:ascii="Calibri" w:hAnsi="Calibri" w:cs="Calibri"/>
                <w:color w:val="000000"/>
                <w:sz w:val="20"/>
              </w:rPr>
            </w:pPr>
            <w:r w:rsidRPr="00F50F81">
              <w:rPr>
                <w:rFonts w:ascii="Calibri" w:hAnsi="Calibri" w:cs="Calibri"/>
                <w:color w:val="000000"/>
                <w:sz w:val="20"/>
              </w:rPr>
              <w:t> </w:t>
            </w:r>
          </w:p>
        </w:tc>
        <w:tc>
          <w:tcPr>
            <w:tcW w:w="1074" w:type="dxa"/>
            <w:tcBorders>
              <w:top w:val="nil"/>
              <w:left w:val="nil"/>
              <w:bottom w:val="nil"/>
              <w:right w:val="nil"/>
            </w:tcBorders>
            <w:shd w:val="clear" w:color="000000" w:fill="FFFFFF"/>
            <w:noWrap/>
            <w:vAlign w:val="bottom"/>
            <w:hideMark/>
          </w:tcPr>
          <w:p w:rsidR="00F50F81" w:rsidRPr="00F50F81" w:rsidP="00F50F81" w14:paraId="0C3D825F" w14:textId="77777777">
            <w:pPr>
              <w:jc w:val="center"/>
              <w:rPr>
                <w:rFonts w:ascii="Calibri" w:hAnsi="Calibri" w:cs="Calibri"/>
                <w:color w:val="000000"/>
                <w:sz w:val="20"/>
              </w:rPr>
            </w:pPr>
            <w:r w:rsidRPr="00F50F81">
              <w:rPr>
                <w:rFonts w:ascii="Calibri" w:hAnsi="Calibri" w:cs="Calibri"/>
                <w:color w:val="000000"/>
                <w:sz w:val="20"/>
              </w:rPr>
              <w:t> </w:t>
            </w:r>
          </w:p>
        </w:tc>
        <w:tc>
          <w:tcPr>
            <w:tcW w:w="888" w:type="dxa"/>
            <w:tcBorders>
              <w:top w:val="nil"/>
              <w:left w:val="single" w:sz="4" w:space="0" w:color="auto"/>
              <w:bottom w:val="nil"/>
              <w:right w:val="nil"/>
            </w:tcBorders>
            <w:shd w:val="clear" w:color="000000" w:fill="FFFFFF"/>
            <w:noWrap/>
            <w:vAlign w:val="bottom"/>
            <w:hideMark/>
          </w:tcPr>
          <w:p w:rsidR="00F50F81" w:rsidRPr="00F50F81" w:rsidP="00F50F81" w14:paraId="2EBF1D1A" w14:textId="77777777">
            <w:pPr>
              <w:jc w:val="center"/>
              <w:rPr>
                <w:rFonts w:ascii="Calibri" w:hAnsi="Calibri" w:cs="Calibri"/>
                <w:color w:val="000000"/>
                <w:sz w:val="20"/>
              </w:rPr>
            </w:pPr>
            <w:r w:rsidRPr="00F50F81">
              <w:rPr>
                <w:rFonts w:ascii="Calibri" w:hAnsi="Calibri" w:cs="Calibri"/>
                <w:color w:val="000000"/>
                <w:sz w:val="20"/>
              </w:rPr>
              <w:t>18.5</w:t>
            </w:r>
          </w:p>
        </w:tc>
        <w:tc>
          <w:tcPr>
            <w:tcW w:w="810" w:type="dxa"/>
            <w:tcBorders>
              <w:top w:val="nil"/>
              <w:left w:val="single" w:sz="4" w:space="0" w:color="auto"/>
              <w:bottom w:val="nil"/>
              <w:right w:val="single" w:sz="4" w:space="0" w:color="auto"/>
            </w:tcBorders>
            <w:shd w:val="clear" w:color="000000" w:fill="FFFFFF"/>
            <w:noWrap/>
            <w:vAlign w:val="bottom"/>
            <w:hideMark/>
          </w:tcPr>
          <w:p w:rsidR="00F50F81" w:rsidRPr="00F50F81" w:rsidP="00F50F81" w14:paraId="74CC36D3" w14:textId="77777777">
            <w:pPr>
              <w:jc w:val="center"/>
              <w:rPr>
                <w:rFonts w:ascii="Calibri" w:hAnsi="Calibri" w:cs="Calibri"/>
                <w:color w:val="000000"/>
                <w:sz w:val="20"/>
              </w:rPr>
            </w:pPr>
            <w:r w:rsidRPr="00F50F81">
              <w:rPr>
                <w:rFonts w:ascii="Calibri" w:hAnsi="Calibri" w:cs="Calibri"/>
                <w:color w:val="000000"/>
                <w:sz w:val="20"/>
              </w:rPr>
              <w:t>1,514</w:t>
            </w:r>
          </w:p>
        </w:tc>
      </w:tr>
      <w:tr w14:paraId="3CCEAA74" w14:textId="77777777" w:rsidTr="00F50F81">
        <w:tblPrEx>
          <w:tblW w:w="9350" w:type="dxa"/>
          <w:tblLook w:val="04A0"/>
        </w:tblPrEx>
        <w:trPr>
          <w:trHeight w:val="258"/>
        </w:trPr>
        <w:tc>
          <w:tcPr>
            <w:tcW w:w="1075" w:type="dxa"/>
            <w:tcBorders>
              <w:top w:val="single" w:sz="4" w:space="0" w:color="auto"/>
              <w:left w:val="single" w:sz="4" w:space="0" w:color="auto"/>
              <w:bottom w:val="single" w:sz="4" w:space="0" w:color="auto"/>
              <w:right w:val="nil"/>
            </w:tcBorders>
            <w:shd w:val="clear" w:color="000000" w:fill="FFFFFF"/>
            <w:noWrap/>
            <w:vAlign w:val="bottom"/>
            <w:hideMark/>
          </w:tcPr>
          <w:p w:rsidR="00F50F81" w:rsidRPr="00F50F81" w:rsidP="00F50F81" w14:paraId="58F7D2BD" w14:textId="77777777">
            <w:pPr>
              <w:rPr>
                <w:rFonts w:ascii="Calibri" w:hAnsi="Calibri" w:cs="Calibri"/>
                <w:color w:val="000000"/>
                <w:sz w:val="20"/>
              </w:rPr>
            </w:pPr>
            <w:r w:rsidRPr="00F50F81">
              <w:rPr>
                <w:rFonts w:ascii="Calibri" w:hAnsi="Calibri" w:cs="Calibri"/>
                <w:color w:val="000000"/>
                <w:sz w:val="20"/>
              </w:rPr>
              <w:t>Year 3</w:t>
            </w:r>
          </w:p>
        </w:tc>
        <w:tc>
          <w:tcPr>
            <w:tcW w:w="1260" w:type="dxa"/>
            <w:tcBorders>
              <w:top w:val="single" w:sz="4" w:space="0" w:color="auto"/>
              <w:left w:val="single" w:sz="4" w:space="0" w:color="auto"/>
              <w:bottom w:val="single" w:sz="4" w:space="0" w:color="auto"/>
              <w:right w:val="nil"/>
            </w:tcBorders>
            <w:shd w:val="clear" w:color="000000" w:fill="FFFFFF"/>
            <w:vAlign w:val="bottom"/>
            <w:hideMark/>
          </w:tcPr>
          <w:p w:rsidR="00F50F81" w:rsidRPr="00F50F81" w:rsidP="00F50F81" w14:paraId="365C8DA7" w14:textId="77777777">
            <w:pPr>
              <w:jc w:val="center"/>
              <w:rPr>
                <w:rFonts w:ascii="Calibri" w:hAnsi="Calibri" w:cs="Calibri"/>
                <w:color w:val="000000"/>
                <w:sz w:val="20"/>
              </w:rPr>
            </w:pPr>
            <w:r w:rsidRPr="00F50F81">
              <w:rPr>
                <w:rFonts w:ascii="Calibri" w:hAnsi="Calibri" w:cs="Calibri"/>
                <w:color w:val="000000"/>
                <w:sz w:val="20"/>
              </w:rPr>
              <w:t>81%</w:t>
            </w:r>
          </w:p>
        </w:tc>
        <w:tc>
          <w:tcPr>
            <w:tcW w:w="1080" w:type="dxa"/>
            <w:tcBorders>
              <w:top w:val="single" w:sz="4" w:space="0" w:color="auto"/>
              <w:left w:val="nil"/>
              <w:bottom w:val="single" w:sz="4" w:space="0" w:color="auto"/>
              <w:right w:val="nil"/>
            </w:tcBorders>
            <w:shd w:val="clear" w:color="000000" w:fill="FFFFFF"/>
            <w:vAlign w:val="bottom"/>
            <w:hideMark/>
          </w:tcPr>
          <w:p w:rsidR="00F50F81" w:rsidRPr="00F50F81" w:rsidP="00F50F81" w14:paraId="17B31637" w14:textId="77777777">
            <w:pPr>
              <w:jc w:val="center"/>
              <w:rPr>
                <w:rFonts w:ascii="Calibri" w:hAnsi="Calibri" w:cs="Calibri"/>
                <w:color w:val="000000"/>
                <w:sz w:val="20"/>
              </w:rPr>
            </w:pPr>
            <w:r w:rsidRPr="00F50F81">
              <w:rPr>
                <w:rFonts w:ascii="Calibri" w:hAnsi="Calibri" w:cs="Calibri"/>
                <w:color w:val="000000"/>
                <w:sz w:val="20"/>
              </w:rPr>
              <w:t>3,645</w:t>
            </w:r>
          </w:p>
        </w:tc>
        <w:tc>
          <w:tcPr>
            <w:tcW w:w="1069" w:type="dxa"/>
            <w:tcBorders>
              <w:top w:val="single" w:sz="4" w:space="0" w:color="auto"/>
              <w:left w:val="single" w:sz="4" w:space="0" w:color="auto"/>
              <w:bottom w:val="single" w:sz="4" w:space="0" w:color="auto"/>
              <w:right w:val="nil"/>
            </w:tcBorders>
            <w:shd w:val="clear" w:color="000000" w:fill="FFFFFF"/>
            <w:vAlign w:val="bottom"/>
            <w:hideMark/>
          </w:tcPr>
          <w:p w:rsidR="00F50F81" w:rsidRPr="00F50F81" w:rsidP="00F50F81" w14:paraId="4C67E797" w14:textId="77777777">
            <w:pPr>
              <w:jc w:val="center"/>
              <w:rPr>
                <w:rFonts w:ascii="Calibri" w:hAnsi="Calibri" w:cs="Calibri"/>
                <w:color w:val="000000"/>
                <w:sz w:val="20"/>
              </w:rPr>
            </w:pPr>
            <w:r w:rsidRPr="00F50F81">
              <w:rPr>
                <w:rFonts w:ascii="Calibri" w:hAnsi="Calibri" w:cs="Calibri"/>
                <w:color w:val="000000"/>
                <w:sz w:val="20"/>
              </w:rPr>
              <w:t>88%</w:t>
            </w:r>
          </w:p>
        </w:tc>
        <w:tc>
          <w:tcPr>
            <w:tcW w:w="1074" w:type="dxa"/>
            <w:tcBorders>
              <w:top w:val="single" w:sz="4" w:space="0" w:color="auto"/>
              <w:left w:val="nil"/>
              <w:bottom w:val="single" w:sz="4" w:space="0" w:color="auto"/>
              <w:right w:val="nil"/>
            </w:tcBorders>
            <w:shd w:val="clear" w:color="000000" w:fill="FFFFFF"/>
            <w:vAlign w:val="bottom"/>
            <w:hideMark/>
          </w:tcPr>
          <w:p w:rsidR="00F50F81" w:rsidRPr="00F50F81" w:rsidP="00F50F81" w14:paraId="492C5AC1" w14:textId="77777777">
            <w:pPr>
              <w:jc w:val="center"/>
              <w:rPr>
                <w:rFonts w:ascii="Calibri" w:hAnsi="Calibri" w:cs="Calibri"/>
                <w:color w:val="000000"/>
                <w:sz w:val="20"/>
              </w:rPr>
            </w:pPr>
            <w:r w:rsidRPr="00F50F81">
              <w:rPr>
                <w:rFonts w:ascii="Calibri" w:hAnsi="Calibri" w:cs="Calibri"/>
                <w:color w:val="000000"/>
                <w:sz w:val="20"/>
              </w:rPr>
              <w:t>836</w:t>
            </w:r>
          </w:p>
        </w:tc>
        <w:tc>
          <w:tcPr>
            <w:tcW w:w="1020" w:type="dxa"/>
            <w:tcBorders>
              <w:top w:val="single" w:sz="4" w:space="0" w:color="auto"/>
              <w:left w:val="single" w:sz="4" w:space="0" w:color="auto"/>
              <w:bottom w:val="single" w:sz="4" w:space="0" w:color="auto"/>
              <w:right w:val="nil"/>
            </w:tcBorders>
            <w:shd w:val="clear" w:color="000000" w:fill="FFFFFF"/>
            <w:vAlign w:val="bottom"/>
            <w:hideMark/>
          </w:tcPr>
          <w:p w:rsidR="00F50F81" w:rsidRPr="00F50F81" w:rsidP="00F50F81" w14:paraId="45A28238" w14:textId="77777777">
            <w:pPr>
              <w:jc w:val="center"/>
              <w:rPr>
                <w:rFonts w:ascii="Calibri" w:hAnsi="Calibri" w:cs="Calibri"/>
                <w:color w:val="000000"/>
                <w:sz w:val="20"/>
              </w:rPr>
            </w:pPr>
            <w:r w:rsidRPr="00F50F81">
              <w:rPr>
                <w:rFonts w:ascii="Calibri" w:hAnsi="Calibri" w:cs="Calibri"/>
                <w:color w:val="000000"/>
                <w:sz w:val="20"/>
              </w:rPr>
              <w:t>n/a</w:t>
            </w:r>
          </w:p>
        </w:tc>
        <w:tc>
          <w:tcPr>
            <w:tcW w:w="1074" w:type="dxa"/>
            <w:tcBorders>
              <w:top w:val="single" w:sz="4" w:space="0" w:color="auto"/>
              <w:left w:val="nil"/>
              <w:bottom w:val="single" w:sz="4" w:space="0" w:color="auto"/>
              <w:right w:val="nil"/>
            </w:tcBorders>
            <w:shd w:val="clear" w:color="000000" w:fill="FFFFFF"/>
            <w:noWrap/>
            <w:vAlign w:val="bottom"/>
            <w:hideMark/>
          </w:tcPr>
          <w:p w:rsidR="00F50F81" w:rsidRPr="00F50F81" w:rsidP="00F50F81" w14:paraId="066A6B99" w14:textId="77777777">
            <w:pPr>
              <w:jc w:val="center"/>
              <w:rPr>
                <w:rFonts w:ascii="Calibri" w:hAnsi="Calibri" w:cs="Calibri"/>
                <w:color w:val="000000"/>
                <w:sz w:val="20"/>
              </w:rPr>
            </w:pPr>
            <w:r w:rsidRPr="00F50F81">
              <w:rPr>
                <w:rFonts w:ascii="Calibri" w:hAnsi="Calibri" w:cs="Calibri"/>
                <w:color w:val="000000"/>
                <w:sz w:val="20"/>
              </w:rPr>
              <w:t>925</w:t>
            </w:r>
          </w:p>
        </w:tc>
        <w:tc>
          <w:tcPr>
            <w:tcW w:w="888" w:type="dxa"/>
            <w:tcBorders>
              <w:top w:val="single" w:sz="4" w:space="0" w:color="auto"/>
              <w:left w:val="single" w:sz="4" w:space="0" w:color="auto"/>
              <w:bottom w:val="single" w:sz="4" w:space="0" w:color="auto"/>
              <w:right w:val="nil"/>
            </w:tcBorders>
            <w:shd w:val="clear" w:color="000000" w:fill="FFFFFF"/>
            <w:noWrap/>
            <w:vAlign w:val="bottom"/>
            <w:hideMark/>
          </w:tcPr>
          <w:p w:rsidR="00F50F81" w:rsidRPr="00F50F81" w:rsidP="00F50F81" w14:paraId="3BAE8A79" w14:textId="77777777">
            <w:pPr>
              <w:jc w:val="center"/>
              <w:rPr>
                <w:rFonts w:ascii="Calibri" w:hAnsi="Calibri" w:cs="Calibri"/>
                <w:color w:val="000000"/>
                <w:sz w:val="20"/>
              </w:rPr>
            </w:pPr>
            <w:r w:rsidRPr="00F50F81">
              <w:rPr>
                <w:rFonts w:ascii="Calibri" w:hAnsi="Calibri" w:cs="Calibri"/>
                <w:color w:val="000000"/>
                <w:sz w:val="20"/>
              </w:rPr>
              <w:t>18.5</w:t>
            </w:r>
          </w:p>
        </w:tc>
        <w:tc>
          <w:tcPr>
            <w:tcW w:w="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50F81" w:rsidRPr="00F50F81" w:rsidP="00F50F81" w14:paraId="32031F25" w14:textId="77777777">
            <w:pPr>
              <w:jc w:val="center"/>
              <w:rPr>
                <w:rFonts w:ascii="Calibri" w:hAnsi="Calibri" w:cs="Calibri"/>
                <w:color w:val="000000"/>
                <w:sz w:val="20"/>
              </w:rPr>
            </w:pPr>
            <w:r w:rsidRPr="00F50F81">
              <w:rPr>
                <w:rFonts w:ascii="Calibri" w:hAnsi="Calibri" w:cs="Calibri"/>
                <w:color w:val="000000"/>
                <w:sz w:val="20"/>
              </w:rPr>
              <w:t>1,667</w:t>
            </w:r>
          </w:p>
        </w:tc>
      </w:tr>
      <w:tr w14:paraId="4B690649" w14:textId="77777777" w:rsidTr="00F50F81">
        <w:tblPrEx>
          <w:tblW w:w="9350" w:type="dxa"/>
          <w:tblLook w:val="04A0"/>
        </w:tblPrEx>
        <w:trPr>
          <w:trHeight w:val="258"/>
        </w:trPr>
        <w:tc>
          <w:tcPr>
            <w:tcW w:w="1075" w:type="dxa"/>
            <w:tcBorders>
              <w:top w:val="nil"/>
              <w:left w:val="single" w:sz="4" w:space="0" w:color="auto"/>
              <w:bottom w:val="nil"/>
              <w:right w:val="nil"/>
            </w:tcBorders>
            <w:shd w:val="clear" w:color="000000" w:fill="FFFFFF"/>
            <w:noWrap/>
            <w:vAlign w:val="bottom"/>
            <w:hideMark/>
          </w:tcPr>
          <w:p w:rsidR="00F50F81" w:rsidRPr="00F50F81" w:rsidP="00F50F81" w14:paraId="5F6E0013" w14:textId="77777777">
            <w:pPr>
              <w:rPr>
                <w:rFonts w:ascii="Calibri" w:hAnsi="Calibri" w:cs="Calibri"/>
                <w:color w:val="000000"/>
                <w:sz w:val="20"/>
              </w:rPr>
            </w:pPr>
            <w:r w:rsidRPr="00F50F81">
              <w:rPr>
                <w:rFonts w:ascii="Calibri" w:hAnsi="Calibri" w:cs="Calibri"/>
                <w:color w:val="000000"/>
                <w:sz w:val="20"/>
              </w:rPr>
              <w:t> </w:t>
            </w:r>
          </w:p>
        </w:tc>
        <w:tc>
          <w:tcPr>
            <w:tcW w:w="1260" w:type="dxa"/>
            <w:tcBorders>
              <w:top w:val="nil"/>
              <w:left w:val="nil"/>
              <w:bottom w:val="nil"/>
              <w:right w:val="nil"/>
            </w:tcBorders>
            <w:shd w:val="clear" w:color="000000" w:fill="FFFFFF"/>
            <w:vAlign w:val="bottom"/>
            <w:hideMark/>
          </w:tcPr>
          <w:p w:rsidR="00F50F81" w:rsidRPr="00F50F81" w:rsidP="00F50F81" w14:paraId="1A05D43D" w14:textId="77777777">
            <w:pPr>
              <w:jc w:val="center"/>
              <w:rPr>
                <w:rFonts w:ascii="Calibri" w:hAnsi="Calibri" w:cs="Calibri"/>
                <w:color w:val="000000"/>
                <w:sz w:val="20"/>
              </w:rPr>
            </w:pPr>
            <w:r w:rsidRPr="00F50F81">
              <w:rPr>
                <w:rFonts w:ascii="Calibri" w:hAnsi="Calibri" w:cs="Calibri"/>
                <w:color w:val="000000"/>
                <w:sz w:val="20"/>
              </w:rPr>
              <w:t> </w:t>
            </w:r>
          </w:p>
        </w:tc>
        <w:tc>
          <w:tcPr>
            <w:tcW w:w="1080" w:type="dxa"/>
            <w:tcBorders>
              <w:top w:val="nil"/>
              <w:left w:val="nil"/>
              <w:bottom w:val="nil"/>
              <w:right w:val="nil"/>
            </w:tcBorders>
            <w:shd w:val="clear" w:color="000000" w:fill="FFFFFF"/>
            <w:vAlign w:val="bottom"/>
            <w:hideMark/>
          </w:tcPr>
          <w:p w:rsidR="00F50F81" w:rsidRPr="00F50F81" w:rsidP="00F50F81" w14:paraId="6CABDAE2" w14:textId="77777777">
            <w:pPr>
              <w:jc w:val="center"/>
              <w:rPr>
                <w:rFonts w:ascii="Calibri" w:hAnsi="Calibri" w:cs="Calibri"/>
                <w:color w:val="000000"/>
                <w:sz w:val="20"/>
              </w:rPr>
            </w:pPr>
            <w:r w:rsidRPr="00F50F81">
              <w:rPr>
                <w:rFonts w:ascii="Calibri" w:hAnsi="Calibri" w:cs="Calibri"/>
                <w:color w:val="000000"/>
                <w:sz w:val="20"/>
              </w:rPr>
              <w:t> </w:t>
            </w:r>
          </w:p>
        </w:tc>
        <w:tc>
          <w:tcPr>
            <w:tcW w:w="1069" w:type="dxa"/>
            <w:tcBorders>
              <w:top w:val="nil"/>
              <w:left w:val="nil"/>
              <w:bottom w:val="nil"/>
              <w:right w:val="nil"/>
            </w:tcBorders>
            <w:shd w:val="clear" w:color="000000" w:fill="FFFFFF"/>
            <w:vAlign w:val="bottom"/>
            <w:hideMark/>
          </w:tcPr>
          <w:p w:rsidR="00F50F81" w:rsidRPr="00F50F81" w:rsidP="00F50F81" w14:paraId="17F90F2F" w14:textId="77777777">
            <w:pPr>
              <w:jc w:val="center"/>
              <w:rPr>
                <w:rFonts w:ascii="Calibri" w:hAnsi="Calibri" w:cs="Calibri"/>
                <w:color w:val="000000"/>
                <w:sz w:val="20"/>
              </w:rPr>
            </w:pPr>
            <w:r w:rsidRPr="00F50F81">
              <w:rPr>
                <w:rFonts w:ascii="Calibri" w:hAnsi="Calibri" w:cs="Calibri"/>
                <w:color w:val="000000"/>
                <w:sz w:val="20"/>
              </w:rPr>
              <w:t> </w:t>
            </w:r>
          </w:p>
        </w:tc>
        <w:tc>
          <w:tcPr>
            <w:tcW w:w="1074" w:type="dxa"/>
            <w:tcBorders>
              <w:top w:val="nil"/>
              <w:left w:val="nil"/>
              <w:bottom w:val="nil"/>
              <w:right w:val="nil"/>
            </w:tcBorders>
            <w:shd w:val="clear" w:color="000000" w:fill="FFFFFF"/>
            <w:vAlign w:val="bottom"/>
            <w:hideMark/>
          </w:tcPr>
          <w:p w:rsidR="00F50F81" w:rsidRPr="00F50F81" w:rsidP="00F50F81" w14:paraId="48C833F3" w14:textId="77777777">
            <w:pPr>
              <w:jc w:val="center"/>
              <w:rPr>
                <w:rFonts w:ascii="Calibri" w:hAnsi="Calibri" w:cs="Calibri"/>
                <w:color w:val="000000"/>
                <w:sz w:val="20"/>
              </w:rPr>
            </w:pPr>
            <w:r w:rsidRPr="00F50F81">
              <w:rPr>
                <w:rFonts w:ascii="Calibri" w:hAnsi="Calibri" w:cs="Calibri"/>
                <w:color w:val="000000"/>
                <w:sz w:val="20"/>
              </w:rPr>
              <w:t> </w:t>
            </w:r>
          </w:p>
        </w:tc>
        <w:tc>
          <w:tcPr>
            <w:tcW w:w="2982" w:type="dxa"/>
            <w:gridSpan w:val="3"/>
            <w:tcBorders>
              <w:top w:val="single" w:sz="4" w:space="0" w:color="auto"/>
              <w:left w:val="nil"/>
              <w:bottom w:val="single" w:sz="4" w:space="0" w:color="auto"/>
              <w:right w:val="nil"/>
            </w:tcBorders>
            <w:shd w:val="clear" w:color="000000" w:fill="FFFFFF"/>
            <w:noWrap/>
            <w:vAlign w:val="bottom"/>
            <w:hideMark/>
          </w:tcPr>
          <w:p w:rsidR="00F50F81" w:rsidRPr="00F50F81" w:rsidP="00F50F81" w14:paraId="437DBBC2" w14:textId="77777777">
            <w:pPr>
              <w:jc w:val="right"/>
              <w:rPr>
                <w:rFonts w:ascii="Calibri" w:hAnsi="Calibri" w:cs="Calibri"/>
                <w:b/>
                <w:bCs/>
                <w:color w:val="000000"/>
                <w:sz w:val="20"/>
              </w:rPr>
            </w:pPr>
            <w:r w:rsidRPr="00F50F81">
              <w:rPr>
                <w:rFonts w:ascii="Calibri" w:hAnsi="Calibri" w:cs="Calibri"/>
                <w:b/>
                <w:bCs/>
                <w:color w:val="000000"/>
                <w:sz w:val="20"/>
              </w:rPr>
              <w:t>Average Annual Burden</w:t>
            </w:r>
          </w:p>
        </w:tc>
        <w:tc>
          <w:tcPr>
            <w:tcW w:w="810" w:type="dxa"/>
            <w:tcBorders>
              <w:top w:val="nil"/>
              <w:left w:val="nil"/>
              <w:bottom w:val="nil"/>
              <w:right w:val="single" w:sz="4" w:space="0" w:color="auto"/>
            </w:tcBorders>
            <w:shd w:val="clear" w:color="000000" w:fill="FFFFFF"/>
            <w:noWrap/>
            <w:vAlign w:val="bottom"/>
            <w:hideMark/>
          </w:tcPr>
          <w:p w:rsidR="00F50F81" w:rsidRPr="00F50F81" w:rsidP="00F50F81" w14:paraId="4998CA15" w14:textId="77777777">
            <w:pPr>
              <w:jc w:val="center"/>
              <w:rPr>
                <w:rFonts w:ascii="Calibri" w:hAnsi="Calibri" w:cs="Calibri"/>
                <w:b/>
                <w:bCs/>
                <w:color w:val="000000"/>
                <w:sz w:val="20"/>
              </w:rPr>
            </w:pPr>
            <w:r w:rsidRPr="00F50F81">
              <w:rPr>
                <w:rFonts w:ascii="Calibri" w:hAnsi="Calibri" w:cs="Calibri"/>
                <w:b/>
                <w:bCs/>
                <w:color w:val="000000"/>
                <w:sz w:val="20"/>
              </w:rPr>
              <w:t>1,523</w:t>
            </w:r>
          </w:p>
        </w:tc>
      </w:tr>
      <w:tr w14:paraId="23E0922F" w14:textId="77777777" w:rsidTr="00F50F81">
        <w:tblPrEx>
          <w:tblW w:w="9350" w:type="dxa"/>
          <w:tblLook w:val="04A0"/>
        </w:tblPrEx>
        <w:trPr>
          <w:trHeight w:val="258"/>
        </w:trPr>
        <w:tc>
          <w:tcPr>
            <w:tcW w:w="1075" w:type="dxa"/>
            <w:tcBorders>
              <w:top w:val="nil"/>
              <w:left w:val="single" w:sz="4" w:space="0" w:color="auto"/>
              <w:bottom w:val="single" w:sz="4" w:space="0" w:color="auto"/>
              <w:right w:val="nil"/>
            </w:tcBorders>
            <w:shd w:val="clear" w:color="000000" w:fill="FFFFFF"/>
            <w:noWrap/>
            <w:vAlign w:val="bottom"/>
          </w:tcPr>
          <w:p w:rsidR="00F50F81" w:rsidRPr="00F50F81" w:rsidP="00F50F81" w14:paraId="676FF10D" w14:textId="77777777">
            <w:pPr>
              <w:rPr>
                <w:rFonts w:ascii="Calibri" w:hAnsi="Calibri" w:cs="Calibri"/>
                <w:color w:val="000000"/>
                <w:sz w:val="20"/>
              </w:rPr>
            </w:pPr>
          </w:p>
        </w:tc>
        <w:tc>
          <w:tcPr>
            <w:tcW w:w="1260" w:type="dxa"/>
            <w:tcBorders>
              <w:top w:val="nil"/>
              <w:left w:val="nil"/>
              <w:bottom w:val="single" w:sz="4" w:space="0" w:color="auto"/>
              <w:right w:val="nil"/>
            </w:tcBorders>
            <w:shd w:val="clear" w:color="000000" w:fill="FFFFFF"/>
            <w:vAlign w:val="bottom"/>
          </w:tcPr>
          <w:p w:rsidR="00F50F81" w:rsidRPr="00F50F81" w:rsidP="00F50F81" w14:paraId="4C7F5D28" w14:textId="77777777">
            <w:pPr>
              <w:jc w:val="center"/>
              <w:rPr>
                <w:rFonts w:ascii="Calibri" w:hAnsi="Calibri" w:cs="Calibri"/>
                <w:color w:val="000000"/>
                <w:sz w:val="20"/>
              </w:rPr>
            </w:pPr>
          </w:p>
        </w:tc>
        <w:tc>
          <w:tcPr>
            <w:tcW w:w="1080" w:type="dxa"/>
            <w:tcBorders>
              <w:top w:val="nil"/>
              <w:left w:val="nil"/>
              <w:bottom w:val="single" w:sz="4" w:space="0" w:color="auto"/>
              <w:right w:val="nil"/>
            </w:tcBorders>
            <w:shd w:val="clear" w:color="000000" w:fill="FFFFFF"/>
            <w:vAlign w:val="bottom"/>
          </w:tcPr>
          <w:p w:rsidR="00F50F81" w:rsidRPr="00F50F81" w:rsidP="00F50F81" w14:paraId="4D25B4C7" w14:textId="77777777">
            <w:pPr>
              <w:jc w:val="center"/>
              <w:rPr>
                <w:rFonts w:ascii="Calibri" w:hAnsi="Calibri" w:cs="Calibri"/>
                <w:color w:val="000000"/>
                <w:sz w:val="20"/>
              </w:rPr>
            </w:pPr>
          </w:p>
        </w:tc>
        <w:tc>
          <w:tcPr>
            <w:tcW w:w="1069" w:type="dxa"/>
            <w:tcBorders>
              <w:top w:val="nil"/>
              <w:left w:val="nil"/>
              <w:bottom w:val="single" w:sz="4" w:space="0" w:color="auto"/>
              <w:right w:val="nil"/>
            </w:tcBorders>
            <w:shd w:val="clear" w:color="000000" w:fill="FFFFFF"/>
            <w:vAlign w:val="bottom"/>
          </w:tcPr>
          <w:p w:rsidR="00F50F81" w:rsidRPr="00F50F81" w:rsidP="00F50F81" w14:paraId="3A9509B0" w14:textId="77777777">
            <w:pPr>
              <w:jc w:val="center"/>
              <w:rPr>
                <w:rFonts w:ascii="Calibri" w:hAnsi="Calibri" w:cs="Calibri"/>
                <w:color w:val="000000"/>
                <w:sz w:val="20"/>
              </w:rPr>
            </w:pPr>
          </w:p>
        </w:tc>
        <w:tc>
          <w:tcPr>
            <w:tcW w:w="1074" w:type="dxa"/>
            <w:tcBorders>
              <w:top w:val="nil"/>
              <w:left w:val="nil"/>
              <w:bottom w:val="single" w:sz="4" w:space="0" w:color="auto"/>
              <w:right w:val="nil"/>
            </w:tcBorders>
            <w:shd w:val="clear" w:color="000000" w:fill="FFFFFF"/>
            <w:vAlign w:val="bottom"/>
          </w:tcPr>
          <w:p w:rsidR="00F50F81" w:rsidRPr="00F50F81" w:rsidP="00F50F81" w14:paraId="02A18526" w14:textId="77777777">
            <w:pPr>
              <w:jc w:val="center"/>
              <w:rPr>
                <w:rFonts w:ascii="Calibri" w:hAnsi="Calibri" w:cs="Calibri"/>
                <w:color w:val="000000"/>
                <w:sz w:val="20"/>
              </w:rPr>
            </w:pPr>
          </w:p>
        </w:tc>
        <w:tc>
          <w:tcPr>
            <w:tcW w:w="2982" w:type="dxa"/>
            <w:gridSpan w:val="3"/>
            <w:tcBorders>
              <w:top w:val="single" w:sz="4" w:space="0" w:color="auto"/>
              <w:left w:val="nil"/>
              <w:bottom w:val="single" w:sz="4" w:space="0" w:color="auto"/>
              <w:right w:val="nil"/>
            </w:tcBorders>
            <w:shd w:val="clear" w:color="000000" w:fill="FFFFFF"/>
            <w:noWrap/>
            <w:vAlign w:val="bottom"/>
          </w:tcPr>
          <w:p w:rsidR="00F50F81" w:rsidRPr="00F50F81" w:rsidP="00F50F81" w14:paraId="097DBEFA" w14:textId="41876B6B">
            <w:pPr>
              <w:jc w:val="right"/>
              <w:rPr>
                <w:rFonts w:ascii="Calibri" w:hAnsi="Calibri" w:cs="Calibri"/>
                <w:b/>
                <w:bCs/>
                <w:color w:val="000000"/>
                <w:sz w:val="20"/>
              </w:rPr>
            </w:pPr>
            <w:r>
              <w:rPr>
                <w:rFonts w:ascii="Calibri" w:hAnsi="Calibri" w:cs="Calibri"/>
                <w:b/>
                <w:bCs/>
                <w:color w:val="000000"/>
                <w:sz w:val="20"/>
              </w:rPr>
              <w:t>Total Average Annual Burden</w:t>
            </w:r>
          </w:p>
        </w:tc>
        <w:tc>
          <w:tcPr>
            <w:tcW w:w="810" w:type="dxa"/>
            <w:tcBorders>
              <w:top w:val="nil"/>
              <w:left w:val="nil"/>
              <w:bottom w:val="single" w:sz="4" w:space="0" w:color="auto"/>
              <w:right w:val="single" w:sz="4" w:space="0" w:color="auto"/>
            </w:tcBorders>
            <w:shd w:val="clear" w:color="000000" w:fill="FFFFFF"/>
            <w:noWrap/>
            <w:vAlign w:val="bottom"/>
          </w:tcPr>
          <w:p w:rsidR="00F50F81" w:rsidRPr="00F50F81" w:rsidP="00F50F81" w14:paraId="38142AD4" w14:textId="6AEBD036">
            <w:pPr>
              <w:jc w:val="center"/>
              <w:rPr>
                <w:rFonts w:ascii="Calibri" w:hAnsi="Calibri" w:cs="Calibri"/>
                <w:b/>
                <w:bCs/>
                <w:color w:val="000000"/>
                <w:sz w:val="20"/>
              </w:rPr>
            </w:pPr>
            <w:r>
              <w:rPr>
                <w:rFonts w:ascii="Calibri" w:hAnsi="Calibri" w:cs="Calibri"/>
                <w:b/>
                <w:bCs/>
                <w:color w:val="000000"/>
                <w:sz w:val="20"/>
              </w:rPr>
              <w:t>4,761</w:t>
            </w:r>
          </w:p>
        </w:tc>
      </w:tr>
    </w:tbl>
    <w:p w:rsidR="00307CDE" w:rsidP="00CB2D27" w14:paraId="3EE6D861" w14:textId="3E178361">
      <w:pPr>
        <w:spacing w:before="40"/>
        <w:ind w:left="450"/>
      </w:pPr>
      <w:r w:rsidRPr="00307CDE">
        <w:rPr>
          <w:sz w:val="20"/>
        </w:rPr>
        <w:t xml:space="preserve">*Retention rates have been calculated based on previous </w:t>
      </w:r>
      <w:r w:rsidR="00C31053">
        <w:rPr>
          <w:sz w:val="20"/>
        </w:rPr>
        <w:t>year</w:t>
      </w:r>
      <w:r w:rsidR="005C0576">
        <w:rPr>
          <w:sz w:val="20"/>
        </w:rPr>
        <w:t>s</w:t>
      </w:r>
      <w:r w:rsidR="00C31053">
        <w:rPr>
          <w:sz w:val="20"/>
        </w:rPr>
        <w:t xml:space="preserve"> of the PSTAP Assessment</w:t>
      </w:r>
      <w:r w:rsidRPr="00307CDE">
        <w:rPr>
          <w:sz w:val="20"/>
        </w:rPr>
        <w:t>.</w:t>
      </w:r>
    </w:p>
    <w:p w:rsidR="002A1A7A" w:rsidP="002A1A7A" w14:paraId="673B65E0" w14:textId="77777777">
      <w:pPr>
        <w:ind w:left="576"/>
      </w:pPr>
    </w:p>
    <w:p w:rsidR="00307CDE" w:rsidP="002A1A7A" w14:paraId="7F15CCCB" w14:textId="4D6C26D4">
      <w:pPr>
        <w:ind w:left="576"/>
      </w:pPr>
      <w:r>
        <w:t xml:space="preserve">Based on expected response rates and retention rates for the study, the average annual burden for the PSTAP Assessment is </w:t>
      </w:r>
      <w:r w:rsidR="00A06D79">
        <w:t>4,761</w:t>
      </w:r>
      <w:r>
        <w:t xml:space="preserve"> hours.</w:t>
      </w:r>
      <w:r w:rsidR="00E93CE0">
        <w:t xml:space="preserve"> The retention rates for this study were developed based on a review of the retention rates of the Vocational Rehabilitation and Employment (VR&amp;E) longitudinal study currently being conducted by VA</w:t>
      </w:r>
      <w:r w:rsidR="00FA44E9">
        <w:t xml:space="preserve"> as well as previous years of the PSTAP Assessment</w:t>
      </w:r>
      <w:r w:rsidR="00E93CE0">
        <w:t xml:space="preserve">. </w:t>
      </w:r>
    </w:p>
    <w:p w:rsidR="00F130F1" w:rsidP="002A1A7A" w14:paraId="4690C82A" w14:textId="3B5BCD3F"/>
    <w:p w:rsidR="00F130F1" w:rsidRPr="00D17658" w:rsidP="002A1A7A" w14:paraId="36E4380A" w14:textId="7585ED39">
      <w:pPr>
        <w:ind w:left="288" w:firstLine="288"/>
        <w:rPr>
          <w:i/>
          <w:iCs/>
          <w:u w:val="single"/>
        </w:rPr>
      </w:pPr>
      <w:r w:rsidRPr="00D17658">
        <w:rPr>
          <w:i/>
          <w:iCs/>
          <w:u w:val="single"/>
        </w:rPr>
        <w:t>Section 4306 Study</w:t>
      </w:r>
    </w:p>
    <w:p w:rsidR="00F130F1" w:rsidP="00F130F1" w14:paraId="6F3EC2BB" w14:textId="77777777"/>
    <w:p w:rsidR="00F130F1" w:rsidP="002A1A7A" w14:paraId="28CC0244" w14:textId="4A6C0B98">
      <w:pPr>
        <w:ind w:left="576"/>
      </w:pPr>
      <w:r>
        <w:t xml:space="preserve">The purpose of the study is to document the outcomes of cohorts of TAP participants over a five-year period and to compare the outcomes across cohorts. </w:t>
      </w:r>
      <w:r w:rsidR="00221B10">
        <w:t>Public Law 116-315 did not provide specific precision requirements</w:t>
      </w:r>
      <w:r w:rsidRPr="00415F28" w:rsidR="00221B10">
        <w:t xml:space="preserve"> for</w:t>
      </w:r>
      <w:r w:rsidR="00221B10">
        <w:t xml:space="preserve"> the longitudinal study. </w:t>
      </w:r>
      <w:r>
        <w:t xml:space="preserve">The study team conducted a power analysis to examine the sample sizes needed to produce a minimum detectable difference (MDD) of 5 percentage points across cohorts. The MDD is the difference in proportions for an outcome measure (e.g., employment) for two groups that must exist to detect a statistically significant relationship. For this study, we consider an MDD of 5% or less sufficient to detect expected differences in major outcomes across cohorts. We assumed a 95% confidence level (alpha = .05), a one-tailed significance test, and a treatment group proportion of </w:t>
      </w:r>
      <w:r w:rsidRPr="00E32C73">
        <w:t>50%.</w:t>
      </w:r>
      <w:r>
        <w:t xml:space="preserve"> Using a base proportion of 50% provides a “worst-case” estimate of statistical power. A sample size of 2,400 per cohort provides an MDD of </w:t>
      </w:r>
      <w:r w:rsidRPr="00E32C73">
        <w:t>5</w:t>
      </w:r>
      <w:r>
        <w:t>% or less.</w:t>
      </w:r>
    </w:p>
    <w:p w:rsidR="00F130F1" w:rsidP="00F130F1" w14:paraId="457A8EEC" w14:textId="77777777"/>
    <w:p w:rsidR="00F130F1" w:rsidP="001B07B6" w14:paraId="357FC0A6" w14:textId="77777777">
      <w:pPr>
        <w:ind w:left="576"/>
      </w:pPr>
      <w:r>
        <w:t xml:space="preserve">In addition to the MDD, it will also be important to provide estimates of outcomes for each </w:t>
      </w:r>
      <w:r>
        <w:t>cohort</w:t>
      </w:r>
      <w:r>
        <w:t xml:space="preserve"> separately. Given a sample size of 2,400, the margin of error (MOE) will be 2.5%. This assumes a 95% confidence level (alpha = .05) and a proportion of 50%.</w:t>
      </w:r>
    </w:p>
    <w:p w:rsidR="001B07B6" w:rsidP="00F130F1" w14:paraId="6CFCA94F" w14:textId="77777777"/>
    <w:p w:rsidR="00F130F1" w:rsidP="001B07B6" w14:paraId="010E60E6" w14:textId="4C0D4B16">
      <w:pPr>
        <w:ind w:left="576"/>
      </w:pPr>
      <w:r>
        <w:t xml:space="preserve">It will be important for the analysis to be powered to examine outcomes in each cohort separately for subgroups of Veterans defined </w:t>
      </w:r>
      <w:r>
        <w:t>on the basis of</w:t>
      </w:r>
      <w:r>
        <w:t xml:space="preserve"> characteristics such as rank, race and ethnicity, and gender. </w:t>
      </w:r>
      <w:r w:rsidR="00D57048">
        <w:t>Table C</w:t>
      </w:r>
      <w:r>
        <w:t xml:space="preserve"> shows the MOE for subgroups of interest based on the expected distribution of characteristics in the </w:t>
      </w:r>
      <w:r>
        <w:t>population and differential response rates.</w:t>
      </w:r>
      <w:r>
        <w:rPr>
          <w:rStyle w:val="FootnoteReference"/>
        </w:rPr>
        <w:footnoteReference w:id="3"/>
      </w:r>
      <w:r>
        <w:t xml:space="preserve"> </w:t>
      </w:r>
      <w:r w:rsidR="00795D76">
        <w:t xml:space="preserve">Table </w:t>
      </w:r>
      <w:r w:rsidR="00BC01B2">
        <w:t>C</w:t>
      </w:r>
      <w:r>
        <w:t xml:space="preserve"> provides MOEs under the design effect of 1.5 and a total sample size of 2,400.</w:t>
      </w:r>
      <w:r>
        <w:rPr>
          <w:rStyle w:val="FootnoteReference"/>
        </w:rPr>
        <w:footnoteReference w:id="4"/>
      </w:r>
      <w:r>
        <w:t xml:space="preserve"> The table shows that all but one of the MOEs is less than 10%, and several are under 5%. (The only MOE that is higher than 10% is Coast Guard at 19%, because it is a small percentage of the population.) We believe that these are acceptable MOEs for subgroup estimates. For subgroups with higher MOEs, it would be possible to oversample them to obtain lower MOEs. For example, we could oversample females to lower the MOE from </w:t>
      </w:r>
      <w:r w:rsidRPr="00E32C73">
        <w:t>7% to 5%.</w:t>
      </w:r>
      <w:r>
        <w:t xml:space="preserve"> However, this would increase the MOE for males as well as the design effect, which would require a larger overall sample size.</w:t>
      </w:r>
    </w:p>
    <w:p w:rsidR="00F130F1" w:rsidP="00F130F1" w14:paraId="231707D4" w14:textId="77777777"/>
    <w:p w:rsidR="00F130F1" w:rsidP="001B07B6" w14:paraId="1FA7FAB3" w14:textId="28D589DF">
      <w:pPr>
        <w:ind w:left="576"/>
      </w:pPr>
      <w:r>
        <w:t>Overall, the power analysis indicates that a sample size of 2,400 per cohort, or 7,200 overall, will be sufficient. This sample size will allow for detecting differences in outcomes of 5 percentage points across cohorts and a margin of error of 2.5 percentage points for each cohort. Moreover, it will permit subgroup estimates with a precision of less than 10 percentage points for all subgroups.</w:t>
      </w:r>
    </w:p>
    <w:p w:rsidR="00F130F1" w:rsidP="00F130F1" w14:paraId="3BEBFD7E" w14:textId="36213460">
      <w:pPr>
        <w:pStyle w:val="Caption"/>
      </w:pPr>
      <w:bookmarkStart w:id="0" w:name="_Ref87862564"/>
      <w:r>
        <w:t xml:space="preserve">Table </w:t>
      </w:r>
      <w:bookmarkEnd w:id="0"/>
      <w:r w:rsidR="00BC01B2">
        <w:t>C</w:t>
      </w:r>
      <w:r>
        <w:t>. Margins of Error for Veteran Subgroups in Each Cohort, 95% confidence level (alpha = .05)</w:t>
      </w:r>
    </w:p>
    <w:tbl>
      <w:tblPr>
        <w:tblStyle w:val="TableGrid"/>
        <w:tblW w:w="8560" w:type="dxa"/>
        <w:tblLayout w:type="fixed"/>
        <w:tblLook w:val="04A0"/>
      </w:tblPr>
      <w:tblGrid>
        <w:gridCol w:w="1810"/>
        <w:gridCol w:w="2061"/>
        <w:gridCol w:w="1899"/>
        <w:gridCol w:w="2790"/>
      </w:tblGrid>
      <w:tr w14:paraId="567241DD" w14:textId="77777777" w:rsidTr="00713BDC">
        <w:tblPrEx>
          <w:tblW w:w="8560" w:type="dxa"/>
          <w:tblLayout w:type="fixed"/>
          <w:tblLook w:val="04A0"/>
        </w:tblPrEx>
        <w:trPr>
          <w:trHeight w:val="540"/>
        </w:trPr>
        <w:tc>
          <w:tcPr>
            <w:tcW w:w="1810" w:type="dxa"/>
            <w:noWrap/>
            <w:hideMark/>
          </w:tcPr>
          <w:p w:rsidR="00F130F1" w:rsidRPr="00AD31D9" w:rsidP="006D57BC" w14:paraId="6768A2B3" w14:textId="77777777">
            <w:pPr>
              <w:rPr>
                <w:rFonts w:cs="Arial"/>
                <w:b/>
                <w:bCs/>
                <w:color w:val="000000"/>
                <w:sz w:val="18"/>
                <w:szCs w:val="18"/>
              </w:rPr>
            </w:pPr>
            <w:r w:rsidRPr="00AD31D9">
              <w:rPr>
                <w:rFonts w:cs="Arial"/>
                <w:b/>
                <w:bCs/>
                <w:color w:val="000000"/>
                <w:sz w:val="18"/>
                <w:szCs w:val="18"/>
              </w:rPr>
              <w:t>Variable</w:t>
            </w:r>
          </w:p>
        </w:tc>
        <w:tc>
          <w:tcPr>
            <w:tcW w:w="2061" w:type="dxa"/>
            <w:noWrap/>
            <w:hideMark/>
          </w:tcPr>
          <w:p w:rsidR="00F130F1" w:rsidRPr="00AD31D9" w:rsidP="006D57BC" w14:paraId="34369FF8" w14:textId="77777777">
            <w:pPr>
              <w:rPr>
                <w:rFonts w:cs="Arial"/>
                <w:b/>
                <w:bCs/>
                <w:color w:val="000000"/>
                <w:sz w:val="18"/>
                <w:szCs w:val="18"/>
              </w:rPr>
            </w:pPr>
            <w:r w:rsidRPr="00AD31D9">
              <w:rPr>
                <w:rFonts w:cs="Arial"/>
                <w:b/>
                <w:bCs/>
                <w:color w:val="000000"/>
                <w:sz w:val="18"/>
                <w:szCs w:val="18"/>
              </w:rPr>
              <w:t>Group</w:t>
            </w:r>
          </w:p>
        </w:tc>
        <w:tc>
          <w:tcPr>
            <w:tcW w:w="1899" w:type="dxa"/>
            <w:noWrap/>
            <w:hideMark/>
          </w:tcPr>
          <w:p w:rsidR="00F130F1" w:rsidRPr="00AD31D9" w:rsidP="006D57BC" w14:paraId="2EA3B8FF" w14:textId="77777777">
            <w:pPr>
              <w:rPr>
                <w:rFonts w:cs="Arial"/>
                <w:b/>
                <w:bCs/>
                <w:color w:val="000000"/>
                <w:sz w:val="18"/>
                <w:szCs w:val="18"/>
              </w:rPr>
            </w:pPr>
            <w:r w:rsidRPr="00AD31D9">
              <w:rPr>
                <w:rFonts w:cs="Arial"/>
                <w:b/>
                <w:bCs/>
                <w:color w:val="000000"/>
                <w:sz w:val="18"/>
                <w:szCs w:val="18"/>
              </w:rPr>
              <w:t>Rough estimated percentage of total</w:t>
            </w:r>
          </w:p>
        </w:tc>
        <w:tc>
          <w:tcPr>
            <w:tcW w:w="2790" w:type="dxa"/>
            <w:hideMark/>
          </w:tcPr>
          <w:p w:rsidR="00F130F1" w:rsidRPr="00AD31D9" w:rsidP="006D57BC" w14:paraId="59FCE88D" w14:textId="77777777">
            <w:pPr>
              <w:rPr>
                <w:rFonts w:cs="Arial"/>
                <w:b/>
                <w:bCs/>
                <w:color w:val="000000"/>
                <w:sz w:val="18"/>
                <w:szCs w:val="18"/>
              </w:rPr>
            </w:pPr>
            <w:r w:rsidRPr="00AD31D9">
              <w:rPr>
                <w:rFonts w:cs="Arial"/>
                <w:b/>
                <w:bCs/>
                <w:color w:val="000000"/>
                <w:sz w:val="18"/>
                <w:szCs w:val="18"/>
              </w:rPr>
              <w:t>Rough estimate of MOE for p=50% (</w:t>
            </w:r>
            <w:r>
              <w:rPr>
                <w:rFonts w:cs="Arial"/>
                <w:b/>
                <w:bCs/>
                <w:color w:val="000000"/>
                <w:sz w:val="18"/>
                <w:szCs w:val="18"/>
              </w:rPr>
              <w:t>Design Effect</w:t>
            </w:r>
            <w:r w:rsidRPr="00AD31D9">
              <w:rPr>
                <w:rFonts w:cs="Arial"/>
                <w:b/>
                <w:bCs/>
                <w:color w:val="000000"/>
                <w:sz w:val="18"/>
                <w:szCs w:val="18"/>
              </w:rPr>
              <w:t xml:space="preserve"> of 1.5)</w:t>
            </w:r>
          </w:p>
        </w:tc>
      </w:tr>
      <w:tr w14:paraId="5B260634" w14:textId="77777777" w:rsidTr="00713BDC">
        <w:tblPrEx>
          <w:tblW w:w="8560" w:type="dxa"/>
          <w:tblLayout w:type="fixed"/>
          <w:tblLook w:val="04A0"/>
        </w:tblPrEx>
        <w:trPr>
          <w:trHeight w:val="315"/>
        </w:trPr>
        <w:tc>
          <w:tcPr>
            <w:tcW w:w="1810" w:type="dxa"/>
            <w:noWrap/>
            <w:hideMark/>
          </w:tcPr>
          <w:p w:rsidR="00F130F1" w:rsidRPr="00FC2DE4" w:rsidP="006D57BC" w14:paraId="7855908D" w14:textId="77777777">
            <w:pPr>
              <w:rPr>
                <w:rFonts w:cs="Arial"/>
                <w:b/>
                <w:bCs/>
                <w:color w:val="000000"/>
                <w:sz w:val="18"/>
                <w:szCs w:val="18"/>
              </w:rPr>
            </w:pPr>
            <w:r w:rsidRPr="00FC2DE4">
              <w:rPr>
                <w:rFonts w:cs="Arial"/>
                <w:b/>
                <w:bCs/>
                <w:color w:val="000000"/>
                <w:sz w:val="18"/>
                <w:szCs w:val="18"/>
              </w:rPr>
              <w:t>Branch</w:t>
            </w:r>
          </w:p>
        </w:tc>
        <w:tc>
          <w:tcPr>
            <w:tcW w:w="2061" w:type="dxa"/>
            <w:noWrap/>
            <w:hideMark/>
          </w:tcPr>
          <w:p w:rsidR="00F130F1" w:rsidRPr="00AD31D9" w:rsidP="006D57BC" w14:paraId="05976631" w14:textId="77777777">
            <w:pPr>
              <w:rPr>
                <w:rFonts w:cs="Arial"/>
                <w:color w:val="000000"/>
                <w:sz w:val="18"/>
                <w:szCs w:val="18"/>
              </w:rPr>
            </w:pPr>
            <w:r w:rsidRPr="00AD31D9">
              <w:rPr>
                <w:rFonts w:cs="Arial"/>
                <w:color w:val="000000"/>
                <w:sz w:val="18"/>
                <w:szCs w:val="18"/>
              </w:rPr>
              <w:t xml:space="preserve">Air </w:t>
            </w:r>
            <w:r>
              <w:rPr>
                <w:rFonts w:cs="Arial"/>
                <w:color w:val="000000"/>
                <w:sz w:val="18"/>
                <w:szCs w:val="18"/>
              </w:rPr>
              <w:t>F</w:t>
            </w:r>
            <w:r w:rsidRPr="00AD31D9">
              <w:rPr>
                <w:rFonts w:cs="Arial"/>
                <w:color w:val="000000"/>
                <w:sz w:val="18"/>
                <w:szCs w:val="18"/>
              </w:rPr>
              <w:t>orce</w:t>
            </w:r>
          </w:p>
        </w:tc>
        <w:tc>
          <w:tcPr>
            <w:tcW w:w="1899" w:type="dxa"/>
            <w:noWrap/>
            <w:hideMark/>
          </w:tcPr>
          <w:p w:rsidR="00F130F1" w:rsidRPr="00AD31D9" w:rsidP="006D57BC" w14:paraId="1C3807BF" w14:textId="77777777">
            <w:pPr>
              <w:ind w:right="695"/>
              <w:jc w:val="right"/>
              <w:rPr>
                <w:rFonts w:cs="Arial"/>
                <w:color w:val="000000"/>
                <w:sz w:val="18"/>
                <w:szCs w:val="18"/>
              </w:rPr>
            </w:pPr>
            <w:r w:rsidRPr="00AD31D9">
              <w:rPr>
                <w:rFonts w:cs="Arial"/>
                <w:color w:val="000000"/>
                <w:sz w:val="18"/>
                <w:szCs w:val="18"/>
              </w:rPr>
              <w:t>18</w:t>
            </w:r>
          </w:p>
        </w:tc>
        <w:tc>
          <w:tcPr>
            <w:tcW w:w="2790" w:type="dxa"/>
            <w:hideMark/>
          </w:tcPr>
          <w:p w:rsidR="00F130F1" w:rsidRPr="00AD31D9" w:rsidP="006D57BC" w14:paraId="2C8DE8BB" w14:textId="77777777">
            <w:pPr>
              <w:ind w:right="869"/>
              <w:jc w:val="right"/>
              <w:rPr>
                <w:rFonts w:cs="Arial"/>
                <w:color w:val="000000"/>
                <w:sz w:val="18"/>
                <w:szCs w:val="18"/>
              </w:rPr>
            </w:pPr>
            <w:r w:rsidRPr="00AD31D9">
              <w:rPr>
                <w:rFonts w:cs="Arial"/>
                <w:color w:val="000000"/>
                <w:sz w:val="18"/>
                <w:szCs w:val="18"/>
              </w:rPr>
              <w:t>5.77%</w:t>
            </w:r>
          </w:p>
        </w:tc>
      </w:tr>
      <w:tr w14:paraId="60831939" w14:textId="77777777" w:rsidTr="00713BDC">
        <w:tblPrEx>
          <w:tblW w:w="8560" w:type="dxa"/>
          <w:tblLayout w:type="fixed"/>
          <w:tblLook w:val="04A0"/>
        </w:tblPrEx>
        <w:trPr>
          <w:trHeight w:val="315"/>
        </w:trPr>
        <w:tc>
          <w:tcPr>
            <w:tcW w:w="1810" w:type="dxa"/>
            <w:noWrap/>
            <w:hideMark/>
          </w:tcPr>
          <w:p w:rsidR="00F130F1" w:rsidRPr="00FC2DE4" w:rsidP="006D57BC" w14:paraId="5CC8E28A" w14:textId="77777777">
            <w:pPr>
              <w:rPr>
                <w:rFonts w:cs="Arial"/>
                <w:b/>
                <w:bCs/>
                <w:color w:val="000000"/>
                <w:sz w:val="18"/>
                <w:szCs w:val="18"/>
              </w:rPr>
            </w:pPr>
            <w:r w:rsidRPr="00FC2DE4">
              <w:rPr>
                <w:rFonts w:cs="Arial"/>
                <w:b/>
                <w:bCs/>
                <w:color w:val="000000"/>
                <w:sz w:val="18"/>
                <w:szCs w:val="18"/>
              </w:rPr>
              <w:t> </w:t>
            </w:r>
          </w:p>
        </w:tc>
        <w:tc>
          <w:tcPr>
            <w:tcW w:w="2061" w:type="dxa"/>
            <w:noWrap/>
            <w:hideMark/>
          </w:tcPr>
          <w:p w:rsidR="00F130F1" w:rsidRPr="00AD31D9" w:rsidP="006D57BC" w14:paraId="21A7A652" w14:textId="77777777">
            <w:pPr>
              <w:rPr>
                <w:rFonts w:cs="Arial"/>
                <w:color w:val="000000"/>
                <w:sz w:val="18"/>
                <w:szCs w:val="18"/>
              </w:rPr>
            </w:pPr>
            <w:r w:rsidRPr="00AD31D9">
              <w:rPr>
                <w:rFonts w:cs="Arial"/>
                <w:color w:val="000000"/>
                <w:sz w:val="18"/>
                <w:szCs w:val="18"/>
              </w:rPr>
              <w:t>Army</w:t>
            </w:r>
          </w:p>
        </w:tc>
        <w:tc>
          <w:tcPr>
            <w:tcW w:w="1899" w:type="dxa"/>
            <w:noWrap/>
            <w:hideMark/>
          </w:tcPr>
          <w:p w:rsidR="00F130F1" w:rsidRPr="00AD31D9" w:rsidP="006D57BC" w14:paraId="37A457A1" w14:textId="77777777">
            <w:pPr>
              <w:ind w:right="695"/>
              <w:jc w:val="right"/>
              <w:rPr>
                <w:rFonts w:cs="Arial"/>
                <w:color w:val="000000"/>
                <w:sz w:val="18"/>
                <w:szCs w:val="18"/>
              </w:rPr>
            </w:pPr>
            <w:r w:rsidRPr="00AD31D9">
              <w:rPr>
                <w:rFonts w:cs="Arial"/>
                <w:color w:val="000000"/>
                <w:sz w:val="18"/>
                <w:szCs w:val="18"/>
              </w:rPr>
              <w:t>46</w:t>
            </w:r>
          </w:p>
        </w:tc>
        <w:tc>
          <w:tcPr>
            <w:tcW w:w="2790" w:type="dxa"/>
            <w:hideMark/>
          </w:tcPr>
          <w:p w:rsidR="00F130F1" w:rsidRPr="00AD31D9" w:rsidP="006D57BC" w14:paraId="36C28C09" w14:textId="77777777">
            <w:pPr>
              <w:ind w:right="869"/>
              <w:jc w:val="right"/>
              <w:rPr>
                <w:rFonts w:cs="Arial"/>
                <w:color w:val="000000"/>
                <w:sz w:val="18"/>
                <w:szCs w:val="18"/>
              </w:rPr>
            </w:pPr>
            <w:r w:rsidRPr="00AD31D9">
              <w:rPr>
                <w:rFonts w:cs="Arial"/>
                <w:color w:val="000000"/>
                <w:sz w:val="18"/>
                <w:szCs w:val="18"/>
              </w:rPr>
              <w:t>3.61%</w:t>
            </w:r>
          </w:p>
        </w:tc>
      </w:tr>
      <w:tr w14:paraId="04BECA4D" w14:textId="77777777" w:rsidTr="00713BDC">
        <w:tblPrEx>
          <w:tblW w:w="8560" w:type="dxa"/>
          <w:tblLayout w:type="fixed"/>
          <w:tblLook w:val="04A0"/>
        </w:tblPrEx>
        <w:trPr>
          <w:trHeight w:val="315"/>
        </w:trPr>
        <w:tc>
          <w:tcPr>
            <w:tcW w:w="1810" w:type="dxa"/>
            <w:noWrap/>
            <w:hideMark/>
          </w:tcPr>
          <w:p w:rsidR="00F130F1" w:rsidRPr="00FC2DE4" w:rsidP="006D57BC" w14:paraId="206B8563" w14:textId="77777777">
            <w:pPr>
              <w:rPr>
                <w:rFonts w:cs="Arial"/>
                <w:b/>
                <w:bCs/>
                <w:color w:val="000000"/>
                <w:sz w:val="18"/>
                <w:szCs w:val="18"/>
              </w:rPr>
            </w:pPr>
            <w:r w:rsidRPr="00FC2DE4">
              <w:rPr>
                <w:rFonts w:cs="Arial"/>
                <w:b/>
                <w:bCs/>
                <w:color w:val="000000"/>
                <w:sz w:val="18"/>
                <w:szCs w:val="18"/>
              </w:rPr>
              <w:t> </w:t>
            </w:r>
          </w:p>
        </w:tc>
        <w:tc>
          <w:tcPr>
            <w:tcW w:w="2061" w:type="dxa"/>
            <w:noWrap/>
            <w:hideMark/>
          </w:tcPr>
          <w:p w:rsidR="00F130F1" w:rsidRPr="00AD31D9" w:rsidP="006D57BC" w14:paraId="57E8ED19" w14:textId="77777777">
            <w:pPr>
              <w:rPr>
                <w:rFonts w:cs="Arial"/>
                <w:color w:val="000000"/>
                <w:sz w:val="18"/>
                <w:szCs w:val="18"/>
              </w:rPr>
            </w:pPr>
            <w:r w:rsidRPr="00AD31D9">
              <w:rPr>
                <w:rFonts w:cs="Arial"/>
                <w:color w:val="000000"/>
                <w:sz w:val="18"/>
                <w:szCs w:val="18"/>
              </w:rPr>
              <w:t>Coast Guard</w:t>
            </w:r>
          </w:p>
        </w:tc>
        <w:tc>
          <w:tcPr>
            <w:tcW w:w="1899" w:type="dxa"/>
            <w:noWrap/>
            <w:hideMark/>
          </w:tcPr>
          <w:p w:rsidR="00F130F1" w:rsidRPr="00AD31D9" w:rsidP="006D57BC" w14:paraId="1DDCB286" w14:textId="77777777">
            <w:pPr>
              <w:ind w:right="695"/>
              <w:jc w:val="right"/>
              <w:rPr>
                <w:rFonts w:cs="Arial"/>
                <w:color w:val="000000"/>
                <w:sz w:val="18"/>
                <w:szCs w:val="18"/>
              </w:rPr>
            </w:pPr>
            <w:r w:rsidRPr="00AD31D9">
              <w:rPr>
                <w:rFonts w:cs="Arial"/>
                <w:color w:val="000000"/>
                <w:sz w:val="18"/>
                <w:szCs w:val="18"/>
              </w:rPr>
              <w:t>1.6</w:t>
            </w:r>
          </w:p>
        </w:tc>
        <w:tc>
          <w:tcPr>
            <w:tcW w:w="2790" w:type="dxa"/>
            <w:hideMark/>
          </w:tcPr>
          <w:p w:rsidR="00F130F1" w:rsidRPr="00AD31D9" w:rsidP="006D57BC" w14:paraId="36B97B5F" w14:textId="77777777">
            <w:pPr>
              <w:ind w:right="869"/>
              <w:jc w:val="right"/>
              <w:rPr>
                <w:rFonts w:cs="Arial"/>
                <w:color w:val="000000"/>
                <w:sz w:val="18"/>
                <w:szCs w:val="18"/>
              </w:rPr>
            </w:pPr>
            <w:r w:rsidRPr="00AD31D9">
              <w:rPr>
                <w:rFonts w:cs="Arial"/>
                <w:color w:val="000000"/>
                <w:sz w:val="18"/>
                <w:szCs w:val="18"/>
              </w:rPr>
              <w:t>19.37%</w:t>
            </w:r>
          </w:p>
        </w:tc>
      </w:tr>
      <w:tr w14:paraId="02700127" w14:textId="77777777" w:rsidTr="00713BDC">
        <w:tblPrEx>
          <w:tblW w:w="8560" w:type="dxa"/>
          <w:tblLayout w:type="fixed"/>
          <w:tblLook w:val="04A0"/>
        </w:tblPrEx>
        <w:trPr>
          <w:trHeight w:val="315"/>
        </w:trPr>
        <w:tc>
          <w:tcPr>
            <w:tcW w:w="1810" w:type="dxa"/>
            <w:noWrap/>
            <w:hideMark/>
          </w:tcPr>
          <w:p w:rsidR="00F130F1" w:rsidRPr="00FC2DE4" w:rsidP="006D57BC" w14:paraId="266396D5" w14:textId="77777777">
            <w:pPr>
              <w:rPr>
                <w:rFonts w:cs="Arial"/>
                <w:b/>
                <w:bCs/>
                <w:color w:val="000000"/>
                <w:sz w:val="18"/>
                <w:szCs w:val="18"/>
              </w:rPr>
            </w:pPr>
            <w:r w:rsidRPr="00FC2DE4">
              <w:rPr>
                <w:rFonts w:cs="Arial"/>
                <w:b/>
                <w:bCs/>
                <w:color w:val="000000"/>
                <w:sz w:val="18"/>
                <w:szCs w:val="18"/>
              </w:rPr>
              <w:t> </w:t>
            </w:r>
          </w:p>
        </w:tc>
        <w:tc>
          <w:tcPr>
            <w:tcW w:w="2061" w:type="dxa"/>
            <w:noWrap/>
            <w:hideMark/>
          </w:tcPr>
          <w:p w:rsidR="00F130F1" w:rsidRPr="00AD31D9" w:rsidP="006D57BC" w14:paraId="559E3F52" w14:textId="77777777">
            <w:pPr>
              <w:rPr>
                <w:rFonts w:cs="Arial"/>
                <w:color w:val="000000"/>
                <w:sz w:val="18"/>
                <w:szCs w:val="18"/>
              </w:rPr>
            </w:pPr>
            <w:r w:rsidRPr="00AD31D9">
              <w:rPr>
                <w:rFonts w:cs="Arial"/>
                <w:color w:val="000000"/>
                <w:sz w:val="18"/>
                <w:szCs w:val="18"/>
              </w:rPr>
              <w:t>Marine Corp</w:t>
            </w:r>
            <w:r>
              <w:rPr>
                <w:rFonts w:cs="Arial"/>
                <w:color w:val="000000"/>
                <w:sz w:val="18"/>
                <w:szCs w:val="18"/>
              </w:rPr>
              <w:t>s</w:t>
            </w:r>
          </w:p>
        </w:tc>
        <w:tc>
          <w:tcPr>
            <w:tcW w:w="1899" w:type="dxa"/>
            <w:noWrap/>
            <w:hideMark/>
          </w:tcPr>
          <w:p w:rsidR="00F130F1" w:rsidRPr="00AD31D9" w:rsidP="006D57BC" w14:paraId="32F013BE" w14:textId="77777777">
            <w:pPr>
              <w:ind w:right="695"/>
              <w:jc w:val="right"/>
              <w:rPr>
                <w:rFonts w:cs="Arial"/>
                <w:color w:val="000000"/>
                <w:sz w:val="18"/>
                <w:szCs w:val="18"/>
              </w:rPr>
            </w:pPr>
            <w:r w:rsidRPr="00AD31D9">
              <w:rPr>
                <w:rFonts w:cs="Arial"/>
                <w:color w:val="000000"/>
                <w:sz w:val="18"/>
                <w:szCs w:val="18"/>
              </w:rPr>
              <w:t>18</w:t>
            </w:r>
          </w:p>
        </w:tc>
        <w:tc>
          <w:tcPr>
            <w:tcW w:w="2790" w:type="dxa"/>
            <w:hideMark/>
          </w:tcPr>
          <w:p w:rsidR="00F130F1" w:rsidRPr="00AD31D9" w:rsidP="006D57BC" w14:paraId="3F322987" w14:textId="77777777">
            <w:pPr>
              <w:ind w:right="869"/>
              <w:jc w:val="right"/>
              <w:rPr>
                <w:rFonts w:cs="Arial"/>
                <w:color w:val="000000"/>
                <w:sz w:val="18"/>
                <w:szCs w:val="18"/>
              </w:rPr>
            </w:pPr>
            <w:r w:rsidRPr="00AD31D9">
              <w:rPr>
                <w:rFonts w:cs="Arial"/>
                <w:color w:val="000000"/>
                <w:sz w:val="18"/>
                <w:szCs w:val="18"/>
              </w:rPr>
              <w:t>5.77%</w:t>
            </w:r>
          </w:p>
        </w:tc>
      </w:tr>
      <w:tr w14:paraId="41549997" w14:textId="77777777" w:rsidTr="00713BDC">
        <w:tblPrEx>
          <w:tblW w:w="8560" w:type="dxa"/>
          <w:tblLayout w:type="fixed"/>
          <w:tblLook w:val="04A0"/>
        </w:tblPrEx>
        <w:trPr>
          <w:trHeight w:val="315"/>
        </w:trPr>
        <w:tc>
          <w:tcPr>
            <w:tcW w:w="1810" w:type="dxa"/>
            <w:noWrap/>
            <w:hideMark/>
          </w:tcPr>
          <w:p w:rsidR="00F130F1" w:rsidRPr="00FC2DE4" w:rsidP="006D57BC" w14:paraId="1DE8F83B" w14:textId="77777777">
            <w:pPr>
              <w:rPr>
                <w:rFonts w:cs="Arial"/>
                <w:b/>
                <w:bCs/>
                <w:color w:val="000000"/>
                <w:sz w:val="18"/>
                <w:szCs w:val="18"/>
              </w:rPr>
            </w:pPr>
            <w:r w:rsidRPr="00FC2DE4">
              <w:rPr>
                <w:rFonts w:cs="Arial"/>
                <w:b/>
                <w:bCs/>
                <w:color w:val="000000"/>
                <w:sz w:val="18"/>
                <w:szCs w:val="18"/>
              </w:rPr>
              <w:t> </w:t>
            </w:r>
          </w:p>
        </w:tc>
        <w:tc>
          <w:tcPr>
            <w:tcW w:w="2061" w:type="dxa"/>
            <w:noWrap/>
            <w:hideMark/>
          </w:tcPr>
          <w:p w:rsidR="00F130F1" w:rsidRPr="00AD31D9" w:rsidP="006D57BC" w14:paraId="0D87B8B8" w14:textId="77777777">
            <w:pPr>
              <w:rPr>
                <w:rFonts w:cs="Arial"/>
                <w:color w:val="000000"/>
                <w:sz w:val="18"/>
                <w:szCs w:val="18"/>
              </w:rPr>
            </w:pPr>
            <w:r w:rsidRPr="00AD31D9">
              <w:rPr>
                <w:rFonts w:cs="Arial"/>
                <w:color w:val="000000"/>
                <w:sz w:val="18"/>
                <w:szCs w:val="18"/>
              </w:rPr>
              <w:t>Navy</w:t>
            </w:r>
          </w:p>
        </w:tc>
        <w:tc>
          <w:tcPr>
            <w:tcW w:w="1899" w:type="dxa"/>
            <w:noWrap/>
            <w:hideMark/>
          </w:tcPr>
          <w:p w:rsidR="00F130F1" w:rsidRPr="00AD31D9" w:rsidP="006D57BC" w14:paraId="2AC627B0" w14:textId="77777777">
            <w:pPr>
              <w:ind w:right="695"/>
              <w:jc w:val="right"/>
              <w:rPr>
                <w:rFonts w:cs="Arial"/>
                <w:color w:val="000000"/>
                <w:sz w:val="18"/>
                <w:szCs w:val="18"/>
              </w:rPr>
            </w:pPr>
            <w:r w:rsidRPr="00AD31D9">
              <w:rPr>
                <w:rFonts w:cs="Arial"/>
                <w:color w:val="000000"/>
                <w:sz w:val="18"/>
                <w:szCs w:val="18"/>
              </w:rPr>
              <w:t>17</w:t>
            </w:r>
          </w:p>
        </w:tc>
        <w:tc>
          <w:tcPr>
            <w:tcW w:w="2790" w:type="dxa"/>
            <w:hideMark/>
          </w:tcPr>
          <w:p w:rsidR="00F130F1" w:rsidRPr="00AD31D9" w:rsidP="006D57BC" w14:paraId="0EED514C" w14:textId="77777777">
            <w:pPr>
              <w:ind w:right="869"/>
              <w:jc w:val="right"/>
              <w:rPr>
                <w:rFonts w:cs="Arial"/>
                <w:color w:val="000000"/>
                <w:sz w:val="18"/>
                <w:szCs w:val="18"/>
              </w:rPr>
            </w:pPr>
            <w:r w:rsidRPr="00AD31D9">
              <w:rPr>
                <w:rFonts w:cs="Arial"/>
                <w:color w:val="000000"/>
                <w:sz w:val="18"/>
                <w:szCs w:val="18"/>
              </w:rPr>
              <w:t>5.94%</w:t>
            </w:r>
          </w:p>
        </w:tc>
      </w:tr>
      <w:tr w14:paraId="71336785" w14:textId="77777777" w:rsidTr="00713BDC">
        <w:tblPrEx>
          <w:tblW w:w="8560" w:type="dxa"/>
          <w:tblLayout w:type="fixed"/>
          <w:tblLook w:val="04A0"/>
        </w:tblPrEx>
        <w:trPr>
          <w:trHeight w:val="315"/>
        </w:trPr>
        <w:tc>
          <w:tcPr>
            <w:tcW w:w="1810" w:type="dxa"/>
            <w:noWrap/>
            <w:hideMark/>
          </w:tcPr>
          <w:p w:rsidR="00F130F1" w:rsidRPr="00FC2DE4" w:rsidP="006D57BC" w14:paraId="65950C8C" w14:textId="77777777">
            <w:pPr>
              <w:rPr>
                <w:rFonts w:cs="Arial"/>
                <w:b/>
                <w:bCs/>
                <w:color w:val="000000"/>
                <w:sz w:val="18"/>
                <w:szCs w:val="18"/>
              </w:rPr>
            </w:pPr>
            <w:r w:rsidRPr="00FC2DE4">
              <w:rPr>
                <w:rFonts w:cs="Arial"/>
                <w:b/>
                <w:bCs/>
                <w:color w:val="000000"/>
                <w:sz w:val="18"/>
                <w:szCs w:val="18"/>
              </w:rPr>
              <w:t>Grade</w:t>
            </w:r>
          </w:p>
        </w:tc>
        <w:tc>
          <w:tcPr>
            <w:tcW w:w="2061" w:type="dxa"/>
            <w:noWrap/>
            <w:hideMark/>
          </w:tcPr>
          <w:p w:rsidR="00F130F1" w:rsidRPr="00AD31D9" w:rsidP="006D57BC" w14:paraId="220F36C5" w14:textId="77777777">
            <w:pPr>
              <w:rPr>
                <w:rFonts w:cs="Arial"/>
                <w:color w:val="000000"/>
                <w:sz w:val="18"/>
                <w:szCs w:val="18"/>
              </w:rPr>
            </w:pPr>
            <w:r w:rsidRPr="00AD31D9">
              <w:rPr>
                <w:rFonts w:cs="Arial"/>
                <w:color w:val="000000"/>
                <w:sz w:val="18"/>
                <w:szCs w:val="18"/>
              </w:rPr>
              <w:t>E-1 to E-3</w:t>
            </w:r>
          </w:p>
        </w:tc>
        <w:tc>
          <w:tcPr>
            <w:tcW w:w="1899" w:type="dxa"/>
            <w:noWrap/>
            <w:hideMark/>
          </w:tcPr>
          <w:p w:rsidR="00F130F1" w:rsidRPr="00AD31D9" w:rsidP="006D57BC" w14:paraId="3CB4EA39" w14:textId="77777777">
            <w:pPr>
              <w:ind w:right="695"/>
              <w:jc w:val="right"/>
              <w:rPr>
                <w:rFonts w:cs="Arial"/>
                <w:color w:val="000000"/>
                <w:sz w:val="18"/>
                <w:szCs w:val="18"/>
              </w:rPr>
            </w:pPr>
            <w:r w:rsidRPr="00AD31D9">
              <w:rPr>
                <w:rFonts w:cs="Arial"/>
                <w:color w:val="000000"/>
                <w:sz w:val="18"/>
                <w:szCs w:val="18"/>
              </w:rPr>
              <w:t>16</w:t>
            </w:r>
          </w:p>
        </w:tc>
        <w:tc>
          <w:tcPr>
            <w:tcW w:w="2790" w:type="dxa"/>
            <w:hideMark/>
          </w:tcPr>
          <w:p w:rsidR="00F130F1" w:rsidRPr="00AD31D9" w:rsidP="006D57BC" w14:paraId="038A7191" w14:textId="77777777">
            <w:pPr>
              <w:ind w:right="869"/>
              <w:jc w:val="right"/>
              <w:rPr>
                <w:rFonts w:cs="Arial"/>
                <w:color w:val="000000"/>
                <w:sz w:val="18"/>
                <w:szCs w:val="18"/>
              </w:rPr>
            </w:pPr>
            <w:r w:rsidRPr="00AD31D9">
              <w:rPr>
                <w:rFonts w:cs="Arial"/>
                <w:color w:val="000000"/>
                <w:sz w:val="18"/>
                <w:szCs w:val="18"/>
              </w:rPr>
              <w:t>6.13%</w:t>
            </w:r>
          </w:p>
        </w:tc>
      </w:tr>
      <w:tr w14:paraId="7B4F399F" w14:textId="77777777" w:rsidTr="00713BDC">
        <w:tblPrEx>
          <w:tblW w:w="8560" w:type="dxa"/>
          <w:tblLayout w:type="fixed"/>
          <w:tblLook w:val="04A0"/>
        </w:tblPrEx>
        <w:trPr>
          <w:trHeight w:val="315"/>
        </w:trPr>
        <w:tc>
          <w:tcPr>
            <w:tcW w:w="1810" w:type="dxa"/>
            <w:noWrap/>
            <w:hideMark/>
          </w:tcPr>
          <w:p w:rsidR="00F130F1" w:rsidRPr="00FC2DE4" w:rsidP="006D57BC" w14:paraId="5C173AB9" w14:textId="77777777">
            <w:pPr>
              <w:rPr>
                <w:rFonts w:cs="Arial"/>
                <w:b/>
                <w:bCs/>
                <w:color w:val="000000"/>
                <w:sz w:val="18"/>
                <w:szCs w:val="18"/>
              </w:rPr>
            </w:pPr>
            <w:r w:rsidRPr="00FC2DE4">
              <w:rPr>
                <w:rFonts w:cs="Arial"/>
                <w:b/>
                <w:bCs/>
                <w:color w:val="000000"/>
                <w:sz w:val="18"/>
                <w:szCs w:val="18"/>
              </w:rPr>
              <w:t> </w:t>
            </w:r>
          </w:p>
        </w:tc>
        <w:tc>
          <w:tcPr>
            <w:tcW w:w="2061" w:type="dxa"/>
            <w:noWrap/>
            <w:hideMark/>
          </w:tcPr>
          <w:p w:rsidR="00F130F1" w:rsidRPr="00AD31D9" w:rsidP="006D57BC" w14:paraId="0234AA25" w14:textId="77777777">
            <w:pPr>
              <w:rPr>
                <w:rFonts w:cs="Arial"/>
                <w:color w:val="000000"/>
                <w:sz w:val="18"/>
                <w:szCs w:val="18"/>
              </w:rPr>
            </w:pPr>
            <w:r w:rsidRPr="00AD31D9">
              <w:rPr>
                <w:rFonts w:cs="Arial"/>
                <w:color w:val="000000"/>
                <w:sz w:val="18"/>
                <w:szCs w:val="18"/>
              </w:rPr>
              <w:t>E-4 to E-6</w:t>
            </w:r>
          </w:p>
        </w:tc>
        <w:tc>
          <w:tcPr>
            <w:tcW w:w="1899" w:type="dxa"/>
            <w:noWrap/>
            <w:hideMark/>
          </w:tcPr>
          <w:p w:rsidR="00F130F1" w:rsidRPr="00AD31D9" w:rsidP="006D57BC" w14:paraId="3970063D" w14:textId="77777777">
            <w:pPr>
              <w:ind w:right="695"/>
              <w:jc w:val="right"/>
              <w:rPr>
                <w:rFonts w:cs="Arial"/>
                <w:color w:val="000000"/>
                <w:sz w:val="18"/>
                <w:szCs w:val="18"/>
              </w:rPr>
            </w:pPr>
            <w:r w:rsidRPr="00AD31D9">
              <w:rPr>
                <w:rFonts w:cs="Arial"/>
                <w:color w:val="000000"/>
                <w:sz w:val="18"/>
                <w:szCs w:val="18"/>
              </w:rPr>
              <w:t>60</w:t>
            </w:r>
          </w:p>
        </w:tc>
        <w:tc>
          <w:tcPr>
            <w:tcW w:w="2790" w:type="dxa"/>
            <w:hideMark/>
          </w:tcPr>
          <w:p w:rsidR="00F130F1" w:rsidRPr="00AD31D9" w:rsidP="006D57BC" w14:paraId="19AC1FDE" w14:textId="77777777">
            <w:pPr>
              <w:ind w:right="869"/>
              <w:jc w:val="right"/>
              <w:rPr>
                <w:rFonts w:cs="Arial"/>
                <w:color w:val="000000"/>
                <w:sz w:val="18"/>
                <w:szCs w:val="18"/>
              </w:rPr>
            </w:pPr>
            <w:r w:rsidRPr="00AD31D9">
              <w:rPr>
                <w:rFonts w:cs="Arial"/>
                <w:color w:val="000000"/>
                <w:sz w:val="18"/>
                <w:szCs w:val="18"/>
              </w:rPr>
              <w:t>3.16%</w:t>
            </w:r>
          </w:p>
        </w:tc>
      </w:tr>
      <w:tr w14:paraId="637C97E8" w14:textId="77777777" w:rsidTr="00713BDC">
        <w:tblPrEx>
          <w:tblW w:w="8560" w:type="dxa"/>
          <w:tblLayout w:type="fixed"/>
          <w:tblLook w:val="04A0"/>
        </w:tblPrEx>
        <w:trPr>
          <w:trHeight w:val="315"/>
        </w:trPr>
        <w:tc>
          <w:tcPr>
            <w:tcW w:w="1810" w:type="dxa"/>
            <w:noWrap/>
            <w:hideMark/>
          </w:tcPr>
          <w:p w:rsidR="00F130F1" w:rsidRPr="00FC2DE4" w:rsidP="006D57BC" w14:paraId="29628EE3" w14:textId="77777777">
            <w:pPr>
              <w:rPr>
                <w:rFonts w:cs="Arial"/>
                <w:b/>
                <w:bCs/>
                <w:color w:val="000000"/>
                <w:sz w:val="18"/>
                <w:szCs w:val="18"/>
              </w:rPr>
            </w:pPr>
            <w:r w:rsidRPr="00FC2DE4">
              <w:rPr>
                <w:rFonts w:cs="Arial"/>
                <w:b/>
                <w:bCs/>
                <w:color w:val="000000"/>
                <w:sz w:val="18"/>
                <w:szCs w:val="18"/>
              </w:rPr>
              <w:t> </w:t>
            </w:r>
          </w:p>
        </w:tc>
        <w:tc>
          <w:tcPr>
            <w:tcW w:w="2061" w:type="dxa"/>
            <w:noWrap/>
            <w:hideMark/>
          </w:tcPr>
          <w:p w:rsidR="00F130F1" w:rsidRPr="00AD31D9" w:rsidP="006D57BC" w14:paraId="45105356" w14:textId="77777777">
            <w:pPr>
              <w:rPr>
                <w:rFonts w:cs="Arial"/>
                <w:color w:val="000000"/>
                <w:sz w:val="18"/>
                <w:szCs w:val="18"/>
              </w:rPr>
            </w:pPr>
            <w:r w:rsidRPr="00AD31D9">
              <w:rPr>
                <w:rFonts w:cs="Arial"/>
                <w:color w:val="000000"/>
                <w:sz w:val="18"/>
                <w:szCs w:val="18"/>
              </w:rPr>
              <w:t>E-7 to E-9</w:t>
            </w:r>
          </w:p>
        </w:tc>
        <w:tc>
          <w:tcPr>
            <w:tcW w:w="1899" w:type="dxa"/>
            <w:noWrap/>
            <w:hideMark/>
          </w:tcPr>
          <w:p w:rsidR="00F130F1" w:rsidRPr="00AD31D9" w:rsidP="006D57BC" w14:paraId="1E59DEEA" w14:textId="77777777">
            <w:pPr>
              <w:ind w:right="695"/>
              <w:jc w:val="right"/>
              <w:rPr>
                <w:rFonts w:cs="Arial"/>
                <w:color w:val="000000"/>
                <w:sz w:val="18"/>
                <w:szCs w:val="18"/>
              </w:rPr>
            </w:pPr>
            <w:r w:rsidRPr="00AD31D9">
              <w:rPr>
                <w:rFonts w:cs="Arial"/>
                <w:color w:val="000000"/>
                <w:sz w:val="18"/>
                <w:szCs w:val="18"/>
              </w:rPr>
              <w:t>10</w:t>
            </w:r>
          </w:p>
        </w:tc>
        <w:tc>
          <w:tcPr>
            <w:tcW w:w="2790" w:type="dxa"/>
            <w:hideMark/>
          </w:tcPr>
          <w:p w:rsidR="00F130F1" w:rsidRPr="00AD31D9" w:rsidP="006D57BC" w14:paraId="78C97439" w14:textId="77777777">
            <w:pPr>
              <w:ind w:right="869"/>
              <w:jc w:val="right"/>
              <w:rPr>
                <w:rFonts w:cs="Arial"/>
                <w:color w:val="000000"/>
                <w:sz w:val="18"/>
                <w:szCs w:val="18"/>
              </w:rPr>
            </w:pPr>
            <w:r w:rsidRPr="00AD31D9">
              <w:rPr>
                <w:rFonts w:cs="Arial"/>
                <w:color w:val="000000"/>
                <w:sz w:val="18"/>
                <w:szCs w:val="18"/>
              </w:rPr>
              <w:t>7.75%</w:t>
            </w:r>
          </w:p>
        </w:tc>
      </w:tr>
      <w:tr w14:paraId="40F8C26F" w14:textId="77777777" w:rsidTr="00713BDC">
        <w:tblPrEx>
          <w:tblW w:w="8560" w:type="dxa"/>
          <w:tblLayout w:type="fixed"/>
          <w:tblLook w:val="04A0"/>
        </w:tblPrEx>
        <w:trPr>
          <w:trHeight w:val="315"/>
        </w:trPr>
        <w:tc>
          <w:tcPr>
            <w:tcW w:w="1810" w:type="dxa"/>
            <w:noWrap/>
            <w:hideMark/>
          </w:tcPr>
          <w:p w:rsidR="00F130F1" w:rsidRPr="00FC2DE4" w:rsidP="006D57BC" w14:paraId="3DDC7A05" w14:textId="77777777">
            <w:pPr>
              <w:rPr>
                <w:rFonts w:cs="Arial"/>
                <w:b/>
                <w:bCs/>
                <w:color w:val="000000"/>
                <w:sz w:val="18"/>
                <w:szCs w:val="18"/>
              </w:rPr>
            </w:pPr>
            <w:r w:rsidRPr="00FC2DE4">
              <w:rPr>
                <w:rFonts w:cs="Arial"/>
                <w:b/>
                <w:bCs/>
                <w:color w:val="000000"/>
                <w:sz w:val="18"/>
                <w:szCs w:val="18"/>
              </w:rPr>
              <w:t> </w:t>
            </w:r>
          </w:p>
        </w:tc>
        <w:tc>
          <w:tcPr>
            <w:tcW w:w="2061" w:type="dxa"/>
            <w:noWrap/>
            <w:hideMark/>
          </w:tcPr>
          <w:p w:rsidR="00F130F1" w:rsidRPr="00AD31D9" w:rsidP="006D57BC" w14:paraId="4E41EA62" w14:textId="77777777">
            <w:pPr>
              <w:rPr>
                <w:rFonts w:cs="Arial"/>
                <w:color w:val="000000"/>
                <w:sz w:val="18"/>
                <w:szCs w:val="18"/>
              </w:rPr>
            </w:pPr>
            <w:r w:rsidRPr="00AD31D9">
              <w:rPr>
                <w:rFonts w:cs="Arial"/>
                <w:color w:val="000000"/>
                <w:sz w:val="18"/>
                <w:szCs w:val="18"/>
              </w:rPr>
              <w:t>O-1 and above</w:t>
            </w:r>
          </w:p>
        </w:tc>
        <w:tc>
          <w:tcPr>
            <w:tcW w:w="1899" w:type="dxa"/>
            <w:noWrap/>
            <w:hideMark/>
          </w:tcPr>
          <w:p w:rsidR="00F130F1" w:rsidRPr="00AD31D9" w:rsidP="006D57BC" w14:paraId="51C97FE7" w14:textId="77777777">
            <w:pPr>
              <w:ind w:right="695"/>
              <w:jc w:val="right"/>
              <w:rPr>
                <w:rFonts w:cs="Arial"/>
                <w:color w:val="000000"/>
                <w:sz w:val="18"/>
                <w:szCs w:val="18"/>
              </w:rPr>
            </w:pPr>
            <w:r w:rsidRPr="00AD31D9">
              <w:rPr>
                <w:rFonts w:cs="Arial"/>
                <w:color w:val="000000"/>
                <w:sz w:val="18"/>
                <w:szCs w:val="18"/>
              </w:rPr>
              <w:t>14</w:t>
            </w:r>
          </w:p>
        </w:tc>
        <w:tc>
          <w:tcPr>
            <w:tcW w:w="2790" w:type="dxa"/>
            <w:hideMark/>
          </w:tcPr>
          <w:p w:rsidR="00F130F1" w:rsidRPr="00AD31D9" w:rsidP="006D57BC" w14:paraId="3A3C93A4" w14:textId="77777777">
            <w:pPr>
              <w:ind w:right="869"/>
              <w:jc w:val="right"/>
              <w:rPr>
                <w:rFonts w:cs="Arial"/>
                <w:color w:val="000000"/>
                <w:sz w:val="18"/>
                <w:szCs w:val="18"/>
              </w:rPr>
            </w:pPr>
            <w:r w:rsidRPr="00AD31D9">
              <w:rPr>
                <w:rFonts w:cs="Arial"/>
                <w:color w:val="000000"/>
                <w:sz w:val="18"/>
                <w:szCs w:val="18"/>
              </w:rPr>
              <w:t>6.55%</w:t>
            </w:r>
          </w:p>
        </w:tc>
      </w:tr>
      <w:tr w14:paraId="6B927684" w14:textId="77777777" w:rsidTr="00713BDC">
        <w:tblPrEx>
          <w:tblW w:w="8560" w:type="dxa"/>
          <w:tblLayout w:type="fixed"/>
          <w:tblLook w:val="04A0"/>
        </w:tblPrEx>
        <w:trPr>
          <w:trHeight w:val="315"/>
        </w:trPr>
        <w:tc>
          <w:tcPr>
            <w:tcW w:w="1810" w:type="dxa"/>
            <w:noWrap/>
            <w:hideMark/>
          </w:tcPr>
          <w:p w:rsidR="00F130F1" w:rsidRPr="00FC2DE4" w:rsidP="006D57BC" w14:paraId="2247FD95" w14:textId="77777777">
            <w:pPr>
              <w:rPr>
                <w:rFonts w:cs="Arial"/>
                <w:b/>
                <w:bCs/>
                <w:color w:val="000000"/>
                <w:sz w:val="18"/>
                <w:szCs w:val="18"/>
              </w:rPr>
            </w:pPr>
            <w:r w:rsidRPr="00FC2DE4">
              <w:rPr>
                <w:rFonts w:cs="Arial"/>
                <w:b/>
                <w:bCs/>
                <w:color w:val="000000"/>
                <w:sz w:val="18"/>
                <w:szCs w:val="18"/>
              </w:rPr>
              <w:t>Component</w:t>
            </w:r>
          </w:p>
        </w:tc>
        <w:tc>
          <w:tcPr>
            <w:tcW w:w="2061" w:type="dxa"/>
            <w:noWrap/>
            <w:hideMark/>
          </w:tcPr>
          <w:p w:rsidR="00F130F1" w:rsidRPr="00AD31D9" w:rsidP="006D57BC" w14:paraId="3ED80E20" w14:textId="77777777">
            <w:pPr>
              <w:rPr>
                <w:rFonts w:cs="Arial"/>
                <w:color w:val="000000"/>
                <w:sz w:val="18"/>
                <w:szCs w:val="18"/>
              </w:rPr>
            </w:pPr>
            <w:r w:rsidRPr="00AD31D9">
              <w:rPr>
                <w:rFonts w:cs="Arial"/>
                <w:color w:val="000000"/>
                <w:sz w:val="18"/>
                <w:szCs w:val="18"/>
              </w:rPr>
              <w:t>Active Duty</w:t>
            </w:r>
          </w:p>
        </w:tc>
        <w:tc>
          <w:tcPr>
            <w:tcW w:w="1899" w:type="dxa"/>
            <w:noWrap/>
            <w:hideMark/>
          </w:tcPr>
          <w:p w:rsidR="00F130F1" w:rsidRPr="00AD31D9" w:rsidP="006D57BC" w14:paraId="01A2C908" w14:textId="77777777">
            <w:pPr>
              <w:ind w:right="695"/>
              <w:jc w:val="right"/>
              <w:rPr>
                <w:rFonts w:cs="Arial"/>
                <w:color w:val="000000"/>
                <w:sz w:val="18"/>
                <w:szCs w:val="18"/>
              </w:rPr>
            </w:pPr>
            <w:r w:rsidRPr="00AD31D9">
              <w:rPr>
                <w:rFonts w:cs="Arial"/>
                <w:color w:val="000000"/>
                <w:sz w:val="18"/>
                <w:szCs w:val="18"/>
              </w:rPr>
              <w:t>84</w:t>
            </w:r>
          </w:p>
        </w:tc>
        <w:tc>
          <w:tcPr>
            <w:tcW w:w="2790" w:type="dxa"/>
            <w:hideMark/>
          </w:tcPr>
          <w:p w:rsidR="00F130F1" w:rsidRPr="00AD31D9" w:rsidP="006D57BC" w14:paraId="5D06DE7E" w14:textId="77777777">
            <w:pPr>
              <w:ind w:right="869"/>
              <w:jc w:val="right"/>
              <w:rPr>
                <w:rFonts w:cs="Arial"/>
                <w:color w:val="000000"/>
                <w:sz w:val="18"/>
                <w:szCs w:val="18"/>
              </w:rPr>
            </w:pPr>
            <w:r w:rsidRPr="00AD31D9">
              <w:rPr>
                <w:rFonts w:cs="Arial"/>
                <w:color w:val="000000"/>
                <w:sz w:val="18"/>
                <w:szCs w:val="18"/>
              </w:rPr>
              <w:t>2.67%</w:t>
            </w:r>
          </w:p>
        </w:tc>
      </w:tr>
      <w:tr w14:paraId="7BBB2BDF" w14:textId="77777777" w:rsidTr="00713BDC">
        <w:tblPrEx>
          <w:tblW w:w="8560" w:type="dxa"/>
          <w:tblLayout w:type="fixed"/>
          <w:tblLook w:val="04A0"/>
        </w:tblPrEx>
        <w:trPr>
          <w:trHeight w:val="315"/>
        </w:trPr>
        <w:tc>
          <w:tcPr>
            <w:tcW w:w="1810" w:type="dxa"/>
            <w:noWrap/>
            <w:hideMark/>
          </w:tcPr>
          <w:p w:rsidR="00F130F1" w:rsidRPr="00FC2DE4" w:rsidP="006D57BC" w14:paraId="6CD99D16" w14:textId="77777777">
            <w:pPr>
              <w:rPr>
                <w:rFonts w:cs="Arial"/>
                <w:b/>
                <w:bCs/>
                <w:color w:val="000000"/>
                <w:sz w:val="18"/>
                <w:szCs w:val="18"/>
              </w:rPr>
            </w:pPr>
            <w:r w:rsidRPr="00FC2DE4">
              <w:rPr>
                <w:rFonts w:cs="Arial"/>
                <w:b/>
                <w:bCs/>
                <w:color w:val="000000"/>
                <w:sz w:val="18"/>
                <w:szCs w:val="18"/>
              </w:rPr>
              <w:t> </w:t>
            </w:r>
          </w:p>
        </w:tc>
        <w:tc>
          <w:tcPr>
            <w:tcW w:w="2061" w:type="dxa"/>
            <w:noWrap/>
            <w:hideMark/>
          </w:tcPr>
          <w:p w:rsidR="00F130F1" w:rsidRPr="00AD31D9" w:rsidP="006D57BC" w14:paraId="736C4E00" w14:textId="77777777">
            <w:pPr>
              <w:rPr>
                <w:rFonts w:cs="Arial"/>
                <w:color w:val="000000"/>
                <w:sz w:val="18"/>
                <w:szCs w:val="18"/>
              </w:rPr>
            </w:pPr>
            <w:r w:rsidRPr="00AD31D9">
              <w:rPr>
                <w:rFonts w:cs="Arial"/>
                <w:color w:val="000000"/>
                <w:sz w:val="18"/>
                <w:szCs w:val="18"/>
              </w:rPr>
              <w:t>Guard / Reserve</w:t>
            </w:r>
          </w:p>
        </w:tc>
        <w:tc>
          <w:tcPr>
            <w:tcW w:w="1899" w:type="dxa"/>
            <w:noWrap/>
            <w:hideMark/>
          </w:tcPr>
          <w:p w:rsidR="00F130F1" w:rsidRPr="00AD31D9" w:rsidP="006D57BC" w14:paraId="1CF93D54" w14:textId="77777777">
            <w:pPr>
              <w:ind w:right="695"/>
              <w:jc w:val="right"/>
              <w:rPr>
                <w:rFonts w:cs="Arial"/>
                <w:color w:val="000000"/>
                <w:sz w:val="18"/>
                <w:szCs w:val="18"/>
              </w:rPr>
            </w:pPr>
            <w:r w:rsidRPr="00AD31D9">
              <w:rPr>
                <w:rFonts w:cs="Arial"/>
                <w:color w:val="000000"/>
                <w:sz w:val="18"/>
                <w:szCs w:val="18"/>
              </w:rPr>
              <w:t>16</w:t>
            </w:r>
          </w:p>
        </w:tc>
        <w:tc>
          <w:tcPr>
            <w:tcW w:w="2790" w:type="dxa"/>
            <w:hideMark/>
          </w:tcPr>
          <w:p w:rsidR="00F130F1" w:rsidRPr="00AD31D9" w:rsidP="006D57BC" w14:paraId="20B28593" w14:textId="77777777">
            <w:pPr>
              <w:ind w:right="869"/>
              <w:jc w:val="right"/>
              <w:rPr>
                <w:rFonts w:cs="Arial"/>
                <w:color w:val="000000"/>
                <w:sz w:val="18"/>
                <w:szCs w:val="18"/>
              </w:rPr>
            </w:pPr>
            <w:r w:rsidRPr="00AD31D9">
              <w:rPr>
                <w:rFonts w:cs="Arial"/>
                <w:color w:val="000000"/>
                <w:sz w:val="18"/>
                <w:szCs w:val="18"/>
              </w:rPr>
              <w:t>6.13%</w:t>
            </w:r>
          </w:p>
        </w:tc>
      </w:tr>
      <w:tr w14:paraId="400B198F" w14:textId="77777777" w:rsidTr="00713BDC">
        <w:tblPrEx>
          <w:tblW w:w="8560" w:type="dxa"/>
          <w:tblLayout w:type="fixed"/>
          <w:tblLook w:val="04A0"/>
        </w:tblPrEx>
        <w:trPr>
          <w:trHeight w:val="315"/>
        </w:trPr>
        <w:tc>
          <w:tcPr>
            <w:tcW w:w="1810" w:type="dxa"/>
            <w:noWrap/>
            <w:hideMark/>
          </w:tcPr>
          <w:p w:rsidR="00F130F1" w:rsidRPr="00FC2DE4" w:rsidP="006D57BC" w14:paraId="568EF130" w14:textId="77777777">
            <w:pPr>
              <w:rPr>
                <w:rFonts w:cs="Arial"/>
                <w:b/>
                <w:bCs/>
                <w:color w:val="000000"/>
                <w:sz w:val="18"/>
                <w:szCs w:val="18"/>
              </w:rPr>
            </w:pPr>
            <w:r w:rsidRPr="00FC2DE4">
              <w:rPr>
                <w:rFonts w:cs="Arial"/>
                <w:b/>
                <w:bCs/>
                <w:color w:val="000000"/>
                <w:sz w:val="18"/>
                <w:szCs w:val="18"/>
              </w:rPr>
              <w:t>Separation Type</w:t>
            </w:r>
          </w:p>
        </w:tc>
        <w:tc>
          <w:tcPr>
            <w:tcW w:w="2061" w:type="dxa"/>
            <w:noWrap/>
            <w:hideMark/>
          </w:tcPr>
          <w:p w:rsidR="00F130F1" w:rsidRPr="00AD31D9" w:rsidP="006D57BC" w14:paraId="44C79CEC" w14:textId="77777777">
            <w:pPr>
              <w:rPr>
                <w:rFonts w:cs="Arial"/>
                <w:color w:val="000000"/>
                <w:sz w:val="18"/>
                <w:szCs w:val="18"/>
              </w:rPr>
            </w:pPr>
            <w:r w:rsidRPr="00AD31D9">
              <w:rPr>
                <w:rFonts w:cs="Arial"/>
                <w:color w:val="000000"/>
                <w:sz w:val="18"/>
                <w:szCs w:val="18"/>
              </w:rPr>
              <w:t>Voluntary</w:t>
            </w:r>
          </w:p>
        </w:tc>
        <w:tc>
          <w:tcPr>
            <w:tcW w:w="1899" w:type="dxa"/>
            <w:noWrap/>
            <w:hideMark/>
          </w:tcPr>
          <w:p w:rsidR="00F130F1" w:rsidRPr="00AD31D9" w:rsidP="006D57BC" w14:paraId="38DBE573" w14:textId="77777777">
            <w:pPr>
              <w:ind w:right="695"/>
              <w:jc w:val="right"/>
              <w:rPr>
                <w:rFonts w:cs="Arial"/>
                <w:color w:val="000000"/>
                <w:sz w:val="18"/>
                <w:szCs w:val="18"/>
              </w:rPr>
            </w:pPr>
            <w:r w:rsidRPr="00AD31D9">
              <w:rPr>
                <w:rFonts w:cs="Arial"/>
                <w:color w:val="000000"/>
                <w:sz w:val="18"/>
                <w:szCs w:val="18"/>
              </w:rPr>
              <w:t>65</w:t>
            </w:r>
          </w:p>
        </w:tc>
        <w:tc>
          <w:tcPr>
            <w:tcW w:w="2790" w:type="dxa"/>
            <w:hideMark/>
          </w:tcPr>
          <w:p w:rsidR="00F130F1" w:rsidRPr="00AD31D9" w:rsidP="006D57BC" w14:paraId="66FE2CD7" w14:textId="77777777">
            <w:pPr>
              <w:ind w:right="869"/>
              <w:jc w:val="right"/>
              <w:rPr>
                <w:rFonts w:cs="Arial"/>
                <w:color w:val="000000"/>
                <w:sz w:val="18"/>
                <w:szCs w:val="18"/>
              </w:rPr>
            </w:pPr>
            <w:r w:rsidRPr="00AD31D9">
              <w:rPr>
                <w:rFonts w:cs="Arial"/>
                <w:color w:val="000000"/>
                <w:sz w:val="18"/>
                <w:szCs w:val="18"/>
              </w:rPr>
              <w:t>3.04%</w:t>
            </w:r>
          </w:p>
        </w:tc>
      </w:tr>
      <w:tr w14:paraId="083C188C" w14:textId="77777777" w:rsidTr="00713BDC">
        <w:tblPrEx>
          <w:tblW w:w="8560" w:type="dxa"/>
          <w:tblLayout w:type="fixed"/>
          <w:tblLook w:val="04A0"/>
        </w:tblPrEx>
        <w:trPr>
          <w:trHeight w:val="315"/>
        </w:trPr>
        <w:tc>
          <w:tcPr>
            <w:tcW w:w="1810" w:type="dxa"/>
            <w:noWrap/>
            <w:hideMark/>
          </w:tcPr>
          <w:p w:rsidR="00F130F1" w:rsidRPr="00FC2DE4" w:rsidP="006D57BC" w14:paraId="04E05A8B" w14:textId="77777777">
            <w:pPr>
              <w:rPr>
                <w:rFonts w:cs="Arial"/>
                <w:b/>
                <w:bCs/>
                <w:color w:val="000000"/>
                <w:sz w:val="18"/>
                <w:szCs w:val="18"/>
              </w:rPr>
            </w:pPr>
            <w:r w:rsidRPr="00FC2DE4">
              <w:rPr>
                <w:rFonts w:cs="Arial"/>
                <w:b/>
                <w:bCs/>
                <w:color w:val="000000"/>
                <w:sz w:val="18"/>
                <w:szCs w:val="18"/>
              </w:rPr>
              <w:t> </w:t>
            </w:r>
          </w:p>
        </w:tc>
        <w:tc>
          <w:tcPr>
            <w:tcW w:w="2061" w:type="dxa"/>
            <w:noWrap/>
            <w:hideMark/>
          </w:tcPr>
          <w:p w:rsidR="00F130F1" w:rsidRPr="00AD31D9" w:rsidP="006D57BC" w14:paraId="2DFE46F0" w14:textId="77777777">
            <w:pPr>
              <w:rPr>
                <w:rFonts w:cs="Arial"/>
                <w:color w:val="000000"/>
                <w:sz w:val="18"/>
                <w:szCs w:val="18"/>
              </w:rPr>
            </w:pPr>
            <w:r w:rsidRPr="00AD31D9">
              <w:rPr>
                <w:rFonts w:cs="Arial"/>
                <w:color w:val="000000"/>
                <w:sz w:val="18"/>
                <w:szCs w:val="18"/>
              </w:rPr>
              <w:t>Involuntary</w:t>
            </w:r>
          </w:p>
        </w:tc>
        <w:tc>
          <w:tcPr>
            <w:tcW w:w="1899" w:type="dxa"/>
            <w:noWrap/>
            <w:hideMark/>
          </w:tcPr>
          <w:p w:rsidR="00F130F1" w:rsidRPr="00AD31D9" w:rsidP="006D57BC" w14:paraId="0EF420C2" w14:textId="77777777">
            <w:pPr>
              <w:ind w:right="695"/>
              <w:jc w:val="right"/>
              <w:rPr>
                <w:rFonts w:cs="Arial"/>
                <w:color w:val="000000"/>
                <w:sz w:val="18"/>
                <w:szCs w:val="18"/>
              </w:rPr>
            </w:pPr>
            <w:r w:rsidRPr="00AD31D9">
              <w:rPr>
                <w:rFonts w:cs="Arial"/>
                <w:color w:val="000000"/>
                <w:sz w:val="18"/>
                <w:szCs w:val="18"/>
              </w:rPr>
              <w:t>23</w:t>
            </w:r>
          </w:p>
        </w:tc>
        <w:tc>
          <w:tcPr>
            <w:tcW w:w="2790" w:type="dxa"/>
            <w:hideMark/>
          </w:tcPr>
          <w:p w:rsidR="00F130F1" w:rsidRPr="00AD31D9" w:rsidP="006D57BC" w14:paraId="46997576" w14:textId="77777777">
            <w:pPr>
              <w:ind w:right="869"/>
              <w:jc w:val="right"/>
              <w:rPr>
                <w:rFonts w:cs="Arial"/>
                <w:color w:val="000000"/>
                <w:sz w:val="18"/>
                <w:szCs w:val="18"/>
              </w:rPr>
            </w:pPr>
            <w:r w:rsidRPr="00AD31D9">
              <w:rPr>
                <w:rFonts w:cs="Arial"/>
                <w:color w:val="000000"/>
                <w:sz w:val="18"/>
                <w:szCs w:val="18"/>
              </w:rPr>
              <w:t>5.11%</w:t>
            </w:r>
          </w:p>
        </w:tc>
      </w:tr>
      <w:tr w14:paraId="212F9D20" w14:textId="77777777" w:rsidTr="00713BDC">
        <w:tblPrEx>
          <w:tblW w:w="8560" w:type="dxa"/>
          <w:tblLayout w:type="fixed"/>
          <w:tblLook w:val="04A0"/>
        </w:tblPrEx>
        <w:trPr>
          <w:trHeight w:val="315"/>
        </w:trPr>
        <w:tc>
          <w:tcPr>
            <w:tcW w:w="1810" w:type="dxa"/>
            <w:noWrap/>
            <w:hideMark/>
          </w:tcPr>
          <w:p w:rsidR="00F130F1" w:rsidRPr="00FC2DE4" w:rsidP="006D57BC" w14:paraId="04865CD3" w14:textId="77777777">
            <w:pPr>
              <w:rPr>
                <w:rFonts w:cs="Arial"/>
                <w:b/>
                <w:bCs/>
                <w:color w:val="000000"/>
                <w:sz w:val="18"/>
                <w:szCs w:val="18"/>
              </w:rPr>
            </w:pPr>
            <w:r w:rsidRPr="00FC2DE4">
              <w:rPr>
                <w:rFonts w:cs="Arial"/>
                <w:b/>
                <w:bCs/>
                <w:color w:val="000000"/>
                <w:sz w:val="18"/>
                <w:szCs w:val="18"/>
              </w:rPr>
              <w:t> </w:t>
            </w:r>
          </w:p>
        </w:tc>
        <w:tc>
          <w:tcPr>
            <w:tcW w:w="2061" w:type="dxa"/>
            <w:noWrap/>
            <w:hideMark/>
          </w:tcPr>
          <w:p w:rsidR="00F130F1" w:rsidRPr="00AD31D9" w:rsidP="006D57BC" w14:paraId="31A3B357" w14:textId="77777777">
            <w:pPr>
              <w:rPr>
                <w:rFonts w:cs="Arial"/>
                <w:color w:val="000000"/>
                <w:sz w:val="18"/>
                <w:szCs w:val="18"/>
              </w:rPr>
            </w:pPr>
            <w:r w:rsidRPr="00AD31D9">
              <w:rPr>
                <w:rFonts w:cs="Arial"/>
                <w:color w:val="000000"/>
                <w:sz w:val="18"/>
                <w:szCs w:val="18"/>
              </w:rPr>
              <w:t>Unknown</w:t>
            </w:r>
          </w:p>
        </w:tc>
        <w:tc>
          <w:tcPr>
            <w:tcW w:w="1899" w:type="dxa"/>
            <w:noWrap/>
            <w:hideMark/>
          </w:tcPr>
          <w:p w:rsidR="00F130F1" w:rsidRPr="00AD31D9" w:rsidP="006D57BC" w14:paraId="7023DC48" w14:textId="77777777">
            <w:pPr>
              <w:ind w:right="695"/>
              <w:jc w:val="right"/>
              <w:rPr>
                <w:rFonts w:cs="Arial"/>
                <w:color w:val="000000"/>
                <w:sz w:val="18"/>
                <w:szCs w:val="18"/>
              </w:rPr>
            </w:pPr>
            <w:r w:rsidRPr="00AD31D9">
              <w:rPr>
                <w:rFonts w:cs="Arial"/>
                <w:color w:val="000000"/>
                <w:sz w:val="18"/>
                <w:szCs w:val="18"/>
              </w:rPr>
              <w:t>12</w:t>
            </w:r>
          </w:p>
        </w:tc>
        <w:tc>
          <w:tcPr>
            <w:tcW w:w="2790" w:type="dxa"/>
            <w:hideMark/>
          </w:tcPr>
          <w:p w:rsidR="00F130F1" w:rsidRPr="00AD31D9" w:rsidP="006D57BC" w14:paraId="2AC6A188" w14:textId="77777777">
            <w:pPr>
              <w:ind w:right="869"/>
              <w:jc w:val="right"/>
              <w:rPr>
                <w:rFonts w:cs="Arial"/>
                <w:color w:val="000000"/>
                <w:sz w:val="18"/>
                <w:szCs w:val="18"/>
              </w:rPr>
            </w:pPr>
            <w:r w:rsidRPr="00AD31D9">
              <w:rPr>
                <w:rFonts w:cs="Arial"/>
                <w:color w:val="000000"/>
                <w:sz w:val="18"/>
                <w:szCs w:val="18"/>
              </w:rPr>
              <w:t>7.07%</w:t>
            </w:r>
          </w:p>
        </w:tc>
      </w:tr>
      <w:tr w14:paraId="7B0F2F32" w14:textId="77777777" w:rsidTr="00713BDC">
        <w:tblPrEx>
          <w:tblW w:w="8560" w:type="dxa"/>
          <w:tblLayout w:type="fixed"/>
          <w:tblLook w:val="04A0"/>
        </w:tblPrEx>
        <w:trPr>
          <w:trHeight w:val="315"/>
        </w:trPr>
        <w:tc>
          <w:tcPr>
            <w:tcW w:w="1810" w:type="dxa"/>
            <w:noWrap/>
            <w:hideMark/>
          </w:tcPr>
          <w:p w:rsidR="00F130F1" w:rsidRPr="00FC2DE4" w:rsidP="006D57BC" w14:paraId="3AAB8960" w14:textId="77777777">
            <w:pPr>
              <w:rPr>
                <w:rFonts w:cs="Arial"/>
                <w:b/>
                <w:bCs/>
                <w:color w:val="000000"/>
                <w:sz w:val="18"/>
                <w:szCs w:val="18"/>
              </w:rPr>
            </w:pPr>
            <w:r w:rsidRPr="00FC2DE4">
              <w:rPr>
                <w:rFonts w:cs="Arial"/>
                <w:b/>
                <w:bCs/>
                <w:color w:val="000000"/>
                <w:sz w:val="18"/>
                <w:szCs w:val="18"/>
              </w:rPr>
              <w:t>Race</w:t>
            </w:r>
          </w:p>
        </w:tc>
        <w:tc>
          <w:tcPr>
            <w:tcW w:w="2061" w:type="dxa"/>
            <w:noWrap/>
            <w:hideMark/>
          </w:tcPr>
          <w:p w:rsidR="00F130F1" w:rsidRPr="00AD31D9" w:rsidP="006D57BC" w14:paraId="61C1FCEB" w14:textId="77777777">
            <w:pPr>
              <w:rPr>
                <w:rFonts w:cs="Arial"/>
                <w:color w:val="000000"/>
                <w:sz w:val="18"/>
                <w:szCs w:val="18"/>
              </w:rPr>
            </w:pPr>
            <w:r w:rsidRPr="00AD31D9">
              <w:rPr>
                <w:rFonts w:cs="Arial"/>
                <w:color w:val="000000"/>
                <w:sz w:val="18"/>
                <w:szCs w:val="18"/>
              </w:rPr>
              <w:t>White</w:t>
            </w:r>
          </w:p>
        </w:tc>
        <w:tc>
          <w:tcPr>
            <w:tcW w:w="1899" w:type="dxa"/>
            <w:noWrap/>
            <w:hideMark/>
          </w:tcPr>
          <w:p w:rsidR="00F130F1" w:rsidRPr="00AD31D9" w:rsidP="006D57BC" w14:paraId="6A10A36D" w14:textId="77777777">
            <w:pPr>
              <w:ind w:right="695"/>
              <w:jc w:val="right"/>
              <w:rPr>
                <w:rFonts w:cs="Arial"/>
                <w:color w:val="000000"/>
                <w:sz w:val="18"/>
                <w:szCs w:val="18"/>
              </w:rPr>
            </w:pPr>
            <w:r w:rsidRPr="00AD31D9">
              <w:rPr>
                <w:rFonts w:cs="Arial"/>
                <w:color w:val="000000"/>
                <w:sz w:val="18"/>
                <w:szCs w:val="18"/>
              </w:rPr>
              <w:t>73</w:t>
            </w:r>
          </w:p>
        </w:tc>
        <w:tc>
          <w:tcPr>
            <w:tcW w:w="2790" w:type="dxa"/>
            <w:hideMark/>
          </w:tcPr>
          <w:p w:rsidR="00F130F1" w:rsidRPr="00AD31D9" w:rsidP="006D57BC" w14:paraId="1B5A878F" w14:textId="77777777">
            <w:pPr>
              <w:ind w:right="869"/>
              <w:jc w:val="right"/>
              <w:rPr>
                <w:rFonts w:cs="Arial"/>
                <w:color w:val="000000"/>
                <w:sz w:val="18"/>
                <w:szCs w:val="18"/>
              </w:rPr>
            </w:pPr>
            <w:r w:rsidRPr="00AD31D9">
              <w:rPr>
                <w:rFonts w:cs="Arial"/>
                <w:color w:val="000000"/>
                <w:sz w:val="18"/>
                <w:szCs w:val="18"/>
              </w:rPr>
              <w:t>2.87%</w:t>
            </w:r>
          </w:p>
        </w:tc>
      </w:tr>
      <w:tr w14:paraId="48321DA8" w14:textId="77777777" w:rsidTr="00713BDC">
        <w:tblPrEx>
          <w:tblW w:w="8560" w:type="dxa"/>
          <w:tblLayout w:type="fixed"/>
          <w:tblLook w:val="04A0"/>
        </w:tblPrEx>
        <w:trPr>
          <w:trHeight w:val="315"/>
        </w:trPr>
        <w:tc>
          <w:tcPr>
            <w:tcW w:w="1810" w:type="dxa"/>
            <w:noWrap/>
            <w:hideMark/>
          </w:tcPr>
          <w:p w:rsidR="00F130F1" w:rsidRPr="00FC2DE4" w:rsidP="006D57BC" w14:paraId="10927E7D" w14:textId="77777777">
            <w:pPr>
              <w:rPr>
                <w:rFonts w:cs="Arial"/>
                <w:b/>
                <w:bCs/>
                <w:color w:val="000000"/>
                <w:sz w:val="18"/>
                <w:szCs w:val="18"/>
              </w:rPr>
            </w:pPr>
            <w:r w:rsidRPr="00FC2DE4">
              <w:rPr>
                <w:rFonts w:cs="Arial"/>
                <w:b/>
                <w:bCs/>
                <w:color w:val="000000"/>
                <w:sz w:val="18"/>
                <w:szCs w:val="18"/>
              </w:rPr>
              <w:t> </w:t>
            </w:r>
          </w:p>
        </w:tc>
        <w:tc>
          <w:tcPr>
            <w:tcW w:w="2061" w:type="dxa"/>
            <w:noWrap/>
            <w:hideMark/>
          </w:tcPr>
          <w:p w:rsidR="00F130F1" w:rsidRPr="00AD31D9" w:rsidP="006D57BC" w14:paraId="5F0B357C" w14:textId="77777777">
            <w:pPr>
              <w:ind w:right="-121"/>
              <w:rPr>
                <w:rFonts w:cs="Arial"/>
                <w:color w:val="000000"/>
                <w:sz w:val="18"/>
                <w:szCs w:val="18"/>
              </w:rPr>
            </w:pPr>
            <w:r w:rsidRPr="00AD31D9">
              <w:rPr>
                <w:rFonts w:cs="Arial"/>
                <w:color w:val="000000"/>
                <w:sz w:val="18"/>
                <w:szCs w:val="18"/>
              </w:rPr>
              <w:t>Black/African American</w:t>
            </w:r>
          </w:p>
        </w:tc>
        <w:tc>
          <w:tcPr>
            <w:tcW w:w="1899" w:type="dxa"/>
            <w:noWrap/>
            <w:hideMark/>
          </w:tcPr>
          <w:p w:rsidR="00F130F1" w:rsidRPr="00AD31D9" w:rsidP="006D57BC" w14:paraId="4C0FB91A" w14:textId="77777777">
            <w:pPr>
              <w:ind w:right="695"/>
              <w:jc w:val="right"/>
              <w:rPr>
                <w:rFonts w:cs="Arial"/>
                <w:color w:val="000000"/>
                <w:sz w:val="18"/>
                <w:szCs w:val="18"/>
              </w:rPr>
            </w:pPr>
            <w:r w:rsidRPr="00AD31D9">
              <w:rPr>
                <w:rFonts w:cs="Arial"/>
                <w:color w:val="000000"/>
                <w:sz w:val="18"/>
                <w:szCs w:val="18"/>
              </w:rPr>
              <w:t>15</w:t>
            </w:r>
          </w:p>
        </w:tc>
        <w:tc>
          <w:tcPr>
            <w:tcW w:w="2790" w:type="dxa"/>
            <w:hideMark/>
          </w:tcPr>
          <w:p w:rsidR="00F130F1" w:rsidRPr="00AD31D9" w:rsidP="006D57BC" w14:paraId="123CF93C" w14:textId="77777777">
            <w:pPr>
              <w:ind w:right="869"/>
              <w:jc w:val="right"/>
              <w:rPr>
                <w:rFonts w:cs="Arial"/>
                <w:color w:val="000000"/>
                <w:sz w:val="18"/>
                <w:szCs w:val="18"/>
              </w:rPr>
            </w:pPr>
            <w:r w:rsidRPr="00AD31D9">
              <w:rPr>
                <w:rFonts w:cs="Arial"/>
                <w:color w:val="000000"/>
                <w:sz w:val="18"/>
                <w:szCs w:val="18"/>
              </w:rPr>
              <w:t>6.33%</w:t>
            </w:r>
          </w:p>
        </w:tc>
      </w:tr>
      <w:tr w14:paraId="4B8B9D70" w14:textId="77777777" w:rsidTr="00713BDC">
        <w:tblPrEx>
          <w:tblW w:w="8560" w:type="dxa"/>
          <w:tblLayout w:type="fixed"/>
          <w:tblLook w:val="04A0"/>
        </w:tblPrEx>
        <w:trPr>
          <w:trHeight w:val="315"/>
        </w:trPr>
        <w:tc>
          <w:tcPr>
            <w:tcW w:w="1810" w:type="dxa"/>
            <w:noWrap/>
            <w:hideMark/>
          </w:tcPr>
          <w:p w:rsidR="00F130F1" w:rsidRPr="00FC2DE4" w:rsidP="006D57BC" w14:paraId="45A88BF9" w14:textId="77777777">
            <w:pPr>
              <w:rPr>
                <w:rFonts w:cs="Arial"/>
                <w:b/>
                <w:bCs/>
                <w:color w:val="000000"/>
                <w:sz w:val="18"/>
                <w:szCs w:val="18"/>
              </w:rPr>
            </w:pPr>
            <w:r w:rsidRPr="00FC2DE4">
              <w:rPr>
                <w:rFonts w:cs="Arial"/>
                <w:b/>
                <w:bCs/>
                <w:color w:val="000000"/>
                <w:sz w:val="18"/>
                <w:szCs w:val="18"/>
              </w:rPr>
              <w:t> </w:t>
            </w:r>
          </w:p>
        </w:tc>
        <w:tc>
          <w:tcPr>
            <w:tcW w:w="2061" w:type="dxa"/>
            <w:noWrap/>
            <w:hideMark/>
          </w:tcPr>
          <w:p w:rsidR="00F130F1" w:rsidRPr="00AD31D9" w:rsidP="006D57BC" w14:paraId="6E0EB668" w14:textId="77777777">
            <w:pPr>
              <w:rPr>
                <w:rFonts w:cs="Arial"/>
                <w:color w:val="000000"/>
                <w:sz w:val="18"/>
                <w:szCs w:val="18"/>
              </w:rPr>
            </w:pPr>
            <w:r w:rsidRPr="00AD31D9">
              <w:rPr>
                <w:rFonts w:cs="Arial"/>
                <w:color w:val="000000"/>
                <w:sz w:val="18"/>
                <w:szCs w:val="18"/>
              </w:rPr>
              <w:t>Other</w:t>
            </w:r>
          </w:p>
        </w:tc>
        <w:tc>
          <w:tcPr>
            <w:tcW w:w="1899" w:type="dxa"/>
            <w:noWrap/>
            <w:hideMark/>
          </w:tcPr>
          <w:p w:rsidR="00F130F1" w:rsidRPr="00AD31D9" w:rsidP="006D57BC" w14:paraId="4578A3A6" w14:textId="77777777">
            <w:pPr>
              <w:ind w:right="695"/>
              <w:jc w:val="right"/>
              <w:rPr>
                <w:rFonts w:cs="Arial"/>
                <w:color w:val="000000"/>
                <w:sz w:val="18"/>
                <w:szCs w:val="18"/>
              </w:rPr>
            </w:pPr>
            <w:r w:rsidRPr="00AD31D9">
              <w:rPr>
                <w:rFonts w:cs="Arial"/>
                <w:color w:val="000000"/>
                <w:sz w:val="18"/>
                <w:szCs w:val="18"/>
              </w:rPr>
              <w:t>12</w:t>
            </w:r>
          </w:p>
        </w:tc>
        <w:tc>
          <w:tcPr>
            <w:tcW w:w="2790" w:type="dxa"/>
            <w:hideMark/>
          </w:tcPr>
          <w:p w:rsidR="00F130F1" w:rsidRPr="00AD31D9" w:rsidP="006D57BC" w14:paraId="402AF87D" w14:textId="77777777">
            <w:pPr>
              <w:ind w:right="869"/>
              <w:jc w:val="right"/>
              <w:rPr>
                <w:rFonts w:cs="Arial"/>
                <w:color w:val="000000"/>
                <w:sz w:val="18"/>
                <w:szCs w:val="18"/>
              </w:rPr>
            </w:pPr>
            <w:r w:rsidRPr="00AD31D9">
              <w:rPr>
                <w:rFonts w:cs="Arial"/>
                <w:color w:val="000000"/>
                <w:sz w:val="18"/>
                <w:szCs w:val="18"/>
              </w:rPr>
              <w:t>7.07%</w:t>
            </w:r>
          </w:p>
        </w:tc>
      </w:tr>
      <w:tr w14:paraId="361D3400" w14:textId="77777777" w:rsidTr="00713BDC">
        <w:tblPrEx>
          <w:tblW w:w="8560" w:type="dxa"/>
          <w:tblLayout w:type="fixed"/>
          <w:tblLook w:val="04A0"/>
        </w:tblPrEx>
        <w:trPr>
          <w:trHeight w:val="315"/>
        </w:trPr>
        <w:tc>
          <w:tcPr>
            <w:tcW w:w="1810" w:type="dxa"/>
            <w:noWrap/>
            <w:hideMark/>
          </w:tcPr>
          <w:p w:rsidR="00F130F1" w:rsidRPr="00FC2DE4" w:rsidP="006D57BC" w14:paraId="4623BD36" w14:textId="77777777">
            <w:pPr>
              <w:rPr>
                <w:rFonts w:cs="Arial"/>
                <w:b/>
                <w:bCs/>
                <w:color w:val="000000"/>
                <w:sz w:val="18"/>
                <w:szCs w:val="18"/>
              </w:rPr>
            </w:pPr>
            <w:r w:rsidRPr="00FC2DE4">
              <w:rPr>
                <w:rFonts w:cs="Arial"/>
                <w:b/>
                <w:bCs/>
                <w:color w:val="000000"/>
                <w:sz w:val="18"/>
                <w:szCs w:val="18"/>
              </w:rPr>
              <w:t>Gender</w:t>
            </w:r>
          </w:p>
        </w:tc>
        <w:tc>
          <w:tcPr>
            <w:tcW w:w="2061" w:type="dxa"/>
            <w:noWrap/>
            <w:hideMark/>
          </w:tcPr>
          <w:p w:rsidR="00F130F1" w:rsidRPr="00AD31D9" w:rsidP="006D57BC" w14:paraId="641E8D31" w14:textId="77777777">
            <w:pPr>
              <w:rPr>
                <w:rFonts w:cs="Arial"/>
                <w:color w:val="000000"/>
                <w:sz w:val="18"/>
                <w:szCs w:val="18"/>
              </w:rPr>
            </w:pPr>
            <w:r w:rsidRPr="00AD31D9">
              <w:rPr>
                <w:rFonts w:cs="Arial"/>
                <w:color w:val="000000"/>
                <w:sz w:val="18"/>
                <w:szCs w:val="18"/>
              </w:rPr>
              <w:t>Male</w:t>
            </w:r>
          </w:p>
        </w:tc>
        <w:tc>
          <w:tcPr>
            <w:tcW w:w="1899" w:type="dxa"/>
            <w:noWrap/>
            <w:hideMark/>
          </w:tcPr>
          <w:p w:rsidR="00F130F1" w:rsidRPr="00AD31D9" w:rsidP="006D57BC" w14:paraId="031B8312" w14:textId="77777777">
            <w:pPr>
              <w:ind w:right="695"/>
              <w:jc w:val="right"/>
              <w:rPr>
                <w:rFonts w:cs="Arial"/>
                <w:color w:val="000000"/>
                <w:sz w:val="18"/>
                <w:szCs w:val="18"/>
              </w:rPr>
            </w:pPr>
            <w:r w:rsidRPr="00AD31D9">
              <w:rPr>
                <w:rFonts w:cs="Arial"/>
                <w:color w:val="000000"/>
                <w:sz w:val="18"/>
                <w:szCs w:val="18"/>
              </w:rPr>
              <w:t>82</w:t>
            </w:r>
          </w:p>
        </w:tc>
        <w:tc>
          <w:tcPr>
            <w:tcW w:w="2790" w:type="dxa"/>
            <w:hideMark/>
          </w:tcPr>
          <w:p w:rsidR="00F130F1" w:rsidRPr="00AD31D9" w:rsidP="006D57BC" w14:paraId="517FFD17" w14:textId="77777777">
            <w:pPr>
              <w:ind w:right="869"/>
              <w:jc w:val="right"/>
              <w:rPr>
                <w:rFonts w:cs="Arial"/>
                <w:color w:val="000000"/>
                <w:sz w:val="18"/>
                <w:szCs w:val="18"/>
              </w:rPr>
            </w:pPr>
            <w:r w:rsidRPr="00AD31D9">
              <w:rPr>
                <w:rFonts w:cs="Arial"/>
                <w:color w:val="000000"/>
                <w:sz w:val="18"/>
                <w:szCs w:val="18"/>
              </w:rPr>
              <w:t>2.71%</w:t>
            </w:r>
          </w:p>
        </w:tc>
      </w:tr>
      <w:tr w14:paraId="2FF10439" w14:textId="77777777" w:rsidTr="00713BDC">
        <w:tblPrEx>
          <w:tblW w:w="8560" w:type="dxa"/>
          <w:tblLayout w:type="fixed"/>
          <w:tblLook w:val="04A0"/>
        </w:tblPrEx>
        <w:trPr>
          <w:trHeight w:val="315"/>
        </w:trPr>
        <w:tc>
          <w:tcPr>
            <w:tcW w:w="1810" w:type="dxa"/>
            <w:noWrap/>
            <w:hideMark/>
          </w:tcPr>
          <w:p w:rsidR="00F130F1" w:rsidRPr="00AD31D9" w:rsidP="006D57BC" w14:paraId="1960A9E9" w14:textId="77777777">
            <w:pPr>
              <w:rPr>
                <w:rFonts w:cs="Arial"/>
                <w:color w:val="000000"/>
                <w:sz w:val="18"/>
                <w:szCs w:val="18"/>
              </w:rPr>
            </w:pPr>
            <w:r w:rsidRPr="00AD31D9">
              <w:rPr>
                <w:rFonts w:cs="Arial"/>
                <w:color w:val="000000"/>
                <w:sz w:val="18"/>
                <w:szCs w:val="18"/>
              </w:rPr>
              <w:t> </w:t>
            </w:r>
          </w:p>
        </w:tc>
        <w:tc>
          <w:tcPr>
            <w:tcW w:w="2061" w:type="dxa"/>
            <w:noWrap/>
            <w:hideMark/>
          </w:tcPr>
          <w:p w:rsidR="00F130F1" w:rsidRPr="00AD31D9" w:rsidP="006D57BC" w14:paraId="2C63152E" w14:textId="77777777">
            <w:pPr>
              <w:rPr>
                <w:rFonts w:cs="Arial"/>
                <w:color w:val="000000"/>
                <w:sz w:val="18"/>
                <w:szCs w:val="18"/>
              </w:rPr>
            </w:pPr>
            <w:r w:rsidRPr="00AD31D9">
              <w:rPr>
                <w:rFonts w:cs="Arial"/>
                <w:color w:val="000000"/>
                <w:sz w:val="18"/>
                <w:szCs w:val="18"/>
              </w:rPr>
              <w:t>Female</w:t>
            </w:r>
          </w:p>
        </w:tc>
        <w:tc>
          <w:tcPr>
            <w:tcW w:w="1899" w:type="dxa"/>
            <w:noWrap/>
            <w:hideMark/>
          </w:tcPr>
          <w:p w:rsidR="00F130F1" w:rsidRPr="00AD31D9" w:rsidP="006D57BC" w14:paraId="70304EC3" w14:textId="77777777">
            <w:pPr>
              <w:ind w:right="695"/>
              <w:jc w:val="right"/>
              <w:rPr>
                <w:rFonts w:cs="Arial"/>
                <w:color w:val="000000"/>
                <w:sz w:val="18"/>
                <w:szCs w:val="18"/>
              </w:rPr>
            </w:pPr>
            <w:r w:rsidRPr="00AD31D9">
              <w:rPr>
                <w:rFonts w:cs="Arial"/>
                <w:color w:val="000000"/>
                <w:sz w:val="18"/>
                <w:szCs w:val="18"/>
              </w:rPr>
              <w:t>18</w:t>
            </w:r>
          </w:p>
        </w:tc>
        <w:tc>
          <w:tcPr>
            <w:tcW w:w="2790" w:type="dxa"/>
            <w:hideMark/>
          </w:tcPr>
          <w:p w:rsidR="00F130F1" w:rsidRPr="00AD31D9" w:rsidP="006D57BC" w14:paraId="084A92DE" w14:textId="77777777">
            <w:pPr>
              <w:ind w:right="869"/>
              <w:jc w:val="right"/>
              <w:rPr>
                <w:rFonts w:cs="Arial"/>
                <w:color w:val="000000"/>
                <w:sz w:val="18"/>
                <w:szCs w:val="18"/>
              </w:rPr>
            </w:pPr>
            <w:r w:rsidRPr="00AD31D9">
              <w:rPr>
                <w:rFonts w:cs="Arial"/>
                <w:color w:val="000000"/>
                <w:sz w:val="18"/>
                <w:szCs w:val="18"/>
              </w:rPr>
              <w:t>5.77%</w:t>
            </w:r>
          </w:p>
        </w:tc>
      </w:tr>
    </w:tbl>
    <w:p w:rsidR="00F130F1" w:rsidP="00F130F1" w14:paraId="4C3BD3AD" w14:textId="77777777">
      <w:pPr>
        <w:pStyle w:val="Citations"/>
      </w:pPr>
      <w:r>
        <w:t>Source: Estimates calculated using data from the VA Department of Defense Identity Repository (VADIR)</w:t>
      </w:r>
    </w:p>
    <w:p w:rsidR="00F130F1" w:rsidRPr="00307CDE" w:rsidP="00D17658" w14:paraId="4BDDC97F" w14:textId="77777777">
      <w:pPr>
        <w:ind w:left="1080"/>
      </w:pPr>
    </w:p>
    <w:p w:rsidR="00792E53" w:rsidP="00D17658" w14:paraId="3E4429D3" w14:textId="1E4BDFCC">
      <w:pPr>
        <w:ind w:left="576"/>
      </w:pPr>
      <w:r>
        <w:t>T</w:t>
      </w:r>
      <w:r w:rsidRPr="002C07E3">
        <w:t xml:space="preserve">he </w:t>
      </w:r>
      <w:r w:rsidR="004748A2">
        <w:t>4306 Study</w:t>
      </w:r>
      <w:r w:rsidRPr="002C07E3">
        <w:t xml:space="preserve"> </w:t>
      </w:r>
      <w:r>
        <w:t>is</w:t>
      </w:r>
      <w:r w:rsidRPr="002C07E3">
        <w:t xml:space="preserve"> fielded no more than </w:t>
      </w:r>
      <w:r w:rsidRPr="00586059">
        <w:t>once in a 12-month period.</w:t>
      </w:r>
      <w:r w:rsidRPr="002C07E3">
        <w:t xml:space="preserve"> For the purposes of this </w:t>
      </w:r>
      <w:r>
        <w:t>information collection request (</w:t>
      </w:r>
      <w:r w:rsidRPr="002C07E3">
        <w:t>ICR</w:t>
      </w:r>
      <w:r>
        <w:t>)</w:t>
      </w:r>
      <w:r w:rsidRPr="002C07E3">
        <w:t xml:space="preserve">, the three-year average annual burden calculation is shown in </w:t>
      </w:r>
      <w:r>
        <w:t>T</w:t>
      </w:r>
      <w:r w:rsidRPr="002C07E3">
        <w:t xml:space="preserve">able </w:t>
      </w:r>
      <w:r w:rsidR="00BC01B2">
        <w:t>D</w:t>
      </w:r>
      <w:r w:rsidR="004748A2">
        <w:t xml:space="preserve"> </w:t>
      </w:r>
      <w:r w:rsidRPr="002C07E3">
        <w:t>below. Attrition is a concern in all longitudinal studies. Attempts to boost participation rates can often be mitigated by using techniques such as</w:t>
      </w:r>
      <w:r>
        <w:t xml:space="preserve"> incentives, </w:t>
      </w:r>
      <w:r w:rsidRPr="002C07E3">
        <w:t xml:space="preserve">personal interviews, telephone reminders, etc., which carry </w:t>
      </w:r>
      <w:r>
        <w:t xml:space="preserve">an </w:t>
      </w:r>
      <w:r w:rsidRPr="002C07E3">
        <w:t xml:space="preserve">additional monetary burden. Therefore, the second and third waves of data collection (i.e., Year 2 and Year 3) are estimated using data from </w:t>
      </w:r>
      <w:r>
        <w:t>the past years of the PSTAP Assessment</w:t>
      </w:r>
      <w:r w:rsidR="004748A2">
        <w:t xml:space="preserve"> and other studies</w:t>
      </w:r>
      <w:r w:rsidRPr="002C07E3">
        <w:t>.</w:t>
      </w:r>
    </w:p>
    <w:p w:rsidR="00447610" w:rsidP="00447610" w14:paraId="0F9329EE" w14:textId="77777777"/>
    <w:p w:rsidR="00110DEA" w:rsidP="005D0895" w14:paraId="4CAF90F4" w14:textId="23386E55">
      <w:pPr>
        <w:ind w:left="576"/>
      </w:pPr>
      <w:r>
        <w:t xml:space="preserve">There will be partial </w:t>
      </w:r>
      <w:r>
        <w:t>overlap</w:t>
      </w:r>
      <w:r>
        <w:t xml:space="preserve"> between some PSTAP cohorts and 4306 cohorts. If a Veteran appears in both a PSTAP and 4306 cohort based on their separation date, and they respond to the survey, we will use their responses in both the PSTAP and 4306 studies. Table E shows the expected responses. The assumptions used to estimate the extent of overlap between 4306 cohorts and PSTAP cohorts appear in Table E. </w:t>
      </w:r>
    </w:p>
    <w:p w:rsidR="00110DEA" w:rsidP="00110DEA" w14:paraId="0658BF21" w14:textId="77777777"/>
    <w:p w:rsidR="00110DEA" w:rsidP="00110DEA" w14:paraId="15A90A57" w14:textId="5FD547E9">
      <w:pPr>
        <w:pStyle w:val="Caption"/>
      </w:pPr>
      <w:r>
        <w:t xml:space="preserve">Table </w:t>
      </w:r>
      <w:r w:rsidR="00BC01B2">
        <w:t>D</w:t>
      </w:r>
      <w:r>
        <w:t>. Assumed overlap between 4306 cohorts and PSTAP cohorts</w:t>
      </w:r>
    </w:p>
    <w:tbl>
      <w:tblPr>
        <w:tblStyle w:val="TableGrid"/>
        <w:tblW w:w="5053" w:type="pct"/>
        <w:tblInd w:w="-5" w:type="dxa"/>
        <w:tblLook w:val="04A0"/>
      </w:tblPr>
      <w:tblGrid>
        <w:gridCol w:w="1177"/>
        <w:gridCol w:w="1080"/>
        <w:gridCol w:w="7192"/>
      </w:tblGrid>
      <w:tr w14:paraId="69D12113" w14:textId="77777777" w:rsidTr="00C518BF">
        <w:tblPrEx>
          <w:tblW w:w="5053" w:type="pct"/>
          <w:tblInd w:w="-5" w:type="dxa"/>
          <w:tblLook w:val="04A0"/>
        </w:tblPrEx>
        <w:trPr>
          <w:trHeight w:val="307"/>
        </w:trPr>
        <w:tc>
          <w:tcPr>
            <w:tcW w:w="905" w:type="pct"/>
            <w:noWrap/>
            <w:hideMark/>
          </w:tcPr>
          <w:p w:rsidR="00C518BF" w:rsidRPr="00110DEA" w:rsidP="00F3323B" w14:paraId="10FE6BAC" w14:textId="77777777">
            <w:pPr>
              <w:rPr>
                <w:rFonts w:ascii="Calibri" w:hAnsi="Calibri" w:cs="Calibri"/>
                <w:b/>
                <w:bCs/>
                <w:color w:val="000000"/>
                <w:sz w:val="20"/>
              </w:rPr>
            </w:pPr>
            <w:r w:rsidRPr="00110DEA">
              <w:rPr>
                <w:rFonts w:ascii="Calibri" w:hAnsi="Calibri" w:cs="Calibri"/>
                <w:b/>
                <w:bCs/>
                <w:color w:val="000000"/>
                <w:sz w:val="20"/>
              </w:rPr>
              <w:t>4306 cohort</w:t>
            </w:r>
          </w:p>
        </w:tc>
        <w:tc>
          <w:tcPr>
            <w:tcW w:w="1524" w:type="pct"/>
          </w:tcPr>
          <w:p w:rsidR="00C518BF" w:rsidRPr="00110DEA" w:rsidP="00F3323B" w14:paraId="68AE0D93" w14:textId="5E95CEAB">
            <w:pPr>
              <w:rPr>
                <w:rFonts w:ascii="Calibri" w:hAnsi="Calibri" w:cs="Calibri"/>
                <w:b/>
                <w:bCs/>
                <w:color w:val="000000"/>
                <w:sz w:val="20"/>
              </w:rPr>
            </w:pPr>
            <w:r>
              <w:rPr>
                <w:rFonts w:ascii="Calibri" w:hAnsi="Calibri" w:cs="Calibri"/>
                <w:b/>
                <w:bCs/>
                <w:color w:val="000000"/>
                <w:sz w:val="20"/>
              </w:rPr>
              <w:t>Expected separation date range</w:t>
            </w:r>
          </w:p>
        </w:tc>
        <w:tc>
          <w:tcPr>
            <w:tcW w:w="2571" w:type="pct"/>
            <w:noWrap/>
            <w:hideMark/>
          </w:tcPr>
          <w:p w:rsidR="00C518BF" w:rsidRPr="00110DEA" w:rsidP="00F3323B" w14:paraId="0B756494" w14:textId="307DE45A">
            <w:pPr>
              <w:rPr>
                <w:rFonts w:ascii="Calibri" w:hAnsi="Calibri" w:cs="Calibri"/>
                <w:b/>
                <w:bCs/>
                <w:color w:val="000000"/>
                <w:sz w:val="20"/>
              </w:rPr>
            </w:pPr>
            <w:r w:rsidRPr="00110DEA">
              <w:rPr>
                <w:rFonts w:ascii="Calibri" w:hAnsi="Calibri" w:cs="Calibri"/>
                <w:b/>
                <w:bCs/>
                <w:color w:val="000000"/>
                <w:sz w:val="20"/>
              </w:rPr>
              <w:t>PSTAP cohort overlap</w:t>
            </w:r>
          </w:p>
        </w:tc>
      </w:tr>
      <w:tr w14:paraId="67EEF035" w14:textId="77777777" w:rsidTr="00C518BF">
        <w:tblPrEx>
          <w:tblW w:w="5053" w:type="pct"/>
          <w:tblInd w:w="-5" w:type="dxa"/>
          <w:tblLook w:val="04A0"/>
        </w:tblPrEx>
        <w:trPr>
          <w:trHeight w:val="307"/>
        </w:trPr>
        <w:tc>
          <w:tcPr>
            <w:tcW w:w="905" w:type="pct"/>
            <w:noWrap/>
            <w:hideMark/>
          </w:tcPr>
          <w:p w:rsidR="00C518BF" w:rsidRPr="00110DEA" w:rsidP="00F3323B" w14:paraId="16EEB7D6" w14:textId="62FBD7FB">
            <w:pPr>
              <w:rPr>
                <w:rFonts w:ascii="Calibri" w:hAnsi="Calibri" w:cs="Calibri"/>
                <w:color w:val="000000"/>
                <w:sz w:val="20"/>
              </w:rPr>
            </w:pPr>
            <w:r w:rsidRPr="00110DEA">
              <w:rPr>
                <w:rFonts w:ascii="Calibri" w:hAnsi="Calibri" w:cs="Calibri"/>
                <w:color w:val="000000"/>
                <w:sz w:val="20"/>
              </w:rPr>
              <w:t>1a</w:t>
            </w:r>
          </w:p>
        </w:tc>
        <w:tc>
          <w:tcPr>
            <w:tcW w:w="1524" w:type="pct"/>
          </w:tcPr>
          <w:p w:rsidR="00C518BF" w:rsidP="00F3323B" w14:paraId="07E338AA" w14:textId="78D926D1">
            <w:pPr>
              <w:rPr>
                <w:rFonts w:ascii="Calibri" w:hAnsi="Calibri" w:cs="Calibri"/>
                <w:color w:val="000000"/>
                <w:sz w:val="20"/>
              </w:rPr>
            </w:pPr>
            <w:r w:rsidRPr="00110DEA">
              <w:rPr>
                <w:rFonts w:ascii="Calibri" w:hAnsi="Calibri" w:cs="Calibri"/>
                <w:color w:val="000000"/>
                <w:sz w:val="20"/>
              </w:rPr>
              <w:t>Oct 2020-Sept 2021</w:t>
            </w:r>
          </w:p>
        </w:tc>
        <w:tc>
          <w:tcPr>
            <w:tcW w:w="2571" w:type="pct"/>
            <w:noWrap/>
            <w:hideMark/>
          </w:tcPr>
          <w:p w:rsidR="00C518BF" w:rsidRPr="00110DEA" w:rsidP="00F3323B" w14:paraId="5F0F4FBA" w14:textId="784B9D6C">
            <w:pPr>
              <w:rPr>
                <w:rFonts w:ascii="Calibri" w:hAnsi="Calibri" w:cs="Calibri"/>
                <w:color w:val="000000"/>
                <w:sz w:val="20"/>
              </w:rPr>
            </w:pPr>
            <w:r>
              <w:rPr>
                <w:rFonts w:ascii="Calibri" w:hAnsi="Calibri" w:cs="Calibri"/>
                <w:color w:val="000000"/>
                <w:sz w:val="20"/>
              </w:rPr>
              <w:t>No overlap (not part of upcoming PSTAP data collection)</w:t>
            </w:r>
          </w:p>
        </w:tc>
      </w:tr>
      <w:tr w14:paraId="5B5D2DB0" w14:textId="77777777" w:rsidTr="00C518BF">
        <w:tblPrEx>
          <w:tblW w:w="5053" w:type="pct"/>
          <w:tblInd w:w="-5" w:type="dxa"/>
          <w:tblLook w:val="04A0"/>
        </w:tblPrEx>
        <w:trPr>
          <w:trHeight w:val="307"/>
        </w:trPr>
        <w:tc>
          <w:tcPr>
            <w:tcW w:w="905" w:type="pct"/>
            <w:noWrap/>
            <w:hideMark/>
          </w:tcPr>
          <w:p w:rsidR="00C518BF" w:rsidRPr="00110DEA" w:rsidP="00F3323B" w14:paraId="548216AA" w14:textId="7064198E">
            <w:pPr>
              <w:rPr>
                <w:rFonts w:ascii="Calibri" w:hAnsi="Calibri" w:cs="Calibri"/>
                <w:color w:val="000000"/>
                <w:sz w:val="20"/>
              </w:rPr>
            </w:pPr>
            <w:r w:rsidRPr="00110DEA">
              <w:rPr>
                <w:rFonts w:ascii="Calibri" w:hAnsi="Calibri" w:cs="Calibri"/>
                <w:color w:val="000000"/>
                <w:sz w:val="20"/>
              </w:rPr>
              <w:t xml:space="preserve">1b </w:t>
            </w:r>
          </w:p>
        </w:tc>
        <w:tc>
          <w:tcPr>
            <w:tcW w:w="1524" w:type="pct"/>
          </w:tcPr>
          <w:p w:rsidR="00C518BF" w:rsidRPr="00110DEA" w:rsidP="00F3323B" w14:paraId="5E4F8A39" w14:textId="40518FA2">
            <w:pPr>
              <w:rPr>
                <w:rFonts w:ascii="Calibri" w:hAnsi="Calibri" w:cs="Calibri"/>
                <w:color w:val="000000"/>
                <w:sz w:val="20"/>
              </w:rPr>
            </w:pPr>
            <w:r w:rsidRPr="00110DEA">
              <w:rPr>
                <w:rFonts w:ascii="Calibri" w:hAnsi="Calibri" w:cs="Calibri"/>
                <w:color w:val="000000"/>
                <w:sz w:val="20"/>
              </w:rPr>
              <w:t>Jan 202</w:t>
            </w:r>
            <w:r w:rsidR="000C16FC">
              <w:rPr>
                <w:rFonts w:ascii="Calibri" w:hAnsi="Calibri" w:cs="Calibri"/>
                <w:color w:val="000000"/>
                <w:sz w:val="20"/>
              </w:rPr>
              <w:t>4</w:t>
            </w:r>
            <w:r w:rsidRPr="00110DEA">
              <w:rPr>
                <w:rFonts w:ascii="Calibri" w:hAnsi="Calibri" w:cs="Calibri"/>
                <w:color w:val="000000"/>
                <w:sz w:val="20"/>
              </w:rPr>
              <w:t>-Dec 202</w:t>
            </w:r>
            <w:r w:rsidR="000C16FC">
              <w:rPr>
                <w:rFonts w:ascii="Calibri" w:hAnsi="Calibri" w:cs="Calibri"/>
                <w:color w:val="000000"/>
                <w:sz w:val="20"/>
              </w:rPr>
              <w:t>4</w:t>
            </w:r>
          </w:p>
        </w:tc>
        <w:tc>
          <w:tcPr>
            <w:tcW w:w="2571" w:type="pct"/>
            <w:noWrap/>
            <w:hideMark/>
          </w:tcPr>
          <w:p w:rsidR="00C518BF" w:rsidRPr="00110DEA" w:rsidP="00F3323B" w14:paraId="1DAC69CD" w14:textId="3301921F">
            <w:pPr>
              <w:rPr>
                <w:rFonts w:ascii="Calibri" w:hAnsi="Calibri" w:cs="Calibri"/>
                <w:color w:val="000000"/>
                <w:sz w:val="20"/>
              </w:rPr>
            </w:pPr>
            <w:r w:rsidRPr="00110DEA">
              <w:rPr>
                <w:rFonts w:ascii="Calibri" w:hAnsi="Calibri" w:cs="Calibri"/>
                <w:color w:val="000000"/>
                <w:sz w:val="20"/>
              </w:rPr>
              <w:t>Overlap with half of PSTAP cohorts 16 (Dec 23 - Jan 24) and 17 (June-July 23)</w:t>
            </w:r>
          </w:p>
        </w:tc>
      </w:tr>
      <w:tr w14:paraId="2F9EC214" w14:textId="77777777" w:rsidTr="00C518BF">
        <w:tblPrEx>
          <w:tblW w:w="5053" w:type="pct"/>
          <w:tblInd w:w="-5" w:type="dxa"/>
          <w:tblLook w:val="04A0"/>
        </w:tblPrEx>
        <w:trPr>
          <w:trHeight w:val="307"/>
        </w:trPr>
        <w:tc>
          <w:tcPr>
            <w:tcW w:w="905" w:type="pct"/>
            <w:noWrap/>
            <w:hideMark/>
          </w:tcPr>
          <w:p w:rsidR="00C518BF" w:rsidRPr="00110DEA" w:rsidP="00F3323B" w14:paraId="20AE8D16" w14:textId="41268559">
            <w:pPr>
              <w:rPr>
                <w:rFonts w:ascii="Calibri" w:hAnsi="Calibri" w:cs="Calibri"/>
                <w:color w:val="000000"/>
                <w:sz w:val="20"/>
              </w:rPr>
            </w:pPr>
            <w:r w:rsidRPr="00110DEA">
              <w:rPr>
                <w:rFonts w:ascii="Calibri" w:hAnsi="Calibri" w:cs="Calibri"/>
                <w:color w:val="000000"/>
                <w:sz w:val="20"/>
              </w:rPr>
              <w:t xml:space="preserve">2 </w:t>
            </w:r>
          </w:p>
        </w:tc>
        <w:tc>
          <w:tcPr>
            <w:tcW w:w="1524" w:type="pct"/>
          </w:tcPr>
          <w:p w:rsidR="00C518BF" w:rsidRPr="00110DEA" w:rsidP="00F3323B" w14:paraId="5D0598A5" w14:textId="5FC158D6">
            <w:pPr>
              <w:rPr>
                <w:rFonts w:ascii="Calibri" w:hAnsi="Calibri" w:cs="Calibri"/>
                <w:color w:val="000000"/>
                <w:sz w:val="20"/>
              </w:rPr>
            </w:pPr>
            <w:r w:rsidRPr="00110DEA">
              <w:rPr>
                <w:rFonts w:ascii="Calibri" w:hAnsi="Calibri" w:cs="Calibri"/>
                <w:color w:val="000000"/>
                <w:sz w:val="20"/>
              </w:rPr>
              <w:t>Jan 202</w:t>
            </w:r>
            <w:r w:rsidR="000C16FC">
              <w:rPr>
                <w:rFonts w:ascii="Calibri" w:hAnsi="Calibri" w:cs="Calibri"/>
                <w:color w:val="000000"/>
                <w:sz w:val="20"/>
              </w:rPr>
              <w:t>5</w:t>
            </w:r>
            <w:r w:rsidRPr="00110DEA">
              <w:rPr>
                <w:rFonts w:ascii="Calibri" w:hAnsi="Calibri" w:cs="Calibri"/>
                <w:color w:val="000000"/>
                <w:sz w:val="20"/>
              </w:rPr>
              <w:t>-Dec 202</w:t>
            </w:r>
            <w:r w:rsidR="000C16FC">
              <w:rPr>
                <w:rFonts w:ascii="Calibri" w:hAnsi="Calibri" w:cs="Calibri"/>
                <w:color w:val="000000"/>
                <w:sz w:val="20"/>
              </w:rPr>
              <w:t>5</w:t>
            </w:r>
          </w:p>
        </w:tc>
        <w:tc>
          <w:tcPr>
            <w:tcW w:w="2571" w:type="pct"/>
            <w:noWrap/>
            <w:hideMark/>
          </w:tcPr>
          <w:p w:rsidR="00C518BF" w:rsidRPr="00110DEA" w:rsidP="00F3323B" w14:paraId="636737CB" w14:textId="2C769A2E">
            <w:pPr>
              <w:rPr>
                <w:rFonts w:ascii="Calibri" w:hAnsi="Calibri" w:cs="Calibri"/>
                <w:color w:val="000000"/>
                <w:sz w:val="20"/>
              </w:rPr>
            </w:pPr>
            <w:r w:rsidRPr="00110DEA">
              <w:rPr>
                <w:rFonts w:ascii="Calibri" w:hAnsi="Calibri" w:cs="Calibri"/>
                <w:color w:val="000000"/>
                <w:sz w:val="20"/>
              </w:rPr>
              <w:t>Overlap with PSTAP cohorts 16 (Dec 23-Jan 24), 19 (Dec 24-Jan 25), and 20 (June-July 24)</w:t>
            </w:r>
          </w:p>
        </w:tc>
      </w:tr>
      <w:tr w14:paraId="616C0A50" w14:textId="77777777" w:rsidTr="00C518BF">
        <w:tblPrEx>
          <w:tblW w:w="5053" w:type="pct"/>
          <w:tblInd w:w="-5" w:type="dxa"/>
          <w:tblLook w:val="04A0"/>
        </w:tblPrEx>
        <w:trPr>
          <w:trHeight w:val="307"/>
        </w:trPr>
        <w:tc>
          <w:tcPr>
            <w:tcW w:w="905" w:type="pct"/>
            <w:noWrap/>
            <w:hideMark/>
          </w:tcPr>
          <w:p w:rsidR="00C518BF" w:rsidRPr="00110DEA" w:rsidP="00F3323B" w14:paraId="7888441E" w14:textId="28E907CD">
            <w:pPr>
              <w:rPr>
                <w:rFonts w:ascii="Calibri" w:hAnsi="Calibri" w:cs="Calibri"/>
                <w:color w:val="000000"/>
                <w:sz w:val="20"/>
              </w:rPr>
            </w:pPr>
            <w:r w:rsidRPr="00110DEA">
              <w:rPr>
                <w:rFonts w:ascii="Calibri" w:hAnsi="Calibri" w:cs="Calibri"/>
                <w:color w:val="000000"/>
                <w:sz w:val="20"/>
              </w:rPr>
              <w:t xml:space="preserve">3 </w:t>
            </w:r>
          </w:p>
        </w:tc>
        <w:tc>
          <w:tcPr>
            <w:tcW w:w="1524" w:type="pct"/>
          </w:tcPr>
          <w:p w:rsidR="00C518BF" w:rsidP="00F3323B" w14:paraId="23195176" w14:textId="284D2FDC">
            <w:pPr>
              <w:rPr>
                <w:rFonts w:ascii="Calibri" w:hAnsi="Calibri" w:cs="Calibri"/>
                <w:color w:val="000000"/>
                <w:sz w:val="20"/>
              </w:rPr>
            </w:pPr>
            <w:r w:rsidRPr="00110DEA">
              <w:rPr>
                <w:rFonts w:ascii="Calibri" w:hAnsi="Calibri" w:cs="Calibri"/>
                <w:color w:val="000000"/>
                <w:sz w:val="20"/>
              </w:rPr>
              <w:t>October 2019-September 2020</w:t>
            </w:r>
          </w:p>
        </w:tc>
        <w:tc>
          <w:tcPr>
            <w:tcW w:w="2571" w:type="pct"/>
            <w:noWrap/>
            <w:hideMark/>
          </w:tcPr>
          <w:p w:rsidR="00C518BF" w:rsidRPr="00110DEA" w:rsidP="00F3323B" w14:paraId="1EAA1E59" w14:textId="3ABDEC26">
            <w:pPr>
              <w:rPr>
                <w:rFonts w:ascii="Calibri" w:hAnsi="Calibri" w:cs="Calibri"/>
                <w:color w:val="000000"/>
                <w:sz w:val="20"/>
              </w:rPr>
            </w:pPr>
            <w:r>
              <w:rPr>
                <w:rFonts w:ascii="Calibri" w:hAnsi="Calibri" w:cs="Calibri"/>
                <w:color w:val="000000"/>
                <w:sz w:val="20"/>
              </w:rPr>
              <w:t xml:space="preserve">No overlap (not part of upcoming PSTAP data collection) </w:t>
            </w:r>
          </w:p>
        </w:tc>
      </w:tr>
    </w:tbl>
    <w:p w:rsidR="00A605CB" w:rsidP="00A605CB" w14:paraId="64278DF7" w14:textId="77777777"/>
    <w:p w:rsidR="00A605CB" w:rsidP="00A605CB" w14:paraId="3B71279F" w14:textId="77777777"/>
    <w:p w:rsidR="00A605CB" w:rsidP="00D17658" w14:paraId="7E6AA089" w14:textId="1779F5B7">
      <w:pPr>
        <w:ind w:left="576"/>
      </w:pPr>
      <w:r>
        <w:t xml:space="preserve">Table </w:t>
      </w:r>
      <w:r w:rsidR="00BC01B2">
        <w:t>E</w:t>
      </w:r>
      <w:r>
        <w:t xml:space="preserve"> provides the annual burden rates for the 4306 </w:t>
      </w:r>
      <w:r w:rsidR="005C0576">
        <w:t>cohorts that</w:t>
      </w:r>
      <w:r>
        <w:t xml:space="preserve"> appear in Table F. The expected numbers of 4306 study responses exclude participants from overlapping cohorts who participate in the PSTAP.</w:t>
      </w:r>
    </w:p>
    <w:p w:rsidR="004748A2" w:rsidP="00110DEA" w14:paraId="0C7FDE2B" w14:textId="77777777"/>
    <w:p w:rsidR="004748A2" w:rsidP="004748A2" w14:paraId="3E6D9D83" w14:textId="3CD43D81">
      <w:pPr>
        <w:pStyle w:val="Caption"/>
      </w:pPr>
      <w:r>
        <w:t xml:space="preserve">Table </w:t>
      </w:r>
      <w:r w:rsidR="00BC01B2">
        <w:t>E</w:t>
      </w:r>
      <w:r>
        <w:t>. Average Annual Burden Rates for the 4306 Study</w:t>
      </w:r>
    </w:p>
    <w:p w:rsidR="00110DEA" w:rsidP="00110DEA" w14:paraId="0A3ECA87" w14:textId="1955ACCB">
      <w:r w:rsidRPr="00A43ED6">
        <w:rPr>
          <w:noProof/>
        </w:rPr>
        <w:drawing>
          <wp:inline distT="0" distB="0" distL="0" distR="0">
            <wp:extent cx="5943600" cy="1324610"/>
            <wp:effectExtent l="0" t="0" r="0" b="8890"/>
            <wp:docPr id="1742880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80312"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24610"/>
                    </a:xfrm>
                    <a:prstGeom prst="rect">
                      <a:avLst/>
                    </a:prstGeom>
                    <a:noFill/>
                    <a:ln>
                      <a:noFill/>
                    </a:ln>
                  </pic:spPr>
                </pic:pic>
              </a:graphicData>
            </a:graphic>
          </wp:inline>
        </w:drawing>
      </w:r>
    </w:p>
    <w:p w:rsidR="00110DEA" w:rsidP="00D17658" w14:paraId="7EC79361" w14:textId="77777777"/>
    <w:p w:rsidR="00F63864" w:rsidP="00D17658" w14:paraId="4CC8468A" w14:textId="007C4B06">
      <w:pPr>
        <w:ind w:left="720"/>
      </w:pPr>
      <w:r>
        <w:t>Based on expected response rates and retention rates for the study, the average annual burden for the 4306 Study is 4,8</w:t>
      </w:r>
      <w:r w:rsidR="00A06D79">
        <w:t>21</w:t>
      </w:r>
      <w:r>
        <w:t xml:space="preserve"> hours. The retention rates for this study were developed based on a review of the retention rates of the Vocational Rehabilitation and Employment (VR&amp;E) longitudinal study currently being conducted by VA as well as previous years of the PSTAP Assessment. </w:t>
      </w:r>
    </w:p>
    <w:p w:rsidR="004748A2" w:rsidP="00D17658" w14:paraId="3BF23B76" w14:textId="77777777">
      <w:pPr>
        <w:ind w:left="720"/>
      </w:pPr>
    </w:p>
    <w:p w:rsidR="0002657D" w:rsidP="00D17658" w14:paraId="022854C2" w14:textId="0DB1377C">
      <w:pPr>
        <w:ind w:left="720"/>
      </w:pPr>
      <w:r>
        <w:t xml:space="preserve">Table </w:t>
      </w:r>
      <w:r w:rsidR="00BC01B2">
        <w:t>F</w:t>
      </w:r>
      <w:r>
        <w:t xml:space="preserve"> below provides a summary of the average annual burden for all three surveys over the next three years. In total, the average annual burden under this ICR is </w:t>
      </w:r>
      <w:r w:rsidR="00DA6153">
        <w:t>9,582</w:t>
      </w:r>
      <w:r w:rsidR="00BC01B2">
        <w:t xml:space="preserve"> </w:t>
      </w:r>
      <w:r>
        <w:t xml:space="preserve">hours. </w:t>
      </w:r>
    </w:p>
    <w:p w:rsidR="00F63864" w:rsidP="00D17658" w14:paraId="5123CD59" w14:textId="77777777">
      <w:pPr>
        <w:ind w:left="720"/>
      </w:pPr>
    </w:p>
    <w:p w:rsidR="00F63864" w:rsidP="00F63864" w14:paraId="5F52AC81" w14:textId="227FC17D">
      <w:pPr>
        <w:pStyle w:val="Caption"/>
      </w:pPr>
      <w:r>
        <w:t>Table</w:t>
      </w:r>
      <w:r w:rsidR="00A605CB">
        <w:rPr>
          <w:noProof/>
        </w:rPr>
        <w:t xml:space="preserve"> </w:t>
      </w:r>
      <w:r w:rsidR="00BC01B2">
        <w:rPr>
          <w:noProof/>
        </w:rPr>
        <w:t>F</w:t>
      </w:r>
      <w:r>
        <w:t>. Combined Average Annual Burden for All Surveys</w:t>
      </w:r>
    </w:p>
    <w:p w:rsidR="00F63864" w:rsidRPr="00F63864" w:rsidP="00D17658" w14:paraId="566FB4F6" w14:textId="099BB825">
      <w:r w:rsidRPr="0094103C">
        <w:rPr>
          <w:noProof/>
        </w:rPr>
        <w:drawing>
          <wp:inline distT="0" distB="0" distL="0" distR="0">
            <wp:extent cx="5943600" cy="997585"/>
            <wp:effectExtent l="0" t="0" r="0" b="0"/>
            <wp:docPr id="7207962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796217"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997585"/>
                    </a:xfrm>
                    <a:prstGeom prst="rect">
                      <a:avLst/>
                    </a:prstGeom>
                    <a:noFill/>
                    <a:ln>
                      <a:noFill/>
                    </a:ln>
                  </pic:spPr>
                </pic:pic>
              </a:graphicData>
            </a:graphic>
          </wp:inline>
        </w:drawing>
      </w:r>
    </w:p>
    <w:p w:rsidR="00781C2C" w:rsidP="00781C2C" w14:paraId="22078326" w14:textId="77777777">
      <w:pPr>
        <w:pStyle w:val="ListParagraph"/>
        <w:numPr>
          <w:ilvl w:val="0"/>
          <w:numId w:val="20"/>
        </w:numPr>
      </w:pPr>
      <w:r w:rsidRPr="008F3C8C">
        <w:t>Describe the procedures for the collection of information including:</w:t>
      </w:r>
      <w:r w:rsidR="005D0895">
        <w:t xml:space="preserve"> </w:t>
      </w:r>
    </w:p>
    <w:p w:rsidR="00781C2C" w:rsidP="00781C2C" w14:paraId="2F87BD42" w14:textId="77777777">
      <w:pPr>
        <w:pStyle w:val="ListParagraph"/>
        <w:numPr>
          <w:ilvl w:val="0"/>
          <w:numId w:val="21"/>
        </w:numPr>
      </w:pPr>
      <w:r w:rsidRPr="008F3C8C">
        <w:t xml:space="preserve">Statistical methodology for stratification and sample </w:t>
      </w:r>
      <w:r w:rsidRPr="008F3C8C">
        <w:t>selection</w:t>
      </w:r>
      <w:r w:rsidRPr="008F3C8C" w:rsidR="003E11B1">
        <w:t>;</w:t>
      </w:r>
      <w:r w:rsidR="00586E11">
        <w:t xml:space="preserve"> </w:t>
      </w:r>
    </w:p>
    <w:p w:rsidR="00781C2C" w:rsidP="00781C2C" w14:paraId="4EB1252F" w14:textId="77777777">
      <w:pPr>
        <w:pStyle w:val="ListParagraph"/>
        <w:numPr>
          <w:ilvl w:val="0"/>
          <w:numId w:val="21"/>
        </w:numPr>
      </w:pPr>
      <w:r w:rsidRPr="008F3C8C">
        <w:t xml:space="preserve">Estimation </w:t>
      </w:r>
      <w:r w:rsidRPr="008F3C8C">
        <w:t>procedure</w:t>
      </w:r>
      <w:r w:rsidRPr="008F3C8C" w:rsidR="003E11B1">
        <w:t>;</w:t>
      </w:r>
      <w:r w:rsidR="00586E11">
        <w:t xml:space="preserve"> </w:t>
      </w:r>
    </w:p>
    <w:p w:rsidR="00781C2C" w:rsidP="00781C2C" w14:paraId="326AD0F3" w14:textId="77777777">
      <w:pPr>
        <w:pStyle w:val="ListParagraph"/>
        <w:numPr>
          <w:ilvl w:val="0"/>
          <w:numId w:val="21"/>
        </w:numPr>
      </w:pPr>
      <w:r w:rsidRPr="008F3C8C">
        <w:t xml:space="preserve">Degree of accuracy needed for the purpose described in the </w:t>
      </w:r>
      <w:r w:rsidRPr="008F3C8C">
        <w:t>justification</w:t>
      </w:r>
      <w:r w:rsidRPr="008F3C8C" w:rsidR="00CC6DC4">
        <w:t>;</w:t>
      </w:r>
      <w:r w:rsidR="005D0895">
        <w:t xml:space="preserve"> </w:t>
      </w:r>
    </w:p>
    <w:p w:rsidR="00781C2C" w:rsidP="00781C2C" w14:paraId="2EA00A96" w14:textId="77777777">
      <w:pPr>
        <w:pStyle w:val="ListParagraph"/>
        <w:numPr>
          <w:ilvl w:val="0"/>
          <w:numId w:val="21"/>
        </w:numPr>
      </w:pPr>
      <w:r w:rsidRPr="008F3C8C">
        <w:t>Unusual problems requiring specialized sampling procedures</w:t>
      </w:r>
      <w:r w:rsidRPr="008F3C8C" w:rsidR="003E11B1">
        <w:t>;</w:t>
      </w:r>
      <w:r w:rsidRPr="008F3C8C">
        <w:t xml:space="preserve"> and </w:t>
      </w:r>
    </w:p>
    <w:p w:rsidR="00EC4A52" w:rsidRPr="008F3C8C" w:rsidP="00781C2C" w14:paraId="1FED52B8" w14:textId="4611A97D">
      <w:pPr>
        <w:pStyle w:val="ListParagraph"/>
        <w:numPr>
          <w:ilvl w:val="0"/>
          <w:numId w:val="21"/>
        </w:numPr>
      </w:pPr>
      <w:r w:rsidRPr="008F3C8C">
        <w:t>Any use of periodic (less frequent than annual) data collection cycles to reduce burden.</w:t>
      </w:r>
    </w:p>
    <w:p w:rsidR="00447883" w:rsidRPr="00FC5AB1" w:rsidP="00D17658" w14:paraId="61759B2B" w14:textId="786BF683">
      <w:pPr>
        <w:ind w:left="1080"/>
      </w:pPr>
    </w:p>
    <w:p w:rsidR="009123B5" w:rsidP="00D17658" w14:paraId="6458A8D8" w14:textId="01C591B0">
      <w:pPr>
        <w:ind w:left="720"/>
      </w:pPr>
      <w:r w:rsidRPr="002D3411">
        <w:rPr>
          <w:b/>
          <w:bCs/>
        </w:rPr>
        <w:t xml:space="preserve">PSTAP study. </w:t>
      </w:r>
      <w:r>
        <w:t xml:space="preserve">As discussed in the previous question (Item 1), the study </w:t>
      </w:r>
      <w:r w:rsidR="001F1A16">
        <w:t xml:space="preserve">solicits </w:t>
      </w:r>
      <w:r>
        <w:t xml:space="preserve">responses from </w:t>
      </w:r>
      <w:r w:rsidR="001F1A16">
        <w:t xml:space="preserve">Veterans through two surveys. The Cross-Sectional Survey is a census of three cohorts of Veterans </w:t>
      </w:r>
      <w:r w:rsidRPr="00A509E9" w:rsidR="001F1A16">
        <w:t xml:space="preserve">separating from service </w:t>
      </w:r>
      <w:r w:rsidR="001F1A16">
        <w:t>for approximately</w:t>
      </w:r>
      <w:r w:rsidRPr="00A509E9" w:rsidR="001F1A16">
        <w:t xml:space="preserve"> six (6) months, one (1) year, and three (3) years</w:t>
      </w:r>
      <w:r w:rsidR="001F1A16">
        <w:t xml:space="preserve">. As a result, the Contractor does not utilize sampling or stratification procedures to identify participants. Participants in the Longitudinal Survey include a subset of </w:t>
      </w:r>
      <w:r>
        <w:t xml:space="preserve">Veterans who </w:t>
      </w:r>
      <w:r w:rsidR="001F1A16">
        <w:t xml:space="preserve">participated in the Cross-Sectional Survey and </w:t>
      </w:r>
      <w:r>
        <w:t xml:space="preserve">indicated on the </w:t>
      </w:r>
      <w:r w:rsidR="001F1A16">
        <w:t>Cross-Sectional Survey</w:t>
      </w:r>
      <w:r>
        <w:t xml:space="preserve"> that they would be willing to be contacted for future surveys</w:t>
      </w:r>
      <w:r w:rsidR="001F1A16">
        <w:t>.</w:t>
      </w:r>
    </w:p>
    <w:p w:rsidR="00402D54" w:rsidP="00D17658" w14:paraId="61B48F26" w14:textId="13D133B4">
      <w:pPr>
        <w:ind w:left="720"/>
      </w:pPr>
    </w:p>
    <w:p w:rsidR="00402D54" w:rsidRPr="00284BF3" w:rsidP="00D17658" w14:paraId="5BB94459" w14:textId="0E2934AB">
      <w:pPr>
        <w:ind w:left="720"/>
      </w:pPr>
      <w:r>
        <w:t xml:space="preserve">Due to the longitudinal study’s dependence on responses to the cross-sectional survey to generate a </w:t>
      </w:r>
      <w:r w:rsidR="009456FC">
        <w:t>set of potential respondents</w:t>
      </w:r>
      <w:r>
        <w:t xml:space="preserve">, it is possible that lower than </w:t>
      </w:r>
      <w:r>
        <w:t xml:space="preserve">expected response rates to the cross-sectional survey could result in </w:t>
      </w:r>
      <w:r w:rsidR="002E1CC5">
        <w:t xml:space="preserve">a </w:t>
      </w:r>
      <w:r>
        <w:t>longitudinal sample that is not large enough</w:t>
      </w:r>
      <w:r w:rsidR="00D87EA5">
        <w:t xml:space="preserve"> to meet the </w:t>
      </w:r>
      <w:r w:rsidR="004036A9">
        <w:t xml:space="preserve">necessary </w:t>
      </w:r>
      <w:r w:rsidR="00D87EA5">
        <w:t>sample size determined by the power analysis</w:t>
      </w:r>
      <w:r w:rsidR="00D7242B">
        <w:t>. As shown above, current response rates allow the contractor to conduct a thorough analysis of Longitudinal Survey responses and draw accurate conclusions</w:t>
      </w:r>
      <w:r>
        <w:t xml:space="preserve">. </w:t>
      </w:r>
    </w:p>
    <w:p w:rsidR="009123B5" w:rsidP="00D17658" w14:paraId="38523FC9" w14:textId="77777777">
      <w:pPr>
        <w:ind w:left="720"/>
      </w:pPr>
    </w:p>
    <w:p w:rsidR="009123B5" w:rsidP="00D17658" w14:paraId="4665C947" w14:textId="79F0DEC7">
      <w:pPr>
        <w:ind w:left="720"/>
      </w:pPr>
      <w:r>
        <w:t xml:space="preserve">Post-stratification weights shall be used, drawing upon the population file to provide control totals; more detail is provided in the following item. For estimation of frequencies, means, cross tabulations, and other statistics, the Contractor will utilize the post-stratification weights. The Contractor will estimate weighted statistics representative of the population and will include the weighted standard errors associated with each estimate. The </w:t>
      </w:r>
      <w:r w:rsidR="008E0D1C">
        <w:t>Contractor</w:t>
      </w:r>
      <w:r>
        <w:t xml:space="preserve"> will also produce subgroup analyses. For </w:t>
      </w:r>
      <w:r>
        <w:t>analyses</w:t>
      </w:r>
      <w:r>
        <w:t xml:space="preserve"> comparing subgroups, differences shall undergo significance testing at the 95% confidence level. </w:t>
      </w:r>
    </w:p>
    <w:p w:rsidR="009123B5" w:rsidP="00D17658" w14:paraId="49E778AB" w14:textId="77777777">
      <w:pPr>
        <w:ind w:left="720"/>
      </w:pPr>
    </w:p>
    <w:p w:rsidR="009123B5" w:rsidP="00D17658" w14:paraId="500D03B9" w14:textId="77777777">
      <w:pPr>
        <w:ind w:left="720"/>
      </w:pPr>
      <w:r>
        <w:t xml:space="preserve">The PSTAP Assessment will not be conducted more frequently than once in a 12-month period. At the end of the instrument, Veterans are requested to opt into future waves of data collection and are informed in writing that they shall not be </w:t>
      </w:r>
      <w:r w:rsidRPr="006C6AC2">
        <w:t>contacted more than once in a 12-month period.</w:t>
      </w:r>
    </w:p>
    <w:p w:rsidR="007C14F4" w:rsidP="00D17658" w14:paraId="66520543" w14:textId="77777777">
      <w:pPr>
        <w:ind w:left="720"/>
      </w:pPr>
    </w:p>
    <w:p w:rsidR="00CC417D" w:rsidP="00D17658" w14:paraId="22BD2FC8" w14:textId="1CB631EA">
      <w:pPr>
        <w:ind w:left="720"/>
      </w:pPr>
      <w:r w:rsidRPr="002D3411">
        <w:rPr>
          <w:b/>
          <w:bCs/>
        </w:rPr>
        <w:t>4306 Study</w:t>
      </w:r>
      <w:r>
        <w:t xml:space="preserve">. </w:t>
      </w:r>
      <w:r>
        <w:t xml:space="preserve">The 4306 Study cohorts will be drawn using </w:t>
      </w:r>
      <w:r w:rsidR="00256C92">
        <w:t xml:space="preserve">a combination of 1) </w:t>
      </w:r>
      <w:r>
        <w:t>random sampling from the population of Veterans in each cohort</w:t>
      </w:r>
      <w:r w:rsidR="00256C92">
        <w:t xml:space="preserve">, and 2) Veterans who appear in the PSTAP cohorts, if their </w:t>
      </w:r>
      <w:r w:rsidR="00FC33F9">
        <w:t xml:space="preserve">pre-separation counseling completion </w:t>
      </w:r>
      <w:r w:rsidR="00256C92">
        <w:t xml:space="preserve">date falls within a </w:t>
      </w:r>
      <w:r w:rsidR="00256C92">
        <w:t>4306 study</w:t>
      </w:r>
      <w:r w:rsidR="00256C92">
        <w:t xml:space="preserve"> cohort</w:t>
      </w:r>
      <w:r>
        <w:t>. To determine the initial sample size for each cohort to obtain 2,400 respondents in Year 5, we needed to estimate the initial response rate and attrition in each subsequent year. We assumed an initial response rate of 15%.</w:t>
      </w:r>
      <w:r>
        <w:rPr>
          <w:rStyle w:val="FootnoteReference"/>
        </w:rPr>
        <w:footnoteReference w:id="5"/>
      </w:r>
      <w:r>
        <w:t xml:space="preserve"> </w:t>
      </w:r>
      <w:r w:rsidR="00256C92">
        <w:t xml:space="preserve">If a </w:t>
      </w:r>
      <w:r w:rsidR="00A00E85">
        <w:t xml:space="preserve">Veteran </w:t>
      </w:r>
      <w:r w:rsidR="00256C92">
        <w:t xml:space="preserve">who separated </w:t>
      </w:r>
      <w:r w:rsidR="00256C92">
        <w:t>in</w:t>
      </w:r>
      <w:r w:rsidR="00256C92">
        <w:t xml:space="preserve"> the range of one of the 4306 cohorts, and </w:t>
      </w:r>
      <w:r w:rsidR="00A00E85">
        <w:t>appears in a PSTAP cross-sectional cohort, they will receive the survey and, if they respond, will be included in the analysis for both the 4306 Study and the PSTAP study.</w:t>
      </w:r>
      <w:r w:rsidR="00256C92">
        <w:t xml:space="preserve"> </w:t>
      </w:r>
    </w:p>
    <w:p w:rsidR="00A00E85" w:rsidP="00D17658" w14:paraId="7DC593B9" w14:textId="77777777">
      <w:pPr>
        <w:ind w:left="720"/>
      </w:pPr>
    </w:p>
    <w:p w:rsidR="00CC417D" w:rsidP="00D17658" w14:paraId="56F0683A" w14:textId="03A915F5">
      <w:pPr>
        <w:ind w:left="720"/>
      </w:pPr>
      <w:r>
        <w:t>All longitudinal studies experience attrition among respondents who initially participate but drop out of subsequent interviews. We assume a retention rate of 70% at each subsequent interview. That is, we assume that in each year, 70% of those who responded in the previous year will respond.</w:t>
      </w:r>
      <w:r>
        <w:rPr>
          <w:rStyle w:val="FootnoteReference"/>
        </w:rPr>
        <w:footnoteReference w:id="6"/>
      </w:r>
      <w:r>
        <w:t xml:space="preserve"> Table </w:t>
      </w:r>
      <w:r w:rsidR="008B0B3F">
        <w:t>G</w:t>
      </w:r>
      <w:r>
        <w:t xml:space="preserve"> shows the initial </w:t>
      </w:r>
      <w:r>
        <w:t>sample size for each cohort and expected sample size in each year based on a Year 1 response rate of 15% and a 70% annual attrition rate and an expected design effect of 1.5. The initial sample size is 66,639 per cohort to obtain a final sample size of 2,400 in Year 5 (2,400*.15*.70</w:t>
      </w:r>
      <w:r w:rsidRPr="00B534CF">
        <w:rPr>
          <w:vertAlign w:val="superscript"/>
        </w:rPr>
        <w:t>4</w:t>
      </w:r>
      <w:r>
        <w:t>). The expected population size of each cohort (approximately 150,000 Veterans) is large enough to support a sample of 66,639 Veterans in each cohort. We may need to augment the initial sample size given response rates from future PSTAP data collections; this should be feasible given that the population size of each cohort can support larger samples if needed.</w:t>
      </w:r>
    </w:p>
    <w:p w:rsidR="00CC417D" w:rsidP="00CC417D" w14:paraId="5FDB621E" w14:textId="03B97B3F">
      <w:pPr>
        <w:pStyle w:val="Caption"/>
        <w:rPr>
          <w:rFonts w:ascii="Trebuchet MS" w:hAnsi="Trebuchet MS"/>
          <w:color w:val="404040" w:themeColor="text1" w:themeTint="BF"/>
          <w:szCs w:val="20"/>
        </w:rPr>
      </w:pPr>
      <w:bookmarkStart w:id="1" w:name="_Ref87876485"/>
      <w:r>
        <w:t xml:space="preserve">Table </w:t>
      </w:r>
      <w:bookmarkEnd w:id="1"/>
      <w:r w:rsidR="008B0B3F">
        <w:t>G</w:t>
      </w:r>
      <w:r>
        <w:t>. Sample Sizes Per Cohort</w:t>
      </w:r>
    </w:p>
    <w:tbl>
      <w:tblPr>
        <w:tblStyle w:val="TableGrid"/>
        <w:tblW w:w="7227" w:type="dxa"/>
        <w:tblLayout w:type="fixed"/>
        <w:tblLook w:val="04A0"/>
      </w:tblPr>
      <w:tblGrid>
        <w:gridCol w:w="3269"/>
        <w:gridCol w:w="3958"/>
      </w:tblGrid>
      <w:tr w14:paraId="6DCA7B4F" w14:textId="77777777" w:rsidTr="00D17658">
        <w:tblPrEx>
          <w:tblW w:w="7227" w:type="dxa"/>
          <w:tblLayout w:type="fixed"/>
          <w:tblLook w:val="04A0"/>
        </w:tblPrEx>
        <w:trPr>
          <w:trHeight w:val="473"/>
        </w:trPr>
        <w:tc>
          <w:tcPr>
            <w:tcW w:w="3269" w:type="dxa"/>
            <w:hideMark/>
          </w:tcPr>
          <w:p w:rsidR="00CC417D" w:rsidRPr="00AD31D9" w:rsidP="00C96D41" w14:paraId="7E500C0F" w14:textId="77777777">
            <w:pPr>
              <w:rPr>
                <w:rFonts w:cs="Arial"/>
                <w:b/>
                <w:bCs/>
                <w:sz w:val="18"/>
                <w:szCs w:val="18"/>
              </w:rPr>
            </w:pPr>
            <w:r w:rsidRPr="00AD31D9">
              <w:rPr>
                <w:rFonts w:cs="Arial"/>
                <w:b/>
                <w:bCs/>
                <w:sz w:val="18"/>
                <w:szCs w:val="18"/>
              </w:rPr>
              <w:t>Data Collection</w:t>
            </w:r>
          </w:p>
        </w:tc>
        <w:tc>
          <w:tcPr>
            <w:tcW w:w="3958" w:type="dxa"/>
            <w:hideMark/>
          </w:tcPr>
          <w:p w:rsidR="00CC417D" w:rsidRPr="00AD31D9" w:rsidP="00C96D41" w14:paraId="5FEBA29E" w14:textId="77777777">
            <w:pPr>
              <w:rPr>
                <w:rFonts w:cs="Arial"/>
                <w:b/>
                <w:bCs/>
                <w:sz w:val="18"/>
                <w:szCs w:val="18"/>
              </w:rPr>
            </w:pPr>
            <w:r w:rsidRPr="00AD31D9">
              <w:rPr>
                <w:rFonts w:cs="Arial"/>
                <w:b/>
                <w:bCs/>
                <w:sz w:val="18"/>
                <w:szCs w:val="18"/>
              </w:rPr>
              <w:t>Number of Veterans</w:t>
            </w:r>
          </w:p>
        </w:tc>
      </w:tr>
      <w:tr w14:paraId="1A8524E1" w14:textId="77777777" w:rsidTr="00D17658">
        <w:tblPrEx>
          <w:tblW w:w="7227" w:type="dxa"/>
          <w:tblLayout w:type="fixed"/>
          <w:tblLook w:val="04A0"/>
        </w:tblPrEx>
        <w:trPr>
          <w:trHeight w:val="245"/>
        </w:trPr>
        <w:tc>
          <w:tcPr>
            <w:tcW w:w="3269" w:type="dxa"/>
          </w:tcPr>
          <w:p w:rsidR="00CC417D" w:rsidRPr="00AD31D9" w:rsidP="00C96D41" w14:paraId="2825C96A" w14:textId="7A806449">
            <w:pPr>
              <w:ind w:left="426"/>
              <w:rPr>
                <w:rFonts w:cs="Arial"/>
                <w:bCs/>
                <w:color w:val="000000"/>
                <w:sz w:val="18"/>
                <w:szCs w:val="18"/>
              </w:rPr>
            </w:pPr>
            <w:r>
              <w:rPr>
                <w:rFonts w:cs="Arial"/>
                <w:bCs/>
                <w:color w:val="000000"/>
                <w:sz w:val="18"/>
                <w:szCs w:val="18"/>
              </w:rPr>
              <w:t>Population</w:t>
            </w:r>
          </w:p>
        </w:tc>
        <w:tc>
          <w:tcPr>
            <w:tcW w:w="3958" w:type="dxa"/>
          </w:tcPr>
          <w:p w:rsidR="00CC417D" w:rsidRPr="00AD31D9" w:rsidP="00C96D41" w14:paraId="4CACC16C" w14:textId="0D42E8C0">
            <w:pPr>
              <w:rPr>
                <w:rFonts w:cs="Arial"/>
                <w:color w:val="000000"/>
                <w:sz w:val="18"/>
                <w:szCs w:val="18"/>
              </w:rPr>
            </w:pPr>
            <w:r>
              <w:rPr>
                <w:rFonts w:cs="Arial"/>
                <w:color w:val="000000"/>
                <w:sz w:val="18"/>
                <w:szCs w:val="18"/>
              </w:rPr>
              <w:t>150,000</w:t>
            </w:r>
          </w:p>
        </w:tc>
      </w:tr>
      <w:tr w14:paraId="14229019" w14:textId="77777777" w:rsidTr="00D17658">
        <w:tblPrEx>
          <w:tblW w:w="7227" w:type="dxa"/>
          <w:tblLayout w:type="fixed"/>
          <w:tblLook w:val="04A0"/>
        </w:tblPrEx>
        <w:trPr>
          <w:trHeight w:val="228"/>
        </w:trPr>
        <w:tc>
          <w:tcPr>
            <w:tcW w:w="3269" w:type="dxa"/>
            <w:hideMark/>
          </w:tcPr>
          <w:p w:rsidR="00CC417D" w:rsidRPr="00AD31D9" w:rsidP="00C96D41" w14:paraId="0BE985D5" w14:textId="77777777">
            <w:pPr>
              <w:ind w:left="426"/>
              <w:rPr>
                <w:rFonts w:cs="Arial"/>
                <w:sz w:val="18"/>
                <w:szCs w:val="18"/>
              </w:rPr>
            </w:pPr>
            <w:r w:rsidRPr="00AD31D9">
              <w:rPr>
                <w:rFonts w:cs="Arial"/>
                <w:bCs/>
                <w:color w:val="000000"/>
                <w:sz w:val="18"/>
                <w:szCs w:val="18"/>
              </w:rPr>
              <w:t>Sample</w:t>
            </w:r>
          </w:p>
        </w:tc>
        <w:tc>
          <w:tcPr>
            <w:tcW w:w="3958" w:type="dxa"/>
            <w:hideMark/>
          </w:tcPr>
          <w:p w:rsidR="00CC417D" w:rsidRPr="00AD31D9" w:rsidP="00C96D41" w14:paraId="18BFE0DF" w14:textId="12A4D303">
            <w:pPr>
              <w:rPr>
                <w:rFonts w:cs="Arial"/>
                <w:sz w:val="18"/>
                <w:szCs w:val="18"/>
              </w:rPr>
            </w:pPr>
            <w:r w:rsidRPr="00AD31D9">
              <w:rPr>
                <w:rFonts w:cs="Arial"/>
                <w:color w:val="000000"/>
                <w:sz w:val="18"/>
                <w:szCs w:val="18"/>
              </w:rPr>
              <w:t xml:space="preserve"> 66,639 </w:t>
            </w:r>
          </w:p>
        </w:tc>
      </w:tr>
      <w:tr w14:paraId="51BFFBB1" w14:textId="77777777" w:rsidTr="00D17658">
        <w:tblPrEx>
          <w:tblW w:w="7227" w:type="dxa"/>
          <w:tblLayout w:type="fixed"/>
          <w:tblLook w:val="04A0"/>
        </w:tblPrEx>
        <w:trPr>
          <w:trHeight w:val="245"/>
        </w:trPr>
        <w:tc>
          <w:tcPr>
            <w:tcW w:w="3269" w:type="dxa"/>
            <w:hideMark/>
          </w:tcPr>
          <w:p w:rsidR="00CC417D" w:rsidRPr="00AD31D9" w:rsidP="00C96D41" w14:paraId="0CFED4B2" w14:textId="77777777">
            <w:pPr>
              <w:ind w:left="426"/>
              <w:rPr>
                <w:rFonts w:cs="Arial"/>
                <w:sz w:val="18"/>
                <w:szCs w:val="18"/>
              </w:rPr>
            </w:pPr>
            <w:r w:rsidRPr="00AD31D9">
              <w:rPr>
                <w:rFonts w:cs="Arial"/>
                <w:bCs/>
                <w:color w:val="000000"/>
                <w:sz w:val="18"/>
                <w:szCs w:val="18"/>
              </w:rPr>
              <w:t>Year 1</w:t>
            </w:r>
          </w:p>
        </w:tc>
        <w:tc>
          <w:tcPr>
            <w:tcW w:w="3958" w:type="dxa"/>
            <w:hideMark/>
          </w:tcPr>
          <w:p w:rsidR="00CC417D" w:rsidRPr="00AD31D9" w:rsidP="00C96D41" w14:paraId="27325A53" w14:textId="6788A3B0">
            <w:pPr>
              <w:rPr>
                <w:rFonts w:cs="Arial"/>
                <w:sz w:val="18"/>
                <w:szCs w:val="18"/>
              </w:rPr>
            </w:pPr>
            <w:r w:rsidRPr="00AD31D9">
              <w:rPr>
                <w:rFonts w:cs="Arial"/>
                <w:color w:val="000000"/>
                <w:sz w:val="18"/>
                <w:szCs w:val="18"/>
              </w:rPr>
              <w:t xml:space="preserve">  9,996 </w:t>
            </w:r>
          </w:p>
        </w:tc>
      </w:tr>
      <w:tr w14:paraId="78F456BF" w14:textId="77777777" w:rsidTr="00D17658">
        <w:tblPrEx>
          <w:tblW w:w="7227" w:type="dxa"/>
          <w:tblLayout w:type="fixed"/>
          <w:tblLook w:val="04A0"/>
        </w:tblPrEx>
        <w:trPr>
          <w:trHeight w:val="228"/>
        </w:trPr>
        <w:tc>
          <w:tcPr>
            <w:tcW w:w="3269" w:type="dxa"/>
            <w:hideMark/>
          </w:tcPr>
          <w:p w:rsidR="00CC417D" w:rsidRPr="00AD31D9" w:rsidP="00C96D41" w14:paraId="4D279176" w14:textId="77777777">
            <w:pPr>
              <w:ind w:left="426"/>
              <w:rPr>
                <w:rFonts w:cs="Arial"/>
                <w:sz w:val="18"/>
                <w:szCs w:val="18"/>
              </w:rPr>
            </w:pPr>
            <w:r w:rsidRPr="00AD31D9">
              <w:rPr>
                <w:rFonts w:cs="Arial"/>
                <w:bCs/>
                <w:color w:val="000000"/>
                <w:sz w:val="18"/>
                <w:szCs w:val="18"/>
              </w:rPr>
              <w:t>Year 2</w:t>
            </w:r>
          </w:p>
        </w:tc>
        <w:tc>
          <w:tcPr>
            <w:tcW w:w="3958" w:type="dxa"/>
            <w:hideMark/>
          </w:tcPr>
          <w:p w:rsidR="00CC417D" w:rsidRPr="00AD31D9" w:rsidP="00C96D41" w14:paraId="020445BF" w14:textId="1884D08B">
            <w:pPr>
              <w:rPr>
                <w:rFonts w:cs="Arial"/>
                <w:sz w:val="18"/>
                <w:szCs w:val="18"/>
              </w:rPr>
            </w:pPr>
            <w:r w:rsidRPr="00AD31D9">
              <w:rPr>
                <w:rFonts w:cs="Arial"/>
                <w:color w:val="000000"/>
                <w:sz w:val="18"/>
                <w:szCs w:val="18"/>
              </w:rPr>
              <w:t xml:space="preserve">  6,997 </w:t>
            </w:r>
          </w:p>
        </w:tc>
      </w:tr>
      <w:tr w14:paraId="0E667BBC" w14:textId="77777777" w:rsidTr="00D17658">
        <w:tblPrEx>
          <w:tblW w:w="7227" w:type="dxa"/>
          <w:tblLayout w:type="fixed"/>
          <w:tblLook w:val="04A0"/>
        </w:tblPrEx>
        <w:trPr>
          <w:trHeight w:val="245"/>
        </w:trPr>
        <w:tc>
          <w:tcPr>
            <w:tcW w:w="3269" w:type="dxa"/>
            <w:hideMark/>
          </w:tcPr>
          <w:p w:rsidR="00CC417D" w:rsidRPr="00AD31D9" w:rsidP="00C96D41" w14:paraId="50B0DD97" w14:textId="77777777">
            <w:pPr>
              <w:ind w:left="426"/>
              <w:rPr>
                <w:rFonts w:cs="Arial"/>
                <w:sz w:val="18"/>
                <w:szCs w:val="18"/>
              </w:rPr>
            </w:pPr>
            <w:r w:rsidRPr="00AD31D9">
              <w:rPr>
                <w:rFonts w:cs="Arial"/>
                <w:bCs/>
                <w:color w:val="000000"/>
                <w:sz w:val="18"/>
                <w:szCs w:val="18"/>
              </w:rPr>
              <w:t>Year 3</w:t>
            </w:r>
          </w:p>
        </w:tc>
        <w:tc>
          <w:tcPr>
            <w:tcW w:w="3958" w:type="dxa"/>
            <w:hideMark/>
          </w:tcPr>
          <w:p w:rsidR="00CC417D" w:rsidRPr="00AD31D9" w:rsidP="00C96D41" w14:paraId="2C31D288" w14:textId="150A1D44">
            <w:pPr>
              <w:rPr>
                <w:rFonts w:cs="Arial"/>
                <w:sz w:val="18"/>
                <w:szCs w:val="18"/>
              </w:rPr>
            </w:pPr>
            <w:r w:rsidRPr="00AD31D9">
              <w:rPr>
                <w:rFonts w:cs="Arial"/>
                <w:color w:val="000000"/>
                <w:sz w:val="18"/>
                <w:szCs w:val="18"/>
              </w:rPr>
              <w:t xml:space="preserve">  4,898 </w:t>
            </w:r>
          </w:p>
        </w:tc>
      </w:tr>
      <w:tr w14:paraId="5A584414" w14:textId="77777777" w:rsidTr="00D17658">
        <w:tblPrEx>
          <w:tblW w:w="7227" w:type="dxa"/>
          <w:tblLayout w:type="fixed"/>
          <w:tblLook w:val="04A0"/>
        </w:tblPrEx>
        <w:trPr>
          <w:trHeight w:val="245"/>
        </w:trPr>
        <w:tc>
          <w:tcPr>
            <w:tcW w:w="3269" w:type="dxa"/>
            <w:hideMark/>
          </w:tcPr>
          <w:p w:rsidR="00CC417D" w:rsidRPr="00AD31D9" w:rsidP="00C96D41" w14:paraId="0CA583FD" w14:textId="77777777">
            <w:pPr>
              <w:ind w:left="426"/>
              <w:rPr>
                <w:rFonts w:cs="Arial"/>
                <w:sz w:val="18"/>
                <w:szCs w:val="18"/>
              </w:rPr>
            </w:pPr>
            <w:r w:rsidRPr="00AD31D9">
              <w:rPr>
                <w:rFonts w:cs="Arial"/>
                <w:bCs/>
                <w:color w:val="000000"/>
                <w:sz w:val="18"/>
                <w:szCs w:val="18"/>
              </w:rPr>
              <w:t>Year 4</w:t>
            </w:r>
          </w:p>
        </w:tc>
        <w:tc>
          <w:tcPr>
            <w:tcW w:w="3958" w:type="dxa"/>
            <w:hideMark/>
          </w:tcPr>
          <w:p w:rsidR="00CC417D" w:rsidRPr="00AD31D9" w:rsidP="00C96D41" w14:paraId="44C52639" w14:textId="28082288">
            <w:pPr>
              <w:rPr>
                <w:rFonts w:cs="Arial"/>
                <w:sz w:val="18"/>
                <w:szCs w:val="18"/>
              </w:rPr>
            </w:pPr>
            <w:r w:rsidRPr="00AD31D9">
              <w:rPr>
                <w:rFonts w:cs="Arial"/>
                <w:color w:val="000000"/>
                <w:sz w:val="18"/>
                <w:szCs w:val="18"/>
              </w:rPr>
              <w:t xml:space="preserve">  3,429 </w:t>
            </w:r>
          </w:p>
        </w:tc>
      </w:tr>
      <w:tr w14:paraId="3E88E7C8" w14:textId="77777777" w:rsidTr="00D17658">
        <w:tblPrEx>
          <w:tblW w:w="7227" w:type="dxa"/>
          <w:tblLayout w:type="fixed"/>
          <w:tblLook w:val="04A0"/>
        </w:tblPrEx>
        <w:trPr>
          <w:trHeight w:val="228"/>
        </w:trPr>
        <w:tc>
          <w:tcPr>
            <w:tcW w:w="3269" w:type="dxa"/>
            <w:hideMark/>
          </w:tcPr>
          <w:p w:rsidR="00CC417D" w:rsidRPr="00AD31D9" w:rsidP="00C96D41" w14:paraId="07389846" w14:textId="77777777">
            <w:pPr>
              <w:ind w:left="426"/>
              <w:rPr>
                <w:rFonts w:cs="Arial"/>
                <w:sz w:val="18"/>
                <w:szCs w:val="18"/>
              </w:rPr>
            </w:pPr>
            <w:r w:rsidRPr="00AD31D9">
              <w:rPr>
                <w:rFonts w:cs="Arial"/>
                <w:bCs/>
                <w:color w:val="000000"/>
                <w:sz w:val="18"/>
                <w:szCs w:val="18"/>
              </w:rPr>
              <w:t>Year 5</w:t>
            </w:r>
          </w:p>
        </w:tc>
        <w:tc>
          <w:tcPr>
            <w:tcW w:w="3958" w:type="dxa"/>
            <w:hideMark/>
          </w:tcPr>
          <w:p w:rsidR="00CC417D" w:rsidRPr="00AD31D9" w:rsidP="00C96D41" w14:paraId="21366337" w14:textId="00BC93FC">
            <w:pPr>
              <w:rPr>
                <w:rFonts w:cs="Arial"/>
                <w:sz w:val="18"/>
                <w:szCs w:val="18"/>
              </w:rPr>
            </w:pPr>
            <w:r w:rsidRPr="00AD31D9">
              <w:rPr>
                <w:rFonts w:cs="Arial"/>
                <w:color w:val="000000"/>
                <w:sz w:val="18"/>
                <w:szCs w:val="18"/>
              </w:rPr>
              <w:t xml:space="preserve">  2,400 </w:t>
            </w:r>
          </w:p>
        </w:tc>
      </w:tr>
    </w:tbl>
    <w:p w:rsidR="00CC417D" w:rsidRPr="007C14F4" w:rsidP="00D17658" w14:paraId="261CFD6E" w14:textId="77777777">
      <w:pPr>
        <w:ind w:left="720"/>
      </w:pPr>
    </w:p>
    <w:p w:rsidR="00EC4A52" w:rsidRPr="008F3C8C" w:rsidP="00781C2C" w14:paraId="0880D719" w14:textId="7496E2D3">
      <w:pPr>
        <w:pStyle w:val="ListParagraph"/>
        <w:numPr>
          <w:ilvl w:val="0"/>
          <w:numId w:val="20"/>
        </w:numPr>
      </w:pPr>
      <w:r w:rsidRPr="008F3C8C">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to be generalized to the universe studied.</w:t>
      </w:r>
    </w:p>
    <w:p w:rsidR="00447883" w:rsidRPr="00FC5AB1" w:rsidP="00D17658" w14:paraId="207DA81F" w14:textId="45E8000B">
      <w:pPr>
        <w:ind w:left="720"/>
      </w:pPr>
    </w:p>
    <w:p w:rsidR="009123B5" w:rsidP="00D17658" w14:paraId="54DB2C8C" w14:textId="14921E90">
      <w:pPr>
        <w:ind w:left="720"/>
      </w:pPr>
      <w:r>
        <w:t>Nonresponse is mitigated for the PSTAP Assessment</w:t>
      </w:r>
      <w:r w:rsidR="00781C2C">
        <w:t xml:space="preserve"> and 4306 Study</w:t>
      </w:r>
      <w:r>
        <w:t xml:space="preserve"> in four primary ways: (1) offering </w:t>
      </w:r>
      <w:r w:rsidR="003A4FD8">
        <w:t xml:space="preserve">multiple </w:t>
      </w:r>
      <w:r>
        <w:t xml:space="preserve">modes; (2) multiple contact attempts; (3) minimizing the instrument length; and (4) increasing the ease of completing a paper questionnaire by optimizing the visual layout. </w:t>
      </w:r>
    </w:p>
    <w:p w:rsidR="009123B5" w:rsidP="00D17658" w14:paraId="7748DF4E" w14:textId="77777777">
      <w:pPr>
        <w:ind w:left="720"/>
      </w:pPr>
    </w:p>
    <w:p w:rsidR="009123B5" w:rsidP="00D17658" w14:paraId="41ABBB7B" w14:textId="77F9D8CF">
      <w:pPr>
        <w:ind w:left="720"/>
      </w:pPr>
      <w:r>
        <w:t>Survey response rates</w:t>
      </w:r>
      <w:r w:rsidR="00F8744D">
        <w:t xml:space="preserve">, in general, </w:t>
      </w:r>
      <w:r>
        <w:t xml:space="preserve">have been dropping over the last few decades. Some of the ways response rates are boosted include offering multiple modes. While some survey modes, such as those involving personal interviews, can also come at significant cost, a combination mode of </w:t>
      </w:r>
      <w:r w:rsidR="003A4FD8">
        <w:t>web</w:t>
      </w:r>
      <w:r w:rsidR="00A86899">
        <w:t>,</w:t>
      </w:r>
      <w:r>
        <w:t xml:space="preserve"> paper</w:t>
      </w:r>
      <w:r w:rsidR="00A86899">
        <w:t>, and other electronic methods</w:t>
      </w:r>
      <w:r>
        <w:t xml:space="preserve"> is both cost-effective and </w:t>
      </w:r>
      <w:r>
        <w:t>provides</w:t>
      </w:r>
      <w:r>
        <w:t xml:space="preserve"> anonymity for the respondent. </w:t>
      </w:r>
      <w:r w:rsidR="00A86899">
        <w:t>Web and other electronic methods</w:t>
      </w:r>
      <w:r>
        <w:t xml:space="preserve"> </w:t>
      </w:r>
      <w:r w:rsidR="00A86899">
        <w:t>are</w:t>
      </w:r>
      <w:r>
        <w:t xml:space="preserve"> being offered first to reduce the number of paper surveys that need to be mailed to Veterans who do not respond after the first attempt. </w:t>
      </w:r>
      <w:r w:rsidR="003A4FD8">
        <w:t xml:space="preserve">Utilizing </w:t>
      </w:r>
      <w:r w:rsidR="00A86899">
        <w:t>these methods</w:t>
      </w:r>
      <w:r w:rsidR="003A4FD8">
        <w:t xml:space="preserve"> for the longitudinal survey will also help to reduce </w:t>
      </w:r>
      <w:r w:rsidR="003A4FD8">
        <w:t>burden</w:t>
      </w:r>
      <w:r w:rsidR="003A4FD8">
        <w:t xml:space="preserve"> of the survey respondents and allow for follow-up reminders to further reduce the need for paper surveys.</w:t>
      </w:r>
    </w:p>
    <w:p w:rsidR="001E4CD9" w:rsidP="00D17658" w14:paraId="46FF6A4B" w14:textId="69BCB7AF">
      <w:pPr>
        <w:ind w:left="720"/>
      </w:pPr>
    </w:p>
    <w:p w:rsidR="001E4CD9" w:rsidP="00D17658" w14:paraId="07DFA6B2" w14:textId="11C1177A">
      <w:pPr>
        <w:ind w:left="720"/>
      </w:pPr>
      <w:r>
        <w:t>In year 1 of Cross-Sectional Survey deployment</w:t>
      </w:r>
      <w:r w:rsidR="006C0631">
        <w:t xml:space="preserve"> (2019)</w:t>
      </w:r>
      <w:r>
        <w:t>, the PSTAP Assessment received lower than expected response rates due to limited communication methods implemented. In year 2</w:t>
      </w:r>
      <w:r w:rsidR="006C0631">
        <w:t xml:space="preserve"> (2020)</w:t>
      </w:r>
      <w:r>
        <w:t xml:space="preserve">, the Contractor added emails to the </w:t>
      </w:r>
      <w:r>
        <w:t>survey methods, which increased response rates by roughly 10 percentage points. This method is currently being implemented with the PSTAP Assessment and has shown higher success rates</w:t>
      </w:r>
      <w:r w:rsidR="006C0631">
        <w:t xml:space="preserve"> in 2020 and subsequent years</w:t>
      </w:r>
      <w:r>
        <w:t>.</w:t>
      </w:r>
    </w:p>
    <w:p w:rsidR="009123B5" w:rsidP="00D17658" w14:paraId="7444392B" w14:textId="77777777">
      <w:pPr>
        <w:ind w:left="720"/>
      </w:pPr>
    </w:p>
    <w:p w:rsidR="009123B5" w:rsidP="00D17658" w14:paraId="01692CAF" w14:textId="289F755A">
      <w:pPr>
        <w:ind w:left="720"/>
      </w:pPr>
      <w:r>
        <w:t>The final instrument</w:t>
      </w:r>
      <w:r w:rsidR="00F8744D">
        <w:t xml:space="preserve"> developed</w:t>
      </w:r>
      <w:r>
        <w:t xml:space="preserve"> is the culmination of cognitive interviews as well as close coordination </w:t>
      </w:r>
      <w:r w:rsidRPr="00580711">
        <w:t>between VA,</w:t>
      </w:r>
      <w:r>
        <w:t xml:space="preserve"> the Interagency Partners, and the</w:t>
      </w:r>
      <w:r w:rsidRPr="0019299E">
        <w:t xml:space="preserve"> </w:t>
      </w:r>
      <w:r>
        <w:t xml:space="preserve">Contractor. As with any survey development, there is often a desire to include more questions than is feasible without jeopardizing response rates. At all junctures, there was close coordination to ensure that both the concepts being </w:t>
      </w:r>
      <w:r w:rsidRPr="00DD3077">
        <w:t>measured</w:t>
      </w:r>
      <w:r w:rsidRPr="00DD3077">
        <w:t xml:space="preserve"> and the number of questions were kept a</w:t>
      </w:r>
      <w:r>
        <w:t>t a minimum to decrease respondent burden</w:t>
      </w:r>
      <w:r w:rsidR="008E0D1C">
        <w:t xml:space="preserve">. </w:t>
      </w:r>
    </w:p>
    <w:p w:rsidR="009123B5" w:rsidP="00D17658" w14:paraId="3AE3E5C1" w14:textId="77777777">
      <w:pPr>
        <w:ind w:left="720"/>
      </w:pPr>
    </w:p>
    <w:p w:rsidR="009123B5" w:rsidP="00D17658" w14:paraId="53F1EF16" w14:textId="77777777">
      <w:pPr>
        <w:ind w:left="720"/>
      </w:pPr>
      <w:r>
        <w:t xml:space="preserve">Visual layout can reduce the effort required by a respondent to encode their responses to a question and mark the right category. Such techniques as using grids and alternate shading can decrease this burden. </w:t>
      </w:r>
    </w:p>
    <w:p w:rsidR="009123B5" w:rsidP="00D17658" w14:paraId="036DF95C" w14:textId="77777777">
      <w:pPr>
        <w:ind w:left="720"/>
      </w:pPr>
    </w:p>
    <w:p w:rsidR="009123B5" w:rsidP="00D17658" w14:paraId="2D03F426" w14:textId="77777777">
      <w:pPr>
        <w:ind w:left="720"/>
      </w:pPr>
      <w:r>
        <w:t>Despite this multi-pronged strategy, achieving an 80% response rate is unlikely, and has been difficult to achieve for even the largest federal surveys. To assess and mitigate any potential bias caused by nonresponse, the Contractor will conduct a nonresponse-bias analysis (NRBA) and produce nonresponse-adjusted post-stratification weights. The NRBA will draw on demographic information available from the population file (e.g., age, military service branch, grade / rank, etc.) to use as auxiliary variables. It will, at minimum, include the following:</w:t>
      </w:r>
    </w:p>
    <w:p w:rsidR="009123B5" w:rsidP="00D17658" w14:paraId="0BBA125A" w14:textId="77777777">
      <w:pPr>
        <w:ind w:left="720"/>
      </w:pPr>
    </w:p>
    <w:p w:rsidR="009123B5" w:rsidRPr="00B41457" w:rsidP="00D2594D" w14:paraId="7C5EB12D" w14:textId="77777777">
      <w:pPr>
        <w:pStyle w:val="ListParagraph"/>
        <w:numPr>
          <w:ilvl w:val="0"/>
          <w:numId w:val="15"/>
        </w:numPr>
      </w:pPr>
      <w:r w:rsidRPr="00B41457">
        <w:t>Comparison of response rat</w:t>
      </w:r>
      <w:r>
        <w:t xml:space="preserve">es for different </w:t>
      </w:r>
      <w:r>
        <w:t>subgroups;</w:t>
      </w:r>
      <w:r>
        <w:t xml:space="preserve"> </w:t>
      </w:r>
    </w:p>
    <w:p w:rsidR="009123B5" w:rsidRPr="00B41457" w:rsidP="00D2594D" w14:paraId="7D7992B0" w14:textId="77777777">
      <w:pPr>
        <w:pStyle w:val="ListParagraph"/>
        <w:numPr>
          <w:ilvl w:val="0"/>
          <w:numId w:val="15"/>
        </w:numPr>
      </w:pPr>
      <w:r>
        <w:t>Comparisons of</w:t>
      </w:r>
      <w:r w:rsidRPr="00B41457">
        <w:t xml:space="preserve"> the distribution</w:t>
      </w:r>
      <w:r>
        <w:t>s</w:t>
      </w:r>
      <w:r w:rsidRPr="00B41457">
        <w:t xml:space="preserve"> of auxiliary variables for respondents and the full </w:t>
      </w:r>
      <w:r>
        <w:t>population</w:t>
      </w:r>
      <w:r w:rsidRPr="00B41457">
        <w:t>; and</w:t>
      </w:r>
    </w:p>
    <w:p w:rsidR="009123B5" w:rsidP="00D2594D" w14:paraId="0339E047" w14:textId="77777777">
      <w:pPr>
        <w:pStyle w:val="ListParagraph"/>
        <w:numPr>
          <w:ilvl w:val="0"/>
          <w:numId w:val="15"/>
        </w:numPr>
      </w:pPr>
      <w:r w:rsidRPr="00B41457">
        <w:t>Use of a classification tree algorithm to identify subgroups with low response rates</w:t>
      </w:r>
      <w:r>
        <w:t>.</w:t>
      </w:r>
    </w:p>
    <w:p w:rsidR="009123B5" w:rsidP="00D17658" w14:paraId="5E5DA31D" w14:textId="77777777">
      <w:pPr>
        <w:ind w:left="720"/>
      </w:pPr>
    </w:p>
    <w:p w:rsidR="00636B28" w:rsidP="00D17658" w14:paraId="175D9F28" w14:textId="1B6158E5">
      <w:pPr>
        <w:ind w:left="720"/>
      </w:pPr>
      <w:r>
        <w:t xml:space="preserve">Any variables for which the distribution differs significantly (typically defined as p&lt;0.05 for a chi-square test or t-test, as appropriate) between respondents and the full population, or response rates vary significantly by subgroup, will be considered for use in post-stratification weighting. If many potential weighting variables are identified, priority will be given to variables that are more highly correlated with the primary outcomes of interest. The Contractor will post-stratify the survey weights to the population file control totals for the selected variables, collapsing small cells as necessary. After </w:t>
      </w:r>
      <w:r>
        <w:t>weighting</w:t>
      </w:r>
      <w:r>
        <w:t>, the distributions of all auxiliary variables will again be compared to the corresponding population distributions to verify that the potential for bias has been reduced (fewer significant differences between the weighted distributions and the population distributions).</w:t>
      </w:r>
    </w:p>
    <w:p w:rsidR="00EC4A52" w:rsidRPr="008F3C8C" w:rsidP="00781C2C" w14:paraId="5210E677" w14:textId="09C06AE7">
      <w:pPr>
        <w:pStyle w:val="ListParagraph"/>
        <w:numPr>
          <w:ilvl w:val="0"/>
          <w:numId w:val="20"/>
        </w:numPr>
      </w:pPr>
      <w:r w:rsidRPr="008F3C8C">
        <w:t>Des</w:t>
      </w:r>
      <w:r w:rsidRPr="008F3C8C" w:rsidR="00447883">
        <w:t>c</w:t>
      </w:r>
      <w:r w:rsidRPr="008F3C8C">
        <w:t>ribe any tests of procedures or methods to be undertaken. Testing is encourage</w:t>
      </w:r>
      <w:r w:rsidRPr="008F3C8C" w:rsidR="003E11B1">
        <w:t>d</w:t>
      </w:r>
      <w:r w:rsidRPr="008F3C8C">
        <w:t xml:space="preserve"> as an effective means of refining collections of information to minimize burden and improve utility. Tests must be approved if they call for answers to identical questions from 10 or more respondents. A proposed test or </w:t>
      </w:r>
      <w:r w:rsidRPr="008F3C8C">
        <w:t>set of tests may be submitted for approval separately or in combination with the main collection of information.</w:t>
      </w:r>
    </w:p>
    <w:p w:rsidR="00447883" w:rsidRPr="00FC5AB1" w:rsidP="00D17658" w14:paraId="439C079B" w14:textId="712D4BF3">
      <w:pPr>
        <w:ind w:left="720"/>
      </w:pPr>
    </w:p>
    <w:p w:rsidR="002D2DF2" w:rsidRPr="0052416F" w:rsidP="00D17658" w14:paraId="4DAB9694" w14:textId="0C47D6CD">
      <w:pPr>
        <w:ind w:left="720"/>
      </w:pPr>
      <w:r>
        <w:t>Both the PSTAP Cross-Sectional and Longitudinal Surveys were</w:t>
      </w:r>
      <w:r w:rsidRPr="0052416F" w:rsidR="00420825">
        <w:t xml:space="preserve"> pretest</w:t>
      </w:r>
      <w:r w:rsidRPr="0052416F" w:rsidR="00A22F51">
        <w:t>ed</w:t>
      </w:r>
      <w:r w:rsidRPr="0052416F" w:rsidR="00420825">
        <w:t xml:space="preserve"> using interviews </w:t>
      </w:r>
      <w:r w:rsidR="008E6A98">
        <w:t>and a web survey questionnaire</w:t>
      </w:r>
      <w:r w:rsidR="00307CDE">
        <w:t>.</w:t>
      </w:r>
      <w:r w:rsidRPr="0052416F" w:rsidR="00420825">
        <w:t xml:space="preserve"> </w:t>
      </w:r>
      <w:r w:rsidRPr="0052416F">
        <w:t xml:space="preserve">Referrals for the pretesting subjects were obtained by </w:t>
      </w:r>
      <w:r w:rsidR="008E6A98">
        <w:t>the Contractor’s</w:t>
      </w:r>
      <w:r w:rsidR="00307CDE">
        <w:t xml:space="preserve"> internal recruiting system. </w:t>
      </w:r>
      <w:r w:rsidR="0006219F">
        <w:t xml:space="preserve">In addition, VA provided test subjects to allow for additional testing with </w:t>
      </w:r>
      <w:r w:rsidR="0006219F">
        <w:t>focus</w:t>
      </w:r>
      <w:r w:rsidR="0006219F">
        <w:t xml:space="preserve"> on question wording.</w:t>
      </w:r>
    </w:p>
    <w:p w:rsidR="00062576" w:rsidRPr="0052416F" w:rsidP="00D17658" w14:paraId="3B69B1DE" w14:textId="686264E1">
      <w:pPr>
        <w:ind w:left="720"/>
      </w:pPr>
    </w:p>
    <w:p w:rsidR="00674176" w:rsidRPr="0052416F" w:rsidP="00D17658" w14:paraId="6D7C3714" w14:textId="00445544">
      <w:pPr>
        <w:ind w:left="720"/>
      </w:pPr>
      <w:r>
        <w:t>Interviews</w:t>
      </w:r>
      <w:r w:rsidRPr="0052416F" w:rsidR="00062576">
        <w:t xml:space="preserve"> were conducted with </w:t>
      </w:r>
      <w:r w:rsidR="008E6A98">
        <w:t>four</w:t>
      </w:r>
      <w:r w:rsidRPr="0052416F" w:rsidR="00062576">
        <w:t xml:space="preserve"> (</w:t>
      </w:r>
      <w:r>
        <w:t>4)</w:t>
      </w:r>
      <w:r w:rsidRPr="0052416F" w:rsidR="00062576">
        <w:t xml:space="preserve"> members of the public consistent with OMB regulations that state testing shall not exceed nine (9) members of the public without applying for a generic clearance. These interviews were conducted </w:t>
      </w:r>
      <w:r>
        <w:t xml:space="preserve">from July 1, </w:t>
      </w:r>
      <w:r>
        <w:t>2019</w:t>
      </w:r>
      <w:r w:rsidRPr="0052416F" w:rsidR="00062576">
        <w:t xml:space="preserve"> through </w:t>
      </w:r>
      <w:r>
        <w:t>August 15, 2019</w:t>
      </w:r>
      <w:r w:rsidRPr="0052416F" w:rsidR="00062576">
        <w:t xml:space="preserve">. </w:t>
      </w:r>
      <w:r>
        <w:t>In addition, program experts reviewed the survey and provided additional input</w:t>
      </w:r>
      <w:r w:rsidRPr="0052416F" w:rsidR="00062576">
        <w:t xml:space="preserve">. </w:t>
      </w:r>
    </w:p>
    <w:p w:rsidR="00062576" w:rsidRPr="0052416F" w:rsidP="00D17658" w14:paraId="673E2C30" w14:textId="422A102F">
      <w:pPr>
        <w:ind w:left="720"/>
      </w:pPr>
    </w:p>
    <w:p w:rsidR="008568A7" w:rsidP="00D17658" w14:paraId="33F2F2F3" w14:textId="18D90B6C">
      <w:pPr>
        <w:ind w:left="720"/>
      </w:pPr>
      <w:r>
        <w:t xml:space="preserve">The survey pretests were conducted online. Each test subject was sent a link to the online version of the survey which included all instructions, questions, and a list of reflection questions. The reflection questions asked test respondents to provide feedback on the length of time to complete the survey, </w:t>
      </w:r>
      <w:r w:rsidR="00B62030">
        <w:t xml:space="preserve">if the design of the survey allowed for ease of understanding of </w:t>
      </w:r>
      <w:r w:rsidR="00B62030">
        <w:t>questions, and</w:t>
      </w:r>
      <w:r w:rsidR="00B62030">
        <w:t xml:space="preserve"> allowed for feedback on specific questions.</w:t>
      </w:r>
      <w:r w:rsidR="00C5672D">
        <w:t xml:space="preserve"> Both surveys were approved by OMB in previous years.</w:t>
      </w:r>
    </w:p>
    <w:p w:rsidR="004E105D" w:rsidP="00D17658" w14:paraId="537492DD" w14:textId="0334A6CA">
      <w:pPr>
        <w:ind w:left="720"/>
      </w:pPr>
    </w:p>
    <w:p w:rsidR="005A408B" w:rsidP="00D17658" w14:paraId="08B5F99D" w14:textId="7B252C83">
      <w:pPr>
        <w:ind w:left="720"/>
      </w:pPr>
      <w:r>
        <w:t>For this renewal request</w:t>
      </w:r>
      <w:r w:rsidR="004A73BA">
        <w:t xml:space="preserve">, there are only a few questions. Of those questions, several were taken from previously approved surveys to ensure they have been vetted properly. Outside of those questions, only additional options were added to longstanding questions based on the needs of the 4306 study. </w:t>
      </w:r>
      <w:r>
        <w:t xml:space="preserve"> </w:t>
      </w:r>
    </w:p>
    <w:p w:rsidR="00862B83" w:rsidRPr="007D7757" w:rsidP="00D17658" w14:paraId="6BD8AA93" w14:textId="77777777">
      <w:pPr>
        <w:ind w:left="720"/>
      </w:pPr>
    </w:p>
    <w:p w:rsidR="00862B83" w:rsidRPr="00FC5AB1" w:rsidP="00D17658" w14:paraId="391D45B0" w14:textId="77777777">
      <w:pPr>
        <w:ind w:left="720"/>
      </w:pPr>
      <w:bookmarkStart w:id="2" w:name="_Hlk505154647"/>
    </w:p>
    <w:p w:rsidR="00EC4A52" w:rsidRPr="008F3C8C" w:rsidP="00781C2C" w14:paraId="696EA311" w14:textId="7B59C70A">
      <w:pPr>
        <w:pStyle w:val="ListParagraph"/>
        <w:numPr>
          <w:ilvl w:val="0"/>
          <w:numId w:val="20"/>
        </w:numPr>
      </w:pPr>
      <w:bookmarkStart w:id="3" w:name="_Hlk505074780"/>
      <w:r w:rsidRPr="008F3C8C">
        <w:t xml:space="preserve">Provide the name and telephone numbers of individuals consulted on statistical aspects of the design and the name of the agency unit, contractor(s), grantee(s), or other person(s) who </w:t>
      </w:r>
      <w:r w:rsidRPr="008F3C8C">
        <w:t>actually collect</w:t>
      </w:r>
      <w:r w:rsidRPr="008F3C8C">
        <w:t xml:space="preserve"> and/or analyze the information for the agency.</w:t>
      </w:r>
    </w:p>
    <w:p w:rsidR="00447883" w:rsidP="00D17658" w14:paraId="5886F0C2" w14:textId="4345498E">
      <w:pPr>
        <w:ind w:left="720"/>
      </w:pPr>
    </w:p>
    <w:p w:rsidR="006B4D52" w:rsidP="00D17658" w14:paraId="54239591" w14:textId="5273AEF5">
      <w:pPr>
        <w:ind w:left="720"/>
      </w:pPr>
      <w:r>
        <w:t xml:space="preserve">The </w:t>
      </w:r>
      <w:r w:rsidR="005D1DF4">
        <w:t>PSTAP</w:t>
      </w:r>
      <w:r>
        <w:t xml:space="preserve"> Assessment is the culmination of significant federal planning and interagency coordination. In </w:t>
      </w:r>
      <w:r w:rsidR="00125A8C">
        <w:t>October 2018</w:t>
      </w:r>
      <w:r w:rsidR="006D7C8C">
        <w:t>,</w:t>
      </w:r>
      <w:r>
        <w:t xml:space="preserve"> a contract was awarded to </w:t>
      </w:r>
      <w:r w:rsidR="00125A8C">
        <w:t xml:space="preserve">Economic Systems Inc, and their subcontractor, </w:t>
      </w:r>
      <w:r w:rsidR="00125A8C">
        <w:t>Westat</w:t>
      </w:r>
      <w:r w:rsidR="00125A8C">
        <w:t>,</w:t>
      </w:r>
      <w:r>
        <w:t xml:space="preserve"> to </w:t>
      </w:r>
      <w:r w:rsidR="00E1774D">
        <w:t>develop and maintain survey instruments and administer the surveys</w:t>
      </w:r>
      <w:r>
        <w:t xml:space="preserve">. Key personnel involved in the final stages of the </w:t>
      </w:r>
      <w:r w:rsidR="00A22F51">
        <w:t xml:space="preserve">design of the </w:t>
      </w:r>
      <w:r>
        <w:t>survey instrument</w:t>
      </w:r>
      <w:r w:rsidR="00A22F51">
        <w:t xml:space="preserve"> and statistical planning of the study</w:t>
      </w:r>
      <w:r>
        <w:t xml:space="preserve"> include:</w:t>
      </w:r>
    </w:p>
    <w:p w:rsidR="008F3C8C" w:rsidP="00D17658" w14:paraId="10C96234" w14:textId="77777777">
      <w:pPr>
        <w:ind w:left="720"/>
      </w:pPr>
    </w:p>
    <w:p w:rsidR="00B0034B" w:rsidRPr="00687358" w:rsidP="00D17658" w14:paraId="2F62B82B" w14:textId="01D887A6">
      <w:pPr>
        <w:ind w:left="720"/>
      </w:pPr>
      <w:r w:rsidRPr="00687358">
        <w:t>V</w:t>
      </w:r>
      <w:r w:rsidRPr="00687358" w:rsidR="00687358">
        <w:t xml:space="preserve">eterans Benefits </w:t>
      </w:r>
      <w:r w:rsidRPr="00687358">
        <w:t>A</w:t>
      </w:r>
      <w:r w:rsidRPr="00687358" w:rsidR="00687358">
        <w:t>dministration</w:t>
      </w:r>
      <w:r w:rsidR="006B4D52">
        <w:t xml:space="preserve"> </w:t>
      </w:r>
      <w:r w:rsidR="0052416F">
        <w:t>(</w:t>
      </w:r>
      <w:r w:rsidR="00483F02">
        <w:t>202-</w:t>
      </w:r>
      <w:r w:rsidRPr="009B706D" w:rsidR="009B706D">
        <w:t>378-3576</w:t>
      </w:r>
      <w:r w:rsidR="0052416F">
        <w:t>)</w:t>
      </w:r>
    </w:p>
    <w:p w:rsidR="00B0034B" w:rsidP="00D17658" w14:paraId="794023C2" w14:textId="4D8EF707">
      <w:pPr>
        <w:ind w:left="720"/>
      </w:pPr>
      <w:r>
        <w:t>Christina Zais</w:t>
      </w:r>
      <w:r w:rsidRPr="00687358" w:rsidR="00687358">
        <w:t xml:space="preserve">, </w:t>
      </w:r>
      <w:r w:rsidR="00D0791F">
        <w:t>Assistant Director Transition</w:t>
      </w:r>
    </w:p>
    <w:p w:rsidR="00D0791F" w:rsidRPr="00687358" w:rsidP="00D17658" w14:paraId="51F64E62" w14:textId="7F28014F">
      <w:pPr>
        <w:ind w:left="720"/>
      </w:pPr>
      <w:r>
        <w:t>H. David Carter</w:t>
      </w:r>
      <w:r w:rsidRPr="00D0791F">
        <w:t>,</w:t>
      </w:r>
      <w:r>
        <w:t xml:space="preserve"> Contracting Officer</w:t>
      </w:r>
      <w:r w:rsidR="007E4452">
        <w:t>’s</w:t>
      </w:r>
      <w:r>
        <w:t xml:space="preserve"> Representative</w:t>
      </w:r>
    </w:p>
    <w:p w:rsidR="00D50C75" w:rsidRPr="00687358" w:rsidP="00D17658" w14:paraId="54CD5FBA" w14:textId="046423DB">
      <w:pPr>
        <w:ind w:left="720"/>
      </w:pPr>
      <w:r>
        <w:t>Michael Deeb</w:t>
      </w:r>
      <w:r w:rsidRPr="00687358">
        <w:t xml:space="preserve">, </w:t>
      </w:r>
      <w:r w:rsidRPr="00687358" w:rsidR="00687358">
        <w:t xml:space="preserve">Lead </w:t>
      </w:r>
      <w:r w:rsidRPr="00687358">
        <w:t>Program Analyst</w:t>
      </w:r>
    </w:p>
    <w:p w:rsidR="00B0034B" w:rsidRPr="00687358" w:rsidP="00D17658" w14:paraId="5F822A3C" w14:textId="7868DE0F">
      <w:pPr>
        <w:ind w:left="720"/>
      </w:pPr>
    </w:p>
    <w:p w:rsidR="00B0034B" w:rsidRPr="008F73F5" w:rsidP="00D17658" w14:paraId="1CC5ED4B" w14:textId="7672FE70">
      <w:pPr>
        <w:ind w:left="720"/>
      </w:pPr>
      <w:r>
        <w:t>Jerome Jones</w:t>
      </w:r>
      <w:r w:rsidRPr="008F73F5" w:rsidR="00687358">
        <w:t xml:space="preserve">, Ph.D., </w:t>
      </w:r>
      <w:r w:rsidRPr="006C648F" w:rsidR="00687358">
        <w:rPr>
          <w:i/>
        </w:rPr>
        <w:t>PMWG Chair</w:t>
      </w:r>
      <w:r w:rsidRPr="006C648F" w:rsidR="006B4D52">
        <w:rPr>
          <w:i/>
        </w:rPr>
        <w:t xml:space="preserve"> </w:t>
      </w:r>
      <w:r w:rsidRPr="0052416F" w:rsidR="0052416F">
        <w:t>(</w:t>
      </w:r>
      <w:r w:rsidRPr="009B706D">
        <w:t>703-614-8676</w:t>
      </w:r>
      <w:r w:rsidRPr="0052416F" w:rsidR="0052416F">
        <w:t>)</w:t>
      </w:r>
    </w:p>
    <w:p w:rsidR="0060713B" w:rsidP="00D17658" w14:paraId="0F3F2121" w14:textId="137309F7">
      <w:pPr>
        <w:ind w:left="720"/>
      </w:pPr>
      <w:r>
        <w:t>More than 40 r</w:t>
      </w:r>
      <w:r w:rsidRPr="00687358">
        <w:t xml:space="preserve">epresentatives </w:t>
      </w:r>
      <w:r w:rsidRPr="00687358" w:rsidR="00687358">
        <w:t>from</w:t>
      </w:r>
      <w:r w:rsidRPr="008B2666" w:rsidR="008B2666">
        <w:t xml:space="preserve"> </w:t>
      </w:r>
      <w:r w:rsidR="008B2666">
        <w:t>the 7 federal agencies in this group.</w:t>
      </w:r>
      <w:r w:rsidR="008B2666">
        <w:t xml:space="preserve"> </w:t>
      </w:r>
    </w:p>
    <w:p w:rsidR="00486B8E" w:rsidRPr="00687358" w:rsidP="00D17658" w14:paraId="3F51F6A9" w14:textId="77777777">
      <w:pPr>
        <w:ind w:left="720"/>
      </w:pPr>
    </w:p>
    <w:p w:rsidR="0060713B" w:rsidRPr="00687358" w:rsidP="00D17658" w14:paraId="53D60206" w14:textId="717ED3E3">
      <w:pPr>
        <w:ind w:left="720"/>
      </w:pPr>
      <w:r>
        <w:t>Economic Systems Inc.</w:t>
      </w:r>
      <w:r w:rsidR="006B4D52">
        <w:t xml:space="preserve"> </w:t>
      </w:r>
      <w:r>
        <w:t>703-333-2197</w:t>
      </w:r>
    </w:p>
    <w:p w:rsidR="00B0034B" w:rsidRPr="00687358" w:rsidP="00D17658" w14:paraId="27AF000A" w14:textId="645DE7C5">
      <w:pPr>
        <w:ind w:left="720"/>
      </w:pPr>
      <w:r>
        <w:t>Jacob Denne</w:t>
      </w:r>
      <w:r w:rsidRPr="00687358" w:rsidR="00D50C75">
        <w:t xml:space="preserve">, </w:t>
      </w:r>
      <w:r>
        <w:t>Project Manager</w:t>
      </w:r>
    </w:p>
    <w:bookmarkEnd w:id="2"/>
    <w:bookmarkEnd w:id="3"/>
    <w:p w:rsidR="000E4274" w:rsidRPr="006C648F" w:rsidP="00D17658" w14:paraId="5B753E75" w14:textId="6EFBDB74">
      <w:pPr>
        <w:ind w:left="720"/>
        <w:rPr>
          <w:highlight w:val="yellow"/>
        </w:rPr>
      </w:pPr>
    </w:p>
    <w:p w:rsidR="009123B5" w:rsidRPr="00687358" w:rsidP="00D17658" w14:paraId="5E557BD7" w14:textId="7FFA1C35">
      <w:pPr>
        <w:ind w:left="720"/>
      </w:pPr>
      <w:r>
        <w:t>Westat</w:t>
      </w:r>
      <w:r>
        <w:t xml:space="preserve"> 301-212-2174</w:t>
      </w:r>
    </w:p>
    <w:p w:rsidR="009123B5" w:rsidP="00D17658" w14:paraId="107CCBBD" w14:textId="77777777">
      <w:pPr>
        <w:ind w:left="720"/>
      </w:pPr>
      <w:r>
        <w:t>Jeffrey Taylor, Research Manager</w:t>
      </w:r>
    </w:p>
    <w:p w:rsidR="00125A8C" w:rsidRPr="006C648F" w:rsidP="00D17658" w14:paraId="4F1ED133" w14:textId="408689E0">
      <w:pPr>
        <w:ind w:left="720"/>
        <w:rPr>
          <w:highlight w:val="yellow"/>
        </w:rPr>
      </w:pPr>
      <w:r>
        <w:t>Jay Clark</w:t>
      </w:r>
      <w:r w:rsidR="009123B5">
        <w:t xml:space="preserve">, </w:t>
      </w:r>
      <w:r w:rsidRPr="006C648F" w:rsidR="009123B5">
        <w:rPr>
          <w:iCs/>
        </w:rPr>
        <w:t>Senior Statistician</w:t>
      </w:r>
    </w:p>
    <w:sectPr>
      <w:headerReference w:type="default" r:id="rId12"/>
      <w:footerReference w:type="default" r:id="rId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alibri"/>
    <w:charset w:val="00"/>
    <w:family w:val="auto"/>
    <w:pitch w:val="variable"/>
    <w:sig w:usb0="80000067" w:usb1="00000000" w:usb2="00000000" w:usb3="00000000" w:csb0="00000001" w:csb1="00000000"/>
  </w:font>
  <w:font w:name="Times New Roman (Body CS)">
    <w:altName w:val="Times New Roman"/>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5267627"/>
      <w:docPartObj>
        <w:docPartGallery w:val="Page Numbers (Bottom of Page)"/>
        <w:docPartUnique/>
      </w:docPartObj>
    </w:sdtPr>
    <w:sdtContent>
      <w:sdt>
        <w:sdtPr>
          <w:id w:val="-1705238520"/>
          <w:docPartObj>
            <w:docPartGallery w:val="Page Numbers (Top of Page)"/>
            <w:docPartUnique/>
          </w:docPartObj>
        </w:sdtPr>
        <w:sdtContent>
          <w:p w:rsidR="00BE214D" w14:paraId="6582E403" w14:textId="0489A8F5">
            <w:pPr>
              <w:pStyle w:val="Footer"/>
            </w:pPr>
            <w:r w:rsidRPr="00B0034B">
              <w:rPr>
                <w:sz w:val="22"/>
                <w:szCs w:val="22"/>
              </w:rPr>
              <w:t xml:space="preserve">Page </w:t>
            </w:r>
            <w:r w:rsidRPr="00B0034B">
              <w:rPr>
                <w:b/>
                <w:bCs/>
                <w:sz w:val="22"/>
                <w:szCs w:val="22"/>
              </w:rPr>
              <w:fldChar w:fldCharType="begin"/>
            </w:r>
            <w:r w:rsidRPr="00B0034B">
              <w:rPr>
                <w:b/>
                <w:bCs/>
                <w:sz w:val="22"/>
                <w:szCs w:val="22"/>
              </w:rPr>
              <w:instrText xml:space="preserve"> PAGE </w:instrText>
            </w:r>
            <w:r w:rsidRPr="00B0034B">
              <w:rPr>
                <w:b/>
                <w:bCs/>
                <w:sz w:val="22"/>
                <w:szCs w:val="22"/>
              </w:rPr>
              <w:fldChar w:fldCharType="separate"/>
            </w:r>
            <w:r w:rsidR="00F36EAA">
              <w:rPr>
                <w:b/>
                <w:bCs/>
                <w:noProof/>
                <w:sz w:val="22"/>
                <w:szCs w:val="22"/>
              </w:rPr>
              <w:t>8</w:t>
            </w:r>
            <w:r w:rsidRPr="00B0034B">
              <w:rPr>
                <w:b/>
                <w:bCs/>
                <w:sz w:val="22"/>
                <w:szCs w:val="22"/>
              </w:rPr>
              <w:fldChar w:fldCharType="end"/>
            </w:r>
            <w:r w:rsidRPr="00B0034B">
              <w:rPr>
                <w:sz w:val="22"/>
                <w:szCs w:val="22"/>
              </w:rPr>
              <w:t xml:space="preserve"> of </w:t>
            </w:r>
            <w:r w:rsidRPr="00B0034B">
              <w:rPr>
                <w:b/>
                <w:bCs/>
                <w:sz w:val="22"/>
                <w:szCs w:val="22"/>
              </w:rPr>
              <w:fldChar w:fldCharType="begin"/>
            </w:r>
            <w:r w:rsidRPr="00B0034B">
              <w:rPr>
                <w:b/>
                <w:bCs/>
                <w:sz w:val="22"/>
                <w:szCs w:val="22"/>
              </w:rPr>
              <w:instrText xml:space="preserve"> NUMPAGES  </w:instrText>
            </w:r>
            <w:r w:rsidRPr="00B0034B">
              <w:rPr>
                <w:b/>
                <w:bCs/>
                <w:sz w:val="22"/>
                <w:szCs w:val="22"/>
              </w:rPr>
              <w:fldChar w:fldCharType="separate"/>
            </w:r>
            <w:r w:rsidR="00F36EAA">
              <w:rPr>
                <w:b/>
                <w:bCs/>
                <w:noProof/>
                <w:sz w:val="22"/>
                <w:szCs w:val="22"/>
              </w:rPr>
              <w:t>8</w:t>
            </w:r>
            <w:r w:rsidRPr="00B0034B">
              <w:rPr>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792A" w14:paraId="096B191F" w14:textId="77777777">
      <w:r>
        <w:separator/>
      </w:r>
    </w:p>
  </w:footnote>
  <w:footnote w:type="continuationSeparator" w:id="1">
    <w:p w:rsidR="0059792A" w14:paraId="20C140F5" w14:textId="77777777">
      <w:r>
        <w:continuationSeparator/>
      </w:r>
    </w:p>
  </w:footnote>
  <w:footnote w:type="continuationNotice" w:id="2">
    <w:p w:rsidR="0059792A" w14:paraId="75CA025A" w14:textId="77777777"/>
  </w:footnote>
  <w:footnote w:id="3">
    <w:p w:rsidR="00F130F1" w:rsidP="00F130F1" w14:paraId="2E346CF0" w14:textId="77777777">
      <w:pPr>
        <w:pStyle w:val="FootnoteText"/>
        <w:rPr>
          <w:rFonts w:ascii="Times New Roman" w:hAnsi="Times New Roman"/>
        </w:rPr>
      </w:pPr>
      <w:r>
        <w:rPr>
          <w:rStyle w:val="FootnoteReference"/>
        </w:rPr>
        <w:footnoteRef/>
      </w:r>
      <w:r>
        <w:t xml:space="preserve"> Data from the VA Department of Defense Identity Repository (VADIR)</w:t>
      </w:r>
    </w:p>
  </w:footnote>
  <w:footnote w:id="4">
    <w:p w:rsidR="00F130F1" w:rsidP="00F130F1" w14:paraId="2C440BE7" w14:textId="77777777">
      <w:pPr>
        <w:pStyle w:val="FootnoteText"/>
      </w:pPr>
      <w:r>
        <w:rPr>
          <w:rStyle w:val="FootnoteReference"/>
        </w:rPr>
        <w:footnoteRef/>
      </w:r>
      <w:r>
        <w:t xml:space="preserve"> There are two sources of potential design effects in the proposed study. The first source of design effect is to the need to adjust weights to account for differential nonresponse across subgroups of interest. The second source is the potential inclusion of participants in the current PSTAP Assessment in the proposed longitudinal study. This will be discussed later in this section. </w:t>
      </w:r>
    </w:p>
  </w:footnote>
  <w:footnote w:id="5">
    <w:p w:rsidR="00CC417D" w:rsidP="00CC417D" w14:paraId="5AC2B8B8" w14:textId="77777777">
      <w:pPr>
        <w:pStyle w:val="FootnoteText"/>
        <w:rPr>
          <w:rFonts w:ascii="Times New Roman" w:hAnsi="Times New Roman"/>
        </w:rPr>
      </w:pPr>
      <w:r>
        <w:rPr>
          <w:rStyle w:val="FootnoteReference"/>
        </w:rPr>
        <w:footnoteRef/>
      </w:r>
      <w:r>
        <w:t xml:space="preserve"> We base the expected response rate on the observed response rates from the 2020 PSTAP cross-sectional study, which recruited a similar population of recently separated Veterans. The 2020 PSTAP cross-sectional study achieved a response rate of 13.4%. A higher response rate than the 2020 PSTAP cross-sectional study is likely especially if we offer an incentive for survey completion.</w:t>
      </w:r>
    </w:p>
  </w:footnote>
  <w:footnote w:id="6">
    <w:p w:rsidR="00CC417D" w:rsidP="00CC417D" w14:paraId="7B355C0F" w14:textId="77777777">
      <w:pPr>
        <w:pStyle w:val="FootnoteText"/>
      </w:pPr>
      <w:r>
        <w:rPr>
          <w:rStyle w:val="FootnoteReference"/>
        </w:rPr>
        <w:footnoteRef/>
      </w:r>
      <w:r>
        <w:t xml:space="preserve"> We expect a similar attrition rate to that achieved by the PSTAP longitudinal study. The 2020 PSTAP longitudinal study received responses to the first annual follow up from 62.5% of baseline respondents who agreed to participate in the ongoing study. We believe that it is possible to achieve a 70% average attrition rate over the entire 5-year study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518" w14:paraId="43609B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A5C64652"/>
    <w:lvl w:ilvl="0">
      <w:start w:val="1"/>
      <w:numFmt w:val="decimal"/>
      <w:pStyle w:val="ListNumber"/>
      <w:lvlText w:val="%1."/>
      <w:lvlJc w:val="left"/>
      <w:pPr>
        <w:ind w:left="360" w:hanging="360"/>
      </w:pPr>
    </w:lvl>
  </w:abstractNum>
  <w:abstractNum w:abstractNumId="1">
    <w:nsid w:val="FFFFFF89"/>
    <w:multiLevelType w:val="singleLevel"/>
    <w:tmpl w:val="2B443838"/>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2">
    <w:nsid w:val="01567031"/>
    <w:multiLevelType w:val="hybridMultilevel"/>
    <w:tmpl w:val="B3AA1262"/>
    <w:lvl w:ilvl="0">
      <w:start w:val="12"/>
      <w:numFmt w:val="decimal"/>
      <w:lvlText w:val="%1."/>
      <w:lvlJc w:val="left"/>
      <w:pPr>
        <w:tabs>
          <w:tab w:val="num" w:pos="480"/>
        </w:tabs>
        <w:ind w:left="480" w:hanging="42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
    <w:nsid w:val="0757402F"/>
    <w:multiLevelType w:val="hybridMultilevel"/>
    <w:tmpl w:val="0FE652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BD46AB0"/>
    <w:multiLevelType w:val="hybridMultilevel"/>
    <w:tmpl w:val="7A822A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0DB578DB"/>
    <w:multiLevelType w:val="hybridMultilevel"/>
    <w:tmpl w:val="71DEC0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735F30"/>
    <w:multiLevelType w:val="hybridMultilevel"/>
    <w:tmpl w:val="496AE464"/>
    <w:lvl w:ilvl="0">
      <w:start w:val="4306"/>
      <w:numFmt w:val="bullet"/>
      <w:lvlText w:val="-"/>
      <w:lvlJc w:val="left"/>
      <w:pPr>
        <w:ind w:left="1080" w:hanging="360"/>
      </w:pPr>
      <w:rPr>
        <w:rFonts w:ascii="Georgia" w:eastAsia="Times New Roman" w:hAnsi="Georgia"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DD219D"/>
    <w:multiLevelType w:val="hybridMultilevel"/>
    <w:tmpl w:val="6422FFE6"/>
    <w:lvl w:ilvl="0">
      <w:start w:val="1"/>
      <w:numFmt w:val="bullet"/>
      <w:lvlText w:val=""/>
      <w:lvlJc w:val="left"/>
      <w:pPr>
        <w:tabs>
          <w:tab w:val="num" w:pos="1080"/>
        </w:tabs>
        <w:ind w:left="1080"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2B82379"/>
    <w:multiLevelType w:val="hybridMultilevel"/>
    <w:tmpl w:val="B3904B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FC493B"/>
    <w:multiLevelType w:val="hybridMultilevel"/>
    <w:tmpl w:val="2F04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775233"/>
    <w:multiLevelType w:val="hybridMultilevel"/>
    <w:tmpl w:val="9F7E3EA0"/>
    <w:lvl w:ilvl="0">
      <w:start w:val="1"/>
      <w:numFmt w:val="bullet"/>
      <w:lvlText w:val=""/>
      <w:lvlJc w:val="left"/>
      <w:pPr>
        <w:tabs>
          <w:tab w:val="num" w:pos="360"/>
        </w:tabs>
        <w:ind w:left="360" w:hanging="360"/>
      </w:pPr>
      <w:rPr>
        <w:rFonts w:ascii="Symbol" w:hAnsi="Symbol" w:hint="default"/>
        <w:color w:val="auto"/>
        <w:sz w:val="26"/>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25FE35BD"/>
    <w:multiLevelType w:val="hybridMultilevel"/>
    <w:tmpl w:val="7CFE7F44"/>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29F3D13"/>
    <w:multiLevelType w:val="hybridMultilevel"/>
    <w:tmpl w:val="DF7C20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C9E2D40"/>
    <w:multiLevelType w:val="hybridMultilevel"/>
    <w:tmpl w:val="7CBE0DC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4DFA373E"/>
    <w:multiLevelType w:val="hybridMultilevel"/>
    <w:tmpl w:val="2BDE40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2159B2"/>
    <w:multiLevelType w:val="hybridMultilevel"/>
    <w:tmpl w:val="893656E4"/>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6">
    <w:nsid w:val="6C333EE5"/>
    <w:multiLevelType w:val="hybridMultilevel"/>
    <w:tmpl w:val="5484AFE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DAE6829"/>
    <w:multiLevelType w:val="hybridMultilevel"/>
    <w:tmpl w:val="7A28BCA6"/>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20865D6"/>
    <w:multiLevelType w:val="hybridMultilevel"/>
    <w:tmpl w:val="F98C11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B5E0921"/>
    <w:multiLevelType w:val="hybridMultilevel"/>
    <w:tmpl w:val="D974D198"/>
    <w:lvl w:ilvl="0">
      <w:start w:val="1"/>
      <w:numFmt w:val="decimal"/>
      <w:lvlText w:val="%1)"/>
      <w:lvlJc w:val="left"/>
      <w:pPr>
        <w:ind w:left="1584" w:hanging="360"/>
      </w:pPr>
      <w:rPr>
        <w:rFonts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num w:numId="1" w16cid:durableId="1465659870">
    <w:abstractNumId w:val="1"/>
  </w:num>
  <w:num w:numId="2" w16cid:durableId="324751489">
    <w:abstractNumId w:val="10"/>
  </w:num>
  <w:num w:numId="3" w16cid:durableId="989289571">
    <w:abstractNumId w:val="7"/>
  </w:num>
  <w:num w:numId="4" w16cid:durableId="345667958">
    <w:abstractNumId w:val="2"/>
  </w:num>
  <w:num w:numId="5" w16cid:durableId="1517500759">
    <w:abstractNumId w:val="11"/>
  </w:num>
  <w:num w:numId="6" w16cid:durableId="1510943582">
    <w:abstractNumId w:val="13"/>
  </w:num>
  <w:num w:numId="7" w16cid:durableId="1349258230">
    <w:abstractNumId w:val="9"/>
  </w:num>
  <w:num w:numId="8" w16cid:durableId="1358769657">
    <w:abstractNumId w:val="3"/>
  </w:num>
  <w:num w:numId="9" w16cid:durableId="1606187478">
    <w:abstractNumId w:val="16"/>
  </w:num>
  <w:num w:numId="10" w16cid:durableId="1461342812">
    <w:abstractNumId w:val="15"/>
  </w:num>
  <w:num w:numId="11" w16cid:durableId="330646712">
    <w:abstractNumId w:val="4"/>
  </w:num>
  <w:num w:numId="12" w16cid:durableId="1822501860">
    <w:abstractNumId w:val="4"/>
  </w:num>
  <w:num w:numId="13" w16cid:durableId="1319308554">
    <w:abstractNumId w:val="14"/>
  </w:num>
  <w:num w:numId="14" w16cid:durableId="247272563">
    <w:abstractNumId w:val="19"/>
  </w:num>
  <w:num w:numId="15" w16cid:durableId="300421574">
    <w:abstractNumId w:val="17"/>
  </w:num>
  <w:num w:numId="16" w16cid:durableId="2132437009">
    <w:abstractNumId w:val="0"/>
    <w:lvlOverride w:ilvl="0">
      <w:startOverride w:val="1"/>
    </w:lvlOverride>
  </w:num>
  <w:num w:numId="17" w16cid:durableId="752704897">
    <w:abstractNumId w:val="6"/>
  </w:num>
  <w:num w:numId="18" w16cid:durableId="1434744663">
    <w:abstractNumId w:val="12"/>
  </w:num>
  <w:num w:numId="19" w16cid:durableId="728571706">
    <w:abstractNumId w:val="5"/>
  </w:num>
  <w:num w:numId="20" w16cid:durableId="1585531837">
    <w:abstractNumId w:val="8"/>
  </w:num>
  <w:num w:numId="21" w16cid:durableId="1202858426">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4D"/>
    <w:rsid w:val="000013FC"/>
    <w:rsid w:val="00003BC3"/>
    <w:rsid w:val="0000462C"/>
    <w:rsid w:val="00004A0D"/>
    <w:rsid w:val="00006F93"/>
    <w:rsid w:val="00012A29"/>
    <w:rsid w:val="00012D5F"/>
    <w:rsid w:val="0001614A"/>
    <w:rsid w:val="000173B1"/>
    <w:rsid w:val="00021A37"/>
    <w:rsid w:val="00025F92"/>
    <w:rsid w:val="0002657D"/>
    <w:rsid w:val="0002715C"/>
    <w:rsid w:val="00027D9C"/>
    <w:rsid w:val="00031D8B"/>
    <w:rsid w:val="000320A4"/>
    <w:rsid w:val="00037D0C"/>
    <w:rsid w:val="0004597C"/>
    <w:rsid w:val="00045FF2"/>
    <w:rsid w:val="00047EBB"/>
    <w:rsid w:val="00054C7B"/>
    <w:rsid w:val="00054CEE"/>
    <w:rsid w:val="00057031"/>
    <w:rsid w:val="000574FC"/>
    <w:rsid w:val="0006219F"/>
    <w:rsid w:val="00062576"/>
    <w:rsid w:val="00064137"/>
    <w:rsid w:val="0006537E"/>
    <w:rsid w:val="00070BFD"/>
    <w:rsid w:val="00074C5B"/>
    <w:rsid w:val="00075B4F"/>
    <w:rsid w:val="00081461"/>
    <w:rsid w:val="00090BCD"/>
    <w:rsid w:val="000936B0"/>
    <w:rsid w:val="00095473"/>
    <w:rsid w:val="0009626F"/>
    <w:rsid w:val="000A30F8"/>
    <w:rsid w:val="000A31B6"/>
    <w:rsid w:val="000B19F1"/>
    <w:rsid w:val="000B2F15"/>
    <w:rsid w:val="000B5275"/>
    <w:rsid w:val="000B6AD0"/>
    <w:rsid w:val="000C1302"/>
    <w:rsid w:val="000C15E5"/>
    <w:rsid w:val="000C16FC"/>
    <w:rsid w:val="000C488A"/>
    <w:rsid w:val="000C4B02"/>
    <w:rsid w:val="000D2392"/>
    <w:rsid w:val="000E0130"/>
    <w:rsid w:val="000E1BA6"/>
    <w:rsid w:val="000E338E"/>
    <w:rsid w:val="000E4274"/>
    <w:rsid w:val="000E59F0"/>
    <w:rsid w:val="000F0874"/>
    <w:rsid w:val="000F132D"/>
    <w:rsid w:val="000F23A0"/>
    <w:rsid w:val="00103582"/>
    <w:rsid w:val="00107473"/>
    <w:rsid w:val="001075D3"/>
    <w:rsid w:val="00110DEA"/>
    <w:rsid w:val="00113C00"/>
    <w:rsid w:val="0011467C"/>
    <w:rsid w:val="001224A2"/>
    <w:rsid w:val="001228B3"/>
    <w:rsid w:val="00124FCC"/>
    <w:rsid w:val="001254E6"/>
    <w:rsid w:val="00125A8C"/>
    <w:rsid w:val="001271BE"/>
    <w:rsid w:val="00131B2E"/>
    <w:rsid w:val="00131E15"/>
    <w:rsid w:val="00133D0B"/>
    <w:rsid w:val="001359FE"/>
    <w:rsid w:val="00140E86"/>
    <w:rsid w:val="001416B9"/>
    <w:rsid w:val="00141EF1"/>
    <w:rsid w:val="001461CF"/>
    <w:rsid w:val="0014638C"/>
    <w:rsid w:val="0014778B"/>
    <w:rsid w:val="00147BE8"/>
    <w:rsid w:val="001511D4"/>
    <w:rsid w:val="001534E5"/>
    <w:rsid w:val="00153E89"/>
    <w:rsid w:val="00156E21"/>
    <w:rsid w:val="001614DE"/>
    <w:rsid w:val="00161D52"/>
    <w:rsid w:val="00166DD1"/>
    <w:rsid w:val="001701FA"/>
    <w:rsid w:val="0017123D"/>
    <w:rsid w:val="00171673"/>
    <w:rsid w:val="00174D38"/>
    <w:rsid w:val="001766E7"/>
    <w:rsid w:val="0018069B"/>
    <w:rsid w:val="00184DA4"/>
    <w:rsid w:val="0018641F"/>
    <w:rsid w:val="0019299E"/>
    <w:rsid w:val="00192B35"/>
    <w:rsid w:val="00197E80"/>
    <w:rsid w:val="001A19C1"/>
    <w:rsid w:val="001A47DF"/>
    <w:rsid w:val="001A7FF8"/>
    <w:rsid w:val="001B07B6"/>
    <w:rsid w:val="001B1A1A"/>
    <w:rsid w:val="001B20CC"/>
    <w:rsid w:val="001B4793"/>
    <w:rsid w:val="001B527C"/>
    <w:rsid w:val="001C0F2F"/>
    <w:rsid w:val="001C23F9"/>
    <w:rsid w:val="001C5929"/>
    <w:rsid w:val="001C64BF"/>
    <w:rsid w:val="001D2F0B"/>
    <w:rsid w:val="001D3654"/>
    <w:rsid w:val="001D4BC4"/>
    <w:rsid w:val="001E0538"/>
    <w:rsid w:val="001E4CD9"/>
    <w:rsid w:val="001F1A16"/>
    <w:rsid w:val="001F2671"/>
    <w:rsid w:val="001F6E18"/>
    <w:rsid w:val="00203B46"/>
    <w:rsid w:val="0020511B"/>
    <w:rsid w:val="002072EB"/>
    <w:rsid w:val="00207CC2"/>
    <w:rsid w:val="00210A73"/>
    <w:rsid w:val="002144CC"/>
    <w:rsid w:val="00216160"/>
    <w:rsid w:val="00217513"/>
    <w:rsid w:val="00220678"/>
    <w:rsid w:val="002219E9"/>
    <w:rsid w:val="00221B10"/>
    <w:rsid w:val="00222863"/>
    <w:rsid w:val="002251B4"/>
    <w:rsid w:val="00226E1C"/>
    <w:rsid w:val="00236152"/>
    <w:rsid w:val="0024096B"/>
    <w:rsid w:val="0024782A"/>
    <w:rsid w:val="002510D1"/>
    <w:rsid w:val="002555AA"/>
    <w:rsid w:val="00255F0E"/>
    <w:rsid w:val="00256C92"/>
    <w:rsid w:val="00263395"/>
    <w:rsid w:val="00265788"/>
    <w:rsid w:val="00265965"/>
    <w:rsid w:val="00265987"/>
    <w:rsid w:val="002669CF"/>
    <w:rsid w:val="002674DF"/>
    <w:rsid w:val="00272033"/>
    <w:rsid w:val="002761D9"/>
    <w:rsid w:val="0028004D"/>
    <w:rsid w:val="002817B3"/>
    <w:rsid w:val="00284BF3"/>
    <w:rsid w:val="002851D6"/>
    <w:rsid w:val="00286F16"/>
    <w:rsid w:val="00287975"/>
    <w:rsid w:val="00290C1C"/>
    <w:rsid w:val="00291B69"/>
    <w:rsid w:val="002933B0"/>
    <w:rsid w:val="00293B7F"/>
    <w:rsid w:val="0029481D"/>
    <w:rsid w:val="00296B30"/>
    <w:rsid w:val="002A0B63"/>
    <w:rsid w:val="002A1A7A"/>
    <w:rsid w:val="002A2B83"/>
    <w:rsid w:val="002B294E"/>
    <w:rsid w:val="002B3773"/>
    <w:rsid w:val="002C05D2"/>
    <w:rsid w:val="002C07E3"/>
    <w:rsid w:val="002C23A0"/>
    <w:rsid w:val="002C24EA"/>
    <w:rsid w:val="002C7DA0"/>
    <w:rsid w:val="002D2DF2"/>
    <w:rsid w:val="002D3411"/>
    <w:rsid w:val="002D38E4"/>
    <w:rsid w:val="002D4DC2"/>
    <w:rsid w:val="002D5CF4"/>
    <w:rsid w:val="002D7AEF"/>
    <w:rsid w:val="002E057A"/>
    <w:rsid w:val="002E0719"/>
    <w:rsid w:val="002E1CC5"/>
    <w:rsid w:val="002E43CB"/>
    <w:rsid w:val="002E5D4A"/>
    <w:rsid w:val="002F07F6"/>
    <w:rsid w:val="002F1880"/>
    <w:rsid w:val="002F2416"/>
    <w:rsid w:val="002F7F8C"/>
    <w:rsid w:val="0030094C"/>
    <w:rsid w:val="00300A7D"/>
    <w:rsid w:val="003014C1"/>
    <w:rsid w:val="00302395"/>
    <w:rsid w:val="00303951"/>
    <w:rsid w:val="00307CDE"/>
    <w:rsid w:val="00312514"/>
    <w:rsid w:val="00314F80"/>
    <w:rsid w:val="0031556C"/>
    <w:rsid w:val="0032717D"/>
    <w:rsid w:val="003412F2"/>
    <w:rsid w:val="00344002"/>
    <w:rsid w:val="00344DEF"/>
    <w:rsid w:val="00345D4D"/>
    <w:rsid w:val="00347088"/>
    <w:rsid w:val="003503A3"/>
    <w:rsid w:val="00351935"/>
    <w:rsid w:val="00353EAA"/>
    <w:rsid w:val="00357467"/>
    <w:rsid w:val="003624D0"/>
    <w:rsid w:val="00364A8F"/>
    <w:rsid w:val="00364DD8"/>
    <w:rsid w:val="00367E37"/>
    <w:rsid w:val="003711F8"/>
    <w:rsid w:val="00371872"/>
    <w:rsid w:val="00372010"/>
    <w:rsid w:val="0037355F"/>
    <w:rsid w:val="00391D8D"/>
    <w:rsid w:val="00394AEA"/>
    <w:rsid w:val="0039514E"/>
    <w:rsid w:val="00395CC8"/>
    <w:rsid w:val="003A17BD"/>
    <w:rsid w:val="003A330A"/>
    <w:rsid w:val="003A4FD8"/>
    <w:rsid w:val="003B4A19"/>
    <w:rsid w:val="003B4A59"/>
    <w:rsid w:val="003B7029"/>
    <w:rsid w:val="003C14E6"/>
    <w:rsid w:val="003C2A9F"/>
    <w:rsid w:val="003C4BA5"/>
    <w:rsid w:val="003C725C"/>
    <w:rsid w:val="003D132D"/>
    <w:rsid w:val="003D38FB"/>
    <w:rsid w:val="003D507A"/>
    <w:rsid w:val="003E11B1"/>
    <w:rsid w:val="003E1240"/>
    <w:rsid w:val="003E43F1"/>
    <w:rsid w:val="003E7742"/>
    <w:rsid w:val="003F2D81"/>
    <w:rsid w:val="003F790D"/>
    <w:rsid w:val="004023D1"/>
    <w:rsid w:val="0040270C"/>
    <w:rsid w:val="00402D54"/>
    <w:rsid w:val="004036A9"/>
    <w:rsid w:val="00403B79"/>
    <w:rsid w:val="00405AFB"/>
    <w:rsid w:val="0040677D"/>
    <w:rsid w:val="004131A4"/>
    <w:rsid w:val="00415EA4"/>
    <w:rsid w:val="00415F28"/>
    <w:rsid w:val="00416CE5"/>
    <w:rsid w:val="00420193"/>
    <w:rsid w:val="00420825"/>
    <w:rsid w:val="004238F0"/>
    <w:rsid w:val="0042647F"/>
    <w:rsid w:val="00430381"/>
    <w:rsid w:val="004330F5"/>
    <w:rsid w:val="00434877"/>
    <w:rsid w:val="00435CEB"/>
    <w:rsid w:val="0044043B"/>
    <w:rsid w:val="0044152F"/>
    <w:rsid w:val="0044318E"/>
    <w:rsid w:val="004433B1"/>
    <w:rsid w:val="00444A55"/>
    <w:rsid w:val="004454B8"/>
    <w:rsid w:val="00447610"/>
    <w:rsid w:val="00447883"/>
    <w:rsid w:val="004518C6"/>
    <w:rsid w:val="00457DDF"/>
    <w:rsid w:val="00462797"/>
    <w:rsid w:val="004632E0"/>
    <w:rsid w:val="00467B03"/>
    <w:rsid w:val="00470167"/>
    <w:rsid w:val="0047032D"/>
    <w:rsid w:val="0047257B"/>
    <w:rsid w:val="004748A2"/>
    <w:rsid w:val="00474C0A"/>
    <w:rsid w:val="00474D45"/>
    <w:rsid w:val="0048049D"/>
    <w:rsid w:val="00481470"/>
    <w:rsid w:val="00483F02"/>
    <w:rsid w:val="00484C31"/>
    <w:rsid w:val="004858C9"/>
    <w:rsid w:val="004859C8"/>
    <w:rsid w:val="00486B8E"/>
    <w:rsid w:val="00486C3B"/>
    <w:rsid w:val="00491286"/>
    <w:rsid w:val="00492720"/>
    <w:rsid w:val="004935A1"/>
    <w:rsid w:val="0049652A"/>
    <w:rsid w:val="004A002C"/>
    <w:rsid w:val="004A3447"/>
    <w:rsid w:val="004A61D5"/>
    <w:rsid w:val="004A73BA"/>
    <w:rsid w:val="004B00AD"/>
    <w:rsid w:val="004B6016"/>
    <w:rsid w:val="004B7C16"/>
    <w:rsid w:val="004C0A34"/>
    <w:rsid w:val="004C1420"/>
    <w:rsid w:val="004C1620"/>
    <w:rsid w:val="004C31DD"/>
    <w:rsid w:val="004C49CF"/>
    <w:rsid w:val="004C5B22"/>
    <w:rsid w:val="004C6BF0"/>
    <w:rsid w:val="004D07BF"/>
    <w:rsid w:val="004D3C5E"/>
    <w:rsid w:val="004D3DDB"/>
    <w:rsid w:val="004E011D"/>
    <w:rsid w:val="004E09C0"/>
    <w:rsid w:val="004E105D"/>
    <w:rsid w:val="004E16A9"/>
    <w:rsid w:val="004E5418"/>
    <w:rsid w:val="004E74F9"/>
    <w:rsid w:val="004E7D6D"/>
    <w:rsid w:val="004F2609"/>
    <w:rsid w:val="004F5104"/>
    <w:rsid w:val="004F6DF1"/>
    <w:rsid w:val="005001E0"/>
    <w:rsid w:val="0050110C"/>
    <w:rsid w:val="00505043"/>
    <w:rsid w:val="005055DD"/>
    <w:rsid w:val="00515C53"/>
    <w:rsid w:val="00520F34"/>
    <w:rsid w:val="00522389"/>
    <w:rsid w:val="00523AC1"/>
    <w:rsid w:val="0052416F"/>
    <w:rsid w:val="0052473A"/>
    <w:rsid w:val="00531256"/>
    <w:rsid w:val="005333C3"/>
    <w:rsid w:val="005356EF"/>
    <w:rsid w:val="005370DF"/>
    <w:rsid w:val="00537AC0"/>
    <w:rsid w:val="00542738"/>
    <w:rsid w:val="00543203"/>
    <w:rsid w:val="0055189F"/>
    <w:rsid w:val="0055333F"/>
    <w:rsid w:val="005553FF"/>
    <w:rsid w:val="00557C26"/>
    <w:rsid w:val="005643D9"/>
    <w:rsid w:val="0057438F"/>
    <w:rsid w:val="0057600E"/>
    <w:rsid w:val="00577C38"/>
    <w:rsid w:val="00580711"/>
    <w:rsid w:val="00582357"/>
    <w:rsid w:val="00586059"/>
    <w:rsid w:val="00586E11"/>
    <w:rsid w:val="005877D0"/>
    <w:rsid w:val="00595CDB"/>
    <w:rsid w:val="0059714E"/>
    <w:rsid w:val="0059792A"/>
    <w:rsid w:val="00597F7E"/>
    <w:rsid w:val="005A1760"/>
    <w:rsid w:val="005A3FB6"/>
    <w:rsid w:val="005A408B"/>
    <w:rsid w:val="005A43C5"/>
    <w:rsid w:val="005A7718"/>
    <w:rsid w:val="005B0D66"/>
    <w:rsid w:val="005B2FA5"/>
    <w:rsid w:val="005B469F"/>
    <w:rsid w:val="005B4859"/>
    <w:rsid w:val="005C0576"/>
    <w:rsid w:val="005C1968"/>
    <w:rsid w:val="005C3507"/>
    <w:rsid w:val="005D0895"/>
    <w:rsid w:val="005D12D5"/>
    <w:rsid w:val="005D1DF4"/>
    <w:rsid w:val="005D2F2A"/>
    <w:rsid w:val="005D410D"/>
    <w:rsid w:val="005D671B"/>
    <w:rsid w:val="005E303E"/>
    <w:rsid w:val="005E67E2"/>
    <w:rsid w:val="005F2C88"/>
    <w:rsid w:val="005F41BC"/>
    <w:rsid w:val="006040B1"/>
    <w:rsid w:val="006044C1"/>
    <w:rsid w:val="0060713B"/>
    <w:rsid w:val="00612DA8"/>
    <w:rsid w:val="00616385"/>
    <w:rsid w:val="006167C0"/>
    <w:rsid w:val="006217CD"/>
    <w:rsid w:val="00621CE6"/>
    <w:rsid w:val="00626A38"/>
    <w:rsid w:val="00627B03"/>
    <w:rsid w:val="00627DE2"/>
    <w:rsid w:val="00633895"/>
    <w:rsid w:val="00633969"/>
    <w:rsid w:val="00633E12"/>
    <w:rsid w:val="00636653"/>
    <w:rsid w:val="00636B28"/>
    <w:rsid w:val="00636CCD"/>
    <w:rsid w:val="00641B47"/>
    <w:rsid w:val="006514D3"/>
    <w:rsid w:val="00651A0F"/>
    <w:rsid w:val="00654BB7"/>
    <w:rsid w:val="00656D5A"/>
    <w:rsid w:val="00665637"/>
    <w:rsid w:val="0066590D"/>
    <w:rsid w:val="00671D1A"/>
    <w:rsid w:val="0067303D"/>
    <w:rsid w:val="00673866"/>
    <w:rsid w:val="00674176"/>
    <w:rsid w:val="00686593"/>
    <w:rsid w:val="00687358"/>
    <w:rsid w:val="0068769D"/>
    <w:rsid w:val="00691615"/>
    <w:rsid w:val="006917F2"/>
    <w:rsid w:val="00692D2F"/>
    <w:rsid w:val="006A0B4F"/>
    <w:rsid w:val="006A54C4"/>
    <w:rsid w:val="006A68C8"/>
    <w:rsid w:val="006A7EE5"/>
    <w:rsid w:val="006B0AB9"/>
    <w:rsid w:val="006B1BB3"/>
    <w:rsid w:val="006B24FD"/>
    <w:rsid w:val="006B459B"/>
    <w:rsid w:val="006B4D52"/>
    <w:rsid w:val="006C026D"/>
    <w:rsid w:val="006C05C7"/>
    <w:rsid w:val="006C0631"/>
    <w:rsid w:val="006C1D0E"/>
    <w:rsid w:val="006C1FE9"/>
    <w:rsid w:val="006C2F88"/>
    <w:rsid w:val="006C2FD9"/>
    <w:rsid w:val="006C311E"/>
    <w:rsid w:val="006C58FD"/>
    <w:rsid w:val="006C648F"/>
    <w:rsid w:val="006C6741"/>
    <w:rsid w:val="006C6AC2"/>
    <w:rsid w:val="006D4450"/>
    <w:rsid w:val="006D5749"/>
    <w:rsid w:val="006D57BC"/>
    <w:rsid w:val="006D624F"/>
    <w:rsid w:val="006D7C8C"/>
    <w:rsid w:val="006F0F24"/>
    <w:rsid w:val="006F2710"/>
    <w:rsid w:val="006F286C"/>
    <w:rsid w:val="006F4934"/>
    <w:rsid w:val="006F508A"/>
    <w:rsid w:val="0070185D"/>
    <w:rsid w:val="007020C1"/>
    <w:rsid w:val="0070674E"/>
    <w:rsid w:val="00713BDC"/>
    <w:rsid w:val="007143C0"/>
    <w:rsid w:val="007157B6"/>
    <w:rsid w:val="00716132"/>
    <w:rsid w:val="00717DEB"/>
    <w:rsid w:val="00720CC5"/>
    <w:rsid w:val="00724C2C"/>
    <w:rsid w:val="00725860"/>
    <w:rsid w:val="00726174"/>
    <w:rsid w:val="0073017B"/>
    <w:rsid w:val="0073340D"/>
    <w:rsid w:val="00733CBD"/>
    <w:rsid w:val="007346FA"/>
    <w:rsid w:val="00735C4A"/>
    <w:rsid w:val="00736F3A"/>
    <w:rsid w:val="00741B58"/>
    <w:rsid w:val="0074294C"/>
    <w:rsid w:val="007464A9"/>
    <w:rsid w:val="00750799"/>
    <w:rsid w:val="00757F11"/>
    <w:rsid w:val="00760DB9"/>
    <w:rsid w:val="00761615"/>
    <w:rsid w:val="00763AB5"/>
    <w:rsid w:val="00764D52"/>
    <w:rsid w:val="00771740"/>
    <w:rsid w:val="00772AB7"/>
    <w:rsid w:val="007777D0"/>
    <w:rsid w:val="00777823"/>
    <w:rsid w:val="007804A4"/>
    <w:rsid w:val="00781C2C"/>
    <w:rsid w:val="0078321A"/>
    <w:rsid w:val="0078363B"/>
    <w:rsid w:val="0078709F"/>
    <w:rsid w:val="007874FD"/>
    <w:rsid w:val="00792699"/>
    <w:rsid w:val="00792830"/>
    <w:rsid w:val="00792A0E"/>
    <w:rsid w:val="00792E53"/>
    <w:rsid w:val="007942E4"/>
    <w:rsid w:val="00795235"/>
    <w:rsid w:val="00795D22"/>
    <w:rsid w:val="00795D76"/>
    <w:rsid w:val="007A2E46"/>
    <w:rsid w:val="007A5BCE"/>
    <w:rsid w:val="007B4E96"/>
    <w:rsid w:val="007B5C73"/>
    <w:rsid w:val="007C03B9"/>
    <w:rsid w:val="007C14F4"/>
    <w:rsid w:val="007C20E5"/>
    <w:rsid w:val="007C4AD4"/>
    <w:rsid w:val="007C5365"/>
    <w:rsid w:val="007D4350"/>
    <w:rsid w:val="007D4372"/>
    <w:rsid w:val="007D6025"/>
    <w:rsid w:val="007D7757"/>
    <w:rsid w:val="007E1546"/>
    <w:rsid w:val="007E2E4E"/>
    <w:rsid w:val="007E4452"/>
    <w:rsid w:val="007F00CD"/>
    <w:rsid w:val="007F1302"/>
    <w:rsid w:val="007F2778"/>
    <w:rsid w:val="007F4BDA"/>
    <w:rsid w:val="007F5BB5"/>
    <w:rsid w:val="00800279"/>
    <w:rsid w:val="008003A5"/>
    <w:rsid w:val="00804C7B"/>
    <w:rsid w:val="0080540F"/>
    <w:rsid w:val="008067FB"/>
    <w:rsid w:val="00810ADA"/>
    <w:rsid w:val="00810B95"/>
    <w:rsid w:val="0081147C"/>
    <w:rsid w:val="0081196B"/>
    <w:rsid w:val="00812211"/>
    <w:rsid w:val="00817593"/>
    <w:rsid w:val="00822A99"/>
    <w:rsid w:val="008253BF"/>
    <w:rsid w:val="00825AA4"/>
    <w:rsid w:val="008311AA"/>
    <w:rsid w:val="00847549"/>
    <w:rsid w:val="008567D4"/>
    <w:rsid w:val="008568A7"/>
    <w:rsid w:val="00856B37"/>
    <w:rsid w:val="00857E96"/>
    <w:rsid w:val="0086091B"/>
    <w:rsid w:val="00862631"/>
    <w:rsid w:val="00862B83"/>
    <w:rsid w:val="008677EC"/>
    <w:rsid w:val="008709D7"/>
    <w:rsid w:val="00870B92"/>
    <w:rsid w:val="008712ED"/>
    <w:rsid w:val="00871791"/>
    <w:rsid w:val="00873303"/>
    <w:rsid w:val="00875BDF"/>
    <w:rsid w:val="00884D7C"/>
    <w:rsid w:val="00886518"/>
    <w:rsid w:val="00887CA7"/>
    <w:rsid w:val="008924A6"/>
    <w:rsid w:val="00893CB7"/>
    <w:rsid w:val="008A4253"/>
    <w:rsid w:val="008A56AD"/>
    <w:rsid w:val="008A7DAD"/>
    <w:rsid w:val="008B0B3F"/>
    <w:rsid w:val="008B2666"/>
    <w:rsid w:val="008B64B6"/>
    <w:rsid w:val="008C0B0B"/>
    <w:rsid w:val="008C3DEA"/>
    <w:rsid w:val="008C5562"/>
    <w:rsid w:val="008C59C9"/>
    <w:rsid w:val="008C6407"/>
    <w:rsid w:val="008C73B6"/>
    <w:rsid w:val="008E0D1C"/>
    <w:rsid w:val="008E18B5"/>
    <w:rsid w:val="008E31F9"/>
    <w:rsid w:val="008E4A96"/>
    <w:rsid w:val="008E50D3"/>
    <w:rsid w:val="008E6A98"/>
    <w:rsid w:val="008F08D1"/>
    <w:rsid w:val="008F35BB"/>
    <w:rsid w:val="008F3C8C"/>
    <w:rsid w:val="008F7259"/>
    <w:rsid w:val="008F73F5"/>
    <w:rsid w:val="00905FCC"/>
    <w:rsid w:val="00911D3A"/>
    <w:rsid w:val="009123B5"/>
    <w:rsid w:val="00912E29"/>
    <w:rsid w:val="00922E25"/>
    <w:rsid w:val="00924543"/>
    <w:rsid w:val="00924ECB"/>
    <w:rsid w:val="009257AE"/>
    <w:rsid w:val="00925DD1"/>
    <w:rsid w:val="00927FA8"/>
    <w:rsid w:val="00931BFE"/>
    <w:rsid w:val="00936F7E"/>
    <w:rsid w:val="009372E0"/>
    <w:rsid w:val="0094103C"/>
    <w:rsid w:val="00941C7E"/>
    <w:rsid w:val="00942A69"/>
    <w:rsid w:val="009456FC"/>
    <w:rsid w:val="00946940"/>
    <w:rsid w:val="00947E8F"/>
    <w:rsid w:val="00952C89"/>
    <w:rsid w:val="00954DEB"/>
    <w:rsid w:val="0095612F"/>
    <w:rsid w:val="00956531"/>
    <w:rsid w:val="009577E8"/>
    <w:rsid w:val="00971DD3"/>
    <w:rsid w:val="00972785"/>
    <w:rsid w:val="00980FAF"/>
    <w:rsid w:val="009828BD"/>
    <w:rsid w:val="00984F05"/>
    <w:rsid w:val="009862BF"/>
    <w:rsid w:val="00987EA4"/>
    <w:rsid w:val="00990388"/>
    <w:rsid w:val="009903C0"/>
    <w:rsid w:val="00992005"/>
    <w:rsid w:val="00996DFD"/>
    <w:rsid w:val="009A039F"/>
    <w:rsid w:val="009A706E"/>
    <w:rsid w:val="009B10DD"/>
    <w:rsid w:val="009B248D"/>
    <w:rsid w:val="009B3CEF"/>
    <w:rsid w:val="009B485A"/>
    <w:rsid w:val="009B5E41"/>
    <w:rsid w:val="009B671E"/>
    <w:rsid w:val="009B706D"/>
    <w:rsid w:val="009C3D3A"/>
    <w:rsid w:val="009C5D2A"/>
    <w:rsid w:val="009D0BDC"/>
    <w:rsid w:val="009E4BD9"/>
    <w:rsid w:val="009E552A"/>
    <w:rsid w:val="009E5D66"/>
    <w:rsid w:val="009E7924"/>
    <w:rsid w:val="009F181F"/>
    <w:rsid w:val="009F34EA"/>
    <w:rsid w:val="009F590C"/>
    <w:rsid w:val="009F5D56"/>
    <w:rsid w:val="00A00E85"/>
    <w:rsid w:val="00A06D79"/>
    <w:rsid w:val="00A074CF"/>
    <w:rsid w:val="00A11E9C"/>
    <w:rsid w:val="00A1797B"/>
    <w:rsid w:val="00A21EDE"/>
    <w:rsid w:val="00A22F51"/>
    <w:rsid w:val="00A27A96"/>
    <w:rsid w:val="00A30B19"/>
    <w:rsid w:val="00A33099"/>
    <w:rsid w:val="00A3449D"/>
    <w:rsid w:val="00A34BC7"/>
    <w:rsid w:val="00A36A0A"/>
    <w:rsid w:val="00A37F78"/>
    <w:rsid w:val="00A41451"/>
    <w:rsid w:val="00A417EB"/>
    <w:rsid w:val="00A42F6C"/>
    <w:rsid w:val="00A43ED6"/>
    <w:rsid w:val="00A44AF7"/>
    <w:rsid w:val="00A509E9"/>
    <w:rsid w:val="00A50F0B"/>
    <w:rsid w:val="00A525F6"/>
    <w:rsid w:val="00A5656B"/>
    <w:rsid w:val="00A601B0"/>
    <w:rsid w:val="00A605CB"/>
    <w:rsid w:val="00A620CC"/>
    <w:rsid w:val="00A63241"/>
    <w:rsid w:val="00A634DE"/>
    <w:rsid w:val="00A67AAB"/>
    <w:rsid w:val="00A73A85"/>
    <w:rsid w:val="00A756AD"/>
    <w:rsid w:val="00A769D1"/>
    <w:rsid w:val="00A83936"/>
    <w:rsid w:val="00A85A4A"/>
    <w:rsid w:val="00A85A9B"/>
    <w:rsid w:val="00A86899"/>
    <w:rsid w:val="00A87821"/>
    <w:rsid w:val="00A87BBB"/>
    <w:rsid w:val="00AA08F1"/>
    <w:rsid w:val="00AA2B30"/>
    <w:rsid w:val="00AA430D"/>
    <w:rsid w:val="00AA6F90"/>
    <w:rsid w:val="00AB188D"/>
    <w:rsid w:val="00AB6EA9"/>
    <w:rsid w:val="00AC004E"/>
    <w:rsid w:val="00AD0FAC"/>
    <w:rsid w:val="00AD31D9"/>
    <w:rsid w:val="00AD6763"/>
    <w:rsid w:val="00AD6EAC"/>
    <w:rsid w:val="00AE0175"/>
    <w:rsid w:val="00AE0AA6"/>
    <w:rsid w:val="00AE0C77"/>
    <w:rsid w:val="00AE10F7"/>
    <w:rsid w:val="00AE17B6"/>
    <w:rsid w:val="00AE5E87"/>
    <w:rsid w:val="00AF111C"/>
    <w:rsid w:val="00AF41BC"/>
    <w:rsid w:val="00AF42F5"/>
    <w:rsid w:val="00AF4BCC"/>
    <w:rsid w:val="00B0034B"/>
    <w:rsid w:val="00B0274A"/>
    <w:rsid w:val="00B044B7"/>
    <w:rsid w:val="00B12263"/>
    <w:rsid w:val="00B15966"/>
    <w:rsid w:val="00B23595"/>
    <w:rsid w:val="00B24932"/>
    <w:rsid w:val="00B2571F"/>
    <w:rsid w:val="00B26466"/>
    <w:rsid w:val="00B26636"/>
    <w:rsid w:val="00B34C5C"/>
    <w:rsid w:val="00B36B85"/>
    <w:rsid w:val="00B41457"/>
    <w:rsid w:val="00B43186"/>
    <w:rsid w:val="00B4433C"/>
    <w:rsid w:val="00B44C65"/>
    <w:rsid w:val="00B534CF"/>
    <w:rsid w:val="00B545E2"/>
    <w:rsid w:val="00B56438"/>
    <w:rsid w:val="00B602A1"/>
    <w:rsid w:val="00B62030"/>
    <w:rsid w:val="00B62A19"/>
    <w:rsid w:val="00B63766"/>
    <w:rsid w:val="00B63E6E"/>
    <w:rsid w:val="00B6449E"/>
    <w:rsid w:val="00B6477F"/>
    <w:rsid w:val="00B71743"/>
    <w:rsid w:val="00B7424D"/>
    <w:rsid w:val="00B7441B"/>
    <w:rsid w:val="00B76B9F"/>
    <w:rsid w:val="00B77221"/>
    <w:rsid w:val="00B812DE"/>
    <w:rsid w:val="00B8145E"/>
    <w:rsid w:val="00B82711"/>
    <w:rsid w:val="00B82FF6"/>
    <w:rsid w:val="00B83AE6"/>
    <w:rsid w:val="00B871BB"/>
    <w:rsid w:val="00B95F14"/>
    <w:rsid w:val="00B96163"/>
    <w:rsid w:val="00B9629A"/>
    <w:rsid w:val="00BA2706"/>
    <w:rsid w:val="00BA4B57"/>
    <w:rsid w:val="00BA6B04"/>
    <w:rsid w:val="00BB5CBA"/>
    <w:rsid w:val="00BC01B2"/>
    <w:rsid w:val="00BC03E1"/>
    <w:rsid w:val="00BC13C4"/>
    <w:rsid w:val="00BC1E07"/>
    <w:rsid w:val="00BC2C0E"/>
    <w:rsid w:val="00BC6092"/>
    <w:rsid w:val="00BC76C4"/>
    <w:rsid w:val="00BD1518"/>
    <w:rsid w:val="00BD6E49"/>
    <w:rsid w:val="00BD6F6D"/>
    <w:rsid w:val="00BD7AAE"/>
    <w:rsid w:val="00BE1DF6"/>
    <w:rsid w:val="00BE214D"/>
    <w:rsid w:val="00BE5810"/>
    <w:rsid w:val="00BF4EE4"/>
    <w:rsid w:val="00BF5019"/>
    <w:rsid w:val="00BF7152"/>
    <w:rsid w:val="00BF75C5"/>
    <w:rsid w:val="00C0086E"/>
    <w:rsid w:val="00C0262F"/>
    <w:rsid w:val="00C02933"/>
    <w:rsid w:val="00C03535"/>
    <w:rsid w:val="00C04A84"/>
    <w:rsid w:val="00C059B0"/>
    <w:rsid w:val="00C07069"/>
    <w:rsid w:val="00C078E4"/>
    <w:rsid w:val="00C15509"/>
    <w:rsid w:val="00C30281"/>
    <w:rsid w:val="00C30700"/>
    <w:rsid w:val="00C31053"/>
    <w:rsid w:val="00C32205"/>
    <w:rsid w:val="00C34EA7"/>
    <w:rsid w:val="00C37078"/>
    <w:rsid w:val="00C40178"/>
    <w:rsid w:val="00C41C49"/>
    <w:rsid w:val="00C42C28"/>
    <w:rsid w:val="00C4312C"/>
    <w:rsid w:val="00C45E5E"/>
    <w:rsid w:val="00C4613D"/>
    <w:rsid w:val="00C516A4"/>
    <w:rsid w:val="00C518BF"/>
    <w:rsid w:val="00C55C38"/>
    <w:rsid w:val="00C5672D"/>
    <w:rsid w:val="00C56E36"/>
    <w:rsid w:val="00C56E73"/>
    <w:rsid w:val="00C60EE1"/>
    <w:rsid w:val="00C64DC2"/>
    <w:rsid w:val="00C72C9A"/>
    <w:rsid w:val="00C74E6C"/>
    <w:rsid w:val="00C758AF"/>
    <w:rsid w:val="00C86B96"/>
    <w:rsid w:val="00C912CF"/>
    <w:rsid w:val="00C92805"/>
    <w:rsid w:val="00C96567"/>
    <w:rsid w:val="00C96D41"/>
    <w:rsid w:val="00C97BBA"/>
    <w:rsid w:val="00C97D7A"/>
    <w:rsid w:val="00CA77AC"/>
    <w:rsid w:val="00CA787A"/>
    <w:rsid w:val="00CA7EEB"/>
    <w:rsid w:val="00CB0156"/>
    <w:rsid w:val="00CB2AEF"/>
    <w:rsid w:val="00CB2D0B"/>
    <w:rsid w:val="00CB2D27"/>
    <w:rsid w:val="00CB4B26"/>
    <w:rsid w:val="00CB5FA3"/>
    <w:rsid w:val="00CC417D"/>
    <w:rsid w:val="00CC5C96"/>
    <w:rsid w:val="00CC6008"/>
    <w:rsid w:val="00CC60AB"/>
    <w:rsid w:val="00CC6522"/>
    <w:rsid w:val="00CC6DC4"/>
    <w:rsid w:val="00CD1E37"/>
    <w:rsid w:val="00CD4BBE"/>
    <w:rsid w:val="00CD7E6B"/>
    <w:rsid w:val="00CE6B34"/>
    <w:rsid w:val="00CF2BFF"/>
    <w:rsid w:val="00CF2ECA"/>
    <w:rsid w:val="00CF3FE1"/>
    <w:rsid w:val="00CF738B"/>
    <w:rsid w:val="00D0054B"/>
    <w:rsid w:val="00D06D34"/>
    <w:rsid w:val="00D0791F"/>
    <w:rsid w:val="00D07FBD"/>
    <w:rsid w:val="00D14033"/>
    <w:rsid w:val="00D17658"/>
    <w:rsid w:val="00D2298B"/>
    <w:rsid w:val="00D230DC"/>
    <w:rsid w:val="00D2594D"/>
    <w:rsid w:val="00D25FF9"/>
    <w:rsid w:val="00D32976"/>
    <w:rsid w:val="00D332F6"/>
    <w:rsid w:val="00D348A6"/>
    <w:rsid w:val="00D35524"/>
    <w:rsid w:val="00D363BF"/>
    <w:rsid w:val="00D4200A"/>
    <w:rsid w:val="00D4298B"/>
    <w:rsid w:val="00D45915"/>
    <w:rsid w:val="00D466A6"/>
    <w:rsid w:val="00D46A0A"/>
    <w:rsid w:val="00D47145"/>
    <w:rsid w:val="00D50C75"/>
    <w:rsid w:val="00D57048"/>
    <w:rsid w:val="00D62D79"/>
    <w:rsid w:val="00D65241"/>
    <w:rsid w:val="00D70854"/>
    <w:rsid w:val="00D7242B"/>
    <w:rsid w:val="00D7454C"/>
    <w:rsid w:val="00D775A4"/>
    <w:rsid w:val="00D80042"/>
    <w:rsid w:val="00D809ED"/>
    <w:rsid w:val="00D839D0"/>
    <w:rsid w:val="00D83FD3"/>
    <w:rsid w:val="00D87EA5"/>
    <w:rsid w:val="00D91477"/>
    <w:rsid w:val="00D916CB"/>
    <w:rsid w:val="00D92693"/>
    <w:rsid w:val="00D9346D"/>
    <w:rsid w:val="00D93AD3"/>
    <w:rsid w:val="00D95406"/>
    <w:rsid w:val="00D96EFD"/>
    <w:rsid w:val="00DA6153"/>
    <w:rsid w:val="00DA656D"/>
    <w:rsid w:val="00DA75F0"/>
    <w:rsid w:val="00DB13C6"/>
    <w:rsid w:val="00DB1466"/>
    <w:rsid w:val="00DB7198"/>
    <w:rsid w:val="00DC023C"/>
    <w:rsid w:val="00DC32B7"/>
    <w:rsid w:val="00DC6F89"/>
    <w:rsid w:val="00DC7DA3"/>
    <w:rsid w:val="00DD1656"/>
    <w:rsid w:val="00DD3077"/>
    <w:rsid w:val="00DD3A2C"/>
    <w:rsid w:val="00DD3DE7"/>
    <w:rsid w:val="00DD5091"/>
    <w:rsid w:val="00DD559F"/>
    <w:rsid w:val="00DD6244"/>
    <w:rsid w:val="00DE7BAD"/>
    <w:rsid w:val="00DF29F8"/>
    <w:rsid w:val="00DF454E"/>
    <w:rsid w:val="00DF497F"/>
    <w:rsid w:val="00DF5349"/>
    <w:rsid w:val="00DF6DB1"/>
    <w:rsid w:val="00DF74B9"/>
    <w:rsid w:val="00E017F2"/>
    <w:rsid w:val="00E01C49"/>
    <w:rsid w:val="00E021D4"/>
    <w:rsid w:val="00E0291C"/>
    <w:rsid w:val="00E049F3"/>
    <w:rsid w:val="00E06119"/>
    <w:rsid w:val="00E075F8"/>
    <w:rsid w:val="00E07829"/>
    <w:rsid w:val="00E11E0F"/>
    <w:rsid w:val="00E14052"/>
    <w:rsid w:val="00E144A2"/>
    <w:rsid w:val="00E15751"/>
    <w:rsid w:val="00E176FE"/>
    <w:rsid w:val="00E1774D"/>
    <w:rsid w:val="00E17ED9"/>
    <w:rsid w:val="00E2337C"/>
    <w:rsid w:val="00E23403"/>
    <w:rsid w:val="00E277E1"/>
    <w:rsid w:val="00E31542"/>
    <w:rsid w:val="00E31FC3"/>
    <w:rsid w:val="00E32C73"/>
    <w:rsid w:val="00E367A2"/>
    <w:rsid w:val="00E36D46"/>
    <w:rsid w:val="00E37C51"/>
    <w:rsid w:val="00E420F1"/>
    <w:rsid w:val="00E42AD9"/>
    <w:rsid w:val="00E45372"/>
    <w:rsid w:val="00E574A2"/>
    <w:rsid w:val="00E60148"/>
    <w:rsid w:val="00E614C3"/>
    <w:rsid w:val="00E667C2"/>
    <w:rsid w:val="00E66B2C"/>
    <w:rsid w:val="00E66CBC"/>
    <w:rsid w:val="00E7017F"/>
    <w:rsid w:val="00E75ABD"/>
    <w:rsid w:val="00E76BCA"/>
    <w:rsid w:val="00E8413E"/>
    <w:rsid w:val="00E85AF6"/>
    <w:rsid w:val="00E86644"/>
    <w:rsid w:val="00E86998"/>
    <w:rsid w:val="00E90ED0"/>
    <w:rsid w:val="00E938B1"/>
    <w:rsid w:val="00E93CE0"/>
    <w:rsid w:val="00E9749C"/>
    <w:rsid w:val="00EA045D"/>
    <w:rsid w:val="00EA3FCD"/>
    <w:rsid w:val="00EA5A84"/>
    <w:rsid w:val="00EA61BD"/>
    <w:rsid w:val="00EB0F25"/>
    <w:rsid w:val="00EB14BE"/>
    <w:rsid w:val="00EB2B4F"/>
    <w:rsid w:val="00EB56DA"/>
    <w:rsid w:val="00EB61F4"/>
    <w:rsid w:val="00EC4A52"/>
    <w:rsid w:val="00EC54A2"/>
    <w:rsid w:val="00EC5D99"/>
    <w:rsid w:val="00ED4134"/>
    <w:rsid w:val="00ED5F0A"/>
    <w:rsid w:val="00ED6973"/>
    <w:rsid w:val="00EE2467"/>
    <w:rsid w:val="00EE287E"/>
    <w:rsid w:val="00EE36B7"/>
    <w:rsid w:val="00EE47FA"/>
    <w:rsid w:val="00EE6E3F"/>
    <w:rsid w:val="00EE6F68"/>
    <w:rsid w:val="00F01563"/>
    <w:rsid w:val="00F01EBD"/>
    <w:rsid w:val="00F06766"/>
    <w:rsid w:val="00F07179"/>
    <w:rsid w:val="00F07F33"/>
    <w:rsid w:val="00F130F1"/>
    <w:rsid w:val="00F15379"/>
    <w:rsid w:val="00F16515"/>
    <w:rsid w:val="00F1697E"/>
    <w:rsid w:val="00F20E73"/>
    <w:rsid w:val="00F244AE"/>
    <w:rsid w:val="00F25021"/>
    <w:rsid w:val="00F26CB2"/>
    <w:rsid w:val="00F26E3B"/>
    <w:rsid w:val="00F30452"/>
    <w:rsid w:val="00F3323B"/>
    <w:rsid w:val="00F357F7"/>
    <w:rsid w:val="00F36EAA"/>
    <w:rsid w:val="00F42B3A"/>
    <w:rsid w:val="00F46BB4"/>
    <w:rsid w:val="00F473E9"/>
    <w:rsid w:val="00F50143"/>
    <w:rsid w:val="00F50F81"/>
    <w:rsid w:val="00F542D0"/>
    <w:rsid w:val="00F54541"/>
    <w:rsid w:val="00F568F6"/>
    <w:rsid w:val="00F6174B"/>
    <w:rsid w:val="00F626E8"/>
    <w:rsid w:val="00F63864"/>
    <w:rsid w:val="00F726C7"/>
    <w:rsid w:val="00F73756"/>
    <w:rsid w:val="00F74E74"/>
    <w:rsid w:val="00F75FBF"/>
    <w:rsid w:val="00F80EA3"/>
    <w:rsid w:val="00F8126C"/>
    <w:rsid w:val="00F82399"/>
    <w:rsid w:val="00F84839"/>
    <w:rsid w:val="00F84E7D"/>
    <w:rsid w:val="00F8505A"/>
    <w:rsid w:val="00F85801"/>
    <w:rsid w:val="00F86402"/>
    <w:rsid w:val="00F86454"/>
    <w:rsid w:val="00F8744D"/>
    <w:rsid w:val="00F902CA"/>
    <w:rsid w:val="00F91411"/>
    <w:rsid w:val="00F92D10"/>
    <w:rsid w:val="00F94D72"/>
    <w:rsid w:val="00F95642"/>
    <w:rsid w:val="00F95790"/>
    <w:rsid w:val="00FA44E9"/>
    <w:rsid w:val="00FB0505"/>
    <w:rsid w:val="00FB31F5"/>
    <w:rsid w:val="00FB4DEA"/>
    <w:rsid w:val="00FB5065"/>
    <w:rsid w:val="00FB6557"/>
    <w:rsid w:val="00FB6913"/>
    <w:rsid w:val="00FB6F5C"/>
    <w:rsid w:val="00FB7FEF"/>
    <w:rsid w:val="00FC0A09"/>
    <w:rsid w:val="00FC0A4F"/>
    <w:rsid w:val="00FC1CA8"/>
    <w:rsid w:val="00FC2DE4"/>
    <w:rsid w:val="00FC33F9"/>
    <w:rsid w:val="00FC5AB1"/>
    <w:rsid w:val="00FC5D2A"/>
    <w:rsid w:val="00FC6377"/>
    <w:rsid w:val="00FD0190"/>
    <w:rsid w:val="00FD1938"/>
    <w:rsid w:val="00FD20E1"/>
    <w:rsid w:val="00FD23D1"/>
    <w:rsid w:val="00FD3394"/>
    <w:rsid w:val="00FD6F56"/>
    <w:rsid w:val="00FD727D"/>
    <w:rsid w:val="00FE12D7"/>
    <w:rsid w:val="00FE3393"/>
    <w:rsid w:val="00FF1E1A"/>
    <w:rsid w:val="00FF59C9"/>
    <w:rsid w:val="00FF74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7A8210"/>
  <w15:docId w15:val="{104EC4ED-0435-4C5D-BFBB-56019256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4BDA"/>
    <w:rPr>
      <w:rFonts w:ascii="Georgia" w:hAnsi="Georgia"/>
      <w:sz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tabs>
        <w:tab w:val="num" w:pos="360"/>
      </w:tabs>
      <w:ind w:left="360" w:hanging="360"/>
      <w:outlineLvl w:val="1"/>
    </w:pPr>
    <w:rPr>
      <w:rFonts w:ascii="Arial" w:hAnsi="Arial" w:cs="Arial"/>
      <w:b/>
      <w:bCs/>
    </w:rPr>
  </w:style>
  <w:style w:type="paragraph" w:styleId="Heading3">
    <w:name w:val="heading 3"/>
    <w:basedOn w:val="Normal"/>
    <w:next w:val="Normal"/>
    <w:qFormat/>
    <w:pPr>
      <w:keepNext/>
      <w:ind w:hanging="99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link w:val="FootnoteTextChar"/>
    <w:qFormat/>
    <w:pPr>
      <w:spacing w:after="120"/>
    </w:pPr>
  </w:style>
  <w:style w:type="character" w:styleId="FootnoteReference">
    <w:name w:val="footnote reference"/>
    <w:uiPriority w:val="99"/>
    <w:rPr>
      <w:vertAlign w:val="superscript"/>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szCs w:val="24"/>
    </w:rPr>
  </w:style>
  <w:style w:type="paragraph" w:styleId="ListBullet">
    <w:name w:val="List Bullet"/>
    <w:basedOn w:val="Normal"/>
    <w:pPr>
      <w:numPr>
        <w:numId w:val="1"/>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Cs w:val="24"/>
    </w:rPr>
  </w:style>
  <w:style w:type="paragraph" w:styleId="Header">
    <w:name w:val="header"/>
    <w:basedOn w:val="Normal"/>
    <w:rsid w:val="00CC60AB"/>
    <w:pPr>
      <w:tabs>
        <w:tab w:val="center" w:pos="4320"/>
        <w:tab w:val="right" w:pos="8640"/>
      </w:tabs>
    </w:pPr>
  </w:style>
  <w:style w:type="paragraph" w:styleId="Footer">
    <w:name w:val="footer"/>
    <w:basedOn w:val="Normal"/>
    <w:link w:val="FooterChar"/>
    <w:uiPriority w:val="99"/>
    <w:rsid w:val="00CC60AB"/>
    <w:pPr>
      <w:tabs>
        <w:tab w:val="center" w:pos="4320"/>
        <w:tab w:val="right" w:pos="8640"/>
      </w:tabs>
    </w:pPr>
  </w:style>
  <w:style w:type="paragraph" w:styleId="Revision">
    <w:name w:val="Revision"/>
    <w:hidden/>
    <w:uiPriority w:val="99"/>
    <w:semiHidden/>
    <w:rsid w:val="00654BB7"/>
  </w:style>
  <w:style w:type="paragraph" w:customStyle="1" w:styleId="Default">
    <w:name w:val="Default"/>
    <w:rsid w:val="003F790D"/>
    <w:pPr>
      <w:autoSpaceDE w:val="0"/>
      <w:autoSpaceDN w:val="0"/>
      <w:adjustRightInd w:val="0"/>
    </w:pPr>
    <w:rPr>
      <w:color w:val="000000"/>
      <w:sz w:val="24"/>
      <w:szCs w:val="24"/>
    </w:rPr>
  </w:style>
  <w:style w:type="paragraph" w:styleId="ListParagraph">
    <w:name w:val="List Paragraph"/>
    <w:basedOn w:val="Normal"/>
    <w:autoRedefine/>
    <w:uiPriority w:val="34"/>
    <w:qFormat/>
    <w:rsid w:val="00D2594D"/>
    <w:pPr>
      <w:spacing w:before="240" w:after="120"/>
      <w:ind w:left="360"/>
      <w:contextualSpacing/>
    </w:pPr>
  </w:style>
  <w:style w:type="character" w:customStyle="1" w:styleId="FooterChar">
    <w:name w:val="Footer Char"/>
    <w:basedOn w:val="DefaultParagraphFont"/>
    <w:link w:val="Footer"/>
    <w:uiPriority w:val="99"/>
    <w:rsid w:val="0078363B"/>
  </w:style>
  <w:style w:type="paragraph" w:customStyle="1" w:styleId="TableParagraph">
    <w:name w:val="Table Paragraph"/>
    <w:basedOn w:val="Normal"/>
    <w:uiPriority w:val="1"/>
    <w:qFormat/>
    <w:rsid w:val="004B00AD"/>
    <w:pPr>
      <w:widowControl w:val="0"/>
      <w:autoSpaceDE w:val="0"/>
      <w:autoSpaceDN w:val="0"/>
    </w:pPr>
    <w:rPr>
      <w:sz w:val="22"/>
      <w:szCs w:val="22"/>
      <w:lang w:bidi="en-US"/>
    </w:rPr>
  </w:style>
  <w:style w:type="paragraph" w:styleId="NoSpacing">
    <w:name w:val="No Spacing"/>
    <w:uiPriority w:val="1"/>
    <w:qFormat/>
    <w:rsid w:val="00CB5FA3"/>
    <w:rPr>
      <w:rFonts w:asciiTheme="minorHAnsi" w:eastAsiaTheme="minorHAnsi" w:hAnsiTheme="minorHAnsi" w:cstheme="minorBidi"/>
      <w:sz w:val="22"/>
      <w:szCs w:val="22"/>
    </w:rPr>
  </w:style>
  <w:style w:type="paragraph" w:customStyle="1" w:styleId="rteindent1">
    <w:name w:val="rteindent1"/>
    <w:basedOn w:val="Normal"/>
    <w:rsid w:val="001C64BF"/>
    <w:pPr>
      <w:spacing w:after="240" w:line="332" w:lineRule="atLeast"/>
      <w:ind w:left="600"/>
    </w:pPr>
    <w:rPr>
      <w:rFonts w:ascii="Arial" w:hAnsi="Arial" w:cs="Arial"/>
      <w:color w:val="434343"/>
      <w:spacing w:val="2"/>
      <w:szCs w:val="24"/>
    </w:rPr>
  </w:style>
  <w:style w:type="character" w:customStyle="1" w:styleId="FootnoteTextChar">
    <w:name w:val="Footnote Text Char"/>
    <w:aliases w:val="F1 Char"/>
    <w:basedOn w:val="DefaultParagraphFont"/>
    <w:link w:val="FootnoteText"/>
    <w:rsid w:val="005333C3"/>
  </w:style>
  <w:style w:type="paragraph" w:customStyle="1" w:styleId="CM10">
    <w:name w:val="CM10"/>
    <w:basedOn w:val="Normal"/>
    <w:next w:val="Normal"/>
    <w:uiPriority w:val="99"/>
    <w:rsid w:val="00C34EA7"/>
    <w:pPr>
      <w:widowControl w:val="0"/>
      <w:autoSpaceDE w:val="0"/>
      <w:autoSpaceDN w:val="0"/>
      <w:adjustRightInd w:val="0"/>
    </w:pPr>
    <w:rPr>
      <w:szCs w:val="24"/>
    </w:rPr>
  </w:style>
  <w:style w:type="character" w:customStyle="1" w:styleId="CommentTextChar">
    <w:name w:val="Comment Text Char"/>
    <w:basedOn w:val="DefaultParagraphFont"/>
    <w:link w:val="CommentText"/>
    <w:uiPriority w:val="99"/>
    <w:rsid w:val="006917F2"/>
  </w:style>
  <w:style w:type="paragraph" w:styleId="Caption">
    <w:name w:val="caption"/>
    <w:basedOn w:val="Normal"/>
    <w:next w:val="Normal"/>
    <w:uiPriority w:val="6"/>
    <w:unhideWhenUsed/>
    <w:qFormat/>
    <w:rsid w:val="006917F2"/>
    <w:pPr>
      <w:spacing w:before="240" w:after="120"/>
      <w:ind w:left="187" w:right="29" w:hanging="187"/>
    </w:pPr>
    <w:rPr>
      <w:rFonts w:eastAsiaTheme="minorHAnsi"/>
      <w:bCs/>
      <w:color w:val="35499D"/>
      <w:sz w:val="21"/>
      <w:szCs w:val="18"/>
    </w:rPr>
  </w:style>
  <w:style w:type="character" w:customStyle="1" w:styleId="FigureNoteChar">
    <w:name w:val="Figure Note Char"/>
    <w:basedOn w:val="DefaultParagraphFont"/>
    <w:link w:val="FigureNote"/>
    <w:uiPriority w:val="6"/>
    <w:locked/>
    <w:rsid w:val="006917F2"/>
    <w:rPr>
      <w:rFonts w:ascii="Trebuchet MS" w:hAnsi="Trebuchet MS"/>
      <w:i/>
      <w:color w:val="404040" w:themeColor="text1" w:themeTint="BF"/>
      <w:sz w:val="16"/>
    </w:rPr>
  </w:style>
  <w:style w:type="paragraph" w:customStyle="1" w:styleId="FigureNote">
    <w:name w:val="Figure Note"/>
    <w:basedOn w:val="Normal"/>
    <w:link w:val="FigureNoteChar"/>
    <w:uiPriority w:val="6"/>
    <w:qFormat/>
    <w:rsid w:val="006917F2"/>
    <w:pPr>
      <w:spacing w:before="40" w:after="40"/>
      <w:ind w:right="216"/>
    </w:pPr>
    <w:rPr>
      <w:rFonts w:ascii="Trebuchet MS" w:hAnsi="Trebuchet MS"/>
      <w:i/>
      <w:color w:val="404040" w:themeColor="text1" w:themeTint="BF"/>
      <w:sz w:val="16"/>
    </w:rPr>
  </w:style>
  <w:style w:type="paragraph" w:customStyle="1" w:styleId="TableBody">
    <w:name w:val="Table Body"/>
    <w:basedOn w:val="Normal"/>
    <w:autoRedefine/>
    <w:qFormat/>
    <w:rsid w:val="006917F2"/>
    <w:pPr>
      <w:spacing w:before="60" w:after="60"/>
    </w:pPr>
    <w:rPr>
      <w:rFonts w:ascii="Trebuchet MS" w:hAnsi="Trebuchet MS" w:eastAsiaTheme="minorHAnsi" w:cstheme="minorBidi"/>
      <w:color w:val="000000"/>
      <w:sz w:val="19"/>
      <w:szCs w:val="22"/>
    </w:rPr>
  </w:style>
  <w:style w:type="paragraph" w:styleId="ListNumber">
    <w:name w:val="List Number"/>
    <w:basedOn w:val="Normal"/>
    <w:uiPriority w:val="2"/>
    <w:unhideWhenUsed/>
    <w:qFormat/>
    <w:rsid w:val="006917F2"/>
    <w:pPr>
      <w:numPr>
        <w:numId w:val="16"/>
      </w:numPr>
      <w:spacing w:before="120" w:after="120" w:line="288" w:lineRule="auto"/>
      <w:contextualSpacing/>
    </w:pPr>
    <w:rPr>
      <w:rFonts w:ascii="Trebuchet MS" w:hAnsi="Trebuchet MS" w:eastAsiaTheme="minorHAnsi"/>
      <w:color w:val="404040" w:themeColor="text1" w:themeTint="BF"/>
      <w:sz w:val="21"/>
    </w:rPr>
  </w:style>
  <w:style w:type="paragraph" w:customStyle="1" w:styleId="Citations">
    <w:name w:val="Citations"/>
    <w:basedOn w:val="FootnoteText"/>
    <w:next w:val="Normal"/>
    <w:autoRedefine/>
    <w:qFormat/>
    <w:rsid w:val="00F130F1"/>
    <w:pPr>
      <w:spacing w:before="40" w:after="40" w:line="216" w:lineRule="auto"/>
    </w:pPr>
    <w:rPr>
      <w:rFonts w:ascii="Optima" w:hAnsi="Optima" w:eastAsiaTheme="minorEastAsia" w:cs="Times New Roman (Body CS)"/>
      <w:bCs/>
      <w:sz w:val="16"/>
      <w:szCs w:val="16"/>
    </w:rPr>
  </w:style>
  <w:style w:type="table" w:customStyle="1" w:styleId="TableWestatStandardFormat">
    <w:name w:val="Table Westat Standard Format"/>
    <w:rsid w:val="00CC417D"/>
    <w:pPr>
      <w:spacing w:before="200"/>
    </w:pPr>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table" w:styleId="TableGrid">
    <w:name w:val="Table Grid"/>
    <w:basedOn w:val="TableNormal"/>
    <w:rsid w:val="00110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emf" /><Relationship Id="rId11" Type="http://schemas.openxmlformats.org/officeDocument/2006/relationships/image" Target="media/image3.emf"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16edb-396f-48b7-85bd-fb7f90fc107d">
      <Terms xmlns="http://schemas.microsoft.com/office/infopath/2007/PartnerControls"/>
    </lcf76f155ced4ddcb4097134ff3c332f>
    <TaxCatchAll xmlns="3b626c2c-ef21-4362-bb5b-17a683b3195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0B6F2CBA66F24A956CF06E6AFA9A14" ma:contentTypeVersion="12" ma:contentTypeDescription="Create a new document." ma:contentTypeScope="" ma:versionID="3fa5bca5b19af188b5a3f4f81ca26dbd">
  <xsd:schema xmlns:xsd="http://www.w3.org/2001/XMLSchema" xmlns:xs="http://www.w3.org/2001/XMLSchema" xmlns:p="http://schemas.microsoft.com/office/2006/metadata/properties" xmlns:ns2="8fa16edb-396f-48b7-85bd-fb7f90fc107d" xmlns:ns3="3b626c2c-ef21-4362-bb5b-17a683b31951" targetNamespace="http://schemas.microsoft.com/office/2006/metadata/properties" ma:root="true" ma:fieldsID="f619f2ec9d45f1b50ac14053d6aa0321" ns2:_="" ns3:_="">
    <xsd:import namespace="8fa16edb-396f-48b7-85bd-fb7f90fc107d"/>
    <xsd:import namespace="3b626c2c-ef21-4362-bb5b-17a683b319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16edb-396f-48b7-85bd-fb7f90fc1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7c38c4-c1f4-4d69-a851-ec9995feeaa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26c2c-ef21-4362-bb5b-17a683b319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dfd1e9-7d6e-4031-afe4-ac0d1e3b9f8c}" ma:internalName="TaxCatchAll" ma:showField="CatchAllData" ma:web="3b626c2c-ef21-4362-bb5b-17a683b31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47646-A1D7-4D2B-8C63-D0AB8480E7BA}">
  <ds:schemaRefs>
    <ds:schemaRef ds:uri="http://schemas.microsoft.com/sharepoint/v3/contenttype/forms"/>
  </ds:schemaRefs>
</ds:datastoreItem>
</file>

<file path=customXml/itemProps2.xml><?xml version="1.0" encoding="utf-8"?>
<ds:datastoreItem xmlns:ds="http://schemas.openxmlformats.org/officeDocument/2006/customXml" ds:itemID="{85AB983C-DCAE-4BF4-AC39-FC0127F8DBCE}">
  <ds:schemaRefs>
    <ds:schemaRef ds:uri="http://schemas.microsoft.com/office/2006/metadata/properties"/>
    <ds:schemaRef ds:uri="http://schemas.microsoft.com/office/infopath/2007/PartnerControls"/>
    <ds:schemaRef ds:uri="8fa16edb-396f-48b7-85bd-fb7f90fc107d"/>
    <ds:schemaRef ds:uri="3b626c2c-ef21-4362-bb5b-17a683b31951"/>
  </ds:schemaRefs>
</ds:datastoreItem>
</file>

<file path=customXml/itemProps3.xml><?xml version="1.0" encoding="utf-8"?>
<ds:datastoreItem xmlns:ds="http://schemas.openxmlformats.org/officeDocument/2006/customXml" ds:itemID="{58CB3D0F-5287-4311-92DE-130AB4578A6F}">
  <ds:schemaRefs>
    <ds:schemaRef ds:uri="http://schemas.openxmlformats.org/officeDocument/2006/bibliography"/>
  </ds:schemaRefs>
</ds:datastoreItem>
</file>

<file path=customXml/itemProps4.xml><?xml version="1.0" encoding="utf-8"?>
<ds:datastoreItem xmlns:ds="http://schemas.openxmlformats.org/officeDocument/2006/customXml" ds:itemID="{A8DE9562-AB2C-4AA6-81B7-D2E91AA62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16edb-396f-48b7-85bd-fb7f90fc107d"/>
    <ds:schemaRef ds:uri="3b626c2c-ef21-4362-bb5b-17a683b31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3907</Words>
  <Characters>22271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creator>VBA</dc:creator>
  <cp:lastModifiedBy>Deeb, Michael J., VBAVACO</cp:lastModifiedBy>
  <cp:revision>2</cp:revision>
  <cp:lastPrinted>2018-02-07T19:22:00Z</cp:lastPrinted>
  <dcterms:created xsi:type="dcterms:W3CDTF">2025-07-09T14:24:00Z</dcterms:created>
  <dcterms:modified xsi:type="dcterms:W3CDTF">2025-07-09T14:24:00Z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0x010100390B6F2CBA66F24A956CF06E6AFA9A14</vt:lpwstr>
  </property>
  <property fmtid="{D5CDD505-2E9C-101B-9397-08002B2CF9AE}" pid="3" name="MediaServiceImageTags">
    <vt:lpwstr/>
  </property>
  <property fmtid="{D5CDD505-2E9C-101B-9397-08002B2CF9AE}" pid="4" name="_NewReviewCycle">
    <vt:lpwstr/>
  </property>
</Properties>
</file>