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670A" w14:paraId="588BBF6A" w14:textId="02A05643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Department of Transportation</w:t>
      </w:r>
    </w:p>
    <w:p w:rsidR="00D905C6" w14:paraId="6918528B" w14:textId="0EB8172A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Maritime Administration </w:t>
      </w:r>
    </w:p>
    <w:p w:rsidR="00D905C6" w14:paraId="292188F6" w14:textId="29539237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Information Collection Request (ICR)</w:t>
      </w:r>
    </w:p>
    <w:p w:rsidR="00D905C6" w14:paraId="13D9A481" w14:textId="4A733734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OMB 2133-0506</w:t>
      </w:r>
    </w:p>
    <w:p w:rsidR="00D905C6" w:rsidP="00D905C6" w14:paraId="29F3C8BD" w14:textId="77777777">
      <w:pPr>
        <w:pStyle w:val="Title"/>
        <w:rPr>
          <w:rFonts w:ascii="Times New Roman" w:hAnsi="Times New Roman"/>
          <w:sz w:val="22"/>
          <w:szCs w:val="22"/>
          <w:u w:val="none"/>
        </w:rPr>
      </w:pPr>
      <w:r w:rsidRPr="00A3670A">
        <w:rPr>
          <w:rFonts w:ascii="Times New Roman" w:hAnsi="Times New Roman"/>
          <w:sz w:val="22"/>
          <w:szCs w:val="22"/>
          <w:u w:val="none"/>
        </w:rPr>
        <w:t xml:space="preserve">Merchant Marine Medals and Awards </w:t>
      </w:r>
    </w:p>
    <w:p w:rsidR="00D905C6" w:rsidP="00E11D85" w14:paraId="5538E9CB" w14:textId="77777777">
      <w:pPr>
        <w:widowControl w:val="0"/>
        <w:rPr>
          <w:b/>
          <w:snapToGrid w:val="0"/>
          <w:sz w:val="24"/>
        </w:rPr>
      </w:pPr>
    </w:p>
    <w:p w:rsidR="00A3670A" w:rsidP="00A3670A" w14:paraId="043B3B73" w14:textId="77777777">
      <w:pPr>
        <w:pStyle w:val="Title"/>
        <w:rPr>
          <w:rFonts w:ascii="Times New Roman" w:hAnsi="Times New Roman"/>
        </w:rPr>
      </w:pPr>
    </w:p>
    <w:p w:rsidR="00A3670A" w:rsidP="00A3670A" w14:paraId="6F645A81" w14:textId="77777777">
      <w:pPr>
        <w:pStyle w:val="Title"/>
        <w:rPr>
          <w:rFonts w:ascii="Times New Roman" w:hAnsi="Times New Roman"/>
        </w:rPr>
      </w:pPr>
      <w:r w:rsidRPr="00E11D85">
        <w:rPr>
          <w:rFonts w:ascii="Times New Roman" w:hAnsi="Times New Roman"/>
          <w:u w:val="none"/>
        </w:rPr>
        <w:t>SUPPORTING STATEMENT</w:t>
      </w:r>
    </w:p>
    <w:p w:rsidR="00A3670A" w:rsidP="00A3670A" w14:paraId="72F6DC60" w14:textId="77777777">
      <w:pPr>
        <w:pStyle w:val="Title"/>
        <w:rPr>
          <w:rFonts w:ascii="Times New Roman" w:hAnsi="Times New Roman"/>
          <w:sz w:val="22"/>
          <w:szCs w:val="22"/>
          <w:u w:val="none"/>
        </w:rPr>
      </w:pPr>
    </w:p>
    <w:p w:rsidR="00A3670A" w:rsidRPr="00E11D85" w:rsidP="00A3670A" w14:paraId="037130CF" w14:textId="7777777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11D85">
        <w:rPr>
          <w:b/>
          <w:bCs/>
          <w:sz w:val="24"/>
          <w:szCs w:val="24"/>
        </w:rPr>
        <w:t>INTRODUCTION</w:t>
      </w:r>
    </w:p>
    <w:p w:rsidR="00A3670A" w:rsidRPr="00A3670A" w:rsidP="00A3670A" w14:paraId="286A3843" w14:textId="7777777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3670A" w:rsidRPr="00E11D85" w:rsidP="00A3670A" w14:paraId="0DFD2BA0" w14:textId="3579CB61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A3670A">
        <w:rPr>
          <w:sz w:val="24"/>
          <w:szCs w:val="24"/>
        </w:rPr>
        <w:t>This</w:t>
      </w:r>
      <w:r w:rsidR="00D905C6">
        <w:rPr>
          <w:sz w:val="24"/>
          <w:szCs w:val="24"/>
        </w:rPr>
        <w:t xml:space="preserve"> submission</w:t>
      </w:r>
      <w:r w:rsidRPr="00A3670A">
        <w:rPr>
          <w:sz w:val="24"/>
          <w:szCs w:val="24"/>
        </w:rPr>
        <w:t xml:space="preserve"> is to request</w:t>
      </w:r>
      <w:r w:rsidR="00D905C6">
        <w:rPr>
          <w:sz w:val="24"/>
          <w:szCs w:val="24"/>
        </w:rPr>
        <w:t xml:space="preserve"> a three-year approval from</w:t>
      </w:r>
      <w:r w:rsidRPr="00A3670A">
        <w:rPr>
          <w:sz w:val="24"/>
          <w:szCs w:val="24"/>
        </w:rPr>
        <w:t xml:space="preserve"> the Office of Management and Budget</w:t>
      </w:r>
      <w:r w:rsidR="00D905C6">
        <w:rPr>
          <w:sz w:val="24"/>
          <w:szCs w:val="24"/>
        </w:rPr>
        <w:t xml:space="preserve"> </w:t>
      </w:r>
      <w:r w:rsidRPr="00A3670A">
        <w:rPr>
          <w:sz w:val="24"/>
          <w:szCs w:val="24"/>
        </w:rPr>
        <w:t>(OMB) for the information collection entitled,</w:t>
      </w:r>
      <w:r w:rsidR="00D905C6">
        <w:rPr>
          <w:sz w:val="24"/>
          <w:szCs w:val="24"/>
        </w:rPr>
        <w:t xml:space="preserve"> </w:t>
      </w:r>
      <w:r w:rsidRPr="00D905C6" w:rsidR="00D905C6">
        <w:rPr>
          <w:sz w:val="24"/>
          <w:szCs w:val="24"/>
        </w:rPr>
        <w:t>OMB 2133-0506</w:t>
      </w:r>
      <w:r w:rsidR="00D905C6">
        <w:rPr>
          <w:sz w:val="24"/>
          <w:szCs w:val="24"/>
        </w:rPr>
        <w:t xml:space="preserve"> (</w:t>
      </w:r>
      <w:r>
        <w:rPr>
          <w:sz w:val="24"/>
          <w:szCs w:val="24"/>
        </w:rPr>
        <w:t>Merchant Marine Medals and Awards</w:t>
      </w:r>
      <w:r w:rsidR="00D905C6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A3670A">
        <w:rPr>
          <w:sz w:val="24"/>
          <w:szCs w:val="24"/>
        </w:rPr>
        <w:t>which</w:t>
      </w:r>
      <w:r w:rsidR="00D905C6">
        <w:rPr>
          <w:sz w:val="24"/>
          <w:szCs w:val="24"/>
        </w:rPr>
        <w:t xml:space="preserve"> </w:t>
      </w:r>
      <w:r w:rsidRPr="00A3670A">
        <w:rPr>
          <w:sz w:val="24"/>
          <w:szCs w:val="24"/>
        </w:rPr>
        <w:t>expire</w:t>
      </w:r>
      <w:r w:rsidR="00D905C6">
        <w:rPr>
          <w:sz w:val="24"/>
          <w:szCs w:val="24"/>
        </w:rPr>
        <w:t>s</w:t>
      </w:r>
      <w:r w:rsidRPr="00A3670A">
        <w:rPr>
          <w:sz w:val="24"/>
          <w:szCs w:val="24"/>
        </w:rPr>
        <w:t xml:space="preserve"> on </w:t>
      </w:r>
      <w:r w:rsidR="00D905C6">
        <w:rPr>
          <w:sz w:val="24"/>
          <w:szCs w:val="24"/>
        </w:rPr>
        <w:t>July 31, 2025</w:t>
      </w:r>
      <w:r>
        <w:rPr>
          <w:sz w:val="24"/>
          <w:szCs w:val="24"/>
        </w:rPr>
        <w:t>.</w:t>
      </w:r>
      <w:r w:rsidR="00031701">
        <w:rPr>
          <w:sz w:val="24"/>
          <w:szCs w:val="24"/>
        </w:rPr>
        <w:t xml:space="preserve"> There </w:t>
      </w:r>
      <w:r w:rsidR="004B3FF9">
        <w:rPr>
          <w:sz w:val="24"/>
          <w:szCs w:val="24"/>
        </w:rPr>
        <w:t xml:space="preserve">are </w:t>
      </w:r>
      <w:r w:rsidR="00031701">
        <w:rPr>
          <w:sz w:val="24"/>
          <w:szCs w:val="24"/>
        </w:rPr>
        <w:t xml:space="preserve">no program changes since the last </w:t>
      </w:r>
      <w:r w:rsidR="00AF37A6">
        <w:rPr>
          <w:sz w:val="24"/>
          <w:szCs w:val="24"/>
        </w:rPr>
        <w:t>renewal</w:t>
      </w:r>
      <w:r w:rsidR="00C01CC8">
        <w:rPr>
          <w:sz w:val="24"/>
          <w:szCs w:val="24"/>
        </w:rPr>
        <w:t xml:space="preserve">, so this collection will be submitted as </w:t>
      </w:r>
      <w:r w:rsidRPr="00E11D85" w:rsidR="00C01CC8">
        <w:rPr>
          <w:i/>
          <w:iCs/>
          <w:sz w:val="24"/>
          <w:szCs w:val="24"/>
        </w:rPr>
        <w:t>an extension without change of a currently approved collection</w:t>
      </w:r>
      <w:r w:rsidRPr="00E11D85" w:rsidR="00031701">
        <w:rPr>
          <w:i/>
          <w:iCs/>
          <w:sz w:val="24"/>
          <w:szCs w:val="24"/>
        </w:rPr>
        <w:t>.</w:t>
      </w:r>
    </w:p>
    <w:p w:rsidR="00A3670A" w:rsidRPr="00A3670A" w:rsidP="00A3670A" w14:paraId="447F3EF7" w14:textId="77777777">
      <w:pPr>
        <w:pStyle w:val="Title"/>
        <w:jc w:val="left"/>
        <w:rPr>
          <w:rFonts w:ascii="Times New Roman" w:hAnsi="Times New Roman"/>
          <w:color w:val="FF0000"/>
          <w:u w:val="none"/>
        </w:rPr>
      </w:pPr>
    </w:p>
    <w:p w:rsidR="00037CBA" w:rsidRPr="00E11D85" w:rsidP="00E11D85" w14:paraId="609F5927" w14:textId="6AF93879">
      <w:pPr>
        <w:pStyle w:val="ListParagraph"/>
        <w:widowControl w:val="0"/>
        <w:numPr>
          <w:ilvl w:val="0"/>
          <w:numId w:val="1"/>
        </w:numPr>
        <w:rPr>
          <w:b/>
          <w:bCs/>
          <w:snapToGrid w:val="0"/>
          <w:sz w:val="24"/>
        </w:rPr>
      </w:pPr>
      <w:r w:rsidRPr="00E11D85">
        <w:rPr>
          <w:b/>
          <w:bCs/>
          <w:snapToGrid w:val="0"/>
          <w:sz w:val="24"/>
        </w:rPr>
        <w:t xml:space="preserve">JUSTIFICATION </w:t>
      </w:r>
    </w:p>
    <w:p w:rsidR="00037CBA" w14:paraId="5C2C1BB0" w14:textId="77777777">
      <w:pPr>
        <w:widowControl w:val="0"/>
        <w:rPr>
          <w:snapToGrid w:val="0"/>
          <w:sz w:val="24"/>
        </w:rPr>
      </w:pPr>
    </w:p>
    <w:p w:rsidR="00037CBA" w:rsidRPr="00E11D85" w:rsidP="00E11D85" w14:paraId="232F05B5" w14:textId="3AC1F980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C</w:t>
      </w:r>
      <w:r w:rsidRPr="00E11D85">
        <w:rPr>
          <w:b/>
          <w:snapToGrid w:val="0"/>
          <w:sz w:val="24"/>
        </w:rPr>
        <w:t xml:space="preserve">ircumstances </w:t>
      </w:r>
      <w:r w:rsidRPr="00E11D85">
        <w:rPr>
          <w:b/>
          <w:snapToGrid w:val="0"/>
          <w:sz w:val="24"/>
        </w:rPr>
        <w:t xml:space="preserve">Making </w:t>
      </w:r>
      <w:r w:rsidRPr="00E11D85">
        <w:rPr>
          <w:b/>
          <w:snapToGrid w:val="0"/>
          <w:sz w:val="24"/>
        </w:rPr>
        <w:t xml:space="preserve">the </w:t>
      </w:r>
      <w:r w:rsidRPr="00E11D85">
        <w:rPr>
          <w:b/>
          <w:snapToGrid w:val="0"/>
          <w:sz w:val="24"/>
        </w:rPr>
        <w:t xml:space="preserve">Collection </w:t>
      </w:r>
      <w:r w:rsidRPr="00E11D85">
        <w:rPr>
          <w:b/>
          <w:snapToGrid w:val="0"/>
          <w:sz w:val="24"/>
        </w:rPr>
        <w:t xml:space="preserve">of </w:t>
      </w:r>
      <w:r w:rsidRPr="00E11D85">
        <w:rPr>
          <w:b/>
          <w:snapToGrid w:val="0"/>
          <w:sz w:val="24"/>
        </w:rPr>
        <w:t>Information Necessary</w:t>
      </w:r>
    </w:p>
    <w:p w:rsidR="00037CBA" w14:paraId="756F669A" w14:textId="77777777">
      <w:pPr>
        <w:widowControl w:val="0"/>
        <w:rPr>
          <w:snapToGrid w:val="0"/>
          <w:sz w:val="24"/>
        </w:rPr>
      </w:pPr>
    </w:p>
    <w:p w:rsidR="00037CBA" w:rsidRPr="007073F7" w:rsidP="00E11D85" w14:paraId="4DC0072C" w14:textId="7C2E4230">
      <w:pPr>
        <w:widowControl w:val="0"/>
        <w:ind w:left="720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This information collection provides a method of awarding merchant marine medals </w:t>
      </w:r>
      <w:r w:rsidR="00C6008F">
        <w:rPr>
          <w:snapToGrid w:val="0"/>
          <w:sz w:val="24"/>
        </w:rPr>
        <w:t>and decorations</w:t>
      </w:r>
      <w:r>
        <w:rPr>
          <w:snapToGrid w:val="0"/>
          <w:sz w:val="24"/>
        </w:rPr>
        <w:t xml:space="preserve"> to masters, officers, and crew members of United States ships</w:t>
      </w:r>
      <w:r w:rsidR="006C1F83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in recognition of their service in areas of danger during the operations by the Armed Forces of the United States in World War II, Korea, Vietnam, Operation</w:t>
      </w:r>
      <w:r w:rsidR="00681EFF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D</w:t>
      </w:r>
      <w:r w:rsidR="00681EFF">
        <w:rPr>
          <w:snapToGrid w:val="0"/>
          <w:sz w:val="24"/>
        </w:rPr>
        <w:t>esert Shield and Desert Storm, Operations Enduring Freedom</w:t>
      </w:r>
      <w:r w:rsidR="009E1970">
        <w:rPr>
          <w:snapToGrid w:val="0"/>
          <w:sz w:val="24"/>
        </w:rPr>
        <w:t xml:space="preserve"> and </w:t>
      </w:r>
      <w:r w:rsidR="00681EFF">
        <w:rPr>
          <w:snapToGrid w:val="0"/>
          <w:sz w:val="24"/>
        </w:rPr>
        <w:t>Iraqi Freedom</w:t>
      </w:r>
      <w:r w:rsidR="009E1970">
        <w:rPr>
          <w:snapToGrid w:val="0"/>
          <w:sz w:val="24"/>
        </w:rPr>
        <w:t>, the</w:t>
      </w:r>
      <w:r>
        <w:rPr>
          <w:snapToGrid w:val="0"/>
          <w:sz w:val="24"/>
        </w:rPr>
        <w:t xml:space="preserve"> </w:t>
      </w:r>
      <w:r w:rsidR="00B06031">
        <w:rPr>
          <w:snapToGrid w:val="0"/>
          <w:sz w:val="24"/>
        </w:rPr>
        <w:t xml:space="preserve">Somalia Conflicts </w:t>
      </w:r>
      <w:r>
        <w:rPr>
          <w:snapToGrid w:val="0"/>
          <w:sz w:val="24"/>
        </w:rPr>
        <w:t>and the replacement of awards previously issued.</w:t>
      </w:r>
      <w:r w:rsidR="009E1970">
        <w:rPr>
          <w:snapToGrid w:val="0"/>
          <w:sz w:val="24"/>
        </w:rPr>
        <w:t xml:space="preserve">  </w:t>
      </w:r>
      <w:r>
        <w:rPr>
          <w:snapToGrid w:val="0"/>
          <w:sz w:val="24"/>
        </w:rPr>
        <w:t xml:space="preserve"> </w:t>
      </w:r>
      <w:r w:rsidRPr="007073F7" w:rsidR="00972145">
        <w:rPr>
          <w:sz w:val="24"/>
          <w:szCs w:val="24"/>
        </w:rPr>
        <w:t>This information collection support</w:t>
      </w:r>
      <w:r w:rsidRPr="007073F7" w:rsidR="00AF37A6">
        <w:rPr>
          <w:sz w:val="24"/>
          <w:szCs w:val="24"/>
        </w:rPr>
        <w:t>s</w:t>
      </w:r>
      <w:r w:rsidRPr="007073F7" w:rsidR="00972145">
        <w:rPr>
          <w:sz w:val="24"/>
          <w:szCs w:val="24"/>
        </w:rPr>
        <w:t xml:space="preserve"> the Department of Transportation's strategic goal for National Security</w:t>
      </w:r>
      <w:r w:rsidRPr="007073F7" w:rsidR="00E11D85">
        <w:rPr>
          <w:sz w:val="24"/>
          <w:szCs w:val="24"/>
        </w:rPr>
        <w:t xml:space="preserve"> by ensuring that vessels, infrastructure</w:t>
      </w:r>
      <w:r w:rsidRPr="007073F7" w:rsidR="00D006F2">
        <w:rPr>
          <w:sz w:val="24"/>
          <w:szCs w:val="24"/>
        </w:rPr>
        <w:t>,</w:t>
      </w:r>
      <w:r w:rsidRPr="007073F7" w:rsidR="00E11D85">
        <w:rPr>
          <w:sz w:val="24"/>
          <w:szCs w:val="24"/>
        </w:rPr>
        <w:t xml:space="preserve"> and mariners will be available to support our </w:t>
      </w:r>
      <w:r w:rsidRPr="007073F7" w:rsidR="007073F7">
        <w:rPr>
          <w:sz w:val="24"/>
          <w:szCs w:val="24"/>
        </w:rPr>
        <w:t xml:space="preserve">nation </w:t>
      </w:r>
      <w:r w:rsidRPr="007073F7" w:rsidR="00E11D85">
        <w:rPr>
          <w:sz w:val="24"/>
          <w:szCs w:val="24"/>
        </w:rPr>
        <w:t>during times of war or national emergency.</w:t>
      </w:r>
    </w:p>
    <w:p w:rsidR="00037CBA" w:rsidP="00E11D85" w14:paraId="5AE00C1C" w14:textId="77777777">
      <w:pPr>
        <w:widowControl w:val="0"/>
        <w:ind w:left="720"/>
        <w:rPr>
          <w:snapToGrid w:val="0"/>
          <w:sz w:val="24"/>
        </w:rPr>
      </w:pPr>
    </w:p>
    <w:p w:rsidR="00037CBA" w:rsidP="00E11D85" w14:paraId="603D61F1" w14:textId="77777777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>These medals are authorized by Public Law 100-324, "The Merchant Marine Decorations and Medals Act."</w:t>
      </w:r>
    </w:p>
    <w:p w:rsidR="00037CBA" w14:paraId="2DE3373D" w14:textId="77777777">
      <w:pPr>
        <w:widowControl w:val="0"/>
        <w:rPr>
          <w:snapToGrid w:val="0"/>
          <w:sz w:val="24"/>
        </w:rPr>
      </w:pPr>
    </w:p>
    <w:p w:rsidR="00037CBA" w:rsidRPr="00E11D85" w:rsidP="00E11D85" w14:paraId="00CAED17" w14:textId="074A6FDB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P</w:t>
      </w:r>
      <w:r w:rsidRPr="00E11D85">
        <w:rPr>
          <w:b/>
          <w:snapToGrid w:val="0"/>
          <w:sz w:val="24"/>
        </w:rPr>
        <w:t xml:space="preserve">urpose </w:t>
      </w:r>
      <w:r w:rsidRPr="00E11D85">
        <w:rPr>
          <w:b/>
          <w:snapToGrid w:val="0"/>
          <w:sz w:val="24"/>
        </w:rPr>
        <w:t xml:space="preserve">and Use of </w:t>
      </w:r>
      <w:r w:rsidRPr="00E11D85">
        <w:rPr>
          <w:b/>
          <w:snapToGrid w:val="0"/>
          <w:sz w:val="24"/>
        </w:rPr>
        <w:t xml:space="preserve">the </w:t>
      </w:r>
      <w:r w:rsidRPr="00E11D85">
        <w:rPr>
          <w:b/>
          <w:snapToGrid w:val="0"/>
          <w:sz w:val="24"/>
        </w:rPr>
        <w:t xml:space="preserve">Information Collection  </w:t>
      </w:r>
    </w:p>
    <w:p w:rsidR="00037CBA" w14:paraId="03F63B3D" w14:textId="77777777">
      <w:pPr>
        <w:widowControl w:val="0"/>
        <w:rPr>
          <w:b/>
          <w:snapToGrid w:val="0"/>
          <w:sz w:val="24"/>
        </w:rPr>
      </w:pPr>
    </w:p>
    <w:p w:rsidR="00037CBA" w:rsidP="00E11D85" w14:paraId="184B4943" w14:textId="1B9B43CE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>U.S. Maritime Administration (</w:t>
      </w:r>
      <w:r>
        <w:rPr>
          <w:snapToGrid w:val="0"/>
          <w:sz w:val="24"/>
        </w:rPr>
        <w:t>MARAD</w:t>
      </w:r>
      <w:r>
        <w:rPr>
          <w:snapToGrid w:val="0"/>
          <w:sz w:val="24"/>
        </w:rPr>
        <w:t>)</w:t>
      </w:r>
      <w:r>
        <w:rPr>
          <w:snapToGrid w:val="0"/>
          <w:sz w:val="24"/>
        </w:rPr>
        <w:t xml:space="preserve"> personnel</w:t>
      </w:r>
      <w:r>
        <w:rPr>
          <w:snapToGrid w:val="0"/>
          <w:sz w:val="24"/>
        </w:rPr>
        <w:t xml:space="preserve"> will use collected data</w:t>
      </w:r>
      <w:r>
        <w:rPr>
          <w:snapToGrid w:val="0"/>
          <w:sz w:val="24"/>
        </w:rPr>
        <w:t xml:space="preserve"> to assist in processing and verifying requests for seamen’s service awards.  The issuance of awards is based upon</w:t>
      </w:r>
      <w:r w:rsidR="00B06031">
        <w:rPr>
          <w:snapToGrid w:val="0"/>
          <w:sz w:val="24"/>
        </w:rPr>
        <w:t xml:space="preserve"> regular </w:t>
      </w:r>
      <w:r>
        <w:rPr>
          <w:snapToGrid w:val="0"/>
          <w:sz w:val="24"/>
        </w:rPr>
        <w:t xml:space="preserve">requests received from the public.  Without this information collection, merchant seamen who have valiantly served their nation during </w:t>
      </w:r>
      <w:r w:rsidR="00E17E75">
        <w:rPr>
          <w:snapToGrid w:val="0"/>
          <w:sz w:val="24"/>
        </w:rPr>
        <w:t>wartime</w:t>
      </w:r>
      <w:r>
        <w:rPr>
          <w:snapToGrid w:val="0"/>
          <w:sz w:val="24"/>
        </w:rPr>
        <w:t xml:space="preserve"> or risked their lives to rescue other seamen during </w:t>
      </w:r>
      <w:r w:rsidR="006C1F83">
        <w:rPr>
          <w:snapToGrid w:val="0"/>
          <w:sz w:val="24"/>
        </w:rPr>
        <w:t>peacetime</w:t>
      </w:r>
      <w:r w:rsidR="009E1970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would have no other method to obtain actual or replacement service decorations.</w:t>
      </w:r>
    </w:p>
    <w:p w:rsidR="00037CBA" w14:paraId="1B4653DC" w14:textId="7777777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</w:p>
    <w:p w:rsidR="00037CBA" w:rsidRPr="00E11D85" w:rsidP="00E11D85" w14:paraId="740BE230" w14:textId="5DA66EF1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A</w:t>
      </w:r>
      <w:r w:rsidRPr="00E11D85">
        <w:rPr>
          <w:b/>
          <w:snapToGrid w:val="0"/>
          <w:sz w:val="24"/>
        </w:rPr>
        <w:t>utomat</w:t>
      </w:r>
      <w:r w:rsidRPr="00E11D85">
        <w:rPr>
          <w:b/>
          <w:snapToGrid w:val="0"/>
          <w:sz w:val="24"/>
        </w:rPr>
        <w:t xml:space="preserve">ion </w:t>
      </w:r>
      <w:r w:rsidRPr="00E11D85">
        <w:rPr>
          <w:b/>
          <w:snapToGrid w:val="0"/>
          <w:sz w:val="24"/>
        </w:rPr>
        <w:t xml:space="preserve">or </w:t>
      </w:r>
      <w:r w:rsidRPr="00E11D85">
        <w:rPr>
          <w:b/>
          <w:snapToGrid w:val="0"/>
          <w:sz w:val="24"/>
        </w:rPr>
        <w:t>Use of I</w:t>
      </w:r>
      <w:r w:rsidRPr="00E11D85">
        <w:rPr>
          <w:b/>
          <w:snapToGrid w:val="0"/>
          <w:sz w:val="24"/>
        </w:rPr>
        <w:t xml:space="preserve">nformation </w:t>
      </w:r>
      <w:r w:rsidRPr="00E11D85">
        <w:rPr>
          <w:b/>
          <w:snapToGrid w:val="0"/>
          <w:sz w:val="24"/>
        </w:rPr>
        <w:t xml:space="preserve">Technology </w:t>
      </w:r>
    </w:p>
    <w:p w:rsidR="00037CBA" w14:paraId="06F1317E" w14:textId="77777777">
      <w:pPr>
        <w:widowControl w:val="0"/>
        <w:rPr>
          <w:snapToGrid w:val="0"/>
          <w:sz w:val="24"/>
        </w:rPr>
      </w:pPr>
    </w:p>
    <w:p w:rsidR="00037CBA" w:rsidP="00E11D85" w14:paraId="6E047188" w14:textId="2E84F6F3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>MARAD</w:t>
      </w:r>
      <w:r>
        <w:rPr>
          <w:snapToGrid w:val="0"/>
          <w:sz w:val="24"/>
        </w:rPr>
        <w:t xml:space="preserve"> provides a </w:t>
      </w:r>
      <w:r w:rsidR="009918E2">
        <w:rPr>
          <w:snapToGrid w:val="0"/>
          <w:sz w:val="24"/>
        </w:rPr>
        <w:t xml:space="preserve">fully </w:t>
      </w:r>
      <w:r>
        <w:rPr>
          <w:snapToGrid w:val="0"/>
          <w:sz w:val="24"/>
        </w:rPr>
        <w:t xml:space="preserve">electronic </w:t>
      </w:r>
      <w:r w:rsidR="00C6008F">
        <w:rPr>
          <w:snapToGrid w:val="0"/>
          <w:sz w:val="24"/>
        </w:rPr>
        <w:t>option</w:t>
      </w:r>
      <w:r w:rsidR="009E1970">
        <w:rPr>
          <w:snapToGrid w:val="0"/>
          <w:sz w:val="24"/>
        </w:rPr>
        <w:t xml:space="preserve"> for submi</w:t>
      </w:r>
      <w:r w:rsidR="009918E2">
        <w:rPr>
          <w:snapToGrid w:val="0"/>
          <w:sz w:val="24"/>
        </w:rPr>
        <w:t>tting</w:t>
      </w:r>
      <w:r w:rsidR="009E1970">
        <w:rPr>
          <w:snapToGrid w:val="0"/>
          <w:sz w:val="24"/>
        </w:rPr>
        <w:t xml:space="preserve"> responses to this collection. H</w:t>
      </w:r>
      <w:r>
        <w:rPr>
          <w:snapToGrid w:val="0"/>
          <w:sz w:val="24"/>
        </w:rPr>
        <w:t>owever, we estimate</w:t>
      </w:r>
      <w:r w:rsidR="009E1970">
        <w:rPr>
          <w:snapToGrid w:val="0"/>
          <w:sz w:val="24"/>
        </w:rPr>
        <w:t xml:space="preserve"> that</w:t>
      </w:r>
      <w:r>
        <w:rPr>
          <w:snapToGrid w:val="0"/>
          <w:sz w:val="24"/>
        </w:rPr>
        <w:t xml:space="preserve"> </w:t>
      </w:r>
      <w:r w:rsidR="009E1970">
        <w:rPr>
          <w:snapToGrid w:val="0"/>
          <w:sz w:val="24"/>
        </w:rPr>
        <w:t xml:space="preserve">the total </w:t>
      </w:r>
      <w:r w:rsidR="00082D8D">
        <w:rPr>
          <w:snapToGrid w:val="0"/>
          <w:sz w:val="24"/>
        </w:rPr>
        <w:t xml:space="preserve">electronic submission </w:t>
      </w:r>
      <w:r w:rsidR="009918E2">
        <w:rPr>
          <w:snapToGrid w:val="0"/>
          <w:sz w:val="24"/>
        </w:rPr>
        <w:t xml:space="preserve">for this collection </w:t>
      </w:r>
      <w:r w:rsidR="00AF37A6">
        <w:rPr>
          <w:snapToGrid w:val="0"/>
          <w:sz w:val="24"/>
        </w:rPr>
        <w:t>is</w:t>
      </w:r>
      <w:r w:rsidR="00082D8D">
        <w:rPr>
          <w:snapToGrid w:val="0"/>
          <w:sz w:val="24"/>
        </w:rPr>
        <w:t xml:space="preserve"> </w:t>
      </w:r>
      <w:r w:rsidRPr="004F080F" w:rsidR="00082D8D">
        <w:rPr>
          <w:snapToGrid w:val="0"/>
          <w:sz w:val="24"/>
        </w:rPr>
        <w:t>5</w:t>
      </w:r>
      <w:r w:rsidRPr="004F080F">
        <w:rPr>
          <w:snapToGrid w:val="0"/>
          <w:sz w:val="24"/>
        </w:rPr>
        <w:t>0%</w:t>
      </w:r>
      <w:r w:rsidR="009E1970">
        <w:rPr>
          <w:snapToGrid w:val="0"/>
          <w:sz w:val="24"/>
        </w:rPr>
        <w:t xml:space="preserve"> </w:t>
      </w:r>
      <w:r w:rsidR="00AF37A6">
        <w:rPr>
          <w:snapToGrid w:val="0"/>
          <w:sz w:val="24"/>
        </w:rPr>
        <w:t xml:space="preserve">or half of </w:t>
      </w:r>
      <w:r w:rsidR="009918E2">
        <w:rPr>
          <w:snapToGrid w:val="0"/>
          <w:sz w:val="24"/>
        </w:rPr>
        <w:t>all responses received</w:t>
      </w:r>
      <w:r>
        <w:rPr>
          <w:snapToGrid w:val="0"/>
          <w:sz w:val="24"/>
        </w:rPr>
        <w:t>.</w:t>
      </w:r>
    </w:p>
    <w:p w:rsidR="001217B9" w14:paraId="3B84688A" w14:textId="77777777">
      <w:pPr>
        <w:widowControl w:val="0"/>
        <w:rPr>
          <w:snapToGrid w:val="0"/>
          <w:sz w:val="24"/>
        </w:rPr>
      </w:pPr>
    </w:p>
    <w:p w:rsidR="009918E2" w14:paraId="2BBC4F75" w14:textId="77777777">
      <w:pPr>
        <w:widowControl w:val="0"/>
        <w:rPr>
          <w:snapToGrid w:val="0"/>
          <w:sz w:val="24"/>
        </w:rPr>
      </w:pPr>
    </w:p>
    <w:p w:rsidR="00C01CC8" w:rsidRPr="00E11D85" w:rsidP="00E11D85" w14:paraId="1E3F54CD" w14:textId="26FFF979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E</w:t>
      </w:r>
      <w:r w:rsidRPr="00E11D85" w:rsidR="00037CBA">
        <w:rPr>
          <w:b/>
          <w:snapToGrid w:val="0"/>
          <w:sz w:val="24"/>
        </w:rPr>
        <w:t xml:space="preserve">fforts to </w:t>
      </w:r>
      <w:r w:rsidRPr="00E11D85">
        <w:rPr>
          <w:b/>
          <w:snapToGrid w:val="0"/>
          <w:sz w:val="24"/>
        </w:rPr>
        <w:t>Identify Duplication</w:t>
      </w:r>
    </w:p>
    <w:p w:rsidR="00037CBA" w14:paraId="4228B801" w14:textId="77777777">
      <w:pPr>
        <w:widowControl w:val="0"/>
        <w:rPr>
          <w:b/>
          <w:snapToGrid w:val="0"/>
          <w:sz w:val="24"/>
        </w:rPr>
      </w:pPr>
    </w:p>
    <w:p w:rsidR="00037CBA" w:rsidP="00E11D85" w14:paraId="2F27DB93" w14:textId="704B0A99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>MARAD is the only Federal agency collecting the information</w:t>
      </w:r>
      <w:r w:rsidR="009918E2">
        <w:rPr>
          <w:snapToGrid w:val="0"/>
          <w:sz w:val="24"/>
        </w:rPr>
        <w:t xml:space="preserve"> needed for this collection and</w:t>
      </w:r>
      <w:r>
        <w:rPr>
          <w:snapToGrid w:val="0"/>
          <w:sz w:val="24"/>
        </w:rPr>
        <w:t xml:space="preserve"> is the only agency issuing these types of decorations.</w:t>
      </w:r>
    </w:p>
    <w:p w:rsidR="004D1DB4" w14:paraId="271F6EBF" w14:textId="77777777">
      <w:pPr>
        <w:widowControl w:val="0"/>
        <w:rPr>
          <w:snapToGrid w:val="0"/>
          <w:sz w:val="24"/>
        </w:rPr>
      </w:pPr>
    </w:p>
    <w:p w:rsidR="00037CBA" w:rsidRPr="00E11D85" w:rsidP="00E11D85" w14:paraId="7BE84EC7" w14:textId="1F3B312E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I</w:t>
      </w:r>
      <w:r w:rsidRPr="00E11D85">
        <w:rPr>
          <w:b/>
          <w:snapToGrid w:val="0"/>
          <w:sz w:val="24"/>
        </w:rPr>
        <w:t>mpacts</w:t>
      </w:r>
      <w:r w:rsidRPr="00E11D85">
        <w:rPr>
          <w:b/>
          <w:snapToGrid w:val="0"/>
          <w:sz w:val="24"/>
        </w:rPr>
        <w:t xml:space="preserve"> on S</w:t>
      </w:r>
      <w:r w:rsidRPr="00E11D85">
        <w:rPr>
          <w:b/>
          <w:snapToGrid w:val="0"/>
          <w:sz w:val="24"/>
        </w:rPr>
        <w:t xml:space="preserve">mall </w:t>
      </w:r>
      <w:r w:rsidRPr="00E11D85">
        <w:rPr>
          <w:b/>
          <w:snapToGrid w:val="0"/>
          <w:sz w:val="24"/>
        </w:rPr>
        <w:t xml:space="preserve">Businesses </w:t>
      </w:r>
      <w:r w:rsidRPr="00E11D85">
        <w:rPr>
          <w:b/>
          <w:snapToGrid w:val="0"/>
          <w:sz w:val="24"/>
        </w:rPr>
        <w:t xml:space="preserve">or </w:t>
      </w:r>
      <w:r w:rsidRPr="00E11D85">
        <w:rPr>
          <w:b/>
          <w:snapToGrid w:val="0"/>
          <w:sz w:val="24"/>
        </w:rPr>
        <w:t xml:space="preserve">Other Small Entities </w:t>
      </w:r>
    </w:p>
    <w:p w:rsidR="00037CBA" w14:paraId="1A232DBE" w14:textId="77777777">
      <w:pPr>
        <w:widowControl w:val="0"/>
        <w:rPr>
          <w:snapToGrid w:val="0"/>
          <w:sz w:val="24"/>
        </w:rPr>
      </w:pPr>
    </w:p>
    <w:p w:rsidR="00037CBA" w:rsidP="00E11D85" w14:paraId="529E98D4" w14:textId="2EA37D73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This information collection does not </w:t>
      </w:r>
      <w:r w:rsidR="00AF37A6">
        <w:rPr>
          <w:snapToGrid w:val="0"/>
          <w:sz w:val="24"/>
        </w:rPr>
        <w:t xml:space="preserve">affect </w:t>
      </w:r>
      <w:r>
        <w:rPr>
          <w:snapToGrid w:val="0"/>
          <w:sz w:val="24"/>
        </w:rPr>
        <w:t xml:space="preserve">small businesses.  The requests </w:t>
      </w:r>
      <w:r w:rsidR="009918E2">
        <w:rPr>
          <w:snapToGrid w:val="0"/>
          <w:sz w:val="24"/>
        </w:rPr>
        <w:t xml:space="preserve">or recommendation for awards </w:t>
      </w:r>
      <w:r>
        <w:rPr>
          <w:snapToGrid w:val="0"/>
          <w:sz w:val="24"/>
        </w:rPr>
        <w:t xml:space="preserve">come from individual </w:t>
      </w:r>
      <w:r w:rsidR="00E17E75">
        <w:rPr>
          <w:snapToGrid w:val="0"/>
          <w:sz w:val="24"/>
        </w:rPr>
        <w:t>seamen,</w:t>
      </w:r>
      <w:r>
        <w:rPr>
          <w:snapToGrid w:val="0"/>
          <w:sz w:val="24"/>
        </w:rPr>
        <w:t xml:space="preserve"> </w:t>
      </w:r>
      <w:r w:rsidR="00AF37A6">
        <w:rPr>
          <w:snapToGrid w:val="0"/>
          <w:sz w:val="24"/>
        </w:rPr>
        <w:t>and/</w:t>
      </w:r>
      <w:r>
        <w:rPr>
          <w:snapToGrid w:val="0"/>
          <w:sz w:val="24"/>
        </w:rPr>
        <w:t>or their families</w:t>
      </w:r>
      <w:r w:rsidR="009918E2">
        <w:rPr>
          <w:snapToGrid w:val="0"/>
          <w:sz w:val="24"/>
        </w:rPr>
        <w:t xml:space="preserve">. </w:t>
      </w:r>
      <w:r>
        <w:rPr>
          <w:snapToGrid w:val="0"/>
          <w:sz w:val="24"/>
        </w:rPr>
        <w:t xml:space="preserve"> </w:t>
      </w:r>
      <w:r w:rsidR="009918E2">
        <w:rPr>
          <w:snapToGrid w:val="0"/>
          <w:sz w:val="24"/>
        </w:rPr>
        <w:t xml:space="preserve">The </w:t>
      </w:r>
      <w:r>
        <w:rPr>
          <w:snapToGrid w:val="0"/>
          <w:sz w:val="24"/>
        </w:rPr>
        <w:t>information collected is the minimum required to effectively administer the program and maintain internal controls.</w:t>
      </w:r>
      <w:r>
        <w:rPr>
          <w:snapToGrid w:val="0"/>
          <w:sz w:val="24"/>
        </w:rPr>
        <w:tab/>
      </w:r>
    </w:p>
    <w:p w:rsidR="00037CBA" w:rsidP="00E11D85" w14:paraId="2959EFCF" w14:textId="77777777">
      <w:pPr>
        <w:widowControl w:val="0"/>
        <w:ind w:left="720"/>
        <w:rPr>
          <w:snapToGrid w:val="0"/>
          <w:sz w:val="24"/>
        </w:rPr>
      </w:pPr>
    </w:p>
    <w:p w:rsidR="00037CBA" w:rsidP="00E11D85" w14:paraId="26FAAB6A" w14:textId="16980151">
      <w:pPr>
        <w:pStyle w:val="ListParagraph"/>
        <w:numPr>
          <w:ilvl w:val="0"/>
          <w:numId w:val="3"/>
        </w:numPr>
        <w:rPr>
          <w:snapToGrid w:val="0"/>
        </w:rPr>
      </w:pPr>
      <w:r w:rsidRPr="00E11D85">
        <w:rPr>
          <w:b/>
          <w:snapToGrid w:val="0"/>
          <w:sz w:val="24"/>
          <w:szCs w:val="24"/>
        </w:rPr>
        <w:t>Impact of N</w:t>
      </w:r>
      <w:r w:rsidRPr="00E11D85">
        <w:rPr>
          <w:b/>
          <w:snapToGrid w:val="0"/>
          <w:sz w:val="24"/>
          <w:szCs w:val="24"/>
        </w:rPr>
        <w:t xml:space="preserve">ot </w:t>
      </w:r>
      <w:r w:rsidRPr="00E11D85">
        <w:rPr>
          <w:b/>
          <w:snapToGrid w:val="0"/>
          <w:sz w:val="24"/>
          <w:szCs w:val="24"/>
        </w:rPr>
        <w:t xml:space="preserve">Conducting </w:t>
      </w:r>
      <w:r w:rsidRPr="00E11D85">
        <w:rPr>
          <w:b/>
          <w:snapToGrid w:val="0"/>
          <w:sz w:val="24"/>
          <w:szCs w:val="24"/>
        </w:rPr>
        <w:t xml:space="preserve">or </w:t>
      </w:r>
      <w:r w:rsidRPr="00E11D85">
        <w:rPr>
          <w:b/>
          <w:snapToGrid w:val="0"/>
          <w:sz w:val="24"/>
          <w:szCs w:val="24"/>
        </w:rPr>
        <w:t>L</w:t>
      </w:r>
      <w:r w:rsidRPr="00E11D85">
        <w:rPr>
          <w:b/>
          <w:snapToGrid w:val="0"/>
          <w:sz w:val="24"/>
          <w:szCs w:val="24"/>
        </w:rPr>
        <w:t xml:space="preserve">ess </w:t>
      </w:r>
      <w:r w:rsidRPr="00E11D85">
        <w:rPr>
          <w:b/>
          <w:snapToGrid w:val="0"/>
          <w:sz w:val="24"/>
          <w:szCs w:val="24"/>
        </w:rPr>
        <w:t xml:space="preserve">Frequent Collection of Information </w:t>
      </w:r>
    </w:p>
    <w:p w:rsidR="00037CBA" w14:paraId="798ED98C" w14:textId="77777777">
      <w:pPr>
        <w:widowControl w:val="0"/>
        <w:rPr>
          <w:snapToGrid w:val="0"/>
          <w:sz w:val="24"/>
        </w:rPr>
      </w:pPr>
    </w:p>
    <w:p w:rsidR="00037CBA" w:rsidP="00E11D85" w14:paraId="783CBA1B" w14:textId="1B0FD050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>Medals and other decorations are issued only by request from individual citizens</w:t>
      </w:r>
      <w:r w:rsidR="009918E2">
        <w:rPr>
          <w:snapToGrid w:val="0"/>
          <w:sz w:val="24"/>
        </w:rPr>
        <w:t xml:space="preserve">. </w:t>
      </w:r>
      <w:r>
        <w:rPr>
          <w:snapToGrid w:val="0"/>
          <w:sz w:val="24"/>
        </w:rPr>
        <w:t xml:space="preserve"> </w:t>
      </w:r>
      <w:r w:rsidR="009918E2">
        <w:rPr>
          <w:snapToGrid w:val="0"/>
          <w:sz w:val="24"/>
        </w:rPr>
        <w:t>W</w:t>
      </w:r>
      <w:r>
        <w:rPr>
          <w:snapToGrid w:val="0"/>
          <w:sz w:val="24"/>
        </w:rPr>
        <w:t>ithout th</w:t>
      </w:r>
      <w:r w:rsidR="009918E2">
        <w:rPr>
          <w:snapToGrid w:val="0"/>
          <w:sz w:val="24"/>
        </w:rPr>
        <w:t>is</w:t>
      </w:r>
      <w:r>
        <w:rPr>
          <w:snapToGrid w:val="0"/>
          <w:sz w:val="24"/>
        </w:rPr>
        <w:t xml:space="preserve"> collection, merchant seamen would have no other method of obtaining actual or replacement service decorations.</w:t>
      </w:r>
    </w:p>
    <w:p w:rsidR="00037CBA" w:rsidP="00E11D85" w14:paraId="4CBC8D87" w14:textId="77777777">
      <w:pPr>
        <w:widowControl w:val="0"/>
        <w:ind w:left="720"/>
        <w:rPr>
          <w:snapToGrid w:val="0"/>
          <w:sz w:val="24"/>
        </w:rPr>
      </w:pPr>
    </w:p>
    <w:p w:rsidR="00037CBA" w:rsidP="00E11D85" w14:paraId="0551B428" w14:textId="54688259">
      <w:pPr>
        <w:pStyle w:val="ListParagraph"/>
        <w:numPr>
          <w:ilvl w:val="0"/>
          <w:numId w:val="3"/>
        </w:numPr>
        <w:rPr>
          <w:snapToGrid w:val="0"/>
        </w:rPr>
      </w:pPr>
      <w:r w:rsidRPr="00E11D85">
        <w:rPr>
          <w:b/>
          <w:snapToGrid w:val="0"/>
          <w:sz w:val="24"/>
        </w:rPr>
        <w:t>S</w:t>
      </w:r>
      <w:r w:rsidRPr="00E11D85">
        <w:rPr>
          <w:b/>
          <w:snapToGrid w:val="0"/>
          <w:sz w:val="24"/>
        </w:rPr>
        <w:t xml:space="preserve">pecial </w:t>
      </w:r>
      <w:r w:rsidRPr="00E11D85">
        <w:rPr>
          <w:b/>
          <w:snapToGrid w:val="0"/>
          <w:sz w:val="24"/>
        </w:rPr>
        <w:t>Circumstances Relating to the Guidelines 5 CFR 1320.5</w:t>
      </w:r>
    </w:p>
    <w:p w:rsidR="00037CBA" w14:paraId="7DC85CDC" w14:textId="77777777">
      <w:pPr>
        <w:widowControl w:val="0"/>
        <w:rPr>
          <w:snapToGrid w:val="0"/>
          <w:sz w:val="24"/>
        </w:rPr>
      </w:pPr>
    </w:p>
    <w:p w:rsidR="00037CBA" w:rsidP="00ED6D04" w14:paraId="0A9F6627" w14:textId="2CFAF6B8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There are no special circumstances that require the collection of information to be conducted in a manner </w:t>
      </w:r>
      <w:r w:rsidR="00ED6D04">
        <w:rPr>
          <w:snapToGrid w:val="0"/>
          <w:sz w:val="24"/>
        </w:rPr>
        <w:t>as listed below:</w:t>
      </w:r>
    </w:p>
    <w:p w:rsidR="00ED6D04" w:rsidP="00ED6D04" w14:paraId="70A4A10E" w14:textId="77777777">
      <w:pPr>
        <w:widowControl w:val="0"/>
        <w:ind w:left="720"/>
        <w:rPr>
          <w:snapToGrid w:val="0"/>
          <w:sz w:val="24"/>
        </w:rPr>
      </w:pPr>
    </w:p>
    <w:p w:rsidR="00ED6D04" w:rsidRPr="00ED6D04" w:rsidP="00E11D85" w14:paraId="4CC89C37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respondents to report information to MARAD more often than quarterly;</w:t>
      </w:r>
    </w:p>
    <w:p w:rsidR="00ED6D04" w:rsidRPr="00ED6D04" w:rsidP="00E11D85" w14:paraId="471DB8BB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respondents to prepare a written response in fewer than 30 days after receipt of a collection instrument;</w:t>
      </w:r>
    </w:p>
    <w:p w:rsidR="00ED6D04" w:rsidRPr="00ED6D04" w:rsidP="00E11D85" w14:paraId="5A44B41A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respondents to submit more than one original copy of any document;</w:t>
      </w:r>
    </w:p>
    <w:p w:rsidR="00ED6D04" w:rsidRPr="00ED6D04" w:rsidP="00E11D85" w14:paraId="18BE1EF1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respondents to retain records, other than health, medical, government contract, grant-in-aid, or tax records for more than three years;</w:t>
      </w:r>
    </w:p>
    <w:p w:rsidR="00ED6D04" w:rsidRPr="00ED6D04" w:rsidP="00E11D85" w14:paraId="50B5C0B1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the use of any statistical data that is not designed to produce valid and reliable results that can be generalized to the universe of study;</w:t>
      </w:r>
    </w:p>
    <w:p w:rsidR="00ED6D04" w:rsidRPr="00ED6D04" w:rsidP="00E11D85" w14:paraId="67AE2888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the use of a statistical data classification that has not been reviewed and approved by OMB;</w:t>
      </w:r>
    </w:p>
    <w:p w:rsidR="00ED6D04" w:rsidRPr="00ED6D04" w:rsidP="00E11D85" w14:paraId="1F55C845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 xml:space="preserve">Requiring any pledge of confidentiality; or </w:t>
      </w:r>
    </w:p>
    <w:p w:rsidR="00ED6D04" w:rsidRPr="00E11D85" w:rsidP="00E11D85" w14:paraId="1B939D57" w14:textId="54EC74B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080"/>
        <w:contextualSpacing/>
        <w:rPr>
          <w:bCs/>
          <w:sz w:val="24"/>
          <w:szCs w:val="24"/>
        </w:rPr>
      </w:pPr>
      <w:r w:rsidRPr="00ED6D04">
        <w:rPr>
          <w:bCs/>
          <w:sz w:val="24"/>
          <w:szCs w:val="24"/>
        </w:rPr>
        <w:t>Requiring respondents to submit any proprietary or trade secrets.</w:t>
      </w:r>
    </w:p>
    <w:p w:rsidR="00037CBA" w14:paraId="201E8DF5" w14:textId="77777777">
      <w:pPr>
        <w:widowControl w:val="0"/>
        <w:rPr>
          <w:snapToGrid w:val="0"/>
          <w:sz w:val="24"/>
        </w:rPr>
      </w:pPr>
    </w:p>
    <w:p w:rsidR="00ED6D04" w:rsidRPr="00E11D85" w:rsidP="00E11D85" w14:paraId="30CB194B" w14:textId="47CB9CFB">
      <w:pPr>
        <w:pStyle w:val="ListParagraph"/>
        <w:numPr>
          <w:ilvl w:val="0"/>
          <w:numId w:val="3"/>
        </w:numPr>
        <w:rPr>
          <w:b/>
          <w:bCs/>
          <w:snapToGrid w:val="0"/>
          <w:sz w:val="24"/>
          <w:szCs w:val="24"/>
        </w:rPr>
      </w:pPr>
      <w:r w:rsidRPr="00E11D85">
        <w:rPr>
          <w:b/>
          <w:snapToGrid w:val="0"/>
          <w:sz w:val="24"/>
        </w:rPr>
        <w:t>Public Comments in Response to the Federal Register Notice and Outside</w:t>
      </w:r>
      <w:r>
        <w:rPr>
          <w:snapToGrid w:val="0"/>
        </w:rPr>
        <w:t xml:space="preserve"> </w:t>
      </w:r>
      <w:r w:rsidRPr="00E11D85" w:rsidR="00037CBA">
        <w:rPr>
          <w:b/>
          <w:bCs/>
          <w:snapToGrid w:val="0"/>
          <w:sz w:val="24"/>
          <w:szCs w:val="24"/>
        </w:rPr>
        <w:t xml:space="preserve">Consultation </w:t>
      </w:r>
    </w:p>
    <w:p w:rsidR="00037CBA" w14:paraId="79BA0143" w14:textId="3986BA99">
      <w:pPr>
        <w:widowControl w:val="0"/>
        <w:rPr>
          <w:snapToGrid w:val="0"/>
          <w:sz w:val="24"/>
        </w:rPr>
      </w:pPr>
    </w:p>
    <w:p w:rsidR="00ED6D04" w:rsidP="00E11D85" w14:paraId="79078F76" w14:textId="29D9E522">
      <w:pPr>
        <w:widowControl w:val="0"/>
        <w:ind w:left="720"/>
        <w:rPr>
          <w:bCs/>
          <w:snapToGrid w:val="0"/>
          <w:sz w:val="24"/>
        </w:rPr>
      </w:pPr>
      <w:r w:rsidRPr="00ED6D04">
        <w:rPr>
          <w:bCs/>
          <w:snapToGrid w:val="0"/>
          <w:sz w:val="24"/>
        </w:rPr>
        <w:t xml:space="preserve">MARAD </w:t>
      </w:r>
      <w:r w:rsidR="00241313">
        <w:rPr>
          <w:bCs/>
          <w:snapToGrid w:val="0"/>
          <w:sz w:val="24"/>
        </w:rPr>
        <w:t>published a 60</w:t>
      </w:r>
      <w:r w:rsidRPr="00ED6D04">
        <w:rPr>
          <w:bCs/>
          <w:snapToGrid w:val="0"/>
          <w:sz w:val="24"/>
        </w:rPr>
        <w:t xml:space="preserve">-day </w:t>
      </w:r>
      <w:r w:rsidR="00241313">
        <w:rPr>
          <w:bCs/>
          <w:snapToGrid w:val="0"/>
          <w:sz w:val="24"/>
        </w:rPr>
        <w:t>notice and request for comments on this information collection in the Federal Re</w:t>
      </w:r>
      <w:r w:rsidRPr="00ED6D04">
        <w:rPr>
          <w:bCs/>
          <w:snapToGrid w:val="0"/>
          <w:sz w:val="24"/>
        </w:rPr>
        <w:t xml:space="preserve">gister </w:t>
      </w:r>
      <w:r w:rsidR="00241313">
        <w:rPr>
          <w:bCs/>
          <w:snapToGrid w:val="0"/>
          <w:sz w:val="24"/>
        </w:rPr>
        <w:t xml:space="preserve">(FR 19085 Vol. 90, No. 85) on </w:t>
      </w:r>
      <w:r w:rsidR="005659A6">
        <w:rPr>
          <w:bCs/>
          <w:snapToGrid w:val="0"/>
          <w:sz w:val="24"/>
        </w:rPr>
        <w:t>May 5, 2025,</w:t>
      </w:r>
      <w:r w:rsidR="00241313">
        <w:rPr>
          <w:bCs/>
          <w:snapToGrid w:val="0"/>
          <w:sz w:val="24"/>
        </w:rPr>
        <w:t xml:space="preserve">   indicating comments should be submitted on or before </w:t>
      </w:r>
      <w:r w:rsidR="001840A5">
        <w:rPr>
          <w:bCs/>
          <w:snapToGrid w:val="0"/>
          <w:sz w:val="24"/>
        </w:rPr>
        <w:t>July 7, 2025</w:t>
      </w:r>
      <w:r w:rsidR="006C5220">
        <w:rPr>
          <w:bCs/>
          <w:snapToGrid w:val="0"/>
          <w:sz w:val="24"/>
        </w:rPr>
        <w:t>.  N</w:t>
      </w:r>
      <w:r w:rsidR="00241313">
        <w:rPr>
          <w:bCs/>
          <w:snapToGrid w:val="0"/>
          <w:sz w:val="24"/>
        </w:rPr>
        <w:t>o comments were received.  A 30-day notice will now be published in the Federal Register to solicit public comments.</w:t>
      </w:r>
    </w:p>
    <w:p w:rsidR="005659A6" w:rsidRPr="00ED6D04" w:rsidP="00E11D85" w14:paraId="32980156" w14:textId="77777777">
      <w:pPr>
        <w:widowControl w:val="0"/>
        <w:ind w:left="720"/>
        <w:rPr>
          <w:b/>
          <w:snapToGrid w:val="0"/>
          <w:sz w:val="24"/>
        </w:rPr>
      </w:pPr>
    </w:p>
    <w:p w:rsidR="00037CBA" w:rsidP="00ED6D04" w14:paraId="7FAD94BB" w14:textId="77777777">
      <w:pPr>
        <w:widowControl w:val="0"/>
        <w:rPr>
          <w:snapToGrid w:val="0"/>
          <w:sz w:val="24"/>
        </w:rPr>
      </w:pPr>
    </w:p>
    <w:p w:rsidR="00037CBA" w:rsidP="00E11D85" w14:paraId="412FB827" w14:textId="3E029C33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Contact with persons outside MARAD </w:t>
      </w:r>
      <w:r w:rsidR="003E54C5">
        <w:rPr>
          <w:snapToGrid w:val="0"/>
          <w:sz w:val="24"/>
        </w:rPr>
        <w:t>regarding the operating</w:t>
      </w:r>
      <w:r>
        <w:rPr>
          <w:snapToGrid w:val="0"/>
          <w:sz w:val="24"/>
        </w:rPr>
        <w:t xml:space="preserve"> of this program is continuous and extensive.  Hundreds of applications/requests are processed each year and contact</w:t>
      </w:r>
      <w:r w:rsidR="007073F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with requestors and feedback opportunities are commonplace.  </w:t>
      </w:r>
    </w:p>
    <w:p w:rsidR="00BD37F3" w14:paraId="5EB89180" w14:textId="77777777">
      <w:pPr>
        <w:widowControl w:val="0"/>
        <w:rPr>
          <w:snapToGrid w:val="0"/>
          <w:sz w:val="24"/>
        </w:rPr>
      </w:pPr>
    </w:p>
    <w:p w:rsidR="00037CBA" w:rsidRPr="00E11D85" w:rsidP="00E11D85" w14:paraId="69B2B377" w14:textId="4DAE53E8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Explanation of A</w:t>
      </w:r>
      <w:r w:rsidRPr="00E11D85">
        <w:rPr>
          <w:b/>
          <w:snapToGrid w:val="0"/>
          <w:sz w:val="24"/>
        </w:rPr>
        <w:t xml:space="preserve">ny </w:t>
      </w:r>
      <w:r w:rsidRPr="00E11D85">
        <w:rPr>
          <w:b/>
          <w:snapToGrid w:val="0"/>
          <w:sz w:val="24"/>
        </w:rPr>
        <w:t xml:space="preserve">Payments </w:t>
      </w:r>
      <w:r w:rsidRPr="00E11D85">
        <w:rPr>
          <w:b/>
          <w:snapToGrid w:val="0"/>
          <w:sz w:val="24"/>
        </w:rPr>
        <w:t xml:space="preserve">or </w:t>
      </w:r>
      <w:r w:rsidRPr="00E11D85">
        <w:rPr>
          <w:b/>
          <w:snapToGrid w:val="0"/>
          <w:sz w:val="24"/>
        </w:rPr>
        <w:t xml:space="preserve">Gifts </w:t>
      </w:r>
      <w:r w:rsidRPr="00E11D85">
        <w:rPr>
          <w:b/>
          <w:snapToGrid w:val="0"/>
          <w:sz w:val="24"/>
        </w:rPr>
        <w:t xml:space="preserve">to </w:t>
      </w:r>
      <w:r w:rsidRPr="00E11D85">
        <w:rPr>
          <w:b/>
          <w:snapToGrid w:val="0"/>
          <w:sz w:val="24"/>
        </w:rPr>
        <w:t>Respondents</w:t>
      </w:r>
      <w:r w:rsidRPr="00E11D85">
        <w:rPr>
          <w:b/>
          <w:snapToGrid w:val="0"/>
          <w:sz w:val="24"/>
        </w:rPr>
        <w:t xml:space="preserve"> </w:t>
      </w:r>
    </w:p>
    <w:p w:rsidR="00037CBA" w14:paraId="079BBF84" w14:textId="77777777">
      <w:pPr>
        <w:widowControl w:val="0"/>
        <w:rPr>
          <w:snapToGrid w:val="0"/>
          <w:sz w:val="24"/>
        </w:rPr>
      </w:pPr>
    </w:p>
    <w:p w:rsidR="00037CBA" w:rsidP="00E11D85" w14:paraId="7D0ED1EA" w14:textId="2903DE70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>MARAD does not provide any payment or gift to respondents</w:t>
      </w:r>
      <w:r>
        <w:rPr>
          <w:snapToGrid w:val="0"/>
          <w:sz w:val="24"/>
        </w:rPr>
        <w:t>.</w:t>
      </w:r>
    </w:p>
    <w:p w:rsidR="00037CBA" w14:paraId="3C97E93B" w14:textId="77777777">
      <w:pPr>
        <w:widowControl w:val="0"/>
        <w:rPr>
          <w:snapToGrid w:val="0"/>
          <w:sz w:val="24"/>
        </w:rPr>
      </w:pPr>
    </w:p>
    <w:p w:rsidR="00037CBA" w:rsidRPr="00E11D85" w:rsidP="00E11D85" w14:paraId="3B2211C2" w14:textId="1F7393F9">
      <w:pPr>
        <w:pStyle w:val="ListParagraph"/>
        <w:numPr>
          <w:ilvl w:val="0"/>
          <w:numId w:val="3"/>
        </w:numPr>
        <w:rPr>
          <w:snapToGrid w:val="0"/>
          <w:sz w:val="24"/>
          <w:szCs w:val="24"/>
        </w:rPr>
      </w:pPr>
      <w:r w:rsidRPr="00E11D85">
        <w:rPr>
          <w:b/>
          <w:snapToGrid w:val="0"/>
          <w:sz w:val="24"/>
        </w:rPr>
        <w:t>A</w:t>
      </w:r>
      <w:r w:rsidRPr="00E11D85">
        <w:rPr>
          <w:b/>
          <w:snapToGrid w:val="0"/>
          <w:sz w:val="24"/>
        </w:rPr>
        <w:t xml:space="preserve">ssurance of </w:t>
      </w:r>
      <w:r w:rsidRPr="00E11D85">
        <w:rPr>
          <w:b/>
          <w:snapToGrid w:val="0"/>
          <w:sz w:val="24"/>
        </w:rPr>
        <w:t xml:space="preserve">Confidentiality </w:t>
      </w:r>
      <w:r w:rsidRPr="00E11D85">
        <w:rPr>
          <w:bCs/>
          <w:snapToGrid w:val="0"/>
          <w:sz w:val="24"/>
          <w:szCs w:val="24"/>
        </w:rPr>
        <w:t>and Protection of Privacy</w:t>
      </w:r>
      <w:r w:rsidRPr="00E11D85">
        <w:rPr>
          <w:snapToGrid w:val="0"/>
          <w:sz w:val="24"/>
          <w:szCs w:val="24"/>
        </w:rPr>
        <w:t xml:space="preserve"> </w:t>
      </w:r>
    </w:p>
    <w:p w:rsidR="00037CBA" w14:paraId="251013C6" w14:textId="77777777">
      <w:pPr>
        <w:widowControl w:val="0"/>
        <w:rPr>
          <w:snapToGrid w:val="0"/>
          <w:sz w:val="24"/>
        </w:rPr>
      </w:pPr>
    </w:p>
    <w:p w:rsidR="00037CBA" w:rsidP="00E11D85" w14:paraId="74D353AA" w14:textId="77777777">
      <w:pPr>
        <w:widowControl w:val="0"/>
        <w:ind w:left="270" w:firstLine="450"/>
        <w:rPr>
          <w:snapToGrid w:val="0"/>
          <w:sz w:val="24"/>
        </w:rPr>
      </w:pPr>
      <w:r>
        <w:rPr>
          <w:snapToGrid w:val="0"/>
          <w:sz w:val="24"/>
        </w:rPr>
        <w:t>No assurances of confidentiality are provided to respondents.</w:t>
      </w:r>
    </w:p>
    <w:p w:rsidR="001145B3" w14:paraId="6A3D9E8F" w14:textId="77777777">
      <w:pPr>
        <w:widowControl w:val="0"/>
        <w:rPr>
          <w:snapToGrid w:val="0"/>
          <w:sz w:val="24"/>
        </w:rPr>
      </w:pPr>
    </w:p>
    <w:p w:rsidR="00037CBA" w:rsidP="00E11D85" w14:paraId="5CCD2F64" w14:textId="6F5020F4">
      <w:pPr>
        <w:pStyle w:val="ListParagraph"/>
        <w:numPr>
          <w:ilvl w:val="0"/>
          <w:numId w:val="3"/>
        </w:numPr>
        <w:rPr>
          <w:snapToGrid w:val="0"/>
        </w:rPr>
      </w:pPr>
      <w:r w:rsidRPr="00E11D85">
        <w:rPr>
          <w:b/>
          <w:snapToGrid w:val="0"/>
          <w:sz w:val="24"/>
        </w:rPr>
        <w:t>J</w:t>
      </w:r>
      <w:r w:rsidRPr="00E11D85">
        <w:rPr>
          <w:b/>
          <w:snapToGrid w:val="0"/>
          <w:sz w:val="24"/>
        </w:rPr>
        <w:t xml:space="preserve">ustification for </w:t>
      </w:r>
      <w:r w:rsidRPr="00E11D85">
        <w:rPr>
          <w:b/>
          <w:snapToGrid w:val="0"/>
          <w:sz w:val="24"/>
        </w:rPr>
        <w:t>Sensitive</w:t>
      </w:r>
      <w:r w:rsidRPr="00E11D85">
        <w:rPr>
          <w:b/>
          <w:snapToGrid w:val="0"/>
          <w:sz w:val="24"/>
        </w:rPr>
        <w:t xml:space="preserve"> </w:t>
      </w:r>
      <w:r w:rsidRPr="00E11D85">
        <w:rPr>
          <w:b/>
          <w:snapToGrid w:val="0"/>
          <w:sz w:val="24"/>
        </w:rPr>
        <w:t>Q</w:t>
      </w:r>
      <w:r w:rsidRPr="00E11D85">
        <w:rPr>
          <w:b/>
          <w:snapToGrid w:val="0"/>
          <w:sz w:val="24"/>
        </w:rPr>
        <w:t xml:space="preserve">uestions </w:t>
      </w:r>
    </w:p>
    <w:p w:rsidR="00037CBA" w14:paraId="469FF3CF" w14:textId="77777777">
      <w:pPr>
        <w:widowControl w:val="0"/>
        <w:rPr>
          <w:snapToGrid w:val="0"/>
          <w:sz w:val="24"/>
        </w:rPr>
      </w:pPr>
    </w:p>
    <w:p w:rsidR="00037CBA" w:rsidP="00E11D85" w14:paraId="015915EF" w14:textId="77777777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No questions of a sensitive nature are asked of respondents.</w:t>
      </w:r>
    </w:p>
    <w:p w:rsidR="00037CBA" w14:paraId="51AB1B1C" w14:textId="77777777">
      <w:pPr>
        <w:widowControl w:val="0"/>
        <w:rPr>
          <w:snapToGrid w:val="0"/>
          <w:sz w:val="24"/>
        </w:rPr>
      </w:pPr>
    </w:p>
    <w:p w:rsidR="000D40DC" w:rsidP="00E11D85" w14:paraId="1310859F" w14:textId="2309EEA7">
      <w:pPr>
        <w:pStyle w:val="ListParagraph"/>
        <w:numPr>
          <w:ilvl w:val="0"/>
          <w:numId w:val="3"/>
        </w:numPr>
        <w:rPr>
          <w:snapToGrid w:val="0"/>
        </w:rPr>
      </w:pPr>
      <w:r w:rsidRPr="00E11D85">
        <w:rPr>
          <w:b/>
          <w:snapToGrid w:val="0"/>
          <w:sz w:val="24"/>
        </w:rPr>
        <w:t>E</w:t>
      </w:r>
      <w:r w:rsidRPr="00E11D85" w:rsidR="00037CBA">
        <w:rPr>
          <w:b/>
          <w:snapToGrid w:val="0"/>
          <w:sz w:val="24"/>
        </w:rPr>
        <w:t xml:space="preserve">stimates of </w:t>
      </w:r>
      <w:r w:rsidRPr="00E11D85">
        <w:rPr>
          <w:b/>
          <w:snapToGrid w:val="0"/>
          <w:sz w:val="24"/>
        </w:rPr>
        <w:t>Annualized Burden</w:t>
      </w:r>
      <w:r w:rsidRPr="00E11D85" w:rsidR="00037CBA">
        <w:rPr>
          <w:b/>
          <w:snapToGrid w:val="0"/>
          <w:sz w:val="24"/>
        </w:rPr>
        <w:t xml:space="preserve"> </w:t>
      </w:r>
      <w:r w:rsidRPr="00E11D85">
        <w:rPr>
          <w:b/>
          <w:snapToGrid w:val="0"/>
          <w:sz w:val="24"/>
        </w:rPr>
        <w:t>H</w:t>
      </w:r>
      <w:r w:rsidRPr="00E11D85" w:rsidR="00037CBA">
        <w:rPr>
          <w:b/>
          <w:snapToGrid w:val="0"/>
          <w:sz w:val="24"/>
        </w:rPr>
        <w:t>our</w:t>
      </w:r>
      <w:r w:rsidRPr="00E11D85">
        <w:rPr>
          <w:b/>
          <w:snapToGrid w:val="0"/>
          <w:sz w:val="24"/>
        </w:rPr>
        <w:t xml:space="preserve">s and Cost </w:t>
      </w:r>
      <w:r w:rsidRPr="00E11D85" w:rsidR="00037CBA">
        <w:rPr>
          <w:b/>
          <w:snapToGrid w:val="0"/>
          <w:sz w:val="24"/>
        </w:rPr>
        <w:t xml:space="preserve"> </w:t>
      </w:r>
    </w:p>
    <w:p w:rsidR="000D40DC" w:rsidP="000D40DC" w14:paraId="4C03428C" w14:textId="77777777">
      <w:pPr>
        <w:widowControl w:val="0"/>
        <w:rPr>
          <w:b/>
          <w:snapToGrid w:val="0"/>
          <w:sz w:val="24"/>
        </w:rPr>
      </w:pPr>
    </w:p>
    <w:p w:rsidR="000D40DC" w:rsidP="003822F6" w14:paraId="0A3B66DD" w14:textId="12CB8C0A">
      <w:pPr>
        <w:pStyle w:val="ListParagraph"/>
        <w:widowControl w:val="0"/>
        <w:numPr>
          <w:ilvl w:val="0"/>
          <w:numId w:val="6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 xml:space="preserve">Estimated </w:t>
      </w:r>
      <w:r w:rsidRPr="00E11D85" w:rsidR="000B3BE0">
        <w:rPr>
          <w:b/>
          <w:snapToGrid w:val="0"/>
          <w:sz w:val="24"/>
        </w:rPr>
        <w:t>Annualized</w:t>
      </w:r>
      <w:r w:rsidRPr="00E11D85">
        <w:rPr>
          <w:b/>
          <w:snapToGrid w:val="0"/>
          <w:sz w:val="24"/>
        </w:rPr>
        <w:t xml:space="preserve"> </w:t>
      </w:r>
      <w:r w:rsidRPr="00E11D85" w:rsidR="000B3BE0">
        <w:rPr>
          <w:b/>
          <w:snapToGrid w:val="0"/>
          <w:sz w:val="24"/>
        </w:rPr>
        <w:t xml:space="preserve">Burden Hours </w:t>
      </w:r>
    </w:p>
    <w:p w:rsidR="003822F6" w:rsidP="003822F6" w14:paraId="7F03BA79" w14:textId="2220F7F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</w:t>
      </w:r>
    </w:p>
    <w:p w:rsidR="00C83B33" w:rsidP="00C83B33" w14:paraId="2F676F38" w14:textId="292E6A5E">
      <w:pPr>
        <w:widowControl w:val="0"/>
        <w:ind w:left="720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An estimated 550 respondents will each take </w:t>
      </w:r>
      <w:r w:rsidR="0020013A">
        <w:rPr>
          <w:bCs/>
          <w:snapToGrid w:val="0"/>
          <w:sz w:val="24"/>
        </w:rPr>
        <w:t>one (</w:t>
      </w:r>
      <w:r>
        <w:rPr>
          <w:bCs/>
          <w:snapToGrid w:val="0"/>
          <w:sz w:val="24"/>
        </w:rPr>
        <w:t>1</w:t>
      </w:r>
      <w:r w:rsidR="0020013A">
        <w:rPr>
          <w:bCs/>
          <w:snapToGrid w:val="0"/>
          <w:sz w:val="24"/>
        </w:rPr>
        <w:t>)</w:t>
      </w:r>
      <w:r>
        <w:rPr>
          <w:bCs/>
          <w:snapToGrid w:val="0"/>
          <w:sz w:val="24"/>
        </w:rPr>
        <w:t xml:space="preserve"> hour to respond once </w:t>
      </w:r>
      <w:r w:rsidR="003E54C5">
        <w:rPr>
          <w:bCs/>
          <w:snapToGrid w:val="0"/>
          <w:sz w:val="24"/>
        </w:rPr>
        <w:t xml:space="preserve">annually </w:t>
      </w:r>
      <w:r>
        <w:rPr>
          <w:bCs/>
          <w:snapToGrid w:val="0"/>
          <w:sz w:val="24"/>
        </w:rPr>
        <w:t>to this collection for a total 550 hours, which can be calculated as shown in the table below</w:t>
      </w:r>
      <w:r>
        <w:rPr>
          <w:bCs/>
          <w:snapToGrid w:val="0"/>
          <w:sz w:val="24"/>
        </w:rPr>
        <w:t>:</w:t>
      </w:r>
    </w:p>
    <w:p w:rsidR="00C83B33" w:rsidRPr="00E11D85" w:rsidP="00E11D85" w14:paraId="749D15A6" w14:textId="5B7194D4">
      <w:pPr>
        <w:widowControl w:val="0"/>
        <w:ind w:left="720"/>
        <w:rPr>
          <w:bCs/>
          <w:snapToGrid w:val="0"/>
          <w:sz w:val="24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LINK Excel.Sheet.12 "C:\\Users\\tamelia.bolton\\Desktop\\IC Program\\MARAD Information Collections Tracker.xlsx" "12a. Annualized Burden Hours!R143C1:R146C9" \a \f 4 \h  \* MERGEFORMAT </w:instrText>
      </w:r>
      <w:r>
        <w:rPr>
          <w:snapToGrid w:val="0"/>
        </w:rPr>
        <w:fldChar w:fldCharType="separate"/>
      </w:r>
    </w:p>
    <w:tbl>
      <w:tblPr>
        <w:tblW w:w="9005" w:type="dxa"/>
        <w:tblInd w:w="445" w:type="dxa"/>
        <w:tblLook w:val="04A0"/>
      </w:tblPr>
      <w:tblGrid>
        <w:gridCol w:w="1709"/>
        <w:gridCol w:w="454"/>
        <w:gridCol w:w="1884"/>
        <w:gridCol w:w="455"/>
        <w:gridCol w:w="1270"/>
        <w:gridCol w:w="443"/>
        <w:gridCol w:w="1260"/>
        <w:gridCol w:w="360"/>
        <w:gridCol w:w="1170"/>
      </w:tblGrid>
      <w:tr w14:paraId="237476DC" w14:textId="77777777" w:rsidTr="0020013A">
        <w:tblPrEx>
          <w:tblW w:w="9005" w:type="dxa"/>
          <w:tblInd w:w="445" w:type="dxa"/>
          <w:tblLook w:val="04A0"/>
        </w:tblPrEx>
        <w:trPr>
          <w:trHeight w:val="1132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7B04218E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Number of</w:t>
            </w:r>
          </w:p>
          <w:p w:rsidR="00C83B33" w:rsidRPr="00E11D85" w:rsidP="00C83B33" w14:paraId="68884709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Respondents</w:t>
            </w:r>
          </w:p>
          <w:p w:rsidR="00C83B33" w:rsidRPr="00E11D85" w:rsidP="00C83B33" w14:paraId="2063DA4C" w14:textId="4F1A07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31BA69E8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7810A3F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Responses</w:t>
            </w:r>
          </w:p>
          <w:p w:rsidR="00C83B33" w:rsidRPr="00E11D85" w:rsidP="00C83B33" w14:paraId="316F0463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per</w:t>
            </w:r>
          </w:p>
          <w:p w:rsidR="00C83B33" w:rsidRPr="00E11D85" w:rsidP="00C83B33" w14:paraId="577DAA05" w14:textId="0B0812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Respondent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0AF05943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7D138236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  <w:p w:rsidR="00C83B33" w:rsidRPr="00E11D85" w:rsidP="00C83B33" w14:paraId="707747DA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Responses</w:t>
            </w:r>
          </w:p>
          <w:p w:rsidR="00C83B33" w:rsidRPr="00E11D85" w:rsidP="00C83B33" w14:paraId="419D11D7" w14:textId="2B0C68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Annually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41C24F47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1808ABB9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Hours</w:t>
            </w:r>
          </w:p>
          <w:p w:rsidR="00C83B33" w:rsidRPr="00E11D85" w:rsidP="00C83B33" w14:paraId="1FB09BF2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per</w:t>
            </w:r>
          </w:p>
          <w:p w:rsidR="00C83B33" w:rsidRPr="00E11D85" w:rsidP="00C83B33" w14:paraId="56683F64" w14:textId="555B4E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Response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7854CF0B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C83B33" w:rsidRPr="00E11D85" w:rsidP="00C83B33" w14:paraId="42E3D2E0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  <w:p w:rsidR="00C83B33" w:rsidRPr="00E11D85" w:rsidP="00C83B33" w14:paraId="391DB31E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Hours</w:t>
            </w:r>
          </w:p>
          <w:p w:rsidR="00C83B33" w:rsidRPr="00E11D85" w:rsidP="00C83B33" w14:paraId="6897D287" w14:textId="436D54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1D85">
              <w:rPr>
                <w:b/>
                <w:bCs/>
                <w:color w:val="000000"/>
                <w:sz w:val="22"/>
                <w:szCs w:val="22"/>
              </w:rPr>
              <w:t>Annually</w:t>
            </w:r>
          </w:p>
        </w:tc>
      </w:tr>
      <w:tr w14:paraId="1B3A29FC" w14:textId="77777777" w:rsidTr="00E11D85">
        <w:tblPrEx>
          <w:tblW w:w="9005" w:type="dxa"/>
          <w:tblInd w:w="445" w:type="dxa"/>
          <w:tblLook w:val="04A0"/>
        </w:tblPrEx>
        <w:trPr>
          <w:trHeight w:val="320"/>
        </w:trPr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37DF3840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097DB28A" w14:textId="10D354A4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36370FF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796BE9D7" w14:textId="5970F16F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3BF6D40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0730817C" w14:textId="1FB53319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6AE4385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5051D6E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B33" w:rsidRPr="00E11D85" w:rsidP="00C83B33" w14:paraId="6EADC3B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E11D85">
              <w:rPr>
                <w:color w:val="000000"/>
                <w:sz w:val="22"/>
                <w:szCs w:val="22"/>
              </w:rPr>
              <w:t>550</w:t>
            </w:r>
          </w:p>
        </w:tc>
      </w:tr>
    </w:tbl>
    <w:p w:rsidR="00037CBA" w:rsidP="003E54C5" w14:paraId="3F4D4EBE" w14:textId="7B018BD1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fldChar w:fldCharType="end"/>
      </w:r>
    </w:p>
    <w:p w:rsidR="000B3BE0" w:rsidRPr="00E11D85" w:rsidP="00E11D85" w14:paraId="6CF1969D" w14:textId="241C7789">
      <w:pPr>
        <w:pStyle w:val="ListParagraph"/>
        <w:numPr>
          <w:ilvl w:val="0"/>
          <w:numId w:val="3"/>
        </w:numPr>
        <w:rPr>
          <w:snapToGrid w:val="0"/>
          <w:szCs w:val="24"/>
        </w:rPr>
      </w:pPr>
      <w:r>
        <w:rPr>
          <w:snapToGrid w:val="0"/>
        </w:rPr>
        <w:t xml:space="preserve"> </w:t>
      </w:r>
      <w:r w:rsidRPr="00E11D85">
        <w:rPr>
          <w:b/>
          <w:bCs/>
          <w:snapToGrid w:val="0"/>
          <w:sz w:val="24"/>
          <w:szCs w:val="24"/>
        </w:rPr>
        <w:t>E</w:t>
      </w:r>
      <w:r w:rsidRPr="00E11D85" w:rsidR="00037CBA">
        <w:rPr>
          <w:b/>
          <w:bCs/>
          <w:snapToGrid w:val="0"/>
          <w:sz w:val="24"/>
          <w:szCs w:val="24"/>
        </w:rPr>
        <w:t xml:space="preserve">stimate of the </w:t>
      </w:r>
      <w:r w:rsidRPr="00E11D85">
        <w:rPr>
          <w:b/>
          <w:bCs/>
          <w:snapToGrid w:val="0"/>
          <w:sz w:val="24"/>
          <w:szCs w:val="24"/>
        </w:rPr>
        <w:t xml:space="preserve">Total Annual Cost Burden </w:t>
      </w:r>
      <w:r w:rsidRPr="00E11D85" w:rsidR="00037CBA">
        <w:rPr>
          <w:b/>
          <w:bCs/>
          <w:snapToGrid w:val="0"/>
          <w:sz w:val="24"/>
          <w:szCs w:val="24"/>
        </w:rPr>
        <w:t xml:space="preserve">to </w:t>
      </w:r>
      <w:r w:rsidRPr="00E11D85">
        <w:rPr>
          <w:b/>
          <w:bCs/>
          <w:snapToGrid w:val="0"/>
          <w:sz w:val="24"/>
          <w:szCs w:val="24"/>
        </w:rPr>
        <w:t xml:space="preserve">Respondents </w:t>
      </w:r>
      <w:r w:rsidRPr="00E11D85" w:rsidR="00037CBA">
        <w:rPr>
          <w:b/>
          <w:bCs/>
          <w:snapToGrid w:val="0"/>
          <w:sz w:val="24"/>
          <w:szCs w:val="24"/>
        </w:rPr>
        <w:t xml:space="preserve">or </w:t>
      </w:r>
      <w:r w:rsidRPr="00E11D85">
        <w:rPr>
          <w:b/>
          <w:bCs/>
          <w:snapToGrid w:val="0"/>
          <w:sz w:val="24"/>
          <w:szCs w:val="24"/>
        </w:rPr>
        <w:t>Recordkeepers</w:t>
      </w:r>
      <w:r w:rsidRPr="00E11D85">
        <w:rPr>
          <w:snapToGrid w:val="0"/>
          <w:szCs w:val="24"/>
        </w:rPr>
        <w:t xml:space="preserve"> </w:t>
      </w:r>
    </w:p>
    <w:p w:rsidR="000B3BE0" w14:paraId="5AFC49A5" w14:textId="77777777">
      <w:pPr>
        <w:widowControl w:val="0"/>
        <w:rPr>
          <w:b/>
          <w:snapToGrid w:val="0"/>
          <w:sz w:val="24"/>
        </w:rPr>
      </w:pPr>
    </w:p>
    <w:p w:rsidR="0020013A" w:rsidP="0020013A" w14:paraId="7D31803D" w14:textId="76A4AF24">
      <w:pPr>
        <w:widowControl w:val="0"/>
        <w:ind w:left="720"/>
        <w:rPr>
          <w:snapToGrid w:val="0"/>
          <w:sz w:val="24"/>
        </w:rPr>
      </w:pPr>
      <w:r>
        <w:rPr>
          <w:bCs/>
          <w:snapToGrid w:val="0"/>
          <w:sz w:val="24"/>
        </w:rPr>
        <w:t xml:space="preserve">There are no </w:t>
      </w:r>
      <w:r w:rsidR="007073F7">
        <w:rPr>
          <w:snapToGrid w:val="0"/>
          <w:sz w:val="24"/>
        </w:rPr>
        <w:t>capital</w:t>
      </w:r>
      <w:r>
        <w:rPr>
          <w:snapToGrid w:val="0"/>
          <w:sz w:val="24"/>
        </w:rPr>
        <w:t xml:space="preserve">, </w:t>
      </w:r>
      <w:r w:rsidR="007073F7">
        <w:rPr>
          <w:snapToGrid w:val="0"/>
          <w:sz w:val="24"/>
        </w:rPr>
        <w:t>start</w:t>
      </w:r>
      <w:r>
        <w:rPr>
          <w:snapToGrid w:val="0"/>
          <w:sz w:val="24"/>
        </w:rPr>
        <w:t>-</w:t>
      </w:r>
      <w:r w:rsidR="007073F7">
        <w:rPr>
          <w:snapToGrid w:val="0"/>
          <w:sz w:val="24"/>
        </w:rPr>
        <w:t>up</w:t>
      </w:r>
      <w:r>
        <w:rPr>
          <w:snapToGrid w:val="0"/>
          <w:sz w:val="24"/>
        </w:rPr>
        <w:t xml:space="preserve">, </w:t>
      </w:r>
      <w:r w:rsidR="007073F7">
        <w:rPr>
          <w:snapToGrid w:val="0"/>
          <w:sz w:val="24"/>
        </w:rPr>
        <w:t>operation</w:t>
      </w:r>
      <w:r>
        <w:rPr>
          <w:snapToGrid w:val="0"/>
          <w:sz w:val="24"/>
        </w:rPr>
        <w:t xml:space="preserve">, </w:t>
      </w:r>
      <w:r w:rsidR="007073F7">
        <w:rPr>
          <w:snapToGrid w:val="0"/>
          <w:sz w:val="24"/>
        </w:rPr>
        <w:t>maintenance</w:t>
      </w:r>
      <w:r>
        <w:rPr>
          <w:snapToGrid w:val="0"/>
          <w:sz w:val="24"/>
        </w:rPr>
        <w:t xml:space="preserve">, and </w:t>
      </w:r>
      <w:r w:rsidR="007073F7">
        <w:rPr>
          <w:snapToGrid w:val="0"/>
          <w:sz w:val="24"/>
        </w:rPr>
        <w:t xml:space="preserve">purchase </w:t>
      </w:r>
      <w:r>
        <w:rPr>
          <w:snapToGrid w:val="0"/>
          <w:sz w:val="24"/>
        </w:rPr>
        <w:t xml:space="preserve">of </w:t>
      </w:r>
      <w:r w:rsidR="007073F7">
        <w:rPr>
          <w:snapToGrid w:val="0"/>
          <w:sz w:val="24"/>
        </w:rPr>
        <w:t xml:space="preserve">services </w:t>
      </w:r>
      <w:r>
        <w:rPr>
          <w:snapToGrid w:val="0"/>
          <w:sz w:val="24"/>
        </w:rPr>
        <w:t xml:space="preserve">costs associated with this information collection. </w:t>
      </w:r>
    </w:p>
    <w:p w:rsidR="00037CBA" w14:paraId="6D497A30" w14:textId="77777777">
      <w:pPr>
        <w:widowControl w:val="0"/>
        <w:rPr>
          <w:snapToGrid w:val="0"/>
          <w:sz w:val="24"/>
        </w:rPr>
      </w:pPr>
    </w:p>
    <w:p w:rsidR="000B3BE0" w:rsidRPr="00E11D85" w:rsidP="0020013A" w14:paraId="35C1B070" w14:textId="48C64224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E</w:t>
      </w:r>
      <w:r w:rsidRPr="00E11D85" w:rsidR="00037CBA">
        <w:rPr>
          <w:b/>
          <w:snapToGrid w:val="0"/>
          <w:sz w:val="24"/>
        </w:rPr>
        <w:t>stimates of Federal Government</w:t>
      </w:r>
      <w:r w:rsidRPr="00E11D85">
        <w:rPr>
          <w:b/>
          <w:snapToGrid w:val="0"/>
          <w:sz w:val="24"/>
        </w:rPr>
        <w:t xml:space="preserve"> Costs</w:t>
      </w:r>
    </w:p>
    <w:p w:rsidR="00037CBA" w14:paraId="025F449B" w14:textId="77777777">
      <w:pPr>
        <w:widowControl w:val="0"/>
        <w:rPr>
          <w:snapToGrid w:val="0"/>
          <w:sz w:val="24"/>
        </w:rPr>
      </w:pPr>
    </w:p>
    <w:p w:rsidR="003E54C5" w:rsidP="003E54C5" w14:paraId="161A8495" w14:textId="77777777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The total annual cost to the Federal Government for processing the collection is </w:t>
      </w:r>
    </w:p>
    <w:p w:rsidR="00037CBA" w:rsidP="00E11D85" w14:paraId="1BD7B21F" w14:textId="5EFD7B74">
      <w:pPr>
        <w:widowControl w:val="0"/>
        <w:ind w:left="720"/>
        <w:rPr>
          <w:snapToGrid w:val="0"/>
          <w:sz w:val="24"/>
        </w:rPr>
      </w:pPr>
      <w:r w:rsidRPr="00E11D85">
        <w:rPr>
          <w:snapToGrid w:val="0"/>
          <w:sz w:val="24"/>
        </w:rPr>
        <w:t xml:space="preserve">$ </w:t>
      </w:r>
      <w:r w:rsidR="001E2F2E">
        <w:rPr>
          <w:snapToGrid w:val="0"/>
          <w:sz w:val="24"/>
        </w:rPr>
        <w:t>5</w:t>
      </w:r>
      <w:r w:rsidRPr="00E11D85">
        <w:rPr>
          <w:snapToGrid w:val="0"/>
          <w:sz w:val="24"/>
        </w:rPr>
        <w:t>5,787.50</w:t>
      </w:r>
      <w:r w:rsidRPr="003B5265" w:rsidR="0020013A">
        <w:rPr>
          <w:snapToGrid w:val="0"/>
          <w:sz w:val="24"/>
        </w:rPr>
        <w:t>.</w:t>
      </w:r>
    </w:p>
    <w:p w:rsidR="00037CBA" w:rsidP="00E11D85" w14:paraId="3CD91CFF" w14:textId="77777777">
      <w:pPr>
        <w:widowControl w:val="0"/>
        <w:ind w:left="720"/>
        <w:rPr>
          <w:snapToGrid w:val="0"/>
          <w:sz w:val="24"/>
        </w:rPr>
      </w:pPr>
    </w:p>
    <w:p w:rsidR="00037CBA" w:rsidP="00E11D85" w14:paraId="703A49FF" w14:textId="5894C95B">
      <w:pPr>
        <w:widowControl w:val="0"/>
        <w:ind w:left="720"/>
        <w:rPr>
          <w:snapToGrid w:val="0"/>
          <w:sz w:val="24"/>
        </w:rPr>
      </w:pPr>
      <w:r w:rsidRPr="0020013A">
        <w:rPr>
          <w:iCs/>
          <w:snapToGrid w:val="0"/>
          <w:sz w:val="24"/>
        </w:rPr>
        <w:t>According to the Office of Personnel Management (OPM)</w:t>
      </w:r>
      <w:r>
        <w:rPr>
          <w:iCs/>
          <w:snapToGrid w:val="0"/>
          <w:sz w:val="24"/>
          <w:vertAlign w:val="superscript"/>
        </w:rPr>
        <w:footnoteReference w:id="2"/>
      </w:r>
      <w:r w:rsidRPr="0020013A">
        <w:rPr>
          <w:iCs/>
          <w:snapToGrid w:val="0"/>
          <w:sz w:val="24"/>
        </w:rPr>
        <w:t xml:space="preserve"> wage tables, the hourly wage rate for one</w:t>
      </w:r>
      <w:r>
        <w:rPr>
          <w:iCs/>
          <w:snapToGrid w:val="0"/>
          <w:sz w:val="24"/>
        </w:rPr>
        <w:t xml:space="preserve"> </w:t>
      </w:r>
      <w:r>
        <w:rPr>
          <w:snapToGrid w:val="0"/>
          <w:sz w:val="24"/>
        </w:rPr>
        <w:t>(GS 13 step 4) employee with a</w:t>
      </w:r>
      <w:r w:rsidRPr="0020013A">
        <w:rPr>
          <w:iCs/>
          <w:sz w:val="24"/>
          <w:szCs w:val="24"/>
        </w:rPr>
        <w:t xml:space="preserve"> </w:t>
      </w:r>
      <w:r w:rsidRPr="0020013A">
        <w:rPr>
          <w:iCs/>
          <w:snapToGrid w:val="0"/>
          <w:sz w:val="24"/>
        </w:rPr>
        <w:t>Washington-Baltimore-Arlington locality pay is</w:t>
      </w:r>
      <w:r>
        <w:rPr>
          <w:iCs/>
          <w:snapToGrid w:val="0"/>
          <w:sz w:val="24"/>
        </w:rPr>
        <w:t xml:space="preserve"> $ 63.55</w:t>
      </w:r>
      <w:r>
        <w:rPr>
          <w:snapToGrid w:val="0"/>
          <w:sz w:val="24"/>
        </w:rPr>
        <w:t>.</w:t>
      </w:r>
      <w:r w:rsidRPr="0020013A">
        <w:rPr>
          <w:snapToGrid w:val="0"/>
          <w:sz w:val="24"/>
        </w:rPr>
        <w:t xml:space="preserve"> </w:t>
      </w:r>
      <w:r w:rsidRPr="007126B7" w:rsidR="007126B7">
        <w:rPr>
          <w:snapToGrid w:val="0"/>
          <w:sz w:val="24"/>
        </w:rPr>
        <w:t xml:space="preserve">When </w:t>
      </w:r>
      <w:r w:rsidRPr="007126B7" w:rsidR="007126B7">
        <w:rPr>
          <w:iCs/>
          <w:snapToGrid w:val="0"/>
          <w:sz w:val="24"/>
        </w:rPr>
        <w:t>combined with the Federal Employee Compensation rate of 31%</w:t>
      </w:r>
      <w:r>
        <w:rPr>
          <w:iCs/>
          <w:snapToGrid w:val="0"/>
          <w:sz w:val="24"/>
          <w:vertAlign w:val="superscript"/>
        </w:rPr>
        <w:footnoteReference w:id="3"/>
      </w:r>
      <w:r w:rsidRPr="007126B7" w:rsidR="007126B7">
        <w:rPr>
          <w:iCs/>
          <w:snapToGrid w:val="0"/>
          <w:sz w:val="24"/>
        </w:rPr>
        <w:t>, the total hourly wage rate for this employee is</w:t>
      </w:r>
      <w:r w:rsidR="007126B7">
        <w:rPr>
          <w:iCs/>
          <w:snapToGrid w:val="0"/>
          <w:sz w:val="24"/>
        </w:rPr>
        <w:t xml:space="preserve"> </w:t>
      </w:r>
      <w:r w:rsidR="00952A06">
        <w:rPr>
          <w:iCs/>
          <w:snapToGrid w:val="0"/>
          <w:sz w:val="24"/>
        </w:rPr>
        <w:t>$ 83.25.</w:t>
      </w:r>
      <w:r>
        <w:rPr>
          <w:snapToGrid w:val="0"/>
          <w:sz w:val="24"/>
        </w:rPr>
        <w:t xml:space="preserve"> </w:t>
      </w:r>
      <w:r w:rsidR="003E54C5">
        <w:rPr>
          <w:snapToGrid w:val="0"/>
          <w:sz w:val="24"/>
        </w:rPr>
        <w:t xml:space="preserve"> </w:t>
      </w:r>
      <w:r w:rsidR="00952A06">
        <w:rPr>
          <w:snapToGrid w:val="0"/>
          <w:sz w:val="24"/>
        </w:rPr>
        <w:t xml:space="preserve">This employee will take </w:t>
      </w:r>
      <w:r w:rsidR="00952A06">
        <w:rPr>
          <w:snapToGrid w:val="0"/>
          <w:sz w:val="24"/>
        </w:rPr>
        <w:t>approximately one (1) hour to</w:t>
      </w:r>
      <w:r>
        <w:rPr>
          <w:snapToGrid w:val="0"/>
          <w:sz w:val="24"/>
        </w:rPr>
        <w:t xml:space="preserve"> review and process requests</w:t>
      </w:r>
      <w:r w:rsidR="00952A06">
        <w:rPr>
          <w:snapToGrid w:val="0"/>
          <w:sz w:val="24"/>
        </w:rPr>
        <w:t xml:space="preserve"> received, and </w:t>
      </w:r>
      <w:r>
        <w:rPr>
          <w:snapToGrid w:val="0"/>
          <w:sz w:val="24"/>
        </w:rPr>
        <w:t>prepar</w:t>
      </w:r>
      <w:r w:rsidR="00952A06">
        <w:rPr>
          <w:snapToGrid w:val="0"/>
          <w:sz w:val="24"/>
        </w:rPr>
        <w:t xml:space="preserve">e, </w:t>
      </w:r>
      <w:r>
        <w:rPr>
          <w:snapToGrid w:val="0"/>
          <w:sz w:val="24"/>
        </w:rPr>
        <w:t>photocopy</w:t>
      </w:r>
      <w:r w:rsidR="00952A06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and mail</w:t>
      </w:r>
      <w:r w:rsidR="003E54C5">
        <w:rPr>
          <w:snapToGrid w:val="0"/>
          <w:sz w:val="24"/>
        </w:rPr>
        <w:t xml:space="preserve"> each</w:t>
      </w:r>
      <w:r>
        <w:rPr>
          <w:snapToGrid w:val="0"/>
          <w:sz w:val="24"/>
        </w:rPr>
        <w:t xml:space="preserve"> award.  </w:t>
      </w:r>
      <w:r w:rsidR="00952A06">
        <w:rPr>
          <w:snapToGrid w:val="0"/>
          <w:sz w:val="24"/>
        </w:rPr>
        <w:t xml:space="preserve">Therefore, the total combined cost associated with this effort is </w:t>
      </w:r>
      <w:r w:rsidRPr="00E11D85" w:rsidR="003B5265">
        <w:rPr>
          <w:color w:val="000000"/>
          <w:sz w:val="24"/>
          <w:szCs w:val="24"/>
        </w:rPr>
        <w:t xml:space="preserve">$  </w:t>
      </w:r>
      <w:r w:rsidR="001E2F2E">
        <w:rPr>
          <w:color w:val="000000"/>
          <w:sz w:val="24"/>
          <w:szCs w:val="24"/>
        </w:rPr>
        <w:t>4</w:t>
      </w:r>
      <w:r w:rsidRPr="00E11D85" w:rsidR="003B5265">
        <w:rPr>
          <w:color w:val="000000"/>
          <w:sz w:val="24"/>
          <w:szCs w:val="24"/>
        </w:rPr>
        <w:t>5,787.50</w:t>
      </w:r>
      <w:r w:rsidR="00952A06">
        <w:rPr>
          <w:snapToGrid w:val="0"/>
          <w:sz w:val="24"/>
        </w:rPr>
        <w:t>, which can be calculated as shown in the table below:</w:t>
      </w:r>
    </w:p>
    <w:p w:rsidR="00037CBA" w:rsidRPr="00DF6DB4" w:rsidP="00E11D85" w14:paraId="0735BE9D" w14:textId="77777777">
      <w:pPr>
        <w:widowControl w:val="0"/>
        <w:ind w:left="720"/>
        <w:rPr>
          <w:snapToGrid w:val="0"/>
          <w:color w:val="FF0000"/>
          <w:sz w:val="24"/>
        </w:rPr>
      </w:pPr>
    </w:p>
    <w:tbl>
      <w:tblPr>
        <w:tblW w:w="11439" w:type="dxa"/>
        <w:tblInd w:w="-905" w:type="dxa"/>
        <w:tblCellMar>
          <w:left w:w="0" w:type="dxa"/>
          <w:right w:w="0" w:type="dxa"/>
        </w:tblCellMar>
        <w:tblLook w:val="04A0"/>
      </w:tblPr>
      <w:tblGrid>
        <w:gridCol w:w="1867"/>
        <w:gridCol w:w="787"/>
        <w:gridCol w:w="1584"/>
        <w:gridCol w:w="416"/>
        <w:gridCol w:w="985"/>
        <w:gridCol w:w="416"/>
        <w:gridCol w:w="1561"/>
        <w:gridCol w:w="416"/>
        <w:gridCol w:w="1781"/>
        <w:gridCol w:w="335"/>
        <w:gridCol w:w="1291"/>
      </w:tblGrid>
      <w:tr w14:paraId="75EA6437" w14:textId="77777777" w:rsidTr="003E54C5">
        <w:tblPrEx>
          <w:tblW w:w="11439" w:type="dxa"/>
          <w:tblInd w:w="-905" w:type="dxa"/>
          <w:tblCellMar>
            <w:left w:w="0" w:type="dxa"/>
            <w:right w:w="0" w:type="dxa"/>
          </w:tblCellMar>
          <w:tblLook w:val="04A0"/>
        </w:tblPrEx>
        <w:trPr>
          <w:trHeight w:val="13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14:paraId="4469960C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FTE Grade and Step &amp; CRF Program Related  Task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14:paraId="21AE1BCF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Hourly Wage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14:paraId="39B04E91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Average Hourly </w:t>
            </w:r>
          </w:p>
          <w:p w:rsidR="003B5265" w14:paraId="2F6D98AF" w14:textId="5D58FB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Wage Rate with 31% Compensation  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5265" w14:paraId="562885DA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14:paraId="1A874C2A" w14:textId="4676C9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Employees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5265" w14:paraId="572AAE64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14:paraId="5381B1E3" w14:textId="7C5973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Time for Per </w:t>
            </w:r>
            <w:r w:rsidR="003E54C5">
              <w:rPr>
                <w:b/>
                <w:bCs/>
                <w:color w:val="000000"/>
              </w:rPr>
              <w:t xml:space="preserve">Request/ Recommendation </w:t>
            </w:r>
            <w:r>
              <w:rPr>
                <w:b/>
                <w:bCs/>
                <w:color w:val="000000"/>
              </w:rPr>
              <w:t xml:space="preserve">                        (In  Hours)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5265" w14:paraId="61FF8E8A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:rsidP="003B5265" w14:paraId="31922802" w14:textId="3E146F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 Requests/ Recommendations 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5265" w14:paraId="24830296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65" w:rsidP="003B5265" w14:paraId="0CA8EFEE" w14:textId="079F5B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Federal Government Wages</w:t>
            </w:r>
          </w:p>
        </w:tc>
      </w:tr>
      <w:tr w14:paraId="15A90206" w14:textId="77777777" w:rsidTr="003E54C5">
        <w:tblPrEx>
          <w:tblW w:w="11439" w:type="dxa"/>
          <w:tblInd w:w="-905" w:type="dxa"/>
          <w:tblCellMar>
            <w:left w:w="0" w:type="dxa"/>
            <w:right w:w="0" w:type="dxa"/>
          </w:tblCellMar>
          <w:tblLook w:val="04A0"/>
        </w:tblPrEx>
        <w:trPr>
          <w:trHeight w:val="804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265" w14:paraId="25310725" w14:textId="77777777">
            <w:pPr>
              <w:rPr>
                <w:color w:val="000000"/>
              </w:rPr>
            </w:pPr>
            <w:r>
              <w:rPr>
                <w:color w:val="000000"/>
              </w:rPr>
              <w:t>GS 13 (Step 4): Review and Process Requests &amp; Mail Awards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65" w14:paraId="64EBD455" w14:textId="7A31D088">
            <w:pPr>
              <w:rPr>
                <w:color w:val="000000"/>
              </w:rPr>
            </w:pPr>
            <w:r>
              <w:rPr>
                <w:color w:val="000000"/>
              </w:rPr>
              <w:t xml:space="preserve"> $  63.55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65" w14:paraId="463D9C1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$            83.25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65" w14:paraId="3AB5B2A7" w14:textId="77777777">
            <w:pPr>
              <w:jc w:val="center"/>
              <w:rPr>
                <w:color w:val="000000"/>
              </w:rPr>
            </w:pPr>
          </w:p>
          <w:p w:rsidR="003B5265" w14:paraId="0A030A2A" w14:textId="7DFA9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65" w14:paraId="44991430" w14:textId="6BA3E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65" w14:paraId="611209D8" w14:textId="77777777">
            <w:pPr>
              <w:jc w:val="center"/>
              <w:rPr>
                <w:color w:val="000000"/>
              </w:rPr>
            </w:pPr>
          </w:p>
          <w:p w:rsidR="003B5265" w14:paraId="5C1791D7" w14:textId="4EEF1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65" w14:paraId="3FA85160" w14:textId="1B711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65" w14:paraId="66A8C5EF" w14:textId="77777777">
            <w:pPr>
              <w:jc w:val="center"/>
              <w:rPr>
                <w:color w:val="000000"/>
              </w:rPr>
            </w:pPr>
          </w:p>
          <w:p w:rsidR="003B5265" w14:paraId="04EE7132" w14:textId="295745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65" w14:paraId="3746A4D8" w14:textId="240C3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265" w14:paraId="0AB460E5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3B5265" w14:paraId="15A1115B" w14:textId="4F44961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=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65" w14:paraId="1A4405AB" w14:textId="4363BB4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bookmarkStart w:id="0" w:name="_Hlk195007010"/>
            <w:r>
              <w:rPr>
                <w:color w:val="000000"/>
              </w:rPr>
              <w:t xml:space="preserve">$     45,787.50 </w:t>
            </w:r>
            <w:bookmarkEnd w:id="0"/>
          </w:p>
        </w:tc>
      </w:tr>
    </w:tbl>
    <w:p w:rsidR="00037CBA" w:rsidRPr="00E1248A" w:rsidP="009327D1" w14:paraId="28062C17" w14:textId="04190E25">
      <w:pPr>
        <w:pStyle w:val="Default"/>
        <w:rPr>
          <w:snapToGrid w:val="0"/>
          <w:color w:val="FF0000"/>
        </w:rPr>
      </w:pPr>
      <w:r w:rsidRPr="00B857BD">
        <w:rPr>
          <w:snapToGrid w:val="0"/>
        </w:rPr>
        <w:t xml:space="preserve"> </w:t>
      </w:r>
      <w:r w:rsidRPr="003D76CA" w:rsidR="003D76CA">
        <w:rPr>
          <w:snapToGrid w:val="0"/>
          <w:color w:val="FF0000"/>
        </w:rPr>
        <w:t xml:space="preserve"> </w:t>
      </w:r>
      <w:r w:rsidR="005E28BD">
        <w:rPr>
          <w:snapToGrid w:val="0"/>
          <w:color w:val="FF0000"/>
        </w:rPr>
        <w:t xml:space="preserve">  </w:t>
      </w:r>
      <w:r w:rsidRPr="003D76CA" w:rsidR="003D76CA">
        <w:rPr>
          <w:snapToGrid w:val="0"/>
          <w:color w:val="FF0000"/>
        </w:rPr>
        <w:t xml:space="preserve">            </w:t>
      </w:r>
    </w:p>
    <w:p w:rsidR="00037CBA" w:rsidRPr="00E11D85" w:rsidP="00E11D85" w14:paraId="0FD62B93" w14:textId="72462303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Expla</w:t>
      </w:r>
      <w:r w:rsidRPr="00E11D85" w:rsidR="000B3BE0">
        <w:rPr>
          <w:b/>
          <w:snapToGrid w:val="0"/>
          <w:sz w:val="24"/>
        </w:rPr>
        <w:t>nation of P</w:t>
      </w:r>
      <w:r w:rsidRPr="00E11D85">
        <w:rPr>
          <w:b/>
          <w:snapToGrid w:val="0"/>
          <w:sz w:val="24"/>
        </w:rPr>
        <w:t xml:space="preserve">rogram </w:t>
      </w:r>
      <w:r w:rsidRPr="00E11D85" w:rsidR="000B3BE0">
        <w:rPr>
          <w:b/>
          <w:snapToGrid w:val="0"/>
          <w:sz w:val="24"/>
        </w:rPr>
        <w:t xml:space="preserve">Changes </w:t>
      </w:r>
      <w:r w:rsidRPr="00E11D85">
        <w:rPr>
          <w:b/>
          <w:snapToGrid w:val="0"/>
          <w:sz w:val="24"/>
        </w:rPr>
        <w:t xml:space="preserve">or </w:t>
      </w:r>
      <w:r w:rsidRPr="00E11D85" w:rsidR="000B3BE0">
        <w:rPr>
          <w:b/>
          <w:snapToGrid w:val="0"/>
          <w:sz w:val="24"/>
        </w:rPr>
        <w:t>Adjustments</w:t>
      </w:r>
    </w:p>
    <w:p w:rsidR="00037CBA" w14:paraId="2652693E" w14:textId="77777777">
      <w:pPr>
        <w:widowControl w:val="0"/>
        <w:rPr>
          <w:snapToGrid w:val="0"/>
          <w:sz w:val="24"/>
        </w:rPr>
      </w:pPr>
    </w:p>
    <w:p w:rsidR="003B5265" w:rsidP="00E11D85" w14:paraId="5A8649E0" w14:textId="1853893D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Th</w:t>
      </w:r>
      <w:r w:rsidR="005F36E1">
        <w:rPr>
          <w:snapToGrid w:val="0"/>
          <w:sz w:val="24"/>
        </w:rPr>
        <w:t xml:space="preserve">ere were no </w:t>
      </w:r>
      <w:r>
        <w:rPr>
          <w:snapToGrid w:val="0"/>
          <w:sz w:val="24"/>
        </w:rPr>
        <w:t xml:space="preserve">program </w:t>
      </w:r>
      <w:r w:rsidR="005F36E1">
        <w:rPr>
          <w:snapToGrid w:val="0"/>
          <w:sz w:val="24"/>
        </w:rPr>
        <w:t xml:space="preserve">changes </w:t>
      </w:r>
      <w:r>
        <w:rPr>
          <w:snapToGrid w:val="0"/>
          <w:sz w:val="24"/>
        </w:rPr>
        <w:t>or adjustments since the last renewal.</w:t>
      </w:r>
    </w:p>
    <w:p w:rsidR="00037CBA" w:rsidP="003B5265" w14:paraId="7B1A071E" w14:textId="6386050A">
      <w:pPr>
        <w:widowControl w:val="0"/>
        <w:rPr>
          <w:snapToGrid w:val="0"/>
          <w:sz w:val="24"/>
        </w:rPr>
      </w:pPr>
    </w:p>
    <w:p w:rsidR="000B3BE0" w:rsidRPr="00E11D85" w:rsidP="00E11D85" w14:paraId="39B388EC" w14:textId="781ADB85">
      <w:pPr>
        <w:pStyle w:val="ListParagraph"/>
        <w:widowControl w:val="0"/>
        <w:numPr>
          <w:ilvl w:val="0"/>
          <w:numId w:val="3"/>
        </w:numPr>
        <w:rPr>
          <w:b/>
          <w:snapToGrid w:val="0"/>
          <w:sz w:val="24"/>
        </w:rPr>
      </w:pPr>
      <w:r w:rsidRPr="00E11D85">
        <w:rPr>
          <w:b/>
          <w:snapToGrid w:val="0"/>
          <w:sz w:val="24"/>
        </w:rPr>
        <w:t>P</w:t>
      </w:r>
      <w:r w:rsidRPr="00E11D85" w:rsidR="00037CBA">
        <w:rPr>
          <w:b/>
          <w:snapToGrid w:val="0"/>
          <w:sz w:val="24"/>
        </w:rPr>
        <w:t>ublication</w:t>
      </w:r>
      <w:r w:rsidRPr="00E11D85">
        <w:rPr>
          <w:b/>
          <w:snapToGrid w:val="0"/>
          <w:sz w:val="24"/>
        </w:rPr>
        <w:t xml:space="preserve"> of Data Collection Results </w:t>
      </w:r>
    </w:p>
    <w:p w:rsidR="00037CBA" w14:paraId="1F25AD1C" w14:textId="77777777">
      <w:pPr>
        <w:widowControl w:val="0"/>
        <w:rPr>
          <w:snapToGrid w:val="0"/>
          <w:sz w:val="24"/>
        </w:rPr>
      </w:pPr>
    </w:p>
    <w:p w:rsidR="00037CBA" w:rsidP="00E11D85" w14:paraId="036EDA00" w14:textId="5BEE9A1B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There are no plans to publish the results of this information collection</w:t>
      </w:r>
      <w:r w:rsidR="003B5265">
        <w:rPr>
          <w:snapToGrid w:val="0"/>
          <w:sz w:val="24"/>
        </w:rPr>
        <w:t>.</w:t>
      </w:r>
    </w:p>
    <w:p w:rsidR="00037CBA" w14:paraId="4EADE8C6" w14:textId="7777777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</w:p>
    <w:p w:rsidR="00037CBA" w:rsidRPr="00E11D85" w:rsidP="00E11D85" w14:paraId="00C7C54E" w14:textId="756799D4">
      <w:pPr>
        <w:pStyle w:val="ListParagraph"/>
        <w:widowControl w:val="0"/>
        <w:numPr>
          <w:ilvl w:val="0"/>
          <w:numId w:val="3"/>
        </w:numPr>
        <w:rPr>
          <w:snapToGrid w:val="0"/>
          <w:sz w:val="24"/>
        </w:rPr>
      </w:pPr>
      <w:r w:rsidRPr="00E11D85">
        <w:rPr>
          <w:b/>
          <w:snapToGrid w:val="0"/>
          <w:sz w:val="24"/>
        </w:rPr>
        <w:t>D</w:t>
      </w:r>
      <w:r w:rsidRPr="00E11D85">
        <w:rPr>
          <w:b/>
          <w:snapToGrid w:val="0"/>
          <w:sz w:val="24"/>
        </w:rPr>
        <w:t xml:space="preserve">isplay </w:t>
      </w:r>
      <w:r w:rsidRPr="00E11D85">
        <w:rPr>
          <w:b/>
          <w:snapToGrid w:val="0"/>
          <w:sz w:val="24"/>
        </w:rPr>
        <w:t xml:space="preserve">of </w:t>
      </w:r>
      <w:r w:rsidRPr="00E11D85">
        <w:rPr>
          <w:b/>
          <w:snapToGrid w:val="0"/>
          <w:sz w:val="24"/>
        </w:rPr>
        <w:t xml:space="preserve">the OMB </w:t>
      </w:r>
      <w:r w:rsidRPr="00E11D85">
        <w:rPr>
          <w:b/>
          <w:snapToGrid w:val="0"/>
          <w:sz w:val="24"/>
        </w:rPr>
        <w:t xml:space="preserve">Expiration Date </w:t>
      </w:r>
    </w:p>
    <w:p w:rsidR="00037CBA" w14:paraId="0AE8FEDB" w14:textId="77777777">
      <w:pPr>
        <w:widowControl w:val="0"/>
        <w:rPr>
          <w:snapToGrid w:val="0"/>
          <w:sz w:val="24"/>
        </w:rPr>
      </w:pPr>
    </w:p>
    <w:p w:rsidR="00037CBA" w:rsidP="00E11D85" w14:paraId="2785CFE8" w14:textId="228548C3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MARAD is not seeking approval</w:t>
      </w:r>
      <w:r w:rsidR="003B5265">
        <w:rPr>
          <w:snapToGrid w:val="0"/>
          <w:sz w:val="24"/>
        </w:rPr>
        <w:t xml:space="preserve"> to avoid displaying the expiration date</w:t>
      </w:r>
      <w:r>
        <w:rPr>
          <w:snapToGrid w:val="0"/>
          <w:sz w:val="24"/>
        </w:rPr>
        <w:t>.</w:t>
      </w:r>
    </w:p>
    <w:p w:rsidR="00037CBA" w14:paraId="5385CD09" w14:textId="77777777">
      <w:pPr>
        <w:widowControl w:val="0"/>
        <w:rPr>
          <w:snapToGrid w:val="0"/>
          <w:sz w:val="24"/>
        </w:rPr>
      </w:pPr>
    </w:p>
    <w:p w:rsidR="00037CBA" w:rsidP="00E11D85" w14:paraId="5FF70638" w14:textId="05711610">
      <w:pPr>
        <w:pStyle w:val="ListParagraph"/>
        <w:numPr>
          <w:ilvl w:val="0"/>
          <w:numId w:val="3"/>
        </w:numPr>
        <w:rPr>
          <w:snapToGrid w:val="0"/>
        </w:rPr>
      </w:pPr>
      <w:r w:rsidRPr="00E11D85">
        <w:rPr>
          <w:b/>
          <w:snapToGrid w:val="0"/>
          <w:sz w:val="24"/>
        </w:rPr>
        <w:t>E</w:t>
      </w:r>
      <w:r w:rsidRPr="00E11D85">
        <w:rPr>
          <w:b/>
          <w:snapToGrid w:val="0"/>
          <w:sz w:val="24"/>
        </w:rPr>
        <w:t xml:space="preserve">xception to the </w:t>
      </w:r>
      <w:r w:rsidRPr="00E11D85">
        <w:rPr>
          <w:b/>
          <w:snapToGrid w:val="0"/>
          <w:sz w:val="24"/>
        </w:rPr>
        <w:t xml:space="preserve">Certification Statement </w:t>
      </w:r>
    </w:p>
    <w:p w:rsidR="00B3437A" w14:paraId="4650229E" w14:textId="77777777">
      <w:pPr>
        <w:widowControl w:val="0"/>
        <w:rPr>
          <w:snapToGrid w:val="0"/>
          <w:sz w:val="24"/>
        </w:rPr>
      </w:pPr>
    </w:p>
    <w:p w:rsidR="00037CBA" w:rsidP="00E11D85" w14:paraId="22B67374" w14:textId="5E682453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There are no exceptions to the certificat</w:t>
      </w:r>
      <w:r w:rsidR="0021497C">
        <w:rPr>
          <w:snapToGrid w:val="0"/>
          <w:sz w:val="24"/>
        </w:rPr>
        <w:t>ion</w:t>
      </w:r>
      <w:r>
        <w:rPr>
          <w:snapToGrid w:val="0"/>
          <w:sz w:val="24"/>
        </w:rPr>
        <w:t xml:space="preserve"> statement.</w:t>
      </w:r>
    </w:p>
    <w:p w:rsidR="00037CBA" w14:paraId="4C77EC33" w14:textId="77777777">
      <w:pPr>
        <w:widowControl w:val="0"/>
        <w:rPr>
          <w:snapToGrid w:val="0"/>
          <w:sz w:val="24"/>
        </w:rPr>
      </w:pPr>
    </w:p>
    <w:sectPr w:rsidSect="00E8533A">
      <w:footerReference w:type="even" r:id="rId5"/>
      <w:footerReference w:type="default" r:id="rId6"/>
      <w:pgSz w:w="12240" w:h="15840"/>
      <w:pgMar w:top="1440" w:right="1440" w:bottom="1152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5B3" w14:paraId="718300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145B3" w14:paraId="49BF12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5B3" w14:paraId="046E6C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B52">
      <w:rPr>
        <w:rStyle w:val="PageNumber"/>
        <w:noProof/>
      </w:rPr>
      <w:t>6</w:t>
    </w:r>
    <w:r>
      <w:rPr>
        <w:rStyle w:val="PageNumber"/>
      </w:rPr>
      <w:fldChar w:fldCharType="end"/>
    </w:r>
  </w:p>
  <w:p w:rsidR="001145B3" w14:paraId="1B3729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65E6A" w14:paraId="58A64A5B" w14:textId="77777777">
      <w:r>
        <w:separator/>
      </w:r>
    </w:p>
  </w:footnote>
  <w:footnote w:type="continuationSeparator" w:id="1">
    <w:p w:rsidR="00765E6A" w14:paraId="7BC3BD0B" w14:textId="77777777">
      <w:r>
        <w:continuationSeparator/>
      </w:r>
    </w:p>
  </w:footnote>
  <w:footnote w:id="2">
    <w:p w:rsidR="0020013A" w:rsidRPr="00E11D85" w:rsidP="0020013A" w14:paraId="78691CA4" w14:textId="0FBCDCC8">
      <w:pPr>
        <w:pStyle w:val="FootnoteText"/>
        <w:rPr>
          <w:rFonts w:ascii="Times New Roman" w:hAnsi="Times New Roman" w:cs="Times New Roman"/>
        </w:rPr>
      </w:pPr>
      <w:r w:rsidRPr="00E11D85">
        <w:rPr>
          <w:rStyle w:val="FootnoteReference"/>
          <w:rFonts w:ascii="Times New Roman" w:hAnsi="Times New Roman" w:cs="Times New Roman"/>
        </w:rPr>
        <w:footnoteRef/>
      </w:r>
      <w:r w:rsidRPr="00E11D85">
        <w:rPr>
          <w:rFonts w:ascii="Times New Roman" w:hAnsi="Times New Roman" w:cs="Times New Roman"/>
        </w:rPr>
        <w:t xml:space="preserve"> The hourly Federal Government wage is taken from OMB 2025 wage tables: </w:t>
      </w:r>
      <w:hyperlink r:id="rId1" w:history="1">
        <w:r w:rsidRPr="00E11D85">
          <w:rPr>
            <w:rStyle w:val="Hyperlink"/>
            <w:rFonts w:ascii="Times New Roman" w:hAnsi="Times New Roman" w:cs="Times New Roman"/>
          </w:rPr>
          <w:t>https://www.opm.gov/policy-data-oversight/pay-leave/salaries-wages/salary-tables/25Tables/html/DCB_h.aspx</w:t>
        </w:r>
      </w:hyperlink>
      <w:r w:rsidRPr="00E11D85">
        <w:rPr>
          <w:rFonts w:ascii="Times New Roman" w:hAnsi="Times New Roman" w:cs="Times New Roman"/>
        </w:rPr>
        <w:t xml:space="preserve"> </w:t>
      </w:r>
    </w:p>
  </w:footnote>
  <w:footnote w:id="3">
    <w:p w:rsidR="007126B7" w:rsidP="007126B7" w14:paraId="606D2BCF" w14:textId="77777777">
      <w:pPr>
        <w:pStyle w:val="FootnoteText"/>
      </w:pPr>
      <w:r w:rsidRPr="00952A06">
        <w:rPr>
          <w:rStyle w:val="FootnoteReference"/>
          <w:rFonts w:ascii="Times New Roman" w:hAnsi="Times New Roman" w:cs="Times New Roman"/>
        </w:rPr>
        <w:footnoteRef/>
      </w:r>
      <w:r w:rsidRPr="00952A06">
        <w:rPr>
          <w:rFonts w:ascii="Times New Roman" w:hAnsi="Times New Roman" w:cs="Times New Roman"/>
        </w:rPr>
        <w:t xml:space="preserve"> Per BLS Employee Compensation Memo, the total compensation rate for the Federal Government  is 31%,  :</w:t>
      </w:r>
      <w:hyperlink r:id="rId2" w:history="1">
        <w:r w:rsidRPr="00952A06">
          <w:rPr>
            <w:rStyle w:val="Hyperlink"/>
            <w:rFonts w:ascii="Times New Roman" w:hAnsi="Times New Roman" w:cs="Times New Roman"/>
          </w:rPr>
          <w:t>https://www.bls.gov/news.release/pdf/ecec.pdf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9641C9"/>
    <w:multiLevelType w:val="hybridMultilevel"/>
    <w:tmpl w:val="D638A6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49F4"/>
    <w:multiLevelType w:val="hybridMultilevel"/>
    <w:tmpl w:val="84286B8A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73B62"/>
    <w:multiLevelType w:val="hybridMultilevel"/>
    <w:tmpl w:val="C8C001B6"/>
    <w:lvl w:ilvl="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7FC28E7"/>
    <w:multiLevelType w:val="hybridMultilevel"/>
    <w:tmpl w:val="96303208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7A63E5"/>
    <w:multiLevelType w:val="hybridMultilevel"/>
    <w:tmpl w:val="EB4ED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63C22"/>
    <w:multiLevelType w:val="hybridMultilevel"/>
    <w:tmpl w:val="99C81E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1093">
    <w:abstractNumId w:val="3"/>
  </w:num>
  <w:num w:numId="2" w16cid:durableId="1033967925">
    <w:abstractNumId w:val="1"/>
  </w:num>
  <w:num w:numId="3" w16cid:durableId="1480079076">
    <w:abstractNumId w:val="4"/>
  </w:num>
  <w:num w:numId="4" w16cid:durableId="314532490">
    <w:abstractNumId w:val="0"/>
  </w:num>
  <w:num w:numId="5" w16cid:durableId="1246570934">
    <w:abstractNumId w:val="2"/>
  </w:num>
  <w:num w:numId="6" w16cid:durableId="1383552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5B"/>
    <w:rsid w:val="00003523"/>
    <w:rsid w:val="000218CC"/>
    <w:rsid w:val="00024171"/>
    <w:rsid w:val="000268AE"/>
    <w:rsid w:val="00031701"/>
    <w:rsid w:val="000323BE"/>
    <w:rsid w:val="00037CBA"/>
    <w:rsid w:val="00062172"/>
    <w:rsid w:val="00082D8D"/>
    <w:rsid w:val="000846E5"/>
    <w:rsid w:val="00096310"/>
    <w:rsid w:val="000B3BE0"/>
    <w:rsid w:val="000D40DC"/>
    <w:rsid w:val="0011429B"/>
    <w:rsid w:val="001145B3"/>
    <w:rsid w:val="001217B9"/>
    <w:rsid w:val="00122B1D"/>
    <w:rsid w:val="001644B4"/>
    <w:rsid w:val="001840A5"/>
    <w:rsid w:val="001C38FF"/>
    <w:rsid w:val="001E254D"/>
    <w:rsid w:val="001E2F2E"/>
    <w:rsid w:val="001F57ED"/>
    <w:rsid w:val="001F593A"/>
    <w:rsid w:val="0020013A"/>
    <w:rsid w:val="0021430A"/>
    <w:rsid w:val="0021497C"/>
    <w:rsid w:val="00223071"/>
    <w:rsid w:val="0022462C"/>
    <w:rsid w:val="00241313"/>
    <w:rsid w:val="00257A7C"/>
    <w:rsid w:val="002764EF"/>
    <w:rsid w:val="00297A35"/>
    <w:rsid w:val="002B1B14"/>
    <w:rsid w:val="002E67E7"/>
    <w:rsid w:val="002F2C26"/>
    <w:rsid w:val="00312A5D"/>
    <w:rsid w:val="00314AC8"/>
    <w:rsid w:val="003403B7"/>
    <w:rsid w:val="00355A3A"/>
    <w:rsid w:val="003822F6"/>
    <w:rsid w:val="00392D36"/>
    <w:rsid w:val="003B5265"/>
    <w:rsid w:val="003C1281"/>
    <w:rsid w:val="003D76CA"/>
    <w:rsid w:val="003E3D8E"/>
    <w:rsid w:val="003E54C5"/>
    <w:rsid w:val="00400F10"/>
    <w:rsid w:val="00431DE7"/>
    <w:rsid w:val="00454393"/>
    <w:rsid w:val="00456F7E"/>
    <w:rsid w:val="00463DE4"/>
    <w:rsid w:val="004817F0"/>
    <w:rsid w:val="004B3FF9"/>
    <w:rsid w:val="004C51A1"/>
    <w:rsid w:val="004D1DB4"/>
    <w:rsid w:val="004D29FB"/>
    <w:rsid w:val="004D6BD3"/>
    <w:rsid w:val="004F080F"/>
    <w:rsid w:val="004F3B72"/>
    <w:rsid w:val="004F5344"/>
    <w:rsid w:val="00500165"/>
    <w:rsid w:val="00510535"/>
    <w:rsid w:val="0051515C"/>
    <w:rsid w:val="00527E2F"/>
    <w:rsid w:val="0053669B"/>
    <w:rsid w:val="00544A45"/>
    <w:rsid w:val="00544F33"/>
    <w:rsid w:val="00560931"/>
    <w:rsid w:val="005659A6"/>
    <w:rsid w:val="00566AE4"/>
    <w:rsid w:val="00572F1C"/>
    <w:rsid w:val="00594733"/>
    <w:rsid w:val="005C5A55"/>
    <w:rsid w:val="005E28BD"/>
    <w:rsid w:val="005F36E1"/>
    <w:rsid w:val="0061627B"/>
    <w:rsid w:val="00660376"/>
    <w:rsid w:val="00680739"/>
    <w:rsid w:val="00681EFF"/>
    <w:rsid w:val="00686938"/>
    <w:rsid w:val="006A70AA"/>
    <w:rsid w:val="006B79AE"/>
    <w:rsid w:val="006C1F83"/>
    <w:rsid w:val="006C5220"/>
    <w:rsid w:val="007073F7"/>
    <w:rsid w:val="007126B7"/>
    <w:rsid w:val="007167ED"/>
    <w:rsid w:val="0072713A"/>
    <w:rsid w:val="00744808"/>
    <w:rsid w:val="007526C5"/>
    <w:rsid w:val="00757B13"/>
    <w:rsid w:val="00765E6A"/>
    <w:rsid w:val="00784C90"/>
    <w:rsid w:val="007869FA"/>
    <w:rsid w:val="00810DEB"/>
    <w:rsid w:val="008C4D5C"/>
    <w:rsid w:val="009327D1"/>
    <w:rsid w:val="00952A06"/>
    <w:rsid w:val="009668DB"/>
    <w:rsid w:val="00972145"/>
    <w:rsid w:val="009918E2"/>
    <w:rsid w:val="009E180F"/>
    <w:rsid w:val="009E1970"/>
    <w:rsid w:val="00A27000"/>
    <w:rsid w:val="00A3670A"/>
    <w:rsid w:val="00A6623D"/>
    <w:rsid w:val="00A7519E"/>
    <w:rsid w:val="00A87AD1"/>
    <w:rsid w:val="00A95623"/>
    <w:rsid w:val="00AA6759"/>
    <w:rsid w:val="00AD40D3"/>
    <w:rsid w:val="00AF37A6"/>
    <w:rsid w:val="00B06031"/>
    <w:rsid w:val="00B3437A"/>
    <w:rsid w:val="00B56732"/>
    <w:rsid w:val="00B857BD"/>
    <w:rsid w:val="00B91972"/>
    <w:rsid w:val="00BD37F3"/>
    <w:rsid w:val="00BE0108"/>
    <w:rsid w:val="00C01CC8"/>
    <w:rsid w:val="00C52641"/>
    <w:rsid w:val="00C6008F"/>
    <w:rsid w:val="00C6626B"/>
    <w:rsid w:val="00C83B33"/>
    <w:rsid w:val="00CD266A"/>
    <w:rsid w:val="00D006F2"/>
    <w:rsid w:val="00D155A4"/>
    <w:rsid w:val="00D27DEE"/>
    <w:rsid w:val="00D30FE5"/>
    <w:rsid w:val="00D51FD8"/>
    <w:rsid w:val="00D905C6"/>
    <w:rsid w:val="00D94B37"/>
    <w:rsid w:val="00DB78B3"/>
    <w:rsid w:val="00DC577C"/>
    <w:rsid w:val="00DE2FD7"/>
    <w:rsid w:val="00DF6DB4"/>
    <w:rsid w:val="00DF7768"/>
    <w:rsid w:val="00E11D85"/>
    <w:rsid w:val="00E1248A"/>
    <w:rsid w:val="00E17E75"/>
    <w:rsid w:val="00E8533A"/>
    <w:rsid w:val="00ED6D04"/>
    <w:rsid w:val="00F026BE"/>
    <w:rsid w:val="00F3055B"/>
    <w:rsid w:val="00F3705D"/>
    <w:rsid w:val="00F52C63"/>
    <w:rsid w:val="00F90B52"/>
    <w:rsid w:val="00F955EB"/>
    <w:rsid w:val="00FC450E"/>
    <w:rsid w:val="00FD62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679F0B"/>
  <w15:chartTrackingRefBased/>
  <w15:docId w15:val="{60003FE7-D35A-4B37-853C-D8609616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02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E6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7E7"/>
  </w:style>
  <w:style w:type="character" w:customStyle="1" w:styleId="CommentTextChar">
    <w:name w:val="Comment Text Char"/>
    <w:basedOn w:val="DefaultParagraphFont"/>
    <w:link w:val="CommentText"/>
    <w:rsid w:val="002E67E7"/>
  </w:style>
  <w:style w:type="paragraph" w:styleId="CommentSubject">
    <w:name w:val="annotation subject"/>
    <w:basedOn w:val="CommentText"/>
    <w:next w:val="CommentText"/>
    <w:link w:val="CommentSubjectChar"/>
    <w:rsid w:val="002E67E7"/>
    <w:rPr>
      <w:b/>
      <w:bCs/>
    </w:rPr>
  </w:style>
  <w:style w:type="character" w:customStyle="1" w:styleId="CommentSubjectChar">
    <w:name w:val="Comment Subject Char"/>
    <w:link w:val="CommentSubject"/>
    <w:rsid w:val="002E67E7"/>
    <w:rPr>
      <w:b/>
      <w:bCs/>
    </w:rPr>
  </w:style>
  <w:style w:type="paragraph" w:styleId="Title">
    <w:name w:val="Title"/>
    <w:basedOn w:val="Normal"/>
    <w:link w:val="TitleChar"/>
    <w:qFormat/>
    <w:rsid w:val="00A3670A"/>
    <w:pPr>
      <w:widowControl w:val="0"/>
      <w:autoSpaceDE w:val="0"/>
      <w:autoSpaceDN w:val="0"/>
      <w:adjustRightInd w:val="0"/>
      <w:jc w:val="center"/>
    </w:pPr>
    <w:rPr>
      <w:rFonts w:ascii="Letter Gothic 12cpi" w:hAnsi="Letter Gothic 12cpi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A3670A"/>
    <w:rPr>
      <w:rFonts w:ascii="Letter Gothic 12cpi" w:hAnsi="Letter Gothic 12cpi"/>
      <w:b/>
      <w:bCs/>
      <w:sz w:val="24"/>
      <w:szCs w:val="24"/>
      <w:u w:val="single"/>
    </w:rPr>
  </w:style>
  <w:style w:type="paragraph" w:customStyle="1" w:styleId="Default">
    <w:name w:val="Default"/>
    <w:rsid w:val="00E124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5E28B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E28B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905C6"/>
  </w:style>
  <w:style w:type="paragraph" w:styleId="ListParagraph">
    <w:name w:val="List Paragraph"/>
    <w:basedOn w:val="Normal"/>
    <w:uiPriority w:val="34"/>
    <w:qFormat/>
    <w:rsid w:val="00C01C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0013A"/>
    <w:pPr>
      <w:widowControl w:val="0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013A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20013A"/>
    <w:rPr>
      <w:vertAlign w:val="superscript"/>
    </w:rPr>
  </w:style>
  <w:style w:type="character" w:styleId="FollowedHyperlink">
    <w:name w:val="FollowedHyperlink"/>
    <w:basedOn w:val="DefaultParagraphFont"/>
    <w:rsid w:val="00707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pm.gov/policy-data-oversight/pay-leave/salaries-wages/salary-tables/25Tables/html/DCB_h.aspx" TargetMode="External" /><Relationship Id="rId2" Type="http://schemas.openxmlformats.org/officeDocument/2006/relationships/hyperlink" Target="https://www.bls.gov/news.release/pdf/ecec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         SUBMISSIONS  UNDER 5 CFR PART 1320</vt:lpstr>
    </vt:vector>
  </TitlesOfParts>
  <Company>MARAD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         SUBMISSIONS  UNDER 5 CFR PART 1320</dc:title>
  <dc:creator>PATRICIA ANN THOMAS</dc:creator>
  <cp:lastModifiedBy>Bolton, Tamelia (MARAD)</cp:lastModifiedBy>
  <cp:revision>3</cp:revision>
  <cp:lastPrinted>2020-03-06T17:01:00Z</cp:lastPrinted>
  <dcterms:created xsi:type="dcterms:W3CDTF">2025-07-03T17:21:00Z</dcterms:created>
  <dcterms:modified xsi:type="dcterms:W3CDTF">2025-07-03T17:21:00Z</dcterms:modified>
</cp:coreProperties>
</file>