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048C" w:rsidRPr="00546141" w:rsidP="0094048C" w14:paraId="60503295" w14:textId="7DD2BC9C">
      <w:pPr>
        <w:jc w:val="center"/>
        <w:rPr>
          <w:rFonts w:ascii="Times New Roman" w:hAnsi="Times New Roman"/>
          <w:b/>
        </w:rPr>
      </w:pPr>
      <w:r w:rsidRPr="00546141">
        <w:rPr>
          <w:rFonts w:ascii="Times New Roman" w:hAnsi="Times New Roman"/>
          <w:b/>
        </w:rPr>
        <w:t xml:space="preserve">Department </w:t>
      </w:r>
      <w:r>
        <w:rPr>
          <w:rFonts w:ascii="Times New Roman" w:hAnsi="Times New Roman"/>
          <w:b/>
        </w:rPr>
        <w:t>o</w:t>
      </w:r>
      <w:r w:rsidRPr="00546141">
        <w:rPr>
          <w:rFonts w:ascii="Times New Roman" w:hAnsi="Times New Roman"/>
          <w:b/>
        </w:rPr>
        <w:t>f Transportation</w:t>
      </w:r>
    </w:p>
    <w:p w:rsidR="0094048C" w:rsidP="0094048C" w14:paraId="7FB16035" w14:textId="4BFD9189">
      <w:pPr>
        <w:pStyle w:val="Title"/>
        <w:rPr>
          <w:rFonts w:ascii="Times New Roman" w:hAnsi="Times New Roman"/>
          <w:u w:val="none"/>
        </w:rPr>
      </w:pPr>
      <w:r>
        <w:rPr>
          <w:rFonts w:ascii="Times New Roman" w:hAnsi="Times New Roman"/>
          <w:u w:val="none"/>
        </w:rPr>
        <w:t xml:space="preserve">Maritime Administration </w:t>
      </w:r>
    </w:p>
    <w:p w:rsidR="00546141" w:rsidP="0094048C" w14:paraId="2399CD55" w14:textId="7AB9E76B">
      <w:pPr>
        <w:pStyle w:val="Title"/>
        <w:rPr>
          <w:rFonts w:ascii="Times New Roman" w:hAnsi="Times New Roman"/>
          <w:u w:val="none"/>
        </w:rPr>
      </w:pPr>
      <w:r>
        <w:rPr>
          <w:rFonts w:ascii="Times New Roman" w:hAnsi="Times New Roman"/>
          <w:u w:val="none"/>
        </w:rPr>
        <w:t>Information Collection Request (ICR)</w:t>
      </w:r>
    </w:p>
    <w:p w:rsidR="00546141" w:rsidP="0094048C" w14:paraId="1F09F617" w14:textId="5E57B91B">
      <w:pPr>
        <w:pStyle w:val="Title"/>
        <w:rPr>
          <w:rFonts w:ascii="Times New Roman" w:hAnsi="Times New Roman"/>
          <w:u w:val="none"/>
        </w:rPr>
      </w:pPr>
      <w:r>
        <w:rPr>
          <w:rFonts w:ascii="Times New Roman" w:hAnsi="Times New Roman"/>
          <w:u w:val="none"/>
        </w:rPr>
        <w:t>OMB 2133-0005</w:t>
      </w:r>
    </w:p>
    <w:p w:rsidR="00546141" w:rsidRPr="00982972" w:rsidP="00546141" w14:paraId="3854A4E4" w14:textId="77777777">
      <w:pPr>
        <w:jc w:val="center"/>
        <w:rPr>
          <w:rFonts w:ascii="Times New Roman" w:hAnsi="Times New Roman"/>
          <w:b/>
          <w:bCs/>
          <w:szCs w:val="24"/>
        </w:rPr>
      </w:pPr>
      <w:r w:rsidRPr="00982972">
        <w:rPr>
          <w:rFonts w:ascii="Times New Roman" w:hAnsi="Times New Roman"/>
          <w:b/>
          <w:bCs/>
          <w:snapToGrid/>
          <w:szCs w:val="24"/>
        </w:rPr>
        <w:t>Uniform Financial Reporting Requirements</w:t>
      </w:r>
    </w:p>
    <w:p w:rsidR="00546141" w:rsidP="0094048C" w14:paraId="234840E9" w14:textId="77777777">
      <w:pPr>
        <w:pStyle w:val="Title"/>
        <w:rPr>
          <w:rFonts w:ascii="Times New Roman" w:hAnsi="Times New Roman"/>
          <w:u w:val="none"/>
        </w:rPr>
      </w:pPr>
    </w:p>
    <w:p w:rsidR="00546141" w:rsidRPr="00982972" w:rsidP="0094048C" w14:paraId="5E0FB4BB" w14:textId="77777777">
      <w:pPr>
        <w:pStyle w:val="Title"/>
        <w:rPr>
          <w:rFonts w:ascii="Times New Roman" w:hAnsi="Times New Roman"/>
          <w:u w:val="none"/>
        </w:rPr>
      </w:pPr>
    </w:p>
    <w:p w:rsidR="0094048C" w:rsidRPr="0094048C" w:rsidP="0094048C" w14:paraId="52C4C88A" w14:textId="77777777">
      <w:pPr>
        <w:pStyle w:val="Title"/>
        <w:rPr>
          <w:rFonts w:ascii="Times New Roman" w:hAnsi="Times New Roman"/>
          <w:u w:val="none"/>
        </w:rPr>
      </w:pPr>
      <w:r w:rsidRPr="0094048C">
        <w:rPr>
          <w:rFonts w:ascii="Times New Roman" w:hAnsi="Times New Roman"/>
          <w:u w:val="none"/>
        </w:rPr>
        <w:t>SUPPORTING STATEMENT</w:t>
      </w:r>
    </w:p>
    <w:p w:rsidR="000D74FB" w:rsidP="0094048C" w14:paraId="6D9029BF" w14:textId="77777777">
      <w:pPr>
        <w:tabs>
          <w:tab w:val="center" w:pos="4680"/>
        </w:tabs>
        <w:rPr>
          <w:rFonts w:ascii="Times New Roman" w:hAnsi="Times New Roman"/>
        </w:rPr>
      </w:pPr>
      <w:r>
        <w:rPr>
          <w:rFonts w:ascii="Times New Roman" w:hAnsi="Times New Roman"/>
        </w:rPr>
        <w:tab/>
      </w:r>
    </w:p>
    <w:p w:rsidR="000D74FB" w:rsidRPr="0020305E" w:rsidP="000D74FB" w14:paraId="4E9E72C1" w14:textId="77777777">
      <w:pPr>
        <w:pStyle w:val="Subtitle"/>
        <w:rPr>
          <w:rFonts w:ascii="Times New Roman" w:hAnsi="Times New Roman"/>
          <w:color w:val="000000"/>
        </w:rPr>
      </w:pPr>
      <w:r w:rsidRPr="0020305E">
        <w:rPr>
          <w:rFonts w:ascii="Times New Roman" w:hAnsi="Times New Roman"/>
          <w:color w:val="000000"/>
        </w:rPr>
        <w:t>INTRODUCTION</w:t>
      </w:r>
    </w:p>
    <w:p w:rsidR="000D74FB" w:rsidRPr="0020305E" w:rsidP="000D74FB" w14:paraId="2FA54562" w14:textId="77777777">
      <w:pPr>
        <w:rPr>
          <w:rFonts w:ascii="Times New Roman" w:hAnsi="Times New Roman"/>
          <w:b/>
          <w:bCs/>
          <w:color w:val="000000"/>
          <w:szCs w:val="24"/>
        </w:rPr>
      </w:pPr>
    </w:p>
    <w:p w:rsidR="000B0548" w:rsidRPr="00982972" w:rsidP="000B0548" w14:paraId="72639053" w14:textId="5541F24C">
      <w:pPr>
        <w:rPr>
          <w:rFonts w:ascii="Times New Roman" w:hAnsi="Times New Roman"/>
          <w:i/>
          <w:iCs/>
        </w:rPr>
      </w:pPr>
      <w:r w:rsidRPr="0020305E">
        <w:rPr>
          <w:rFonts w:ascii="Times New Roman" w:hAnsi="Times New Roman"/>
          <w:color w:val="000000"/>
          <w:szCs w:val="24"/>
        </w:rPr>
        <w:t>This</w:t>
      </w:r>
      <w:r w:rsidR="00B0721C">
        <w:rPr>
          <w:rFonts w:ascii="Times New Roman" w:hAnsi="Times New Roman"/>
          <w:color w:val="000000"/>
          <w:szCs w:val="24"/>
        </w:rPr>
        <w:t xml:space="preserve"> submission</w:t>
      </w:r>
      <w:r w:rsidRPr="0020305E">
        <w:rPr>
          <w:rFonts w:ascii="Times New Roman" w:hAnsi="Times New Roman"/>
          <w:color w:val="000000"/>
          <w:szCs w:val="24"/>
        </w:rPr>
        <w:t xml:space="preserve"> is to request </w:t>
      </w:r>
      <w:r w:rsidR="00B0721C">
        <w:rPr>
          <w:rFonts w:ascii="Times New Roman" w:hAnsi="Times New Roman"/>
          <w:color w:val="000000"/>
          <w:szCs w:val="24"/>
        </w:rPr>
        <w:t xml:space="preserve"> a three-year approval from </w:t>
      </w:r>
      <w:r w:rsidRPr="0020305E">
        <w:rPr>
          <w:rFonts w:ascii="Times New Roman" w:hAnsi="Times New Roman"/>
          <w:color w:val="000000"/>
          <w:szCs w:val="24"/>
        </w:rPr>
        <w:t>the Office of Management and Budget’s (OMB) for the information collection entitled</w:t>
      </w:r>
      <w:r w:rsidR="00B0721C">
        <w:rPr>
          <w:rFonts w:ascii="Times New Roman" w:hAnsi="Times New Roman"/>
          <w:color w:val="000000"/>
          <w:szCs w:val="24"/>
        </w:rPr>
        <w:t xml:space="preserve"> </w:t>
      </w:r>
      <w:r w:rsidRPr="00B0721C" w:rsidR="00B0721C">
        <w:rPr>
          <w:rFonts w:ascii="Times New Roman" w:hAnsi="Times New Roman"/>
          <w:color w:val="000000"/>
          <w:szCs w:val="24"/>
        </w:rPr>
        <w:t>OMB 2133-0005</w:t>
      </w:r>
      <w:r w:rsidR="00B0721C">
        <w:rPr>
          <w:rFonts w:ascii="Times New Roman" w:hAnsi="Times New Roman"/>
          <w:color w:val="000000"/>
          <w:szCs w:val="24"/>
        </w:rPr>
        <w:t xml:space="preserve"> (</w:t>
      </w:r>
      <w:r w:rsidR="005C7F8C">
        <w:rPr>
          <w:rFonts w:ascii="Times New Roman" w:hAnsi="Times New Roman"/>
          <w:color w:val="000000"/>
          <w:szCs w:val="24"/>
        </w:rPr>
        <w:t>Uniform Financial Reporting Requirements</w:t>
      </w:r>
      <w:r w:rsidR="00B0721C">
        <w:rPr>
          <w:rFonts w:ascii="Times New Roman" w:hAnsi="Times New Roman"/>
          <w:color w:val="000000"/>
          <w:szCs w:val="24"/>
        </w:rPr>
        <w:t>)</w:t>
      </w:r>
      <w:r w:rsidRPr="0020305E">
        <w:rPr>
          <w:rFonts w:ascii="Times New Roman" w:hAnsi="Times New Roman"/>
          <w:color w:val="000000"/>
          <w:szCs w:val="24"/>
        </w:rPr>
        <w:t>, which expire</w:t>
      </w:r>
      <w:r w:rsidR="00B0721C">
        <w:rPr>
          <w:rFonts w:ascii="Times New Roman" w:hAnsi="Times New Roman"/>
          <w:color w:val="000000"/>
          <w:szCs w:val="24"/>
        </w:rPr>
        <w:t>s</w:t>
      </w:r>
      <w:r w:rsidRPr="0020305E">
        <w:rPr>
          <w:rFonts w:ascii="Times New Roman" w:hAnsi="Times New Roman"/>
          <w:color w:val="000000"/>
          <w:szCs w:val="24"/>
        </w:rPr>
        <w:t xml:space="preserve"> on </w:t>
      </w:r>
      <w:r w:rsidRPr="00982972" w:rsidR="00B0721C">
        <w:rPr>
          <w:rFonts w:ascii="Times New Roman" w:hAnsi="Times New Roman"/>
          <w:color w:val="000000"/>
          <w:szCs w:val="24"/>
        </w:rPr>
        <w:t xml:space="preserve">July </w:t>
      </w:r>
      <w:r w:rsidRPr="00982972" w:rsidR="005C7F8C">
        <w:rPr>
          <w:rFonts w:ascii="Times New Roman" w:hAnsi="Times New Roman"/>
          <w:color w:val="000000"/>
          <w:szCs w:val="24"/>
        </w:rPr>
        <w:t>31, 202</w:t>
      </w:r>
      <w:r w:rsidRPr="00982972" w:rsidR="00AF4731">
        <w:rPr>
          <w:rFonts w:ascii="Times New Roman" w:hAnsi="Times New Roman"/>
          <w:color w:val="000000"/>
          <w:szCs w:val="24"/>
        </w:rPr>
        <w:t>5</w:t>
      </w:r>
      <w:r w:rsidRPr="00B0721C">
        <w:rPr>
          <w:rFonts w:ascii="Times New Roman" w:hAnsi="Times New Roman"/>
          <w:color w:val="000000"/>
          <w:szCs w:val="24"/>
        </w:rPr>
        <w:t>.</w:t>
      </w:r>
      <w:r w:rsidR="0094048C">
        <w:rPr>
          <w:rFonts w:ascii="Times New Roman" w:hAnsi="Times New Roman"/>
          <w:color w:val="000000"/>
          <w:szCs w:val="24"/>
        </w:rPr>
        <w:t xml:space="preserve">  </w:t>
      </w:r>
      <w:r w:rsidR="00953599">
        <w:rPr>
          <w:rFonts w:ascii="Times New Roman" w:hAnsi="Times New Roman"/>
          <w:color w:val="000000"/>
          <w:szCs w:val="24"/>
        </w:rPr>
        <w:t xml:space="preserve">Since the last renewal, the public burden </w:t>
      </w:r>
      <w:r w:rsidR="00081FA2">
        <w:rPr>
          <w:rFonts w:ascii="Times New Roman" w:hAnsi="Times New Roman"/>
          <w:color w:val="000000"/>
          <w:szCs w:val="24"/>
        </w:rPr>
        <w:t>was</w:t>
      </w:r>
      <w:r w:rsidR="00953599">
        <w:rPr>
          <w:rFonts w:ascii="Times New Roman" w:hAnsi="Times New Roman"/>
          <w:color w:val="000000"/>
          <w:szCs w:val="24"/>
        </w:rPr>
        <w:t xml:space="preserve"> updated to include the mailing costs for respondents.  Consequently,</w:t>
      </w:r>
      <w:r w:rsidR="00B0721C">
        <w:rPr>
          <w:rFonts w:ascii="Times New Roman" w:hAnsi="Times New Roman"/>
          <w:color w:val="000000"/>
          <w:szCs w:val="24"/>
        </w:rPr>
        <w:t xml:space="preserve"> this collection will be submitted as </w:t>
      </w:r>
      <w:r w:rsidRPr="00982972" w:rsidR="00B0721C">
        <w:rPr>
          <w:rFonts w:ascii="Times New Roman" w:hAnsi="Times New Roman"/>
          <w:i/>
          <w:iCs/>
          <w:color w:val="000000"/>
          <w:szCs w:val="24"/>
        </w:rPr>
        <w:t>an extension with change of a currently approved collection</w:t>
      </w:r>
      <w:r w:rsidRPr="00982972">
        <w:rPr>
          <w:rFonts w:ascii="Times New Roman" w:hAnsi="Times New Roman"/>
          <w:i/>
          <w:iCs/>
        </w:rPr>
        <w:t>.</w:t>
      </w:r>
    </w:p>
    <w:p w:rsidR="0086679E" w14:paraId="70A4A42E" w14:textId="77777777">
      <w:pPr>
        <w:rPr>
          <w:rFonts w:ascii="Times New Roman" w:hAnsi="Times New Roman"/>
          <w:b/>
        </w:rPr>
      </w:pPr>
    </w:p>
    <w:p w:rsidR="0086679E" w:rsidRPr="00982972" w:rsidP="00982972" w14:paraId="773B656E" w14:textId="74916F63">
      <w:pPr>
        <w:pStyle w:val="ListParagraph"/>
        <w:numPr>
          <w:ilvl w:val="0"/>
          <w:numId w:val="18"/>
        </w:numPr>
        <w:tabs>
          <w:tab w:val="left" w:pos="-1440"/>
        </w:tabs>
        <w:rPr>
          <w:rFonts w:ascii="Times New Roman" w:hAnsi="Times New Roman"/>
          <w:b/>
          <w:bCs/>
        </w:rPr>
      </w:pPr>
      <w:r w:rsidRPr="00982972">
        <w:rPr>
          <w:rFonts w:ascii="Times New Roman" w:hAnsi="Times New Roman"/>
          <w:b/>
          <w:bCs/>
        </w:rPr>
        <w:t xml:space="preserve">JUSTIFICATION </w:t>
      </w:r>
    </w:p>
    <w:p w:rsidR="0086679E" w14:paraId="3CAF1C61" w14:textId="77777777">
      <w:pPr>
        <w:rPr>
          <w:rFonts w:ascii="Times New Roman" w:hAnsi="Times New Roman"/>
        </w:rPr>
      </w:pPr>
    </w:p>
    <w:p w:rsidR="00B0721C" w:rsidRPr="00982972" w:rsidP="00982972" w14:paraId="738ED93C" w14:textId="035387B0">
      <w:pPr>
        <w:pStyle w:val="ListParagraph"/>
        <w:numPr>
          <w:ilvl w:val="0"/>
          <w:numId w:val="20"/>
        </w:numPr>
        <w:tabs>
          <w:tab w:val="left" w:pos="-1440"/>
          <w:tab w:val="left" w:pos="540"/>
        </w:tabs>
        <w:rPr>
          <w:rFonts w:ascii="Times New Roman" w:hAnsi="Times New Roman"/>
          <w:b/>
        </w:rPr>
      </w:pPr>
      <w:r w:rsidRPr="00B0721C">
        <w:rPr>
          <w:rFonts w:ascii="Times New Roman" w:hAnsi="Times New Roman"/>
          <w:b/>
        </w:rPr>
        <w:t xml:space="preserve"> C</w:t>
      </w:r>
      <w:r w:rsidRPr="00982972" w:rsidR="0086679E">
        <w:rPr>
          <w:rFonts w:ascii="Times New Roman" w:hAnsi="Times New Roman"/>
          <w:b/>
        </w:rPr>
        <w:t xml:space="preserve">ircumstances </w:t>
      </w:r>
      <w:r w:rsidRPr="00B0721C">
        <w:rPr>
          <w:rFonts w:ascii="Times New Roman" w:hAnsi="Times New Roman"/>
          <w:b/>
        </w:rPr>
        <w:t>M</w:t>
      </w:r>
      <w:r w:rsidRPr="00982972" w:rsidR="0086679E">
        <w:rPr>
          <w:rFonts w:ascii="Times New Roman" w:hAnsi="Times New Roman"/>
          <w:b/>
        </w:rPr>
        <w:t>ak</w:t>
      </w:r>
      <w:r w:rsidRPr="00B0721C">
        <w:rPr>
          <w:rFonts w:ascii="Times New Roman" w:hAnsi="Times New Roman"/>
          <w:b/>
        </w:rPr>
        <w:t xml:space="preserve">ing </w:t>
      </w:r>
      <w:r w:rsidRPr="00982972" w:rsidR="0086679E">
        <w:rPr>
          <w:rFonts w:ascii="Times New Roman" w:hAnsi="Times New Roman"/>
          <w:b/>
        </w:rPr>
        <w:t xml:space="preserve">the </w:t>
      </w:r>
      <w:r w:rsidRPr="00B0721C">
        <w:rPr>
          <w:rFonts w:ascii="Times New Roman" w:hAnsi="Times New Roman"/>
          <w:b/>
        </w:rPr>
        <w:t>C</w:t>
      </w:r>
      <w:r w:rsidRPr="00982972">
        <w:rPr>
          <w:rFonts w:ascii="Times New Roman" w:hAnsi="Times New Roman"/>
          <w:b/>
        </w:rPr>
        <w:t xml:space="preserve">ollection </w:t>
      </w:r>
      <w:r w:rsidRPr="00982972" w:rsidR="0086679E">
        <w:rPr>
          <w:rFonts w:ascii="Times New Roman" w:hAnsi="Times New Roman"/>
          <w:b/>
        </w:rPr>
        <w:t xml:space="preserve">of </w:t>
      </w:r>
      <w:r w:rsidRPr="00B0721C">
        <w:rPr>
          <w:rFonts w:ascii="Times New Roman" w:hAnsi="Times New Roman"/>
          <w:b/>
        </w:rPr>
        <w:t>I</w:t>
      </w:r>
      <w:r w:rsidRPr="00982972">
        <w:rPr>
          <w:rFonts w:ascii="Times New Roman" w:hAnsi="Times New Roman"/>
          <w:b/>
        </w:rPr>
        <w:t xml:space="preserve">nformation </w:t>
      </w:r>
      <w:r w:rsidRPr="00B0721C">
        <w:rPr>
          <w:rFonts w:ascii="Times New Roman" w:hAnsi="Times New Roman"/>
          <w:b/>
        </w:rPr>
        <w:t>N</w:t>
      </w:r>
      <w:r w:rsidRPr="00982972">
        <w:rPr>
          <w:rFonts w:ascii="Times New Roman" w:hAnsi="Times New Roman"/>
          <w:b/>
        </w:rPr>
        <w:t>ecessary</w:t>
      </w:r>
    </w:p>
    <w:p w:rsidR="0086679E" w:rsidRPr="00B0721C" w:rsidP="00982972" w14:paraId="56733D36" w14:textId="368915A6">
      <w:pPr>
        <w:pStyle w:val="ListParagraph"/>
        <w:tabs>
          <w:tab w:val="left" w:pos="-1440"/>
          <w:tab w:val="left" w:pos="540"/>
        </w:tabs>
        <w:rPr>
          <w:rFonts w:ascii="Times New Roman" w:hAnsi="Times New Roman"/>
          <w:b/>
        </w:rPr>
      </w:pPr>
      <w:r w:rsidRPr="00B0721C">
        <w:rPr>
          <w:rFonts w:ascii="Times New Roman" w:hAnsi="Times New Roman"/>
          <w:b/>
        </w:rPr>
        <w:tab/>
      </w:r>
    </w:p>
    <w:p w:rsidR="0086679E" w:rsidP="00982972" w14:paraId="1E0029E5" w14:textId="44104950">
      <w:pPr>
        <w:ind w:left="720"/>
        <w:rPr>
          <w:rFonts w:ascii="Times New Roman" w:hAnsi="Times New Roman"/>
        </w:rPr>
      </w:pPr>
      <w:r>
        <w:rPr>
          <w:rFonts w:ascii="Times New Roman" w:hAnsi="Times New Roman"/>
        </w:rPr>
        <w:t xml:space="preserve">The Maritime Administration (MARAD) administers a variety of programs aimed at promoting a strong U.S. Merchant Marine for the water-borne carriage of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foreign and domestic commerce and for national defense purposes.  In furtherance of these objectives, MARAD administers financial assistance programs for ship construction and ship operations.  The Maritime Security Program pay</w:t>
      </w:r>
      <w:r w:rsidR="0045681B">
        <w:rPr>
          <w:rFonts w:ascii="Times New Roman" w:hAnsi="Times New Roman"/>
        </w:rPr>
        <w:t>s</w:t>
      </w:r>
      <w:r>
        <w:rPr>
          <w:rFonts w:ascii="Times New Roman" w:hAnsi="Times New Roman"/>
        </w:rPr>
        <w:t xml:space="preserve"> subsidies to U.S. shipping companies to offset the higher cost of operating vessels in</w:t>
      </w:r>
      <w:r w:rsidR="00875F2C">
        <w:rPr>
          <w:rFonts w:ascii="Times New Roman" w:hAnsi="Times New Roman"/>
        </w:rPr>
        <w:t>volved in</w:t>
      </w:r>
      <w:r>
        <w:rPr>
          <w:rFonts w:ascii="Times New Roman" w:hAnsi="Times New Roman"/>
        </w:rPr>
        <w:t xml:space="preserve"> foreign trade under the American flag.  The Title XI Federal Ship Financing Guarantees program provides direct government guarantees of private sector </w:t>
      </w:r>
      <w:r w:rsidR="008E4515">
        <w:rPr>
          <w:rFonts w:ascii="Times New Roman" w:hAnsi="Times New Roman"/>
        </w:rPr>
        <w:t xml:space="preserve">loans </w:t>
      </w:r>
      <w:r>
        <w:rPr>
          <w:rFonts w:ascii="Times New Roman" w:hAnsi="Times New Roman"/>
        </w:rPr>
        <w:t>made to finance or refinance the construction or reconstruction of American-flag vessels in U.S. shipyards</w:t>
      </w:r>
      <w:r w:rsidR="00875F2C">
        <w:rPr>
          <w:rFonts w:ascii="Times New Roman" w:hAnsi="Times New Roman"/>
        </w:rPr>
        <w:t>,</w:t>
      </w:r>
      <w:r>
        <w:rPr>
          <w:rFonts w:ascii="Times New Roman" w:hAnsi="Times New Roman"/>
        </w:rPr>
        <w:t xml:space="preserve"> and for financing the modernization of U.S. shipyards.</w:t>
      </w:r>
    </w:p>
    <w:p w:rsidR="0086679E" w:rsidP="00982972" w14:paraId="0753F18A" w14:textId="77777777">
      <w:pPr>
        <w:ind w:left="720" w:firstLine="720"/>
        <w:rPr>
          <w:rFonts w:ascii="Times New Roman" w:hAnsi="Times New Roman"/>
        </w:rPr>
      </w:pPr>
    </w:p>
    <w:p w:rsidR="0086679E" w:rsidP="00982972" w14:paraId="3A65E937" w14:textId="4927E41A">
      <w:pPr>
        <w:ind w:left="720"/>
        <w:rPr>
          <w:rFonts w:ascii="Times New Roman" w:hAnsi="Times New Roman"/>
        </w:rPr>
      </w:pPr>
      <w:r>
        <w:rPr>
          <w:rFonts w:ascii="Times New Roman" w:hAnsi="Times New Roman"/>
        </w:rPr>
        <w:t>The Uniform Financial Reporting Requirements are used as a basis for preparing and filing semi-annual and annual financial statements with MARAD.  Regulations requiring financial reports to MARAD are authorized by Section 801, Merchant Marine Act, 1936, as amended (46 App</w:t>
      </w:r>
      <w:r w:rsidR="00875F2C">
        <w:rPr>
          <w:rFonts w:ascii="Times New Roman" w:hAnsi="Times New Roman"/>
        </w:rPr>
        <w:t>endix United States Code (</w:t>
      </w:r>
      <w:r>
        <w:rPr>
          <w:rFonts w:ascii="Times New Roman" w:hAnsi="Times New Roman"/>
        </w:rPr>
        <w:t>USC 1211)</w:t>
      </w:r>
      <w:r w:rsidR="00875F2C">
        <w:rPr>
          <w:rFonts w:ascii="Times New Roman" w:hAnsi="Times New Roman"/>
        </w:rPr>
        <w:t>)</w:t>
      </w:r>
      <w:r>
        <w:rPr>
          <w:rFonts w:ascii="Times New Roman" w:hAnsi="Times New Roman"/>
        </w:rPr>
        <w:t xml:space="preserve">.  Financial Reports are also required by regulation of purchasers of ships from MARAD on credit, companies chartering ships from MARAD, and of companies having Title XI guarantee obligations (46 </w:t>
      </w:r>
      <w:r w:rsidR="0075778F">
        <w:rPr>
          <w:rFonts w:ascii="Times New Roman" w:hAnsi="Times New Roman"/>
        </w:rPr>
        <w:t>Code of</w:t>
      </w:r>
      <w:r w:rsidR="00875F2C">
        <w:rPr>
          <w:rFonts w:ascii="Times New Roman" w:hAnsi="Times New Roman"/>
        </w:rPr>
        <w:t xml:space="preserve"> Federal Regulations (</w:t>
      </w:r>
      <w:r>
        <w:rPr>
          <w:rFonts w:ascii="Times New Roman" w:hAnsi="Times New Roman"/>
        </w:rPr>
        <w:t>CFR</w:t>
      </w:r>
      <w:r w:rsidR="00875F2C">
        <w:rPr>
          <w:rFonts w:ascii="Times New Roman" w:hAnsi="Times New Roman"/>
        </w:rPr>
        <w:t>)</w:t>
      </w:r>
      <w:r>
        <w:rPr>
          <w:rFonts w:ascii="Times New Roman" w:hAnsi="Times New Roman"/>
        </w:rPr>
        <w:t xml:space="preserve"> Part 298).</w:t>
      </w:r>
    </w:p>
    <w:p w:rsidR="0086679E" w:rsidP="00982972" w14:paraId="72B0B1A7" w14:textId="77777777">
      <w:pPr>
        <w:ind w:left="720"/>
        <w:rPr>
          <w:rFonts w:ascii="Times New Roman" w:hAnsi="Times New Roman"/>
        </w:rPr>
      </w:pPr>
    </w:p>
    <w:p w:rsidR="0086679E" w:rsidRPr="00081FA2" w:rsidP="00081FA2" w14:paraId="29B23620" w14:textId="6BAEAEE1">
      <w:pPr>
        <w:ind w:left="720"/>
        <w:rPr>
          <w:rFonts w:ascii="Times New Roman" w:hAnsi="Times New Roman"/>
        </w:rPr>
      </w:pPr>
      <w:r>
        <w:rPr>
          <w:rFonts w:ascii="Times New Roman" w:hAnsi="Times New Roman"/>
        </w:rPr>
        <w:t xml:space="preserve">This information collection supports the Department of Transportation's </w:t>
      </w:r>
      <w:r w:rsidR="00DF7C77">
        <w:rPr>
          <w:rFonts w:ascii="Times New Roman" w:hAnsi="Times New Roman"/>
        </w:rPr>
        <w:t xml:space="preserve">Global Connectivity </w:t>
      </w:r>
      <w:r w:rsidR="00436DE5">
        <w:rPr>
          <w:rFonts w:ascii="Times New Roman" w:hAnsi="Times New Roman"/>
        </w:rPr>
        <w:t xml:space="preserve">Outcome 3 Enhanced international competitiveness of </w:t>
      </w:r>
      <w:smartTag w:uri="urn:schemas-microsoft-com:office:smarttags" w:element="place">
        <w:smartTag w:uri="urn:schemas-microsoft-com:office:smarttags" w:element="country-region">
          <w:r w:rsidR="00436DE5">
            <w:rPr>
              <w:rFonts w:ascii="Times New Roman" w:hAnsi="Times New Roman"/>
            </w:rPr>
            <w:t>U.S.</w:t>
          </w:r>
        </w:smartTag>
      </w:smartTag>
      <w:r w:rsidR="00436DE5">
        <w:rPr>
          <w:rFonts w:ascii="Times New Roman" w:hAnsi="Times New Roman"/>
        </w:rPr>
        <w:t xml:space="preserve"> </w:t>
      </w:r>
      <w:r w:rsidR="00D5202C">
        <w:rPr>
          <w:rFonts w:ascii="Times New Roman" w:hAnsi="Times New Roman"/>
        </w:rPr>
        <w:t>t</w:t>
      </w:r>
      <w:r w:rsidR="00436DE5">
        <w:rPr>
          <w:rFonts w:ascii="Times New Roman" w:hAnsi="Times New Roman"/>
        </w:rPr>
        <w:t xml:space="preserve">ransport providers </w:t>
      </w:r>
      <w:r>
        <w:rPr>
          <w:rFonts w:ascii="Times New Roman" w:hAnsi="Times New Roman"/>
        </w:rPr>
        <w:t xml:space="preserve">and </w:t>
      </w:r>
      <w:r w:rsidR="00436DE5">
        <w:rPr>
          <w:rFonts w:ascii="Times New Roman" w:hAnsi="Times New Roman"/>
        </w:rPr>
        <w:t>manufacturers</w:t>
      </w:r>
      <w:r w:rsidR="002A4A09">
        <w:rPr>
          <w:rFonts w:ascii="Times New Roman" w:hAnsi="Times New Roman"/>
        </w:rPr>
        <w:t xml:space="preserve"> by providing access to finding to finance the modernization of U.S. flag vessels and </w:t>
      </w:r>
      <w:r w:rsidR="0075778F">
        <w:rPr>
          <w:rFonts w:ascii="Times New Roman" w:hAnsi="Times New Roman"/>
        </w:rPr>
        <w:t>shipyards</w:t>
      </w:r>
      <w:r w:rsidR="002A4A09">
        <w:rPr>
          <w:rFonts w:ascii="Times New Roman" w:hAnsi="Times New Roman"/>
        </w:rPr>
        <w:t xml:space="preserve">. </w:t>
      </w:r>
    </w:p>
    <w:p w:rsidR="00860F23" w:rsidP="00B0721C" w14:paraId="1309E656" w14:textId="77777777">
      <w:pPr>
        <w:ind w:left="720"/>
        <w:rPr>
          <w:rFonts w:ascii="Times New Roman" w:hAnsi="Times New Roman"/>
          <w:b/>
        </w:rPr>
      </w:pPr>
    </w:p>
    <w:p w:rsidR="0086679E" w:rsidRPr="00982972" w:rsidP="00982972" w14:paraId="2482E3ED" w14:textId="59AC5534">
      <w:pPr>
        <w:pStyle w:val="ListParagraph"/>
        <w:numPr>
          <w:ilvl w:val="0"/>
          <w:numId w:val="20"/>
        </w:numPr>
        <w:tabs>
          <w:tab w:val="left" w:pos="-1440"/>
          <w:tab w:val="left" w:pos="540"/>
        </w:tabs>
        <w:rPr>
          <w:rFonts w:ascii="Times New Roman" w:hAnsi="Times New Roman"/>
          <w:b/>
        </w:rPr>
      </w:pPr>
      <w:r>
        <w:rPr>
          <w:rFonts w:ascii="Times New Roman" w:hAnsi="Times New Roman"/>
          <w:b/>
        </w:rPr>
        <w:t xml:space="preserve">  </w:t>
      </w:r>
      <w:r w:rsidR="00B0721C">
        <w:rPr>
          <w:rFonts w:ascii="Times New Roman" w:hAnsi="Times New Roman"/>
          <w:b/>
        </w:rPr>
        <w:t>P</w:t>
      </w:r>
      <w:r>
        <w:rPr>
          <w:rFonts w:ascii="Times New Roman" w:hAnsi="Times New Roman"/>
          <w:b/>
        </w:rPr>
        <w:t>urpose</w:t>
      </w:r>
      <w:r w:rsidR="00B0721C">
        <w:rPr>
          <w:rFonts w:ascii="Times New Roman" w:hAnsi="Times New Roman"/>
          <w:b/>
        </w:rPr>
        <w:t xml:space="preserve"> and Use of</w:t>
      </w:r>
      <w:r>
        <w:rPr>
          <w:rFonts w:ascii="Times New Roman" w:hAnsi="Times New Roman"/>
          <w:b/>
        </w:rPr>
        <w:t xml:space="preserve"> the </w:t>
      </w:r>
      <w:r w:rsidR="00B0721C">
        <w:rPr>
          <w:rFonts w:ascii="Times New Roman" w:hAnsi="Times New Roman"/>
          <w:b/>
        </w:rPr>
        <w:t xml:space="preserve">Information </w:t>
      </w:r>
      <w:r w:rsidRPr="00982972" w:rsidR="00B0721C">
        <w:rPr>
          <w:rFonts w:ascii="Times New Roman" w:hAnsi="Times New Roman"/>
          <w:b/>
        </w:rPr>
        <w:t>C</w:t>
      </w:r>
      <w:r w:rsidRPr="00982972">
        <w:rPr>
          <w:rFonts w:ascii="Times New Roman" w:hAnsi="Times New Roman"/>
          <w:b/>
        </w:rPr>
        <w:t>ollection</w:t>
      </w:r>
    </w:p>
    <w:p w:rsidR="0086679E" w14:paraId="4C6EC474" w14:textId="77777777">
      <w:pPr>
        <w:ind w:firstLine="720"/>
        <w:rPr>
          <w:rFonts w:ascii="Times New Roman" w:hAnsi="Times New Roman"/>
        </w:rPr>
      </w:pPr>
    </w:p>
    <w:p w:rsidR="0086679E" w:rsidP="00982972" w14:paraId="5073694F" w14:textId="43CCD598">
      <w:pPr>
        <w:ind w:left="720"/>
        <w:rPr>
          <w:rFonts w:ascii="Times New Roman" w:hAnsi="Times New Roman"/>
        </w:rPr>
      </w:pPr>
      <w:r>
        <w:rPr>
          <w:rFonts w:ascii="Times New Roman" w:hAnsi="Times New Roman"/>
        </w:rPr>
        <w:t xml:space="preserve">Forms are sent </w:t>
      </w:r>
      <w:r w:rsidR="0075778F">
        <w:rPr>
          <w:rFonts w:ascii="Times New Roman" w:hAnsi="Times New Roman"/>
        </w:rPr>
        <w:t>to and</w:t>
      </w:r>
      <w:r>
        <w:rPr>
          <w:rFonts w:ascii="Times New Roman" w:hAnsi="Times New Roman"/>
        </w:rPr>
        <w:t xml:space="preserve"> prepared by companies doing business with MARAD in order to determine compliance with regulatory and contractual requirements.  To this end, the data collected is used by MARAD in analyses and reviews.  Also, the data is used to evaluate companies, measure industry segments, and chart industry financial trends.  It would be difficult to accomplish this without the MA-172</w:t>
      </w:r>
      <w:r w:rsidR="00175A49">
        <w:rPr>
          <w:rFonts w:ascii="Times New Roman" w:hAnsi="Times New Roman"/>
        </w:rPr>
        <w:t xml:space="preserve"> (</w:t>
      </w:r>
      <w:r w:rsidRPr="00175A49" w:rsidR="00175A49">
        <w:rPr>
          <w:rFonts w:ascii="Times New Roman" w:hAnsi="Times New Roman"/>
        </w:rPr>
        <w:t>Financial Report of Ship Carriers (Part 1)</w:t>
      </w:r>
      <w:r w:rsidR="00175A49">
        <w:rPr>
          <w:rFonts w:ascii="Times New Roman" w:hAnsi="Times New Roman"/>
        </w:rPr>
        <w:t>)</w:t>
      </w:r>
      <w:r>
        <w:rPr>
          <w:rFonts w:ascii="Times New Roman" w:hAnsi="Times New Roman"/>
        </w:rPr>
        <w:t>.</w:t>
      </w:r>
    </w:p>
    <w:p w:rsidR="0086679E" w:rsidP="00982972" w14:paraId="769BED5D" w14:textId="77777777">
      <w:pPr>
        <w:ind w:left="720"/>
        <w:rPr>
          <w:rFonts w:ascii="Times New Roman" w:hAnsi="Times New Roman"/>
          <w:b/>
        </w:rPr>
      </w:pPr>
    </w:p>
    <w:p w:rsidR="00B0721C" w:rsidRPr="00982972" w:rsidP="00982972" w14:paraId="6B269F44" w14:textId="7132AE47">
      <w:pPr>
        <w:pStyle w:val="ListParagraph"/>
        <w:numPr>
          <w:ilvl w:val="0"/>
          <w:numId w:val="20"/>
        </w:numPr>
        <w:tabs>
          <w:tab w:val="left" w:pos="540"/>
        </w:tabs>
        <w:rPr>
          <w:rFonts w:ascii="Times New Roman" w:hAnsi="Times New Roman"/>
          <w:b/>
        </w:rPr>
      </w:pPr>
      <w:r w:rsidRPr="00B0721C">
        <w:rPr>
          <w:rFonts w:ascii="Times New Roman" w:hAnsi="Times New Roman"/>
          <w:b/>
        </w:rPr>
        <w:t xml:space="preserve">   A</w:t>
      </w:r>
      <w:r w:rsidRPr="00982972" w:rsidR="0086679E">
        <w:rPr>
          <w:rFonts w:ascii="Times New Roman" w:hAnsi="Times New Roman"/>
          <w:b/>
        </w:rPr>
        <w:t>utomat</w:t>
      </w:r>
      <w:r w:rsidRPr="00B0721C">
        <w:rPr>
          <w:rFonts w:ascii="Times New Roman" w:hAnsi="Times New Roman"/>
          <w:b/>
        </w:rPr>
        <w:t>ion or Use of I</w:t>
      </w:r>
      <w:r w:rsidRPr="00982972" w:rsidR="0086679E">
        <w:rPr>
          <w:rFonts w:ascii="Times New Roman" w:hAnsi="Times New Roman"/>
          <w:b/>
        </w:rPr>
        <w:t xml:space="preserve">nformation </w:t>
      </w:r>
      <w:r w:rsidRPr="00B0721C">
        <w:rPr>
          <w:rFonts w:ascii="Times New Roman" w:hAnsi="Times New Roman"/>
          <w:b/>
        </w:rPr>
        <w:t>T</w:t>
      </w:r>
      <w:r w:rsidRPr="00982972">
        <w:rPr>
          <w:rFonts w:ascii="Times New Roman" w:hAnsi="Times New Roman"/>
          <w:b/>
        </w:rPr>
        <w:t xml:space="preserve">echnology </w:t>
      </w:r>
    </w:p>
    <w:p w:rsidR="00130E99" w:rsidRPr="00B0721C" w:rsidP="00982972" w14:paraId="0243A176" w14:textId="77777777">
      <w:pPr>
        <w:pStyle w:val="ListParagraph"/>
        <w:tabs>
          <w:tab w:val="left" w:pos="540"/>
        </w:tabs>
        <w:rPr>
          <w:rFonts w:ascii="Times New Roman" w:hAnsi="Times New Roman"/>
          <w:b/>
        </w:rPr>
      </w:pPr>
    </w:p>
    <w:p w:rsidR="0086679E" w:rsidP="00982972" w14:paraId="7795D7C6" w14:textId="77777777">
      <w:pPr>
        <w:ind w:left="720"/>
        <w:rPr>
          <w:rFonts w:ascii="Times New Roman" w:hAnsi="Times New Roman"/>
        </w:rPr>
      </w:pPr>
      <w:r>
        <w:rPr>
          <w:rFonts w:ascii="Times New Roman" w:hAnsi="Times New Roman"/>
        </w:rPr>
        <w:t xml:space="preserve">The extent of technology used in data collection and form preparation is at the discretion of the individual company.  MARAD does not dictate collecting or preparing methods since we are amenable to most means of submission.  </w:t>
      </w:r>
    </w:p>
    <w:p w:rsidR="0086679E" w14:paraId="4A83B1B4" w14:textId="77777777">
      <w:pPr>
        <w:ind w:firstLine="720"/>
        <w:rPr>
          <w:rFonts w:ascii="Times New Roman" w:hAnsi="Times New Roman"/>
          <w:b/>
        </w:rPr>
      </w:pPr>
    </w:p>
    <w:p w:rsidR="00B0721C" w:rsidRPr="00982972" w:rsidP="00982972" w14:paraId="607F2866" w14:textId="6129F416">
      <w:pPr>
        <w:pStyle w:val="ListParagraph"/>
        <w:numPr>
          <w:ilvl w:val="0"/>
          <w:numId w:val="20"/>
        </w:numPr>
        <w:rPr>
          <w:rFonts w:ascii="Times New Roman" w:hAnsi="Times New Roman"/>
          <w:b/>
        </w:rPr>
      </w:pPr>
      <w:r w:rsidRPr="00982972">
        <w:rPr>
          <w:rFonts w:ascii="Times New Roman" w:hAnsi="Times New Roman"/>
          <w:b/>
        </w:rPr>
        <w:t>E</w:t>
      </w:r>
      <w:r w:rsidRPr="00982972" w:rsidR="0086679E">
        <w:rPr>
          <w:rFonts w:ascii="Times New Roman" w:hAnsi="Times New Roman"/>
          <w:b/>
        </w:rPr>
        <w:t xml:space="preserve">fforts to </w:t>
      </w:r>
      <w:r w:rsidRPr="00982972">
        <w:rPr>
          <w:rFonts w:ascii="Times New Roman" w:hAnsi="Times New Roman"/>
          <w:b/>
        </w:rPr>
        <w:t>Identify Duplication</w:t>
      </w:r>
    </w:p>
    <w:p w:rsidR="0086679E" w:rsidP="00982972" w14:paraId="068811B6" w14:textId="77777777">
      <w:pPr>
        <w:pStyle w:val="ListParagraph"/>
      </w:pPr>
    </w:p>
    <w:p w:rsidR="0086679E" w:rsidP="00982972" w14:paraId="2D1C222C" w14:textId="0BBF65E1">
      <w:pPr>
        <w:tabs>
          <w:tab w:val="left" w:pos="-1440"/>
          <w:tab w:val="left" w:pos="540"/>
        </w:tabs>
        <w:ind w:left="720"/>
        <w:rPr>
          <w:rFonts w:ascii="Times New Roman" w:hAnsi="Times New Roman"/>
        </w:rPr>
      </w:pPr>
      <w:r>
        <w:rPr>
          <w:rFonts w:ascii="Times New Roman" w:hAnsi="Times New Roman"/>
        </w:rPr>
        <w:t xml:space="preserve">Financial data </w:t>
      </w:r>
      <w:r w:rsidR="00081FA2">
        <w:rPr>
          <w:rFonts w:ascii="Times New Roman" w:hAnsi="Times New Roman"/>
        </w:rPr>
        <w:t xml:space="preserve">is </w:t>
      </w:r>
      <w:r>
        <w:rPr>
          <w:rFonts w:ascii="Times New Roman" w:hAnsi="Times New Roman"/>
        </w:rPr>
        <w:t>available in a variety of forms</w:t>
      </w:r>
      <w:r w:rsidR="00175A49">
        <w:rPr>
          <w:rFonts w:ascii="Times New Roman" w:hAnsi="Times New Roman"/>
        </w:rPr>
        <w:t>. H</w:t>
      </w:r>
      <w:r>
        <w:rPr>
          <w:rFonts w:ascii="Times New Roman" w:hAnsi="Times New Roman"/>
        </w:rPr>
        <w:t>owever, MARAD requires financial reporting as prescribed by generally accepted accounting principles</w:t>
      </w:r>
      <w:r w:rsidR="006A4EEA">
        <w:rPr>
          <w:rFonts w:ascii="Times New Roman" w:hAnsi="Times New Roman"/>
        </w:rPr>
        <w:t xml:space="preserve"> (GA</w:t>
      </w:r>
      <w:r w:rsidR="000B70C9">
        <w:rPr>
          <w:rFonts w:ascii="Times New Roman" w:hAnsi="Times New Roman"/>
        </w:rPr>
        <w:t>A</w:t>
      </w:r>
      <w:r w:rsidR="006A4EEA">
        <w:rPr>
          <w:rFonts w:ascii="Times New Roman" w:hAnsi="Times New Roman"/>
        </w:rPr>
        <w:t>P)</w:t>
      </w:r>
      <w:r w:rsidR="00175A49">
        <w:rPr>
          <w:rFonts w:ascii="Times New Roman" w:hAnsi="Times New Roman"/>
        </w:rPr>
        <w:t>,</w:t>
      </w:r>
      <w:r w:rsidR="006A4EEA">
        <w:rPr>
          <w:rFonts w:ascii="Times New Roman" w:hAnsi="Times New Roman"/>
        </w:rPr>
        <w:t xml:space="preserve"> as well as financial information regarding vessel operations that are not commonly reflected in financial statements prepared in accordance with GA</w:t>
      </w:r>
      <w:r w:rsidR="000B70C9">
        <w:rPr>
          <w:rFonts w:ascii="Times New Roman" w:hAnsi="Times New Roman"/>
        </w:rPr>
        <w:t>A</w:t>
      </w:r>
      <w:r w:rsidR="006A4EEA">
        <w:rPr>
          <w:rFonts w:ascii="Times New Roman" w:hAnsi="Times New Roman"/>
        </w:rPr>
        <w:t>P</w:t>
      </w:r>
      <w:r>
        <w:rPr>
          <w:rFonts w:ascii="Times New Roman" w:hAnsi="Times New Roman"/>
        </w:rPr>
        <w:t>.  This provides the agency with standard terminology, defined accounting methodology, and reliability.  The result is a report-by-report consistency:  Review for compliance with regulatory and contractual requirements and interpretation of operating results becomes more accurate; analyses of the industry, its segments, and individual company performance is more reputable; and compliance with financial requirements and with covenants of financial agreements is more apparent.  The coordination of financial reporting requirements for the maritime industry, as well as simplifying and reducing the volume of data being reported, assures that duplicate reporting is avoided.</w:t>
      </w:r>
    </w:p>
    <w:p w:rsidR="0086679E" w14:paraId="2B57CE86" w14:textId="77777777">
      <w:pPr>
        <w:tabs>
          <w:tab w:val="left" w:pos="-1440"/>
        </w:tabs>
        <w:ind w:left="720" w:hanging="720"/>
        <w:rPr>
          <w:rFonts w:ascii="Times New Roman" w:hAnsi="Times New Roman"/>
        </w:rPr>
      </w:pPr>
    </w:p>
    <w:p w:rsidR="00F7497F" w:rsidRPr="00982972" w:rsidP="00982972" w14:paraId="7E543D1F" w14:textId="2BA292B6">
      <w:pPr>
        <w:pStyle w:val="ListParagraph"/>
        <w:numPr>
          <w:ilvl w:val="0"/>
          <w:numId w:val="2"/>
        </w:numPr>
        <w:tabs>
          <w:tab w:val="left" w:pos="-1440"/>
        </w:tabs>
        <w:ind w:hanging="360"/>
        <w:rPr>
          <w:rFonts w:ascii="Times New Roman" w:hAnsi="Times New Roman"/>
          <w:b/>
        </w:rPr>
      </w:pPr>
      <w:r w:rsidRPr="00982972">
        <w:rPr>
          <w:rFonts w:ascii="Times New Roman" w:hAnsi="Times New Roman"/>
          <w:b/>
        </w:rPr>
        <w:t>I</w:t>
      </w:r>
      <w:r w:rsidRPr="00982972" w:rsidR="0086679E">
        <w:rPr>
          <w:rFonts w:ascii="Times New Roman" w:hAnsi="Times New Roman"/>
          <w:b/>
        </w:rPr>
        <w:t>mpact</w:t>
      </w:r>
      <w:r w:rsidRPr="00982972">
        <w:rPr>
          <w:rFonts w:ascii="Times New Roman" w:hAnsi="Times New Roman"/>
          <w:b/>
        </w:rPr>
        <w:t xml:space="preserve"> on</w:t>
      </w:r>
      <w:r w:rsidRPr="00982972" w:rsidR="0086679E">
        <w:rPr>
          <w:rFonts w:ascii="Times New Roman" w:hAnsi="Times New Roman"/>
          <w:b/>
        </w:rPr>
        <w:t xml:space="preserve"> </w:t>
      </w:r>
      <w:r w:rsidRPr="00982972">
        <w:rPr>
          <w:rFonts w:ascii="Times New Roman" w:hAnsi="Times New Roman"/>
          <w:b/>
        </w:rPr>
        <w:t>S</w:t>
      </w:r>
      <w:r w:rsidRPr="00982972" w:rsidR="0086679E">
        <w:rPr>
          <w:rFonts w:ascii="Times New Roman" w:hAnsi="Times New Roman"/>
          <w:b/>
        </w:rPr>
        <w:t xml:space="preserve">mall </w:t>
      </w:r>
      <w:r w:rsidRPr="00982972">
        <w:rPr>
          <w:rFonts w:ascii="Times New Roman" w:hAnsi="Times New Roman"/>
          <w:b/>
        </w:rPr>
        <w:t xml:space="preserve">Businesses </w:t>
      </w:r>
      <w:r w:rsidRPr="00982972" w:rsidR="0086679E">
        <w:rPr>
          <w:rFonts w:ascii="Times New Roman" w:hAnsi="Times New Roman"/>
          <w:b/>
        </w:rPr>
        <w:t xml:space="preserve">or </w:t>
      </w:r>
      <w:r w:rsidRPr="00982972">
        <w:rPr>
          <w:rFonts w:ascii="Times New Roman" w:hAnsi="Times New Roman"/>
          <w:b/>
        </w:rPr>
        <w:t xml:space="preserve">Other Small Entities </w:t>
      </w:r>
    </w:p>
    <w:p w:rsidR="0086679E" w14:paraId="1FC55606" w14:textId="77777777">
      <w:pPr>
        <w:ind w:firstLine="720"/>
        <w:rPr>
          <w:rFonts w:ascii="Times New Roman" w:hAnsi="Times New Roman"/>
        </w:rPr>
      </w:pPr>
    </w:p>
    <w:p w:rsidR="0086679E" w:rsidP="00982972" w14:paraId="7081E43E" w14:textId="44151456">
      <w:pPr>
        <w:ind w:left="720"/>
        <w:rPr>
          <w:rFonts w:ascii="Times New Roman" w:hAnsi="Times New Roman"/>
        </w:rPr>
      </w:pPr>
      <w:r>
        <w:rPr>
          <w:rFonts w:ascii="Times New Roman" w:hAnsi="Times New Roman"/>
        </w:rPr>
        <w:t xml:space="preserve">The </w:t>
      </w:r>
      <w:r w:rsidR="00ED0124">
        <w:rPr>
          <w:rFonts w:ascii="Times New Roman" w:hAnsi="Times New Roman"/>
        </w:rPr>
        <w:t>collection has minimal impact on small business and small entities.</w:t>
      </w:r>
      <w:r>
        <w:rPr>
          <w:rFonts w:ascii="Times New Roman" w:hAnsi="Times New Roman"/>
        </w:rPr>
        <w:t xml:space="preserve">  There is no discriminating difference of burden between businesses except that of the number of participants</w:t>
      </w:r>
      <w:r w:rsidR="00ED0124">
        <w:rPr>
          <w:rFonts w:ascii="Times New Roman" w:hAnsi="Times New Roman"/>
        </w:rPr>
        <w:t xml:space="preserve">. </w:t>
      </w:r>
      <w:r w:rsidR="00081FA2">
        <w:rPr>
          <w:rFonts w:ascii="Times New Roman" w:hAnsi="Times New Roman"/>
        </w:rPr>
        <w:t xml:space="preserve"> </w:t>
      </w:r>
      <w:r>
        <w:rPr>
          <w:rFonts w:ascii="Times New Roman" w:hAnsi="Times New Roman"/>
        </w:rPr>
        <w:t xml:space="preserve">The more vessels enrolled in the programs, the </w:t>
      </w:r>
      <w:r w:rsidR="00ED0124">
        <w:rPr>
          <w:rFonts w:ascii="Times New Roman" w:hAnsi="Times New Roman"/>
        </w:rPr>
        <w:t xml:space="preserve">longer a respondent may take </w:t>
      </w:r>
      <w:r>
        <w:rPr>
          <w:rFonts w:ascii="Times New Roman" w:hAnsi="Times New Roman"/>
        </w:rPr>
        <w:t xml:space="preserve">to prepare </w:t>
      </w:r>
      <w:r w:rsidR="00ED0124">
        <w:rPr>
          <w:rFonts w:ascii="Times New Roman" w:hAnsi="Times New Roman"/>
        </w:rPr>
        <w:t>the required</w:t>
      </w:r>
      <w:r>
        <w:rPr>
          <w:rFonts w:ascii="Times New Roman" w:hAnsi="Times New Roman"/>
        </w:rPr>
        <w:t xml:space="preserve"> MA-172.</w:t>
      </w:r>
    </w:p>
    <w:p w:rsidR="0086679E" w14:paraId="421E03FA" w14:textId="77777777">
      <w:pPr>
        <w:rPr>
          <w:rFonts w:ascii="Times New Roman" w:hAnsi="Times New Roman"/>
          <w:b/>
        </w:rPr>
      </w:pPr>
    </w:p>
    <w:p w:rsidR="00F7497F" w:rsidRPr="00982972" w:rsidP="00982972" w14:paraId="19E27B67" w14:textId="1CE1CE1E">
      <w:pPr>
        <w:pStyle w:val="ListParagraph"/>
        <w:numPr>
          <w:ilvl w:val="0"/>
          <w:numId w:val="2"/>
        </w:numPr>
        <w:ind w:hanging="360"/>
        <w:rPr>
          <w:b/>
        </w:rPr>
      </w:pPr>
      <w:r w:rsidRPr="00982972">
        <w:rPr>
          <w:rFonts w:ascii="Times New Roman" w:hAnsi="Times New Roman"/>
          <w:b/>
        </w:rPr>
        <w:t>Impact of N</w:t>
      </w:r>
      <w:r w:rsidRPr="00982972" w:rsidR="0086679E">
        <w:rPr>
          <w:rFonts w:ascii="Times New Roman" w:hAnsi="Times New Roman"/>
          <w:b/>
        </w:rPr>
        <w:t xml:space="preserve">ot </w:t>
      </w:r>
      <w:r w:rsidRPr="00982972">
        <w:rPr>
          <w:rFonts w:ascii="Times New Roman" w:hAnsi="Times New Roman"/>
          <w:b/>
        </w:rPr>
        <w:t xml:space="preserve">Conducting </w:t>
      </w:r>
      <w:r w:rsidRPr="00982972" w:rsidR="0086679E">
        <w:rPr>
          <w:rFonts w:ascii="Times New Roman" w:hAnsi="Times New Roman"/>
          <w:b/>
        </w:rPr>
        <w:t xml:space="preserve">or </w:t>
      </w:r>
      <w:r w:rsidRPr="00982972">
        <w:rPr>
          <w:rFonts w:ascii="Times New Roman" w:hAnsi="Times New Roman"/>
          <w:b/>
        </w:rPr>
        <w:t>Le</w:t>
      </w:r>
      <w:r w:rsidRPr="00982972" w:rsidR="0086679E">
        <w:rPr>
          <w:rFonts w:ascii="Times New Roman" w:hAnsi="Times New Roman"/>
          <w:b/>
        </w:rPr>
        <w:t xml:space="preserve">ss </w:t>
      </w:r>
      <w:r w:rsidRPr="00982972">
        <w:rPr>
          <w:rFonts w:ascii="Times New Roman" w:hAnsi="Times New Roman"/>
          <w:b/>
        </w:rPr>
        <w:t>Frequent Collection of Information</w:t>
      </w:r>
      <w:r w:rsidRPr="00982972">
        <w:rPr>
          <w:b/>
        </w:rPr>
        <w:t xml:space="preserve"> </w:t>
      </w:r>
    </w:p>
    <w:p w:rsidR="0086679E" w:rsidRPr="00F7497F" w:rsidP="00982972" w14:paraId="773420A0" w14:textId="77777777">
      <w:pPr>
        <w:pStyle w:val="ListParagraph"/>
      </w:pPr>
    </w:p>
    <w:p w:rsidR="0086679E" w:rsidP="00982972" w14:paraId="25D4843A" w14:textId="37B0FE51">
      <w:pPr>
        <w:ind w:left="720"/>
        <w:rPr>
          <w:rFonts w:ascii="Times New Roman" w:hAnsi="Times New Roman"/>
        </w:rPr>
      </w:pPr>
      <w:r>
        <w:rPr>
          <w:rFonts w:ascii="Times New Roman" w:hAnsi="Times New Roman"/>
        </w:rPr>
        <w:t>Infrequent collection</w:t>
      </w:r>
      <w:r w:rsidR="00ED0124">
        <w:rPr>
          <w:rFonts w:ascii="Times New Roman" w:hAnsi="Times New Roman"/>
        </w:rPr>
        <w:t xml:space="preserve"> of data for this effort </w:t>
      </w:r>
      <w:r>
        <w:rPr>
          <w:rFonts w:ascii="Times New Roman" w:hAnsi="Times New Roman"/>
        </w:rPr>
        <w:t>would cause our analys</w:t>
      </w:r>
      <w:r w:rsidR="00081FA2">
        <w:rPr>
          <w:rFonts w:ascii="Times New Roman" w:hAnsi="Times New Roman"/>
        </w:rPr>
        <w:t>i</w:t>
      </w:r>
      <w:r>
        <w:rPr>
          <w:rFonts w:ascii="Times New Roman" w:hAnsi="Times New Roman"/>
        </w:rPr>
        <w:t>s to be inconsistent and unresponsive, thus ineffective to MARAD goals.  Collections must be timely and consistent to be purposeful.</w:t>
      </w:r>
    </w:p>
    <w:p w:rsidR="0086679E" w:rsidP="00982972" w14:paraId="64E16056" w14:textId="77777777">
      <w:pPr>
        <w:tabs>
          <w:tab w:val="left" w:pos="-1440"/>
        </w:tabs>
        <w:ind w:left="720" w:right="720" w:hanging="360"/>
        <w:rPr>
          <w:rFonts w:ascii="Times New Roman" w:hAnsi="Times New Roman"/>
          <w:b/>
        </w:rPr>
      </w:pPr>
    </w:p>
    <w:p w:rsidR="004963D3" w:rsidP="004963D3" w14:paraId="7182A487" w14:textId="03734CAB">
      <w:pPr>
        <w:numPr>
          <w:ilvl w:val="0"/>
          <w:numId w:val="2"/>
        </w:numPr>
        <w:tabs>
          <w:tab w:val="left" w:pos="-1440"/>
          <w:tab w:val="num" w:pos="540"/>
          <w:tab w:val="clear" w:pos="720"/>
        </w:tabs>
        <w:ind w:right="720" w:hanging="360"/>
        <w:rPr>
          <w:rFonts w:ascii="Times New Roman" w:hAnsi="Times New Roman"/>
          <w:b/>
        </w:rPr>
      </w:pPr>
      <w:r>
        <w:rPr>
          <w:rFonts w:ascii="Times New Roman" w:hAnsi="Times New Roman"/>
          <w:b/>
        </w:rPr>
        <w:t xml:space="preserve">   S</w:t>
      </w:r>
      <w:r w:rsidR="0086679E">
        <w:rPr>
          <w:rFonts w:ascii="Times New Roman" w:hAnsi="Times New Roman"/>
          <w:b/>
        </w:rPr>
        <w:t xml:space="preserve">pecial </w:t>
      </w:r>
      <w:r>
        <w:rPr>
          <w:rFonts w:ascii="Times New Roman" w:hAnsi="Times New Roman"/>
          <w:b/>
        </w:rPr>
        <w:t xml:space="preserve">Circumstances Relating to the Guidelines 5 CFR 1320.5 </w:t>
      </w:r>
    </w:p>
    <w:p w:rsidR="0086679E" w14:paraId="452C2E7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6679E" w:rsidP="004963D3" w14:paraId="4AFE8F86" w14:textId="174A4E7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There are no special circumstances that require the collection of information to be conducted in a manner described </w:t>
      </w:r>
      <w:r w:rsidR="004963D3">
        <w:rPr>
          <w:rFonts w:ascii="Times New Roman" w:hAnsi="Times New Roman"/>
        </w:rPr>
        <w:t>below:</w:t>
      </w:r>
    </w:p>
    <w:p w:rsidR="004963D3" w:rsidP="004963D3" w14:paraId="4D5EACD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963D3" w:rsidRPr="004963D3" w:rsidP="004963D3" w14:paraId="5759624C" w14:textId="77777777">
      <w:pPr>
        <w:numPr>
          <w:ilvl w:val="0"/>
          <w:numId w:val="2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963D3">
        <w:rPr>
          <w:rFonts w:ascii="Times New Roman" w:hAnsi="Times New Roman"/>
          <w:bCs/>
        </w:rPr>
        <w:t>Requiring respondents to report information to MARAD more often than quarterly;</w:t>
      </w:r>
    </w:p>
    <w:p w:rsidR="004963D3" w:rsidRPr="004963D3" w:rsidP="004963D3" w14:paraId="1B1CD8CD" w14:textId="77777777">
      <w:pPr>
        <w:numPr>
          <w:ilvl w:val="0"/>
          <w:numId w:val="2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963D3">
        <w:rPr>
          <w:rFonts w:ascii="Times New Roman" w:hAnsi="Times New Roman"/>
          <w:bCs/>
        </w:rPr>
        <w:t>Requiring respondents to prepare a written response in fewer than 30 days after receipt of a collection instrument;</w:t>
      </w:r>
    </w:p>
    <w:p w:rsidR="004963D3" w:rsidRPr="004963D3" w:rsidP="004963D3" w14:paraId="3CB5E61F" w14:textId="77777777">
      <w:pPr>
        <w:numPr>
          <w:ilvl w:val="0"/>
          <w:numId w:val="2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963D3">
        <w:rPr>
          <w:rFonts w:ascii="Times New Roman" w:hAnsi="Times New Roman"/>
          <w:bCs/>
        </w:rPr>
        <w:t>Requiring respondents to submit more than one original copy of any document;</w:t>
      </w:r>
    </w:p>
    <w:p w:rsidR="004963D3" w:rsidRPr="004963D3" w:rsidP="004963D3" w14:paraId="294A0F33" w14:textId="77777777">
      <w:pPr>
        <w:numPr>
          <w:ilvl w:val="0"/>
          <w:numId w:val="2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963D3">
        <w:rPr>
          <w:rFonts w:ascii="Times New Roman" w:hAnsi="Times New Roman"/>
          <w:bCs/>
        </w:rPr>
        <w:t>Requiring respondents to retain records, other than health, medical, government contract, grant-in-aid, or tax records for more than three years;</w:t>
      </w:r>
    </w:p>
    <w:p w:rsidR="004963D3" w:rsidRPr="004963D3" w:rsidP="004963D3" w14:paraId="1935EC80" w14:textId="77777777">
      <w:pPr>
        <w:numPr>
          <w:ilvl w:val="0"/>
          <w:numId w:val="2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963D3">
        <w:rPr>
          <w:rFonts w:ascii="Times New Roman" w:hAnsi="Times New Roman"/>
          <w:bCs/>
        </w:rPr>
        <w:t>Requiring the use of any statistical data that is not designed to produce valid and reliable results that can be generalized to the universe of study;</w:t>
      </w:r>
    </w:p>
    <w:p w:rsidR="004963D3" w:rsidRPr="004963D3" w:rsidP="004963D3" w14:paraId="44BE9D3A" w14:textId="77777777">
      <w:pPr>
        <w:numPr>
          <w:ilvl w:val="0"/>
          <w:numId w:val="2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963D3">
        <w:rPr>
          <w:rFonts w:ascii="Times New Roman" w:hAnsi="Times New Roman"/>
          <w:bCs/>
        </w:rPr>
        <w:t>Requiring the use of a statistical data classification that has not been reviewed and approved by OMB;</w:t>
      </w:r>
    </w:p>
    <w:p w:rsidR="004963D3" w:rsidRPr="004963D3" w:rsidP="004963D3" w14:paraId="5FA292C9" w14:textId="77777777">
      <w:pPr>
        <w:numPr>
          <w:ilvl w:val="0"/>
          <w:numId w:val="2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963D3">
        <w:rPr>
          <w:rFonts w:ascii="Times New Roman" w:hAnsi="Times New Roman"/>
          <w:bCs/>
        </w:rPr>
        <w:t xml:space="preserve">Requiring any pledge of confidentiality; or </w:t>
      </w:r>
    </w:p>
    <w:p w:rsidR="004963D3" w:rsidRPr="004963D3" w:rsidP="004963D3" w14:paraId="7AE60541" w14:textId="77777777">
      <w:pPr>
        <w:numPr>
          <w:ilvl w:val="0"/>
          <w:numId w:val="2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963D3">
        <w:rPr>
          <w:rFonts w:ascii="Times New Roman" w:hAnsi="Times New Roman"/>
          <w:bCs/>
        </w:rPr>
        <w:t>Requiring respondents to submit any proprietary or trade secrets.</w:t>
      </w:r>
    </w:p>
    <w:p w:rsidR="004963D3" w:rsidP="00982972" w14:paraId="0AFA7E7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6679E" w:rsidRPr="004963D3" w:rsidP="00982972" w14:paraId="22D4E5CB" w14:textId="77777777">
      <w:pPr>
        <w:tabs>
          <w:tab w:val="left" w:pos="-1440"/>
          <w:tab w:val="left" w:pos="-720"/>
          <w:tab w:val="left" w:pos="0"/>
          <w:tab w:val="left" w:pos="9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963D3" w:rsidRPr="00982972" w:rsidP="00982972" w14:paraId="16653172" w14:textId="2F8A84AD">
      <w:pPr>
        <w:pStyle w:val="ListParagraph"/>
        <w:numPr>
          <w:ilvl w:val="0"/>
          <w:numId w:val="2"/>
        </w:numPr>
        <w:tabs>
          <w:tab w:val="left" w:pos="90"/>
        </w:tabs>
        <w:ind w:hanging="360"/>
        <w:rPr>
          <w:rFonts w:ascii="Times New Roman" w:hAnsi="Times New Roman"/>
          <w:b/>
        </w:rPr>
      </w:pPr>
      <w:r w:rsidRPr="004963D3">
        <w:rPr>
          <w:rFonts w:ascii="Times New Roman" w:hAnsi="Times New Roman"/>
          <w:b/>
        </w:rPr>
        <w:t>P</w:t>
      </w:r>
      <w:r w:rsidRPr="00982972" w:rsidR="0086679E">
        <w:rPr>
          <w:rFonts w:ascii="Times New Roman" w:hAnsi="Times New Roman"/>
          <w:b/>
        </w:rPr>
        <w:t>ublic comments</w:t>
      </w:r>
      <w:r w:rsidRPr="00982972">
        <w:rPr>
          <w:rFonts w:ascii="Times New Roman" w:hAnsi="Times New Roman"/>
          <w:b/>
        </w:rPr>
        <w:t xml:space="preserve"> </w:t>
      </w:r>
      <w:r w:rsidRPr="00982972" w:rsidR="0086679E">
        <w:rPr>
          <w:rFonts w:ascii="Times New Roman" w:hAnsi="Times New Roman"/>
          <w:b/>
        </w:rPr>
        <w:t xml:space="preserve">in response to </w:t>
      </w:r>
      <w:r w:rsidRPr="00982972">
        <w:rPr>
          <w:rFonts w:ascii="Times New Roman" w:hAnsi="Times New Roman"/>
          <w:b/>
        </w:rPr>
        <w:t xml:space="preserve">the Federal Register Notice and Outside Consultation </w:t>
      </w:r>
    </w:p>
    <w:p w:rsidR="0045020F" w14:paraId="2CFC38E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A369B" w:rsidRPr="00C515C1" w:rsidP="00C515C1" w14:paraId="07373C39" w14:textId="407456BA">
      <w:pPr>
        <w:spacing w:after="160" w:line="252" w:lineRule="auto"/>
        <w:ind w:left="810"/>
        <w:rPr>
          <w:rFonts w:ascii="Times New Roman" w:hAnsi="Times New Roman"/>
          <w:szCs w:val="24"/>
        </w:rPr>
      </w:pPr>
      <w:r w:rsidRPr="003A369B">
        <w:rPr>
          <w:rFonts w:ascii="Times New Roman" w:hAnsi="Times New Roman"/>
          <w:szCs w:val="24"/>
        </w:rPr>
        <w:t>MARAD published a 60-day notice and request for comments on this information collection in the Federal Register (</w:t>
      </w:r>
      <w:r w:rsidR="001A282D">
        <w:rPr>
          <w:rFonts w:ascii="Times New Roman" w:hAnsi="Times New Roman"/>
          <w:szCs w:val="24"/>
        </w:rPr>
        <w:t>90 FR 17880</w:t>
      </w:r>
      <w:r w:rsidR="007E6B1B">
        <w:rPr>
          <w:rFonts w:ascii="Times New Roman" w:hAnsi="Times New Roman"/>
          <w:szCs w:val="24"/>
        </w:rPr>
        <w:t>,</w:t>
      </w:r>
      <w:r w:rsidRPr="003A369B">
        <w:rPr>
          <w:rFonts w:ascii="Times New Roman" w:hAnsi="Times New Roman"/>
          <w:szCs w:val="24"/>
        </w:rPr>
        <w:t xml:space="preserve"> Vol. 90, No. 81) on April 29, 2025, indicating comments should be submitted on or before June 30, 2025. </w:t>
      </w:r>
      <w:r w:rsidR="00C515C1">
        <w:rPr>
          <w:rFonts w:ascii="Times New Roman" w:hAnsi="Times New Roman"/>
          <w:szCs w:val="24"/>
        </w:rPr>
        <w:t xml:space="preserve"> </w:t>
      </w:r>
      <w:r w:rsidRPr="003A369B">
        <w:rPr>
          <w:rFonts w:ascii="Times New Roman" w:hAnsi="Times New Roman"/>
          <w:szCs w:val="24"/>
        </w:rPr>
        <w:t xml:space="preserve">No comments were received. </w:t>
      </w:r>
      <w:r w:rsidR="00C515C1">
        <w:rPr>
          <w:rFonts w:ascii="Times New Roman" w:hAnsi="Times New Roman"/>
          <w:szCs w:val="24"/>
        </w:rPr>
        <w:t xml:space="preserve"> </w:t>
      </w:r>
      <w:r>
        <w:rPr>
          <w:rFonts w:ascii="Times New Roman" w:hAnsi="Times New Roman"/>
          <w:szCs w:val="24"/>
        </w:rPr>
        <w:t>A 30-day notice will now be published in the Federal Register to solicit public comments.</w:t>
      </w:r>
    </w:p>
    <w:p w:rsidR="0086679E" w14:paraId="035EF1B8" w14:textId="77777777">
      <w:pPr>
        <w:pStyle w:val="BodyTextIndent"/>
        <w:ind w:firstLine="0"/>
        <w:jc w:val="left"/>
        <w:rPr>
          <w:rFonts w:ascii="Times New Roman" w:hAnsi="Times New Roman"/>
          <w:sz w:val="24"/>
        </w:rPr>
      </w:pPr>
    </w:p>
    <w:p w:rsidR="004963D3" w:rsidP="00982972" w14:paraId="722E464A" w14:textId="0B46B692">
      <w:pPr>
        <w:pStyle w:val="ListParagraph"/>
        <w:numPr>
          <w:ilvl w:val="0"/>
          <w:numId w:val="2"/>
        </w:numPr>
        <w:ind w:left="810" w:hanging="450"/>
      </w:pPr>
      <w:r w:rsidRPr="00982972">
        <w:rPr>
          <w:rFonts w:ascii="Times New Roman" w:hAnsi="Times New Roman"/>
          <w:b/>
        </w:rPr>
        <w:t>Expla</w:t>
      </w:r>
      <w:r w:rsidRPr="00982972">
        <w:rPr>
          <w:rFonts w:ascii="Times New Roman" w:hAnsi="Times New Roman"/>
          <w:b/>
        </w:rPr>
        <w:t>nation of</w:t>
      </w:r>
      <w:r w:rsidRPr="00982972">
        <w:rPr>
          <w:rFonts w:ascii="Times New Roman" w:hAnsi="Times New Roman"/>
          <w:b/>
        </w:rPr>
        <w:t xml:space="preserve"> </w:t>
      </w:r>
      <w:r w:rsidRPr="00982972">
        <w:rPr>
          <w:rFonts w:ascii="Times New Roman" w:hAnsi="Times New Roman"/>
          <w:b/>
        </w:rPr>
        <w:t>A</w:t>
      </w:r>
      <w:r w:rsidRPr="00982972">
        <w:rPr>
          <w:rFonts w:ascii="Times New Roman" w:hAnsi="Times New Roman"/>
          <w:b/>
        </w:rPr>
        <w:t xml:space="preserve">ny </w:t>
      </w:r>
      <w:r w:rsidRPr="00982972">
        <w:rPr>
          <w:rFonts w:ascii="Times New Roman" w:hAnsi="Times New Roman"/>
          <w:b/>
        </w:rPr>
        <w:t>P</w:t>
      </w:r>
      <w:r w:rsidRPr="00982972">
        <w:rPr>
          <w:rFonts w:ascii="Times New Roman" w:hAnsi="Times New Roman"/>
          <w:b/>
        </w:rPr>
        <w:t xml:space="preserve">ayment or </w:t>
      </w:r>
      <w:r w:rsidRPr="00982972">
        <w:rPr>
          <w:rFonts w:ascii="Times New Roman" w:hAnsi="Times New Roman"/>
          <w:b/>
        </w:rPr>
        <w:t xml:space="preserve">Gifts </w:t>
      </w:r>
      <w:r w:rsidRPr="00982972">
        <w:rPr>
          <w:rFonts w:ascii="Times New Roman" w:hAnsi="Times New Roman"/>
          <w:b/>
        </w:rPr>
        <w:t xml:space="preserve">to </w:t>
      </w:r>
      <w:r w:rsidRPr="00982972">
        <w:rPr>
          <w:rFonts w:ascii="Times New Roman" w:hAnsi="Times New Roman"/>
          <w:b/>
        </w:rPr>
        <w:t>Respondents</w:t>
      </w:r>
    </w:p>
    <w:p w:rsidR="004963D3" w:rsidP="00982972" w14:paraId="0B201D6A"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P="00982972" w14:paraId="7C7C5025" w14:textId="70FE69F6">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Pr>
          <w:rFonts w:ascii="Times New Roman" w:hAnsi="Times New Roman"/>
        </w:rPr>
        <w:t>No payments or gifts are provided to respondents.</w:t>
      </w:r>
    </w:p>
    <w:p w:rsidR="0086679E" w14:paraId="481B919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6679E" w:rsidP="00982972" w14:paraId="75AD04F2" w14:textId="2511E3BE">
      <w:pPr>
        <w:numPr>
          <w:ilvl w:val="0"/>
          <w:numId w:val="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1080"/>
        <w:rPr>
          <w:rFonts w:ascii="Times New Roman" w:hAnsi="Times New Roman"/>
          <w:b/>
        </w:rPr>
      </w:pPr>
      <w:r>
        <w:rPr>
          <w:rFonts w:ascii="Times New Roman" w:hAnsi="Times New Roman"/>
          <w:b/>
        </w:rPr>
        <w:t>A</w:t>
      </w:r>
      <w:r>
        <w:rPr>
          <w:rFonts w:ascii="Times New Roman" w:hAnsi="Times New Roman"/>
          <w:b/>
        </w:rPr>
        <w:t xml:space="preserve">ssurance of </w:t>
      </w:r>
      <w:r>
        <w:rPr>
          <w:rFonts w:ascii="Times New Roman" w:hAnsi="Times New Roman"/>
          <w:b/>
        </w:rPr>
        <w:t xml:space="preserve">Confidentiality </w:t>
      </w:r>
      <w:r>
        <w:rPr>
          <w:rFonts w:ascii="Times New Roman" w:hAnsi="Times New Roman"/>
          <w:b/>
        </w:rPr>
        <w:t xml:space="preserve">and </w:t>
      </w:r>
      <w:r>
        <w:rPr>
          <w:rFonts w:ascii="Times New Roman" w:hAnsi="Times New Roman"/>
          <w:b/>
        </w:rPr>
        <w:t xml:space="preserve">Protection </w:t>
      </w:r>
      <w:r w:rsidR="0075778F">
        <w:rPr>
          <w:rFonts w:ascii="Times New Roman" w:hAnsi="Times New Roman"/>
          <w:b/>
        </w:rPr>
        <w:t>of</w:t>
      </w:r>
      <w:r>
        <w:rPr>
          <w:rFonts w:ascii="Times New Roman" w:hAnsi="Times New Roman"/>
          <w:b/>
        </w:rPr>
        <w:t xml:space="preserve"> Privacy </w:t>
      </w:r>
    </w:p>
    <w:p w:rsidR="0086679E" w14:paraId="09A39C8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rsidR="0086679E" w:rsidP="00982972" w14:paraId="64B9583C" w14:textId="77777777">
      <w:pPr>
        <w:ind w:left="720"/>
        <w:rPr>
          <w:rFonts w:ascii="Times New Roman" w:hAnsi="Times New Roman"/>
        </w:rPr>
      </w:pPr>
      <w:r>
        <w:rPr>
          <w:rFonts w:ascii="Times New Roman" w:hAnsi="Times New Roman"/>
        </w:rPr>
        <w:t>The information collected is handled as confidential in compliance with the Freedom of Information Act, the Privacy Act of 1974, and OMB Circular A-108.  All the information involves financial data from business operations and is protected from disclosure.</w:t>
      </w:r>
    </w:p>
    <w:p w:rsidR="0086679E" w14:paraId="357AEA89" w14:textId="77777777">
      <w:pPr>
        <w:ind w:firstLine="720"/>
        <w:rPr>
          <w:rFonts w:ascii="Times New Roman" w:hAnsi="Times New Roman"/>
        </w:rPr>
      </w:pPr>
    </w:p>
    <w:p w:rsidR="0086679E" w:rsidP="00982972" w14:paraId="3B281A94" w14:textId="4A05E92E">
      <w:pPr>
        <w:pStyle w:val="ListParagraph"/>
        <w:numPr>
          <w:ilvl w:val="0"/>
          <w:numId w:val="2"/>
        </w:numPr>
        <w:ind w:hanging="360"/>
      </w:pPr>
      <w:r w:rsidRPr="00982972">
        <w:rPr>
          <w:rFonts w:ascii="Times New Roman" w:hAnsi="Times New Roman"/>
          <w:b/>
        </w:rPr>
        <w:t>J</w:t>
      </w:r>
      <w:r w:rsidRPr="00982972">
        <w:rPr>
          <w:rFonts w:ascii="Times New Roman" w:hAnsi="Times New Roman"/>
          <w:b/>
        </w:rPr>
        <w:t xml:space="preserve">ustification for </w:t>
      </w:r>
      <w:r w:rsidRPr="00982972">
        <w:rPr>
          <w:rFonts w:ascii="Times New Roman" w:hAnsi="Times New Roman"/>
          <w:b/>
        </w:rPr>
        <w:t>S</w:t>
      </w:r>
      <w:r w:rsidRPr="00982972">
        <w:rPr>
          <w:rFonts w:ascii="Times New Roman" w:hAnsi="Times New Roman"/>
          <w:b/>
        </w:rPr>
        <w:t>ensitive</w:t>
      </w:r>
      <w:r w:rsidRPr="00982972">
        <w:rPr>
          <w:rFonts w:ascii="Times New Roman" w:hAnsi="Times New Roman"/>
          <w:b/>
        </w:rPr>
        <w:t xml:space="preserve"> Questions </w:t>
      </w:r>
    </w:p>
    <w:p w:rsidR="00B94212" w14:paraId="313C6BA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P="00982972" w14:paraId="0C906D3F" w14:textId="5FCF5EE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There are no questions of a sensitive nature.</w:t>
      </w:r>
    </w:p>
    <w:p w:rsidR="0086679E" w14:paraId="1BBBB65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94212" w:rsidP="00982972" w14:paraId="03783B63" w14:textId="1EDE2716">
      <w:pPr>
        <w:numPr>
          <w:ilvl w:val="0"/>
          <w:numId w:val="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360"/>
        <w:rPr>
          <w:rFonts w:ascii="Times New Roman" w:hAnsi="Times New Roman"/>
          <w:b/>
        </w:rPr>
      </w:pPr>
      <w:r>
        <w:rPr>
          <w:rFonts w:ascii="Times New Roman" w:hAnsi="Times New Roman"/>
          <w:b/>
        </w:rPr>
        <w:t>E</w:t>
      </w:r>
      <w:r w:rsidR="0086679E">
        <w:rPr>
          <w:rFonts w:ascii="Times New Roman" w:hAnsi="Times New Roman"/>
          <w:b/>
        </w:rPr>
        <w:t xml:space="preserve">stimate of </w:t>
      </w:r>
      <w:r>
        <w:rPr>
          <w:rFonts w:ascii="Times New Roman" w:hAnsi="Times New Roman"/>
          <w:b/>
        </w:rPr>
        <w:t xml:space="preserve">Annualized Burden Hours and Cost </w:t>
      </w:r>
    </w:p>
    <w:p w:rsidR="00B94212" w:rsidP="00B94212" w14:paraId="62E70087"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rFonts w:ascii="Times New Roman" w:hAnsi="Times New Roman"/>
          <w:b/>
        </w:rPr>
      </w:pPr>
    </w:p>
    <w:p w:rsidR="00B94212" w:rsidRPr="00982972" w:rsidP="00982972" w14:paraId="212FE05F" w14:textId="18051E2A">
      <w:pPr>
        <w:pStyle w:val="ListParagraph"/>
        <w:numPr>
          <w:ilvl w:val="0"/>
          <w:numId w:val="2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Estimated Annualized Burden Hours </w:t>
      </w:r>
    </w:p>
    <w:p w:rsidR="0086679E" w14:paraId="0146C12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71AC2" w:rsidP="00860F23" w14:paraId="31950263" w14:textId="6A1C9FEA">
      <w:pPr>
        <w:ind w:left="1080"/>
        <w:rPr>
          <w:rFonts w:ascii="Times New Roman" w:hAnsi="Times New Roman"/>
        </w:rPr>
      </w:pPr>
      <w:r w:rsidRPr="004E7AE6">
        <w:rPr>
          <w:rFonts w:ascii="Times New Roman" w:hAnsi="Times New Roman"/>
        </w:rPr>
        <w:t xml:space="preserve">There are </w:t>
      </w:r>
      <w:r w:rsidRPr="004E7AE6" w:rsidR="00A979DA">
        <w:rPr>
          <w:rFonts w:ascii="Times New Roman" w:hAnsi="Times New Roman"/>
        </w:rPr>
        <w:t xml:space="preserve">50 </w:t>
      </w:r>
      <w:r w:rsidRPr="004E7AE6" w:rsidR="0086679E">
        <w:rPr>
          <w:rFonts w:ascii="Times New Roman" w:hAnsi="Times New Roman"/>
        </w:rPr>
        <w:t>business entities providing financial data to MARAD twice a year</w:t>
      </w:r>
      <w:r w:rsidR="00ED0124">
        <w:rPr>
          <w:rFonts w:ascii="Times New Roman" w:hAnsi="Times New Roman"/>
        </w:rPr>
        <w:t xml:space="preserve"> in response this collection</w:t>
      </w:r>
      <w:r w:rsidRPr="004E7AE6" w:rsidR="0086679E">
        <w:rPr>
          <w:rFonts w:ascii="Times New Roman" w:hAnsi="Times New Roman"/>
        </w:rPr>
        <w:t xml:space="preserve">. </w:t>
      </w:r>
      <w:r w:rsidR="0056324F">
        <w:rPr>
          <w:rFonts w:ascii="Times New Roman" w:hAnsi="Times New Roman"/>
        </w:rPr>
        <w:t>This estimate is based on feedback from respondents about their experience responding to this collection.</w:t>
      </w:r>
      <w:r w:rsidRPr="004E7AE6" w:rsidR="0086679E">
        <w:rPr>
          <w:rFonts w:ascii="Times New Roman" w:hAnsi="Times New Roman"/>
        </w:rPr>
        <w:t xml:space="preserve"> Th</w:t>
      </w:r>
      <w:r w:rsidR="00ED0124">
        <w:rPr>
          <w:rFonts w:ascii="Times New Roman" w:hAnsi="Times New Roman"/>
        </w:rPr>
        <w:t>erefore</w:t>
      </w:r>
      <w:r w:rsidRPr="004E7AE6" w:rsidR="0086679E">
        <w:rPr>
          <w:rFonts w:ascii="Times New Roman" w:hAnsi="Times New Roman"/>
        </w:rPr>
        <w:t>,</w:t>
      </w:r>
      <w:r w:rsidR="00ED0124">
        <w:rPr>
          <w:rFonts w:ascii="Times New Roman" w:hAnsi="Times New Roman"/>
        </w:rPr>
        <w:t xml:space="preserve"> </w:t>
      </w:r>
      <w:r w:rsidRPr="004E7AE6" w:rsidR="0086679E">
        <w:rPr>
          <w:rFonts w:ascii="Times New Roman" w:hAnsi="Times New Roman"/>
        </w:rPr>
        <w:t xml:space="preserve">the </w:t>
      </w:r>
      <w:r w:rsidR="00ED0124">
        <w:rPr>
          <w:rFonts w:ascii="Times New Roman" w:hAnsi="Times New Roman"/>
        </w:rPr>
        <w:t xml:space="preserve">total </w:t>
      </w:r>
      <w:r w:rsidRPr="004E7AE6" w:rsidR="0086679E">
        <w:rPr>
          <w:rFonts w:ascii="Times New Roman" w:hAnsi="Times New Roman"/>
        </w:rPr>
        <w:t xml:space="preserve"> responses expected </w:t>
      </w:r>
      <w:r w:rsidR="00ED0124">
        <w:rPr>
          <w:rFonts w:ascii="Times New Roman" w:hAnsi="Times New Roman"/>
        </w:rPr>
        <w:t>annually is</w:t>
      </w:r>
      <w:r w:rsidRPr="004E7AE6" w:rsidR="0086679E">
        <w:rPr>
          <w:rFonts w:ascii="Times New Roman" w:hAnsi="Times New Roman"/>
        </w:rPr>
        <w:t xml:space="preserve"> </w:t>
      </w:r>
      <w:r w:rsidRPr="004E7AE6" w:rsidR="00A979DA">
        <w:rPr>
          <w:rFonts w:ascii="Times New Roman" w:hAnsi="Times New Roman"/>
        </w:rPr>
        <w:t>100</w:t>
      </w:r>
      <w:r w:rsidRPr="004E7AE6" w:rsidR="0086679E">
        <w:rPr>
          <w:rFonts w:ascii="Times New Roman" w:hAnsi="Times New Roman"/>
        </w:rPr>
        <w:t xml:space="preserve">.  </w:t>
      </w:r>
      <w:r w:rsidR="0056324F">
        <w:rPr>
          <w:rFonts w:ascii="Times New Roman" w:hAnsi="Times New Roman"/>
        </w:rPr>
        <w:t xml:space="preserve">Each respondent will take an average </w:t>
      </w:r>
      <w:r w:rsidRPr="004E7AE6" w:rsidR="0086679E">
        <w:rPr>
          <w:rFonts w:ascii="Times New Roman" w:hAnsi="Times New Roman"/>
        </w:rPr>
        <w:t xml:space="preserve">9.5 hours </w:t>
      </w:r>
      <w:r w:rsidR="0056324F">
        <w:rPr>
          <w:rFonts w:ascii="Times New Roman" w:hAnsi="Times New Roman"/>
        </w:rPr>
        <w:t xml:space="preserve">to complete </w:t>
      </w:r>
      <w:r w:rsidRPr="004E7AE6" w:rsidR="0086679E">
        <w:rPr>
          <w:rFonts w:ascii="Times New Roman" w:hAnsi="Times New Roman"/>
        </w:rPr>
        <w:t>each response</w:t>
      </w:r>
      <w:r w:rsidR="0056324F">
        <w:rPr>
          <w:rFonts w:ascii="Times New Roman" w:hAnsi="Times New Roman"/>
        </w:rPr>
        <w:t xml:space="preserve">, which may vary by the </w:t>
      </w:r>
      <w:r w:rsidRPr="0056324F" w:rsidR="0056324F">
        <w:rPr>
          <w:rFonts w:ascii="Times New Roman" w:hAnsi="Times New Roman"/>
        </w:rPr>
        <w:t xml:space="preserve">nature of each company and the number and purpose of their </w:t>
      </w:r>
      <w:r w:rsidR="00081FA2">
        <w:rPr>
          <w:rFonts w:ascii="Times New Roman" w:hAnsi="Times New Roman"/>
        </w:rPr>
        <w:t xml:space="preserve">enrolled </w:t>
      </w:r>
      <w:r w:rsidRPr="0056324F" w:rsidR="0056324F">
        <w:rPr>
          <w:rFonts w:ascii="Times New Roman" w:hAnsi="Times New Roman"/>
        </w:rPr>
        <w:t>vessels</w:t>
      </w:r>
      <w:r w:rsidRPr="004E7AE6" w:rsidR="0086679E">
        <w:rPr>
          <w:rFonts w:ascii="Times New Roman" w:hAnsi="Times New Roman"/>
        </w:rPr>
        <w:t>.  Th</w:t>
      </w:r>
      <w:r w:rsidR="0056324F">
        <w:rPr>
          <w:rFonts w:ascii="Times New Roman" w:hAnsi="Times New Roman"/>
        </w:rPr>
        <w:t xml:space="preserve">erefore, the total burden hours associated with this collection is </w:t>
      </w:r>
      <w:r w:rsidRPr="004E7AE6" w:rsidR="00A979DA">
        <w:rPr>
          <w:rFonts w:ascii="Times New Roman" w:hAnsi="Times New Roman"/>
        </w:rPr>
        <w:t>950</w:t>
      </w:r>
      <w:r w:rsidRPr="004E7AE6" w:rsidR="0086679E">
        <w:rPr>
          <w:rFonts w:ascii="Times New Roman" w:hAnsi="Times New Roman"/>
        </w:rPr>
        <w:t xml:space="preserve"> hours</w:t>
      </w:r>
      <w:r w:rsidR="0056324F">
        <w:rPr>
          <w:rFonts w:ascii="Times New Roman" w:hAnsi="Times New Roman"/>
        </w:rPr>
        <w:t>, which can be calculated as shown in the table below:</w:t>
      </w:r>
    </w:p>
    <w:p w:rsidR="0056324F" w:rsidP="00982972" w14:paraId="31C533F1" w14:textId="765994CC">
      <w:pPr>
        <w:ind w:left="720"/>
        <w:rPr>
          <w:rFonts w:ascii="Times New Roman" w:hAnsi="Times New Roman"/>
          <w:snapToGrid/>
          <w:sz w:val="20"/>
        </w:rPr>
      </w:pPr>
      <w:r>
        <w:fldChar w:fldCharType="begin"/>
      </w:r>
      <w:r>
        <w:instrText xml:space="preserve"> LINK Excel.Sheet.12 "C:\\Users\\tamelia.bolton\\Desktop\\IC Program\\MARAD Information Collections Tracker.xlsx" "12a. Annualized Burden Hours!R148C1:R150C10" \a \f 4 \h  \* MERGEFORMAT </w:instrText>
      </w:r>
      <w:r>
        <w:fldChar w:fldCharType="separate"/>
      </w:r>
    </w:p>
    <w:tbl>
      <w:tblPr>
        <w:tblW w:w="10620" w:type="dxa"/>
        <w:tblInd w:w="-555" w:type="dxa"/>
        <w:tblLook w:val="04A0"/>
      </w:tblPr>
      <w:tblGrid>
        <w:gridCol w:w="1800"/>
        <w:gridCol w:w="1355"/>
        <w:gridCol w:w="469"/>
        <w:gridCol w:w="1329"/>
        <w:gridCol w:w="506"/>
        <w:gridCol w:w="1182"/>
        <w:gridCol w:w="525"/>
        <w:gridCol w:w="1517"/>
        <w:gridCol w:w="991"/>
        <w:gridCol w:w="946"/>
      </w:tblGrid>
      <w:tr w14:paraId="1B42ECD2" w14:textId="77777777" w:rsidTr="00860F23">
        <w:tblPrEx>
          <w:tblW w:w="10620" w:type="dxa"/>
          <w:tblInd w:w="-555" w:type="dxa"/>
          <w:tblLook w:val="04A0"/>
        </w:tblPrEx>
        <w:trPr>
          <w:trHeight w:val="1155"/>
        </w:trPr>
        <w:tc>
          <w:tcPr>
            <w:tcW w:w="180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56324F" w:rsidRPr="00982972" w:rsidP="00982972" w14:paraId="2E364E71" w14:textId="4DA443AD">
            <w:pPr>
              <w:widowControl/>
              <w:ind w:left="-15"/>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Type of Respondent</w:t>
            </w:r>
          </w:p>
        </w:tc>
        <w:tc>
          <w:tcPr>
            <w:tcW w:w="1355" w:type="dxa"/>
            <w:tcBorders>
              <w:top w:val="single" w:sz="12" w:space="0" w:color="auto"/>
              <w:left w:val="nil"/>
              <w:bottom w:val="single" w:sz="12" w:space="0" w:color="auto"/>
              <w:right w:val="single" w:sz="12" w:space="0" w:color="auto"/>
            </w:tcBorders>
            <w:shd w:val="clear" w:color="000000" w:fill="D0CECE"/>
            <w:vAlign w:val="center"/>
            <w:hideMark/>
          </w:tcPr>
          <w:p w:rsidR="0056324F" w:rsidRPr="00982972" w:rsidP="00982972" w14:paraId="746C0BB5" w14:textId="77777777">
            <w:pPr>
              <w:widowControl/>
              <w:ind w:left="-60" w:hanging="90"/>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Total Respondents</w:t>
            </w:r>
          </w:p>
        </w:tc>
        <w:tc>
          <w:tcPr>
            <w:tcW w:w="469" w:type="dxa"/>
            <w:tcBorders>
              <w:top w:val="single" w:sz="12" w:space="0" w:color="auto"/>
              <w:left w:val="nil"/>
              <w:bottom w:val="single" w:sz="12" w:space="0" w:color="auto"/>
              <w:right w:val="single" w:sz="12" w:space="0" w:color="auto"/>
            </w:tcBorders>
            <w:shd w:val="clear" w:color="000000" w:fill="D0CECE"/>
            <w:vAlign w:val="center"/>
            <w:hideMark/>
          </w:tcPr>
          <w:p w:rsidR="0056324F" w:rsidRPr="00982972" w:rsidP="00982972" w14:paraId="700A039B" w14:textId="41D6379E">
            <w:pPr>
              <w:widowControl/>
              <w:ind w:left="720"/>
              <w:jc w:val="center"/>
              <w:rPr>
                <w:rFonts w:ascii="Times New Roman" w:hAnsi="Times New Roman"/>
                <w:snapToGrid/>
                <w:color w:val="000000"/>
                <w:sz w:val="22"/>
                <w:szCs w:val="22"/>
              </w:rPr>
            </w:pPr>
          </w:p>
        </w:tc>
        <w:tc>
          <w:tcPr>
            <w:tcW w:w="1329" w:type="dxa"/>
            <w:tcBorders>
              <w:top w:val="single" w:sz="12" w:space="0" w:color="auto"/>
              <w:left w:val="nil"/>
              <w:bottom w:val="single" w:sz="12" w:space="0" w:color="auto"/>
              <w:right w:val="single" w:sz="12" w:space="0" w:color="auto"/>
            </w:tcBorders>
            <w:shd w:val="clear" w:color="000000" w:fill="D0CECE"/>
            <w:vAlign w:val="center"/>
            <w:hideMark/>
          </w:tcPr>
          <w:p w:rsidR="0056324F" w:rsidRPr="00982972" w:rsidP="00982972" w14:paraId="4B393E07" w14:textId="77777777">
            <w:pPr>
              <w:widowControl/>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Total Responses per Respondent</w:t>
            </w:r>
          </w:p>
        </w:tc>
        <w:tc>
          <w:tcPr>
            <w:tcW w:w="506" w:type="dxa"/>
            <w:tcBorders>
              <w:top w:val="single" w:sz="12" w:space="0" w:color="auto"/>
              <w:left w:val="nil"/>
              <w:bottom w:val="single" w:sz="12" w:space="0" w:color="auto"/>
              <w:right w:val="single" w:sz="12" w:space="0" w:color="auto"/>
            </w:tcBorders>
            <w:shd w:val="clear" w:color="000000" w:fill="D0CECE"/>
            <w:vAlign w:val="center"/>
            <w:hideMark/>
          </w:tcPr>
          <w:p w:rsidR="0056324F" w:rsidRPr="00982972" w:rsidP="00982972" w14:paraId="6E0D81F5" w14:textId="52208623">
            <w:pPr>
              <w:widowControl/>
              <w:ind w:left="720"/>
              <w:jc w:val="center"/>
              <w:rPr>
                <w:rFonts w:ascii="Times New Roman" w:hAnsi="Times New Roman"/>
                <w:b/>
                <w:bCs/>
                <w:snapToGrid/>
                <w:color w:val="000000"/>
                <w:sz w:val="22"/>
                <w:szCs w:val="22"/>
              </w:rPr>
            </w:pPr>
          </w:p>
        </w:tc>
        <w:tc>
          <w:tcPr>
            <w:tcW w:w="1182" w:type="dxa"/>
            <w:tcBorders>
              <w:top w:val="single" w:sz="12" w:space="0" w:color="auto"/>
              <w:left w:val="nil"/>
              <w:bottom w:val="single" w:sz="12" w:space="0" w:color="auto"/>
              <w:right w:val="single" w:sz="12" w:space="0" w:color="auto"/>
            </w:tcBorders>
            <w:shd w:val="clear" w:color="000000" w:fill="D0CECE"/>
            <w:vAlign w:val="center"/>
            <w:hideMark/>
          </w:tcPr>
          <w:p w:rsidR="0056324F" w:rsidRPr="00982972" w:rsidP="00982972" w14:paraId="173F9808" w14:textId="77777777">
            <w:pPr>
              <w:widowControl/>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Total Responses</w:t>
            </w:r>
          </w:p>
        </w:tc>
        <w:tc>
          <w:tcPr>
            <w:tcW w:w="525" w:type="dxa"/>
            <w:tcBorders>
              <w:top w:val="single" w:sz="12" w:space="0" w:color="auto"/>
              <w:left w:val="nil"/>
              <w:bottom w:val="single" w:sz="12" w:space="0" w:color="auto"/>
              <w:right w:val="single" w:sz="12" w:space="0" w:color="auto"/>
            </w:tcBorders>
            <w:shd w:val="clear" w:color="000000" w:fill="D0CECE"/>
            <w:vAlign w:val="center"/>
            <w:hideMark/>
          </w:tcPr>
          <w:p w:rsidR="0056324F" w:rsidRPr="00982972" w:rsidP="00982972" w14:paraId="7DB8207A" w14:textId="44C6C01C">
            <w:pPr>
              <w:widowControl/>
              <w:ind w:left="720"/>
              <w:jc w:val="center"/>
              <w:rPr>
                <w:rFonts w:ascii="Times New Roman" w:hAnsi="Times New Roman"/>
                <w:b/>
                <w:bCs/>
                <w:snapToGrid/>
                <w:color w:val="000000"/>
                <w:sz w:val="22"/>
                <w:szCs w:val="22"/>
              </w:rPr>
            </w:pPr>
          </w:p>
        </w:tc>
        <w:tc>
          <w:tcPr>
            <w:tcW w:w="1517" w:type="dxa"/>
            <w:tcBorders>
              <w:top w:val="single" w:sz="12" w:space="0" w:color="auto"/>
              <w:left w:val="nil"/>
              <w:bottom w:val="single" w:sz="12" w:space="0" w:color="auto"/>
              <w:right w:val="single" w:sz="12" w:space="0" w:color="auto"/>
            </w:tcBorders>
            <w:shd w:val="clear" w:color="000000" w:fill="D0CECE"/>
            <w:vAlign w:val="center"/>
            <w:hideMark/>
          </w:tcPr>
          <w:p w:rsidR="0056324F" w:rsidRPr="00982972" w:rsidP="00982972" w14:paraId="1BC2E3A8" w14:textId="77777777">
            <w:pPr>
              <w:widowControl/>
              <w:ind w:left="75"/>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Average Time Taken to Respond (Hour)</w:t>
            </w:r>
          </w:p>
        </w:tc>
        <w:tc>
          <w:tcPr>
            <w:tcW w:w="991" w:type="dxa"/>
            <w:tcBorders>
              <w:top w:val="single" w:sz="12" w:space="0" w:color="auto"/>
              <w:left w:val="nil"/>
              <w:bottom w:val="single" w:sz="12" w:space="0" w:color="auto"/>
              <w:right w:val="single" w:sz="12" w:space="0" w:color="auto"/>
            </w:tcBorders>
            <w:shd w:val="clear" w:color="000000" w:fill="D0CECE"/>
            <w:vAlign w:val="center"/>
            <w:hideMark/>
          </w:tcPr>
          <w:p w:rsidR="0056324F" w:rsidRPr="00982972" w:rsidP="00982972" w14:paraId="1EA456E9" w14:textId="77777777">
            <w:pPr>
              <w:widowControl/>
              <w:ind w:left="720"/>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 </w:t>
            </w:r>
          </w:p>
        </w:tc>
        <w:tc>
          <w:tcPr>
            <w:tcW w:w="946" w:type="dxa"/>
            <w:tcBorders>
              <w:top w:val="single" w:sz="12" w:space="0" w:color="auto"/>
              <w:left w:val="nil"/>
              <w:bottom w:val="single" w:sz="12" w:space="0" w:color="auto"/>
              <w:right w:val="single" w:sz="12" w:space="0" w:color="auto"/>
            </w:tcBorders>
            <w:shd w:val="clear" w:color="000000" w:fill="D0CECE"/>
            <w:vAlign w:val="center"/>
            <w:hideMark/>
          </w:tcPr>
          <w:p w:rsidR="0056324F" w:rsidRPr="00982972" w:rsidP="00982972" w14:paraId="21A6E8EF" w14:textId="77777777">
            <w:pPr>
              <w:widowControl/>
              <w:ind w:left="16" w:hanging="16"/>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Total Burden Hours</w:t>
            </w:r>
          </w:p>
        </w:tc>
      </w:tr>
      <w:tr w14:paraId="356499C9" w14:textId="77777777" w:rsidTr="00860F23">
        <w:tblPrEx>
          <w:tblW w:w="10620" w:type="dxa"/>
          <w:tblInd w:w="-555" w:type="dxa"/>
          <w:tblLook w:val="04A0"/>
        </w:tblPrEx>
        <w:trPr>
          <w:trHeight w:val="1141"/>
        </w:trPr>
        <w:tc>
          <w:tcPr>
            <w:tcW w:w="1800" w:type="dxa"/>
            <w:tcBorders>
              <w:top w:val="single" w:sz="12" w:space="0" w:color="auto"/>
              <w:left w:val="single" w:sz="8" w:space="0" w:color="auto"/>
              <w:bottom w:val="single" w:sz="4" w:space="0" w:color="auto"/>
              <w:right w:val="single" w:sz="8" w:space="0" w:color="auto"/>
            </w:tcBorders>
            <w:shd w:val="clear" w:color="auto" w:fill="auto"/>
            <w:vAlign w:val="center"/>
            <w:hideMark/>
          </w:tcPr>
          <w:p w:rsidR="0056324F" w:rsidRPr="00982972" w:rsidP="00982972" w14:paraId="7183FF84" w14:textId="17C4D262">
            <w:pPr>
              <w:widowControl/>
              <w:ind w:left="-15" w:firstLine="15"/>
              <w:jc w:val="center"/>
              <w:rPr>
                <w:rFonts w:ascii="Times New Roman" w:hAnsi="Times New Roman"/>
                <w:snapToGrid/>
                <w:color w:val="000000"/>
                <w:sz w:val="22"/>
                <w:szCs w:val="22"/>
              </w:rPr>
            </w:pPr>
            <w:r w:rsidRPr="00982972">
              <w:rPr>
                <w:rFonts w:ascii="Times New Roman" w:hAnsi="Times New Roman"/>
                <w:snapToGrid/>
                <w:color w:val="000000"/>
                <w:sz w:val="22"/>
                <w:szCs w:val="22"/>
              </w:rPr>
              <w:t>Preparation and submission of application information</w:t>
            </w:r>
          </w:p>
        </w:tc>
        <w:tc>
          <w:tcPr>
            <w:tcW w:w="1355" w:type="dxa"/>
            <w:tcBorders>
              <w:top w:val="single" w:sz="12" w:space="0" w:color="auto"/>
              <w:left w:val="nil"/>
              <w:bottom w:val="single" w:sz="4" w:space="0" w:color="auto"/>
              <w:right w:val="single" w:sz="8" w:space="0" w:color="auto"/>
            </w:tcBorders>
            <w:shd w:val="clear" w:color="auto" w:fill="auto"/>
            <w:vAlign w:val="center"/>
            <w:hideMark/>
          </w:tcPr>
          <w:p w:rsidR="0056324F" w:rsidRPr="00982972" w:rsidP="00860F23" w14:paraId="6FEE52E0" w14:textId="6ED0FF92">
            <w:pPr>
              <w:widowControl/>
              <w:rPr>
                <w:rFonts w:ascii="Times New Roman" w:hAnsi="Times New Roman"/>
                <w:snapToGrid/>
                <w:color w:val="000000"/>
                <w:sz w:val="22"/>
                <w:szCs w:val="22"/>
              </w:rPr>
            </w:pPr>
            <w:r>
              <w:rPr>
                <w:rFonts w:ascii="Times New Roman" w:hAnsi="Times New Roman"/>
                <w:snapToGrid/>
                <w:color w:val="000000"/>
                <w:sz w:val="22"/>
                <w:szCs w:val="22"/>
              </w:rPr>
              <w:t xml:space="preserve">      </w:t>
            </w:r>
            <w:r w:rsidRPr="00982972">
              <w:rPr>
                <w:rFonts w:ascii="Times New Roman" w:hAnsi="Times New Roman"/>
                <w:snapToGrid/>
                <w:color w:val="000000"/>
                <w:sz w:val="22"/>
                <w:szCs w:val="22"/>
              </w:rPr>
              <w:t>50</w:t>
            </w:r>
          </w:p>
        </w:tc>
        <w:tc>
          <w:tcPr>
            <w:tcW w:w="469" w:type="dxa"/>
            <w:tcBorders>
              <w:top w:val="single" w:sz="12" w:space="0" w:color="auto"/>
              <w:left w:val="nil"/>
              <w:bottom w:val="single" w:sz="4" w:space="0" w:color="auto"/>
              <w:right w:val="single" w:sz="8" w:space="0" w:color="auto"/>
            </w:tcBorders>
            <w:shd w:val="clear" w:color="auto" w:fill="auto"/>
            <w:vAlign w:val="center"/>
            <w:hideMark/>
          </w:tcPr>
          <w:p w:rsidR="0056324F" w:rsidRPr="00982972" w:rsidP="00982972" w14:paraId="24EE592E" w14:textId="7E154A84">
            <w:pPr>
              <w:widowControl/>
              <w:ind w:left="-74" w:firstLine="74"/>
              <w:jc w:val="center"/>
              <w:rPr>
                <w:rFonts w:ascii="Times New Roman" w:hAnsi="Times New Roman"/>
                <w:snapToGrid/>
                <w:color w:val="000000"/>
                <w:sz w:val="22"/>
                <w:szCs w:val="22"/>
              </w:rPr>
            </w:pPr>
            <w:r w:rsidRPr="00982972">
              <w:rPr>
                <w:rFonts w:ascii="Times New Roman" w:hAnsi="Times New Roman"/>
                <w:snapToGrid/>
                <w:color w:val="000000"/>
                <w:sz w:val="22"/>
                <w:szCs w:val="22"/>
              </w:rPr>
              <w:t>*</w:t>
            </w:r>
          </w:p>
        </w:tc>
        <w:tc>
          <w:tcPr>
            <w:tcW w:w="1329" w:type="dxa"/>
            <w:tcBorders>
              <w:top w:val="single" w:sz="12" w:space="0" w:color="auto"/>
              <w:left w:val="nil"/>
              <w:bottom w:val="single" w:sz="4" w:space="0" w:color="auto"/>
              <w:right w:val="single" w:sz="8" w:space="0" w:color="auto"/>
            </w:tcBorders>
            <w:shd w:val="clear" w:color="auto" w:fill="auto"/>
            <w:vAlign w:val="center"/>
            <w:hideMark/>
          </w:tcPr>
          <w:p w:rsidR="0056324F" w:rsidRPr="00982972" w:rsidP="00982972" w14:paraId="66E012A6" w14:textId="77777777">
            <w:pPr>
              <w:widowControl/>
              <w:ind w:left="-74" w:firstLine="74"/>
              <w:jc w:val="center"/>
              <w:rPr>
                <w:rFonts w:ascii="Times New Roman" w:hAnsi="Times New Roman"/>
                <w:snapToGrid/>
                <w:color w:val="000000"/>
                <w:sz w:val="22"/>
                <w:szCs w:val="22"/>
              </w:rPr>
            </w:pPr>
            <w:r w:rsidRPr="00982972">
              <w:rPr>
                <w:rFonts w:ascii="Times New Roman" w:hAnsi="Times New Roman"/>
                <w:snapToGrid/>
                <w:color w:val="000000"/>
                <w:sz w:val="22"/>
                <w:szCs w:val="22"/>
              </w:rPr>
              <w:t>2</w:t>
            </w:r>
          </w:p>
        </w:tc>
        <w:tc>
          <w:tcPr>
            <w:tcW w:w="506" w:type="dxa"/>
            <w:tcBorders>
              <w:top w:val="single" w:sz="12" w:space="0" w:color="auto"/>
              <w:left w:val="nil"/>
              <w:bottom w:val="single" w:sz="4" w:space="0" w:color="auto"/>
              <w:right w:val="single" w:sz="8" w:space="0" w:color="auto"/>
            </w:tcBorders>
            <w:shd w:val="clear" w:color="auto" w:fill="auto"/>
            <w:vAlign w:val="center"/>
            <w:hideMark/>
          </w:tcPr>
          <w:p w:rsidR="0056324F" w:rsidRPr="00982972" w:rsidP="00982972" w14:paraId="3D385B72" w14:textId="77777777">
            <w:pPr>
              <w:widowControl/>
              <w:ind w:left="-74" w:firstLine="74"/>
              <w:rPr>
                <w:rFonts w:ascii="Times New Roman" w:hAnsi="Times New Roman"/>
                <w:snapToGrid/>
                <w:color w:val="000000"/>
                <w:sz w:val="22"/>
                <w:szCs w:val="22"/>
              </w:rPr>
            </w:pPr>
            <w:r w:rsidRPr="00982972">
              <w:rPr>
                <w:rFonts w:ascii="Times New Roman" w:hAnsi="Times New Roman"/>
                <w:snapToGrid/>
                <w:color w:val="000000"/>
                <w:sz w:val="22"/>
                <w:szCs w:val="22"/>
              </w:rPr>
              <w:t>=</w:t>
            </w:r>
          </w:p>
        </w:tc>
        <w:tc>
          <w:tcPr>
            <w:tcW w:w="1182" w:type="dxa"/>
            <w:tcBorders>
              <w:top w:val="single" w:sz="12" w:space="0" w:color="auto"/>
              <w:left w:val="nil"/>
              <w:bottom w:val="single" w:sz="4" w:space="0" w:color="auto"/>
              <w:right w:val="single" w:sz="8" w:space="0" w:color="auto"/>
            </w:tcBorders>
            <w:shd w:val="clear" w:color="auto" w:fill="auto"/>
            <w:vAlign w:val="center"/>
            <w:hideMark/>
          </w:tcPr>
          <w:p w:rsidR="0056324F" w:rsidRPr="00982972" w:rsidP="00081FA2" w14:paraId="361908E5" w14:textId="77777777">
            <w:pPr>
              <w:widowControl/>
              <w:ind w:left="-74" w:firstLine="74"/>
              <w:jc w:val="center"/>
              <w:rPr>
                <w:rFonts w:ascii="Times New Roman" w:hAnsi="Times New Roman"/>
                <w:snapToGrid/>
                <w:color w:val="000000"/>
                <w:sz w:val="22"/>
                <w:szCs w:val="22"/>
              </w:rPr>
            </w:pPr>
            <w:r w:rsidRPr="00982972">
              <w:rPr>
                <w:rFonts w:ascii="Times New Roman" w:hAnsi="Times New Roman"/>
                <w:snapToGrid/>
                <w:color w:val="000000"/>
                <w:sz w:val="22"/>
                <w:szCs w:val="22"/>
              </w:rPr>
              <w:t>100</w:t>
            </w:r>
          </w:p>
        </w:tc>
        <w:tc>
          <w:tcPr>
            <w:tcW w:w="525" w:type="dxa"/>
            <w:tcBorders>
              <w:top w:val="single" w:sz="12" w:space="0" w:color="auto"/>
              <w:left w:val="nil"/>
              <w:bottom w:val="single" w:sz="4" w:space="0" w:color="auto"/>
              <w:right w:val="single" w:sz="8" w:space="0" w:color="auto"/>
            </w:tcBorders>
            <w:shd w:val="clear" w:color="auto" w:fill="auto"/>
            <w:vAlign w:val="center"/>
            <w:hideMark/>
          </w:tcPr>
          <w:p w:rsidR="0056324F" w:rsidRPr="00982972" w:rsidP="00982972" w14:paraId="797702EB" w14:textId="081EF152">
            <w:pPr>
              <w:widowControl/>
              <w:ind w:left="-328" w:firstLine="74"/>
              <w:rPr>
                <w:rFonts w:ascii="Times New Roman" w:hAnsi="Times New Roman"/>
                <w:snapToGrid/>
                <w:color w:val="000000"/>
                <w:sz w:val="22"/>
                <w:szCs w:val="22"/>
              </w:rPr>
            </w:pPr>
            <w:r w:rsidRPr="00982972">
              <w:rPr>
                <w:rFonts w:ascii="Times New Roman" w:hAnsi="Times New Roman"/>
                <w:snapToGrid/>
                <w:color w:val="000000"/>
                <w:sz w:val="22"/>
                <w:szCs w:val="22"/>
              </w:rPr>
              <w:t>*</w:t>
            </w:r>
            <w:r w:rsidR="00F71AC2">
              <w:rPr>
                <w:rFonts w:ascii="Times New Roman" w:hAnsi="Times New Roman"/>
                <w:snapToGrid/>
                <w:color w:val="000000"/>
                <w:sz w:val="22"/>
                <w:szCs w:val="22"/>
              </w:rPr>
              <w:t xml:space="preserve">   </w:t>
            </w:r>
            <w:r w:rsidRPr="00982972" w:rsidR="00F71AC2">
              <w:rPr>
                <w:rFonts w:ascii="Times New Roman" w:hAnsi="Times New Roman"/>
                <w:snapToGrid/>
                <w:color w:val="000000"/>
                <w:sz w:val="22"/>
                <w:szCs w:val="22"/>
              </w:rPr>
              <w:t xml:space="preserve"> * </w:t>
            </w:r>
          </w:p>
        </w:tc>
        <w:tc>
          <w:tcPr>
            <w:tcW w:w="1517" w:type="dxa"/>
            <w:tcBorders>
              <w:top w:val="single" w:sz="12" w:space="0" w:color="auto"/>
              <w:left w:val="nil"/>
              <w:bottom w:val="single" w:sz="4" w:space="0" w:color="auto"/>
              <w:right w:val="single" w:sz="8" w:space="0" w:color="auto"/>
            </w:tcBorders>
            <w:shd w:val="clear" w:color="auto" w:fill="auto"/>
            <w:vAlign w:val="center"/>
            <w:hideMark/>
          </w:tcPr>
          <w:p w:rsidR="0056324F" w:rsidRPr="00982972" w:rsidP="00982972" w14:paraId="65B7E762" w14:textId="77777777">
            <w:pPr>
              <w:widowControl/>
              <w:ind w:left="501"/>
              <w:rPr>
                <w:rFonts w:ascii="Times New Roman" w:hAnsi="Times New Roman"/>
                <w:snapToGrid/>
                <w:color w:val="000000"/>
                <w:sz w:val="22"/>
                <w:szCs w:val="22"/>
              </w:rPr>
            </w:pPr>
            <w:r w:rsidRPr="00982972">
              <w:rPr>
                <w:rFonts w:ascii="Times New Roman" w:hAnsi="Times New Roman"/>
                <w:snapToGrid/>
                <w:color w:val="000000"/>
                <w:sz w:val="22"/>
                <w:szCs w:val="22"/>
              </w:rPr>
              <w:t>9.5</w:t>
            </w:r>
          </w:p>
        </w:tc>
        <w:tc>
          <w:tcPr>
            <w:tcW w:w="991" w:type="dxa"/>
            <w:tcBorders>
              <w:top w:val="single" w:sz="12" w:space="0" w:color="auto"/>
              <w:left w:val="nil"/>
              <w:bottom w:val="single" w:sz="4" w:space="0" w:color="auto"/>
              <w:right w:val="single" w:sz="8" w:space="0" w:color="auto"/>
            </w:tcBorders>
            <w:shd w:val="clear" w:color="auto" w:fill="auto"/>
            <w:vAlign w:val="center"/>
            <w:hideMark/>
          </w:tcPr>
          <w:p w:rsidR="0056324F" w:rsidRPr="00982972" w:rsidP="00982972" w14:paraId="5B3477BC" w14:textId="77777777">
            <w:pPr>
              <w:widowControl/>
              <w:ind w:left="-74" w:firstLine="74"/>
              <w:jc w:val="center"/>
              <w:rPr>
                <w:rFonts w:ascii="Times New Roman" w:hAnsi="Times New Roman"/>
                <w:snapToGrid/>
                <w:color w:val="000000"/>
                <w:sz w:val="22"/>
                <w:szCs w:val="22"/>
              </w:rPr>
            </w:pPr>
            <w:r w:rsidRPr="00982972">
              <w:rPr>
                <w:rFonts w:ascii="Times New Roman" w:hAnsi="Times New Roman"/>
                <w:snapToGrid/>
                <w:color w:val="000000"/>
                <w:sz w:val="22"/>
                <w:szCs w:val="22"/>
              </w:rPr>
              <w:t>=</w:t>
            </w:r>
          </w:p>
        </w:tc>
        <w:tc>
          <w:tcPr>
            <w:tcW w:w="946" w:type="dxa"/>
            <w:tcBorders>
              <w:top w:val="single" w:sz="12" w:space="0" w:color="auto"/>
              <w:left w:val="nil"/>
              <w:bottom w:val="single" w:sz="4" w:space="0" w:color="auto"/>
              <w:right w:val="single" w:sz="8" w:space="0" w:color="auto"/>
            </w:tcBorders>
            <w:shd w:val="clear" w:color="auto" w:fill="auto"/>
            <w:vAlign w:val="center"/>
            <w:hideMark/>
          </w:tcPr>
          <w:p w:rsidR="0056324F" w:rsidRPr="00982972" w:rsidP="00982972" w14:paraId="06E25F09" w14:textId="77777777">
            <w:pPr>
              <w:widowControl/>
              <w:ind w:left="16" w:hanging="16"/>
              <w:jc w:val="center"/>
              <w:rPr>
                <w:rFonts w:ascii="Times New Roman" w:hAnsi="Times New Roman"/>
                <w:snapToGrid/>
                <w:color w:val="000000"/>
                <w:sz w:val="22"/>
                <w:szCs w:val="22"/>
              </w:rPr>
            </w:pPr>
            <w:r w:rsidRPr="00982972">
              <w:rPr>
                <w:rFonts w:ascii="Times New Roman" w:hAnsi="Times New Roman"/>
                <w:snapToGrid/>
                <w:color w:val="000000"/>
                <w:sz w:val="22"/>
                <w:szCs w:val="22"/>
              </w:rPr>
              <w:t>950</w:t>
            </w:r>
          </w:p>
        </w:tc>
      </w:tr>
    </w:tbl>
    <w:p w:rsidR="0056324F" w:rsidRPr="004E7AE6" w:rsidP="00982972" w14:paraId="0E969401" w14:textId="51310423">
      <w:pPr>
        <w:ind w:left="1800"/>
        <w:rPr>
          <w:rFonts w:ascii="Times New Roman" w:hAnsi="Times New Roman"/>
        </w:rPr>
      </w:pPr>
      <w:r>
        <w:rPr>
          <w:rFonts w:ascii="Times New Roman" w:hAnsi="Times New Roman"/>
        </w:rPr>
        <w:fldChar w:fldCharType="end"/>
      </w:r>
    </w:p>
    <w:p w:rsidR="00F802C4" w:rsidRPr="00982972" w:rsidP="00F802C4" w14:paraId="424780F4" w14:textId="1FF5320F">
      <w:pPr>
        <w:pStyle w:val="ListParagraph"/>
        <w:numPr>
          <w:ilvl w:val="0"/>
          <w:numId w:val="2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982972">
        <w:rPr>
          <w:rFonts w:ascii="Times New Roman" w:hAnsi="Times New Roman"/>
          <w:b/>
          <w:bCs/>
        </w:rPr>
        <w:t xml:space="preserve">Estimated Annualized Cost Burden </w:t>
      </w:r>
    </w:p>
    <w:p w:rsidR="00F802C4" w:rsidRPr="00982972" w:rsidP="00982972" w14:paraId="71A91AF2" w14:textId="77777777">
      <w:pPr>
        <w:pStyle w:val="ListParagraph"/>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86679E" w:rsidP="00F802C4" w14:paraId="57F4F7E5" w14:textId="5895ED1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sidRPr="00390121">
        <w:rPr>
          <w:rFonts w:ascii="Times New Roman" w:hAnsi="Times New Roman"/>
          <w:iCs/>
        </w:rPr>
        <w:t>The Bureau of Labor and Statistics (BLS)</w:t>
      </w:r>
      <w:r>
        <w:rPr>
          <w:rFonts w:ascii="Times New Roman" w:hAnsi="Times New Roman"/>
          <w:iCs/>
          <w:vertAlign w:val="superscript"/>
        </w:rPr>
        <w:footnoteReference w:id="2"/>
      </w:r>
      <w:r w:rsidRPr="00390121">
        <w:rPr>
          <w:rFonts w:ascii="Times New Roman" w:hAnsi="Times New Roman"/>
          <w:iCs/>
        </w:rPr>
        <w:t xml:space="preserve"> that the average</w:t>
      </w:r>
      <w:r w:rsidRPr="00390121">
        <w:rPr>
          <w:rFonts w:ascii="Times New Roman" w:hAnsi="Times New Roman"/>
          <w:snapToGrid/>
          <w:sz w:val="20"/>
        </w:rPr>
        <w:t xml:space="preserve"> </w:t>
      </w:r>
      <w:r w:rsidRPr="00390121">
        <w:rPr>
          <w:rFonts w:ascii="Times New Roman" w:hAnsi="Times New Roman"/>
          <w:iCs/>
        </w:rPr>
        <w:t xml:space="preserve">hourly wage of </w:t>
      </w:r>
      <w:r>
        <w:rPr>
          <w:rFonts w:ascii="Times New Roman" w:hAnsi="Times New Roman"/>
          <w:iCs/>
        </w:rPr>
        <w:t xml:space="preserve">Secretaries and </w:t>
      </w:r>
      <w:r>
        <w:rPr>
          <w:rFonts w:ascii="Times New Roman" w:hAnsi="Times New Roman"/>
        </w:rPr>
        <w:t>A</w:t>
      </w:r>
      <w:r w:rsidRPr="004E7AE6">
        <w:rPr>
          <w:rFonts w:ascii="Times New Roman" w:hAnsi="Times New Roman"/>
        </w:rPr>
        <w:t>dministrative</w:t>
      </w:r>
      <w:r>
        <w:rPr>
          <w:rFonts w:ascii="Times New Roman" w:hAnsi="Times New Roman"/>
        </w:rPr>
        <w:t xml:space="preserve"> Assistants (43-6010) is</w:t>
      </w:r>
      <w:r w:rsidR="001F124C">
        <w:rPr>
          <w:rFonts w:ascii="Times New Roman" w:hAnsi="Times New Roman"/>
        </w:rPr>
        <w:t xml:space="preserve"> $ 25.03. </w:t>
      </w:r>
      <w:r>
        <w:rPr>
          <w:rFonts w:ascii="Times New Roman" w:hAnsi="Times New Roman"/>
        </w:rPr>
        <w:t xml:space="preserve"> </w:t>
      </w:r>
      <w:r w:rsidRPr="00C95EDB" w:rsidR="00C95EDB">
        <w:rPr>
          <w:rFonts w:ascii="Times New Roman" w:hAnsi="Times New Roman"/>
          <w:iCs/>
        </w:rPr>
        <w:t>When combined the total compensation rate of 29%</w:t>
      </w:r>
      <w:r>
        <w:rPr>
          <w:rFonts w:ascii="Times New Roman" w:hAnsi="Times New Roman"/>
          <w:iCs/>
          <w:vertAlign w:val="superscript"/>
        </w:rPr>
        <w:footnoteReference w:id="3"/>
      </w:r>
      <w:r w:rsidRPr="00C95EDB" w:rsidR="00C95EDB">
        <w:rPr>
          <w:rFonts w:ascii="Times New Roman" w:hAnsi="Times New Roman"/>
          <w:iCs/>
        </w:rPr>
        <w:t>, the annualized hourly rate is</w:t>
      </w:r>
      <w:r w:rsidR="001F124C">
        <w:rPr>
          <w:rFonts w:ascii="Times New Roman" w:hAnsi="Times New Roman"/>
        </w:rPr>
        <w:t xml:space="preserve"> $32.29.  </w:t>
      </w:r>
      <w:r w:rsidRPr="004E7AE6">
        <w:rPr>
          <w:rFonts w:ascii="Times New Roman" w:hAnsi="Times New Roman"/>
        </w:rPr>
        <w:t xml:space="preserve">Therefore, </w:t>
      </w:r>
      <w:r w:rsidR="001F124C">
        <w:rPr>
          <w:rFonts w:ascii="Times New Roman" w:hAnsi="Times New Roman"/>
        </w:rPr>
        <w:t>the total annualized cost burden associated with preparing and submitting data for this collecti</w:t>
      </w:r>
      <w:r w:rsidR="00860F23">
        <w:rPr>
          <w:rFonts w:ascii="Times New Roman" w:hAnsi="Times New Roman"/>
        </w:rPr>
        <w:t>o</w:t>
      </w:r>
      <w:r w:rsidR="001F124C">
        <w:rPr>
          <w:rFonts w:ascii="Times New Roman" w:hAnsi="Times New Roman"/>
        </w:rPr>
        <w:t>n is $ 30,675.50, which can be calculated as follows:</w:t>
      </w:r>
    </w:p>
    <w:p w:rsidR="001F124C" w:rsidP="00F802C4" w14:paraId="56C4171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1F124C" w:rsidP="00F802C4" w14:paraId="37CAA9A9" w14:textId="266B8C2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napToGrid/>
          <w:sz w:val="20"/>
        </w:rPr>
      </w:pPr>
      <w:r>
        <w:fldChar w:fldCharType="begin"/>
      </w:r>
      <w:r>
        <w:instrText xml:space="preserve"> LINK Excel.Sheet.12 "C:\\Users\\tamelia.bolton\\Desktop\\IC Program\\MARAD Information Collections Tracker.xlsx" "12b. Estimated Annualized Cost !R79C1:R80C7" \a \f 4 \h  \* MERGEFORMAT </w:instrText>
      </w:r>
      <w:r>
        <w:fldChar w:fldCharType="separate"/>
      </w:r>
    </w:p>
    <w:tbl>
      <w:tblPr>
        <w:tblW w:w="10890" w:type="dxa"/>
        <w:tblInd w:w="-275" w:type="dxa"/>
        <w:tblLook w:val="04A0"/>
      </w:tblPr>
      <w:tblGrid>
        <w:gridCol w:w="2114"/>
        <w:gridCol w:w="889"/>
        <w:gridCol w:w="1573"/>
        <w:gridCol w:w="1231"/>
        <w:gridCol w:w="1573"/>
        <w:gridCol w:w="1800"/>
        <w:gridCol w:w="1710"/>
      </w:tblGrid>
      <w:tr w14:paraId="318C0E87" w14:textId="77777777" w:rsidTr="008B2FCC">
        <w:tblPrEx>
          <w:tblW w:w="10890" w:type="dxa"/>
          <w:tblInd w:w="-275" w:type="dxa"/>
          <w:tblLook w:val="04A0"/>
        </w:tblPrEx>
        <w:trPr>
          <w:trHeight w:val="1155"/>
        </w:trPr>
        <w:tc>
          <w:tcPr>
            <w:tcW w:w="2114" w:type="dxa"/>
            <w:tcBorders>
              <w:top w:val="single" w:sz="12" w:space="0" w:color="auto"/>
              <w:left w:val="single" w:sz="12" w:space="0" w:color="auto"/>
              <w:bottom w:val="single" w:sz="12" w:space="0" w:color="auto"/>
              <w:right w:val="single" w:sz="12" w:space="0" w:color="auto"/>
            </w:tcBorders>
            <w:shd w:val="clear" w:color="000000" w:fill="D0CECE"/>
            <w:vAlign w:val="bottom"/>
            <w:hideMark/>
          </w:tcPr>
          <w:p w:rsidR="001F124C" w:rsidRPr="00982972" w:rsidP="00982972" w14:paraId="4E5C1C42" w14:textId="0F6F3180">
            <w:pPr>
              <w:widowControl/>
              <w:rPr>
                <w:rFonts w:ascii="Times New Roman" w:hAnsi="Times New Roman"/>
                <w:b/>
                <w:bCs/>
                <w:snapToGrid/>
                <w:color w:val="000000"/>
                <w:sz w:val="22"/>
                <w:szCs w:val="22"/>
              </w:rPr>
            </w:pPr>
            <w:r w:rsidRPr="00982972">
              <w:rPr>
                <w:rFonts w:ascii="Times New Roman" w:hAnsi="Times New Roman"/>
                <w:b/>
                <w:bCs/>
                <w:snapToGrid/>
                <w:color w:val="000000"/>
                <w:sz w:val="22"/>
                <w:szCs w:val="22"/>
              </w:rPr>
              <w:t xml:space="preserve">Title and Code of  Respondents </w:t>
            </w:r>
          </w:p>
        </w:tc>
        <w:tc>
          <w:tcPr>
            <w:tcW w:w="889" w:type="dxa"/>
            <w:tcBorders>
              <w:top w:val="single" w:sz="12" w:space="0" w:color="auto"/>
              <w:left w:val="single" w:sz="12" w:space="0" w:color="auto"/>
              <w:bottom w:val="single" w:sz="12" w:space="0" w:color="auto"/>
              <w:right w:val="single" w:sz="12" w:space="0" w:color="auto"/>
            </w:tcBorders>
            <w:shd w:val="clear" w:color="000000" w:fill="D0CECE"/>
            <w:vAlign w:val="bottom"/>
            <w:hideMark/>
          </w:tcPr>
          <w:p w:rsidR="001F124C" w:rsidRPr="00982972" w:rsidP="00982972" w14:paraId="3EB4EA44" w14:textId="77777777">
            <w:pPr>
              <w:widowControl/>
              <w:rPr>
                <w:rFonts w:ascii="Times New Roman" w:hAnsi="Times New Roman"/>
                <w:b/>
                <w:bCs/>
                <w:snapToGrid/>
                <w:color w:val="000000"/>
                <w:sz w:val="22"/>
                <w:szCs w:val="22"/>
              </w:rPr>
            </w:pPr>
            <w:r w:rsidRPr="00982972">
              <w:rPr>
                <w:rFonts w:ascii="Times New Roman" w:hAnsi="Times New Roman"/>
                <w:b/>
                <w:bCs/>
                <w:snapToGrid/>
                <w:color w:val="000000"/>
                <w:sz w:val="22"/>
                <w:szCs w:val="22"/>
              </w:rPr>
              <w:t xml:space="preserve">Hourly Wage </w:t>
            </w:r>
          </w:p>
        </w:tc>
        <w:tc>
          <w:tcPr>
            <w:tcW w:w="1573" w:type="dxa"/>
            <w:tcBorders>
              <w:top w:val="single" w:sz="12" w:space="0" w:color="auto"/>
              <w:left w:val="single" w:sz="12" w:space="0" w:color="auto"/>
              <w:bottom w:val="single" w:sz="12" w:space="0" w:color="auto"/>
              <w:right w:val="single" w:sz="12" w:space="0" w:color="auto"/>
            </w:tcBorders>
            <w:shd w:val="clear" w:color="000000" w:fill="D0CECE"/>
            <w:vAlign w:val="bottom"/>
            <w:hideMark/>
          </w:tcPr>
          <w:p w:rsidR="001F124C" w:rsidRPr="00982972" w:rsidP="00982972" w14:paraId="3D8C07D2" w14:textId="77777777">
            <w:pPr>
              <w:widowControl/>
              <w:rPr>
                <w:rFonts w:ascii="Times New Roman" w:hAnsi="Times New Roman"/>
                <w:b/>
                <w:bCs/>
                <w:snapToGrid/>
                <w:color w:val="000000"/>
                <w:sz w:val="22"/>
                <w:szCs w:val="22"/>
              </w:rPr>
            </w:pPr>
            <w:r w:rsidRPr="00982972">
              <w:rPr>
                <w:rFonts w:ascii="Times New Roman" w:hAnsi="Times New Roman"/>
                <w:b/>
                <w:bCs/>
                <w:snapToGrid/>
                <w:color w:val="000000"/>
                <w:sz w:val="22"/>
                <w:szCs w:val="22"/>
              </w:rPr>
              <w:t xml:space="preserve">Compensation Rate of 29% </w:t>
            </w:r>
          </w:p>
        </w:tc>
        <w:tc>
          <w:tcPr>
            <w:tcW w:w="1231" w:type="dxa"/>
            <w:tcBorders>
              <w:top w:val="single" w:sz="12" w:space="0" w:color="auto"/>
              <w:left w:val="single" w:sz="12" w:space="0" w:color="auto"/>
              <w:bottom w:val="single" w:sz="12" w:space="0" w:color="auto"/>
              <w:right w:val="single" w:sz="12" w:space="0" w:color="auto"/>
            </w:tcBorders>
            <w:shd w:val="clear" w:color="000000" w:fill="D0CECE"/>
            <w:vAlign w:val="bottom"/>
            <w:hideMark/>
          </w:tcPr>
          <w:p w:rsidR="001F124C" w:rsidRPr="00982972" w:rsidP="00982972" w14:paraId="4014EA51" w14:textId="77777777">
            <w:pPr>
              <w:widowControl/>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 xml:space="preserve"> Number of Employees </w:t>
            </w:r>
          </w:p>
        </w:tc>
        <w:tc>
          <w:tcPr>
            <w:tcW w:w="1573" w:type="dxa"/>
            <w:tcBorders>
              <w:top w:val="single" w:sz="12" w:space="0" w:color="auto"/>
              <w:left w:val="single" w:sz="12" w:space="0" w:color="auto"/>
              <w:bottom w:val="single" w:sz="12" w:space="0" w:color="auto"/>
              <w:right w:val="single" w:sz="12" w:space="0" w:color="auto"/>
            </w:tcBorders>
            <w:shd w:val="clear" w:color="000000" w:fill="D0CECE"/>
            <w:vAlign w:val="bottom"/>
            <w:hideMark/>
          </w:tcPr>
          <w:p w:rsidR="001F124C" w:rsidRPr="00982972" w:rsidP="00982972" w14:paraId="7D6DF5E5" w14:textId="77777777">
            <w:pPr>
              <w:widowControl/>
              <w:rPr>
                <w:rFonts w:ascii="Times New Roman" w:hAnsi="Times New Roman"/>
                <w:b/>
                <w:bCs/>
                <w:snapToGrid/>
                <w:color w:val="000000"/>
                <w:sz w:val="22"/>
                <w:szCs w:val="22"/>
              </w:rPr>
            </w:pPr>
            <w:r w:rsidRPr="00982972">
              <w:rPr>
                <w:rFonts w:ascii="Times New Roman" w:hAnsi="Times New Roman"/>
                <w:b/>
                <w:bCs/>
                <w:snapToGrid/>
                <w:color w:val="000000"/>
                <w:sz w:val="22"/>
                <w:szCs w:val="22"/>
              </w:rPr>
              <w:t>Total Compensation Rate for Each Respondent</w:t>
            </w:r>
          </w:p>
        </w:tc>
        <w:tc>
          <w:tcPr>
            <w:tcW w:w="1800" w:type="dxa"/>
            <w:tcBorders>
              <w:top w:val="single" w:sz="12" w:space="0" w:color="auto"/>
              <w:left w:val="single" w:sz="12" w:space="0" w:color="auto"/>
              <w:bottom w:val="single" w:sz="12" w:space="0" w:color="auto"/>
              <w:right w:val="single" w:sz="12" w:space="0" w:color="auto"/>
            </w:tcBorders>
            <w:shd w:val="clear" w:color="000000" w:fill="D0CECE"/>
            <w:vAlign w:val="bottom"/>
            <w:hideMark/>
          </w:tcPr>
          <w:p w:rsidR="001F124C" w:rsidRPr="00982972" w:rsidP="00982972" w14:paraId="7E7F558A" w14:textId="77777777">
            <w:pPr>
              <w:widowControl/>
              <w:rPr>
                <w:rFonts w:ascii="Times New Roman" w:hAnsi="Times New Roman"/>
                <w:b/>
                <w:bCs/>
                <w:snapToGrid/>
                <w:color w:val="000000"/>
                <w:sz w:val="22"/>
                <w:szCs w:val="22"/>
              </w:rPr>
            </w:pPr>
            <w:r w:rsidRPr="00982972">
              <w:rPr>
                <w:rFonts w:ascii="Times New Roman" w:hAnsi="Times New Roman"/>
                <w:b/>
                <w:bCs/>
                <w:snapToGrid/>
                <w:color w:val="000000"/>
                <w:sz w:val="22"/>
                <w:szCs w:val="22"/>
              </w:rPr>
              <w:t>Total Annualized Burden Hours</w:t>
            </w:r>
          </w:p>
        </w:tc>
        <w:tc>
          <w:tcPr>
            <w:tcW w:w="1710" w:type="dxa"/>
            <w:tcBorders>
              <w:top w:val="single" w:sz="12" w:space="0" w:color="auto"/>
              <w:left w:val="single" w:sz="12" w:space="0" w:color="auto"/>
              <w:bottom w:val="single" w:sz="12" w:space="0" w:color="auto"/>
              <w:right w:val="single" w:sz="12" w:space="0" w:color="auto"/>
            </w:tcBorders>
            <w:shd w:val="clear" w:color="000000" w:fill="D0CECE"/>
            <w:vAlign w:val="bottom"/>
            <w:hideMark/>
          </w:tcPr>
          <w:p w:rsidR="001F124C" w:rsidRPr="00982972" w:rsidP="00982972" w14:paraId="76017901" w14:textId="77777777">
            <w:pPr>
              <w:widowControl/>
              <w:rPr>
                <w:rFonts w:ascii="Times New Roman" w:hAnsi="Times New Roman"/>
                <w:b/>
                <w:bCs/>
                <w:snapToGrid/>
                <w:color w:val="000000"/>
                <w:sz w:val="22"/>
                <w:szCs w:val="22"/>
              </w:rPr>
            </w:pPr>
            <w:r w:rsidRPr="00982972">
              <w:rPr>
                <w:rFonts w:ascii="Times New Roman" w:hAnsi="Times New Roman"/>
                <w:b/>
                <w:bCs/>
                <w:snapToGrid/>
                <w:color w:val="000000"/>
                <w:sz w:val="22"/>
                <w:szCs w:val="22"/>
              </w:rPr>
              <w:t xml:space="preserve">Total Annualized Cost Burden </w:t>
            </w:r>
          </w:p>
        </w:tc>
      </w:tr>
      <w:tr w14:paraId="3E6ACE06" w14:textId="77777777" w:rsidTr="008B2FCC">
        <w:tblPrEx>
          <w:tblW w:w="10890" w:type="dxa"/>
          <w:tblInd w:w="-275" w:type="dxa"/>
          <w:tblLook w:val="04A0"/>
        </w:tblPrEx>
        <w:trPr>
          <w:trHeight w:val="600"/>
        </w:trPr>
        <w:tc>
          <w:tcPr>
            <w:tcW w:w="2114"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1F124C" w:rsidRPr="00982972" w:rsidP="00982972" w14:paraId="651631EC" w14:textId="77777777">
            <w:pPr>
              <w:widowControl/>
              <w:rPr>
                <w:rFonts w:ascii="Times New Roman" w:hAnsi="Times New Roman"/>
                <w:snapToGrid/>
                <w:color w:val="000000"/>
                <w:sz w:val="22"/>
                <w:szCs w:val="22"/>
              </w:rPr>
            </w:pPr>
            <w:r w:rsidRPr="00982972">
              <w:rPr>
                <w:rFonts w:ascii="Times New Roman" w:hAnsi="Times New Roman"/>
                <w:snapToGrid/>
                <w:color w:val="000000"/>
                <w:sz w:val="22"/>
                <w:szCs w:val="22"/>
              </w:rPr>
              <w:t xml:space="preserve">Secretaries and Administrative Assistants (43-6010) </w:t>
            </w:r>
          </w:p>
        </w:tc>
        <w:tc>
          <w:tcPr>
            <w:tcW w:w="889" w:type="dxa"/>
            <w:tcBorders>
              <w:top w:val="single" w:sz="12" w:space="0" w:color="auto"/>
              <w:left w:val="nil"/>
              <w:bottom w:val="single" w:sz="12" w:space="0" w:color="auto"/>
              <w:right w:val="single" w:sz="4" w:space="0" w:color="auto"/>
            </w:tcBorders>
            <w:shd w:val="clear" w:color="auto" w:fill="auto"/>
            <w:noWrap/>
            <w:vAlign w:val="bottom"/>
            <w:hideMark/>
          </w:tcPr>
          <w:p w:rsidR="001F124C" w:rsidRPr="00982972" w:rsidP="00982972" w14:paraId="1F86259E" w14:textId="7E7B9B03">
            <w:pPr>
              <w:widowControl/>
              <w:jc w:val="right"/>
              <w:rPr>
                <w:rFonts w:ascii="Times New Roman" w:hAnsi="Times New Roman"/>
                <w:snapToGrid/>
                <w:color w:val="000000"/>
                <w:sz w:val="22"/>
                <w:szCs w:val="22"/>
              </w:rPr>
            </w:pPr>
            <w:r w:rsidRPr="00982972">
              <w:rPr>
                <w:rFonts w:ascii="Times New Roman" w:hAnsi="Times New Roman"/>
                <w:snapToGrid/>
                <w:color w:val="000000"/>
                <w:sz w:val="22"/>
                <w:szCs w:val="22"/>
              </w:rPr>
              <w:t>$</w:t>
            </w:r>
            <w:r>
              <w:rPr>
                <w:rFonts w:ascii="Times New Roman" w:hAnsi="Times New Roman"/>
                <w:snapToGrid/>
                <w:color w:val="000000"/>
                <w:sz w:val="22"/>
                <w:szCs w:val="22"/>
              </w:rPr>
              <w:t xml:space="preserve"> </w:t>
            </w:r>
            <w:r w:rsidRPr="00982972">
              <w:rPr>
                <w:rFonts w:ascii="Times New Roman" w:hAnsi="Times New Roman"/>
                <w:snapToGrid/>
                <w:color w:val="000000"/>
                <w:sz w:val="22"/>
                <w:szCs w:val="22"/>
              </w:rPr>
              <w:t xml:space="preserve">25.03 </w:t>
            </w:r>
          </w:p>
        </w:tc>
        <w:tc>
          <w:tcPr>
            <w:tcW w:w="1573" w:type="dxa"/>
            <w:tcBorders>
              <w:top w:val="single" w:sz="12" w:space="0" w:color="auto"/>
              <w:left w:val="nil"/>
              <w:bottom w:val="single" w:sz="12" w:space="0" w:color="auto"/>
              <w:right w:val="single" w:sz="4" w:space="0" w:color="auto"/>
            </w:tcBorders>
            <w:shd w:val="clear" w:color="auto" w:fill="auto"/>
            <w:noWrap/>
            <w:vAlign w:val="bottom"/>
            <w:hideMark/>
          </w:tcPr>
          <w:p w:rsidR="001F124C" w:rsidRPr="00982972" w:rsidP="00982972" w14:paraId="785DF40A" w14:textId="3AE96829">
            <w:pPr>
              <w:widowControl/>
              <w:jc w:val="center"/>
              <w:rPr>
                <w:rFonts w:ascii="Times New Roman" w:hAnsi="Times New Roman"/>
                <w:snapToGrid/>
                <w:color w:val="000000"/>
                <w:sz w:val="22"/>
                <w:szCs w:val="22"/>
              </w:rPr>
            </w:pPr>
            <w:r w:rsidRPr="00982972">
              <w:rPr>
                <w:rFonts w:ascii="Times New Roman" w:hAnsi="Times New Roman"/>
                <w:snapToGrid/>
                <w:color w:val="000000"/>
                <w:sz w:val="22"/>
                <w:szCs w:val="22"/>
              </w:rPr>
              <w:t>$</w:t>
            </w:r>
            <w:r>
              <w:rPr>
                <w:rFonts w:ascii="Times New Roman" w:hAnsi="Times New Roman"/>
                <w:snapToGrid/>
                <w:color w:val="000000"/>
                <w:sz w:val="22"/>
                <w:szCs w:val="22"/>
              </w:rPr>
              <w:t xml:space="preserve"> </w:t>
            </w:r>
            <w:r w:rsidRPr="00982972">
              <w:rPr>
                <w:rFonts w:ascii="Times New Roman" w:hAnsi="Times New Roman"/>
                <w:snapToGrid/>
                <w:color w:val="000000"/>
                <w:sz w:val="22"/>
                <w:szCs w:val="22"/>
              </w:rPr>
              <w:t>32.29</w:t>
            </w:r>
          </w:p>
        </w:tc>
        <w:tc>
          <w:tcPr>
            <w:tcW w:w="1231" w:type="dxa"/>
            <w:tcBorders>
              <w:top w:val="single" w:sz="12" w:space="0" w:color="auto"/>
              <w:left w:val="nil"/>
              <w:bottom w:val="single" w:sz="12" w:space="0" w:color="auto"/>
              <w:right w:val="single" w:sz="4" w:space="0" w:color="auto"/>
            </w:tcBorders>
            <w:shd w:val="clear" w:color="auto" w:fill="auto"/>
            <w:noWrap/>
            <w:vAlign w:val="bottom"/>
            <w:hideMark/>
          </w:tcPr>
          <w:p w:rsidR="001F124C" w:rsidRPr="00982972" w:rsidP="00982972" w14:paraId="47681513" w14:textId="77777777">
            <w:pPr>
              <w:widowControl/>
              <w:jc w:val="center"/>
              <w:rPr>
                <w:rFonts w:ascii="Times New Roman" w:hAnsi="Times New Roman"/>
                <w:snapToGrid/>
                <w:color w:val="000000"/>
                <w:sz w:val="22"/>
                <w:szCs w:val="22"/>
              </w:rPr>
            </w:pPr>
            <w:r w:rsidRPr="00982972">
              <w:rPr>
                <w:rFonts w:ascii="Times New Roman" w:hAnsi="Times New Roman"/>
                <w:snapToGrid/>
                <w:color w:val="000000"/>
                <w:sz w:val="22"/>
                <w:szCs w:val="22"/>
              </w:rPr>
              <w:t>1</w:t>
            </w:r>
          </w:p>
        </w:tc>
        <w:tc>
          <w:tcPr>
            <w:tcW w:w="1573" w:type="dxa"/>
            <w:tcBorders>
              <w:top w:val="single" w:sz="12" w:space="0" w:color="auto"/>
              <w:left w:val="nil"/>
              <w:bottom w:val="single" w:sz="12" w:space="0" w:color="auto"/>
              <w:right w:val="single" w:sz="4" w:space="0" w:color="auto"/>
            </w:tcBorders>
            <w:shd w:val="clear" w:color="auto" w:fill="auto"/>
            <w:noWrap/>
            <w:vAlign w:val="bottom"/>
            <w:hideMark/>
          </w:tcPr>
          <w:p w:rsidR="001F124C" w:rsidRPr="00982972" w:rsidP="00982972" w14:paraId="7EFD540A" w14:textId="13B3C167">
            <w:pPr>
              <w:widowControl/>
              <w:rPr>
                <w:rFonts w:ascii="Times New Roman" w:hAnsi="Times New Roman"/>
                <w:snapToGrid/>
                <w:color w:val="000000"/>
                <w:sz w:val="22"/>
                <w:szCs w:val="22"/>
              </w:rPr>
            </w:pPr>
            <w:r w:rsidRPr="00982972">
              <w:rPr>
                <w:rFonts w:ascii="Times New Roman" w:hAnsi="Times New Roman"/>
                <w:snapToGrid/>
                <w:color w:val="000000"/>
                <w:sz w:val="22"/>
                <w:szCs w:val="22"/>
              </w:rPr>
              <w:t xml:space="preserve"> $ 32.29 </w:t>
            </w:r>
          </w:p>
        </w:tc>
        <w:tc>
          <w:tcPr>
            <w:tcW w:w="1800" w:type="dxa"/>
            <w:tcBorders>
              <w:top w:val="single" w:sz="12" w:space="0" w:color="auto"/>
              <w:left w:val="nil"/>
              <w:bottom w:val="single" w:sz="12" w:space="0" w:color="auto"/>
              <w:right w:val="single" w:sz="4" w:space="0" w:color="auto"/>
            </w:tcBorders>
            <w:shd w:val="clear" w:color="auto" w:fill="auto"/>
            <w:noWrap/>
            <w:vAlign w:val="bottom"/>
            <w:hideMark/>
          </w:tcPr>
          <w:p w:rsidR="001F124C" w:rsidRPr="00982972" w:rsidP="00982972" w14:paraId="578DF12D" w14:textId="77777777">
            <w:pPr>
              <w:widowControl/>
              <w:jc w:val="center"/>
              <w:rPr>
                <w:rFonts w:ascii="Times New Roman" w:hAnsi="Times New Roman"/>
                <w:snapToGrid/>
                <w:color w:val="000000"/>
                <w:sz w:val="22"/>
                <w:szCs w:val="22"/>
              </w:rPr>
            </w:pPr>
            <w:r w:rsidRPr="00982972">
              <w:rPr>
                <w:rFonts w:ascii="Times New Roman" w:hAnsi="Times New Roman"/>
                <w:snapToGrid/>
                <w:color w:val="000000"/>
                <w:sz w:val="22"/>
                <w:szCs w:val="22"/>
              </w:rPr>
              <w:t>950</w:t>
            </w:r>
          </w:p>
        </w:tc>
        <w:tc>
          <w:tcPr>
            <w:tcW w:w="1710" w:type="dxa"/>
            <w:tcBorders>
              <w:top w:val="single" w:sz="12" w:space="0" w:color="auto"/>
              <w:left w:val="nil"/>
              <w:bottom w:val="single" w:sz="12" w:space="0" w:color="auto"/>
              <w:right w:val="single" w:sz="12" w:space="0" w:color="auto"/>
            </w:tcBorders>
            <w:shd w:val="clear" w:color="auto" w:fill="auto"/>
            <w:noWrap/>
            <w:vAlign w:val="bottom"/>
            <w:hideMark/>
          </w:tcPr>
          <w:p w:rsidR="001F124C" w:rsidRPr="00982972" w:rsidP="00982972" w14:paraId="7B6A3AC3" w14:textId="65B3D4BE">
            <w:pPr>
              <w:widowControl/>
              <w:rPr>
                <w:rFonts w:ascii="Times New Roman" w:hAnsi="Times New Roman"/>
                <w:snapToGrid/>
                <w:color w:val="000000"/>
                <w:sz w:val="22"/>
                <w:szCs w:val="22"/>
              </w:rPr>
            </w:pPr>
            <w:r w:rsidRPr="00982972">
              <w:rPr>
                <w:rFonts w:ascii="Times New Roman" w:hAnsi="Times New Roman"/>
                <w:snapToGrid/>
                <w:color w:val="000000"/>
                <w:sz w:val="22"/>
                <w:szCs w:val="22"/>
              </w:rPr>
              <w:t xml:space="preserve"> $ 30,675.50 </w:t>
            </w:r>
          </w:p>
        </w:tc>
      </w:tr>
    </w:tbl>
    <w:p w:rsidR="00DC7C27" w:rsidP="00982972" w14:paraId="4557F9FE" w14:textId="381DF36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fldChar w:fldCharType="end"/>
      </w:r>
    </w:p>
    <w:p w:rsidR="00F802C4" w:rsidP="00F802C4" w14:paraId="6E993AEE" w14:textId="4DF7A771">
      <w:pPr>
        <w:pStyle w:val="ListParagraph"/>
        <w:numPr>
          <w:ilvl w:val="0"/>
          <w:numId w:val="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360"/>
        <w:rPr>
          <w:rFonts w:ascii="Times New Roman" w:hAnsi="Times New Roman"/>
          <w:b/>
        </w:rPr>
      </w:pPr>
      <w:r>
        <w:rPr>
          <w:rFonts w:ascii="Times New Roman" w:hAnsi="Times New Roman"/>
          <w:b/>
        </w:rPr>
        <w:t>E</w:t>
      </w:r>
      <w:r w:rsidRPr="00982972" w:rsidR="0086679E">
        <w:rPr>
          <w:rFonts w:ascii="Times New Roman" w:hAnsi="Times New Roman"/>
          <w:b/>
        </w:rPr>
        <w:t xml:space="preserve">stimate of the </w:t>
      </w:r>
      <w:r>
        <w:rPr>
          <w:rFonts w:ascii="Times New Roman" w:hAnsi="Times New Roman"/>
          <w:b/>
        </w:rPr>
        <w:t>T</w:t>
      </w:r>
      <w:r w:rsidRPr="00982972">
        <w:rPr>
          <w:rFonts w:ascii="Times New Roman" w:hAnsi="Times New Roman"/>
          <w:b/>
        </w:rPr>
        <w:t xml:space="preserve">otal </w:t>
      </w:r>
      <w:r>
        <w:rPr>
          <w:rFonts w:ascii="Times New Roman" w:hAnsi="Times New Roman"/>
          <w:b/>
        </w:rPr>
        <w:t>A</w:t>
      </w:r>
      <w:r w:rsidRPr="00982972">
        <w:rPr>
          <w:rFonts w:ascii="Times New Roman" w:hAnsi="Times New Roman"/>
          <w:b/>
        </w:rPr>
        <w:t xml:space="preserve">nnual </w:t>
      </w:r>
      <w:r>
        <w:rPr>
          <w:rFonts w:ascii="Times New Roman" w:hAnsi="Times New Roman"/>
          <w:b/>
        </w:rPr>
        <w:t>C</w:t>
      </w:r>
      <w:r w:rsidRPr="00982972">
        <w:rPr>
          <w:rFonts w:ascii="Times New Roman" w:hAnsi="Times New Roman"/>
          <w:b/>
        </w:rPr>
        <w:t xml:space="preserve">ost </w:t>
      </w:r>
      <w:r>
        <w:rPr>
          <w:rFonts w:ascii="Times New Roman" w:hAnsi="Times New Roman"/>
          <w:b/>
        </w:rPr>
        <w:t>B</w:t>
      </w:r>
      <w:r w:rsidRPr="00982972">
        <w:rPr>
          <w:rFonts w:ascii="Times New Roman" w:hAnsi="Times New Roman"/>
          <w:b/>
        </w:rPr>
        <w:t xml:space="preserve">urden </w:t>
      </w:r>
      <w:r w:rsidRPr="00982972" w:rsidR="0086679E">
        <w:rPr>
          <w:rFonts w:ascii="Times New Roman" w:hAnsi="Times New Roman"/>
          <w:b/>
        </w:rPr>
        <w:t xml:space="preserve">to </w:t>
      </w:r>
      <w:r>
        <w:rPr>
          <w:rFonts w:ascii="Times New Roman" w:hAnsi="Times New Roman"/>
          <w:b/>
        </w:rPr>
        <w:t>R</w:t>
      </w:r>
      <w:r w:rsidRPr="00982972">
        <w:rPr>
          <w:rFonts w:ascii="Times New Roman" w:hAnsi="Times New Roman"/>
          <w:b/>
        </w:rPr>
        <w:t xml:space="preserve">espondents </w:t>
      </w:r>
      <w:r w:rsidRPr="00982972" w:rsidR="0086679E">
        <w:rPr>
          <w:rFonts w:ascii="Times New Roman" w:hAnsi="Times New Roman"/>
          <w:b/>
        </w:rPr>
        <w:t xml:space="preserve">or </w:t>
      </w:r>
      <w:r w:rsidRPr="00982972">
        <w:rPr>
          <w:rFonts w:ascii="Times New Roman" w:hAnsi="Times New Roman"/>
          <w:b/>
        </w:rPr>
        <w:t xml:space="preserve">Recordkeepers </w:t>
      </w:r>
    </w:p>
    <w:p w:rsidR="0086679E" w14:paraId="6FA9794B" w14:textId="0E3B0F6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P="00982972" w14:paraId="539F154D" w14:textId="2023507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a.  </w:t>
      </w:r>
      <w:r>
        <w:rPr>
          <w:rFonts w:ascii="Times New Roman" w:hAnsi="Times New Roman"/>
          <w:u w:val="single"/>
        </w:rPr>
        <w:t xml:space="preserve">Total Capital and Start-Up Costs Estimate:  </w:t>
      </w:r>
      <w:r>
        <w:rPr>
          <w:rFonts w:ascii="Times New Roman" w:hAnsi="Times New Roman"/>
        </w:rPr>
        <w:t xml:space="preserve">There are no capital or start-up costs associated with this collection.  </w:t>
      </w:r>
    </w:p>
    <w:p w:rsidR="0086679E" w:rsidP="00982972" w14:paraId="190109E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5020F" w:rsidP="003A51C7" w14:paraId="2A1304C1" w14:textId="5F983D0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b.  </w:t>
      </w:r>
      <w:r>
        <w:rPr>
          <w:rFonts w:ascii="Times New Roman" w:hAnsi="Times New Roman"/>
          <w:u w:val="single"/>
        </w:rPr>
        <w:t>Total Operation and Maintenance and Purchase of Services Estimate</w:t>
      </w:r>
      <w:r>
        <w:rPr>
          <w:rFonts w:ascii="Times New Roman" w:hAnsi="Times New Roman"/>
        </w:rPr>
        <w:t xml:space="preserve">:  </w:t>
      </w:r>
      <w:r w:rsidRPr="004E7AE6" w:rsidR="00A3634E">
        <w:rPr>
          <w:rFonts w:ascii="Times New Roman" w:hAnsi="Times New Roman"/>
        </w:rPr>
        <w:t>In addition to personnel costs</w:t>
      </w:r>
      <w:r w:rsidR="00A3634E">
        <w:rPr>
          <w:rFonts w:ascii="Times New Roman" w:hAnsi="Times New Roman"/>
        </w:rPr>
        <w:t xml:space="preserve"> listed in item 12</w:t>
      </w:r>
      <w:r w:rsidRPr="004E7AE6" w:rsidR="00A3634E">
        <w:rPr>
          <w:rFonts w:ascii="Times New Roman" w:hAnsi="Times New Roman"/>
        </w:rPr>
        <w:t>, it is estimated that each respondent will spend approximately $</w:t>
      </w:r>
      <w:r w:rsidR="003A51C7">
        <w:rPr>
          <w:rFonts w:ascii="Times New Roman" w:hAnsi="Times New Roman"/>
        </w:rPr>
        <w:t>13.37</w:t>
      </w:r>
      <w:r w:rsidRPr="004E7AE6" w:rsidR="00A3634E">
        <w:rPr>
          <w:rFonts w:ascii="Times New Roman" w:hAnsi="Times New Roman"/>
        </w:rPr>
        <w:t xml:space="preserve"> for copying</w:t>
      </w:r>
      <w:r w:rsidR="003A51C7">
        <w:rPr>
          <w:rFonts w:ascii="Times New Roman" w:hAnsi="Times New Roman"/>
        </w:rPr>
        <w:t>, postage, and other mailing costs</w:t>
      </w:r>
      <w:r w:rsidRPr="004E7AE6" w:rsidR="00A3634E">
        <w:rPr>
          <w:rFonts w:ascii="Times New Roman" w:hAnsi="Times New Roman"/>
        </w:rPr>
        <w:t xml:space="preserve">.  Therefore, the </w:t>
      </w:r>
      <w:r w:rsidR="003A51C7">
        <w:rPr>
          <w:rFonts w:ascii="Times New Roman" w:hAnsi="Times New Roman"/>
        </w:rPr>
        <w:t>total cost to respondents to respond to this collection is $ 1,337.00, which can be calculated as shown in the table below:</w:t>
      </w:r>
    </w:p>
    <w:p w:rsidR="003A51C7" w:rsidP="003A51C7" w14:paraId="506E459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953599" w:rsidP="003A51C7" w14:paraId="3781547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953599" w:rsidP="003A51C7" w14:paraId="732E58A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tbl>
      <w:tblPr>
        <w:tblW w:w="9787" w:type="dxa"/>
        <w:tblLook w:val="04A0"/>
      </w:tblPr>
      <w:tblGrid>
        <w:gridCol w:w="7865"/>
        <w:gridCol w:w="1922"/>
      </w:tblGrid>
      <w:tr w14:paraId="1111E15D" w14:textId="77777777" w:rsidTr="00982972">
        <w:tblPrEx>
          <w:tblW w:w="9787" w:type="dxa"/>
          <w:tblLook w:val="04A0"/>
        </w:tblPrEx>
        <w:trPr>
          <w:trHeight w:val="291"/>
        </w:trPr>
        <w:tc>
          <w:tcPr>
            <w:tcW w:w="9787" w:type="dxa"/>
            <w:gridSpan w:val="2"/>
            <w:tcBorders>
              <w:top w:val="single" w:sz="12" w:space="0" w:color="auto"/>
              <w:left w:val="single" w:sz="12" w:space="0" w:color="auto"/>
              <w:bottom w:val="single" w:sz="4" w:space="0" w:color="auto"/>
              <w:right w:val="single" w:sz="12" w:space="0" w:color="auto"/>
            </w:tcBorders>
            <w:shd w:val="clear" w:color="000000" w:fill="D0CECE"/>
            <w:noWrap/>
            <w:vAlign w:val="bottom"/>
            <w:hideMark/>
          </w:tcPr>
          <w:p w:rsidR="003A51C7" w:rsidRPr="003A51C7" w:rsidP="003A51C7" w14:paraId="2B12F370" w14:textId="77777777">
            <w:pPr>
              <w:widowControl/>
              <w:jc w:val="center"/>
              <w:rPr>
                <w:rFonts w:ascii="Times New Roman" w:hAnsi="Times New Roman"/>
                <w:b/>
                <w:bCs/>
                <w:snapToGrid/>
                <w:color w:val="000000"/>
                <w:sz w:val="22"/>
                <w:szCs w:val="22"/>
              </w:rPr>
            </w:pPr>
            <w:r w:rsidRPr="003A51C7">
              <w:rPr>
                <w:rFonts w:ascii="Times New Roman" w:hAnsi="Times New Roman"/>
                <w:b/>
                <w:bCs/>
                <w:snapToGrid/>
                <w:color w:val="000000"/>
                <w:sz w:val="22"/>
                <w:szCs w:val="22"/>
              </w:rPr>
              <w:t>APPLICATIONS (100 Responses)</w:t>
            </w:r>
          </w:p>
        </w:tc>
      </w:tr>
      <w:tr w14:paraId="10BF1D23" w14:textId="77777777" w:rsidTr="00982972">
        <w:tblPrEx>
          <w:tblW w:w="9787" w:type="dxa"/>
          <w:tblLook w:val="04A0"/>
        </w:tblPrEx>
        <w:trPr>
          <w:trHeight w:val="291"/>
        </w:trPr>
        <w:tc>
          <w:tcPr>
            <w:tcW w:w="7865" w:type="dxa"/>
            <w:tcBorders>
              <w:top w:val="single" w:sz="12" w:space="0" w:color="auto"/>
              <w:left w:val="single" w:sz="12" w:space="0" w:color="auto"/>
              <w:bottom w:val="single" w:sz="12" w:space="0" w:color="auto"/>
              <w:right w:val="single" w:sz="12" w:space="0" w:color="auto"/>
            </w:tcBorders>
            <w:shd w:val="clear" w:color="000000" w:fill="D0CECE"/>
            <w:noWrap/>
            <w:vAlign w:val="bottom"/>
            <w:hideMark/>
          </w:tcPr>
          <w:p w:rsidR="003A51C7" w:rsidRPr="003A51C7" w:rsidP="003A51C7" w14:paraId="75FF5FCF" w14:textId="77777777">
            <w:pPr>
              <w:widowControl/>
              <w:jc w:val="center"/>
              <w:rPr>
                <w:rFonts w:ascii="Times New Roman" w:hAnsi="Times New Roman"/>
                <w:b/>
                <w:bCs/>
                <w:snapToGrid/>
                <w:color w:val="000000"/>
                <w:sz w:val="22"/>
                <w:szCs w:val="22"/>
              </w:rPr>
            </w:pPr>
            <w:r w:rsidRPr="003A51C7">
              <w:rPr>
                <w:rFonts w:ascii="Times New Roman" w:hAnsi="Times New Roman"/>
                <w:b/>
                <w:bCs/>
                <w:snapToGrid/>
                <w:color w:val="000000"/>
                <w:sz w:val="22"/>
                <w:szCs w:val="22"/>
              </w:rPr>
              <w:t xml:space="preserve">Activity </w:t>
            </w:r>
          </w:p>
        </w:tc>
        <w:tc>
          <w:tcPr>
            <w:tcW w:w="1922" w:type="dxa"/>
            <w:tcBorders>
              <w:top w:val="single" w:sz="12" w:space="0" w:color="auto"/>
              <w:left w:val="single" w:sz="12" w:space="0" w:color="auto"/>
              <w:bottom w:val="single" w:sz="12" w:space="0" w:color="auto"/>
              <w:right w:val="single" w:sz="12" w:space="0" w:color="auto"/>
            </w:tcBorders>
            <w:shd w:val="clear" w:color="000000" w:fill="D0CECE"/>
            <w:noWrap/>
            <w:vAlign w:val="bottom"/>
            <w:hideMark/>
          </w:tcPr>
          <w:p w:rsidR="003A51C7" w:rsidRPr="003A51C7" w:rsidP="003A51C7" w14:paraId="610B7CC9" w14:textId="77777777">
            <w:pPr>
              <w:widowControl/>
              <w:jc w:val="center"/>
              <w:rPr>
                <w:rFonts w:ascii="Times New Roman" w:hAnsi="Times New Roman"/>
                <w:b/>
                <w:bCs/>
                <w:snapToGrid/>
                <w:color w:val="000000"/>
                <w:sz w:val="22"/>
                <w:szCs w:val="22"/>
              </w:rPr>
            </w:pPr>
            <w:r w:rsidRPr="003A51C7">
              <w:rPr>
                <w:rFonts w:ascii="Times New Roman" w:hAnsi="Times New Roman"/>
                <w:b/>
                <w:bCs/>
                <w:snapToGrid/>
                <w:color w:val="000000"/>
                <w:sz w:val="22"/>
                <w:szCs w:val="22"/>
              </w:rPr>
              <w:t xml:space="preserve">Cost </w:t>
            </w:r>
          </w:p>
        </w:tc>
      </w:tr>
      <w:tr w14:paraId="639DB597" w14:textId="77777777" w:rsidTr="00982972">
        <w:tblPrEx>
          <w:tblW w:w="9787" w:type="dxa"/>
          <w:tblLook w:val="04A0"/>
        </w:tblPrEx>
        <w:trPr>
          <w:trHeight w:val="583"/>
        </w:trPr>
        <w:tc>
          <w:tcPr>
            <w:tcW w:w="7865"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3A51C7" w:rsidRPr="003A51C7" w:rsidP="003A51C7" w14:paraId="0ECD93B2" w14:textId="3D3071A8">
            <w:pPr>
              <w:widowControl/>
              <w:rPr>
                <w:rFonts w:ascii="Times New Roman" w:hAnsi="Times New Roman"/>
                <w:snapToGrid/>
                <w:color w:val="000000"/>
                <w:sz w:val="22"/>
                <w:szCs w:val="22"/>
              </w:rPr>
            </w:pPr>
            <w:r w:rsidRPr="003A51C7">
              <w:rPr>
                <w:rFonts w:ascii="Times New Roman" w:hAnsi="Times New Roman"/>
                <w:snapToGrid/>
                <w:color w:val="000000"/>
                <w:sz w:val="22"/>
                <w:szCs w:val="22"/>
              </w:rPr>
              <w:t xml:space="preserve">Copying @ 2 (total copies of the applications per person) *22 (total pages per application) * $.26 </w:t>
            </w:r>
            <w:r>
              <w:rPr>
                <w:rFonts w:ascii="Times New Roman" w:hAnsi="Times New Roman"/>
                <w:snapToGrid/>
                <w:color w:val="000000"/>
                <w:sz w:val="22"/>
                <w:szCs w:val="22"/>
                <w:vertAlign w:val="superscript"/>
              </w:rPr>
              <w:footnoteReference w:id="4"/>
            </w:r>
            <w:r>
              <w:rPr>
                <w:rFonts w:ascii="Times New Roman" w:hAnsi="Times New Roman"/>
                <w:snapToGrid/>
                <w:color w:val="000000"/>
                <w:sz w:val="22"/>
                <w:szCs w:val="22"/>
              </w:rPr>
              <w:t xml:space="preserve"> </w:t>
            </w:r>
            <w:r w:rsidRPr="003A51C7">
              <w:rPr>
                <w:rFonts w:ascii="Times New Roman" w:hAnsi="Times New Roman"/>
                <w:snapToGrid/>
                <w:color w:val="000000"/>
                <w:sz w:val="22"/>
                <w:szCs w:val="22"/>
              </w:rPr>
              <w:t>(copy cost per page )</w:t>
            </w:r>
          </w:p>
        </w:tc>
        <w:tc>
          <w:tcPr>
            <w:tcW w:w="192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3A51C7" w:rsidRPr="003A51C7" w:rsidP="003A51C7" w14:paraId="7FA7CE2E" w14:textId="5FEC15E4">
            <w:pPr>
              <w:widowControl/>
              <w:rPr>
                <w:rFonts w:ascii="Times New Roman" w:hAnsi="Times New Roman"/>
                <w:snapToGrid/>
                <w:color w:val="000000"/>
                <w:sz w:val="22"/>
                <w:szCs w:val="22"/>
              </w:rPr>
            </w:pPr>
            <w:r w:rsidRPr="003A51C7">
              <w:rPr>
                <w:rFonts w:ascii="Times New Roman" w:hAnsi="Times New Roman"/>
                <w:snapToGrid/>
                <w:color w:val="000000"/>
                <w:sz w:val="22"/>
                <w:szCs w:val="22"/>
              </w:rPr>
              <w:t xml:space="preserve"> $     </w:t>
            </w:r>
            <w:r>
              <w:rPr>
                <w:rFonts w:ascii="Times New Roman" w:hAnsi="Times New Roman"/>
                <w:snapToGrid/>
                <w:color w:val="000000"/>
                <w:sz w:val="22"/>
                <w:szCs w:val="22"/>
              </w:rPr>
              <w:t xml:space="preserve">          </w:t>
            </w:r>
            <w:r w:rsidRPr="003A51C7">
              <w:rPr>
                <w:rFonts w:ascii="Times New Roman" w:hAnsi="Times New Roman"/>
                <w:snapToGrid/>
                <w:color w:val="000000"/>
                <w:sz w:val="22"/>
                <w:szCs w:val="22"/>
              </w:rPr>
              <w:t xml:space="preserve">11.44 </w:t>
            </w:r>
          </w:p>
        </w:tc>
      </w:tr>
      <w:tr w14:paraId="1EFC73C7" w14:textId="77777777" w:rsidTr="00982972">
        <w:tblPrEx>
          <w:tblW w:w="9787" w:type="dxa"/>
          <w:tblLook w:val="04A0"/>
        </w:tblPrEx>
        <w:trPr>
          <w:trHeight w:val="291"/>
        </w:trPr>
        <w:tc>
          <w:tcPr>
            <w:tcW w:w="7865" w:type="dxa"/>
            <w:tcBorders>
              <w:top w:val="nil"/>
              <w:left w:val="single" w:sz="12" w:space="0" w:color="auto"/>
              <w:bottom w:val="single" w:sz="4" w:space="0" w:color="auto"/>
              <w:right w:val="single" w:sz="12" w:space="0" w:color="auto"/>
            </w:tcBorders>
            <w:shd w:val="clear" w:color="auto" w:fill="auto"/>
            <w:vAlign w:val="center"/>
            <w:hideMark/>
          </w:tcPr>
          <w:p w:rsidR="003A51C7" w:rsidRPr="003A51C7" w:rsidP="003A51C7" w14:paraId="344C5DDD" w14:textId="5FD56619">
            <w:pPr>
              <w:widowControl/>
              <w:rPr>
                <w:rFonts w:ascii="Times New Roman" w:hAnsi="Times New Roman"/>
                <w:snapToGrid/>
                <w:color w:val="000000"/>
                <w:sz w:val="22"/>
                <w:szCs w:val="22"/>
              </w:rPr>
            </w:pPr>
            <w:r w:rsidRPr="003A51C7">
              <w:rPr>
                <w:rFonts w:ascii="Times New Roman" w:hAnsi="Times New Roman"/>
                <w:snapToGrid/>
                <w:color w:val="000000"/>
                <w:sz w:val="22"/>
                <w:szCs w:val="22"/>
              </w:rPr>
              <w:t xml:space="preserve">Envelope @ 1 (total envelopes needed) *  $.47 </w:t>
            </w:r>
            <w:r>
              <w:rPr>
                <w:rFonts w:ascii="Times New Roman" w:hAnsi="Times New Roman"/>
                <w:snapToGrid/>
                <w:color w:val="000000"/>
                <w:sz w:val="22"/>
                <w:szCs w:val="22"/>
                <w:vertAlign w:val="superscript"/>
              </w:rPr>
              <w:footnoteReference w:id="5"/>
            </w:r>
            <w:r w:rsidRPr="003A51C7">
              <w:rPr>
                <w:rFonts w:ascii="Times New Roman" w:hAnsi="Times New Roman"/>
                <w:snapToGrid/>
                <w:color w:val="000000"/>
                <w:sz w:val="22"/>
                <w:szCs w:val="22"/>
              </w:rPr>
              <w:t>(total cost per envelope)</w:t>
            </w:r>
          </w:p>
        </w:tc>
        <w:tc>
          <w:tcPr>
            <w:tcW w:w="1922" w:type="dxa"/>
            <w:tcBorders>
              <w:top w:val="nil"/>
              <w:left w:val="single" w:sz="12" w:space="0" w:color="auto"/>
              <w:bottom w:val="single" w:sz="4" w:space="0" w:color="auto"/>
              <w:right w:val="single" w:sz="12" w:space="0" w:color="auto"/>
            </w:tcBorders>
            <w:shd w:val="clear" w:color="auto" w:fill="auto"/>
            <w:noWrap/>
            <w:vAlign w:val="bottom"/>
            <w:hideMark/>
          </w:tcPr>
          <w:p w:rsidR="003A51C7" w:rsidRPr="003A51C7" w:rsidP="003A51C7" w14:paraId="70B9B25C" w14:textId="3EA113C9">
            <w:pPr>
              <w:widowControl/>
              <w:rPr>
                <w:rFonts w:ascii="Times New Roman" w:hAnsi="Times New Roman"/>
                <w:snapToGrid/>
                <w:color w:val="000000"/>
                <w:sz w:val="22"/>
                <w:szCs w:val="22"/>
              </w:rPr>
            </w:pPr>
            <w:r w:rsidRPr="003A51C7">
              <w:rPr>
                <w:rFonts w:ascii="Times New Roman" w:hAnsi="Times New Roman"/>
                <w:snapToGrid/>
                <w:color w:val="000000"/>
                <w:sz w:val="22"/>
                <w:szCs w:val="22"/>
              </w:rPr>
              <w:t xml:space="preserve"> $                0.47 </w:t>
            </w:r>
          </w:p>
        </w:tc>
      </w:tr>
      <w:tr w14:paraId="6D2F8805" w14:textId="77777777" w:rsidTr="00982972">
        <w:tblPrEx>
          <w:tblW w:w="9787" w:type="dxa"/>
          <w:tblLook w:val="04A0"/>
        </w:tblPrEx>
        <w:trPr>
          <w:trHeight w:val="291"/>
        </w:trPr>
        <w:tc>
          <w:tcPr>
            <w:tcW w:w="7865" w:type="dxa"/>
            <w:tcBorders>
              <w:top w:val="nil"/>
              <w:left w:val="single" w:sz="12" w:space="0" w:color="auto"/>
              <w:bottom w:val="single" w:sz="4" w:space="0" w:color="auto"/>
              <w:right w:val="single" w:sz="12" w:space="0" w:color="auto"/>
            </w:tcBorders>
            <w:shd w:val="clear" w:color="auto" w:fill="auto"/>
            <w:vAlign w:val="center"/>
            <w:hideMark/>
          </w:tcPr>
          <w:p w:rsidR="003A51C7" w:rsidRPr="003A51C7" w:rsidP="003A51C7" w14:paraId="55F2529D" w14:textId="02D4B38C">
            <w:pPr>
              <w:widowControl/>
              <w:rPr>
                <w:rFonts w:ascii="Times New Roman" w:hAnsi="Times New Roman"/>
                <w:snapToGrid/>
                <w:color w:val="000000"/>
                <w:sz w:val="22"/>
                <w:szCs w:val="22"/>
              </w:rPr>
            </w:pPr>
            <w:r w:rsidRPr="003A51C7">
              <w:rPr>
                <w:rFonts w:ascii="Times New Roman" w:hAnsi="Times New Roman"/>
                <w:snapToGrid/>
                <w:color w:val="000000"/>
                <w:sz w:val="22"/>
                <w:szCs w:val="22"/>
              </w:rPr>
              <w:t xml:space="preserve">Postage @ 2 (total stamps per package) * $.73 </w:t>
            </w:r>
            <w:r>
              <w:rPr>
                <w:rFonts w:ascii="Times New Roman" w:hAnsi="Times New Roman"/>
                <w:snapToGrid/>
                <w:color w:val="000000"/>
                <w:sz w:val="22"/>
                <w:szCs w:val="22"/>
                <w:vertAlign w:val="superscript"/>
              </w:rPr>
              <w:footnoteReference w:id="6"/>
            </w:r>
            <w:r w:rsidRPr="003A51C7">
              <w:rPr>
                <w:rFonts w:ascii="Times New Roman" w:hAnsi="Times New Roman"/>
                <w:snapToGrid/>
                <w:color w:val="000000"/>
                <w:sz w:val="22"/>
                <w:szCs w:val="22"/>
              </w:rPr>
              <w:t xml:space="preserve"> (cost per stamp)</w:t>
            </w:r>
          </w:p>
        </w:tc>
        <w:tc>
          <w:tcPr>
            <w:tcW w:w="1922" w:type="dxa"/>
            <w:tcBorders>
              <w:top w:val="nil"/>
              <w:left w:val="single" w:sz="12" w:space="0" w:color="auto"/>
              <w:bottom w:val="single" w:sz="4" w:space="0" w:color="auto"/>
              <w:right w:val="single" w:sz="12" w:space="0" w:color="auto"/>
            </w:tcBorders>
            <w:shd w:val="clear" w:color="auto" w:fill="auto"/>
            <w:noWrap/>
            <w:vAlign w:val="bottom"/>
            <w:hideMark/>
          </w:tcPr>
          <w:p w:rsidR="003A51C7" w:rsidRPr="003A51C7" w:rsidP="003A51C7" w14:paraId="4C582927" w14:textId="0D31D2A3">
            <w:pPr>
              <w:widowControl/>
              <w:rPr>
                <w:rFonts w:ascii="Times New Roman" w:hAnsi="Times New Roman"/>
                <w:snapToGrid/>
                <w:color w:val="000000"/>
                <w:sz w:val="22"/>
                <w:szCs w:val="22"/>
              </w:rPr>
            </w:pPr>
            <w:r w:rsidRPr="003A51C7">
              <w:rPr>
                <w:rFonts w:ascii="Times New Roman" w:hAnsi="Times New Roman"/>
                <w:snapToGrid/>
                <w:color w:val="000000"/>
                <w:sz w:val="22"/>
                <w:szCs w:val="22"/>
              </w:rPr>
              <w:t xml:space="preserve"> $                1.46 </w:t>
            </w:r>
          </w:p>
        </w:tc>
      </w:tr>
      <w:tr w14:paraId="2121D5D4" w14:textId="77777777" w:rsidTr="00982972">
        <w:tblPrEx>
          <w:tblW w:w="9787" w:type="dxa"/>
          <w:tblLook w:val="04A0"/>
        </w:tblPrEx>
        <w:trPr>
          <w:trHeight w:val="291"/>
        </w:trPr>
        <w:tc>
          <w:tcPr>
            <w:tcW w:w="7865" w:type="dxa"/>
            <w:tcBorders>
              <w:top w:val="nil"/>
              <w:left w:val="single" w:sz="12" w:space="0" w:color="auto"/>
              <w:bottom w:val="single" w:sz="4" w:space="0" w:color="auto"/>
              <w:right w:val="single" w:sz="12" w:space="0" w:color="auto"/>
            </w:tcBorders>
            <w:shd w:val="clear" w:color="000000" w:fill="F2F2F2"/>
            <w:vAlign w:val="center"/>
            <w:hideMark/>
          </w:tcPr>
          <w:p w:rsidR="003A51C7" w:rsidRPr="003A51C7" w:rsidP="003A51C7" w14:paraId="53821343" w14:textId="77777777">
            <w:pPr>
              <w:widowControl/>
              <w:rPr>
                <w:rFonts w:ascii="Times New Roman" w:hAnsi="Times New Roman"/>
                <w:b/>
                <w:bCs/>
                <w:snapToGrid/>
                <w:color w:val="000000"/>
                <w:sz w:val="22"/>
                <w:szCs w:val="22"/>
              </w:rPr>
            </w:pPr>
            <w:r w:rsidRPr="003A51C7">
              <w:rPr>
                <w:rFonts w:ascii="Times New Roman" w:hAnsi="Times New Roman"/>
                <w:b/>
                <w:bCs/>
                <w:snapToGrid/>
                <w:color w:val="000000"/>
                <w:sz w:val="22"/>
                <w:szCs w:val="22"/>
              </w:rPr>
              <w:t xml:space="preserve">Combined Total </w:t>
            </w:r>
          </w:p>
        </w:tc>
        <w:tc>
          <w:tcPr>
            <w:tcW w:w="1922" w:type="dxa"/>
            <w:tcBorders>
              <w:top w:val="nil"/>
              <w:left w:val="single" w:sz="12" w:space="0" w:color="auto"/>
              <w:bottom w:val="single" w:sz="4" w:space="0" w:color="auto"/>
              <w:right w:val="single" w:sz="12" w:space="0" w:color="auto"/>
            </w:tcBorders>
            <w:shd w:val="clear" w:color="auto" w:fill="auto"/>
            <w:noWrap/>
            <w:vAlign w:val="bottom"/>
            <w:hideMark/>
          </w:tcPr>
          <w:p w:rsidR="003A51C7" w:rsidRPr="003A51C7" w:rsidP="003A51C7" w14:paraId="4029DD76" w14:textId="5D78965F">
            <w:pPr>
              <w:widowControl/>
              <w:rPr>
                <w:rFonts w:ascii="Times New Roman" w:hAnsi="Times New Roman"/>
                <w:snapToGrid/>
                <w:color w:val="000000"/>
                <w:sz w:val="22"/>
                <w:szCs w:val="22"/>
              </w:rPr>
            </w:pPr>
            <w:r w:rsidRPr="003A51C7">
              <w:rPr>
                <w:rFonts w:ascii="Times New Roman" w:hAnsi="Times New Roman"/>
                <w:snapToGrid/>
                <w:color w:val="000000"/>
                <w:sz w:val="22"/>
                <w:szCs w:val="22"/>
              </w:rPr>
              <w:t xml:space="preserve"> $            </w:t>
            </w:r>
            <w:r>
              <w:rPr>
                <w:rFonts w:ascii="Times New Roman" w:hAnsi="Times New Roman"/>
                <w:snapToGrid/>
                <w:color w:val="000000"/>
                <w:sz w:val="22"/>
                <w:szCs w:val="22"/>
              </w:rPr>
              <w:t xml:space="preserve">  </w:t>
            </w:r>
            <w:r w:rsidRPr="003A51C7">
              <w:rPr>
                <w:rFonts w:ascii="Times New Roman" w:hAnsi="Times New Roman"/>
                <w:snapToGrid/>
                <w:color w:val="000000"/>
                <w:sz w:val="22"/>
                <w:szCs w:val="22"/>
              </w:rPr>
              <w:t xml:space="preserve">13.37 </w:t>
            </w:r>
          </w:p>
        </w:tc>
      </w:tr>
      <w:tr w14:paraId="713FF749" w14:textId="77777777" w:rsidTr="00982972">
        <w:tblPrEx>
          <w:tblW w:w="9787" w:type="dxa"/>
          <w:tblLook w:val="04A0"/>
        </w:tblPrEx>
        <w:trPr>
          <w:trHeight w:val="291"/>
        </w:trPr>
        <w:tc>
          <w:tcPr>
            <w:tcW w:w="7865" w:type="dxa"/>
            <w:tcBorders>
              <w:top w:val="nil"/>
              <w:left w:val="single" w:sz="12" w:space="0" w:color="auto"/>
              <w:bottom w:val="single" w:sz="12" w:space="0" w:color="auto"/>
              <w:right w:val="single" w:sz="12" w:space="0" w:color="auto"/>
            </w:tcBorders>
            <w:shd w:val="clear" w:color="000000" w:fill="F2F2F2"/>
            <w:vAlign w:val="center"/>
            <w:hideMark/>
          </w:tcPr>
          <w:p w:rsidR="003A51C7" w:rsidRPr="003A51C7" w:rsidP="003A51C7" w14:paraId="2A14F751" w14:textId="4561EAEB">
            <w:pPr>
              <w:widowControl/>
              <w:rPr>
                <w:rFonts w:ascii="Times New Roman" w:hAnsi="Times New Roman"/>
                <w:snapToGrid/>
                <w:color w:val="000000"/>
                <w:sz w:val="22"/>
                <w:szCs w:val="22"/>
              </w:rPr>
            </w:pPr>
            <w:r w:rsidRPr="003A51C7">
              <w:rPr>
                <w:rFonts w:ascii="Times New Roman" w:hAnsi="Times New Roman"/>
                <w:b/>
                <w:bCs/>
                <w:snapToGrid/>
                <w:color w:val="000000"/>
                <w:sz w:val="22"/>
                <w:szCs w:val="22"/>
              </w:rPr>
              <w:t xml:space="preserve">Total Cost: </w:t>
            </w:r>
            <w:r>
              <w:rPr>
                <w:rFonts w:ascii="Times New Roman" w:hAnsi="Times New Roman"/>
                <w:b/>
                <w:bCs/>
                <w:snapToGrid/>
                <w:color w:val="000000"/>
                <w:sz w:val="22"/>
                <w:szCs w:val="22"/>
              </w:rPr>
              <w:t>$</w:t>
            </w:r>
            <w:r>
              <w:rPr>
                <w:rFonts w:ascii="Times New Roman" w:hAnsi="Times New Roman"/>
                <w:snapToGrid/>
                <w:color w:val="000000"/>
                <w:sz w:val="22"/>
                <w:szCs w:val="22"/>
              </w:rPr>
              <w:t>13.37</w:t>
            </w:r>
            <w:r w:rsidRPr="003A51C7">
              <w:rPr>
                <w:rFonts w:ascii="Times New Roman" w:hAnsi="Times New Roman"/>
                <w:snapToGrid/>
                <w:color w:val="000000"/>
                <w:sz w:val="22"/>
                <w:szCs w:val="22"/>
              </w:rPr>
              <w:t xml:space="preserve"> (total cost per respondent)  * 100 (total responses)</w:t>
            </w:r>
          </w:p>
        </w:tc>
        <w:tc>
          <w:tcPr>
            <w:tcW w:w="1922" w:type="dxa"/>
            <w:tcBorders>
              <w:top w:val="nil"/>
              <w:left w:val="single" w:sz="12" w:space="0" w:color="auto"/>
              <w:bottom w:val="single" w:sz="12" w:space="0" w:color="auto"/>
              <w:right w:val="single" w:sz="12" w:space="0" w:color="auto"/>
            </w:tcBorders>
            <w:shd w:val="clear" w:color="auto" w:fill="auto"/>
            <w:noWrap/>
            <w:vAlign w:val="bottom"/>
            <w:hideMark/>
          </w:tcPr>
          <w:p w:rsidR="003A51C7" w:rsidRPr="003A51C7" w:rsidP="003A51C7" w14:paraId="016094FA" w14:textId="77777777">
            <w:pPr>
              <w:widowControl/>
              <w:rPr>
                <w:rFonts w:ascii="Times New Roman" w:hAnsi="Times New Roman"/>
                <w:b/>
                <w:bCs/>
                <w:snapToGrid/>
                <w:color w:val="000000"/>
                <w:sz w:val="22"/>
                <w:szCs w:val="22"/>
              </w:rPr>
            </w:pPr>
            <w:r w:rsidRPr="003A51C7">
              <w:rPr>
                <w:rFonts w:ascii="Times New Roman" w:hAnsi="Times New Roman"/>
                <w:b/>
                <w:bCs/>
                <w:snapToGrid/>
                <w:color w:val="000000"/>
                <w:sz w:val="22"/>
                <w:szCs w:val="22"/>
              </w:rPr>
              <w:t xml:space="preserve"> $         1,337.00 </w:t>
            </w:r>
          </w:p>
        </w:tc>
      </w:tr>
    </w:tbl>
    <w:p w:rsidR="003A51C7" w:rsidP="00982972" w14:paraId="2CDEEE0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p>
    <w:p w:rsidR="00F802C4" w:rsidRPr="00982972" w:rsidP="00982972" w14:paraId="031FBB6F" w14:textId="13AF4072">
      <w:pPr>
        <w:pStyle w:val="ListParagraph"/>
        <w:numPr>
          <w:ilvl w:val="0"/>
          <w:numId w:val="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360"/>
        <w:rPr>
          <w:rFonts w:ascii="Times New Roman" w:hAnsi="Times New Roman"/>
          <w:b/>
        </w:rPr>
      </w:pPr>
      <w:r w:rsidRPr="00982972">
        <w:rPr>
          <w:rFonts w:ascii="Times New Roman" w:hAnsi="Times New Roman"/>
          <w:b/>
        </w:rPr>
        <w:t>E</w:t>
      </w:r>
      <w:r w:rsidRPr="00982972" w:rsidR="0086679E">
        <w:rPr>
          <w:rFonts w:ascii="Times New Roman" w:hAnsi="Times New Roman"/>
          <w:b/>
        </w:rPr>
        <w:t>stimate of Federal Government</w:t>
      </w:r>
      <w:r w:rsidRPr="00982972">
        <w:rPr>
          <w:rFonts w:ascii="Times New Roman" w:hAnsi="Times New Roman"/>
          <w:b/>
        </w:rPr>
        <w:t xml:space="preserve"> Cost</w:t>
      </w:r>
      <w:r w:rsidRPr="00982972" w:rsidR="0086679E">
        <w:rPr>
          <w:rFonts w:ascii="Times New Roman" w:hAnsi="Times New Roman"/>
          <w:b/>
        </w:rPr>
        <w:t xml:space="preserve">  </w:t>
      </w:r>
    </w:p>
    <w:p w:rsidR="004D05DF" w:rsidRPr="00794B18" w:rsidP="004D05DF" w14:paraId="432A39C6" w14:textId="4D456F20">
      <w:pPr>
        <w:rPr>
          <w:rFonts w:ascii="Times New Roman" w:hAnsi="Times New Roman"/>
          <w:szCs w:val="24"/>
        </w:rPr>
      </w:pPr>
      <w:r>
        <w:rPr>
          <w:rFonts w:ascii="Times New Roman" w:hAnsi="Times New Roman"/>
          <w:b/>
        </w:rPr>
        <w:t xml:space="preserve"> </w:t>
      </w:r>
    </w:p>
    <w:p w:rsidR="008B2FCC" w:rsidP="00F802C4" w14:paraId="62C1488C" w14:textId="10BCAD1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Pr>
          <w:rFonts w:ascii="Times New Roman" w:hAnsi="Times New Roman"/>
          <w:szCs w:val="24"/>
        </w:rPr>
        <w:t xml:space="preserve">The total annual cost </w:t>
      </w:r>
      <w:r w:rsidRPr="00794B18">
        <w:rPr>
          <w:rFonts w:ascii="Times New Roman" w:hAnsi="Times New Roman"/>
          <w:szCs w:val="24"/>
        </w:rPr>
        <w:t>to the Federal Government</w:t>
      </w:r>
      <w:r>
        <w:rPr>
          <w:rFonts w:ascii="Times New Roman" w:hAnsi="Times New Roman"/>
          <w:szCs w:val="24"/>
        </w:rPr>
        <w:t xml:space="preserve"> for processing applications associated with this collection is</w:t>
      </w:r>
      <w:r w:rsidRPr="000F04D9">
        <w:rPr>
          <w:rFonts w:ascii="Times New Roman" w:hAnsi="Times New Roman"/>
          <w:szCs w:val="24"/>
        </w:rPr>
        <w:t xml:space="preserve">: </w:t>
      </w:r>
      <w:r w:rsidRPr="008B2FCC">
        <w:rPr>
          <w:rFonts w:ascii="Times New Roman" w:hAnsi="Times New Roman"/>
          <w:szCs w:val="24"/>
        </w:rPr>
        <w:t>$  2,534.25</w:t>
      </w:r>
      <w:r>
        <w:rPr>
          <w:rFonts w:ascii="Times New Roman" w:hAnsi="Times New Roman"/>
          <w:szCs w:val="24"/>
        </w:rPr>
        <w:t>.</w:t>
      </w:r>
    </w:p>
    <w:p w:rsidR="0086679E" w:rsidP="00982972" w14:paraId="25CB7E9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D05DF" w:rsidP="00F802C4" w14:paraId="50F59656" w14:textId="275F68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4D05DF">
        <w:rPr>
          <w:rFonts w:ascii="Times New Roman" w:hAnsi="Times New Roman"/>
          <w:iCs/>
          <w:snapToGrid/>
          <w:szCs w:val="24"/>
        </w:rPr>
        <w:t>According to the Office of Personnel Management (OPM)</w:t>
      </w:r>
      <w:r>
        <w:rPr>
          <w:rFonts w:ascii="Times New Roman" w:hAnsi="Times New Roman"/>
          <w:iCs/>
          <w:snapToGrid/>
          <w:szCs w:val="24"/>
          <w:vertAlign w:val="superscript"/>
        </w:rPr>
        <w:footnoteReference w:id="7"/>
      </w:r>
      <w:r w:rsidRPr="004D05DF">
        <w:rPr>
          <w:rFonts w:ascii="Times New Roman" w:hAnsi="Times New Roman"/>
          <w:iCs/>
          <w:snapToGrid/>
          <w:szCs w:val="24"/>
        </w:rPr>
        <w:t xml:space="preserve"> wage tables, the hourly wage rate for a GS 1</w:t>
      </w:r>
      <w:r>
        <w:rPr>
          <w:rFonts w:ascii="Times New Roman" w:hAnsi="Times New Roman"/>
          <w:iCs/>
          <w:snapToGrid/>
          <w:szCs w:val="24"/>
        </w:rPr>
        <w:t>4</w:t>
      </w:r>
      <w:r w:rsidRPr="004D05DF">
        <w:rPr>
          <w:rFonts w:ascii="Times New Roman" w:hAnsi="Times New Roman"/>
          <w:iCs/>
          <w:snapToGrid/>
          <w:szCs w:val="24"/>
        </w:rPr>
        <w:t xml:space="preserve"> (Step </w:t>
      </w:r>
      <w:r>
        <w:rPr>
          <w:rFonts w:ascii="Times New Roman" w:hAnsi="Times New Roman"/>
          <w:iCs/>
          <w:snapToGrid/>
          <w:szCs w:val="24"/>
        </w:rPr>
        <w:t>5</w:t>
      </w:r>
      <w:r w:rsidRPr="004D05DF">
        <w:rPr>
          <w:rFonts w:ascii="Times New Roman" w:hAnsi="Times New Roman"/>
          <w:iCs/>
          <w:snapToGrid/>
          <w:szCs w:val="24"/>
        </w:rPr>
        <w:t>) Federal employee with a Washington-Baltimore-Arlington locality pay is</w:t>
      </w:r>
      <w:r>
        <w:rPr>
          <w:rFonts w:ascii="Times New Roman" w:hAnsi="Times New Roman"/>
          <w:iCs/>
          <w:snapToGrid/>
          <w:szCs w:val="24"/>
        </w:rPr>
        <w:t xml:space="preserve"> $ </w:t>
      </w:r>
      <w:r w:rsidRPr="004D05DF">
        <w:rPr>
          <w:rFonts w:ascii="Times New Roman" w:hAnsi="Times New Roman"/>
          <w:iCs/>
          <w:snapToGrid/>
          <w:szCs w:val="24"/>
        </w:rPr>
        <w:t>77.38</w:t>
      </w:r>
      <w:r>
        <w:rPr>
          <w:rFonts w:ascii="Times New Roman" w:hAnsi="Times New Roman"/>
          <w:iCs/>
          <w:snapToGrid/>
          <w:szCs w:val="24"/>
        </w:rPr>
        <w:t xml:space="preserve">. </w:t>
      </w:r>
      <w:r w:rsidRPr="004D05DF">
        <w:rPr>
          <w:rFonts w:ascii="Times New Roman" w:hAnsi="Times New Roman"/>
          <w:iCs/>
          <w:snapToGrid/>
          <w:szCs w:val="24"/>
        </w:rPr>
        <w:t>When combined with the Federal Employee Compensation rate of 31%</w:t>
      </w:r>
      <w:r>
        <w:rPr>
          <w:rFonts w:ascii="Times New Roman" w:hAnsi="Times New Roman"/>
          <w:iCs/>
          <w:snapToGrid/>
          <w:szCs w:val="24"/>
          <w:vertAlign w:val="superscript"/>
        </w:rPr>
        <w:footnoteReference w:id="8"/>
      </w:r>
      <w:r w:rsidRPr="004D05DF">
        <w:rPr>
          <w:rFonts w:ascii="Times New Roman" w:hAnsi="Times New Roman"/>
          <w:iCs/>
          <w:snapToGrid/>
          <w:szCs w:val="24"/>
        </w:rPr>
        <w:t>, the total hourly wage rate for this employee is</w:t>
      </w:r>
      <w:r w:rsidRPr="004D05DF">
        <w:rPr>
          <w:rFonts w:ascii="Times New Roman" w:hAnsi="Times New Roman"/>
          <w:iCs/>
          <w:snapToGrid/>
          <w:szCs w:val="24"/>
        </w:rPr>
        <w:t xml:space="preserve"> </w:t>
      </w:r>
      <w:r>
        <w:rPr>
          <w:rFonts w:ascii="Times New Roman" w:hAnsi="Times New Roman"/>
          <w:iCs/>
          <w:snapToGrid/>
          <w:szCs w:val="24"/>
        </w:rPr>
        <w:t xml:space="preserve">$101.37. </w:t>
      </w:r>
      <w:r w:rsidRPr="004E7AE6" w:rsidR="0086679E">
        <w:rPr>
          <w:rFonts w:ascii="Times New Roman" w:hAnsi="Times New Roman"/>
        </w:rPr>
        <w:t>It is estimated that</w:t>
      </w:r>
      <w:r>
        <w:rPr>
          <w:rFonts w:ascii="Times New Roman" w:hAnsi="Times New Roman"/>
        </w:rPr>
        <w:t xml:space="preserve"> this employee will take one 15 minutes (.25) hours to review the annual statement received fr</w:t>
      </w:r>
      <w:r w:rsidR="0075778F">
        <w:rPr>
          <w:rFonts w:ascii="Times New Roman" w:hAnsi="Times New Roman"/>
        </w:rPr>
        <w:t>o</w:t>
      </w:r>
      <w:r>
        <w:rPr>
          <w:rFonts w:ascii="Times New Roman" w:hAnsi="Times New Roman"/>
        </w:rPr>
        <w:t>m respondents, enter the needed amount</w:t>
      </w:r>
      <w:r w:rsidRPr="004E7AE6" w:rsidR="0086679E">
        <w:rPr>
          <w:rFonts w:ascii="Times New Roman" w:hAnsi="Times New Roman"/>
        </w:rPr>
        <w:t xml:space="preserve"> in the </w:t>
      </w:r>
      <w:r>
        <w:rPr>
          <w:rFonts w:ascii="Times New Roman" w:hAnsi="Times New Roman"/>
        </w:rPr>
        <w:t xml:space="preserve">program </w:t>
      </w:r>
      <w:r w:rsidRPr="004E7AE6" w:rsidR="0086679E">
        <w:rPr>
          <w:rFonts w:ascii="Times New Roman" w:hAnsi="Times New Roman"/>
        </w:rPr>
        <w:t xml:space="preserve">ledger, and files the statement.  </w:t>
      </w:r>
      <w:r w:rsidR="0075778F">
        <w:rPr>
          <w:rFonts w:ascii="Times New Roman" w:hAnsi="Times New Roman"/>
        </w:rPr>
        <w:t>Therefore</w:t>
      </w:r>
      <w:r>
        <w:rPr>
          <w:rFonts w:ascii="Times New Roman" w:hAnsi="Times New Roman"/>
        </w:rPr>
        <w:t xml:space="preserve"> the total combined cost for this effort is </w:t>
      </w:r>
      <w:r w:rsidR="008B2FCC">
        <w:rPr>
          <w:rFonts w:ascii="Times New Roman" w:hAnsi="Times New Roman"/>
        </w:rPr>
        <w:t>$ 2,534.25</w:t>
      </w:r>
      <w:r>
        <w:rPr>
          <w:rFonts w:ascii="Times New Roman" w:hAnsi="Times New Roman"/>
        </w:rPr>
        <w:t xml:space="preserve">, which can be calculated as shown in the table below: </w:t>
      </w:r>
    </w:p>
    <w:p w:rsidR="008B2FCC" w:rsidP="00F802C4" w14:paraId="650A93D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tbl>
      <w:tblPr>
        <w:tblW w:w="11557" w:type="dxa"/>
        <w:tblInd w:w="-905" w:type="dxa"/>
        <w:tblLayout w:type="fixed"/>
        <w:tblLook w:val="04A0"/>
      </w:tblPr>
      <w:tblGrid>
        <w:gridCol w:w="2548"/>
        <w:gridCol w:w="952"/>
        <w:gridCol w:w="1710"/>
        <w:gridCol w:w="1246"/>
        <w:gridCol w:w="1274"/>
        <w:gridCol w:w="1171"/>
        <w:gridCol w:w="1237"/>
        <w:gridCol w:w="1419"/>
      </w:tblGrid>
      <w:tr w14:paraId="05E1E191" w14:textId="77777777" w:rsidTr="00982972">
        <w:tblPrEx>
          <w:tblW w:w="11557" w:type="dxa"/>
          <w:tblInd w:w="-905" w:type="dxa"/>
          <w:tblLayout w:type="fixed"/>
          <w:tblLook w:val="04A0"/>
        </w:tblPrEx>
        <w:trPr>
          <w:trHeight w:val="1268"/>
        </w:trPr>
        <w:tc>
          <w:tcPr>
            <w:tcW w:w="2548"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8B2FCC" w:rsidRPr="00982972" w:rsidP="008B2FCC" w14:paraId="5B94766B" w14:textId="77777777">
            <w:pPr>
              <w:widowControl/>
              <w:rPr>
                <w:rFonts w:ascii="Times New Roman" w:hAnsi="Times New Roman"/>
                <w:b/>
                <w:bCs/>
                <w:snapToGrid/>
                <w:color w:val="000000"/>
                <w:sz w:val="22"/>
                <w:szCs w:val="22"/>
              </w:rPr>
            </w:pPr>
            <w:r w:rsidRPr="00982972">
              <w:rPr>
                <w:rFonts w:ascii="Times New Roman" w:hAnsi="Times New Roman"/>
                <w:b/>
                <w:bCs/>
                <w:snapToGrid/>
                <w:color w:val="000000"/>
                <w:sz w:val="22"/>
                <w:szCs w:val="22"/>
              </w:rPr>
              <w:t>FTE Grade and Step &amp; CRF Program Related  Task</w:t>
            </w:r>
          </w:p>
        </w:tc>
        <w:tc>
          <w:tcPr>
            <w:tcW w:w="952"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8B2FCC" w:rsidRPr="00982972" w:rsidP="008B2FCC" w14:paraId="698FD1CB" w14:textId="77777777">
            <w:pPr>
              <w:widowControl/>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Hourly Wage</w:t>
            </w:r>
          </w:p>
        </w:tc>
        <w:tc>
          <w:tcPr>
            <w:tcW w:w="171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8B2FCC" w:rsidRPr="00982972" w:rsidP="008B2FCC" w14:paraId="4D703A4D" w14:textId="77777777">
            <w:pPr>
              <w:widowControl/>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 xml:space="preserve">Average Hourly Wage Rate with 31% Compensation   </w:t>
            </w:r>
          </w:p>
        </w:tc>
        <w:tc>
          <w:tcPr>
            <w:tcW w:w="1246"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8B2FCC" w:rsidRPr="00982972" w:rsidP="008B2FCC" w14:paraId="657988D7" w14:textId="77777777">
            <w:pPr>
              <w:widowControl/>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 xml:space="preserve">Total Employees </w:t>
            </w:r>
          </w:p>
        </w:tc>
        <w:tc>
          <w:tcPr>
            <w:tcW w:w="1274"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8B2FCC" w:rsidRPr="00982972" w:rsidP="008B2FCC" w14:paraId="02839D64" w14:textId="77777777">
            <w:pPr>
              <w:widowControl/>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Total Time for Per application  ( Ave. Hours)</w:t>
            </w:r>
          </w:p>
        </w:tc>
        <w:tc>
          <w:tcPr>
            <w:tcW w:w="1171"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8B2FCC" w:rsidRPr="00982972" w:rsidP="008B2FCC" w14:paraId="0E39AD6B" w14:textId="77777777">
            <w:pPr>
              <w:widowControl/>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 xml:space="preserve">Responses per Person </w:t>
            </w:r>
          </w:p>
        </w:tc>
        <w:tc>
          <w:tcPr>
            <w:tcW w:w="1237"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8B2FCC" w:rsidRPr="00982972" w:rsidP="008B2FCC" w14:paraId="55BE9C2B" w14:textId="77777777">
            <w:pPr>
              <w:widowControl/>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 xml:space="preserve">Frequency of Responses </w:t>
            </w:r>
          </w:p>
        </w:tc>
        <w:tc>
          <w:tcPr>
            <w:tcW w:w="1419"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8B2FCC" w:rsidRPr="00982972" w:rsidP="008B2FCC" w14:paraId="0C79F43E" w14:textId="77777777">
            <w:pPr>
              <w:widowControl/>
              <w:jc w:val="center"/>
              <w:rPr>
                <w:rFonts w:ascii="Times New Roman" w:hAnsi="Times New Roman"/>
                <w:b/>
                <w:bCs/>
                <w:snapToGrid/>
                <w:color w:val="000000"/>
                <w:sz w:val="22"/>
                <w:szCs w:val="22"/>
              </w:rPr>
            </w:pPr>
            <w:r w:rsidRPr="00982972">
              <w:rPr>
                <w:rFonts w:ascii="Times New Roman" w:hAnsi="Times New Roman"/>
                <w:b/>
                <w:bCs/>
                <w:snapToGrid/>
                <w:color w:val="000000"/>
                <w:sz w:val="22"/>
                <w:szCs w:val="22"/>
              </w:rPr>
              <w:t xml:space="preserve">Total Federal Government Wages   </w:t>
            </w:r>
          </w:p>
        </w:tc>
      </w:tr>
      <w:tr w14:paraId="7BB67D62" w14:textId="77777777" w:rsidTr="00982972">
        <w:tblPrEx>
          <w:tblW w:w="11557" w:type="dxa"/>
          <w:tblInd w:w="-905" w:type="dxa"/>
          <w:tblLayout w:type="fixed"/>
          <w:tblLook w:val="04A0"/>
        </w:tblPrEx>
        <w:trPr>
          <w:trHeight w:val="507"/>
        </w:trPr>
        <w:tc>
          <w:tcPr>
            <w:tcW w:w="2548" w:type="dxa"/>
            <w:tcBorders>
              <w:top w:val="single" w:sz="12" w:space="0" w:color="auto"/>
              <w:left w:val="single" w:sz="12" w:space="0" w:color="auto"/>
              <w:bottom w:val="single" w:sz="12" w:space="0" w:color="auto"/>
              <w:right w:val="single" w:sz="4" w:space="0" w:color="auto"/>
            </w:tcBorders>
            <w:shd w:val="clear" w:color="auto" w:fill="auto"/>
            <w:hideMark/>
          </w:tcPr>
          <w:p w:rsidR="008B2FCC" w:rsidRPr="00982972" w:rsidP="008B2FCC" w14:paraId="16802D3A" w14:textId="647403C7">
            <w:pPr>
              <w:widowControl/>
              <w:rPr>
                <w:rFonts w:ascii="Times New Roman" w:hAnsi="Times New Roman"/>
                <w:snapToGrid/>
                <w:color w:val="000000"/>
                <w:sz w:val="22"/>
                <w:szCs w:val="22"/>
              </w:rPr>
            </w:pPr>
            <w:r w:rsidRPr="00982972">
              <w:rPr>
                <w:rFonts w:ascii="Times New Roman" w:hAnsi="Times New Roman"/>
                <w:snapToGrid/>
                <w:color w:val="000000"/>
                <w:sz w:val="22"/>
                <w:szCs w:val="22"/>
              </w:rPr>
              <w:t xml:space="preserve">GS 14 (Step 5): Review, </w:t>
            </w:r>
            <w:r w:rsidRPr="00982972" w:rsidR="0075778F">
              <w:rPr>
                <w:rFonts w:ascii="Times New Roman" w:hAnsi="Times New Roman"/>
                <w:snapToGrid/>
                <w:color w:val="000000"/>
                <w:sz w:val="22"/>
                <w:szCs w:val="22"/>
              </w:rPr>
              <w:t>record,</w:t>
            </w:r>
            <w:r w:rsidRPr="00982972">
              <w:rPr>
                <w:rFonts w:ascii="Times New Roman" w:hAnsi="Times New Roman"/>
                <w:snapToGrid/>
                <w:color w:val="000000"/>
                <w:sz w:val="22"/>
                <w:szCs w:val="22"/>
              </w:rPr>
              <w:t xml:space="preserve"> and file annual statement</w:t>
            </w:r>
          </w:p>
        </w:tc>
        <w:tc>
          <w:tcPr>
            <w:tcW w:w="952" w:type="dxa"/>
            <w:tcBorders>
              <w:top w:val="single" w:sz="12" w:space="0" w:color="auto"/>
              <w:left w:val="nil"/>
              <w:bottom w:val="single" w:sz="12" w:space="0" w:color="auto"/>
              <w:right w:val="single" w:sz="4" w:space="0" w:color="auto"/>
            </w:tcBorders>
            <w:shd w:val="clear" w:color="auto" w:fill="auto"/>
            <w:vAlign w:val="center"/>
            <w:hideMark/>
          </w:tcPr>
          <w:p w:rsidR="008B2FCC" w:rsidRPr="00982972" w:rsidP="008B2FCC" w14:paraId="4E53C82F" w14:textId="399ABB8F">
            <w:pPr>
              <w:widowControl/>
              <w:rPr>
                <w:rFonts w:ascii="Times New Roman" w:hAnsi="Times New Roman"/>
                <w:snapToGrid/>
                <w:color w:val="000000"/>
                <w:sz w:val="22"/>
                <w:szCs w:val="22"/>
              </w:rPr>
            </w:pPr>
            <w:r w:rsidRPr="00982972">
              <w:rPr>
                <w:rFonts w:ascii="Times New Roman" w:hAnsi="Times New Roman"/>
                <w:snapToGrid/>
                <w:color w:val="000000"/>
                <w:sz w:val="22"/>
                <w:szCs w:val="22"/>
              </w:rPr>
              <w:t xml:space="preserve"> $ 77.38 </w:t>
            </w:r>
          </w:p>
        </w:tc>
        <w:tc>
          <w:tcPr>
            <w:tcW w:w="1710" w:type="dxa"/>
            <w:tcBorders>
              <w:top w:val="single" w:sz="12" w:space="0" w:color="auto"/>
              <w:left w:val="nil"/>
              <w:bottom w:val="single" w:sz="12" w:space="0" w:color="auto"/>
              <w:right w:val="single" w:sz="4" w:space="0" w:color="auto"/>
            </w:tcBorders>
            <w:shd w:val="clear" w:color="auto" w:fill="auto"/>
            <w:vAlign w:val="center"/>
            <w:hideMark/>
          </w:tcPr>
          <w:p w:rsidR="008B2FCC" w:rsidRPr="00982972" w:rsidP="008B2FCC" w14:paraId="7F33A32A" w14:textId="72605193">
            <w:pPr>
              <w:widowControl/>
              <w:jc w:val="center"/>
              <w:rPr>
                <w:rFonts w:ascii="Times New Roman" w:hAnsi="Times New Roman"/>
                <w:snapToGrid/>
                <w:color w:val="000000"/>
                <w:sz w:val="22"/>
                <w:szCs w:val="22"/>
              </w:rPr>
            </w:pPr>
            <w:r w:rsidRPr="00982972">
              <w:rPr>
                <w:rFonts w:ascii="Times New Roman" w:hAnsi="Times New Roman"/>
                <w:snapToGrid/>
                <w:color w:val="000000"/>
                <w:sz w:val="22"/>
                <w:szCs w:val="22"/>
              </w:rPr>
              <w:t xml:space="preserve"> $ 101.37 </w:t>
            </w:r>
          </w:p>
        </w:tc>
        <w:tc>
          <w:tcPr>
            <w:tcW w:w="1246" w:type="dxa"/>
            <w:tcBorders>
              <w:top w:val="single" w:sz="12" w:space="0" w:color="auto"/>
              <w:left w:val="nil"/>
              <w:bottom w:val="single" w:sz="12" w:space="0" w:color="auto"/>
              <w:right w:val="single" w:sz="4" w:space="0" w:color="auto"/>
            </w:tcBorders>
            <w:shd w:val="clear" w:color="auto" w:fill="auto"/>
            <w:vAlign w:val="center"/>
            <w:hideMark/>
          </w:tcPr>
          <w:p w:rsidR="008B2FCC" w:rsidRPr="00982972" w:rsidP="008B2FCC" w14:paraId="7B077844" w14:textId="77777777">
            <w:pPr>
              <w:widowControl/>
              <w:jc w:val="center"/>
              <w:rPr>
                <w:rFonts w:ascii="Times New Roman" w:hAnsi="Times New Roman"/>
                <w:snapToGrid/>
                <w:color w:val="000000"/>
                <w:sz w:val="22"/>
                <w:szCs w:val="22"/>
              </w:rPr>
            </w:pPr>
            <w:r w:rsidRPr="00982972">
              <w:rPr>
                <w:rFonts w:ascii="Times New Roman" w:hAnsi="Times New Roman"/>
                <w:snapToGrid/>
                <w:color w:val="000000"/>
                <w:sz w:val="22"/>
                <w:szCs w:val="22"/>
              </w:rPr>
              <w:t>1</w:t>
            </w:r>
          </w:p>
        </w:tc>
        <w:tc>
          <w:tcPr>
            <w:tcW w:w="1274" w:type="dxa"/>
            <w:tcBorders>
              <w:top w:val="single" w:sz="12" w:space="0" w:color="auto"/>
              <w:left w:val="nil"/>
              <w:bottom w:val="single" w:sz="12" w:space="0" w:color="auto"/>
              <w:right w:val="single" w:sz="4" w:space="0" w:color="auto"/>
            </w:tcBorders>
            <w:shd w:val="clear" w:color="auto" w:fill="auto"/>
            <w:vAlign w:val="center"/>
            <w:hideMark/>
          </w:tcPr>
          <w:p w:rsidR="008B2FCC" w:rsidRPr="00982972" w:rsidP="008B2FCC" w14:paraId="689DCC33" w14:textId="77777777">
            <w:pPr>
              <w:widowControl/>
              <w:jc w:val="center"/>
              <w:rPr>
                <w:rFonts w:ascii="Times New Roman" w:hAnsi="Times New Roman"/>
                <w:snapToGrid/>
                <w:color w:val="000000"/>
                <w:sz w:val="22"/>
                <w:szCs w:val="22"/>
              </w:rPr>
            </w:pPr>
            <w:r w:rsidRPr="00982972">
              <w:rPr>
                <w:rFonts w:ascii="Times New Roman" w:hAnsi="Times New Roman"/>
                <w:snapToGrid/>
                <w:color w:val="000000"/>
                <w:sz w:val="22"/>
                <w:szCs w:val="22"/>
              </w:rPr>
              <w:t>0.25</w:t>
            </w:r>
          </w:p>
        </w:tc>
        <w:tc>
          <w:tcPr>
            <w:tcW w:w="1171" w:type="dxa"/>
            <w:tcBorders>
              <w:top w:val="single" w:sz="12" w:space="0" w:color="auto"/>
              <w:left w:val="nil"/>
              <w:bottom w:val="single" w:sz="12" w:space="0" w:color="auto"/>
              <w:right w:val="single" w:sz="4" w:space="0" w:color="auto"/>
            </w:tcBorders>
            <w:shd w:val="clear" w:color="auto" w:fill="auto"/>
            <w:vAlign w:val="center"/>
            <w:hideMark/>
          </w:tcPr>
          <w:p w:rsidR="008B2FCC" w:rsidRPr="00982972" w:rsidP="008B2FCC" w14:paraId="08AFB857" w14:textId="77777777">
            <w:pPr>
              <w:widowControl/>
              <w:jc w:val="center"/>
              <w:rPr>
                <w:rFonts w:ascii="Times New Roman" w:hAnsi="Times New Roman"/>
                <w:snapToGrid/>
                <w:color w:val="000000"/>
                <w:sz w:val="22"/>
                <w:szCs w:val="22"/>
              </w:rPr>
            </w:pPr>
            <w:r w:rsidRPr="00982972">
              <w:rPr>
                <w:rFonts w:ascii="Times New Roman" w:hAnsi="Times New Roman"/>
                <w:snapToGrid/>
                <w:color w:val="000000"/>
                <w:sz w:val="22"/>
                <w:szCs w:val="22"/>
              </w:rPr>
              <w:t>50</w:t>
            </w:r>
          </w:p>
        </w:tc>
        <w:tc>
          <w:tcPr>
            <w:tcW w:w="1237" w:type="dxa"/>
            <w:tcBorders>
              <w:top w:val="single" w:sz="12" w:space="0" w:color="auto"/>
              <w:left w:val="nil"/>
              <w:bottom w:val="single" w:sz="12" w:space="0" w:color="auto"/>
              <w:right w:val="single" w:sz="4" w:space="0" w:color="auto"/>
            </w:tcBorders>
            <w:shd w:val="clear" w:color="auto" w:fill="auto"/>
            <w:vAlign w:val="center"/>
            <w:hideMark/>
          </w:tcPr>
          <w:p w:rsidR="008B2FCC" w:rsidRPr="00982972" w:rsidP="008B2FCC" w14:paraId="583FA617" w14:textId="77777777">
            <w:pPr>
              <w:widowControl/>
              <w:jc w:val="center"/>
              <w:rPr>
                <w:rFonts w:ascii="Times New Roman" w:hAnsi="Times New Roman"/>
                <w:snapToGrid/>
                <w:color w:val="000000"/>
                <w:sz w:val="22"/>
                <w:szCs w:val="22"/>
              </w:rPr>
            </w:pPr>
            <w:r w:rsidRPr="00982972">
              <w:rPr>
                <w:rFonts w:ascii="Times New Roman" w:hAnsi="Times New Roman"/>
                <w:snapToGrid/>
                <w:color w:val="000000"/>
                <w:sz w:val="22"/>
                <w:szCs w:val="22"/>
              </w:rPr>
              <w:t>2</w:t>
            </w:r>
          </w:p>
        </w:tc>
        <w:tc>
          <w:tcPr>
            <w:tcW w:w="1419" w:type="dxa"/>
            <w:tcBorders>
              <w:top w:val="single" w:sz="12" w:space="0" w:color="auto"/>
              <w:left w:val="nil"/>
              <w:bottom w:val="single" w:sz="12" w:space="0" w:color="auto"/>
              <w:right w:val="single" w:sz="12" w:space="0" w:color="auto"/>
            </w:tcBorders>
            <w:shd w:val="clear" w:color="auto" w:fill="auto"/>
            <w:vAlign w:val="center"/>
            <w:hideMark/>
          </w:tcPr>
          <w:p w:rsidR="008B2FCC" w:rsidRPr="00982972" w:rsidP="008B2FCC" w14:paraId="1CD39AF2" w14:textId="15E6FF23">
            <w:pPr>
              <w:widowControl/>
              <w:rPr>
                <w:rFonts w:ascii="Times New Roman" w:hAnsi="Times New Roman"/>
                <w:snapToGrid/>
                <w:color w:val="000000"/>
                <w:sz w:val="22"/>
                <w:szCs w:val="22"/>
              </w:rPr>
            </w:pPr>
            <w:bookmarkStart w:id="1" w:name="_Hlk195097527"/>
            <w:r w:rsidRPr="00982972">
              <w:rPr>
                <w:rFonts w:ascii="Times New Roman" w:hAnsi="Times New Roman"/>
                <w:snapToGrid/>
                <w:color w:val="000000"/>
                <w:sz w:val="22"/>
                <w:szCs w:val="22"/>
              </w:rPr>
              <w:t xml:space="preserve"> $  2,534.25 </w:t>
            </w:r>
            <w:bookmarkEnd w:id="1"/>
          </w:p>
        </w:tc>
      </w:tr>
    </w:tbl>
    <w:p w:rsidR="008B2FCC" w:rsidP="00F802C4" w14:paraId="554ED4D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951253" w:rsidP="00982972" w14:paraId="1EFCD51D" w14:textId="5D2E2E31">
      <w:pPr>
        <w:pStyle w:val="ListParagraph"/>
        <w:numPr>
          <w:ilvl w:val="0"/>
          <w:numId w:val="2"/>
        </w:numPr>
        <w:ind w:hanging="360"/>
      </w:pPr>
      <w:r w:rsidRPr="00982972">
        <w:rPr>
          <w:rFonts w:ascii="Times New Roman" w:hAnsi="Times New Roman"/>
          <w:b/>
        </w:rPr>
        <w:t>Expl</w:t>
      </w:r>
      <w:r w:rsidRPr="00982972" w:rsidR="00F802C4">
        <w:rPr>
          <w:rFonts w:ascii="Times New Roman" w:hAnsi="Times New Roman"/>
          <w:b/>
        </w:rPr>
        <w:t xml:space="preserve">anation of </w:t>
      </w:r>
      <w:r w:rsidRPr="00982972">
        <w:rPr>
          <w:rFonts w:ascii="Times New Roman" w:hAnsi="Times New Roman"/>
          <w:b/>
        </w:rPr>
        <w:t xml:space="preserve"> </w:t>
      </w:r>
      <w:r w:rsidRPr="00982972" w:rsidR="00F802C4">
        <w:rPr>
          <w:rFonts w:ascii="Times New Roman" w:hAnsi="Times New Roman"/>
          <w:b/>
        </w:rPr>
        <w:t>P</w:t>
      </w:r>
      <w:r w:rsidRPr="00982972">
        <w:rPr>
          <w:rFonts w:ascii="Times New Roman" w:hAnsi="Times New Roman"/>
          <w:b/>
        </w:rPr>
        <w:t xml:space="preserve">rogram </w:t>
      </w:r>
      <w:r w:rsidRPr="00982972" w:rsidR="00F802C4">
        <w:rPr>
          <w:rFonts w:ascii="Times New Roman" w:hAnsi="Times New Roman"/>
          <w:b/>
        </w:rPr>
        <w:t xml:space="preserve">Changes </w:t>
      </w:r>
      <w:r w:rsidRPr="00982972">
        <w:rPr>
          <w:rFonts w:ascii="Times New Roman" w:hAnsi="Times New Roman"/>
          <w:b/>
        </w:rPr>
        <w:t xml:space="preserve">or </w:t>
      </w:r>
      <w:r w:rsidRPr="00982972" w:rsidR="00F802C4">
        <w:rPr>
          <w:rFonts w:ascii="Times New Roman" w:hAnsi="Times New Roman"/>
          <w:b/>
        </w:rPr>
        <w:t xml:space="preserve">Adjustments </w:t>
      </w:r>
    </w:p>
    <w:p w:rsidR="00F802C4" w:rsidP="005B1313" w14:paraId="72E34BCF" w14:textId="77777777">
      <w:pPr>
        <w:rPr>
          <w:rFonts w:ascii="Times New Roman" w:hAnsi="Times New Roman"/>
        </w:rPr>
      </w:pPr>
    </w:p>
    <w:p w:rsidR="00953599" w:rsidP="00F802C4" w14:paraId="7DA8B6F6" w14:textId="145E0C1D">
      <w:pPr>
        <w:ind w:firstLine="720"/>
        <w:rPr>
          <w:rFonts w:ascii="Times New Roman" w:hAnsi="Times New Roman"/>
        </w:rPr>
      </w:pPr>
      <w:r>
        <w:rPr>
          <w:rFonts w:ascii="Times New Roman" w:hAnsi="Times New Roman"/>
        </w:rPr>
        <w:t xml:space="preserve">Since the last renewal the public burden </w:t>
      </w:r>
      <w:r w:rsidR="0075778F">
        <w:rPr>
          <w:rFonts w:ascii="Times New Roman" w:hAnsi="Times New Roman"/>
        </w:rPr>
        <w:t>was updated</w:t>
      </w:r>
      <w:r>
        <w:rPr>
          <w:rFonts w:ascii="Times New Roman" w:hAnsi="Times New Roman"/>
        </w:rPr>
        <w:t xml:space="preserve"> to include the mailing costs for </w:t>
      </w:r>
    </w:p>
    <w:p w:rsidR="000B0548" w:rsidP="00982972" w14:paraId="648882E3" w14:textId="77037CEA">
      <w:pPr>
        <w:ind w:firstLine="720"/>
        <w:rPr>
          <w:rFonts w:ascii="Times New Roman" w:hAnsi="Times New Roman"/>
        </w:rPr>
      </w:pPr>
      <w:r>
        <w:rPr>
          <w:rFonts w:ascii="Times New Roman" w:hAnsi="Times New Roman"/>
        </w:rPr>
        <w:t xml:space="preserve">responding to this collection. </w:t>
      </w:r>
    </w:p>
    <w:p w:rsidR="00F802C4" w:rsidP="005B1313" w14:paraId="61B99C68" w14:textId="0008C719">
      <w:pPr>
        <w:rPr>
          <w:rFonts w:ascii="Times New Roman" w:hAnsi="Times New Roman"/>
        </w:rPr>
      </w:pPr>
      <w:r>
        <w:rPr>
          <w:rFonts w:ascii="Times New Roman" w:hAnsi="Times New Roman"/>
        </w:rPr>
        <w:t xml:space="preserve"> </w:t>
      </w:r>
    </w:p>
    <w:p w:rsidR="00F802C4" w:rsidRPr="00982972" w:rsidP="00982972" w14:paraId="2129B07F" w14:textId="5BCE4902">
      <w:pPr>
        <w:pStyle w:val="ListParagraph"/>
        <w:numPr>
          <w:ilvl w:val="0"/>
          <w:numId w:val="2"/>
        </w:numPr>
        <w:ind w:hanging="360"/>
        <w:rPr>
          <w:rFonts w:ascii="Times New Roman" w:hAnsi="Times New Roman"/>
          <w:b/>
        </w:rPr>
      </w:pPr>
      <w:r w:rsidRPr="00982972">
        <w:rPr>
          <w:rFonts w:ascii="Times New Roman" w:hAnsi="Times New Roman"/>
          <w:b/>
        </w:rPr>
        <w:t>Publication of Data Collection R</w:t>
      </w:r>
      <w:r w:rsidRPr="00982972" w:rsidR="0086679E">
        <w:rPr>
          <w:rFonts w:ascii="Times New Roman" w:hAnsi="Times New Roman"/>
          <w:b/>
        </w:rPr>
        <w:t xml:space="preserve">esults </w:t>
      </w:r>
    </w:p>
    <w:p w:rsidR="0086679E" w14:paraId="10E72AE6" w14:textId="77777777">
      <w:pPr>
        <w:ind w:left="720"/>
        <w:rPr>
          <w:rFonts w:ascii="Times New Roman" w:hAnsi="Times New Roman"/>
        </w:rPr>
      </w:pPr>
    </w:p>
    <w:p w:rsidR="0086679E" w:rsidP="00982972" w14:paraId="0F656577" w14:textId="33CF02C8">
      <w:pPr>
        <w:ind w:firstLine="720"/>
        <w:rPr>
          <w:rFonts w:ascii="Times New Roman" w:hAnsi="Times New Roman"/>
        </w:rPr>
      </w:pPr>
      <w:r>
        <w:rPr>
          <w:rFonts w:ascii="Times New Roman" w:hAnsi="Times New Roman"/>
        </w:rPr>
        <w:t xml:space="preserve">The collected information </w:t>
      </w:r>
      <w:r w:rsidR="008B2FCC">
        <w:rPr>
          <w:rFonts w:ascii="Times New Roman" w:hAnsi="Times New Roman"/>
        </w:rPr>
        <w:t xml:space="preserve">will not be </w:t>
      </w:r>
      <w:r>
        <w:rPr>
          <w:rFonts w:ascii="Times New Roman" w:hAnsi="Times New Roman"/>
        </w:rPr>
        <w:t xml:space="preserve"> published.</w:t>
      </w:r>
    </w:p>
    <w:p w:rsidR="0086679E" w14:paraId="3FF24AA4" w14:textId="77777777">
      <w:pPr>
        <w:rPr>
          <w:rFonts w:ascii="Times New Roman" w:hAnsi="Times New Roman"/>
        </w:rPr>
      </w:pPr>
    </w:p>
    <w:p w:rsidR="0086679E" w:rsidRPr="00982972" w:rsidP="00982972" w14:paraId="4D264933" w14:textId="4E003469">
      <w:pPr>
        <w:pStyle w:val="ListParagraph"/>
        <w:numPr>
          <w:ilvl w:val="0"/>
          <w:numId w:val="2"/>
        </w:numPr>
        <w:tabs>
          <w:tab w:val="left" w:pos="540"/>
          <w:tab w:val="left" w:pos="1440"/>
        </w:tabs>
        <w:ind w:hanging="360"/>
        <w:rPr>
          <w:rFonts w:ascii="Times New Roman" w:hAnsi="Times New Roman"/>
        </w:rPr>
      </w:pPr>
      <w:r w:rsidRPr="00982972">
        <w:rPr>
          <w:rFonts w:ascii="Times New Roman" w:hAnsi="Times New Roman"/>
          <w:b/>
        </w:rPr>
        <w:t>Di</w:t>
      </w:r>
      <w:r w:rsidRPr="00982972">
        <w:rPr>
          <w:rFonts w:ascii="Times New Roman" w:hAnsi="Times New Roman"/>
          <w:b/>
        </w:rPr>
        <w:t xml:space="preserve">splay </w:t>
      </w:r>
      <w:r w:rsidRPr="00982972">
        <w:rPr>
          <w:rFonts w:ascii="Times New Roman" w:hAnsi="Times New Roman"/>
          <w:b/>
        </w:rPr>
        <w:t xml:space="preserve">of </w:t>
      </w:r>
      <w:r w:rsidRPr="00982972">
        <w:rPr>
          <w:rFonts w:ascii="Times New Roman" w:hAnsi="Times New Roman"/>
          <w:b/>
        </w:rPr>
        <w:t xml:space="preserve">the </w:t>
      </w:r>
      <w:r w:rsidRPr="00982972">
        <w:rPr>
          <w:rFonts w:ascii="Times New Roman" w:hAnsi="Times New Roman"/>
          <w:b/>
        </w:rPr>
        <w:t xml:space="preserve">OMB Expiration Date </w:t>
      </w:r>
    </w:p>
    <w:p w:rsidR="0086679E" w14:paraId="50D2F84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C7EF2" w:rsidRPr="00E13D04" w:rsidP="00982972" w14:paraId="488B91F6" w14:textId="5EABD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MARAD is not seeking approval to avoid displaying the OMB expiration date.</w:t>
      </w:r>
    </w:p>
    <w:p w:rsidR="0086679E" w14:paraId="2D6B5FD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802C4" w:rsidP="00982972" w14:paraId="13527AD1" w14:textId="1C794660">
      <w:pPr>
        <w:pStyle w:val="ListParagraph"/>
        <w:numPr>
          <w:ilvl w:val="0"/>
          <w:numId w:val="2"/>
        </w:numPr>
        <w:ind w:hanging="360"/>
      </w:pPr>
      <w:r w:rsidRPr="00982972">
        <w:rPr>
          <w:rFonts w:ascii="Times New Roman" w:hAnsi="Times New Roman"/>
          <w:b/>
        </w:rPr>
        <w:t>E</w:t>
      </w:r>
      <w:r w:rsidRPr="00982972" w:rsidR="0086679E">
        <w:rPr>
          <w:rFonts w:ascii="Times New Roman" w:hAnsi="Times New Roman"/>
          <w:b/>
        </w:rPr>
        <w:t xml:space="preserve">xception to the </w:t>
      </w:r>
      <w:r w:rsidRPr="00982972">
        <w:rPr>
          <w:rFonts w:ascii="Times New Roman" w:hAnsi="Times New Roman"/>
          <w:b/>
        </w:rPr>
        <w:t xml:space="preserve">Certification Statement </w:t>
      </w:r>
    </w:p>
    <w:p w:rsidR="0086679E" w:rsidP="00982972" w14:paraId="18B85DD5" w14:textId="77777777">
      <w:p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14:paraId="73F46CDF" w14:textId="4245FE65">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Pr>
          <w:rFonts w:ascii="Times New Roman" w:hAnsi="Times New Roman"/>
        </w:rPr>
        <w:t>There are no exceptions to the certifica</w:t>
      </w:r>
      <w:r>
        <w:rPr>
          <w:rFonts w:ascii="Times New Roman" w:hAnsi="Times New Roman"/>
        </w:rPr>
        <w:t xml:space="preserve">tion </w:t>
      </w:r>
      <w:r>
        <w:rPr>
          <w:rFonts w:ascii="Times New Roman" w:hAnsi="Times New Roman"/>
        </w:rPr>
        <w:t>statement.</w:t>
      </w:r>
    </w:p>
    <w:sectPr w:rsidSect="00F00B70">
      <w:headerReference w:type="default" r:id="rId5"/>
      <w:footerReference w:type="even" r:id="rId6"/>
      <w:footerReference w:type="default" r:id="rId7"/>
      <w:endnotePr>
        <w:numFmt w:val="decimal"/>
      </w:endnotePr>
      <w:type w:val="continuous"/>
      <w:pgSz w:w="12240" w:h="15840" w:code="1"/>
      <w:pgMar w:top="1296" w:right="1440" w:bottom="1440" w:left="1440" w:header="1440" w:footer="864"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B70" w14:paraId="1DD8F9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0B70" w14:paraId="27D782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B70" w14:paraId="030D4E95" w14:textId="77777777">
    <w:pPr>
      <w:spacing w:line="240" w:lineRule="exact"/>
    </w:pPr>
  </w:p>
  <w:p w:rsidR="00F00B70" w:rsidP="003B5E19" w14:paraId="308C6267" w14:textId="77777777">
    <w:pPr>
      <w:framePr w:wrap="around" w:vAnchor="text" w:hAnchor="page" w:x="6046" w:y="3"/>
      <w:jc w:val="center"/>
    </w:pPr>
    <w:r>
      <w:fldChar w:fldCharType="begin"/>
    </w:r>
    <w:r>
      <w:instrText xml:space="preserve">PAGE </w:instrText>
    </w:r>
    <w:r>
      <w:fldChar w:fldCharType="separate"/>
    </w:r>
    <w:r w:rsidR="000E3A8E">
      <w:rPr>
        <w:noProof/>
      </w:rPr>
      <w:t>7</w:t>
    </w:r>
    <w:r>
      <w:rPr>
        <w:noProof/>
      </w:rPr>
      <w:fldChar w:fldCharType="end"/>
    </w:r>
  </w:p>
  <w:p w:rsidR="00F00B70" w14:paraId="14A7CCB5"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79E8" w14:paraId="7A46360F" w14:textId="77777777">
      <w:r>
        <w:separator/>
      </w:r>
    </w:p>
  </w:footnote>
  <w:footnote w:type="continuationSeparator" w:id="1">
    <w:p w:rsidR="001D79E8" w14:paraId="5594CF91" w14:textId="77777777">
      <w:r>
        <w:continuationSeparator/>
      </w:r>
    </w:p>
  </w:footnote>
  <w:footnote w:id="2">
    <w:p w:rsidR="00390121" w:rsidRPr="006B2334" w:rsidP="00390121" w14:paraId="327E7E68" w14:textId="376D2DE3">
      <w:pPr>
        <w:pStyle w:val="FootnoteText"/>
        <w:rPr>
          <w:rFonts w:ascii="Times New Roman" w:hAnsi="Times New Roman"/>
        </w:rPr>
      </w:pPr>
      <w:r w:rsidRPr="006B2334">
        <w:rPr>
          <w:rStyle w:val="FootnoteReference"/>
          <w:rFonts w:ascii="Times New Roman" w:hAnsi="Times New Roman"/>
        </w:rPr>
        <w:footnoteRef/>
      </w:r>
      <w:r w:rsidRPr="006B2334">
        <w:rPr>
          <w:rFonts w:ascii="Times New Roman" w:hAnsi="Times New Roman"/>
        </w:rPr>
        <w:t xml:space="preserve"> The hourly wage estimate is taken from current BLS tables: </w:t>
      </w:r>
      <w:hyperlink r:id="rId1" w:anchor="/industry/000000" w:history="1">
        <w:r w:rsidRPr="00DB0E93" w:rsidR="001F124C">
          <w:rPr>
            <w:rStyle w:val="Hyperlink"/>
            <w:rFonts w:ascii="Times New Roman" w:hAnsi="Times New Roman"/>
          </w:rPr>
          <w:t>https://data.bls.gov/oes/#/industry/000000</w:t>
        </w:r>
      </w:hyperlink>
      <w:r w:rsidR="001F124C">
        <w:rPr>
          <w:rFonts w:ascii="Times New Roman" w:hAnsi="Times New Roman"/>
        </w:rPr>
        <w:t xml:space="preserve"> </w:t>
      </w:r>
    </w:p>
  </w:footnote>
  <w:footnote w:id="3">
    <w:p w:rsidR="00C95EDB" w:rsidP="00C95EDB" w14:paraId="7E2DA9BB" w14:textId="77777777">
      <w:pPr>
        <w:pStyle w:val="FootnoteText"/>
      </w:pPr>
      <w:r w:rsidRPr="006B2334">
        <w:rPr>
          <w:rStyle w:val="FootnoteReference"/>
          <w:rFonts w:ascii="Times New Roman" w:hAnsi="Times New Roman"/>
        </w:rPr>
        <w:footnoteRef/>
      </w:r>
      <w:r w:rsidRPr="006B2334">
        <w:rPr>
          <w:rFonts w:ascii="Times New Roman" w:hAnsi="Times New Roman"/>
        </w:rPr>
        <w:t xml:space="preserve"> </w:t>
      </w:r>
      <w:bookmarkStart w:id="0" w:name="_Hlk164072686"/>
      <w:r w:rsidRPr="006B2334">
        <w:rPr>
          <w:rFonts w:ascii="Times New Roman" w:hAnsi="Times New Roman"/>
        </w:rPr>
        <w:t>Per BLS Employee Compensation Memo, the total compensation rate for the private sector is 29%,</w:t>
      </w:r>
      <w:r>
        <w:rPr>
          <w:rFonts w:ascii="Times New Roman" w:hAnsi="Times New Roman"/>
        </w:rPr>
        <w:t xml:space="preserve"> </w:t>
      </w:r>
      <w:r w:rsidRPr="006B2334">
        <w:rPr>
          <w:rFonts w:ascii="Times New Roman" w:hAnsi="Times New Roman"/>
        </w:rPr>
        <w:t>:</w:t>
      </w:r>
      <w:hyperlink r:id="rId2" w:history="1">
        <w:r w:rsidRPr="006B2334">
          <w:rPr>
            <w:rStyle w:val="Hyperlink"/>
            <w:rFonts w:ascii="Times New Roman" w:hAnsi="Times New Roman"/>
          </w:rPr>
          <w:t>https://www.bls.gov/news.release/pdf/ecec.pdf</w:t>
        </w:r>
      </w:hyperlink>
      <w:bookmarkEnd w:id="0"/>
    </w:p>
  </w:footnote>
  <w:footnote w:id="4">
    <w:p w:rsidR="003A51C7" w:rsidRPr="00DE18AC" w:rsidP="003A51C7" w14:paraId="0B00762B" w14:textId="2637017F">
      <w:pPr>
        <w:pStyle w:val="FootnoteText"/>
        <w:rPr>
          <w:rFonts w:ascii="Times New Roman" w:hAnsi="Times New Roman"/>
        </w:rPr>
      </w:pPr>
      <w:r w:rsidRPr="00DE18AC">
        <w:rPr>
          <w:rStyle w:val="FootnoteReference"/>
          <w:rFonts w:ascii="Times New Roman" w:hAnsi="Times New Roman"/>
        </w:rPr>
        <w:footnoteRef/>
      </w:r>
      <w:r w:rsidRPr="00DE18AC">
        <w:rPr>
          <w:rFonts w:ascii="Times New Roman" w:hAnsi="Times New Roman"/>
        </w:rPr>
        <w:t xml:space="preserve"> Black and White Copying costs taken from FedEx Copying services: </w:t>
      </w:r>
      <w:hyperlink r:id="rId3" w:history="1">
        <w:r w:rsidRPr="00DE18AC">
          <w:rPr>
            <w:rStyle w:val="Hyperlink"/>
            <w:rFonts w:ascii="Times New Roman" w:hAnsi="Times New Roman"/>
          </w:rPr>
          <w:t>https://www.office.fedex.com/default/copies.html?s_kwcid=AL!20832!10!78477847004553!78478051016025&amp;gclid=e4adcfe3587519bb48cda8098396c16c&amp;gclsrc=3p.ds&amp;&amp;CMP=KNC-8000047-68-9-950-1110000-US-US-EN-123855:123898:2201401&amp;ds_k=fedex+office&amp;msclkid=e4adcfe3587519bb48cda8098396c16c</w:t>
        </w:r>
      </w:hyperlink>
    </w:p>
  </w:footnote>
  <w:footnote w:id="5">
    <w:p w:rsidR="003A51C7" w:rsidRPr="00DE18AC" w:rsidP="003A51C7" w14:paraId="18BAA56D" w14:textId="77777777">
      <w:pPr>
        <w:pStyle w:val="FootnoteText"/>
        <w:rPr>
          <w:rFonts w:ascii="Times New Roman" w:hAnsi="Times New Roman"/>
          <w:b/>
          <w:bCs/>
        </w:rPr>
      </w:pPr>
      <w:r w:rsidRPr="00DE18AC">
        <w:rPr>
          <w:rStyle w:val="FootnoteReference"/>
          <w:rFonts w:ascii="Times New Roman" w:hAnsi="Times New Roman"/>
        </w:rPr>
        <w:footnoteRef/>
      </w:r>
      <w:r w:rsidRPr="00DE18AC">
        <w:rPr>
          <w:rFonts w:ascii="Times New Roman" w:hAnsi="Times New Roman"/>
        </w:rPr>
        <w:t xml:space="preserve"> Cost of Individual Quality Park Clasp &amp; Moistenable Glue Kraft Catalog Envelopes, 10" x 13”, taken from Staples: </w:t>
      </w:r>
      <w:hyperlink r:id="rId4" w:history="1">
        <w:r w:rsidRPr="00DE18AC">
          <w:rPr>
            <w:rStyle w:val="Hyperlink"/>
            <w:rFonts w:ascii="Times New Roman" w:hAnsi="Times New Roman"/>
          </w:rPr>
          <w:t>Quality Park Clasp &amp; Moistenable Glue Kraft Catalog Envelopes, 10" x 13", Kraft, 100/Box (QUA37797) | Staples</w:t>
        </w:r>
      </w:hyperlink>
    </w:p>
  </w:footnote>
  <w:footnote w:id="6">
    <w:p w:rsidR="003A51C7" w:rsidRPr="00982972" w:rsidP="003A51C7" w14:paraId="43E43AD5" w14:textId="0F46AB33">
      <w:pPr>
        <w:pStyle w:val="FootnoteText"/>
        <w:rPr>
          <w:rFonts w:ascii="Times New Roman" w:hAnsi="Times New Roman"/>
        </w:rPr>
      </w:pPr>
      <w:r w:rsidRPr="00DE18AC">
        <w:rPr>
          <w:rStyle w:val="FootnoteReference"/>
          <w:rFonts w:ascii="Times New Roman" w:hAnsi="Times New Roman"/>
        </w:rPr>
        <w:footnoteRef/>
      </w:r>
      <w:r w:rsidRPr="00DE18AC">
        <w:rPr>
          <w:rFonts w:ascii="Times New Roman" w:hAnsi="Times New Roman"/>
        </w:rPr>
        <w:t xml:space="preserve"> Regular Postage cost for each Forever stamp is taken from the United States Postal Service: : </w:t>
      </w:r>
      <w:hyperlink r:id="rId5" w:history="1">
        <w:r w:rsidRPr="00DE18AC">
          <w:rPr>
            <w:rStyle w:val="Hyperlink"/>
            <w:rFonts w:ascii="Times New Roman" w:hAnsi="Times New Roman"/>
          </w:rPr>
          <w:t>https://store.usps.com/store/product/us-flags-2024-stamps-S_684904</w:t>
        </w:r>
      </w:hyperlink>
    </w:p>
  </w:footnote>
  <w:footnote w:id="7">
    <w:p w:rsidR="004D05DF" w:rsidP="004D05DF" w14:paraId="09A32F9F" w14:textId="77777777">
      <w:pPr>
        <w:pStyle w:val="FootnoteText"/>
      </w:pPr>
      <w:r w:rsidRPr="00982972">
        <w:rPr>
          <w:rStyle w:val="FootnoteReference"/>
          <w:rFonts w:ascii="Times New Roman" w:hAnsi="Times New Roman"/>
        </w:rPr>
        <w:footnoteRef/>
      </w:r>
      <w:r w:rsidRPr="00982972">
        <w:rPr>
          <w:rFonts w:ascii="Times New Roman" w:hAnsi="Times New Roman"/>
        </w:rPr>
        <w:t xml:space="preserve"> The hourly Federal Government wage is taken from OPM 2024 wage tables: </w:t>
      </w:r>
      <w:hyperlink r:id="rId6" w:history="1">
        <w:r w:rsidRPr="00982972">
          <w:rPr>
            <w:rStyle w:val="Hyperlink"/>
            <w:rFonts w:ascii="Times New Roman" w:hAnsi="Times New Roman"/>
          </w:rPr>
          <w:t>https://www.opm.gov/policy-data-oversight/pay-leave/salaries-wages/salary-tables/25Tables/html/DCB_h.aspx</w:t>
        </w:r>
      </w:hyperlink>
      <w:r w:rsidRPr="00982972">
        <w:rPr>
          <w:rFonts w:ascii="Times New Roman" w:hAnsi="Times New Roman"/>
        </w:rPr>
        <w:t xml:space="preserve"> </w:t>
      </w:r>
    </w:p>
  </w:footnote>
  <w:footnote w:id="8">
    <w:p w:rsidR="004D05DF" w:rsidRPr="00982972" w:rsidP="004D05DF" w14:paraId="007FCB4E" w14:textId="77777777">
      <w:pPr>
        <w:pStyle w:val="FootnoteText"/>
        <w:rPr>
          <w:rFonts w:ascii="Times New Roman" w:hAnsi="Times New Roman"/>
        </w:rPr>
      </w:pPr>
      <w:r w:rsidRPr="00982972">
        <w:rPr>
          <w:rStyle w:val="FootnoteReference"/>
          <w:rFonts w:ascii="Times New Roman" w:hAnsi="Times New Roman"/>
        </w:rPr>
        <w:footnoteRef/>
      </w:r>
      <w:r w:rsidRPr="00982972">
        <w:rPr>
          <w:rFonts w:ascii="Times New Roman" w:hAnsi="Times New Roman"/>
        </w:rPr>
        <w:t xml:space="preserve"> Per BLS Employee Compensation Memo, the total compensation rate for the Federal Government  is 31%,  :</w:t>
      </w:r>
      <w:hyperlink r:id="rId2" w:history="1">
        <w:r w:rsidRPr="00982972">
          <w:rPr>
            <w:rStyle w:val="Hyperlink"/>
            <w:rFonts w:ascii="Times New Roman" w:hAnsi="Times New Roman"/>
          </w:rPr>
          <w:t>https://www.bls.gov/news.release/pdf/ecec.pdf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B70" w14:paraId="5066C2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rsidR="00F00B70" w14:paraId="11432572" w14:textId="77777777">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C57DB"/>
    <w:multiLevelType w:val="hybridMultilevel"/>
    <w:tmpl w:val="963E7254"/>
    <w:lvl w:ilvl="0">
      <w:start w:val="50"/>
      <w:numFmt w:val="bullet"/>
      <w:lvlText w:val=""/>
      <w:lvlJc w:val="left"/>
      <w:pPr>
        <w:ind w:left="1152" w:hanging="432"/>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523A32"/>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2">
    <w:nsid w:val="09094BAF"/>
    <w:multiLevelType w:val="hybridMultilevel"/>
    <w:tmpl w:val="013CAA4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A13C39"/>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4">
    <w:nsid w:val="10B525F6"/>
    <w:multiLevelType w:val="singleLevel"/>
    <w:tmpl w:val="A1827454"/>
    <w:lvl w:ilvl="0">
      <w:start w:val="0"/>
      <w:numFmt w:val="bullet"/>
      <w:lvlText w:val=""/>
      <w:lvlJc w:val="left"/>
      <w:pPr>
        <w:tabs>
          <w:tab w:val="num" w:pos="1155"/>
        </w:tabs>
        <w:ind w:left="1155" w:hanging="435"/>
      </w:pPr>
      <w:rPr>
        <w:rFonts w:ascii="Symbol" w:hAnsi="Symbol" w:hint="default"/>
      </w:rPr>
    </w:lvl>
  </w:abstractNum>
  <w:abstractNum w:abstractNumId="5">
    <w:nsid w:val="129641C9"/>
    <w:multiLevelType w:val="hybridMultilevel"/>
    <w:tmpl w:val="D638A60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53C60A5"/>
    <w:multiLevelType w:val="singleLevel"/>
    <w:tmpl w:val="0409000F"/>
    <w:lvl w:ilvl="0">
      <w:start w:val="4"/>
      <w:numFmt w:val="decimal"/>
      <w:lvlText w:val="%1."/>
      <w:lvlJc w:val="left"/>
      <w:pPr>
        <w:tabs>
          <w:tab w:val="num" w:pos="360"/>
        </w:tabs>
        <w:ind w:left="360" w:hanging="360"/>
      </w:pPr>
      <w:rPr>
        <w:rFonts w:hint="default"/>
      </w:rPr>
    </w:lvl>
  </w:abstractNum>
  <w:abstractNum w:abstractNumId="7">
    <w:nsid w:val="1B833641"/>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8">
    <w:nsid w:val="293460A2"/>
    <w:multiLevelType w:val="singleLevel"/>
    <w:tmpl w:val="0409000F"/>
    <w:lvl w:ilvl="0">
      <w:start w:val="3"/>
      <w:numFmt w:val="decimal"/>
      <w:lvlText w:val="%1."/>
      <w:lvlJc w:val="left"/>
      <w:pPr>
        <w:tabs>
          <w:tab w:val="num" w:pos="360"/>
        </w:tabs>
        <w:ind w:left="360" w:hanging="360"/>
      </w:pPr>
      <w:rPr>
        <w:rFonts w:hint="default"/>
      </w:rPr>
    </w:lvl>
  </w:abstractNum>
  <w:abstractNum w:abstractNumId="9">
    <w:nsid w:val="318C09EC"/>
    <w:multiLevelType w:val="singleLevel"/>
    <w:tmpl w:val="25487D86"/>
    <w:lvl w:ilvl="0">
      <w:start w:val="5"/>
      <w:numFmt w:val="decimal"/>
      <w:lvlText w:val="%1."/>
      <w:lvlJc w:val="left"/>
      <w:pPr>
        <w:tabs>
          <w:tab w:val="num" w:pos="720"/>
        </w:tabs>
        <w:ind w:left="720" w:hanging="720"/>
      </w:pPr>
      <w:rPr>
        <w:rFonts w:ascii="Times New Roman" w:hAnsi="Times New Roman" w:cs="Times New Roman" w:hint="default"/>
        <w:b/>
        <w:bCs w:val="0"/>
      </w:rPr>
    </w:lvl>
  </w:abstractNum>
  <w:abstractNum w:abstractNumId="10">
    <w:nsid w:val="338C454E"/>
    <w:multiLevelType w:val="singleLevel"/>
    <w:tmpl w:val="5E8ECF88"/>
    <w:lvl w:ilvl="0">
      <w:start w:val="9"/>
      <w:numFmt w:val="decimal"/>
      <w:lvlText w:val="%1."/>
      <w:lvlJc w:val="left"/>
      <w:pPr>
        <w:tabs>
          <w:tab w:val="num" w:pos="720"/>
        </w:tabs>
        <w:ind w:left="720" w:hanging="720"/>
      </w:pPr>
      <w:rPr>
        <w:rFonts w:hint="default"/>
        <w:b/>
        <w:bCs/>
      </w:rPr>
    </w:lvl>
  </w:abstractNum>
  <w:abstractNum w:abstractNumId="11">
    <w:nsid w:val="43181FA1"/>
    <w:multiLevelType w:val="hybridMultilevel"/>
    <w:tmpl w:val="00749902"/>
    <w:lvl w:ilvl="0">
      <w:start w:val="1"/>
      <w:numFmt w:val="upperLetter"/>
      <w:lvlText w:val="%1."/>
      <w:lvlJc w:val="left"/>
      <w:pPr>
        <w:ind w:left="360" w:hanging="360"/>
      </w:pPr>
    </w:lvl>
    <w:lvl w:ilvl="1">
      <w:start w:val="1"/>
      <w:numFmt w:val="decimal"/>
      <w:lvlText w:val="%2."/>
      <w:lvlJc w:val="left"/>
      <w:pPr>
        <w:ind w:left="1260" w:hanging="54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9C01225"/>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3">
    <w:nsid w:val="52DC0809"/>
    <w:multiLevelType w:val="singleLevel"/>
    <w:tmpl w:val="FF0AE16A"/>
    <w:lvl w:ilvl="0">
      <w:start w:val="1"/>
      <w:numFmt w:val="decimal"/>
      <w:lvlText w:val="%1."/>
      <w:lvlJc w:val="left"/>
      <w:pPr>
        <w:tabs>
          <w:tab w:val="num" w:pos="720"/>
        </w:tabs>
        <w:ind w:left="720" w:hanging="720"/>
      </w:pPr>
      <w:rPr>
        <w:rFonts w:hint="default"/>
      </w:rPr>
    </w:lvl>
  </w:abstractNum>
  <w:abstractNum w:abstractNumId="14">
    <w:nsid w:val="57B169E3"/>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5">
    <w:nsid w:val="583543CD"/>
    <w:multiLevelType w:val="hybridMultilevel"/>
    <w:tmpl w:val="7A64EF88"/>
    <w:lvl w:ilvl="0">
      <w:start w:val="1"/>
      <w:numFmt w:val="decimal"/>
      <w:lvlText w:val="%1."/>
      <w:lvlJc w:val="left"/>
      <w:pPr>
        <w:ind w:left="720" w:hanging="360"/>
      </w:pPr>
      <w:rPr>
        <w:rFonts w:ascii="Times New Roman" w:hAnsi="Times New Roman" w:cs="Times New Roman" w:hint="default"/>
        <w:b/>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0410D9"/>
    <w:multiLevelType w:val="hybridMultilevel"/>
    <w:tmpl w:val="A03A7E58"/>
    <w:lvl w:ilvl="0">
      <w:start w:val="1"/>
      <w:numFmt w:val="lowerLetter"/>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E257950"/>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8">
    <w:nsid w:val="622D2950"/>
    <w:multiLevelType w:val="singleLevel"/>
    <w:tmpl w:val="5E42870E"/>
    <w:lvl w:ilvl="0">
      <w:start w:val="16"/>
      <w:numFmt w:val="decimal"/>
      <w:lvlText w:val="%1."/>
      <w:lvlJc w:val="left"/>
      <w:pPr>
        <w:tabs>
          <w:tab w:val="num" w:pos="1440"/>
        </w:tabs>
        <w:ind w:left="1440" w:hanging="720"/>
      </w:pPr>
      <w:rPr>
        <w:rFonts w:hint="default"/>
      </w:rPr>
    </w:lvl>
  </w:abstractNum>
  <w:abstractNum w:abstractNumId="19">
    <w:nsid w:val="77A122D0"/>
    <w:multiLevelType w:val="singleLevel"/>
    <w:tmpl w:val="0409000F"/>
    <w:lvl w:ilvl="0">
      <w:start w:val="2"/>
      <w:numFmt w:val="decimal"/>
      <w:lvlText w:val="%1."/>
      <w:lvlJc w:val="left"/>
      <w:pPr>
        <w:tabs>
          <w:tab w:val="num" w:pos="360"/>
        </w:tabs>
        <w:ind w:left="360" w:hanging="360"/>
      </w:pPr>
      <w:rPr>
        <w:rFonts w:hint="default"/>
      </w:rPr>
    </w:lvl>
  </w:abstractNum>
  <w:abstractNum w:abstractNumId="20">
    <w:nsid w:val="7D8E09BE"/>
    <w:multiLevelType w:val="singleLevel"/>
    <w:tmpl w:val="5E42870E"/>
    <w:lvl w:ilvl="0">
      <w:start w:val="16"/>
      <w:numFmt w:val="decimal"/>
      <w:lvlText w:val="%1."/>
      <w:lvlJc w:val="left"/>
      <w:pPr>
        <w:tabs>
          <w:tab w:val="num" w:pos="1440"/>
        </w:tabs>
        <w:ind w:left="1440" w:hanging="720"/>
      </w:pPr>
      <w:rPr>
        <w:rFonts w:hint="default"/>
      </w:rPr>
    </w:lvl>
  </w:abstractNum>
  <w:abstractNum w:abstractNumId="21">
    <w:nsid w:val="7DE512E2"/>
    <w:multiLevelType w:val="singleLevel"/>
    <w:tmpl w:val="21C00576"/>
    <w:lvl w:ilvl="0">
      <w:start w:val="1"/>
      <w:numFmt w:val="lowerLetter"/>
      <w:lvlText w:val="(%1)"/>
      <w:lvlJc w:val="left"/>
      <w:pPr>
        <w:tabs>
          <w:tab w:val="num" w:pos="1320"/>
        </w:tabs>
        <w:ind w:left="1320" w:hanging="600"/>
      </w:pPr>
      <w:rPr>
        <w:rFonts w:hint="default"/>
        <w:b/>
      </w:rPr>
    </w:lvl>
  </w:abstractNum>
  <w:num w:numId="1" w16cid:durableId="503665466">
    <w:abstractNumId w:val="13"/>
  </w:num>
  <w:num w:numId="2" w16cid:durableId="425542732">
    <w:abstractNumId w:val="9"/>
  </w:num>
  <w:num w:numId="3" w16cid:durableId="2016223874">
    <w:abstractNumId w:val="10"/>
  </w:num>
  <w:num w:numId="4" w16cid:durableId="208954814">
    <w:abstractNumId w:val="18"/>
  </w:num>
  <w:num w:numId="5" w16cid:durableId="1338583498">
    <w:abstractNumId w:val="12"/>
  </w:num>
  <w:num w:numId="6" w16cid:durableId="2001155986">
    <w:abstractNumId w:val="7"/>
  </w:num>
  <w:num w:numId="7" w16cid:durableId="939533495">
    <w:abstractNumId w:val="3"/>
  </w:num>
  <w:num w:numId="8" w16cid:durableId="513615557">
    <w:abstractNumId w:val="1"/>
  </w:num>
  <w:num w:numId="9" w16cid:durableId="110244729">
    <w:abstractNumId w:val="17"/>
  </w:num>
  <w:num w:numId="10" w16cid:durableId="421533549">
    <w:abstractNumId w:val="14"/>
  </w:num>
  <w:num w:numId="11" w16cid:durableId="2120904269">
    <w:abstractNumId w:val="20"/>
  </w:num>
  <w:num w:numId="12" w16cid:durableId="286551301">
    <w:abstractNumId w:val="21"/>
  </w:num>
  <w:num w:numId="13" w16cid:durableId="275911047">
    <w:abstractNumId w:val="8"/>
  </w:num>
  <w:num w:numId="14" w16cid:durableId="233468309">
    <w:abstractNumId w:val="4"/>
  </w:num>
  <w:num w:numId="15" w16cid:durableId="135074150">
    <w:abstractNumId w:val="6"/>
  </w:num>
  <w:num w:numId="16" w16cid:durableId="1978684273">
    <w:abstractNumId w:val="19"/>
  </w:num>
  <w:num w:numId="17" w16cid:durableId="366218539">
    <w:abstractNumId w:val="0"/>
  </w:num>
  <w:num w:numId="18" w16cid:durableId="1037313564">
    <w:abstractNumId w:val="11"/>
  </w:num>
  <w:num w:numId="19" w16cid:durableId="494878006">
    <w:abstractNumId w:val="2"/>
  </w:num>
  <w:num w:numId="20" w16cid:durableId="530649978">
    <w:abstractNumId w:val="15"/>
  </w:num>
  <w:num w:numId="21" w16cid:durableId="314532490">
    <w:abstractNumId w:val="5"/>
  </w:num>
  <w:num w:numId="22" w16cid:durableId="9806901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77"/>
    <w:rsid w:val="00062667"/>
    <w:rsid w:val="00081FA2"/>
    <w:rsid w:val="000B0548"/>
    <w:rsid w:val="000B70C9"/>
    <w:rsid w:val="000C4D97"/>
    <w:rsid w:val="000D74FB"/>
    <w:rsid w:val="000E3A8E"/>
    <w:rsid w:val="000F04D9"/>
    <w:rsid w:val="00130E99"/>
    <w:rsid w:val="00175A49"/>
    <w:rsid w:val="001A282D"/>
    <w:rsid w:val="001D5E9B"/>
    <w:rsid w:val="001D79E8"/>
    <w:rsid w:val="001D7DAC"/>
    <w:rsid w:val="001F124C"/>
    <w:rsid w:val="001F5B32"/>
    <w:rsid w:val="0020305E"/>
    <w:rsid w:val="00204ED5"/>
    <w:rsid w:val="00207D06"/>
    <w:rsid w:val="002270E7"/>
    <w:rsid w:val="00293E53"/>
    <w:rsid w:val="002A4A09"/>
    <w:rsid w:val="002B3244"/>
    <w:rsid w:val="002D1698"/>
    <w:rsid w:val="0030247D"/>
    <w:rsid w:val="003453C4"/>
    <w:rsid w:val="00365C3C"/>
    <w:rsid w:val="00390121"/>
    <w:rsid w:val="003A369B"/>
    <w:rsid w:val="003A4A2C"/>
    <w:rsid w:val="003A51C7"/>
    <w:rsid w:val="003B5E19"/>
    <w:rsid w:val="003C7146"/>
    <w:rsid w:val="003F20EA"/>
    <w:rsid w:val="00420D3D"/>
    <w:rsid w:val="00423AB5"/>
    <w:rsid w:val="004251A8"/>
    <w:rsid w:val="00436DE5"/>
    <w:rsid w:val="00444CB2"/>
    <w:rsid w:val="0045020F"/>
    <w:rsid w:val="0045189D"/>
    <w:rsid w:val="0045681B"/>
    <w:rsid w:val="004963D3"/>
    <w:rsid w:val="004D05DF"/>
    <w:rsid w:val="004D7C48"/>
    <w:rsid w:val="004E7486"/>
    <w:rsid w:val="004E7AE6"/>
    <w:rsid w:val="00505470"/>
    <w:rsid w:val="00515614"/>
    <w:rsid w:val="005216F4"/>
    <w:rsid w:val="00524C9A"/>
    <w:rsid w:val="0054522E"/>
    <w:rsid w:val="00546141"/>
    <w:rsid w:val="0056324F"/>
    <w:rsid w:val="0058183E"/>
    <w:rsid w:val="005936B6"/>
    <w:rsid w:val="005B1313"/>
    <w:rsid w:val="005B5936"/>
    <w:rsid w:val="005C0A5A"/>
    <w:rsid w:val="005C7F8C"/>
    <w:rsid w:val="00600399"/>
    <w:rsid w:val="00677A33"/>
    <w:rsid w:val="00684809"/>
    <w:rsid w:val="006964D2"/>
    <w:rsid w:val="006A4EEA"/>
    <w:rsid w:val="006A7866"/>
    <w:rsid w:val="006B2334"/>
    <w:rsid w:val="006B2F04"/>
    <w:rsid w:val="006D3AA7"/>
    <w:rsid w:val="006E61D4"/>
    <w:rsid w:val="007146A9"/>
    <w:rsid w:val="0075778F"/>
    <w:rsid w:val="00764385"/>
    <w:rsid w:val="00766CAB"/>
    <w:rsid w:val="00773DF8"/>
    <w:rsid w:val="00793C09"/>
    <w:rsid w:val="00794B18"/>
    <w:rsid w:val="00794E26"/>
    <w:rsid w:val="007C68AD"/>
    <w:rsid w:val="007E6B1B"/>
    <w:rsid w:val="00860F23"/>
    <w:rsid w:val="0086679E"/>
    <w:rsid w:val="00873C0F"/>
    <w:rsid w:val="00874C30"/>
    <w:rsid w:val="00875F2C"/>
    <w:rsid w:val="00880427"/>
    <w:rsid w:val="008A3FC8"/>
    <w:rsid w:val="008B2FCC"/>
    <w:rsid w:val="008B6002"/>
    <w:rsid w:val="008C699A"/>
    <w:rsid w:val="008D6DFF"/>
    <w:rsid w:val="008E4515"/>
    <w:rsid w:val="00906981"/>
    <w:rsid w:val="0091703F"/>
    <w:rsid w:val="0094048C"/>
    <w:rsid w:val="00944EB8"/>
    <w:rsid w:val="00951253"/>
    <w:rsid w:val="00953599"/>
    <w:rsid w:val="00971D07"/>
    <w:rsid w:val="00982972"/>
    <w:rsid w:val="00997381"/>
    <w:rsid w:val="009A60C5"/>
    <w:rsid w:val="009D4274"/>
    <w:rsid w:val="009E103E"/>
    <w:rsid w:val="00A3634E"/>
    <w:rsid w:val="00A37786"/>
    <w:rsid w:val="00A533FE"/>
    <w:rsid w:val="00A549C0"/>
    <w:rsid w:val="00A56F77"/>
    <w:rsid w:val="00A72815"/>
    <w:rsid w:val="00A84CF8"/>
    <w:rsid w:val="00A84D97"/>
    <w:rsid w:val="00A979DA"/>
    <w:rsid w:val="00AA3EC2"/>
    <w:rsid w:val="00AC6EB3"/>
    <w:rsid w:val="00AF4731"/>
    <w:rsid w:val="00B0721C"/>
    <w:rsid w:val="00B20DC4"/>
    <w:rsid w:val="00B728D7"/>
    <w:rsid w:val="00B94212"/>
    <w:rsid w:val="00BA2C2C"/>
    <w:rsid w:val="00BC00C2"/>
    <w:rsid w:val="00C31373"/>
    <w:rsid w:val="00C40CAA"/>
    <w:rsid w:val="00C515C1"/>
    <w:rsid w:val="00C95EDB"/>
    <w:rsid w:val="00CA2385"/>
    <w:rsid w:val="00CC7EF2"/>
    <w:rsid w:val="00D5202C"/>
    <w:rsid w:val="00D53958"/>
    <w:rsid w:val="00D65778"/>
    <w:rsid w:val="00D72EA5"/>
    <w:rsid w:val="00D93CD0"/>
    <w:rsid w:val="00D95AB7"/>
    <w:rsid w:val="00DB0E93"/>
    <w:rsid w:val="00DB16BE"/>
    <w:rsid w:val="00DC7C27"/>
    <w:rsid w:val="00DE18AC"/>
    <w:rsid w:val="00DF7C77"/>
    <w:rsid w:val="00E13D04"/>
    <w:rsid w:val="00E64416"/>
    <w:rsid w:val="00E906FD"/>
    <w:rsid w:val="00E90881"/>
    <w:rsid w:val="00E927F8"/>
    <w:rsid w:val="00EA0F6E"/>
    <w:rsid w:val="00EA363D"/>
    <w:rsid w:val="00EB0005"/>
    <w:rsid w:val="00EB3E4E"/>
    <w:rsid w:val="00ED0124"/>
    <w:rsid w:val="00F00B70"/>
    <w:rsid w:val="00F30CA5"/>
    <w:rsid w:val="00F34254"/>
    <w:rsid w:val="00F347C4"/>
    <w:rsid w:val="00F71AC2"/>
    <w:rsid w:val="00F7497F"/>
    <w:rsid w:val="00F77008"/>
    <w:rsid w:val="00F802C4"/>
    <w:rsid w:val="00F94634"/>
    <w:rsid w:val="00F94D9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6C7B59C3"/>
  <w15:docId w15:val="{84BBEADF-4EFC-4078-858B-52398248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68A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68AD"/>
  </w:style>
  <w:style w:type="paragraph" w:styleId="BodyTextIndent">
    <w:name w:val="Body Text Indent"/>
    <w:basedOn w:val="Normal"/>
    <w:rsid w:val="007C68AD"/>
    <w:pPr>
      <w:ind w:firstLine="720"/>
      <w:jc w:val="both"/>
    </w:pPr>
    <w:rPr>
      <w:rFonts w:ascii="Univers" w:hAnsi="Univers"/>
      <w:sz w:val="20"/>
    </w:rPr>
  </w:style>
  <w:style w:type="paragraph" w:styleId="Footer">
    <w:name w:val="footer"/>
    <w:basedOn w:val="Normal"/>
    <w:rsid w:val="007C68AD"/>
    <w:pPr>
      <w:tabs>
        <w:tab w:val="center" w:pos="4320"/>
        <w:tab w:val="right" w:pos="8640"/>
      </w:tabs>
    </w:pPr>
  </w:style>
  <w:style w:type="character" w:styleId="PageNumber">
    <w:name w:val="page number"/>
    <w:basedOn w:val="DefaultParagraphFont"/>
    <w:rsid w:val="007C68AD"/>
  </w:style>
  <w:style w:type="paragraph" w:styleId="BalloonText">
    <w:name w:val="Balloon Text"/>
    <w:basedOn w:val="Normal"/>
    <w:link w:val="BalloonTextChar"/>
    <w:rsid w:val="006E61D4"/>
    <w:rPr>
      <w:rFonts w:ascii="Tahoma" w:hAnsi="Tahoma" w:cs="Tahoma"/>
      <w:sz w:val="16"/>
      <w:szCs w:val="16"/>
    </w:rPr>
  </w:style>
  <w:style w:type="character" w:customStyle="1" w:styleId="BalloonTextChar">
    <w:name w:val="Balloon Text Char"/>
    <w:basedOn w:val="DefaultParagraphFont"/>
    <w:link w:val="BalloonText"/>
    <w:rsid w:val="006E61D4"/>
    <w:rPr>
      <w:rFonts w:ascii="Tahoma" w:hAnsi="Tahoma" w:cs="Tahoma"/>
      <w:snapToGrid w:val="0"/>
      <w:sz w:val="16"/>
      <w:szCs w:val="16"/>
    </w:rPr>
  </w:style>
  <w:style w:type="character" w:styleId="Hyperlink">
    <w:name w:val="Hyperlink"/>
    <w:basedOn w:val="DefaultParagraphFont"/>
    <w:unhideWhenUsed/>
    <w:rsid w:val="003F20EA"/>
    <w:rPr>
      <w:color w:val="0000FF" w:themeColor="hyperlink"/>
      <w:u w:val="single"/>
    </w:rPr>
  </w:style>
  <w:style w:type="character" w:styleId="FollowedHyperlink">
    <w:name w:val="FollowedHyperlink"/>
    <w:basedOn w:val="DefaultParagraphFont"/>
    <w:semiHidden/>
    <w:unhideWhenUsed/>
    <w:rsid w:val="003F20EA"/>
    <w:rPr>
      <w:color w:val="800080" w:themeColor="followedHyperlink"/>
      <w:u w:val="single"/>
    </w:rPr>
  </w:style>
  <w:style w:type="paragraph" w:styleId="ListParagraph">
    <w:name w:val="List Paragraph"/>
    <w:basedOn w:val="Normal"/>
    <w:uiPriority w:val="34"/>
    <w:qFormat/>
    <w:rsid w:val="00130E99"/>
    <w:pPr>
      <w:ind w:left="720"/>
      <w:contextualSpacing/>
    </w:pPr>
  </w:style>
  <w:style w:type="paragraph" w:styleId="Header">
    <w:name w:val="header"/>
    <w:basedOn w:val="Normal"/>
    <w:link w:val="HeaderChar"/>
    <w:unhideWhenUsed/>
    <w:rsid w:val="003B5E19"/>
    <w:pPr>
      <w:tabs>
        <w:tab w:val="center" w:pos="4680"/>
        <w:tab w:val="right" w:pos="9360"/>
      </w:tabs>
    </w:pPr>
  </w:style>
  <w:style w:type="character" w:customStyle="1" w:styleId="HeaderChar">
    <w:name w:val="Header Char"/>
    <w:basedOn w:val="DefaultParagraphFont"/>
    <w:link w:val="Header"/>
    <w:rsid w:val="003B5E19"/>
    <w:rPr>
      <w:rFonts w:ascii="Courier" w:hAnsi="Courier"/>
      <w:snapToGrid w:val="0"/>
      <w:sz w:val="24"/>
    </w:rPr>
  </w:style>
  <w:style w:type="paragraph" w:styleId="Subtitle">
    <w:name w:val="Subtitle"/>
    <w:basedOn w:val="Normal"/>
    <w:link w:val="SubtitleChar"/>
    <w:qFormat/>
    <w:rsid w:val="000D74FB"/>
    <w:pPr>
      <w:autoSpaceDE w:val="0"/>
      <w:autoSpaceDN w:val="0"/>
      <w:adjustRightInd w:val="0"/>
    </w:pPr>
    <w:rPr>
      <w:rFonts w:ascii="Letter Gothic 12cpi" w:hAnsi="Letter Gothic 12cpi"/>
      <w:b/>
      <w:bCs/>
      <w:snapToGrid/>
      <w:szCs w:val="24"/>
      <w:u w:val="single"/>
    </w:rPr>
  </w:style>
  <w:style w:type="character" w:customStyle="1" w:styleId="SubtitleChar">
    <w:name w:val="Subtitle Char"/>
    <w:basedOn w:val="DefaultParagraphFont"/>
    <w:link w:val="Subtitle"/>
    <w:rsid w:val="000D74FB"/>
    <w:rPr>
      <w:rFonts w:ascii="Letter Gothic 12cpi" w:hAnsi="Letter Gothic 12cpi"/>
      <w:b/>
      <w:bCs/>
      <w:sz w:val="24"/>
      <w:szCs w:val="24"/>
      <w:u w:val="single"/>
    </w:rPr>
  </w:style>
  <w:style w:type="paragraph" w:styleId="Title">
    <w:name w:val="Title"/>
    <w:basedOn w:val="Normal"/>
    <w:link w:val="TitleChar"/>
    <w:qFormat/>
    <w:rsid w:val="0094048C"/>
    <w:pPr>
      <w:autoSpaceDE w:val="0"/>
      <w:autoSpaceDN w:val="0"/>
      <w:adjustRightInd w:val="0"/>
      <w:jc w:val="center"/>
    </w:pPr>
    <w:rPr>
      <w:rFonts w:ascii="Letter Gothic 12cpi" w:hAnsi="Letter Gothic 12cpi"/>
      <w:b/>
      <w:bCs/>
      <w:snapToGrid/>
      <w:szCs w:val="24"/>
      <w:u w:val="single"/>
    </w:rPr>
  </w:style>
  <w:style w:type="character" w:customStyle="1" w:styleId="TitleChar">
    <w:name w:val="Title Char"/>
    <w:basedOn w:val="DefaultParagraphFont"/>
    <w:link w:val="Title"/>
    <w:rsid w:val="0094048C"/>
    <w:rPr>
      <w:rFonts w:ascii="Letter Gothic 12cpi" w:hAnsi="Letter Gothic 12cpi"/>
      <w:b/>
      <w:bCs/>
      <w:sz w:val="24"/>
      <w:szCs w:val="24"/>
      <w:u w:val="single"/>
    </w:rPr>
  </w:style>
  <w:style w:type="character" w:styleId="UnresolvedMention">
    <w:name w:val="Unresolved Mention"/>
    <w:basedOn w:val="DefaultParagraphFont"/>
    <w:uiPriority w:val="99"/>
    <w:semiHidden/>
    <w:unhideWhenUsed/>
    <w:rsid w:val="00444CB2"/>
    <w:rPr>
      <w:color w:val="808080"/>
      <w:shd w:val="clear" w:color="auto" w:fill="E6E6E6"/>
    </w:rPr>
  </w:style>
  <w:style w:type="paragraph" w:styleId="Revision">
    <w:name w:val="Revision"/>
    <w:hidden/>
    <w:uiPriority w:val="99"/>
    <w:semiHidden/>
    <w:rsid w:val="00546141"/>
    <w:rPr>
      <w:rFonts w:ascii="Courier" w:hAnsi="Courier"/>
      <w:snapToGrid w:val="0"/>
      <w:sz w:val="24"/>
    </w:rPr>
  </w:style>
  <w:style w:type="character" w:styleId="CommentReference">
    <w:name w:val="annotation reference"/>
    <w:basedOn w:val="DefaultParagraphFont"/>
    <w:semiHidden/>
    <w:unhideWhenUsed/>
    <w:rsid w:val="006D3AA7"/>
    <w:rPr>
      <w:sz w:val="16"/>
      <w:szCs w:val="16"/>
    </w:rPr>
  </w:style>
  <w:style w:type="paragraph" w:styleId="CommentText">
    <w:name w:val="annotation text"/>
    <w:basedOn w:val="Normal"/>
    <w:link w:val="CommentTextChar"/>
    <w:unhideWhenUsed/>
    <w:rsid w:val="006D3AA7"/>
    <w:rPr>
      <w:sz w:val="20"/>
    </w:rPr>
  </w:style>
  <w:style w:type="character" w:customStyle="1" w:styleId="CommentTextChar">
    <w:name w:val="Comment Text Char"/>
    <w:basedOn w:val="DefaultParagraphFont"/>
    <w:link w:val="CommentText"/>
    <w:rsid w:val="006D3AA7"/>
    <w:rPr>
      <w:rFonts w:ascii="Courier" w:hAnsi="Courier"/>
      <w:snapToGrid w:val="0"/>
    </w:rPr>
  </w:style>
  <w:style w:type="paragraph" w:styleId="CommentSubject">
    <w:name w:val="annotation subject"/>
    <w:basedOn w:val="CommentText"/>
    <w:next w:val="CommentText"/>
    <w:link w:val="CommentSubjectChar"/>
    <w:semiHidden/>
    <w:unhideWhenUsed/>
    <w:rsid w:val="006D3AA7"/>
    <w:rPr>
      <w:b/>
      <w:bCs/>
    </w:rPr>
  </w:style>
  <w:style w:type="character" w:customStyle="1" w:styleId="CommentSubjectChar">
    <w:name w:val="Comment Subject Char"/>
    <w:basedOn w:val="CommentTextChar"/>
    <w:link w:val="CommentSubject"/>
    <w:semiHidden/>
    <w:rsid w:val="006D3AA7"/>
    <w:rPr>
      <w:rFonts w:ascii="Courier" w:hAnsi="Courier"/>
      <w:b/>
      <w:bCs/>
      <w:snapToGrid w:val="0"/>
    </w:rPr>
  </w:style>
  <w:style w:type="paragraph" w:styleId="FootnoteText">
    <w:name w:val="footnote text"/>
    <w:basedOn w:val="Normal"/>
    <w:link w:val="FootnoteTextChar"/>
    <w:semiHidden/>
    <w:unhideWhenUsed/>
    <w:rsid w:val="00390121"/>
    <w:rPr>
      <w:sz w:val="20"/>
    </w:rPr>
  </w:style>
  <w:style w:type="character" w:customStyle="1" w:styleId="FootnoteTextChar">
    <w:name w:val="Footnote Text Char"/>
    <w:basedOn w:val="DefaultParagraphFont"/>
    <w:link w:val="FootnoteText"/>
    <w:semiHidden/>
    <w:rsid w:val="00390121"/>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ffice.fedex.com/default/copies.html?s_kwcid=AL!20832!10!78477847004553!78478051016025&amp;gclid=e4adcfe3587519bb48cda8098396c16c&amp;gclsrc=3p.ds&amp;&amp;CMP=KNC-8000047-68-9-950-1110000-US-US-EN-123855:123898:2201401&amp;ds_k=fedex+office&amp;msclkid=e4adcfe3587519bb48cda8098396c16c" TargetMode="External" /><Relationship Id="rId4" Type="http://schemas.openxmlformats.org/officeDocument/2006/relationships/hyperlink" Target="https://www.staples.com/quality-park-clasp-moistenable-glue-catalog-envelopes-10-x-13-kraft-100-box-qua37797/product_426678" TargetMode="External" /><Relationship Id="rId5" Type="http://schemas.openxmlformats.org/officeDocument/2006/relationships/hyperlink" Target="https://store.usps.com/store/product/us-flags-2024-stamps-S_684904" TargetMode="External" /><Relationship Id="rId6" Type="http://schemas.openxmlformats.org/officeDocument/2006/relationships/hyperlink" Target="https://www.opm.gov/policy-data-oversight/pay-leave/salaries-wages/salary-tables/25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edbrown</dc:creator>
  <cp:lastModifiedBy>Bolton, Tamelia (MARAD)</cp:lastModifiedBy>
  <cp:revision>3</cp:revision>
  <cp:lastPrinted>2017-06-26T12:49:00Z</cp:lastPrinted>
  <dcterms:created xsi:type="dcterms:W3CDTF">2025-06-25T13:24:00Z</dcterms:created>
  <dcterms:modified xsi:type="dcterms:W3CDTF">2025-06-25T13:25:00Z</dcterms:modified>
</cp:coreProperties>
</file>