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06FB3" w:rsidRPr="00D07BAF" w:rsidP="00E06FB3" w14:paraId="2306E9BE" w14:textId="77777777">
      <w:pPr>
        <w:widowControl w:val="0"/>
        <w:tabs>
          <w:tab w:val="center" w:pos="4680"/>
        </w:tabs>
        <w:jc w:val="center"/>
        <w:rPr>
          <w:b/>
          <w:szCs w:val="24"/>
        </w:rPr>
      </w:pPr>
      <w:r w:rsidRPr="000C2D40">
        <w:rPr>
          <w:b/>
        </w:rPr>
        <w:fldChar w:fldCharType="begin"/>
      </w:r>
      <w:r w:rsidRPr="000C2D40">
        <w:rPr>
          <w:b/>
        </w:rPr>
        <w:instrText xml:space="preserve"> SEQ CHAPTER \h \r 1</w:instrText>
      </w:r>
      <w:r w:rsidRPr="000C2D40">
        <w:rPr>
          <w:b/>
        </w:rPr>
        <w:fldChar w:fldCharType="separate"/>
      </w:r>
      <w:r w:rsidRPr="000C2D40">
        <w:rPr>
          <w:b/>
        </w:rPr>
        <w:fldChar w:fldCharType="end"/>
      </w:r>
      <w:r w:rsidRPr="000C2D40">
        <w:rPr>
          <w:b/>
        </w:rPr>
        <w:fldChar w:fldCharType="begin"/>
      </w:r>
      <w:r w:rsidRPr="000C2D40">
        <w:rPr>
          <w:b/>
        </w:rPr>
        <w:instrText xml:space="preserve"> SEQ CHAPTER \h \r 1</w:instrText>
      </w:r>
      <w:r w:rsidRPr="000C2D40">
        <w:rPr>
          <w:b/>
        </w:rPr>
        <w:fldChar w:fldCharType="separate"/>
      </w:r>
      <w:r w:rsidRPr="000C2D40">
        <w:rPr>
          <w:b/>
        </w:rPr>
        <w:fldChar w:fldCharType="end"/>
      </w:r>
      <w:r w:rsidRPr="000C2D40">
        <w:rPr>
          <w:b/>
        </w:rPr>
        <w:fldChar w:fldCharType="begin"/>
      </w:r>
      <w:r w:rsidRPr="000C2D40">
        <w:rPr>
          <w:b/>
        </w:rPr>
        <w:instrText xml:space="preserve"> SEQ CHAPTER \h \r 1</w:instrText>
      </w:r>
      <w:r w:rsidRPr="000C2D40">
        <w:rPr>
          <w:b/>
        </w:rPr>
        <w:fldChar w:fldCharType="separate"/>
      </w:r>
      <w:r w:rsidRPr="000C2D40">
        <w:rPr>
          <w:b/>
        </w:rPr>
        <w:fldChar w:fldCharType="end"/>
      </w:r>
      <w:r w:rsidRPr="000C2D40">
        <w:rPr>
          <w:b/>
        </w:rPr>
        <w:fldChar w:fldCharType="begin"/>
      </w:r>
      <w:r w:rsidRPr="000C2D40">
        <w:rPr>
          <w:b/>
        </w:rPr>
        <w:instrText xml:space="preserve"> SEQ CHAPTER \h \r 1</w:instrText>
      </w:r>
      <w:r w:rsidRPr="000C2D40">
        <w:rPr>
          <w:b/>
        </w:rPr>
        <w:fldChar w:fldCharType="separate"/>
      </w:r>
      <w:r w:rsidRPr="000C2D40">
        <w:rPr>
          <w:b/>
        </w:rPr>
        <w:fldChar w:fldCharType="end"/>
      </w:r>
      <w:r w:rsidRPr="000C2D40">
        <w:rPr>
          <w:b/>
        </w:rPr>
        <w:fldChar w:fldCharType="begin"/>
      </w:r>
      <w:r w:rsidRPr="000C2D40">
        <w:rPr>
          <w:b/>
        </w:rPr>
        <w:instrText xml:space="preserve"> SEQ CHAPTER \h \r 1</w:instrText>
      </w:r>
      <w:r w:rsidRPr="000C2D40">
        <w:rPr>
          <w:b/>
        </w:rPr>
        <w:fldChar w:fldCharType="separate"/>
      </w:r>
      <w:r w:rsidRPr="000C2D40">
        <w:rPr>
          <w:b/>
        </w:rPr>
        <w:fldChar w:fldCharType="end"/>
      </w:r>
      <w:r w:rsidRPr="000C2D40" w:rsidR="000C2D40">
        <w:rPr>
          <w:b/>
        </w:rPr>
        <w:t>FE</w:t>
      </w:r>
      <w:r w:rsidRPr="00D07BAF">
        <w:rPr>
          <w:b/>
          <w:szCs w:val="24"/>
        </w:rPr>
        <w:t>DERAL RAILROAD ADMINISTRATION</w:t>
      </w:r>
    </w:p>
    <w:p w:rsidR="00E06FB3" w:rsidRPr="00D07BAF" w:rsidP="00E06FB3" w14:paraId="5B41D41F" w14:textId="77777777">
      <w:pPr>
        <w:widowControl w:val="0"/>
        <w:tabs>
          <w:tab w:val="center" w:pos="4680"/>
        </w:tabs>
        <w:jc w:val="center"/>
        <w:rPr>
          <w:b/>
          <w:szCs w:val="24"/>
        </w:rPr>
      </w:pPr>
      <w:r>
        <w:rPr>
          <w:b/>
          <w:szCs w:val="24"/>
        </w:rPr>
        <w:t>Reflectorization of Rail Freight Rolling Stock</w:t>
      </w:r>
    </w:p>
    <w:p w:rsidR="00E06FB3" w:rsidRPr="00D07BAF" w:rsidP="00E06FB3" w14:paraId="077388A6" w14:textId="77777777">
      <w:pPr>
        <w:widowControl w:val="0"/>
        <w:tabs>
          <w:tab w:val="center" w:pos="4680"/>
        </w:tabs>
        <w:jc w:val="center"/>
        <w:rPr>
          <w:b/>
          <w:szCs w:val="24"/>
        </w:rPr>
      </w:pPr>
      <w:r w:rsidRPr="00D07BAF">
        <w:rPr>
          <w:b/>
          <w:szCs w:val="24"/>
        </w:rPr>
        <w:t xml:space="preserve">(Title 49 </w:t>
      </w:r>
      <w:bookmarkStart w:id="0" w:name="_Hlk42544345"/>
      <w:r w:rsidRPr="00D07BAF">
        <w:rPr>
          <w:b/>
          <w:szCs w:val="24"/>
        </w:rPr>
        <w:t xml:space="preserve">Code of Federal Regulations </w:t>
      </w:r>
      <w:bookmarkEnd w:id="0"/>
      <w:r w:rsidRPr="00D07BAF">
        <w:rPr>
          <w:b/>
          <w:szCs w:val="24"/>
        </w:rPr>
        <w:t>Part</w:t>
      </w:r>
      <w:r>
        <w:rPr>
          <w:b/>
          <w:szCs w:val="24"/>
        </w:rPr>
        <w:t xml:space="preserve"> 224</w:t>
      </w:r>
      <w:r w:rsidRPr="00D07BAF">
        <w:rPr>
          <w:b/>
          <w:szCs w:val="24"/>
        </w:rPr>
        <w:t>)</w:t>
      </w:r>
    </w:p>
    <w:p w:rsidR="00E06FB3" w:rsidRPr="00D07BAF" w:rsidP="00E06FB3" w14:paraId="764E048B" w14:textId="77777777">
      <w:pPr>
        <w:widowControl w:val="0"/>
        <w:tabs>
          <w:tab w:val="center" w:pos="4680"/>
        </w:tabs>
        <w:jc w:val="center"/>
        <w:rPr>
          <w:szCs w:val="24"/>
        </w:rPr>
      </w:pPr>
      <w:r w:rsidRPr="00D07BAF">
        <w:rPr>
          <w:b/>
          <w:szCs w:val="24"/>
        </w:rPr>
        <w:t>SUPPORTING JUSTIFICATION</w:t>
      </w:r>
    </w:p>
    <w:p w:rsidR="00803B3A" w:rsidRPr="00D07BAF" w:rsidP="00803B3A" w14:paraId="3065DEFA" w14:textId="77777777">
      <w:pPr>
        <w:widowControl w:val="0"/>
        <w:tabs>
          <w:tab w:val="center" w:pos="4680"/>
        </w:tabs>
        <w:jc w:val="center"/>
        <w:rPr>
          <w:b/>
          <w:sz w:val="28"/>
        </w:rPr>
      </w:pPr>
      <w:r>
        <w:rPr>
          <w:b/>
          <w:szCs w:val="24"/>
        </w:rPr>
        <w:t>OMB Control No. 2130-0566</w:t>
      </w:r>
      <w:r w:rsidR="00C50000">
        <w:rPr>
          <w:b/>
          <w:szCs w:val="24"/>
        </w:rPr>
        <w:t xml:space="preserve">; </w:t>
      </w:r>
      <w:r>
        <w:rPr>
          <w:b/>
          <w:szCs w:val="24"/>
        </w:rPr>
        <w:t>RIN 2130-AC77</w:t>
      </w:r>
    </w:p>
    <w:p w:rsidR="00803B3A" w:rsidP="00803B3A" w14:paraId="4F27D9BD" w14:textId="77777777">
      <w:pPr>
        <w:rPr>
          <w:rFonts w:ascii="Univers" w:hAnsi="Univers"/>
          <w:b/>
        </w:rPr>
      </w:pPr>
    </w:p>
    <w:p w:rsidR="00803B3A" w:rsidP="00803B3A" w14:paraId="46D8F4FC" w14:textId="77777777">
      <w:pPr>
        <w:widowControl w:val="0"/>
        <w:ind w:left="720"/>
        <w:rPr>
          <w:u w:val="single"/>
        </w:rPr>
      </w:pPr>
      <w:r w:rsidRPr="00095D9C">
        <w:rPr>
          <w:u w:val="single"/>
        </w:rPr>
        <w:t>Summary</w:t>
      </w:r>
      <w:r>
        <w:rPr>
          <w:u w:val="single"/>
        </w:rPr>
        <w:t xml:space="preserve"> of Submission</w:t>
      </w:r>
    </w:p>
    <w:p w:rsidR="00803B3A" w:rsidP="00803B3A" w14:paraId="0C3B52C6" w14:textId="77777777">
      <w:pPr>
        <w:widowControl w:val="0"/>
        <w:ind w:left="720"/>
        <w:rPr>
          <w:u w:val="single"/>
        </w:rPr>
      </w:pPr>
    </w:p>
    <w:p w:rsidR="00803B3A" w:rsidRPr="00FE4019" w:rsidP="00803B3A" w14:paraId="5AE326A2" w14:textId="6D72EB81">
      <w:pPr>
        <w:widowControl w:val="0"/>
        <w:numPr>
          <w:ilvl w:val="1"/>
          <w:numId w:val="5"/>
        </w:numPr>
      </w:pPr>
      <w:r>
        <w:t>This submission is a revision to the last approved submission pertaining to Title 49 Code of Federal Regulations Part 224</w:t>
      </w:r>
      <w:r w:rsidR="00E17D15">
        <w:t xml:space="preserve"> (The Reflectorization Standards or Part 224)</w:t>
      </w:r>
      <w:r>
        <w:t xml:space="preserve">, that was approved by OMB on </w:t>
      </w:r>
      <w:r w:rsidR="000F06D5">
        <w:t>March</w:t>
      </w:r>
      <w:r w:rsidR="00AE63A8">
        <w:t xml:space="preserve"> </w:t>
      </w:r>
      <w:r w:rsidR="000F06D5">
        <w:t>29</w:t>
      </w:r>
      <w:r>
        <w:t>, 202</w:t>
      </w:r>
      <w:r w:rsidR="000F06D5">
        <w:t>4</w:t>
      </w:r>
      <w:r>
        <w:t xml:space="preserve">, which expires </w:t>
      </w:r>
      <w:r w:rsidR="000F06D5">
        <w:t>March</w:t>
      </w:r>
      <w:r w:rsidR="00AE63A8">
        <w:t xml:space="preserve"> </w:t>
      </w:r>
      <w:r>
        <w:t>31, 202</w:t>
      </w:r>
      <w:r w:rsidR="000F06D5">
        <w:t>7</w:t>
      </w:r>
      <w:r>
        <w:t xml:space="preserve">. </w:t>
      </w:r>
    </w:p>
    <w:p w:rsidR="00803B3A" w:rsidP="00803B3A" w14:paraId="574DF13D" w14:textId="77777777">
      <w:pPr>
        <w:widowControl w:val="0"/>
        <w:ind w:left="1080"/>
        <w:rPr>
          <w:szCs w:val="24"/>
        </w:rPr>
      </w:pPr>
    </w:p>
    <w:p w:rsidR="000F06D5" w:rsidRPr="00EF4602" w:rsidP="000F06D5" w14:paraId="73DBB189" w14:textId="0089CC84">
      <w:pPr>
        <w:widowControl w:val="0"/>
        <w:numPr>
          <w:ilvl w:val="1"/>
          <w:numId w:val="10"/>
        </w:numPr>
        <w:rPr>
          <w:szCs w:val="24"/>
        </w:rPr>
      </w:pPr>
      <w:r>
        <w:t xml:space="preserve">The Federal Railroad Administration (hereafter “FRA” or the “Agency”) </w:t>
      </w:r>
      <w:r w:rsidR="00803B3A">
        <w:t xml:space="preserve">is publishing a </w:t>
      </w:r>
      <w:r>
        <w:t>final rule</w:t>
      </w:r>
      <w:r w:rsidR="00A12364">
        <w:t xml:space="preserve"> revising Part 224 titled </w:t>
      </w:r>
      <w:r w:rsidRPr="497A9710" w:rsidR="00A12364">
        <w:rPr>
          <w:u w:val="single"/>
        </w:rPr>
        <w:t>Reflectorization of Rail Freight Rolling Stock; Codifying Existing Waivers</w:t>
      </w:r>
      <w:r w:rsidR="00803B3A">
        <w:t xml:space="preserve"> </w:t>
      </w:r>
      <w:r w:rsidR="00530962">
        <w:t>in the Federal Register</w:t>
      </w:r>
      <w:r w:rsidR="00A12364">
        <w:t xml:space="preserve"> on</w:t>
      </w:r>
      <w:r>
        <w:t xml:space="preserve"> </w:t>
      </w:r>
      <w:r w:rsidR="00DE5B3F">
        <w:t>January 27</w:t>
      </w:r>
      <w:r w:rsidRPr="00BD547E">
        <w:t>,</w:t>
      </w:r>
      <w:r w:rsidRPr="00EF4602">
        <w:t xml:space="preserve"> </w:t>
      </w:r>
      <w:r w:rsidR="00DE5B3F">
        <w:t>2026</w:t>
      </w:r>
      <w:r w:rsidRPr="00EF4602">
        <w:t xml:space="preserve">. </w:t>
      </w:r>
      <w:r>
        <w:t xml:space="preserve"> </w:t>
      </w:r>
      <w:r w:rsidRPr="00EF4602">
        <w:rPr>
          <w:u w:val="single"/>
        </w:rPr>
        <w:t>See</w:t>
      </w:r>
      <w:r w:rsidRPr="00EF4602">
        <w:t xml:space="preserve"> </w:t>
      </w:r>
      <w:r w:rsidR="00DE5B3F">
        <w:t xml:space="preserve">91 </w:t>
      </w:r>
      <w:r>
        <w:t xml:space="preserve"> </w:t>
      </w:r>
      <w:r w:rsidRPr="00EF4602">
        <w:t>FR</w:t>
      </w:r>
      <w:r>
        <w:t xml:space="preserve"> </w:t>
      </w:r>
      <w:r w:rsidR="00DE5B3F">
        <w:t>3375</w:t>
      </w:r>
      <w:r w:rsidRPr="00BD547E">
        <w:rPr>
          <w:szCs w:val="24"/>
        </w:rPr>
        <w:t>.</w:t>
      </w:r>
    </w:p>
    <w:p w:rsidR="00803B3A" w:rsidRPr="00542BD9" w:rsidP="00803B3A" w14:paraId="1BA6B322" w14:textId="77777777">
      <w:pPr>
        <w:widowControl w:val="0"/>
        <w:ind w:left="1080"/>
        <w:rPr>
          <w:szCs w:val="24"/>
        </w:rPr>
      </w:pPr>
    </w:p>
    <w:p w:rsidR="00803B3A" w:rsidRPr="008A5B6D" w:rsidP="00803B3A" w14:paraId="6532D3F3" w14:textId="7EAA6F30">
      <w:pPr>
        <w:widowControl w:val="0"/>
        <w:numPr>
          <w:ilvl w:val="1"/>
          <w:numId w:val="5"/>
        </w:numPr>
        <w:outlineLvl w:val="0"/>
        <w:rPr>
          <w:szCs w:val="24"/>
        </w:rPr>
      </w:pPr>
      <w:r>
        <w:rPr>
          <w:szCs w:val="24"/>
        </w:rPr>
        <w:t>Program change decreased</w:t>
      </w:r>
      <w:r w:rsidRPr="008A5B6D">
        <w:rPr>
          <w:szCs w:val="24"/>
        </w:rPr>
        <w:t xml:space="preserve"> the burden by </w:t>
      </w:r>
      <w:r w:rsidR="003C314E">
        <w:rPr>
          <w:szCs w:val="24"/>
        </w:rPr>
        <w:t>72</w:t>
      </w:r>
      <w:r>
        <w:rPr>
          <w:szCs w:val="24"/>
        </w:rPr>
        <w:t xml:space="preserve"> hours and decreased responses by </w:t>
      </w:r>
      <w:r w:rsidR="003C314E">
        <w:rPr>
          <w:szCs w:val="24"/>
        </w:rPr>
        <w:t>9</w:t>
      </w:r>
      <w:r>
        <w:rPr>
          <w:szCs w:val="24"/>
        </w:rPr>
        <w:t>.</w:t>
      </w:r>
    </w:p>
    <w:p w:rsidR="00803B3A" w:rsidRPr="008A5B6D" w:rsidP="00803B3A" w14:paraId="69F9FEBF" w14:textId="77777777">
      <w:pPr>
        <w:widowControl w:val="0"/>
        <w:ind w:left="1080"/>
        <w:outlineLvl w:val="0"/>
        <w:rPr>
          <w:szCs w:val="24"/>
        </w:rPr>
      </w:pPr>
    </w:p>
    <w:p w:rsidR="00803B3A" w:rsidP="00803B3A" w14:paraId="36AECDB0" w14:textId="5A6989A2">
      <w:pPr>
        <w:widowControl w:val="0"/>
        <w:numPr>
          <w:ilvl w:val="1"/>
          <w:numId w:val="5"/>
        </w:numPr>
        <w:outlineLvl w:val="0"/>
        <w:rPr>
          <w:szCs w:val="24"/>
        </w:rPr>
      </w:pPr>
      <w:r>
        <w:rPr>
          <w:szCs w:val="24"/>
        </w:rPr>
        <w:t>The a</w:t>
      </w:r>
      <w:r>
        <w:rPr>
          <w:szCs w:val="24"/>
        </w:rPr>
        <w:t xml:space="preserve">djustments increased the burden by </w:t>
      </w:r>
      <w:r w:rsidR="00B105EF">
        <w:rPr>
          <w:szCs w:val="24"/>
        </w:rPr>
        <w:t>41</w:t>
      </w:r>
      <w:r w:rsidR="00B13833">
        <w:rPr>
          <w:szCs w:val="24"/>
        </w:rPr>
        <w:t xml:space="preserve"> hours</w:t>
      </w:r>
      <w:r>
        <w:rPr>
          <w:szCs w:val="24"/>
        </w:rPr>
        <w:t xml:space="preserve"> and decreased responses by</w:t>
      </w:r>
      <w:r w:rsidR="00B105EF">
        <w:rPr>
          <w:szCs w:val="24"/>
        </w:rPr>
        <w:t xml:space="preserve"> 20</w:t>
      </w:r>
      <w:r>
        <w:rPr>
          <w:szCs w:val="24"/>
        </w:rPr>
        <w:t>.</w:t>
      </w:r>
    </w:p>
    <w:p w:rsidR="00803B3A" w:rsidP="00803B3A" w14:paraId="6B15ACC8" w14:textId="77777777">
      <w:pPr>
        <w:pStyle w:val="ListParagraph"/>
        <w:rPr>
          <w:szCs w:val="24"/>
        </w:rPr>
      </w:pPr>
    </w:p>
    <w:p w:rsidR="00803B3A" w:rsidRPr="008A5B6D" w:rsidP="00803B3A" w14:paraId="39925850" w14:textId="77777777">
      <w:pPr>
        <w:widowControl w:val="0"/>
        <w:numPr>
          <w:ilvl w:val="1"/>
          <w:numId w:val="5"/>
        </w:numPr>
        <w:outlineLvl w:val="0"/>
        <w:rPr>
          <w:szCs w:val="24"/>
        </w:rPr>
      </w:pPr>
      <w:r w:rsidRPr="008A5B6D">
        <w:rPr>
          <w:szCs w:val="24"/>
        </w:rPr>
        <w:t xml:space="preserve">The answer to question number 12 itemizes all information collection requirements. </w:t>
      </w:r>
    </w:p>
    <w:p w:rsidR="00803B3A" w:rsidRPr="008A5B6D" w:rsidP="00803B3A" w14:paraId="3E52BF04" w14:textId="77777777">
      <w:pPr>
        <w:widowControl w:val="0"/>
        <w:ind w:left="1080"/>
        <w:outlineLvl w:val="0"/>
        <w:rPr>
          <w:szCs w:val="24"/>
        </w:rPr>
      </w:pPr>
    </w:p>
    <w:p w:rsidR="00803B3A" w:rsidRPr="008A5B6D" w:rsidP="00803B3A" w14:paraId="0776E103" w14:textId="77777777">
      <w:pPr>
        <w:widowControl w:val="0"/>
        <w:numPr>
          <w:ilvl w:val="1"/>
          <w:numId w:val="5"/>
        </w:numPr>
        <w:outlineLvl w:val="0"/>
        <w:rPr>
          <w:szCs w:val="24"/>
        </w:rPr>
      </w:pPr>
      <w:r w:rsidRPr="008A5B6D">
        <w:rPr>
          <w:szCs w:val="24"/>
        </w:rPr>
        <w:t xml:space="preserve">The answer to question number 15 itemizes all adjustments. </w:t>
      </w:r>
    </w:p>
    <w:p w:rsidR="0038285F" w:rsidP="00C64D7C" w14:paraId="5959A940" w14:textId="77777777">
      <w:pPr>
        <w:widowControl w:val="0"/>
        <w:ind w:left="1080"/>
      </w:pPr>
    </w:p>
    <w:p w:rsidR="006728C5" w:rsidRPr="00AB778D" w:rsidP="006728C5" w14:paraId="5FBEE7D8" w14:textId="77777777">
      <w:pPr>
        <w:widowControl w:val="0"/>
        <w:ind w:left="720" w:hanging="720"/>
        <w:rPr>
          <w:b/>
          <w:sz w:val="20"/>
        </w:rPr>
      </w:pPr>
      <w:r w:rsidRPr="00EC1455">
        <w:rPr>
          <w:b/>
        </w:rPr>
        <w:t>1.</w:t>
      </w:r>
      <w:r>
        <w:rPr>
          <w:b/>
        </w:rPr>
        <w:tab/>
      </w:r>
      <w:r w:rsidRPr="00787FC6">
        <w:rPr>
          <w:b/>
          <w:u w:val="single"/>
        </w:rPr>
        <w:t>Circumstances that make collection of the information necessary.</w:t>
      </w:r>
    </w:p>
    <w:p w:rsidR="001069B7" w14:paraId="2C12A805" w14:textId="77777777"/>
    <w:p w:rsidR="001069B7" w14:paraId="62C4A21A" w14:textId="41FFC5A1">
      <w:pPr>
        <w:ind w:left="720"/>
      </w:pPr>
      <w:r>
        <w:t>In</w:t>
      </w:r>
      <w:r>
        <w:t xml:space="preserve"> 1994, Congress passed the Federal Railroad Safety Authorization Act of 1994, Public Law 103-440 (“Act”).  The Act added § 20148 to Title 49 of the United States Code.  Section 20148 required FRA to conduct a review of the Department of Transportation’s rules with respect to visibility of railroad cars, and mandated that, if the review established that enhanced railroad visibility would likely improve safety in a cost-effective manner, the Secretary of Transportation initiate a rulemaking proceeding to prescribe regulations requiring enhanced visibility standards for railroad cars.  Section 20148 specifically directed the Secretary to examine the use of reflectors. (</w:t>
      </w:r>
      <w:r>
        <w:rPr>
          <w:i/>
        </w:rPr>
        <w:t xml:space="preserve">See </w:t>
      </w:r>
      <w:r>
        <w:t xml:space="preserve">49 U.S.C. 20148(b)(3)).  Accordingly, FRA, as the Federal agency responsible for ensuring that America’s railroads are safe for the traveling public – and in direct response to a Congressional mandate – </w:t>
      </w:r>
      <w:r w:rsidR="000C2D40">
        <w:t>issued a</w:t>
      </w:r>
      <w:r>
        <w:t xml:space="preserve"> final rule </w:t>
      </w:r>
      <w:r w:rsidR="00305682">
        <w:t xml:space="preserve">establishing </w:t>
      </w:r>
      <w:r w:rsidR="00D541BB">
        <w:t xml:space="preserve">The Reflectorization Standards, </w:t>
      </w:r>
      <w:r w:rsidR="00BF5DFE">
        <w:t>that</w:t>
      </w:r>
      <w:r>
        <w:t xml:space="preserve"> require r</w:t>
      </w:r>
      <w:r w:rsidR="00483BC8">
        <w:t>etror</w:t>
      </w:r>
      <w:r>
        <w:t>eflective material on the sides of rail freight cars and locomotives to enhance the visibility of trains in order to reduce the number of accidents at highway-rail grade crossings where train visibility is a contributing factor.</w:t>
      </w:r>
      <w:r>
        <w:rPr>
          <w:rStyle w:val="FootnoteReference"/>
        </w:rPr>
        <w:footnoteReference w:id="3"/>
      </w:r>
    </w:p>
    <w:p w:rsidR="00C64D7C" w14:paraId="3369E132" w14:textId="250172C4">
      <w:pPr>
        <w:ind w:left="720"/>
      </w:pPr>
    </w:p>
    <w:p w:rsidR="00803B3A" w:rsidP="00803B3A" w14:paraId="7F5E44C1" w14:textId="519B4589">
      <w:pPr>
        <w:ind w:left="720"/>
        <w:rPr>
          <w:szCs w:val="24"/>
        </w:rPr>
      </w:pPr>
      <w:r w:rsidRPr="00803B3A">
        <w:t xml:space="preserve">Generally, FRA has provided two types of relief from </w:t>
      </w:r>
      <w:r w:rsidR="00687D00">
        <w:t>P</w:t>
      </w:r>
      <w:r w:rsidRPr="00803B3A">
        <w:t xml:space="preserve">art 224’s requirements: (1) relief to </w:t>
      </w:r>
      <w:r w:rsidRPr="00DE20EC" w:rsidR="00BD3753">
        <w:rPr>
          <w:iCs/>
        </w:rPr>
        <w:t>Tourist, Historic, Excursion, Educational</w:t>
      </w:r>
      <w:r w:rsidR="00BD3753">
        <w:rPr>
          <w:iCs/>
        </w:rPr>
        <w:t>,</w:t>
      </w:r>
      <w:r w:rsidRPr="00DE20EC" w:rsidR="00BD3753">
        <w:rPr>
          <w:iCs/>
        </w:rPr>
        <w:t xml:space="preserve"> </w:t>
      </w:r>
      <w:r w:rsidR="00BD3753">
        <w:t>R</w:t>
      </w:r>
      <w:r w:rsidRPr="00700800" w:rsidR="00BD3753">
        <w:t>ecreational</w:t>
      </w:r>
      <w:r w:rsidR="00BD3753">
        <w:t>,</w:t>
      </w:r>
      <w:r w:rsidRPr="00700800" w:rsidR="00BD3753">
        <w:t xml:space="preserve"> or </w:t>
      </w:r>
      <w:r w:rsidR="00BD3753">
        <w:t>P</w:t>
      </w:r>
      <w:r w:rsidRPr="00700800" w:rsidR="00BD3753">
        <w:t xml:space="preserve">rivate </w:t>
      </w:r>
      <w:r w:rsidR="00BD3753">
        <w:t xml:space="preserve">(THEERP) </w:t>
      </w:r>
      <w:r w:rsidRPr="00803B3A">
        <w:t xml:space="preserve">operations, because they do not typically travel over low visibility highway-rail grade crossings at nighttime; and (2) relief to allow the use of a performance-based method (comparator panels) to determine when to replace reflectorization sheeting.  </w:t>
      </w:r>
      <w:r w:rsidR="0039608E">
        <w:rPr>
          <w:szCs w:val="24"/>
        </w:rPr>
        <w:t>T</w:t>
      </w:r>
      <w:r>
        <w:rPr>
          <w:szCs w:val="24"/>
        </w:rPr>
        <w:t xml:space="preserve">his </w:t>
      </w:r>
      <w:r w:rsidR="000F06D5">
        <w:rPr>
          <w:szCs w:val="24"/>
        </w:rPr>
        <w:t>final rule</w:t>
      </w:r>
      <w:r>
        <w:rPr>
          <w:szCs w:val="24"/>
        </w:rPr>
        <w:t>, F</w:t>
      </w:r>
      <w:r w:rsidRPr="00EC64D9">
        <w:t>RA amend</w:t>
      </w:r>
      <w:r w:rsidR="000F06D5">
        <w:t>s</w:t>
      </w:r>
      <w:r w:rsidRPr="00EC64D9">
        <w:t xml:space="preserve"> </w:t>
      </w:r>
      <w:r w:rsidR="0083452E">
        <w:t>The</w:t>
      </w:r>
      <w:r>
        <w:t xml:space="preserve"> </w:t>
      </w:r>
      <w:r w:rsidRPr="00A17666">
        <w:t xml:space="preserve">Reflectorization </w:t>
      </w:r>
      <w:r>
        <w:t>Standards to codify waivers and remove the outdated implementation schedule</w:t>
      </w:r>
      <w:r w:rsidRPr="00EC64D9">
        <w:t xml:space="preserve">.  </w:t>
      </w:r>
      <w:r>
        <w:t>The</w:t>
      </w:r>
      <w:r w:rsidR="000F06D5">
        <w:t>se</w:t>
      </w:r>
      <w:r>
        <w:t xml:space="preserve"> changes </w:t>
      </w:r>
      <w:r w:rsidR="000F06D5">
        <w:t>will</w:t>
      </w:r>
      <w:r>
        <w:t xml:space="preserve"> enhance safety</w:t>
      </w:r>
      <w:r>
        <w:t xml:space="preserve">, </w:t>
      </w:r>
      <w:r>
        <w:t>promote innovation, clarify existing requirements, and reduce unnecessary paperwork burdens</w:t>
      </w:r>
      <w:r w:rsidRPr="0072104A">
        <w:rPr>
          <w:szCs w:val="24"/>
        </w:rPr>
        <w:t>.</w:t>
      </w:r>
      <w:r>
        <w:rPr>
          <w:rStyle w:val="FootnoteReference"/>
          <w:szCs w:val="24"/>
        </w:rPr>
        <w:footnoteReference w:id="4"/>
      </w:r>
      <w:r w:rsidRPr="0072104A">
        <w:rPr>
          <w:szCs w:val="24"/>
        </w:rPr>
        <w:t xml:space="preserve"> </w:t>
      </w:r>
    </w:p>
    <w:p w:rsidR="00803B3A" w:rsidP="00803B3A" w14:paraId="5E80A975" w14:textId="77777777">
      <w:pPr>
        <w:widowControl w:val="0"/>
        <w:ind w:left="720"/>
        <w:rPr>
          <w:szCs w:val="24"/>
        </w:rPr>
      </w:pPr>
    </w:p>
    <w:p w:rsidR="00803B3A" w:rsidP="00803B3A" w14:paraId="08F1C566" w14:textId="0B70163A">
      <w:pPr>
        <w:widowControl w:val="0"/>
        <w:ind w:left="720"/>
        <w:rPr>
          <w:szCs w:val="24"/>
        </w:rPr>
      </w:pPr>
      <w:r w:rsidRPr="0039608E">
        <w:t xml:space="preserve">The amendments are consistent with the mandate of the Infrastructure Investment and Jobs Act (IIJA), which requires FRA to review and analyze certain longstanding waivers to determine whether incorporating the waivers into FRA’s regulations is justified. </w:t>
      </w:r>
    </w:p>
    <w:p w:rsidR="000C607A" w:rsidP="00803B3A" w14:paraId="5ECB7D63" w14:textId="77777777">
      <w:pPr>
        <w:widowControl w:val="0"/>
        <w:ind w:left="720"/>
        <w:rPr>
          <w:szCs w:val="24"/>
        </w:rPr>
      </w:pPr>
    </w:p>
    <w:p w:rsidR="00FA0BD5" w:rsidP="00FA0BD5" w14:paraId="078EFD21" w14:textId="77777777">
      <w:pPr>
        <w:widowControl w:val="0"/>
        <w:ind w:left="720" w:hanging="720"/>
        <w:rPr>
          <w:b/>
        </w:rPr>
      </w:pPr>
      <w:r>
        <w:rPr>
          <w:b/>
        </w:rPr>
        <w:t>2.</w:t>
      </w:r>
      <w:r>
        <w:rPr>
          <w:b/>
        </w:rPr>
        <w:tab/>
      </w:r>
      <w:r w:rsidRPr="00AD423C">
        <w:rPr>
          <w:b/>
          <w:u w:val="single"/>
        </w:rPr>
        <w:t>How, by whom, and for what purpose the information is to be used</w:t>
      </w:r>
      <w:r w:rsidRPr="00AD423C">
        <w:rPr>
          <w:b/>
        </w:rPr>
        <w:t>.</w:t>
      </w:r>
    </w:p>
    <w:p w:rsidR="001069B7" w14:paraId="1391851A" w14:textId="77777777">
      <w:pPr>
        <w:rPr>
          <w:b/>
        </w:rPr>
      </w:pPr>
    </w:p>
    <w:p w:rsidR="0039608E" w:rsidP="00803B3A" w14:paraId="56D796A8" w14:textId="1B2E34B7">
      <w:pPr>
        <w:ind w:left="720"/>
        <w:rPr>
          <w:szCs w:val="24"/>
        </w:rPr>
      </w:pPr>
      <w:r w:rsidRPr="0039608E">
        <w:rPr>
          <w:szCs w:val="24"/>
        </w:rPr>
        <w:t>The Reflectorization Standards</w:t>
      </w:r>
      <w:r>
        <w:rPr>
          <w:szCs w:val="24"/>
        </w:rPr>
        <w:t xml:space="preserve"> contained in </w:t>
      </w:r>
      <w:r w:rsidR="00070CDE">
        <w:rPr>
          <w:szCs w:val="24"/>
        </w:rPr>
        <w:t>P</w:t>
      </w:r>
      <w:r>
        <w:rPr>
          <w:szCs w:val="24"/>
        </w:rPr>
        <w:t>art 224 outline the</w:t>
      </w:r>
      <w:r w:rsidRPr="0039608E">
        <w:rPr>
          <w:szCs w:val="24"/>
        </w:rPr>
        <w:t xml:space="preserve"> minimum </w:t>
      </w:r>
      <w:r w:rsidR="002C4F06">
        <w:rPr>
          <w:szCs w:val="24"/>
        </w:rPr>
        <w:t xml:space="preserve">performance specifications for </w:t>
      </w:r>
      <w:r w:rsidR="00813BB3">
        <w:rPr>
          <w:szCs w:val="24"/>
        </w:rPr>
        <w:t xml:space="preserve">new </w:t>
      </w:r>
      <w:r w:rsidR="002C4F06">
        <w:rPr>
          <w:szCs w:val="24"/>
        </w:rPr>
        <w:t>compl</w:t>
      </w:r>
      <w:r w:rsidR="00813BB3">
        <w:rPr>
          <w:szCs w:val="24"/>
        </w:rPr>
        <w:t>ia</w:t>
      </w:r>
      <w:r w:rsidR="002C4F06">
        <w:rPr>
          <w:szCs w:val="24"/>
        </w:rPr>
        <w:t>nt sheeting</w:t>
      </w:r>
      <w:r w:rsidRPr="0039608E">
        <w:rPr>
          <w:szCs w:val="24"/>
        </w:rPr>
        <w:t xml:space="preserve"> to help motor vehicle operators see rail freight rolling stock at night and under conditions of poor visibility.  They are intended to reduce the number and severity of highway-rail grade crossing accidents and deaths, injuries, and property damage resulting from those accidents.  </w:t>
      </w:r>
    </w:p>
    <w:p w:rsidR="0039608E" w:rsidP="00803B3A" w14:paraId="5FB732C0" w14:textId="77777777">
      <w:pPr>
        <w:ind w:left="720"/>
        <w:rPr>
          <w:szCs w:val="24"/>
        </w:rPr>
      </w:pPr>
    </w:p>
    <w:p w:rsidR="00BD3753" w:rsidP="00803B3A" w14:paraId="48D9AC79" w14:textId="56A91CE8">
      <w:pPr>
        <w:ind w:left="720"/>
        <w:rPr>
          <w:szCs w:val="24"/>
        </w:rPr>
      </w:pPr>
      <w:r w:rsidRPr="00BD3753">
        <w:rPr>
          <w:szCs w:val="24"/>
        </w:rPr>
        <w:t xml:space="preserve">FRA uses the information collected to verify that the person responsible for the car reporting mark is notified after the required visual inspection when the freight equipment has less than 80 percent of the required retroreflective sheeting present, undamaged, or unobscured.  Further, FRA uses the information collected to verify that the required locomotive records of retroreflective sheeting defects found after inspection are kept in the locomotive cab or in a railroad accessible electronic database FRA can access upon request.  </w:t>
      </w:r>
      <w:r w:rsidR="0013093E">
        <w:rPr>
          <w:szCs w:val="24"/>
        </w:rPr>
        <w:t xml:space="preserve">Specifically, </w:t>
      </w:r>
      <w:r w:rsidRPr="00BD3753">
        <w:rPr>
          <w:szCs w:val="24"/>
        </w:rPr>
        <w:t>FRA uses the information collected to confirm that railroads/car owners meet the prescribed standards for the inspection and maintenance of the required retroreflective material.</w:t>
      </w:r>
    </w:p>
    <w:p w:rsidR="00BD3753" w:rsidP="00803B3A" w14:paraId="4B084DF8" w14:textId="77777777">
      <w:pPr>
        <w:ind w:left="720"/>
        <w:rPr>
          <w:szCs w:val="24"/>
        </w:rPr>
      </w:pPr>
    </w:p>
    <w:p w:rsidR="00BD3753" w:rsidP="00BD3753" w14:paraId="3ED0A278" w14:textId="1BC50AE9">
      <w:pPr>
        <w:ind w:left="720"/>
      </w:pPr>
      <w:r>
        <w:rPr>
          <w:szCs w:val="24"/>
        </w:rPr>
        <w:t>This</w:t>
      </w:r>
      <w:r w:rsidRPr="008134F7" w:rsidR="00803B3A">
        <w:rPr>
          <w:szCs w:val="24"/>
        </w:rPr>
        <w:t xml:space="preserve"> </w:t>
      </w:r>
      <w:r w:rsidR="000C607A">
        <w:rPr>
          <w:szCs w:val="24"/>
        </w:rPr>
        <w:t xml:space="preserve">final </w:t>
      </w:r>
      <w:r w:rsidRPr="008134F7" w:rsidR="00803B3A">
        <w:rPr>
          <w:szCs w:val="24"/>
        </w:rPr>
        <w:t xml:space="preserve">rule would eliminate the need for railroads to submit </w:t>
      </w:r>
      <w:r w:rsidR="001831B3">
        <w:rPr>
          <w:szCs w:val="24"/>
        </w:rPr>
        <w:t>petitions for waiver of compliance</w:t>
      </w:r>
      <w:r w:rsidRPr="008134F7" w:rsidR="00803B3A">
        <w:rPr>
          <w:szCs w:val="24"/>
        </w:rPr>
        <w:t xml:space="preserve"> (and repeated extensions of those waivers every 5 years) from </w:t>
      </w:r>
      <w:r w:rsidR="00F47122">
        <w:rPr>
          <w:szCs w:val="24"/>
        </w:rPr>
        <w:t>P</w:t>
      </w:r>
      <w:r w:rsidRPr="008134F7" w:rsidR="00803B3A">
        <w:rPr>
          <w:szCs w:val="24"/>
        </w:rPr>
        <w:t>art 22</w:t>
      </w:r>
      <w:r w:rsidR="00803B3A">
        <w:rPr>
          <w:szCs w:val="24"/>
        </w:rPr>
        <w:t>4</w:t>
      </w:r>
      <w:r w:rsidRPr="008134F7" w:rsidR="00803B3A">
        <w:rPr>
          <w:szCs w:val="24"/>
        </w:rPr>
        <w:t xml:space="preserve"> for certain older railroad equipment</w:t>
      </w:r>
      <w:r w:rsidR="00803B3A">
        <w:rPr>
          <w:szCs w:val="24"/>
        </w:rPr>
        <w:t xml:space="preserve"> used in THEERP operations</w:t>
      </w:r>
      <w:r w:rsidRPr="008134F7" w:rsidR="00803B3A">
        <w:rPr>
          <w:szCs w:val="24"/>
        </w:rPr>
        <w:t xml:space="preserve">, </w:t>
      </w:r>
      <w:r w:rsidR="00803B3A">
        <w:rPr>
          <w:szCs w:val="24"/>
        </w:rPr>
        <w:t xml:space="preserve">and </w:t>
      </w:r>
      <w:r w:rsidRPr="008134F7" w:rsidR="00803B3A">
        <w:rPr>
          <w:szCs w:val="24"/>
        </w:rPr>
        <w:t>eliminate the Federal government’s need to review and approve the waiver petitions and extension requests</w:t>
      </w:r>
      <w:r w:rsidR="00803B3A">
        <w:rPr>
          <w:szCs w:val="24"/>
        </w:rPr>
        <w:t>.</w:t>
      </w:r>
      <w:r w:rsidR="00C70728">
        <w:rPr>
          <w:szCs w:val="24"/>
        </w:rPr>
        <w:t xml:space="preserve"> </w:t>
      </w:r>
      <w:r w:rsidR="00803B3A">
        <w:rPr>
          <w:szCs w:val="24"/>
        </w:rPr>
        <w:t xml:space="preserve"> </w:t>
      </w:r>
      <w:r w:rsidRPr="00803B3A" w:rsidR="00803B3A">
        <w:t xml:space="preserve">Codifying these waivers would also provide the railroad industry with regulatory certainty as to the applicability of </w:t>
      </w:r>
      <w:r w:rsidR="00F47122">
        <w:t>P</w:t>
      </w:r>
      <w:r w:rsidRPr="00803B3A" w:rsidR="00803B3A">
        <w:t>art 224 to equipment used for THEERP purposes, while enhancing safety.</w:t>
      </w:r>
      <w:r w:rsidR="00C70728">
        <w:t xml:space="preserve">  </w:t>
      </w:r>
    </w:p>
    <w:p w:rsidR="000C607A" w:rsidP="00BD3753" w14:paraId="6B1A8528" w14:textId="77777777">
      <w:pPr>
        <w:ind w:left="720"/>
      </w:pPr>
    </w:p>
    <w:p w:rsidR="0013093E" w:rsidP="0013093E" w14:paraId="718E4A19" w14:textId="0FB1BD9B">
      <w:pPr>
        <w:ind w:left="720"/>
      </w:pPr>
      <w:r>
        <w:t xml:space="preserve">Lastly, this final rule would allow railroads and private car owners to replace retroreflective sheeting based on performance, instead of time, thus increasing efficient </w:t>
      </w:r>
      <w:r>
        <w:t>use of resources and reducing environmental waste from discarding retroreflective sheeting prior to the end of its useful life.</w:t>
      </w:r>
    </w:p>
    <w:p w:rsidR="001069B7" w14:paraId="05C23874" w14:textId="77777777">
      <w:pPr>
        <w:rPr>
          <w:b/>
        </w:rPr>
      </w:pPr>
    </w:p>
    <w:p w:rsidR="00AF2129" w:rsidRPr="00AD423C" w:rsidP="00AF2129" w14:paraId="06FC76FC" w14:textId="77777777">
      <w:pPr>
        <w:widowControl w:val="0"/>
        <w:ind w:left="720" w:hanging="720"/>
        <w:rPr>
          <w:b/>
        </w:rPr>
      </w:pPr>
      <w:r w:rsidRPr="00AD423C">
        <w:rPr>
          <w:b/>
        </w:rPr>
        <w:t>3.</w:t>
      </w:r>
      <w:r w:rsidRPr="00AD423C">
        <w:rPr>
          <w:b/>
        </w:rPr>
        <w:tab/>
      </w:r>
      <w:r w:rsidRPr="00AD423C">
        <w:rPr>
          <w:b/>
          <w:u w:val="single"/>
        </w:rPr>
        <w:t>Extent of automated information collection</w:t>
      </w:r>
      <w:r w:rsidRPr="00AD423C">
        <w:rPr>
          <w:b/>
        </w:rPr>
        <w:t>.</w:t>
      </w:r>
    </w:p>
    <w:p w:rsidR="001069B7" w14:paraId="1E6D67E8" w14:textId="77777777">
      <w:pPr>
        <w:rPr>
          <w:b/>
        </w:rPr>
      </w:pPr>
    </w:p>
    <w:p w:rsidR="001069B7" w:rsidP="00C86FDB" w14:paraId="73CD87D0" w14:textId="1C2D117F">
      <w:pPr>
        <w:ind w:left="720"/>
      </w:pPr>
      <w:r w:rsidRPr="00C86FDB">
        <w:t xml:space="preserve">FRA strongly encourages the use of advanced information technology, wherever possible, to reduce burden on respondents.  </w:t>
      </w:r>
      <w:r>
        <w:t xml:space="preserve">Specifically, under § 224.109(a), </w:t>
      </w:r>
      <w:r>
        <w:t xml:space="preserve">the </w:t>
      </w:r>
      <w:r>
        <w:t>inspecting railroad or contractor has the option to retain the required record (copy) of each such notification either in writing or electronically.</w:t>
      </w:r>
      <w:r>
        <w:t xml:space="preserve">  Additionally, u</w:t>
      </w:r>
      <w:r>
        <w:t>nder § 224.109(b), record</w:t>
      </w:r>
      <w:r>
        <w:t>s</w:t>
      </w:r>
      <w:r>
        <w:t xml:space="preserve"> may be maintained either in the locomotive cab or in a secure and accessible electronic database that is available to FRA upon request.  </w:t>
      </w:r>
    </w:p>
    <w:p w:rsidR="001069B7" w14:paraId="2EE02396" w14:textId="77777777"/>
    <w:p w:rsidR="006A68FE" w:rsidP="00C86FDB" w14:paraId="67C1F00E" w14:textId="0877B758">
      <w:pPr>
        <w:ind w:left="720"/>
      </w:pPr>
      <w:r>
        <w:t>For this information collection</w:t>
      </w:r>
      <w:r w:rsidRPr="00C86FDB">
        <w:t xml:space="preserve">, about </w:t>
      </w:r>
      <w:r w:rsidR="003970C5">
        <w:t xml:space="preserve">100 </w:t>
      </w:r>
      <w:r w:rsidR="001069B7">
        <w:t xml:space="preserve">percent of responses </w:t>
      </w:r>
      <w:r w:rsidR="00772F55">
        <w:t xml:space="preserve">are </w:t>
      </w:r>
      <w:r w:rsidR="001069B7">
        <w:t>submitted electronically</w:t>
      </w:r>
      <w:r w:rsidR="00772F55">
        <w:t xml:space="preserve"> to FRA</w:t>
      </w:r>
      <w:r w:rsidR="003970C5">
        <w:t xml:space="preserve"> upon request</w:t>
      </w:r>
      <w:r w:rsidR="001069B7">
        <w:t>.</w:t>
      </w:r>
    </w:p>
    <w:p w:rsidR="007900F1" w14:paraId="16233CA1" w14:textId="77777777">
      <w:pPr>
        <w:ind w:left="720"/>
        <w:rPr>
          <w:b/>
        </w:rPr>
      </w:pPr>
    </w:p>
    <w:p w:rsidR="001069B7" w14:paraId="60D9A369" w14:textId="77777777">
      <w:pPr>
        <w:ind w:left="720" w:hanging="720"/>
        <w:rPr>
          <w:b/>
        </w:rPr>
      </w:pPr>
      <w:r w:rsidRPr="00AD423C">
        <w:rPr>
          <w:b/>
        </w:rPr>
        <w:t>4.</w:t>
      </w:r>
      <w:r w:rsidRPr="00AD423C">
        <w:rPr>
          <w:b/>
        </w:rPr>
        <w:tab/>
      </w:r>
      <w:r w:rsidRPr="00AD423C">
        <w:rPr>
          <w:b/>
          <w:u w:val="single"/>
        </w:rPr>
        <w:t>Efforts to identify duplication</w:t>
      </w:r>
      <w:r w:rsidRPr="00AD423C">
        <w:rPr>
          <w:b/>
        </w:rPr>
        <w:t>.</w:t>
      </w:r>
    </w:p>
    <w:p w:rsidR="001069B7" w:rsidP="001B39CF" w14:paraId="185ED275" w14:textId="77777777">
      <w:pPr>
        <w:ind w:firstLine="720"/>
        <w:rPr>
          <w:b/>
        </w:rPr>
      </w:pPr>
    </w:p>
    <w:p w:rsidR="001069B7" w14:paraId="08BC87C8" w14:textId="77777777">
      <w:pPr>
        <w:ind w:left="720"/>
      </w:pPr>
      <w:r>
        <w:t xml:space="preserve">The information </w:t>
      </w:r>
      <w:r>
        <w:t xml:space="preserve">collection requirements </w:t>
      </w:r>
      <w:r>
        <w:t xml:space="preserve">– to FRA’s </w:t>
      </w:r>
      <w:r>
        <w:t>knowledge</w:t>
      </w:r>
      <w:r>
        <w:t xml:space="preserve"> – are </w:t>
      </w:r>
      <w:r>
        <w:t>not duplicated anywhere.</w:t>
      </w:r>
    </w:p>
    <w:p w:rsidR="001069B7" w14:paraId="43B1BCC0" w14:textId="77777777"/>
    <w:p w:rsidR="001069B7" w:rsidP="00367E8A" w14:paraId="14A2FB54" w14:textId="77777777">
      <w:pPr>
        <w:ind w:left="720"/>
      </w:pPr>
      <w:r>
        <w:t xml:space="preserve">Similar data are not available from any other source at this time.  </w:t>
      </w:r>
    </w:p>
    <w:p w:rsidR="001069B7" w:rsidP="000A220E" w14:paraId="4B90765E" w14:textId="77777777">
      <w:pPr>
        <w:ind w:left="720"/>
        <w:rPr>
          <w:b/>
        </w:rPr>
      </w:pPr>
    </w:p>
    <w:p w:rsidR="0086189C" w:rsidP="0086189C" w14:paraId="0019DE7A" w14:textId="77777777">
      <w:pPr>
        <w:widowControl w:val="0"/>
        <w:rPr>
          <w:color w:val="000000"/>
        </w:rPr>
      </w:pPr>
      <w:r w:rsidRPr="00AD423C">
        <w:rPr>
          <w:b/>
        </w:rPr>
        <w:t>5.</w:t>
      </w:r>
      <w:r w:rsidRPr="00AD423C">
        <w:rPr>
          <w:b/>
        </w:rPr>
        <w:tab/>
      </w:r>
      <w:r w:rsidRPr="00AD423C">
        <w:rPr>
          <w:b/>
          <w:u w:val="single"/>
        </w:rPr>
        <w:t>Efforts to minimize the burden on small businesses</w:t>
      </w:r>
      <w:r w:rsidRPr="00AD423C">
        <w:rPr>
          <w:b/>
        </w:rPr>
        <w:t>.</w:t>
      </w:r>
    </w:p>
    <w:p w:rsidR="001069B7" w14:paraId="7B789821" w14:textId="77777777">
      <w:pPr>
        <w:ind w:left="720" w:hanging="720"/>
        <w:rPr>
          <w:b/>
        </w:rPr>
      </w:pPr>
      <w:r>
        <w:rPr>
          <w:b/>
        </w:rPr>
        <w:tab/>
      </w:r>
      <w:r>
        <w:rPr>
          <w:b/>
        </w:rPr>
        <w:tab/>
      </w:r>
      <w:r>
        <w:rPr>
          <w:b/>
        </w:rPr>
        <w:tab/>
      </w:r>
      <w:r>
        <w:rPr>
          <w:b/>
        </w:rPr>
        <w:tab/>
      </w:r>
    </w:p>
    <w:p w:rsidR="00E85AFE" w:rsidRPr="00E85AFE" w:rsidP="00E85AFE" w14:paraId="40504F23" w14:textId="494792AA">
      <w:pPr>
        <w:ind w:left="720"/>
      </w:pPr>
      <w:r w:rsidRPr="00E85AFE">
        <w:t xml:space="preserve">The category of small businesses affected by </w:t>
      </w:r>
      <w:r w:rsidR="00B67598">
        <w:t>P</w:t>
      </w:r>
      <w:r w:rsidRPr="00E85AFE">
        <w:t>art 22</w:t>
      </w:r>
      <w:r>
        <w:t xml:space="preserve">4 </w:t>
      </w:r>
      <w:r w:rsidRPr="00E85AFE">
        <w:t xml:space="preserve">is all Class III freight railroads. Federal agencies may adopt their own size standards for small entities in consultation with the Small Business Administration and in conjunction with public comment. Pursuant to that authority, FRA has published a final policy that formally establishes “small entities” as railroads which meet the line haulage revenue requirements of a Class III railroad, which is annual carrier operating revenues of </w:t>
      </w:r>
      <w:r w:rsidRPr="00E85AFE" w:rsidR="4DFEFB30">
        <w:t>$47.3</w:t>
      </w:r>
      <w:r w:rsidRPr="00E85AFE">
        <w:t xml:space="preserve"> million or less after applying the Surface Transportation Board’s railroad revenue deflator formula, and commuter railroads or small governmental jurisdictions that serve populations of 50,000 or less.</w:t>
      </w:r>
      <w:r>
        <w:rPr>
          <w:vertAlign w:val="superscript"/>
        </w:rPr>
        <w:footnoteReference w:id="5"/>
      </w:r>
      <w:r w:rsidRPr="00E85AFE">
        <w:t xml:space="preserve"> </w:t>
      </w:r>
      <w:r>
        <w:t xml:space="preserve"> FRA is using this definition for the final rule. </w:t>
      </w:r>
    </w:p>
    <w:p w:rsidR="001C32A4" w:rsidP="001C32A4" w14:paraId="55CF6CA0" w14:textId="77777777">
      <w:pPr>
        <w:ind w:left="720"/>
      </w:pPr>
    </w:p>
    <w:p w:rsidR="001C32A4" w:rsidP="001C32A4" w14:paraId="177B64FA" w14:textId="132E1846">
      <w:pPr>
        <w:ind w:left="720"/>
      </w:pPr>
      <w:r>
        <w:t xml:space="preserve">Based on railroads that report to FRA under </w:t>
      </w:r>
      <w:r w:rsidR="001230F2">
        <w:t>P</w:t>
      </w:r>
      <w:r>
        <w:t>art 225 (Railroad Accidents/Incidents), FRA estimates the universe of small railroads consists of 74</w:t>
      </w:r>
      <w:r w:rsidR="00E85AFE">
        <w:t>5</w:t>
      </w:r>
      <w:r>
        <w:t xml:space="preserve"> Class III railroads.  The </w:t>
      </w:r>
      <w:r w:rsidR="00FF7C59">
        <w:t>final rule</w:t>
      </w:r>
      <w:r w:rsidR="00E85AFE">
        <w:t>’s</w:t>
      </w:r>
      <w:r>
        <w:t xml:space="preserve"> provision codifying waivers related to rail cars used in THEERP operations affects primarily the tourist railroads.  FRA estimates there are 1</w:t>
      </w:r>
      <w:r w:rsidR="00E85AFE">
        <w:t>46</w:t>
      </w:r>
      <w:r>
        <w:t xml:space="preserve"> tourist railroads that are Class III railroads to which the </w:t>
      </w:r>
      <w:r w:rsidR="00FF7C59">
        <w:t>final rule</w:t>
      </w:r>
      <w:r>
        <w:t xml:space="preserve"> would apply.  For the provision codifying the alternative method, FRA estimates 85 percent of the Class III universe that chooses to use the comparator panel to evaluate sheeting will be affected, or about </w:t>
      </w:r>
      <w:r w:rsidR="002643BC">
        <w:t>510</w:t>
      </w:r>
      <w:r>
        <w:t xml:space="preserve"> small railroads</w:t>
      </w:r>
      <w:r w:rsidR="00CB7B6C">
        <w:t xml:space="preserve"> (745-146 x 85%).</w:t>
      </w:r>
      <w:r>
        <w:t xml:space="preserve">  </w:t>
      </w:r>
    </w:p>
    <w:p w:rsidR="001C32A4" w:rsidP="001C32A4" w14:paraId="77830437" w14:textId="77777777">
      <w:pPr>
        <w:ind w:left="720"/>
      </w:pPr>
    </w:p>
    <w:p w:rsidR="001C32A4" w:rsidP="001C32A4" w14:paraId="5C74F6B2" w14:textId="76A4A675">
      <w:pPr>
        <w:ind w:left="720"/>
      </w:pPr>
      <w:r>
        <w:t xml:space="preserve">In addition, FRA knows of one manufacturer of comparator panels, specifically Avery Dennison Corp.  Avery Dennison employs more than 750 persons, the SBA </w:t>
      </w:r>
      <w:r w:rsidR="007E6E81">
        <w:t xml:space="preserve">threshold </w:t>
      </w:r>
      <w:r>
        <w:t xml:space="preserve">for large businesses.  There are other manufacturers of retroreflective sheeting; </w:t>
      </w:r>
      <w:r w:rsidR="45FE901F">
        <w:t xml:space="preserve">in addition to Avery Dennison </w:t>
      </w:r>
      <w:r>
        <w:t>FRA is aware of ORAFOL Americas, Inc, a subsidiary of the ORAFOL Group, that has purchased Reflexite Corp., and the 3M Co.  Both</w:t>
      </w:r>
      <w:r w:rsidR="19F7B04C">
        <w:t xml:space="preserve"> ORAFOL and 3M </w:t>
      </w:r>
      <w:r>
        <w:t xml:space="preserve"> currently do not make comparator panels and are large businesses.</w:t>
      </w:r>
    </w:p>
    <w:p w:rsidR="00E85AFE" w:rsidP="001C32A4" w14:paraId="280F4DF9" w14:textId="77777777">
      <w:pPr>
        <w:ind w:left="720"/>
      </w:pPr>
    </w:p>
    <w:p w:rsidR="00E85AFE" w:rsidP="001C32A4" w14:paraId="0359E2B6" w14:textId="730C1623">
      <w:pPr>
        <w:ind w:left="720"/>
      </w:pPr>
      <w:r>
        <w:t xml:space="preserve">To minimize </w:t>
      </w:r>
      <w:r w:rsidR="00A176ED">
        <w:t xml:space="preserve">burden, </w:t>
      </w:r>
      <w:r>
        <w:t>small entities</w:t>
      </w:r>
      <w:r w:rsidR="00A176ED">
        <w:t xml:space="preserve"> that operate rate rail freight rolling stock used in THEERP operations will no longer need to file waivers for relief from the Reflectorization Standards. </w:t>
      </w:r>
    </w:p>
    <w:p w:rsidR="005B182C" w:rsidP="001C32A4" w14:paraId="2BF48786" w14:textId="77777777">
      <w:pPr>
        <w:ind w:left="720"/>
      </w:pPr>
    </w:p>
    <w:p w:rsidR="001069B7" w14:paraId="41AD62C3" w14:textId="77777777">
      <w:pPr>
        <w:rPr>
          <w:b/>
        </w:rPr>
      </w:pPr>
      <w:r w:rsidRPr="00AD423C">
        <w:rPr>
          <w:b/>
        </w:rPr>
        <w:t>6.</w:t>
      </w:r>
      <w:r w:rsidRPr="00AD423C">
        <w:rPr>
          <w:b/>
        </w:rPr>
        <w:tab/>
      </w:r>
      <w:r w:rsidRPr="00AD423C">
        <w:rPr>
          <w:b/>
          <w:u w:val="single"/>
        </w:rPr>
        <w:t>Impact of less frequent collection of information</w:t>
      </w:r>
      <w:r w:rsidRPr="00AD423C">
        <w:rPr>
          <w:b/>
        </w:rPr>
        <w:t>.</w:t>
      </w:r>
    </w:p>
    <w:p w:rsidR="005C069A" w14:paraId="33B2A5C9" w14:textId="77777777">
      <w:pPr>
        <w:rPr>
          <w:b/>
        </w:rPr>
      </w:pPr>
    </w:p>
    <w:p w:rsidR="004766A3" w14:paraId="78198EB2" w14:textId="48CD4C52">
      <w:pPr>
        <w:ind w:left="5040" w:hanging="4320"/>
      </w:pPr>
      <w:r>
        <w:t>This</w:t>
      </w:r>
      <w:r w:rsidR="001069B7">
        <w:t xml:space="preserve"> collection of information is another tool that enhances FRA’s ability to</w:t>
      </w:r>
    </w:p>
    <w:p w:rsidR="004766A3" w14:paraId="07843708" w14:textId="77777777">
      <w:pPr>
        <w:ind w:left="5040" w:hanging="4320"/>
      </w:pPr>
      <w:r>
        <w:t>promote and augment national rail safety, save lives, and reduce property damage by</w:t>
      </w:r>
    </w:p>
    <w:p w:rsidR="004766A3" w14:paraId="763FE4D3" w14:textId="77777777">
      <w:pPr>
        <w:ind w:left="5040" w:hanging="4320"/>
      </w:pPr>
      <w:r>
        <w:t>monitoring and enforcing, where necessary, the full reflectorization of freight cars and</w:t>
      </w:r>
    </w:p>
    <w:p w:rsidR="004766A3" w14:paraId="0C3A7854" w14:textId="77777777">
      <w:pPr>
        <w:ind w:left="5040" w:hanging="4320"/>
      </w:pPr>
      <w:r>
        <w:t xml:space="preserve">locomotive fleets by railroads and </w:t>
      </w:r>
      <w:r w:rsidR="000F61EF">
        <w:t xml:space="preserve">other </w:t>
      </w:r>
      <w:r>
        <w:t>car owners.  Installation of reflective tape</w:t>
      </w:r>
    </w:p>
    <w:p w:rsidR="004766A3" w14:paraId="3A26E3CA" w14:textId="77777777">
      <w:pPr>
        <w:ind w:left="5040" w:hanging="4320"/>
      </w:pPr>
      <w:r>
        <w:t>(reflectorization) increases the conspicuity/visibility</w:t>
      </w:r>
      <w:r w:rsidR="002B56B3">
        <w:t xml:space="preserve"> </w:t>
      </w:r>
      <w:r>
        <w:t>of freight cars so that motorists can</w:t>
      </w:r>
    </w:p>
    <w:p w:rsidR="008C24EE" w14:paraId="00FD9BD8" w14:textId="77777777">
      <w:pPr>
        <w:ind w:left="5040" w:hanging="4320"/>
      </w:pPr>
      <w:r>
        <w:t>more readily identify them and better judge their speed and distance.  This greater</w:t>
      </w:r>
    </w:p>
    <w:p w:rsidR="008C24EE" w14:paraId="1C5070AF" w14:textId="77777777">
      <w:pPr>
        <w:ind w:left="5040" w:hanging="4320"/>
      </w:pPr>
      <w:r>
        <w:t>visibility</w:t>
      </w:r>
      <w:r w:rsidR="00F2473B">
        <w:t xml:space="preserve"> </w:t>
      </w:r>
      <w:r>
        <w:t>will help prevent some accidents at highway-rail grade crossings, and will help</w:t>
      </w:r>
    </w:p>
    <w:p w:rsidR="008C24EE" w14:paraId="54FF9A6D" w14:textId="77777777">
      <w:pPr>
        <w:ind w:left="5040" w:hanging="4320"/>
      </w:pPr>
      <w:r>
        <w:t>to mitigate others by reducing the severity of those accidents which are unavoidable.  The</w:t>
      </w:r>
    </w:p>
    <w:p w:rsidR="008C24EE" w14:paraId="6CD43D6C" w14:textId="77777777">
      <w:pPr>
        <w:ind w:left="5040" w:hanging="4320"/>
      </w:pPr>
      <w:r>
        <w:t>collection of information then aids both FRA’s main mission and DOT’s number one</w:t>
      </w:r>
    </w:p>
    <w:p w:rsidR="008C24EE" w14:paraId="25453718" w14:textId="77777777">
      <w:pPr>
        <w:ind w:left="5040" w:hanging="4320"/>
      </w:pPr>
      <w:r>
        <w:t>Strategic Goal</w:t>
      </w:r>
      <w:r w:rsidR="00E92ADD">
        <w:t xml:space="preserve"> (</w:t>
      </w:r>
      <w:r w:rsidR="007131AC">
        <w:t>i.e.</w:t>
      </w:r>
      <w:r>
        <w:t>, safe transportation of people and goods and the reduction of the</w:t>
      </w:r>
    </w:p>
    <w:p w:rsidR="008C24EE" w14:paraId="6B5F6C0F" w14:textId="77777777">
      <w:pPr>
        <w:ind w:left="5040" w:hanging="4320"/>
      </w:pPr>
      <w:r>
        <w:t>number of injuries and fatalities and corresponding property damage which ensue from</w:t>
      </w:r>
    </w:p>
    <w:p w:rsidR="001069B7" w14:paraId="46C15B35" w14:textId="77777777">
      <w:pPr>
        <w:ind w:left="5040" w:hanging="4320"/>
        <w:rPr>
          <w:b/>
        </w:rPr>
      </w:pPr>
      <w:r>
        <w:t>transportation related accidents/incidents</w:t>
      </w:r>
      <w:r w:rsidR="00E92ADD">
        <w:t>)</w:t>
      </w:r>
      <w:r>
        <w:t xml:space="preserve">. </w:t>
      </w:r>
      <w:r>
        <w:tab/>
      </w:r>
    </w:p>
    <w:p w:rsidR="001069B7" w14:paraId="02D4DF7E" w14:textId="77777777">
      <w:pPr>
        <w:rPr>
          <w:b/>
        </w:rPr>
      </w:pPr>
    </w:p>
    <w:p w:rsidR="00B85B41" w:rsidP="00B85B41" w14:paraId="3B8E9314" w14:textId="77777777">
      <w:pPr>
        <w:widowControl w:val="0"/>
        <w:rPr>
          <w:b/>
        </w:rPr>
      </w:pPr>
      <w:r w:rsidRPr="00AD423C">
        <w:rPr>
          <w:b/>
        </w:rPr>
        <w:t>7.</w:t>
      </w:r>
      <w:r w:rsidRPr="00AD423C">
        <w:rPr>
          <w:b/>
        </w:rPr>
        <w:tab/>
      </w:r>
      <w:r w:rsidRPr="00AD423C">
        <w:rPr>
          <w:b/>
          <w:u w:val="single"/>
        </w:rPr>
        <w:t>Special circumstances</w:t>
      </w:r>
      <w:r w:rsidRPr="00AD423C">
        <w:rPr>
          <w:b/>
        </w:rPr>
        <w:t>.</w:t>
      </w:r>
    </w:p>
    <w:p w:rsidR="001069B7" w14:paraId="67AD49D8" w14:textId="77777777">
      <w:pPr>
        <w:ind w:left="1440"/>
        <w:rPr>
          <w:b/>
        </w:rPr>
      </w:pPr>
    </w:p>
    <w:p w:rsidR="001069B7" w14:paraId="7DF6E3AB" w14:textId="77777777">
      <w:pPr>
        <w:ind w:left="720"/>
        <w:rPr>
          <w:b/>
        </w:rPr>
      </w:pPr>
      <w:r>
        <w:t>All information collection requirements are in compliance with this section.</w:t>
      </w:r>
    </w:p>
    <w:p w:rsidR="001069B7" w14:paraId="03890F29" w14:textId="77777777">
      <w:pPr>
        <w:rPr>
          <w:b/>
        </w:rPr>
      </w:pPr>
    </w:p>
    <w:p w:rsidR="001069B7" w:rsidP="00355B14" w14:paraId="3C174B12" w14:textId="77777777">
      <w:pPr>
        <w:ind w:left="720" w:hanging="720"/>
        <w:rPr>
          <w:b/>
        </w:rPr>
      </w:pPr>
      <w:r w:rsidRPr="00AD423C">
        <w:rPr>
          <w:b/>
        </w:rPr>
        <w:t>8.</w:t>
      </w:r>
      <w:r w:rsidRPr="00AD423C">
        <w:rPr>
          <w:b/>
        </w:rPr>
        <w:tab/>
      </w:r>
      <w:r w:rsidRPr="00AD423C">
        <w:rPr>
          <w:b/>
          <w:u w:val="single"/>
        </w:rPr>
        <w:t>Compliance with 5 CFR 1320.8</w:t>
      </w:r>
      <w:r w:rsidRPr="00AD423C">
        <w:rPr>
          <w:b/>
        </w:rPr>
        <w:t>.</w:t>
      </w:r>
    </w:p>
    <w:p w:rsidR="001069B7" w14:paraId="64A7CDB3" w14:textId="77777777">
      <w:pPr>
        <w:rPr>
          <w:b/>
        </w:rPr>
      </w:pPr>
    </w:p>
    <w:p w:rsidR="00A12364" w:rsidP="008C61F9" w14:paraId="77CE5A56" w14:textId="26A7FEC5">
      <w:pPr>
        <w:widowControl w:val="0"/>
        <w:ind w:left="720"/>
      </w:pPr>
      <w:r>
        <w:t>FRA publish</w:t>
      </w:r>
      <w:r w:rsidR="0013093E">
        <w:t xml:space="preserve">ed </w:t>
      </w:r>
      <w:r>
        <w:t xml:space="preserve">a </w:t>
      </w:r>
      <w:r w:rsidR="007A3BC3">
        <w:t xml:space="preserve">Final Rulemaking in the Federal Register on </w:t>
      </w:r>
      <w:r w:rsidR="00DE5B3F">
        <w:t>January 27</w:t>
      </w:r>
      <w:r w:rsidR="007A3BC3">
        <w:t>, 202</w:t>
      </w:r>
      <w:r w:rsidR="00DE5B3F">
        <w:t>6</w:t>
      </w:r>
      <w:r>
        <w:rPr>
          <w:rStyle w:val="FootnoteReference"/>
        </w:rPr>
        <w:footnoteReference w:id="6"/>
      </w:r>
      <w:r>
        <w:t xml:space="preserve"> titled </w:t>
      </w:r>
      <w:r w:rsidRPr="497A9710">
        <w:rPr>
          <w:u w:val="single"/>
        </w:rPr>
        <w:t>Reflectorization of Rail Freight Rolling Stock; Codifying Existing Waivers</w:t>
      </w:r>
      <w:r w:rsidR="007A3BC3">
        <w:rPr>
          <w:u w:val="single"/>
        </w:rPr>
        <w:t>.</w:t>
      </w:r>
      <w:r>
        <w:t xml:space="preserve"> </w:t>
      </w:r>
      <w:r w:rsidR="00B105EF">
        <w:t xml:space="preserve"> </w:t>
      </w:r>
    </w:p>
    <w:p w:rsidR="008E0975" w:rsidP="008C61F9" w14:paraId="3979C79A" w14:textId="77777777">
      <w:pPr>
        <w:widowControl w:val="0"/>
        <w:ind w:left="720"/>
      </w:pPr>
    </w:p>
    <w:p w:rsidR="008E0975" w:rsidP="008C61F9" w14:paraId="49618E5E" w14:textId="61A6B0DD">
      <w:pPr>
        <w:widowControl w:val="0"/>
        <w:ind w:left="720"/>
      </w:pPr>
      <w:r>
        <w:t>FRA received two comments in response to the NPRM published on July 21, 2022</w:t>
      </w:r>
      <w:r>
        <w:rPr>
          <w:rStyle w:val="FootnoteReference"/>
        </w:rPr>
        <w:footnoteReference w:id="7"/>
      </w:r>
      <w:r>
        <w:t>. These comments included the Association of American Railroads (AAR) and the Railway Supply Institute (RSI) both in support of the proposed updates. The details of these comments and FRA response are covered in the final rule document.</w:t>
      </w:r>
    </w:p>
    <w:p w:rsidR="008F6353" w14:paraId="3B9FABA5" w14:textId="77777777">
      <w:pPr>
        <w:ind w:left="720"/>
        <w:rPr>
          <w:u w:val="single"/>
        </w:rPr>
      </w:pPr>
    </w:p>
    <w:p w:rsidR="001069B7" w14:paraId="7788B2C7" w14:textId="77777777">
      <w:pPr>
        <w:ind w:left="720" w:hanging="720"/>
        <w:rPr>
          <w:b/>
        </w:rPr>
      </w:pPr>
      <w:r w:rsidRPr="00AD423C">
        <w:rPr>
          <w:b/>
        </w:rPr>
        <w:t>9.</w:t>
      </w:r>
      <w:r w:rsidRPr="00AD423C">
        <w:rPr>
          <w:b/>
        </w:rPr>
        <w:tab/>
      </w:r>
      <w:r w:rsidRPr="00AD423C">
        <w:rPr>
          <w:b/>
          <w:u w:val="single"/>
        </w:rPr>
        <w:t>Payments or gifts to respondents</w:t>
      </w:r>
      <w:r w:rsidRPr="00AD423C">
        <w:rPr>
          <w:b/>
        </w:rPr>
        <w:t>.</w:t>
      </w:r>
    </w:p>
    <w:p w:rsidR="001069B7" w14:paraId="523F7454" w14:textId="77777777">
      <w:pPr>
        <w:rPr>
          <w:b/>
        </w:rPr>
      </w:pPr>
    </w:p>
    <w:p w:rsidR="001069B7" w14:paraId="675E940E" w14:textId="77777777">
      <w:pPr>
        <w:ind w:left="720"/>
        <w:rPr>
          <w:b/>
        </w:rPr>
      </w:pPr>
      <w:r>
        <w:t>There are no monetary payments provided or gifts made to respondents associated with the information collection requirements contained in this regulation.</w:t>
      </w:r>
    </w:p>
    <w:p w:rsidR="001069B7" w14:paraId="3262B940" w14:textId="77777777">
      <w:pPr>
        <w:rPr>
          <w:b/>
        </w:rPr>
      </w:pPr>
    </w:p>
    <w:p w:rsidR="007D08C5" w:rsidP="007D08C5" w14:paraId="10698FC3" w14:textId="77777777">
      <w:pPr>
        <w:widowControl w:val="0"/>
        <w:rPr>
          <w:b/>
        </w:rPr>
      </w:pPr>
      <w:r w:rsidRPr="00AD423C">
        <w:rPr>
          <w:b/>
        </w:rPr>
        <w:t>10.</w:t>
      </w:r>
      <w:r w:rsidRPr="00AD423C">
        <w:rPr>
          <w:b/>
        </w:rPr>
        <w:tab/>
      </w:r>
      <w:r w:rsidRPr="00AD423C">
        <w:rPr>
          <w:b/>
          <w:u w:val="single"/>
        </w:rPr>
        <w:t>Assurance of confidentiality</w:t>
      </w:r>
      <w:r w:rsidRPr="00AD423C">
        <w:rPr>
          <w:b/>
        </w:rPr>
        <w:t>.</w:t>
      </w:r>
    </w:p>
    <w:p w:rsidR="0091450D" w:rsidP="0091450D" w14:paraId="3CBCF891" w14:textId="77777777">
      <w:pPr>
        <w:ind w:left="720"/>
        <w:rPr>
          <w:b/>
        </w:rPr>
      </w:pPr>
    </w:p>
    <w:p w:rsidR="001069B7" w:rsidRPr="0091450D" w:rsidP="0091450D" w14:paraId="3898AC84" w14:textId="77777777">
      <w:pPr>
        <w:ind w:left="720"/>
      </w:pPr>
      <w:r w:rsidRPr="0091450D">
        <w:t>No assurances of confidentiality were made by FRA.  Information collected is not of a private nature.</w:t>
      </w:r>
    </w:p>
    <w:p w:rsidR="001069B7" w14:paraId="541F15A0" w14:textId="77777777">
      <w:pPr>
        <w:rPr>
          <w:b/>
        </w:rPr>
      </w:pPr>
    </w:p>
    <w:p w:rsidR="001069B7" w14:paraId="478D7484" w14:textId="77777777">
      <w:pPr>
        <w:ind w:left="720" w:hanging="720"/>
        <w:rPr>
          <w:b/>
        </w:rPr>
      </w:pPr>
      <w:r w:rsidRPr="00AD423C">
        <w:rPr>
          <w:b/>
        </w:rPr>
        <w:t>11.</w:t>
      </w:r>
      <w:r w:rsidRPr="00AD423C">
        <w:rPr>
          <w:b/>
        </w:rPr>
        <w:tab/>
      </w:r>
      <w:r w:rsidRPr="00AD423C">
        <w:rPr>
          <w:b/>
          <w:u w:val="single"/>
        </w:rPr>
        <w:t>Justification for any questions of a sensitive nature</w:t>
      </w:r>
      <w:r w:rsidRPr="00AD423C">
        <w:rPr>
          <w:b/>
        </w:rPr>
        <w:t>.</w:t>
      </w:r>
    </w:p>
    <w:p w:rsidR="00B25D95" w14:paraId="0C1DE2B4" w14:textId="77777777">
      <w:pPr>
        <w:ind w:left="720" w:hanging="720"/>
        <w:rPr>
          <w:b/>
        </w:rPr>
      </w:pPr>
    </w:p>
    <w:p w:rsidR="001069B7" w14:paraId="74E24276" w14:textId="77777777">
      <w:pPr>
        <w:ind w:left="720"/>
      </w:pPr>
      <w:r>
        <w:t>There are no questions or information of a sensitive nature, or data that would normally be considered private matters contained in this collection of information.</w:t>
      </w:r>
    </w:p>
    <w:p w:rsidR="00F501B1" w:rsidP="004B2288" w14:paraId="271C9B36" w14:textId="77777777"/>
    <w:p w:rsidR="005B00D0" w:rsidP="001A35CF" w14:paraId="0F7B214A" w14:textId="77777777">
      <w:pPr>
        <w:ind w:left="720" w:hanging="720"/>
        <w:rPr>
          <w:b/>
          <w:bCs/>
        </w:rPr>
      </w:pPr>
      <w:r w:rsidRPr="00AD423C">
        <w:rPr>
          <w:b/>
          <w:bCs/>
        </w:rPr>
        <w:t>12.        </w:t>
      </w:r>
      <w:r w:rsidRPr="00AD423C">
        <w:rPr>
          <w:b/>
          <w:bCs/>
          <w:u w:val="single"/>
        </w:rPr>
        <w:t>Estimate of burden hours for information collected</w:t>
      </w:r>
      <w:r w:rsidRPr="00AD423C">
        <w:rPr>
          <w:b/>
          <w:bCs/>
        </w:rPr>
        <w:t>.</w:t>
      </w:r>
    </w:p>
    <w:p w:rsidR="004B2288" w:rsidP="001A35CF" w14:paraId="01B8CFFB" w14:textId="77777777">
      <w:pPr>
        <w:ind w:left="720" w:hanging="720"/>
      </w:pPr>
    </w:p>
    <w:p w:rsidR="004B2288" w:rsidP="004B2288" w14:paraId="2A0F7739" w14:textId="77777777">
      <w:pPr>
        <w:ind w:left="720"/>
        <w:rPr>
          <w:bCs/>
        </w:rPr>
      </w:pPr>
      <w:r>
        <w:rPr>
          <w:bCs/>
        </w:rPr>
        <w:t>The</w:t>
      </w:r>
      <w:r w:rsidRPr="00667DDF">
        <w:rPr>
          <w:bCs/>
        </w:rPr>
        <w:t xml:space="preserve"> estimates for the respondent universe, annual responses, and average time per responses are based on the experience and expertise of FRA’s </w:t>
      </w:r>
      <w:r>
        <w:rPr>
          <w:bCs/>
        </w:rPr>
        <w:t xml:space="preserve">Office of Railroad Infrastructure and </w:t>
      </w:r>
      <w:r w:rsidRPr="003B478C">
        <w:rPr>
          <w:bCs/>
        </w:rPr>
        <w:t>Mechanical</w:t>
      </w:r>
      <w:r>
        <w:rPr>
          <w:bCs/>
        </w:rPr>
        <w:t xml:space="preserve"> Equipment</w:t>
      </w:r>
      <w:r w:rsidRPr="00667DDF">
        <w:rPr>
          <w:bCs/>
        </w:rPr>
        <w:t>.</w:t>
      </w:r>
      <w:r>
        <w:rPr>
          <w:bCs/>
        </w:rPr>
        <w:t xml:space="preserve">  </w:t>
      </w:r>
    </w:p>
    <w:p w:rsidR="004B2288" w:rsidP="004B2288" w14:paraId="2E5D918A" w14:textId="77777777">
      <w:pPr>
        <w:ind w:left="720"/>
        <w:rPr>
          <w:bCs/>
        </w:rPr>
      </w:pPr>
    </w:p>
    <w:p w:rsidR="004B2288" w:rsidRPr="003730FE" w:rsidP="004B2288" w14:paraId="56A51EB8" w14:textId="3CB27946">
      <w:pPr>
        <w:ind w:left="720"/>
      </w:pPr>
      <w:r w:rsidRPr="003730FE">
        <w:t>The number of United States retroreflective manufacture</w:t>
      </w:r>
      <w:r>
        <w:t xml:space="preserve">rs is estimated at </w:t>
      </w:r>
      <w:r w:rsidR="32217114">
        <w:t>t</w:t>
      </w:r>
      <w:r w:rsidR="4A64C122">
        <w:t>wo</w:t>
      </w:r>
      <w:r w:rsidRPr="003730FE">
        <w:t>.  Both make retroreflective material that complies with FRA’s regulation.  According to the Association of American Railroads (AAR) publication Railroad Facts (2019), the number of freight cars in the United States is 1</w:t>
      </w:r>
      <w:r>
        <w:t>,</w:t>
      </w:r>
      <w:r w:rsidRPr="003730FE">
        <w:t>6</w:t>
      </w:r>
      <w:r w:rsidR="0078470B">
        <w:t>75,511</w:t>
      </w:r>
      <w:r w:rsidRPr="003730FE">
        <w:t xml:space="preserve">, while the number of locomotives is </w:t>
      </w:r>
      <w:r w:rsidRPr="00F457B9" w:rsidR="00F457B9">
        <w:t>24</w:t>
      </w:r>
      <w:r w:rsidR="00F457B9">
        <w:t>,</w:t>
      </w:r>
      <w:r w:rsidRPr="00F457B9" w:rsidR="00F457B9">
        <w:t>597</w:t>
      </w:r>
      <w:r w:rsidRPr="003730FE">
        <w:t>.</w:t>
      </w:r>
    </w:p>
    <w:p w:rsidR="004B2288" w:rsidP="004B2288" w14:paraId="17984C8B" w14:textId="77777777">
      <w:pPr>
        <w:ind w:left="720"/>
        <w:rPr>
          <w:bCs/>
        </w:rPr>
      </w:pPr>
    </w:p>
    <w:p w:rsidR="004B2288" w:rsidP="004B2288" w14:paraId="1A7BC03F" w14:textId="2C3658FC">
      <w:pPr>
        <w:ind w:left="720"/>
        <w:rPr>
          <w:i/>
        </w:rPr>
      </w:pPr>
    </w:p>
    <w:p w:rsidR="00AD48B7" w:rsidP="004B2288" w14:paraId="5540C866" w14:textId="77777777">
      <w:pPr>
        <w:ind w:left="720"/>
        <w:rPr>
          <w:i/>
        </w:rPr>
        <w:sectPr w:rsidSect="004B2288">
          <w:headerReference w:type="even" r:id="rId9"/>
          <w:headerReference w:type="default" r:id="rId10"/>
          <w:footerReference w:type="even" r:id="rId11"/>
          <w:footerReference w:type="default" r:id="rId12"/>
          <w:pgSz w:w="12240" w:h="15840"/>
          <w:pgMar w:top="1350" w:right="1440" w:bottom="1920" w:left="1440" w:header="1350" w:footer="1440" w:gutter="0"/>
          <w:cols w:space="720"/>
          <w:titlePg/>
          <w:docGrid w:linePitch="326"/>
        </w:sectPr>
      </w:pPr>
    </w:p>
    <w:p w:rsidR="00AD48B7" w:rsidP="004B2288" w14:paraId="3C009310" w14:textId="69EA1BFE">
      <w:pPr>
        <w:ind w:left="720"/>
        <w:rPr>
          <w:i/>
        </w:rPr>
      </w:pPr>
    </w:p>
    <w:tbl>
      <w:tblPr>
        <w:tblW w:w="5338"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9"/>
        <w:gridCol w:w="1440"/>
        <w:gridCol w:w="1260"/>
        <w:gridCol w:w="990"/>
        <w:gridCol w:w="990"/>
        <w:gridCol w:w="810"/>
        <w:gridCol w:w="1260"/>
        <w:gridCol w:w="3690"/>
      </w:tblGrid>
      <w:tr w14:paraId="36E83188" w14:textId="63532C71" w:rsidTr="00FD1BE7">
        <w:tblPrEx>
          <w:tblW w:w="5338"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trPr>
        <w:tc>
          <w:tcPr>
            <w:tcW w:w="1107" w:type="pct"/>
            <w:shd w:val="clear" w:color="auto" w:fill="auto"/>
            <w:hideMark/>
          </w:tcPr>
          <w:p w:rsidR="00995C78" w:rsidRPr="001C4725" w:rsidP="00096A8C" w14:paraId="2C6B10AD" w14:textId="77777777">
            <w:pPr>
              <w:jc w:val="center"/>
              <w:rPr>
                <w:color w:val="000000"/>
                <w:sz w:val="20"/>
              </w:rPr>
            </w:pPr>
            <w:r w:rsidRPr="00C0625A">
              <w:rPr>
                <w:color w:val="000000"/>
                <w:sz w:val="20"/>
              </w:rPr>
              <w:t>CFR Section</w:t>
            </w:r>
          </w:p>
        </w:tc>
        <w:tc>
          <w:tcPr>
            <w:tcW w:w="537" w:type="pct"/>
            <w:shd w:val="clear" w:color="auto" w:fill="auto"/>
            <w:hideMark/>
          </w:tcPr>
          <w:p w:rsidR="00DC272C" w:rsidP="00096A8C" w14:paraId="3FB18251" w14:textId="77777777">
            <w:pPr>
              <w:jc w:val="center"/>
              <w:rPr>
                <w:color w:val="000000"/>
                <w:sz w:val="20"/>
              </w:rPr>
            </w:pPr>
            <w:r w:rsidRPr="00C0625A">
              <w:rPr>
                <w:color w:val="000000"/>
                <w:sz w:val="20"/>
              </w:rPr>
              <w:t xml:space="preserve">Respondent </w:t>
            </w:r>
          </w:p>
          <w:p w:rsidR="00995C78" w:rsidRPr="001C4725" w:rsidP="00096A8C" w14:paraId="226B8FF2" w14:textId="0ED94179">
            <w:pPr>
              <w:jc w:val="center"/>
              <w:rPr>
                <w:color w:val="000000"/>
                <w:sz w:val="20"/>
              </w:rPr>
            </w:pPr>
            <w:r w:rsidRPr="00C0625A">
              <w:rPr>
                <w:color w:val="000000"/>
                <w:sz w:val="20"/>
              </w:rPr>
              <w:t>Universe</w:t>
            </w:r>
          </w:p>
        </w:tc>
        <w:tc>
          <w:tcPr>
            <w:tcW w:w="470" w:type="pct"/>
            <w:shd w:val="clear" w:color="auto" w:fill="auto"/>
            <w:hideMark/>
          </w:tcPr>
          <w:p w:rsidR="00FB40EF" w:rsidP="00096A8C" w14:paraId="080600BA" w14:textId="77777777">
            <w:pPr>
              <w:jc w:val="center"/>
              <w:rPr>
                <w:color w:val="000000"/>
                <w:sz w:val="20"/>
              </w:rPr>
            </w:pPr>
            <w:r w:rsidRPr="00C0625A">
              <w:rPr>
                <w:color w:val="000000"/>
                <w:sz w:val="20"/>
              </w:rPr>
              <w:t xml:space="preserve">Total </w:t>
            </w:r>
          </w:p>
          <w:p w:rsidR="00FB40EF" w:rsidP="00096A8C" w14:paraId="0DCF47F7" w14:textId="29283F02">
            <w:pPr>
              <w:jc w:val="center"/>
              <w:rPr>
                <w:color w:val="000000"/>
                <w:sz w:val="20"/>
              </w:rPr>
            </w:pPr>
            <w:r w:rsidRPr="00C0625A">
              <w:rPr>
                <w:color w:val="000000"/>
                <w:sz w:val="20"/>
              </w:rPr>
              <w:t xml:space="preserve">Annual </w:t>
            </w:r>
          </w:p>
          <w:p w:rsidR="00FB40EF" w:rsidP="00096A8C" w14:paraId="63250464" w14:textId="77777777">
            <w:pPr>
              <w:jc w:val="center"/>
              <w:rPr>
                <w:color w:val="000000"/>
                <w:sz w:val="20"/>
              </w:rPr>
            </w:pPr>
            <w:r w:rsidRPr="00C0625A">
              <w:rPr>
                <w:color w:val="000000"/>
                <w:sz w:val="20"/>
              </w:rPr>
              <w:t>Responses</w:t>
            </w:r>
          </w:p>
          <w:p w:rsidR="00995C78" w:rsidRPr="00FD1BE7" w:rsidP="00096A8C" w14:paraId="137DFB40" w14:textId="4CDA0600">
            <w:pPr>
              <w:jc w:val="center"/>
              <w:rPr>
                <w:color w:val="000000"/>
                <w:sz w:val="16"/>
                <w:szCs w:val="16"/>
              </w:rPr>
            </w:pPr>
            <w:r w:rsidRPr="00FD1BE7">
              <w:rPr>
                <w:color w:val="000000"/>
                <w:sz w:val="16"/>
                <w:szCs w:val="16"/>
              </w:rPr>
              <w:t xml:space="preserve"> (A)</w:t>
            </w:r>
          </w:p>
        </w:tc>
        <w:tc>
          <w:tcPr>
            <w:tcW w:w="369" w:type="pct"/>
            <w:shd w:val="clear" w:color="auto" w:fill="auto"/>
            <w:hideMark/>
          </w:tcPr>
          <w:p w:rsidR="00B17F71" w:rsidP="00096A8C" w14:paraId="2CA23A36" w14:textId="77777777">
            <w:pPr>
              <w:jc w:val="center"/>
              <w:rPr>
                <w:color w:val="000000"/>
                <w:sz w:val="20"/>
              </w:rPr>
            </w:pPr>
            <w:r w:rsidRPr="00C0625A">
              <w:rPr>
                <w:color w:val="000000"/>
                <w:sz w:val="20"/>
              </w:rPr>
              <w:t xml:space="preserve">Average </w:t>
            </w:r>
          </w:p>
          <w:p w:rsidR="00B17F71" w:rsidP="00B17F71" w14:paraId="2918C209" w14:textId="25E354BD">
            <w:pPr>
              <w:jc w:val="center"/>
              <w:rPr>
                <w:color w:val="000000"/>
                <w:sz w:val="20"/>
              </w:rPr>
            </w:pPr>
            <w:r w:rsidRPr="00C0625A">
              <w:rPr>
                <w:color w:val="000000"/>
                <w:sz w:val="20"/>
              </w:rPr>
              <w:t>Time</w:t>
            </w:r>
            <w:r>
              <w:rPr>
                <w:color w:val="000000"/>
                <w:sz w:val="20"/>
              </w:rPr>
              <w:t xml:space="preserve"> </w:t>
            </w:r>
            <w:r w:rsidRPr="00C0625A">
              <w:rPr>
                <w:color w:val="000000"/>
                <w:sz w:val="20"/>
              </w:rPr>
              <w:t xml:space="preserve">per </w:t>
            </w:r>
          </w:p>
          <w:p w:rsidR="00B17F71" w:rsidP="00096A8C" w14:paraId="789D82EC" w14:textId="77777777">
            <w:pPr>
              <w:jc w:val="center"/>
              <w:rPr>
                <w:color w:val="000000"/>
                <w:sz w:val="20"/>
              </w:rPr>
            </w:pPr>
            <w:r w:rsidRPr="00C0625A">
              <w:rPr>
                <w:color w:val="000000"/>
                <w:sz w:val="20"/>
              </w:rPr>
              <w:t>Response</w:t>
            </w:r>
          </w:p>
          <w:p w:rsidR="00995C78" w:rsidRPr="001C4725" w:rsidP="00096A8C" w14:paraId="631C92E6" w14:textId="2797762E">
            <w:pPr>
              <w:jc w:val="center"/>
              <w:rPr>
                <w:color w:val="000000"/>
                <w:sz w:val="20"/>
              </w:rPr>
            </w:pPr>
            <w:r w:rsidRPr="00C0625A">
              <w:rPr>
                <w:color w:val="000000"/>
                <w:sz w:val="20"/>
              </w:rPr>
              <w:t xml:space="preserve"> </w:t>
            </w:r>
            <w:r w:rsidRPr="00FD1BE7">
              <w:rPr>
                <w:color w:val="000000"/>
                <w:sz w:val="16"/>
                <w:szCs w:val="16"/>
              </w:rPr>
              <w:t>(B)</w:t>
            </w:r>
          </w:p>
        </w:tc>
        <w:tc>
          <w:tcPr>
            <w:tcW w:w="369" w:type="pct"/>
            <w:shd w:val="clear" w:color="auto" w:fill="auto"/>
            <w:hideMark/>
          </w:tcPr>
          <w:p w:rsidR="00B17F71" w:rsidP="00096A8C" w14:paraId="5D7BE489" w14:textId="77777777">
            <w:pPr>
              <w:jc w:val="center"/>
              <w:rPr>
                <w:color w:val="000000"/>
                <w:sz w:val="20"/>
              </w:rPr>
            </w:pPr>
            <w:r w:rsidRPr="00C0625A">
              <w:rPr>
                <w:color w:val="000000"/>
                <w:sz w:val="20"/>
              </w:rPr>
              <w:t xml:space="preserve">Total </w:t>
            </w:r>
          </w:p>
          <w:p w:rsidR="00B17F71" w:rsidP="00096A8C" w14:paraId="1E4BAD1B" w14:textId="77777777">
            <w:pPr>
              <w:jc w:val="center"/>
              <w:rPr>
                <w:color w:val="000000"/>
                <w:sz w:val="20"/>
              </w:rPr>
            </w:pPr>
            <w:r w:rsidRPr="00C0625A">
              <w:rPr>
                <w:color w:val="000000"/>
                <w:sz w:val="20"/>
              </w:rPr>
              <w:t xml:space="preserve">Annual </w:t>
            </w:r>
          </w:p>
          <w:p w:rsidR="005B182C" w:rsidP="00096A8C" w14:paraId="4A400A3E" w14:textId="20A613A0">
            <w:pPr>
              <w:jc w:val="center"/>
              <w:rPr>
                <w:color w:val="000000"/>
                <w:sz w:val="20"/>
              </w:rPr>
            </w:pPr>
            <w:r w:rsidRPr="00C0625A">
              <w:rPr>
                <w:color w:val="000000"/>
                <w:sz w:val="20"/>
              </w:rPr>
              <w:t xml:space="preserve">Burden </w:t>
            </w:r>
          </w:p>
          <w:p w:rsidR="00995C78" w:rsidRPr="001C4725" w:rsidP="00096A8C" w14:paraId="5A3C7ACA" w14:textId="2FD2EFA3">
            <w:pPr>
              <w:jc w:val="center"/>
              <w:rPr>
                <w:color w:val="000000"/>
                <w:sz w:val="20"/>
              </w:rPr>
            </w:pPr>
            <w:r w:rsidRPr="005B182C">
              <w:rPr>
                <w:color w:val="000000"/>
                <w:sz w:val="16"/>
                <w:szCs w:val="16"/>
              </w:rPr>
              <w:t xml:space="preserve">(C = A * B) </w:t>
            </w:r>
          </w:p>
        </w:tc>
        <w:tc>
          <w:tcPr>
            <w:tcW w:w="302" w:type="pct"/>
          </w:tcPr>
          <w:p w:rsidR="00B17F71" w:rsidP="00096A8C" w14:paraId="68BDFF51" w14:textId="77777777">
            <w:pPr>
              <w:jc w:val="center"/>
              <w:rPr>
                <w:color w:val="000000"/>
                <w:sz w:val="20"/>
              </w:rPr>
            </w:pPr>
            <w:r>
              <w:rPr>
                <w:color w:val="000000"/>
                <w:sz w:val="20"/>
              </w:rPr>
              <w:t>Wage</w:t>
            </w:r>
          </w:p>
          <w:p w:rsidR="00995C78" w:rsidP="00096A8C" w14:paraId="4C15CAAC" w14:textId="1D369620">
            <w:pPr>
              <w:jc w:val="center"/>
              <w:rPr>
                <w:color w:val="000000"/>
                <w:sz w:val="20"/>
              </w:rPr>
            </w:pPr>
            <w:r>
              <w:rPr>
                <w:color w:val="000000"/>
                <w:sz w:val="20"/>
              </w:rPr>
              <w:t xml:space="preserve"> </w:t>
            </w:r>
            <w:r w:rsidR="00B17F71">
              <w:rPr>
                <w:color w:val="000000"/>
                <w:sz w:val="20"/>
              </w:rPr>
              <w:t>R</w:t>
            </w:r>
            <w:r>
              <w:rPr>
                <w:color w:val="000000"/>
                <w:sz w:val="20"/>
              </w:rPr>
              <w:t>ate</w:t>
            </w:r>
            <w:r>
              <w:rPr>
                <w:rStyle w:val="FootnoteReference"/>
                <w:color w:val="000000"/>
                <w:sz w:val="20"/>
              </w:rPr>
              <w:footnoteReference w:id="8"/>
            </w:r>
          </w:p>
          <w:p w:rsidR="00995C78" w:rsidRPr="00C0625A" w:rsidP="005B182C" w14:paraId="0D572A2C" w14:textId="5AD7772A">
            <w:pPr>
              <w:rPr>
                <w:color w:val="000000"/>
                <w:sz w:val="20"/>
              </w:rPr>
            </w:pPr>
          </w:p>
        </w:tc>
        <w:tc>
          <w:tcPr>
            <w:tcW w:w="470" w:type="pct"/>
            <w:shd w:val="clear" w:color="auto" w:fill="auto"/>
            <w:hideMark/>
          </w:tcPr>
          <w:p w:rsidR="005B182C" w:rsidP="00096A8C" w14:paraId="2BF9F905" w14:textId="77777777">
            <w:pPr>
              <w:jc w:val="center"/>
              <w:rPr>
                <w:color w:val="000000"/>
                <w:sz w:val="20"/>
              </w:rPr>
            </w:pPr>
            <w:r w:rsidRPr="00C0625A">
              <w:rPr>
                <w:color w:val="000000"/>
                <w:sz w:val="20"/>
              </w:rPr>
              <w:t>Total Cost</w:t>
            </w:r>
          </w:p>
          <w:p w:rsidR="007B5F45" w:rsidP="00096A8C" w14:paraId="29C7D177" w14:textId="77777777">
            <w:pPr>
              <w:jc w:val="center"/>
              <w:rPr>
                <w:color w:val="000000"/>
                <w:sz w:val="20"/>
              </w:rPr>
            </w:pPr>
            <w:r w:rsidRPr="00C0625A">
              <w:rPr>
                <w:color w:val="000000"/>
                <w:sz w:val="20"/>
              </w:rPr>
              <w:t xml:space="preserve"> Equivalent </w:t>
            </w:r>
          </w:p>
          <w:p w:rsidR="00995C78" w:rsidRPr="00C0625A" w:rsidP="00096A8C" w14:paraId="5D3F6D2D" w14:textId="2DD5C550">
            <w:pPr>
              <w:jc w:val="center"/>
              <w:rPr>
                <w:color w:val="000000"/>
                <w:sz w:val="20"/>
              </w:rPr>
            </w:pPr>
            <w:r w:rsidRPr="00C0625A">
              <w:rPr>
                <w:color w:val="000000"/>
                <w:sz w:val="20"/>
              </w:rPr>
              <w:t>U.S.D</w:t>
            </w:r>
          </w:p>
          <w:p w:rsidR="00995C78" w:rsidRPr="001C4725" w:rsidP="00096A8C" w14:paraId="654C305C" w14:textId="69638338">
            <w:pPr>
              <w:jc w:val="center"/>
              <w:rPr>
                <w:color w:val="000000"/>
                <w:sz w:val="20"/>
              </w:rPr>
            </w:pPr>
            <w:r w:rsidRPr="005B182C">
              <w:rPr>
                <w:color w:val="000000"/>
                <w:sz w:val="16"/>
                <w:szCs w:val="16"/>
              </w:rPr>
              <w:t>(D = C * wage rates)</w:t>
            </w:r>
            <w:r w:rsidRPr="005B182C">
              <w:rPr>
                <w:rStyle w:val="FootnoteReference"/>
                <w:color w:val="000000"/>
                <w:sz w:val="16"/>
                <w:szCs w:val="16"/>
              </w:rPr>
              <w:t xml:space="preserve"> </w:t>
            </w:r>
          </w:p>
        </w:tc>
        <w:tc>
          <w:tcPr>
            <w:tcW w:w="1376" w:type="pct"/>
          </w:tcPr>
          <w:p w:rsidR="00995C78" w:rsidRPr="00C0625A" w:rsidP="00AD48B7" w14:paraId="08DCD5FA" w14:textId="7F793E99">
            <w:pPr>
              <w:jc w:val="center"/>
              <w:rPr>
                <w:color w:val="000000"/>
                <w:sz w:val="20"/>
              </w:rPr>
            </w:pPr>
            <w:r>
              <w:rPr>
                <w:color w:val="000000"/>
                <w:sz w:val="20"/>
              </w:rPr>
              <w:t>PRA Analyses</w:t>
            </w:r>
          </w:p>
        </w:tc>
      </w:tr>
      <w:tr w14:paraId="7A8D190A" w14:textId="77777777" w:rsidTr="00FD1BE7">
        <w:tblPrEx>
          <w:tblW w:w="5338" w:type="pct"/>
          <w:tblInd w:w="-275" w:type="dxa"/>
          <w:tblLayout w:type="fixed"/>
          <w:tblLook w:val="04A0"/>
        </w:tblPrEx>
        <w:trPr>
          <w:trHeight w:val="278"/>
        </w:trPr>
        <w:tc>
          <w:tcPr>
            <w:tcW w:w="5000" w:type="pct"/>
            <w:gridSpan w:val="8"/>
            <w:shd w:val="clear" w:color="auto" w:fill="auto"/>
          </w:tcPr>
          <w:p w:rsidR="0068388F" w:rsidP="00FD1BE7" w14:paraId="2F0764CB" w14:textId="57C21E8F">
            <w:pPr>
              <w:rPr>
                <w:color w:val="000000"/>
                <w:sz w:val="20"/>
              </w:rPr>
            </w:pPr>
            <w:r w:rsidRPr="00FD1BE7">
              <w:rPr>
                <w:b/>
                <w:bCs/>
                <w:color w:val="000000"/>
                <w:sz w:val="20"/>
              </w:rPr>
              <w:t>224.7 Waivers</w:t>
            </w:r>
          </w:p>
        </w:tc>
      </w:tr>
      <w:tr w14:paraId="386EBDE1" w14:textId="1B099304" w:rsidTr="00FD1BE7">
        <w:tblPrEx>
          <w:tblW w:w="5338" w:type="pct"/>
          <w:tblInd w:w="-275" w:type="dxa"/>
          <w:tblLayout w:type="fixed"/>
          <w:tblLook w:val="04A0"/>
        </w:tblPrEx>
        <w:trPr>
          <w:trHeight w:val="2582"/>
        </w:trPr>
        <w:tc>
          <w:tcPr>
            <w:tcW w:w="1107" w:type="pct"/>
            <w:shd w:val="clear" w:color="auto" w:fill="auto"/>
            <w:hideMark/>
          </w:tcPr>
          <w:p w:rsidR="00855277" w:rsidP="00096A8C" w14:paraId="4CCBDE15" w14:textId="7CFF5C6F">
            <w:pPr>
              <w:rPr>
                <w:color w:val="000000"/>
                <w:sz w:val="20"/>
              </w:rPr>
            </w:pPr>
            <w:r w:rsidRPr="001C4725">
              <w:rPr>
                <w:color w:val="000000"/>
                <w:sz w:val="20"/>
              </w:rPr>
              <w:t>—Waivers</w:t>
            </w:r>
          </w:p>
          <w:p w:rsidR="00995C78" w:rsidRPr="001C4725" w:rsidP="00096A8C" w14:paraId="04C10EC5" w14:textId="6B8A0E60">
            <w:pPr>
              <w:rPr>
                <w:color w:val="000000"/>
                <w:sz w:val="20"/>
              </w:rPr>
            </w:pPr>
            <w:r w:rsidRPr="00FD1BE7">
              <w:rPr>
                <w:i/>
                <w:iCs/>
                <w:color w:val="000000"/>
                <w:sz w:val="20"/>
              </w:rPr>
              <w:t>(Revised requirement</w:t>
            </w:r>
            <w:r w:rsidRPr="001C4725">
              <w:rPr>
                <w:color w:val="000000"/>
                <w:sz w:val="20"/>
              </w:rPr>
              <w:t xml:space="preserve"> due to proposed revision under § 224.3)</w:t>
            </w:r>
          </w:p>
        </w:tc>
        <w:tc>
          <w:tcPr>
            <w:tcW w:w="537" w:type="pct"/>
            <w:shd w:val="clear" w:color="auto" w:fill="auto"/>
            <w:hideMark/>
          </w:tcPr>
          <w:p w:rsidR="00BA367C" w14:paraId="75D93F86" w14:textId="0ECFB627">
            <w:pPr>
              <w:jc w:val="center"/>
              <w:rPr>
                <w:color w:val="000000"/>
                <w:sz w:val="20"/>
              </w:rPr>
            </w:pPr>
            <w:r w:rsidRPr="001C4725">
              <w:rPr>
                <w:color w:val="000000"/>
                <w:sz w:val="20"/>
              </w:rPr>
              <w:t>72</w:t>
            </w:r>
            <w:r>
              <w:rPr>
                <w:color w:val="000000"/>
                <w:sz w:val="20"/>
              </w:rPr>
              <w:t>7</w:t>
            </w:r>
            <w:r w:rsidRPr="001C4725">
              <w:rPr>
                <w:color w:val="000000"/>
                <w:sz w:val="20"/>
              </w:rPr>
              <w:t xml:space="preserve"> </w:t>
            </w:r>
          </w:p>
          <w:p w:rsidR="00FB40EF" w:rsidP="005B182C" w14:paraId="20982F97" w14:textId="77777777">
            <w:pPr>
              <w:jc w:val="center"/>
              <w:rPr>
                <w:color w:val="000000"/>
                <w:sz w:val="20"/>
              </w:rPr>
            </w:pPr>
            <w:r w:rsidRPr="001C4725">
              <w:rPr>
                <w:color w:val="000000"/>
                <w:sz w:val="20"/>
              </w:rPr>
              <w:t xml:space="preserve">railroads </w:t>
            </w:r>
          </w:p>
          <w:p w:rsidR="00995C78" w:rsidRPr="001C4725" w:rsidP="005B182C" w14:paraId="7D603F4E" w14:textId="2E58D2B5">
            <w:pPr>
              <w:jc w:val="center"/>
              <w:rPr>
                <w:color w:val="000000"/>
                <w:sz w:val="20"/>
              </w:rPr>
            </w:pPr>
            <w:r w:rsidRPr="001C4725">
              <w:rPr>
                <w:color w:val="000000"/>
                <w:sz w:val="20"/>
              </w:rPr>
              <w:t>and freight car</w:t>
            </w:r>
            <w:r w:rsidRPr="001C4725">
              <w:rPr>
                <w:color w:val="000000"/>
                <w:sz w:val="20"/>
              </w:rPr>
              <w:br/>
              <w:t>owners</w:t>
            </w:r>
          </w:p>
        </w:tc>
        <w:tc>
          <w:tcPr>
            <w:tcW w:w="470" w:type="pct"/>
            <w:shd w:val="clear" w:color="auto" w:fill="auto"/>
            <w:hideMark/>
          </w:tcPr>
          <w:p w:rsidR="00995C78" w:rsidP="005B182C" w14:paraId="11D1EEB8" w14:textId="77777777">
            <w:pPr>
              <w:jc w:val="center"/>
              <w:rPr>
                <w:color w:val="000000"/>
                <w:sz w:val="20"/>
              </w:rPr>
            </w:pPr>
            <w:r>
              <w:rPr>
                <w:color w:val="000000"/>
                <w:sz w:val="20"/>
              </w:rPr>
              <w:t>1</w:t>
            </w:r>
          </w:p>
          <w:p w:rsidR="00995C78" w:rsidRPr="001C4725" w:rsidP="005B182C" w14:paraId="706985D3" w14:textId="13E34B71">
            <w:pPr>
              <w:jc w:val="center"/>
              <w:rPr>
                <w:color w:val="000000"/>
                <w:sz w:val="20"/>
              </w:rPr>
            </w:pPr>
            <w:r w:rsidRPr="001C4725">
              <w:rPr>
                <w:color w:val="000000"/>
                <w:sz w:val="20"/>
              </w:rPr>
              <w:t>petition</w:t>
            </w:r>
          </w:p>
        </w:tc>
        <w:tc>
          <w:tcPr>
            <w:tcW w:w="369" w:type="pct"/>
            <w:shd w:val="clear" w:color="auto" w:fill="auto"/>
            <w:hideMark/>
          </w:tcPr>
          <w:p w:rsidR="00995C78" w:rsidP="005B182C" w14:paraId="043AD4FE" w14:textId="7AA167E4">
            <w:pPr>
              <w:jc w:val="center"/>
              <w:rPr>
                <w:color w:val="000000"/>
                <w:sz w:val="20"/>
              </w:rPr>
            </w:pPr>
            <w:r w:rsidRPr="001C4725">
              <w:rPr>
                <w:color w:val="000000"/>
                <w:sz w:val="20"/>
              </w:rPr>
              <w:t>8</w:t>
            </w:r>
          </w:p>
          <w:p w:rsidR="00995C78" w:rsidRPr="001C4725" w:rsidP="005B182C" w14:paraId="1B3FDE79" w14:textId="215991CB">
            <w:pPr>
              <w:jc w:val="center"/>
              <w:rPr>
                <w:color w:val="000000"/>
                <w:sz w:val="20"/>
              </w:rPr>
            </w:pPr>
            <w:r w:rsidRPr="001C4725">
              <w:rPr>
                <w:color w:val="000000"/>
                <w:sz w:val="20"/>
              </w:rPr>
              <w:t>hours</w:t>
            </w:r>
          </w:p>
        </w:tc>
        <w:tc>
          <w:tcPr>
            <w:tcW w:w="369" w:type="pct"/>
            <w:shd w:val="clear" w:color="auto" w:fill="auto"/>
            <w:hideMark/>
          </w:tcPr>
          <w:p w:rsidR="00995C78" w:rsidP="005B182C" w14:paraId="5E64FA36" w14:textId="1A81DB40">
            <w:pPr>
              <w:jc w:val="center"/>
              <w:rPr>
                <w:color w:val="000000"/>
                <w:sz w:val="20"/>
              </w:rPr>
            </w:pPr>
            <w:r>
              <w:rPr>
                <w:color w:val="000000"/>
                <w:sz w:val="20"/>
              </w:rPr>
              <w:t>8</w:t>
            </w:r>
          </w:p>
          <w:p w:rsidR="00995C78" w:rsidRPr="001C4725" w:rsidP="005B182C" w14:paraId="7C46944E" w14:textId="22E5A12D">
            <w:pPr>
              <w:jc w:val="center"/>
              <w:rPr>
                <w:color w:val="000000"/>
                <w:sz w:val="20"/>
              </w:rPr>
            </w:pPr>
            <w:r w:rsidRPr="001C4725">
              <w:rPr>
                <w:color w:val="000000"/>
                <w:sz w:val="20"/>
              </w:rPr>
              <w:t>hours</w:t>
            </w:r>
          </w:p>
        </w:tc>
        <w:tc>
          <w:tcPr>
            <w:tcW w:w="302" w:type="pct"/>
          </w:tcPr>
          <w:p w:rsidR="00995C78" w:rsidRPr="007651DB" w:rsidP="00FD1BE7" w14:paraId="7B359130" w14:textId="67F2EFCC">
            <w:pPr>
              <w:jc w:val="center"/>
              <w:rPr>
                <w:color w:val="000000"/>
                <w:sz w:val="20"/>
              </w:rPr>
            </w:pPr>
            <w:r>
              <w:rPr>
                <w:color w:val="000000"/>
                <w:sz w:val="20"/>
              </w:rPr>
              <w:t>$90.19</w:t>
            </w:r>
          </w:p>
        </w:tc>
        <w:tc>
          <w:tcPr>
            <w:tcW w:w="470" w:type="pct"/>
            <w:shd w:val="clear" w:color="auto" w:fill="auto"/>
            <w:hideMark/>
          </w:tcPr>
          <w:p w:rsidR="00995C78" w:rsidRPr="001C4725" w:rsidP="00FD1BE7" w14:paraId="3AB4780F" w14:textId="044845D1">
            <w:pPr>
              <w:jc w:val="center"/>
              <w:rPr>
                <w:color w:val="000000"/>
                <w:sz w:val="20"/>
              </w:rPr>
            </w:pPr>
            <w:r>
              <w:rPr>
                <w:color w:val="000000"/>
                <w:sz w:val="20"/>
              </w:rPr>
              <w:t>$721.52</w:t>
            </w:r>
          </w:p>
        </w:tc>
        <w:tc>
          <w:tcPr>
            <w:tcW w:w="1376" w:type="pct"/>
          </w:tcPr>
          <w:p w:rsidR="00995C78" w:rsidRPr="001C4725" w:rsidP="00AD48B7" w14:paraId="5959C6F6" w14:textId="5AD4939D">
            <w:pPr>
              <w:rPr>
                <w:color w:val="000000"/>
                <w:sz w:val="20"/>
              </w:rPr>
            </w:pPr>
            <w:r w:rsidRPr="00AD48B7">
              <w:rPr>
                <w:color w:val="000000"/>
                <w:sz w:val="20"/>
              </w:rPr>
              <w:t>Any person subject to a requirement of this Part may petition the Administrator for a waiver of compliance with such a requirement.  The filing of such a petition does not affect that person’s responsibility for compliance with that requirement while the petition is being considered.  Each petition for waiver under this section must be filed in the manner and contain the information required by Part 211 of this chapter.</w:t>
            </w:r>
          </w:p>
        </w:tc>
      </w:tr>
      <w:tr w14:paraId="23DD6511" w14:textId="77777777" w:rsidTr="00FD1BE7">
        <w:tblPrEx>
          <w:tblW w:w="5338" w:type="pct"/>
          <w:tblInd w:w="-275" w:type="dxa"/>
          <w:tblLayout w:type="fixed"/>
          <w:tblLook w:val="04A0"/>
        </w:tblPrEx>
        <w:trPr>
          <w:trHeight w:val="288"/>
        </w:trPr>
        <w:tc>
          <w:tcPr>
            <w:tcW w:w="5000" w:type="pct"/>
            <w:gridSpan w:val="8"/>
            <w:shd w:val="clear" w:color="auto" w:fill="auto"/>
          </w:tcPr>
          <w:p w:rsidR="007B1C7E" w:rsidRPr="00AD48B7" w:rsidP="00AD48B7" w14:paraId="598A25EA" w14:textId="1E032CCD">
            <w:pPr>
              <w:rPr>
                <w:color w:val="000000"/>
                <w:sz w:val="20"/>
              </w:rPr>
            </w:pPr>
            <w:r w:rsidRPr="00FD1BE7">
              <w:rPr>
                <w:b/>
                <w:bCs/>
                <w:color w:val="000000"/>
                <w:sz w:val="20"/>
              </w:rPr>
              <w:t>224.15 Special approval procedures</w:t>
            </w:r>
          </w:p>
        </w:tc>
      </w:tr>
      <w:tr w14:paraId="6504098E" w14:textId="6432A248" w:rsidTr="00FD1BE7">
        <w:tblPrEx>
          <w:tblW w:w="5338" w:type="pct"/>
          <w:tblInd w:w="-275" w:type="dxa"/>
          <w:tblLayout w:type="fixed"/>
          <w:tblLook w:val="04A0"/>
        </w:tblPrEx>
        <w:trPr>
          <w:trHeight w:val="1871"/>
        </w:trPr>
        <w:tc>
          <w:tcPr>
            <w:tcW w:w="1107" w:type="pct"/>
            <w:shd w:val="clear" w:color="auto" w:fill="auto"/>
            <w:hideMark/>
          </w:tcPr>
          <w:p w:rsidR="00995C78" w:rsidRPr="001C4725" w:rsidP="00096A8C" w14:paraId="0B771FD5" w14:textId="4F22AC09">
            <w:pPr>
              <w:rPr>
                <w:color w:val="000000"/>
                <w:sz w:val="20"/>
              </w:rPr>
            </w:pPr>
            <w:r>
              <w:rPr>
                <w:color w:val="000000"/>
                <w:sz w:val="20"/>
              </w:rPr>
              <w:t>—</w:t>
            </w:r>
            <w:r w:rsidRPr="001C4725">
              <w:rPr>
                <w:color w:val="000000"/>
                <w:sz w:val="20"/>
              </w:rPr>
              <w:t>(b)</w:t>
            </w:r>
            <w:r>
              <w:rPr>
                <w:color w:val="000000"/>
                <w:sz w:val="20"/>
              </w:rPr>
              <w:t xml:space="preserve"> </w:t>
            </w:r>
            <w:r w:rsidRPr="001C4725">
              <w:rPr>
                <w:color w:val="000000"/>
                <w:sz w:val="20"/>
              </w:rPr>
              <w:t>Petitions for special approval of alternative</w:t>
            </w:r>
            <w:r w:rsidRPr="001C4725">
              <w:rPr>
                <w:color w:val="000000"/>
                <w:sz w:val="20"/>
              </w:rPr>
              <w:br/>
              <w:t>standard</w:t>
            </w:r>
          </w:p>
        </w:tc>
        <w:tc>
          <w:tcPr>
            <w:tcW w:w="537" w:type="pct"/>
            <w:shd w:val="clear" w:color="auto" w:fill="auto"/>
            <w:hideMark/>
          </w:tcPr>
          <w:p w:rsidR="009E43EC" w:rsidP="005B182C" w14:paraId="7E36BA48" w14:textId="77777777">
            <w:pPr>
              <w:jc w:val="center"/>
              <w:rPr>
                <w:color w:val="000000" w:themeColor="text1"/>
                <w:sz w:val="20"/>
              </w:rPr>
            </w:pPr>
            <w:r w:rsidRPr="2AB00111">
              <w:rPr>
                <w:color w:val="000000" w:themeColor="text1"/>
                <w:sz w:val="20"/>
              </w:rPr>
              <w:t xml:space="preserve">2 </w:t>
            </w:r>
          </w:p>
          <w:p w:rsidR="00995C78" w:rsidRPr="001C4725" w:rsidP="005B182C" w14:paraId="740CDF9B" w14:textId="05ADF904">
            <w:pPr>
              <w:jc w:val="center"/>
              <w:rPr>
                <w:color w:val="000000"/>
                <w:sz w:val="20"/>
              </w:rPr>
            </w:pPr>
            <w:r w:rsidRPr="2AB00111">
              <w:rPr>
                <w:color w:val="000000" w:themeColor="text1"/>
                <w:sz w:val="20"/>
              </w:rPr>
              <w:t>manufacturers</w:t>
            </w:r>
            <w:r>
              <w:rPr>
                <w:rStyle w:val="FootnoteReference"/>
                <w:color w:val="000000" w:themeColor="text1"/>
                <w:sz w:val="20"/>
              </w:rPr>
              <w:footnoteReference w:id="9"/>
            </w:r>
          </w:p>
        </w:tc>
        <w:tc>
          <w:tcPr>
            <w:tcW w:w="470" w:type="pct"/>
            <w:shd w:val="clear" w:color="auto" w:fill="auto"/>
            <w:hideMark/>
          </w:tcPr>
          <w:p w:rsidR="00995C78" w:rsidP="005B182C" w14:paraId="7D3D1675" w14:textId="2D4F654A">
            <w:pPr>
              <w:jc w:val="center"/>
              <w:rPr>
                <w:color w:val="000000"/>
                <w:sz w:val="20"/>
              </w:rPr>
            </w:pPr>
            <w:r w:rsidRPr="001C4725">
              <w:rPr>
                <w:color w:val="000000"/>
                <w:sz w:val="20"/>
              </w:rPr>
              <w:t>1</w:t>
            </w:r>
          </w:p>
          <w:p w:rsidR="00995C78" w:rsidRPr="001C4725" w:rsidP="005B182C" w14:paraId="2CEB241D" w14:textId="00B3652D">
            <w:pPr>
              <w:jc w:val="center"/>
              <w:rPr>
                <w:color w:val="000000"/>
                <w:sz w:val="20"/>
              </w:rPr>
            </w:pPr>
            <w:r w:rsidRPr="001C4725">
              <w:rPr>
                <w:color w:val="000000"/>
                <w:sz w:val="20"/>
              </w:rPr>
              <w:t>petition</w:t>
            </w:r>
          </w:p>
        </w:tc>
        <w:tc>
          <w:tcPr>
            <w:tcW w:w="369" w:type="pct"/>
            <w:shd w:val="clear" w:color="auto" w:fill="auto"/>
            <w:hideMark/>
          </w:tcPr>
          <w:p w:rsidR="00995C78" w:rsidP="005B182C" w14:paraId="150B481D" w14:textId="7A7E200E">
            <w:pPr>
              <w:jc w:val="center"/>
              <w:rPr>
                <w:color w:val="000000"/>
                <w:sz w:val="20"/>
              </w:rPr>
            </w:pPr>
            <w:r w:rsidRPr="001C4725">
              <w:rPr>
                <w:color w:val="000000"/>
                <w:sz w:val="20"/>
              </w:rPr>
              <w:t>40</w:t>
            </w:r>
          </w:p>
          <w:p w:rsidR="00995C78" w:rsidRPr="001C4725" w:rsidP="005B182C" w14:paraId="53D5281A" w14:textId="7563E9BF">
            <w:pPr>
              <w:jc w:val="center"/>
              <w:rPr>
                <w:color w:val="000000"/>
                <w:sz w:val="20"/>
              </w:rPr>
            </w:pPr>
            <w:r w:rsidRPr="001C4725">
              <w:rPr>
                <w:color w:val="000000"/>
                <w:sz w:val="20"/>
              </w:rPr>
              <w:t>hours</w:t>
            </w:r>
          </w:p>
        </w:tc>
        <w:tc>
          <w:tcPr>
            <w:tcW w:w="369" w:type="pct"/>
            <w:shd w:val="clear" w:color="auto" w:fill="auto"/>
            <w:hideMark/>
          </w:tcPr>
          <w:p w:rsidR="00995C78" w:rsidP="005B182C" w14:paraId="5371BA59" w14:textId="5635C2F0">
            <w:pPr>
              <w:jc w:val="center"/>
              <w:rPr>
                <w:color w:val="000000"/>
                <w:sz w:val="20"/>
              </w:rPr>
            </w:pPr>
            <w:r w:rsidRPr="001C4725">
              <w:rPr>
                <w:color w:val="000000"/>
                <w:sz w:val="20"/>
              </w:rPr>
              <w:t>40</w:t>
            </w:r>
          </w:p>
          <w:p w:rsidR="00995C78" w:rsidRPr="001C4725" w:rsidP="005B182C" w14:paraId="337056CC" w14:textId="4CAAE721">
            <w:pPr>
              <w:jc w:val="center"/>
              <w:rPr>
                <w:color w:val="000000"/>
                <w:sz w:val="20"/>
              </w:rPr>
            </w:pPr>
            <w:r w:rsidRPr="001C4725">
              <w:rPr>
                <w:color w:val="000000"/>
                <w:sz w:val="20"/>
              </w:rPr>
              <w:t>hours</w:t>
            </w:r>
          </w:p>
        </w:tc>
        <w:tc>
          <w:tcPr>
            <w:tcW w:w="302" w:type="pct"/>
          </w:tcPr>
          <w:p w:rsidR="00995C78" w:rsidRPr="001C4725" w:rsidP="00FD1BE7" w14:paraId="65D4EE3E" w14:textId="363E8A96">
            <w:pPr>
              <w:jc w:val="center"/>
              <w:rPr>
                <w:color w:val="000000"/>
                <w:sz w:val="20"/>
              </w:rPr>
            </w:pPr>
            <w:r>
              <w:rPr>
                <w:color w:val="000000"/>
                <w:sz w:val="20"/>
              </w:rPr>
              <w:t>$90.19</w:t>
            </w:r>
          </w:p>
        </w:tc>
        <w:tc>
          <w:tcPr>
            <w:tcW w:w="470" w:type="pct"/>
            <w:shd w:val="clear" w:color="auto" w:fill="auto"/>
            <w:hideMark/>
          </w:tcPr>
          <w:p w:rsidR="00995C78" w:rsidRPr="001C4725" w:rsidP="00FD1BE7" w14:paraId="77BE926B" w14:textId="2C38E91E">
            <w:pPr>
              <w:jc w:val="center"/>
              <w:rPr>
                <w:color w:val="000000"/>
                <w:sz w:val="20"/>
              </w:rPr>
            </w:pPr>
            <w:r>
              <w:rPr>
                <w:color w:val="000000"/>
                <w:sz w:val="20"/>
              </w:rPr>
              <w:t>$3,607.60</w:t>
            </w:r>
          </w:p>
        </w:tc>
        <w:tc>
          <w:tcPr>
            <w:tcW w:w="1376" w:type="pct"/>
          </w:tcPr>
          <w:p w:rsidR="00995C78" w:rsidP="005B182C" w14:paraId="4A562869" w14:textId="77777777">
            <w:pPr>
              <w:rPr>
                <w:color w:val="000000"/>
                <w:sz w:val="20"/>
              </w:rPr>
            </w:pPr>
            <w:r w:rsidRPr="00AD48B7">
              <w:rPr>
                <w:color w:val="000000"/>
                <w:sz w:val="20"/>
              </w:rPr>
              <w:t>Each petition for special approval of an alternative standard must be submitted to the Docket Clerk, Office of Chief Counsel, Federal Railroad Administration, RCC-10, Mail Stop-10, 1200 New Jersey Avenue, SE, Washington, D.C. 20590.</w:t>
            </w:r>
          </w:p>
          <w:p w:rsidR="00AF6B63" w:rsidRPr="001C4725" w:rsidP="005B182C" w14:paraId="058898F9" w14:textId="08CFF885">
            <w:pPr>
              <w:rPr>
                <w:color w:val="000000"/>
                <w:sz w:val="20"/>
              </w:rPr>
            </w:pPr>
            <w:r>
              <w:rPr>
                <w:color w:val="000000"/>
                <w:sz w:val="20"/>
              </w:rPr>
              <w:t>Note: PRA requirements for alternative stand</w:t>
            </w:r>
            <w:r w:rsidR="00297FF1">
              <w:rPr>
                <w:color w:val="000000"/>
                <w:sz w:val="20"/>
              </w:rPr>
              <w:t>ards (</w:t>
            </w:r>
            <w:r w:rsidR="002637C1">
              <w:rPr>
                <w:color w:val="000000"/>
                <w:sz w:val="20"/>
              </w:rPr>
              <w:t>§</w:t>
            </w:r>
            <w:r w:rsidR="0008253A">
              <w:rPr>
                <w:color w:val="000000"/>
                <w:sz w:val="20"/>
              </w:rPr>
              <w:t>24.103(e)</w:t>
            </w:r>
            <w:r w:rsidR="00297FF1">
              <w:rPr>
                <w:color w:val="000000"/>
                <w:sz w:val="20"/>
              </w:rPr>
              <w:t xml:space="preserve"> are included in this section. </w:t>
            </w:r>
          </w:p>
        </w:tc>
      </w:tr>
      <w:tr w14:paraId="6895B6F4" w14:textId="04C4B295" w:rsidTr="00FD1BE7">
        <w:tblPrEx>
          <w:tblW w:w="5338" w:type="pct"/>
          <w:tblInd w:w="-275" w:type="dxa"/>
          <w:tblLayout w:type="fixed"/>
          <w:tblLook w:val="04A0"/>
        </w:tblPrEx>
        <w:trPr>
          <w:trHeight w:val="530"/>
        </w:trPr>
        <w:tc>
          <w:tcPr>
            <w:tcW w:w="1107" w:type="pct"/>
            <w:shd w:val="clear" w:color="auto" w:fill="auto"/>
            <w:hideMark/>
          </w:tcPr>
          <w:p w:rsidR="00550AC1" w:rsidRPr="001C4725" w:rsidP="00096A8C" w14:paraId="7D757C93" w14:textId="77777777">
            <w:pPr>
              <w:rPr>
                <w:color w:val="000000"/>
                <w:sz w:val="20"/>
              </w:rPr>
            </w:pPr>
            <w:r w:rsidRPr="001C4725">
              <w:rPr>
                <w:color w:val="000000"/>
                <w:sz w:val="20"/>
              </w:rPr>
              <w:t>—(d)(3) Hearing on the petition in accordance with the procedures provided in § 211.25</w:t>
            </w:r>
          </w:p>
        </w:tc>
        <w:tc>
          <w:tcPr>
            <w:tcW w:w="3893" w:type="pct"/>
            <w:gridSpan w:val="7"/>
            <w:shd w:val="clear" w:color="auto" w:fill="auto"/>
            <w:hideMark/>
          </w:tcPr>
          <w:p w:rsidR="00550AC1" w:rsidRPr="001C4725" w:rsidP="00AD48B7" w14:paraId="0903A1BA" w14:textId="68AD44C7">
            <w:pPr>
              <w:rPr>
                <w:color w:val="000000"/>
                <w:sz w:val="20"/>
              </w:rPr>
            </w:pPr>
            <w:r w:rsidRPr="001C4725">
              <w:rPr>
                <w:color w:val="000000"/>
                <w:sz w:val="20"/>
              </w:rPr>
              <w:t>FRA does not believe that it will not need any additional information to consider any submitted petitions under the above requirement.  Consequently, there is no burden associated with this provision.</w:t>
            </w:r>
          </w:p>
        </w:tc>
      </w:tr>
      <w:tr w14:paraId="3840446F" w14:textId="6B600B64" w:rsidTr="00FD1BE7">
        <w:tblPrEx>
          <w:tblW w:w="5338" w:type="pct"/>
          <w:tblInd w:w="-275" w:type="dxa"/>
          <w:tblLayout w:type="fixed"/>
          <w:tblLook w:val="04A0"/>
        </w:tblPrEx>
        <w:trPr>
          <w:trHeight w:val="264"/>
        </w:trPr>
        <w:tc>
          <w:tcPr>
            <w:tcW w:w="1107" w:type="pct"/>
            <w:shd w:val="clear" w:color="auto" w:fill="auto"/>
            <w:hideMark/>
          </w:tcPr>
          <w:p w:rsidR="00550AC1" w:rsidRPr="001C4725" w:rsidP="00096A8C" w14:paraId="52988C9A" w14:textId="77777777">
            <w:pPr>
              <w:rPr>
                <w:color w:val="000000"/>
                <w:sz w:val="20"/>
              </w:rPr>
            </w:pPr>
            <w:r w:rsidRPr="001C4725">
              <w:rPr>
                <w:color w:val="000000"/>
                <w:sz w:val="20"/>
              </w:rPr>
              <w:t>—(e) Disposition of petitions</w:t>
            </w:r>
          </w:p>
        </w:tc>
        <w:tc>
          <w:tcPr>
            <w:tcW w:w="3893" w:type="pct"/>
            <w:gridSpan w:val="7"/>
            <w:shd w:val="clear" w:color="auto" w:fill="auto"/>
            <w:hideMark/>
          </w:tcPr>
          <w:p w:rsidR="00550AC1" w:rsidRPr="001C4725" w:rsidP="00AD48B7" w14:paraId="5EA1DA10" w14:textId="34F42036">
            <w:pPr>
              <w:rPr>
                <w:color w:val="000000"/>
                <w:sz w:val="20"/>
              </w:rPr>
            </w:pPr>
            <w:r>
              <w:rPr>
                <w:color w:val="000000"/>
                <w:sz w:val="20"/>
              </w:rPr>
              <w:t xml:space="preserve">This requirement is exempt </w:t>
            </w:r>
            <w:r w:rsidRPr="001C4725">
              <w:rPr>
                <w:color w:val="000000"/>
                <w:sz w:val="20"/>
              </w:rPr>
              <w:t>from PRA under 5 CFR 1320.4(2).</w:t>
            </w:r>
          </w:p>
        </w:tc>
      </w:tr>
      <w:tr w14:paraId="4C9213A2" w14:textId="77777777" w:rsidTr="00E46178">
        <w:tblPrEx>
          <w:tblW w:w="5338" w:type="pct"/>
          <w:tblInd w:w="-275" w:type="dxa"/>
          <w:tblLayout w:type="fixed"/>
          <w:tblLook w:val="04A0"/>
        </w:tblPrEx>
        <w:trPr>
          <w:trHeight w:val="264"/>
        </w:trPr>
        <w:tc>
          <w:tcPr>
            <w:tcW w:w="5000" w:type="pct"/>
            <w:gridSpan w:val="8"/>
            <w:shd w:val="clear" w:color="auto" w:fill="auto"/>
          </w:tcPr>
          <w:p w:rsidR="00E46178" w:rsidP="00AD48B7" w14:paraId="60483124" w14:textId="09879019">
            <w:pPr>
              <w:rPr>
                <w:color w:val="000000"/>
                <w:sz w:val="20"/>
              </w:rPr>
            </w:pPr>
            <w:r w:rsidRPr="00FD1BE7">
              <w:rPr>
                <w:b/>
                <w:bCs/>
                <w:color w:val="000000"/>
                <w:sz w:val="20"/>
              </w:rPr>
              <w:t>224.103 Characteristics of retroreflective sheeting</w:t>
            </w:r>
          </w:p>
        </w:tc>
      </w:tr>
      <w:tr w14:paraId="26D8C0AA" w14:textId="17FD2FD4" w:rsidTr="00FD1BE7">
        <w:tblPrEx>
          <w:tblW w:w="5338" w:type="pct"/>
          <w:tblInd w:w="-275" w:type="dxa"/>
          <w:tblLayout w:type="fixed"/>
          <w:tblLook w:val="04A0"/>
        </w:tblPrEx>
        <w:trPr>
          <w:trHeight w:val="278"/>
        </w:trPr>
        <w:tc>
          <w:tcPr>
            <w:tcW w:w="1107" w:type="pct"/>
            <w:shd w:val="clear" w:color="auto" w:fill="auto"/>
          </w:tcPr>
          <w:p w:rsidR="00550AC1" w:rsidRPr="00C0625A" w:rsidP="00065F7D" w14:paraId="08F894C2" w14:textId="4A73D3F6">
            <w:pPr>
              <w:rPr>
                <w:color w:val="000000"/>
                <w:sz w:val="20"/>
              </w:rPr>
            </w:pPr>
            <w:r>
              <w:rPr>
                <w:sz w:val="20"/>
              </w:rPr>
              <w:t>—</w:t>
            </w:r>
            <w:r w:rsidRPr="00C0625A">
              <w:rPr>
                <w:sz w:val="20"/>
              </w:rPr>
              <w:t>(d)</w:t>
            </w:r>
            <w:r>
              <w:rPr>
                <w:sz w:val="20"/>
              </w:rPr>
              <w:t xml:space="preserve"> </w:t>
            </w:r>
            <w:r w:rsidR="006B033D">
              <w:rPr>
                <w:sz w:val="20"/>
              </w:rPr>
              <w:t xml:space="preserve"> </w:t>
            </w:r>
            <w:r w:rsidRPr="00C0625A">
              <w:rPr>
                <w:sz w:val="20"/>
              </w:rPr>
              <w:t>Certification</w:t>
            </w:r>
          </w:p>
        </w:tc>
        <w:tc>
          <w:tcPr>
            <w:tcW w:w="3893" w:type="pct"/>
            <w:gridSpan w:val="7"/>
            <w:shd w:val="clear" w:color="auto" w:fill="auto"/>
          </w:tcPr>
          <w:p w:rsidR="00550AC1" w:rsidRPr="0078470B" w:rsidP="00B703A0" w14:paraId="672094C8" w14:textId="7FFCC746">
            <w:pPr>
              <w:rPr>
                <w:sz w:val="20"/>
              </w:rPr>
            </w:pPr>
            <w:r w:rsidRPr="005B182C">
              <w:rPr>
                <w:color w:val="000000"/>
                <w:sz w:val="20"/>
              </w:rPr>
              <w:t>The requirements for this Part are included as part of the standard manufacturing process. </w:t>
            </w:r>
          </w:p>
        </w:tc>
      </w:tr>
      <w:tr w14:paraId="42F4D30A" w14:textId="77777777" w:rsidTr="00E46178">
        <w:tblPrEx>
          <w:tblW w:w="5338" w:type="pct"/>
          <w:tblInd w:w="-275" w:type="dxa"/>
          <w:tblLayout w:type="fixed"/>
          <w:tblLook w:val="04A0"/>
        </w:tblPrEx>
        <w:trPr>
          <w:trHeight w:val="264"/>
        </w:trPr>
        <w:tc>
          <w:tcPr>
            <w:tcW w:w="5000" w:type="pct"/>
            <w:gridSpan w:val="8"/>
            <w:shd w:val="clear" w:color="auto" w:fill="auto"/>
          </w:tcPr>
          <w:p w:rsidR="00E46178" w:rsidRPr="005B182C" w:rsidP="00065F7D" w14:paraId="01DE29C3" w14:textId="158D0244">
            <w:pPr>
              <w:rPr>
                <w:color w:val="000000"/>
                <w:sz w:val="20"/>
              </w:rPr>
            </w:pPr>
            <w:r w:rsidRPr="00FD1BE7">
              <w:rPr>
                <w:b/>
                <w:bCs/>
                <w:sz w:val="20"/>
              </w:rPr>
              <w:t xml:space="preserve">224.109 </w:t>
            </w:r>
            <w:r w:rsidRPr="00FD1BE7">
              <w:rPr>
                <w:b/>
                <w:bCs/>
                <w:color w:val="000000"/>
                <w:sz w:val="20"/>
              </w:rPr>
              <w:t>Inspection</w:t>
            </w:r>
            <w:r>
              <w:rPr>
                <w:b/>
                <w:bCs/>
                <w:color w:val="000000"/>
                <w:sz w:val="20"/>
              </w:rPr>
              <w:t xml:space="preserve"> and replacement of missing, damaged, or obscured retroreflective sheeting</w:t>
            </w:r>
            <w:r w:rsidRPr="00FD1BE7">
              <w:rPr>
                <w:b/>
                <w:bCs/>
                <w:color w:val="000000"/>
                <w:sz w:val="20"/>
              </w:rPr>
              <w:t xml:space="preserve"> repair and replacement </w:t>
            </w:r>
          </w:p>
        </w:tc>
      </w:tr>
      <w:tr w14:paraId="1DDD34CE" w14:textId="409B3E34" w:rsidTr="00FD1BE7">
        <w:tblPrEx>
          <w:tblW w:w="5338" w:type="pct"/>
          <w:tblInd w:w="-275" w:type="dxa"/>
          <w:tblLayout w:type="fixed"/>
          <w:tblLook w:val="04A0"/>
        </w:tblPrEx>
        <w:trPr>
          <w:trHeight w:val="440"/>
        </w:trPr>
        <w:tc>
          <w:tcPr>
            <w:tcW w:w="1107" w:type="pct"/>
            <w:shd w:val="clear" w:color="auto" w:fill="auto"/>
            <w:hideMark/>
          </w:tcPr>
          <w:p w:rsidR="00F9299D" w:rsidP="00065F7D" w14:paraId="7B632A82" w14:textId="68261987">
            <w:pPr>
              <w:rPr>
                <w:color w:val="000000"/>
                <w:sz w:val="20"/>
              </w:rPr>
            </w:pPr>
            <w:r>
              <w:rPr>
                <w:color w:val="000000"/>
                <w:sz w:val="20"/>
              </w:rPr>
              <w:t>—</w:t>
            </w:r>
            <w:r w:rsidRPr="001C4725" w:rsidR="00995C78">
              <w:rPr>
                <w:color w:val="000000"/>
                <w:sz w:val="20"/>
              </w:rPr>
              <w:t xml:space="preserve">(a) Railroad freight cars—Railroads notification to person responsible for reporting mark after visual inspection for presence and condition when freight car on either side has less than 80% reflective sheeting of the damaged, obscured, or missing sheeting </w:t>
            </w:r>
          </w:p>
          <w:p w:rsidR="00995C78" w:rsidRPr="00FD1BE7" w:rsidP="00065F7D" w14:paraId="7E7AA23B" w14:textId="1C5B734E">
            <w:pPr>
              <w:rPr>
                <w:i/>
                <w:iCs/>
                <w:color w:val="000000"/>
                <w:sz w:val="20"/>
              </w:rPr>
            </w:pPr>
            <w:r w:rsidRPr="00FD1BE7">
              <w:rPr>
                <w:i/>
                <w:iCs/>
                <w:color w:val="000000"/>
                <w:sz w:val="20"/>
              </w:rPr>
              <w:t>(Revised text, section heading)</w:t>
            </w:r>
          </w:p>
        </w:tc>
        <w:tc>
          <w:tcPr>
            <w:tcW w:w="537" w:type="pct"/>
            <w:shd w:val="clear" w:color="auto" w:fill="auto"/>
            <w:hideMark/>
          </w:tcPr>
          <w:p w:rsidR="00BA367C" w14:paraId="6A8F9C2E" w14:textId="77777777">
            <w:pPr>
              <w:jc w:val="center"/>
              <w:rPr>
                <w:color w:val="000000"/>
                <w:sz w:val="20"/>
              </w:rPr>
            </w:pPr>
            <w:r w:rsidRPr="001C4725">
              <w:rPr>
                <w:color w:val="000000"/>
                <w:sz w:val="20"/>
              </w:rPr>
              <w:t>AAR</w:t>
            </w:r>
          </w:p>
          <w:p w:rsidR="00995C78" w:rsidRPr="001C4725" w:rsidP="005B182C" w14:paraId="41AEA2CD" w14:textId="1EA2E749">
            <w:pPr>
              <w:jc w:val="center"/>
              <w:rPr>
                <w:color w:val="000000"/>
                <w:sz w:val="20"/>
              </w:rPr>
            </w:pPr>
            <w:r w:rsidRPr="001C4725">
              <w:rPr>
                <w:color w:val="000000"/>
                <w:sz w:val="20"/>
              </w:rPr>
              <w:t>/</w:t>
            </w:r>
            <w:r>
              <w:rPr>
                <w:color w:val="000000"/>
                <w:sz w:val="20"/>
              </w:rPr>
              <w:t>4</w:t>
            </w:r>
            <w:r w:rsidRPr="001C4725">
              <w:rPr>
                <w:color w:val="000000"/>
                <w:sz w:val="20"/>
              </w:rPr>
              <w:t>00 car shops</w:t>
            </w:r>
          </w:p>
        </w:tc>
        <w:tc>
          <w:tcPr>
            <w:tcW w:w="470" w:type="pct"/>
            <w:shd w:val="clear" w:color="auto" w:fill="auto"/>
            <w:hideMark/>
          </w:tcPr>
          <w:p w:rsidR="005B182C" w:rsidP="005B182C" w14:paraId="6AD405C6" w14:textId="77777777">
            <w:pPr>
              <w:jc w:val="center"/>
              <w:rPr>
                <w:color w:val="000000"/>
                <w:sz w:val="20"/>
              </w:rPr>
            </w:pPr>
            <w:r w:rsidRPr="001C4725">
              <w:rPr>
                <w:color w:val="000000"/>
                <w:sz w:val="20"/>
              </w:rPr>
              <w:t>33,510</w:t>
            </w:r>
          </w:p>
          <w:p w:rsidR="00995C78" w:rsidRPr="001C4725" w:rsidP="005B182C" w14:paraId="63A86591" w14:textId="62EE5C29">
            <w:pPr>
              <w:jc w:val="center"/>
              <w:rPr>
                <w:color w:val="000000"/>
                <w:sz w:val="20"/>
              </w:rPr>
            </w:pPr>
            <w:r w:rsidRPr="001C4725">
              <w:rPr>
                <w:color w:val="000000"/>
                <w:sz w:val="20"/>
              </w:rPr>
              <w:t>notifications</w:t>
            </w:r>
          </w:p>
        </w:tc>
        <w:tc>
          <w:tcPr>
            <w:tcW w:w="369" w:type="pct"/>
            <w:shd w:val="clear" w:color="auto" w:fill="auto"/>
            <w:hideMark/>
          </w:tcPr>
          <w:p w:rsidR="009E2EA8" w:rsidP="005B182C" w14:paraId="5C3BF1D9" w14:textId="77777777">
            <w:pPr>
              <w:jc w:val="center"/>
              <w:rPr>
                <w:color w:val="000000"/>
                <w:sz w:val="20"/>
              </w:rPr>
            </w:pPr>
            <w:r w:rsidRPr="001C4725">
              <w:rPr>
                <w:color w:val="000000"/>
                <w:sz w:val="20"/>
              </w:rPr>
              <w:t>5</w:t>
            </w:r>
          </w:p>
          <w:p w:rsidR="00995C78" w:rsidRPr="001C4725" w:rsidP="005B182C" w14:paraId="4E4D5660" w14:textId="18AE5126">
            <w:pPr>
              <w:jc w:val="center"/>
              <w:rPr>
                <w:color w:val="000000"/>
                <w:sz w:val="20"/>
              </w:rPr>
            </w:pPr>
            <w:r w:rsidRPr="001C4725">
              <w:rPr>
                <w:color w:val="000000"/>
                <w:sz w:val="20"/>
              </w:rPr>
              <w:t>minutes</w:t>
            </w:r>
          </w:p>
        </w:tc>
        <w:tc>
          <w:tcPr>
            <w:tcW w:w="369" w:type="pct"/>
            <w:shd w:val="clear" w:color="auto" w:fill="auto"/>
            <w:hideMark/>
          </w:tcPr>
          <w:p w:rsidR="009E2EA8" w:rsidP="005B182C" w14:paraId="6FCE4400" w14:textId="77777777">
            <w:pPr>
              <w:jc w:val="center"/>
              <w:rPr>
                <w:color w:val="000000"/>
                <w:sz w:val="20"/>
              </w:rPr>
            </w:pPr>
            <w:r w:rsidRPr="001C4725">
              <w:rPr>
                <w:color w:val="000000"/>
                <w:sz w:val="20"/>
              </w:rPr>
              <w:t>2,79</w:t>
            </w:r>
            <w:r>
              <w:rPr>
                <w:color w:val="000000"/>
                <w:sz w:val="20"/>
              </w:rPr>
              <w:t>3</w:t>
            </w:r>
          </w:p>
          <w:p w:rsidR="00995C78" w:rsidRPr="001C4725" w:rsidP="005B182C" w14:paraId="07F76D88" w14:textId="34064693">
            <w:pPr>
              <w:jc w:val="center"/>
              <w:rPr>
                <w:color w:val="000000"/>
                <w:sz w:val="20"/>
              </w:rPr>
            </w:pPr>
            <w:r w:rsidRPr="001C4725">
              <w:rPr>
                <w:color w:val="000000"/>
                <w:sz w:val="20"/>
              </w:rPr>
              <w:t xml:space="preserve"> hours</w:t>
            </w:r>
          </w:p>
        </w:tc>
        <w:tc>
          <w:tcPr>
            <w:tcW w:w="302" w:type="pct"/>
          </w:tcPr>
          <w:p w:rsidR="00995C78" w:rsidRPr="001C4725" w:rsidP="00FD1BE7" w14:paraId="63494CF1" w14:textId="60309607">
            <w:pPr>
              <w:jc w:val="center"/>
              <w:rPr>
                <w:color w:val="000000"/>
                <w:sz w:val="20"/>
              </w:rPr>
            </w:pPr>
            <w:r>
              <w:rPr>
                <w:color w:val="000000"/>
                <w:sz w:val="20"/>
              </w:rPr>
              <w:t>$72.01</w:t>
            </w:r>
          </w:p>
        </w:tc>
        <w:tc>
          <w:tcPr>
            <w:tcW w:w="470" w:type="pct"/>
            <w:shd w:val="clear" w:color="auto" w:fill="auto"/>
            <w:hideMark/>
          </w:tcPr>
          <w:p w:rsidR="00995C78" w:rsidRPr="001C4725" w:rsidP="00FD1BE7" w14:paraId="3A31A6EA" w14:textId="0A29D70B">
            <w:pPr>
              <w:jc w:val="center"/>
              <w:rPr>
                <w:color w:val="000000"/>
                <w:sz w:val="20"/>
              </w:rPr>
            </w:pPr>
            <w:r>
              <w:rPr>
                <w:color w:val="000000"/>
                <w:sz w:val="20"/>
              </w:rPr>
              <w:t>$201,087.93</w:t>
            </w:r>
          </w:p>
        </w:tc>
        <w:tc>
          <w:tcPr>
            <w:tcW w:w="1376" w:type="pct"/>
          </w:tcPr>
          <w:p w:rsidR="00995C78" w:rsidP="00065F7D" w14:paraId="25997829" w14:textId="77777777">
            <w:pPr>
              <w:rPr>
                <w:color w:val="000000"/>
                <w:sz w:val="20"/>
              </w:rPr>
            </w:pPr>
            <w:r w:rsidRPr="00AD48B7">
              <w:rPr>
                <w:color w:val="000000"/>
                <w:sz w:val="20"/>
              </w:rPr>
              <w:t>The inspecting railroad or contractor shall retain a written or electronic copy of each such notification made for at least two years from the date of the notice and shall make these records available for inspection and copying by the FRA upon request.</w:t>
            </w:r>
          </w:p>
          <w:p w:rsidR="00995C78" w:rsidP="00065F7D" w14:paraId="1B313A9F" w14:textId="77777777">
            <w:pPr>
              <w:rPr>
                <w:color w:val="000000"/>
                <w:sz w:val="20"/>
              </w:rPr>
            </w:pPr>
          </w:p>
          <w:p w:rsidR="00995C78" w:rsidRPr="001C4725" w:rsidP="00065F7D" w14:paraId="1EAE3453" w14:textId="3120001E">
            <w:pPr>
              <w:rPr>
                <w:color w:val="000000"/>
                <w:sz w:val="20"/>
              </w:rPr>
            </w:pPr>
            <w:r w:rsidRPr="00AD48B7">
              <w:rPr>
                <w:color w:val="000000"/>
                <w:sz w:val="20"/>
              </w:rPr>
              <w:t xml:space="preserve">According to AAR Interchange Rule 3, freight cars must undergo a Single Car Air Brake Test (SCABT) once every 5 years.  FRA estimates about 10% </w:t>
            </w:r>
            <w:r>
              <w:rPr>
                <w:color w:val="000000"/>
                <w:sz w:val="20"/>
              </w:rPr>
              <w:t>(</w:t>
            </w:r>
            <w:r w:rsidRPr="00F76808">
              <w:rPr>
                <w:color w:val="000000"/>
                <w:sz w:val="20"/>
              </w:rPr>
              <w:t>1</w:t>
            </w:r>
            <w:r>
              <w:rPr>
                <w:color w:val="000000"/>
                <w:sz w:val="20"/>
              </w:rPr>
              <w:t>,</w:t>
            </w:r>
            <w:r w:rsidRPr="00F76808">
              <w:rPr>
                <w:color w:val="000000"/>
                <w:sz w:val="20"/>
              </w:rPr>
              <w:t>675</w:t>
            </w:r>
            <w:r>
              <w:rPr>
                <w:color w:val="000000"/>
                <w:sz w:val="20"/>
              </w:rPr>
              <w:t>,</w:t>
            </w:r>
            <w:r w:rsidRPr="00F76808">
              <w:rPr>
                <w:color w:val="000000"/>
                <w:sz w:val="20"/>
              </w:rPr>
              <w:t>511</w:t>
            </w:r>
            <w:r w:rsidRPr="00AD48B7">
              <w:rPr>
                <w:color w:val="000000"/>
                <w:sz w:val="20"/>
              </w:rPr>
              <w:t xml:space="preserve"> freight cars</w:t>
            </w:r>
            <w:r>
              <w:rPr>
                <w:color w:val="000000"/>
                <w:sz w:val="20"/>
              </w:rPr>
              <w:t xml:space="preserve"> divided by </w:t>
            </w:r>
            <w:r w:rsidRPr="00AD48B7">
              <w:rPr>
                <w:color w:val="000000"/>
                <w:sz w:val="20"/>
              </w:rPr>
              <w:t>5</w:t>
            </w:r>
            <w:r>
              <w:rPr>
                <w:color w:val="000000"/>
                <w:sz w:val="20"/>
              </w:rPr>
              <w:t xml:space="preserve"> years) </w:t>
            </w:r>
            <w:r w:rsidRPr="00AD48B7">
              <w:rPr>
                <w:color w:val="000000"/>
                <w:sz w:val="20"/>
              </w:rPr>
              <w:t>of these cars will have missing or damaged retroreflective sheeting repaired or replaced.  It takes 5 minutes to complete each notice of defects.</w:t>
            </w:r>
          </w:p>
        </w:tc>
      </w:tr>
      <w:tr w14:paraId="7070B494" w14:textId="1C1A090E" w:rsidTr="00FD1BE7">
        <w:tblPrEx>
          <w:tblW w:w="5338" w:type="pct"/>
          <w:tblInd w:w="-275" w:type="dxa"/>
          <w:tblLayout w:type="fixed"/>
          <w:tblLook w:val="04A0"/>
        </w:tblPrEx>
        <w:trPr>
          <w:trHeight w:val="2780"/>
        </w:trPr>
        <w:tc>
          <w:tcPr>
            <w:tcW w:w="1107" w:type="pct"/>
            <w:shd w:val="clear" w:color="auto" w:fill="auto"/>
            <w:hideMark/>
          </w:tcPr>
          <w:p w:rsidR="00995C78" w:rsidRPr="001C4725" w:rsidP="00065F7D" w14:paraId="4A3F757D" w14:textId="77777777">
            <w:pPr>
              <w:rPr>
                <w:color w:val="000000"/>
                <w:sz w:val="20"/>
              </w:rPr>
            </w:pPr>
            <w:r w:rsidRPr="001C4725">
              <w:rPr>
                <w:color w:val="000000"/>
                <w:sz w:val="20"/>
              </w:rPr>
              <w:t>—(b) Locomotive record of freight retroreflective sheeting defects found after inspection kept in locomotive cab or in railroad accessible electronic database that FRA can access upon request.</w:t>
            </w:r>
          </w:p>
        </w:tc>
        <w:tc>
          <w:tcPr>
            <w:tcW w:w="537" w:type="pct"/>
            <w:shd w:val="clear" w:color="auto" w:fill="auto"/>
            <w:hideMark/>
          </w:tcPr>
          <w:p w:rsidR="00995C78" w:rsidP="00FF3C69" w14:paraId="359C9DEB" w14:textId="320285C2">
            <w:pPr>
              <w:jc w:val="center"/>
              <w:rPr>
                <w:color w:val="000000"/>
                <w:sz w:val="20"/>
              </w:rPr>
            </w:pPr>
            <w:r w:rsidRPr="001C4725">
              <w:rPr>
                <w:color w:val="000000"/>
                <w:sz w:val="20"/>
              </w:rPr>
              <w:t>72</w:t>
            </w:r>
            <w:r w:rsidR="00BA367C">
              <w:rPr>
                <w:color w:val="000000"/>
                <w:sz w:val="20"/>
              </w:rPr>
              <w:t>7</w:t>
            </w:r>
            <w:r w:rsidRPr="001C4725">
              <w:rPr>
                <w:color w:val="000000"/>
                <w:sz w:val="20"/>
              </w:rPr>
              <w:t xml:space="preserve"> </w:t>
            </w:r>
          </w:p>
          <w:p w:rsidR="00995C78" w:rsidRPr="001C4725" w:rsidP="005B182C" w14:paraId="7F8B0E27" w14:textId="365D5542">
            <w:pPr>
              <w:jc w:val="center"/>
              <w:rPr>
                <w:color w:val="000000"/>
                <w:sz w:val="20"/>
              </w:rPr>
            </w:pPr>
            <w:r w:rsidRPr="001C4725">
              <w:rPr>
                <w:color w:val="000000"/>
                <w:sz w:val="20"/>
              </w:rPr>
              <w:t>railroads and freight car</w:t>
            </w:r>
            <w:r w:rsidRPr="001C4725">
              <w:rPr>
                <w:color w:val="000000"/>
                <w:sz w:val="20"/>
              </w:rPr>
              <w:br/>
              <w:t>owners</w:t>
            </w:r>
          </w:p>
        </w:tc>
        <w:tc>
          <w:tcPr>
            <w:tcW w:w="470" w:type="pct"/>
            <w:shd w:val="clear" w:color="auto" w:fill="auto"/>
            <w:hideMark/>
          </w:tcPr>
          <w:p w:rsidR="009E2EA8" w:rsidP="005B182C" w14:paraId="411870AF" w14:textId="77777777">
            <w:pPr>
              <w:jc w:val="center"/>
              <w:rPr>
                <w:color w:val="000000"/>
                <w:sz w:val="20"/>
              </w:rPr>
            </w:pPr>
            <w:r w:rsidRPr="001C4725">
              <w:rPr>
                <w:color w:val="000000"/>
                <w:sz w:val="20"/>
              </w:rPr>
              <w:t>2,4</w:t>
            </w:r>
            <w:r>
              <w:rPr>
                <w:color w:val="000000"/>
                <w:sz w:val="20"/>
              </w:rPr>
              <w:t>60</w:t>
            </w:r>
            <w:r w:rsidRPr="001C4725">
              <w:rPr>
                <w:color w:val="000000"/>
                <w:sz w:val="20"/>
              </w:rPr>
              <w:t xml:space="preserve"> </w:t>
            </w:r>
          </w:p>
          <w:p w:rsidR="00995C78" w:rsidRPr="001C4725" w:rsidP="005B182C" w14:paraId="14AAF4E4" w14:textId="1726A86F">
            <w:pPr>
              <w:jc w:val="center"/>
              <w:rPr>
                <w:color w:val="000000"/>
                <w:sz w:val="20"/>
              </w:rPr>
            </w:pPr>
            <w:r w:rsidRPr="001C4725">
              <w:rPr>
                <w:color w:val="000000"/>
                <w:sz w:val="20"/>
              </w:rPr>
              <w:t xml:space="preserve">records </w:t>
            </w:r>
          </w:p>
        </w:tc>
        <w:tc>
          <w:tcPr>
            <w:tcW w:w="369" w:type="pct"/>
            <w:shd w:val="clear" w:color="auto" w:fill="auto"/>
            <w:hideMark/>
          </w:tcPr>
          <w:p w:rsidR="009E2EA8" w:rsidP="005B182C" w14:paraId="21D695C4" w14:textId="77777777">
            <w:pPr>
              <w:jc w:val="center"/>
              <w:rPr>
                <w:color w:val="000000"/>
                <w:sz w:val="20"/>
              </w:rPr>
            </w:pPr>
            <w:r w:rsidRPr="001C4725">
              <w:rPr>
                <w:color w:val="000000"/>
                <w:sz w:val="20"/>
              </w:rPr>
              <w:t xml:space="preserve">5 </w:t>
            </w:r>
          </w:p>
          <w:p w:rsidR="00995C78" w:rsidRPr="001C4725" w:rsidP="005B182C" w14:paraId="7D819914" w14:textId="7FD4CD58">
            <w:pPr>
              <w:jc w:val="center"/>
              <w:rPr>
                <w:color w:val="000000"/>
                <w:sz w:val="20"/>
              </w:rPr>
            </w:pPr>
            <w:r w:rsidRPr="001C4725">
              <w:rPr>
                <w:color w:val="000000"/>
                <w:sz w:val="20"/>
              </w:rPr>
              <w:t>minutes</w:t>
            </w:r>
          </w:p>
        </w:tc>
        <w:tc>
          <w:tcPr>
            <w:tcW w:w="369" w:type="pct"/>
            <w:shd w:val="clear" w:color="auto" w:fill="auto"/>
            <w:hideMark/>
          </w:tcPr>
          <w:p w:rsidR="00995C78" w:rsidP="005B182C" w14:paraId="1CF88FF3" w14:textId="77777777">
            <w:pPr>
              <w:jc w:val="center"/>
              <w:rPr>
                <w:color w:val="000000"/>
                <w:sz w:val="20"/>
              </w:rPr>
            </w:pPr>
            <w:r w:rsidRPr="001C4725">
              <w:rPr>
                <w:color w:val="000000"/>
                <w:sz w:val="20"/>
              </w:rPr>
              <w:t>20</w:t>
            </w:r>
            <w:r>
              <w:rPr>
                <w:color w:val="000000"/>
                <w:sz w:val="20"/>
              </w:rPr>
              <w:t>5</w:t>
            </w:r>
          </w:p>
          <w:p w:rsidR="00995C78" w:rsidRPr="001C4725" w:rsidP="005B182C" w14:paraId="6FDA94B1" w14:textId="062FD400">
            <w:pPr>
              <w:jc w:val="center"/>
              <w:rPr>
                <w:color w:val="000000"/>
                <w:sz w:val="20"/>
              </w:rPr>
            </w:pPr>
            <w:r w:rsidRPr="001C4725">
              <w:rPr>
                <w:color w:val="000000"/>
                <w:sz w:val="20"/>
              </w:rPr>
              <w:t>hours</w:t>
            </w:r>
          </w:p>
        </w:tc>
        <w:tc>
          <w:tcPr>
            <w:tcW w:w="302" w:type="pct"/>
          </w:tcPr>
          <w:p w:rsidR="00995C78" w:rsidRPr="001C4725" w:rsidP="00FD1BE7" w14:paraId="0723EA66" w14:textId="5D524636">
            <w:pPr>
              <w:jc w:val="center"/>
              <w:rPr>
                <w:color w:val="000000"/>
                <w:sz w:val="20"/>
              </w:rPr>
            </w:pPr>
            <w:r>
              <w:rPr>
                <w:color w:val="000000"/>
                <w:sz w:val="20"/>
              </w:rPr>
              <w:t>$72.01</w:t>
            </w:r>
          </w:p>
        </w:tc>
        <w:tc>
          <w:tcPr>
            <w:tcW w:w="470" w:type="pct"/>
            <w:shd w:val="clear" w:color="auto" w:fill="auto"/>
            <w:hideMark/>
          </w:tcPr>
          <w:p w:rsidR="00995C78" w:rsidRPr="001C4725" w:rsidP="00FD1BE7" w14:paraId="2F873107" w14:textId="4DB9E525">
            <w:pPr>
              <w:jc w:val="center"/>
              <w:rPr>
                <w:color w:val="000000"/>
                <w:sz w:val="20"/>
              </w:rPr>
            </w:pPr>
            <w:r>
              <w:rPr>
                <w:color w:val="000000"/>
                <w:sz w:val="20"/>
              </w:rPr>
              <w:t>$14,762.05</w:t>
            </w:r>
          </w:p>
        </w:tc>
        <w:tc>
          <w:tcPr>
            <w:tcW w:w="1376" w:type="pct"/>
          </w:tcPr>
          <w:p w:rsidR="00995C78" w:rsidRPr="00F76808" w:rsidP="00065F7D" w14:paraId="7D4D2399" w14:textId="46A2565E">
            <w:pPr>
              <w:rPr>
                <w:color w:val="000000"/>
                <w:sz w:val="20"/>
              </w:rPr>
            </w:pPr>
            <w:r>
              <w:rPr>
                <w:color w:val="000000"/>
                <w:sz w:val="20"/>
              </w:rPr>
              <w:t>A</w:t>
            </w:r>
            <w:r w:rsidRPr="00F76808">
              <w:rPr>
                <w:color w:val="000000"/>
                <w:sz w:val="20"/>
              </w:rPr>
              <w:t xml:space="preserve"> record of the defect is maintained in the locomotive cab or in a secure and accessible electronic database to which FRA is provided access upon request.</w:t>
            </w:r>
          </w:p>
          <w:p w:rsidR="00995C78" w:rsidRPr="00F76808" w:rsidP="00065F7D" w14:paraId="135BA490" w14:textId="77777777">
            <w:pPr>
              <w:rPr>
                <w:color w:val="000000"/>
                <w:sz w:val="20"/>
              </w:rPr>
            </w:pPr>
          </w:p>
          <w:p w:rsidR="00995C78" w:rsidRPr="001C4725" w:rsidP="00065F7D" w14:paraId="2DDA1AB4" w14:textId="7A8E08A4">
            <w:pPr>
              <w:rPr>
                <w:color w:val="000000"/>
                <w:sz w:val="20"/>
              </w:rPr>
            </w:pPr>
            <w:r w:rsidRPr="00F76808">
              <w:rPr>
                <w:color w:val="000000"/>
                <w:sz w:val="20"/>
              </w:rPr>
              <w:t>FRA estimates that approximately 10% of the 24</w:t>
            </w:r>
            <w:r>
              <w:rPr>
                <w:color w:val="000000"/>
                <w:sz w:val="20"/>
              </w:rPr>
              <w:t>,</w:t>
            </w:r>
            <w:r w:rsidRPr="00F76808">
              <w:rPr>
                <w:color w:val="000000"/>
                <w:sz w:val="20"/>
              </w:rPr>
              <w:t>597</w:t>
            </w:r>
            <w:r>
              <w:rPr>
                <w:color w:val="000000"/>
                <w:sz w:val="20"/>
              </w:rPr>
              <w:t xml:space="preserve"> </w:t>
            </w:r>
            <w:r w:rsidRPr="00F76808">
              <w:rPr>
                <w:color w:val="000000"/>
                <w:sz w:val="20"/>
              </w:rPr>
              <w:t>locomotives</w:t>
            </w:r>
            <w:r>
              <w:rPr>
                <w:color w:val="000000"/>
                <w:sz w:val="20"/>
              </w:rPr>
              <w:t xml:space="preserve"> </w:t>
            </w:r>
            <w:r w:rsidRPr="00F76808">
              <w:rPr>
                <w:color w:val="000000"/>
                <w:sz w:val="20"/>
              </w:rPr>
              <w:t xml:space="preserve">will have less than 80 percent retroreflective material on them because they are damaged, obscured, or missing at the time of the required annual locomotive inspection.  It takes 5 minutes to record each defect.  </w:t>
            </w:r>
          </w:p>
        </w:tc>
      </w:tr>
      <w:tr w14:paraId="40D32D3D" w14:textId="77777777" w:rsidTr="00FD1BE7">
        <w:tblPrEx>
          <w:tblW w:w="5338" w:type="pct"/>
          <w:tblInd w:w="-275" w:type="dxa"/>
          <w:tblLayout w:type="fixed"/>
          <w:tblLook w:val="04A0"/>
        </w:tblPrEx>
        <w:trPr>
          <w:trHeight w:val="350"/>
        </w:trPr>
        <w:tc>
          <w:tcPr>
            <w:tcW w:w="5000" w:type="pct"/>
            <w:gridSpan w:val="8"/>
            <w:shd w:val="clear" w:color="auto" w:fill="auto"/>
          </w:tcPr>
          <w:p w:rsidR="00FE00C8" w:rsidP="00065F7D" w14:paraId="659283B2" w14:textId="4BFFD71C">
            <w:pPr>
              <w:rPr>
                <w:color w:val="000000"/>
                <w:sz w:val="20"/>
              </w:rPr>
            </w:pPr>
            <w:r w:rsidRPr="00FD1BE7">
              <w:rPr>
                <w:b/>
                <w:bCs/>
                <w:color w:val="000000"/>
                <w:sz w:val="20"/>
              </w:rPr>
              <w:t>224.111 Evaluation and replacement of 10-year old or underperforming retroreflective sheeting</w:t>
            </w:r>
          </w:p>
        </w:tc>
      </w:tr>
      <w:tr w14:paraId="3B160F80" w14:textId="233F4335" w:rsidTr="00FD1BE7">
        <w:tblPrEx>
          <w:tblW w:w="5338" w:type="pct"/>
          <w:tblInd w:w="-275" w:type="dxa"/>
          <w:tblLayout w:type="fixed"/>
          <w:tblLook w:val="04A0"/>
        </w:tblPrEx>
        <w:trPr>
          <w:trHeight w:val="440"/>
        </w:trPr>
        <w:tc>
          <w:tcPr>
            <w:tcW w:w="1107" w:type="pct"/>
            <w:shd w:val="clear" w:color="auto" w:fill="auto"/>
            <w:hideMark/>
          </w:tcPr>
          <w:p w:rsidR="00550AC1" w:rsidP="00065F7D" w14:paraId="2DF1D3F9" w14:textId="168E101A">
            <w:pPr>
              <w:rPr>
                <w:color w:val="000000"/>
                <w:sz w:val="20"/>
              </w:rPr>
            </w:pPr>
            <w:r w:rsidRPr="001C4725">
              <w:rPr>
                <w:color w:val="000000"/>
                <w:sz w:val="20"/>
              </w:rPr>
              <w:t xml:space="preserve"> </w:t>
            </w:r>
            <w:r w:rsidR="00CC4DCE">
              <w:rPr>
                <w:color w:val="000000"/>
                <w:sz w:val="20"/>
              </w:rPr>
              <w:t>—</w:t>
            </w:r>
            <w:r w:rsidRPr="001C4725">
              <w:rPr>
                <w:color w:val="000000"/>
                <w:sz w:val="20"/>
              </w:rPr>
              <w:t>(c)</w:t>
            </w:r>
            <w:r w:rsidR="00CC4DCE">
              <w:rPr>
                <w:color w:val="000000"/>
                <w:sz w:val="20"/>
              </w:rPr>
              <w:t xml:space="preserve"> </w:t>
            </w:r>
            <w:r w:rsidRPr="001C4725">
              <w:rPr>
                <w:color w:val="000000"/>
                <w:sz w:val="20"/>
              </w:rPr>
              <w:t>Performance-based replacement</w:t>
            </w:r>
          </w:p>
          <w:p w:rsidR="00FE00C8" w:rsidRPr="00FD1BE7" w:rsidP="00065F7D" w14:paraId="2ECC8635" w14:textId="431BE0FE">
            <w:pPr>
              <w:rPr>
                <w:i/>
                <w:iCs/>
                <w:color w:val="000000"/>
                <w:sz w:val="20"/>
              </w:rPr>
            </w:pPr>
            <w:r w:rsidRPr="00FD1BE7">
              <w:rPr>
                <w:i/>
                <w:iCs/>
                <w:color w:val="000000"/>
                <w:sz w:val="20"/>
              </w:rPr>
              <w:t>(Revised requirement)</w:t>
            </w:r>
          </w:p>
        </w:tc>
        <w:tc>
          <w:tcPr>
            <w:tcW w:w="3893" w:type="pct"/>
            <w:gridSpan w:val="7"/>
            <w:shd w:val="clear" w:color="auto" w:fill="auto"/>
            <w:hideMark/>
          </w:tcPr>
          <w:p w:rsidR="00550AC1" w:rsidRPr="001C4725" w:rsidP="00065F7D" w14:paraId="4D021D99" w14:textId="34E4B455">
            <w:pPr>
              <w:rPr>
                <w:color w:val="000000"/>
                <w:sz w:val="20"/>
              </w:rPr>
            </w:pPr>
            <w:r w:rsidRPr="001C4725">
              <w:rPr>
                <w:color w:val="000000"/>
                <w:sz w:val="20"/>
              </w:rPr>
              <w:t>The burden for this requirement is covered under 49 CFR § 232.305 (2130-0008), or a locomotive receives an annual inspection required by 49 § CFR 229.27 (OMB Control Number 2130-0004).</w:t>
            </w:r>
          </w:p>
        </w:tc>
      </w:tr>
      <w:tr w14:paraId="1D98B1CF" w14:textId="65364C26" w:rsidTr="00FD1BE7">
        <w:tblPrEx>
          <w:tblW w:w="5338" w:type="pct"/>
          <w:tblInd w:w="-275" w:type="dxa"/>
          <w:tblLayout w:type="fixed"/>
          <w:tblLook w:val="04A0"/>
        </w:tblPrEx>
        <w:trPr>
          <w:trHeight w:val="332"/>
        </w:trPr>
        <w:tc>
          <w:tcPr>
            <w:tcW w:w="1107" w:type="pct"/>
            <w:shd w:val="clear" w:color="auto" w:fill="auto"/>
            <w:hideMark/>
          </w:tcPr>
          <w:p w:rsidR="00550AC1" w:rsidRPr="001C4725" w:rsidP="00065F7D" w14:paraId="585D798A" w14:textId="6CDD2605">
            <w:pPr>
              <w:rPr>
                <w:color w:val="000000"/>
                <w:sz w:val="20"/>
              </w:rPr>
            </w:pPr>
            <w:r>
              <w:rPr>
                <w:color w:val="000000"/>
                <w:sz w:val="20"/>
              </w:rPr>
              <w:t>—</w:t>
            </w:r>
            <w:r w:rsidRPr="001C4725">
              <w:rPr>
                <w:color w:val="000000"/>
                <w:sz w:val="20"/>
              </w:rPr>
              <w:t>(c)(iv)</w:t>
            </w:r>
            <w:r>
              <w:rPr>
                <w:color w:val="000000"/>
                <w:sz w:val="20"/>
              </w:rPr>
              <w:t xml:space="preserve"> L</w:t>
            </w:r>
            <w:r w:rsidRPr="001C4725">
              <w:rPr>
                <w:color w:val="000000"/>
                <w:sz w:val="20"/>
              </w:rPr>
              <w:t>abelling</w:t>
            </w:r>
          </w:p>
        </w:tc>
        <w:tc>
          <w:tcPr>
            <w:tcW w:w="3893" w:type="pct"/>
            <w:gridSpan w:val="7"/>
            <w:shd w:val="clear" w:color="auto" w:fill="auto"/>
            <w:hideMark/>
          </w:tcPr>
          <w:p w:rsidR="00550AC1" w:rsidRPr="001C4725" w:rsidP="00065F7D" w14:paraId="6F143846" w14:textId="69AB7136">
            <w:pPr>
              <w:rPr>
                <w:color w:val="000000"/>
                <w:sz w:val="20"/>
              </w:rPr>
            </w:pPr>
            <w:r w:rsidRPr="001C4725">
              <w:rPr>
                <w:color w:val="000000"/>
                <w:sz w:val="20"/>
              </w:rPr>
              <w:t xml:space="preserve">The cost of labeling is included as part of the manufacturing process and consequently there is no burden associated. </w:t>
            </w:r>
          </w:p>
        </w:tc>
      </w:tr>
      <w:tr w14:paraId="6A0327CC" w14:textId="75BFD9E6" w:rsidTr="00FD1BE7">
        <w:tblPrEx>
          <w:tblW w:w="5338" w:type="pct"/>
          <w:tblInd w:w="-275" w:type="dxa"/>
          <w:tblLayout w:type="fixed"/>
          <w:tblLook w:val="04A0"/>
        </w:tblPrEx>
        <w:trPr>
          <w:trHeight w:val="264"/>
        </w:trPr>
        <w:tc>
          <w:tcPr>
            <w:tcW w:w="1107" w:type="pct"/>
            <w:shd w:val="clear" w:color="auto" w:fill="auto"/>
            <w:hideMark/>
          </w:tcPr>
          <w:p w:rsidR="00995C78" w:rsidRPr="001C4725" w:rsidP="00065F7D" w14:paraId="05EA1770" w14:textId="77777777">
            <w:pPr>
              <w:rPr>
                <w:color w:val="000000"/>
                <w:sz w:val="20"/>
              </w:rPr>
            </w:pPr>
            <w:r w:rsidRPr="001C4725">
              <w:rPr>
                <w:color w:val="000000"/>
                <w:sz w:val="20"/>
              </w:rPr>
              <w:t>Total</w:t>
            </w:r>
            <w:r>
              <w:rPr>
                <w:rStyle w:val="FootnoteReference"/>
                <w:color w:val="000000"/>
                <w:sz w:val="20"/>
              </w:rPr>
              <w:footnoteReference w:id="10"/>
            </w:r>
          </w:p>
        </w:tc>
        <w:tc>
          <w:tcPr>
            <w:tcW w:w="537" w:type="pct"/>
            <w:shd w:val="clear" w:color="auto" w:fill="auto"/>
            <w:hideMark/>
          </w:tcPr>
          <w:p w:rsidR="00995C78" w:rsidP="005B182C" w14:paraId="66A31BE5" w14:textId="44188F25">
            <w:pPr>
              <w:jc w:val="center"/>
              <w:rPr>
                <w:color w:val="000000"/>
                <w:sz w:val="20"/>
              </w:rPr>
            </w:pPr>
            <w:r w:rsidRPr="001C4725">
              <w:rPr>
                <w:color w:val="000000"/>
                <w:sz w:val="20"/>
              </w:rPr>
              <w:t>72</w:t>
            </w:r>
            <w:r w:rsidR="00BA367C">
              <w:rPr>
                <w:color w:val="000000"/>
                <w:sz w:val="20"/>
              </w:rPr>
              <w:t>7</w:t>
            </w:r>
          </w:p>
          <w:p w:rsidR="00995C78" w:rsidP="0078470B" w14:paraId="493A398A" w14:textId="70616335">
            <w:pPr>
              <w:jc w:val="center"/>
              <w:rPr>
                <w:color w:val="000000"/>
                <w:sz w:val="20"/>
              </w:rPr>
            </w:pPr>
            <w:r w:rsidRPr="001C4725">
              <w:rPr>
                <w:color w:val="000000"/>
                <w:sz w:val="20"/>
              </w:rPr>
              <w:t>Railroads</w:t>
            </w:r>
          </w:p>
          <w:p w:rsidR="00995C78" w:rsidP="0078470B" w14:paraId="6EC3C901" w14:textId="77777777">
            <w:pPr>
              <w:jc w:val="center"/>
              <w:rPr>
                <w:color w:val="000000"/>
                <w:sz w:val="20"/>
              </w:rPr>
            </w:pPr>
            <w:r>
              <w:rPr>
                <w:color w:val="000000"/>
                <w:sz w:val="20"/>
              </w:rPr>
              <w:t xml:space="preserve"> and </w:t>
            </w:r>
          </w:p>
          <w:p w:rsidR="00995C78" w:rsidRPr="001C4725" w:rsidP="005B182C" w14:paraId="0091D0E0" w14:textId="30560327">
            <w:pPr>
              <w:jc w:val="center"/>
              <w:rPr>
                <w:color w:val="000000"/>
                <w:sz w:val="20"/>
              </w:rPr>
            </w:pPr>
            <w:r>
              <w:rPr>
                <w:color w:val="000000"/>
                <w:sz w:val="20"/>
              </w:rPr>
              <w:t>400 car shops</w:t>
            </w:r>
          </w:p>
        </w:tc>
        <w:tc>
          <w:tcPr>
            <w:tcW w:w="470" w:type="pct"/>
            <w:shd w:val="clear" w:color="auto" w:fill="auto"/>
            <w:hideMark/>
          </w:tcPr>
          <w:p w:rsidR="00995C78" w:rsidP="005B182C" w14:paraId="0FA7C63D" w14:textId="132F64E0">
            <w:pPr>
              <w:jc w:val="center"/>
              <w:rPr>
                <w:color w:val="000000"/>
                <w:sz w:val="20"/>
              </w:rPr>
            </w:pPr>
            <w:r w:rsidRPr="001C4725">
              <w:rPr>
                <w:color w:val="000000"/>
                <w:sz w:val="20"/>
              </w:rPr>
              <w:t>35,97</w:t>
            </w:r>
            <w:r>
              <w:rPr>
                <w:color w:val="000000"/>
                <w:sz w:val="20"/>
              </w:rPr>
              <w:t>2</w:t>
            </w:r>
          </w:p>
          <w:p w:rsidR="00995C78" w:rsidRPr="001C4725" w:rsidP="005B182C" w14:paraId="7506C2CA" w14:textId="23D8CBCC">
            <w:pPr>
              <w:jc w:val="center"/>
              <w:rPr>
                <w:color w:val="000000"/>
                <w:sz w:val="20"/>
              </w:rPr>
            </w:pPr>
            <w:r w:rsidRPr="001C4725">
              <w:rPr>
                <w:color w:val="000000"/>
                <w:sz w:val="20"/>
              </w:rPr>
              <w:t>responses</w:t>
            </w:r>
          </w:p>
        </w:tc>
        <w:tc>
          <w:tcPr>
            <w:tcW w:w="369" w:type="pct"/>
            <w:shd w:val="clear" w:color="auto" w:fill="auto"/>
            <w:hideMark/>
          </w:tcPr>
          <w:p w:rsidR="00995C78" w:rsidP="00065F7D" w14:paraId="644846ED" w14:textId="7B086C86">
            <w:pPr>
              <w:jc w:val="center"/>
              <w:rPr>
                <w:color w:val="000000"/>
                <w:sz w:val="20"/>
              </w:rPr>
            </w:pPr>
          </w:p>
          <w:p w:rsidR="009E2EA8" w:rsidRPr="001C4725" w:rsidP="00065F7D" w14:paraId="1F6BC00A" w14:textId="0CEB9EA0">
            <w:pPr>
              <w:jc w:val="center"/>
              <w:rPr>
                <w:color w:val="000000"/>
                <w:sz w:val="20"/>
              </w:rPr>
            </w:pPr>
          </w:p>
        </w:tc>
        <w:tc>
          <w:tcPr>
            <w:tcW w:w="369" w:type="pct"/>
            <w:shd w:val="clear" w:color="auto" w:fill="auto"/>
            <w:hideMark/>
          </w:tcPr>
          <w:p w:rsidR="009E2EA8" w:rsidP="005B182C" w14:paraId="6B8EFBCE" w14:textId="77777777">
            <w:pPr>
              <w:jc w:val="center"/>
              <w:rPr>
                <w:color w:val="000000"/>
                <w:sz w:val="20"/>
              </w:rPr>
            </w:pPr>
            <w:r w:rsidRPr="001C4725">
              <w:rPr>
                <w:color w:val="000000"/>
                <w:sz w:val="20"/>
              </w:rPr>
              <w:t>3,</w:t>
            </w:r>
            <w:r w:rsidRPr="00397BD2">
              <w:rPr>
                <w:color w:val="000000"/>
                <w:sz w:val="20"/>
              </w:rPr>
              <w:t>04</w:t>
            </w:r>
            <w:r>
              <w:rPr>
                <w:color w:val="000000"/>
                <w:sz w:val="20"/>
              </w:rPr>
              <w:t>6</w:t>
            </w:r>
          </w:p>
          <w:p w:rsidR="00995C78" w:rsidRPr="001C4725" w:rsidP="005B182C" w14:paraId="03B2FA02" w14:textId="444D7BB1">
            <w:pPr>
              <w:jc w:val="center"/>
              <w:rPr>
                <w:color w:val="000000"/>
                <w:sz w:val="20"/>
              </w:rPr>
            </w:pPr>
            <w:r w:rsidRPr="001C4725">
              <w:rPr>
                <w:color w:val="000000"/>
                <w:sz w:val="20"/>
              </w:rPr>
              <w:t xml:space="preserve"> hours</w:t>
            </w:r>
          </w:p>
        </w:tc>
        <w:tc>
          <w:tcPr>
            <w:tcW w:w="302" w:type="pct"/>
          </w:tcPr>
          <w:p w:rsidR="00995C78" w:rsidRPr="008812FD" w:rsidP="00065F7D" w14:paraId="278A8461" w14:textId="77777777">
            <w:pPr>
              <w:jc w:val="right"/>
              <w:rPr>
                <w:color w:val="000000"/>
                <w:sz w:val="20"/>
              </w:rPr>
            </w:pPr>
          </w:p>
        </w:tc>
        <w:tc>
          <w:tcPr>
            <w:tcW w:w="470" w:type="pct"/>
            <w:shd w:val="clear" w:color="auto" w:fill="auto"/>
            <w:hideMark/>
          </w:tcPr>
          <w:p w:rsidR="00995C78" w:rsidRPr="001C4725" w:rsidP="00FD1BE7" w14:paraId="042DBEF3" w14:textId="21641B7F">
            <w:pPr>
              <w:jc w:val="center"/>
              <w:rPr>
                <w:color w:val="000000"/>
                <w:sz w:val="20"/>
              </w:rPr>
            </w:pPr>
            <w:r>
              <w:rPr>
                <w:color w:val="000000"/>
                <w:sz w:val="20"/>
              </w:rPr>
              <w:t>$220,179.10</w:t>
            </w:r>
          </w:p>
        </w:tc>
        <w:tc>
          <w:tcPr>
            <w:tcW w:w="1376" w:type="pct"/>
          </w:tcPr>
          <w:p w:rsidR="00995C78" w:rsidP="00065F7D" w14:paraId="086B3DAE" w14:textId="0D38414D">
            <w:pPr>
              <w:jc w:val="center"/>
              <w:rPr>
                <w:color w:val="000000"/>
                <w:sz w:val="20"/>
              </w:rPr>
            </w:pPr>
          </w:p>
          <w:p w:rsidR="009E2EA8" w:rsidRPr="001C4725" w:rsidP="00065F7D" w14:paraId="5C175227" w14:textId="78421393">
            <w:pPr>
              <w:jc w:val="center"/>
              <w:rPr>
                <w:color w:val="000000"/>
                <w:sz w:val="20"/>
              </w:rPr>
            </w:pPr>
          </w:p>
        </w:tc>
      </w:tr>
    </w:tbl>
    <w:p w:rsidR="00216DFF" w:rsidP="004B2288" w14:paraId="24B41A8B" w14:textId="77777777">
      <w:pPr>
        <w:ind w:left="720"/>
        <w:rPr>
          <w:i/>
        </w:rPr>
      </w:pPr>
    </w:p>
    <w:p w:rsidR="005B182C" w:rsidP="001A35CF" w14:paraId="14849A3A" w14:textId="77777777">
      <w:pPr>
        <w:ind w:left="720" w:hanging="720"/>
        <w:rPr>
          <w:b/>
        </w:rPr>
        <w:sectPr w:rsidSect="00AD48B7">
          <w:pgSz w:w="15840" w:h="12240" w:orient="landscape"/>
          <w:pgMar w:top="1440" w:right="1350" w:bottom="1440" w:left="1920" w:header="1350" w:footer="1440" w:gutter="0"/>
          <w:cols w:space="720"/>
          <w:titlePg/>
          <w:docGrid w:linePitch="326"/>
        </w:sectPr>
      </w:pPr>
    </w:p>
    <w:p w:rsidR="001069B7" w:rsidP="001A35CF" w14:paraId="07E00491" w14:textId="77777777">
      <w:pPr>
        <w:ind w:left="720" w:hanging="720"/>
        <w:rPr>
          <w:b/>
        </w:rPr>
      </w:pPr>
      <w:r w:rsidRPr="00AD423C">
        <w:rPr>
          <w:b/>
        </w:rPr>
        <w:t>13.</w:t>
      </w:r>
      <w:r w:rsidRPr="00AD423C">
        <w:rPr>
          <w:b/>
        </w:rPr>
        <w:tab/>
      </w:r>
      <w:r w:rsidRPr="00AD423C">
        <w:rPr>
          <w:b/>
          <w:u w:val="single"/>
        </w:rPr>
        <w:t>Estimate of total annual costs to respondents</w:t>
      </w:r>
      <w:r w:rsidRPr="00AD423C">
        <w:t>.</w:t>
      </w:r>
    </w:p>
    <w:p w:rsidR="001069B7" w14:paraId="381BE899" w14:textId="77777777">
      <w:pPr>
        <w:rPr>
          <w:b/>
        </w:rPr>
      </w:pPr>
    </w:p>
    <w:p w:rsidR="00137DB4" w:rsidP="00137DB4" w14:paraId="5B5F94B0" w14:textId="422DDAC0">
      <w:pPr>
        <w:ind w:left="3600" w:hanging="2880"/>
      </w:pPr>
      <w:r>
        <w:t>There is no additional cost to</w:t>
      </w:r>
      <w:r w:rsidR="00216DFF">
        <w:t xml:space="preserve"> the </w:t>
      </w:r>
      <w:r>
        <w:t>respondents beyond the burden listed in question 12</w:t>
      </w:r>
      <w:r w:rsidR="00216DFF">
        <w:t>.</w:t>
      </w:r>
    </w:p>
    <w:p w:rsidR="001069B7" w14:paraId="0D2F0FCE" w14:textId="77777777">
      <w:pPr>
        <w:ind w:left="720"/>
      </w:pPr>
      <w:r>
        <w:t xml:space="preserve">           </w:t>
      </w:r>
    </w:p>
    <w:p w:rsidR="00ED2F1D" w:rsidP="00ED2F1D" w14:paraId="617DFB45" w14:textId="77777777">
      <w:pPr>
        <w:ind w:left="720" w:hanging="720"/>
      </w:pPr>
      <w:r w:rsidRPr="00AD423C">
        <w:rPr>
          <w:b/>
        </w:rPr>
        <w:t>14.</w:t>
      </w:r>
      <w:r w:rsidRPr="00AD423C">
        <w:rPr>
          <w:b/>
        </w:rPr>
        <w:tab/>
      </w:r>
      <w:r w:rsidRPr="00AD423C">
        <w:rPr>
          <w:b/>
          <w:u w:val="single"/>
        </w:rPr>
        <w:t>Estimate of Cost to Federal Government</w:t>
      </w:r>
      <w:r w:rsidRPr="00AD423C">
        <w:t>.</w:t>
      </w:r>
    </w:p>
    <w:p w:rsidR="001069B7" w:rsidP="00B9723D" w14:paraId="391D7111" w14:textId="77777777">
      <w:pPr>
        <w:ind w:left="720" w:hanging="720"/>
        <w:rPr>
          <w:b/>
        </w:rPr>
      </w:pPr>
    </w:p>
    <w:p w:rsidR="00875223" w:rsidP="00875223" w14:paraId="39875B57" w14:textId="71391EBD">
      <w:pPr>
        <w:widowControl w:val="0"/>
        <w:tabs>
          <w:tab w:val="left" w:pos="0"/>
          <w:tab w:val="left" w:pos="720"/>
          <w:tab w:val="left" w:pos="1440"/>
        </w:tabs>
        <w:ind w:left="720"/>
      </w:pPr>
      <w:r>
        <w:t>To estimate the government administrative cost, the 202</w:t>
      </w:r>
      <w:r w:rsidR="00830481">
        <w:t>5</w:t>
      </w:r>
      <w:r>
        <w:t xml:space="preserve"> Office of Personnel Management wage rates were used for the </w:t>
      </w:r>
      <w:r w:rsidR="000B4D2E">
        <w:t>Washington, D.C. area.  FRA uses an hourly wage rate of $1</w:t>
      </w:r>
      <w:r w:rsidR="00B105EF">
        <w:t>35.42</w:t>
      </w:r>
      <w:r w:rsidR="000B4D2E">
        <w:t xml:space="preserve"> for each government administrative hour</w:t>
      </w:r>
      <w:r w:rsidRPr="00C031B3" w:rsidR="000B4D2E">
        <w:t>.</w:t>
      </w:r>
      <w:r>
        <w:rPr>
          <w:rStyle w:val="FootnoteReference"/>
        </w:rPr>
        <w:footnoteReference w:id="11"/>
      </w:r>
      <w:r w:rsidRPr="00C031B3" w:rsidR="000B4D2E">
        <w:rPr>
          <w:b/>
        </w:rPr>
        <w:t xml:space="preserve"> </w:t>
      </w:r>
      <w:r w:rsidR="000B4D2E">
        <w:t xml:space="preserve"> FRA estimates that it takes approximately $</w:t>
      </w:r>
      <w:r w:rsidR="00B105EF">
        <w:t>3,859.47</w:t>
      </w:r>
      <w:r w:rsidR="000B4D2E">
        <w:t xml:space="preserve"> (28.5 hours times $</w:t>
      </w:r>
      <w:r w:rsidR="00B105EF">
        <w:t>135.42</w:t>
      </w:r>
      <w:r w:rsidR="000B4D2E">
        <w:t>) annually to review documents.</w:t>
      </w:r>
    </w:p>
    <w:p w:rsidR="00875223" w:rsidP="00875223" w14:paraId="18C7DAFF" w14:textId="77777777"/>
    <w:p w:rsidR="00BE5CF8" w14:paraId="43AE2D88" w14:textId="44D2EAAC">
      <w:pPr>
        <w:ind w:left="720"/>
      </w:pPr>
      <w:r>
        <w:t xml:space="preserve">(1) </w:t>
      </w:r>
      <w:r>
        <w:rPr>
          <w:u w:val="single"/>
        </w:rPr>
        <w:t xml:space="preserve">Annual Review of </w:t>
      </w:r>
      <w:r w:rsidR="00F473BC">
        <w:rPr>
          <w:u w:val="single"/>
        </w:rPr>
        <w:t xml:space="preserve">1 </w:t>
      </w:r>
      <w:r>
        <w:rPr>
          <w:u w:val="single"/>
        </w:rPr>
        <w:t xml:space="preserve">General Petitions </w:t>
      </w:r>
      <w:r w:rsidR="00E854D5">
        <w:rPr>
          <w:u w:val="single"/>
        </w:rPr>
        <w:t>f</w:t>
      </w:r>
      <w:r>
        <w:rPr>
          <w:u w:val="single"/>
        </w:rPr>
        <w:t>or Waiver under § 224.7</w:t>
      </w:r>
      <w:r>
        <w:t xml:space="preserve">.  </w:t>
      </w:r>
    </w:p>
    <w:p w:rsidR="001069B7" w14:paraId="46291991" w14:textId="04244F5A">
      <w:pPr>
        <w:ind w:left="720"/>
      </w:pPr>
      <w:r>
        <w:t>FRA estimates that an Office of Safety Staff Specialist spend</w:t>
      </w:r>
      <w:r w:rsidR="00775230">
        <w:t>s</w:t>
      </w:r>
      <w:r>
        <w:t xml:space="preserve"> approximately </w:t>
      </w:r>
      <w:r w:rsidR="00BE5CF8">
        <w:t>8 hours</w:t>
      </w:r>
      <w:r w:rsidR="00BA1BF3">
        <w:t xml:space="preserve"> </w:t>
      </w:r>
      <w:r>
        <w:t xml:space="preserve">per petition, or a total of </w:t>
      </w:r>
      <w:r w:rsidR="00BE5CF8">
        <w:t>8 hours</w:t>
      </w:r>
      <w:r>
        <w:t xml:space="preserve"> annually perusing these petitions</w:t>
      </w:r>
      <w:r w:rsidR="00875223">
        <w:t>.</w:t>
      </w:r>
    </w:p>
    <w:p w:rsidR="0005706B" w14:paraId="31C69A9B" w14:textId="77777777">
      <w:pPr>
        <w:ind w:left="720"/>
      </w:pPr>
    </w:p>
    <w:p w:rsidR="00875223" w14:paraId="2B25F85D" w14:textId="72438745">
      <w:pPr>
        <w:ind w:left="720"/>
      </w:pPr>
      <w:r>
        <w:t xml:space="preserve">(2) </w:t>
      </w:r>
      <w:r>
        <w:rPr>
          <w:u w:val="single"/>
        </w:rPr>
        <w:t xml:space="preserve">Annual Review of </w:t>
      </w:r>
      <w:r w:rsidR="00830481">
        <w:rPr>
          <w:u w:val="single"/>
        </w:rPr>
        <w:t>one</w:t>
      </w:r>
      <w:r w:rsidR="009616DD">
        <w:rPr>
          <w:u w:val="single"/>
        </w:rPr>
        <w:t xml:space="preserve"> (</w:t>
      </w:r>
      <w:r w:rsidR="00F473BC">
        <w:rPr>
          <w:u w:val="single"/>
        </w:rPr>
        <w:t>1</w:t>
      </w:r>
      <w:r w:rsidR="009616DD">
        <w:rPr>
          <w:u w:val="single"/>
        </w:rPr>
        <w:t>)</w:t>
      </w:r>
      <w:r>
        <w:rPr>
          <w:u w:val="single"/>
        </w:rPr>
        <w:t xml:space="preserve"> Special Approval Procedure Petitions </w:t>
      </w:r>
      <w:r>
        <w:t xml:space="preserve">(for alternative standards) under § 224.15.  </w:t>
      </w:r>
    </w:p>
    <w:p w:rsidR="00365600" w14:paraId="48776680" w14:textId="77777777">
      <w:pPr>
        <w:ind w:left="720"/>
      </w:pPr>
    </w:p>
    <w:p w:rsidR="0091450D" w:rsidP="00875223" w14:paraId="6AB5C945" w14:textId="70C2323B">
      <w:pPr>
        <w:numPr>
          <w:ilvl w:val="0"/>
          <w:numId w:val="6"/>
        </w:numPr>
      </w:pPr>
      <w:r>
        <w:t>FRA estimates that an Office of Safety Staff Technical Specialist</w:t>
      </w:r>
      <w:r>
        <w:t>/Engineer</w:t>
      </w:r>
      <w:r>
        <w:t xml:space="preserve"> spend</w:t>
      </w:r>
      <w:r w:rsidR="00775230">
        <w:t>s</w:t>
      </w:r>
      <w:r>
        <w:t xml:space="preserve"> approximately </w:t>
      </w:r>
      <w:r>
        <w:t>20</w:t>
      </w:r>
      <w:r>
        <w:t xml:space="preserve"> hours per petition, or a total of </w:t>
      </w:r>
      <w:r w:rsidR="00F473BC">
        <w:t xml:space="preserve">20 </w:t>
      </w:r>
      <w:r>
        <w:t>hours annually thoroughly reviewing and evaluating these petitions</w:t>
      </w:r>
      <w:r w:rsidR="00875223">
        <w:t>.</w:t>
      </w:r>
    </w:p>
    <w:p w:rsidR="001069B7" w:rsidRPr="00A2126D" w:rsidP="00875223" w14:paraId="5AF752D4" w14:textId="3B1E6237">
      <w:pPr>
        <w:numPr>
          <w:ilvl w:val="0"/>
          <w:numId w:val="6"/>
        </w:numPr>
      </w:pPr>
      <w:r w:rsidRPr="00A2126D">
        <w:t>FRA estimates that an agency attorney spend</w:t>
      </w:r>
      <w:r w:rsidRPr="00A2126D" w:rsidR="00775230">
        <w:t>s</w:t>
      </w:r>
      <w:r w:rsidRPr="00A2126D">
        <w:t xml:space="preserve"> approximately </w:t>
      </w:r>
      <w:r w:rsidRPr="00A2126D" w:rsidR="00835078">
        <w:t>30</w:t>
      </w:r>
      <w:r w:rsidRPr="00A2126D">
        <w:t xml:space="preserve"> minutes per petition to ensure that they comply with legal requirements and agency regulations.  </w:t>
      </w:r>
    </w:p>
    <w:p w:rsidR="001069B7" w:rsidP="002C46BA" w14:paraId="06677767" w14:textId="77777777">
      <w:pPr>
        <w:ind w:left="720"/>
        <w:rPr>
          <w:b/>
        </w:rPr>
      </w:pPr>
      <w:r>
        <w:rPr>
          <w:b/>
        </w:rPr>
        <w:tab/>
      </w:r>
      <w:r>
        <w:rPr>
          <w:b/>
        </w:rPr>
        <w:tab/>
      </w:r>
      <w:r>
        <w:rPr>
          <w:b/>
        </w:rPr>
        <w:tab/>
      </w:r>
    </w:p>
    <w:p w:rsidR="001069B7" w14:paraId="4A5C6589" w14:textId="77777777">
      <w:pPr>
        <w:ind w:left="720" w:hanging="720"/>
        <w:rPr>
          <w:b/>
        </w:rPr>
      </w:pPr>
      <w:r w:rsidRPr="00AD423C">
        <w:rPr>
          <w:b/>
        </w:rPr>
        <w:t>15.</w:t>
      </w:r>
      <w:r w:rsidRPr="00AD423C">
        <w:rPr>
          <w:b/>
        </w:rPr>
        <w:tab/>
      </w:r>
      <w:r w:rsidRPr="00AD423C">
        <w:rPr>
          <w:b/>
          <w:u w:val="single"/>
        </w:rPr>
        <w:t>Explanation of program changes and adjustments</w:t>
      </w:r>
      <w:r w:rsidRPr="00AD423C">
        <w:t>.</w:t>
      </w:r>
    </w:p>
    <w:p w:rsidR="001069B7" w14:paraId="55B01EAC" w14:textId="77777777">
      <w:pPr>
        <w:rPr>
          <w:b/>
        </w:rPr>
      </w:pPr>
      <w:r>
        <w:rPr>
          <w:b/>
        </w:rPr>
        <w:tab/>
      </w:r>
    </w:p>
    <w:p w:rsidR="00727FD6" w:rsidP="00137DB4" w14:paraId="5937B677" w14:textId="473ED7F9">
      <w:pPr>
        <w:widowControl w:val="0"/>
        <w:ind w:left="720"/>
      </w:pPr>
      <w:r w:rsidRPr="00183F03">
        <w:t>This is</w:t>
      </w:r>
      <w:r w:rsidR="00D93830">
        <w:t xml:space="preserve"> a </w:t>
      </w:r>
      <w:r w:rsidRPr="00D93830" w:rsidR="00D93830">
        <w:t xml:space="preserve">revision to a current collection of information. The current OMB inventory for this information collection shows a total burden of </w:t>
      </w:r>
      <w:r w:rsidR="00D93830">
        <w:t xml:space="preserve">3,159 </w:t>
      </w:r>
      <w:r w:rsidRPr="00D93830" w:rsidR="00D93830">
        <w:t xml:space="preserve">hours and 36,001 responses, while the requesting inventory estimates a total burden of </w:t>
      </w:r>
      <w:r w:rsidR="00137DB4">
        <w:t>3,0</w:t>
      </w:r>
      <w:r w:rsidR="003C314E">
        <w:t>4</w:t>
      </w:r>
      <w:r w:rsidR="00FF3C69">
        <w:t>6</w:t>
      </w:r>
      <w:r w:rsidR="00137DB4">
        <w:t xml:space="preserve"> </w:t>
      </w:r>
      <w:r w:rsidRPr="00D93830" w:rsidR="00D93830">
        <w:t xml:space="preserve">hours and </w:t>
      </w:r>
      <w:r w:rsidRPr="00137DB4" w:rsidR="00137DB4">
        <w:t>35,97</w:t>
      </w:r>
      <w:r w:rsidR="00FF3C69">
        <w:t>2</w:t>
      </w:r>
      <w:r w:rsidR="00137DB4">
        <w:t xml:space="preserve"> </w:t>
      </w:r>
      <w:r w:rsidRPr="00D93830" w:rsidR="00D93830">
        <w:t xml:space="preserve">responses. Overall, the burden for this submission has decreased by </w:t>
      </w:r>
      <w:r w:rsidR="00137DB4">
        <w:t>1</w:t>
      </w:r>
      <w:r w:rsidR="00FB0FB1">
        <w:t>1</w:t>
      </w:r>
      <w:r w:rsidR="00FF3C69">
        <w:t>3</w:t>
      </w:r>
      <w:r w:rsidRPr="00D93830" w:rsidR="00D93830">
        <w:t xml:space="preserve"> hours and decreased by </w:t>
      </w:r>
      <w:r w:rsidR="00137DB4">
        <w:t>2</w:t>
      </w:r>
      <w:r w:rsidR="00FF3C69">
        <w:t>9</w:t>
      </w:r>
      <w:r w:rsidRPr="00D93830" w:rsidR="00D93830">
        <w:t xml:space="preserve"> responses due to program change</w:t>
      </w:r>
      <w:r w:rsidR="00137DB4">
        <w:t xml:space="preserve"> and adjustments</w:t>
      </w:r>
      <w:r w:rsidRPr="00D93830" w:rsidR="00D93830">
        <w:t>.</w:t>
      </w:r>
    </w:p>
    <w:p w:rsidR="00137DB4" w:rsidP="00137DB4" w14:paraId="58194383" w14:textId="77777777">
      <w:pPr>
        <w:widowControl w:val="0"/>
        <w:ind w:left="720"/>
      </w:pPr>
    </w:p>
    <w:p w:rsidR="001C32A4" w:rsidRPr="003A08DB" w:rsidP="001C32A4" w14:paraId="7BA1E7C0" w14:textId="05B10EC8">
      <w:pPr>
        <w:ind w:firstLine="720"/>
        <w:rPr>
          <w:b/>
          <w:u w:val="single"/>
        </w:rPr>
      </w:pPr>
      <w:r>
        <w:rPr>
          <w:b/>
          <w:u w:val="single"/>
        </w:rPr>
        <w:t>Program Change</w:t>
      </w:r>
    </w:p>
    <w:p w:rsidR="001C32A4" w:rsidP="001C32A4" w14:paraId="0D449994" w14:textId="77777777">
      <w:pPr>
        <w:ind w:left="720"/>
      </w:pPr>
    </w:p>
    <w:tbl>
      <w:tblPr>
        <w:tblW w:w="5051" w:type="pct"/>
        <w:tblLayout w:type="fixed"/>
        <w:tblLook w:val="04A0"/>
      </w:tblPr>
      <w:tblGrid>
        <w:gridCol w:w="2336"/>
        <w:gridCol w:w="1260"/>
        <w:gridCol w:w="1169"/>
        <w:gridCol w:w="1081"/>
        <w:gridCol w:w="1258"/>
        <w:gridCol w:w="1260"/>
        <w:gridCol w:w="1081"/>
      </w:tblGrid>
      <w:tr w14:paraId="4E589126" w14:textId="77777777" w:rsidTr="005B182C">
        <w:tblPrEx>
          <w:tblW w:w="5051" w:type="pct"/>
          <w:tblLayout w:type="fixed"/>
          <w:tblLook w:val="04A0"/>
        </w:tblPrEx>
        <w:trPr>
          <w:trHeight w:val="332"/>
        </w:trPr>
        <w:tc>
          <w:tcPr>
            <w:tcW w:w="1237" w:type="pct"/>
            <w:vMerge w:val="restart"/>
            <w:tcBorders>
              <w:top w:val="single" w:sz="4" w:space="0" w:color="auto"/>
              <w:left w:val="single" w:sz="4" w:space="0" w:color="auto"/>
              <w:right w:val="single" w:sz="4" w:space="0" w:color="auto"/>
            </w:tcBorders>
            <w:shd w:val="clear" w:color="auto" w:fill="auto"/>
          </w:tcPr>
          <w:p w:rsidR="00BE2A3E" w:rsidRPr="00F501B1" w:rsidP="00096A8C" w14:paraId="78F30166" w14:textId="5192889F">
            <w:pPr>
              <w:jc w:val="center"/>
              <w:rPr>
                <w:color w:val="000000"/>
                <w:sz w:val="20"/>
              </w:rPr>
            </w:pPr>
            <w:r w:rsidRPr="00F501B1">
              <w:rPr>
                <w:color w:val="000000"/>
                <w:sz w:val="20"/>
              </w:rPr>
              <w:t>CFR Section</w:t>
            </w:r>
          </w:p>
        </w:tc>
        <w:tc>
          <w:tcPr>
            <w:tcW w:w="1858" w:type="pct"/>
            <w:gridSpan w:val="3"/>
            <w:tcBorders>
              <w:top w:val="single" w:sz="4" w:space="0" w:color="auto"/>
              <w:left w:val="nil"/>
              <w:bottom w:val="single" w:sz="4" w:space="0" w:color="auto"/>
              <w:right w:val="single" w:sz="4" w:space="0" w:color="auto"/>
            </w:tcBorders>
            <w:shd w:val="clear" w:color="auto" w:fill="auto"/>
          </w:tcPr>
          <w:p w:rsidR="00BE2A3E" w:rsidP="00096A8C" w14:paraId="46F64894" w14:textId="464B53F4">
            <w:pPr>
              <w:jc w:val="center"/>
              <w:rPr>
                <w:sz w:val="20"/>
              </w:rPr>
            </w:pPr>
            <w:r>
              <w:rPr>
                <w:sz w:val="20"/>
              </w:rPr>
              <w:t>Total Annual Responses</w:t>
            </w:r>
          </w:p>
        </w:tc>
        <w:tc>
          <w:tcPr>
            <w:tcW w:w="1905" w:type="pct"/>
            <w:gridSpan w:val="3"/>
            <w:tcBorders>
              <w:top w:val="single" w:sz="4" w:space="0" w:color="auto"/>
              <w:left w:val="nil"/>
              <w:bottom w:val="single" w:sz="4" w:space="0" w:color="auto"/>
              <w:right w:val="single" w:sz="4" w:space="0" w:color="auto"/>
            </w:tcBorders>
            <w:shd w:val="clear" w:color="auto" w:fill="auto"/>
          </w:tcPr>
          <w:p w:rsidR="00BE2A3E" w:rsidP="00096A8C" w14:paraId="240426FE" w14:textId="59431898">
            <w:pPr>
              <w:jc w:val="center"/>
              <w:rPr>
                <w:color w:val="000000"/>
                <w:sz w:val="20"/>
              </w:rPr>
            </w:pPr>
            <w:r>
              <w:rPr>
                <w:color w:val="000000"/>
                <w:sz w:val="20"/>
              </w:rPr>
              <w:t>Total Annual Burden Hours</w:t>
            </w:r>
          </w:p>
        </w:tc>
      </w:tr>
      <w:tr w14:paraId="31280BF5" w14:textId="77777777" w:rsidTr="005B182C">
        <w:tblPrEx>
          <w:tblW w:w="5051" w:type="pct"/>
          <w:tblLayout w:type="fixed"/>
          <w:tblLook w:val="04A0"/>
        </w:tblPrEx>
        <w:trPr>
          <w:trHeight w:val="432"/>
        </w:trPr>
        <w:tc>
          <w:tcPr>
            <w:tcW w:w="1237" w:type="pct"/>
            <w:vMerge/>
            <w:tcBorders>
              <w:left w:val="single" w:sz="4" w:space="0" w:color="auto"/>
              <w:bottom w:val="single" w:sz="4" w:space="0" w:color="auto"/>
              <w:right w:val="single" w:sz="4" w:space="0" w:color="auto"/>
            </w:tcBorders>
            <w:shd w:val="clear" w:color="auto" w:fill="auto"/>
            <w:hideMark/>
          </w:tcPr>
          <w:p w:rsidR="00BE2A3E" w:rsidRPr="00F501B1" w:rsidP="00096A8C" w14:paraId="1BC47ABD" w14:textId="6419EC7E">
            <w:pPr>
              <w:jc w:val="center"/>
              <w:rPr>
                <w:color w:val="000000"/>
                <w:sz w:val="20"/>
              </w:rPr>
            </w:pPr>
          </w:p>
        </w:tc>
        <w:tc>
          <w:tcPr>
            <w:tcW w:w="667" w:type="pct"/>
            <w:tcBorders>
              <w:top w:val="single" w:sz="4" w:space="0" w:color="auto"/>
              <w:left w:val="nil"/>
              <w:bottom w:val="single" w:sz="4" w:space="0" w:color="auto"/>
              <w:right w:val="single" w:sz="4" w:space="0" w:color="auto"/>
            </w:tcBorders>
            <w:shd w:val="clear" w:color="auto" w:fill="auto"/>
            <w:hideMark/>
          </w:tcPr>
          <w:p w:rsidR="00BE2A3E" w:rsidP="00096A8C" w14:paraId="195211B5" w14:textId="77777777">
            <w:pPr>
              <w:jc w:val="center"/>
              <w:rPr>
                <w:color w:val="000000"/>
                <w:sz w:val="20"/>
              </w:rPr>
            </w:pPr>
            <w:r>
              <w:rPr>
                <w:color w:val="000000"/>
                <w:sz w:val="20"/>
              </w:rPr>
              <w:t>Previous</w:t>
            </w:r>
          </w:p>
          <w:p w:rsidR="00BE2A3E" w:rsidRPr="00C54F62" w:rsidP="00096A8C" w14:paraId="5BA5726F" w14:textId="26ABC70F">
            <w:pPr>
              <w:jc w:val="center"/>
              <w:rPr>
                <w:color w:val="000000"/>
                <w:sz w:val="20"/>
              </w:rPr>
            </w:pPr>
            <w:r>
              <w:rPr>
                <w:color w:val="000000"/>
                <w:sz w:val="20"/>
              </w:rPr>
              <w:t>Submission</w:t>
            </w:r>
          </w:p>
        </w:tc>
        <w:tc>
          <w:tcPr>
            <w:tcW w:w="619" w:type="pct"/>
            <w:tcBorders>
              <w:top w:val="single" w:sz="4" w:space="0" w:color="auto"/>
              <w:left w:val="nil"/>
              <w:bottom w:val="single" w:sz="4" w:space="0" w:color="auto"/>
              <w:right w:val="single" w:sz="4" w:space="0" w:color="auto"/>
            </w:tcBorders>
            <w:shd w:val="clear" w:color="auto" w:fill="auto"/>
            <w:hideMark/>
          </w:tcPr>
          <w:p w:rsidR="00BE2A3E" w:rsidP="00096A8C" w14:paraId="419A5EBC" w14:textId="77777777">
            <w:pPr>
              <w:jc w:val="center"/>
              <w:rPr>
                <w:color w:val="000000"/>
                <w:sz w:val="20"/>
              </w:rPr>
            </w:pPr>
            <w:r>
              <w:rPr>
                <w:color w:val="000000"/>
                <w:sz w:val="20"/>
              </w:rPr>
              <w:t xml:space="preserve">Current </w:t>
            </w:r>
          </w:p>
          <w:p w:rsidR="00BE2A3E" w:rsidRPr="00C54F62" w:rsidP="00096A8C" w14:paraId="7523FAFE" w14:textId="0B759D83">
            <w:pPr>
              <w:jc w:val="center"/>
              <w:rPr>
                <w:color w:val="000000"/>
                <w:sz w:val="20"/>
              </w:rPr>
            </w:pPr>
            <w:r>
              <w:rPr>
                <w:color w:val="000000"/>
                <w:sz w:val="20"/>
              </w:rPr>
              <w:t>Submission</w:t>
            </w:r>
          </w:p>
        </w:tc>
        <w:tc>
          <w:tcPr>
            <w:tcW w:w="572" w:type="pct"/>
            <w:tcBorders>
              <w:top w:val="single" w:sz="4" w:space="0" w:color="auto"/>
              <w:left w:val="nil"/>
              <w:bottom w:val="single" w:sz="4" w:space="0" w:color="auto"/>
              <w:right w:val="nil"/>
            </w:tcBorders>
          </w:tcPr>
          <w:p w:rsidR="00BE2A3E" w:rsidRPr="00C54F62" w:rsidP="00096A8C" w14:paraId="69DA7125" w14:textId="4333104A">
            <w:pPr>
              <w:jc w:val="center"/>
              <w:rPr>
                <w:sz w:val="20"/>
              </w:rPr>
            </w:pPr>
            <w:r>
              <w:rPr>
                <w:sz w:val="20"/>
              </w:rPr>
              <w:t>Difference</w:t>
            </w:r>
          </w:p>
        </w:tc>
        <w:tc>
          <w:tcPr>
            <w:tcW w:w="666" w:type="pct"/>
            <w:tcBorders>
              <w:top w:val="single" w:sz="4" w:space="0" w:color="auto"/>
              <w:left w:val="nil"/>
              <w:bottom w:val="single" w:sz="4" w:space="0" w:color="auto"/>
              <w:right w:val="single" w:sz="4" w:space="0" w:color="auto"/>
            </w:tcBorders>
            <w:shd w:val="clear" w:color="auto" w:fill="auto"/>
          </w:tcPr>
          <w:p w:rsidR="00BE2A3E" w:rsidP="00096A8C" w14:paraId="1204084A" w14:textId="28456A87">
            <w:pPr>
              <w:jc w:val="center"/>
              <w:rPr>
                <w:color w:val="000000"/>
                <w:sz w:val="20"/>
              </w:rPr>
            </w:pPr>
            <w:r>
              <w:rPr>
                <w:color w:val="000000"/>
                <w:sz w:val="20"/>
              </w:rPr>
              <w:t>Previous</w:t>
            </w:r>
          </w:p>
          <w:p w:rsidR="00BE2A3E" w:rsidRPr="00C54F62" w:rsidP="00BE2A3E" w14:paraId="0060C6FB" w14:textId="413F5CD2">
            <w:pPr>
              <w:jc w:val="center"/>
              <w:rPr>
                <w:color w:val="000000"/>
                <w:sz w:val="20"/>
              </w:rPr>
            </w:pPr>
            <w:r>
              <w:rPr>
                <w:color w:val="000000"/>
                <w:sz w:val="20"/>
              </w:rPr>
              <w:t>Submission</w:t>
            </w:r>
          </w:p>
        </w:tc>
        <w:tc>
          <w:tcPr>
            <w:tcW w:w="667" w:type="pct"/>
            <w:tcBorders>
              <w:top w:val="single" w:sz="4" w:space="0" w:color="auto"/>
              <w:left w:val="nil"/>
              <w:bottom w:val="single" w:sz="4" w:space="0" w:color="auto"/>
              <w:right w:val="single" w:sz="4" w:space="0" w:color="auto"/>
            </w:tcBorders>
            <w:shd w:val="clear" w:color="auto" w:fill="auto"/>
          </w:tcPr>
          <w:p w:rsidR="00BE2A3E" w:rsidP="00096A8C" w14:paraId="6D0467D6" w14:textId="77777777">
            <w:pPr>
              <w:jc w:val="center"/>
              <w:rPr>
                <w:color w:val="000000"/>
                <w:sz w:val="20"/>
              </w:rPr>
            </w:pPr>
            <w:r>
              <w:rPr>
                <w:color w:val="000000"/>
                <w:sz w:val="20"/>
              </w:rPr>
              <w:t>Current</w:t>
            </w:r>
          </w:p>
          <w:p w:rsidR="00BE2A3E" w:rsidRPr="00C54F62" w:rsidP="00096A8C" w14:paraId="1BBE4375" w14:textId="4C8E59ED">
            <w:pPr>
              <w:jc w:val="center"/>
              <w:rPr>
                <w:color w:val="000000"/>
                <w:sz w:val="20"/>
              </w:rPr>
            </w:pPr>
            <w:r>
              <w:rPr>
                <w:color w:val="000000"/>
                <w:sz w:val="20"/>
              </w:rPr>
              <w:t>Submission</w:t>
            </w:r>
          </w:p>
        </w:tc>
        <w:tc>
          <w:tcPr>
            <w:tcW w:w="572" w:type="pct"/>
            <w:tcBorders>
              <w:top w:val="single" w:sz="4" w:space="0" w:color="auto"/>
              <w:left w:val="nil"/>
              <w:bottom w:val="single" w:sz="4" w:space="0" w:color="auto"/>
              <w:right w:val="single" w:sz="4" w:space="0" w:color="auto"/>
            </w:tcBorders>
            <w:shd w:val="clear" w:color="auto" w:fill="auto"/>
            <w:hideMark/>
          </w:tcPr>
          <w:p w:rsidR="00BE2A3E" w:rsidP="00096A8C" w14:paraId="0695E4CE" w14:textId="77777777">
            <w:pPr>
              <w:jc w:val="center"/>
              <w:rPr>
                <w:color w:val="000000"/>
                <w:sz w:val="20"/>
              </w:rPr>
            </w:pPr>
            <w:r>
              <w:rPr>
                <w:color w:val="000000"/>
                <w:sz w:val="20"/>
              </w:rPr>
              <w:t>Difference</w:t>
            </w:r>
          </w:p>
          <w:p w:rsidR="00BE2A3E" w:rsidRPr="00F501B1" w:rsidP="00096A8C" w14:paraId="6D2EA2CA" w14:textId="61303B0B">
            <w:pPr>
              <w:jc w:val="center"/>
              <w:rPr>
                <w:color w:val="000000"/>
                <w:sz w:val="20"/>
              </w:rPr>
            </w:pPr>
          </w:p>
        </w:tc>
      </w:tr>
      <w:tr w14:paraId="41B09E29" w14:textId="77777777" w:rsidTr="005B182C">
        <w:tblPrEx>
          <w:tblW w:w="5051" w:type="pct"/>
          <w:tblLayout w:type="fixed"/>
          <w:tblLook w:val="04A0"/>
        </w:tblPrEx>
        <w:trPr>
          <w:trHeight w:val="922"/>
        </w:trPr>
        <w:tc>
          <w:tcPr>
            <w:tcW w:w="1237" w:type="pct"/>
            <w:tcBorders>
              <w:top w:val="single" w:sz="4" w:space="0" w:color="auto"/>
              <w:left w:val="single" w:sz="4" w:space="0" w:color="auto"/>
              <w:bottom w:val="single" w:sz="4" w:space="0" w:color="auto"/>
              <w:right w:val="single" w:sz="4" w:space="0" w:color="auto"/>
            </w:tcBorders>
            <w:shd w:val="clear" w:color="auto" w:fill="auto"/>
          </w:tcPr>
          <w:p w:rsidR="00BE2A3E" w:rsidRPr="00F501B1" w:rsidP="001C32A4" w14:paraId="1B1099C2" w14:textId="677CFC73">
            <w:pPr>
              <w:rPr>
                <w:color w:val="000000"/>
                <w:sz w:val="20"/>
              </w:rPr>
            </w:pPr>
            <w:r w:rsidRPr="00365600">
              <w:rPr>
                <w:color w:val="000000" w:themeColor="text1"/>
                <w:sz w:val="20"/>
              </w:rPr>
              <w:t>224.7—Waivers (Revised requirement due to proposed revision under § 224.3)</w:t>
            </w:r>
          </w:p>
        </w:tc>
        <w:tc>
          <w:tcPr>
            <w:tcW w:w="667" w:type="pct"/>
            <w:tcBorders>
              <w:top w:val="single" w:sz="4" w:space="0" w:color="auto"/>
              <w:left w:val="nil"/>
              <w:bottom w:val="single" w:sz="4" w:space="0" w:color="auto"/>
              <w:right w:val="single" w:sz="4" w:space="0" w:color="auto"/>
            </w:tcBorders>
            <w:shd w:val="clear" w:color="auto" w:fill="auto"/>
          </w:tcPr>
          <w:p w:rsidR="00BE2A3E" w:rsidRPr="00C54F62" w:rsidP="00BE2A3E" w14:paraId="66E7691D" w14:textId="4B331E3D">
            <w:pPr>
              <w:jc w:val="center"/>
              <w:rPr>
                <w:sz w:val="20"/>
              </w:rPr>
            </w:pPr>
            <w:r>
              <w:rPr>
                <w:color w:val="000000"/>
                <w:sz w:val="20"/>
              </w:rPr>
              <w:t>10</w:t>
            </w:r>
          </w:p>
        </w:tc>
        <w:tc>
          <w:tcPr>
            <w:tcW w:w="619" w:type="pct"/>
            <w:tcBorders>
              <w:top w:val="single" w:sz="4" w:space="0" w:color="auto"/>
              <w:left w:val="nil"/>
              <w:bottom w:val="single" w:sz="4" w:space="0" w:color="auto"/>
              <w:right w:val="single" w:sz="4" w:space="0" w:color="auto"/>
            </w:tcBorders>
            <w:shd w:val="clear" w:color="auto" w:fill="auto"/>
          </w:tcPr>
          <w:p w:rsidR="00BE2A3E" w:rsidP="001C32A4" w14:paraId="0853062B" w14:textId="15D62F7A">
            <w:pPr>
              <w:rPr>
                <w:color w:val="000000"/>
                <w:sz w:val="20"/>
              </w:rPr>
            </w:pPr>
            <w:r>
              <w:rPr>
                <w:color w:val="000000"/>
                <w:sz w:val="20"/>
              </w:rPr>
              <w:t xml:space="preserve">1 </w:t>
            </w:r>
            <w:r w:rsidRPr="00F501B1">
              <w:rPr>
                <w:color w:val="000000"/>
                <w:sz w:val="20"/>
              </w:rPr>
              <w:t>petition</w:t>
            </w:r>
          </w:p>
          <w:p w:rsidR="00BE2A3E" w:rsidRPr="00C54F62" w:rsidP="001C32A4" w14:paraId="56B85BDE" w14:textId="0EFDAB9D">
            <w:pPr>
              <w:jc w:val="center"/>
              <w:rPr>
                <w:sz w:val="20"/>
              </w:rPr>
            </w:pPr>
          </w:p>
        </w:tc>
        <w:tc>
          <w:tcPr>
            <w:tcW w:w="572" w:type="pct"/>
            <w:tcBorders>
              <w:top w:val="single" w:sz="4" w:space="0" w:color="auto"/>
              <w:left w:val="nil"/>
              <w:bottom w:val="single" w:sz="4" w:space="0" w:color="auto"/>
              <w:right w:val="nil"/>
            </w:tcBorders>
          </w:tcPr>
          <w:p w:rsidR="00BE2A3E" w:rsidP="001C32A4" w14:paraId="60E9F554" w14:textId="11832216">
            <w:pPr>
              <w:jc w:val="center"/>
              <w:rPr>
                <w:color w:val="000000"/>
                <w:sz w:val="20"/>
              </w:rPr>
            </w:pPr>
            <w:r>
              <w:rPr>
                <w:color w:val="000000"/>
                <w:sz w:val="20"/>
              </w:rPr>
              <w:t>-9</w:t>
            </w:r>
          </w:p>
        </w:tc>
        <w:tc>
          <w:tcPr>
            <w:tcW w:w="666" w:type="pct"/>
            <w:tcBorders>
              <w:top w:val="single" w:sz="4" w:space="0" w:color="auto"/>
              <w:left w:val="nil"/>
              <w:bottom w:val="single" w:sz="4" w:space="0" w:color="auto"/>
              <w:right w:val="single" w:sz="4" w:space="0" w:color="auto"/>
            </w:tcBorders>
            <w:shd w:val="clear" w:color="auto" w:fill="auto"/>
          </w:tcPr>
          <w:p w:rsidR="00BE2A3E" w:rsidRPr="00C54F62" w:rsidP="001C32A4" w14:paraId="79A947C9" w14:textId="5C4AF0E9">
            <w:pPr>
              <w:jc w:val="center"/>
              <w:rPr>
                <w:sz w:val="20"/>
              </w:rPr>
            </w:pPr>
            <w:r>
              <w:rPr>
                <w:color w:val="000000"/>
                <w:sz w:val="20"/>
              </w:rPr>
              <w:t>80</w:t>
            </w:r>
            <w:r w:rsidRPr="00F501B1">
              <w:rPr>
                <w:color w:val="000000"/>
                <w:sz w:val="20"/>
              </w:rPr>
              <w:t xml:space="preserve"> </w:t>
            </w:r>
          </w:p>
        </w:tc>
        <w:tc>
          <w:tcPr>
            <w:tcW w:w="667" w:type="pct"/>
            <w:tcBorders>
              <w:top w:val="single" w:sz="4" w:space="0" w:color="auto"/>
              <w:left w:val="nil"/>
              <w:bottom w:val="single" w:sz="4" w:space="0" w:color="auto"/>
              <w:right w:val="single" w:sz="4" w:space="0" w:color="auto"/>
            </w:tcBorders>
            <w:shd w:val="clear" w:color="auto" w:fill="auto"/>
          </w:tcPr>
          <w:p w:rsidR="00BE2A3E" w:rsidRPr="00C54F62" w:rsidP="001C32A4" w14:paraId="6E33D8B0" w14:textId="4A0B0A52">
            <w:pPr>
              <w:jc w:val="center"/>
              <w:rPr>
                <w:sz w:val="20"/>
              </w:rPr>
            </w:pPr>
            <w:r>
              <w:rPr>
                <w:color w:val="000000"/>
                <w:sz w:val="20"/>
              </w:rPr>
              <w:t>8</w:t>
            </w:r>
            <w:r w:rsidRPr="00F501B1">
              <w:rPr>
                <w:color w:val="000000"/>
                <w:sz w:val="20"/>
              </w:rPr>
              <w:t xml:space="preserve"> </w:t>
            </w:r>
          </w:p>
        </w:tc>
        <w:tc>
          <w:tcPr>
            <w:tcW w:w="572" w:type="pct"/>
            <w:tcBorders>
              <w:top w:val="single" w:sz="4" w:space="0" w:color="auto"/>
              <w:left w:val="nil"/>
              <w:bottom w:val="single" w:sz="4" w:space="0" w:color="auto"/>
              <w:right w:val="single" w:sz="4" w:space="0" w:color="auto"/>
            </w:tcBorders>
            <w:shd w:val="clear" w:color="auto" w:fill="auto"/>
          </w:tcPr>
          <w:p w:rsidR="00BE2A3E" w:rsidP="001C32A4" w14:paraId="2E5A8DBE" w14:textId="7EAB641A">
            <w:pPr>
              <w:rPr>
                <w:color w:val="000000"/>
                <w:sz w:val="20"/>
              </w:rPr>
            </w:pPr>
            <w:r w:rsidRPr="00F501B1">
              <w:rPr>
                <w:color w:val="000000"/>
                <w:sz w:val="20"/>
              </w:rPr>
              <w:t>-</w:t>
            </w:r>
            <w:r>
              <w:rPr>
                <w:color w:val="000000"/>
                <w:sz w:val="20"/>
              </w:rPr>
              <w:t>72</w:t>
            </w:r>
            <w:r w:rsidRPr="00F501B1">
              <w:rPr>
                <w:color w:val="000000"/>
                <w:sz w:val="20"/>
              </w:rPr>
              <w:t xml:space="preserve"> </w:t>
            </w:r>
          </w:p>
          <w:p w:rsidR="00BE2A3E" w:rsidP="001C32A4" w14:paraId="0D5AB14A" w14:textId="77777777">
            <w:pPr>
              <w:rPr>
                <w:color w:val="000000"/>
                <w:sz w:val="20"/>
              </w:rPr>
            </w:pPr>
          </w:p>
          <w:p w:rsidR="00BE2A3E" w:rsidP="001C32A4" w14:paraId="560CBCB7" w14:textId="0F3CAC10">
            <w:pPr>
              <w:rPr>
                <w:color w:val="000000"/>
                <w:sz w:val="20"/>
              </w:rPr>
            </w:pPr>
            <w:r>
              <w:rPr>
                <w:i/>
                <w:color w:val="000000"/>
                <w:sz w:val="20"/>
              </w:rPr>
              <w:t>.</w:t>
            </w:r>
          </w:p>
        </w:tc>
      </w:tr>
    </w:tbl>
    <w:p w:rsidR="00080058" w:rsidP="00080058" w14:paraId="42DC287B" w14:textId="77777777">
      <w:pPr>
        <w:widowControl w:val="0"/>
        <w:ind w:left="1080"/>
        <w:outlineLvl w:val="0"/>
        <w:rPr>
          <w:szCs w:val="24"/>
        </w:rPr>
      </w:pPr>
    </w:p>
    <w:p w:rsidR="00137DB4" w:rsidRPr="008A5B6D" w:rsidP="00137DB4" w14:paraId="712D6AF2" w14:textId="4DF4C952">
      <w:pPr>
        <w:widowControl w:val="0"/>
        <w:numPr>
          <w:ilvl w:val="1"/>
          <w:numId w:val="5"/>
        </w:numPr>
        <w:outlineLvl w:val="0"/>
        <w:rPr>
          <w:szCs w:val="24"/>
        </w:rPr>
      </w:pPr>
      <w:r>
        <w:rPr>
          <w:szCs w:val="24"/>
        </w:rPr>
        <w:t>Program change decreased</w:t>
      </w:r>
      <w:r w:rsidRPr="008A5B6D">
        <w:rPr>
          <w:szCs w:val="24"/>
        </w:rPr>
        <w:t xml:space="preserve"> the burden by </w:t>
      </w:r>
      <w:r w:rsidR="005B0BB5">
        <w:rPr>
          <w:szCs w:val="24"/>
        </w:rPr>
        <w:t>72</w:t>
      </w:r>
      <w:r>
        <w:rPr>
          <w:szCs w:val="24"/>
        </w:rPr>
        <w:t xml:space="preserve"> hours and decreased responses by </w:t>
      </w:r>
      <w:r w:rsidR="005B0BB5">
        <w:rPr>
          <w:szCs w:val="24"/>
        </w:rPr>
        <w:t>9</w:t>
      </w:r>
      <w:r>
        <w:rPr>
          <w:szCs w:val="24"/>
        </w:rPr>
        <w:t>.</w:t>
      </w:r>
    </w:p>
    <w:p w:rsidR="001078FE" w:rsidRPr="003A08DB" w:rsidP="001078FE" w14:paraId="495FD35D" w14:textId="72D6C18D">
      <w:pPr>
        <w:ind w:firstLine="720"/>
        <w:rPr>
          <w:b/>
          <w:u w:val="single"/>
        </w:rPr>
      </w:pPr>
      <w:r>
        <w:rPr>
          <w:b/>
          <w:u w:val="single"/>
        </w:rPr>
        <w:t>Adjustments</w:t>
      </w:r>
    </w:p>
    <w:p w:rsidR="001078FE" w:rsidP="001D4F44" w14:paraId="7C3C7258" w14:textId="77777777">
      <w:pPr>
        <w:ind w:left="720"/>
      </w:pPr>
    </w:p>
    <w:tbl>
      <w:tblPr>
        <w:tblW w:w="52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35"/>
        <w:gridCol w:w="1261"/>
        <w:gridCol w:w="1169"/>
        <w:gridCol w:w="1080"/>
        <w:gridCol w:w="1261"/>
        <w:gridCol w:w="1259"/>
        <w:gridCol w:w="1439"/>
      </w:tblGrid>
      <w:tr w14:paraId="287596BF" w14:textId="77777777" w:rsidTr="005B182C">
        <w:tblPrEx>
          <w:tblW w:w="52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191" w:type="pct"/>
            <w:vMerge w:val="restart"/>
            <w:shd w:val="clear" w:color="auto" w:fill="auto"/>
            <w:hideMark/>
          </w:tcPr>
          <w:p w:rsidR="00EF5892" w:rsidRPr="00F501B1" w:rsidP="00C54F62" w14:paraId="35FB98D3" w14:textId="77777777">
            <w:pPr>
              <w:jc w:val="center"/>
              <w:rPr>
                <w:color w:val="000000"/>
                <w:sz w:val="20"/>
              </w:rPr>
            </w:pPr>
            <w:r w:rsidRPr="00F501B1">
              <w:rPr>
                <w:color w:val="000000"/>
                <w:sz w:val="20"/>
              </w:rPr>
              <w:t>CFR Section</w:t>
            </w:r>
          </w:p>
        </w:tc>
        <w:tc>
          <w:tcPr>
            <w:tcW w:w="1790" w:type="pct"/>
            <w:gridSpan w:val="3"/>
            <w:shd w:val="clear" w:color="auto" w:fill="auto"/>
          </w:tcPr>
          <w:p w:rsidR="00EF5892" w:rsidRPr="00C54F62" w:rsidP="00C54F62" w14:paraId="6CE8C444" w14:textId="1E17CC7B">
            <w:pPr>
              <w:jc w:val="center"/>
              <w:rPr>
                <w:sz w:val="20"/>
              </w:rPr>
            </w:pPr>
            <w:r>
              <w:rPr>
                <w:sz w:val="20"/>
              </w:rPr>
              <w:t>Total Annual Responses</w:t>
            </w:r>
          </w:p>
        </w:tc>
        <w:tc>
          <w:tcPr>
            <w:tcW w:w="2019" w:type="pct"/>
            <w:gridSpan w:val="3"/>
            <w:shd w:val="clear" w:color="auto" w:fill="auto"/>
          </w:tcPr>
          <w:p w:rsidR="00EF5892" w:rsidRPr="00F501B1" w:rsidP="00C54F62" w14:paraId="01DA22CC" w14:textId="77220443">
            <w:pPr>
              <w:jc w:val="center"/>
              <w:rPr>
                <w:color w:val="000000"/>
                <w:sz w:val="20"/>
              </w:rPr>
            </w:pPr>
            <w:r>
              <w:rPr>
                <w:color w:val="000000"/>
                <w:sz w:val="20"/>
              </w:rPr>
              <w:t>Total Annual Burden Hours</w:t>
            </w:r>
          </w:p>
        </w:tc>
      </w:tr>
      <w:tr w14:paraId="3F04962A" w14:textId="77777777" w:rsidTr="005B182C">
        <w:tblPrEx>
          <w:tblW w:w="5243" w:type="pct"/>
          <w:tblLayout w:type="fixed"/>
          <w:tblLook w:val="04A0"/>
        </w:tblPrEx>
        <w:trPr>
          <w:trHeight w:val="481"/>
        </w:trPr>
        <w:tc>
          <w:tcPr>
            <w:tcW w:w="1191" w:type="pct"/>
            <w:vMerge/>
            <w:shd w:val="clear" w:color="auto" w:fill="auto"/>
          </w:tcPr>
          <w:p w:rsidR="00EF5892" w:rsidRPr="00F501B1" w:rsidP="001C32A4" w14:paraId="2E49ABC7" w14:textId="77777777">
            <w:pPr>
              <w:rPr>
                <w:color w:val="000000"/>
                <w:sz w:val="20"/>
              </w:rPr>
            </w:pPr>
          </w:p>
        </w:tc>
        <w:tc>
          <w:tcPr>
            <w:tcW w:w="643" w:type="pct"/>
            <w:shd w:val="clear" w:color="auto" w:fill="auto"/>
          </w:tcPr>
          <w:p w:rsidR="00EF5892" w:rsidP="00EF5892" w14:paraId="0F32ED07" w14:textId="77777777">
            <w:pPr>
              <w:jc w:val="center"/>
              <w:rPr>
                <w:color w:val="000000"/>
                <w:sz w:val="20"/>
              </w:rPr>
            </w:pPr>
            <w:r>
              <w:rPr>
                <w:color w:val="000000"/>
                <w:sz w:val="20"/>
              </w:rPr>
              <w:t>Previous</w:t>
            </w:r>
          </w:p>
          <w:p w:rsidR="00EF5892" w:rsidP="00EF5892" w14:paraId="5B4FBCF8" w14:textId="2FBBCBC2">
            <w:pPr>
              <w:jc w:val="center"/>
              <w:rPr>
                <w:color w:val="000000"/>
                <w:sz w:val="20"/>
              </w:rPr>
            </w:pPr>
            <w:r>
              <w:rPr>
                <w:color w:val="000000"/>
                <w:sz w:val="20"/>
              </w:rPr>
              <w:t>Submission</w:t>
            </w:r>
          </w:p>
        </w:tc>
        <w:tc>
          <w:tcPr>
            <w:tcW w:w="596" w:type="pct"/>
            <w:shd w:val="clear" w:color="auto" w:fill="auto"/>
          </w:tcPr>
          <w:p w:rsidR="00EF5892" w:rsidP="00EF5892" w14:paraId="696B6A5B" w14:textId="77777777">
            <w:pPr>
              <w:jc w:val="center"/>
              <w:rPr>
                <w:color w:val="000000"/>
                <w:sz w:val="20"/>
              </w:rPr>
            </w:pPr>
            <w:r>
              <w:rPr>
                <w:color w:val="000000"/>
                <w:sz w:val="20"/>
              </w:rPr>
              <w:t xml:space="preserve">Current </w:t>
            </w:r>
          </w:p>
          <w:p w:rsidR="00EF5892" w:rsidP="00EF5892" w14:paraId="1D116178" w14:textId="58DC264F">
            <w:pPr>
              <w:jc w:val="center"/>
              <w:rPr>
                <w:color w:val="000000"/>
                <w:sz w:val="20"/>
              </w:rPr>
            </w:pPr>
            <w:r>
              <w:rPr>
                <w:color w:val="000000"/>
                <w:sz w:val="20"/>
              </w:rPr>
              <w:t>Submission</w:t>
            </w:r>
          </w:p>
        </w:tc>
        <w:tc>
          <w:tcPr>
            <w:tcW w:w="551" w:type="pct"/>
          </w:tcPr>
          <w:p w:rsidR="00EF5892" w:rsidP="00D93830" w14:paraId="76E21BB0" w14:textId="70A3A6F5">
            <w:pPr>
              <w:jc w:val="center"/>
              <w:rPr>
                <w:color w:val="000000"/>
                <w:sz w:val="20"/>
              </w:rPr>
            </w:pPr>
            <w:r>
              <w:rPr>
                <w:color w:val="000000"/>
                <w:sz w:val="20"/>
              </w:rPr>
              <w:t>Difference</w:t>
            </w:r>
          </w:p>
        </w:tc>
        <w:tc>
          <w:tcPr>
            <w:tcW w:w="643" w:type="pct"/>
            <w:shd w:val="clear" w:color="auto" w:fill="auto"/>
          </w:tcPr>
          <w:p w:rsidR="00EF5892" w:rsidP="00EF5892" w14:paraId="4A85ACA9" w14:textId="77777777">
            <w:pPr>
              <w:jc w:val="center"/>
              <w:rPr>
                <w:color w:val="000000"/>
                <w:sz w:val="20"/>
              </w:rPr>
            </w:pPr>
            <w:r>
              <w:rPr>
                <w:color w:val="000000"/>
                <w:sz w:val="20"/>
              </w:rPr>
              <w:t>Previous</w:t>
            </w:r>
          </w:p>
          <w:p w:rsidR="00EF5892" w:rsidP="00EF5892" w14:paraId="3ED4F73C" w14:textId="053DBF57">
            <w:pPr>
              <w:jc w:val="center"/>
              <w:rPr>
                <w:color w:val="000000"/>
                <w:sz w:val="20"/>
              </w:rPr>
            </w:pPr>
            <w:r>
              <w:rPr>
                <w:color w:val="000000"/>
                <w:sz w:val="20"/>
              </w:rPr>
              <w:t>Submission</w:t>
            </w:r>
          </w:p>
        </w:tc>
        <w:tc>
          <w:tcPr>
            <w:tcW w:w="642" w:type="pct"/>
            <w:shd w:val="clear" w:color="auto" w:fill="auto"/>
          </w:tcPr>
          <w:p w:rsidR="00EF5892" w:rsidP="00EF5892" w14:paraId="659F35EB" w14:textId="77777777">
            <w:pPr>
              <w:jc w:val="center"/>
              <w:rPr>
                <w:color w:val="000000"/>
                <w:sz w:val="20"/>
              </w:rPr>
            </w:pPr>
            <w:r>
              <w:rPr>
                <w:color w:val="000000"/>
                <w:sz w:val="20"/>
              </w:rPr>
              <w:t xml:space="preserve">Current </w:t>
            </w:r>
          </w:p>
          <w:p w:rsidR="00EF5892" w:rsidP="00EF5892" w14:paraId="0B1D8CF2" w14:textId="27E452BD">
            <w:pPr>
              <w:jc w:val="center"/>
              <w:rPr>
                <w:color w:val="000000"/>
                <w:sz w:val="20"/>
              </w:rPr>
            </w:pPr>
            <w:r>
              <w:rPr>
                <w:color w:val="000000"/>
                <w:sz w:val="20"/>
              </w:rPr>
              <w:t>Submission</w:t>
            </w:r>
          </w:p>
        </w:tc>
        <w:tc>
          <w:tcPr>
            <w:tcW w:w="735" w:type="pct"/>
            <w:shd w:val="clear" w:color="auto" w:fill="auto"/>
          </w:tcPr>
          <w:p w:rsidR="00EF5892" w:rsidRPr="00F501B1" w:rsidP="001C32A4" w14:paraId="07B4D2B8" w14:textId="2D1FE319">
            <w:pPr>
              <w:rPr>
                <w:color w:val="000000"/>
                <w:sz w:val="20"/>
              </w:rPr>
            </w:pPr>
            <w:r>
              <w:rPr>
                <w:color w:val="000000"/>
                <w:sz w:val="20"/>
              </w:rPr>
              <w:t>Difference</w:t>
            </w:r>
          </w:p>
        </w:tc>
      </w:tr>
      <w:tr w14:paraId="25937A37" w14:textId="77777777" w:rsidTr="005B182C">
        <w:tblPrEx>
          <w:tblW w:w="5243" w:type="pct"/>
          <w:tblLayout w:type="fixed"/>
          <w:tblLook w:val="04A0"/>
        </w:tblPrEx>
        <w:trPr>
          <w:trHeight w:val="1152"/>
        </w:trPr>
        <w:tc>
          <w:tcPr>
            <w:tcW w:w="1191" w:type="pct"/>
            <w:shd w:val="clear" w:color="auto" w:fill="auto"/>
          </w:tcPr>
          <w:p w:rsidR="00EF5892" w:rsidRPr="00F501B1" w:rsidP="001C32A4" w14:paraId="6ABCED1E" w14:textId="1BD88E4E">
            <w:pPr>
              <w:rPr>
                <w:color w:val="000000"/>
                <w:sz w:val="20"/>
              </w:rPr>
            </w:pPr>
            <w:r w:rsidRPr="00F501B1">
              <w:rPr>
                <w:color w:val="000000"/>
                <w:sz w:val="20"/>
              </w:rPr>
              <w:t>224.15(b)—Special approval procedures—Petitions for special approval of alternative</w:t>
            </w:r>
            <w:r w:rsidRPr="00F501B1">
              <w:rPr>
                <w:color w:val="000000"/>
                <w:sz w:val="20"/>
              </w:rPr>
              <w:br/>
              <w:t>standard</w:t>
            </w:r>
          </w:p>
        </w:tc>
        <w:tc>
          <w:tcPr>
            <w:tcW w:w="643" w:type="pct"/>
            <w:shd w:val="clear" w:color="auto" w:fill="auto"/>
          </w:tcPr>
          <w:p w:rsidR="00EF5892" w:rsidP="00D93830" w14:paraId="5DD7FF5B" w14:textId="598AE7F9">
            <w:pPr>
              <w:jc w:val="center"/>
              <w:rPr>
                <w:color w:val="000000"/>
                <w:sz w:val="20"/>
              </w:rPr>
            </w:pPr>
            <w:r>
              <w:rPr>
                <w:color w:val="000000"/>
                <w:sz w:val="20"/>
              </w:rPr>
              <w:t>2</w:t>
            </w:r>
            <w:r w:rsidRPr="00F501B1">
              <w:rPr>
                <w:color w:val="000000"/>
                <w:sz w:val="20"/>
              </w:rPr>
              <w:t xml:space="preserve"> </w:t>
            </w:r>
          </w:p>
          <w:p w:rsidR="00EF5892" w:rsidRPr="00C54F62" w:rsidP="00D93830" w14:paraId="6CE198D9" w14:textId="72C272C4">
            <w:pPr>
              <w:jc w:val="center"/>
              <w:rPr>
                <w:sz w:val="20"/>
              </w:rPr>
            </w:pPr>
          </w:p>
        </w:tc>
        <w:tc>
          <w:tcPr>
            <w:tcW w:w="596" w:type="pct"/>
            <w:shd w:val="clear" w:color="auto" w:fill="auto"/>
          </w:tcPr>
          <w:p w:rsidR="00EF5892" w:rsidP="00D93830" w14:paraId="4A60DD18" w14:textId="6AB9526E">
            <w:pPr>
              <w:jc w:val="center"/>
              <w:rPr>
                <w:color w:val="000000"/>
                <w:sz w:val="20"/>
              </w:rPr>
            </w:pPr>
            <w:r>
              <w:rPr>
                <w:color w:val="000000"/>
                <w:sz w:val="20"/>
              </w:rPr>
              <w:t xml:space="preserve">1 </w:t>
            </w:r>
          </w:p>
          <w:p w:rsidR="00EF5892" w:rsidRPr="00C54F62" w:rsidP="00D93830" w14:paraId="25B1ADD3" w14:textId="5634D326">
            <w:pPr>
              <w:jc w:val="center"/>
              <w:rPr>
                <w:sz w:val="20"/>
              </w:rPr>
            </w:pPr>
          </w:p>
        </w:tc>
        <w:tc>
          <w:tcPr>
            <w:tcW w:w="551" w:type="pct"/>
            <w:shd w:val="clear" w:color="auto" w:fill="auto"/>
          </w:tcPr>
          <w:p w:rsidR="00EF5892" w:rsidP="00D93830" w14:paraId="37C0904F" w14:textId="26287FF4">
            <w:pPr>
              <w:jc w:val="center"/>
              <w:rPr>
                <w:color w:val="000000"/>
                <w:sz w:val="20"/>
              </w:rPr>
            </w:pPr>
            <w:r>
              <w:rPr>
                <w:color w:val="000000"/>
                <w:sz w:val="20"/>
              </w:rPr>
              <w:t>-1</w:t>
            </w:r>
          </w:p>
        </w:tc>
        <w:tc>
          <w:tcPr>
            <w:tcW w:w="643" w:type="pct"/>
            <w:shd w:val="clear" w:color="auto" w:fill="auto"/>
          </w:tcPr>
          <w:p w:rsidR="00EF5892" w:rsidP="00D93830" w14:paraId="779A8AE4" w14:textId="5B4D18E3">
            <w:pPr>
              <w:jc w:val="center"/>
              <w:rPr>
                <w:color w:val="000000"/>
                <w:sz w:val="20"/>
              </w:rPr>
            </w:pPr>
            <w:r>
              <w:rPr>
                <w:color w:val="000000"/>
                <w:sz w:val="20"/>
              </w:rPr>
              <w:t>80</w:t>
            </w:r>
            <w:r w:rsidRPr="00F501B1">
              <w:rPr>
                <w:color w:val="000000"/>
                <w:sz w:val="20"/>
              </w:rPr>
              <w:t xml:space="preserve"> </w:t>
            </w:r>
          </w:p>
          <w:p w:rsidR="00EF5892" w:rsidRPr="00C54F62" w:rsidP="00D93830" w14:paraId="2C664E32" w14:textId="1F3C08EB">
            <w:pPr>
              <w:jc w:val="center"/>
              <w:rPr>
                <w:sz w:val="20"/>
              </w:rPr>
            </w:pPr>
          </w:p>
        </w:tc>
        <w:tc>
          <w:tcPr>
            <w:tcW w:w="642" w:type="pct"/>
            <w:shd w:val="clear" w:color="auto" w:fill="auto"/>
          </w:tcPr>
          <w:p w:rsidR="00EF5892" w:rsidP="00D93830" w14:paraId="6522497B" w14:textId="77777777">
            <w:pPr>
              <w:jc w:val="center"/>
              <w:rPr>
                <w:color w:val="000000"/>
                <w:sz w:val="20"/>
              </w:rPr>
            </w:pPr>
            <w:r>
              <w:rPr>
                <w:color w:val="000000"/>
                <w:sz w:val="20"/>
              </w:rPr>
              <w:t>4</w:t>
            </w:r>
            <w:r w:rsidRPr="00F501B1">
              <w:rPr>
                <w:color w:val="000000"/>
                <w:sz w:val="20"/>
              </w:rPr>
              <w:t xml:space="preserve">0 </w:t>
            </w:r>
          </w:p>
          <w:p w:rsidR="00EF5892" w:rsidRPr="00C54F62" w:rsidP="00D93830" w14:paraId="6BD2A622" w14:textId="45A66655">
            <w:pPr>
              <w:jc w:val="center"/>
              <w:rPr>
                <w:sz w:val="20"/>
              </w:rPr>
            </w:pPr>
          </w:p>
        </w:tc>
        <w:tc>
          <w:tcPr>
            <w:tcW w:w="735" w:type="pct"/>
          </w:tcPr>
          <w:p w:rsidR="00EF5892" w:rsidP="001C32A4" w14:paraId="6DF3047D" w14:textId="7A8469C2">
            <w:pPr>
              <w:rPr>
                <w:color w:val="000000"/>
                <w:sz w:val="20"/>
              </w:rPr>
            </w:pPr>
            <w:r w:rsidRPr="00F501B1">
              <w:rPr>
                <w:color w:val="000000"/>
                <w:sz w:val="20"/>
              </w:rPr>
              <w:t>-</w:t>
            </w:r>
            <w:r>
              <w:rPr>
                <w:color w:val="000000"/>
                <w:sz w:val="20"/>
              </w:rPr>
              <w:t>40</w:t>
            </w:r>
            <w:r w:rsidRPr="00F501B1">
              <w:rPr>
                <w:color w:val="000000"/>
                <w:sz w:val="20"/>
              </w:rPr>
              <w:t xml:space="preserve"> </w:t>
            </w:r>
          </w:p>
          <w:p w:rsidR="00EF5892" w:rsidP="001C32A4" w14:paraId="1F0013F7" w14:textId="7932CC40">
            <w:pPr>
              <w:rPr>
                <w:color w:val="000000"/>
                <w:sz w:val="20"/>
              </w:rPr>
            </w:pPr>
          </w:p>
          <w:p w:rsidR="00EF5892" w:rsidP="001C32A4" w14:paraId="610ABB94" w14:textId="77777777">
            <w:pPr>
              <w:rPr>
                <w:color w:val="000000"/>
                <w:sz w:val="20"/>
              </w:rPr>
            </w:pPr>
          </w:p>
          <w:p w:rsidR="00EF5892" w:rsidP="001C32A4" w14:paraId="0B3C5B9E" w14:textId="08BE3EAF">
            <w:pPr>
              <w:rPr>
                <w:color w:val="000000"/>
                <w:sz w:val="20"/>
              </w:rPr>
            </w:pPr>
          </w:p>
        </w:tc>
      </w:tr>
      <w:tr w14:paraId="5EA29E28" w14:textId="77777777" w:rsidTr="005B182C">
        <w:tblPrEx>
          <w:tblW w:w="5243" w:type="pct"/>
          <w:tblLayout w:type="fixed"/>
          <w:tblLook w:val="04A0"/>
        </w:tblPrEx>
        <w:trPr>
          <w:trHeight w:val="3024"/>
        </w:trPr>
        <w:tc>
          <w:tcPr>
            <w:tcW w:w="1191" w:type="pct"/>
            <w:shd w:val="clear" w:color="auto" w:fill="auto"/>
          </w:tcPr>
          <w:p w:rsidR="00EF5892" w:rsidRPr="00F501B1" w:rsidP="00D93830" w14:paraId="536E9EF8" w14:textId="72229987">
            <w:pPr>
              <w:rPr>
                <w:color w:val="000000"/>
                <w:sz w:val="20"/>
              </w:rPr>
            </w:pPr>
            <w:r w:rsidRPr="00F501B1">
              <w:rPr>
                <w:color w:val="000000"/>
                <w:sz w:val="20"/>
              </w:rPr>
              <w:t>224.109(a)—Inspection, repair, and replacement—Railroad freight cars—Railroads notification to person responsible for reporting mark after visual inspection for presence and condition when freight car on either side has less than 80% reflective sheeting of the damaged, obscured, or missing sheeting</w:t>
            </w:r>
          </w:p>
        </w:tc>
        <w:tc>
          <w:tcPr>
            <w:tcW w:w="643" w:type="pct"/>
            <w:shd w:val="clear" w:color="auto" w:fill="auto"/>
          </w:tcPr>
          <w:p w:rsidR="00EF5892" w:rsidRPr="00F501B1" w:rsidP="00D93830" w14:paraId="765F323A" w14:textId="7ED5C189">
            <w:pPr>
              <w:jc w:val="center"/>
              <w:rPr>
                <w:color w:val="000000"/>
                <w:sz w:val="20"/>
              </w:rPr>
            </w:pPr>
            <w:r w:rsidRPr="00F501B1">
              <w:rPr>
                <w:color w:val="000000"/>
                <w:sz w:val="20"/>
              </w:rPr>
              <w:t xml:space="preserve">33,380 </w:t>
            </w:r>
          </w:p>
        </w:tc>
        <w:tc>
          <w:tcPr>
            <w:tcW w:w="596" w:type="pct"/>
            <w:shd w:val="clear" w:color="auto" w:fill="auto"/>
          </w:tcPr>
          <w:p w:rsidR="00EF5892" w:rsidRPr="00F501B1" w:rsidP="00D93830" w14:paraId="3D16D79A" w14:textId="2897A761">
            <w:pPr>
              <w:jc w:val="center"/>
              <w:rPr>
                <w:color w:val="000000"/>
                <w:sz w:val="20"/>
              </w:rPr>
            </w:pPr>
            <w:r w:rsidRPr="00F501B1">
              <w:rPr>
                <w:color w:val="000000"/>
                <w:sz w:val="20"/>
              </w:rPr>
              <w:t>33,</w:t>
            </w:r>
            <w:r>
              <w:rPr>
                <w:color w:val="000000"/>
                <w:sz w:val="20"/>
              </w:rPr>
              <w:t>510.2</w:t>
            </w:r>
            <w:r w:rsidR="00624A79">
              <w:rPr>
                <w:color w:val="000000"/>
                <w:sz w:val="20"/>
              </w:rPr>
              <w:t>2</w:t>
            </w:r>
            <w:r>
              <w:rPr>
                <w:color w:val="000000"/>
                <w:sz w:val="20"/>
              </w:rPr>
              <w:t xml:space="preserve"> </w:t>
            </w:r>
          </w:p>
        </w:tc>
        <w:tc>
          <w:tcPr>
            <w:tcW w:w="551" w:type="pct"/>
            <w:shd w:val="clear" w:color="auto" w:fill="auto"/>
          </w:tcPr>
          <w:p w:rsidR="00EF5892" w:rsidRPr="00F501B1" w:rsidP="00BE2A3E" w14:paraId="4F87F8CE" w14:textId="484DA6C4">
            <w:pPr>
              <w:jc w:val="center"/>
              <w:rPr>
                <w:color w:val="000000"/>
                <w:sz w:val="20"/>
              </w:rPr>
            </w:pPr>
            <w:r>
              <w:rPr>
                <w:color w:val="000000"/>
                <w:sz w:val="20"/>
              </w:rPr>
              <w:t>130</w:t>
            </w:r>
          </w:p>
        </w:tc>
        <w:tc>
          <w:tcPr>
            <w:tcW w:w="643" w:type="pct"/>
            <w:shd w:val="clear" w:color="auto" w:fill="auto"/>
          </w:tcPr>
          <w:p w:rsidR="00EF5892" w:rsidP="005B182C" w14:paraId="4A98DBCC" w14:textId="64CE0AFA">
            <w:pPr>
              <w:jc w:val="center"/>
              <w:rPr>
                <w:color w:val="000000"/>
                <w:sz w:val="20"/>
              </w:rPr>
            </w:pPr>
            <w:r w:rsidRPr="00F501B1">
              <w:rPr>
                <w:color w:val="000000"/>
                <w:sz w:val="20"/>
              </w:rPr>
              <w:t>2,782</w:t>
            </w:r>
          </w:p>
          <w:p w:rsidR="00EF5892" w:rsidRPr="00F501B1" w:rsidP="005B182C" w14:paraId="305A0497" w14:textId="08669608">
            <w:pPr>
              <w:jc w:val="center"/>
              <w:rPr>
                <w:color w:val="000000"/>
                <w:sz w:val="20"/>
              </w:rPr>
            </w:pPr>
          </w:p>
        </w:tc>
        <w:tc>
          <w:tcPr>
            <w:tcW w:w="642" w:type="pct"/>
            <w:shd w:val="clear" w:color="auto" w:fill="auto"/>
            <w:noWrap/>
          </w:tcPr>
          <w:p w:rsidR="00EF5892" w:rsidP="005B182C" w14:paraId="6C2101E0" w14:textId="280A20F8">
            <w:pPr>
              <w:jc w:val="center"/>
              <w:rPr>
                <w:color w:val="000000"/>
                <w:sz w:val="20"/>
              </w:rPr>
            </w:pPr>
            <w:r w:rsidRPr="00D93830">
              <w:rPr>
                <w:color w:val="000000"/>
                <w:sz w:val="20"/>
              </w:rPr>
              <w:t>2,79</w:t>
            </w:r>
            <w:r w:rsidR="00C2565D">
              <w:rPr>
                <w:color w:val="000000"/>
                <w:sz w:val="20"/>
              </w:rPr>
              <w:t xml:space="preserve">3 </w:t>
            </w:r>
            <w:r w:rsidRPr="00D93830">
              <w:rPr>
                <w:color w:val="000000"/>
                <w:sz w:val="20"/>
              </w:rPr>
              <w:t>.</w:t>
            </w:r>
            <w:r>
              <w:rPr>
                <w:color w:val="000000"/>
                <w:sz w:val="20"/>
              </w:rPr>
              <w:t>5</w:t>
            </w:r>
            <w:r w:rsidR="00624A79">
              <w:rPr>
                <w:color w:val="000000"/>
                <w:sz w:val="20"/>
              </w:rPr>
              <w:t>0</w:t>
            </w:r>
          </w:p>
          <w:p w:rsidR="00EF5892" w:rsidRPr="00F501B1" w:rsidP="005B182C" w14:paraId="086EDFF0" w14:textId="36BFF7CE">
            <w:pPr>
              <w:jc w:val="center"/>
              <w:rPr>
                <w:color w:val="000000"/>
                <w:sz w:val="20"/>
              </w:rPr>
            </w:pPr>
          </w:p>
        </w:tc>
        <w:tc>
          <w:tcPr>
            <w:tcW w:w="735" w:type="pct"/>
          </w:tcPr>
          <w:p w:rsidR="00EF5892" w:rsidP="00624A79" w14:paraId="6A21B796" w14:textId="2560EE67">
            <w:pPr>
              <w:rPr>
                <w:color w:val="000000"/>
                <w:sz w:val="20"/>
              </w:rPr>
            </w:pPr>
            <w:r>
              <w:rPr>
                <w:color w:val="000000"/>
                <w:sz w:val="20"/>
              </w:rPr>
              <w:t>1</w:t>
            </w:r>
            <w:r w:rsidR="00C2565D">
              <w:rPr>
                <w:color w:val="000000"/>
                <w:sz w:val="20"/>
              </w:rPr>
              <w:t xml:space="preserve">1 </w:t>
            </w:r>
            <w:r w:rsidRPr="00F501B1">
              <w:rPr>
                <w:color w:val="000000"/>
                <w:sz w:val="20"/>
              </w:rPr>
              <w:t xml:space="preserve"> </w:t>
            </w:r>
          </w:p>
          <w:p w:rsidR="00EF5892" w:rsidP="00D93830" w14:paraId="2A8CDD0B" w14:textId="77777777">
            <w:pPr>
              <w:rPr>
                <w:color w:val="000000"/>
                <w:sz w:val="20"/>
              </w:rPr>
            </w:pPr>
          </w:p>
          <w:p w:rsidR="00EF5892" w:rsidRPr="00F501B1" w:rsidP="00D93830" w14:paraId="441B1933" w14:textId="536835DF">
            <w:pPr>
              <w:rPr>
                <w:color w:val="000000"/>
                <w:sz w:val="20"/>
              </w:rPr>
            </w:pPr>
          </w:p>
        </w:tc>
      </w:tr>
      <w:tr w14:paraId="21799966" w14:textId="77777777" w:rsidTr="005B182C">
        <w:tblPrEx>
          <w:tblW w:w="5243" w:type="pct"/>
          <w:tblLayout w:type="fixed"/>
          <w:tblLook w:val="04A0"/>
        </w:tblPrEx>
        <w:trPr>
          <w:trHeight w:val="2016"/>
        </w:trPr>
        <w:tc>
          <w:tcPr>
            <w:tcW w:w="1191" w:type="pct"/>
            <w:shd w:val="clear" w:color="auto" w:fill="auto"/>
          </w:tcPr>
          <w:p w:rsidR="00EF5892" w:rsidRPr="00F501B1" w:rsidP="00D93830" w14:paraId="1F9A3C33" w14:textId="6135C99A">
            <w:pPr>
              <w:rPr>
                <w:color w:val="000000"/>
                <w:sz w:val="20"/>
              </w:rPr>
            </w:pPr>
            <w:r w:rsidRPr="00F501B1">
              <w:rPr>
                <w:color w:val="000000"/>
                <w:sz w:val="20"/>
              </w:rPr>
              <w:t>—(b) Locomotive record of freight retroreflective sheeting defects found after inspection kept in locomotive cab or in railroad accessible electronic database that FRA can access upon request.</w:t>
            </w:r>
          </w:p>
        </w:tc>
        <w:tc>
          <w:tcPr>
            <w:tcW w:w="643" w:type="pct"/>
            <w:shd w:val="clear" w:color="auto" w:fill="auto"/>
          </w:tcPr>
          <w:p w:rsidR="00EF5892" w:rsidP="00D93830" w14:paraId="6784055D" w14:textId="595DA512">
            <w:pPr>
              <w:jc w:val="center"/>
              <w:rPr>
                <w:color w:val="000000"/>
                <w:sz w:val="20"/>
              </w:rPr>
            </w:pPr>
            <w:r w:rsidRPr="00F501B1">
              <w:rPr>
                <w:color w:val="000000"/>
                <w:sz w:val="20"/>
              </w:rPr>
              <w:t>2,609 records</w:t>
            </w:r>
          </w:p>
          <w:p w:rsidR="00EF5892" w:rsidRPr="00F501B1" w:rsidP="00D93830" w14:paraId="6BE2A9A2" w14:textId="3979750E">
            <w:pPr>
              <w:jc w:val="center"/>
              <w:rPr>
                <w:color w:val="000000"/>
                <w:sz w:val="20"/>
              </w:rPr>
            </w:pPr>
          </w:p>
        </w:tc>
        <w:tc>
          <w:tcPr>
            <w:tcW w:w="596" w:type="pct"/>
            <w:shd w:val="clear" w:color="auto" w:fill="auto"/>
          </w:tcPr>
          <w:p w:rsidR="00EF5892" w:rsidP="00D93830" w14:paraId="6BDA2693" w14:textId="4AA9D883">
            <w:pPr>
              <w:jc w:val="center"/>
              <w:rPr>
                <w:color w:val="000000"/>
                <w:sz w:val="20"/>
              </w:rPr>
            </w:pPr>
            <w:r w:rsidRPr="00F501B1">
              <w:rPr>
                <w:color w:val="000000"/>
                <w:sz w:val="20"/>
              </w:rPr>
              <w:t>2,</w:t>
            </w:r>
            <w:r>
              <w:rPr>
                <w:color w:val="000000"/>
                <w:sz w:val="20"/>
              </w:rPr>
              <w:t>4</w:t>
            </w:r>
            <w:r w:rsidR="00FF3C69">
              <w:rPr>
                <w:color w:val="000000"/>
                <w:sz w:val="20"/>
              </w:rPr>
              <w:t>60</w:t>
            </w:r>
            <w:r>
              <w:rPr>
                <w:color w:val="000000"/>
                <w:sz w:val="20"/>
              </w:rPr>
              <w:t xml:space="preserve"> </w:t>
            </w:r>
            <w:r w:rsidRPr="00F501B1">
              <w:rPr>
                <w:color w:val="000000"/>
                <w:sz w:val="20"/>
              </w:rPr>
              <w:t>records</w:t>
            </w:r>
          </w:p>
          <w:p w:rsidR="00EF5892" w:rsidRPr="00F501B1" w:rsidP="00D93830" w14:paraId="1F810DA2" w14:textId="483DBD57">
            <w:pPr>
              <w:jc w:val="center"/>
              <w:rPr>
                <w:color w:val="000000"/>
                <w:sz w:val="20"/>
              </w:rPr>
            </w:pPr>
          </w:p>
        </w:tc>
        <w:tc>
          <w:tcPr>
            <w:tcW w:w="551" w:type="pct"/>
            <w:shd w:val="clear" w:color="auto" w:fill="auto"/>
          </w:tcPr>
          <w:p w:rsidR="00EF5892" w:rsidRPr="00F501B1" w:rsidP="00BE2A3E" w14:paraId="515DC399" w14:textId="136A52C9">
            <w:pPr>
              <w:jc w:val="center"/>
              <w:rPr>
                <w:color w:val="000000"/>
                <w:sz w:val="20"/>
              </w:rPr>
            </w:pPr>
            <w:r>
              <w:rPr>
                <w:color w:val="000000"/>
                <w:sz w:val="20"/>
              </w:rPr>
              <w:t>-149</w:t>
            </w:r>
          </w:p>
        </w:tc>
        <w:tc>
          <w:tcPr>
            <w:tcW w:w="643" w:type="pct"/>
            <w:shd w:val="clear" w:color="auto" w:fill="auto"/>
          </w:tcPr>
          <w:p w:rsidR="00EF5892" w:rsidP="005B182C" w14:paraId="30704ACA" w14:textId="2E60C477">
            <w:pPr>
              <w:jc w:val="center"/>
              <w:rPr>
                <w:color w:val="000000"/>
                <w:sz w:val="20"/>
              </w:rPr>
            </w:pPr>
            <w:r w:rsidRPr="00F501B1">
              <w:rPr>
                <w:color w:val="000000"/>
                <w:sz w:val="20"/>
              </w:rPr>
              <w:t>217</w:t>
            </w:r>
          </w:p>
          <w:p w:rsidR="00EF5892" w:rsidRPr="00F501B1" w:rsidP="005B182C" w14:paraId="34F4C29D" w14:textId="0269D07F">
            <w:pPr>
              <w:jc w:val="center"/>
              <w:rPr>
                <w:color w:val="000000"/>
                <w:sz w:val="20"/>
              </w:rPr>
            </w:pPr>
            <w:r w:rsidRPr="00F501B1">
              <w:rPr>
                <w:color w:val="000000"/>
                <w:sz w:val="20"/>
              </w:rPr>
              <w:t>hours</w:t>
            </w:r>
          </w:p>
        </w:tc>
        <w:tc>
          <w:tcPr>
            <w:tcW w:w="642" w:type="pct"/>
            <w:shd w:val="clear" w:color="auto" w:fill="auto"/>
            <w:noWrap/>
          </w:tcPr>
          <w:p w:rsidR="00EF5892" w:rsidRPr="005B182C" w:rsidP="00D93830" w14:paraId="0C3EED08" w14:textId="34EE1BBD">
            <w:pPr>
              <w:rPr>
                <w:color w:val="000000"/>
                <w:sz w:val="20"/>
              </w:rPr>
            </w:pPr>
            <w:r w:rsidRPr="005B182C">
              <w:rPr>
                <w:color w:val="000000"/>
                <w:sz w:val="20"/>
              </w:rPr>
              <w:t>20</w:t>
            </w:r>
            <w:r w:rsidR="00FF3C69">
              <w:rPr>
                <w:color w:val="000000"/>
                <w:sz w:val="20"/>
              </w:rPr>
              <w:t>5</w:t>
            </w:r>
          </w:p>
          <w:p w:rsidR="00EF5892" w:rsidRPr="00D93830" w:rsidP="00D93830" w14:paraId="2CDAD4CE" w14:textId="6FA79D00">
            <w:pPr>
              <w:rPr>
                <w:i/>
                <w:iCs/>
                <w:color w:val="000000"/>
                <w:sz w:val="20"/>
              </w:rPr>
            </w:pPr>
            <w:r w:rsidRPr="005B182C">
              <w:rPr>
                <w:color w:val="000000"/>
                <w:sz w:val="20"/>
              </w:rPr>
              <w:t xml:space="preserve"> hours</w:t>
            </w:r>
          </w:p>
        </w:tc>
        <w:tc>
          <w:tcPr>
            <w:tcW w:w="735" w:type="pct"/>
          </w:tcPr>
          <w:p w:rsidR="00EF5892" w:rsidRPr="00D93830" w:rsidP="005B182C" w14:paraId="23D79B9D" w14:textId="0B9E07C7">
            <w:pPr>
              <w:rPr>
                <w:i/>
                <w:iCs/>
                <w:color w:val="000000"/>
                <w:sz w:val="20"/>
              </w:rPr>
            </w:pPr>
            <w:r w:rsidRPr="005B182C">
              <w:rPr>
                <w:color w:val="000000"/>
                <w:sz w:val="20"/>
              </w:rPr>
              <w:t xml:space="preserve">-12 </w:t>
            </w:r>
          </w:p>
        </w:tc>
      </w:tr>
    </w:tbl>
    <w:p w:rsidR="00137DB4" w:rsidRPr="008A5B6D" w:rsidP="00137DB4" w14:paraId="208FC49F" w14:textId="33CC36EF">
      <w:pPr>
        <w:widowControl w:val="0"/>
        <w:ind w:left="1080"/>
        <w:outlineLvl w:val="0"/>
        <w:rPr>
          <w:szCs w:val="24"/>
        </w:rPr>
      </w:pPr>
    </w:p>
    <w:p w:rsidR="00137DB4" w:rsidP="00137DB4" w14:paraId="4676CCB2" w14:textId="49084D2C">
      <w:pPr>
        <w:widowControl w:val="0"/>
        <w:numPr>
          <w:ilvl w:val="1"/>
          <w:numId w:val="5"/>
        </w:numPr>
        <w:outlineLvl w:val="0"/>
        <w:rPr>
          <w:szCs w:val="24"/>
        </w:rPr>
      </w:pPr>
      <w:r>
        <w:rPr>
          <w:szCs w:val="24"/>
        </w:rPr>
        <w:t xml:space="preserve">The adjustments decreased the burden by </w:t>
      </w:r>
      <w:r w:rsidR="00FF3C69">
        <w:rPr>
          <w:szCs w:val="24"/>
        </w:rPr>
        <w:t>41</w:t>
      </w:r>
      <w:r>
        <w:rPr>
          <w:szCs w:val="24"/>
        </w:rPr>
        <w:t xml:space="preserve"> and decreased responses by </w:t>
      </w:r>
      <w:r w:rsidR="00FF3C69">
        <w:rPr>
          <w:szCs w:val="24"/>
        </w:rPr>
        <w:t>20</w:t>
      </w:r>
      <w:r>
        <w:rPr>
          <w:szCs w:val="24"/>
        </w:rPr>
        <w:t>.</w:t>
      </w:r>
    </w:p>
    <w:p w:rsidR="001069B7" w14:paraId="2726AE26" w14:textId="5697A6B3">
      <w:pPr>
        <w:rPr>
          <w:b/>
        </w:rPr>
      </w:pPr>
      <w:r>
        <w:rPr>
          <w:b/>
        </w:rPr>
        <w:tab/>
      </w:r>
      <w:r>
        <w:rPr>
          <w:b/>
        </w:rPr>
        <w:tab/>
      </w:r>
      <w:r>
        <w:rPr>
          <w:b/>
        </w:rPr>
        <w:tab/>
      </w:r>
    </w:p>
    <w:p w:rsidR="001069B7" w14:paraId="11F3A1E1" w14:textId="77777777">
      <w:pPr>
        <w:ind w:left="720" w:hanging="720"/>
        <w:rPr>
          <w:b/>
        </w:rPr>
      </w:pPr>
      <w:r w:rsidRPr="00AD423C">
        <w:rPr>
          <w:b/>
        </w:rPr>
        <w:t>16.</w:t>
      </w:r>
      <w:r w:rsidRPr="00AD423C">
        <w:rPr>
          <w:b/>
        </w:rPr>
        <w:tab/>
      </w:r>
      <w:r w:rsidRPr="00AD423C">
        <w:rPr>
          <w:b/>
          <w:u w:val="single"/>
        </w:rPr>
        <w:t>Publication of results of data collection</w:t>
      </w:r>
      <w:r w:rsidRPr="00AD423C">
        <w:rPr>
          <w:b/>
        </w:rPr>
        <w:t>.</w:t>
      </w:r>
    </w:p>
    <w:p w:rsidR="001069B7" w14:paraId="4A95DF72" w14:textId="77777777">
      <w:pPr>
        <w:rPr>
          <w:b/>
        </w:rPr>
      </w:pPr>
    </w:p>
    <w:p w:rsidR="00BA1BF3" w14:paraId="714EDD3F" w14:textId="6C1C8C42">
      <w:pPr>
        <w:ind w:left="720"/>
        <w:rPr>
          <w:b/>
        </w:rPr>
      </w:pPr>
      <w:r w:rsidRPr="001C32A4">
        <w:t>FRA does not plan to publish the information collected.</w:t>
      </w:r>
      <w:r>
        <w:t xml:space="preserve"> </w:t>
      </w:r>
    </w:p>
    <w:p w:rsidR="0016684C" w:rsidP="00365600" w14:paraId="7FD315D9" w14:textId="77777777">
      <w:pPr>
        <w:ind w:left="720"/>
        <w:rPr>
          <w:b/>
        </w:rPr>
      </w:pPr>
    </w:p>
    <w:p w:rsidR="001069B7" w14:paraId="5FFA14F3" w14:textId="77777777">
      <w:pPr>
        <w:ind w:left="720" w:hanging="720"/>
        <w:rPr>
          <w:b/>
        </w:rPr>
      </w:pPr>
      <w:r w:rsidRPr="00AD423C">
        <w:rPr>
          <w:b/>
        </w:rPr>
        <w:t>17.</w:t>
      </w:r>
      <w:r w:rsidRPr="00AD423C">
        <w:rPr>
          <w:b/>
        </w:rPr>
        <w:tab/>
      </w:r>
      <w:r w:rsidRPr="00AD423C">
        <w:rPr>
          <w:b/>
          <w:u w:val="single"/>
        </w:rPr>
        <w:t>Approval for not displaying the expiration date for OMB approval</w:t>
      </w:r>
      <w:r w:rsidRPr="00AD423C">
        <w:rPr>
          <w:b/>
        </w:rPr>
        <w:t>.</w:t>
      </w:r>
    </w:p>
    <w:p w:rsidR="001069B7" w14:paraId="18029681" w14:textId="77777777">
      <w:pPr>
        <w:ind w:left="720"/>
        <w:rPr>
          <w:b/>
        </w:rPr>
      </w:pPr>
    </w:p>
    <w:p w:rsidR="00BA1BF3" w:rsidP="00EB3BDC" w14:paraId="59627E11" w14:textId="1A029FBB">
      <w:pPr>
        <w:ind w:left="720"/>
      </w:pPr>
      <w:r w:rsidRPr="001C32A4">
        <w:t xml:space="preserve">FRA </w:t>
      </w:r>
      <w:r w:rsidR="00AF533E">
        <w:t xml:space="preserve">intends </w:t>
      </w:r>
      <w:r w:rsidRPr="001C32A4">
        <w:t>to display the expiration date.</w:t>
      </w:r>
    </w:p>
    <w:p w:rsidR="00D66C42" w:rsidP="00EB3BDC" w14:paraId="6D252D56" w14:textId="77777777">
      <w:pPr>
        <w:ind w:left="720"/>
      </w:pPr>
    </w:p>
    <w:p w:rsidR="00A8048F" w:rsidP="00A8048F" w14:paraId="5A877B1E" w14:textId="77777777">
      <w:pPr>
        <w:rPr>
          <w:color w:val="000000"/>
        </w:rPr>
      </w:pPr>
      <w:r w:rsidRPr="00AD423C">
        <w:rPr>
          <w:b/>
        </w:rPr>
        <w:t>18.</w:t>
      </w:r>
      <w:r w:rsidRPr="00AD423C">
        <w:rPr>
          <w:b/>
        </w:rPr>
        <w:tab/>
      </w:r>
      <w:r w:rsidRPr="00AD423C">
        <w:rPr>
          <w:b/>
          <w:u w:val="single"/>
        </w:rPr>
        <w:t>Exception to certification statement</w:t>
      </w:r>
      <w:r w:rsidRPr="00AD423C">
        <w:rPr>
          <w:b/>
        </w:rPr>
        <w:t>.</w:t>
      </w:r>
    </w:p>
    <w:p w:rsidR="001069B7" w14:paraId="1A8B080A" w14:textId="77777777">
      <w:pPr>
        <w:ind w:left="720" w:hanging="720"/>
        <w:rPr>
          <w:b/>
        </w:rPr>
      </w:pPr>
    </w:p>
    <w:p w:rsidR="001078FE" w:rsidP="001C32A4" w14:paraId="4AA6D29E" w14:textId="128F5236">
      <w:pPr>
        <w:widowControl w:val="0"/>
        <w:ind w:left="720"/>
      </w:pPr>
      <w:bookmarkStart w:id="1" w:name="QuickMark_1"/>
      <w:bookmarkEnd w:id="1"/>
      <w:r>
        <w:t>No exceptions are taken at this time.</w:t>
      </w:r>
      <w:r>
        <w:rPr>
          <w:rFonts w:ascii="Courier New" w:hAnsi="Courier New"/>
        </w:rPr>
        <w:t xml:space="preserve"> </w:t>
      </w:r>
    </w:p>
    <w:p w:rsidR="001069B7" w14:paraId="7CEAD308" w14:textId="77777777">
      <w:pPr>
        <w:spacing w:line="0" w:lineRule="atLeast"/>
        <w:ind w:left="720"/>
      </w:pPr>
    </w:p>
    <w:sectPr w:rsidSect="005B182C">
      <w:pgSz w:w="12240" w:h="15840"/>
      <w:pgMar w:top="1354" w:right="1440" w:bottom="1915" w:left="1440" w:header="1354" w:footer="144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36EF" w:rsidP="001069B7" w14:paraId="34F8F3C7" w14:textId="076513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29A6">
      <w:rPr>
        <w:rStyle w:val="PageNumber"/>
        <w:noProof/>
      </w:rPr>
      <w:t>8</w:t>
    </w:r>
    <w:r>
      <w:rPr>
        <w:rStyle w:val="PageNumber"/>
      </w:rPr>
      <w:fldChar w:fldCharType="end"/>
    </w:r>
  </w:p>
  <w:p w:rsidR="000136EF" w:rsidP="004647C0" w14:paraId="4DACD77C" w14:textId="77777777">
    <w:pPr>
      <w:tabs>
        <w:tab w:val="left" w:pos="-11"/>
        <w:tab w:val="left" w:pos="-10"/>
        <w:tab w:val="left" w:pos="-8"/>
        <w:tab w:val="left" w:pos="-7"/>
        <w:tab w:val="left" w:pos="-6"/>
        <w:tab w:val="left" w:pos="-5"/>
        <w:tab w:val="right" w:pos="2386"/>
        <w:tab w:val="right" w:pos="2387"/>
        <w:tab w:val="decimal" w:pos="2388"/>
        <w:tab w:val="center" w:pos="2389"/>
        <w:tab w:val="center" w:pos="2390"/>
        <w:tab w:val="right" w:pos="2392"/>
        <w:tab w:val="right" w:pos="2395"/>
        <w:tab w:val="center" w:pos="2396"/>
        <w:tab w:val="right" w:pos="2398"/>
        <w:tab w:val="right" w:pos="2399"/>
        <w:tab w:val="right" w:pos="2400"/>
        <w:tab w:val="left" w:pos="2401"/>
        <w:tab w:val="left" w:pos="2402"/>
        <w:tab w:val="right" w:pos="2404"/>
        <w:tab w:val="right" w:pos="2405"/>
        <w:tab w:val="right" w:pos="2406"/>
        <w:tab w:val="right" w:pos="2407"/>
        <w:tab w:val="right" w:pos="2408"/>
        <w:tab w:val="right" w:pos="2414"/>
        <w:tab w:val="center" w:pos="2416"/>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36EF" w:rsidP="001069B7" w14:paraId="1EFEEAEB" w14:textId="300FBE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29A6">
      <w:rPr>
        <w:rStyle w:val="PageNumber"/>
        <w:noProof/>
      </w:rPr>
      <w:t>11</w:t>
    </w:r>
    <w:r>
      <w:rPr>
        <w:rStyle w:val="PageNumber"/>
      </w:rPr>
      <w:fldChar w:fldCharType="end"/>
    </w:r>
  </w:p>
  <w:p w:rsidR="000136EF" w:rsidP="004647C0" w14:paraId="3486F072" w14:textId="77777777">
    <w:pPr>
      <w:tabs>
        <w:tab w:val="left" w:pos="-11"/>
        <w:tab w:val="left" w:pos="-10"/>
        <w:tab w:val="left" w:pos="-8"/>
        <w:tab w:val="left" w:pos="-7"/>
        <w:tab w:val="left" w:pos="-6"/>
        <w:tab w:val="left" w:pos="-5"/>
        <w:tab w:val="right" w:pos="2386"/>
        <w:tab w:val="right" w:pos="2387"/>
        <w:tab w:val="decimal" w:pos="2388"/>
        <w:tab w:val="center" w:pos="2389"/>
        <w:tab w:val="center" w:pos="2390"/>
        <w:tab w:val="right" w:pos="2392"/>
        <w:tab w:val="right" w:pos="2395"/>
        <w:tab w:val="center" w:pos="2396"/>
        <w:tab w:val="right" w:pos="2398"/>
        <w:tab w:val="right" w:pos="2399"/>
        <w:tab w:val="right" w:pos="2400"/>
        <w:tab w:val="left" w:pos="2401"/>
        <w:tab w:val="left" w:pos="2402"/>
        <w:tab w:val="right" w:pos="2404"/>
        <w:tab w:val="right" w:pos="2405"/>
        <w:tab w:val="right" w:pos="2406"/>
        <w:tab w:val="right" w:pos="2407"/>
        <w:tab w:val="right" w:pos="2408"/>
        <w:tab w:val="right" w:pos="2414"/>
        <w:tab w:val="center" w:pos="2416"/>
      </w:tabs>
      <w:spacing w:line="0" w:lineRule="atLea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51207" w14:paraId="51B60106" w14:textId="77777777">
      <w:r>
        <w:separator/>
      </w:r>
    </w:p>
  </w:footnote>
  <w:footnote w:type="continuationSeparator" w:id="1">
    <w:p w:rsidR="00C51207" w14:paraId="3E94E179" w14:textId="77777777">
      <w:r>
        <w:continuationSeparator/>
      </w:r>
    </w:p>
  </w:footnote>
  <w:footnote w:type="continuationNotice" w:id="2">
    <w:p w:rsidR="00C51207" w14:paraId="7979C9BF" w14:textId="77777777"/>
  </w:footnote>
  <w:footnote w:id="3">
    <w:p w:rsidR="000C2D40" w:rsidRPr="00483BC8" w:rsidP="005B182C" w14:paraId="47036D92" w14:textId="219E8EE1">
      <w:pPr>
        <w:pStyle w:val="FootnoteText"/>
        <w:ind w:firstLine="0"/>
        <w:rPr>
          <w:sz w:val="20"/>
        </w:rPr>
      </w:pPr>
      <w:r w:rsidRPr="0019493A">
        <w:rPr>
          <w:rStyle w:val="FootnoteReference"/>
          <w:sz w:val="20"/>
        </w:rPr>
        <w:footnoteRef/>
      </w:r>
      <w:r w:rsidRPr="0019493A">
        <w:rPr>
          <w:sz w:val="20"/>
        </w:rPr>
        <w:t xml:space="preserve"> </w:t>
      </w:r>
      <w:r w:rsidRPr="0019493A" w:rsidR="00483BC8">
        <w:rPr>
          <w:sz w:val="20"/>
        </w:rPr>
        <w:t xml:space="preserve">70 FR </w:t>
      </w:r>
      <w:r w:rsidR="00EC18D1">
        <w:rPr>
          <w:sz w:val="20"/>
        </w:rPr>
        <w:t>144</w:t>
      </w:r>
      <w:r w:rsidRPr="0019493A" w:rsidR="00483BC8">
        <w:rPr>
          <w:sz w:val="20"/>
        </w:rPr>
        <w:t xml:space="preserve">, </w:t>
      </w:r>
      <w:r w:rsidR="00EC18D1">
        <w:rPr>
          <w:sz w:val="20"/>
        </w:rPr>
        <w:t>Jan</w:t>
      </w:r>
      <w:r w:rsidRPr="0019493A" w:rsidR="00483BC8">
        <w:rPr>
          <w:sz w:val="20"/>
        </w:rPr>
        <w:t xml:space="preserve">. </w:t>
      </w:r>
      <w:r w:rsidR="00EC18D1">
        <w:rPr>
          <w:sz w:val="20"/>
        </w:rPr>
        <w:t>3</w:t>
      </w:r>
      <w:r w:rsidRPr="0019493A" w:rsidR="00483BC8">
        <w:rPr>
          <w:sz w:val="20"/>
        </w:rPr>
        <w:t>, 2005</w:t>
      </w:r>
      <w:r w:rsidRPr="0019493A">
        <w:rPr>
          <w:sz w:val="20"/>
        </w:rPr>
        <w:t>.</w:t>
      </w:r>
    </w:p>
  </w:footnote>
  <w:footnote w:id="4">
    <w:p w:rsidR="00803B3A" w:rsidRPr="00BD3753" w:rsidP="005B182C" w14:paraId="3E2E9001" w14:textId="5783F2AF">
      <w:pPr>
        <w:pStyle w:val="FootnoteText"/>
        <w:ind w:firstLine="0"/>
        <w:rPr>
          <w:sz w:val="20"/>
        </w:rPr>
      </w:pPr>
      <w:r w:rsidRPr="00A12364">
        <w:rPr>
          <w:rStyle w:val="FootnoteReference"/>
          <w:sz w:val="20"/>
        </w:rPr>
        <w:footnoteRef/>
      </w:r>
      <w:r w:rsidRPr="00A12364">
        <w:rPr>
          <w:sz w:val="20"/>
        </w:rPr>
        <w:t xml:space="preserve"> 87 FR </w:t>
      </w:r>
      <w:r w:rsidRPr="00A12364" w:rsidR="00A12364">
        <w:rPr>
          <w:sz w:val="20"/>
        </w:rPr>
        <w:t>43467</w:t>
      </w:r>
      <w:r w:rsidRPr="00A12364">
        <w:rPr>
          <w:sz w:val="20"/>
        </w:rPr>
        <w:t xml:space="preserve"> (</w:t>
      </w:r>
      <w:r w:rsidRPr="00A12364" w:rsidR="00A12364">
        <w:rPr>
          <w:sz w:val="20"/>
        </w:rPr>
        <w:t>July 21, 2022</w:t>
      </w:r>
      <w:r w:rsidRPr="00A12364">
        <w:rPr>
          <w:sz w:val="20"/>
        </w:rPr>
        <w:t>).</w:t>
      </w:r>
    </w:p>
  </w:footnote>
  <w:footnote w:id="5">
    <w:p w:rsidR="00E85AFE" w:rsidRPr="005B182C" w:rsidP="002711F0" w14:paraId="63F8CE06" w14:textId="77777777">
      <w:pPr>
        <w:pStyle w:val="FootnoteText"/>
        <w:ind w:firstLine="0"/>
        <w:rPr>
          <w:sz w:val="20"/>
        </w:rPr>
      </w:pPr>
      <w:r w:rsidRPr="005B182C">
        <w:rPr>
          <w:rStyle w:val="FootnoteReference"/>
          <w:sz w:val="20"/>
        </w:rPr>
        <w:footnoteRef/>
      </w:r>
      <w:r w:rsidRPr="005B182C">
        <w:rPr>
          <w:sz w:val="20"/>
        </w:rPr>
        <w:t xml:space="preserve">  </w:t>
      </w:r>
      <w:r w:rsidRPr="005B182C">
        <w:rPr>
          <w:sz w:val="20"/>
          <w:u w:val="single"/>
        </w:rPr>
        <w:t>See</w:t>
      </w:r>
      <w:r w:rsidRPr="005B182C">
        <w:rPr>
          <w:sz w:val="20"/>
        </w:rPr>
        <w:t xml:space="preserve"> 68 FR 24891 (May 9, 2003); 49 CFR part 209, app. C.</w:t>
      </w:r>
    </w:p>
  </w:footnote>
  <w:footnote w:id="6">
    <w:p w:rsidR="007A3BC3" w:rsidRPr="005B182C" w:rsidP="00AA1CE7" w14:paraId="59168DC9" w14:textId="1E125D21">
      <w:pPr>
        <w:pStyle w:val="FootnoteText"/>
        <w:ind w:firstLine="0"/>
        <w:rPr>
          <w:sz w:val="20"/>
        </w:rPr>
      </w:pPr>
      <w:r w:rsidRPr="005B182C">
        <w:rPr>
          <w:rStyle w:val="FootnoteReference"/>
          <w:sz w:val="20"/>
        </w:rPr>
        <w:footnoteRef/>
      </w:r>
      <w:r w:rsidR="003B3A7A">
        <w:rPr>
          <w:sz w:val="20"/>
        </w:rPr>
        <w:t xml:space="preserve"> </w:t>
      </w:r>
      <w:r w:rsidRPr="003B3A7A" w:rsidR="00AA1CE7">
        <w:rPr>
          <w:sz w:val="20"/>
        </w:rPr>
        <w:t>9</w:t>
      </w:r>
      <w:r w:rsidR="00DE5B3F">
        <w:rPr>
          <w:sz w:val="20"/>
        </w:rPr>
        <w:t>1</w:t>
      </w:r>
      <w:r w:rsidRPr="003B3A7A" w:rsidR="00AA1CE7">
        <w:rPr>
          <w:sz w:val="20"/>
        </w:rPr>
        <w:t xml:space="preserve"> FR </w:t>
      </w:r>
      <w:r w:rsidR="00DE5B3F">
        <w:rPr>
          <w:sz w:val="20"/>
        </w:rPr>
        <w:t>3375</w:t>
      </w:r>
      <w:r w:rsidRPr="005B182C">
        <w:rPr>
          <w:sz w:val="20"/>
        </w:rPr>
        <w:t xml:space="preserve"> </w:t>
      </w:r>
    </w:p>
  </w:footnote>
  <w:footnote w:id="7">
    <w:p w:rsidR="008E0975" w:rsidRPr="005B182C" w:rsidP="00AA1CE7" w14:paraId="52DBEB45" w14:textId="7F11C3A0">
      <w:pPr>
        <w:pStyle w:val="FootnoteText"/>
        <w:ind w:firstLine="0"/>
        <w:rPr>
          <w:sz w:val="20"/>
        </w:rPr>
      </w:pPr>
      <w:r w:rsidRPr="005B182C">
        <w:rPr>
          <w:rStyle w:val="FootnoteReference"/>
          <w:sz w:val="20"/>
        </w:rPr>
        <w:footnoteRef/>
      </w:r>
      <w:r w:rsidRPr="005B182C">
        <w:rPr>
          <w:sz w:val="20"/>
        </w:rPr>
        <w:t xml:space="preserve"> 87 FR 43467</w:t>
      </w:r>
    </w:p>
  </w:footnote>
  <w:footnote w:id="8">
    <w:p w:rsidR="00BA367C" w:rsidP="00534A28" w14:paraId="2EADDB5E" w14:textId="0E00D014">
      <w:pPr>
        <w:pStyle w:val="FootnoteText"/>
        <w:ind w:firstLine="0"/>
      </w:pPr>
      <w:r w:rsidRPr="005B182C">
        <w:rPr>
          <w:rStyle w:val="FootnoteReference"/>
          <w:sz w:val="20"/>
        </w:rPr>
        <w:footnoteRef/>
      </w:r>
      <w:r w:rsidRPr="005B182C">
        <w:rPr>
          <w:sz w:val="20"/>
        </w:rPr>
        <w:t xml:space="preserve"> Surface Transportation Board (STB), </w:t>
      </w:r>
      <w:r w:rsidRPr="005B182C">
        <w:rPr>
          <w:i/>
          <w:iCs/>
          <w:sz w:val="20"/>
        </w:rPr>
        <w:t>Quarterly Wage Form A&amp;B Data</w:t>
      </w:r>
      <w:r w:rsidRPr="005B182C">
        <w:rPr>
          <w:sz w:val="20"/>
        </w:rPr>
        <w:t xml:space="preserve"> (2024).  Compiled from Class I railroad data reported on Wage Form A&amp;B for year 2024. Calculated as: Wage ($/hour) = sum of </w:t>
      </w:r>
      <w:r w:rsidRPr="005B182C">
        <w:rPr>
          <w:i/>
          <w:iCs/>
          <w:sz w:val="20"/>
        </w:rPr>
        <w:t>compensation for time worked and paid for straight time rates</w:t>
      </w:r>
      <w:r w:rsidRPr="005B182C">
        <w:rPr>
          <w:sz w:val="20"/>
        </w:rPr>
        <w:t xml:space="preserve"> ($) for Class I railroads ÷ sum of </w:t>
      </w:r>
      <w:r w:rsidRPr="005B182C">
        <w:rPr>
          <w:i/>
          <w:iCs/>
          <w:sz w:val="20"/>
        </w:rPr>
        <w:t xml:space="preserve">service hours for time worked and paid for straight time rates </w:t>
      </w:r>
      <w:r w:rsidRPr="005B182C">
        <w:rPr>
          <w:sz w:val="20"/>
        </w:rPr>
        <w:t xml:space="preserve">(hours) for Class I railroads.  Available: </w:t>
      </w:r>
      <w:hyperlink r:id="rId1" w:history="1">
        <w:r w:rsidRPr="005B182C">
          <w:rPr>
            <w:rStyle w:val="Hyperlink"/>
            <w:sz w:val="20"/>
          </w:rPr>
          <w:t>https://www.stb.gov/reports-data/economic-data/quarterly-wage-ab-data/</w:t>
        </w:r>
      </w:hyperlink>
      <w:r w:rsidRPr="005B182C">
        <w:rPr>
          <w:sz w:val="20"/>
        </w:rPr>
        <w:t>.</w:t>
      </w:r>
    </w:p>
  </w:footnote>
  <w:footnote w:id="9">
    <w:p w:rsidR="2A04B7E8" w:rsidP="00FD1BE7" w14:paraId="23DA45FC" w14:textId="62E64535">
      <w:pPr>
        <w:pStyle w:val="FootnoteText"/>
        <w:spacing w:after="160" w:line="257" w:lineRule="auto"/>
        <w:ind w:firstLine="0"/>
        <w:rPr>
          <w:rFonts w:ascii="Calibri" w:eastAsia="Calibri" w:hAnsi="Calibri" w:cs="Calibri"/>
          <w:sz w:val="22"/>
          <w:szCs w:val="22"/>
        </w:rPr>
      </w:pPr>
      <w:r w:rsidRPr="00FD1BE7">
        <w:rPr>
          <w:rStyle w:val="FootnoteReference"/>
          <w:sz w:val="20"/>
        </w:rPr>
        <w:footnoteRef/>
      </w:r>
      <w:r>
        <w:t xml:space="preserve"> </w:t>
      </w:r>
      <w:r w:rsidRPr="00FD1BE7">
        <w:rPr>
          <w:rFonts w:eastAsia="Calibri"/>
          <w:sz w:val="20"/>
        </w:rPr>
        <w:t xml:space="preserve">Association of American Railroads (AAR), </w:t>
      </w:r>
      <w:r w:rsidRPr="00FD1BE7">
        <w:rPr>
          <w:rFonts w:eastAsia="Calibri"/>
          <w:i/>
          <w:iCs/>
          <w:sz w:val="20"/>
        </w:rPr>
        <w:t>AAR Standard S-916</w:t>
      </w:r>
      <w:r w:rsidRPr="00FD1BE7">
        <w:rPr>
          <w:rFonts w:eastAsia="Calibri"/>
          <w:sz w:val="20"/>
        </w:rPr>
        <w:t xml:space="preserve"> (Feb. 22, 2019). Available: </w:t>
      </w:r>
      <w:hyperlink r:id="rId2" w:history="1">
        <w:r w:rsidRPr="00FD1BE7">
          <w:rPr>
            <w:rStyle w:val="Hyperlink"/>
            <w:rFonts w:eastAsia="Calibri"/>
            <w:sz w:val="20"/>
          </w:rPr>
          <w:t>https://aar.com/standards/approvals/S-916.pdf</w:t>
        </w:r>
      </w:hyperlink>
      <w:r w:rsidRPr="00FD1BE7">
        <w:rPr>
          <w:rFonts w:eastAsia="Calibri"/>
          <w:sz w:val="20"/>
        </w:rPr>
        <w:t>.</w:t>
      </w:r>
      <w:r w:rsidR="00444A79">
        <w:rPr>
          <w:rFonts w:eastAsia="Calibri"/>
          <w:sz w:val="20"/>
        </w:rPr>
        <w:t xml:space="preserve">  </w:t>
      </w:r>
      <w:r w:rsidRPr="00FD1BE7">
        <w:rPr>
          <w:rFonts w:eastAsia="Calibri"/>
          <w:sz w:val="20"/>
        </w:rPr>
        <w:t>Based on the AAR-approved products for use as the alternative method for evaluating retroreflective sheeting effectiveness. Of these, only one is currently produced by a manufacturer.</w:t>
      </w:r>
    </w:p>
    <w:p w:rsidR="2A04B7E8" w:rsidP="2A04B7E8" w14:paraId="0B823DA0" w14:textId="3AAFEF01">
      <w:pPr>
        <w:pStyle w:val="FootnoteText"/>
      </w:pPr>
    </w:p>
  </w:footnote>
  <w:footnote w:id="10">
    <w:p w:rsidR="00995C78" w:rsidRPr="005B182C" w:rsidP="000B4D2E" w14:paraId="188A7282" w14:textId="77777777">
      <w:pPr>
        <w:pStyle w:val="FootnoteText"/>
        <w:ind w:firstLine="0"/>
        <w:rPr>
          <w:sz w:val="20"/>
        </w:rPr>
      </w:pPr>
      <w:r w:rsidRPr="005B182C">
        <w:rPr>
          <w:rStyle w:val="FootnoteReference"/>
          <w:sz w:val="20"/>
        </w:rPr>
        <w:footnoteRef/>
      </w:r>
      <w:r w:rsidRPr="005B182C">
        <w:rPr>
          <w:sz w:val="20"/>
        </w:rPr>
        <w:t xml:space="preserve"> Totals may not add due to rounding.</w:t>
      </w:r>
    </w:p>
  </w:footnote>
  <w:footnote w:id="11">
    <w:p w:rsidR="000B4D2E" w:rsidRPr="00C031B3" w:rsidP="000B4D2E" w14:paraId="53433936" w14:textId="21D69C8E">
      <w:pPr>
        <w:pStyle w:val="FootnoteText"/>
        <w:ind w:firstLine="0"/>
        <w:rPr>
          <w:sz w:val="20"/>
        </w:rPr>
      </w:pPr>
      <w:r w:rsidRPr="00C031B3">
        <w:rPr>
          <w:rStyle w:val="FootnoteReference"/>
          <w:sz w:val="20"/>
        </w:rPr>
        <w:footnoteRef/>
      </w:r>
      <w:r w:rsidRPr="00C031B3">
        <w:rPr>
          <w:b/>
          <w:sz w:val="20"/>
        </w:rPr>
        <w:t xml:space="preserve"> </w:t>
      </w:r>
      <w:r>
        <w:rPr>
          <w:sz w:val="20"/>
        </w:rPr>
        <w:t xml:space="preserve">GS-14, Step 5 </w:t>
      </w:r>
      <w:r w:rsidR="00B105EF">
        <w:rPr>
          <w:sz w:val="20"/>
        </w:rPr>
        <w:t>hourly</w:t>
      </w:r>
      <w:r>
        <w:rPr>
          <w:sz w:val="20"/>
        </w:rPr>
        <w:t xml:space="preserve"> wage rate of $</w:t>
      </w:r>
      <w:r w:rsidR="00B105EF">
        <w:rPr>
          <w:sz w:val="20"/>
        </w:rPr>
        <w:t>77.38</w:t>
      </w:r>
      <w:r>
        <w:rPr>
          <w:sz w:val="20"/>
        </w:rPr>
        <w:t xml:space="preserve"> x 75% overhead = $1</w:t>
      </w:r>
      <w:r w:rsidR="00B105EF">
        <w:rPr>
          <w:sz w:val="20"/>
        </w:rPr>
        <w:t>35.42</w:t>
      </w:r>
      <w:r>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36EF" w14:paraId="6F73CAB7" w14:textId="77777777">
    <w:pPr>
      <w:tabs>
        <w:tab w:val="left" w:pos="-11"/>
        <w:tab w:val="left" w:pos="-10"/>
        <w:tab w:val="left" w:pos="-8"/>
        <w:tab w:val="left" w:pos="-7"/>
        <w:tab w:val="left" w:pos="-6"/>
        <w:tab w:val="left" w:pos="-5"/>
        <w:tab w:val="right" w:pos="2386"/>
        <w:tab w:val="right" w:pos="2387"/>
        <w:tab w:val="decimal" w:pos="2388"/>
        <w:tab w:val="center" w:pos="2389"/>
        <w:tab w:val="center" w:pos="2390"/>
        <w:tab w:val="right" w:pos="2392"/>
        <w:tab w:val="right" w:pos="2395"/>
        <w:tab w:val="center" w:pos="2396"/>
        <w:tab w:val="right" w:pos="2398"/>
        <w:tab w:val="right" w:pos="2399"/>
        <w:tab w:val="right" w:pos="2400"/>
        <w:tab w:val="left" w:pos="2401"/>
        <w:tab w:val="left" w:pos="2402"/>
        <w:tab w:val="right" w:pos="2404"/>
        <w:tab w:val="right" w:pos="2405"/>
        <w:tab w:val="right" w:pos="2406"/>
        <w:tab w:val="right" w:pos="2407"/>
        <w:tab w:val="right" w:pos="2408"/>
        <w:tab w:val="right" w:pos="2414"/>
        <w:tab w:val="center" w:pos="241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36EF" w14:paraId="284F5659" w14:textId="77777777">
    <w:pPr>
      <w:tabs>
        <w:tab w:val="left" w:pos="-11"/>
        <w:tab w:val="left" w:pos="-10"/>
        <w:tab w:val="left" w:pos="-8"/>
        <w:tab w:val="left" w:pos="-7"/>
        <w:tab w:val="left" w:pos="-6"/>
        <w:tab w:val="left" w:pos="-5"/>
        <w:tab w:val="right" w:pos="2386"/>
        <w:tab w:val="right" w:pos="2387"/>
        <w:tab w:val="decimal" w:pos="2388"/>
        <w:tab w:val="center" w:pos="2389"/>
        <w:tab w:val="center" w:pos="2390"/>
        <w:tab w:val="right" w:pos="2392"/>
        <w:tab w:val="right" w:pos="2395"/>
        <w:tab w:val="center" w:pos="2396"/>
        <w:tab w:val="right" w:pos="2398"/>
        <w:tab w:val="right" w:pos="2399"/>
        <w:tab w:val="right" w:pos="2400"/>
        <w:tab w:val="left" w:pos="2401"/>
        <w:tab w:val="left" w:pos="2402"/>
        <w:tab w:val="right" w:pos="2404"/>
        <w:tab w:val="right" w:pos="2405"/>
        <w:tab w:val="right" w:pos="2406"/>
        <w:tab w:val="right" w:pos="2407"/>
        <w:tab w:val="right" w:pos="2408"/>
        <w:tab w:val="right" w:pos="2414"/>
        <w:tab w:val="center" w:pos="241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4"/>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2">
    <w:nsid w:val="00000003"/>
    <w:multiLevelType w:val="multilevel"/>
    <w:tmpl w:val="00000003"/>
    <w:lvl w:ilvl="0">
      <w:start w:val="6"/>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3">
    <w:nsid w:val="00A03150"/>
    <w:multiLevelType w:val="hybridMultilevel"/>
    <w:tmpl w:val="094AC00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E115BAF"/>
    <w:multiLevelType w:val="hybridMultilevel"/>
    <w:tmpl w:val="CC021DC2"/>
    <w:lvl w:ilvl="0">
      <w:start w:val="1"/>
      <w:numFmt w:val="upperLetter"/>
      <w:lvlText w:val="(%1.)"/>
      <w:lvlJc w:val="left"/>
      <w:pPr>
        <w:tabs>
          <w:tab w:val="num" w:pos="1155"/>
        </w:tabs>
        <w:ind w:left="1155" w:hanging="43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33EA61A6"/>
    <w:multiLevelType w:val="hybridMultilevel"/>
    <w:tmpl w:val="5E622AC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0CF55A6"/>
    <w:multiLevelType w:val="hybridMultilevel"/>
    <w:tmpl w:val="23BC4B5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615F4D4E"/>
    <w:multiLevelType w:val="hybridMultilevel"/>
    <w:tmpl w:val="C914B5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842354483">
    <w:abstractNumId w:val="0"/>
  </w:num>
  <w:num w:numId="2" w16cid:durableId="1320303215">
    <w:abstractNumId w:val="1"/>
  </w:num>
  <w:num w:numId="3" w16cid:durableId="1549490297">
    <w:abstractNumId w:val="2"/>
  </w:num>
  <w:num w:numId="4" w16cid:durableId="1201673540">
    <w:abstractNumId w:val="4"/>
  </w:num>
  <w:num w:numId="5" w16cid:durableId="1384910643">
    <w:abstractNumId w:val="5"/>
  </w:num>
  <w:num w:numId="6" w16cid:durableId="2038893548">
    <w:abstractNumId w:val="6"/>
  </w:num>
  <w:num w:numId="7" w16cid:durableId="97972790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7956831">
    <w:abstractNumId w:val="7"/>
  </w:num>
  <w:num w:numId="9" w16cid:durableId="1672635940">
    <w:abstractNumId w:val="3"/>
  </w:num>
  <w:num w:numId="10" w16cid:durableId="1225607401">
    <w:abstractNumId w:val="5"/>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424"/>
    <w:rsid w:val="0000058F"/>
    <w:rsid w:val="00001137"/>
    <w:rsid w:val="00003A45"/>
    <w:rsid w:val="00004383"/>
    <w:rsid w:val="00005FB5"/>
    <w:rsid w:val="00006D65"/>
    <w:rsid w:val="0001213F"/>
    <w:rsid w:val="000122D0"/>
    <w:rsid w:val="0001259A"/>
    <w:rsid w:val="000136EF"/>
    <w:rsid w:val="00032A7F"/>
    <w:rsid w:val="000367EF"/>
    <w:rsid w:val="000403A1"/>
    <w:rsid w:val="0004070C"/>
    <w:rsid w:val="00042248"/>
    <w:rsid w:val="00043398"/>
    <w:rsid w:val="000439B9"/>
    <w:rsid w:val="00044087"/>
    <w:rsid w:val="000455B1"/>
    <w:rsid w:val="0004610B"/>
    <w:rsid w:val="00046D2F"/>
    <w:rsid w:val="0004794F"/>
    <w:rsid w:val="000508EE"/>
    <w:rsid w:val="00051A8F"/>
    <w:rsid w:val="000543B9"/>
    <w:rsid w:val="000547F4"/>
    <w:rsid w:val="00055384"/>
    <w:rsid w:val="000559D6"/>
    <w:rsid w:val="00056BBD"/>
    <w:rsid w:val="00056E03"/>
    <w:rsid w:val="0005706B"/>
    <w:rsid w:val="00057A75"/>
    <w:rsid w:val="0006043C"/>
    <w:rsid w:val="00062075"/>
    <w:rsid w:val="00062FBE"/>
    <w:rsid w:val="00064AE1"/>
    <w:rsid w:val="0006549A"/>
    <w:rsid w:val="0006552D"/>
    <w:rsid w:val="00065688"/>
    <w:rsid w:val="00065F7D"/>
    <w:rsid w:val="00065FE3"/>
    <w:rsid w:val="00070CDE"/>
    <w:rsid w:val="000729C9"/>
    <w:rsid w:val="00073628"/>
    <w:rsid w:val="000741DB"/>
    <w:rsid w:val="00074646"/>
    <w:rsid w:val="000750D1"/>
    <w:rsid w:val="00077CA0"/>
    <w:rsid w:val="00077D57"/>
    <w:rsid w:val="00080058"/>
    <w:rsid w:val="0008253A"/>
    <w:rsid w:val="00082575"/>
    <w:rsid w:val="00083186"/>
    <w:rsid w:val="0008346D"/>
    <w:rsid w:val="000839E4"/>
    <w:rsid w:val="00083D55"/>
    <w:rsid w:val="00084570"/>
    <w:rsid w:val="0008467D"/>
    <w:rsid w:val="00090326"/>
    <w:rsid w:val="00090DB5"/>
    <w:rsid w:val="00094295"/>
    <w:rsid w:val="00095D9C"/>
    <w:rsid w:val="00096A8C"/>
    <w:rsid w:val="0009703C"/>
    <w:rsid w:val="000A158A"/>
    <w:rsid w:val="000A220E"/>
    <w:rsid w:val="000A28A6"/>
    <w:rsid w:val="000A3573"/>
    <w:rsid w:val="000B2707"/>
    <w:rsid w:val="000B3526"/>
    <w:rsid w:val="000B3DBD"/>
    <w:rsid w:val="000B4D2E"/>
    <w:rsid w:val="000B526D"/>
    <w:rsid w:val="000C1E1D"/>
    <w:rsid w:val="000C2694"/>
    <w:rsid w:val="000C2D40"/>
    <w:rsid w:val="000C3929"/>
    <w:rsid w:val="000C43F5"/>
    <w:rsid w:val="000C54DB"/>
    <w:rsid w:val="000C607A"/>
    <w:rsid w:val="000D01C0"/>
    <w:rsid w:val="000D1BC8"/>
    <w:rsid w:val="000D37C0"/>
    <w:rsid w:val="000D41E9"/>
    <w:rsid w:val="000D4366"/>
    <w:rsid w:val="000D48A6"/>
    <w:rsid w:val="000D4EF8"/>
    <w:rsid w:val="000D572F"/>
    <w:rsid w:val="000D5C73"/>
    <w:rsid w:val="000D61AE"/>
    <w:rsid w:val="000D7835"/>
    <w:rsid w:val="000E3F64"/>
    <w:rsid w:val="000E4D44"/>
    <w:rsid w:val="000E6790"/>
    <w:rsid w:val="000E6D84"/>
    <w:rsid w:val="000F06D5"/>
    <w:rsid w:val="000F1B24"/>
    <w:rsid w:val="000F209F"/>
    <w:rsid w:val="000F5343"/>
    <w:rsid w:val="000F5FE6"/>
    <w:rsid w:val="000F61EF"/>
    <w:rsid w:val="00100633"/>
    <w:rsid w:val="00103543"/>
    <w:rsid w:val="001069B7"/>
    <w:rsid w:val="001078FE"/>
    <w:rsid w:val="00112107"/>
    <w:rsid w:val="001121E4"/>
    <w:rsid w:val="00112878"/>
    <w:rsid w:val="00112C53"/>
    <w:rsid w:val="001159FC"/>
    <w:rsid w:val="00120FA5"/>
    <w:rsid w:val="00121850"/>
    <w:rsid w:val="00122C98"/>
    <w:rsid w:val="001230F2"/>
    <w:rsid w:val="00123287"/>
    <w:rsid w:val="00125DB0"/>
    <w:rsid w:val="0012743F"/>
    <w:rsid w:val="00127C73"/>
    <w:rsid w:val="0013093E"/>
    <w:rsid w:val="0013123A"/>
    <w:rsid w:val="0013220E"/>
    <w:rsid w:val="001323AA"/>
    <w:rsid w:val="00133610"/>
    <w:rsid w:val="00134AC2"/>
    <w:rsid w:val="00134F9F"/>
    <w:rsid w:val="001355B7"/>
    <w:rsid w:val="00135EEC"/>
    <w:rsid w:val="00136BE0"/>
    <w:rsid w:val="00136E75"/>
    <w:rsid w:val="00137294"/>
    <w:rsid w:val="00137BF8"/>
    <w:rsid w:val="00137DB4"/>
    <w:rsid w:val="00140B7F"/>
    <w:rsid w:val="001412B4"/>
    <w:rsid w:val="00143D77"/>
    <w:rsid w:val="00143F9E"/>
    <w:rsid w:val="001450CB"/>
    <w:rsid w:val="00146B71"/>
    <w:rsid w:val="00147521"/>
    <w:rsid w:val="001522F4"/>
    <w:rsid w:val="00161661"/>
    <w:rsid w:val="00162CBC"/>
    <w:rsid w:val="00162D6A"/>
    <w:rsid w:val="001661F9"/>
    <w:rsid w:val="0016684C"/>
    <w:rsid w:val="00166D67"/>
    <w:rsid w:val="00166F35"/>
    <w:rsid w:val="0017034A"/>
    <w:rsid w:val="00172AB7"/>
    <w:rsid w:val="00172AFF"/>
    <w:rsid w:val="001744D3"/>
    <w:rsid w:val="00175ED5"/>
    <w:rsid w:val="00176271"/>
    <w:rsid w:val="001801DD"/>
    <w:rsid w:val="00180745"/>
    <w:rsid w:val="00180FF7"/>
    <w:rsid w:val="00181317"/>
    <w:rsid w:val="001831B3"/>
    <w:rsid w:val="0018320A"/>
    <w:rsid w:val="00183F03"/>
    <w:rsid w:val="0018605D"/>
    <w:rsid w:val="0018667B"/>
    <w:rsid w:val="00191091"/>
    <w:rsid w:val="00192F6B"/>
    <w:rsid w:val="0019372B"/>
    <w:rsid w:val="0019493A"/>
    <w:rsid w:val="00196616"/>
    <w:rsid w:val="00196D7F"/>
    <w:rsid w:val="001A0E69"/>
    <w:rsid w:val="001A17B8"/>
    <w:rsid w:val="001A3443"/>
    <w:rsid w:val="001A35CF"/>
    <w:rsid w:val="001A3F38"/>
    <w:rsid w:val="001A4507"/>
    <w:rsid w:val="001A6444"/>
    <w:rsid w:val="001A6671"/>
    <w:rsid w:val="001B1372"/>
    <w:rsid w:val="001B39CF"/>
    <w:rsid w:val="001B4633"/>
    <w:rsid w:val="001B7119"/>
    <w:rsid w:val="001C00A4"/>
    <w:rsid w:val="001C1A28"/>
    <w:rsid w:val="001C1E9D"/>
    <w:rsid w:val="001C2097"/>
    <w:rsid w:val="001C3124"/>
    <w:rsid w:val="001C32A4"/>
    <w:rsid w:val="001C4725"/>
    <w:rsid w:val="001C4F4A"/>
    <w:rsid w:val="001C5F37"/>
    <w:rsid w:val="001C647E"/>
    <w:rsid w:val="001C7FA1"/>
    <w:rsid w:val="001D14E5"/>
    <w:rsid w:val="001D4F44"/>
    <w:rsid w:val="001D6260"/>
    <w:rsid w:val="001E04FB"/>
    <w:rsid w:val="001E12CB"/>
    <w:rsid w:val="001E22D4"/>
    <w:rsid w:val="001E27AD"/>
    <w:rsid w:val="001E311C"/>
    <w:rsid w:val="001E3296"/>
    <w:rsid w:val="001E3FF3"/>
    <w:rsid w:val="001E7661"/>
    <w:rsid w:val="001F365C"/>
    <w:rsid w:val="001F3EDE"/>
    <w:rsid w:val="001F4A9C"/>
    <w:rsid w:val="001F5993"/>
    <w:rsid w:val="001F7BF6"/>
    <w:rsid w:val="0020382E"/>
    <w:rsid w:val="00203EE9"/>
    <w:rsid w:val="00205C43"/>
    <w:rsid w:val="002063B1"/>
    <w:rsid w:val="002075AD"/>
    <w:rsid w:val="002079A6"/>
    <w:rsid w:val="00207AD1"/>
    <w:rsid w:val="00210628"/>
    <w:rsid w:val="00211A26"/>
    <w:rsid w:val="00216DFF"/>
    <w:rsid w:val="002204A1"/>
    <w:rsid w:val="00221658"/>
    <w:rsid w:val="00223E41"/>
    <w:rsid w:val="002245AD"/>
    <w:rsid w:val="00225546"/>
    <w:rsid w:val="002268D8"/>
    <w:rsid w:val="00230B23"/>
    <w:rsid w:val="00230FDF"/>
    <w:rsid w:val="00233388"/>
    <w:rsid w:val="002336A0"/>
    <w:rsid w:val="00233B61"/>
    <w:rsid w:val="00236BA5"/>
    <w:rsid w:val="00237EAD"/>
    <w:rsid w:val="00240D3B"/>
    <w:rsid w:val="002429D6"/>
    <w:rsid w:val="00242DE8"/>
    <w:rsid w:val="00243205"/>
    <w:rsid w:val="002432BC"/>
    <w:rsid w:val="00243595"/>
    <w:rsid w:val="00247E1B"/>
    <w:rsid w:val="00251695"/>
    <w:rsid w:val="002520DE"/>
    <w:rsid w:val="0025386A"/>
    <w:rsid w:val="00253A10"/>
    <w:rsid w:val="00254067"/>
    <w:rsid w:val="0025420A"/>
    <w:rsid w:val="00254541"/>
    <w:rsid w:val="002550F1"/>
    <w:rsid w:val="00255C10"/>
    <w:rsid w:val="00256BE3"/>
    <w:rsid w:val="00261093"/>
    <w:rsid w:val="002637C1"/>
    <w:rsid w:val="002643BC"/>
    <w:rsid w:val="00265FD6"/>
    <w:rsid w:val="002708A6"/>
    <w:rsid w:val="002711F0"/>
    <w:rsid w:val="00271357"/>
    <w:rsid w:val="00272990"/>
    <w:rsid w:val="00272E30"/>
    <w:rsid w:val="00273D47"/>
    <w:rsid w:val="002748F6"/>
    <w:rsid w:val="00275109"/>
    <w:rsid w:val="002755F5"/>
    <w:rsid w:val="00280769"/>
    <w:rsid w:val="00280F9A"/>
    <w:rsid w:val="00281D6D"/>
    <w:rsid w:val="00281EE6"/>
    <w:rsid w:val="0028202B"/>
    <w:rsid w:val="00282776"/>
    <w:rsid w:val="002835EF"/>
    <w:rsid w:val="00286897"/>
    <w:rsid w:val="00286A52"/>
    <w:rsid w:val="00290811"/>
    <w:rsid w:val="002935A2"/>
    <w:rsid w:val="0029497B"/>
    <w:rsid w:val="00295F64"/>
    <w:rsid w:val="002970DE"/>
    <w:rsid w:val="00297956"/>
    <w:rsid w:val="00297FF1"/>
    <w:rsid w:val="002A16D0"/>
    <w:rsid w:val="002A1829"/>
    <w:rsid w:val="002A3A4E"/>
    <w:rsid w:val="002A51A3"/>
    <w:rsid w:val="002A66B7"/>
    <w:rsid w:val="002B04EE"/>
    <w:rsid w:val="002B09D7"/>
    <w:rsid w:val="002B12B2"/>
    <w:rsid w:val="002B1778"/>
    <w:rsid w:val="002B18E6"/>
    <w:rsid w:val="002B35C9"/>
    <w:rsid w:val="002B56B3"/>
    <w:rsid w:val="002B5CD0"/>
    <w:rsid w:val="002C2180"/>
    <w:rsid w:val="002C27B9"/>
    <w:rsid w:val="002C2999"/>
    <w:rsid w:val="002C2CE6"/>
    <w:rsid w:val="002C424D"/>
    <w:rsid w:val="002C46BA"/>
    <w:rsid w:val="002C4F06"/>
    <w:rsid w:val="002D3BAB"/>
    <w:rsid w:val="002D4242"/>
    <w:rsid w:val="002D5EF7"/>
    <w:rsid w:val="002D656B"/>
    <w:rsid w:val="002E7C50"/>
    <w:rsid w:val="002F2E16"/>
    <w:rsid w:val="002F4F42"/>
    <w:rsid w:val="002F51F1"/>
    <w:rsid w:val="002F5963"/>
    <w:rsid w:val="002F7271"/>
    <w:rsid w:val="002F732D"/>
    <w:rsid w:val="002F735D"/>
    <w:rsid w:val="002F7CA8"/>
    <w:rsid w:val="00300236"/>
    <w:rsid w:val="00300A5E"/>
    <w:rsid w:val="00301091"/>
    <w:rsid w:val="0030193F"/>
    <w:rsid w:val="00303BD3"/>
    <w:rsid w:val="00304A8F"/>
    <w:rsid w:val="00304EE7"/>
    <w:rsid w:val="00305682"/>
    <w:rsid w:val="00307CD4"/>
    <w:rsid w:val="0031433E"/>
    <w:rsid w:val="00314414"/>
    <w:rsid w:val="003160EF"/>
    <w:rsid w:val="0032092C"/>
    <w:rsid w:val="0032187A"/>
    <w:rsid w:val="00322430"/>
    <w:rsid w:val="00323260"/>
    <w:rsid w:val="003237CA"/>
    <w:rsid w:val="0032390C"/>
    <w:rsid w:val="0032476C"/>
    <w:rsid w:val="003247A3"/>
    <w:rsid w:val="003260D7"/>
    <w:rsid w:val="003304B1"/>
    <w:rsid w:val="00331BB0"/>
    <w:rsid w:val="00332476"/>
    <w:rsid w:val="00333687"/>
    <w:rsid w:val="00333D9F"/>
    <w:rsid w:val="003367B7"/>
    <w:rsid w:val="0033750A"/>
    <w:rsid w:val="00340917"/>
    <w:rsid w:val="00341519"/>
    <w:rsid w:val="00342199"/>
    <w:rsid w:val="003422B9"/>
    <w:rsid w:val="00344CB1"/>
    <w:rsid w:val="003452EC"/>
    <w:rsid w:val="0034555D"/>
    <w:rsid w:val="00346147"/>
    <w:rsid w:val="00346191"/>
    <w:rsid w:val="0034637A"/>
    <w:rsid w:val="00346C3E"/>
    <w:rsid w:val="003502F1"/>
    <w:rsid w:val="00351D61"/>
    <w:rsid w:val="003528E5"/>
    <w:rsid w:val="00352D28"/>
    <w:rsid w:val="003551E3"/>
    <w:rsid w:val="00355271"/>
    <w:rsid w:val="00355B14"/>
    <w:rsid w:val="003601A3"/>
    <w:rsid w:val="003611E5"/>
    <w:rsid w:val="00364CFC"/>
    <w:rsid w:val="003655DB"/>
    <w:rsid w:val="00365600"/>
    <w:rsid w:val="00365832"/>
    <w:rsid w:val="00365EE9"/>
    <w:rsid w:val="00366389"/>
    <w:rsid w:val="00367E8A"/>
    <w:rsid w:val="00370688"/>
    <w:rsid w:val="00371FFB"/>
    <w:rsid w:val="00372BE4"/>
    <w:rsid w:val="003730FE"/>
    <w:rsid w:val="00374007"/>
    <w:rsid w:val="00374212"/>
    <w:rsid w:val="00374A47"/>
    <w:rsid w:val="00374DA8"/>
    <w:rsid w:val="003764FF"/>
    <w:rsid w:val="00376552"/>
    <w:rsid w:val="00376C8F"/>
    <w:rsid w:val="003770DA"/>
    <w:rsid w:val="003803BA"/>
    <w:rsid w:val="00381C08"/>
    <w:rsid w:val="0038285F"/>
    <w:rsid w:val="003846D7"/>
    <w:rsid w:val="0038506E"/>
    <w:rsid w:val="003850C5"/>
    <w:rsid w:val="00387D0D"/>
    <w:rsid w:val="003908B7"/>
    <w:rsid w:val="00393F3F"/>
    <w:rsid w:val="00395566"/>
    <w:rsid w:val="0039608E"/>
    <w:rsid w:val="003970C5"/>
    <w:rsid w:val="00397BD2"/>
    <w:rsid w:val="003A05C4"/>
    <w:rsid w:val="003A08DB"/>
    <w:rsid w:val="003A1691"/>
    <w:rsid w:val="003A1883"/>
    <w:rsid w:val="003A2D45"/>
    <w:rsid w:val="003A30F3"/>
    <w:rsid w:val="003A5401"/>
    <w:rsid w:val="003B02BB"/>
    <w:rsid w:val="003B0ED0"/>
    <w:rsid w:val="003B1EA5"/>
    <w:rsid w:val="003B27EE"/>
    <w:rsid w:val="003B3A7A"/>
    <w:rsid w:val="003B478C"/>
    <w:rsid w:val="003C1072"/>
    <w:rsid w:val="003C15C2"/>
    <w:rsid w:val="003C314E"/>
    <w:rsid w:val="003C34FE"/>
    <w:rsid w:val="003C4BC6"/>
    <w:rsid w:val="003D0A32"/>
    <w:rsid w:val="003D1894"/>
    <w:rsid w:val="003D1D80"/>
    <w:rsid w:val="003D4685"/>
    <w:rsid w:val="003D4E5C"/>
    <w:rsid w:val="003E026D"/>
    <w:rsid w:val="003E044B"/>
    <w:rsid w:val="003E0D4B"/>
    <w:rsid w:val="003E0DB4"/>
    <w:rsid w:val="003E1507"/>
    <w:rsid w:val="003E28A7"/>
    <w:rsid w:val="003E495B"/>
    <w:rsid w:val="003F0D4F"/>
    <w:rsid w:val="003F134E"/>
    <w:rsid w:val="003F1A42"/>
    <w:rsid w:val="003F1EE9"/>
    <w:rsid w:val="003F3537"/>
    <w:rsid w:val="003F47C4"/>
    <w:rsid w:val="003F58D9"/>
    <w:rsid w:val="003F65B5"/>
    <w:rsid w:val="00400480"/>
    <w:rsid w:val="00400ED6"/>
    <w:rsid w:val="00402051"/>
    <w:rsid w:val="00402501"/>
    <w:rsid w:val="00405C09"/>
    <w:rsid w:val="00406181"/>
    <w:rsid w:val="004065CC"/>
    <w:rsid w:val="00406B67"/>
    <w:rsid w:val="00407B54"/>
    <w:rsid w:val="00410BE8"/>
    <w:rsid w:val="00410DEA"/>
    <w:rsid w:val="004119FF"/>
    <w:rsid w:val="00412D87"/>
    <w:rsid w:val="004144C1"/>
    <w:rsid w:val="00416D3A"/>
    <w:rsid w:val="00416EAE"/>
    <w:rsid w:val="00421BC2"/>
    <w:rsid w:val="00422BAE"/>
    <w:rsid w:val="00423EBD"/>
    <w:rsid w:val="004254BE"/>
    <w:rsid w:val="00426992"/>
    <w:rsid w:val="00430DA9"/>
    <w:rsid w:val="00432491"/>
    <w:rsid w:val="00434EF6"/>
    <w:rsid w:val="00437954"/>
    <w:rsid w:val="00441296"/>
    <w:rsid w:val="00444A79"/>
    <w:rsid w:val="00454161"/>
    <w:rsid w:val="00454E88"/>
    <w:rsid w:val="0045600D"/>
    <w:rsid w:val="00456266"/>
    <w:rsid w:val="004612DC"/>
    <w:rsid w:val="00461533"/>
    <w:rsid w:val="004616E4"/>
    <w:rsid w:val="00464235"/>
    <w:rsid w:val="004647C0"/>
    <w:rsid w:val="004650A4"/>
    <w:rsid w:val="004663C5"/>
    <w:rsid w:val="00466494"/>
    <w:rsid w:val="00466A77"/>
    <w:rsid w:val="00473F6C"/>
    <w:rsid w:val="004766A3"/>
    <w:rsid w:val="00480F6B"/>
    <w:rsid w:val="0048129B"/>
    <w:rsid w:val="00482DC3"/>
    <w:rsid w:val="00483BC8"/>
    <w:rsid w:val="00483E62"/>
    <w:rsid w:val="00484916"/>
    <w:rsid w:val="00485732"/>
    <w:rsid w:val="004917F0"/>
    <w:rsid w:val="00492D58"/>
    <w:rsid w:val="00494594"/>
    <w:rsid w:val="00494E2D"/>
    <w:rsid w:val="004A02EB"/>
    <w:rsid w:val="004A1C10"/>
    <w:rsid w:val="004A7F3F"/>
    <w:rsid w:val="004B0CF7"/>
    <w:rsid w:val="004B1056"/>
    <w:rsid w:val="004B1B32"/>
    <w:rsid w:val="004B2288"/>
    <w:rsid w:val="004B24E2"/>
    <w:rsid w:val="004B309E"/>
    <w:rsid w:val="004C23B9"/>
    <w:rsid w:val="004C380B"/>
    <w:rsid w:val="004C611C"/>
    <w:rsid w:val="004D2DB5"/>
    <w:rsid w:val="004D466D"/>
    <w:rsid w:val="004D491D"/>
    <w:rsid w:val="004D6D37"/>
    <w:rsid w:val="004D7D51"/>
    <w:rsid w:val="004E0006"/>
    <w:rsid w:val="004E041F"/>
    <w:rsid w:val="004E1323"/>
    <w:rsid w:val="004E387B"/>
    <w:rsid w:val="004E41C4"/>
    <w:rsid w:val="004E6866"/>
    <w:rsid w:val="004E7AF8"/>
    <w:rsid w:val="004F26FB"/>
    <w:rsid w:val="004F3432"/>
    <w:rsid w:val="004F4BE1"/>
    <w:rsid w:val="004F4F47"/>
    <w:rsid w:val="00500243"/>
    <w:rsid w:val="00500C9B"/>
    <w:rsid w:val="00502194"/>
    <w:rsid w:val="0050220A"/>
    <w:rsid w:val="005048B8"/>
    <w:rsid w:val="0050510F"/>
    <w:rsid w:val="00510C66"/>
    <w:rsid w:val="005113F3"/>
    <w:rsid w:val="00514C64"/>
    <w:rsid w:val="00516A2E"/>
    <w:rsid w:val="0051775C"/>
    <w:rsid w:val="0052000A"/>
    <w:rsid w:val="00520C6C"/>
    <w:rsid w:val="0052487C"/>
    <w:rsid w:val="00525A56"/>
    <w:rsid w:val="00530962"/>
    <w:rsid w:val="00530E32"/>
    <w:rsid w:val="00533472"/>
    <w:rsid w:val="00534A28"/>
    <w:rsid w:val="005350B7"/>
    <w:rsid w:val="00542BD9"/>
    <w:rsid w:val="00543248"/>
    <w:rsid w:val="005438C7"/>
    <w:rsid w:val="00546FB1"/>
    <w:rsid w:val="00547449"/>
    <w:rsid w:val="00550AC1"/>
    <w:rsid w:val="00553564"/>
    <w:rsid w:val="005574D3"/>
    <w:rsid w:val="00562D46"/>
    <w:rsid w:val="00562F30"/>
    <w:rsid w:val="00563C82"/>
    <w:rsid w:val="005659E3"/>
    <w:rsid w:val="005677E8"/>
    <w:rsid w:val="00567A70"/>
    <w:rsid w:val="0057480C"/>
    <w:rsid w:val="00576974"/>
    <w:rsid w:val="00581B21"/>
    <w:rsid w:val="00583060"/>
    <w:rsid w:val="00583C45"/>
    <w:rsid w:val="00583F56"/>
    <w:rsid w:val="0058409B"/>
    <w:rsid w:val="005858B9"/>
    <w:rsid w:val="005872A2"/>
    <w:rsid w:val="00590840"/>
    <w:rsid w:val="00592E7E"/>
    <w:rsid w:val="0059553E"/>
    <w:rsid w:val="00595720"/>
    <w:rsid w:val="00595BBE"/>
    <w:rsid w:val="00596CFD"/>
    <w:rsid w:val="00596E99"/>
    <w:rsid w:val="005A3DFE"/>
    <w:rsid w:val="005A4824"/>
    <w:rsid w:val="005A667C"/>
    <w:rsid w:val="005A753B"/>
    <w:rsid w:val="005B00D0"/>
    <w:rsid w:val="005B0915"/>
    <w:rsid w:val="005B0BB5"/>
    <w:rsid w:val="005B182C"/>
    <w:rsid w:val="005B21C0"/>
    <w:rsid w:val="005B5182"/>
    <w:rsid w:val="005B5D08"/>
    <w:rsid w:val="005B6243"/>
    <w:rsid w:val="005C069A"/>
    <w:rsid w:val="005C1D7B"/>
    <w:rsid w:val="005C26BF"/>
    <w:rsid w:val="005C29F6"/>
    <w:rsid w:val="005C49B9"/>
    <w:rsid w:val="005C5473"/>
    <w:rsid w:val="005C715C"/>
    <w:rsid w:val="005D4005"/>
    <w:rsid w:val="005D406B"/>
    <w:rsid w:val="005D565D"/>
    <w:rsid w:val="005D6D76"/>
    <w:rsid w:val="005D6DA1"/>
    <w:rsid w:val="005E1694"/>
    <w:rsid w:val="005E3266"/>
    <w:rsid w:val="005E4E40"/>
    <w:rsid w:val="005E653A"/>
    <w:rsid w:val="005E6D97"/>
    <w:rsid w:val="005E7651"/>
    <w:rsid w:val="005E7D90"/>
    <w:rsid w:val="005F06E2"/>
    <w:rsid w:val="005F0A01"/>
    <w:rsid w:val="005F16BF"/>
    <w:rsid w:val="005F4D1C"/>
    <w:rsid w:val="005F6EB5"/>
    <w:rsid w:val="00601051"/>
    <w:rsid w:val="0060559C"/>
    <w:rsid w:val="00605A93"/>
    <w:rsid w:val="00606D71"/>
    <w:rsid w:val="00607D48"/>
    <w:rsid w:val="00611539"/>
    <w:rsid w:val="00611897"/>
    <w:rsid w:val="00611EEF"/>
    <w:rsid w:val="00613D57"/>
    <w:rsid w:val="00614B13"/>
    <w:rsid w:val="006158AE"/>
    <w:rsid w:val="00616644"/>
    <w:rsid w:val="006171B8"/>
    <w:rsid w:val="00621A81"/>
    <w:rsid w:val="00622FE8"/>
    <w:rsid w:val="00623AB7"/>
    <w:rsid w:val="0062408B"/>
    <w:rsid w:val="00624177"/>
    <w:rsid w:val="00624A79"/>
    <w:rsid w:val="00626230"/>
    <w:rsid w:val="00627820"/>
    <w:rsid w:val="00627900"/>
    <w:rsid w:val="006305EE"/>
    <w:rsid w:val="00634019"/>
    <w:rsid w:val="00635FC2"/>
    <w:rsid w:val="00636149"/>
    <w:rsid w:val="00637545"/>
    <w:rsid w:val="00637831"/>
    <w:rsid w:val="00641892"/>
    <w:rsid w:val="0064197F"/>
    <w:rsid w:val="00642B0E"/>
    <w:rsid w:val="00644082"/>
    <w:rsid w:val="006449BD"/>
    <w:rsid w:val="006462C1"/>
    <w:rsid w:val="00646DAC"/>
    <w:rsid w:val="00647DFC"/>
    <w:rsid w:val="00650556"/>
    <w:rsid w:val="006532DC"/>
    <w:rsid w:val="006533FE"/>
    <w:rsid w:val="00653FBF"/>
    <w:rsid w:val="00660950"/>
    <w:rsid w:val="006612FE"/>
    <w:rsid w:val="0066379C"/>
    <w:rsid w:val="00663E00"/>
    <w:rsid w:val="0066495C"/>
    <w:rsid w:val="00665E99"/>
    <w:rsid w:val="00666266"/>
    <w:rsid w:val="00666949"/>
    <w:rsid w:val="00666C8D"/>
    <w:rsid w:val="00667DDF"/>
    <w:rsid w:val="006728C5"/>
    <w:rsid w:val="00674F8A"/>
    <w:rsid w:val="0067794F"/>
    <w:rsid w:val="0068179D"/>
    <w:rsid w:val="0068367D"/>
    <w:rsid w:val="0068388F"/>
    <w:rsid w:val="00686293"/>
    <w:rsid w:val="006870E2"/>
    <w:rsid w:val="006879A6"/>
    <w:rsid w:val="00687D00"/>
    <w:rsid w:val="00691DE7"/>
    <w:rsid w:val="0069307E"/>
    <w:rsid w:val="006937CC"/>
    <w:rsid w:val="00694A98"/>
    <w:rsid w:val="00694E5A"/>
    <w:rsid w:val="00696262"/>
    <w:rsid w:val="00696274"/>
    <w:rsid w:val="00696B17"/>
    <w:rsid w:val="00697A06"/>
    <w:rsid w:val="006A11E6"/>
    <w:rsid w:val="006A13EA"/>
    <w:rsid w:val="006A1FC7"/>
    <w:rsid w:val="006A5089"/>
    <w:rsid w:val="006A5FA2"/>
    <w:rsid w:val="006A6695"/>
    <w:rsid w:val="006A68FE"/>
    <w:rsid w:val="006A7804"/>
    <w:rsid w:val="006B033D"/>
    <w:rsid w:val="006B1C0D"/>
    <w:rsid w:val="006B1F09"/>
    <w:rsid w:val="006B3E11"/>
    <w:rsid w:val="006B4274"/>
    <w:rsid w:val="006B5B10"/>
    <w:rsid w:val="006B6392"/>
    <w:rsid w:val="006B64A4"/>
    <w:rsid w:val="006B7BC3"/>
    <w:rsid w:val="006C04C1"/>
    <w:rsid w:val="006C0BCC"/>
    <w:rsid w:val="006C130B"/>
    <w:rsid w:val="006C2441"/>
    <w:rsid w:val="006C3221"/>
    <w:rsid w:val="006C36B4"/>
    <w:rsid w:val="006C3760"/>
    <w:rsid w:val="006C3827"/>
    <w:rsid w:val="006C3E18"/>
    <w:rsid w:val="006C534C"/>
    <w:rsid w:val="006C54B0"/>
    <w:rsid w:val="006C6533"/>
    <w:rsid w:val="006C6883"/>
    <w:rsid w:val="006C7023"/>
    <w:rsid w:val="006D0A7C"/>
    <w:rsid w:val="006D1BCC"/>
    <w:rsid w:val="006D29C0"/>
    <w:rsid w:val="006D6450"/>
    <w:rsid w:val="006E0FB2"/>
    <w:rsid w:val="006E26F0"/>
    <w:rsid w:val="006E2746"/>
    <w:rsid w:val="006E2952"/>
    <w:rsid w:val="006E3412"/>
    <w:rsid w:val="006E47E5"/>
    <w:rsid w:val="006E4E82"/>
    <w:rsid w:val="006F2030"/>
    <w:rsid w:val="006F58C9"/>
    <w:rsid w:val="006F644A"/>
    <w:rsid w:val="006F7725"/>
    <w:rsid w:val="00700800"/>
    <w:rsid w:val="00700AD1"/>
    <w:rsid w:val="00702A99"/>
    <w:rsid w:val="00702FA4"/>
    <w:rsid w:val="00703F93"/>
    <w:rsid w:val="00710550"/>
    <w:rsid w:val="0071116B"/>
    <w:rsid w:val="007113B0"/>
    <w:rsid w:val="00711CCD"/>
    <w:rsid w:val="007122A9"/>
    <w:rsid w:val="00712480"/>
    <w:rsid w:val="0071319C"/>
    <w:rsid w:val="007131AC"/>
    <w:rsid w:val="00713AEF"/>
    <w:rsid w:val="00713F6B"/>
    <w:rsid w:val="00714B37"/>
    <w:rsid w:val="00717AEE"/>
    <w:rsid w:val="007201CF"/>
    <w:rsid w:val="0072104A"/>
    <w:rsid w:val="007256D4"/>
    <w:rsid w:val="007266DA"/>
    <w:rsid w:val="00726F64"/>
    <w:rsid w:val="00727FD6"/>
    <w:rsid w:val="007313CA"/>
    <w:rsid w:val="00733375"/>
    <w:rsid w:val="007339BB"/>
    <w:rsid w:val="007347E8"/>
    <w:rsid w:val="00734CD6"/>
    <w:rsid w:val="00735BAC"/>
    <w:rsid w:val="00740013"/>
    <w:rsid w:val="007402C1"/>
    <w:rsid w:val="00740AD3"/>
    <w:rsid w:val="00740DF0"/>
    <w:rsid w:val="00741D01"/>
    <w:rsid w:val="00742D00"/>
    <w:rsid w:val="0074327C"/>
    <w:rsid w:val="00743701"/>
    <w:rsid w:val="00744183"/>
    <w:rsid w:val="0074433C"/>
    <w:rsid w:val="00744795"/>
    <w:rsid w:val="0074491F"/>
    <w:rsid w:val="007450FC"/>
    <w:rsid w:val="00746A1B"/>
    <w:rsid w:val="0075139F"/>
    <w:rsid w:val="00751F0E"/>
    <w:rsid w:val="0075545F"/>
    <w:rsid w:val="00756915"/>
    <w:rsid w:val="00756C6F"/>
    <w:rsid w:val="00757CA7"/>
    <w:rsid w:val="007604CC"/>
    <w:rsid w:val="00762BB3"/>
    <w:rsid w:val="007651DB"/>
    <w:rsid w:val="00772187"/>
    <w:rsid w:val="007724DE"/>
    <w:rsid w:val="00772DB7"/>
    <w:rsid w:val="00772F55"/>
    <w:rsid w:val="00773769"/>
    <w:rsid w:val="00775115"/>
    <w:rsid w:val="00775230"/>
    <w:rsid w:val="007808DE"/>
    <w:rsid w:val="00780DA8"/>
    <w:rsid w:val="00782A6C"/>
    <w:rsid w:val="00782D81"/>
    <w:rsid w:val="0078470B"/>
    <w:rsid w:val="00787FC6"/>
    <w:rsid w:val="007900F1"/>
    <w:rsid w:val="0079075A"/>
    <w:rsid w:val="00792E84"/>
    <w:rsid w:val="00793E95"/>
    <w:rsid w:val="0079440F"/>
    <w:rsid w:val="007956E1"/>
    <w:rsid w:val="0079717A"/>
    <w:rsid w:val="007975C3"/>
    <w:rsid w:val="007A0F57"/>
    <w:rsid w:val="007A0F5D"/>
    <w:rsid w:val="007A1424"/>
    <w:rsid w:val="007A282A"/>
    <w:rsid w:val="007A3BC3"/>
    <w:rsid w:val="007A5D80"/>
    <w:rsid w:val="007A69AE"/>
    <w:rsid w:val="007B1C7E"/>
    <w:rsid w:val="007B1CDF"/>
    <w:rsid w:val="007B26C6"/>
    <w:rsid w:val="007B5B95"/>
    <w:rsid w:val="007B5DB4"/>
    <w:rsid w:val="007B5F45"/>
    <w:rsid w:val="007B76D3"/>
    <w:rsid w:val="007B7AB7"/>
    <w:rsid w:val="007B7B80"/>
    <w:rsid w:val="007C05EA"/>
    <w:rsid w:val="007C3A71"/>
    <w:rsid w:val="007C4D9A"/>
    <w:rsid w:val="007C538C"/>
    <w:rsid w:val="007C7FB4"/>
    <w:rsid w:val="007D083E"/>
    <w:rsid w:val="007D08C5"/>
    <w:rsid w:val="007D31CD"/>
    <w:rsid w:val="007D47AB"/>
    <w:rsid w:val="007D4EF7"/>
    <w:rsid w:val="007D5FB5"/>
    <w:rsid w:val="007D61D1"/>
    <w:rsid w:val="007E0D63"/>
    <w:rsid w:val="007E150B"/>
    <w:rsid w:val="007E19A0"/>
    <w:rsid w:val="007E4188"/>
    <w:rsid w:val="007E6E81"/>
    <w:rsid w:val="007E6EB7"/>
    <w:rsid w:val="007F36A5"/>
    <w:rsid w:val="007F5524"/>
    <w:rsid w:val="007F5CAC"/>
    <w:rsid w:val="007F635C"/>
    <w:rsid w:val="008013EF"/>
    <w:rsid w:val="0080200E"/>
    <w:rsid w:val="008031C8"/>
    <w:rsid w:val="00803959"/>
    <w:rsid w:val="00803B3A"/>
    <w:rsid w:val="00804446"/>
    <w:rsid w:val="00804DAD"/>
    <w:rsid w:val="00804FE2"/>
    <w:rsid w:val="00806F40"/>
    <w:rsid w:val="008108CD"/>
    <w:rsid w:val="008111A9"/>
    <w:rsid w:val="008128DD"/>
    <w:rsid w:val="008134F7"/>
    <w:rsid w:val="00813BB3"/>
    <w:rsid w:val="008155AD"/>
    <w:rsid w:val="00816198"/>
    <w:rsid w:val="00816746"/>
    <w:rsid w:val="008175F4"/>
    <w:rsid w:val="00820DCB"/>
    <w:rsid w:val="0082269D"/>
    <w:rsid w:val="00822A67"/>
    <w:rsid w:val="008233AD"/>
    <w:rsid w:val="00823586"/>
    <w:rsid w:val="00823C02"/>
    <w:rsid w:val="008241C3"/>
    <w:rsid w:val="00826866"/>
    <w:rsid w:val="00827881"/>
    <w:rsid w:val="00830481"/>
    <w:rsid w:val="008309E8"/>
    <w:rsid w:val="0083108F"/>
    <w:rsid w:val="008311DB"/>
    <w:rsid w:val="00832FF1"/>
    <w:rsid w:val="008338EE"/>
    <w:rsid w:val="0083452E"/>
    <w:rsid w:val="00834985"/>
    <w:rsid w:val="00835078"/>
    <w:rsid w:val="008354F8"/>
    <w:rsid w:val="00835711"/>
    <w:rsid w:val="00837455"/>
    <w:rsid w:val="00837504"/>
    <w:rsid w:val="00837D43"/>
    <w:rsid w:val="008403F6"/>
    <w:rsid w:val="00841ADA"/>
    <w:rsid w:val="0084273B"/>
    <w:rsid w:val="008429A7"/>
    <w:rsid w:val="008433D2"/>
    <w:rsid w:val="0084357D"/>
    <w:rsid w:val="00843817"/>
    <w:rsid w:val="00843D12"/>
    <w:rsid w:val="00844E0E"/>
    <w:rsid w:val="00850267"/>
    <w:rsid w:val="00854707"/>
    <w:rsid w:val="00854CCB"/>
    <w:rsid w:val="00855277"/>
    <w:rsid w:val="00855419"/>
    <w:rsid w:val="0085544F"/>
    <w:rsid w:val="00855C33"/>
    <w:rsid w:val="00856295"/>
    <w:rsid w:val="00857388"/>
    <w:rsid w:val="0086189C"/>
    <w:rsid w:val="00863588"/>
    <w:rsid w:val="00864B7D"/>
    <w:rsid w:val="00870CD9"/>
    <w:rsid w:val="00875223"/>
    <w:rsid w:val="008756B0"/>
    <w:rsid w:val="008767A8"/>
    <w:rsid w:val="008774A6"/>
    <w:rsid w:val="008812FD"/>
    <w:rsid w:val="00881B35"/>
    <w:rsid w:val="00884615"/>
    <w:rsid w:val="00885CE9"/>
    <w:rsid w:val="00886B32"/>
    <w:rsid w:val="008909F2"/>
    <w:rsid w:val="00890DA5"/>
    <w:rsid w:val="00891FB6"/>
    <w:rsid w:val="008936CB"/>
    <w:rsid w:val="00893EFA"/>
    <w:rsid w:val="00893F15"/>
    <w:rsid w:val="00895DE3"/>
    <w:rsid w:val="008962DB"/>
    <w:rsid w:val="0089654E"/>
    <w:rsid w:val="00897291"/>
    <w:rsid w:val="008A13BA"/>
    <w:rsid w:val="008A27E5"/>
    <w:rsid w:val="008A349F"/>
    <w:rsid w:val="008A36A2"/>
    <w:rsid w:val="008A5B6D"/>
    <w:rsid w:val="008A6F44"/>
    <w:rsid w:val="008A79D7"/>
    <w:rsid w:val="008B26C6"/>
    <w:rsid w:val="008B27AF"/>
    <w:rsid w:val="008B5D8F"/>
    <w:rsid w:val="008C24EE"/>
    <w:rsid w:val="008C2D76"/>
    <w:rsid w:val="008C3934"/>
    <w:rsid w:val="008C4744"/>
    <w:rsid w:val="008C61F9"/>
    <w:rsid w:val="008D4E31"/>
    <w:rsid w:val="008D513E"/>
    <w:rsid w:val="008D5915"/>
    <w:rsid w:val="008D6115"/>
    <w:rsid w:val="008D6FF5"/>
    <w:rsid w:val="008D7C56"/>
    <w:rsid w:val="008E0975"/>
    <w:rsid w:val="008E1DDD"/>
    <w:rsid w:val="008E4D00"/>
    <w:rsid w:val="008E51F6"/>
    <w:rsid w:val="008E563E"/>
    <w:rsid w:val="008E6E3C"/>
    <w:rsid w:val="008E7EF0"/>
    <w:rsid w:val="008F0531"/>
    <w:rsid w:val="008F1412"/>
    <w:rsid w:val="008F2485"/>
    <w:rsid w:val="008F5494"/>
    <w:rsid w:val="008F6353"/>
    <w:rsid w:val="009026FE"/>
    <w:rsid w:val="00904D88"/>
    <w:rsid w:val="0091125C"/>
    <w:rsid w:val="009127ED"/>
    <w:rsid w:val="0091348B"/>
    <w:rsid w:val="009141C8"/>
    <w:rsid w:val="0091450D"/>
    <w:rsid w:val="009163CB"/>
    <w:rsid w:val="009207C8"/>
    <w:rsid w:val="009213A1"/>
    <w:rsid w:val="009233EE"/>
    <w:rsid w:val="00924154"/>
    <w:rsid w:val="00924AFA"/>
    <w:rsid w:val="00924D79"/>
    <w:rsid w:val="00926DDE"/>
    <w:rsid w:val="00926DF4"/>
    <w:rsid w:val="00932450"/>
    <w:rsid w:val="00933495"/>
    <w:rsid w:val="00940342"/>
    <w:rsid w:val="00941531"/>
    <w:rsid w:val="00941987"/>
    <w:rsid w:val="00941A18"/>
    <w:rsid w:val="00941AC6"/>
    <w:rsid w:val="009424A2"/>
    <w:rsid w:val="00944A0B"/>
    <w:rsid w:val="0094546C"/>
    <w:rsid w:val="00947DA5"/>
    <w:rsid w:val="009502CE"/>
    <w:rsid w:val="00950DAA"/>
    <w:rsid w:val="009521B0"/>
    <w:rsid w:val="00952723"/>
    <w:rsid w:val="009543F2"/>
    <w:rsid w:val="00957166"/>
    <w:rsid w:val="0095791C"/>
    <w:rsid w:val="00960BC0"/>
    <w:rsid w:val="00961312"/>
    <w:rsid w:val="009616DD"/>
    <w:rsid w:val="00961D76"/>
    <w:rsid w:val="009627DF"/>
    <w:rsid w:val="00970765"/>
    <w:rsid w:val="00970ABE"/>
    <w:rsid w:val="00972578"/>
    <w:rsid w:val="00972848"/>
    <w:rsid w:val="00974C20"/>
    <w:rsid w:val="00974F8A"/>
    <w:rsid w:val="009755B3"/>
    <w:rsid w:val="00976E1A"/>
    <w:rsid w:val="0098201C"/>
    <w:rsid w:val="009860CE"/>
    <w:rsid w:val="00990F86"/>
    <w:rsid w:val="00994F1C"/>
    <w:rsid w:val="00995C78"/>
    <w:rsid w:val="00996602"/>
    <w:rsid w:val="00996666"/>
    <w:rsid w:val="0099737F"/>
    <w:rsid w:val="00997725"/>
    <w:rsid w:val="009A345A"/>
    <w:rsid w:val="009A36FC"/>
    <w:rsid w:val="009A7FE4"/>
    <w:rsid w:val="009B3C15"/>
    <w:rsid w:val="009B550C"/>
    <w:rsid w:val="009B5A5E"/>
    <w:rsid w:val="009C01EF"/>
    <w:rsid w:val="009C16B1"/>
    <w:rsid w:val="009C2477"/>
    <w:rsid w:val="009C42CD"/>
    <w:rsid w:val="009C465F"/>
    <w:rsid w:val="009C6103"/>
    <w:rsid w:val="009C6AF7"/>
    <w:rsid w:val="009C71F1"/>
    <w:rsid w:val="009C75C9"/>
    <w:rsid w:val="009D1486"/>
    <w:rsid w:val="009D6357"/>
    <w:rsid w:val="009D6BFE"/>
    <w:rsid w:val="009D71AE"/>
    <w:rsid w:val="009D7E78"/>
    <w:rsid w:val="009E198C"/>
    <w:rsid w:val="009E2EA8"/>
    <w:rsid w:val="009E3668"/>
    <w:rsid w:val="009E3F77"/>
    <w:rsid w:val="009E43EC"/>
    <w:rsid w:val="009E4448"/>
    <w:rsid w:val="009E4CA5"/>
    <w:rsid w:val="009E4E8E"/>
    <w:rsid w:val="009E5C2A"/>
    <w:rsid w:val="009F0C43"/>
    <w:rsid w:val="009F0E92"/>
    <w:rsid w:val="009F3297"/>
    <w:rsid w:val="009F7E93"/>
    <w:rsid w:val="00A022B7"/>
    <w:rsid w:val="00A031BC"/>
    <w:rsid w:val="00A03EB0"/>
    <w:rsid w:val="00A04D0F"/>
    <w:rsid w:val="00A113D1"/>
    <w:rsid w:val="00A11567"/>
    <w:rsid w:val="00A12364"/>
    <w:rsid w:val="00A12D3A"/>
    <w:rsid w:val="00A142BA"/>
    <w:rsid w:val="00A14A6E"/>
    <w:rsid w:val="00A17666"/>
    <w:rsid w:val="00A176ED"/>
    <w:rsid w:val="00A17F81"/>
    <w:rsid w:val="00A2126D"/>
    <w:rsid w:val="00A22078"/>
    <w:rsid w:val="00A229A6"/>
    <w:rsid w:val="00A236AF"/>
    <w:rsid w:val="00A266E1"/>
    <w:rsid w:val="00A26D66"/>
    <w:rsid w:val="00A2B5C0"/>
    <w:rsid w:val="00A324F6"/>
    <w:rsid w:val="00A32D9C"/>
    <w:rsid w:val="00A32F98"/>
    <w:rsid w:val="00A35F94"/>
    <w:rsid w:val="00A37A5A"/>
    <w:rsid w:val="00A429FC"/>
    <w:rsid w:val="00A43022"/>
    <w:rsid w:val="00A50820"/>
    <w:rsid w:val="00A50883"/>
    <w:rsid w:val="00A5108D"/>
    <w:rsid w:val="00A526E8"/>
    <w:rsid w:val="00A534B4"/>
    <w:rsid w:val="00A53837"/>
    <w:rsid w:val="00A54BC6"/>
    <w:rsid w:val="00A607E6"/>
    <w:rsid w:val="00A61645"/>
    <w:rsid w:val="00A647A4"/>
    <w:rsid w:val="00A700DE"/>
    <w:rsid w:val="00A71B03"/>
    <w:rsid w:val="00A71DB7"/>
    <w:rsid w:val="00A8048F"/>
    <w:rsid w:val="00A80F0E"/>
    <w:rsid w:val="00A80F0F"/>
    <w:rsid w:val="00A834D4"/>
    <w:rsid w:val="00A94D14"/>
    <w:rsid w:val="00A9628A"/>
    <w:rsid w:val="00AA0312"/>
    <w:rsid w:val="00AA042C"/>
    <w:rsid w:val="00AA0A00"/>
    <w:rsid w:val="00AA1891"/>
    <w:rsid w:val="00AA1CE7"/>
    <w:rsid w:val="00AA3B83"/>
    <w:rsid w:val="00AA3FE2"/>
    <w:rsid w:val="00AA5EE4"/>
    <w:rsid w:val="00AB2605"/>
    <w:rsid w:val="00AB27A4"/>
    <w:rsid w:val="00AB3354"/>
    <w:rsid w:val="00AB4C03"/>
    <w:rsid w:val="00AB567F"/>
    <w:rsid w:val="00AB5825"/>
    <w:rsid w:val="00AB59AB"/>
    <w:rsid w:val="00AB607D"/>
    <w:rsid w:val="00AB6761"/>
    <w:rsid w:val="00AB778D"/>
    <w:rsid w:val="00AB7811"/>
    <w:rsid w:val="00AC07C4"/>
    <w:rsid w:val="00AC0B26"/>
    <w:rsid w:val="00AC12C5"/>
    <w:rsid w:val="00AC14CF"/>
    <w:rsid w:val="00AC3283"/>
    <w:rsid w:val="00AC501E"/>
    <w:rsid w:val="00AC5F3D"/>
    <w:rsid w:val="00AD298A"/>
    <w:rsid w:val="00AD361F"/>
    <w:rsid w:val="00AD36E4"/>
    <w:rsid w:val="00AD423C"/>
    <w:rsid w:val="00AD48B7"/>
    <w:rsid w:val="00AD5CEC"/>
    <w:rsid w:val="00AD607D"/>
    <w:rsid w:val="00AD6E9D"/>
    <w:rsid w:val="00AD73A0"/>
    <w:rsid w:val="00AE2887"/>
    <w:rsid w:val="00AE2DB3"/>
    <w:rsid w:val="00AE3A2F"/>
    <w:rsid w:val="00AE63A8"/>
    <w:rsid w:val="00AE6CF3"/>
    <w:rsid w:val="00AF09CE"/>
    <w:rsid w:val="00AF2129"/>
    <w:rsid w:val="00AF278D"/>
    <w:rsid w:val="00AF2BE0"/>
    <w:rsid w:val="00AF30BA"/>
    <w:rsid w:val="00AF42D3"/>
    <w:rsid w:val="00AF533E"/>
    <w:rsid w:val="00AF6B63"/>
    <w:rsid w:val="00AF7474"/>
    <w:rsid w:val="00B03D0B"/>
    <w:rsid w:val="00B03ECC"/>
    <w:rsid w:val="00B065F3"/>
    <w:rsid w:val="00B06627"/>
    <w:rsid w:val="00B06A02"/>
    <w:rsid w:val="00B105EF"/>
    <w:rsid w:val="00B12C1B"/>
    <w:rsid w:val="00B13833"/>
    <w:rsid w:val="00B14909"/>
    <w:rsid w:val="00B14C4F"/>
    <w:rsid w:val="00B15D22"/>
    <w:rsid w:val="00B16121"/>
    <w:rsid w:val="00B177FA"/>
    <w:rsid w:val="00B17B5E"/>
    <w:rsid w:val="00B17F71"/>
    <w:rsid w:val="00B2149B"/>
    <w:rsid w:val="00B23AB6"/>
    <w:rsid w:val="00B24E35"/>
    <w:rsid w:val="00B258AE"/>
    <w:rsid w:val="00B2599F"/>
    <w:rsid w:val="00B25D95"/>
    <w:rsid w:val="00B30781"/>
    <w:rsid w:val="00B30B65"/>
    <w:rsid w:val="00B334B6"/>
    <w:rsid w:val="00B33891"/>
    <w:rsid w:val="00B34F1D"/>
    <w:rsid w:val="00B35357"/>
    <w:rsid w:val="00B35AD8"/>
    <w:rsid w:val="00B35D5B"/>
    <w:rsid w:val="00B35EFF"/>
    <w:rsid w:val="00B4017A"/>
    <w:rsid w:val="00B40C44"/>
    <w:rsid w:val="00B4184C"/>
    <w:rsid w:val="00B45D71"/>
    <w:rsid w:val="00B4637D"/>
    <w:rsid w:val="00B465C9"/>
    <w:rsid w:val="00B465D5"/>
    <w:rsid w:val="00B46ED1"/>
    <w:rsid w:val="00B4708B"/>
    <w:rsid w:val="00B517AF"/>
    <w:rsid w:val="00B51BFD"/>
    <w:rsid w:val="00B5263E"/>
    <w:rsid w:val="00B5335D"/>
    <w:rsid w:val="00B5446A"/>
    <w:rsid w:val="00B56732"/>
    <w:rsid w:val="00B60237"/>
    <w:rsid w:val="00B61001"/>
    <w:rsid w:val="00B62533"/>
    <w:rsid w:val="00B62A55"/>
    <w:rsid w:val="00B63827"/>
    <w:rsid w:val="00B64783"/>
    <w:rsid w:val="00B6699A"/>
    <w:rsid w:val="00B67598"/>
    <w:rsid w:val="00B67619"/>
    <w:rsid w:val="00B67E5C"/>
    <w:rsid w:val="00B703A0"/>
    <w:rsid w:val="00B71CEB"/>
    <w:rsid w:val="00B74A9D"/>
    <w:rsid w:val="00B74F98"/>
    <w:rsid w:val="00B76CB2"/>
    <w:rsid w:val="00B8232B"/>
    <w:rsid w:val="00B82F42"/>
    <w:rsid w:val="00B85B41"/>
    <w:rsid w:val="00B900D2"/>
    <w:rsid w:val="00B908D3"/>
    <w:rsid w:val="00B90EA8"/>
    <w:rsid w:val="00B91E1F"/>
    <w:rsid w:val="00B91E82"/>
    <w:rsid w:val="00B96067"/>
    <w:rsid w:val="00B963C1"/>
    <w:rsid w:val="00B96774"/>
    <w:rsid w:val="00B968D4"/>
    <w:rsid w:val="00B9723D"/>
    <w:rsid w:val="00B97333"/>
    <w:rsid w:val="00BA0BBF"/>
    <w:rsid w:val="00BA0E66"/>
    <w:rsid w:val="00BA1BF3"/>
    <w:rsid w:val="00BA367C"/>
    <w:rsid w:val="00BA5865"/>
    <w:rsid w:val="00BA761B"/>
    <w:rsid w:val="00BB0E51"/>
    <w:rsid w:val="00BB2B9E"/>
    <w:rsid w:val="00BB38D5"/>
    <w:rsid w:val="00BB3B9A"/>
    <w:rsid w:val="00BB4971"/>
    <w:rsid w:val="00BB4A37"/>
    <w:rsid w:val="00BB5935"/>
    <w:rsid w:val="00BB5BD3"/>
    <w:rsid w:val="00BB60FB"/>
    <w:rsid w:val="00BB7358"/>
    <w:rsid w:val="00BB7C53"/>
    <w:rsid w:val="00BC0643"/>
    <w:rsid w:val="00BC0EB1"/>
    <w:rsid w:val="00BC1AF5"/>
    <w:rsid w:val="00BC3139"/>
    <w:rsid w:val="00BC3733"/>
    <w:rsid w:val="00BC3944"/>
    <w:rsid w:val="00BC3A72"/>
    <w:rsid w:val="00BC4466"/>
    <w:rsid w:val="00BC4CB4"/>
    <w:rsid w:val="00BC4D73"/>
    <w:rsid w:val="00BD0504"/>
    <w:rsid w:val="00BD2A3E"/>
    <w:rsid w:val="00BD3753"/>
    <w:rsid w:val="00BD4B71"/>
    <w:rsid w:val="00BD547E"/>
    <w:rsid w:val="00BD6C5F"/>
    <w:rsid w:val="00BD75D5"/>
    <w:rsid w:val="00BD7F6C"/>
    <w:rsid w:val="00BE2A3E"/>
    <w:rsid w:val="00BE5601"/>
    <w:rsid w:val="00BE5972"/>
    <w:rsid w:val="00BE5CF8"/>
    <w:rsid w:val="00BF1FDE"/>
    <w:rsid w:val="00BF2133"/>
    <w:rsid w:val="00BF2201"/>
    <w:rsid w:val="00BF3D3F"/>
    <w:rsid w:val="00BF3D5B"/>
    <w:rsid w:val="00BF4768"/>
    <w:rsid w:val="00BF4EDE"/>
    <w:rsid w:val="00BF4F05"/>
    <w:rsid w:val="00BF5DFE"/>
    <w:rsid w:val="00C00E42"/>
    <w:rsid w:val="00C02350"/>
    <w:rsid w:val="00C02865"/>
    <w:rsid w:val="00C031B3"/>
    <w:rsid w:val="00C05BA3"/>
    <w:rsid w:val="00C0625A"/>
    <w:rsid w:val="00C079E3"/>
    <w:rsid w:val="00C105FF"/>
    <w:rsid w:val="00C145C7"/>
    <w:rsid w:val="00C15AA4"/>
    <w:rsid w:val="00C168E8"/>
    <w:rsid w:val="00C17988"/>
    <w:rsid w:val="00C17E20"/>
    <w:rsid w:val="00C2163C"/>
    <w:rsid w:val="00C2226D"/>
    <w:rsid w:val="00C2565D"/>
    <w:rsid w:val="00C25847"/>
    <w:rsid w:val="00C268BC"/>
    <w:rsid w:val="00C27940"/>
    <w:rsid w:val="00C31184"/>
    <w:rsid w:val="00C315E1"/>
    <w:rsid w:val="00C339F4"/>
    <w:rsid w:val="00C346BA"/>
    <w:rsid w:val="00C34D37"/>
    <w:rsid w:val="00C35766"/>
    <w:rsid w:val="00C370CD"/>
    <w:rsid w:val="00C37D33"/>
    <w:rsid w:val="00C432E9"/>
    <w:rsid w:val="00C4366D"/>
    <w:rsid w:val="00C44A59"/>
    <w:rsid w:val="00C45AEF"/>
    <w:rsid w:val="00C50000"/>
    <w:rsid w:val="00C5033F"/>
    <w:rsid w:val="00C50787"/>
    <w:rsid w:val="00C51207"/>
    <w:rsid w:val="00C51FCD"/>
    <w:rsid w:val="00C54F62"/>
    <w:rsid w:val="00C55EE6"/>
    <w:rsid w:val="00C570B1"/>
    <w:rsid w:val="00C60523"/>
    <w:rsid w:val="00C60856"/>
    <w:rsid w:val="00C6178A"/>
    <w:rsid w:val="00C62DBE"/>
    <w:rsid w:val="00C64D7C"/>
    <w:rsid w:val="00C64DD8"/>
    <w:rsid w:val="00C64F1D"/>
    <w:rsid w:val="00C65512"/>
    <w:rsid w:val="00C66CFD"/>
    <w:rsid w:val="00C66EE8"/>
    <w:rsid w:val="00C67D2E"/>
    <w:rsid w:val="00C70728"/>
    <w:rsid w:val="00C773A6"/>
    <w:rsid w:val="00C82CF1"/>
    <w:rsid w:val="00C8403D"/>
    <w:rsid w:val="00C86CE4"/>
    <w:rsid w:val="00C86F73"/>
    <w:rsid w:val="00C86FDB"/>
    <w:rsid w:val="00C87CB8"/>
    <w:rsid w:val="00C91D91"/>
    <w:rsid w:val="00C933F4"/>
    <w:rsid w:val="00C95E03"/>
    <w:rsid w:val="00C96398"/>
    <w:rsid w:val="00C97D95"/>
    <w:rsid w:val="00CA68E6"/>
    <w:rsid w:val="00CA7C92"/>
    <w:rsid w:val="00CB18CF"/>
    <w:rsid w:val="00CB1B4A"/>
    <w:rsid w:val="00CB2B0A"/>
    <w:rsid w:val="00CB3179"/>
    <w:rsid w:val="00CB3261"/>
    <w:rsid w:val="00CB3BA2"/>
    <w:rsid w:val="00CB4936"/>
    <w:rsid w:val="00CB732D"/>
    <w:rsid w:val="00CB7B6C"/>
    <w:rsid w:val="00CC08BA"/>
    <w:rsid w:val="00CC0E04"/>
    <w:rsid w:val="00CC4692"/>
    <w:rsid w:val="00CC4DCE"/>
    <w:rsid w:val="00CD42D8"/>
    <w:rsid w:val="00CD47BC"/>
    <w:rsid w:val="00CD4A1B"/>
    <w:rsid w:val="00CD51BF"/>
    <w:rsid w:val="00CE3474"/>
    <w:rsid w:val="00CE7D67"/>
    <w:rsid w:val="00CF17AD"/>
    <w:rsid w:val="00CF74E9"/>
    <w:rsid w:val="00D00DD5"/>
    <w:rsid w:val="00D00DE2"/>
    <w:rsid w:val="00D01660"/>
    <w:rsid w:val="00D0243B"/>
    <w:rsid w:val="00D0247F"/>
    <w:rsid w:val="00D025AB"/>
    <w:rsid w:val="00D055D9"/>
    <w:rsid w:val="00D0571E"/>
    <w:rsid w:val="00D068C4"/>
    <w:rsid w:val="00D06CC4"/>
    <w:rsid w:val="00D07BAF"/>
    <w:rsid w:val="00D13907"/>
    <w:rsid w:val="00D1582E"/>
    <w:rsid w:val="00D15B48"/>
    <w:rsid w:val="00D200F5"/>
    <w:rsid w:val="00D239B6"/>
    <w:rsid w:val="00D24BDF"/>
    <w:rsid w:val="00D25841"/>
    <w:rsid w:val="00D269F1"/>
    <w:rsid w:val="00D304FE"/>
    <w:rsid w:val="00D317C5"/>
    <w:rsid w:val="00D326CD"/>
    <w:rsid w:val="00D33A8F"/>
    <w:rsid w:val="00D33F97"/>
    <w:rsid w:val="00D33FDD"/>
    <w:rsid w:val="00D33FFE"/>
    <w:rsid w:val="00D35CEE"/>
    <w:rsid w:val="00D35E51"/>
    <w:rsid w:val="00D3674D"/>
    <w:rsid w:val="00D3678E"/>
    <w:rsid w:val="00D37341"/>
    <w:rsid w:val="00D37390"/>
    <w:rsid w:val="00D44816"/>
    <w:rsid w:val="00D4621B"/>
    <w:rsid w:val="00D46617"/>
    <w:rsid w:val="00D46B85"/>
    <w:rsid w:val="00D472FC"/>
    <w:rsid w:val="00D501E4"/>
    <w:rsid w:val="00D507AA"/>
    <w:rsid w:val="00D5222B"/>
    <w:rsid w:val="00D52E0A"/>
    <w:rsid w:val="00D541BB"/>
    <w:rsid w:val="00D57DEB"/>
    <w:rsid w:val="00D60D32"/>
    <w:rsid w:val="00D6104D"/>
    <w:rsid w:val="00D61092"/>
    <w:rsid w:val="00D61A16"/>
    <w:rsid w:val="00D6221C"/>
    <w:rsid w:val="00D626DC"/>
    <w:rsid w:val="00D650AC"/>
    <w:rsid w:val="00D667C5"/>
    <w:rsid w:val="00D66C42"/>
    <w:rsid w:val="00D67907"/>
    <w:rsid w:val="00D70328"/>
    <w:rsid w:val="00D717A0"/>
    <w:rsid w:val="00D718AD"/>
    <w:rsid w:val="00D7366E"/>
    <w:rsid w:val="00D73B68"/>
    <w:rsid w:val="00D767B4"/>
    <w:rsid w:val="00D81083"/>
    <w:rsid w:val="00D82177"/>
    <w:rsid w:val="00D825E9"/>
    <w:rsid w:val="00D82B01"/>
    <w:rsid w:val="00D82F3C"/>
    <w:rsid w:val="00D845FA"/>
    <w:rsid w:val="00D8698B"/>
    <w:rsid w:val="00D87437"/>
    <w:rsid w:val="00D91425"/>
    <w:rsid w:val="00D919C4"/>
    <w:rsid w:val="00D91DE6"/>
    <w:rsid w:val="00D93302"/>
    <w:rsid w:val="00D93830"/>
    <w:rsid w:val="00D957B6"/>
    <w:rsid w:val="00D96796"/>
    <w:rsid w:val="00D968B9"/>
    <w:rsid w:val="00D9786A"/>
    <w:rsid w:val="00DA0684"/>
    <w:rsid w:val="00DA0C58"/>
    <w:rsid w:val="00DA1B72"/>
    <w:rsid w:val="00DA2707"/>
    <w:rsid w:val="00DA2BA5"/>
    <w:rsid w:val="00DA3850"/>
    <w:rsid w:val="00DA41BC"/>
    <w:rsid w:val="00DA4CF4"/>
    <w:rsid w:val="00DA5EF6"/>
    <w:rsid w:val="00DA612E"/>
    <w:rsid w:val="00DA634F"/>
    <w:rsid w:val="00DA738B"/>
    <w:rsid w:val="00DA7DA9"/>
    <w:rsid w:val="00DB037B"/>
    <w:rsid w:val="00DB1AB8"/>
    <w:rsid w:val="00DB2FDB"/>
    <w:rsid w:val="00DB3195"/>
    <w:rsid w:val="00DB480E"/>
    <w:rsid w:val="00DB48B8"/>
    <w:rsid w:val="00DB4B2C"/>
    <w:rsid w:val="00DB5AA0"/>
    <w:rsid w:val="00DB6919"/>
    <w:rsid w:val="00DB6B96"/>
    <w:rsid w:val="00DB744F"/>
    <w:rsid w:val="00DB78FD"/>
    <w:rsid w:val="00DB7BFD"/>
    <w:rsid w:val="00DC0317"/>
    <w:rsid w:val="00DC0FF9"/>
    <w:rsid w:val="00DC17DE"/>
    <w:rsid w:val="00DC272C"/>
    <w:rsid w:val="00DC3B46"/>
    <w:rsid w:val="00DC42B0"/>
    <w:rsid w:val="00DC430F"/>
    <w:rsid w:val="00DC5BAE"/>
    <w:rsid w:val="00DD030C"/>
    <w:rsid w:val="00DD0B74"/>
    <w:rsid w:val="00DD1257"/>
    <w:rsid w:val="00DD14AB"/>
    <w:rsid w:val="00DD4F2A"/>
    <w:rsid w:val="00DD60C8"/>
    <w:rsid w:val="00DE137E"/>
    <w:rsid w:val="00DE20EC"/>
    <w:rsid w:val="00DE2386"/>
    <w:rsid w:val="00DE29D4"/>
    <w:rsid w:val="00DE3838"/>
    <w:rsid w:val="00DE54D2"/>
    <w:rsid w:val="00DE5B3F"/>
    <w:rsid w:val="00DE6196"/>
    <w:rsid w:val="00DE61D1"/>
    <w:rsid w:val="00DF2C08"/>
    <w:rsid w:val="00DF5A50"/>
    <w:rsid w:val="00DF7692"/>
    <w:rsid w:val="00E0004D"/>
    <w:rsid w:val="00E00639"/>
    <w:rsid w:val="00E012E9"/>
    <w:rsid w:val="00E04557"/>
    <w:rsid w:val="00E059DF"/>
    <w:rsid w:val="00E066B9"/>
    <w:rsid w:val="00E06E8E"/>
    <w:rsid w:val="00E06FB3"/>
    <w:rsid w:val="00E072BA"/>
    <w:rsid w:val="00E12E6A"/>
    <w:rsid w:val="00E13240"/>
    <w:rsid w:val="00E137B4"/>
    <w:rsid w:val="00E1791A"/>
    <w:rsid w:val="00E17D15"/>
    <w:rsid w:val="00E21339"/>
    <w:rsid w:val="00E232E3"/>
    <w:rsid w:val="00E2374B"/>
    <w:rsid w:val="00E266EE"/>
    <w:rsid w:val="00E30412"/>
    <w:rsid w:val="00E309B2"/>
    <w:rsid w:val="00E31985"/>
    <w:rsid w:val="00E31AB4"/>
    <w:rsid w:val="00E322FB"/>
    <w:rsid w:val="00E35AD6"/>
    <w:rsid w:val="00E37A03"/>
    <w:rsid w:val="00E40DCB"/>
    <w:rsid w:val="00E40F0A"/>
    <w:rsid w:val="00E422FA"/>
    <w:rsid w:val="00E45C18"/>
    <w:rsid w:val="00E46178"/>
    <w:rsid w:val="00E47973"/>
    <w:rsid w:val="00E47C64"/>
    <w:rsid w:val="00E508A2"/>
    <w:rsid w:val="00E52261"/>
    <w:rsid w:val="00E56363"/>
    <w:rsid w:val="00E57DAD"/>
    <w:rsid w:val="00E60D20"/>
    <w:rsid w:val="00E70CE4"/>
    <w:rsid w:val="00E7268F"/>
    <w:rsid w:val="00E73834"/>
    <w:rsid w:val="00E73B2A"/>
    <w:rsid w:val="00E74B2A"/>
    <w:rsid w:val="00E75861"/>
    <w:rsid w:val="00E75F4B"/>
    <w:rsid w:val="00E765C8"/>
    <w:rsid w:val="00E804DF"/>
    <w:rsid w:val="00E81E24"/>
    <w:rsid w:val="00E83666"/>
    <w:rsid w:val="00E8502D"/>
    <w:rsid w:val="00E854D5"/>
    <w:rsid w:val="00E85AFE"/>
    <w:rsid w:val="00E8717C"/>
    <w:rsid w:val="00E90000"/>
    <w:rsid w:val="00E915AC"/>
    <w:rsid w:val="00E91B16"/>
    <w:rsid w:val="00E92ADD"/>
    <w:rsid w:val="00E92D8E"/>
    <w:rsid w:val="00E941A8"/>
    <w:rsid w:val="00E94C0D"/>
    <w:rsid w:val="00E9682B"/>
    <w:rsid w:val="00E97EB5"/>
    <w:rsid w:val="00EA22F9"/>
    <w:rsid w:val="00EA3962"/>
    <w:rsid w:val="00EA5C49"/>
    <w:rsid w:val="00EA7315"/>
    <w:rsid w:val="00EA7818"/>
    <w:rsid w:val="00EB324F"/>
    <w:rsid w:val="00EB374C"/>
    <w:rsid w:val="00EB3BDC"/>
    <w:rsid w:val="00EB4E5E"/>
    <w:rsid w:val="00EC01DE"/>
    <w:rsid w:val="00EC0FBD"/>
    <w:rsid w:val="00EC1455"/>
    <w:rsid w:val="00EC15E1"/>
    <w:rsid w:val="00EC18D1"/>
    <w:rsid w:val="00EC2C45"/>
    <w:rsid w:val="00EC2C5D"/>
    <w:rsid w:val="00EC64D9"/>
    <w:rsid w:val="00ED047C"/>
    <w:rsid w:val="00ED17EF"/>
    <w:rsid w:val="00ED2085"/>
    <w:rsid w:val="00ED21F1"/>
    <w:rsid w:val="00ED2F1D"/>
    <w:rsid w:val="00ED414A"/>
    <w:rsid w:val="00ED4B09"/>
    <w:rsid w:val="00ED5BB0"/>
    <w:rsid w:val="00ED7B14"/>
    <w:rsid w:val="00EE1B87"/>
    <w:rsid w:val="00EE21AD"/>
    <w:rsid w:val="00EE2C83"/>
    <w:rsid w:val="00EE455E"/>
    <w:rsid w:val="00EE5F67"/>
    <w:rsid w:val="00EF0974"/>
    <w:rsid w:val="00EF266A"/>
    <w:rsid w:val="00EF4602"/>
    <w:rsid w:val="00EF4C08"/>
    <w:rsid w:val="00EF5892"/>
    <w:rsid w:val="00EF5FBE"/>
    <w:rsid w:val="00EF7AF9"/>
    <w:rsid w:val="00F00FCC"/>
    <w:rsid w:val="00F0232B"/>
    <w:rsid w:val="00F0241C"/>
    <w:rsid w:val="00F031D0"/>
    <w:rsid w:val="00F06BC5"/>
    <w:rsid w:val="00F07F2B"/>
    <w:rsid w:val="00F111CB"/>
    <w:rsid w:val="00F12B03"/>
    <w:rsid w:val="00F12C32"/>
    <w:rsid w:val="00F170FF"/>
    <w:rsid w:val="00F2104F"/>
    <w:rsid w:val="00F21788"/>
    <w:rsid w:val="00F21BE8"/>
    <w:rsid w:val="00F2473B"/>
    <w:rsid w:val="00F26470"/>
    <w:rsid w:val="00F2700D"/>
    <w:rsid w:val="00F2731E"/>
    <w:rsid w:val="00F2790D"/>
    <w:rsid w:val="00F3134C"/>
    <w:rsid w:val="00F33498"/>
    <w:rsid w:val="00F346BD"/>
    <w:rsid w:val="00F3631B"/>
    <w:rsid w:val="00F368D2"/>
    <w:rsid w:val="00F36C1F"/>
    <w:rsid w:val="00F37DF6"/>
    <w:rsid w:val="00F40082"/>
    <w:rsid w:val="00F42D43"/>
    <w:rsid w:val="00F43118"/>
    <w:rsid w:val="00F457B9"/>
    <w:rsid w:val="00F45873"/>
    <w:rsid w:val="00F459FB"/>
    <w:rsid w:val="00F45AAB"/>
    <w:rsid w:val="00F47122"/>
    <w:rsid w:val="00F473BC"/>
    <w:rsid w:val="00F501B1"/>
    <w:rsid w:val="00F513D1"/>
    <w:rsid w:val="00F51487"/>
    <w:rsid w:val="00F522F1"/>
    <w:rsid w:val="00F526F4"/>
    <w:rsid w:val="00F53186"/>
    <w:rsid w:val="00F54858"/>
    <w:rsid w:val="00F5587A"/>
    <w:rsid w:val="00F633C0"/>
    <w:rsid w:val="00F65924"/>
    <w:rsid w:val="00F67678"/>
    <w:rsid w:val="00F71BAF"/>
    <w:rsid w:val="00F71E58"/>
    <w:rsid w:val="00F74DA2"/>
    <w:rsid w:val="00F75AD7"/>
    <w:rsid w:val="00F76808"/>
    <w:rsid w:val="00F76837"/>
    <w:rsid w:val="00F76A07"/>
    <w:rsid w:val="00F77676"/>
    <w:rsid w:val="00F776C2"/>
    <w:rsid w:val="00F82637"/>
    <w:rsid w:val="00F836A7"/>
    <w:rsid w:val="00F84FB0"/>
    <w:rsid w:val="00F86A57"/>
    <w:rsid w:val="00F86C18"/>
    <w:rsid w:val="00F86F53"/>
    <w:rsid w:val="00F87CA1"/>
    <w:rsid w:val="00F9068F"/>
    <w:rsid w:val="00F91285"/>
    <w:rsid w:val="00F9267F"/>
    <w:rsid w:val="00F9299D"/>
    <w:rsid w:val="00F93973"/>
    <w:rsid w:val="00F94504"/>
    <w:rsid w:val="00F95473"/>
    <w:rsid w:val="00F977A7"/>
    <w:rsid w:val="00FA0BD5"/>
    <w:rsid w:val="00FA17CE"/>
    <w:rsid w:val="00FA3798"/>
    <w:rsid w:val="00FA48F2"/>
    <w:rsid w:val="00FA5316"/>
    <w:rsid w:val="00FA6065"/>
    <w:rsid w:val="00FB0511"/>
    <w:rsid w:val="00FB094C"/>
    <w:rsid w:val="00FB0FB1"/>
    <w:rsid w:val="00FB24CD"/>
    <w:rsid w:val="00FB3D65"/>
    <w:rsid w:val="00FB40EF"/>
    <w:rsid w:val="00FB46FE"/>
    <w:rsid w:val="00FB5131"/>
    <w:rsid w:val="00FB588E"/>
    <w:rsid w:val="00FC05B6"/>
    <w:rsid w:val="00FC210F"/>
    <w:rsid w:val="00FC4A6A"/>
    <w:rsid w:val="00FC5027"/>
    <w:rsid w:val="00FC59E1"/>
    <w:rsid w:val="00FC6236"/>
    <w:rsid w:val="00FC6CE6"/>
    <w:rsid w:val="00FC7AE9"/>
    <w:rsid w:val="00FD0CF3"/>
    <w:rsid w:val="00FD0FAF"/>
    <w:rsid w:val="00FD1BE7"/>
    <w:rsid w:val="00FD4EF6"/>
    <w:rsid w:val="00FE00C8"/>
    <w:rsid w:val="00FE0CF5"/>
    <w:rsid w:val="00FE3779"/>
    <w:rsid w:val="00FE4019"/>
    <w:rsid w:val="00FE6424"/>
    <w:rsid w:val="00FE66E8"/>
    <w:rsid w:val="00FF14F8"/>
    <w:rsid w:val="00FF1A8F"/>
    <w:rsid w:val="00FF1E3D"/>
    <w:rsid w:val="00FF3053"/>
    <w:rsid w:val="00FF32EF"/>
    <w:rsid w:val="00FF35F8"/>
    <w:rsid w:val="00FF3C69"/>
    <w:rsid w:val="00FF3CCD"/>
    <w:rsid w:val="00FF3F4F"/>
    <w:rsid w:val="00FF525D"/>
    <w:rsid w:val="00FF5DD4"/>
    <w:rsid w:val="00FF7C59"/>
    <w:rsid w:val="0C293066"/>
    <w:rsid w:val="0C363104"/>
    <w:rsid w:val="0F0B4196"/>
    <w:rsid w:val="16244C34"/>
    <w:rsid w:val="173BCE96"/>
    <w:rsid w:val="186E4E43"/>
    <w:rsid w:val="19F7B04C"/>
    <w:rsid w:val="211F21A6"/>
    <w:rsid w:val="21B8239F"/>
    <w:rsid w:val="21EDF761"/>
    <w:rsid w:val="2A04B7E8"/>
    <w:rsid w:val="2AB00111"/>
    <w:rsid w:val="32217114"/>
    <w:rsid w:val="39057053"/>
    <w:rsid w:val="3925FEC2"/>
    <w:rsid w:val="398AFF96"/>
    <w:rsid w:val="3AD73EDD"/>
    <w:rsid w:val="45850457"/>
    <w:rsid w:val="45FE901F"/>
    <w:rsid w:val="46057DCB"/>
    <w:rsid w:val="46AB8CCC"/>
    <w:rsid w:val="4933437F"/>
    <w:rsid w:val="497A9710"/>
    <w:rsid w:val="4A64C122"/>
    <w:rsid w:val="4C279C51"/>
    <w:rsid w:val="4DFEFB30"/>
    <w:rsid w:val="578273A7"/>
    <w:rsid w:val="57E5E796"/>
    <w:rsid w:val="594ADB43"/>
    <w:rsid w:val="59880FC7"/>
    <w:rsid w:val="5C923958"/>
    <w:rsid w:val="5D88B3B1"/>
    <w:rsid w:val="607F9BE6"/>
    <w:rsid w:val="6629FEF2"/>
    <w:rsid w:val="6634DEEE"/>
    <w:rsid w:val="6BE0A390"/>
    <w:rsid w:val="6CDD1616"/>
    <w:rsid w:val="7DA13C51"/>
    <w:rsid w:val="7F0E6E38"/>
    <w:rsid w:val="7F25E562"/>
    <w:rsid w:val="7FE442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D1F47D"/>
  <w15:chartTrackingRefBased/>
  <w15:docId w15:val="{B2593F7B-51A7-4EFE-84F4-2D3238725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236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647C0"/>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FootnoteTex">
    <w:name w:val="Footnote Tex"/>
    <w:basedOn w:val="Normal"/>
    <w:pPr>
      <w:widowControl w:val="0"/>
    </w:pPr>
    <w:rPr>
      <w:rFonts w:ascii="Courier" w:hAnsi="Courier"/>
    </w:rPr>
  </w:style>
  <w:style w:type="character" w:customStyle="1" w:styleId="FootnoteRef">
    <w:name w:val="Footnote Ref"/>
    <w:rPr>
      <w:vertAlign w:val="superscript"/>
    </w:rPr>
  </w:style>
  <w:style w:type="character" w:styleId="FootnoteReference">
    <w:name w:val="footnote reference"/>
    <w:uiPriority w:val="99"/>
    <w:qFormat/>
    <w:rPr>
      <w:vertAlign w:val="superscript"/>
    </w:rPr>
  </w:style>
  <w:style w:type="paragraph" w:styleId="BodyText2">
    <w:name w:val="Body Text 2"/>
    <w:basedOn w:val="Normal"/>
    <w:pPr>
      <w:spacing w:line="480" w:lineRule="auto"/>
      <w:ind w:firstLine="720"/>
    </w:pPr>
    <w:rPr>
      <w:rFonts w:ascii="Courier" w:hAnsi="Courier"/>
    </w:rPr>
  </w:style>
  <w:style w:type="character" w:customStyle="1" w:styleId="SYSHYPERTEXT">
    <w:name w:val="SYS_HYPERTEXT"/>
    <w:rPr>
      <w:color w:val="0000FF"/>
      <w:u w:val="single"/>
    </w:rPr>
  </w:style>
  <w:style w:type="character" w:styleId="PageNumber">
    <w:name w:val="page number"/>
    <w:basedOn w:val="DefaultParagraphFont"/>
    <w:rsid w:val="004647C0"/>
  </w:style>
  <w:style w:type="paragraph" w:styleId="ListParagraph">
    <w:name w:val="List Paragraph"/>
    <w:basedOn w:val="Normal"/>
    <w:uiPriority w:val="34"/>
    <w:qFormat/>
    <w:rsid w:val="006728C5"/>
    <w:pPr>
      <w:ind w:left="720"/>
    </w:pPr>
  </w:style>
  <w:style w:type="character" w:styleId="Hyperlink">
    <w:name w:val="Hyperlink"/>
    <w:rsid w:val="00A32F98"/>
    <w:rPr>
      <w:color w:val="0000FF"/>
      <w:u w:val="single"/>
    </w:rPr>
  </w:style>
  <w:style w:type="character" w:styleId="CommentReference">
    <w:name w:val="annotation reference"/>
    <w:rsid w:val="00A700DE"/>
    <w:rPr>
      <w:sz w:val="16"/>
      <w:szCs w:val="16"/>
    </w:rPr>
  </w:style>
  <w:style w:type="paragraph" w:styleId="CommentText">
    <w:name w:val="annotation text"/>
    <w:basedOn w:val="Normal"/>
    <w:link w:val="CommentTextChar"/>
    <w:rsid w:val="00A700DE"/>
    <w:rPr>
      <w:sz w:val="20"/>
    </w:rPr>
  </w:style>
  <w:style w:type="character" w:customStyle="1" w:styleId="CommentTextChar">
    <w:name w:val="Comment Text Char"/>
    <w:basedOn w:val="DefaultParagraphFont"/>
    <w:link w:val="CommentText"/>
    <w:rsid w:val="00A700DE"/>
  </w:style>
  <w:style w:type="paragraph" w:styleId="CommentSubject">
    <w:name w:val="annotation subject"/>
    <w:basedOn w:val="CommentText"/>
    <w:next w:val="CommentText"/>
    <w:link w:val="CommentSubjectChar"/>
    <w:rsid w:val="00A700DE"/>
    <w:rPr>
      <w:b/>
      <w:bCs/>
    </w:rPr>
  </w:style>
  <w:style w:type="character" w:customStyle="1" w:styleId="CommentSubjectChar">
    <w:name w:val="Comment Subject Char"/>
    <w:link w:val="CommentSubject"/>
    <w:rsid w:val="00A700DE"/>
    <w:rPr>
      <w:b/>
      <w:bCs/>
    </w:rPr>
  </w:style>
  <w:style w:type="paragraph" w:styleId="BalloonText">
    <w:name w:val="Balloon Text"/>
    <w:basedOn w:val="Normal"/>
    <w:link w:val="BalloonTextChar"/>
    <w:rsid w:val="00A700DE"/>
    <w:rPr>
      <w:rFonts w:ascii="Segoe UI" w:hAnsi="Segoe UI" w:cs="Segoe UI"/>
      <w:sz w:val="18"/>
      <w:szCs w:val="18"/>
    </w:rPr>
  </w:style>
  <w:style w:type="character" w:customStyle="1" w:styleId="BalloonTextChar">
    <w:name w:val="Balloon Text Char"/>
    <w:link w:val="BalloonText"/>
    <w:rsid w:val="00A700DE"/>
    <w:rPr>
      <w:rFonts w:ascii="Segoe UI" w:hAnsi="Segoe UI" w:cs="Segoe UI"/>
      <w:sz w:val="18"/>
      <w:szCs w:val="18"/>
    </w:rPr>
  </w:style>
  <w:style w:type="paragraph" w:styleId="FootnoteText">
    <w:name w:val="footnote text"/>
    <w:basedOn w:val="Normal"/>
    <w:link w:val="FootnoteTextChar"/>
    <w:uiPriority w:val="99"/>
    <w:qFormat/>
    <w:rsid w:val="00C5033F"/>
    <w:pPr>
      <w:widowControl w:val="0"/>
      <w:ind w:firstLine="720"/>
    </w:pPr>
  </w:style>
  <w:style w:type="character" w:customStyle="1" w:styleId="FootnoteTextChar">
    <w:name w:val="Footnote Text Char"/>
    <w:link w:val="FootnoteText"/>
    <w:uiPriority w:val="99"/>
    <w:rsid w:val="00C5033F"/>
    <w:rPr>
      <w:sz w:val="24"/>
    </w:rPr>
  </w:style>
  <w:style w:type="paragraph" w:styleId="Header">
    <w:name w:val="header"/>
    <w:basedOn w:val="Normal"/>
    <w:link w:val="HeaderChar"/>
    <w:rsid w:val="004B2288"/>
    <w:pPr>
      <w:tabs>
        <w:tab w:val="center" w:pos="4680"/>
        <w:tab w:val="right" w:pos="9360"/>
      </w:tabs>
    </w:pPr>
  </w:style>
  <w:style w:type="character" w:customStyle="1" w:styleId="HeaderChar">
    <w:name w:val="Header Char"/>
    <w:link w:val="Header"/>
    <w:rsid w:val="004B2288"/>
    <w:rPr>
      <w:sz w:val="24"/>
    </w:rPr>
  </w:style>
  <w:style w:type="paragraph" w:styleId="Revision">
    <w:name w:val="Revision"/>
    <w:hidden/>
    <w:uiPriority w:val="99"/>
    <w:semiHidden/>
    <w:rsid w:val="000F06D5"/>
    <w:rPr>
      <w:sz w:val="24"/>
    </w:rPr>
  </w:style>
  <w:style w:type="character" w:styleId="UnresolvedMention">
    <w:name w:val="Unresolved Mention"/>
    <w:basedOn w:val="DefaultParagraphFont"/>
    <w:uiPriority w:val="99"/>
    <w:semiHidden/>
    <w:unhideWhenUsed/>
    <w:rsid w:val="00BA367C"/>
    <w:rPr>
      <w:color w:val="605E5C"/>
      <w:shd w:val="clear" w:color="auto" w:fill="E1DFDD"/>
    </w:rPr>
  </w:style>
  <w:style w:type="character" w:styleId="Mention">
    <w:name w:val="Mention"/>
    <w:basedOn w:val="DefaultParagraphFont"/>
    <w:uiPriority w:val="99"/>
    <w:unhideWhenUsed/>
    <w:rsid w:val="00EE2C8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gcc02.safelinks.protection.outlook.com/?url=https%3A%2F%2Fwww.stb.gov%2Freports-data%2Feconomic-data%2Fquarterly-wage-ab-data%2F&amp;data=05%7C02%7Cprabhdeep.chawla%40dot.gov%7C62392d62e10b4c796b6708dda9b8dae7%7Cc4cd245b44f04395a1aa3848d258f78b%7C0%7C0%7C638853333589432152%7CUnknown%7CTWFpbGZsb3d8eyJFbXB0eU1hcGkiOnRydWUsIlYiOiIwLjAuMDAwMCIsIlAiOiJXaW4zMiIsIkFOIjoiTWFpbCIsIldUIjoyfQ%3D%3D%7C0%7C%7C%7C&amp;sdata=ZbtNjB9sR7cnlFoGhFdNWQZcaHKEsvOq1TAg1uTzgtQ%3D&amp;reserved=0" TargetMode="External" /><Relationship Id="rId2" Type="http://schemas.openxmlformats.org/officeDocument/2006/relationships/hyperlink" Target="https://aar.com/standards/approvals/S-916.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CE5B63477730458674E4440317F903" ma:contentTypeVersion="6" ma:contentTypeDescription="Create a new document." ma:contentTypeScope="" ma:versionID="1d36eb5f450285ce935e321a1f974824">
  <xsd:schema xmlns:xsd="http://www.w3.org/2001/XMLSchema" xmlns:xs="http://www.w3.org/2001/XMLSchema" xmlns:p="http://schemas.microsoft.com/office/2006/metadata/properties" xmlns:ns2="a08d6bda-2c69-45a9-b89f-026abb6bfe40" xmlns:ns3="48326295-c075-4ffa-b14c-b5a3e8474486" targetNamespace="http://schemas.microsoft.com/office/2006/metadata/properties" ma:root="true" ma:fieldsID="9e10a300dca20570417d0616e1de7b08" ns2:_="" ns3:_="">
    <xsd:import namespace="a08d6bda-2c69-45a9-b89f-026abb6bfe40"/>
    <xsd:import namespace="48326295-c075-4ffa-b14c-b5a3e84744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d6bda-2c69-45a9-b89f-026abb6bf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326295-c075-4ffa-b14c-b5a3e84744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8326295-c075-4ffa-b14c-b5a3e8474486">
      <UserInfo>
        <DisplayName>Kam, Check (FRA)</DisplayName>
        <AccountId>14</AccountId>
        <AccountType/>
      </UserInfo>
      <UserInfo>
        <DisplayName>Chawla, Prabhdeep (FRA)</DisplayName>
        <AccountId>16</AccountId>
        <AccountType/>
      </UserInfo>
      <UserInfo>
        <DisplayName>Wells, Hodan (FRA)</DisplayName>
        <AccountId>19</AccountId>
        <AccountType/>
      </UserInfo>
    </SharedWithUsers>
  </documentManagement>
</p:properties>
</file>

<file path=customXml/itemProps1.xml><?xml version="1.0" encoding="utf-8"?>
<ds:datastoreItem xmlns:ds="http://schemas.openxmlformats.org/officeDocument/2006/customXml" ds:itemID="{8950434D-4E60-4B9A-871B-693CCBD39F2C}">
  <ds:schemaRefs>
    <ds:schemaRef ds:uri="http://schemas.openxmlformats.org/officeDocument/2006/bibliography"/>
  </ds:schemaRefs>
</ds:datastoreItem>
</file>

<file path=customXml/itemProps2.xml><?xml version="1.0" encoding="utf-8"?>
<ds:datastoreItem xmlns:ds="http://schemas.openxmlformats.org/officeDocument/2006/customXml" ds:itemID="{C39556FC-B90F-4D37-BFE6-7505AA0EB3E8}">
  <ds:schemaRefs>
    <ds:schemaRef ds:uri="http://schemas.microsoft.com/sharepoint/v3/contenttype/forms"/>
  </ds:schemaRefs>
</ds:datastoreItem>
</file>

<file path=customXml/itemProps3.xml><?xml version="1.0" encoding="utf-8"?>
<ds:datastoreItem xmlns:ds="http://schemas.openxmlformats.org/officeDocument/2006/customXml" ds:itemID="{CCFB0668-8200-4361-BACD-94C32B219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d6bda-2c69-45a9-b89f-026abb6bfe40"/>
    <ds:schemaRef ds:uri="48326295-c075-4ffa-b14c-b5a3e847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3F4153-59C5-4473-930B-D9EB152487E1}">
  <ds:schemaRefs>
    <ds:schemaRef ds:uri="http://schemas.microsoft.com/office/2006/metadata/properties"/>
    <ds:schemaRef ds:uri="http://schemas.microsoft.com/office/infopath/2007/PartnerControls"/>
    <ds:schemaRef ds:uri="48326295-c075-4ffa-b14c-b5a3e8474486"/>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2743</Words>
  <Characters>16054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18760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 User</dc:creator>
  <cp:lastModifiedBy>Swafford, Joanne (FRA)</cp:lastModifiedBy>
  <cp:revision>3</cp:revision>
  <cp:lastPrinted>2017-07-13T00:21:00Z</cp:lastPrinted>
  <dcterms:created xsi:type="dcterms:W3CDTF">2026-01-23T18:43:00Z</dcterms:created>
  <dcterms:modified xsi:type="dcterms:W3CDTF">2026-01-27T13:03:00Z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0x010100ABCE5B63477730458674E4440317F903</vt:lpwstr>
  </property>
  <property fmtid="{D5CDD505-2E9C-101B-9397-08002B2CF9AE}" pid="3" name="docLang">
    <vt:lpwstr>en</vt:lpwstr>
  </property>
</Properties>
</file>